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8"/>
        <w:ind w:firstLine="0"/>
        <w:rPr>
          <w:rFonts w:hint="eastAsia" w:eastAsia="黑体"/>
          <w:b/>
          <w:bCs/>
          <w:sz w:val="84"/>
          <w:highlight w:val="none"/>
        </w:rPr>
      </w:pPr>
      <w:r>
        <w:rPr>
          <w:rFonts w:hint="eastAsia" w:eastAsia="黑体"/>
          <w:b/>
          <w:bCs/>
          <w:sz w:val="84"/>
          <w:highlight w:val="none"/>
        </w:rPr>
      </w:r>
      <w:r/>
    </w:p>
    <w:p>
      <w:pPr>
        <w:pStyle w:val="1028"/>
        <w:ind w:firstLine="0"/>
        <w:jc w:val="center"/>
        <w:rPr>
          <w:rFonts w:hint="eastAsia" w:ascii="方正小标宋_GBK" w:hAnsi="方正小标宋_GBK" w:eastAsia="方正小标宋_GBK" w:cs="方正小标宋_GBK"/>
          <w:sz w:val="28"/>
          <w:szCs w:val="28"/>
          <w:highlight w:val="none"/>
        </w:rPr>
      </w:pPr>
      <w:r>
        <w:rPr>
          <w:rFonts w:hint="eastAsia" w:ascii="方正小标宋_GBK" w:hAnsi="方正小标宋_GBK" w:eastAsia="方正小标宋_GBK" w:cs="方正小标宋_GBK"/>
          <w:sz w:val="28"/>
          <w:szCs w:val="28"/>
          <w:highlight w:val="none"/>
        </w:rPr>
        <w:t xml:space="preserve">招　标　文　件</w:t>
      </w:r>
      <w:r/>
    </w:p>
    <w:p>
      <w:pPr>
        <w:pStyle w:val="1028"/>
        <w:ind w:firstLine="1968"/>
        <w:spacing w:line="400" w:lineRule="exact"/>
        <w:rPr>
          <w:rFonts w:hint="eastAsia"/>
          <w:b/>
          <w:bCs/>
          <w:sz w:val="28"/>
          <w:szCs w:val="28"/>
          <w:highlight w:val="none"/>
        </w:rPr>
      </w:pPr>
      <w:r>
        <w:rPr>
          <w:rFonts w:hint="eastAsia"/>
          <w:b/>
          <w:bCs/>
          <w:sz w:val="28"/>
          <w:szCs w:val="28"/>
          <w:highlight w:val="none"/>
        </w:rPr>
      </w:r>
      <w:r/>
    </w:p>
    <w:p>
      <w:pPr>
        <w:ind w:firstLine="560"/>
        <w:jc w:val="left"/>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项目名称：江苏法院“一张网”专线租赁项目</w:t>
      </w:r>
      <w:r/>
    </w:p>
    <w:p>
      <w:pPr>
        <w:ind w:firstLine="560"/>
        <w:jc w:val="left"/>
        <w:spacing w:before="120" w:after="120" w:line="400" w:lineRule="exact"/>
        <w:rPr>
          <w:rFonts w:hint="eastAsia"/>
          <w:b/>
          <w:color w:val="ff0000"/>
          <w:sz w:val="28"/>
          <w:szCs w:val="28"/>
          <w:highlight w:val="none"/>
        </w:rPr>
      </w:pPr>
      <w:r>
        <w:rPr>
          <w:rFonts w:hint="eastAsia" w:ascii="方正黑体_GBK" w:hAnsi="方正黑体_GBK" w:eastAsia="方正黑体_GBK" w:cs="方正黑体_GBK"/>
          <w:color w:val="000000"/>
          <w:sz w:val="28"/>
          <w:szCs w:val="28"/>
          <w:highlight w:val="none"/>
        </w:rPr>
        <w:t xml:space="preserve">采购编号：</w:t>
      </w:r>
      <w:r>
        <w:rPr>
          <w:rFonts w:hint="eastAsia" w:eastAsia="方正黑体_GBK"/>
          <w:color w:val="000000"/>
          <w:sz w:val="28"/>
          <w:szCs w:val="28"/>
          <w:highlight w:val="none"/>
        </w:rPr>
        <w:tab/>
      </w:r>
      <w:r>
        <w:rPr>
          <w:rFonts w:hint="eastAsia" w:eastAsia="方正黑体_GBK"/>
          <w:color w:val="000000"/>
          <w:sz w:val="28"/>
          <w:szCs w:val="28"/>
          <w:highlight w:val="none"/>
        </w:rPr>
        <w:t xml:space="preserve">JSZC-320000-SCZX-G2026-0273</w:t>
      </w:r>
      <w:r>
        <w:rPr>
          <w:rFonts w:eastAsia="方正黑体_GBK"/>
          <w:color w:val="000000"/>
          <w:sz w:val="28"/>
          <w:szCs w:val="28"/>
          <w:highlight w:val="none"/>
        </w:rPr>
        <w:t xml:space="preserve"> </w:t>
      </w:r>
      <w:r>
        <w:rPr>
          <w:rFonts w:hint="eastAsia"/>
          <w:sz w:val="28"/>
          <w:szCs w:val="28"/>
          <w:highlight w:val="none"/>
        </w:rPr>
        <w:t xml:space="preserve">  </w:t>
      </w:r>
      <w:r>
        <w:rPr>
          <w:rFonts w:hint="eastAsia"/>
          <w:b/>
          <w:sz w:val="28"/>
          <w:szCs w:val="28"/>
          <w:highlight w:val="none"/>
        </w:rPr>
        <w:t xml:space="preserve">   </w:t>
      </w:r>
      <w:r>
        <w:rPr>
          <w:sz w:val="28"/>
          <w:szCs w:val="28"/>
          <w:highlight w:val="none"/>
        </w:rPr>
        <w:t xml:space="preserve">  </w:t>
      </w:r>
      <w:r>
        <w:rPr>
          <w:b/>
          <w:sz w:val="28"/>
          <w:szCs w:val="28"/>
          <w:highlight w:val="none"/>
        </w:rPr>
        <w:t xml:space="preserve"> </w:t>
      </w:r>
      <w:r/>
    </w:p>
    <w:p>
      <w:pPr>
        <w:pStyle w:val="1028"/>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1028"/>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1028"/>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1028"/>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1028"/>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1028"/>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1028"/>
        <w:ind w:firstLine="0"/>
        <w:spacing w:before="0" w:after="0"/>
        <w:rPr>
          <w:rFonts w:hint="eastAsia" w:ascii="宋体" w:hAnsi="宋体"/>
          <w:sz w:val="28"/>
          <w:szCs w:val="28"/>
          <w:highlight w:val="none"/>
        </w:rPr>
      </w:pPr>
      <w:r>
        <w:rPr>
          <w:rFonts w:hint="eastAsia" w:ascii="宋体" w:hAnsi="宋体"/>
          <w:sz w:val="28"/>
          <w:szCs w:val="28"/>
          <w:highlight w:val="none"/>
        </w:rPr>
      </w:r>
      <w:r/>
    </w:p>
    <w:p>
      <w:pPr>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江苏省政府采购中心</w:t>
      </w:r>
      <w:r/>
    </w:p>
    <w:p>
      <w:pPr>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2026年</w:t>
      </w:r>
      <w:r>
        <w:rPr>
          <w:rFonts w:hint="eastAsia" w:ascii="方正黑体_GBK" w:hAnsi="方正黑体_GBK" w:eastAsia="方正黑体_GBK" w:cs="方正黑体_GBK"/>
          <w:color w:val="000000"/>
          <w:sz w:val="28"/>
          <w:szCs w:val="28"/>
          <w:highlight w:val="none"/>
          <w:lang w:val="en-US" w:eastAsia="zh-CN"/>
        </w:rPr>
        <w:t xml:space="preserve">11</w:t>
      </w:r>
      <w:r>
        <w:rPr>
          <w:rFonts w:hint="eastAsia" w:ascii="方正黑体_GBK" w:hAnsi="方正黑体_GBK" w:eastAsia="方正黑体_GBK" w:cs="方正黑体_GBK"/>
          <w:color w:val="000000"/>
          <w:sz w:val="28"/>
          <w:szCs w:val="28"/>
          <w:highlight w:val="none"/>
        </w:rPr>
        <w:t xml:space="preserve">月</w:t>
      </w:r>
      <w:r/>
    </w:p>
    <w:p>
      <w:pPr>
        <w:pStyle w:val="1028"/>
        <w:ind w:firstLine="0"/>
        <w:rPr>
          <w:rFonts w:hint="eastAsia"/>
          <w:highlight w:val="none"/>
          <w:u w:val="single"/>
        </w:rPr>
      </w:pPr>
      <w:r>
        <w:rPr>
          <w:rFonts w:hint="eastAsia"/>
          <w:highlight w:val="none"/>
        </w:rPr>
        <w:t xml:space="preserve">                        </w:t>
      </w:r>
      <w:bookmarkStart w:id="169" w:name="_GoBack"/>
      <w:r/>
      <w:bookmarkEnd w:id="169"/>
      <w:r/>
      <w:r/>
    </w:p>
    <w:p>
      <w:pPr>
        <w:pStyle w:val="1028"/>
        <w:ind w:firstLine="0"/>
        <w:jc w:val="center"/>
        <w:rPr>
          <w:rFonts w:hint="eastAsia"/>
          <w:highlight w:val="none"/>
        </w:rPr>
      </w:pPr>
      <w:r>
        <w:rPr>
          <w:rFonts w:hint="eastAsia"/>
          <w:highlight w:val="none"/>
        </w:rPr>
      </w:r>
      <w:r/>
    </w:p>
    <w:p>
      <w:pPr>
        <w:jc w:val="center"/>
        <w:spacing w:line="400" w:lineRule="exact"/>
        <w:rPr>
          <w:rFonts w:hint="eastAsia" w:ascii="黑体" w:hAnsi="Arial" w:eastAsia="黑体"/>
          <w:b/>
          <w:sz w:val="28"/>
          <w:szCs w:val="28"/>
          <w:highlight w:val="none"/>
        </w:rPr>
        <w:outlineLvl w:val="0"/>
      </w:pPr>
      <w:r>
        <w:rPr>
          <w:highlight w:val="none"/>
        </w:rPr>
        <w:br w:type="page" w:clear="all"/>
      </w:r>
      <w:bookmarkStart w:id="0" w:name="_Toc120614210"/>
      <w:r/>
      <w:bookmarkStart w:id="1" w:name="_Toc16938516"/>
      <w:r/>
      <w:bookmarkStart w:id="2" w:name="_Toc523127445"/>
      <w:r/>
      <w:bookmarkStart w:id="3" w:name="_Toc513029200"/>
      <w:r/>
      <w:bookmarkStart w:id="4" w:name="_Toc20823272"/>
      <w:r/>
      <w:bookmarkStart w:id="5" w:name="_Toc479757206"/>
      <w:r>
        <w:rPr>
          <w:rFonts w:hint="eastAsia" w:ascii="方正黑体_GBK" w:hAnsi="方正黑体_GBK" w:eastAsia="方正黑体_GBK" w:cs="方正黑体_GBK"/>
          <w:b/>
          <w:color w:val="000000"/>
          <w:sz w:val="28"/>
          <w:szCs w:val="28"/>
          <w:highlight w:val="none"/>
        </w:rPr>
        <w:t xml:space="preserve"> </w:t>
      </w:r>
      <w:r>
        <w:rPr>
          <w:rFonts w:hint="eastAsia" w:ascii="方正黑体_GBK" w:hAnsi="方正黑体_GBK" w:eastAsia="方正黑体_GBK" w:cs="方正黑体_GBK"/>
          <w:bCs/>
          <w:color w:val="000000"/>
          <w:sz w:val="28"/>
          <w:szCs w:val="28"/>
          <w:highlight w:val="none"/>
        </w:rPr>
        <w:t xml:space="preserve">总  目  录</w:t>
      </w:r>
      <w:r/>
    </w:p>
    <w:p>
      <w:pPr>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r>
      <w:r/>
    </w:p>
    <w:p>
      <w:pPr>
        <w:jc w:val="center"/>
        <w:spacing w:line="400" w:lineRule="exact"/>
        <w:rPr>
          <w:rFonts w:hint="eastAsia" w:ascii="方正黑体_GBK" w:hAnsi="方正黑体_GBK" w:eastAsia="方正黑体_GBK" w:cs="方正黑体_GBK"/>
          <w:color w:val="000000"/>
          <w:sz w:val="28"/>
          <w:szCs w:val="28"/>
          <w:highlight w:val="none"/>
          <w:lang w:val="en-US" w:eastAsia="zh-CN"/>
        </w:rPr>
        <w:outlineLvl w:val="0"/>
      </w:pPr>
      <w:r>
        <w:rPr>
          <w:rFonts w:hint="eastAsia" w:ascii="方正黑体_GBK" w:hAnsi="方正黑体_GBK" w:eastAsia="方正黑体_GBK" w:cs="方正黑体_GBK"/>
          <w:color w:val="000000"/>
          <w:sz w:val="28"/>
          <w:szCs w:val="28"/>
          <w:highlight w:val="none"/>
        </w:rPr>
        <w:t xml:space="preserve">第一章 投标邀请……………………………………</w:t>
      </w:r>
      <w:r>
        <w:rPr>
          <w:rFonts w:hint="eastAsia" w:ascii="方正黑体_GBK" w:hAnsi="方正黑体_GBK" w:eastAsia="方正黑体_GBK" w:cs="方正黑体_GBK"/>
          <w:color w:val="000000"/>
          <w:sz w:val="28"/>
          <w:szCs w:val="28"/>
          <w:highlight w:val="none"/>
          <w:lang w:val="en-US" w:eastAsia="zh-CN"/>
        </w:rPr>
        <w:t xml:space="preserve">3</w:t>
      </w:r>
      <w:r/>
    </w:p>
    <w:p>
      <w:pPr>
        <w:jc w:val="center"/>
        <w:spacing w:line="400" w:lineRule="exact"/>
        <w:rPr>
          <w:rFonts w:hint="eastAsia" w:ascii="方正黑体_GBK" w:hAnsi="方正黑体_GBK" w:eastAsia="方正黑体_GBK" w:cs="方正黑体_GBK"/>
          <w:color w:val="000000"/>
          <w:sz w:val="28"/>
          <w:szCs w:val="28"/>
          <w:highlight w:val="none"/>
          <w:lang w:val="en-US" w:eastAsia="zh-CN"/>
        </w:rPr>
        <w:outlineLvl w:val="0"/>
      </w:pPr>
      <w:r>
        <w:rPr>
          <w:rFonts w:hint="eastAsia" w:ascii="方正黑体_GBK" w:hAnsi="方正黑体_GBK" w:eastAsia="方正黑体_GBK" w:cs="方正黑体_GBK"/>
          <w:color w:val="000000"/>
          <w:sz w:val="28"/>
          <w:szCs w:val="28"/>
          <w:highlight w:val="none"/>
        </w:rPr>
        <w:t xml:space="preserve">第二章 投标人须知…………………………………</w:t>
      </w:r>
      <w:r>
        <w:rPr>
          <w:rFonts w:hint="eastAsia" w:ascii="方正黑体_GBK" w:hAnsi="方正黑体_GBK" w:eastAsia="方正黑体_GBK" w:cs="方正黑体_GBK"/>
          <w:color w:val="000000"/>
          <w:sz w:val="28"/>
          <w:szCs w:val="28"/>
          <w:highlight w:val="none"/>
          <w:lang w:val="en-US" w:eastAsia="zh-CN"/>
        </w:rPr>
        <w:t xml:space="preserve">7</w:t>
      </w:r>
      <w:r/>
    </w:p>
    <w:p>
      <w:pPr>
        <w:jc w:val="center"/>
        <w:spacing w:line="400" w:lineRule="exact"/>
        <w:rPr>
          <w:rFonts w:ascii="方正黑体_GBK" w:hAnsi="方正黑体_GBK" w:eastAsia="方正黑体_GBK" w:cs="方正黑体_GBK"/>
          <w:color w:val="000000"/>
          <w:sz w:val="28"/>
          <w:szCs w:val="28"/>
          <w:highlight w:val="none"/>
          <w:lang w:val="en-US" w:eastAsia="zh-CN"/>
        </w:rPr>
        <w:outlineLvl w:val="0"/>
      </w:pPr>
      <w:r>
        <w:rPr>
          <w:rFonts w:hint="eastAsia" w:ascii="方正黑体_GBK" w:hAnsi="方正黑体_GBK" w:eastAsia="方正黑体_GBK" w:cs="方正黑体_GBK"/>
          <w:color w:val="000000"/>
          <w:sz w:val="28"/>
          <w:szCs w:val="28"/>
          <w:highlight w:val="none"/>
        </w:rPr>
        <w:t xml:space="preserve">第三章 合同文本……………………………………</w:t>
      </w:r>
      <w:r>
        <w:rPr>
          <w:rFonts w:hint="eastAsia" w:ascii="方正黑体_GBK" w:hAnsi="方正黑体_GBK" w:eastAsia="方正黑体_GBK" w:cs="方正黑体_GBK"/>
          <w:color w:val="000000"/>
          <w:sz w:val="28"/>
          <w:szCs w:val="28"/>
          <w:highlight w:val="none"/>
          <w:lang w:val="en-US" w:eastAsia="zh-CN"/>
        </w:rPr>
        <w:t xml:space="preserve">17</w:t>
      </w:r>
      <w:r/>
    </w:p>
    <w:p>
      <w:pPr>
        <w:jc w:val="center"/>
        <w:spacing w:line="400" w:lineRule="exact"/>
        <w:rPr>
          <w:rFonts w:ascii="方正黑体_GBK" w:hAnsi="方正黑体_GBK" w:eastAsia="方正黑体_GBK" w:cs="方正黑体_GBK"/>
          <w:color w:val="000000"/>
          <w:sz w:val="28"/>
          <w:szCs w:val="28"/>
          <w:highlight w:val="none"/>
          <w:lang w:val="en-US" w:eastAsia="zh-CN"/>
        </w:rPr>
        <w:outlineLvl w:val="0"/>
      </w:pPr>
      <w:r>
        <w:rPr>
          <w:rFonts w:hint="eastAsia" w:ascii="方正黑体_GBK" w:hAnsi="方正黑体_GBK" w:eastAsia="方正黑体_GBK" w:cs="方正黑体_GBK"/>
          <w:color w:val="000000"/>
          <w:sz w:val="28"/>
          <w:szCs w:val="28"/>
          <w:highlight w:val="none"/>
        </w:rPr>
        <w:t xml:space="preserve">第四章 采购需求……………………………………</w:t>
      </w:r>
      <w:r>
        <w:rPr>
          <w:rFonts w:hint="eastAsia" w:ascii="方正黑体_GBK" w:hAnsi="方正黑体_GBK" w:eastAsia="方正黑体_GBK" w:cs="方正黑体_GBK"/>
          <w:color w:val="000000"/>
          <w:sz w:val="28"/>
          <w:szCs w:val="28"/>
          <w:highlight w:val="none"/>
          <w:lang w:val="en-US" w:eastAsia="zh-CN"/>
        </w:rPr>
        <w:t xml:space="preserve">24</w:t>
      </w:r>
      <w:r/>
    </w:p>
    <w:p>
      <w:pPr>
        <w:jc w:val="center"/>
        <w:spacing w:line="400" w:lineRule="exact"/>
        <w:rPr>
          <w:rFonts w:ascii="方正黑体_GBK" w:hAnsi="方正黑体_GBK" w:eastAsia="方正黑体_GBK" w:cs="方正黑体_GBK"/>
          <w:color w:val="000000"/>
          <w:sz w:val="28"/>
          <w:szCs w:val="28"/>
          <w:highlight w:val="none"/>
          <w:lang w:val="en-US" w:eastAsia="zh-CN"/>
        </w:rPr>
        <w:outlineLvl w:val="0"/>
      </w:pPr>
      <w:r>
        <w:rPr>
          <w:rFonts w:hint="eastAsia" w:ascii="方正黑体_GBK" w:hAnsi="方正黑体_GBK" w:eastAsia="方正黑体_GBK" w:cs="方正黑体_GBK"/>
          <w:color w:val="000000"/>
          <w:sz w:val="28"/>
          <w:szCs w:val="28"/>
          <w:highlight w:val="none"/>
        </w:rPr>
        <w:t xml:space="preserve">第五章 评标方法与评标标准………………………</w:t>
      </w:r>
      <w:r>
        <w:rPr>
          <w:rFonts w:hint="eastAsia" w:ascii="方正黑体_GBK" w:hAnsi="方正黑体_GBK" w:eastAsia="方正黑体_GBK" w:cs="方正黑体_GBK"/>
          <w:color w:val="000000"/>
          <w:sz w:val="28"/>
          <w:szCs w:val="28"/>
          <w:highlight w:val="none"/>
          <w:lang w:val="en-US" w:eastAsia="zh-CN"/>
        </w:rPr>
        <w:t xml:space="preserve">50</w:t>
      </w:r>
      <w:r/>
    </w:p>
    <w:p>
      <w:pPr>
        <w:jc w:val="center"/>
        <w:spacing w:line="400" w:lineRule="exact"/>
        <w:rPr>
          <w:rFonts w:ascii="方正黑体_GBK" w:hAnsi="方正黑体_GBK" w:eastAsia="方正黑体_GBK" w:cs="方正黑体_GBK"/>
          <w:color w:val="000000"/>
          <w:sz w:val="28"/>
          <w:szCs w:val="28"/>
          <w:highlight w:val="none"/>
          <w:lang w:val="en-US" w:eastAsia="zh-CN"/>
        </w:rPr>
        <w:outlineLvl w:val="0"/>
      </w:pPr>
      <w:r>
        <w:rPr>
          <w:rFonts w:hint="eastAsia" w:ascii="方正黑体_GBK" w:hAnsi="方正黑体_GBK" w:eastAsia="方正黑体_GBK" w:cs="方正黑体_GBK"/>
          <w:color w:val="000000"/>
          <w:sz w:val="28"/>
          <w:szCs w:val="28"/>
          <w:highlight w:val="none"/>
        </w:rPr>
        <w:t xml:space="preserve">第六章 投标文件格式………………………………</w:t>
      </w:r>
      <w:r>
        <w:rPr>
          <w:rFonts w:hint="eastAsia" w:ascii="方正黑体_GBK" w:hAnsi="方正黑体_GBK" w:eastAsia="方正黑体_GBK" w:cs="方正黑体_GBK"/>
          <w:color w:val="000000"/>
          <w:sz w:val="28"/>
          <w:szCs w:val="28"/>
          <w:highlight w:val="none"/>
          <w:lang w:val="en-US" w:eastAsia="zh-CN"/>
        </w:rPr>
        <w:t xml:space="preserve">56</w:t>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jc w:val="center"/>
        <w:keepNext/>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第一章  </w:t>
      </w:r>
      <w:bookmarkEnd w:id="0"/>
      <w:r>
        <w:rPr>
          <w:rFonts w:hint="eastAsia" w:ascii="方正黑体_GBK" w:hAnsi="方正黑体_GBK" w:eastAsia="方正黑体_GBK" w:cs="方正黑体_GBK"/>
          <w:color w:val="000000"/>
          <w:sz w:val="28"/>
          <w:szCs w:val="28"/>
          <w:highlight w:val="none"/>
        </w:rPr>
        <w:t xml:space="preserve">投标邀请</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受江苏省高级人民法院的委托，江苏省政府采购中心就江苏法院“一张网”专线租赁项目(JSZC-320000-SCZX-G2026-0273)项目进行公开招标采购，欢迎符合条件的供应商投标。</w:t>
      </w:r>
      <w:r/>
    </w:p>
    <w:p>
      <w:pPr>
        <w:ind w:firstLine="560"/>
        <w:spacing w:line="400" w:lineRule="exact"/>
        <w:rPr>
          <w:rFonts w:hint="eastAsia" w:ascii="方正仿宋_GBK" w:hAnsi="方正仿宋_GBK" w:eastAsia="方正仿宋_GBK" w:cs="方正仿宋_GBK"/>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highlight w:val="none"/>
        </w:rPr>
        <w:t xml:space="preserve">项目概况</w:t>
      </w:r>
      <w:r/>
    </w:p>
    <w:p>
      <w:pPr>
        <w:ind w:firstLine="560"/>
        <w:spacing w:line="400" w:lineRule="exact"/>
        <w:rPr>
          <w:rFonts w:ascii="宋体" w:hAnsi="宋体"/>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highlight w:val="none"/>
          <w:u w:val="single"/>
        </w:rPr>
        <w:t xml:space="preserve">江苏法院“一张网”专线租赁项目</w:t>
      </w:r>
      <w:r>
        <w:rPr>
          <w:rFonts w:hint="eastAsia" w:ascii="方正仿宋_GBK" w:hAnsi="方正仿宋_GBK" w:eastAsia="方正仿宋_GBK" w:cs="方正仿宋_GBK"/>
          <w:sz w:val="28"/>
          <w:szCs w:val="28"/>
          <w:highlight w:val="none"/>
        </w:rPr>
        <w:t xml:space="preserve">招标项目的潜在投标人可在</w:t>
      </w:r>
      <w:r>
        <w:rPr>
          <w:rFonts w:hint="eastAsia" w:ascii="方正仿宋_GBK" w:hAnsi="方正仿宋_GBK" w:eastAsia="方正仿宋_GBK" w:cs="方正仿宋_GBK"/>
          <w:sz w:val="28"/>
          <w:szCs w:val="28"/>
          <w:highlight w:val="none"/>
          <w:u w:val="single"/>
        </w:rPr>
        <w:t xml:space="preserve">“江苏政府采购网”自行免费下载</w:t>
      </w:r>
      <w:r>
        <w:rPr>
          <w:rFonts w:hint="eastAsia" w:ascii="方正仿宋_GBK" w:hAnsi="方正仿宋_GBK" w:eastAsia="方正仿宋_GBK" w:cs="方正仿宋_GBK"/>
          <w:sz w:val="28"/>
          <w:szCs w:val="28"/>
          <w:highlight w:val="none"/>
        </w:rPr>
        <w:t xml:space="preserve">招标文件，并于</w:t>
      </w:r>
      <w:r>
        <w:rPr>
          <w:rFonts w:hint="eastAsia" w:eastAsia="方正仿宋_GBK"/>
          <w:color w:val="000000"/>
          <w:sz w:val="28"/>
          <w:szCs w:val="28"/>
          <w:highlight w:val="none"/>
        </w:rPr>
        <w:t xml:space="preserve">2026</w:t>
      </w:r>
      <w:r>
        <w:rPr>
          <w:rFonts w:hint="eastAsia" w:ascii="方正仿宋_GBK" w:hAnsi="方正仿宋_GBK" w:eastAsia="方正仿宋_GBK" w:cs="方正仿宋_GBK"/>
          <w:bCs/>
          <w:color w:val="000000"/>
          <w:sz w:val="28"/>
          <w:szCs w:val="28"/>
          <w:highlight w:val="none"/>
        </w:rPr>
        <w:t xml:space="preserve">年11</w:t>
      </w:r>
      <w:r>
        <w:rPr>
          <w:rFonts w:hint="eastAsia" w:ascii="方正仿宋_GBK" w:hAnsi="方正仿宋_GBK" w:eastAsia="方正仿宋_GBK" w:cs="方正仿宋_GBK"/>
          <w:bCs/>
          <w:color w:val="000000"/>
          <w:sz w:val="28"/>
          <w:szCs w:val="28"/>
          <w:highlight w:val="none"/>
        </w:rPr>
        <w:t xml:space="preserve">月24</w:t>
      </w:r>
      <w:r>
        <w:rPr>
          <w:rFonts w:hint="eastAsia" w:ascii="方正仿宋_GBK" w:hAnsi="方正仿宋_GBK" w:eastAsia="方正仿宋_GBK" w:cs="方正仿宋_GBK"/>
          <w:bCs/>
          <w:color w:val="000000"/>
          <w:sz w:val="28"/>
          <w:szCs w:val="28"/>
          <w:highlight w:val="none"/>
        </w:rPr>
        <w:t xml:space="preserve">日9</w:t>
      </w:r>
      <w:r>
        <w:rPr>
          <w:rFonts w:hint="eastAsia" w:ascii="方正仿宋_GBK" w:hAnsi="方正仿宋_GBK" w:eastAsia="方正仿宋_GBK" w:cs="方正仿宋_GBK"/>
          <w:color w:val="000000"/>
          <w:sz w:val="28"/>
          <w:szCs w:val="28"/>
          <w:highlight w:val="none"/>
        </w:rPr>
        <w:t xml:space="preserve">时30</w:t>
      </w:r>
      <w:r>
        <w:rPr>
          <w:rFonts w:hint="eastAsia" w:ascii="方正仿宋_GBK" w:hAnsi="方正仿宋_GBK" w:eastAsia="方正仿宋_GBK" w:cs="方正仿宋_GBK"/>
          <w:bCs/>
          <w:sz w:val="28"/>
          <w:szCs w:val="28"/>
          <w:highlight w:val="none"/>
        </w:rPr>
        <w:t xml:space="preserve">分（北京时间）前递交投标文件</w:t>
      </w:r>
      <w:r>
        <w:rPr>
          <w:rFonts w:hint="eastAsia" w:ascii="方正仿宋_GBK" w:hAnsi="方正仿宋_GBK" w:eastAsia="方正仿宋_GBK" w:cs="方正仿宋_GBK"/>
          <w:sz w:val="28"/>
          <w:szCs w:val="28"/>
          <w:highlight w:val="none"/>
        </w:rPr>
        <w:t xml:space="preserve">。</w:t>
      </w:r>
      <w:r/>
    </w:p>
    <w:p>
      <w:pPr>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6" w:name="_Toc28359002"/>
      <w:r/>
      <w:bookmarkStart w:id="7" w:name="_Toc28359079"/>
      <w:r/>
      <w:bookmarkStart w:id="8" w:name="_Toc35393790"/>
      <w:r/>
      <w:bookmarkStart w:id="9" w:name="_Toc35393621"/>
      <w:r/>
      <w:bookmarkStart w:id="10" w:name="_Toc38985263"/>
      <w:r/>
      <w:bookmarkStart w:id="11" w:name="_Hlk24379207"/>
      <w:r>
        <w:rPr>
          <w:rFonts w:hint="eastAsia" w:ascii="方正黑体_GBK" w:hAnsi="方正黑体_GBK" w:eastAsia="方正黑体_GBK" w:cs="方正黑体_GBK"/>
          <w:color w:val="000000"/>
          <w:sz w:val="28"/>
          <w:szCs w:val="28"/>
          <w:highlight w:val="none"/>
        </w:rPr>
        <w:t xml:space="preserve">一、项目基本情况</w:t>
      </w:r>
      <w:bookmarkEnd w:id="6"/>
      <w:r/>
      <w:bookmarkEnd w:id="7"/>
      <w:r/>
      <w:bookmarkEnd w:id="8"/>
      <w:r/>
      <w:bookmarkEnd w:id="9"/>
      <w:r/>
      <w:bookmarkEnd w:id="10"/>
      <w:r/>
      <w:r/>
    </w:p>
    <w:p>
      <w:pPr>
        <w:ind w:firstLine="560"/>
        <w:spacing w:line="400" w:lineRule="exact"/>
        <w:rPr>
          <w:rFonts w:hint="eastAsia" w:eastAsia="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1.采购编号</w:t>
      </w:r>
      <w:r>
        <w:rPr>
          <w:rFonts w:hint="eastAsia" w:eastAsia="方正仿宋_GBK"/>
          <w:color w:val="000000"/>
          <w:sz w:val="28"/>
          <w:szCs w:val="28"/>
          <w:highlight w:val="none"/>
        </w:rPr>
        <w:t xml:space="preserve">：JSZC-320000-SCZX-G2026-0273</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2.项目名称：</w:t>
      </w:r>
      <w:r>
        <w:rPr>
          <w:rFonts w:hint="eastAsia" w:eastAsia="方正仿宋_GBK"/>
          <w:color w:val="000000"/>
          <w:sz w:val="28"/>
          <w:szCs w:val="28"/>
          <w:highlight w:val="none"/>
        </w:rPr>
        <w:t xml:space="preserve">江苏法院“一张网”专线租赁项目</w:t>
      </w:r>
      <w:bookmarkEnd w:id="11"/>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3.预算金额</w:t>
      </w:r>
      <w:r/>
    </w:p>
    <w:tbl>
      <w:tblPr>
        <w:tblStyle w:val="772"/>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4361"/>
        <w:gridCol w:w="2263"/>
      </w:tblGrid>
      <w:tr>
        <w:trPr/>
        <w:tc>
          <w:tcPr>
            <w:tcW w:w="1092"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p>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p>
        </w:tc>
        <w:tc>
          <w:tcPr>
            <w:tcW w:w="4361" w:type="dxa"/>
            <w:vAlign w:val="top"/>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采购包名称</w:t>
            </w:r>
            <w:r/>
          </w:p>
        </w:tc>
        <w:tc>
          <w:tcPr>
            <w:tcW w:w="2263"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预算金额</w:t>
            </w:r>
            <w:r/>
          </w:p>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（人民币：万元）</w:t>
            </w:r>
            <w:r/>
          </w:p>
        </w:tc>
      </w:tr>
      <w:tr>
        <w:trPr/>
        <w:tc>
          <w:tcPr>
            <w:tcW w:w="1092" w:type="dxa"/>
            <w:vAlign w:val="top"/>
            <w:textDirection w:val="lrTb"/>
            <w:noWrap w:val="false"/>
          </w:tcPr>
          <w:p>
            <w:pPr>
              <w:ind w:firstLine="28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4361" w:type="dxa"/>
            <w:vAlign w:val="top"/>
            <w:textDirection w:val="lrTb"/>
            <w:noWrap w:val="false"/>
          </w:tcPr>
          <w:p>
            <w:pP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江苏法院“一张网”专线租赁项目主用线路租赁及运维服务</w:t>
            </w:r>
            <w:r/>
          </w:p>
        </w:tc>
        <w:tc>
          <w:tcPr>
            <w:tcW w:w="2263" w:type="dxa"/>
            <w:vAlign w:val="top"/>
            <w:textDirection w:val="lrTb"/>
            <w:noWrap w:val="false"/>
          </w:tcPr>
          <w:p>
            <w:pPr>
              <w:ind w:firstLine="1120"/>
              <w:spacing w:line="400" w:lineRule="exact"/>
              <w:rPr>
                <w:rFonts w:ascii="方正仿宋_GBK" w:hAnsi="方正仿宋_GBK" w:eastAsia="方正仿宋_GBK" w:cs="方正仿宋_GBK"/>
                <w:sz w:val="28"/>
                <w:szCs w:val="28"/>
                <w:highlight w:val="none"/>
              </w:rPr>
            </w:pPr>
            <w:r>
              <w:rPr>
                <w:rFonts w:hint="eastAsia" w:eastAsia="方正仿宋_GBK"/>
                <w:color w:val="000000"/>
                <w:sz w:val="28"/>
                <w:szCs w:val="28"/>
                <w:highlight w:val="none"/>
              </w:rPr>
              <w:t xml:space="preserve">600</w:t>
            </w:r>
            <w:r/>
          </w:p>
        </w:tc>
      </w:tr>
      <w:tr>
        <w:trPr/>
        <w:tc>
          <w:tcPr>
            <w:tcW w:w="1092" w:type="dxa"/>
            <w:vAlign w:val="top"/>
            <w:textDirection w:val="lrTb"/>
            <w:noWrap w:val="false"/>
          </w:tcPr>
          <w:p>
            <w:pPr>
              <w:ind w:firstLine="28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p>
        </w:tc>
        <w:tc>
          <w:tcPr>
            <w:tcW w:w="4361" w:type="dxa"/>
            <w:vAlign w:val="top"/>
            <w:textDirection w:val="lrTb"/>
            <w:noWrap w:val="false"/>
          </w:tcPr>
          <w:p>
            <w:pP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江苏法院“一张网”专线租赁项目备用线路租赁及运维服务</w:t>
            </w:r>
            <w:r/>
          </w:p>
        </w:tc>
        <w:tc>
          <w:tcPr>
            <w:tcW w:w="2263" w:type="dxa"/>
            <w:vAlign w:val="top"/>
            <w:textDirection w:val="lrTb"/>
            <w:noWrap w:val="false"/>
          </w:tcPr>
          <w:p>
            <w:pPr>
              <w:ind w:firstLine="1120"/>
              <w:spacing w:line="400" w:lineRule="exact"/>
              <w:rPr>
                <w:rFonts w:ascii="方正仿宋_GBK" w:hAnsi="方正仿宋_GBK" w:eastAsia="方正仿宋_GBK" w:cs="方正仿宋_GBK"/>
                <w:sz w:val="28"/>
                <w:szCs w:val="28"/>
                <w:highlight w:val="none"/>
              </w:rPr>
            </w:pPr>
            <w:r>
              <w:rPr>
                <w:rFonts w:hint="eastAsia" w:eastAsia="方正仿宋_GBK"/>
                <w:color w:val="000000"/>
                <w:sz w:val="28"/>
                <w:szCs w:val="28"/>
                <w:highlight w:val="none"/>
              </w:rPr>
              <w:t xml:space="preserve">600</w:t>
            </w:r>
            <w:r/>
          </w:p>
        </w:tc>
      </w:tr>
    </w:tbl>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4.最高限价</w:t>
      </w:r>
      <w:r/>
    </w:p>
    <w:tbl>
      <w:tblPr>
        <w:tblStyle w:val="772"/>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p>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p>
        </w:tc>
        <w:tc>
          <w:tcPr>
            <w:tcW w:w="3233"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最高限价</w:t>
            </w:r>
            <w:r/>
          </w:p>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（人民币：万元）</w:t>
            </w:r>
            <w:r/>
          </w:p>
        </w:tc>
      </w:tr>
      <w:tr>
        <w:trPr/>
        <w:tc>
          <w:tcPr>
            <w:tcW w:w="1148"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3233" w:type="dxa"/>
            <w:vAlign w:val="top"/>
            <w:textDirection w:val="lrTb"/>
            <w:noWrap w:val="false"/>
          </w:tcPr>
          <w:p>
            <w:pPr>
              <w:ind w:firstLine="1120"/>
              <w:spacing w:line="400" w:lineRule="exact"/>
              <w:rPr>
                <w:rFonts w:hint="eastAsia" w:ascii="方正仿宋_GBK" w:hAnsi="方正仿宋_GBK" w:eastAsia="方正仿宋_GBK" w:cs="方正仿宋_GBK"/>
                <w:sz w:val="28"/>
                <w:szCs w:val="28"/>
                <w:highlight w:val="none"/>
              </w:rPr>
            </w:pPr>
            <w:r>
              <w:rPr>
                <w:rFonts w:hint="eastAsia" w:eastAsia="方正仿宋_GBK"/>
                <w:color w:val="000000"/>
                <w:sz w:val="28"/>
                <w:szCs w:val="28"/>
                <w:highlight w:val="none"/>
              </w:rPr>
              <w:t xml:space="preserve">600</w:t>
            </w:r>
            <w:r/>
          </w:p>
        </w:tc>
      </w:tr>
      <w:tr>
        <w:trPr/>
        <w:tc>
          <w:tcPr>
            <w:tcW w:w="1148"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p>
        </w:tc>
        <w:tc>
          <w:tcPr>
            <w:tcW w:w="3233" w:type="dxa"/>
            <w:vAlign w:val="top"/>
            <w:textDirection w:val="lrTb"/>
            <w:noWrap w:val="false"/>
          </w:tcPr>
          <w:p>
            <w:pPr>
              <w:ind w:firstLine="1120"/>
              <w:spacing w:line="400" w:lineRule="exact"/>
              <w:rPr>
                <w:rFonts w:hint="eastAsia" w:ascii="方正仿宋_GBK" w:hAnsi="方正仿宋_GBK" w:eastAsia="方正仿宋_GBK" w:cs="方正仿宋_GBK"/>
                <w:sz w:val="28"/>
                <w:szCs w:val="28"/>
                <w:highlight w:val="none"/>
              </w:rPr>
            </w:pPr>
            <w:r>
              <w:rPr>
                <w:rFonts w:hint="eastAsia" w:eastAsia="方正仿宋_GBK"/>
                <w:color w:val="000000"/>
                <w:sz w:val="28"/>
                <w:szCs w:val="28"/>
                <w:highlight w:val="none"/>
              </w:rPr>
              <w:t xml:space="preserve">600</w:t>
            </w:r>
            <w:r/>
          </w:p>
        </w:tc>
      </w:tr>
    </w:tbl>
    <w:p>
      <w:pPr>
        <w:ind w:firstLine="560"/>
        <w:spacing w:line="400" w:lineRule="exact"/>
        <w:rPr>
          <w:rFonts w:hint="eastAsia" w:ascii="方正仿宋_GBK" w:hAnsi="方正仿宋_GBK" w:eastAsia="方正仿宋_GBK" w:cs="方正仿宋_GBK"/>
          <w:sz w:val="28"/>
          <w:szCs w:val="28"/>
          <w:highlight w:val="none"/>
          <w:u w:val="single"/>
        </w:rPr>
      </w:pPr>
      <w:r/>
      <w:bookmarkStart w:id="12" w:name="_Toc28359003"/>
      <w:r/>
      <w:bookmarkStart w:id="13" w:name="_Toc35393791"/>
      <w:r/>
      <w:bookmarkStart w:id="14" w:name="_Toc38985264"/>
      <w:r/>
      <w:bookmarkStart w:id="15" w:name="_Toc35393622"/>
      <w:r/>
      <w:bookmarkStart w:id="16" w:name="_Toc28359080"/>
      <w:r>
        <w:rPr>
          <w:rFonts w:hint="eastAsia" w:ascii="方正仿宋_GBK" w:hAnsi="方正仿宋_GBK" w:eastAsia="方正仿宋_GBK" w:cs="方正仿宋_GBK"/>
          <w:sz w:val="28"/>
          <w:szCs w:val="28"/>
          <w:highlight w:val="none"/>
        </w:rPr>
        <w:t xml:space="preserve">5.采购需求(简介)：</w:t>
      </w:r>
      <w:r>
        <w:rPr>
          <w:rFonts w:hint="eastAsia" w:eastAsia="方正仿宋_GBK"/>
          <w:color w:val="000000"/>
          <w:sz w:val="28"/>
          <w:szCs w:val="28"/>
          <w:highlight w:val="none"/>
        </w:rPr>
        <w:t xml:space="preserve">为接入最高人民法院“一张网”，江苏省高级人民法院需上连“一张网”南中心，下连省内各中级法院、基层法院、南京海事法院、江苏法官培训学院等125个单位。本次采购内容包括全省法院 “一张网”主用、备用两套传输线路租赁及配套设备服务；视频会议专线、点对点查控、政务微信线路、移动办公线路等其他线路租赁服务；提供专业可靠的驻场及巡检服务，详见《第四章 采购需求》。本项目为全省分摊项目，省法院、各中院、基层法院（不包含徐州铁路运输法院）、南京海事法院等各自按票付款。</w:t>
      </w:r>
      <w:r>
        <w:rPr>
          <w:rFonts w:hint="eastAsia" w:ascii="方正仿宋_GBK" w:hAnsi="方正仿宋_GBK" w:eastAsia="方正仿宋_GBK" w:cs="方正仿宋_GBK"/>
          <w:sz w:val="28"/>
          <w:szCs w:val="28"/>
          <w:highlight w:val="none"/>
        </w:rPr>
        <w:t xml:space="preserve">（详细内容见本招标文件第四章）</w:t>
      </w:r>
      <w:r/>
    </w:p>
    <w:p>
      <w:pPr>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6.合同履行期限：</w:t>
      </w:r>
      <w:r>
        <w:rPr>
          <w:rFonts w:hint="eastAsia" w:eastAsia="方正仿宋_GBK"/>
          <w:color w:val="000000"/>
          <w:sz w:val="28"/>
          <w:szCs w:val="28"/>
          <w:highlight w:val="none"/>
        </w:rPr>
        <w:t xml:space="preserve">项目交付验收合格之日或最高法院“一张网”云资源租赁采购生效之日（以较晚日期起算）起三年。</w:t>
      </w:r>
      <w:r/>
    </w:p>
    <w:p>
      <w:pPr>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二、申请人的资格要求</w:t>
      </w:r>
      <w:bookmarkEnd w:id="12"/>
      <w:r/>
      <w:bookmarkEnd w:id="13"/>
      <w:r/>
      <w:bookmarkEnd w:id="14"/>
      <w:r/>
      <w:bookmarkEnd w:id="15"/>
      <w:r/>
      <w:bookmarkEnd w:id="16"/>
      <w:r/>
      <w:r/>
    </w:p>
    <w:p>
      <w:pPr>
        <w:ind w:firstLine="560"/>
        <w:spacing w:line="400" w:lineRule="exact"/>
        <w:rPr>
          <w:rFonts w:hint="eastAsia" w:ascii="方正楷体_GBK" w:hAnsi="方正楷体_GBK" w:eastAsia="方正楷体_GBK" w:cs="方正楷体_GBK"/>
          <w:color w:val="000000"/>
          <w:sz w:val="28"/>
          <w:szCs w:val="28"/>
          <w:highlight w:val="none"/>
        </w:rPr>
      </w:pPr>
      <w:r/>
      <w:bookmarkStart w:id="17" w:name="_Toc28359004"/>
      <w:r/>
      <w:bookmarkStart w:id="18" w:name="_Toc38985265"/>
      <w:r/>
      <w:bookmarkStart w:id="19" w:name="_Toc35393623"/>
      <w:r/>
      <w:bookmarkStart w:id="20" w:name="_Toc35393792"/>
      <w:r/>
      <w:bookmarkStart w:id="21" w:name="_Toc28359081"/>
      <w:r>
        <w:rPr>
          <w:rFonts w:hint="eastAsia" w:ascii="方正楷体_GBK" w:hAnsi="方正楷体_GBK" w:eastAsia="方正楷体_GBK" w:cs="方正楷体_GBK"/>
          <w:color w:val="000000"/>
          <w:sz w:val="28"/>
          <w:szCs w:val="28"/>
          <w:highlight w:val="none"/>
        </w:rPr>
        <w:t xml:space="preserve">（一）通用资格要求</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1.满足《中华人民共和国政府采购法》第二十二条规定，并提供下列材料：</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 法人或者其他组织的营业执照等证明文件，自然人的身份证明；</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1.2上一年度的财务状况报告（成立不满一年无需提供）；</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1.4具备履行合同所必需的设备和专业技术能力的书面声明；</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1.5参加政府采购活动前3年内在经营活动中没有重大违法记录的书面声明。</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3.落实政府采购政策需满足的资格要求：无。</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4.联合体投标</w:t>
      </w:r>
      <w:r/>
    </w:p>
    <w:tbl>
      <w:tblPr>
        <w:tblStyle w:val="772"/>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p>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p>
        </w:tc>
        <w:tc>
          <w:tcPr>
            <w:tcW w:w="2968"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是否接受联合体投标（是/否）</w:t>
            </w:r>
            <w:r/>
          </w:p>
        </w:tc>
        <w:tc>
          <w:tcPr>
            <w:tcW w:w="2967"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该采购包中联合体成员数量上限</w:t>
            </w:r>
            <w:r/>
          </w:p>
        </w:tc>
      </w:tr>
      <w:tr>
        <w:trPr/>
        <w:tc>
          <w:tcPr>
            <w:tcW w:w="1148"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2968"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否</w:t>
            </w:r>
            <w:r/>
          </w:p>
        </w:tc>
        <w:tc>
          <w:tcPr>
            <w:tcW w:w="2967"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tc>
      </w:tr>
      <w:tr>
        <w:trPr/>
        <w:tc>
          <w:tcPr>
            <w:tcW w:w="1148"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p>
        </w:tc>
        <w:tc>
          <w:tcPr>
            <w:tcW w:w="2968"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否</w:t>
            </w:r>
            <w:r/>
          </w:p>
        </w:tc>
        <w:tc>
          <w:tcPr>
            <w:tcW w:w="2967"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tc>
      </w:tr>
    </w:tbl>
    <w:p>
      <w:pPr>
        <w:ind w:firstLine="560"/>
        <w:spacing w:line="400" w:lineRule="exact"/>
        <w:rPr>
          <w:rFonts w:hint="eastAsia" w:ascii="方正楷体_GBK" w:hAnsi="方正楷体_GBK" w:eastAsia="方正楷体_GBK" w:cs="方正楷体_GBK"/>
          <w:color w:val="000000"/>
          <w:sz w:val="28"/>
          <w:szCs w:val="28"/>
          <w:highlight w:val="none"/>
        </w:rPr>
      </w:pPr>
      <w:r>
        <w:rPr>
          <w:rFonts w:hint="eastAsia" w:ascii="方正楷体_GBK" w:hAnsi="方正楷体_GBK" w:eastAsia="方正楷体_GBK" w:cs="方正楷体_GBK"/>
          <w:color w:val="000000"/>
          <w:sz w:val="28"/>
          <w:szCs w:val="28"/>
          <w:highlight w:val="none"/>
        </w:rPr>
        <w:t xml:space="preserve">（二）本项目的特定资格要求</w:t>
      </w:r>
      <w:r/>
    </w:p>
    <w:tbl>
      <w:tblPr>
        <w:tblStyle w:val="772"/>
        <w:tblW w:w="8671"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7523"/>
      </w:tblGrid>
      <w:tr>
        <w:trPr/>
        <w:tc>
          <w:tcPr>
            <w:tcW w:w="1148"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p>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p>
        </w:tc>
        <w:tc>
          <w:tcPr>
            <w:tcW w:w="7523"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特定资格要求</w:t>
            </w:r>
            <w:r/>
          </w:p>
        </w:tc>
      </w:tr>
      <w:tr>
        <w:trPr/>
        <w:tc>
          <w:tcPr>
            <w:tcW w:w="1148"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7523" w:type="dxa"/>
            <w:vAlign w:val="top"/>
            <w:textDirection w:val="lrTb"/>
            <w:noWrap w:val="false"/>
          </w:tcPr>
          <w:p>
            <w:pPr>
              <w:jc w:val="left"/>
              <w:spacing w:line="4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投标人必须具有工业和信息化部颁发的《中华人民共和国基础电信业务经营许可证》或行政主管单位颁发的业务经营许可。（提供许可证扫描件）</w:t>
            </w:r>
            <w:r/>
          </w:p>
          <w:p>
            <w:pPr>
              <w:jc w:val="left"/>
              <w:spacing w:line="4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总公司的分支机构可以在获得总公司的授权后参加本项目的投标。</w:t>
            </w:r>
            <w:r/>
          </w:p>
        </w:tc>
      </w:tr>
      <w:tr>
        <w:trPr/>
        <w:tc>
          <w:tcPr>
            <w:tcW w:w="1148"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p>
        </w:tc>
        <w:tc>
          <w:tcPr>
            <w:tcW w:w="7523" w:type="dxa"/>
            <w:vAlign w:val="top"/>
            <w:textDirection w:val="lrTb"/>
            <w:noWrap w:val="false"/>
          </w:tcPr>
          <w:p>
            <w:pPr>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投标人必须具有工业和信息化部颁发的《中华人民共和国基础电信业务经营许可证》或行政主管单位颁发的业务经营许可。（提供许可证扫描件）</w:t>
            </w:r>
            <w:r/>
          </w:p>
          <w:p>
            <w:pPr>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总公司的分支机构可以在获得总公司的授权后参加本项目的投标。</w:t>
            </w:r>
            <w:r/>
          </w:p>
        </w:tc>
      </w:tr>
    </w:tbl>
    <w:p>
      <w:pPr>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三、获取招标文件</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1.时间：自招标文件公告发布之日起5个工作日。</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2.方式：在“江苏政府采购网”自行免费下载招标文件。</w:t>
      </w:r>
      <w:bookmarkEnd w:id="17"/>
      <w:r/>
      <w:bookmarkEnd w:id="18"/>
      <w:r/>
      <w:bookmarkEnd w:id="19"/>
      <w:r/>
      <w:bookmarkEnd w:id="20"/>
      <w:r/>
      <w:bookmarkEnd w:id="21"/>
      <w:r/>
      <w:r/>
    </w:p>
    <w:p>
      <w:pPr>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22" w:name="_Toc28359005"/>
      <w:r/>
      <w:bookmarkStart w:id="23" w:name="_Toc28359082"/>
      <w:r/>
      <w:bookmarkStart w:id="24" w:name="_Toc38985266"/>
      <w:r/>
      <w:bookmarkStart w:id="25" w:name="_Toc35393624"/>
      <w:r/>
      <w:bookmarkStart w:id="26" w:name="_Toc35393793"/>
      <w:r/>
      <w:bookmarkStart w:id="27" w:name="_Toc28359007"/>
      <w:r/>
      <w:bookmarkStart w:id="28" w:name="_Toc28359084"/>
      <w:r/>
      <w:bookmarkStart w:id="29" w:name="_Toc38985267"/>
      <w:r/>
      <w:bookmarkStart w:id="30" w:name="_Toc35393625"/>
      <w:r/>
      <w:bookmarkStart w:id="31" w:name="_Toc35393794"/>
      <w:r>
        <w:rPr>
          <w:rFonts w:hint="eastAsia" w:ascii="方正黑体_GBK" w:hAnsi="方正黑体_GBK" w:eastAsia="方正黑体_GBK" w:cs="方正黑体_GBK"/>
          <w:color w:val="000000"/>
          <w:sz w:val="28"/>
          <w:szCs w:val="28"/>
          <w:highlight w:val="none"/>
        </w:rPr>
        <w:t xml:space="preserve">四、提交投标文件</w:t>
      </w:r>
      <w:bookmarkEnd w:id="22"/>
      <w:r/>
      <w:bookmarkEnd w:id="23"/>
      <w:r>
        <w:rPr>
          <w:rFonts w:hint="eastAsia" w:ascii="方正黑体_GBK" w:hAnsi="方正黑体_GBK" w:eastAsia="方正黑体_GBK" w:cs="方正黑体_GBK"/>
          <w:color w:val="000000"/>
          <w:sz w:val="28"/>
          <w:szCs w:val="28"/>
          <w:highlight w:val="none"/>
        </w:rPr>
        <w:t xml:space="preserve">截止时间、开标时间和地点</w:t>
      </w:r>
      <w:bookmarkEnd w:id="24"/>
      <w:r/>
      <w:bookmarkEnd w:id="25"/>
      <w:r/>
      <w:bookmarkEnd w:id="26"/>
      <w:r/>
      <w:r/>
    </w:p>
    <w:p>
      <w:pPr>
        <w:ind w:firstLine="560"/>
        <w:spacing w:line="400" w:lineRule="exact"/>
        <w:rPr>
          <w:rFonts w:ascii="宋体" w:hAnsi="宋体"/>
          <w:bCs/>
          <w:color w:val="000000"/>
          <w:sz w:val="28"/>
          <w:szCs w:val="28"/>
          <w:highlight w:val="none"/>
          <w:u w:val="single"/>
        </w:rPr>
      </w:pPr>
      <w:r>
        <w:rPr>
          <w:rFonts w:hint="eastAsia" w:ascii="方正仿宋_GBK" w:hAnsi="方正仿宋_GBK" w:eastAsia="方正仿宋_GBK" w:cs="方正仿宋_GBK"/>
          <w:sz w:val="28"/>
          <w:szCs w:val="28"/>
          <w:highlight w:val="none"/>
        </w:rPr>
        <w:t xml:space="preserve">1.</w:t>
      </w:r>
      <w:r>
        <w:rPr>
          <w:rFonts w:hint="eastAsia" w:eastAsia="方正仿宋_GBK"/>
          <w:color w:val="000000"/>
          <w:sz w:val="28"/>
          <w:szCs w:val="28"/>
          <w:highlight w:val="none"/>
        </w:rPr>
        <w:t xml:space="preserve">2026</w:t>
      </w:r>
      <w:r>
        <w:rPr>
          <w:rFonts w:hint="eastAsia" w:ascii="方正仿宋_GBK" w:hAnsi="方正仿宋_GBK" w:eastAsia="方正仿宋_GBK" w:cs="方正仿宋_GBK"/>
          <w:bCs/>
          <w:color w:val="000000"/>
          <w:sz w:val="28"/>
          <w:szCs w:val="28"/>
          <w:highlight w:val="none"/>
        </w:rPr>
        <w:t xml:space="preserve">年11</w:t>
      </w:r>
      <w:r>
        <w:rPr>
          <w:rFonts w:hint="eastAsia" w:ascii="方正仿宋_GBK" w:hAnsi="方正仿宋_GBK" w:eastAsia="方正仿宋_GBK" w:cs="方正仿宋_GBK"/>
          <w:bCs/>
          <w:color w:val="000000"/>
          <w:sz w:val="28"/>
          <w:szCs w:val="28"/>
          <w:highlight w:val="none"/>
        </w:rPr>
        <w:t xml:space="preserve">月24</w:t>
      </w:r>
      <w:r>
        <w:rPr>
          <w:rFonts w:hint="eastAsia" w:ascii="方正仿宋_GBK" w:hAnsi="方正仿宋_GBK" w:eastAsia="方正仿宋_GBK" w:cs="方正仿宋_GBK"/>
          <w:bCs/>
          <w:color w:val="000000"/>
          <w:sz w:val="28"/>
          <w:szCs w:val="28"/>
          <w:highlight w:val="none"/>
        </w:rPr>
        <w:t xml:space="preserve">日9</w:t>
      </w:r>
      <w:r>
        <w:rPr>
          <w:rFonts w:hint="eastAsia" w:ascii="方正仿宋_GBK" w:hAnsi="方正仿宋_GBK" w:eastAsia="方正仿宋_GBK" w:cs="方正仿宋_GBK"/>
          <w:color w:val="000000"/>
          <w:sz w:val="28"/>
          <w:szCs w:val="28"/>
          <w:highlight w:val="none"/>
        </w:rPr>
        <w:t xml:space="preserve">时30</w:t>
      </w:r>
      <w:r>
        <w:rPr>
          <w:rFonts w:hint="eastAsia" w:ascii="方正仿宋_GBK" w:hAnsi="方正仿宋_GBK" w:eastAsia="方正仿宋_GBK" w:cs="方正仿宋_GBK"/>
          <w:bCs/>
          <w:sz w:val="28"/>
          <w:szCs w:val="28"/>
          <w:highlight w:val="none"/>
        </w:rPr>
        <w:t xml:space="preserve">分</w:t>
      </w:r>
      <w:r>
        <w:rPr>
          <w:rFonts w:hint="eastAsia" w:ascii="方正仿宋_GBK" w:hAnsi="方正仿宋_GBK" w:eastAsia="方正仿宋_GBK" w:cs="方正仿宋_GBK"/>
          <w:bCs/>
          <w:color w:val="000000"/>
          <w:sz w:val="28"/>
          <w:szCs w:val="28"/>
          <w:highlight w:val="none"/>
        </w:rPr>
        <w:t xml:space="preserve">（北京时间）</w:t>
      </w:r>
      <w:r>
        <w:rPr>
          <w:rFonts w:hint="eastAsia" w:ascii="方正仿宋_GBK" w:hAnsi="方正仿宋_GBK" w:eastAsia="方正仿宋_GBK" w:cs="方正仿宋_GBK"/>
          <w:sz w:val="28"/>
          <w:szCs w:val="28"/>
          <w:highlight w:val="none"/>
        </w:rPr>
        <w:t xml:space="preserve">。</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2.地点：“苏采云”政府采购交易系统。</w:t>
      </w:r>
      <w:bookmarkEnd w:id="27"/>
      <w:r/>
      <w:bookmarkEnd w:id="28"/>
      <w:r/>
      <w:bookmarkEnd w:id="29"/>
      <w:r/>
      <w:bookmarkEnd w:id="30"/>
      <w:r/>
      <w:bookmarkEnd w:id="31"/>
      <w:r/>
      <w:r/>
    </w:p>
    <w:p>
      <w:pPr>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32" w:name="_Toc35393626"/>
      <w:r/>
      <w:bookmarkStart w:id="33" w:name="_Toc35393795"/>
      <w:r/>
      <w:bookmarkStart w:id="34" w:name="_Toc38985268"/>
      <w:r>
        <w:rPr>
          <w:rFonts w:hint="eastAsia" w:ascii="方正黑体_GBK" w:hAnsi="方正黑体_GBK" w:eastAsia="方正黑体_GBK" w:cs="方正黑体_GBK"/>
          <w:color w:val="000000"/>
          <w:sz w:val="28"/>
          <w:szCs w:val="28"/>
          <w:highlight w:val="none"/>
        </w:rPr>
        <w:t xml:space="preserve">五、公告期限</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招标公告及招标文件公告期限为自本公告发布之日起5个工作日。</w:t>
      </w:r>
      <w:bookmarkEnd w:id="32"/>
      <w:r/>
      <w:bookmarkEnd w:id="33"/>
      <w:r/>
      <w:bookmarkEnd w:id="34"/>
      <w:r/>
      <w:r/>
    </w:p>
    <w:p>
      <w:pPr>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35" w:name="_Toc35393627"/>
      <w:r/>
      <w:bookmarkStart w:id="36" w:name="_Toc38985269"/>
      <w:r/>
      <w:bookmarkStart w:id="37" w:name="_Toc28359008"/>
      <w:r/>
      <w:bookmarkStart w:id="38" w:name="_Toc28359085"/>
      <w:r/>
      <w:bookmarkStart w:id="39" w:name="_Toc35393796"/>
      <w:r>
        <w:rPr>
          <w:rFonts w:hint="eastAsia" w:ascii="方正黑体_GBK" w:hAnsi="方正黑体_GBK" w:eastAsia="方正黑体_GBK" w:cs="方正黑体_GBK"/>
          <w:color w:val="000000"/>
          <w:sz w:val="28"/>
          <w:szCs w:val="28"/>
          <w:highlight w:val="none"/>
        </w:rPr>
        <w:t xml:space="preserve">六、其他补充事宜</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无。</w:t>
      </w:r>
      <w:bookmarkEnd w:id="35"/>
      <w:r/>
      <w:bookmarkEnd w:id="36"/>
      <w:r/>
      <w:bookmarkEnd w:id="37"/>
      <w:r/>
      <w:bookmarkEnd w:id="38"/>
      <w:r/>
      <w:bookmarkEnd w:id="39"/>
      <w:r/>
      <w:r/>
    </w:p>
    <w:p>
      <w:pPr>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七、本次招标联系方式</w:t>
      </w:r>
      <w:r/>
    </w:p>
    <w:p>
      <w:pPr>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仿宋" w:hAnsi="仿宋" w:eastAsia="仿宋" w:cs="宋体"/>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t xml:space="preserve">1.采购人信息</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名 称：</w:t>
      </w:r>
      <w:r>
        <w:rPr>
          <w:rFonts w:hint="eastAsia" w:ascii="方正仿宋_GBK" w:hAnsi="方正仿宋_GBK" w:eastAsia="方正仿宋_GBK" w:cs="方正仿宋_GBK"/>
          <w:color w:val="000000"/>
          <w:sz w:val="28"/>
          <w:szCs w:val="28"/>
          <w:highlight w:val="none"/>
          <w:u w:val="single"/>
        </w:rPr>
        <w:t xml:space="preserve">　江苏省高级人民法院</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u w:val="single"/>
        </w:rPr>
        <w:t xml:space="preserve">　南京市宁海路75号　</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  蔡</w:t>
      </w:r>
      <w:r>
        <w:rPr>
          <w:rFonts w:hint="eastAsia" w:ascii="方正仿宋_GBK" w:hAnsi="方正仿宋_GBK" w:eastAsia="方正仿宋_GBK" w:cs="方正仿宋_GBK"/>
          <w:color w:val="000000"/>
          <w:sz w:val="28"/>
          <w:szCs w:val="28"/>
          <w:highlight w:val="none"/>
          <w:u w:val="single"/>
        </w:rPr>
        <w:t xml:space="preserve">工</w:t>
      </w:r>
      <w:r>
        <w:rPr>
          <w:rFonts w:hint="eastAsia" w:ascii="方正仿宋_GBK" w:hAnsi="方正仿宋_GBK" w:eastAsia="方正仿宋_GBK" w:cs="方正仿宋_GBK"/>
          <w:color w:val="000000"/>
          <w:sz w:val="28"/>
          <w:szCs w:val="28"/>
          <w:highlight w:val="none"/>
          <w:u w:val="single"/>
        </w:rPr>
        <w:t xml:space="preserve"> </w:t>
      </w:r>
      <w:r/>
    </w:p>
    <w:p>
      <w:pPr>
        <w:ind w:firstLine="560"/>
        <w:jc w:val="left"/>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联系方式：</w:t>
      </w:r>
      <w:r>
        <w:rPr>
          <w:rFonts w:hint="eastAsia" w:ascii="方正仿宋_GBK" w:hAnsi="方正仿宋_GBK" w:eastAsia="方正仿宋_GBK" w:cs="方正仿宋_GBK"/>
          <w:color w:val="000000"/>
          <w:sz w:val="28"/>
          <w:szCs w:val="28"/>
          <w:highlight w:val="none"/>
          <w:u w:val="single"/>
        </w:rPr>
        <w:t xml:space="preserve">　025-83785050 </w:t>
      </w:r>
      <w:bookmarkStart w:id="40" w:name="_Toc28359009"/>
      <w:r/>
      <w:bookmarkStart w:id="41" w:name="_Toc28359086"/>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2.江苏省政府采购中心信息</w:t>
      </w:r>
      <w:bookmarkEnd w:id="40"/>
      <w:r/>
      <w:bookmarkEnd w:id="41"/>
      <w:r/>
      <w:r/>
    </w:p>
    <w:p>
      <w:pPr>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地　址：</w:t>
      </w:r>
      <w:r>
        <w:rPr>
          <w:rFonts w:hint="eastAsia" w:ascii="方正仿宋_GBK" w:hAnsi="方正仿宋_GBK" w:eastAsia="方正仿宋_GBK" w:cs="方正仿宋_GBK"/>
          <w:sz w:val="28"/>
          <w:szCs w:val="28"/>
          <w:highlight w:val="none"/>
          <w:u w:val="single"/>
        </w:rPr>
        <w:t xml:space="preserve">南京市建邺区汉中门大街145号</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联系人：</w:t>
      </w:r>
      <w:r>
        <w:rPr>
          <w:rFonts w:hint="eastAsia" w:ascii="方正仿宋_GBK" w:hAnsi="方正仿宋_GBK" w:eastAsia="方正仿宋_GBK" w:cs="方正仿宋_GBK"/>
          <w:sz w:val="28"/>
          <w:szCs w:val="28"/>
          <w:highlight w:val="none"/>
          <w:u w:val="single"/>
        </w:rPr>
        <w:t xml:space="preserve"> 王烨、张文怡 </w:t>
      </w:r>
      <w:r/>
    </w:p>
    <w:p>
      <w:pPr>
        <w:ind w:firstLine="560"/>
        <w:spacing w:line="400" w:lineRule="exact"/>
        <w:rPr>
          <w:rFonts w:hint="eastAsia" w:ascii="方正仿宋_GBK" w:hAnsi="方正仿宋_GBK" w:eastAsia="方正仿宋_GBK" w:cs="方正仿宋_GBK"/>
          <w:sz w:val="28"/>
          <w:szCs w:val="28"/>
          <w:highlight w:val="none"/>
          <w:shd w:val="clear" w:color="ffffff" w:fill="d9d9d9"/>
        </w:rPr>
      </w:pPr>
      <w:r>
        <w:rPr>
          <w:rFonts w:hint="eastAsia" w:ascii="方正仿宋_GBK" w:hAnsi="方正仿宋_GBK" w:eastAsia="方正仿宋_GBK" w:cs="方正仿宋_GBK"/>
          <w:sz w:val="28"/>
          <w:szCs w:val="28"/>
          <w:highlight w:val="none"/>
        </w:rPr>
        <w:t xml:space="preserve">联系方式：</w:t>
      </w:r>
      <w:r>
        <w:rPr>
          <w:rFonts w:hint="eastAsia" w:ascii="方正仿宋_GBK" w:hAnsi="方正仿宋_GBK" w:eastAsia="方正仿宋_GBK" w:cs="方正仿宋_GBK"/>
          <w:sz w:val="28"/>
          <w:szCs w:val="28"/>
          <w:highlight w:val="none"/>
          <w:u w:val="single"/>
        </w:rPr>
        <w:t xml:space="preserve">025-83668550、83668505</w:t>
      </w:r>
      <w:r/>
    </w:p>
    <w:p>
      <w:pPr>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八、其他</w:t>
      </w:r>
      <w:r/>
    </w:p>
    <w:p>
      <w:pPr>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bCs/>
          <w:sz w:val="28"/>
          <w:szCs w:val="28"/>
          <w:highlight w:val="none"/>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highlight w:val="none"/>
        </w:rPr>
        <w:t xml:space="preserve">“苏采云”政府采购交易系统（以下简称苏采云系统）</w:t>
      </w:r>
      <w:r>
        <w:rPr>
          <w:rFonts w:hint="eastAsia" w:ascii="方正仿宋_GBK" w:hAnsi="方正仿宋_GBK" w:eastAsia="方正仿宋_GBK" w:cs="方正仿宋_GBK"/>
          <w:bCs/>
          <w:sz w:val="28"/>
          <w:szCs w:val="28"/>
          <w:highlight w:val="none"/>
        </w:rPr>
        <w:t xml:space="preserve">的CA数字证书、电子签章已更换为江苏省电子政务证书认证中心CA和方正国际软件（北京）有限公司电子签章。具体办理指南和操作手册见链接：</w:t>
      </w:r>
      <w:r>
        <w:rPr>
          <w:rFonts w:hint="eastAsia" w:eastAsia="方正仿宋_GBK"/>
          <w:color w:val="000000"/>
          <w:sz w:val="28"/>
          <w:szCs w:val="28"/>
          <w:highlight w:val="none"/>
        </w:rPr>
        <w:t xml:space="preserve">http://www.ccgp-jiangsu.gov.cn/jiangsu/zlxz/ee/ee3a4bc5a3454aa2b0d9312230633ce9.html。</w:t>
      </w:r>
      <w:r/>
    </w:p>
    <w:p>
      <w:pPr>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2.有关本次招标的事项若存在变动或修改，敬请及时关注江苏省政府采购中心在“江苏政府采购网”发布的更正公告。</w:t>
      </w:r>
      <w:r/>
    </w:p>
    <w:p>
      <w:pPr>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3.本次招标不收取投标保证金。</w:t>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39"/>
        <w:jc w:val="center"/>
        <w:spacing w:line="400" w:lineRule="exact"/>
        <w:rPr>
          <w:rFonts w:hint="eastAsia" w:ascii="宋体" w:hAnsi="宋体"/>
          <w:sz w:val="28"/>
          <w:szCs w:val="28"/>
          <w:highlight w:val="none"/>
        </w:rPr>
      </w:pPr>
      <w:r>
        <w:rPr>
          <w:rFonts w:ascii="宋体" w:hAnsi="宋体"/>
          <w:sz w:val="24"/>
          <w:szCs w:val="24"/>
          <w:highlight w:val="none"/>
        </w:rPr>
        <w:br w:type="page" w:clear="all"/>
      </w:r>
      <w:bookmarkStart w:id="42" w:name="_Toc120614211"/>
      <w:r>
        <w:rPr>
          <w:rFonts w:hint="eastAsia" w:ascii="方正黑体_GBK" w:hAnsi="方正黑体_GBK" w:eastAsia="方正黑体_GBK" w:cs="方正黑体_GBK"/>
          <w:color w:val="000000"/>
          <w:sz w:val="28"/>
          <w:szCs w:val="28"/>
          <w:highlight w:val="none"/>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方正黑体_GBK" w:hAnsi="方正黑体_GBK" w:eastAsia="方正黑体_GBK" w:cs="方正黑体_GBK"/>
          <w:color w:val="000000"/>
          <w:sz w:val="28"/>
          <w:szCs w:val="28"/>
          <w:highlight w:val="none"/>
        </w:rPr>
        <w:t xml:space="preserve">投标人须知</w:t>
      </w:r>
      <w:bookmarkEnd w:id="43"/>
      <w:r/>
      <w:bookmarkEnd w:id="44"/>
      <w:r/>
      <w:bookmarkEnd w:id="45"/>
      <w:r/>
      <w:bookmarkEnd w:id="46"/>
      <w:r/>
      <w:r/>
    </w:p>
    <w:p>
      <w:pPr>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一、总则</w:t>
      </w:r>
      <w:r/>
    </w:p>
    <w:p>
      <w:pPr>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1.招标方式</w:t>
      </w:r>
      <w:r/>
    </w:p>
    <w:p>
      <w:pPr>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 本次招标采取公开招标方式，本招标文件仅适用于招标公告中所述项目。</w:t>
      </w:r>
      <w:r/>
    </w:p>
    <w:p>
      <w:pPr>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2.合格的投标人</w:t>
      </w:r>
      <w:r/>
    </w:p>
    <w:p>
      <w:pPr>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2.1满足招标公告中供应商的资格要求的规定。</w:t>
      </w:r>
      <w:r/>
    </w:p>
    <w:p>
      <w:pPr>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2.2 满足本文件实质性要求的规定。</w:t>
      </w:r>
      <w:r/>
    </w:p>
    <w:p>
      <w:pPr>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3.适用法律和标准</w:t>
      </w:r>
      <w:r/>
    </w:p>
    <w:p>
      <w:pPr>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3.1 本次招标及由此产生的合同受中华人民共和国有关的法律法规制约和保护。</w:t>
      </w:r>
      <w:r/>
    </w:p>
    <w:p>
      <w:pPr>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3.2 在本项目政府采购活动过程中，如果所执行的标准有更新的，按照最新标准执行。</w:t>
      </w:r>
      <w:r/>
    </w:p>
    <w:p>
      <w:pPr>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4.投标费用</w:t>
      </w:r>
      <w:r/>
    </w:p>
    <w:p>
      <w:pPr>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4.1 投标人应自行承担所有与参加投标有关的费用，无论投标过程中的做法和结果如何，江苏省政府采购中心（以下简称采购中心）在任何情况下均无义务和责任承担这些费用。</w:t>
      </w:r>
      <w:r/>
    </w:p>
    <w:p>
      <w:pPr>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4.2本次招标采购中心和采购人不收取标书工本费与中标服务费。</w:t>
      </w:r>
      <w:r/>
    </w:p>
    <w:p>
      <w:pPr>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5.招标文件的约束力</w:t>
      </w:r>
      <w:r/>
    </w:p>
    <w:p>
      <w:pPr>
        <w:ind w:firstLine="560"/>
        <w:spacing w:line="400" w:lineRule="exact"/>
        <w:tabs>
          <w:tab w:val="left" w:pos="900" w:leader="none"/>
        </w:tabs>
        <w:rPr>
          <w:rFonts w:hint="eastAsia" w:ascii="宋体" w:hAnsi="宋体"/>
          <w:sz w:val="28"/>
          <w:szCs w:val="28"/>
          <w:highlight w:val="none"/>
        </w:rPr>
      </w:pPr>
      <w:r>
        <w:rPr>
          <w:rFonts w:hint="eastAsia" w:ascii="方正仿宋_GBK" w:hAnsi="方正仿宋_GBK" w:eastAsia="方正仿宋_GBK" w:cs="方正仿宋_GBK"/>
          <w:bCs/>
          <w:sz w:val="28"/>
          <w:szCs w:val="28"/>
          <w:highlight w:val="none"/>
        </w:rPr>
        <w:t xml:space="preserve">5.1 投标人一旦参加本项目采购活动，即被认为接受了本招标文件的规定和约束。</w:t>
      </w:r>
      <w:r/>
    </w:p>
    <w:p>
      <w:pPr>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二、招标文件</w:t>
      </w:r>
      <w:r/>
    </w:p>
    <w:p>
      <w:pPr>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6.招标文件构成</w:t>
      </w:r>
      <w:r/>
    </w:p>
    <w:p>
      <w:pPr>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6.1 招标文件由以下部分组成：</w:t>
      </w:r>
      <w:r/>
    </w:p>
    <w:p>
      <w:pPr>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（1）投标邀请</w:t>
      </w:r>
      <w:r/>
    </w:p>
    <w:p>
      <w:pPr>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（2）投标人须知</w:t>
      </w:r>
      <w:r/>
    </w:p>
    <w:p>
      <w:pPr>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（3）合同文本</w:t>
      </w:r>
      <w:r/>
    </w:p>
    <w:p>
      <w:pPr>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（4）采购需求</w:t>
      </w:r>
      <w:r/>
    </w:p>
    <w:p>
      <w:pPr>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（5）评标方法与评标标准</w:t>
      </w:r>
      <w:r/>
    </w:p>
    <w:p>
      <w:pPr>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（6）投标文件格式</w:t>
      </w:r>
      <w:r/>
    </w:p>
    <w:p>
      <w:pPr>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请仔细检查招标文件是否齐全，如有缺漏请立即与采购中心联系解决。</w:t>
      </w:r>
      <w:r/>
    </w:p>
    <w:p>
      <w:pPr>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7.招标文件的修改</w:t>
      </w:r>
      <w:r/>
    </w:p>
    <w:p>
      <w:pPr>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7.1 在投标截止时间前，采购中心可以对招标文件进行修改。</w:t>
      </w:r>
      <w:r/>
    </w:p>
    <w:p>
      <w:pPr>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7.2 采购中心有权按照法定的要求推迟投标截止日期和开标日期。</w:t>
      </w:r>
      <w:r/>
    </w:p>
    <w:p>
      <w:pPr>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7.3 招标文件的修改将在江苏政府采购网公布，补充文件将作为招标文件的组成部分，并对投标人具有约束力。</w:t>
      </w:r>
      <w:r/>
    </w:p>
    <w:p>
      <w:pPr>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47" w:name="_Toc16938529"/>
      <w:r/>
      <w:bookmarkStart w:id="48" w:name="_Toc462564072"/>
      <w:r/>
      <w:bookmarkStart w:id="49" w:name="_Toc20823285"/>
      <w:r/>
      <w:bookmarkStart w:id="50" w:name="_Toc513029213"/>
      <w:r/>
      <w:bookmarkStart w:id="51" w:name="_Toc120614216"/>
      <w:r>
        <w:rPr>
          <w:rFonts w:hint="eastAsia" w:ascii="方正黑体_GBK" w:hAnsi="方正黑体_GBK" w:eastAsia="方正黑体_GBK" w:cs="方正黑体_GBK"/>
          <w:color w:val="000000"/>
          <w:sz w:val="28"/>
          <w:szCs w:val="28"/>
          <w:highlight w:val="none"/>
        </w:rPr>
        <w:t xml:space="preserve">三、投标文件的编制</w:t>
      </w:r>
      <w:bookmarkEnd w:id="47"/>
      <w:r/>
      <w:bookmarkEnd w:id="48"/>
      <w:r/>
      <w:bookmarkEnd w:id="49"/>
      <w:r/>
      <w:bookmarkEnd w:id="50"/>
      <w:r/>
      <w:bookmarkEnd w:id="51"/>
      <w:r/>
      <w:r/>
    </w:p>
    <w:p>
      <w:pPr>
        <w:pStyle w:val="946"/>
        <w:ind w:firstLine="560"/>
        <w:spacing w:before="0" w:after="0" w:line="400" w:lineRule="exact"/>
        <w:rPr>
          <w:rFonts w:hint="eastAsia" w:ascii="方正仿宋_GBK" w:hAnsi="方正仿宋_GBK" w:eastAsia="方正仿宋_GBK" w:cs="方正仿宋_GBK"/>
          <w:bCs w:val="0"/>
          <w:highlight w:val="none"/>
        </w:rPr>
      </w:pPr>
      <w:r/>
      <w:bookmarkStart w:id="52" w:name="_Toc513029214"/>
      <w:r/>
      <w:bookmarkStart w:id="53" w:name="_Toc20823286"/>
      <w:r/>
      <w:bookmarkStart w:id="54" w:name="_Toc16938530"/>
      <w:r/>
      <w:bookmarkStart w:id="55" w:name="_Toc462564073"/>
      <w:r>
        <w:rPr>
          <w:rFonts w:hint="eastAsia" w:ascii="方正仿宋_GBK" w:hAnsi="方正仿宋_GBK" w:eastAsia="方正仿宋_GBK" w:cs="方正仿宋_GBK"/>
          <w:b w:val="0"/>
          <w:bCs w:val="0"/>
          <w:highlight w:val="none"/>
        </w:rPr>
        <w:t xml:space="preserve">8.投标文件的语言及度量衡单位</w:t>
      </w:r>
      <w:bookmarkEnd w:id="52"/>
      <w:r/>
      <w:bookmarkEnd w:id="53"/>
      <w:r/>
      <w:bookmarkEnd w:id="54"/>
      <w:r/>
      <w:bookmarkEnd w:id="55"/>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8.1</w:t>
      </w:r>
      <w:r>
        <w:rPr>
          <w:rFonts w:hint="eastAsia" w:ascii="方正仿宋_GBK" w:hAnsi="方正仿宋_GBK" w:eastAsia="方正仿宋_GBK" w:cs="方正仿宋_GBK"/>
          <w:sz w:val="28"/>
          <w:szCs w:val="28"/>
          <w:highlight w:val="none"/>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highlight w:val="none"/>
        </w:rPr>
        <w:t xml:space="preserve">简体中文</w:t>
      </w:r>
      <w:r>
        <w:rPr>
          <w:rFonts w:hint="eastAsia" w:ascii="方正仿宋_GBK" w:hAnsi="方正仿宋_GBK" w:eastAsia="方正仿宋_GBK" w:cs="方正仿宋_GBK"/>
          <w:sz w:val="28"/>
          <w:szCs w:val="28"/>
          <w:highlight w:val="none"/>
        </w:rPr>
        <w:t xml:space="preserve">。</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8.2</w:t>
      </w:r>
      <w:r>
        <w:rPr>
          <w:rFonts w:hint="eastAsia" w:ascii="方正仿宋_GBK" w:hAnsi="方正仿宋_GBK" w:eastAsia="方正仿宋_GBK" w:cs="方正仿宋_GBK"/>
          <w:sz w:val="28"/>
          <w:szCs w:val="28"/>
          <w:highlight w:val="none"/>
        </w:rPr>
        <w:t xml:space="preserve"> 除技术性能另有规定外，投标文件所使用的度量衡单位，均须采用国家法定计量单位。</w:t>
      </w:r>
      <w:r/>
    </w:p>
    <w:p>
      <w:pPr>
        <w:pStyle w:val="946"/>
        <w:ind w:firstLine="560"/>
        <w:spacing w:before="0" w:after="0" w:line="400" w:lineRule="exact"/>
        <w:rPr>
          <w:rFonts w:hint="eastAsia" w:ascii="方正仿宋_GBK" w:hAnsi="方正仿宋_GBK" w:eastAsia="方正仿宋_GBK" w:cs="方正仿宋_GBK"/>
          <w:b w:val="0"/>
          <w:bCs w:val="0"/>
          <w:highlight w:val="none"/>
        </w:rPr>
      </w:pPr>
      <w:r/>
      <w:bookmarkStart w:id="56" w:name="_Toc462564074"/>
      <w:r/>
      <w:bookmarkStart w:id="57" w:name="_Toc513029215"/>
      <w:r/>
      <w:bookmarkStart w:id="58" w:name="_Toc16938531"/>
      <w:r/>
      <w:bookmarkStart w:id="59" w:name="_Toc20823287"/>
      <w:r>
        <w:rPr>
          <w:rFonts w:hint="eastAsia" w:ascii="方正仿宋_GBK" w:hAnsi="方正仿宋_GBK" w:eastAsia="方正仿宋_GBK" w:cs="方正仿宋_GBK"/>
          <w:b w:val="0"/>
          <w:bCs w:val="0"/>
          <w:highlight w:val="none"/>
        </w:rPr>
        <w:t xml:space="preserve">9.投标文件构成</w:t>
      </w:r>
      <w:bookmarkEnd w:id="56"/>
      <w:r/>
      <w:bookmarkEnd w:id="57"/>
      <w:r/>
      <w:bookmarkEnd w:id="58"/>
      <w:r/>
      <w:bookmarkEnd w:id="59"/>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9.1</w:t>
      </w:r>
      <w:r>
        <w:rPr>
          <w:rFonts w:hint="eastAsia" w:ascii="方正仿宋_GBK" w:hAnsi="方正仿宋_GBK" w:eastAsia="方正仿宋_GBK" w:cs="方正仿宋_GBK"/>
          <w:sz w:val="28"/>
          <w:szCs w:val="28"/>
          <w:highlight w:val="none"/>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9.2 如标书制作工具中格式和内容与“江苏政府采购网”发布的招标文件不一致，请以“江苏政府采购网”发布的招标文件为准。</w:t>
      </w:r>
      <w:r/>
    </w:p>
    <w:p>
      <w:pPr>
        <w:pStyle w:val="946"/>
        <w:ind w:firstLine="560"/>
        <w:spacing w:before="0" w:after="0" w:line="400" w:lineRule="exact"/>
        <w:rPr>
          <w:rFonts w:hint="eastAsia" w:ascii="方正仿宋_GBK" w:hAnsi="方正仿宋_GBK" w:eastAsia="方正仿宋_GBK" w:cs="方正仿宋_GBK"/>
          <w:b w:val="0"/>
          <w:bCs w:val="0"/>
          <w:highlight w:val="none"/>
        </w:rPr>
      </w:pPr>
      <w:r/>
      <w:bookmarkStart w:id="60" w:name="_Hlt26954838"/>
      <w:r/>
      <w:bookmarkEnd w:id="60"/>
      <w:r/>
      <w:bookmarkStart w:id="61" w:name="_Hlt26668975"/>
      <w:r/>
      <w:bookmarkEnd w:id="61"/>
      <w:r/>
      <w:bookmarkStart w:id="62" w:name="_Hlt26670360"/>
      <w:r/>
      <w:bookmarkEnd w:id="62"/>
      <w:r/>
      <w:bookmarkStart w:id="63" w:name="_Toc49090509"/>
      <w:r/>
      <w:bookmarkStart w:id="64" w:name="_Toc14577357"/>
      <w:r/>
      <w:bookmarkStart w:id="65" w:name="_Toc513029219"/>
      <w:r/>
      <w:bookmarkStart w:id="66" w:name="_Toc49090507"/>
      <w:r/>
      <w:bookmarkStart w:id="67" w:name="_Toc513029216"/>
      <w:r/>
      <w:bookmarkStart w:id="68" w:name="_Toc14577354"/>
      <w:r>
        <w:rPr>
          <w:rFonts w:hint="eastAsia" w:ascii="方正仿宋_GBK" w:hAnsi="方正仿宋_GBK" w:eastAsia="方正仿宋_GBK" w:cs="方正仿宋_GBK"/>
          <w:b w:val="0"/>
          <w:bCs w:val="0"/>
          <w:highlight w:val="none"/>
        </w:rPr>
        <w:t xml:space="preserve">10.证明投标人及投标标的符合招标文件规定的文件</w:t>
      </w:r>
      <w:bookmarkEnd w:id="63"/>
      <w:r/>
      <w:bookmarkEnd w:id="64"/>
      <w:r/>
      <w:bookmarkEnd w:id="65"/>
      <w:r/>
      <w:bookmarkEnd w:id="66"/>
      <w:r/>
      <w:bookmarkEnd w:id="67"/>
      <w:r/>
      <w:bookmarkEnd w:id="68"/>
      <w:r/>
      <w:r/>
    </w:p>
    <w:p>
      <w:pPr>
        <w:ind w:firstLine="560"/>
        <w:spacing w:line="400" w:lineRule="exact"/>
        <w:rPr>
          <w:rFonts w:hint="eastAsia" w:ascii="方正仿宋_GBK" w:hAnsi="方正仿宋_GBK" w:eastAsia="方正仿宋_GBK" w:cs="方正仿宋_GBK"/>
          <w:sz w:val="28"/>
          <w:szCs w:val="28"/>
          <w:highlight w:val="none"/>
        </w:rPr>
      </w:pPr>
      <w:r/>
      <w:bookmarkStart w:id="69" w:name="_Toc14577355"/>
      <w:r/>
      <w:bookmarkStart w:id="70" w:name="_Toc49090508"/>
      <w:r>
        <w:rPr>
          <w:rFonts w:hint="eastAsia" w:ascii="方正仿宋_GBK" w:hAnsi="方正仿宋_GBK" w:eastAsia="方正仿宋_GBK" w:cs="方正仿宋_GBK"/>
          <w:sz w:val="28"/>
          <w:szCs w:val="28"/>
          <w:highlight w:val="none"/>
        </w:rPr>
        <w:t xml:space="preserve">10.1 投标人应按照法律、法规、规章和规范性文件以及招标文件要求提交证明文件，证明其及投标标的符合招标文件规定。</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10.2招标文件对证明文件无明确形式要求的，证明文件可以以文字资料、图纸和数据等形式提交。</w:t>
      </w:r>
      <w:r/>
    </w:p>
    <w:p>
      <w:pPr>
        <w:pStyle w:val="946"/>
        <w:ind w:firstLine="560"/>
        <w:spacing w:before="0" w:after="0" w:line="400" w:lineRule="exact"/>
        <w:rPr>
          <w:rFonts w:hint="eastAsia" w:ascii="方正仿宋_GBK" w:hAnsi="方正仿宋_GBK" w:eastAsia="方正仿宋_GBK" w:cs="方正仿宋_GBK"/>
          <w:b w:val="0"/>
          <w:bCs w:val="0"/>
          <w:highlight w:val="none"/>
        </w:rPr>
      </w:pPr>
      <w:r>
        <w:rPr>
          <w:rFonts w:hint="eastAsia" w:ascii="方正仿宋_GBK" w:hAnsi="方正仿宋_GBK" w:eastAsia="方正仿宋_GBK" w:cs="方正仿宋_GBK"/>
          <w:b w:val="0"/>
          <w:bCs w:val="0"/>
          <w:highlight w:val="none"/>
        </w:rPr>
        <w:t xml:space="preserve">11.投标分项报价</w:t>
      </w:r>
      <w:bookmarkEnd w:id="69"/>
      <w:r/>
      <w:bookmarkStart w:id="71" w:name="_Hlt26670373"/>
      <w:r/>
      <w:bookmarkEnd w:id="71"/>
      <w:r>
        <w:rPr>
          <w:rFonts w:hint="eastAsia" w:ascii="方正仿宋_GBK" w:hAnsi="方正仿宋_GBK" w:eastAsia="方正仿宋_GBK" w:cs="方正仿宋_GBK"/>
          <w:b w:val="0"/>
          <w:bCs w:val="0"/>
          <w:highlight w:val="none"/>
        </w:rPr>
        <w:t xml:space="preserve">表</w:t>
      </w:r>
      <w:bookmarkEnd w:id="70"/>
      <w:r/>
      <w:r/>
    </w:p>
    <w:p>
      <w:pPr>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11.1</w:t>
      </w:r>
      <w:r>
        <w:rPr>
          <w:rFonts w:hint="eastAsia" w:ascii="方正仿宋_GBK" w:hAnsi="方正仿宋_GBK" w:eastAsia="方正仿宋_GBK" w:cs="方正仿宋_GBK"/>
          <w:sz w:val="28"/>
          <w:szCs w:val="28"/>
          <w:highlight w:val="none"/>
        </w:rPr>
        <w:t xml:space="preserve"> 投</w:t>
      </w:r>
      <w:bookmarkStart w:id="72" w:name="_Hlt26954840"/>
      <w:r/>
      <w:bookmarkEnd w:id="72"/>
      <w:r>
        <w:rPr>
          <w:rFonts w:hint="eastAsia" w:ascii="方正仿宋_GBK" w:hAnsi="方正仿宋_GBK" w:eastAsia="方正仿宋_GBK" w:cs="方正仿宋_GBK"/>
          <w:sz w:val="28"/>
          <w:szCs w:val="28"/>
          <w:highlight w:val="none"/>
        </w:rPr>
        <w:t xml:space="preserve">标人按照招标文件规定格式填报投标分项报价表</w:t>
      </w:r>
      <w:bookmarkStart w:id="73" w:name="_Hlt26670399"/>
      <w:r/>
      <w:bookmarkEnd w:id="73"/>
      <w:r>
        <w:rPr>
          <w:rFonts w:hint="eastAsia" w:ascii="方正仿宋_GBK" w:hAnsi="方正仿宋_GBK" w:eastAsia="方正仿宋_GBK" w:cs="方正仿宋_GBK"/>
          <w:sz w:val="28"/>
          <w:szCs w:val="28"/>
          <w:highlight w:val="none"/>
        </w:rPr>
        <w:t xml:space="preserve">。</w:t>
      </w:r>
      <w:r/>
    </w:p>
    <w:p>
      <w:pPr>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11.2</w:t>
      </w:r>
      <w:r>
        <w:rPr>
          <w:rFonts w:hint="eastAsia" w:ascii="方正仿宋_GBK" w:hAnsi="方正仿宋_GBK" w:eastAsia="方正仿宋_GBK" w:cs="方正仿宋_GBK"/>
          <w:bCs/>
          <w:sz w:val="28"/>
          <w:szCs w:val="28"/>
          <w:highlight w:val="none"/>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highlight w:val="none"/>
        </w:rPr>
        <w:t xml:space="preserve">招标文件中另有规定的按规定执行。</w:t>
      </w:r>
      <w:r/>
    </w:p>
    <w:p>
      <w:pPr>
        <w:pStyle w:val="946"/>
        <w:ind w:firstLine="560"/>
        <w:spacing w:before="0" w:after="0" w:line="400" w:lineRule="exact"/>
        <w:rPr>
          <w:rFonts w:hint="eastAsia" w:ascii="方正仿宋_GBK" w:hAnsi="方正仿宋_GBK" w:eastAsia="方正仿宋_GBK" w:cs="方正仿宋_GBK"/>
          <w:b w:val="0"/>
          <w:bCs w:val="0"/>
          <w:highlight w:val="none"/>
        </w:rPr>
      </w:pPr>
      <w:r/>
      <w:bookmarkStart w:id="74" w:name="_Hlt26668983"/>
      <w:r/>
      <w:bookmarkEnd w:id="74"/>
      <w:r/>
      <w:bookmarkStart w:id="75" w:name="_Hlt26670425"/>
      <w:r/>
      <w:bookmarkEnd w:id="75"/>
      <w:r/>
      <w:bookmarkStart w:id="76" w:name="_Hlt26954731"/>
      <w:r/>
      <w:bookmarkEnd w:id="76"/>
      <w:r/>
      <w:bookmarkStart w:id="77" w:name="_Hlt26670486"/>
      <w:r/>
      <w:bookmarkEnd w:id="77"/>
      <w:r/>
      <w:bookmarkStart w:id="78" w:name="_Hlt26954842"/>
      <w:r/>
      <w:bookmarkEnd w:id="78"/>
      <w:r/>
      <w:bookmarkStart w:id="79" w:name="_Hlt26954846"/>
      <w:r/>
      <w:bookmarkEnd w:id="79"/>
      <w:r/>
      <w:bookmarkStart w:id="80" w:name="_Hlt26670403"/>
      <w:r/>
      <w:bookmarkEnd w:id="80"/>
      <w:r/>
      <w:bookmarkStart w:id="81" w:name="_Hlt26954848"/>
      <w:r/>
      <w:bookmarkEnd w:id="81"/>
      <w:r/>
      <w:bookmarkStart w:id="82" w:name="_Hlt26670482"/>
      <w:r/>
      <w:bookmarkEnd w:id="82"/>
      <w:r/>
      <w:bookmarkStart w:id="83" w:name="_Hlt26954844"/>
      <w:r/>
      <w:bookmarkEnd w:id="83"/>
      <w:r>
        <w:rPr>
          <w:rFonts w:hint="eastAsia" w:ascii="方正仿宋_GBK" w:hAnsi="方正仿宋_GBK" w:eastAsia="方正仿宋_GBK" w:cs="方正仿宋_GBK"/>
          <w:b w:val="0"/>
          <w:bCs w:val="0"/>
          <w:highlight w:val="none"/>
        </w:rPr>
        <w:t xml:space="preserve">12.技术要求响应及偏离表、商务要求响应及偏离表</w:t>
      </w:r>
      <w:r/>
    </w:p>
    <w:p>
      <w:pPr>
        <w:ind w:firstLine="560"/>
        <w:spacing w:line="400" w:lineRule="exact"/>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bCs/>
          <w:sz w:val="28"/>
          <w:szCs w:val="28"/>
          <w:highlight w:val="none"/>
          <w:lang w:val="zh-CN"/>
        </w:rPr>
        <w:t xml:space="preserve">12.1</w:t>
      </w:r>
      <w:r>
        <w:rPr>
          <w:rFonts w:hint="eastAsia" w:ascii="方正仿宋_GBK" w:hAnsi="方正仿宋_GBK" w:eastAsia="方正仿宋_GBK" w:cs="方正仿宋_GBK"/>
          <w:sz w:val="28"/>
          <w:szCs w:val="28"/>
          <w:highlight w:val="none"/>
          <w:lang w:val="zh-CN"/>
        </w:rPr>
        <w:t xml:space="preserve"> 投标人需对招标文件中的技术要求与商务要求逐项作出响应或偏离，并说明原因。</w:t>
      </w:r>
      <w:r/>
    </w:p>
    <w:p>
      <w:pPr>
        <w:ind w:firstLine="560"/>
        <w:spacing w:line="400" w:lineRule="exact"/>
        <w:rPr>
          <w:rFonts w:hint="eastAsia" w:ascii="方正仿宋_GBK" w:hAnsi="方正仿宋_GBK" w:eastAsia="方正仿宋_GBK" w:cs="方正仿宋_GBK"/>
          <w:sz w:val="28"/>
          <w:szCs w:val="28"/>
          <w:highlight w:val="none"/>
          <w:lang w:val="zh-CN"/>
        </w:rPr>
      </w:pPr>
      <w:r/>
      <w:bookmarkStart w:id="84" w:name="_Toc49090510"/>
      <w:r/>
      <w:bookmarkStart w:id="85" w:name="_Toc14577359"/>
      <w:r>
        <w:rPr>
          <w:rFonts w:hint="eastAsia" w:ascii="方正仿宋_GBK" w:hAnsi="方正仿宋_GBK" w:eastAsia="方正仿宋_GBK" w:cs="方正仿宋_GBK"/>
          <w:sz w:val="28"/>
          <w:szCs w:val="28"/>
          <w:highlight w:val="none"/>
          <w:lang w:val="zh-CN"/>
        </w:rPr>
        <w:t xml:space="preserve">12.2 投标人需按照招标文件要求，在投标文件中提供与技术要求和商务要求相关的证明材料。</w:t>
      </w:r>
      <w:r/>
    </w:p>
    <w:p>
      <w:pPr>
        <w:pStyle w:val="946"/>
        <w:ind w:firstLine="560"/>
        <w:spacing w:before="0" w:after="0" w:line="400" w:lineRule="exact"/>
        <w:rPr>
          <w:rFonts w:hint="eastAsia" w:ascii="方正仿宋_GBK" w:hAnsi="方正仿宋_GBK" w:eastAsia="方正仿宋_GBK" w:cs="方正仿宋_GBK"/>
          <w:b w:val="0"/>
          <w:bCs w:val="0"/>
          <w:highlight w:val="none"/>
        </w:rPr>
      </w:pPr>
      <w:r>
        <w:rPr>
          <w:rFonts w:hint="eastAsia" w:ascii="方正仿宋_GBK" w:hAnsi="方正仿宋_GBK" w:eastAsia="方正仿宋_GBK" w:cs="方正仿宋_GBK"/>
          <w:b w:val="0"/>
          <w:bCs w:val="0"/>
          <w:highlight w:val="none"/>
        </w:rPr>
        <w:t xml:space="preserve">13.投标函和开标一览表</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13.1</w:t>
      </w:r>
      <w:r>
        <w:rPr>
          <w:rFonts w:hint="eastAsia" w:ascii="方正仿宋_GBK" w:hAnsi="方正仿宋_GBK" w:eastAsia="方正仿宋_GBK" w:cs="方正仿宋_GBK"/>
          <w:sz w:val="28"/>
          <w:szCs w:val="28"/>
          <w:highlight w:val="none"/>
        </w:rPr>
        <w:t xml:space="preserve"> 投标人应按照招标文件中提供的格式完整、正确填写投标函、开标一览表。</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13.2</w:t>
      </w:r>
      <w:r>
        <w:rPr>
          <w:rFonts w:hint="eastAsia" w:ascii="方正仿宋_GBK" w:hAnsi="方正仿宋_GBK" w:eastAsia="方正仿宋_GBK" w:cs="方正仿宋_GBK"/>
          <w:sz w:val="28"/>
          <w:szCs w:val="28"/>
          <w:highlight w:val="none"/>
        </w:rPr>
        <w:t xml:space="preserve"> 对于采用货币报价的项目，</w:t>
      </w:r>
      <w:r>
        <w:rPr>
          <w:rFonts w:hint="eastAsia" w:ascii="方正仿宋_GBK" w:hAnsi="方正仿宋_GBK" w:eastAsia="方正仿宋_GBK" w:cs="方正仿宋_GBK"/>
          <w:bCs/>
          <w:sz w:val="28"/>
          <w:szCs w:val="28"/>
          <w:highlight w:val="none"/>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highlight w:val="none"/>
        </w:rPr>
        <w:t xml:space="preserve">不作为无效投标处理</w:t>
      </w:r>
      <w:r>
        <w:rPr>
          <w:rFonts w:hint="eastAsia" w:ascii="方正仿宋_GBK" w:hAnsi="方正仿宋_GBK" w:eastAsia="方正仿宋_GBK" w:cs="方正仿宋_GBK"/>
          <w:bCs/>
          <w:sz w:val="28"/>
          <w:szCs w:val="28"/>
          <w:highlight w:val="none"/>
        </w:rPr>
        <w:t xml:space="preserve">，但评标时按开标一览表中价格为准</w:t>
      </w:r>
      <w:r>
        <w:rPr>
          <w:rFonts w:hint="eastAsia" w:ascii="方正仿宋_GBK" w:hAnsi="方正仿宋_GBK" w:eastAsia="方正仿宋_GBK" w:cs="方正仿宋_GBK"/>
          <w:b/>
          <w:bCs/>
          <w:sz w:val="28"/>
          <w:szCs w:val="28"/>
          <w:highlight w:val="none"/>
        </w:rPr>
        <w:t xml:space="preserve">。</w:t>
      </w:r>
      <w:bookmarkEnd w:id="84"/>
      <w:r/>
      <w:bookmarkEnd w:id="85"/>
      <w:r/>
      <w:r/>
    </w:p>
    <w:p>
      <w:pPr>
        <w:pStyle w:val="946"/>
        <w:ind w:firstLine="560"/>
        <w:spacing w:before="0" w:after="0" w:line="400" w:lineRule="exact"/>
        <w:rPr>
          <w:rFonts w:hint="eastAsia" w:ascii="方正仿宋_GBK" w:hAnsi="方正仿宋_GBK" w:eastAsia="方正仿宋_GBK" w:cs="方正仿宋_GBK"/>
          <w:b w:val="0"/>
          <w:bCs w:val="0"/>
          <w:highlight w:val="none"/>
        </w:rPr>
      </w:pPr>
      <w:r/>
      <w:bookmarkStart w:id="86" w:name="_Hlt26670489"/>
      <w:r/>
      <w:bookmarkEnd w:id="86"/>
      <w:r/>
      <w:bookmarkStart w:id="87" w:name="_Hlt26954850"/>
      <w:r/>
      <w:bookmarkEnd w:id="87"/>
      <w:r/>
      <w:bookmarkStart w:id="88" w:name="_Hlt26954734"/>
      <w:r/>
      <w:bookmarkEnd w:id="88"/>
      <w:r/>
      <w:bookmarkStart w:id="89" w:name="_Toc49090511"/>
      <w:r/>
      <w:bookmarkStart w:id="90" w:name="_Toc14577360"/>
      <w:r>
        <w:rPr>
          <w:rFonts w:hint="eastAsia" w:ascii="方正仿宋_GBK" w:hAnsi="方正仿宋_GBK" w:eastAsia="方正仿宋_GBK" w:cs="方正仿宋_GBK"/>
          <w:b w:val="0"/>
          <w:bCs w:val="0"/>
          <w:highlight w:val="none"/>
        </w:rPr>
        <w:t xml:space="preserve">14.投标有效期</w:t>
      </w:r>
      <w:bookmarkEnd w:id="89"/>
      <w:r/>
      <w:bookmarkEnd w:id="90"/>
      <w:r/>
      <w:r/>
    </w:p>
    <w:p>
      <w:pPr>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14.1</w:t>
      </w:r>
      <w:r>
        <w:rPr>
          <w:rFonts w:hint="eastAsia" w:ascii="方正仿宋_GBK" w:hAnsi="方正仿宋_GBK" w:eastAsia="方正仿宋_GBK" w:cs="方正仿宋_GBK"/>
          <w:bCs/>
          <w:sz w:val="28"/>
          <w:szCs w:val="28"/>
          <w:highlight w:val="none"/>
        </w:rPr>
        <w:t xml:space="preserve"> 投标有效期为采购中心规定的开标之日后</w:t>
      </w:r>
      <w:r>
        <w:rPr>
          <w:rFonts w:hint="eastAsia" w:ascii="方正仿宋_GBK" w:hAnsi="方正仿宋_GBK" w:eastAsia="方正仿宋_GBK" w:cs="方正仿宋_GBK"/>
          <w:b/>
          <w:sz w:val="28"/>
          <w:szCs w:val="28"/>
          <w:highlight w:val="none"/>
          <w:u w:val="single"/>
        </w:rPr>
        <w:t xml:space="preserve">六十（60）天</w:t>
      </w:r>
      <w:r>
        <w:rPr>
          <w:rFonts w:hint="eastAsia" w:ascii="方正仿宋_GBK" w:hAnsi="方正仿宋_GBK" w:eastAsia="方正仿宋_GBK" w:cs="方正仿宋_GBK"/>
          <w:bCs/>
          <w:sz w:val="28"/>
          <w:szCs w:val="28"/>
          <w:highlight w:val="none"/>
        </w:rPr>
        <w:t xml:space="preserve">。投标有效期比规定短的将被视为未实质性响应招标文件而予以拒绝。</w:t>
      </w:r>
      <w:r/>
    </w:p>
    <w:p>
      <w:pPr>
        <w:pStyle w:val="946"/>
        <w:ind w:firstLine="560"/>
        <w:spacing w:before="0" w:after="0" w:line="400" w:lineRule="exact"/>
        <w:rPr>
          <w:rFonts w:hint="eastAsia" w:ascii="方正仿宋_GBK" w:hAnsi="方正仿宋_GBK" w:eastAsia="方正仿宋_GBK" w:cs="方正仿宋_GBK"/>
          <w:b w:val="0"/>
          <w:bCs w:val="0"/>
          <w:highlight w:val="none"/>
        </w:rPr>
      </w:pPr>
      <w:r>
        <w:rPr>
          <w:rFonts w:hint="eastAsia" w:ascii="方正仿宋_GBK" w:hAnsi="方正仿宋_GBK" w:eastAsia="方正仿宋_GBK" w:cs="方正仿宋_GBK"/>
          <w:b w:val="0"/>
          <w:bCs w:val="0"/>
          <w:highlight w:val="none"/>
        </w:rPr>
        <w:t xml:space="preserve">15.投标有效期的延长</w:t>
      </w:r>
      <w:r/>
    </w:p>
    <w:p>
      <w:pPr>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15.1</w:t>
      </w:r>
      <w:r>
        <w:rPr>
          <w:rFonts w:hint="eastAsia" w:ascii="方正仿宋_GBK" w:hAnsi="方正仿宋_GBK" w:eastAsia="方正仿宋_GBK" w:cs="方正仿宋_GBK"/>
          <w:bCs/>
          <w:sz w:val="28"/>
          <w:szCs w:val="28"/>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bCs/>
          <w:sz w:val="28"/>
          <w:szCs w:val="28"/>
          <w:highlight w:val="none"/>
        </w:rPr>
        <w:t xml:space="preserve">同意延长投标有效期的投标人既不能要求也不允许修改其投标文件</w:t>
      </w:r>
      <w:r>
        <w:rPr>
          <w:rFonts w:hint="eastAsia" w:ascii="方正仿宋_GBK" w:hAnsi="方正仿宋_GBK" w:eastAsia="方正仿宋_GBK" w:cs="方正仿宋_GBK"/>
          <w:sz w:val="28"/>
          <w:szCs w:val="28"/>
          <w:highlight w:val="none"/>
        </w:rPr>
        <w:t xml:space="preserve">，同时受投标有效期约束的所有权利与义务均延长至新的有效期</w:t>
      </w:r>
      <w:r>
        <w:rPr>
          <w:rFonts w:hint="eastAsia" w:ascii="方正仿宋_GBK" w:hAnsi="方正仿宋_GBK" w:eastAsia="方正仿宋_GBK" w:cs="方正仿宋_GBK"/>
          <w:bCs/>
          <w:sz w:val="28"/>
          <w:szCs w:val="28"/>
          <w:highlight w:val="none"/>
        </w:rPr>
        <w:t xml:space="preserve">。</w:t>
      </w:r>
      <w:r/>
    </w:p>
    <w:p>
      <w:pPr>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91" w:name="_Hlt26954852"/>
      <w:r/>
      <w:bookmarkEnd w:id="91"/>
      <w:r/>
      <w:bookmarkStart w:id="92" w:name="_Hlt26954739"/>
      <w:r/>
      <w:bookmarkEnd w:id="92"/>
      <w:r/>
      <w:bookmarkStart w:id="93" w:name="_Toc120614217"/>
      <w:r/>
      <w:bookmarkStart w:id="94" w:name="_Toc20823296"/>
      <w:r/>
      <w:bookmarkStart w:id="95" w:name="_Toc16938540"/>
      <w:r/>
      <w:bookmarkStart w:id="96" w:name="_Toc513029224"/>
      <w:r>
        <w:rPr>
          <w:rFonts w:hint="eastAsia" w:ascii="方正黑体_GBK" w:hAnsi="方正黑体_GBK" w:eastAsia="方正黑体_GBK" w:cs="方正黑体_GBK"/>
          <w:color w:val="000000"/>
          <w:sz w:val="28"/>
          <w:szCs w:val="28"/>
          <w:highlight w:val="none"/>
        </w:rPr>
        <w:t xml:space="preserve">四、投标文件的递交</w:t>
      </w:r>
      <w:bookmarkEnd w:id="93"/>
      <w:r/>
      <w:bookmarkEnd w:id="94"/>
      <w:r/>
      <w:bookmarkEnd w:id="95"/>
      <w:r/>
      <w:bookmarkEnd w:id="96"/>
      <w:r/>
      <w:r/>
    </w:p>
    <w:p>
      <w:pPr>
        <w:pStyle w:val="946"/>
        <w:ind w:firstLine="560"/>
        <w:spacing w:before="0" w:after="0" w:line="400" w:lineRule="exact"/>
        <w:rPr>
          <w:rFonts w:hint="eastAsia" w:ascii="方正仿宋_GBK" w:hAnsi="方正仿宋_GBK" w:eastAsia="方正仿宋_GBK" w:cs="方正仿宋_GBK"/>
          <w:b w:val="0"/>
          <w:bCs w:val="0"/>
          <w:highlight w:val="none"/>
        </w:rPr>
      </w:pPr>
      <w:r/>
      <w:bookmarkStart w:id="97" w:name="_Toc462564084"/>
      <w:r/>
      <w:bookmarkStart w:id="98" w:name="_Toc16938541"/>
      <w:r/>
      <w:bookmarkStart w:id="99" w:name="_Toc20823297"/>
      <w:r/>
      <w:bookmarkStart w:id="100" w:name="_Toc513029225"/>
      <w:r>
        <w:rPr>
          <w:rFonts w:hint="eastAsia" w:ascii="方正仿宋_GBK" w:hAnsi="方正仿宋_GBK" w:eastAsia="方正仿宋_GBK" w:cs="方正仿宋_GBK"/>
          <w:b w:val="0"/>
          <w:bCs w:val="0"/>
          <w:highlight w:val="none"/>
        </w:rPr>
        <w:t xml:space="preserve">16.投标文件</w:t>
      </w:r>
      <w:bookmarkEnd w:id="97"/>
      <w:r/>
      <w:bookmarkEnd w:id="98"/>
      <w:r/>
      <w:bookmarkEnd w:id="99"/>
      <w:r/>
      <w:bookmarkEnd w:id="100"/>
      <w:r>
        <w:rPr>
          <w:rFonts w:hint="eastAsia" w:ascii="方正仿宋_GBK" w:hAnsi="方正仿宋_GBK" w:eastAsia="方正仿宋_GBK" w:cs="方正仿宋_GBK"/>
          <w:b w:val="0"/>
          <w:bCs w:val="0"/>
          <w:highlight w:val="none"/>
        </w:rPr>
        <w:t xml:space="preserve">的递交</w:t>
      </w:r>
      <w:r/>
    </w:p>
    <w:p>
      <w:pPr>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16.1</w:t>
      </w:r>
      <w:r>
        <w:rPr>
          <w:rFonts w:hint="eastAsia" w:ascii="方正仿宋_GBK" w:hAnsi="方正仿宋_GBK" w:eastAsia="方正仿宋_GBK" w:cs="方正仿宋_GBK"/>
          <w:bCs/>
          <w:sz w:val="28"/>
          <w:szCs w:val="28"/>
          <w:highlight w:val="none"/>
        </w:rPr>
        <w:t xml:space="preserve"> 电子投标文件的递交</w:t>
      </w:r>
      <w:r/>
    </w:p>
    <w:p>
      <w:pPr>
        <w:pStyle w:val="105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投标人应当按照《操作手册》规定，在投标截止时间前制作并上传电子投标文件。</w:t>
      </w:r>
      <w:bookmarkStart w:id="101" w:name="_Toc20823298"/>
      <w:r/>
      <w:bookmarkStart w:id="102" w:name="_Toc513029226"/>
      <w:r/>
      <w:bookmarkStart w:id="103" w:name="_Toc16938542"/>
      <w:r/>
      <w:r/>
    </w:p>
    <w:p>
      <w:pPr>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17.投标截止</w:t>
      </w:r>
      <w:bookmarkEnd w:id="101"/>
      <w:r/>
      <w:bookmarkEnd w:id="102"/>
      <w:r/>
      <w:bookmarkEnd w:id="103"/>
      <w:r>
        <w:rPr>
          <w:rFonts w:hint="eastAsia" w:ascii="方正仿宋_GBK" w:hAnsi="方正仿宋_GBK" w:eastAsia="方正仿宋_GBK" w:cs="方正仿宋_GBK"/>
          <w:bCs/>
          <w:sz w:val="28"/>
          <w:szCs w:val="28"/>
          <w:highlight w:val="none"/>
        </w:rPr>
        <w:t xml:space="preserve">时间</w:t>
      </w:r>
      <w:r/>
    </w:p>
    <w:p>
      <w:pPr>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17.1</w:t>
      </w:r>
      <w:r>
        <w:rPr>
          <w:rFonts w:hint="eastAsia" w:ascii="方正仿宋_GBK" w:hAnsi="方正仿宋_GBK" w:eastAsia="方正仿宋_GBK" w:cs="方正仿宋_GBK"/>
          <w:bCs/>
          <w:sz w:val="28"/>
          <w:szCs w:val="28"/>
          <w:highlight w:val="none"/>
        </w:rPr>
        <w:t xml:space="preserve"> 投标人上传电子投标文件的时间不得迟于招标公告中规定的投标截止时间。</w:t>
      </w:r>
      <w:r/>
    </w:p>
    <w:p>
      <w:pPr>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投标人应充分考虑到网络环境、网络带宽等风险因素，如因投标人自身原因造成的电子投标文件上传不成功的按照本招标文件第二章第25.1.2条规定做无效投标处理。</w:t>
      </w:r>
      <w:r/>
    </w:p>
    <w:p>
      <w:pPr>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17.2</w:t>
      </w:r>
      <w:r>
        <w:rPr>
          <w:rFonts w:hint="eastAsia" w:ascii="方正仿宋_GBK" w:hAnsi="方正仿宋_GBK" w:eastAsia="方正仿宋_GBK" w:cs="方正仿宋_GBK"/>
          <w:bCs/>
          <w:sz w:val="28"/>
          <w:szCs w:val="28"/>
          <w:highlight w:val="none"/>
        </w:rPr>
        <w:t xml:space="preserve"> 采购中心可以按照规定，通过修改招标文件酌情延长投标截止时间，在此情况下，投标人的所有权利和义务以及投标人受制的截止时间均应以延长后新的截止时间为准。</w:t>
      </w:r>
      <w:r/>
    </w:p>
    <w:p>
      <w:pPr>
        <w:pStyle w:val="946"/>
        <w:ind w:firstLine="560"/>
        <w:spacing w:before="0" w:after="0" w:line="400" w:lineRule="exact"/>
        <w:rPr>
          <w:rFonts w:hint="eastAsia" w:ascii="方正仿宋_GBK" w:hAnsi="方正仿宋_GBK" w:eastAsia="方正仿宋_GBK" w:cs="方正仿宋_GBK"/>
          <w:b w:val="0"/>
          <w:bCs w:val="0"/>
          <w:highlight w:val="none"/>
        </w:rPr>
      </w:pPr>
      <w:r/>
      <w:bookmarkStart w:id="104" w:name="_Toc513029227"/>
      <w:r/>
      <w:bookmarkStart w:id="105" w:name="_Toc20823299"/>
      <w:r/>
      <w:bookmarkStart w:id="106" w:name="_Toc16938543"/>
      <w:r>
        <w:rPr>
          <w:rFonts w:hint="eastAsia" w:ascii="方正仿宋_GBK" w:hAnsi="方正仿宋_GBK" w:eastAsia="方正仿宋_GBK" w:cs="方正仿宋_GBK"/>
          <w:b w:val="0"/>
          <w:bCs w:val="0"/>
          <w:highlight w:val="none"/>
        </w:rPr>
        <w:t xml:space="preserve">18.投标文件</w:t>
      </w:r>
      <w:bookmarkEnd w:id="104"/>
      <w:r/>
      <w:bookmarkEnd w:id="105"/>
      <w:r/>
      <w:bookmarkEnd w:id="106"/>
      <w:r>
        <w:rPr>
          <w:rFonts w:hint="eastAsia" w:ascii="方正仿宋_GBK" w:hAnsi="方正仿宋_GBK" w:eastAsia="方正仿宋_GBK" w:cs="方正仿宋_GBK"/>
          <w:b w:val="0"/>
          <w:bCs w:val="0"/>
          <w:highlight w:val="none"/>
        </w:rPr>
        <w:t xml:space="preserve">的拒收</w:t>
      </w:r>
      <w:r/>
    </w:p>
    <w:p>
      <w:pPr>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18.1</w:t>
      </w:r>
      <w:r>
        <w:rPr>
          <w:rFonts w:hint="eastAsia" w:ascii="方正仿宋_GBK" w:hAnsi="方正仿宋_GBK" w:eastAsia="方正仿宋_GBK" w:cs="方正仿宋_GBK"/>
          <w:bCs/>
          <w:sz w:val="28"/>
          <w:szCs w:val="28"/>
          <w:highlight w:val="none"/>
        </w:rPr>
        <w:t xml:space="preserve">采购中心拒绝接收在其规定的投标截止时间后上传的任何投标文件。</w:t>
      </w:r>
      <w:r/>
    </w:p>
    <w:p>
      <w:pPr>
        <w:pStyle w:val="946"/>
        <w:ind w:firstLine="560"/>
        <w:spacing w:before="0" w:after="0" w:line="400" w:lineRule="exact"/>
        <w:rPr>
          <w:rFonts w:hint="eastAsia" w:ascii="方正仿宋_GBK" w:hAnsi="方正仿宋_GBK" w:eastAsia="方正仿宋_GBK" w:cs="方正仿宋_GBK"/>
          <w:b w:val="0"/>
          <w:bCs w:val="0"/>
          <w:highlight w:val="none"/>
        </w:rPr>
      </w:pPr>
      <w:r/>
      <w:bookmarkStart w:id="107" w:name="_Toc20823300"/>
      <w:r/>
      <w:bookmarkStart w:id="108" w:name="_Toc16938544"/>
      <w:r/>
      <w:bookmarkStart w:id="109" w:name="_Toc513029228"/>
      <w:r>
        <w:rPr>
          <w:rFonts w:hint="eastAsia" w:ascii="方正仿宋_GBK" w:hAnsi="方正仿宋_GBK" w:eastAsia="方正仿宋_GBK" w:cs="方正仿宋_GBK"/>
          <w:b w:val="0"/>
          <w:bCs w:val="0"/>
          <w:highlight w:val="none"/>
        </w:rPr>
        <w:t xml:space="preserve">19.投标文件的撤回和修改</w:t>
      </w:r>
      <w:bookmarkEnd w:id="107"/>
      <w:r/>
      <w:bookmarkEnd w:id="108"/>
      <w:r/>
      <w:bookmarkEnd w:id="109"/>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19.1 投标文件的撤回</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19.1.1 电子投标文件的撤回</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投标人可在投标截止时间前，撤回其电子投标文件，具体操作方法见《操作手册》。</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19.1.2 投标人撤回电子投标文件，则认为其不再参与本项目投标活动。</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19.2 投标文件的修改</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19.2.1投标人可在投标截止时间前，对其电子投标文件进行修改，具体操作方法见《操作手册》。</w:t>
      </w:r>
      <w:r/>
    </w:p>
    <w:p>
      <w:pPr>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19.2.2</w:t>
      </w:r>
      <w:r>
        <w:rPr>
          <w:rFonts w:hint="eastAsia" w:ascii="方正仿宋_GBK" w:hAnsi="方正仿宋_GBK" w:eastAsia="方正仿宋_GBK" w:cs="方正仿宋_GBK"/>
          <w:bCs/>
          <w:sz w:val="28"/>
          <w:szCs w:val="28"/>
          <w:highlight w:val="none"/>
        </w:rPr>
        <w:t xml:space="preserve"> 在投标截止时间之后，投标人不得对其电子投标文件作任何修改。</w:t>
      </w:r>
      <w:r/>
    </w:p>
    <w:p>
      <w:pPr>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19.3</w:t>
      </w:r>
      <w:r>
        <w:rPr>
          <w:rFonts w:hint="eastAsia" w:ascii="方正仿宋_GBK" w:hAnsi="方正仿宋_GBK" w:eastAsia="方正仿宋_GBK" w:cs="方正仿宋_GBK"/>
          <w:bCs/>
          <w:sz w:val="28"/>
          <w:szCs w:val="28"/>
          <w:highlight w:val="none"/>
        </w:rPr>
        <w:t xml:space="preserve"> 在投标截止时间至招标文件中规定的投标有效期满之间的这段时间内，投标人不得撤回其投标。</w:t>
      </w:r>
      <w:r/>
    </w:p>
    <w:p>
      <w:pPr>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110" w:name="_Toc513029229"/>
      <w:r/>
      <w:bookmarkStart w:id="111" w:name="_Toc20823301"/>
      <w:r/>
      <w:bookmarkStart w:id="112" w:name="_Toc16938545"/>
      <w:r/>
      <w:bookmarkStart w:id="113" w:name="_Toc120614218"/>
      <w:r>
        <w:rPr>
          <w:rFonts w:hint="eastAsia" w:ascii="方正黑体_GBK" w:hAnsi="方正黑体_GBK" w:eastAsia="方正黑体_GBK" w:cs="方正黑体_GBK"/>
          <w:color w:val="000000"/>
          <w:sz w:val="28"/>
          <w:szCs w:val="28"/>
          <w:highlight w:val="none"/>
        </w:rPr>
        <w:t xml:space="preserve">五、开标与评标</w:t>
      </w:r>
      <w:bookmarkEnd w:id="110"/>
      <w:r/>
      <w:bookmarkEnd w:id="111"/>
      <w:r/>
      <w:bookmarkEnd w:id="112"/>
      <w:r/>
      <w:bookmarkEnd w:id="113"/>
      <w:r/>
      <w:r/>
    </w:p>
    <w:p>
      <w:pPr>
        <w:ind w:firstLine="560"/>
        <w:spacing w:line="400" w:lineRule="exact"/>
        <w:rPr>
          <w:rFonts w:hint="eastAsia" w:ascii="方正仿宋_GBK" w:hAnsi="方正仿宋_GBK" w:eastAsia="方正仿宋_GBK" w:cs="方正仿宋_GBK"/>
          <w:sz w:val="28"/>
          <w:szCs w:val="28"/>
          <w:highlight w:val="none"/>
        </w:rPr>
      </w:pPr>
      <w:r/>
      <w:bookmarkStart w:id="114" w:name="_Toc513029230"/>
      <w:r/>
      <w:bookmarkStart w:id="115" w:name="_Toc16938546"/>
      <w:r/>
      <w:bookmarkStart w:id="116" w:name="_Toc20823302"/>
      <w:r>
        <w:rPr>
          <w:rFonts w:hint="eastAsia" w:ascii="方正仿宋_GBK" w:hAnsi="方正仿宋_GBK" w:eastAsia="方正仿宋_GBK" w:cs="方正仿宋_GBK"/>
          <w:sz w:val="28"/>
          <w:szCs w:val="28"/>
          <w:highlight w:val="none"/>
        </w:rPr>
        <w:t xml:space="preserve">20.开标</w:t>
      </w:r>
      <w:bookmarkEnd w:id="114"/>
      <w:r/>
      <w:bookmarkEnd w:id="115"/>
      <w:r/>
      <w:bookmarkEnd w:id="116"/>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20.1 采购中心将在招标公告中规定的时间和地点组织公开开标。投标人应当按照《操作手册》规定，参加开标活动和在苏采云系统规定的时间内对投标文件进行解密。</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20.2开标仪式由采购中心组织。苏采云系统将自动对项目进行开标，并宣布各投标人名称和投标价格。</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20.3投标人在开标过程中涉及到的投标文件解密、开标结果确认等工作，应按照《操作手册》规定执行。</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20.4投标人如果对开标过程和开标记录有疑义，应当根据《操作手册》规定提出，如苏采云系统中《开标记录表》宣布后5分钟内未提出的，视同认可开标结果。</w:t>
      </w:r>
      <w:r/>
    </w:p>
    <w:p>
      <w:pPr>
        <w:ind w:firstLine="560"/>
        <w:spacing w:line="400" w:lineRule="exact"/>
        <w:rPr>
          <w:rFonts w:hint="eastAsia" w:ascii="方正仿宋_GBK" w:hAnsi="方正仿宋_GBK" w:eastAsia="方正仿宋_GBK" w:cs="方正仿宋_GBK"/>
          <w:sz w:val="28"/>
          <w:szCs w:val="28"/>
          <w:highlight w:val="none"/>
        </w:rPr>
      </w:pPr>
      <w:r/>
      <w:bookmarkStart w:id="117" w:name="_Toc16938547"/>
      <w:r/>
      <w:bookmarkStart w:id="118" w:name="_Toc20823303"/>
      <w:r/>
      <w:bookmarkStart w:id="119" w:name="_Toc513029231"/>
      <w:r>
        <w:rPr>
          <w:rFonts w:hint="eastAsia" w:ascii="方正仿宋_GBK" w:hAnsi="方正仿宋_GBK" w:eastAsia="方正仿宋_GBK" w:cs="方正仿宋_GBK"/>
          <w:sz w:val="28"/>
          <w:szCs w:val="28"/>
          <w:highlight w:val="none"/>
        </w:rPr>
        <w:t xml:space="preserve">21.评标委员会</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21.1 开标后，采购中心将立即组织评标委员会进行评标。</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21.2 评标委员会由采购人代表和有关技术、经济等方面的专家组成，且人员构成符合政府采购有关规定。</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21.3评标委员会独立工作，负责评审所有投标文件并确定中标侯选人。</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22.评标过程的保密与公正</w:t>
      </w:r>
      <w:bookmarkEnd w:id="117"/>
      <w:r/>
      <w:bookmarkEnd w:id="118"/>
      <w:r/>
      <w:bookmarkEnd w:id="119"/>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22.1凡是与审查、澄清、评价和比较投标的有关资料以及授标建议等，采购人、评委、采购中心均不得向投标人或与评标无关的其他人员透露。</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22.2在评标过程中，投标人不得以任何行为影响评标过程，否则其投标文件将被作为无效投标文件。</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22.3 采购中心和评标委员会不向未中标的投标人解释未中标原因，也不公布评标过程中的相关细节。</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22.4 采用综合评分法的项目，未中标的投标人可于中标结果公告期限届满之日起通过苏采云系统查看自己的评审得分及排序情况。</w:t>
      </w:r>
      <w:r/>
    </w:p>
    <w:p>
      <w:pPr>
        <w:ind w:firstLine="560"/>
        <w:spacing w:line="400" w:lineRule="exact"/>
        <w:rPr>
          <w:rFonts w:hint="eastAsia" w:ascii="方正仿宋_GBK" w:hAnsi="方正仿宋_GBK" w:eastAsia="方正仿宋_GBK" w:cs="方正仿宋_GBK"/>
          <w:sz w:val="28"/>
          <w:szCs w:val="28"/>
          <w:highlight w:val="none"/>
        </w:rPr>
      </w:pPr>
      <w:r/>
      <w:bookmarkStart w:id="120" w:name="_Toc20823304"/>
      <w:r/>
      <w:bookmarkStart w:id="121" w:name="_Toc16938548"/>
      <w:r/>
      <w:bookmarkStart w:id="122" w:name="_Toc513029232"/>
      <w:r>
        <w:rPr>
          <w:rFonts w:hint="eastAsia" w:ascii="方正仿宋_GBK" w:hAnsi="方正仿宋_GBK" w:eastAsia="方正仿宋_GBK" w:cs="方正仿宋_GBK"/>
          <w:sz w:val="28"/>
          <w:szCs w:val="28"/>
          <w:highlight w:val="none"/>
        </w:rPr>
        <w:t xml:space="preserve">23.投标文件的澄清</w:t>
      </w:r>
      <w:bookmarkEnd w:id="120"/>
      <w:r/>
      <w:bookmarkEnd w:id="121"/>
      <w:r/>
      <w:bookmarkEnd w:id="122"/>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23.1评标期间，评标委员会对投标文件中含义不明确、同类问题表述不一致或者有明显文字和计算错误的内容 ，有权要求投标人作出必要的澄清、说明或者补正。</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投标人的澄清、说明或者补正不得超出投标文件的范围或者改变投标文件的实质性内容。</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评标委员会并非对每个投标人都做澄清要求。</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23.3 接到评标委员会澄清、说明和补正要求的投标人如未按规定做出澄清、说明和补正，其风险由投标人自行承担。</w:t>
      </w:r>
      <w:r/>
    </w:p>
    <w:p>
      <w:pPr>
        <w:ind w:firstLine="560"/>
        <w:spacing w:line="400" w:lineRule="exact"/>
        <w:rPr>
          <w:rFonts w:hint="eastAsia" w:ascii="方正仿宋_GBK" w:hAnsi="方正仿宋_GBK" w:eastAsia="方正仿宋_GBK" w:cs="方正仿宋_GBK"/>
          <w:sz w:val="28"/>
          <w:szCs w:val="28"/>
          <w:highlight w:val="none"/>
        </w:rPr>
      </w:pPr>
      <w:r/>
      <w:bookmarkStart w:id="123" w:name="_Toc16938549"/>
      <w:r/>
      <w:bookmarkStart w:id="124" w:name="_Toc20823305"/>
      <w:r/>
      <w:bookmarkStart w:id="125" w:name="_Toc513029233"/>
      <w:r>
        <w:rPr>
          <w:rFonts w:hint="eastAsia" w:ascii="方正仿宋_GBK" w:hAnsi="方正仿宋_GBK" w:eastAsia="方正仿宋_GBK" w:cs="方正仿宋_GBK"/>
          <w:sz w:val="28"/>
          <w:szCs w:val="28"/>
          <w:highlight w:val="none"/>
        </w:rPr>
        <w:t xml:space="preserve">24.对投标文件的初审</w:t>
      </w:r>
      <w:bookmarkEnd w:id="123"/>
      <w:r/>
      <w:bookmarkEnd w:id="124"/>
      <w:r/>
      <w:bookmarkEnd w:id="125"/>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24.1投标文件初审分为资格审查和符合性审查。</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24.1.1 资格审查：依据法律法规和招标文件的规定，由采购人对投标文件中的资格证明文件进行审查。资格审查的结论，采购人以书面形式向评标委员会进行反馈。</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采购人在进行资格性审查的同时，将在“信用中国”网站（</w:t>
      </w:r>
      <w:r>
        <w:rPr>
          <w:rFonts w:hint="eastAsia" w:eastAsia="方正仿宋_GBK"/>
          <w:color w:val="000000"/>
          <w:sz w:val="28"/>
          <w:szCs w:val="28"/>
          <w:highlight w:val="none"/>
        </w:rPr>
        <w:t xml:space="preserve">www.creditchina.gov.cn</w:t>
      </w:r>
      <w:r>
        <w:rPr>
          <w:rFonts w:hint="eastAsia" w:ascii="方正仿宋_GBK" w:hAnsi="方正仿宋_GBK" w:eastAsia="方正仿宋_GBK" w:cs="方正仿宋_GBK"/>
          <w:sz w:val="28"/>
          <w:szCs w:val="28"/>
          <w:highlight w:val="none"/>
        </w:rPr>
        <w:t xml:space="preserve">）查询投标人的信用记录，以确定投标人是否具备投标资格,查询结果留存并归档。</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24.1.2 符合性审查：依据招标文件的规定，由评标委员会从投标文件的有效性、完整性和对招标文件的响应程度进行审查，以确定是否对招标文件的实质性要求作出响应。</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24.3如果投标文件实质上没有响应招标文件的要求，评标委员会将予以拒绝，投标人不得通过修改或撤销不符合要求的偏离或保留而使其投标成为实质性响应的投标。</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24.4评标委员会将对确定为实质性响应的投标进行进一步审核，确定其是否有计算上或累加上的算术错误，修正错误的原则如下：</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（1）投标文件中开标一览表内容与投标文件中相应内容不一致的，以开标一览表为准。</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（2）大写金额和小写金额不一致的，以大写金额为准。</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（3）单价金额小数点或者百分比有明显错位的，以开标一览表的总价为准，并修改单价。</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（4）总价金额与按单价汇总金额不一致的，以单价金额计算结果为准。</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同时出现两种以上错误的，按照前款规定的顺序修正。</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ind w:firstLine="560"/>
        <w:spacing w:line="400" w:lineRule="exact"/>
        <w:rPr>
          <w:rFonts w:hint="eastAsia" w:ascii="方正仿宋_GBK" w:hAnsi="方正仿宋_GBK" w:eastAsia="方正仿宋_GBK" w:cs="方正仿宋_GBK"/>
          <w:sz w:val="28"/>
          <w:szCs w:val="28"/>
          <w:highlight w:val="none"/>
        </w:rPr>
      </w:pPr>
      <w:r/>
      <w:bookmarkStart w:id="126" w:name="_Toc16938550"/>
      <w:r/>
      <w:bookmarkStart w:id="127" w:name="_Toc20823306"/>
      <w:r/>
      <w:bookmarkStart w:id="128" w:name="_Toc513029234"/>
      <w:r>
        <w:rPr>
          <w:rFonts w:hint="eastAsia" w:ascii="方正仿宋_GBK" w:hAnsi="方正仿宋_GBK" w:eastAsia="方正仿宋_GBK" w:cs="方正仿宋_GBK"/>
          <w:sz w:val="28"/>
          <w:szCs w:val="28"/>
          <w:highlight w:val="none"/>
        </w:rPr>
        <w:t xml:space="preserve">24.6投标人在开、评标全过程中应保持通讯畅通，及时登录苏采云系统查阅、答复相关信息，并安排专人与采购中心及评标委员会联系。</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24.7 异常低价投标审查</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24.7.1 评标过程中出现下列情形之一的，评标委员会应当启动异常低价投标审查程序：</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（1）投标报价低于全部通过符合性审查供应商投标报价平均值50%的，即投标报价&lt;全部通过符合性审查供应商投标报价平均值×50%；</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（2）投标报价低于通过符合性审查的次低报价供应商投标报价50%的，即投标报价&lt;通过符合性审查的次低报价供应商投标报价×50%；</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（3）投标报价低于采购项目最高限价45%的，即投标报价&lt;采购项目最高限价×45%；</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（4）评标委员会基于专业判断，认为供应商报价过低，有可能影响产品质量或者不能诚信履约的其他情形。</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w:t>
      </w:r>
      <w:bookmarkEnd w:id="126"/>
      <w:r/>
      <w:bookmarkEnd w:id="127"/>
      <w:r/>
      <w:bookmarkEnd w:id="128"/>
      <w:r>
        <w:rPr>
          <w:rFonts w:hint="eastAsia" w:ascii="方正仿宋_GBK" w:hAnsi="方正仿宋_GBK" w:eastAsia="方正仿宋_GBK" w:cs="方正仿宋_GBK"/>
          <w:sz w:val="28"/>
          <w:szCs w:val="28"/>
          <w:highlight w:val="none"/>
        </w:rPr>
        <w:t xml:space="preserve">.无效投标条款和废标条款</w:t>
      </w:r>
      <w:r/>
    </w:p>
    <w:p>
      <w:pPr>
        <w:ind w:firstLine="560"/>
        <w:spacing w:line="400" w:lineRule="exact"/>
        <w:rPr>
          <w:rFonts w:hint="eastAsia" w:ascii="方正仿宋_GBK" w:hAnsi="方正仿宋_GBK" w:eastAsia="方正仿宋_GBK" w:cs="方正仿宋_GBK"/>
          <w:sz w:val="28"/>
          <w:szCs w:val="28"/>
          <w:highlight w:val="none"/>
        </w:rPr>
      </w:pPr>
      <w:r/>
      <w:bookmarkStart w:id="129" w:name="_Toc513029235"/>
      <w:r/>
      <w:bookmarkStart w:id="130" w:name="_Toc20823307"/>
      <w:r/>
      <w:bookmarkStart w:id="131" w:name="_Toc16938551"/>
      <w:r>
        <w:rPr>
          <w:rFonts w:hint="eastAsia" w:ascii="方正仿宋_GBK" w:hAnsi="方正仿宋_GBK" w:eastAsia="方正仿宋_GBK" w:cs="方正仿宋_GBK"/>
          <w:sz w:val="28"/>
          <w:szCs w:val="28"/>
          <w:highlight w:val="none"/>
        </w:rPr>
        <w:t xml:space="preserve">25.1无效投标条款</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25.1.1 投标人在苏采云系统规定的时间内未成功解密电子投标文件的。</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25.1.2 投标人未按照招标文件要求上传电子投标文件的。</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25.1.3 投标人同一采购包提交两个（含两个）以上不同的投标报价的。</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25.1.4投标人不具备招标文件中规定资格要求的。</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25.1.5投标人的报价超过了采购预算或最高限价的。</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25.1.6未通过符合性审查的。</w:t>
      </w:r>
      <w:r/>
    </w:p>
    <w:p>
      <w:pPr>
        <w:ind w:firstLine="560"/>
        <w:spacing w:line="400" w:lineRule="exact"/>
        <w:rPr>
          <w:rFonts w:hint="eastAsia" w:ascii="方正仿宋_GBK" w:hAnsi="方正仿宋_GBK" w:eastAsia="方正仿宋_GBK" w:cs="方正仿宋_GBK"/>
          <w:bCs/>
          <w:i/>
          <w:sz w:val="28"/>
          <w:szCs w:val="28"/>
          <w:highlight w:val="none"/>
          <w:u w:val="single"/>
        </w:rPr>
      </w:pPr>
      <w:r>
        <w:rPr>
          <w:rFonts w:hint="eastAsia" w:ascii="方正仿宋_GBK" w:hAnsi="方正仿宋_GBK" w:eastAsia="方正仿宋_GBK" w:cs="方正仿宋_GBK"/>
          <w:bCs/>
          <w:sz w:val="28"/>
          <w:szCs w:val="28"/>
          <w:highlight w:val="none"/>
        </w:rPr>
        <w:t xml:space="preserve">25.1.7不符合招标文件中规定的实质性要求的</w:t>
      </w:r>
      <w:r>
        <w:rPr>
          <w:rFonts w:hint="eastAsia" w:ascii="方正仿宋_GBK" w:hAnsi="方正仿宋_GBK" w:eastAsia="方正仿宋_GBK" w:cs="方正仿宋_GBK"/>
          <w:b/>
          <w:bCs/>
          <w:sz w:val="28"/>
          <w:szCs w:val="28"/>
          <w:highlight w:val="none"/>
        </w:rPr>
        <w:t xml:space="preserve">（本招标文件中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或加*号条款为实质性要求）</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25.1.8 投标人被 “信用中国”网站（</w:t>
      </w:r>
      <w:r>
        <w:rPr>
          <w:rFonts w:hint="eastAsia" w:eastAsia="方正仿宋_GBK"/>
          <w:color w:val="000000"/>
          <w:sz w:val="28"/>
          <w:szCs w:val="28"/>
          <w:highlight w:val="none"/>
        </w:rPr>
        <w:t xml:space="preserve">www.creditchina.gov.cn</w:t>
      </w:r>
      <w:r>
        <w:rPr>
          <w:rFonts w:hint="eastAsia" w:ascii="方正仿宋_GBK" w:hAnsi="方正仿宋_GBK" w:eastAsia="方正仿宋_GBK" w:cs="方正仿宋_GBK"/>
          <w:sz w:val="28"/>
          <w:szCs w:val="28"/>
          <w:highlight w:val="none"/>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25.1.9 投标文件含有采购人不能接受的附加条件的。</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25.1.10评标委员会按照本招标文件规定对投标人进行异常低价投标审查后，认为投标人不能证明其报价合理性的。</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25.1.11 投标文件未按照招标文件要求加盖CA电子公章的。</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25.1.12 投标人所提供的服务不符合招标文件中所列国家强制性标准的。</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25.1.13其他法律、法规及本招标文件规定的属无效投标的情形。</w:t>
      </w:r>
      <w:r/>
    </w:p>
    <w:p>
      <w:pPr>
        <w:ind w:firstLine="560"/>
        <w:spacing w:line="400" w:lineRule="exact"/>
        <w:rPr>
          <w:rFonts w:hint="default"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25.1.14 如为专门面向中小微型企业采购的采购项目采购包，供应商未提供本项目所投采购包提供服务的人员均为依照《中华人民共和国劳动合同法》订立劳动合同的从业人员的书面声明（书面声明格式见招标文件第六章附件14）。</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25.2废标条款</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25.2.1符合专业条件的供应商或者对招标文件作实质响应的供应商不足三家的。</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25.2.2出现影响采购公正的违法、违规行为的。</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25.2.3因重大变故，采购任务取消的。</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25.2.4评标委员会认定招标文件存在歧义、重大缺陷导致评审工作无法进行。</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25.2.5 因苏采云系统故障原因造成开标不成功的。</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25.3 投标截止时间结束后参加投标的供应商不足三家的处理：</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25.3.1如出现投标截止时间结束后参加投标的供应商或者在评标期间对招标文件做出实质响应的供应商不足三家情况，按政府采购相关规定执行。</w:t>
      </w:r>
      <w:r/>
    </w:p>
    <w:p>
      <w:pPr>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132" w:name="_Toc120614219"/>
      <w:r>
        <w:rPr>
          <w:rFonts w:hint="eastAsia" w:ascii="方正黑体_GBK" w:hAnsi="方正黑体_GBK" w:eastAsia="方正黑体_GBK" w:cs="方正黑体_GBK"/>
          <w:color w:val="000000"/>
          <w:sz w:val="28"/>
          <w:szCs w:val="28"/>
          <w:highlight w:val="none"/>
        </w:rPr>
        <w:t xml:space="preserve">六、</w:t>
      </w:r>
      <w:bookmarkEnd w:id="129"/>
      <w:r/>
      <w:bookmarkEnd w:id="130"/>
      <w:r/>
      <w:bookmarkEnd w:id="131"/>
      <w:r>
        <w:rPr>
          <w:rFonts w:hint="eastAsia" w:ascii="方正黑体_GBK" w:hAnsi="方正黑体_GBK" w:eastAsia="方正黑体_GBK" w:cs="方正黑体_GBK"/>
          <w:color w:val="000000"/>
          <w:sz w:val="28"/>
          <w:szCs w:val="28"/>
          <w:highlight w:val="none"/>
        </w:rPr>
        <w:t xml:space="preserve">定标</w:t>
      </w:r>
      <w:bookmarkEnd w:id="132"/>
      <w:r/>
      <w:r/>
    </w:p>
    <w:p>
      <w:pPr>
        <w:ind w:firstLine="560"/>
        <w:spacing w:line="400" w:lineRule="exact"/>
        <w:rPr>
          <w:rFonts w:hint="eastAsia" w:ascii="方正仿宋_GBK" w:hAnsi="方正仿宋_GBK" w:eastAsia="方正仿宋_GBK" w:cs="方正仿宋_GBK"/>
          <w:sz w:val="28"/>
          <w:szCs w:val="28"/>
          <w:highlight w:val="none"/>
        </w:rPr>
      </w:pPr>
      <w:r/>
      <w:bookmarkStart w:id="133" w:name="_Toc513029238"/>
      <w:r/>
      <w:bookmarkStart w:id="134" w:name="_Toc16938554"/>
      <w:r/>
      <w:bookmarkStart w:id="135" w:name="_Toc20823310"/>
      <w:r>
        <w:rPr>
          <w:rFonts w:hint="eastAsia" w:ascii="方正仿宋_GBK" w:hAnsi="方正仿宋_GBK" w:eastAsia="方正仿宋_GBK" w:cs="方正仿宋_GBK"/>
          <w:sz w:val="28"/>
          <w:szCs w:val="28"/>
          <w:highlight w:val="none"/>
        </w:rPr>
        <w:t xml:space="preserve">26</w:t>
      </w:r>
      <w:bookmarkEnd w:id="133"/>
      <w:r>
        <w:rPr>
          <w:rFonts w:hint="eastAsia" w:ascii="方正仿宋_GBK" w:hAnsi="方正仿宋_GBK" w:eastAsia="方正仿宋_GBK" w:cs="方正仿宋_GBK"/>
          <w:sz w:val="28"/>
          <w:szCs w:val="28"/>
          <w:highlight w:val="none"/>
        </w:rPr>
        <w:t xml:space="preserve">.确定</w:t>
      </w:r>
      <w:bookmarkEnd w:id="134"/>
      <w:r/>
      <w:bookmarkEnd w:id="135"/>
      <w:r>
        <w:rPr>
          <w:rFonts w:hint="eastAsia" w:ascii="方正仿宋_GBK" w:hAnsi="方正仿宋_GBK" w:eastAsia="方正仿宋_GBK" w:cs="方正仿宋_GBK"/>
          <w:sz w:val="28"/>
          <w:szCs w:val="28"/>
          <w:highlight w:val="none"/>
        </w:rPr>
        <w:t xml:space="preserve">中标单位</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26.1中标候选人的选取原则和数量见招标文件第五章规定。 </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26.2采购人应根据评标委员会推荐的中标候选人确定中标供应商。</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26.3 采购中心将在“江苏政府采购网”发布中标公告，公告期限为1个工作日。</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26.4 若有充分证据证明，中标供应商出现下列情况之一的，一经查实，将被取消中标资格：</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26.4.1提供虚假材料谋取中标的。</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26.4.2向采购人、采购中心行贿或者提供其他不正当利益的。</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26.4.3属于本文件规定的无效条件，但在评标过程中又未被评标委员会发现的。</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26.4.4与采购人或者其他供应商恶意串通的。</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26.4.5采取不正当手段诋毁、排挤其他供应商的。</w:t>
      </w:r>
      <w:r/>
    </w:p>
    <w:p>
      <w:pPr>
        <w:ind w:firstLine="560"/>
        <w:spacing w:line="400" w:lineRule="exact"/>
        <w:rPr>
          <w:rFonts w:hint="eastAsia" w:ascii="方正仿宋_GBK" w:hAnsi="方正仿宋_GBK" w:eastAsia="方正仿宋_GBK" w:cs="方正仿宋_GBK"/>
          <w:sz w:val="28"/>
          <w:szCs w:val="28"/>
          <w:highlight w:val="none"/>
        </w:rPr>
      </w:pPr>
      <w:r/>
      <w:bookmarkStart w:id="136" w:name="_Toc200451960"/>
      <w:r>
        <w:rPr>
          <w:rFonts w:hint="eastAsia" w:ascii="方正仿宋_GBK" w:hAnsi="方正仿宋_GBK" w:eastAsia="方正仿宋_GBK" w:cs="方正仿宋_GBK"/>
          <w:sz w:val="28"/>
          <w:szCs w:val="28"/>
          <w:highlight w:val="none"/>
        </w:rPr>
        <w:t xml:space="preserve">26.5有下列情形之一的，视为投标人串通投标，投标无效：</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26.5.1不同投标人的投标文件由同一单位或者个人编制。</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26.5.2不同投标人委托同一单位或者个人办理投标事宜。</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26.5.3 不同投标人的投标文件载明的项目管理成员或者联系人员为同一人。</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26.5.4不同投标人的投标文件异常一致或者投标报价呈规律性差异。</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27.质疑处理</w:t>
      </w:r>
      <w:bookmarkEnd w:id="136"/>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27.1 提出质疑的供应商应当是参与所质疑项目采购活动的供应商。潜在供应商依法获取其可质疑的采购文件的，可以对采购文件提出质疑。</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27.2.1对可以质疑的采购文件提出质疑的，为收到采购文件之日或者采购文件公告期限届满之日；</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27.2.2对采购过程提出质疑的，为各采购程序环节结束之日；</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27.2.3对中标或者成交结果提出质疑的，为中标或者成交结果公告期限届满之日。</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采购人及采购中心只接收以纸质原件形式送达的质疑,建议供应商尽量通过邮寄方式提交质疑（采购人和采购中心不接受无快递运单号的快递）。</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采购中心质疑接收部门为质疑处理科（快递运单上的收件人填写“质疑处理科”即可），联系地址：南京市汉中门大街145号省政务中心二期3楼南区3029室，联系电话：025-83668531。</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采购人质疑接收人及联系方式见招标文件第一章。</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27.5 以下情形的质疑不予受理</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27.5.1 内容不符合《政府采购质疑和投诉办法》第十二条规定的质疑。</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27.5.2 超出政府采购法定期限的质疑。</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27.5.3 以传真、电子邮件等方式递交的非原件形式的质疑。</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27.5.4 未参加投标活动的供应商或在投标活动中自身权益未受到损害的供应商所提出的质疑。</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27.5.5供应商组成联合体参加投标，联合体中任何一方或多方未按要求签字、盖章、加盖公章的质疑。</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28.中标通知书</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137" w:name="_Toc120614220"/>
      <w:r/>
      <w:bookmarkStart w:id="138" w:name="_Toc20823308"/>
      <w:r/>
      <w:bookmarkStart w:id="139" w:name="_Toc513029236"/>
      <w:r/>
      <w:bookmarkStart w:id="140" w:name="_Toc16938552"/>
      <w:r>
        <w:rPr>
          <w:rFonts w:hint="eastAsia" w:ascii="方正黑体_GBK" w:hAnsi="方正黑体_GBK" w:eastAsia="方正黑体_GBK" w:cs="方正黑体_GBK"/>
          <w:color w:val="000000"/>
          <w:sz w:val="28"/>
          <w:szCs w:val="28"/>
          <w:highlight w:val="none"/>
        </w:rPr>
        <w:t xml:space="preserve">七、授予合同</w:t>
      </w:r>
      <w:bookmarkEnd w:id="137"/>
      <w:r/>
      <w:bookmarkEnd w:id="138"/>
      <w:r/>
      <w:bookmarkEnd w:id="139"/>
      <w:r/>
      <w:bookmarkEnd w:id="140"/>
      <w:r/>
      <w:r/>
    </w:p>
    <w:p>
      <w:pPr>
        <w:ind w:firstLine="560"/>
        <w:spacing w:line="400" w:lineRule="exact"/>
        <w:rPr>
          <w:rFonts w:hint="eastAsia" w:ascii="方正仿宋_GBK" w:hAnsi="方正仿宋_GBK" w:eastAsia="方正仿宋_GBK" w:cs="方正仿宋_GBK"/>
          <w:sz w:val="28"/>
          <w:szCs w:val="28"/>
          <w:highlight w:val="none"/>
        </w:rPr>
      </w:pPr>
      <w:r/>
      <w:bookmarkStart w:id="141" w:name="_Toc20823309"/>
      <w:r/>
      <w:bookmarkStart w:id="142" w:name="_Toc16938553"/>
      <w:r/>
      <w:bookmarkStart w:id="143" w:name="_Toc513029237"/>
      <w:r>
        <w:rPr>
          <w:rFonts w:hint="eastAsia" w:ascii="方正仿宋_GBK" w:hAnsi="方正仿宋_GBK" w:eastAsia="方正仿宋_GBK" w:cs="方正仿宋_GBK"/>
          <w:sz w:val="28"/>
          <w:szCs w:val="28"/>
          <w:highlight w:val="none"/>
        </w:rPr>
        <w:t xml:space="preserve">29.签订合同</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29.l中标供应商应当在中标通知书发出之日起三十日内，按照招标文件确定的事项与采购人签订政府采购合同。</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29.2 招标文件、中标供应商的投标文件及招标过程中有关澄清、承诺文件均应作为合同附件。</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30.服务（包含与服务相关的货物）的追加</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41"/>
      <w:r/>
      <w:bookmarkEnd w:id="142"/>
      <w:r/>
      <w:bookmarkEnd w:id="143"/>
      <w:r/>
      <w:r/>
    </w:p>
    <w:p>
      <w:pPr>
        <w:ind w:firstLine="560"/>
        <w:spacing w:line="400" w:lineRule="exact"/>
        <w:rPr>
          <w:rFonts w:hint="eastAsia" w:ascii="方正仿宋_GBK" w:hAnsi="方正仿宋_GBK" w:eastAsia="方正仿宋_GBK" w:cs="方正仿宋_GBK"/>
          <w:sz w:val="28"/>
          <w:szCs w:val="28"/>
          <w:highlight w:val="none"/>
        </w:rPr>
      </w:pPr>
      <w:r/>
      <w:bookmarkStart w:id="144" w:name="_Toc16938558"/>
      <w:r/>
      <w:bookmarkStart w:id="145" w:name="_Toc20823314"/>
      <w:r/>
      <w:bookmarkStart w:id="146" w:name="_Toc513029242"/>
      <w:r/>
      <w:bookmarkStart w:id="147" w:name="_Toc479757207"/>
      <w:r/>
      <w:bookmarkStart w:id="148" w:name="_Toc120614221"/>
      <w:r>
        <w:rPr>
          <w:rFonts w:hint="eastAsia" w:ascii="方正仿宋_GBK" w:hAnsi="方正仿宋_GBK" w:eastAsia="方正仿宋_GBK" w:cs="方正仿宋_GBK"/>
          <w:sz w:val="28"/>
          <w:szCs w:val="28"/>
          <w:highlight w:val="none"/>
        </w:rPr>
        <w:t xml:space="preserve">31.政府采购履约资金扶持政策</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中标供应商可凭政府采购合同办理融资贷款，详情请见江苏政府采购网“政采贷”专栏。</w:t>
      </w:r>
      <w:r/>
    </w:p>
    <w:p>
      <w:pPr>
        <w:pStyle w:val="944"/>
        <w:spacing w:line="400" w:lineRule="exact"/>
        <w:rPr>
          <w:rFonts w:hint="eastAsia" w:ascii="宋体" w:hAnsi="宋体"/>
          <w:bCs/>
          <w:sz w:val="24"/>
          <w:highlight w:val="none"/>
        </w:rPr>
      </w:pPr>
      <w:r>
        <w:rPr>
          <w:rFonts w:hint="eastAsia" w:ascii="宋体" w:hAnsi="宋体"/>
          <w:bCs/>
          <w:sz w:val="24"/>
          <w:highlight w:val="none"/>
        </w:rPr>
      </w:r>
      <w:r/>
    </w:p>
    <w:p>
      <w:pPr>
        <w:pStyle w:val="944"/>
        <w:spacing w:line="400" w:lineRule="exact"/>
        <w:rPr>
          <w:rFonts w:hint="eastAsia" w:ascii="宋体" w:hAnsi="宋体"/>
          <w:bCs/>
          <w:sz w:val="24"/>
          <w:highlight w:val="none"/>
        </w:rPr>
      </w:pPr>
      <w:r>
        <w:rPr>
          <w:rFonts w:hint="eastAsia" w:ascii="宋体" w:hAnsi="宋体"/>
          <w:bCs/>
          <w:sz w:val="24"/>
          <w:highlight w:val="none"/>
        </w:rPr>
      </w:r>
      <w:r/>
    </w:p>
    <w:p>
      <w:pPr>
        <w:pStyle w:val="944"/>
        <w:spacing w:line="400" w:lineRule="exact"/>
        <w:rPr>
          <w:rFonts w:hint="eastAsia" w:ascii="宋体" w:hAnsi="宋体"/>
          <w:bCs/>
          <w:sz w:val="24"/>
          <w:highlight w:val="none"/>
        </w:rPr>
      </w:pPr>
      <w:r>
        <w:rPr>
          <w:rFonts w:hint="eastAsia" w:ascii="宋体" w:hAnsi="宋体"/>
          <w:bCs/>
          <w:sz w:val="24"/>
          <w:highlight w:val="none"/>
        </w:rPr>
      </w:r>
      <w:r/>
    </w:p>
    <w:p>
      <w:pPr>
        <w:pStyle w:val="944"/>
        <w:spacing w:line="400" w:lineRule="exact"/>
        <w:rPr>
          <w:rFonts w:hint="eastAsia" w:ascii="宋体" w:hAnsi="宋体"/>
          <w:bCs/>
          <w:sz w:val="24"/>
          <w:highlight w:val="none"/>
        </w:rPr>
      </w:pPr>
      <w:r>
        <w:rPr>
          <w:rFonts w:hint="eastAsia" w:ascii="宋体" w:hAnsi="宋体"/>
          <w:bCs/>
          <w:sz w:val="24"/>
          <w:highlight w:val="none"/>
        </w:rPr>
      </w:r>
      <w:r/>
    </w:p>
    <w:p>
      <w:pPr>
        <w:pStyle w:val="944"/>
        <w:spacing w:line="400" w:lineRule="exact"/>
        <w:rPr>
          <w:rFonts w:hint="eastAsia" w:ascii="宋体" w:hAnsi="宋体"/>
          <w:bCs/>
          <w:sz w:val="24"/>
          <w:highlight w:val="none"/>
        </w:rPr>
      </w:pPr>
      <w:r>
        <w:rPr>
          <w:rFonts w:hint="eastAsia" w:ascii="宋体" w:hAnsi="宋体"/>
          <w:bCs/>
          <w:sz w:val="24"/>
          <w:highlight w:val="none"/>
        </w:rPr>
      </w:r>
      <w:r/>
    </w:p>
    <w:p>
      <w:pPr>
        <w:pStyle w:val="944"/>
        <w:spacing w:line="400" w:lineRule="exact"/>
        <w:rPr>
          <w:rFonts w:hint="eastAsia" w:ascii="宋体" w:hAnsi="宋体"/>
          <w:bCs/>
          <w:sz w:val="24"/>
          <w:highlight w:val="none"/>
        </w:rPr>
      </w:pPr>
      <w:r>
        <w:rPr>
          <w:rFonts w:hint="eastAsia" w:ascii="宋体" w:hAnsi="宋体"/>
          <w:bCs/>
          <w:sz w:val="24"/>
          <w:highlight w:val="none"/>
        </w:rPr>
      </w:r>
      <w:r/>
    </w:p>
    <w:p>
      <w:pPr>
        <w:pStyle w:val="944"/>
        <w:spacing w:line="400" w:lineRule="exact"/>
        <w:rPr>
          <w:rFonts w:hint="eastAsia" w:ascii="宋体" w:hAnsi="宋体"/>
          <w:bCs/>
          <w:sz w:val="24"/>
          <w:highlight w:val="none"/>
        </w:rPr>
      </w:pPr>
      <w:r>
        <w:rPr>
          <w:rFonts w:hint="eastAsia" w:ascii="宋体" w:hAnsi="宋体"/>
          <w:bCs/>
          <w:sz w:val="24"/>
          <w:highlight w:val="none"/>
        </w:rPr>
      </w:r>
      <w:r/>
    </w:p>
    <w:p>
      <w:pPr>
        <w:pStyle w:val="944"/>
        <w:spacing w:line="400" w:lineRule="exact"/>
        <w:rPr>
          <w:rFonts w:hint="eastAsia" w:ascii="宋体" w:hAnsi="宋体"/>
          <w:bCs/>
          <w:sz w:val="24"/>
          <w:highlight w:val="none"/>
        </w:rPr>
      </w:pPr>
      <w:r>
        <w:rPr>
          <w:rFonts w:hint="eastAsia" w:ascii="宋体" w:hAnsi="宋体"/>
          <w:bCs/>
          <w:sz w:val="24"/>
          <w:highlight w:val="none"/>
        </w:rPr>
      </w:r>
      <w:r/>
    </w:p>
    <w:p>
      <w:pPr>
        <w:ind w:right="839"/>
        <w:jc w:val="center"/>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第三章  合同</w:t>
      </w:r>
      <w:bookmarkEnd w:id="144"/>
      <w:r/>
      <w:bookmarkEnd w:id="145"/>
      <w:r/>
      <w:bookmarkEnd w:id="146"/>
      <w:r/>
      <w:bookmarkEnd w:id="147"/>
      <w:r/>
      <w:bookmarkEnd w:id="148"/>
      <w:r>
        <w:rPr>
          <w:rFonts w:hint="eastAsia" w:ascii="方正黑体_GBK" w:hAnsi="方正黑体_GBK" w:eastAsia="方正黑体_GBK" w:cs="方正黑体_GBK"/>
          <w:color w:val="000000"/>
          <w:sz w:val="28"/>
          <w:szCs w:val="28"/>
          <w:highlight w:val="none"/>
        </w:rPr>
        <w:t xml:space="preserve">文本</w:t>
      </w:r>
      <w:r/>
    </w:p>
    <w:p>
      <w:pPr>
        <w:ind w:firstLine="560"/>
        <w:spacing w:line="400" w:lineRule="exact"/>
        <w:rPr>
          <w:rFonts w:hint="eastAsia" w:ascii="方正仿宋_GBK" w:hAnsi="方正仿宋_GBK" w:eastAsia="方正仿宋_GBK" w:cs="方正仿宋_GBK"/>
          <w:bCs/>
          <w:sz w:val="28"/>
          <w:szCs w:val="28"/>
          <w:highlight w:val="none"/>
        </w:rPr>
      </w:pPr>
      <w:r/>
      <w:bookmarkStart w:id="149" w:name="_Toc16938559"/>
      <w:r/>
      <w:bookmarkStart w:id="150" w:name="_Toc513029243"/>
      <w:r/>
      <w:bookmarkStart w:id="151" w:name="_Toc20823315"/>
      <w:r/>
      <w:r/>
    </w:p>
    <w:p>
      <w:pPr>
        <w:pStyle w:val="972"/>
        <w:jc w:val="center"/>
        <w:spacing w:line="400" w:lineRule="exact"/>
        <w:rPr>
          <w:rFonts w:hint="eastAsia" w:ascii="方正黑体_GBK" w:hAnsi="方正黑体_GBK" w:eastAsia="方正黑体_GBK" w:cs="方正黑体_GBK"/>
          <w:spacing w:val="-20"/>
          <w:highlight w:val="none"/>
        </w:rPr>
      </w:pPr>
      <w:r>
        <w:rPr>
          <w:rFonts w:hint="eastAsia" w:ascii="方正黑体_GBK" w:hAnsi="方正黑体_GBK" w:eastAsia="方正黑体_GBK" w:cs="方正黑体_GBK"/>
          <w:spacing w:val="-20"/>
          <w:highlight w:val="none"/>
        </w:rPr>
      </w:r>
      <w:bookmarkEnd w:id="149"/>
      <w:r/>
      <w:bookmarkEnd w:id="150"/>
      <w:r/>
      <w:bookmarkEnd w:id="151"/>
      <w:r/>
      <w:r/>
    </w:p>
    <w:p>
      <w:pPr>
        <w:jc w:val="center"/>
        <w:spacing w:before="145" w:after="145"/>
        <w:rPr>
          <w:rFonts w:ascii="宋体" w:hAnsi="宋体"/>
          <w:b/>
          <w:bCs/>
          <w:sz w:val="30"/>
          <w:szCs w:val="20"/>
          <w:highlight w:val="none"/>
        </w:rPr>
        <w:outlineLvl w:val="0"/>
      </w:pPr>
      <w:r/>
      <w:bookmarkStart w:id="152" w:name="_Hlt16619350"/>
      <w:r/>
      <w:bookmarkStart w:id="153" w:name="_Toc120614244"/>
      <w:r/>
      <w:bookmarkStart w:id="154" w:name="_Toc16938590"/>
      <w:r/>
      <w:bookmarkStart w:id="155" w:name="_Toc20823346"/>
      <w:r/>
      <w:bookmarkStart w:id="156" w:name="_Toc479757211"/>
      <w:r/>
      <w:bookmarkStart w:id="157" w:name="_Toc462564139"/>
      <w:r>
        <w:rPr>
          <w:rFonts w:hint="eastAsia" w:ascii="宋体" w:hAnsi="宋体"/>
          <w:b/>
          <w:sz w:val="30"/>
          <w:highlight w:val="none"/>
        </w:rPr>
        <w:t xml:space="preserve">江苏省政府采购合同（服务）（合同编号）</w:t>
      </w:r>
      <w:r/>
    </w:p>
    <w:p>
      <w:pPr>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w:t>
      </w:r>
      <w:r>
        <w:rPr>
          <w:rFonts w:hint="eastAsia" w:ascii="宋体" w:hAnsi="宋体"/>
          <w:sz w:val="24"/>
          <w:szCs w:val="24"/>
          <w:highlight w:val="none"/>
        </w:rPr>
        <w:t xml:space="preserve">江苏法院“一张网”专线租赁项目</w:t>
      </w:r>
      <w:r/>
    </w:p>
    <w:p>
      <w:pPr>
        <w:spacing w:before="120" w:after="120"/>
        <w:rPr>
          <w:rFonts w:ascii="宋体" w:hAnsi="宋体" w:cs="Courier New"/>
          <w:color w:val="ff0000"/>
          <w:sz w:val="24"/>
          <w:szCs w:val="24"/>
          <w:highlight w:val="none"/>
        </w:rPr>
      </w:pPr>
      <w:r>
        <w:rPr>
          <w:rFonts w:hint="eastAsia" w:ascii="宋体" w:hAnsi="宋体" w:cs="Courier New"/>
          <w:color w:val="000000"/>
          <w:sz w:val="24"/>
          <w:szCs w:val="24"/>
          <w:highlight w:val="none"/>
        </w:rPr>
        <w:t xml:space="preserve">采购编号</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            </w:t>
      </w:r>
      <w:r/>
    </w:p>
    <w:p>
      <w:pPr>
        <w:spacing w:before="120" w:after="120"/>
        <w:rPr>
          <w:rFonts w:ascii="宋体" w:hAnsi="宋体" w:cs="Courier New"/>
          <w:sz w:val="24"/>
          <w:szCs w:val="24"/>
          <w:highlight w:val="none"/>
        </w:rPr>
      </w:pPr>
      <w:r>
        <w:rPr>
          <w:rFonts w:hint="eastAsia" w:ascii="宋体" w:hAnsi="宋体" w:cs="Courier New"/>
          <w:sz w:val="24"/>
          <w:szCs w:val="24"/>
          <w:highlight w:val="none"/>
        </w:rPr>
        <w:t xml:space="preserve">采购包号：*</w:t>
      </w:r>
      <w:r>
        <w:rPr>
          <w:rFonts w:ascii="宋体" w:hAnsi="宋体" w:cs="Courier New"/>
          <w:sz w:val="24"/>
          <w:szCs w:val="24"/>
          <w:highlight w:val="none"/>
        </w:rPr>
        <w:t xml:space="preserve">****</w:t>
      </w:r>
      <w:r/>
    </w:p>
    <w:p>
      <w:pPr>
        <w:pStyle w:val="979"/>
        <w:spacing w:before="120" w:after="120"/>
        <w:rPr>
          <w:rFonts w:hAnsi="宋体"/>
          <w:sz w:val="24"/>
          <w:szCs w:val="24"/>
          <w:highlight w:val="none"/>
        </w:rPr>
      </w:pPr>
      <w:r>
        <w:rPr>
          <w:rFonts w:hAnsi="宋体"/>
          <w:sz w:val="24"/>
          <w:szCs w:val="24"/>
          <w:highlight w:val="none"/>
        </w:rPr>
        <w:t xml:space="preserve">甲方：（买方</w:t>
      </w:r>
      <w:r>
        <w:rPr>
          <w:rFonts w:hint="eastAsia" w:hAnsi="宋体"/>
          <w:sz w:val="24"/>
          <w:szCs w:val="24"/>
          <w:highlight w:val="none"/>
        </w:rPr>
        <w:t xml:space="preserve">/采购人</w:t>
      </w:r>
      <w:r>
        <w:rPr>
          <w:rFonts w:hAnsi="宋体"/>
          <w:sz w:val="24"/>
          <w:szCs w:val="24"/>
          <w:highlight w:val="none"/>
        </w:rPr>
        <w:t xml:space="preserve">）_</w:t>
      </w:r>
      <w:r>
        <w:rPr>
          <w:rFonts w:hint="eastAsia" w:hAnsi="宋体"/>
          <w:sz w:val="24"/>
          <w:szCs w:val="24"/>
          <w:highlight w:val="none"/>
          <w:u w:val="single"/>
        </w:rPr>
        <w:t xml:space="preserve">江苏省</w:t>
      </w:r>
      <w:r>
        <w:rPr>
          <w:rFonts w:hAnsi="宋体"/>
          <w:sz w:val="24"/>
          <w:szCs w:val="24"/>
          <w:highlight w:val="none"/>
          <w:u w:val="single"/>
        </w:rPr>
        <w:t xml:space="preserve">高级人民法院_</w:t>
      </w:r>
      <w:r/>
    </w:p>
    <w:p>
      <w:pPr>
        <w:pStyle w:val="979"/>
        <w:spacing w:before="120" w:after="120"/>
        <w:rPr>
          <w:rFonts w:hAnsi="宋体"/>
          <w:sz w:val="24"/>
          <w:szCs w:val="24"/>
          <w:highlight w:val="none"/>
        </w:rPr>
      </w:pPr>
      <w:r>
        <w:rPr>
          <w:rFonts w:hAnsi="宋体"/>
          <w:sz w:val="24"/>
          <w:szCs w:val="24"/>
          <w:highlight w:val="none"/>
        </w:rPr>
        <w:t xml:space="preserve">乙方：（卖方</w:t>
      </w:r>
      <w:r>
        <w:rPr>
          <w:rFonts w:hint="eastAsia" w:hAnsi="宋体"/>
          <w:sz w:val="24"/>
          <w:szCs w:val="24"/>
          <w:highlight w:val="none"/>
        </w:rPr>
        <w:t xml:space="preserve">/中标</w:t>
      </w:r>
      <w:r>
        <w:rPr>
          <w:rFonts w:hAnsi="宋体"/>
          <w:sz w:val="24"/>
          <w:szCs w:val="24"/>
          <w:highlight w:val="none"/>
        </w:rPr>
        <w:t xml:space="preserve">供应商）_________</w:t>
      </w:r>
      <w:r/>
    </w:p>
    <w:p>
      <w:pPr>
        <w:pStyle w:val="979"/>
        <w:spacing w:before="120" w:after="120"/>
        <w:rPr>
          <w:rFonts w:hAnsi="宋体"/>
          <w:b/>
          <w:sz w:val="24"/>
          <w:szCs w:val="24"/>
          <w:highlight w:val="none"/>
        </w:rPr>
      </w:pPr>
      <w:r>
        <w:rPr>
          <w:rFonts w:hAnsi="宋体"/>
          <w:sz w:val="24"/>
          <w:szCs w:val="24"/>
          <w:highlight w:val="none"/>
        </w:rPr>
        <w:t xml:space="preserve">甲、乙双方根据</w:t>
      </w:r>
      <w:r>
        <w:rPr>
          <w:rFonts w:hint="eastAsia" w:hAnsi="宋体"/>
          <w:sz w:val="24"/>
          <w:szCs w:val="24"/>
          <w:highlight w:val="none"/>
        </w:rPr>
        <w:t xml:space="preserve">江苏省政府采购中心</w:t>
      </w:r>
      <w:r>
        <w:rPr>
          <w:rFonts w:hint="eastAsia" w:hAnsi="宋体"/>
          <w:sz w:val="24"/>
          <w:szCs w:val="24"/>
          <w:highlight w:val="none"/>
          <w:u w:val="single"/>
        </w:rPr>
        <w:t xml:space="preserve">江苏法院“一张网”专线租赁</w:t>
      </w:r>
      <w:r>
        <w:rPr>
          <w:rFonts w:hAnsi="宋体"/>
          <w:sz w:val="24"/>
          <w:szCs w:val="24"/>
          <w:highlight w:val="none"/>
          <w:u w:val="single"/>
        </w:rPr>
        <w:t xml:space="preserve">项目</w:t>
      </w:r>
      <w:r>
        <w:rPr>
          <w:rFonts w:hAnsi="宋体"/>
          <w:sz w:val="24"/>
          <w:szCs w:val="24"/>
          <w:highlight w:val="none"/>
        </w:rPr>
        <w:t xml:space="preserve">公开招标的结果，签署本合同。</w:t>
      </w:r>
      <w:r/>
    </w:p>
    <w:p>
      <w:pPr>
        <w:pStyle w:val="979"/>
        <w:spacing w:before="120" w:after="120"/>
        <w:rPr>
          <w:rFonts w:hAnsi="宋体"/>
          <w:b/>
          <w:sz w:val="24"/>
          <w:szCs w:val="24"/>
          <w:highlight w:val="none"/>
        </w:rPr>
      </w:pPr>
      <w:r>
        <w:rPr>
          <w:rFonts w:hAnsi="宋体"/>
          <w:b/>
          <w:sz w:val="24"/>
          <w:szCs w:val="24"/>
          <w:highlight w:val="none"/>
        </w:rPr>
        <w:t xml:space="preserve">一、</w:t>
      </w:r>
      <w:r>
        <w:rPr>
          <w:rFonts w:hint="eastAsia" w:hAnsi="宋体"/>
          <w:b/>
          <w:sz w:val="24"/>
          <w:szCs w:val="24"/>
          <w:highlight w:val="none"/>
        </w:rPr>
        <w:t xml:space="preserve">合同</w:t>
      </w:r>
      <w:r>
        <w:rPr>
          <w:rFonts w:hAnsi="宋体"/>
          <w:b/>
          <w:sz w:val="24"/>
          <w:szCs w:val="24"/>
          <w:highlight w:val="none"/>
        </w:rPr>
        <w:t xml:space="preserve">内容</w:t>
      </w:r>
      <w:r/>
    </w:p>
    <w:p>
      <w:pPr>
        <w:pStyle w:val="979"/>
        <w:spacing w:before="120" w:after="120"/>
        <w:rPr>
          <w:rFonts w:hAnsi="宋体"/>
          <w:sz w:val="24"/>
          <w:szCs w:val="24"/>
          <w:highlight w:val="none"/>
        </w:rPr>
      </w:pPr>
      <w:r>
        <w:rPr>
          <w:rFonts w:hAnsi="宋体"/>
          <w:sz w:val="24"/>
          <w:szCs w:val="24"/>
          <w:highlight w:val="none"/>
        </w:rPr>
        <w:t xml:space="preserve">1.1 </w:t>
      </w:r>
      <w:r>
        <w:rPr>
          <w:rFonts w:hint="eastAsia" w:hAnsi="宋体"/>
          <w:sz w:val="24"/>
          <w:szCs w:val="24"/>
          <w:highlight w:val="none"/>
        </w:rPr>
        <w:t xml:space="preserve">标的</w:t>
      </w:r>
      <w:r>
        <w:rPr>
          <w:rFonts w:hAnsi="宋体"/>
          <w:sz w:val="24"/>
          <w:szCs w:val="24"/>
          <w:highlight w:val="none"/>
        </w:rPr>
        <w:t xml:space="preserve">名称：</w:t>
      </w:r>
      <w:r>
        <w:rPr>
          <w:rFonts w:hint="eastAsia" w:hAnsi="宋体"/>
          <w:sz w:val="24"/>
          <w:szCs w:val="24"/>
          <w:highlight w:val="none"/>
        </w:rPr>
        <w:t xml:space="preserve">江苏法院“一张网”专线租赁项目</w:t>
      </w:r>
      <w:r/>
    </w:p>
    <w:p>
      <w:pPr>
        <w:pStyle w:val="979"/>
        <w:spacing w:before="120" w:after="120"/>
        <w:rPr>
          <w:rFonts w:hAnsi="宋体"/>
          <w:sz w:val="24"/>
          <w:szCs w:val="24"/>
          <w:highlight w:val="none"/>
        </w:rPr>
      </w:pPr>
      <w:r>
        <w:rPr>
          <w:rFonts w:hAnsi="宋体"/>
          <w:sz w:val="24"/>
          <w:szCs w:val="24"/>
          <w:highlight w:val="none"/>
        </w:rPr>
        <w:t xml:space="preserve">1.2</w:t>
      </w:r>
      <w:r>
        <w:rPr>
          <w:rFonts w:hint="eastAsia" w:hAnsi="宋体"/>
          <w:sz w:val="24"/>
          <w:szCs w:val="24"/>
          <w:highlight w:val="none"/>
        </w:rPr>
        <w:t xml:space="preserve">标的质量：</w:t>
      </w:r>
      <w:r/>
    </w:p>
    <w:p>
      <w:pPr>
        <w:pStyle w:val="979"/>
        <w:spacing w:before="120" w:after="120"/>
        <w:rPr>
          <w:rFonts w:hAnsi="宋体"/>
          <w:sz w:val="24"/>
          <w:szCs w:val="24"/>
          <w:highlight w:val="none"/>
        </w:rPr>
      </w:pPr>
      <w:r>
        <w:rPr>
          <w:rFonts w:hint="eastAsia" w:hAnsi="宋体"/>
          <w:sz w:val="24"/>
          <w:szCs w:val="24"/>
          <w:highlight w:val="none"/>
        </w:rPr>
        <w:t xml:space="preserve">1.3 标的数量（规模）：</w:t>
      </w:r>
      <w:r/>
    </w:p>
    <w:p>
      <w:pPr>
        <w:pStyle w:val="979"/>
        <w:spacing w:before="120" w:after="120"/>
        <w:rPr>
          <w:rFonts w:hAnsi="宋体"/>
          <w:sz w:val="24"/>
          <w:szCs w:val="24"/>
          <w:highlight w:val="none"/>
        </w:rPr>
      </w:pPr>
      <w:r>
        <w:rPr>
          <w:rFonts w:hint="eastAsia" w:hAnsi="宋体"/>
          <w:sz w:val="24"/>
          <w:szCs w:val="24"/>
          <w:highlight w:val="none"/>
        </w:rPr>
        <w:t xml:space="preserve">1.4 履行时间（期限）：项目交付验收合格之日或最高法院“一张网”云资源租赁采购生效之日（以较晚日期起算）起三年</w:t>
      </w:r>
      <w:r>
        <w:rPr>
          <w:rFonts w:hAnsi="宋体"/>
          <w:sz w:val="24"/>
          <w:szCs w:val="24"/>
          <w:highlight w:val="none"/>
        </w:rPr>
        <w:t xml:space="preserve">。</w:t>
      </w:r>
      <w:r/>
    </w:p>
    <w:p>
      <w:pPr>
        <w:pStyle w:val="979"/>
        <w:spacing w:before="120" w:after="120"/>
        <w:rPr>
          <w:rFonts w:hAnsi="宋体"/>
          <w:sz w:val="24"/>
          <w:szCs w:val="24"/>
          <w:highlight w:val="none"/>
        </w:rPr>
      </w:pPr>
      <w:r>
        <w:rPr>
          <w:rFonts w:hint="eastAsia" w:hAnsi="宋体"/>
          <w:sz w:val="24"/>
          <w:szCs w:val="24"/>
          <w:highlight w:val="none"/>
        </w:rPr>
        <w:t xml:space="preserve">1.5 履行地点：全省三级法院办公区。</w:t>
      </w:r>
      <w:r/>
    </w:p>
    <w:p>
      <w:pPr>
        <w:pStyle w:val="979"/>
        <w:spacing w:before="120" w:after="120"/>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6履行方式： 根据招标文件和投标文件执行</w:t>
      </w:r>
      <w:r/>
    </w:p>
    <w:p>
      <w:pPr>
        <w:pStyle w:val="979"/>
        <w:spacing w:before="120" w:after="120"/>
        <w:rPr>
          <w:rFonts w:hAnsi="宋体"/>
          <w:b/>
          <w:sz w:val="24"/>
          <w:szCs w:val="24"/>
          <w:highlight w:val="none"/>
        </w:rPr>
      </w:pPr>
      <w:r>
        <w:rPr>
          <w:rFonts w:hAnsi="宋体"/>
          <w:b/>
          <w:sz w:val="24"/>
          <w:szCs w:val="24"/>
          <w:highlight w:val="none"/>
        </w:rPr>
        <w:t xml:space="preserve">二、合同金额</w:t>
      </w:r>
      <w:r/>
    </w:p>
    <w:p>
      <w:pPr>
        <w:pStyle w:val="979"/>
        <w:ind w:left="410" w:hanging="410"/>
        <w:spacing w:before="120" w:after="120"/>
        <w:rPr>
          <w:rFonts w:hAnsi="宋体"/>
          <w:sz w:val="24"/>
          <w:szCs w:val="24"/>
          <w:highlight w:val="none"/>
        </w:rPr>
      </w:pPr>
      <w:r>
        <w:rPr>
          <w:rFonts w:hAnsi="宋体"/>
          <w:sz w:val="24"/>
          <w:szCs w:val="24"/>
          <w:highlight w:val="none"/>
        </w:rPr>
        <w:t xml:space="preserve">2.1 本合同金额为（大写）：________</w:t>
      </w:r>
      <w:r>
        <w:rPr>
          <w:rFonts w:hint="eastAsia" w:hAnsi="宋体"/>
          <w:sz w:val="24"/>
          <w:szCs w:val="24"/>
          <w:highlight w:val="none"/>
        </w:rPr>
        <w:t xml:space="preserve">圆</w:t>
      </w:r>
      <w:r>
        <w:rPr>
          <w:rFonts w:hAnsi="宋体"/>
          <w:sz w:val="24"/>
          <w:szCs w:val="24"/>
          <w:highlight w:val="none"/>
        </w:rPr>
        <w:t xml:space="preserve">（________元）人民币。</w:t>
      </w:r>
      <w:r/>
    </w:p>
    <w:p>
      <w:pPr>
        <w:pStyle w:val="979"/>
        <w:spacing w:before="120" w:after="120"/>
        <w:rPr>
          <w:rFonts w:hAnsi="宋体"/>
          <w:b/>
          <w:sz w:val="24"/>
          <w:szCs w:val="24"/>
          <w:highlight w:val="none"/>
        </w:rPr>
      </w:pPr>
      <w:r>
        <w:rPr>
          <w:rFonts w:hAnsi="宋体"/>
          <w:b/>
          <w:sz w:val="24"/>
          <w:szCs w:val="24"/>
          <w:highlight w:val="none"/>
        </w:rPr>
        <w:t xml:space="preserve">三、技术资料</w:t>
      </w:r>
      <w:r/>
    </w:p>
    <w:p>
      <w:pPr>
        <w:pStyle w:val="979"/>
        <w:ind w:left="410" w:hanging="410"/>
        <w:spacing w:before="120" w:after="120"/>
        <w:rPr>
          <w:rFonts w:hAnsi="宋体"/>
          <w:sz w:val="24"/>
          <w:szCs w:val="24"/>
          <w:highlight w:val="none"/>
        </w:rPr>
      </w:pPr>
      <w:r>
        <w:rPr>
          <w:rFonts w:hAnsi="宋体"/>
          <w:sz w:val="24"/>
          <w:szCs w:val="24"/>
          <w:highlight w:val="none"/>
        </w:rPr>
        <w:t xml:space="preserve">3.1乙方应按招标文件规定的时间向甲方提供服务</w:t>
      </w:r>
      <w:r>
        <w:rPr>
          <w:rFonts w:hint="eastAsia" w:hAnsi="宋体"/>
          <w:sz w:val="24"/>
          <w:szCs w:val="24"/>
          <w:highlight w:val="none"/>
        </w:rPr>
        <w:t xml:space="preserve">（包含与服务相关的货物）</w:t>
      </w:r>
      <w:r>
        <w:rPr>
          <w:rFonts w:hAnsi="宋体"/>
          <w:sz w:val="24"/>
          <w:szCs w:val="24"/>
          <w:highlight w:val="none"/>
        </w:rPr>
        <w:t xml:space="preserve">的有关技术资料。</w:t>
      </w:r>
      <w:r/>
    </w:p>
    <w:p>
      <w:pPr>
        <w:pStyle w:val="979"/>
        <w:ind w:left="410" w:hanging="410"/>
        <w:spacing w:before="120" w:after="120"/>
        <w:rPr>
          <w:rFonts w:hAnsi="宋体"/>
          <w:sz w:val="24"/>
          <w:szCs w:val="24"/>
          <w:highlight w:val="none"/>
        </w:rPr>
      </w:pPr>
      <w:r>
        <w:rPr>
          <w:rFonts w:hAnsi="宋体"/>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79"/>
        <w:ind w:left="412" w:hanging="412"/>
        <w:spacing w:before="120" w:after="120"/>
        <w:rPr>
          <w:rFonts w:hAnsi="宋体"/>
          <w:b/>
          <w:sz w:val="24"/>
          <w:szCs w:val="24"/>
          <w:highlight w:val="none"/>
        </w:rPr>
      </w:pPr>
      <w:r>
        <w:rPr>
          <w:rFonts w:hAnsi="宋体"/>
          <w:b/>
          <w:sz w:val="24"/>
          <w:szCs w:val="24"/>
          <w:highlight w:val="none"/>
        </w:rPr>
        <w:t xml:space="preserve">四、知识产权</w:t>
      </w:r>
      <w:r/>
    </w:p>
    <w:p>
      <w:pPr>
        <w:pStyle w:val="979"/>
        <w:ind w:left="408" w:hanging="408"/>
        <w:spacing w:before="120" w:after="120"/>
        <w:rPr>
          <w:rFonts w:hAnsi="宋体"/>
          <w:sz w:val="24"/>
          <w:szCs w:val="24"/>
          <w:highlight w:val="none"/>
        </w:rPr>
      </w:pPr>
      <w:r>
        <w:rPr>
          <w:rFonts w:hAnsi="宋体"/>
          <w:sz w:val="24"/>
          <w:szCs w:val="24"/>
          <w:highlight w:val="none"/>
        </w:rPr>
        <w:t xml:space="preserve">4.1乙</w:t>
      </w:r>
      <w:r>
        <w:rPr>
          <w:rFonts w:hint="eastAsia" w:hAnsi="宋体"/>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79"/>
        <w:spacing w:before="120" w:after="120"/>
        <w:rPr>
          <w:rFonts w:hAnsi="宋体"/>
          <w:sz w:val="24"/>
          <w:szCs w:val="24"/>
          <w:highlight w:val="none"/>
          <w:u w:val="single"/>
        </w:rPr>
      </w:pPr>
      <w:r>
        <w:rPr>
          <w:rFonts w:hAnsi="宋体"/>
          <w:b/>
          <w:sz w:val="24"/>
          <w:szCs w:val="24"/>
          <w:highlight w:val="none"/>
        </w:rPr>
        <w:t xml:space="preserve">五、产权担保</w:t>
      </w:r>
      <w:r/>
    </w:p>
    <w:p>
      <w:pPr>
        <w:pStyle w:val="979"/>
        <w:ind w:left="408" w:hanging="408"/>
        <w:spacing w:before="120" w:after="120"/>
        <w:rPr>
          <w:rFonts w:hAnsi="宋体"/>
          <w:sz w:val="24"/>
          <w:szCs w:val="24"/>
          <w:highlight w:val="none"/>
          <w:u w:val="single"/>
        </w:rPr>
      </w:pPr>
      <w:r>
        <w:rPr>
          <w:rFonts w:hAnsi="宋体"/>
          <w:sz w:val="24"/>
          <w:szCs w:val="24"/>
          <w:highlight w:val="none"/>
        </w:rPr>
        <w:t xml:space="preserve">5.1 乙方保证所交付的</w:t>
      </w:r>
      <w:r>
        <w:rPr>
          <w:rFonts w:hint="eastAsia" w:hAnsi="宋体"/>
          <w:sz w:val="24"/>
          <w:szCs w:val="24"/>
          <w:highlight w:val="none"/>
        </w:rPr>
        <w:t xml:space="preserve">服务（包含与服务相关的货物）</w:t>
      </w:r>
      <w:r>
        <w:rPr>
          <w:rFonts w:hAnsi="宋体"/>
          <w:sz w:val="24"/>
          <w:szCs w:val="24"/>
          <w:highlight w:val="none"/>
        </w:rPr>
        <w:t xml:space="preserve">的所有权完全属于乙方且无任何抵押、查封等产权瑕疵。</w:t>
      </w:r>
      <w:r/>
    </w:p>
    <w:p>
      <w:pPr>
        <w:spacing w:before="145" w:after="145"/>
        <w:rPr>
          <w:rFonts w:ascii="宋体" w:hAnsi="宋体" w:eastAsia="仿宋_GB2312"/>
          <w:b/>
          <w:sz w:val="24"/>
          <w:szCs w:val="24"/>
          <w:highlight w:val="none"/>
        </w:rPr>
      </w:pPr>
      <w:r>
        <w:rPr>
          <w:rFonts w:hint="eastAsia" w:ascii="宋体" w:hAnsi="宋体"/>
          <w:b/>
          <w:sz w:val="24"/>
          <w:szCs w:val="24"/>
          <w:highlight w:val="none"/>
        </w:rPr>
        <w:t xml:space="preserve">六、合同转包或分包</w:t>
      </w:r>
      <w:r/>
    </w:p>
    <w:p>
      <w:pPr>
        <w:spacing w:before="145" w:after="145"/>
        <w:rPr>
          <w:rFonts w:ascii="宋体" w:hAnsi="宋体"/>
          <w:sz w:val="24"/>
          <w:szCs w:val="24"/>
          <w:highlight w:val="none"/>
        </w:rPr>
      </w:pPr>
      <w:r>
        <w:rPr>
          <w:rFonts w:ascii="宋体" w:hAnsi="宋体"/>
          <w:sz w:val="24"/>
          <w:szCs w:val="24"/>
          <w:highlight w:val="none"/>
        </w:rPr>
        <w:t xml:space="preserve">6</w:t>
      </w:r>
      <w:r>
        <w:rPr>
          <w:rFonts w:hint="eastAsia" w:ascii="宋体" w:hAnsi="宋体"/>
          <w:sz w:val="24"/>
          <w:szCs w:val="24"/>
          <w:highlight w:val="none"/>
        </w:rPr>
        <w:t xml:space="preserve">.1</w:t>
      </w:r>
      <w:r>
        <w:rPr>
          <w:rFonts w:ascii="宋体" w:hAnsi="宋体"/>
          <w:sz w:val="24"/>
          <w:szCs w:val="24"/>
          <w:highlight w:val="none"/>
        </w:rPr>
        <w:t xml:space="preserve"> </w:t>
      </w:r>
      <w:r>
        <w:rPr>
          <w:rFonts w:hint="eastAsia" w:ascii="宋体" w:hAnsi="宋体"/>
          <w:sz w:val="24"/>
          <w:szCs w:val="24"/>
          <w:highlight w:val="none"/>
        </w:rPr>
        <w:t xml:space="preserve">未经</w:t>
      </w:r>
      <w:r>
        <w:rPr>
          <w:rFonts w:ascii="宋体" w:hAnsi="宋体"/>
          <w:sz w:val="24"/>
          <w:szCs w:val="24"/>
          <w:highlight w:val="none"/>
        </w:rPr>
        <w:t xml:space="preserve">甲方同意，</w:t>
      </w:r>
      <w:r>
        <w:rPr>
          <w:rFonts w:hint="eastAsia" w:ascii="宋体" w:hAnsi="宋体"/>
          <w:sz w:val="24"/>
          <w:szCs w:val="24"/>
          <w:highlight w:val="none"/>
        </w:rPr>
        <w:t xml:space="preserve">乙方不得将合同标的转包给他人履行。</w:t>
      </w:r>
      <w:r/>
    </w:p>
    <w:p>
      <w:pPr>
        <w:spacing w:before="145" w:after="145"/>
        <w:rPr>
          <w:rFonts w:ascii="宋体" w:hAnsi="宋体"/>
          <w:sz w:val="24"/>
          <w:szCs w:val="24"/>
          <w:highlight w:val="none"/>
        </w:rPr>
      </w:pPr>
      <w:r>
        <w:rPr>
          <w:rFonts w:ascii="宋体" w:hAnsi="宋体"/>
          <w:sz w:val="24"/>
          <w:szCs w:val="24"/>
          <w:highlight w:val="none"/>
        </w:rPr>
        <w:t xml:space="preserve">6</w:t>
      </w:r>
      <w:r>
        <w:rPr>
          <w:rFonts w:hint="eastAsia" w:ascii="宋体" w:hAnsi="宋体"/>
          <w:sz w:val="24"/>
          <w:szCs w:val="24"/>
          <w:highlight w:val="none"/>
        </w:rPr>
        <w:t xml:space="preserve">.2</w:t>
      </w:r>
      <w:r>
        <w:rPr>
          <w:rFonts w:ascii="宋体" w:hAnsi="宋体"/>
          <w:sz w:val="24"/>
          <w:szCs w:val="24"/>
          <w:highlight w:val="none"/>
        </w:rPr>
        <w:t xml:space="preserve"> </w:t>
      </w:r>
      <w:r>
        <w:rPr>
          <w:rFonts w:hint="eastAsia" w:ascii="宋体" w:hAnsi="宋体"/>
          <w:sz w:val="24"/>
          <w:szCs w:val="24"/>
          <w:highlight w:val="none"/>
        </w:rPr>
        <w:t xml:space="preserve">未经</w:t>
      </w:r>
      <w:r>
        <w:rPr>
          <w:rFonts w:ascii="宋体" w:hAnsi="宋体"/>
          <w:sz w:val="24"/>
          <w:szCs w:val="24"/>
          <w:highlight w:val="none"/>
        </w:rPr>
        <w:t xml:space="preserve">甲方同意，</w:t>
      </w:r>
      <w:r>
        <w:rPr>
          <w:rFonts w:hint="eastAsia" w:ascii="宋体" w:hAnsi="宋体"/>
          <w:sz w:val="24"/>
          <w:szCs w:val="24"/>
          <w:highlight w:val="none"/>
        </w:rPr>
        <w:t xml:space="preserve">乙方不得将合同标的分包给他人履行。</w:t>
      </w:r>
      <w:r/>
    </w:p>
    <w:p>
      <w:pPr>
        <w:spacing w:before="145" w:after="145"/>
        <w:rPr>
          <w:rFonts w:ascii="宋体" w:hAnsi="宋体" w:eastAsia="仿宋_GB2312"/>
          <w:sz w:val="24"/>
          <w:szCs w:val="24"/>
          <w:highlight w:val="none"/>
        </w:rPr>
      </w:pPr>
      <w:r>
        <w:rPr>
          <w:rFonts w:ascii="宋体" w:hAnsi="宋体"/>
          <w:sz w:val="24"/>
          <w:szCs w:val="24"/>
          <w:highlight w:val="none"/>
        </w:rPr>
        <w:t xml:space="preserve">6.3 </w:t>
      </w:r>
      <w:r>
        <w:rPr>
          <w:rFonts w:hint="eastAsia" w:ascii="宋体" w:hAnsi="宋体"/>
          <w:sz w:val="24"/>
          <w:szCs w:val="24"/>
          <w:highlight w:val="none"/>
        </w:rPr>
        <w:t xml:space="preserve">乙方如有未经甲方同意的转包或分包行为，甲方有权解除合同。</w:t>
      </w:r>
      <w:r/>
    </w:p>
    <w:p>
      <w:pPr>
        <w:pStyle w:val="979"/>
        <w:spacing w:before="120" w:after="120"/>
        <w:rPr>
          <w:rFonts w:hAnsi="宋体"/>
          <w:b/>
          <w:sz w:val="24"/>
          <w:szCs w:val="24"/>
          <w:highlight w:val="none"/>
        </w:rPr>
      </w:pPr>
      <w:r>
        <w:rPr>
          <w:rFonts w:hint="eastAsia" w:hAnsi="宋体"/>
          <w:b/>
          <w:sz w:val="24"/>
          <w:szCs w:val="24"/>
          <w:highlight w:val="none"/>
        </w:rPr>
        <w:t xml:space="preserve">七</w:t>
      </w:r>
      <w:r>
        <w:rPr>
          <w:rFonts w:hAnsi="宋体"/>
          <w:b/>
          <w:sz w:val="24"/>
          <w:szCs w:val="24"/>
          <w:highlight w:val="none"/>
        </w:rPr>
        <w:t xml:space="preserve">、</w:t>
      </w:r>
      <w:r>
        <w:rPr>
          <w:rFonts w:hint="eastAsia" w:hAnsi="宋体"/>
          <w:b/>
          <w:sz w:val="24"/>
          <w:szCs w:val="24"/>
          <w:highlight w:val="none"/>
        </w:rPr>
        <w:t xml:space="preserve">合同款项</w:t>
      </w:r>
      <w:r>
        <w:rPr>
          <w:rFonts w:hAnsi="宋体"/>
          <w:b/>
          <w:sz w:val="24"/>
          <w:szCs w:val="24"/>
          <w:highlight w:val="none"/>
        </w:rPr>
        <w:t xml:space="preserve">支付</w:t>
      </w:r>
      <w:r/>
    </w:p>
    <w:p>
      <w:pPr>
        <w:spacing w:before="145" w:after="145"/>
        <w:rPr>
          <w:rFonts w:ascii="宋体" w:hAnsi="宋体"/>
          <w:sz w:val="24"/>
          <w:szCs w:val="24"/>
          <w:highlight w:val="none"/>
        </w:rPr>
      </w:pPr>
      <w:r>
        <w:rPr>
          <w:rFonts w:ascii="宋体" w:hAnsi="宋体"/>
          <w:sz w:val="24"/>
          <w:szCs w:val="24"/>
          <w:highlight w:val="none"/>
        </w:rPr>
        <w:t xml:space="preserve">7</w:t>
      </w:r>
      <w:r>
        <w:rPr>
          <w:rFonts w:hint="eastAsia" w:ascii="宋体" w:hAnsi="宋体"/>
          <w:sz w:val="24"/>
          <w:szCs w:val="24"/>
          <w:highlight w:val="none"/>
        </w:rPr>
        <w:t xml:space="preserve">.</w:t>
      </w:r>
      <w:r>
        <w:rPr>
          <w:rFonts w:ascii="宋体" w:hAnsi="宋体"/>
          <w:sz w:val="24"/>
          <w:szCs w:val="24"/>
          <w:highlight w:val="none"/>
        </w:rPr>
        <w:t xml:space="preserve">1 </w:t>
      </w:r>
      <w:r>
        <w:rPr>
          <w:rFonts w:hint="eastAsia" w:ascii="宋体" w:hAnsi="宋体"/>
          <w:sz w:val="24"/>
          <w:szCs w:val="24"/>
          <w:highlight w:val="none"/>
        </w:rPr>
        <w:t xml:space="preserve">合同款项的支付方式及进度安排</w:t>
      </w:r>
      <w:r/>
    </w:p>
    <w:p>
      <w:pPr>
        <w:spacing w:before="145" w:after="145"/>
        <w:rPr>
          <w:rFonts w:ascii="宋体" w:hAnsi="宋体"/>
          <w:sz w:val="24"/>
          <w:szCs w:val="24"/>
          <w:highlight w:val="none"/>
        </w:rPr>
      </w:pPr>
      <w:r>
        <w:rPr>
          <w:rFonts w:ascii="宋体" w:hAnsi="宋体"/>
          <w:sz w:val="24"/>
          <w:szCs w:val="24"/>
          <w:highlight w:val="none"/>
        </w:rPr>
        <w:t xml:space="preserve">7</w:t>
      </w:r>
      <w:r>
        <w:rPr>
          <w:rFonts w:hint="eastAsia" w:ascii="宋体" w:hAnsi="宋体"/>
          <w:sz w:val="24"/>
          <w:szCs w:val="24"/>
          <w:highlight w:val="none"/>
        </w:rPr>
        <w:t xml:space="preserve">.1.1 符合</w:t>
      </w:r>
      <w:r>
        <w:rPr>
          <w:rFonts w:ascii="宋体" w:hAnsi="宋体"/>
          <w:sz w:val="24"/>
          <w:szCs w:val="24"/>
          <w:highlight w:val="none"/>
        </w:rPr>
        <w:t xml:space="preserve">招标要求，</w:t>
      </w:r>
      <w:r>
        <w:rPr>
          <w:rFonts w:hint="eastAsia" w:ascii="宋体" w:hAnsi="宋体"/>
          <w:sz w:val="24"/>
          <w:szCs w:val="24"/>
          <w:highlight w:val="none"/>
        </w:rPr>
        <w:t xml:space="preserve">合同正式履约</w:t>
      </w:r>
      <w:r>
        <w:rPr>
          <w:rFonts w:ascii="宋体" w:hAnsi="宋体"/>
          <w:sz w:val="24"/>
          <w:szCs w:val="24"/>
          <w:highlight w:val="none"/>
        </w:rPr>
        <w:t xml:space="preserve">之后，</w:t>
      </w:r>
      <w:r>
        <w:rPr>
          <w:rFonts w:hint="eastAsia" w:ascii="宋体" w:hAnsi="宋体"/>
          <w:sz w:val="24"/>
          <w:szCs w:val="24"/>
          <w:highlight w:val="none"/>
        </w:rPr>
        <w:t xml:space="preserve">服务每满六个月后支付该六个月费用。省法院、各中院、基层法院（不含徐州铁路运输法院）、南京海事法院等各自根据对应发票支付款项。</w:t>
      </w:r>
      <w:r/>
    </w:p>
    <w:p>
      <w:pPr>
        <w:spacing w:before="145" w:after="145"/>
        <w:rPr>
          <w:rFonts w:ascii="宋体" w:hAnsi="宋体" w:eastAsia="仿宋_GB2312"/>
          <w:b/>
          <w:sz w:val="24"/>
          <w:szCs w:val="24"/>
          <w:highlight w:val="none"/>
        </w:rPr>
      </w:pPr>
      <w:r>
        <w:rPr>
          <w:rFonts w:hint="eastAsia" w:ascii="宋体" w:hAnsi="宋体"/>
          <w:b/>
          <w:sz w:val="24"/>
          <w:szCs w:val="24"/>
          <w:highlight w:val="none"/>
        </w:rPr>
        <w:t xml:space="preserve">八、税费</w:t>
      </w:r>
      <w:r/>
    </w:p>
    <w:p>
      <w:pPr>
        <w:spacing w:before="145" w:after="145"/>
        <w:rPr>
          <w:rFonts w:ascii="宋体" w:hAnsi="宋体" w:eastAsia="仿宋_GB2312"/>
          <w:sz w:val="24"/>
          <w:szCs w:val="24"/>
          <w:highlight w:val="none"/>
        </w:rPr>
      </w:pPr>
      <w:r>
        <w:rPr>
          <w:rFonts w:ascii="宋体" w:hAnsi="宋体"/>
          <w:sz w:val="24"/>
          <w:szCs w:val="24"/>
          <w:highlight w:val="none"/>
        </w:rPr>
        <w:t xml:space="preserve">8.1</w:t>
      </w:r>
      <w:r>
        <w:rPr>
          <w:rFonts w:hint="eastAsia" w:ascii="宋体" w:hAnsi="宋体"/>
          <w:sz w:val="24"/>
          <w:szCs w:val="24"/>
          <w:highlight w:val="none"/>
        </w:rPr>
        <w:t xml:space="preserve">本合同执行中相关的一切税费均由乙方负担。</w:t>
      </w:r>
      <w:r/>
    </w:p>
    <w:p>
      <w:pPr>
        <w:pStyle w:val="979"/>
        <w:spacing w:before="120" w:after="120"/>
        <w:rPr>
          <w:rFonts w:hAnsi="宋体"/>
          <w:b/>
          <w:sz w:val="24"/>
          <w:szCs w:val="24"/>
          <w:highlight w:val="none"/>
        </w:rPr>
      </w:pPr>
      <w:r>
        <w:rPr>
          <w:rFonts w:hint="eastAsia" w:hAnsi="宋体"/>
          <w:b/>
          <w:sz w:val="24"/>
          <w:szCs w:val="24"/>
          <w:highlight w:val="none"/>
        </w:rPr>
        <w:t xml:space="preserve">九</w:t>
      </w:r>
      <w:r>
        <w:rPr>
          <w:rFonts w:hAnsi="宋体"/>
          <w:b/>
          <w:sz w:val="24"/>
          <w:szCs w:val="24"/>
          <w:highlight w:val="none"/>
        </w:rPr>
        <w:t xml:space="preserve">、</w:t>
      </w:r>
      <w:r>
        <w:rPr>
          <w:rFonts w:hint="eastAsia" w:hAnsi="宋体"/>
          <w:b/>
          <w:sz w:val="24"/>
          <w:szCs w:val="24"/>
          <w:highlight w:val="none"/>
        </w:rPr>
        <w:t xml:space="preserve">项目</w:t>
      </w:r>
      <w:r>
        <w:rPr>
          <w:rFonts w:hAnsi="宋体"/>
          <w:b/>
          <w:sz w:val="24"/>
          <w:szCs w:val="24"/>
          <w:highlight w:val="none"/>
        </w:rPr>
        <w:t xml:space="preserve">验收</w:t>
      </w:r>
      <w:r/>
    </w:p>
    <w:p>
      <w:pPr>
        <w:pStyle w:val="979"/>
        <w:ind w:left="480" w:hanging="480"/>
        <w:spacing w:before="120" w:after="120"/>
        <w:rPr>
          <w:rFonts w:hAnsi="宋体"/>
          <w:sz w:val="24"/>
          <w:szCs w:val="24"/>
          <w:highlight w:val="none"/>
        </w:rPr>
      </w:pPr>
      <w:r>
        <w:rPr>
          <w:rFonts w:hAnsi="宋体"/>
          <w:sz w:val="24"/>
          <w:szCs w:val="24"/>
          <w:highlight w:val="none"/>
        </w:rPr>
        <w:t xml:space="preserve">9</w:t>
      </w:r>
      <w:r>
        <w:rPr>
          <w:rFonts w:hint="eastAsia" w:hAnsi="宋体"/>
          <w:sz w:val="24"/>
          <w:szCs w:val="24"/>
          <w:highlight w:val="none"/>
        </w:rPr>
        <w:t xml:space="preserve">.1 甲方依法组织交付验收工作。投标人完成交付后</w:t>
      </w:r>
      <w:r>
        <w:rPr>
          <w:rFonts w:hAnsi="宋体"/>
          <w:sz w:val="24"/>
          <w:szCs w:val="24"/>
          <w:highlight w:val="none"/>
        </w:rPr>
        <w:t xml:space="preserve">，由投标人出具自检报告向采购人提交验收申请。采购人经核实认为可以验收，在10天内</w:t>
      </w:r>
      <w:r>
        <w:rPr>
          <w:rFonts w:hint="eastAsia" w:hAnsi="宋体"/>
          <w:sz w:val="24"/>
          <w:szCs w:val="24"/>
          <w:highlight w:val="none"/>
        </w:rPr>
        <w:t xml:space="preserve">启动</w:t>
      </w:r>
      <w:r>
        <w:rPr>
          <w:rFonts w:hAnsi="宋体"/>
          <w:sz w:val="24"/>
          <w:szCs w:val="24"/>
          <w:highlight w:val="none"/>
        </w:rPr>
        <w:t xml:space="preserve">验收</w:t>
      </w:r>
      <w:r>
        <w:rPr>
          <w:rFonts w:hint="eastAsia" w:hAnsi="宋体"/>
          <w:sz w:val="24"/>
          <w:szCs w:val="24"/>
          <w:highlight w:val="none"/>
        </w:rPr>
        <w:t xml:space="preserve">流程</w:t>
      </w:r>
      <w:r>
        <w:rPr>
          <w:rFonts w:hAnsi="宋体"/>
          <w:sz w:val="24"/>
          <w:szCs w:val="24"/>
          <w:highlight w:val="none"/>
        </w:rPr>
        <w:t xml:space="preserve">。</w:t>
      </w:r>
      <w:r/>
    </w:p>
    <w:p>
      <w:pPr>
        <w:pStyle w:val="979"/>
        <w:ind w:left="480" w:hanging="480"/>
        <w:spacing w:before="120" w:after="120"/>
        <w:rPr>
          <w:rFonts w:hAnsi="宋体"/>
          <w:sz w:val="24"/>
          <w:szCs w:val="24"/>
          <w:highlight w:val="none"/>
        </w:rPr>
      </w:pPr>
      <w:r>
        <w:rPr>
          <w:rFonts w:hAnsi="宋体"/>
          <w:sz w:val="24"/>
          <w:szCs w:val="24"/>
          <w:highlight w:val="none"/>
        </w:rPr>
        <w:t xml:space="preserve">9</w:t>
      </w:r>
      <w:r>
        <w:rPr>
          <w:rFonts w:hint="eastAsia" w:hAnsi="宋体"/>
          <w:sz w:val="24"/>
          <w:szCs w:val="24"/>
          <w:highlight w:val="none"/>
        </w:rPr>
        <w:t xml:space="preserve">.2 如有必要，甲方邀请参加本项目的其他供应商或第三方专业机构及专家参与验收，相关意见将作为验收书的参考资料。</w:t>
      </w:r>
      <w:r/>
    </w:p>
    <w:p>
      <w:pPr>
        <w:pStyle w:val="979"/>
        <w:ind w:left="480" w:hanging="480"/>
        <w:spacing w:before="120" w:after="120"/>
        <w:rPr>
          <w:rFonts w:hAnsi="宋体"/>
          <w:sz w:val="24"/>
          <w:szCs w:val="24"/>
          <w:highlight w:val="none"/>
        </w:rPr>
      </w:pPr>
      <w:r>
        <w:rPr>
          <w:rFonts w:hAnsi="宋体"/>
          <w:sz w:val="24"/>
          <w:szCs w:val="24"/>
          <w:highlight w:val="none"/>
        </w:rPr>
        <w:t xml:space="preserve">9</w:t>
      </w:r>
      <w:r>
        <w:rPr>
          <w:rFonts w:hint="eastAsia" w:hAnsi="宋体"/>
          <w:sz w:val="24"/>
          <w:szCs w:val="24"/>
          <w:highlight w:val="none"/>
        </w:rPr>
        <w:t xml:space="preserve">.3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79"/>
        <w:ind w:left="480" w:hanging="480"/>
        <w:spacing w:before="120" w:after="120"/>
        <w:rPr>
          <w:rFonts w:hAnsi="宋体"/>
          <w:sz w:val="24"/>
          <w:szCs w:val="24"/>
          <w:highlight w:val="none"/>
        </w:rPr>
      </w:pPr>
      <w:r>
        <w:rPr>
          <w:rFonts w:hAnsi="宋体"/>
          <w:sz w:val="24"/>
          <w:szCs w:val="24"/>
          <w:highlight w:val="none"/>
        </w:rPr>
        <w:t xml:space="preserve">9</w:t>
      </w:r>
      <w:r>
        <w:rPr>
          <w:rFonts w:hint="eastAsia" w:hAnsi="宋体"/>
          <w:sz w:val="24"/>
          <w:szCs w:val="24"/>
          <w:highlight w:val="none"/>
        </w:rPr>
        <w:t xml:space="preserve">.4 验收合格的项目,甲方根据采购合同的约定及时向乙方支付合同款项。验收不合格的项目，如</w:t>
      </w:r>
      <w:r>
        <w:rPr>
          <w:rFonts w:hAnsi="宋体"/>
          <w:sz w:val="24"/>
          <w:szCs w:val="24"/>
          <w:highlight w:val="none"/>
        </w:rPr>
        <w:t xml:space="preserve">无客观原因，乙方应于一周内完成整改，甲方组织再次验收</w:t>
      </w:r>
      <w:r>
        <w:rPr>
          <w:rFonts w:hint="eastAsia" w:hAnsi="宋体"/>
          <w:sz w:val="24"/>
          <w:szCs w:val="24"/>
          <w:highlight w:val="none"/>
        </w:rPr>
        <w:t xml:space="preserve">，仍不合格，甲方有权解除合同。采购合同的履行、违约责任和解决争议的方式等适用《民法典》。乙方在履约过程中有政府采购法律法规规定的违法违规情形的,甲方将及时报告本级财政部门。</w:t>
      </w:r>
      <w:r/>
    </w:p>
    <w:p>
      <w:pPr>
        <w:pStyle w:val="979"/>
        <w:ind w:left="480" w:hanging="480"/>
        <w:spacing w:before="120" w:after="120"/>
        <w:rPr>
          <w:rFonts w:hAnsi="宋体"/>
          <w:sz w:val="24"/>
          <w:szCs w:val="24"/>
          <w:highlight w:val="none"/>
        </w:rPr>
      </w:pPr>
      <w:r>
        <w:rPr>
          <w:rFonts w:hint="eastAsia" w:hAnsi="宋体"/>
          <w:sz w:val="24"/>
          <w:szCs w:val="24"/>
          <w:highlight w:val="none"/>
        </w:rPr>
        <w:t xml:space="preserve">9.5甲方视情抽查线路情况，如不合格乙方应于一周内完成整改，超过三次不合格的，甲方有权解除合同。</w:t>
      </w:r>
      <w:r/>
    </w:p>
    <w:p>
      <w:pPr>
        <w:pStyle w:val="979"/>
        <w:ind w:left="480" w:hanging="480"/>
        <w:spacing w:before="120" w:after="120"/>
        <w:rPr>
          <w:rFonts w:ascii="黑体" w:hAnsi="黑体" w:eastAsia="黑体"/>
          <w:sz w:val="24"/>
          <w:szCs w:val="24"/>
          <w:highlight w:val="none"/>
        </w:rPr>
      </w:pPr>
      <w:r>
        <w:rPr>
          <w:rFonts w:hint="eastAsia" w:ascii="黑体" w:hAnsi="黑体" w:eastAsia="黑体"/>
          <w:sz w:val="24"/>
          <w:szCs w:val="24"/>
          <w:highlight w:val="none"/>
        </w:rPr>
        <w:t xml:space="preserve">十、网络安全和数据安全</w:t>
      </w:r>
      <w:r/>
    </w:p>
    <w:p>
      <w:pPr>
        <w:pStyle w:val="979"/>
        <w:ind w:left="480" w:hanging="480"/>
        <w:spacing w:before="120" w:after="120"/>
        <w:rPr>
          <w:rFonts w:hAnsi="宋体"/>
          <w:sz w:val="24"/>
          <w:szCs w:val="24"/>
          <w:highlight w:val="none"/>
        </w:rPr>
      </w:pPr>
      <w:r>
        <w:rPr>
          <w:rFonts w:hint="eastAsia" w:hAnsi="宋体"/>
          <w:sz w:val="24"/>
          <w:szCs w:val="24"/>
          <w:highlight w:val="none"/>
        </w:rPr>
        <w:t xml:space="preserve">1</w:t>
      </w:r>
      <w:r>
        <w:rPr>
          <w:rFonts w:hAnsi="宋体"/>
          <w:sz w:val="24"/>
          <w:szCs w:val="24"/>
          <w:highlight w:val="none"/>
        </w:rPr>
        <w:t xml:space="preserve">0</w:t>
      </w:r>
      <w:r>
        <w:rPr>
          <w:rFonts w:hint="eastAsia" w:hAnsi="宋体"/>
          <w:sz w:val="24"/>
          <w:szCs w:val="24"/>
          <w:highlight w:val="none"/>
        </w:rPr>
        <w:t xml:space="preserve">.1 乙方公司应成立管理技术团队，且团队要相对独立、团队人员为正式员工、有专门网络安全负责人。</w:t>
      </w:r>
      <w:r/>
    </w:p>
    <w:p>
      <w:pPr>
        <w:pStyle w:val="979"/>
        <w:ind w:left="480" w:hanging="480"/>
        <w:spacing w:before="120" w:after="120"/>
        <w:rPr>
          <w:rFonts w:hAnsi="宋体"/>
          <w:sz w:val="24"/>
          <w:szCs w:val="24"/>
          <w:highlight w:val="none"/>
        </w:rPr>
      </w:pPr>
      <w:r>
        <w:rPr>
          <w:rFonts w:hint="eastAsia" w:hAnsi="宋体"/>
          <w:sz w:val="24"/>
          <w:szCs w:val="24"/>
          <w:highlight w:val="none"/>
        </w:rPr>
        <w:t xml:space="preserve">1</w:t>
      </w:r>
      <w:r>
        <w:rPr>
          <w:rFonts w:hAnsi="宋体"/>
          <w:sz w:val="24"/>
          <w:szCs w:val="24"/>
          <w:highlight w:val="none"/>
        </w:rPr>
        <w:t xml:space="preserve">0</w:t>
      </w:r>
      <w:r>
        <w:rPr>
          <w:rFonts w:hint="eastAsia" w:hAnsi="宋体"/>
          <w:sz w:val="24"/>
          <w:szCs w:val="24"/>
          <w:highlight w:val="none"/>
        </w:rPr>
        <w:t xml:space="preserve">.2 乙方为甲方提供服务，需要使用甲方数据或与甲方网络有连接的信息平台要相对独立，包括物理隔离、逻辑隔离。</w:t>
      </w:r>
      <w:r/>
    </w:p>
    <w:p>
      <w:pPr>
        <w:pStyle w:val="979"/>
        <w:ind w:left="480" w:hanging="480"/>
        <w:spacing w:before="120" w:after="120"/>
        <w:rPr>
          <w:rFonts w:hAnsi="宋体"/>
          <w:sz w:val="24"/>
          <w:szCs w:val="24"/>
          <w:highlight w:val="none"/>
        </w:rPr>
      </w:pPr>
      <w:r>
        <w:rPr>
          <w:rFonts w:hint="eastAsia" w:hAnsi="宋体"/>
          <w:sz w:val="24"/>
          <w:szCs w:val="24"/>
          <w:highlight w:val="none"/>
        </w:rPr>
        <w:t xml:space="preserve">1</w:t>
      </w:r>
      <w:r>
        <w:rPr>
          <w:rFonts w:hAnsi="宋体"/>
          <w:sz w:val="24"/>
          <w:szCs w:val="24"/>
          <w:highlight w:val="none"/>
        </w:rPr>
        <w:t xml:space="preserve">0</w:t>
      </w:r>
      <w:r>
        <w:rPr>
          <w:rFonts w:hint="eastAsia" w:hAnsi="宋体"/>
          <w:sz w:val="24"/>
          <w:szCs w:val="24"/>
          <w:highlight w:val="none"/>
        </w:rPr>
        <w:t xml:space="preserve">.</w:t>
      </w:r>
      <w:r>
        <w:rPr>
          <w:rFonts w:hAnsi="宋体"/>
          <w:sz w:val="24"/>
          <w:szCs w:val="24"/>
          <w:highlight w:val="none"/>
        </w:rPr>
        <w:t xml:space="preserve">3</w:t>
      </w:r>
      <w:r>
        <w:rPr>
          <w:rFonts w:hint="eastAsia" w:hAnsi="宋体"/>
          <w:sz w:val="24"/>
          <w:szCs w:val="24"/>
          <w:highlight w:val="none"/>
        </w:rPr>
        <w:t xml:space="preserve"> 乙方在对甲方提供服务期间产生的包括且</w:t>
      </w:r>
      <w:r>
        <w:rPr>
          <w:rFonts w:hAnsi="宋体"/>
          <w:sz w:val="24"/>
          <w:szCs w:val="24"/>
          <w:highlight w:val="none"/>
        </w:rPr>
        <w:t xml:space="preserve">不限于</w:t>
      </w:r>
      <w:r>
        <w:rPr>
          <w:rFonts w:hint="eastAsia" w:hAnsi="宋体"/>
          <w:sz w:val="24"/>
          <w:szCs w:val="24"/>
          <w:highlight w:val="none"/>
        </w:rPr>
        <w:t xml:space="preserve">政务数据、系统运行数据及收集的个人信息等数据资产归甲方所有。</w:t>
      </w:r>
      <w:r/>
    </w:p>
    <w:p>
      <w:pPr>
        <w:pStyle w:val="979"/>
        <w:ind w:left="480" w:hanging="480"/>
        <w:spacing w:before="120" w:after="120"/>
        <w:rPr>
          <w:rFonts w:hAnsi="宋体"/>
          <w:sz w:val="24"/>
          <w:szCs w:val="24"/>
          <w:highlight w:val="none"/>
        </w:rPr>
      </w:pPr>
      <w:r>
        <w:rPr>
          <w:rFonts w:hint="eastAsia" w:hAnsi="宋体"/>
          <w:sz w:val="24"/>
          <w:szCs w:val="24"/>
          <w:highlight w:val="none"/>
        </w:rPr>
        <w:t xml:space="preserve">1</w:t>
      </w:r>
      <w:r>
        <w:rPr>
          <w:rFonts w:hAnsi="宋体"/>
          <w:sz w:val="24"/>
          <w:szCs w:val="24"/>
          <w:highlight w:val="none"/>
        </w:rPr>
        <w:t xml:space="preserve">0</w:t>
      </w:r>
      <w:r>
        <w:rPr>
          <w:rFonts w:hint="eastAsia" w:hAnsi="宋体"/>
          <w:sz w:val="24"/>
          <w:szCs w:val="24"/>
          <w:highlight w:val="none"/>
        </w:rPr>
        <w:t xml:space="preserve">.</w:t>
      </w:r>
      <w:r>
        <w:rPr>
          <w:rFonts w:hAnsi="宋体"/>
          <w:sz w:val="24"/>
          <w:szCs w:val="24"/>
          <w:highlight w:val="none"/>
        </w:rPr>
        <w:t xml:space="preserve">4</w:t>
      </w:r>
      <w:r>
        <w:rPr>
          <w:rFonts w:hint="eastAsia" w:hAnsi="宋体"/>
          <w:sz w:val="24"/>
          <w:szCs w:val="24"/>
          <w:highlight w:val="none"/>
        </w:rPr>
        <w:t xml:space="preserve"> 乙方不得在未经甲方书面授权的情况下，以任何形式收集、使用、存储、处理甲方数据，乙方有保护甲方数据不被第三方以任何形式收集、使用、存储、处理的责任。</w:t>
      </w:r>
      <w:r/>
    </w:p>
    <w:p>
      <w:pPr>
        <w:pStyle w:val="979"/>
        <w:ind w:left="480" w:hanging="480"/>
        <w:spacing w:before="120" w:after="120"/>
        <w:rPr>
          <w:rFonts w:hAnsi="宋体"/>
          <w:sz w:val="24"/>
          <w:szCs w:val="24"/>
          <w:highlight w:val="none"/>
        </w:rPr>
      </w:pPr>
      <w:r>
        <w:rPr>
          <w:rFonts w:hint="eastAsia" w:hAnsi="宋体"/>
          <w:sz w:val="24"/>
          <w:szCs w:val="24"/>
          <w:highlight w:val="none"/>
        </w:rPr>
        <w:t xml:space="preserve">1</w:t>
      </w:r>
      <w:r>
        <w:rPr>
          <w:rFonts w:hAnsi="宋体"/>
          <w:sz w:val="24"/>
          <w:szCs w:val="24"/>
          <w:highlight w:val="none"/>
        </w:rPr>
        <w:t xml:space="preserve">0</w:t>
      </w:r>
      <w:r>
        <w:rPr>
          <w:rFonts w:hint="eastAsia" w:hAnsi="宋体"/>
          <w:sz w:val="24"/>
          <w:szCs w:val="24"/>
          <w:highlight w:val="none"/>
        </w:rPr>
        <w:t xml:space="preserve">.</w:t>
      </w:r>
      <w:r>
        <w:rPr>
          <w:rFonts w:hAnsi="宋体"/>
          <w:sz w:val="24"/>
          <w:szCs w:val="24"/>
          <w:highlight w:val="none"/>
        </w:rPr>
        <w:t xml:space="preserve">5 </w:t>
      </w:r>
      <w:r>
        <w:rPr>
          <w:rFonts w:hint="eastAsia" w:hAnsi="宋体"/>
          <w:sz w:val="24"/>
          <w:szCs w:val="24"/>
          <w:highlight w:val="none"/>
        </w:rPr>
        <w:t xml:space="preserve">乙方要采取技术措施保证甲方对数据的访问、利用、支配。</w:t>
      </w:r>
      <w:r/>
    </w:p>
    <w:p>
      <w:pPr>
        <w:pStyle w:val="979"/>
        <w:ind w:left="480" w:hanging="480"/>
        <w:spacing w:before="120" w:after="120"/>
        <w:rPr>
          <w:rFonts w:hAnsi="宋体"/>
          <w:sz w:val="24"/>
          <w:szCs w:val="24"/>
          <w:highlight w:val="none"/>
        </w:rPr>
      </w:pPr>
      <w:r>
        <w:rPr>
          <w:rFonts w:hint="eastAsia" w:hAnsi="宋体"/>
          <w:sz w:val="24"/>
          <w:szCs w:val="24"/>
          <w:highlight w:val="none"/>
        </w:rPr>
        <w:t xml:space="preserve">1</w:t>
      </w:r>
      <w:r>
        <w:rPr>
          <w:rFonts w:hAnsi="宋体"/>
          <w:sz w:val="24"/>
          <w:szCs w:val="24"/>
          <w:highlight w:val="none"/>
        </w:rPr>
        <w:t xml:space="preserve">0</w:t>
      </w:r>
      <w:r>
        <w:rPr>
          <w:rFonts w:hint="eastAsia" w:hAnsi="宋体"/>
          <w:sz w:val="24"/>
          <w:szCs w:val="24"/>
          <w:highlight w:val="none"/>
        </w:rPr>
        <w:t xml:space="preserve">.</w:t>
      </w:r>
      <w:r>
        <w:rPr>
          <w:rFonts w:hAnsi="宋体"/>
          <w:sz w:val="24"/>
          <w:szCs w:val="24"/>
          <w:highlight w:val="none"/>
        </w:rPr>
        <w:t xml:space="preserve">6</w:t>
      </w:r>
      <w:r>
        <w:rPr>
          <w:rFonts w:hint="eastAsia" w:hAnsi="宋体"/>
          <w:sz w:val="24"/>
          <w:szCs w:val="24"/>
          <w:highlight w:val="none"/>
        </w:rPr>
        <w:t xml:space="preserve"> 乙方应将甲方数据与其他数据分开存储、处理。</w:t>
      </w:r>
      <w:r/>
    </w:p>
    <w:p>
      <w:pPr>
        <w:pStyle w:val="979"/>
        <w:ind w:left="480" w:hanging="480"/>
        <w:spacing w:before="120" w:after="120"/>
        <w:rPr>
          <w:rFonts w:hAnsi="宋体"/>
          <w:sz w:val="24"/>
          <w:szCs w:val="24"/>
          <w:highlight w:val="none"/>
        </w:rPr>
      </w:pPr>
      <w:r>
        <w:rPr>
          <w:rFonts w:hint="eastAsia" w:hAnsi="宋体"/>
          <w:sz w:val="24"/>
          <w:szCs w:val="24"/>
          <w:highlight w:val="none"/>
        </w:rPr>
        <w:t xml:space="preserve">1</w:t>
      </w:r>
      <w:r>
        <w:rPr>
          <w:rFonts w:hAnsi="宋体"/>
          <w:sz w:val="24"/>
          <w:szCs w:val="24"/>
          <w:highlight w:val="none"/>
        </w:rPr>
        <w:t xml:space="preserve">0</w:t>
      </w:r>
      <w:r>
        <w:rPr>
          <w:rFonts w:hint="eastAsia" w:hAnsi="宋体"/>
          <w:sz w:val="24"/>
          <w:szCs w:val="24"/>
          <w:highlight w:val="none"/>
        </w:rPr>
        <w:t xml:space="preserve">.</w:t>
      </w:r>
      <w:r>
        <w:rPr>
          <w:rFonts w:hAnsi="宋体"/>
          <w:sz w:val="24"/>
          <w:szCs w:val="24"/>
          <w:highlight w:val="none"/>
        </w:rPr>
        <w:t xml:space="preserve">7</w:t>
      </w:r>
      <w:r>
        <w:rPr>
          <w:rFonts w:hint="eastAsia" w:hAnsi="宋体"/>
          <w:sz w:val="24"/>
          <w:szCs w:val="24"/>
          <w:highlight w:val="none"/>
        </w:rPr>
        <w:t xml:space="preserve">未经甲方书面同意，不得变更数据用途、用法，不得访问、修改、公开、披露、利用、转让、销毁、私自留存或向第三方提供。</w:t>
      </w:r>
      <w:r/>
    </w:p>
    <w:p>
      <w:pPr>
        <w:pStyle w:val="979"/>
        <w:ind w:left="480" w:hanging="480"/>
        <w:spacing w:before="120" w:after="120"/>
        <w:rPr>
          <w:rFonts w:hAnsi="宋体"/>
          <w:sz w:val="24"/>
          <w:szCs w:val="24"/>
          <w:highlight w:val="none"/>
        </w:rPr>
      </w:pPr>
      <w:r>
        <w:rPr>
          <w:rFonts w:hint="eastAsia" w:hAnsi="宋体"/>
          <w:sz w:val="24"/>
          <w:szCs w:val="24"/>
          <w:highlight w:val="none"/>
        </w:rPr>
        <w:t xml:space="preserve">1</w:t>
      </w:r>
      <w:r>
        <w:rPr>
          <w:rFonts w:hAnsi="宋体"/>
          <w:sz w:val="24"/>
          <w:szCs w:val="24"/>
          <w:highlight w:val="none"/>
        </w:rPr>
        <w:t xml:space="preserve">0</w:t>
      </w:r>
      <w:r>
        <w:rPr>
          <w:rFonts w:hint="eastAsia" w:hAnsi="宋体"/>
          <w:sz w:val="24"/>
          <w:szCs w:val="24"/>
          <w:highlight w:val="none"/>
        </w:rPr>
        <w:t xml:space="preserve">.</w:t>
      </w:r>
      <w:r>
        <w:rPr>
          <w:rFonts w:hAnsi="宋体"/>
          <w:sz w:val="24"/>
          <w:szCs w:val="24"/>
          <w:highlight w:val="none"/>
        </w:rPr>
        <w:t xml:space="preserve">8</w:t>
      </w:r>
      <w:r>
        <w:rPr>
          <w:rFonts w:hint="eastAsia" w:hAnsi="宋体"/>
          <w:sz w:val="24"/>
          <w:szCs w:val="24"/>
          <w:highlight w:val="none"/>
        </w:rPr>
        <w:t xml:space="preserve"> 合同终止后，乙方要按照甲方的要求及时处理数据及数据存储介质，</w:t>
      </w:r>
      <w:r>
        <w:rPr>
          <w:rFonts w:hAnsi="宋体"/>
          <w:sz w:val="24"/>
          <w:szCs w:val="24"/>
          <w:highlight w:val="none"/>
        </w:rPr>
        <w:t xml:space="preserve">所有数据存储</w:t>
      </w:r>
      <w:r>
        <w:rPr>
          <w:rFonts w:hint="eastAsia" w:hAnsi="宋体"/>
          <w:sz w:val="24"/>
          <w:szCs w:val="24"/>
          <w:highlight w:val="none"/>
        </w:rPr>
        <w:t xml:space="preserve">介质</w:t>
      </w:r>
      <w:r>
        <w:rPr>
          <w:rFonts w:hAnsi="宋体"/>
          <w:sz w:val="24"/>
          <w:szCs w:val="24"/>
          <w:highlight w:val="none"/>
        </w:rPr>
        <w:t xml:space="preserve">不得离开法院</w:t>
      </w:r>
      <w:r>
        <w:rPr>
          <w:rFonts w:hint="eastAsia" w:hAnsi="宋体"/>
          <w:sz w:val="24"/>
          <w:szCs w:val="24"/>
          <w:highlight w:val="none"/>
        </w:rPr>
        <w:t xml:space="preserve">。</w:t>
      </w:r>
      <w:r/>
    </w:p>
    <w:p>
      <w:pPr>
        <w:pStyle w:val="979"/>
        <w:ind w:left="480" w:hanging="480"/>
        <w:spacing w:before="120" w:after="120"/>
        <w:rPr>
          <w:rFonts w:hAnsi="宋体"/>
          <w:sz w:val="24"/>
          <w:szCs w:val="24"/>
          <w:highlight w:val="none"/>
        </w:rPr>
      </w:pPr>
      <w:r>
        <w:rPr>
          <w:rFonts w:hint="eastAsia" w:hAnsi="宋体"/>
          <w:sz w:val="24"/>
          <w:szCs w:val="24"/>
          <w:highlight w:val="none"/>
        </w:rPr>
        <w:t xml:space="preserve">1</w:t>
      </w:r>
      <w:r>
        <w:rPr>
          <w:rFonts w:hAnsi="宋体"/>
          <w:sz w:val="24"/>
          <w:szCs w:val="24"/>
          <w:highlight w:val="none"/>
        </w:rPr>
        <w:t xml:space="preserve">0</w:t>
      </w:r>
      <w:r>
        <w:rPr>
          <w:rFonts w:hint="eastAsia" w:hAnsi="宋体"/>
          <w:sz w:val="24"/>
          <w:szCs w:val="24"/>
          <w:highlight w:val="none"/>
        </w:rPr>
        <w:t xml:space="preserve">.</w:t>
      </w:r>
      <w:r>
        <w:rPr>
          <w:rFonts w:hAnsi="宋体"/>
          <w:sz w:val="24"/>
          <w:szCs w:val="24"/>
          <w:highlight w:val="none"/>
        </w:rPr>
        <w:t xml:space="preserve">9</w:t>
      </w:r>
      <w:r>
        <w:rPr>
          <w:rFonts w:hint="eastAsia" w:hAnsi="宋体"/>
          <w:sz w:val="24"/>
          <w:szCs w:val="24"/>
          <w:highlight w:val="none"/>
        </w:rPr>
        <w:t xml:space="preserve"> 乙方应按照《数据安全法》《个人信息保护法》等法律法规及相关政策规定的要求，保护国家安全</w:t>
      </w:r>
      <w:r>
        <w:rPr>
          <w:rFonts w:hAnsi="宋体"/>
          <w:sz w:val="24"/>
          <w:szCs w:val="24"/>
          <w:highlight w:val="none"/>
        </w:rPr>
        <w:t xml:space="preserve">、公共利益或者公民、组织的合法权益</w:t>
      </w:r>
      <w:r>
        <w:rPr>
          <w:rFonts w:hint="eastAsia" w:hAnsi="宋体"/>
          <w:sz w:val="24"/>
          <w:szCs w:val="24"/>
          <w:highlight w:val="none"/>
        </w:rPr>
        <w:t xml:space="preserve">，保护个人信息。</w:t>
      </w:r>
      <w:r/>
    </w:p>
    <w:p>
      <w:pPr>
        <w:pStyle w:val="979"/>
        <w:ind w:left="480" w:hanging="480"/>
        <w:spacing w:before="120" w:after="120"/>
        <w:rPr>
          <w:rFonts w:hAnsi="宋体"/>
          <w:sz w:val="24"/>
          <w:szCs w:val="24"/>
          <w:highlight w:val="none"/>
        </w:rPr>
      </w:pPr>
      <w:r>
        <w:rPr>
          <w:rFonts w:hint="eastAsia" w:hAnsi="宋体"/>
          <w:sz w:val="24"/>
          <w:szCs w:val="24"/>
          <w:highlight w:val="none"/>
        </w:rPr>
        <w:t xml:space="preserve">1</w:t>
      </w:r>
      <w:r>
        <w:rPr>
          <w:rFonts w:hAnsi="宋体"/>
          <w:sz w:val="24"/>
          <w:szCs w:val="24"/>
          <w:highlight w:val="none"/>
        </w:rPr>
        <w:t xml:space="preserve">0</w:t>
      </w:r>
      <w:r>
        <w:rPr>
          <w:rFonts w:hint="eastAsia" w:hAnsi="宋体"/>
          <w:sz w:val="24"/>
          <w:szCs w:val="24"/>
          <w:highlight w:val="none"/>
        </w:rPr>
        <w:t xml:space="preserve">.</w:t>
      </w:r>
      <w:r>
        <w:rPr>
          <w:rFonts w:hAnsi="宋体"/>
          <w:sz w:val="24"/>
          <w:szCs w:val="24"/>
          <w:highlight w:val="none"/>
        </w:rPr>
        <w:t xml:space="preserve">10</w:t>
      </w:r>
      <w:r>
        <w:rPr>
          <w:rFonts w:hint="eastAsia" w:hAnsi="宋体"/>
          <w:sz w:val="24"/>
          <w:szCs w:val="24"/>
          <w:highlight w:val="none"/>
        </w:rPr>
        <w:t xml:space="preserve"> 乙方应严格按照规定采购和提供相关产品和服务。</w:t>
      </w:r>
      <w:r/>
    </w:p>
    <w:p>
      <w:pPr>
        <w:pStyle w:val="979"/>
        <w:ind w:left="480" w:hanging="480"/>
        <w:spacing w:before="120" w:after="120"/>
        <w:rPr>
          <w:rFonts w:hAnsi="宋体"/>
          <w:sz w:val="24"/>
          <w:szCs w:val="24"/>
          <w:highlight w:val="none"/>
        </w:rPr>
      </w:pPr>
      <w:r>
        <w:rPr>
          <w:rFonts w:hint="eastAsia" w:hAnsi="宋体"/>
          <w:sz w:val="24"/>
          <w:szCs w:val="24"/>
          <w:highlight w:val="none"/>
        </w:rPr>
        <w:t xml:space="preserve">1</w:t>
      </w:r>
      <w:r>
        <w:rPr>
          <w:rFonts w:hAnsi="宋体"/>
          <w:sz w:val="24"/>
          <w:szCs w:val="24"/>
          <w:highlight w:val="none"/>
        </w:rPr>
        <w:t xml:space="preserve">0</w:t>
      </w:r>
      <w:r>
        <w:rPr>
          <w:rFonts w:hint="eastAsia" w:hAnsi="宋体"/>
          <w:sz w:val="24"/>
          <w:szCs w:val="24"/>
          <w:highlight w:val="none"/>
        </w:rPr>
        <w:t xml:space="preserve">.1</w:t>
      </w:r>
      <w:r>
        <w:rPr>
          <w:rFonts w:hAnsi="宋体"/>
          <w:sz w:val="24"/>
          <w:szCs w:val="24"/>
          <w:highlight w:val="none"/>
        </w:rPr>
        <w:t xml:space="preserve">1</w:t>
      </w:r>
      <w:r>
        <w:rPr>
          <w:rFonts w:hint="eastAsia" w:hAnsi="宋体"/>
          <w:sz w:val="24"/>
          <w:szCs w:val="24"/>
          <w:highlight w:val="none"/>
        </w:rPr>
        <w:t xml:space="preserve"> 乙方应建立健全网络和数据安全保护机制，发现重大问题按规定及时向甲方和相关部门报告。</w:t>
      </w:r>
      <w:r/>
    </w:p>
    <w:p>
      <w:pPr>
        <w:pStyle w:val="979"/>
        <w:ind w:left="480" w:hanging="480"/>
        <w:spacing w:before="120" w:after="120"/>
        <w:rPr>
          <w:rFonts w:hAnsi="宋体"/>
          <w:sz w:val="24"/>
          <w:szCs w:val="24"/>
          <w:highlight w:val="none"/>
        </w:rPr>
      </w:pPr>
      <w:r>
        <w:rPr>
          <w:rFonts w:hint="eastAsia" w:hAnsi="宋体"/>
          <w:sz w:val="24"/>
          <w:szCs w:val="24"/>
          <w:highlight w:val="none"/>
        </w:rPr>
        <w:t xml:space="preserve">1</w:t>
      </w:r>
      <w:r>
        <w:rPr>
          <w:rFonts w:hAnsi="宋体"/>
          <w:sz w:val="24"/>
          <w:szCs w:val="24"/>
          <w:highlight w:val="none"/>
        </w:rPr>
        <w:t xml:space="preserve">0</w:t>
      </w:r>
      <w:r>
        <w:rPr>
          <w:rFonts w:hint="eastAsia" w:hAnsi="宋体"/>
          <w:sz w:val="24"/>
          <w:szCs w:val="24"/>
          <w:highlight w:val="none"/>
        </w:rPr>
        <w:t xml:space="preserve">.1</w:t>
      </w:r>
      <w:r>
        <w:rPr>
          <w:rFonts w:hAnsi="宋体"/>
          <w:sz w:val="24"/>
          <w:szCs w:val="24"/>
          <w:highlight w:val="none"/>
        </w:rPr>
        <w:t xml:space="preserve">2</w:t>
      </w:r>
      <w:r>
        <w:rPr>
          <w:rFonts w:hint="eastAsia" w:hAnsi="宋体"/>
          <w:sz w:val="24"/>
          <w:szCs w:val="24"/>
          <w:highlight w:val="none"/>
        </w:rPr>
        <w:t xml:space="preserve"> 乙方发生业务转型、合并重组、投资并购等重大事项，或者管理技术团队人员发生重大变化，应提前15日</w:t>
      </w:r>
      <w:r>
        <w:rPr>
          <w:rFonts w:hAnsi="宋体"/>
          <w:sz w:val="24"/>
          <w:szCs w:val="24"/>
          <w:highlight w:val="none"/>
        </w:rPr>
        <w:t xml:space="preserve">向甲方书面报告，并在后续</w:t>
      </w:r>
      <w:r>
        <w:rPr>
          <w:rFonts w:hint="eastAsia" w:hAnsi="宋体"/>
          <w:sz w:val="24"/>
          <w:szCs w:val="24"/>
          <w:highlight w:val="none"/>
        </w:rPr>
        <w:t xml:space="preserve">7日</w:t>
      </w:r>
      <w:r>
        <w:rPr>
          <w:rFonts w:hAnsi="宋体"/>
          <w:sz w:val="24"/>
          <w:szCs w:val="24"/>
          <w:highlight w:val="none"/>
        </w:rPr>
        <w:t xml:space="preserve">内</w:t>
      </w:r>
      <w:r>
        <w:rPr>
          <w:rFonts w:hint="eastAsia" w:hAnsi="宋体"/>
          <w:sz w:val="24"/>
          <w:szCs w:val="24"/>
          <w:highlight w:val="none"/>
        </w:rPr>
        <w:t xml:space="preserve">向甲方提交</w:t>
      </w:r>
      <w:r>
        <w:rPr>
          <w:rFonts w:hAnsi="宋体"/>
          <w:sz w:val="24"/>
          <w:szCs w:val="24"/>
          <w:highlight w:val="none"/>
        </w:rPr>
        <w:t xml:space="preserve">解决方案</w:t>
      </w:r>
      <w:r>
        <w:rPr>
          <w:rFonts w:hint="eastAsia" w:hAnsi="宋体"/>
          <w:sz w:val="24"/>
          <w:szCs w:val="24"/>
          <w:highlight w:val="none"/>
        </w:rPr>
        <w:t xml:space="preserve">。</w:t>
      </w:r>
      <w:r/>
    </w:p>
    <w:p>
      <w:pPr>
        <w:pStyle w:val="979"/>
        <w:ind w:left="480" w:hanging="480"/>
        <w:spacing w:before="120" w:after="120"/>
        <w:rPr>
          <w:rFonts w:hAnsi="宋体"/>
          <w:sz w:val="24"/>
          <w:szCs w:val="24"/>
          <w:highlight w:val="none"/>
        </w:rPr>
      </w:pPr>
      <w:r>
        <w:rPr>
          <w:rFonts w:hint="eastAsia" w:hAnsi="宋体"/>
          <w:sz w:val="24"/>
          <w:szCs w:val="24"/>
          <w:highlight w:val="none"/>
        </w:rPr>
        <w:t xml:space="preserve">1</w:t>
      </w:r>
      <w:r>
        <w:rPr>
          <w:rFonts w:hAnsi="宋体"/>
          <w:sz w:val="24"/>
          <w:szCs w:val="24"/>
          <w:highlight w:val="none"/>
        </w:rPr>
        <w:t xml:space="preserve">0</w:t>
      </w:r>
      <w:r>
        <w:rPr>
          <w:rFonts w:hint="eastAsia" w:hAnsi="宋体"/>
          <w:sz w:val="24"/>
          <w:szCs w:val="24"/>
          <w:highlight w:val="none"/>
        </w:rPr>
        <w:t xml:space="preserve">.1</w:t>
      </w:r>
      <w:r>
        <w:rPr>
          <w:rFonts w:hAnsi="宋体"/>
          <w:sz w:val="24"/>
          <w:szCs w:val="24"/>
          <w:highlight w:val="none"/>
        </w:rPr>
        <w:t xml:space="preserve">3</w:t>
      </w:r>
      <w:r>
        <w:rPr>
          <w:rFonts w:hint="eastAsia" w:hAnsi="宋体"/>
          <w:sz w:val="24"/>
          <w:szCs w:val="24"/>
          <w:highlight w:val="none"/>
        </w:rPr>
        <w:t xml:space="preserve"> 乙方每年要向甲方提交至少一份与</w:t>
      </w:r>
      <w:r>
        <w:rPr>
          <w:rFonts w:hAnsi="宋体"/>
          <w:sz w:val="24"/>
          <w:szCs w:val="24"/>
          <w:highlight w:val="none"/>
        </w:rPr>
        <w:t xml:space="preserve">项目</w:t>
      </w:r>
      <w:r>
        <w:rPr>
          <w:rFonts w:hint="eastAsia" w:hAnsi="宋体"/>
          <w:sz w:val="24"/>
          <w:szCs w:val="24"/>
          <w:highlight w:val="none"/>
        </w:rPr>
        <w:t xml:space="preserve">服务相关的网络安全报告。</w:t>
      </w:r>
      <w:r/>
    </w:p>
    <w:p>
      <w:pPr>
        <w:pStyle w:val="979"/>
        <w:ind w:left="480" w:hanging="480"/>
        <w:spacing w:before="120" w:after="120"/>
        <w:rPr>
          <w:rFonts w:hAnsi="宋体"/>
          <w:sz w:val="24"/>
          <w:szCs w:val="24"/>
          <w:highlight w:val="none"/>
        </w:rPr>
      </w:pPr>
      <w:r>
        <w:rPr>
          <w:rFonts w:hint="eastAsia" w:hAnsi="宋体"/>
          <w:sz w:val="24"/>
          <w:szCs w:val="24"/>
          <w:highlight w:val="none"/>
        </w:rPr>
        <w:t xml:space="preserve">1</w:t>
      </w:r>
      <w:r>
        <w:rPr>
          <w:rFonts w:hAnsi="宋体"/>
          <w:sz w:val="24"/>
          <w:szCs w:val="24"/>
          <w:highlight w:val="none"/>
        </w:rPr>
        <w:t xml:space="preserve">0</w:t>
      </w:r>
      <w:r>
        <w:rPr>
          <w:rFonts w:hint="eastAsia" w:hAnsi="宋体"/>
          <w:sz w:val="24"/>
          <w:szCs w:val="24"/>
          <w:highlight w:val="none"/>
        </w:rPr>
        <w:t xml:space="preserve">.1</w:t>
      </w:r>
      <w:r>
        <w:rPr>
          <w:rFonts w:hAnsi="宋体"/>
          <w:sz w:val="24"/>
          <w:szCs w:val="24"/>
          <w:highlight w:val="none"/>
        </w:rPr>
        <w:t xml:space="preserve">4</w:t>
      </w:r>
      <w:r>
        <w:rPr>
          <w:rFonts w:hint="eastAsia" w:hAnsi="宋体"/>
          <w:sz w:val="24"/>
          <w:szCs w:val="24"/>
          <w:highlight w:val="none"/>
        </w:rPr>
        <w:t xml:space="preserve"> 乙方应积极配合相关部门开展网络安全检查、测评、审计等监督管理工作，拒绝或不配合监管的将列入“江苏法院网络安全不安全单位名录”。</w:t>
      </w:r>
      <w:r/>
    </w:p>
    <w:p>
      <w:pPr>
        <w:pStyle w:val="979"/>
        <w:ind w:left="480" w:hanging="480"/>
        <w:spacing w:before="120" w:after="120"/>
        <w:rPr>
          <w:rFonts w:hAnsi="宋体"/>
          <w:sz w:val="24"/>
          <w:szCs w:val="24"/>
          <w:highlight w:val="none"/>
        </w:rPr>
      </w:pPr>
      <w:r>
        <w:rPr>
          <w:rFonts w:hint="eastAsia" w:hAnsi="宋体"/>
          <w:sz w:val="24"/>
          <w:szCs w:val="24"/>
          <w:highlight w:val="none"/>
        </w:rPr>
        <w:t xml:space="preserve">1</w:t>
      </w:r>
      <w:r>
        <w:rPr>
          <w:rFonts w:hAnsi="宋体"/>
          <w:sz w:val="24"/>
          <w:szCs w:val="24"/>
          <w:highlight w:val="none"/>
        </w:rPr>
        <w:t xml:space="preserve">0</w:t>
      </w:r>
      <w:r>
        <w:rPr>
          <w:rFonts w:hint="eastAsia" w:hAnsi="宋体"/>
          <w:sz w:val="24"/>
          <w:szCs w:val="24"/>
          <w:highlight w:val="none"/>
        </w:rPr>
        <w:t xml:space="preserve">.1</w:t>
      </w:r>
      <w:r>
        <w:rPr>
          <w:rFonts w:hAnsi="宋体"/>
          <w:sz w:val="24"/>
          <w:szCs w:val="24"/>
          <w:highlight w:val="none"/>
        </w:rPr>
        <w:t xml:space="preserve">5</w:t>
      </w:r>
      <w:r>
        <w:rPr>
          <w:rFonts w:hint="eastAsia" w:hAnsi="宋体"/>
          <w:sz w:val="24"/>
          <w:szCs w:val="24"/>
          <w:highlight w:val="none"/>
        </w:rPr>
        <w:t xml:space="preserve"> 乙方应如实完整提供公司网络安全管理情况，隐匿、瞒报的将列入“江苏法院网络安全不安全单位名录 ”。</w:t>
      </w:r>
      <w:r/>
    </w:p>
    <w:p>
      <w:pPr>
        <w:pStyle w:val="979"/>
        <w:ind w:left="480" w:hanging="480"/>
        <w:spacing w:before="120" w:after="120"/>
        <w:rPr>
          <w:rFonts w:hAnsi="宋体"/>
          <w:sz w:val="24"/>
          <w:szCs w:val="24"/>
          <w:highlight w:val="none"/>
        </w:rPr>
      </w:pPr>
      <w:r>
        <w:rPr>
          <w:rFonts w:hint="eastAsia" w:hAnsi="宋体"/>
          <w:sz w:val="24"/>
          <w:szCs w:val="24"/>
          <w:highlight w:val="none"/>
        </w:rPr>
        <w:t xml:space="preserve">1</w:t>
      </w:r>
      <w:r>
        <w:rPr>
          <w:rFonts w:hAnsi="宋体"/>
          <w:sz w:val="24"/>
          <w:szCs w:val="24"/>
          <w:highlight w:val="none"/>
        </w:rPr>
        <w:t xml:space="preserve">0</w:t>
      </w:r>
      <w:r>
        <w:rPr>
          <w:rFonts w:hint="eastAsia" w:hAnsi="宋体"/>
          <w:sz w:val="24"/>
          <w:szCs w:val="24"/>
          <w:highlight w:val="none"/>
        </w:rPr>
        <w:t xml:space="preserve">.1</w:t>
      </w:r>
      <w:r>
        <w:rPr>
          <w:rFonts w:hAnsi="宋体"/>
          <w:sz w:val="24"/>
          <w:szCs w:val="24"/>
          <w:highlight w:val="none"/>
        </w:rPr>
        <w:t xml:space="preserve">6</w:t>
      </w:r>
      <w:r>
        <w:rPr>
          <w:rFonts w:hint="eastAsia" w:hAnsi="宋体"/>
          <w:sz w:val="24"/>
          <w:szCs w:val="24"/>
          <w:highlight w:val="none"/>
        </w:rPr>
        <w:t xml:space="preserve"> 乙方违反网络安全相关规范，出现重大以上网络安全事件的，甲方有权扣除合同款，同时按照有关法律法规对供应商进行追责，并将供应商列入“江苏法院网络安全不安全单位名录”。</w:t>
      </w:r>
      <w:r/>
    </w:p>
    <w:p>
      <w:pPr>
        <w:pStyle w:val="979"/>
        <w:ind w:left="480" w:hanging="480"/>
        <w:spacing w:before="120" w:after="120"/>
        <w:rPr>
          <w:rFonts w:hAnsi="宋体"/>
          <w:sz w:val="24"/>
          <w:szCs w:val="24"/>
          <w:highlight w:val="none"/>
        </w:rPr>
      </w:pPr>
      <w:r>
        <w:rPr>
          <w:rFonts w:hint="eastAsia" w:hAnsi="宋体"/>
          <w:sz w:val="24"/>
          <w:szCs w:val="24"/>
          <w:highlight w:val="none"/>
        </w:rPr>
        <w:t xml:space="preserve">十一</w:t>
      </w:r>
      <w:r>
        <w:rPr>
          <w:rFonts w:hAnsi="宋体"/>
          <w:sz w:val="24"/>
          <w:szCs w:val="24"/>
          <w:highlight w:val="none"/>
        </w:rPr>
        <w:t xml:space="preserve">、</w:t>
      </w:r>
      <w:r>
        <w:rPr>
          <w:rFonts w:hint="eastAsia" w:hAnsi="宋体"/>
          <w:sz w:val="24"/>
          <w:szCs w:val="24"/>
          <w:highlight w:val="none"/>
        </w:rPr>
        <w:t xml:space="preserve">响应时间及</w:t>
      </w:r>
      <w:r>
        <w:rPr>
          <w:rFonts w:hAnsi="宋体"/>
          <w:sz w:val="24"/>
          <w:szCs w:val="24"/>
          <w:highlight w:val="none"/>
        </w:rPr>
        <w:t xml:space="preserve">运维</w:t>
      </w:r>
      <w:r>
        <w:rPr>
          <w:rFonts w:hint="eastAsia" w:hAnsi="宋体"/>
          <w:sz w:val="24"/>
          <w:szCs w:val="24"/>
          <w:highlight w:val="none"/>
        </w:rPr>
        <w:t xml:space="preserve">响应</w:t>
      </w:r>
      <w:r>
        <w:rPr>
          <w:rFonts w:hAnsi="宋体"/>
          <w:sz w:val="24"/>
          <w:szCs w:val="24"/>
          <w:highlight w:val="none"/>
        </w:rPr>
        <w:t xml:space="preserve">要求</w:t>
      </w:r>
      <w:r/>
    </w:p>
    <w:p>
      <w:pPr>
        <w:pStyle w:val="979"/>
        <w:ind w:left="480" w:hanging="480"/>
        <w:spacing w:before="120" w:after="120"/>
        <w:rPr>
          <w:rFonts w:hAnsi="宋体"/>
          <w:sz w:val="24"/>
          <w:szCs w:val="24"/>
          <w:highlight w:val="none"/>
        </w:rPr>
      </w:pPr>
      <w:r>
        <w:rPr>
          <w:rFonts w:hint="eastAsia" w:hAnsi="宋体"/>
          <w:sz w:val="24"/>
          <w:szCs w:val="24"/>
          <w:highlight w:val="none"/>
        </w:rPr>
        <w:t xml:space="preserve">1</w:t>
      </w:r>
      <w:r>
        <w:rPr>
          <w:rFonts w:hAnsi="宋体"/>
          <w:sz w:val="24"/>
          <w:szCs w:val="24"/>
          <w:highlight w:val="none"/>
        </w:rPr>
        <w:t xml:space="preserve">1</w:t>
      </w:r>
      <w:r>
        <w:rPr>
          <w:rFonts w:hint="eastAsia" w:hAnsi="宋体"/>
          <w:sz w:val="24"/>
          <w:szCs w:val="24"/>
          <w:highlight w:val="none"/>
        </w:rPr>
        <w:t xml:space="preserve">.1线路和设备发生技术性故障影响使用时，要求投标人的服务电话</w:t>
      </w:r>
      <w:r>
        <w:rPr>
          <w:rFonts w:hAnsi="宋体"/>
          <w:sz w:val="24"/>
          <w:szCs w:val="24"/>
          <w:highlight w:val="none"/>
        </w:rPr>
        <w:t xml:space="preserve">15</w:t>
      </w:r>
      <w:r>
        <w:rPr>
          <w:rFonts w:hint="eastAsia" w:hAnsi="宋体"/>
          <w:sz w:val="24"/>
          <w:szCs w:val="24"/>
          <w:highlight w:val="none"/>
        </w:rPr>
        <w:t xml:space="preserve">分钟内进行实质性响应，平均恢复时间小于2小时。</w:t>
      </w:r>
      <w:r/>
    </w:p>
    <w:p>
      <w:pPr>
        <w:pStyle w:val="979"/>
        <w:ind w:left="480" w:hanging="480"/>
        <w:spacing w:before="120" w:after="120"/>
        <w:rPr>
          <w:rFonts w:hAnsi="宋体"/>
          <w:sz w:val="24"/>
          <w:szCs w:val="24"/>
          <w:highlight w:val="none"/>
        </w:rPr>
      </w:pPr>
      <w:r>
        <w:rPr>
          <w:rFonts w:hint="eastAsia" w:hAnsi="宋体"/>
          <w:sz w:val="24"/>
          <w:szCs w:val="24"/>
          <w:highlight w:val="none"/>
        </w:rPr>
        <w:t xml:space="preserve">11.2</w:t>
      </w:r>
      <w:r>
        <w:rPr>
          <w:rFonts w:hAnsi="宋体"/>
          <w:sz w:val="24"/>
          <w:szCs w:val="24"/>
          <w:highlight w:val="none"/>
        </w:rPr>
        <w:t xml:space="preserve"> </w:t>
      </w:r>
      <w:r>
        <w:rPr>
          <w:rFonts w:hint="eastAsia" w:hAnsi="宋体"/>
          <w:sz w:val="24"/>
          <w:szCs w:val="24"/>
          <w:highlight w:val="none"/>
        </w:rPr>
        <w:t xml:space="preserve">运维</w:t>
      </w:r>
      <w:r>
        <w:rPr>
          <w:rFonts w:hAnsi="宋体"/>
          <w:sz w:val="24"/>
          <w:szCs w:val="24"/>
          <w:highlight w:val="none"/>
        </w:rPr>
        <w:t xml:space="preserve">响应要求</w:t>
      </w:r>
      <w:r/>
    </w:p>
    <w:tbl>
      <w:tblPr>
        <w:tblStyle w:val="772"/>
        <w:tblW w:w="91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60"/>
        <w:gridCol w:w="6468"/>
      </w:tblGrid>
      <w:tr>
        <w:trPr>
          <w:jc w:val="center"/>
        </w:trPr>
        <w:tc>
          <w:tcPr>
            <w:tcW w:w="2660" w:type="dxa"/>
            <w:vAlign w:val="center"/>
            <w:textDirection w:val="lrTb"/>
            <w:noWrap w:val="false"/>
          </w:tcPr>
          <w:p>
            <w:pPr>
              <w:spacing w:line="360" w:lineRule="auto"/>
              <w:rPr>
                <w:rFonts w:ascii="宋体" w:hAnsi="宋体"/>
                <w:highlight w:val="none"/>
              </w:rPr>
            </w:pPr>
            <w:r>
              <w:rPr>
                <w:rFonts w:hint="eastAsia" w:ascii="宋体" w:hAnsi="宋体"/>
                <w:highlight w:val="none"/>
              </w:rPr>
              <w:t xml:space="preserve">服务内容</w:t>
            </w:r>
            <w:r/>
          </w:p>
        </w:tc>
        <w:tc>
          <w:tcPr>
            <w:tcW w:w="6468" w:type="dxa"/>
            <w:vAlign w:val="center"/>
            <w:textDirection w:val="lrTb"/>
            <w:noWrap w:val="false"/>
          </w:tcPr>
          <w:p>
            <w:pPr>
              <w:spacing w:line="360" w:lineRule="auto"/>
              <w:rPr>
                <w:rFonts w:ascii="宋体" w:hAnsi="宋体"/>
                <w:highlight w:val="none"/>
              </w:rPr>
            </w:pPr>
            <w:r>
              <w:rPr>
                <w:rFonts w:hint="eastAsia" w:ascii="宋体" w:hAnsi="宋体"/>
                <w:highlight w:val="none"/>
              </w:rPr>
              <w:t xml:space="preserve">服务要求</w:t>
            </w:r>
            <w:r/>
          </w:p>
        </w:tc>
      </w:tr>
      <w:tr>
        <w:trPr>
          <w:jc w:val="center"/>
        </w:trPr>
        <w:tc>
          <w:tcPr>
            <w:tcW w:w="2660" w:type="dxa"/>
            <w:vAlign w:val="center"/>
            <w:textDirection w:val="lrTb"/>
            <w:noWrap w:val="false"/>
          </w:tcPr>
          <w:p>
            <w:pPr>
              <w:spacing w:line="360" w:lineRule="auto"/>
              <w:rPr>
                <w:rFonts w:ascii="宋体" w:hAnsi="宋体"/>
                <w:highlight w:val="none"/>
              </w:rPr>
            </w:pPr>
            <w:r>
              <w:rPr>
                <w:rFonts w:hint="eastAsia" w:ascii="宋体" w:hAnsi="宋体"/>
                <w:highlight w:val="none"/>
              </w:rPr>
              <w:t xml:space="preserve">广域网网络设备运维</w:t>
            </w:r>
            <w:r/>
          </w:p>
        </w:tc>
        <w:tc>
          <w:tcPr>
            <w:tcW w:w="6468" w:type="dxa"/>
            <w:vAlign w:val="center"/>
            <w:textDirection w:val="lrTb"/>
            <w:noWrap w:val="false"/>
          </w:tcPr>
          <w:p>
            <w:pPr>
              <w:spacing w:line="360" w:lineRule="auto"/>
              <w:rPr>
                <w:rFonts w:ascii="宋体" w:hAnsi="宋体"/>
                <w:highlight w:val="none"/>
              </w:rPr>
            </w:pPr>
            <w:r>
              <w:rPr>
                <w:rFonts w:hint="eastAsia" w:ascii="宋体" w:hAnsi="宋体"/>
                <w:highlight w:val="none"/>
              </w:rPr>
              <w:t xml:space="preserve">通过网络监控平台，实时监控上述所有广域网线路、网络设备的线路状态及设备使用情况。</w:t>
            </w:r>
            <w:r/>
          </w:p>
        </w:tc>
      </w:tr>
      <w:tr>
        <w:trPr>
          <w:jc w:val="center"/>
        </w:trPr>
        <w:tc>
          <w:tcPr>
            <w:tcW w:w="2660" w:type="dxa"/>
            <w:vAlign w:val="center"/>
            <w:textDirection w:val="lrTb"/>
            <w:noWrap w:val="false"/>
          </w:tcPr>
          <w:p>
            <w:pPr>
              <w:spacing w:line="360" w:lineRule="auto"/>
              <w:rPr>
                <w:rFonts w:ascii="宋体" w:hAnsi="宋体"/>
                <w:highlight w:val="none"/>
              </w:rPr>
            </w:pPr>
            <w:r>
              <w:rPr>
                <w:rFonts w:hint="eastAsia" w:ascii="宋体" w:hAnsi="宋体"/>
                <w:highlight w:val="none"/>
              </w:rPr>
              <w:t xml:space="preserve">江苏省高级人民法院局域网网络及安全设备运维</w:t>
            </w:r>
            <w:r/>
          </w:p>
        </w:tc>
        <w:tc>
          <w:tcPr>
            <w:tcW w:w="6468" w:type="dxa"/>
            <w:vAlign w:val="center"/>
            <w:textDirection w:val="lrTb"/>
            <w:noWrap w:val="false"/>
          </w:tcPr>
          <w:p>
            <w:pPr>
              <w:spacing w:line="360" w:lineRule="auto"/>
              <w:rPr>
                <w:rFonts w:ascii="宋体" w:hAnsi="宋体"/>
                <w:highlight w:val="none"/>
              </w:rPr>
            </w:pPr>
            <w:r>
              <w:rPr>
                <w:rFonts w:hint="eastAsia" w:ascii="宋体" w:hAnsi="宋体"/>
                <w:highlight w:val="none"/>
              </w:rPr>
              <w:t xml:space="preserve">通过网络监控平台及安全设备管理平台，实时监控江苏省高级人民法院局域网与一张网相关的所有网络及安全设备。</w:t>
            </w:r>
            <w:r/>
          </w:p>
        </w:tc>
      </w:tr>
      <w:tr>
        <w:trPr>
          <w:jc w:val="center"/>
        </w:trPr>
        <w:tc>
          <w:tcPr>
            <w:tcW w:w="2660" w:type="dxa"/>
            <w:vAlign w:val="center"/>
            <w:textDirection w:val="lrTb"/>
            <w:noWrap w:val="false"/>
          </w:tcPr>
          <w:p>
            <w:pPr>
              <w:spacing w:line="360" w:lineRule="auto"/>
              <w:rPr>
                <w:rFonts w:ascii="宋体" w:hAnsi="宋体"/>
                <w:highlight w:val="none"/>
              </w:rPr>
            </w:pPr>
            <w:r>
              <w:rPr>
                <w:rFonts w:hint="eastAsia" w:ascii="宋体" w:hAnsi="宋体"/>
                <w:highlight w:val="none"/>
              </w:rPr>
              <w:t xml:space="preserve">故障处理</w:t>
            </w:r>
            <w:r/>
          </w:p>
        </w:tc>
        <w:tc>
          <w:tcPr>
            <w:tcW w:w="6468" w:type="dxa"/>
            <w:vAlign w:val="center"/>
            <w:textDirection w:val="lrTb"/>
            <w:noWrap w:val="false"/>
          </w:tcPr>
          <w:p>
            <w:pPr>
              <w:spacing w:line="360" w:lineRule="auto"/>
              <w:rPr>
                <w:rFonts w:ascii="宋体" w:hAnsi="宋体"/>
                <w:highlight w:val="none"/>
              </w:rPr>
            </w:pPr>
            <w:r>
              <w:rPr>
                <w:rFonts w:hint="eastAsia" w:ascii="宋体" w:hAnsi="宋体"/>
                <w:highlight w:val="none"/>
              </w:rPr>
              <w:t xml:space="preserve">根据监控平台反馈问题及全省法院电话报修问题，及时处理网络故障。</w:t>
            </w:r>
            <w:r/>
          </w:p>
        </w:tc>
      </w:tr>
      <w:tr>
        <w:trPr>
          <w:jc w:val="center"/>
        </w:trPr>
        <w:tc>
          <w:tcPr>
            <w:tcW w:w="2660" w:type="dxa"/>
            <w:vAlign w:val="center"/>
            <w:textDirection w:val="lrTb"/>
            <w:noWrap w:val="false"/>
          </w:tcPr>
          <w:p>
            <w:pPr>
              <w:spacing w:line="360" w:lineRule="auto"/>
              <w:rPr>
                <w:rFonts w:ascii="宋体" w:hAnsi="宋体"/>
                <w:highlight w:val="none"/>
              </w:rPr>
            </w:pPr>
            <w:r>
              <w:rPr>
                <w:rFonts w:hint="eastAsia" w:ascii="宋体" w:hAnsi="宋体"/>
                <w:highlight w:val="none"/>
              </w:rPr>
              <w:t xml:space="preserve">远程巡检及报告</w:t>
            </w:r>
            <w:r/>
          </w:p>
        </w:tc>
        <w:tc>
          <w:tcPr>
            <w:tcW w:w="6468" w:type="dxa"/>
            <w:vAlign w:val="center"/>
            <w:textDirection w:val="lrTb"/>
            <w:noWrap w:val="false"/>
          </w:tcPr>
          <w:p>
            <w:pPr>
              <w:spacing w:line="360" w:lineRule="auto"/>
              <w:rPr>
                <w:rFonts w:ascii="宋体" w:hAnsi="宋体"/>
                <w:highlight w:val="none"/>
              </w:rPr>
            </w:pPr>
            <w:r>
              <w:rPr>
                <w:rFonts w:hint="eastAsia" w:ascii="宋体" w:hAnsi="宋体"/>
                <w:highlight w:val="none"/>
              </w:rPr>
              <w:t xml:space="preserve">每周远程查看上述所有设备状态，采集状态信息并形成书面报告。</w:t>
            </w:r>
            <w:r/>
          </w:p>
        </w:tc>
      </w:tr>
      <w:tr>
        <w:trPr>
          <w:jc w:val="center"/>
        </w:trPr>
        <w:tc>
          <w:tcPr>
            <w:tcW w:w="2660" w:type="dxa"/>
            <w:vAlign w:val="center"/>
            <w:textDirection w:val="lrTb"/>
            <w:noWrap w:val="false"/>
          </w:tcPr>
          <w:p>
            <w:pPr>
              <w:spacing w:line="360" w:lineRule="auto"/>
              <w:rPr>
                <w:rFonts w:ascii="宋体" w:hAnsi="宋体"/>
                <w:highlight w:val="none"/>
              </w:rPr>
            </w:pPr>
            <w:r>
              <w:rPr>
                <w:rFonts w:hint="eastAsia" w:ascii="宋体" w:hAnsi="宋体"/>
                <w:highlight w:val="none"/>
              </w:rPr>
              <w:t xml:space="preserve">局域网现场巡检</w:t>
            </w:r>
            <w:r/>
          </w:p>
        </w:tc>
        <w:tc>
          <w:tcPr>
            <w:tcW w:w="6468" w:type="dxa"/>
            <w:vAlign w:val="center"/>
            <w:textDirection w:val="lrTb"/>
            <w:noWrap w:val="false"/>
          </w:tcPr>
          <w:p>
            <w:pPr>
              <w:spacing w:line="360" w:lineRule="auto"/>
              <w:rPr>
                <w:rFonts w:ascii="宋体" w:hAnsi="宋体"/>
                <w:highlight w:val="none"/>
              </w:rPr>
            </w:pPr>
            <w:r>
              <w:rPr>
                <w:rFonts w:hint="eastAsia" w:ascii="宋体" w:hAnsi="宋体"/>
                <w:highlight w:val="none"/>
              </w:rPr>
              <w:t xml:space="preserve">每月对江苏省高级人民法院局域网现场环境及设备进行人工现场巡检并形成书面记录。</w:t>
            </w:r>
            <w:r/>
          </w:p>
        </w:tc>
      </w:tr>
    </w:tbl>
    <w:p>
      <w:pPr>
        <w:pStyle w:val="979"/>
        <w:spacing w:before="120" w:after="120"/>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二</w:t>
      </w:r>
      <w:r>
        <w:rPr>
          <w:rFonts w:hAnsi="宋体"/>
          <w:b/>
          <w:sz w:val="24"/>
          <w:szCs w:val="24"/>
          <w:highlight w:val="none"/>
        </w:rPr>
        <w:t xml:space="preserve">、违约责任</w:t>
      </w:r>
      <w:r/>
    </w:p>
    <w:p>
      <w:pPr>
        <w:pStyle w:val="979"/>
        <w:ind w:left="410" w:hanging="410"/>
        <w:spacing w:before="120" w:after="120"/>
        <w:rPr>
          <w:rFonts w:hAnsi="宋体"/>
          <w:sz w:val="24"/>
          <w:szCs w:val="24"/>
          <w:highlight w:val="none"/>
        </w:rPr>
      </w:pPr>
      <w:r>
        <w:rPr>
          <w:rFonts w:hAnsi="宋体"/>
          <w:sz w:val="24"/>
          <w:szCs w:val="24"/>
          <w:highlight w:val="none"/>
        </w:rPr>
        <w:t xml:space="preserve">12.1 甲方无正当理由</w:t>
      </w:r>
      <w:r>
        <w:rPr>
          <w:rFonts w:hint="eastAsia" w:hAnsi="宋体"/>
          <w:sz w:val="24"/>
          <w:szCs w:val="24"/>
          <w:highlight w:val="none"/>
        </w:rPr>
        <w:t xml:space="preserve">拒绝接受乙方提供服务</w:t>
      </w:r>
      <w:r>
        <w:rPr>
          <w:rFonts w:hAnsi="宋体"/>
          <w:sz w:val="24"/>
          <w:szCs w:val="24"/>
          <w:highlight w:val="none"/>
        </w:rPr>
        <w:t xml:space="preserve">的，甲方向乙方偿付</w:t>
      </w:r>
      <w:r>
        <w:rPr>
          <w:rFonts w:hint="eastAsia" w:hAnsi="宋体"/>
          <w:sz w:val="24"/>
          <w:szCs w:val="24"/>
          <w:highlight w:val="none"/>
        </w:rPr>
        <w:t xml:space="preserve">拒绝接受服务合同价款</w:t>
      </w:r>
      <w:r>
        <w:rPr>
          <w:rFonts w:hAnsi="宋体"/>
          <w:sz w:val="24"/>
          <w:szCs w:val="24"/>
          <w:highlight w:val="none"/>
        </w:rPr>
        <w:t xml:space="preserve">总值的违约金。</w:t>
      </w:r>
      <w:r/>
    </w:p>
    <w:p>
      <w:pPr>
        <w:pStyle w:val="979"/>
        <w:ind w:left="410" w:hanging="410"/>
        <w:spacing w:before="120" w:after="120"/>
        <w:rPr>
          <w:rFonts w:hAnsi="宋体"/>
          <w:sz w:val="24"/>
          <w:szCs w:val="24"/>
          <w:highlight w:val="none"/>
        </w:rPr>
      </w:pPr>
      <w:r>
        <w:rPr>
          <w:rFonts w:hAnsi="宋体"/>
          <w:sz w:val="24"/>
          <w:szCs w:val="24"/>
          <w:highlight w:val="none"/>
        </w:rPr>
        <w:t xml:space="preserve">12.2 乙方逾期</w:t>
      </w:r>
      <w:r>
        <w:rPr>
          <w:rFonts w:hint="eastAsia" w:hAnsi="宋体"/>
          <w:sz w:val="24"/>
          <w:szCs w:val="24"/>
          <w:highlight w:val="none"/>
        </w:rPr>
        <w:t xml:space="preserve">提供服务</w:t>
      </w:r>
      <w:r>
        <w:rPr>
          <w:rFonts w:hAnsi="宋体"/>
          <w:sz w:val="24"/>
          <w:szCs w:val="24"/>
          <w:highlight w:val="none"/>
        </w:rPr>
        <w:t xml:space="preserve">的，乙方应按逾期</w:t>
      </w:r>
      <w:r>
        <w:rPr>
          <w:rFonts w:hint="eastAsia" w:hAnsi="宋体"/>
          <w:sz w:val="24"/>
          <w:szCs w:val="24"/>
          <w:highlight w:val="none"/>
        </w:rPr>
        <w:t xml:space="preserve">提供服务合同</w:t>
      </w:r>
      <w:r>
        <w:rPr>
          <w:rFonts w:hAnsi="宋体"/>
          <w:sz w:val="24"/>
          <w:szCs w:val="24"/>
          <w:highlight w:val="none"/>
        </w:rPr>
        <w:t xml:space="preserve">总额每日千分之六向甲方支付违约金，由甲方从待付</w:t>
      </w:r>
      <w:r>
        <w:rPr>
          <w:rFonts w:hint="eastAsia" w:hAnsi="宋体"/>
          <w:sz w:val="24"/>
          <w:szCs w:val="24"/>
          <w:highlight w:val="none"/>
        </w:rPr>
        <w:t xml:space="preserve">合同款项</w:t>
      </w:r>
      <w:r>
        <w:rPr>
          <w:rFonts w:hAnsi="宋体"/>
          <w:sz w:val="24"/>
          <w:szCs w:val="24"/>
          <w:highlight w:val="none"/>
        </w:rPr>
        <w:t xml:space="preserve">中扣除。逾期超过约定日期10个工作日不能</w:t>
      </w:r>
      <w:r>
        <w:rPr>
          <w:rFonts w:hint="eastAsia" w:hAnsi="宋体"/>
          <w:sz w:val="24"/>
          <w:szCs w:val="24"/>
          <w:highlight w:val="none"/>
        </w:rPr>
        <w:t xml:space="preserve">提供服务</w:t>
      </w:r>
      <w:r>
        <w:rPr>
          <w:rFonts w:hAnsi="宋体"/>
          <w:sz w:val="24"/>
          <w:szCs w:val="24"/>
          <w:highlight w:val="none"/>
        </w:rPr>
        <w:t xml:space="preserve">的，</w:t>
      </w:r>
      <w:r>
        <w:rPr>
          <w:rFonts w:hint="eastAsia" w:hAnsi="宋体"/>
          <w:sz w:val="24"/>
          <w:szCs w:val="24"/>
          <w:highlight w:val="none"/>
        </w:rPr>
        <w:t xml:space="preserve">经</w:t>
      </w:r>
      <w:r>
        <w:rPr>
          <w:rFonts w:hAnsi="宋体"/>
          <w:sz w:val="24"/>
          <w:szCs w:val="24"/>
          <w:highlight w:val="none"/>
        </w:rPr>
        <w:t xml:space="preserve">甲方书面通知</w:t>
      </w:r>
      <w:r>
        <w:rPr>
          <w:rFonts w:hint="eastAsia" w:hAnsi="宋体"/>
          <w:sz w:val="24"/>
          <w:szCs w:val="24"/>
          <w:highlight w:val="none"/>
        </w:rPr>
        <w:t xml:space="preserve">、</w:t>
      </w:r>
      <w:r>
        <w:rPr>
          <w:rFonts w:hAnsi="宋体"/>
          <w:sz w:val="24"/>
          <w:szCs w:val="24"/>
          <w:highlight w:val="none"/>
        </w:rPr>
        <w:t xml:space="preserve">整改后仍不达标的，甲方可解除本合同。乙方因逾期</w:t>
      </w:r>
      <w:r>
        <w:rPr>
          <w:rFonts w:hint="eastAsia" w:hAnsi="宋体"/>
          <w:sz w:val="24"/>
          <w:szCs w:val="24"/>
          <w:highlight w:val="none"/>
        </w:rPr>
        <w:t xml:space="preserve">提供服务</w:t>
      </w:r>
      <w:r>
        <w:rPr>
          <w:rFonts w:hAnsi="宋体"/>
          <w:sz w:val="24"/>
          <w:szCs w:val="24"/>
          <w:highlight w:val="none"/>
        </w:rPr>
        <w:t xml:space="preserve">或因其他违约行为导致甲方解除合同的，乙方应向甲方支付合同</w:t>
      </w:r>
      <w:r>
        <w:rPr>
          <w:rFonts w:hint="eastAsia" w:hAnsi="宋体"/>
          <w:sz w:val="24"/>
          <w:szCs w:val="24"/>
          <w:highlight w:val="none"/>
        </w:rPr>
        <w:t xml:space="preserve">价款总额</w:t>
      </w:r>
      <w:r>
        <w:rPr>
          <w:rFonts w:hAnsi="宋体"/>
          <w:sz w:val="24"/>
          <w:szCs w:val="24"/>
          <w:highlight w:val="none"/>
        </w:rPr>
        <w:t xml:space="preserve">的违约金，如造成甲方损失超过违约金的，超出部分由乙方继续承担赔偿责任。 </w:t>
      </w:r>
      <w:r/>
    </w:p>
    <w:p>
      <w:pPr>
        <w:pStyle w:val="979"/>
        <w:ind w:left="480" w:hanging="480"/>
        <w:spacing w:before="120" w:after="120"/>
        <w:rPr>
          <w:rFonts w:hAnsi="宋体"/>
          <w:sz w:val="24"/>
          <w:szCs w:val="24"/>
          <w:highlight w:val="none"/>
        </w:rPr>
      </w:pPr>
      <w:r>
        <w:rPr>
          <w:rFonts w:hAnsi="宋体"/>
          <w:sz w:val="24"/>
          <w:szCs w:val="24"/>
          <w:highlight w:val="none"/>
        </w:rPr>
        <w:t xml:space="preserve">12.3 乙方</w:t>
      </w:r>
      <w:r>
        <w:rPr>
          <w:rFonts w:hint="eastAsia" w:hAnsi="宋体"/>
          <w:sz w:val="24"/>
          <w:szCs w:val="24"/>
          <w:highlight w:val="none"/>
        </w:rPr>
        <w:t xml:space="preserve">所提供服务的标准</w:t>
      </w:r>
      <w:r>
        <w:rPr>
          <w:rFonts w:hAnsi="宋体"/>
          <w:sz w:val="24"/>
          <w:szCs w:val="24"/>
          <w:highlight w:val="none"/>
        </w:rPr>
        <w:t xml:space="preserve">不符合合同</w:t>
      </w:r>
      <w:r>
        <w:rPr>
          <w:rFonts w:hint="eastAsia" w:hAnsi="宋体"/>
          <w:sz w:val="24"/>
          <w:szCs w:val="24"/>
          <w:highlight w:val="none"/>
        </w:rPr>
        <w:t xml:space="preserve">约定</w:t>
      </w:r>
      <w:r>
        <w:rPr>
          <w:rFonts w:hAnsi="宋体"/>
          <w:sz w:val="24"/>
          <w:szCs w:val="24"/>
          <w:highlight w:val="none"/>
        </w:rPr>
        <w:t xml:space="preserve">及招标文件规定标准的，甲方有权</w:t>
      </w:r>
      <w:r>
        <w:rPr>
          <w:rFonts w:hint="eastAsia" w:hAnsi="宋体"/>
          <w:sz w:val="24"/>
          <w:szCs w:val="24"/>
          <w:highlight w:val="none"/>
        </w:rPr>
        <w:t xml:space="preserve">拒绝接受服务</w:t>
      </w:r>
      <w:r>
        <w:rPr>
          <w:rFonts w:hAnsi="宋体"/>
          <w:sz w:val="24"/>
          <w:szCs w:val="24"/>
          <w:highlight w:val="none"/>
        </w:rPr>
        <w:t xml:space="preserve">，</w:t>
      </w:r>
      <w:r>
        <w:rPr>
          <w:rFonts w:hint="eastAsia" w:hAnsi="宋体"/>
          <w:sz w:val="24"/>
          <w:szCs w:val="24"/>
          <w:highlight w:val="none"/>
        </w:rPr>
        <w:t xml:space="preserve">并</w:t>
      </w:r>
      <w:r>
        <w:rPr>
          <w:rFonts w:hAnsi="宋体"/>
          <w:sz w:val="24"/>
          <w:szCs w:val="24"/>
          <w:highlight w:val="none"/>
        </w:rPr>
        <w:t xml:space="preserve">可单方面解除合同。</w:t>
      </w:r>
      <w:r/>
    </w:p>
    <w:p>
      <w:pPr>
        <w:pStyle w:val="979"/>
        <w:ind w:left="480" w:hanging="480"/>
        <w:spacing w:before="120" w:after="120"/>
        <w:rPr>
          <w:rFonts w:hAnsi="宋体"/>
          <w:sz w:val="24"/>
          <w:szCs w:val="24"/>
          <w:highlight w:val="none"/>
        </w:rPr>
      </w:pPr>
      <w:r>
        <w:rPr>
          <w:rFonts w:hAnsi="宋体"/>
          <w:sz w:val="24"/>
          <w:szCs w:val="24"/>
          <w:highlight w:val="none"/>
        </w:rPr>
        <w:t xml:space="preserve">12.4 </w:t>
      </w:r>
      <w:r>
        <w:rPr>
          <w:rFonts w:hint="eastAsia" w:hAnsi="宋体"/>
          <w:sz w:val="24"/>
          <w:szCs w:val="24"/>
          <w:highlight w:val="none"/>
        </w:rPr>
        <w:t xml:space="preserve">因乙方原因导致网络安全事件每有一次扣除合同款的1%，被上级主管部门通报的每有一次扣除合同款的5%，造成网络安全工作责任制明确的重大网络安全事件或造成重大影响的甲方可解除合同，并保留继续追究责任的权利。所有扣款在最后一次尾款中结算。</w:t>
      </w:r>
      <w:r/>
    </w:p>
    <w:p>
      <w:pPr>
        <w:pStyle w:val="979"/>
        <w:ind w:left="410" w:hanging="410"/>
        <w:spacing w:before="120" w:after="120"/>
        <w:rPr>
          <w:rFonts w:hAnsi="宋体"/>
          <w:sz w:val="24"/>
          <w:szCs w:val="24"/>
          <w:highlight w:val="none"/>
        </w:rPr>
      </w:pPr>
      <w:r>
        <w:rPr>
          <w:rFonts w:hint="eastAsia" w:hAnsi="宋体"/>
          <w:sz w:val="24"/>
          <w:szCs w:val="24"/>
          <w:highlight w:val="none"/>
        </w:rPr>
        <w:t xml:space="preserve">1</w:t>
      </w:r>
      <w:r>
        <w:rPr>
          <w:rFonts w:hAnsi="宋体"/>
          <w:sz w:val="24"/>
          <w:szCs w:val="24"/>
          <w:highlight w:val="none"/>
        </w:rPr>
        <w:t xml:space="preserve">2</w:t>
      </w:r>
      <w:r>
        <w:rPr>
          <w:rFonts w:hint="eastAsia" w:hAnsi="宋体"/>
          <w:sz w:val="24"/>
          <w:szCs w:val="24"/>
          <w:highlight w:val="none"/>
        </w:rPr>
        <w:t xml:space="preserve">.</w:t>
      </w:r>
      <w:r>
        <w:rPr>
          <w:rFonts w:hAnsi="宋体"/>
          <w:sz w:val="24"/>
          <w:szCs w:val="24"/>
          <w:highlight w:val="none"/>
        </w:rPr>
        <w:t xml:space="preserve">5</w:t>
      </w:r>
      <w:r>
        <w:rPr>
          <w:rFonts w:hint="eastAsia" w:hAnsi="宋体"/>
          <w:sz w:val="24"/>
          <w:szCs w:val="24"/>
          <w:highlight w:val="none"/>
        </w:rPr>
        <w:t xml:space="preserve">因乙方原因造成网络</w:t>
      </w:r>
      <w:r>
        <w:rPr>
          <w:rFonts w:hAnsi="宋体"/>
          <w:sz w:val="24"/>
          <w:szCs w:val="24"/>
          <w:highlight w:val="none"/>
        </w:rPr>
        <w:t xml:space="preserve">或</w:t>
      </w:r>
      <w:r>
        <w:rPr>
          <w:rFonts w:hint="eastAsia" w:hAnsi="宋体"/>
          <w:sz w:val="24"/>
          <w:szCs w:val="24"/>
          <w:highlight w:val="none"/>
        </w:rPr>
        <w:t xml:space="preserve">线路重大故障，使得普通业务系统连续</w:t>
      </w:r>
      <w:r>
        <w:rPr>
          <w:rFonts w:hAnsi="宋体"/>
          <w:sz w:val="24"/>
          <w:szCs w:val="24"/>
          <w:highlight w:val="none"/>
        </w:rPr>
        <w:t xml:space="preserve">2</w:t>
      </w:r>
      <w:r>
        <w:rPr>
          <w:rFonts w:hint="eastAsia" w:hAnsi="宋体"/>
          <w:sz w:val="24"/>
          <w:szCs w:val="24"/>
          <w:highlight w:val="none"/>
        </w:rPr>
        <w:t xml:space="preserve">小时无法使用，关键业务系统连续</w:t>
      </w:r>
      <w:r>
        <w:rPr>
          <w:rFonts w:hAnsi="宋体"/>
          <w:sz w:val="24"/>
          <w:szCs w:val="24"/>
          <w:highlight w:val="none"/>
        </w:rPr>
        <w:t xml:space="preserve">1</w:t>
      </w:r>
      <w:r>
        <w:rPr>
          <w:rFonts w:hint="eastAsia" w:hAnsi="宋体"/>
          <w:sz w:val="24"/>
          <w:szCs w:val="24"/>
          <w:highlight w:val="none"/>
        </w:rPr>
        <w:t xml:space="preserve">小时无法使用，甲方可解除合同，并保留继续追究责任的权利</w:t>
      </w:r>
      <w:r>
        <w:rPr>
          <w:rFonts w:hAnsi="宋体"/>
          <w:sz w:val="24"/>
          <w:szCs w:val="24"/>
          <w:highlight w:val="none"/>
        </w:rPr>
        <w:t xml:space="preserve">。</w:t>
      </w:r>
      <w:r/>
    </w:p>
    <w:p>
      <w:pPr>
        <w:pStyle w:val="979"/>
        <w:spacing w:before="120" w:after="120"/>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三</w:t>
      </w:r>
      <w:r>
        <w:rPr>
          <w:rFonts w:hAnsi="宋体"/>
          <w:b/>
          <w:sz w:val="24"/>
          <w:szCs w:val="24"/>
          <w:highlight w:val="none"/>
        </w:rPr>
        <w:t xml:space="preserve">、不可抗力事件处理</w:t>
      </w:r>
      <w:r/>
    </w:p>
    <w:p>
      <w:pPr>
        <w:pStyle w:val="979"/>
        <w:ind w:left="480" w:hanging="480"/>
        <w:spacing w:before="120" w:after="120"/>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3</w:t>
      </w:r>
      <w:r>
        <w:rPr>
          <w:rFonts w:hAnsi="宋体"/>
          <w:sz w:val="24"/>
          <w:szCs w:val="24"/>
          <w:highlight w:val="none"/>
        </w:rPr>
        <w:t xml:space="preserve">.1 在合同有效期内，任何一方因不可抗力事件导致不能履行合同，则合同履行期可延长，其延长期与不可抗力影响期相同。</w:t>
      </w:r>
      <w:r/>
    </w:p>
    <w:p>
      <w:pPr>
        <w:pStyle w:val="979"/>
        <w:spacing w:before="120" w:after="120"/>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3</w:t>
      </w:r>
      <w:r>
        <w:rPr>
          <w:rFonts w:hAnsi="宋体"/>
          <w:sz w:val="24"/>
          <w:szCs w:val="24"/>
          <w:highlight w:val="none"/>
        </w:rPr>
        <w:t xml:space="preserve">.2 不可抗力事件发生后，应立即通知对方，并寄送有关权威机构出具的证明。</w:t>
      </w:r>
      <w:r/>
    </w:p>
    <w:p>
      <w:pPr>
        <w:pStyle w:val="979"/>
        <w:spacing w:before="120" w:after="120"/>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3</w:t>
      </w:r>
      <w:r>
        <w:rPr>
          <w:rFonts w:hAnsi="宋体"/>
          <w:sz w:val="24"/>
          <w:szCs w:val="24"/>
          <w:highlight w:val="none"/>
        </w:rPr>
        <w:t xml:space="preserve">.3 不可抗力事件延续120天以上，双方应通过友好协商，确定是否继续履行合同。</w:t>
      </w:r>
      <w:r/>
    </w:p>
    <w:p>
      <w:pPr>
        <w:pStyle w:val="979"/>
        <w:spacing w:before="120" w:after="120"/>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四</w:t>
      </w:r>
      <w:r>
        <w:rPr>
          <w:rFonts w:hAnsi="宋体"/>
          <w:b/>
          <w:sz w:val="24"/>
          <w:szCs w:val="24"/>
          <w:highlight w:val="none"/>
        </w:rPr>
        <w:t xml:space="preserve">、</w:t>
      </w:r>
      <w:r>
        <w:rPr>
          <w:rFonts w:hint="eastAsia" w:hAnsi="宋体"/>
          <w:b/>
          <w:sz w:val="24"/>
          <w:szCs w:val="24"/>
          <w:highlight w:val="none"/>
        </w:rPr>
        <w:t xml:space="preserve">解决争议的方法</w:t>
      </w:r>
      <w:r/>
    </w:p>
    <w:p>
      <w:pPr>
        <w:pStyle w:val="979"/>
        <w:spacing w:before="120" w:after="120"/>
        <w:rPr>
          <w:rFonts w:hAnsi="宋体"/>
          <w:sz w:val="24"/>
          <w:szCs w:val="24"/>
          <w:highlight w:val="none"/>
        </w:rPr>
      </w:pPr>
      <w:r>
        <w:rPr>
          <w:rFonts w:hint="eastAsia" w:hAnsi="宋体"/>
          <w:sz w:val="24"/>
          <w:szCs w:val="24"/>
          <w:highlight w:val="none"/>
        </w:rPr>
        <w:t xml:space="preserve">14.1双方在签订、履行合同中所发生的一切争议，应通过友好协商解决。如协商不成，由甲方住所地人民法院管辖。</w:t>
      </w:r>
      <w:r/>
    </w:p>
    <w:p>
      <w:pPr>
        <w:pStyle w:val="979"/>
        <w:spacing w:before="120" w:after="120"/>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五</w:t>
      </w:r>
      <w:r>
        <w:rPr>
          <w:rFonts w:hAnsi="宋体"/>
          <w:b/>
          <w:sz w:val="24"/>
          <w:szCs w:val="24"/>
          <w:highlight w:val="none"/>
        </w:rPr>
        <w:t xml:space="preserve">、合同生效及其它</w:t>
      </w:r>
      <w:r/>
    </w:p>
    <w:p>
      <w:pPr>
        <w:pStyle w:val="979"/>
        <w:spacing w:before="120" w:after="120"/>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5</w:t>
      </w:r>
      <w:r>
        <w:rPr>
          <w:rFonts w:hAnsi="宋体"/>
          <w:sz w:val="24"/>
          <w:szCs w:val="24"/>
          <w:highlight w:val="none"/>
        </w:rPr>
        <w:t xml:space="preserve">.1 合同经双方法定代表人或授权委托代</w:t>
      </w:r>
      <w:r>
        <w:rPr>
          <w:rFonts w:hint="eastAsia" w:hAnsi="宋体"/>
          <w:sz w:val="24"/>
          <w:szCs w:val="24"/>
          <w:highlight w:val="none"/>
        </w:rPr>
        <w:t xml:space="preserve">表</w:t>
      </w:r>
      <w:r>
        <w:rPr>
          <w:rFonts w:hAnsi="宋体"/>
          <w:sz w:val="24"/>
          <w:szCs w:val="24"/>
          <w:highlight w:val="none"/>
        </w:rPr>
        <w:t xml:space="preserve">人签字并加盖单位公章后生效。</w:t>
      </w:r>
      <w:r/>
    </w:p>
    <w:p>
      <w:pPr>
        <w:pStyle w:val="979"/>
        <w:spacing w:before="120" w:after="120"/>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5</w:t>
      </w:r>
      <w:r>
        <w:rPr>
          <w:rFonts w:hAnsi="宋体"/>
          <w:sz w:val="24"/>
          <w:szCs w:val="24"/>
          <w:highlight w:val="none"/>
        </w:rPr>
        <w:t xml:space="preserve">.2 本合同未尽事宜，遵照</w:t>
      </w:r>
      <w:r>
        <w:rPr>
          <w:rFonts w:hint="eastAsia" w:hAnsi="宋体"/>
          <w:sz w:val="24"/>
          <w:szCs w:val="24"/>
          <w:highlight w:val="none"/>
        </w:rPr>
        <w:t xml:space="preserve">中华人民共和国现行法律法规</w:t>
      </w:r>
      <w:r>
        <w:rPr>
          <w:rFonts w:hAnsi="宋体"/>
          <w:sz w:val="24"/>
          <w:szCs w:val="24"/>
          <w:highlight w:val="none"/>
        </w:rPr>
        <w:t xml:space="preserve">有关条文执行。</w:t>
      </w:r>
      <w:r/>
    </w:p>
    <w:p>
      <w:pPr>
        <w:pStyle w:val="979"/>
        <w:ind w:left="480" w:hanging="480"/>
        <w:spacing w:before="120" w:after="120"/>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5</w:t>
      </w:r>
      <w:r>
        <w:rPr>
          <w:rFonts w:hAnsi="宋体"/>
          <w:sz w:val="24"/>
          <w:szCs w:val="24"/>
          <w:highlight w:val="none"/>
        </w:rPr>
        <w:t xml:space="preserve">.</w:t>
      </w:r>
      <w:r>
        <w:rPr>
          <w:rFonts w:hint="eastAsia" w:hAnsi="宋体"/>
          <w:sz w:val="24"/>
          <w:szCs w:val="24"/>
          <w:highlight w:val="none"/>
        </w:rPr>
        <w:t xml:space="preserve">3</w:t>
      </w:r>
      <w:r>
        <w:rPr>
          <w:rFonts w:hAnsi="宋体"/>
          <w:sz w:val="24"/>
          <w:szCs w:val="24"/>
          <w:highlight w:val="none"/>
        </w:rPr>
        <w:t xml:space="preserve"> 本合同正本一式</w:t>
      </w:r>
      <w:r>
        <w:rPr>
          <w:rFonts w:hint="eastAsia" w:hAnsi="宋体"/>
          <w:sz w:val="24"/>
          <w:szCs w:val="24"/>
          <w:highlight w:val="none"/>
        </w:rPr>
        <w:t xml:space="preserve">五</w:t>
      </w:r>
      <w:r>
        <w:rPr>
          <w:rFonts w:hAnsi="宋体"/>
          <w:sz w:val="24"/>
          <w:szCs w:val="24"/>
          <w:highlight w:val="none"/>
        </w:rPr>
        <w:t xml:space="preserve">份，具有同等法律效力，甲</w:t>
      </w:r>
      <w:r>
        <w:rPr>
          <w:rFonts w:hint="eastAsia" w:hAnsi="宋体"/>
          <w:sz w:val="24"/>
          <w:szCs w:val="24"/>
          <w:highlight w:val="none"/>
        </w:rPr>
        <w:t xml:space="preserve">方四份、</w:t>
      </w:r>
      <w:r>
        <w:rPr>
          <w:rFonts w:hAnsi="宋体"/>
          <w:sz w:val="24"/>
          <w:szCs w:val="24"/>
          <w:highlight w:val="none"/>
        </w:rPr>
        <w:t xml:space="preserve">乙方一份。</w:t>
      </w:r>
      <w:r/>
    </w:p>
    <w:p>
      <w:pPr>
        <w:pStyle w:val="979"/>
        <w:ind w:left="480" w:hanging="480"/>
        <w:spacing w:before="120" w:after="120" w:line="0" w:lineRule="atLeast"/>
        <w:rPr>
          <w:rFonts w:hAnsi="宋体"/>
          <w:sz w:val="24"/>
          <w:szCs w:val="24"/>
          <w:highlight w:val="none"/>
        </w:rPr>
      </w:pPr>
      <w:r>
        <w:rPr>
          <w:rFonts w:hAnsi="宋体"/>
          <w:sz w:val="24"/>
          <w:szCs w:val="24"/>
          <w:highlight w:val="none"/>
        </w:rPr>
        <w:t xml:space="preserve">  甲方：                        乙方： </w:t>
      </w:r>
      <w:r/>
    </w:p>
    <w:p>
      <w:pPr>
        <w:pStyle w:val="979"/>
        <w:spacing w:before="120" w:after="120" w:line="0" w:lineRule="atLeast"/>
        <w:rPr>
          <w:rFonts w:hAnsi="宋体"/>
          <w:sz w:val="24"/>
          <w:szCs w:val="24"/>
          <w:highlight w:val="none"/>
        </w:rPr>
      </w:pPr>
      <w:r>
        <w:rPr>
          <w:rFonts w:hAnsi="宋体"/>
          <w:sz w:val="24"/>
          <w:szCs w:val="24"/>
          <w:highlight w:val="none"/>
        </w:rPr>
        <w:t xml:space="preserve">  地址：                       地址： </w:t>
      </w:r>
      <w:r/>
    </w:p>
    <w:p>
      <w:pPr>
        <w:pStyle w:val="979"/>
        <w:spacing w:before="120" w:after="120" w:line="0" w:lineRule="atLeast"/>
        <w:rPr>
          <w:rFonts w:hAnsi="宋体"/>
          <w:sz w:val="24"/>
          <w:szCs w:val="24"/>
          <w:highlight w:val="none"/>
        </w:rPr>
      </w:pPr>
      <w:r>
        <w:rPr>
          <w:rFonts w:hAnsi="宋体"/>
          <w:sz w:val="24"/>
          <w:szCs w:val="24"/>
          <w:highlight w:val="none"/>
        </w:rPr>
        <w:t xml:space="preserve">  法定代表人</w:t>
      </w:r>
      <w:r>
        <w:rPr>
          <w:rFonts w:hint="eastAsia" w:hAnsi="宋体"/>
          <w:sz w:val="24"/>
          <w:szCs w:val="24"/>
          <w:highlight w:val="none"/>
        </w:rPr>
        <w:t xml:space="preserve">或授权代表</w:t>
      </w:r>
      <w:r>
        <w:rPr>
          <w:rFonts w:hAnsi="宋体"/>
          <w:sz w:val="24"/>
          <w:szCs w:val="24"/>
          <w:highlight w:val="none"/>
        </w:rPr>
        <w:t xml:space="preserve">：        法定代表人</w:t>
      </w:r>
      <w:r>
        <w:rPr>
          <w:rFonts w:hint="eastAsia" w:hAnsi="宋体"/>
          <w:sz w:val="24"/>
          <w:szCs w:val="24"/>
          <w:highlight w:val="none"/>
        </w:rPr>
        <w:t xml:space="preserve">或授权代表</w:t>
      </w:r>
      <w:r>
        <w:rPr>
          <w:rFonts w:hAnsi="宋体"/>
          <w:sz w:val="24"/>
          <w:szCs w:val="24"/>
          <w:highlight w:val="none"/>
        </w:rPr>
        <w:t xml:space="preserve">：</w:t>
      </w:r>
      <w:r/>
    </w:p>
    <w:p>
      <w:pPr>
        <w:pStyle w:val="979"/>
        <w:ind w:firstLine="240"/>
        <w:spacing w:before="120" w:after="120" w:line="0" w:lineRule="atLeast"/>
        <w:rPr>
          <w:highlight w:val="none"/>
        </w:rPr>
      </w:pPr>
      <w:r>
        <w:rPr>
          <w:rFonts w:hint="eastAsia" w:hAnsi="宋体"/>
          <w:sz w:val="24"/>
          <w:szCs w:val="24"/>
          <w:highlight w:val="none"/>
        </w:rPr>
        <w:t xml:space="preserve">联系电话：                    联系电话：          </w:t>
      </w:r>
      <w:r/>
    </w:p>
    <w:p>
      <w:pPr>
        <w:pStyle w:val="979"/>
        <w:jc w:val="center"/>
        <w:spacing w:before="120" w:after="120" w:line="0" w:lineRule="atLeast"/>
        <w:rPr>
          <w:highlight w:val="none"/>
        </w:rPr>
      </w:pPr>
      <w:r>
        <w:rPr>
          <w:highlight w:val="none"/>
        </w:rPr>
      </w:r>
      <w:r/>
    </w:p>
    <w:p>
      <w:pPr>
        <w:pStyle w:val="979"/>
        <w:jc w:val="right"/>
        <w:spacing w:before="120" w:after="120" w:line="0" w:lineRule="atLeast"/>
        <w:rPr>
          <w:sz w:val="24"/>
          <w:szCs w:val="24"/>
          <w:highlight w:val="none"/>
        </w:rPr>
      </w:pPr>
      <w:r>
        <w:rPr>
          <w:sz w:val="24"/>
          <w:szCs w:val="24"/>
          <w:highlight w:val="none"/>
        </w:rPr>
      </w:r>
      <w:r/>
    </w:p>
    <w:p>
      <w:pPr>
        <w:pStyle w:val="979"/>
        <w:jc w:val="center"/>
        <w:spacing w:before="120" w:after="120" w:line="400" w:lineRule="exact"/>
        <w:rPr>
          <w:rFonts w:hint="eastAsia" w:ascii="方正黑体_GBK" w:hAnsi="方正黑体_GBK" w:eastAsia="方正黑体_GBK" w:cs="方正黑体_GBK"/>
          <w:bCs/>
          <w:color w:val="000000"/>
          <w:sz w:val="28"/>
          <w:szCs w:val="28"/>
          <w:highlight w:val="none"/>
        </w:rPr>
      </w:pPr>
      <w:r>
        <w:rPr>
          <w:sz w:val="24"/>
          <w:szCs w:val="24"/>
          <w:highlight w:val="none"/>
        </w:rPr>
        <w:t xml:space="preserve">签订日期：      年  月  日</w:t>
      </w:r>
      <w:bookmarkStart w:id="158" w:name="_Hlt16619369"/>
      <w:r/>
      <w:bookmarkEnd w:id="158"/>
      <w:r>
        <w:rPr>
          <w:rFonts w:ascii="黑体" w:eastAsia="黑体"/>
          <w:bCs/>
          <w:sz w:val="44"/>
          <w:highlight w:val="none"/>
        </w:rPr>
        <w:br w:type="page" w:clear="all"/>
      </w:r>
      <w:r>
        <w:rPr>
          <w:rFonts w:hint="eastAsia" w:ascii="方正黑体_GBK" w:hAnsi="方正黑体_GBK" w:eastAsia="方正黑体_GBK" w:cs="方正黑体_GBK"/>
          <w:color w:val="000000"/>
          <w:sz w:val="28"/>
          <w:szCs w:val="28"/>
          <w:highlight w:val="none"/>
        </w:rPr>
        <w:t xml:space="preserve">第</w:t>
      </w:r>
      <w:bookmarkEnd w:id="152"/>
      <w:r>
        <w:rPr>
          <w:rFonts w:hint="eastAsia" w:ascii="方正黑体_GBK" w:hAnsi="方正黑体_GBK" w:eastAsia="方正黑体_GBK" w:cs="方正黑体_GBK"/>
          <w:color w:val="000000"/>
          <w:sz w:val="28"/>
          <w:szCs w:val="28"/>
          <w:highlight w:val="none"/>
        </w:rPr>
        <w:t xml:space="preserve">四章 采购需求</w:t>
      </w:r>
      <w:bookmarkEnd w:id="153"/>
      <w:r/>
      <w:bookmarkEnd w:id="154"/>
      <w:r/>
      <w:bookmarkEnd w:id="155"/>
      <w:r/>
      <w:r/>
    </w:p>
    <w:p>
      <w:pPr>
        <w:pStyle w:val="979"/>
        <w:ind w:firstLine="560"/>
        <w:spacing w:before="120" w:after="120" w:line="400" w:lineRule="exact"/>
        <w:rPr>
          <w:rFonts w:hint="eastAsia" w:ascii="方正黑体_GBK" w:hAnsi="方正黑体_GBK" w:eastAsia="方正黑体_GBK" w:cs="方正黑体_GBK"/>
          <w:bCs/>
          <w:sz w:val="28"/>
          <w:szCs w:val="28"/>
          <w:highlight w:val="none"/>
        </w:rPr>
      </w:pPr>
      <w:r/>
      <w:bookmarkStart w:id="159" w:name="_Toc49090575"/>
      <w:r/>
      <w:bookmarkStart w:id="160" w:name="_Toc26554093"/>
      <w:r>
        <w:rPr>
          <w:rFonts w:hint="eastAsia" w:ascii="方正黑体_GBK" w:hAnsi="方正黑体_GBK" w:eastAsia="方正黑体_GBK" w:cs="方正黑体_GBK"/>
          <w:bCs/>
          <w:sz w:val="28"/>
          <w:szCs w:val="28"/>
          <w:highlight w:val="none"/>
        </w:rPr>
        <w:t xml:space="preserve">一、采购标的清单</w:t>
      </w:r>
      <w:r/>
    </w:p>
    <w:tbl>
      <w:tblPr>
        <w:tblStyle w:val="77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4487"/>
        <w:gridCol w:w="2727"/>
      </w:tblGrid>
      <w:tr>
        <w:trPr>
          <w:cantSplit/>
          <w:jc w:val="center"/>
          <w:trHeight w:val="701"/>
        </w:trPr>
        <w:tc>
          <w:tcPr>
            <w:tcW w:w="804"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p>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p>
        </w:tc>
        <w:tc>
          <w:tcPr>
            <w:tcW w:w="4487"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采购标的</w:t>
            </w:r>
            <w:r/>
          </w:p>
        </w:tc>
        <w:tc>
          <w:tcPr>
            <w:tcW w:w="2727"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对应中小企业划分标准所属行业</w:t>
            </w:r>
            <w:r/>
          </w:p>
        </w:tc>
      </w:tr>
      <w:tr>
        <w:trPr>
          <w:cantSplit/>
          <w:jc w:val="center"/>
          <w:trHeight w:val="291"/>
        </w:trPr>
        <w:tc>
          <w:tcPr>
            <w:tcW w:w="804" w:type="dxa"/>
            <w:vAlign w:val="top"/>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eastAsia="方正仿宋_GBK"/>
                <w:color w:val="000000"/>
                <w:sz w:val="28"/>
                <w:szCs w:val="28"/>
                <w:highlight w:val="none"/>
              </w:rPr>
              <w:t xml:space="preserve">1</w:t>
            </w:r>
            <w:r/>
          </w:p>
        </w:tc>
        <w:tc>
          <w:tcPr>
            <w:tcW w:w="4487" w:type="dxa"/>
            <w:vAlign w:val="center"/>
            <w:textDirection w:val="lrTb"/>
            <w:noWrap w:val="false"/>
          </w:tcPr>
          <w:p>
            <w:pPr>
              <w:jc w:val="left"/>
              <w:spacing w:line="0" w:lineRule="atLeast"/>
              <w:tabs>
                <w:tab w:val="left" w:pos="2020" w:leader="none"/>
              </w:tabs>
              <w:rPr>
                <w:rFonts w:hint="eastAsia" w:ascii="方正仿宋_GBK" w:hAnsi="方正仿宋_GBK" w:eastAsia="方正仿宋_GBK" w:cs="方正仿宋_GBK"/>
                <w:sz w:val="32"/>
                <w:szCs w:val="32"/>
                <w:highlight w:val="none"/>
              </w:rPr>
            </w:pPr>
            <w:r>
              <w:rPr>
                <w:rFonts w:hint="eastAsia" w:ascii="宋体" w:hAnsi="宋体"/>
                <w:sz w:val="28"/>
                <w:szCs w:val="28"/>
                <w:highlight w:val="none"/>
              </w:rPr>
              <w:t xml:space="preserve">江苏法院“一张网”专线租赁项目主用线路租赁及运维服务</w:t>
            </w:r>
            <w:r/>
          </w:p>
        </w:tc>
        <w:tc>
          <w:tcPr>
            <w:tcW w:w="2727" w:type="dxa"/>
            <w:vAlign w:val="center"/>
            <w:textDirection w:val="lrTb"/>
            <w:noWrap w:val="false"/>
          </w:tcPr>
          <w:p>
            <w:pPr>
              <w:jc w:val="center"/>
              <w:spacing w:line="0" w:lineRule="atLeast"/>
              <w:rPr>
                <w:rFonts w:hint="eastAsia" w:eastAsia="方正仿宋_GBK"/>
                <w:color w:val="000000"/>
                <w:sz w:val="32"/>
                <w:szCs w:val="32"/>
                <w:highlight w:val="none"/>
              </w:rPr>
            </w:pPr>
            <w:r>
              <w:rPr>
                <w:rFonts w:hint="eastAsia" w:ascii="宋体" w:cs="宋体"/>
                <w:sz w:val="28"/>
                <w:szCs w:val="28"/>
                <w:highlight w:val="none"/>
                <w:lang w:val="zh-CN"/>
              </w:rPr>
              <w:t xml:space="preserve">信息传输业</w:t>
            </w:r>
            <w:r/>
          </w:p>
        </w:tc>
      </w:tr>
      <w:tr>
        <w:trPr>
          <w:cantSplit/>
          <w:jc w:val="center"/>
          <w:trHeight w:val="291"/>
        </w:trPr>
        <w:tc>
          <w:tcPr>
            <w:tcW w:w="804" w:type="dxa"/>
            <w:vAlign w:val="top"/>
            <w:textDirection w:val="lrTb"/>
            <w:noWrap w:val="false"/>
          </w:tcPr>
          <w:p>
            <w:pPr>
              <w:jc w:val="center"/>
              <w:spacing w:line="400" w:lineRule="exact"/>
              <w:rPr>
                <w:rFonts w:eastAsia="方正仿宋_GBK"/>
                <w:color w:val="000000"/>
                <w:sz w:val="28"/>
                <w:szCs w:val="28"/>
                <w:highlight w:val="none"/>
              </w:rPr>
            </w:pPr>
            <w:r>
              <w:rPr>
                <w:rFonts w:hint="eastAsia" w:eastAsia="方正仿宋_GBK"/>
                <w:color w:val="000000"/>
                <w:sz w:val="28"/>
                <w:szCs w:val="28"/>
                <w:highlight w:val="none"/>
              </w:rPr>
              <w:t xml:space="preserve">2</w:t>
            </w:r>
            <w:r/>
          </w:p>
        </w:tc>
        <w:tc>
          <w:tcPr>
            <w:tcW w:w="4487" w:type="dxa"/>
            <w:vAlign w:val="center"/>
            <w:textDirection w:val="lrTb"/>
            <w:noWrap w:val="false"/>
          </w:tcPr>
          <w:p>
            <w:pPr>
              <w:jc w:val="left"/>
              <w:spacing w:line="0" w:lineRule="atLeast"/>
              <w:tabs>
                <w:tab w:val="left" w:pos="2020" w:leader="none"/>
              </w:tabs>
              <w:rPr>
                <w:rFonts w:hint="eastAsia" w:eastAsia="方正仿宋_GBK"/>
                <w:color w:val="000000"/>
                <w:sz w:val="32"/>
                <w:szCs w:val="32"/>
                <w:highlight w:val="none"/>
              </w:rPr>
            </w:pPr>
            <w:r>
              <w:rPr>
                <w:rFonts w:hint="eastAsia" w:ascii="宋体" w:hAnsi="宋体"/>
                <w:sz w:val="28"/>
                <w:szCs w:val="28"/>
                <w:highlight w:val="none"/>
              </w:rPr>
              <w:t xml:space="preserve">江苏法院“一张网”专线租赁项目备用线路租赁及运维服务</w:t>
            </w:r>
            <w:r/>
          </w:p>
        </w:tc>
        <w:tc>
          <w:tcPr>
            <w:tcW w:w="2727" w:type="dxa"/>
            <w:vAlign w:val="center"/>
            <w:textDirection w:val="lrTb"/>
            <w:noWrap w:val="false"/>
          </w:tcPr>
          <w:p>
            <w:pPr>
              <w:jc w:val="center"/>
              <w:spacing w:line="0" w:lineRule="atLeast"/>
              <w:rPr>
                <w:rFonts w:hint="eastAsia" w:eastAsia="方正仿宋_GBK"/>
                <w:color w:val="000000"/>
                <w:sz w:val="32"/>
                <w:szCs w:val="32"/>
                <w:highlight w:val="none"/>
              </w:rPr>
            </w:pPr>
            <w:r>
              <w:rPr>
                <w:rFonts w:hint="eastAsia" w:ascii="宋体" w:cs="宋体"/>
                <w:sz w:val="28"/>
                <w:szCs w:val="28"/>
                <w:highlight w:val="none"/>
                <w:lang w:val="zh-CN"/>
              </w:rPr>
              <w:t xml:space="preserve">信息传输业</w:t>
            </w:r>
            <w:r/>
          </w:p>
        </w:tc>
      </w:tr>
    </w:tbl>
    <w:p>
      <w:pPr>
        <w:pStyle w:val="979"/>
        <w:ind w:firstLine="560"/>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二、政府采购中实施本国产品标准及相关政策</w:t>
      </w:r>
      <w:r/>
    </w:p>
    <w:p>
      <w:pPr>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79"/>
        <w:ind w:firstLine="560"/>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三、技术要求</w:t>
      </w:r>
      <w:r/>
    </w:p>
    <w:p>
      <w:pPr>
        <w:ind w:firstLine="482"/>
        <w:spacing w:line="360" w:lineRule="auto"/>
        <w:rPr>
          <w:rFonts w:hint="eastAsia" w:hAnsi="宋体"/>
          <w:color w:val="000000"/>
          <w:sz w:val="24"/>
          <w:szCs w:val="24"/>
          <w:highlight w:val="none"/>
        </w:rPr>
      </w:pPr>
      <w:r>
        <w:rPr>
          <w:rFonts w:hint="eastAsia" w:hAnsi="宋体"/>
          <w:color w:val="000000"/>
          <w:sz w:val="24"/>
          <w:szCs w:val="24"/>
          <w:highlight w:val="none"/>
        </w:rPr>
        <w:t xml:space="preserve">法院“一张网”建设是指</w:t>
      </w:r>
      <w:r>
        <w:rPr>
          <w:color w:val="000000"/>
          <w:sz w:val="24"/>
          <w:szCs w:val="24"/>
          <w:highlight w:val="none"/>
        </w:rPr>
        <w:t xml:space="preserve">‌</w:t>
      </w:r>
      <w:r>
        <w:rPr>
          <w:rFonts w:hint="eastAsia" w:hAnsi="宋体"/>
          <w:color w:val="000000"/>
          <w:sz w:val="24"/>
          <w:szCs w:val="24"/>
          <w:highlight w:val="none"/>
        </w:rPr>
        <w:t xml:space="preserve">全国法院一体化办案办公系统</w:t>
      </w:r>
      <w:r>
        <w:rPr>
          <w:color w:val="000000"/>
          <w:sz w:val="24"/>
          <w:szCs w:val="24"/>
          <w:highlight w:val="none"/>
        </w:rPr>
        <w:t xml:space="preserve">‌</w:t>
      </w:r>
      <w:r>
        <w:rPr>
          <w:rFonts w:hint="eastAsia" w:hAnsi="宋体"/>
          <w:color w:val="000000"/>
          <w:sz w:val="24"/>
          <w:szCs w:val="24"/>
          <w:highlight w:val="none"/>
        </w:rPr>
        <w:t xml:space="preserve">，该系统通过整合分散的法院业务平台，构建覆盖立案、审判、执行等全流程的统一数字化平台，旨在提升司法效率、优化诉讼服务并推动审判工作现代化。</w:t>
      </w:r>
      <w:r>
        <w:rPr>
          <w:color w:val="000000"/>
          <w:sz w:val="24"/>
          <w:szCs w:val="24"/>
          <w:highlight w:val="none"/>
        </w:rPr>
        <w:t xml:space="preserve">‌‌</w:t>
      </w:r>
      <w:r>
        <w:rPr>
          <w:rFonts w:hint="eastAsia" w:hAnsi="宋体"/>
          <w:color w:val="000000"/>
          <w:sz w:val="24"/>
          <w:szCs w:val="24"/>
          <w:highlight w:val="none"/>
        </w:rPr>
        <w:t xml:space="preserve">为接入最高人民法院“一张网”，江苏省高级人民法院需上连“一张网”南中心，下连江苏</w:t>
      </w:r>
      <w:r>
        <w:rPr>
          <w:rFonts w:hAnsi="宋体"/>
          <w:color w:val="000000"/>
          <w:sz w:val="24"/>
          <w:szCs w:val="24"/>
          <w:highlight w:val="none"/>
        </w:rPr>
        <w:t xml:space="preserve">法官培训</w:t>
      </w:r>
      <w:r>
        <w:rPr>
          <w:rFonts w:hint="eastAsia" w:hAnsi="宋体"/>
          <w:color w:val="000000"/>
          <w:sz w:val="24"/>
          <w:szCs w:val="24"/>
          <w:highlight w:val="none"/>
        </w:rPr>
        <w:t xml:space="preserve">学院</w:t>
      </w:r>
      <w:r>
        <w:rPr>
          <w:rFonts w:hAnsi="宋体"/>
          <w:color w:val="000000"/>
          <w:sz w:val="24"/>
          <w:szCs w:val="24"/>
          <w:highlight w:val="none"/>
        </w:rPr>
        <w:t xml:space="preserve">、</w:t>
      </w:r>
      <w:r>
        <w:rPr>
          <w:rFonts w:hint="eastAsia" w:hAnsi="宋体"/>
          <w:color w:val="000000"/>
          <w:sz w:val="24"/>
          <w:szCs w:val="24"/>
          <w:highlight w:val="none"/>
        </w:rPr>
        <w:t xml:space="preserve">省内各中级法院、基层法院、南京海事法院等125个单位。为此需采购相应通信及7</w:t>
      </w:r>
      <w:r>
        <w:rPr>
          <w:rFonts w:hAnsi="宋体"/>
          <w:color w:val="000000"/>
          <w:sz w:val="24"/>
          <w:szCs w:val="24"/>
          <w:highlight w:val="none"/>
        </w:rPr>
        <w:t xml:space="preserve">*24</w:t>
      </w:r>
      <w:r>
        <w:rPr>
          <w:rFonts w:hint="eastAsia" w:hAnsi="宋体"/>
          <w:color w:val="000000"/>
          <w:sz w:val="24"/>
          <w:szCs w:val="24"/>
          <w:highlight w:val="none"/>
        </w:rPr>
        <w:t xml:space="preserve">小时</w:t>
      </w:r>
      <w:r>
        <w:rPr>
          <w:rFonts w:hAnsi="宋体"/>
          <w:color w:val="000000"/>
          <w:sz w:val="24"/>
          <w:szCs w:val="24"/>
          <w:highlight w:val="none"/>
        </w:rPr>
        <w:t xml:space="preserve">应急</w:t>
      </w:r>
      <w:r>
        <w:rPr>
          <w:rFonts w:hint="eastAsia" w:hAnsi="宋体"/>
          <w:color w:val="000000"/>
          <w:sz w:val="24"/>
          <w:szCs w:val="24"/>
          <w:highlight w:val="none"/>
        </w:rPr>
        <w:t xml:space="preserve">响应服务。网络拓扑如下：</w:t>
      </w:r>
      <w:r/>
    </w:p>
    <w:p>
      <w:pPr>
        <w:ind w:firstLine="482"/>
        <w:spacing w:line="360" w:lineRule="auto"/>
        <w:rPr>
          <w:rFonts w:hint="eastAsia" w:hAnsi="宋体"/>
          <w:color w:val="000000"/>
          <w:sz w:val="24"/>
          <w:szCs w:val="24"/>
          <w:highlight w:val="none"/>
        </w:rPr>
      </w:pPr>
      <w:r>
        <w:rPr>
          <w:rFonts w:hint="eastAsia" w:hAnsi="宋体"/>
          <w:color w:val="000000"/>
          <w:sz w:val="24"/>
          <w:szCs w:val="24"/>
          <w:highlight w:val="none"/>
        </w:rPr>
      </w:r>
      <w:r/>
    </w:p>
    <w:p>
      <w:pPr>
        <w:ind w:firstLine="482"/>
        <w:spacing w:line="360" w:lineRule="auto"/>
        <w:rPr>
          <w:rFonts w:hint="eastAsia" w:hAnsi="宋体"/>
          <w:color w:val="000000"/>
          <w:sz w:val="24"/>
          <w:szCs w:val="24"/>
          <w:highlight w:val="none"/>
        </w:rPr>
      </w:pPr>
      <w:r>
        <w:rPr>
          <w:rFonts w:hint="eastAsia" w:hAnsi="宋体"/>
          <w:color w:val="000000"/>
          <w:sz w:val="24"/>
          <w:szCs w:val="24"/>
          <w:highlight w:val="none"/>
        </w:rPr>
      </w:r>
      <w:r/>
    </w:p>
    <w:p>
      <w:pPr>
        <w:ind w:firstLine="482"/>
        <w:spacing w:line="360" w:lineRule="auto"/>
        <w:rPr>
          <w:rFonts w:hint="eastAsia" w:hAnsi="宋体"/>
          <w:color w:val="000000"/>
          <w:sz w:val="24"/>
          <w:szCs w:val="24"/>
          <w:highlight w:val="none"/>
        </w:rPr>
      </w:pPr>
      <w:r>
        <w:rPr>
          <w:highlight w:val="none"/>
        </w:rPr>
        <mc:AlternateContent>
          <mc:Choice Requires="wpg">
            <w:drawing>
              <wp:inline xmlns:wp="http://schemas.openxmlformats.org/drawingml/2006/wordprocessingDrawing" distT="0" distB="0" distL="0" distR="0">
                <wp:extent cx="5685155" cy="399224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4"/>
                        <a:stretch/>
                      </pic:blipFill>
                      <pic:spPr bwMode="auto">
                        <a:xfrm>
                          <a:off x="0" y="0"/>
                          <a:ext cx="5685219" cy="39927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47.6pt;height:314.3pt;mso-wrap-distance-left:0.0pt;mso-wrap-distance-top:0.0pt;mso-wrap-distance-right:0.0pt;mso-wrap-distance-bottom:0.0pt;" stroked="f">
                <v:path textboxrect="0,0,0,0"/>
                <v:imagedata r:id="rId14" o:title=""/>
              </v:shape>
            </w:pict>
          </mc:Fallback>
        </mc:AlternateConten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p>
      <w:pPr>
        <w:pStyle w:val="945"/>
        <w:ind w:firstLine="482"/>
        <w:spacing w:before="0" w:after="0" w:line="360" w:lineRule="auto"/>
        <w:rPr>
          <w:sz w:val="28"/>
          <w:szCs w:val="28"/>
          <w:highlight w:val="none"/>
        </w:rPr>
      </w:pPr>
      <w:r>
        <w:rPr>
          <w:rFonts w:hint="eastAsia"/>
          <w:sz w:val="28"/>
          <w:szCs w:val="28"/>
          <w:highlight w:val="none"/>
        </w:rPr>
        <w:t xml:space="preserve">采购包</w:t>
      </w:r>
      <w:r>
        <w:rPr>
          <w:sz w:val="28"/>
          <w:szCs w:val="28"/>
          <w:highlight w:val="none"/>
        </w:rPr>
        <w:t xml:space="preserve">1</w:t>
      </w:r>
      <w:r>
        <w:rPr>
          <w:rFonts w:hint="eastAsia"/>
          <w:sz w:val="28"/>
          <w:szCs w:val="28"/>
          <w:highlight w:val="none"/>
        </w:rPr>
        <w:t xml:space="preserve">：江苏法院“一张网”专线租赁项目主用线路租赁及运维服务</w:t>
      </w:r>
      <w:r/>
    </w:p>
    <w:p>
      <w:pPr>
        <w:pStyle w:val="945"/>
        <w:ind w:firstLine="607"/>
        <w:spacing w:before="0" w:after="0" w:line="360" w:lineRule="auto"/>
        <w:rPr>
          <w:sz w:val="24"/>
          <w:szCs w:val="24"/>
          <w:highlight w:val="none"/>
        </w:rPr>
      </w:pPr>
      <w:r>
        <w:rPr>
          <w:rFonts w:hint="eastAsia"/>
          <w:sz w:val="24"/>
          <w:szCs w:val="24"/>
          <w:highlight w:val="none"/>
        </w:rPr>
        <w:t xml:space="preserve">1.采购清单</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本采购包采购清单如下：</w:t>
      </w:r>
      <w:r/>
    </w:p>
    <w:tbl>
      <w:tblPr>
        <w:tblStyle w:val="772"/>
        <w:tblW w:w="89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5"/>
        <w:gridCol w:w="4543"/>
        <w:gridCol w:w="1542"/>
        <w:gridCol w:w="1340"/>
      </w:tblGrid>
      <w:tr>
        <w:trPr>
          <w:jc w:val="center"/>
          <w:trHeight w:val="285"/>
          <w:tblHeader/>
        </w:trPr>
        <w:tc>
          <w:tcPr>
            <w:shd w:val="clear" w:color="000000" w:fill="bfbfbf"/>
            <w:tcW w:w="1555" w:type="dxa"/>
            <w:vAlign w:val="center"/>
            <w:textDirection w:val="lrTb"/>
            <w:noWrap w:val="false"/>
          </w:tcPr>
          <w:p>
            <w:pPr>
              <w:rPr>
                <w:rFonts w:ascii="宋体" w:hAnsi="宋体"/>
                <w:highlight w:val="none"/>
              </w:rPr>
            </w:pPr>
            <w:r>
              <w:rPr>
                <w:rFonts w:hint="eastAsia" w:ascii="宋体" w:hAnsi="宋体"/>
                <w:highlight w:val="none"/>
              </w:rPr>
              <w:t xml:space="preserve">需求内容</w:t>
            </w:r>
            <w:r/>
          </w:p>
        </w:tc>
        <w:tc>
          <w:tcPr>
            <w:shd w:val="clear" w:color="000000" w:fill="bfbfbf"/>
            <w:tcW w:w="4543" w:type="dxa"/>
            <w:vAlign w:val="center"/>
            <w:textDirection w:val="lrTb"/>
            <w:noWrap w:val="false"/>
          </w:tcPr>
          <w:p>
            <w:pPr>
              <w:rPr>
                <w:rFonts w:ascii="宋体" w:hAnsi="宋体"/>
                <w:highlight w:val="none"/>
              </w:rPr>
            </w:pPr>
            <w:r>
              <w:rPr>
                <w:rFonts w:hint="eastAsia" w:ascii="宋体" w:hAnsi="宋体"/>
                <w:highlight w:val="none"/>
              </w:rPr>
              <w:t xml:space="preserve">详细描述</w:t>
            </w:r>
            <w:r/>
          </w:p>
        </w:tc>
        <w:tc>
          <w:tcPr>
            <w:shd w:val="clear" w:color="000000" w:fill="bfbfbf"/>
            <w:tcW w:w="1542" w:type="dxa"/>
            <w:vAlign w:val="center"/>
            <w:textDirection w:val="lrTb"/>
            <w:noWrap w:val="false"/>
          </w:tcPr>
          <w:p>
            <w:pPr>
              <w:rPr>
                <w:rFonts w:ascii="宋体" w:hAnsi="宋体"/>
                <w:highlight w:val="none"/>
              </w:rPr>
            </w:pPr>
            <w:r>
              <w:rPr>
                <w:rFonts w:hint="eastAsia" w:ascii="宋体" w:hAnsi="宋体"/>
                <w:highlight w:val="none"/>
              </w:rPr>
              <w:t xml:space="preserve">规格</w:t>
            </w:r>
            <w:r/>
          </w:p>
        </w:tc>
        <w:tc>
          <w:tcPr>
            <w:shd w:val="clear" w:color="000000" w:fill="bfbfbf"/>
            <w:tcW w:w="1340" w:type="dxa"/>
            <w:vAlign w:val="center"/>
            <w:textDirection w:val="lrTb"/>
            <w:noWrap w:val="false"/>
          </w:tcPr>
          <w:p>
            <w:pPr>
              <w:rPr>
                <w:rFonts w:ascii="宋体" w:hAnsi="宋体"/>
                <w:highlight w:val="none"/>
              </w:rPr>
            </w:pPr>
            <w:r>
              <w:rPr>
                <w:rFonts w:hint="eastAsia" w:ascii="宋体" w:hAnsi="宋体"/>
                <w:highlight w:val="none"/>
              </w:rPr>
              <w:t xml:space="preserve">数量</w:t>
            </w:r>
            <w:r/>
          </w:p>
        </w:tc>
      </w:tr>
      <w:tr>
        <w:trPr>
          <w:jc w:val="center"/>
          <w:trHeight w:val="855"/>
        </w:trPr>
        <w:tc>
          <w:tcPr>
            <w:tcW w:w="1555" w:type="dxa"/>
            <w:vAlign w:val="center"/>
            <w:vMerge w:val="restart"/>
            <w:textDirection w:val="lrTb"/>
            <w:noWrap w:val="false"/>
          </w:tcPr>
          <w:p>
            <w:pPr>
              <w:rPr>
                <w:rFonts w:ascii="宋体" w:hAnsi="宋体"/>
                <w:highlight w:val="none"/>
              </w:rPr>
            </w:pPr>
            <w:r>
              <w:rPr>
                <w:rFonts w:hint="eastAsia" w:ascii="宋体" w:hAnsi="宋体"/>
                <w:highlight w:val="none"/>
              </w:rPr>
              <w:t xml:space="preserve">传输线路</w:t>
            </w:r>
            <w:r/>
          </w:p>
        </w:tc>
        <w:tc>
          <w:tcPr>
            <w:tcW w:w="4543" w:type="dxa"/>
            <w:vAlign w:val="center"/>
            <w:textDirection w:val="lrTb"/>
            <w:noWrap w:val="false"/>
          </w:tcPr>
          <w:p>
            <w:pPr>
              <w:rPr>
                <w:rFonts w:ascii="宋体" w:hAnsi="宋体"/>
                <w:highlight w:val="none"/>
              </w:rPr>
            </w:pPr>
            <w:r>
              <w:rPr>
                <w:rFonts w:hint="eastAsia" w:ascii="宋体" w:hAnsi="宋体"/>
                <w:highlight w:val="none"/>
              </w:rPr>
              <w:t xml:space="preserve">省法院到各中级法院、基层法院、南京海事法院、江苏法官培训学院</w:t>
            </w:r>
            <w:r/>
          </w:p>
        </w:tc>
        <w:tc>
          <w:tcPr>
            <w:tcW w:w="1542" w:type="dxa"/>
            <w:vAlign w:val="center"/>
            <w:textDirection w:val="lrTb"/>
            <w:noWrap w:val="false"/>
          </w:tcPr>
          <w:p>
            <w:pPr>
              <w:rPr>
                <w:rFonts w:ascii="宋体" w:hAnsi="宋体"/>
                <w:highlight w:val="none"/>
              </w:rPr>
            </w:pPr>
            <w:r>
              <w:rPr>
                <w:rFonts w:hint="eastAsia" w:ascii="宋体" w:hAnsi="宋体"/>
                <w:highlight w:val="none"/>
              </w:rPr>
              <w:t xml:space="preserve">500M</w:t>
            </w:r>
            <w:r/>
          </w:p>
        </w:tc>
        <w:tc>
          <w:tcPr>
            <w:tcW w:w="1340" w:type="dxa"/>
            <w:vAlign w:val="center"/>
            <w:textDirection w:val="lrTb"/>
            <w:noWrap w:val="false"/>
          </w:tcPr>
          <w:p>
            <w:pPr>
              <w:rPr>
                <w:rFonts w:ascii="宋体" w:hAnsi="宋体"/>
                <w:highlight w:val="none"/>
              </w:rPr>
            </w:pPr>
            <w:r>
              <w:rPr>
                <w:rFonts w:hint="eastAsia" w:ascii="宋体" w:hAnsi="宋体"/>
                <w:highlight w:val="none"/>
              </w:rPr>
              <w:t xml:space="preserve">125条</w:t>
            </w:r>
            <w:r/>
          </w:p>
          <w:p>
            <w:pPr>
              <w:rPr>
                <w:rFonts w:ascii="宋体" w:hAnsi="宋体"/>
                <w:highlight w:val="none"/>
              </w:rPr>
            </w:pPr>
            <w:r>
              <w:rPr>
                <w:rFonts w:hint="eastAsia" w:ascii="宋体" w:hAnsi="宋体"/>
                <w:sz w:val="13"/>
                <w:szCs w:val="13"/>
                <w:highlight w:val="none"/>
              </w:rPr>
              <w:t xml:space="preserve">（以法院及派出机构实际数量为准）</w:t>
            </w:r>
            <w:r/>
          </w:p>
        </w:tc>
      </w:tr>
      <w:tr>
        <w:trPr>
          <w:jc w:val="center"/>
          <w:trHeight w:val="855"/>
        </w:trPr>
        <w:tc>
          <w:tcPr>
            <w:tcW w:w="1555" w:type="dxa"/>
            <w:vAlign w:val="center"/>
            <w:vMerge w:val="continue"/>
            <w:textDirection w:val="lrTb"/>
            <w:noWrap w:val="false"/>
          </w:tcPr>
          <w:p>
            <w:pPr>
              <w:rPr>
                <w:rFonts w:ascii="宋体" w:hAnsi="宋体"/>
                <w:highlight w:val="none"/>
              </w:rPr>
            </w:pPr>
            <w:r>
              <w:rPr>
                <w:rFonts w:ascii="宋体" w:hAnsi="宋体"/>
                <w:highlight w:val="none"/>
              </w:rPr>
            </w:r>
            <w:r/>
          </w:p>
        </w:tc>
        <w:tc>
          <w:tcPr>
            <w:tcW w:w="4543" w:type="dxa"/>
            <w:vAlign w:val="center"/>
            <w:textDirection w:val="lrTb"/>
            <w:noWrap w:val="false"/>
          </w:tcPr>
          <w:p>
            <w:pPr>
              <w:rPr>
                <w:rFonts w:ascii="宋体" w:hAnsi="宋体"/>
                <w:highlight w:val="none"/>
              </w:rPr>
            </w:pPr>
            <w:r>
              <w:rPr>
                <w:rFonts w:hint="eastAsia" w:ascii="宋体" w:hAnsi="宋体"/>
                <w:highlight w:val="none"/>
              </w:rPr>
              <w:t xml:space="preserve">基层法院</w:t>
            </w:r>
            <w:r>
              <w:rPr>
                <w:rFonts w:ascii="宋体" w:hAnsi="宋体"/>
                <w:highlight w:val="none"/>
              </w:rPr>
              <w:t xml:space="preserve">到派出法庭</w:t>
            </w:r>
            <w:r/>
          </w:p>
        </w:tc>
        <w:tc>
          <w:tcPr>
            <w:tcW w:w="1542" w:type="dxa"/>
            <w:vAlign w:val="center"/>
            <w:textDirection w:val="lrTb"/>
            <w:noWrap w:val="false"/>
          </w:tcPr>
          <w:p>
            <w:pPr>
              <w:rPr>
                <w:rFonts w:ascii="宋体" w:hAnsi="宋体"/>
                <w:highlight w:val="none"/>
              </w:rPr>
            </w:pPr>
            <w:r>
              <w:rPr>
                <w:rFonts w:hint="eastAsia" w:ascii="宋体" w:hAnsi="宋体"/>
                <w:highlight w:val="none"/>
              </w:rPr>
              <w:t xml:space="preserve">100M</w:t>
            </w:r>
            <w:r/>
          </w:p>
        </w:tc>
        <w:tc>
          <w:tcPr>
            <w:tcW w:w="1340" w:type="dxa"/>
            <w:vAlign w:val="center"/>
            <w:textDirection w:val="lrTb"/>
            <w:noWrap w:val="false"/>
          </w:tcPr>
          <w:p>
            <w:pPr>
              <w:rPr>
                <w:rFonts w:ascii="宋体" w:hAnsi="宋体"/>
                <w:highlight w:val="none"/>
              </w:rPr>
            </w:pPr>
            <w:r>
              <w:rPr>
                <w:rFonts w:hint="eastAsia" w:ascii="宋体" w:hAnsi="宋体"/>
                <w:highlight w:val="none"/>
              </w:rPr>
              <w:t xml:space="preserve">310条</w:t>
            </w:r>
            <w:r/>
          </w:p>
          <w:p>
            <w:pPr>
              <w:rPr>
                <w:rFonts w:ascii="宋体" w:hAnsi="宋体"/>
                <w:highlight w:val="none"/>
              </w:rPr>
            </w:pPr>
            <w:r>
              <w:rPr>
                <w:rFonts w:hint="eastAsia" w:ascii="宋体" w:hAnsi="宋体"/>
                <w:sz w:val="13"/>
                <w:szCs w:val="13"/>
                <w:highlight w:val="none"/>
              </w:rPr>
              <w:t xml:space="preserve">（以中标时实际数量为准，后续如有增减，免费增补或停用）</w:t>
            </w:r>
            <w:r/>
          </w:p>
        </w:tc>
      </w:tr>
      <w:tr>
        <w:trPr>
          <w:jc w:val="center"/>
          <w:trHeight w:val="315"/>
        </w:trPr>
        <w:tc>
          <w:tcPr>
            <w:tcW w:w="1555" w:type="dxa"/>
            <w:vAlign w:val="center"/>
            <w:vMerge w:val="continue"/>
            <w:textDirection w:val="lrTb"/>
            <w:noWrap w:val="false"/>
          </w:tcPr>
          <w:p>
            <w:pPr>
              <w:rPr>
                <w:rFonts w:ascii="宋体" w:hAnsi="宋体"/>
                <w:highlight w:val="none"/>
              </w:rPr>
            </w:pPr>
            <w:r>
              <w:rPr>
                <w:rFonts w:ascii="宋体" w:hAnsi="宋体"/>
                <w:highlight w:val="none"/>
              </w:rPr>
            </w:r>
            <w:r/>
          </w:p>
        </w:tc>
        <w:tc>
          <w:tcPr>
            <w:tcW w:w="4543" w:type="dxa"/>
            <w:vAlign w:val="center"/>
            <w:textDirection w:val="lrTb"/>
            <w:noWrap w:val="false"/>
          </w:tcPr>
          <w:p>
            <w:pPr>
              <w:rPr>
                <w:rFonts w:ascii="宋体" w:hAnsi="宋体"/>
                <w:highlight w:val="none"/>
              </w:rPr>
            </w:pPr>
            <w:r>
              <w:rPr>
                <w:rFonts w:hint="eastAsia" w:ascii="宋体" w:hAnsi="宋体"/>
                <w:highlight w:val="none"/>
              </w:rPr>
              <w:t xml:space="preserve">江苏省高级人民法院到“一张网”南中心线路</w:t>
            </w:r>
            <w:r/>
          </w:p>
        </w:tc>
        <w:tc>
          <w:tcPr>
            <w:tcW w:w="1542" w:type="dxa"/>
            <w:vAlign w:val="center"/>
            <w:textDirection w:val="lrTb"/>
            <w:noWrap w:val="false"/>
          </w:tcPr>
          <w:p>
            <w:pPr>
              <w:rPr>
                <w:rFonts w:ascii="宋体" w:hAnsi="宋体"/>
                <w:highlight w:val="none"/>
              </w:rPr>
            </w:pPr>
            <w:r>
              <w:rPr>
                <w:rFonts w:hint="eastAsia" w:ascii="宋体" w:hAnsi="宋体"/>
                <w:highlight w:val="none"/>
              </w:rPr>
              <w:t xml:space="preserve">10000M</w:t>
            </w:r>
            <w:r/>
          </w:p>
        </w:tc>
        <w:tc>
          <w:tcPr>
            <w:tcW w:w="1340" w:type="dxa"/>
            <w:vAlign w:val="center"/>
            <w:textDirection w:val="lrTb"/>
            <w:noWrap w:val="false"/>
          </w:tcPr>
          <w:p>
            <w:pPr>
              <w:rPr>
                <w:rFonts w:ascii="宋体" w:hAnsi="宋体"/>
                <w:highlight w:val="none"/>
              </w:rPr>
            </w:pPr>
            <w:r>
              <w:rPr>
                <w:rFonts w:hint="eastAsia" w:ascii="宋体" w:hAnsi="宋体"/>
                <w:highlight w:val="none"/>
              </w:rPr>
              <w:t xml:space="preserve">1条</w:t>
            </w:r>
            <w:r/>
          </w:p>
          <w:p>
            <w:pPr>
              <w:rPr>
                <w:rFonts w:ascii="宋体" w:hAnsi="宋体"/>
                <w:highlight w:val="none"/>
              </w:rPr>
            </w:pPr>
            <w:r>
              <w:rPr>
                <w:rFonts w:hint="eastAsia" w:ascii="宋体" w:hAnsi="宋体"/>
                <w:sz w:val="13"/>
                <w:szCs w:val="13"/>
                <w:highlight w:val="none"/>
              </w:rPr>
              <w:t xml:space="preserve">（包1和包2该线路需采用不同运营商线路，确保路由安全）</w:t>
            </w:r>
            <w:r/>
          </w:p>
        </w:tc>
      </w:tr>
      <w:tr>
        <w:trPr>
          <w:jc w:val="center"/>
          <w:trHeight w:val="315"/>
        </w:trPr>
        <w:tc>
          <w:tcPr>
            <w:tcW w:w="1555" w:type="dxa"/>
            <w:vAlign w:val="center"/>
            <w:textDirection w:val="lrTb"/>
            <w:noWrap w:val="false"/>
          </w:tcPr>
          <w:p>
            <w:pPr>
              <w:rPr>
                <w:rFonts w:ascii="宋体" w:hAnsi="宋体"/>
                <w:highlight w:val="none"/>
              </w:rPr>
            </w:pPr>
            <w:r>
              <w:rPr>
                <w:rFonts w:hint="eastAsia" w:ascii="宋体" w:hAnsi="宋体"/>
                <w:highlight w:val="none"/>
              </w:rPr>
              <w:t xml:space="preserve">驻场人员</w:t>
            </w:r>
            <w:r/>
          </w:p>
        </w:tc>
        <w:tc>
          <w:tcPr>
            <w:tcW w:w="4543" w:type="dxa"/>
            <w:vAlign w:val="center"/>
            <w:textDirection w:val="lrTb"/>
            <w:noWrap w:val="false"/>
          </w:tcPr>
          <w:p>
            <w:pPr>
              <w:rPr>
                <w:rFonts w:ascii="宋体" w:hAnsi="宋体"/>
                <w:highlight w:val="none"/>
              </w:rPr>
            </w:pPr>
            <w:r>
              <w:rPr>
                <w:rFonts w:hint="eastAsia" w:ascii="宋体" w:hAnsi="宋体"/>
                <w:highlight w:val="none"/>
              </w:rPr>
              <w:t xml:space="preserve">负责上述所有线路、网络设备及与一张网相关的省法院各类局域网设备的巡检、策略调整，协助参与省法院的与线路相关的网络安全设备配置。</w:t>
            </w:r>
            <w:r/>
          </w:p>
        </w:tc>
        <w:tc>
          <w:tcPr>
            <w:tcW w:w="1542" w:type="dxa"/>
            <w:vAlign w:val="center"/>
            <w:textDirection w:val="lrTb"/>
            <w:noWrap w:val="false"/>
          </w:tcPr>
          <w:p>
            <w:pPr>
              <w:rPr>
                <w:rFonts w:ascii="宋体" w:hAnsi="宋体"/>
                <w:highlight w:val="none"/>
              </w:rPr>
            </w:pPr>
            <w:r>
              <w:rPr>
                <w:rFonts w:hint="eastAsia" w:ascii="宋体" w:hAnsi="宋体"/>
                <w:highlight w:val="none"/>
              </w:rPr>
              <w:t xml:space="preserve">/</w:t>
            </w:r>
            <w:r/>
          </w:p>
        </w:tc>
        <w:tc>
          <w:tcPr>
            <w:tcW w:w="1340" w:type="dxa"/>
            <w:vAlign w:val="center"/>
            <w:textDirection w:val="lrTb"/>
            <w:noWrap w:val="false"/>
          </w:tcPr>
          <w:p>
            <w:pPr>
              <w:rPr>
                <w:rFonts w:ascii="宋体" w:hAnsi="宋体"/>
                <w:highlight w:val="none"/>
              </w:rPr>
            </w:pPr>
            <w:r>
              <w:rPr>
                <w:rFonts w:hint="eastAsia" w:ascii="宋体" w:hAnsi="宋体"/>
                <w:highlight w:val="none"/>
              </w:rPr>
              <w:t xml:space="preserve">1名</w:t>
            </w:r>
            <w:r/>
          </w:p>
        </w:tc>
      </w:tr>
      <w:tr>
        <w:trPr>
          <w:jc w:val="center"/>
          <w:trHeight w:val="315"/>
        </w:trPr>
        <w:tc>
          <w:tcPr>
            <w:tcW w:w="1555" w:type="dxa"/>
            <w:vAlign w:val="center"/>
            <w:textDirection w:val="lrTb"/>
            <w:noWrap w:val="false"/>
          </w:tcPr>
          <w:p>
            <w:pPr>
              <w:rPr>
                <w:rFonts w:ascii="宋体" w:hAnsi="宋体"/>
                <w:highlight w:val="none"/>
              </w:rPr>
            </w:pPr>
            <w:r>
              <w:rPr>
                <w:rFonts w:hint="eastAsia" w:ascii="宋体" w:hAnsi="宋体"/>
                <w:highlight w:val="none"/>
              </w:rPr>
              <w:t xml:space="preserve">巡检人员</w:t>
            </w:r>
            <w:r/>
          </w:p>
        </w:tc>
        <w:tc>
          <w:tcPr>
            <w:tcW w:w="4543" w:type="dxa"/>
            <w:vAlign w:val="center"/>
            <w:textDirection w:val="lrTb"/>
            <w:noWrap w:val="false"/>
          </w:tcPr>
          <w:p>
            <w:pPr>
              <w:rPr>
                <w:rFonts w:ascii="宋体" w:hAnsi="宋体"/>
                <w:highlight w:val="none"/>
              </w:rPr>
            </w:pPr>
            <w:r>
              <w:rPr>
                <w:rFonts w:hint="eastAsia" w:ascii="宋体" w:hAnsi="宋体"/>
                <w:highlight w:val="none"/>
              </w:rPr>
              <w:t xml:space="preserve">配合上述所有线路、网络设备及与一张网相关的省法院各类局域网设备的巡检、策略调整，协助参与省法院的与线路相关的网络安全设备配置。</w:t>
            </w:r>
            <w:r/>
          </w:p>
          <w:p>
            <w:pPr>
              <w:rPr>
                <w:rFonts w:ascii="宋体" w:hAnsi="宋体"/>
                <w:color w:val="ee0000"/>
                <w:highlight w:val="none"/>
              </w:rPr>
            </w:pPr>
            <w:r>
              <w:rPr>
                <w:rFonts w:hint="eastAsia" w:ascii="宋体" w:hAnsi="宋体"/>
                <w:highlight w:val="none"/>
              </w:rPr>
              <w:t xml:space="preserve">每季度到下级法院对广域网设备检查，维护。检查设备运行环境，运行状况。发现问题及时向相关人员提出，并给出合理的，高效的解决方案。从而做到防微杜渐，保证各种及法院的广域网设备能高效，可靠，安全，稳定的运行。</w:t>
            </w:r>
            <w:r/>
          </w:p>
          <w:p>
            <w:pPr>
              <w:rPr>
                <w:rFonts w:ascii="宋体" w:hAnsi="宋体"/>
                <w:highlight w:val="none"/>
              </w:rPr>
            </w:pPr>
            <w:r>
              <w:rPr>
                <w:rFonts w:hint="eastAsia" w:ascii="宋体" w:hAnsi="宋体"/>
                <w:highlight w:val="none"/>
              </w:rPr>
              <w:t xml:space="preserve">协助处理省法院终端设备的网络故障报修。</w:t>
            </w:r>
            <w:r/>
          </w:p>
        </w:tc>
        <w:tc>
          <w:tcPr>
            <w:tcW w:w="1542" w:type="dxa"/>
            <w:vAlign w:val="center"/>
            <w:textDirection w:val="lrTb"/>
            <w:noWrap w:val="false"/>
          </w:tcPr>
          <w:p>
            <w:pPr>
              <w:rPr>
                <w:rFonts w:ascii="宋体" w:hAnsi="宋体"/>
                <w:highlight w:val="none"/>
              </w:rPr>
            </w:pPr>
            <w:r>
              <w:rPr>
                <w:rFonts w:hint="eastAsia" w:ascii="宋体" w:hAnsi="宋体"/>
                <w:highlight w:val="none"/>
              </w:rPr>
              <w:t xml:space="preserve">/</w:t>
            </w:r>
            <w:r/>
          </w:p>
        </w:tc>
        <w:tc>
          <w:tcPr>
            <w:tcW w:w="1340" w:type="dxa"/>
            <w:vAlign w:val="center"/>
            <w:textDirection w:val="lrTb"/>
            <w:noWrap w:val="false"/>
          </w:tcPr>
          <w:p>
            <w:pPr>
              <w:rPr>
                <w:rFonts w:ascii="宋体" w:hAnsi="宋体"/>
                <w:highlight w:val="none"/>
              </w:rPr>
            </w:pPr>
            <w:r>
              <w:rPr>
                <w:rFonts w:ascii="宋体" w:hAnsi="宋体"/>
                <w:highlight w:val="none"/>
              </w:rPr>
              <w:t xml:space="preserve">1</w:t>
            </w:r>
            <w:r>
              <w:rPr>
                <w:rFonts w:hint="eastAsia" w:ascii="宋体" w:hAnsi="宋体"/>
                <w:highlight w:val="none"/>
              </w:rPr>
              <w:t xml:space="preserve">名</w:t>
            </w:r>
            <w:r/>
          </w:p>
          <w:p>
            <w:pPr>
              <w:rPr>
                <w:rFonts w:ascii="宋体" w:hAnsi="宋体"/>
                <w:highlight w:val="none"/>
              </w:rPr>
            </w:pPr>
            <w:r>
              <w:rPr>
                <w:rFonts w:hint="eastAsia" w:ascii="宋体" w:hAnsi="宋体"/>
                <w:highlight w:val="none"/>
              </w:rPr>
              <w:t xml:space="preserve">（非常驻</w:t>
            </w:r>
            <w:r>
              <w:rPr>
                <w:rFonts w:ascii="宋体" w:hAnsi="宋体"/>
                <w:highlight w:val="none"/>
              </w:rPr>
              <w:t xml:space="preserve">、可复用）</w:t>
            </w:r>
            <w:r/>
          </w:p>
        </w:tc>
      </w:tr>
      <w:tr>
        <w:trPr>
          <w:jc w:val="center"/>
          <w:trHeight w:val="315"/>
        </w:trPr>
        <w:tc>
          <w:tcPr>
            <w:tcW w:w="1555" w:type="dxa"/>
            <w:vAlign w:val="center"/>
            <w:textDirection w:val="lrTb"/>
            <w:noWrap w:val="false"/>
          </w:tcPr>
          <w:p>
            <w:pPr>
              <w:rPr>
                <w:rFonts w:ascii="宋体" w:hAnsi="宋体"/>
                <w:highlight w:val="none"/>
              </w:rPr>
            </w:pPr>
            <w:r>
              <w:rPr>
                <w:rFonts w:hint="eastAsia" w:ascii="宋体" w:hAnsi="宋体"/>
                <w:highlight w:val="none"/>
              </w:rPr>
              <w:t xml:space="preserve">视频会议专线</w:t>
            </w:r>
            <w:r/>
          </w:p>
        </w:tc>
        <w:tc>
          <w:tcPr>
            <w:tcW w:w="4543" w:type="dxa"/>
            <w:vAlign w:val="center"/>
            <w:textDirection w:val="lrTb"/>
            <w:noWrap w:val="false"/>
          </w:tcPr>
          <w:p>
            <w:pPr>
              <w:rPr>
                <w:rFonts w:ascii="宋体" w:hAnsi="宋体"/>
                <w:highlight w:val="none"/>
              </w:rPr>
            </w:pPr>
            <w:r>
              <w:rPr>
                <w:rFonts w:hint="eastAsia" w:ascii="宋体" w:hAnsi="宋体"/>
                <w:highlight w:val="none"/>
              </w:rPr>
              <w:t xml:space="preserve">省法院到各中院共12条50M MSTP专线；省法院到南京中院、法官学院、南京海事法院共3条50M MSTP专线，原</w:t>
            </w:r>
            <w:r>
              <w:rPr>
                <w:rFonts w:ascii="宋体" w:hAnsi="宋体"/>
                <w:highlight w:val="none"/>
              </w:rPr>
              <w:t xml:space="preserve">服务</w:t>
            </w:r>
            <w:r>
              <w:rPr>
                <w:rFonts w:hint="eastAsia" w:ascii="宋体" w:hAnsi="宋体"/>
                <w:highlight w:val="none"/>
              </w:rPr>
              <w:t xml:space="preserve">期到2026年9月</w:t>
            </w:r>
            <w:r>
              <w:rPr>
                <w:rFonts w:ascii="宋体" w:hAnsi="宋体"/>
                <w:highlight w:val="none"/>
              </w:rPr>
              <w:t xml:space="preserve">。</w:t>
            </w:r>
            <w:r/>
          </w:p>
        </w:tc>
        <w:tc>
          <w:tcPr>
            <w:tcW w:w="1542" w:type="dxa"/>
            <w:vAlign w:val="center"/>
            <w:textDirection w:val="lrTb"/>
            <w:noWrap w:val="false"/>
          </w:tcPr>
          <w:p>
            <w:pPr>
              <w:rPr>
                <w:rFonts w:ascii="宋体" w:hAnsi="宋体"/>
                <w:highlight w:val="none"/>
              </w:rPr>
            </w:pPr>
            <w:r>
              <w:rPr>
                <w:rFonts w:hint="eastAsia" w:ascii="宋体" w:hAnsi="宋体"/>
                <w:highlight w:val="none"/>
              </w:rPr>
              <w:t xml:space="preserve">50M</w:t>
            </w:r>
            <w:r/>
          </w:p>
        </w:tc>
        <w:tc>
          <w:tcPr>
            <w:tcW w:w="1340" w:type="dxa"/>
            <w:vAlign w:val="center"/>
            <w:textDirection w:val="lrTb"/>
            <w:noWrap w:val="false"/>
          </w:tcPr>
          <w:p>
            <w:pPr>
              <w:rPr>
                <w:rFonts w:ascii="宋体" w:hAnsi="宋体"/>
                <w:highlight w:val="none"/>
              </w:rPr>
            </w:pPr>
            <w:r>
              <w:rPr>
                <w:rFonts w:hint="eastAsia" w:ascii="宋体" w:hAnsi="宋体"/>
                <w:highlight w:val="none"/>
              </w:rPr>
              <w:t xml:space="preserve">15条</w:t>
            </w:r>
            <w:r/>
          </w:p>
        </w:tc>
      </w:tr>
      <w:tr>
        <w:trPr>
          <w:jc w:val="center"/>
          <w:trHeight w:val="315"/>
        </w:trPr>
        <w:tc>
          <w:tcPr>
            <w:tcW w:w="1555" w:type="dxa"/>
            <w:vAlign w:val="center"/>
            <w:textDirection w:val="lrTb"/>
            <w:noWrap w:val="false"/>
          </w:tcPr>
          <w:p>
            <w:pPr>
              <w:rPr>
                <w:rFonts w:ascii="宋体" w:hAnsi="宋体"/>
                <w:color w:val="ee0000"/>
                <w:highlight w:val="none"/>
              </w:rPr>
            </w:pPr>
            <w:r>
              <w:rPr>
                <w:rFonts w:hint="eastAsia" w:ascii="宋体" w:hAnsi="宋体"/>
                <w:highlight w:val="none"/>
              </w:rPr>
              <w:t xml:space="preserve">政务微信线路及互联网线路</w:t>
            </w:r>
            <w:r/>
          </w:p>
        </w:tc>
        <w:tc>
          <w:tcPr>
            <w:tcW w:w="4543" w:type="dxa"/>
            <w:vAlign w:val="center"/>
            <w:textDirection w:val="lrTb"/>
            <w:noWrap w:val="false"/>
          </w:tcPr>
          <w:p>
            <w:pPr>
              <w:rPr>
                <w:rFonts w:ascii="宋体" w:hAnsi="宋体"/>
                <w:highlight w:val="none"/>
              </w:rPr>
            </w:pPr>
            <w:r>
              <w:rPr>
                <w:rFonts w:hint="eastAsia" w:ascii="宋体" w:hAnsi="宋体"/>
                <w:highlight w:val="none"/>
              </w:rPr>
              <w:t xml:space="preserve">日常200M互联网专线1条，高峰可动态扩容，用于政务微信。</w:t>
            </w:r>
            <w:r/>
          </w:p>
          <w:p>
            <w:pPr>
              <w:rPr>
                <w:rFonts w:ascii="宋体" w:hAnsi="宋体"/>
                <w:highlight w:val="none"/>
              </w:rPr>
            </w:pPr>
            <w:r>
              <w:rPr>
                <w:rFonts w:hint="eastAsia" w:ascii="宋体" w:hAnsi="宋体"/>
                <w:highlight w:val="none"/>
              </w:rPr>
              <w:t xml:space="preserve">100M互联网专线1条</w:t>
            </w:r>
            <w:r>
              <w:rPr>
                <w:rFonts w:ascii="宋体" w:hAnsi="宋体"/>
                <w:highlight w:val="none"/>
              </w:rPr>
              <w:t xml:space="preserve">，</w:t>
            </w:r>
            <w:r>
              <w:rPr>
                <w:rFonts w:hint="eastAsia" w:ascii="宋体" w:hAnsi="宋体"/>
                <w:highlight w:val="none"/>
              </w:rPr>
              <w:t xml:space="preserve">含12个IP地址</w:t>
            </w:r>
            <w:r>
              <w:rPr>
                <w:rFonts w:ascii="宋体" w:hAnsi="宋体"/>
                <w:highlight w:val="none"/>
              </w:rPr>
              <w:t xml:space="preserve">，用于上互联网</w:t>
            </w:r>
            <w:r>
              <w:rPr>
                <w:rFonts w:hint="eastAsia" w:ascii="宋体" w:hAnsi="宋体"/>
                <w:highlight w:val="none"/>
              </w:rPr>
              <w:t xml:space="preserve">。</w:t>
            </w:r>
            <w:r/>
          </w:p>
        </w:tc>
        <w:tc>
          <w:tcPr>
            <w:tcW w:w="1542" w:type="dxa"/>
            <w:vAlign w:val="center"/>
            <w:textDirection w:val="lrTb"/>
            <w:noWrap w:val="false"/>
          </w:tcPr>
          <w:p>
            <w:pPr>
              <w:rPr>
                <w:rFonts w:ascii="宋体" w:hAnsi="宋体"/>
                <w:highlight w:val="none"/>
              </w:rPr>
            </w:pPr>
            <w:r>
              <w:rPr>
                <w:rFonts w:hint="eastAsia" w:ascii="宋体" w:hAnsi="宋体"/>
                <w:highlight w:val="none"/>
              </w:rPr>
              <w:t xml:space="preserve">/</w:t>
            </w:r>
            <w:r/>
          </w:p>
        </w:tc>
        <w:tc>
          <w:tcPr>
            <w:tcW w:w="1340" w:type="dxa"/>
            <w:vAlign w:val="center"/>
            <w:textDirection w:val="lrTb"/>
            <w:noWrap w:val="false"/>
          </w:tcPr>
          <w:p>
            <w:pPr>
              <w:rPr>
                <w:rFonts w:ascii="宋体" w:hAnsi="宋体"/>
                <w:highlight w:val="none"/>
              </w:rPr>
            </w:pPr>
            <w:r>
              <w:rPr>
                <w:rFonts w:ascii="宋体" w:hAnsi="宋体"/>
                <w:highlight w:val="none"/>
              </w:rPr>
              <w:t xml:space="preserve">2</w:t>
            </w:r>
            <w:r>
              <w:rPr>
                <w:rFonts w:hint="eastAsia" w:ascii="宋体" w:hAnsi="宋体"/>
                <w:highlight w:val="none"/>
              </w:rPr>
              <w:t xml:space="preserve">条</w:t>
            </w:r>
            <w:r/>
          </w:p>
        </w:tc>
      </w:tr>
      <w:tr>
        <w:trPr>
          <w:jc w:val="center"/>
          <w:trHeight w:val="315"/>
        </w:trPr>
        <w:tc>
          <w:tcPr>
            <w:gridSpan w:val="4"/>
            <w:tcW w:w="8980" w:type="dxa"/>
            <w:vAlign w:val="center"/>
            <w:textDirection w:val="lrTb"/>
            <w:noWrap w:val="false"/>
          </w:tcPr>
          <w:p>
            <w:pPr>
              <w:rPr>
                <w:rFonts w:hint="eastAsia" w:ascii="宋体" w:hAnsi="宋体"/>
                <w:b/>
                <w:bCs/>
                <w:highlight w:val="none"/>
              </w:rPr>
            </w:pPr>
            <w:r>
              <w:rPr>
                <w:rFonts w:hint="eastAsia"/>
                <w:b/>
                <w:bCs/>
                <w:highlight w:val="none"/>
              </w:rPr>
              <w:t xml:space="preserve">本采购包采购货物清单如下：</w:t>
            </w:r>
            <w:r/>
          </w:p>
        </w:tc>
      </w:tr>
      <w:tr>
        <w:trPr>
          <w:jc w:val="center"/>
          <w:trHeight w:val="315"/>
        </w:trPr>
        <w:tc>
          <w:tcPr>
            <w:tcW w:w="1555" w:type="dxa"/>
            <w:vAlign w:val="center"/>
            <w:textDirection w:val="lrTb"/>
            <w:noWrap w:val="false"/>
          </w:tcPr>
          <w:p>
            <w:pPr>
              <w:rPr>
                <w:rFonts w:hint="eastAsia" w:ascii="宋体" w:hAnsi="宋体"/>
                <w:highlight w:val="none"/>
              </w:rPr>
            </w:pPr>
            <w:r>
              <w:rPr>
                <w:rFonts w:hint="eastAsia" w:ascii="宋体" w:hAnsi="宋体"/>
                <w:highlight w:val="none"/>
              </w:rPr>
              <w:t xml:space="preserve">需求内容</w:t>
            </w:r>
            <w:r/>
          </w:p>
        </w:tc>
        <w:tc>
          <w:tcPr>
            <w:tcW w:w="4543" w:type="dxa"/>
            <w:vAlign w:val="center"/>
            <w:textDirection w:val="lrTb"/>
            <w:noWrap w:val="false"/>
          </w:tcPr>
          <w:p>
            <w:pPr>
              <w:rPr>
                <w:rFonts w:hint="eastAsia" w:ascii="宋体" w:hAnsi="宋体"/>
                <w:highlight w:val="none"/>
              </w:rPr>
            </w:pPr>
            <w:r>
              <w:rPr>
                <w:rFonts w:hint="eastAsia" w:ascii="宋体" w:hAnsi="宋体"/>
                <w:highlight w:val="none"/>
              </w:rPr>
              <w:t xml:space="preserve">详细描述</w:t>
            </w:r>
            <w:r/>
          </w:p>
        </w:tc>
        <w:tc>
          <w:tcPr>
            <w:tcW w:w="1542" w:type="dxa"/>
            <w:vAlign w:val="center"/>
            <w:textDirection w:val="lrTb"/>
            <w:noWrap w:val="false"/>
          </w:tcPr>
          <w:p>
            <w:pPr>
              <w:rPr>
                <w:rFonts w:hint="eastAsia" w:ascii="宋体" w:hAnsi="宋体"/>
                <w:highlight w:val="none"/>
              </w:rPr>
            </w:pPr>
            <w:r>
              <w:rPr>
                <w:rFonts w:hint="eastAsia" w:ascii="宋体" w:hAnsi="宋体"/>
                <w:highlight w:val="none"/>
              </w:rPr>
              <w:t xml:space="preserve">规格</w:t>
            </w:r>
            <w:r/>
          </w:p>
        </w:tc>
        <w:tc>
          <w:tcPr>
            <w:tcW w:w="1340" w:type="dxa"/>
            <w:vAlign w:val="center"/>
            <w:textDirection w:val="lrTb"/>
            <w:noWrap w:val="false"/>
          </w:tcPr>
          <w:p>
            <w:pPr>
              <w:rPr>
                <w:rFonts w:ascii="宋体" w:hAnsi="宋体"/>
                <w:highlight w:val="none"/>
              </w:rPr>
            </w:pPr>
            <w:r>
              <w:rPr>
                <w:rFonts w:hint="eastAsia" w:ascii="宋体" w:hAnsi="宋体"/>
                <w:highlight w:val="none"/>
              </w:rPr>
              <w:t xml:space="preserve">数量</w:t>
            </w:r>
            <w:r/>
          </w:p>
        </w:tc>
      </w:tr>
      <w:tr>
        <w:trPr>
          <w:jc w:val="center"/>
          <w:trHeight w:val="315"/>
        </w:trPr>
        <w:tc>
          <w:tcPr>
            <w:tcW w:w="1555" w:type="dxa"/>
            <w:vAlign w:val="center"/>
            <w:textDirection w:val="lrTb"/>
            <w:noWrap w:val="false"/>
          </w:tcPr>
          <w:p>
            <w:pPr>
              <w:rPr>
                <w:rFonts w:hint="eastAsia" w:ascii="宋体" w:hAnsi="宋体"/>
                <w:highlight w:val="none"/>
              </w:rPr>
            </w:pPr>
            <w:r>
              <w:rPr>
                <w:rFonts w:hint="eastAsia" w:ascii="宋体" w:hAnsi="宋体"/>
                <w:highlight w:val="none"/>
              </w:rPr>
              <w:t xml:space="preserve">高性能边界路由器</w:t>
            </w:r>
            <w:r/>
          </w:p>
        </w:tc>
        <w:tc>
          <w:tcPr>
            <w:tcW w:w="4543" w:type="dxa"/>
            <w:vAlign w:val="center"/>
            <w:textDirection w:val="lrTb"/>
            <w:noWrap w:val="false"/>
          </w:tcPr>
          <w:p>
            <w:pPr>
              <w:rPr>
                <w:rFonts w:hint="eastAsia" w:ascii="宋体" w:hAnsi="宋体"/>
                <w:highlight w:val="none"/>
              </w:rPr>
            </w:pPr>
            <w:r>
              <w:rPr>
                <w:rFonts w:hint="eastAsia" w:ascii="宋体" w:hAnsi="宋体"/>
                <w:highlight w:val="none"/>
              </w:rPr>
              <w:t xml:space="preserve">上联最高法院南北中心，下联全省法院。</w:t>
            </w:r>
            <w:r/>
          </w:p>
        </w:tc>
        <w:tc>
          <w:tcPr>
            <w:tcW w:w="1542" w:type="dxa"/>
            <w:vAlign w:val="center"/>
            <w:textDirection w:val="lrTb"/>
            <w:noWrap w:val="false"/>
          </w:tcPr>
          <w:p>
            <w:pPr>
              <w:rPr>
                <w:rFonts w:hint="eastAsia" w:ascii="宋体" w:hAnsi="宋体"/>
                <w:highlight w:val="none"/>
              </w:rPr>
            </w:pPr>
            <w:r>
              <w:rPr>
                <w:rFonts w:hint="eastAsia" w:ascii="宋体" w:hAnsi="宋体"/>
                <w:highlight w:val="none"/>
              </w:rPr>
              <w:t xml:space="preserve">见参数要求</w:t>
            </w:r>
            <w:r/>
          </w:p>
        </w:tc>
        <w:tc>
          <w:tcPr>
            <w:tcW w:w="1340" w:type="dxa"/>
            <w:vAlign w:val="center"/>
            <w:textDirection w:val="lrTb"/>
            <w:noWrap w:val="false"/>
          </w:tcPr>
          <w:p>
            <w:pPr>
              <w:rPr>
                <w:rFonts w:ascii="宋体" w:hAnsi="宋体"/>
                <w:highlight w:val="none"/>
              </w:rPr>
            </w:pPr>
            <w:r>
              <w:rPr>
                <w:rFonts w:hint="eastAsia" w:ascii="宋体" w:hAnsi="宋体"/>
                <w:highlight w:val="none"/>
              </w:rPr>
              <w:t xml:space="preserve">1台</w:t>
            </w:r>
            <w:r/>
          </w:p>
          <w:p>
            <w:pPr>
              <w:rPr>
                <w:rFonts w:ascii="宋体" w:hAnsi="宋体"/>
                <w:highlight w:val="none"/>
              </w:rPr>
            </w:pPr>
            <w:r>
              <w:rPr>
                <w:rFonts w:hint="eastAsia" w:ascii="宋体" w:hAnsi="宋体"/>
                <w:sz w:val="13"/>
                <w:szCs w:val="13"/>
                <w:highlight w:val="none"/>
              </w:rPr>
              <w:t xml:space="preserve">（包1和包2配置相同，构成高可用冗余架构）</w:t>
            </w:r>
            <w:r/>
          </w:p>
        </w:tc>
      </w:tr>
      <w:tr>
        <w:trPr>
          <w:jc w:val="center"/>
          <w:trHeight w:val="315"/>
        </w:trPr>
        <w:tc>
          <w:tcPr>
            <w:tcW w:w="1555" w:type="dxa"/>
            <w:vAlign w:val="center"/>
            <w:textDirection w:val="lrTb"/>
            <w:noWrap w:val="false"/>
          </w:tcPr>
          <w:p>
            <w:pPr>
              <w:rPr>
                <w:rFonts w:hint="eastAsia" w:ascii="宋体" w:hAnsi="宋体"/>
                <w:highlight w:val="none"/>
              </w:rPr>
            </w:pPr>
            <w:r>
              <w:rPr>
                <w:rFonts w:hint="eastAsia" w:ascii="宋体" w:hAnsi="宋体"/>
                <w:highlight w:val="none"/>
              </w:rPr>
              <w:t xml:space="preserve">防火墙</w:t>
            </w:r>
            <w:r/>
          </w:p>
        </w:tc>
        <w:tc>
          <w:tcPr>
            <w:tcW w:w="4543" w:type="dxa"/>
            <w:vAlign w:val="center"/>
            <w:textDirection w:val="lrTb"/>
            <w:noWrap w:val="false"/>
          </w:tcPr>
          <w:p>
            <w:pPr>
              <w:rPr>
                <w:rFonts w:hint="eastAsia" w:ascii="宋体" w:hAnsi="宋体"/>
                <w:highlight w:val="none"/>
              </w:rPr>
            </w:pPr>
            <w:r>
              <w:rPr>
                <w:rFonts w:hint="eastAsia" w:ascii="宋体" w:hAnsi="宋体"/>
                <w:highlight w:val="none"/>
              </w:rPr>
              <w:t xml:space="preserve">作为出口网络边界的关键安全设备，承担</w:t>
            </w:r>
            <w:r>
              <w:rPr>
                <w:highlight w:val="none"/>
              </w:rPr>
              <w:t xml:space="preserve">‌</w:t>
            </w:r>
            <w:r>
              <w:rPr>
                <w:rFonts w:hint="eastAsia" w:ascii="宋体" w:hAnsi="宋体" w:cs="仿宋_GB2312"/>
                <w:highlight w:val="none"/>
              </w:rPr>
              <w:t xml:space="preserve">流量过滤、访问控制</w:t>
            </w:r>
            <w:r>
              <w:rPr>
                <w:highlight w:val="none"/>
              </w:rPr>
              <w:t xml:space="preserve">‌</w:t>
            </w:r>
            <w:r>
              <w:rPr>
                <w:rFonts w:hint="eastAsia" w:ascii="宋体" w:hAnsi="宋体" w:cs="仿宋_GB2312"/>
                <w:highlight w:val="none"/>
              </w:rPr>
              <w:t xml:space="preserve">和</w:t>
            </w:r>
            <w:r>
              <w:rPr>
                <w:highlight w:val="none"/>
              </w:rPr>
              <w:t xml:space="preserve">‌</w:t>
            </w:r>
            <w:r>
              <w:rPr>
                <w:rFonts w:hint="eastAsia" w:ascii="宋体" w:hAnsi="宋体" w:cs="仿宋_GB2312"/>
                <w:highlight w:val="none"/>
              </w:rPr>
              <w:t xml:space="preserve">攻击防御等作用</w:t>
            </w:r>
            <w:r/>
          </w:p>
        </w:tc>
        <w:tc>
          <w:tcPr>
            <w:tcW w:w="1542" w:type="dxa"/>
            <w:vAlign w:val="center"/>
            <w:textDirection w:val="lrTb"/>
            <w:noWrap w:val="false"/>
          </w:tcPr>
          <w:p>
            <w:pPr>
              <w:rPr>
                <w:rFonts w:hint="eastAsia" w:ascii="宋体" w:hAnsi="宋体"/>
                <w:highlight w:val="none"/>
              </w:rPr>
            </w:pPr>
            <w:r>
              <w:rPr>
                <w:rFonts w:hint="eastAsia" w:ascii="宋体" w:hAnsi="宋体"/>
                <w:highlight w:val="none"/>
              </w:rPr>
              <w:t xml:space="preserve">见参数要求</w:t>
            </w:r>
            <w:r/>
          </w:p>
        </w:tc>
        <w:tc>
          <w:tcPr>
            <w:tcW w:w="1340" w:type="dxa"/>
            <w:vAlign w:val="center"/>
            <w:textDirection w:val="lrTb"/>
            <w:noWrap w:val="false"/>
          </w:tcPr>
          <w:p>
            <w:pPr>
              <w:rPr>
                <w:rFonts w:ascii="宋体" w:hAnsi="宋体"/>
                <w:highlight w:val="none"/>
              </w:rPr>
            </w:pPr>
            <w:r>
              <w:rPr>
                <w:rFonts w:hint="eastAsia" w:ascii="宋体" w:hAnsi="宋体"/>
                <w:highlight w:val="none"/>
              </w:rPr>
              <w:t xml:space="preserve">1台</w:t>
            </w:r>
            <w:r/>
          </w:p>
          <w:p>
            <w:pPr>
              <w:rPr>
                <w:rFonts w:ascii="宋体" w:hAnsi="宋体"/>
                <w:highlight w:val="none"/>
              </w:rPr>
            </w:pPr>
            <w:r>
              <w:rPr>
                <w:rFonts w:hint="eastAsia" w:ascii="宋体" w:hAnsi="宋体"/>
                <w:sz w:val="13"/>
                <w:szCs w:val="13"/>
                <w:highlight w:val="none"/>
              </w:rPr>
              <w:t xml:space="preserve">（包1和包2配置相同，组成HA（高可用）集群）</w:t>
            </w:r>
            <w:r/>
          </w:p>
        </w:tc>
      </w:tr>
      <w:tr>
        <w:trPr>
          <w:jc w:val="center"/>
          <w:trHeight w:val="315"/>
        </w:trPr>
        <w:tc>
          <w:tcPr>
            <w:tcW w:w="1555" w:type="dxa"/>
            <w:vAlign w:val="center"/>
            <w:textDirection w:val="lrTb"/>
            <w:noWrap w:val="false"/>
          </w:tcPr>
          <w:p>
            <w:pPr>
              <w:rPr>
                <w:rFonts w:ascii="宋体" w:hAnsi="宋体"/>
                <w:highlight w:val="none"/>
              </w:rPr>
            </w:pPr>
            <w:r>
              <w:rPr>
                <w:rFonts w:hint="eastAsia" w:ascii="宋体" w:hAnsi="宋体"/>
                <w:highlight w:val="none"/>
              </w:rPr>
              <w:t xml:space="preserve">DNS</w:t>
            </w:r>
            <w:r/>
          </w:p>
          <w:p>
            <w:pPr>
              <w:rPr>
                <w:rFonts w:hint="eastAsia" w:ascii="宋体" w:hAnsi="宋体"/>
                <w:highlight w:val="none"/>
              </w:rPr>
            </w:pPr>
            <w:r>
              <w:rPr>
                <w:rFonts w:hint="eastAsia" w:ascii="宋体" w:hAnsi="宋体"/>
                <w:highlight w:val="none"/>
              </w:rPr>
              <w:t xml:space="preserve">域名解析系统</w:t>
            </w:r>
            <w:r/>
          </w:p>
        </w:tc>
        <w:tc>
          <w:tcPr>
            <w:tcW w:w="4543" w:type="dxa"/>
            <w:vAlign w:val="center"/>
            <w:textDirection w:val="lrTb"/>
            <w:noWrap w:val="false"/>
          </w:tcPr>
          <w:p>
            <w:pPr>
              <w:rPr>
                <w:rFonts w:hint="eastAsia" w:ascii="宋体" w:hAnsi="宋体"/>
                <w:highlight w:val="none"/>
              </w:rPr>
            </w:pPr>
            <w:r>
              <w:rPr>
                <w:rFonts w:hint="eastAsia" w:ascii="宋体" w:hAnsi="宋体"/>
                <w:highlight w:val="none"/>
              </w:rPr>
              <w:t xml:space="preserve">作为域名解析服务器，承担江苏省高级人民法院、各中级法院、基层法院等单位的域名解析，满足将域名解析为IP地址，完成业务访问。</w:t>
            </w:r>
            <w:r/>
          </w:p>
        </w:tc>
        <w:tc>
          <w:tcPr>
            <w:tcW w:w="1542" w:type="dxa"/>
            <w:vAlign w:val="center"/>
            <w:textDirection w:val="lrTb"/>
            <w:noWrap w:val="false"/>
          </w:tcPr>
          <w:p>
            <w:pPr>
              <w:rPr>
                <w:rFonts w:hint="eastAsia" w:ascii="宋体" w:hAnsi="宋体"/>
                <w:highlight w:val="none"/>
              </w:rPr>
            </w:pPr>
            <w:r>
              <w:rPr>
                <w:rFonts w:hint="eastAsia" w:ascii="宋体" w:hAnsi="宋体"/>
                <w:highlight w:val="none"/>
              </w:rPr>
              <w:t xml:space="preserve">见参数要求</w:t>
            </w:r>
            <w:r/>
          </w:p>
        </w:tc>
        <w:tc>
          <w:tcPr>
            <w:tcW w:w="1340" w:type="dxa"/>
            <w:vAlign w:val="center"/>
            <w:textDirection w:val="lrTb"/>
            <w:noWrap w:val="false"/>
          </w:tcPr>
          <w:p>
            <w:pPr>
              <w:rPr>
                <w:rFonts w:ascii="宋体" w:hAnsi="宋体"/>
                <w:highlight w:val="none"/>
              </w:rPr>
            </w:pPr>
            <w:r>
              <w:rPr>
                <w:rFonts w:hint="eastAsia" w:ascii="宋体" w:hAnsi="宋体"/>
                <w:highlight w:val="none"/>
              </w:rPr>
              <w:t xml:space="preserve">1台</w:t>
            </w:r>
            <w:r/>
          </w:p>
        </w:tc>
      </w:tr>
    </w:tbl>
    <w:p>
      <w:pPr>
        <w:pStyle w:val="945"/>
        <w:ind w:firstLine="323"/>
        <w:spacing w:before="145" w:after="0" w:line="360" w:lineRule="auto"/>
        <w:rPr>
          <w:sz w:val="24"/>
          <w:szCs w:val="24"/>
          <w:highlight w:val="none"/>
        </w:rPr>
      </w:pPr>
      <w:r>
        <w:rPr>
          <w:rFonts w:hint="eastAsia"/>
          <w:sz w:val="24"/>
          <w:szCs w:val="24"/>
          <w:highlight w:val="none"/>
        </w:rPr>
        <w:t xml:space="preserve">2</w:t>
      </w:r>
      <w:r>
        <w:rPr>
          <w:sz w:val="24"/>
          <w:szCs w:val="24"/>
          <w:highlight w:val="none"/>
        </w:rPr>
        <w:t xml:space="preserve">.</w:t>
      </w:r>
      <w:r>
        <w:rPr>
          <w:rFonts w:hint="eastAsia"/>
          <w:sz w:val="24"/>
          <w:szCs w:val="24"/>
          <w:highlight w:val="none"/>
        </w:rPr>
        <w:t xml:space="preserve">技术指标</w:t>
      </w:r>
      <w:r/>
    </w:p>
    <w:p>
      <w:pPr>
        <w:pStyle w:val="1056"/>
        <w:ind w:left="1446"/>
        <w:spacing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2.1 </w:t>
      </w:r>
      <w:r>
        <w:rPr>
          <w:rFonts w:hint="eastAsia" w:ascii="Times New Roman" w:hAnsi="Times New Roman" w:eastAsia="宋体"/>
          <w:sz w:val="24"/>
          <w:szCs w:val="24"/>
          <w:highlight w:val="none"/>
        </w:rPr>
        <w:t xml:space="preserve">传输线路</w:t>
      </w:r>
      <w:r/>
    </w:p>
    <w:tbl>
      <w:tblPr>
        <w:tblStyle w:val="772"/>
        <w:tblW w:w="91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790"/>
      </w:tblGrid>
      <w:tr>
        <w:trPr>
          <w:jc w:val="center"/>
        </w:trPr>
        <w:tc>
          <w:tcPr>
            <w:tcW w:w="2338" w:type="dxa"/>
            <w:vAlign w:val="center"/>
            <w:textDirection w:val="lrTb"/>
            <w:noWrap w:val="false"/>
          </w:tcPr>
          <w:p>
            <w:pPr>
              <w:spacing w:line="360" w:lineRule="auto"/>
              <w:rPr>
                <w:rFonts w:ascii="宋体" w:hAnsi="宋体"/>
                <w:highlight w:val="none"/>
              </w:rPr>
            </w:pPr>
            <w:r>
              <w:rPr>
                <w:rFonts w:hint="eastAsia" w:ascii="宋体" w:hAnsi="宋体"/>
                <w:highlight w:val="none"/>
              </w:rPr>
              <w:t xml:space="preserve">通信服务需求</w:t>
            </w:r>
            <w:r/>
          </w:p>
        </w:tc>
        <w:tc>
          <w:tcPr>
            <w:tcW w:w="6790" w:type="dxa"/>
            <w:vAlign w:val="center"/>
            <w:textDirection w:val="lrTb"/>
            <w:noWrap w:val="false"/>
          </w:tcPr>
          <w:p>
            <w:pPr>
              <w:spacing w:line="360" w:lineRule="auto"/>
              <w:rPr>
                <w:rFonts w:ascii="宋体" w:hAnsi="宋体"/>
                <w:highlight w:val="none"/>
              </w:rPr>
            </w:pPr>
            <w:r>
              <w:rPr>
                <w:rFonts w:hint="eastAsia" w:ascii="宋体" w:hAnsi="宋体"/>
                <w:highlight w:val="none"/>
              </w:rPr>
              <w:t xml:space="preserve">建设需求</w:t>
            </w:r>
            <w:r/>
          </w:p>
        </w:tc>
      </w:tr>
      <w:tr>
        <w:trPr>
          <w:jc w:val="center"/>
          <w:trHeight w:val="835"/>
        </w:trPr>
        <w:tc>
          <w:tcPr>
            <w:tcW w:w="2338" w:type="dxa"/>
            <w:vAlign w:val="center"/>
            <w:textDirection w:val="lrTb"/>
            <w:noWrap w:val="false"/>
          </w:tcPr>
          <w:p>
            <w:pPr>
              <w:spacing w:line="360" w:lineRule="auto"/>
              <w:rPr>
                <w:rFonts w:ascii="宋体" w:hAnsi="宋体"/>
                <w:highlight w:val="none"/>
              </w:rPr>
            </w:pPr>
            <w:r>
              <w:rPr>
                <w:rFonts w:hint="eastAsia" w:ascii="宋体" w:hAnsi="宋体"/>
                <w:highlight w:val="none"/>
              </w:rPr>
              <w:t xml:space="preserve">▲线路类型和带宽需求</w:t>
            </w:r>
            <w:r/>
          </w:p>
        </w:tc>
        <w:tc>
          <w:tcPr>
            <w:tcW w:w="6790" w:type="dxa"/>
            <w:vAlign w:val="top"/>
            <w:textDirection w:val="lrTb"/>
            <w:noWrap w:val="false"/>
          </w:tcPr>
          <w:p>
            <w:pPr>
              <w:spacing w:line="360" w:lineRule="auto"/>
              <w:rPr>
                <w:rFonts w:ascii="宋体" w:hAnsi="宋体"/>
                <w:highlight w:val="none"/>
              </w:rPr>
            </w:pPr>
            <w:r>
              <w:rPr>
                <w:rFonts w:ascii="宋体" w:hAnsi="宋体"/>
                <w:highlight w:val="none"/>
              </w:rPr>
              <w:t xml:space="preserve">专线须为具备电信级高可靠性的OTN精品专线，严禁使用无任何保护的普通裸光纤线路</w:t>
            </w:r>
            <w:r>
              <w:rPr>
                <w:rFonts w:hint="eastAsia" w:ascii="宋体" w:hAnsi="宋体"/>
                <w:highlight w:val="none"/>
              </w:rPr>
              <w:t xml:space="preserve">，提供安全、稳定、带宽独享的线路组网方式，与互联网物理隔离；需提供全透明的专用二层通道数据线路。全程路由须遵循运营商骨干网的“低时延、无绕转”的调度原则。接入层采用扁平化架构，实现“接入节点一跳直达”接入核心骨干节点，最大限度减少中间转发层级，确保跨域传输的确定性低时延。</w:t>
            </w:r>
            <w:r/>
          </w:p>
          <w:p>
            <w:pPr>
              <w:spacing w:line="360" w:lineRule="auto"/>
              <w:rPr>
                <w:rFonts w:ascii="宋体" w:hAnsi="宋体"/>
                <w:highlight w:val="none"/>
              </w:rPr>
            </w:pPr>
            <w:r>
              <w:rPr>
                <w:rFonts w:hint="eastAsia" w:ascii="宋体" w:hAnsi="宋体"/>
                <w:highlight w:val="none"/>
              </w:rPr>
              <w:t xml:space="preserve">省内线路；省核心节点到省内各中级法院、基层法院、南京海事法院、江苏法官培训学院传输线路（125条）：带宽500M；基层法院</w:t>
            </w:r>
            <w:r>
              <w:rPr>
                <w:rFonts w:ascii="宋体" w:hAnsi="宋体"/>
                <w:highlight w:val="none"/>
              </w:rPr>
              <w:t xml:space="preserve">到派出法庭</w:t>
            </w:r>
            <w:r>
              <w:rPr>
                <w:rFonts w:hint="eastAsia" w:ascii="宋体" w:hAnsi="宋体"/>
                <w:highlight w:val="none"/>
              </w:rPr>
              <w:t xml:space="preserve">传输线路</w:t>
            </w:r>
            <w:r>
              <w:rPr>
                <w:rFonts w:ascii="宋体" w:hAnsi="宋体"/>
                <w:highlight w:val="none"/>
              </w:rPr>
              <w:t xml:space="preserve">（</w:t>
            </w:r>
            <w:r>
              <w:rPr>
                <w:rFonts w:hint="eastAsia" w:ascii="宋体" w:hAnsi="宋体"/>
                <w:highlight w:val="none"/>
              </w:rPr>
              <w:t xml:space="preserve">310条</w:t>
            </w:r>
            <w:r>
              <w:rPr>
                <w:rFonts w:ascii="宋体" w:hAnsi="宋体"/>
                <w:highlight w:val="none"/>
              </w:rPr>
              <w:t xml:space="preserve">）</w:t>
            </w:r>
            <w:r>
              <w:rPr>
                <w:rFonts w:hint="eastAsia" w:ascii="宋体" w:hAnsi="宋体"/>
                <w:highlight w:val="none"/>
              </w:rPr>
              <w:t xml:space="preserve">：带宽100M。</w:t>
            </w:r>
            <w:r/>
          </w:p>
          <w:p>
            <w:pPr>
              <w:spacing w:line="360" w:lineRule="auto"/>
              <w:rPr>
                <w:rFonts w:ascii="宋体" w:hAnsi="宋体"/>
                <w:highlight w:val="none"/>
              </w:rPr>
            </w:pPr>
            <w:r>
              <w:rPr>
                <w:rFonts w:hint="eastAsia" w:ascii="宋体" w:hAnsi="宋体"/>
                <w:highlight w:val="none"/>
              </w:rPr>
              <w:t xml:space="preserve">南中心：省核心节点连接南中心传输线路，带宽为10000M。</w:t>
            </w:r>
            <w:r/>
          </w:p>
          <w:p>
            <w:pPr>
              <w:spacing w:line="360" w:lineRule="auto"/>
              <w:rPr>
                <w:rFonts w:ascii="宋体" w:hAnsi="宋体"/>
                <w:highlight w:val="none"/>
              </w:rPr>
            </w:pPr>
            <w:r>
              <w:rPr>
                <w:rFonts w:hint="eastAsia"/>
                <w:highlight w:val="none"/>
              </w:rPr>
              <w:t xml:space="preserve">以上</w:t>
            </w:r>
            <w:r>
              <w:rPr>
                <w:highlight w:val="none"/>
              </w:rPr>
              <w:t xml:space="preserve">需投标人提供书面承诺函并加盖电子签章。</w:t>
            </w:r>
            <w:r/>
          </w:p>
        </w:tc>
      </w:tr>
      <w:tr>
        <w:trPr>
          <w:jc w:val="center"/>
          <w:trHeight w:val="50"/>
        </w:trPr>
        <w:tc>
          <w:tcPr>
            <w:tcW w:w="2338" w:type="dxa"/>
            <w:vAlign w:val="center"/>
            <w:textDirection w:val="lrTb"/>
            <w:noWrap w:val="false"/>
          </w:tcPr>
          <w:p>
            <w:pPr>
              <w:spacing w:line="360" w:lineRule="auto"/>
              <w:rPr>
                <w:rFonts w:ascii="宋体" w:hAnsi="宋体"/>
                <w:highlight w:val="none"/>
              </w:rPr>
            </w:pPr>
            <w:r>
              <w:rPr>
                <w:rFonts w:hint="eastAsia" w:ascii="宋体" w:hAnsi="宋体"/>
                <w:highlight w:val="none"/>
              </w:rPr>
              <w:t xml:space="preserve">▲线路接入要求</w:t>
            </w:r>
            <w:r/>
          </w:p>
        </w:tc>
        <w:tc>
          <w:tcPr>
            <w:tcW w:w="6790" w:type="dxa"/>
            <w:vAlign w:val="top"/>
            <w:textDirection w:val="lrTb"/>
            <w:noWrap w:val="false"/>
          </w:tcPr>
          <w:p>
            <w:pPr>
              <w:spacing w:line="360" w:lineRule="auto"/>
              <w:rPr>
                <w:rFonts w:ascii="宋体" w:hAnsi="宋体"/>
                <w:highlight w:val="none"/>
              </w:rPr>
            </w:pPr>
            <w:r>
              <w:rPr>
                <w:rFonts w:hint="eastAsia" w:ascii="宋体" w:hAnsi="宋体"/>
                <w:highlight w:val="none"/>
              </w:rPr>
              <w:t xml:space="preserve">传输线路在省中心的汇聚点，投标人均须采用两套及以上传输设备承载，以确保业务的有效分摊，避免单节点故障发生。每套传输设备均应提供双物理路由的光缆接入。</w:t>
            </w:r>
            <w:r/>
          </w:p>
          <w:p>
            <w:pPr>
              <w:spacing w:line="360" w:lineRule="auto"/>
              <w:rPr>
                <w:rFonts w:ascii="宋体" w:hAnsi="宋体"/>
                <w:highlight w:val="none"/>
              </w:rPr>
            </w:pPr>
            <w:r>
              <w:rPr>
                <w:rFonts w:hint="eastAsia" w:ascii="宋体" w:hAnsi="宋体"/>
                <w:highlight w:val="none"/>
              </w:rPr>
              <w:t xml:space="preserve">传输线路在省-市以及南京市区传输骨干层应由两个或以上的网络平面分别承载，避免同种速率线路全部集中于同一套传输系统承载。</w:t>
            </w:r>
            <w:r/>
          </w:p>
          <w:p>
            <w:pPr>
              <w:spacing w:line="360" w:lineRule="auto"/>
              <w:rPr>
                <w:rFonts w:ascii="宋体" w:hAnsi="宋体"/>
                <w:highlight w:val="none"/>
              </w:rPr>
            </w:pPr>
            <w:r>
              <w:rPr>
                <w:rFonts w:hint="eastAsia" w:ascii="宋体" w:hAnsi="宋体"/>
                <w:highlight w:val="none"/>
              </w:rPr>
              <w:t xml:space="preserve">省内各中级法院、基层法院、南京海事法院接入节点处，提供双物理路由的光缆接入，指在接入端，采用两条物理上相互独立的路径（路由）来连接传输设备，从接入侧传输设备到运营商传输机房或上级网络节点有两条不同的线路。网络需具备单平面环网的自动保护倒换(APS)能力，确保在链路出现故障时能实现毫秒级别的自动保护倒换。当一条路由出现故障，如线路中断、设备故障等情况时，网络流量可以自动切换到另一条路由上，确保网络连接不中断，保障法院业务的连续性。</w:t>
            </w:r>
            <w:r/>
          </w:p>
          <w:p>
            <w:pPr>
              <w:spacing w:line="360" w:lineRule="auto"/>
              <w:rPr>
                <w:rFonts w:ascii="宋体" w:hAnsi="宋体"/>
                <w:highlight w:val="none"/>
              </w:rPr>
            </w:pPr>
            <w:r>
              <w:rPr>
                <w:rFonts w:hint="eastAsia" w:ascii="宋体" w:hAnsi="宋体"/>
                <w:highlight w:val="none"/>
              </w:rPr>
              <w:t xml:space="preserve">对于不具备双路由接入的节点，竣工材料中须明确标注，制定详细的应急预案，明确在管道资源故障导致单路由中断的情况下，应采取的具体措施和操作流程。同时，建立快速恢复机制，储备必要的网络设备和应急物资，确保在故障发生后能够尽快恢复网络通信。</w:t>
            </w:r>
            <w:r/>
          </w:p>
          <w:p>
            <w:pPr>
              <w:spacing w:line="360" w:lineRule="auto"/>
              <w:rPr>
                <w:rFonts w:ascii="宋体" w:hAnsi="宋体"/>
                <w:highlight w:val="none"/>
              </w:rPr>
            </w:pPr>
            <w:r>
              <w:rPr>
                <w:rFonts w:hint="eastAsia" w:ascii="宋体" w:hAnsi="宋体"/>
                <w:highlight w:val="none"/>
              </w:rPr>
              <w:t xml:space="preserve">以上</w:t>
            </w:r>
            <w:r>
              <w:rPr>
                <w:highlight w:val="none"/>
              </w:rPr>
              <w:t xml:space="preserve">需投标人提供书面承诺函并加盖电子签章。</w:t>
            </w:r>
            <w:r/>
          </w:p>
        </w:tc>
      </w:tr>
      <w:tr>
        <w:trPr>
          <w:jc w:val="center"/>
          <w:trHeight w:val="50"/>
        </w:trPr>
        <w:tc>
          <w:tcPr>
            <w:tcW w:w="2338" w:type="dxa"/>
            <w:vAlign w:val="center"/>
            <w:textDirection w:val="lrTb"/>
            <w:noWrap w:val="false"/>
          </w:tcPr>
          <w:p>
            <w:pPr>
              <w:spacing w:line="360" w:lineRule="auto"/>
              <w:rPr>
                <w:rFonts w:hint="eastAsia" w:ascii="宋体" w:hAnsi="宋体"/>
                <w:highlight w:val="none"/>
              </w:rPr>
            </w:pPr>
            <w:r>
              <w:rPr>
                <w:rFonts w:hint="eastAsia" w:ascii="宋体" w:hAnsi="宋体"/>
                <w:highlight w:val="none"/>
              </w:rPr>
              <w:t xml:space="preserve">▲线路服务要求</w:t>
            </w:r>
            <w:r/>
          </w:p>
        </w:tc>
        <w:tc>
          <w:tcPr>
            <w:tcW w:w="6790" w:type="dxa"/>
            <w:vAlign w:val="top"/>
            <w:textDirection w:val="lrTb"/>
            <w:noWrap w:val="false"/>
          </w:tcPr>
          <w:p>
            <w:pPr>
              <w:spacing w:line="360" w:lineRule="auto"/>
              <w:rPr>
                <w:rFonts w:ascii="宋体" w:hAnsi="宋体"/>
                <w:highlight w:val="none"/>
              </w:rPr>
            </w:pPr>
            <w:r>
              <w:rPr>
                <w:rFonts w:hint="eastAsia" w:ascii="宋体" w:hAnsi="宋体"/>
                <w:highlight w:val="none"/>
              </w:rPr>
              <w:t xml:space="preserve">投标人须</w:t>
            </w:r>
            <w:r>
              <w:rPr>
                <w:rFonts w:ascii="宋体" w:hAnsi="宋体"/>
                <w:highlight w:val="none"/>
              </w:rPr>
              <w:t xml:space="preserve">采取必要的技术手段和措施，确保专线服务不中断。端到端专线链路的全年可用性</w:t>
            </w:r>
            <w:r>
              <w:rPr>
                <w:rFonts w:hint="eastAsia" w:ascii="宋体" w:hAnsi="宋体"/>
                <w:highlight w:val="none"/>
              </w:rPr>
              <w:t xml:space="preserve">应≥99.99％（电路可用性的测量时间按一个自然年计算，经双方书面确认的计划内割接及中断时间除外），误码率≤1×10</w:t>
            </w:r>
            <w:r>
              <w:rPr>
                <w:rFonts w:hint="eastAsia" w:ascii="宋体" w:hAnsi="宋体"/>
                <w:highlight w:val="none"/>
                <w:vertAlign w:val="superscript"/>
              </w:rPr>
              <w:t xml:space="preserve">-7</w:t>
            </w:r>
            <w:r>
              <w:rPr>
                <w:rFonts w:hint="eastAsia" w:ascii="宋体" w:hAnsi="宋体"/>
                <w:highlight w:val="none"/>
              </w:rPr>
              <w:t xml:space="preserve">；省核心节点接入南中心的传输线路端到端的单向延时≤30ms，双向延时≤60ms，其他线路最高时延≤50ms，倒换时间≤50ms。</w:t>
            </w:r>
            <w:r/>
          </w:p>
          <w:p>
            <w:pPr>
              <w:spacing w:line="360" w:lineRule="auto"/>
              <w:rPr>
                <w:rFonts w:ascii="宋体" w:hAnsi="宋体"/>
                <w:highlight w:val="none"/>
              </w:rPr>
            </w:pPr>
            <w:r>
              <w:rPr>
                <w:rFonts w:ascii="宋体" w:hAnsi="宋体"/>
                <w:highlight w:val="none"/>
              </w:rPr>
              <w:t xml:space="preserve">为保障业务访问高可用性，</w:t>
            </w:r>
            <w:r>
              <w:rPr>
                <w:rFonts w:hint="eastAsia" w:ascii="宋体" w:hAnsi="宋体"/>
                <w:highlight w:val="none"/>
              </w:rPr>
              <w:t xml:space="preserve">在一条接入专线发生故障时，另一条接入专线带宽提供免费临时紧急扩容，以确保承载全量业务流量；当带宽使用率超过峰值影响业务时，提供免费临时带宽升级以保障采购人的业务应急使用。</w:t>
            </w:r>
            <w:r/>
          </w:p>
          <w:p>
            <w:pPr>
              <w:spacing w:line="360" w:lineRule="auto"/>
              <w:rPr>
                <w:rFonts w:ascii="宋体" w:hAnsi="宋体"/>
                <w:highlight w:val="none"/>
              </w:rPr>
            </w:pPr>
            <w:r>
              <w:rPr>
                <w:rFonts w:hint="eastAsia" w:ascii="宋体" w:hAnsi="宋体"/>
                <w:highlight w:val="none"/>
              </w:rPr>
              <w:t xml:space="preserve">根据采购人网络接入A端和B端地址的实际需求开通专线，并根据需求调整配合免费进行专线移机，不得以移机为由收取额外费用。</w:t>
            </w:r>
            <w:r/>
          </w:p>
          <w:p>
            <w:pPr>
              <w:spacing w:line="360" w:lineRule="auto"/>
              <w:rPr>
                <w:rFonts w:hint="eastAsia" w:ascii="宋体" w:hAnsi="宋体"/>
                <w:highlight w:val="none"/>
              </w:rPr>
            </w:pPr>
            <w:r>
              <w:rPr>
                <w:rFonts w:hint="eastAsia" w:ascii="宋体" w:hAnsi="宋体"/>
                <w:highlight w:val="none"/>
              </w:rPr>
              <w:t xml:space="preserve">以上</w:t>
            </w:r>
            <w:r>
              <w:rPr>
                <w:highlight w:val="none"/>
              </w:rPr>
              <w:t xml:space="preserve">需投标人提供书面承诺函并加盖电子签章。</w:t>
            </w:r>
            <w:r/>
          </w:p>
        </w:tc>
      </w:tr>
      <w:tr>
        <w:trPr>
          <w:jc w:val="center"/>
          <w:trHeight w:val="1408"/>
        </w:trPr>
        <w:tc>
          <w:tcPr>
            <w:tcW w:w="2338" w:type="dxa"/>
            <w:vAlign w:val="center"/>
            <w:textDirection w:val="lrTb"/>
            <w:noWrap w:val="false"/>
          </w:tcPr>
          <w:p>
            <w:pPr>
              <w:spacing w:line="360" w:lineRule="auto"/>
              <w:rPr>
                <w:rFonts w:ascii="宋体" w:hAnsi="宋体"/>
                <w:highlight w:val="none"/>
              </w:rPr>
            </w:pPr>
            <w:r>
              <w:rPr>
                <w:rFonts w:hint="eastAsia" w:ascii="宋体" w:hAnsi="宋体"/>
                <w:highlight w:val="none"/>
              </w:rPr>
              <w:t xml:space="preserve">▲线路监测管理要求</w:t>
            </w:r>
            <w:r/>
          </w:p>
        </w:tc>
        <w:tc>
          <w:tcPr>
            <w:tcW w:w="6790" w:type="dxa"/>
            <w:vAlign w:val="top"/>
            <w:textDirection w:val="lrTb"/>
            <w:noWrap w:val="false"/>
          </w:tcPr>
          <w:p>
            <w:pPr>
              <w:spacing w:line="360" w:lineRule="auto"/>
              <w:rPr>
                <w:rFonts w:ascii="宋体" w:hAnsi="宋体"/>
                <w:highlight w:val="none"/>
              </w:rPr>
            </w:pPr>
            <w:r>
              <w:rPr>
                <w:rFonts w:hint="eastAsia" w:ascii="宋体" w:hAnsi="宋体"/>
                <w:highlight w:val="none"/>
              </w:rPr>
              <w:t xml:space="preserve">投标人所提供的线路具有对所有节点传输设备的日常运行状态、故障响应、资源分配和调度控制等监测管理功能。</w:t>
            </w:r>
            <w:r/>
          </w:p>
          <w:p>
            <w:pPr>
              <w:spacing w:line="360" w:lineRule="auto"/>
              <w:rPr>
                <w:rFonts w:ascii="宋体" w:hAnsi="宋体"/>
                <w:highlight w:val="none"/>
              </w:rPr>
            </w:pPr>
            <w:r>
              <w:rPr>
                <w:rFonts w:hint="eastAsia" w:ascii="宋体" w:hAnsi="宋体"/>
                <w:highlight w:val="none"/>
              </w:rPr>
              <w:t xml:space="preserve">投标人所提供的线路具有端到端的网络监控等业务功能。</w:t>
            </w:r>
            <w:r/>
          </w:p>
          <w:p>
            <w:pPr>
              <w:spacing w:line="360" w:lineRule="auto"/>
              <w:rPr>
                <w:rFonts w:ascii="宋体" w:hAnsi="宋体"/>
                <w:highlight w:val="none"/>
              </w:rPr>
            </w:pPr>
            <w:r>
              <w:rPr>
                <w:rFonts w:hint="eastAsia" w:ascii="宋体" w:hAnsi="宋体"/>
                <w:highlight w:val="none"/>
              </w:rPr>
              <w:t xml:space="preserve">投标人对于客户网络监控服务应具备7*24小时的实时服务监控团队。提供7*24小时网络监控，确保出现网络问题第一时间发现并解决；按月提供网络带宽使用分析报告，并根据近3个月带宽使用情况提出专线带宽建议，作为后续专线采购依据。</w:t>
            </w:r>
            <w:r/>
          </w:p>
          <w:p>
            <w:pPr>
              <w:spacing w:line="360" w:lineRule="auto"/>
              <w:rPr>
                <w:rFonts w:ascii="宋体" w:hAnsi="宋体"/>
                <w:highlight w:val="none"/>
              </w:rPr>
            </w:pPr>
            <w:r>
              <w:rPr>
                <w:rFonts w:hint="eastAsia"/>
                <w:highlight w:val="none"/>
              </w:rPr>
              <w:t xml:space="preserve">以上</w:t>
            </w:r>
            <w:r>
              <w:rPr>
                <w:highlight w:val="none"/>
              </w:rPr>
              <w:t xml:space="preserve">需投标人提供书面承诺函并加盖电子签章。</w:t>
            </w:r>
            <w:r/>
          </w:p>
        </w:tc>
      </w:tr>
    </w:tbl>
    <w:p>
      <w:pPr>
        <w:pStyle w:val="1056"/>
        <w:rPr>
          <w:rFonts w:ascii="Times New Roman" w:hAnsi="Times New Roman" w:eastAsia="宋体"/>
          <w:sz w:val="24"/>
          <w:szCs w:val="24"/>
          <w:highlight w:val="none"/>
        </w:rPr>
      </w:pPr>
      <w:r>
        <w:rPr>
          <w:rFonts w:ascii="Times New Roman" w:hAnsi="Times New Roman" w:eastAsia="宋体"/>
          <w:sz w:val="24"/>
          <w:szCs w:val="24"/>
          <w:highlight w:val="none"/>
        </w:rPr>
        <w:t xml:space="preserve">2.2 </w:t>
      </w:r>
      <w:r>
        <w:rPr>
          <w:rFonts w:hint="eastAsia" w:ascii="Times New Roman" w:hAnsi="Times New Roman" w:eastAsia="宋体"/>
          <w:sz w:val="24"/>
          <w:szCs w:val="24"/>
          <w:highlight w:val="none"/>
        </w:rPr>
        <w:t xml:space="preserve"> 高性能边界路由器参数要求</w:t>
      </w:r>
      <w:r/>
    </w:p>
    <w:tbl>
      <w:tblPr>
        <w:tblStyle w:val="772"/>
        <w:tblW w:w="91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26"/>
        <w:gridCol w:w="7202"/>
      </w:tblGrid>
      <w:tr>
        <w:trPr>
          <w:jc w:val="center"/>
        </w:trPr>
        <w:tc>
          <w:tcPr>
            <w:tcW w:w="1926" w:type="dxa"/>
            <w:vAlign w:val="center"/>
            <w:textDirection w:val="lrTb"/>
            <w:noWrap w:val="false"/>
          </w:tcPr>
          <w:p>
            <w:pPr>
              <w:spacing w:line="360" w:lineRule="auto"/>
              <w:rPr>
                <w:rFonts w:ascii="宋体" w:hAnsi="宋体"/>
                <w:highlight w:val="none"/>
              </w:rPr>
            </w:pPr>
            <w:r>
              <w:rPr>
                <w:rFonts w:hint="eastAsia" w:ascii="宋体" w:hAnsi="宋体"/>
                <w:highlight w:val="none"/>
              </w:rPr>
              <w:t xml:space="preserve">产品需求</w:t>
            </w:r>
            <w:r/>
          </w:p>
        </w:tc>
        <w:tc>
          <w:tcPr>
            <w:tcW w:w="7202" w:type="dxa"/>
            <w:vAlign w:val="center"/>
            <w:textDirection w:val="lrTb"/>
            <w:noWrap w:val="false"/>
          </w:tcPr>
          <w:p>
            <w:pPr>
              <w:spacing w:line="360" w:lineRule="auto"/>
              <w:rPr>
                <w:rFonts w:ascii="宋体" w:hAnsi="宋体"/>
                <w:highlight w:val="none"/>
              </w:rPr>
            </w:pPr>
            <w:r>
              <w:rPr>
                <w:rFonts w:hint="eastAsia" w:ascii="宋体" w:hAnsi="宋体"/>
                <w:highlight w:val="none"/>
              </w:rPr>
              <w:t xml:space="preserve">参数要求</w:t>
            </w:r>
            <w:r/>
          </w:p>
        </w:tc>
      </w:tr>
      <w:tr>
        <w:trPr>
          <w:jc w:val="center"/>
        </w:trPr>
        <w:tc>
          <w:tcPr>
            <w:tcW w:w="1926" w:type="dxa"/>
            <w:vAlign w:val="center"/>
            <w:textDirection w:val="lrTb"/>
            <w:noWrap w:val="false"/>
          </w:tcPr>
          <w:p>
            <w:pPr>
              <w:spacing w:line="360" w:lineRule="auto"/>
              <w:rPr>
                <w:rFonts w:ascii="宋体" w:hAnsi="宋体"/>
                <w:highlight w:val="none"/>
              </w:rPr>
            </w:pPr>
            <w:r>
              <w:rPr>
                <w:rFonts w:hint="eastAsia" w:ascii="宋体" w:hAnsi="宋体"/>
                <w:highlight w:val="none"/>
              </w:rPr>
              <w:t xml:space="preserve">▲硬件规格</w:t>
            </w:r>
            <w:r/>
          </w:p>
        </w:tc>
        <w:tc>
          <w:tcPr>
            <w:tcW w:w="7202" w:type="dxa"/>
            <w:vAlign w:val="center"/>
            <w:textDirection w:val="lrTb"/>
            <w:noWrap w:val="false"/>
          </w:tcPr>
          <w:p>
            <w:pPr>
              <w:spacing w:line="360" w:lineRule="auto"/>
              <w:rPr>
                <w:rFonts w:ascii="宋体" w:hAnsi="宋体"/>
                <w:highlight w:val="none"/>
              </w:rPr>
            </w:pPr>
            <w:r>
              <w:rPr>
                <w:rFonts w:hint="eastAsia" w:ascii="宋体" w:hAnsi="宋体"/>
                <w:highlight w:val="none"/>
              </w:rPr>
              <w:t xml:space="preserve">整机配置：提供交换网板≥4个，需提供官方网站截图；整机框全物理尺寸的业务板卡槽位数≥8（非子卡槽位），需提供官方网站截图；冗余主控，四个电源模块，满配交换网板；关键组件(电源、风扇)支持冗余备份及热插拔，避免单点硬件故障导致设备岩机；</w:t>
            </w:r>
            <w:r/>
          </w:p>
          <w:p>
            <w:pPr>
              <w:spacing w:line="360" w:lineRule="auto"/>
              <w:rPr>
                <w:rFonts w:ascii="宋体" w:hAnsi="宋体"/>
                <w:color w:val="ff0000"/>
                <w:highlight w:val="none"/>
              </w:rPr>
            </w:pPr>
            <w:r>
              <w:rPr>
                <w:rFonts w:hint="eastAsia" w:ascii="宋体" w:hAnsi="宋体"/>
                <w:highlight w:val="none"/>
              </w:rPr>
              <w:t xml:space="preserve">接口：具备端口冗余，实配20个万兆光口（10个万兆单模光模块，10个万兆多模光模块），4个万兆堆叠端口（4个万兆多模光模块），140个千兆光口（满配千兆单模光模块），如在实际工作中，光口不够，应免费升级，</w:t>
            </w:r>
            <w:r>
              <w:rPr>
                <w:highlight w:val="none"/>
              </w:rPr>
              <w:t xml:space="preserve">需投标人提供书面承诺函并加盖电子签章</w:t>
            </w:r>
            <w:r>
              <w:rPr>
                <w:rFonts w:hint="eastAsia" w:ascii="宋体" w:hAnsi="宋体"/>
                <w:highlight w:val="none"/>
              </w:rPr>
              <w:t xml:space="preserve">。</w:t>
            </w:r>
            <w:r/>
          </w:p>
        </w:tc>
      </w:tr>
      <w:tr>
        <w:trPr>
          <w:jc w:val="center"/>
        </w:trPr>
        <w:tc>
          <w:tcPr>
            <w:tcW w:w="1926" w:type="dxa"/>
            <w:vAlign w:val="center"/>
            <w:textDirection w:val="lrTb"/>
            <w:noWrap w:val="false"/>
          </w:tcPr>
          <w:p>
            <w:pPr>
              <w:spacing w:line="360" w:lineRule="auto"/>
              <w:rPr>
                <w:rFonts w:ascii="宋体" w:hAnsi="宋体"/>
                <w:highlight w:val="none"/>
              </w:rPr>
            </w:pPr>
            <w:r>
              <w:rPr>
                <w:rFonts w:hint="eastAsia" w:ascii="宋体" w:hAnsi="宋体"/>
                <w:highlight w:val="none"/>
              </w:rPr>
              <w:t xml:space="preserve">▲性能要求</w:t>
            </w:r>
            <w:r/>
          </w:p>
        </w:tc>
        <w:tc>
          <w:tcPr>
            <w:tcW w:w="7202" w:type="dxa"/>
            <w:vAlign w:val="center"/>
            <w:textDirection w:val="lrTb"/>
            <w:noWrap w:val="false"/>
          </w:tcPr>
          <w:p>
            <w:pPr>
              <w:spacing w:line="360" w:lineRule="auto"/>
              <w:rPr>
                <w:rFonts w:ascii="宋体" w:hAnsi="宋体"/>
                <w:highlight w:val="none"/>
              </w:rPr>
            </w:pPr>
            <w:r>
              <w:rPr>
                <w:rFonts w:hint="eastAsia" w:ascii="宋体" w:hAnsi="宋体"/>
                <w:highlight w:val="none"/>
              </w:rPr>
              <w:t xml:space="preserve">设备吞吐量应不低于链路带宽，避免成为网络性能瓶颈，交换容量≥800Tbps，包转发率≥185000 Mpps；</w:t>
            </w:r>
            <w:r/>
          </w:p>
          <w:p>
            <w:pPr>
              <w:spacing w:line="360" w:lineRule="auto"/>
              <w:rPr>
                <w:rFonts w:ascii="宋体" w:hAnsi="宋体"/>
                <w:highlight w:val="none"/>
              </w:rPr>
            </w:pPr>
            <w:r>
              <w:rPr>
                <w:rFonts w:hint="eastAsia" w:ascii="宋体" w:hAnsi="宋体"/>
                <w:highlight w:val="none"/>
              </w:rPr>
              <w:t xml:space="preserve">设备性能应满足当前及未来三年业务增长需要；应具备大容量报文缓冲区，以应对突发流量；</w:t>
            </w:r>
            <w:r/>
          </w:p>
          <w:p>
            <w:pPr>
              <w:spacing w:line="360" w:lineRule="auto"/>
              <w:rPr>
                <w:rFonts w:ascii="宋体" w:hAnsi="宋体"/>
                <w:highlight w:val="none"/>
              </w:rPr>
            </w:pPr>
            <w:r>
              <w:rPr>
                <w:rFonts w:hint="eastAsia" w:ascii="宋体" w:hAnsi="宋体"/>
                <w:highlight w:val="none"/>
              </w:rPr>
              <w:t xml:space="preserve">支持硬件切片技术最小颗粒度可达1G，支持10G、50G、100G的FlexE接口，支持1G、1.25G、5G颗粒度FlexE切片；</w:t>
            </w:r>
            <w:r/>
          </w:p>
          <w:p>
            <w:pPr>
              <w:spacing w:line="360" w:lineRule="auto"/>
              <w:rPr>
                <w:rFonts w:ascii="宋体" w:hAnsi="宋体"/>
                <w:highlight w:val="none"/>
              </w:rPr>
            </w:pPr>
            <w:r>
              <w:rPr>
                <w:rFonts w:hint="eastAsia" w:ascii="宋体" w:hAnsi="宋体"/>
                <w:highlight w:val="none"/>
              </w:rPr>
              <w:t xml:space="preserve">IPv4路由表容量≥25M、IPv6路由表容量≥10M，IPv4转发表容量（FIB）≥4M、IPv6转发表容量（FIB）≥2M。</w:t>
            </w:r>
            <w:r/>
          </w:p>
          <w:p>
            <w:pPr>
              <w:spacing w:line="360" w:lineRule="auto"/>
              <w:rPr>
                <w:rFonts w:hint="eastAsia" w:ascii="宋体" w:hAnsi="宋体"/>
                <w:highlight w:val="none"/>
              </w:rPr>
            </w:pPr>
            <w:r>
              <w:rPr>
                <w:rFonts w:hint="eastAsia" w:ascii="宋体" w:hAnsi="宋体"/>
                <w:highlight w:val="none"/>
              </w:rPr>
              <w:t xml:space="preserve">以上</w:t>
            </w:r>
            <w:r>
              <w:rPr>
                <w:highlight w:val="none"/>
              </w:rPr>
              <w:t xml:space="preserve">需投标人提供书面承诺函并加盖电子签章。</w:t>
            </w:r>
            <w:r/>
          </w:p>
        </w:tc>
      </w:tr>
      <w:tr>
        <w:trPr>
          <w:jc w:val="center"/>
        </w:trPr>
        <w:tc>
          <w:tcPr>
            <w:tcW w:w="1926" w:type="dxa"/>
            <w:vAlign w:val="center"/>
            <w:textDirection w:val="lrTb"/>
            <w:noWrap w:val="false"/>
          </w:tcPr>
          <w:p>
            <w:pPr>
              <w:spacing w:line="360" w:lineRule="auto"/>
              <w:rPr>
                <w:rFonts w:ascii="宋体" w:hAnsi="宋体"/>
                <w:highlight w:val="none"/>
              </w:rPr>
            </w:pPr>
            <w:r>
              <w:rPr>
                <w:rFonts w:hint="eastAsia" w:ascii="宋体" w:hAnsi="宋体"/>
                <w:highlight w:val="none"/>
              </w:rPr>
              <w:t xml:space="preserve">▲功能要求</w:t>
            </w:r>
            <w:r/>
          </w:p>
        </w:tc>
        <w:tc>
          <w:tcPr>
            <w:tcW w:w="7202" w:type="dxa"/>
            <w:vAlign w:val="center"/>
            <w:textDirection w:val="lrTb"/>
            <w:noWrap w:val="false"/>
          </w:tcPr>
          <w:p>
            <w:pPr>
              <w:spacing w:line="360" w:lineRule="auto"/>
              <w:rPr>
                <w:rFonts w:ascii="宋体" w:hAnsi="宋体"/>
                <w:highlight w:val="none"/>
              </w:rPr>
            </w:pPr>
            <w:r>
              <w:rPr>
                <w:rFonts w:hint="eastAsia" w:ascii="宋体" w:hAnsi="宋体"/>
                <w:highlight w:val="none"/>
              </w:rPr>
              <w:t xml:space="preserve">支持BGP动态路由协议，支持BFD（双向转发检测）与BGP联动，实现毫秒级路由收敛；</w:t>
            </w:r>
            <w:r/>
          </w:p>
          <w:p>
            <w:pPr>
              <w:spacing w:line="360" w:lineRule="auto"/>
              <w:rPr>
                <w:rFonts w:ascii="宋体" w:hAnsi="宋体"/>
                <w:highlight w:val="none"/>
              </w:rPr>
            </w:pPr>
            <w:r>
              <w:rPr>
                <w:rFonts w:hint="eastAsia" w:ascii="宋体" w:hAnsi="宋体"/>
                <w:highlight w:val="none"/>
              </w:rPr>
              <w:t xml:space="preserve">支持路由前缀过滤、路由策略控制及路由协议MD5等安全功能；</w:t>
            </w:r>
            <w:r/>
          </w:p>
          <w:p>
            <w:pPr>
              <w:spacing w:line="360" w:lineRule="auto"/>
              <w:rPr>
                <w:rFonts w:ascii="宋体" w:hAnsi="宋体"/>
                <w:highlight w:val="none"/>
              </w:rPr>
            </w:pPr>
            <w:r>
              <w:rPr>
                <w:rFonts w:hint="eastAsia" w:ascii="宋体" w:hAnsi="宋体"/>
                <w:highlight w:val="none"/>
              </w:rPr>
              <w:t xml:space="preserve">支持双机热备或等价多路径（ECMP）等高可用技术；</w:t>
            </w:r>
            <w:r/>
          </w:p>
          <w:p>
            <w:pPr>
              <w:spacing w:line="360" w:lineRule="auto"/>
              <w:rPr>
                <w:rFonts w:ascii="宋体" w:hAnsi="宋体"/>
                <w:highlight w:val="none"/>
              </w:rPr>
            </w:pPr>
            <w:r>
              <w:rPr>
                <w:rFonts w:hint="eastAsia" w:ascii="宋体" w:hAnsi="宋体"/>
                <w:highlight w:val="none"/>
              </w:rPr>
              <w:t xml:space="preserve">设备支持NP 架构，支持分布式转发，所有线卡均有业务处理和转发能力，能够实现分布式MPLS VPN 处理，每块线卡能够本地化处理MPLS VPN 业务；</w:t>
            </w:r>
            <w:r/>
          </w:p>
          <w:p>
            <w:pPr>
              <w:spacing w:line="360" w:lineRule="auto"/>
              <w:rPr>
                <w:rFonts w:ascii="宋体" w:hAnsi="宋体"/>
                <w:highlight w:val="none"/>
              </w:rPr>
            </w:pPr>
            <w:r>
              <w:rPr>
                <w:rFonts w:hint="eastAsia" w:ascii="宋体" w:hAnsi="宋体"/>
                <w:highlight w:val="none"/>
              </w:rPr>
              <w:t xml:space="preserve">支持多路径负载分担功能（ECMP），支持非等速链路的负载分担（UCMP），实现不同路径按带宽比例负载分担；</w:t>
            </w:r>
            <w:r/>
          </w:p>
          <w:p>
            <w:pPr>
              <w:spacing w:line="360" w:lineRule="auto"/>
              <w:rPr>
                <w:rFonts w:ascii="宋体" w:hAnsi="宋体"/>
                <w:highlight w:val="none"/>
              </w:rPr>
            </w:pPr>
            <w:r>
              <w:rPr>
                <w:rFonts w:hint="eastAsia" w:ascii="宋体" w:hAnsi="宋体"/>
                <w:highlight w:val="none"/>
              </w:rPr>
              <w:t xml:space="preserve">支持根据不同的网络服务要求如时延、带宽、安全性和可靠性等来划分切片网络，以灵活的应对不同的网络应用场景；</w:t>
            </w:r>
            <w:r/>
          </w:p>
          <w:p>
            <w:pPr>
              <w:spacing w:line="360" w:lineRule="auto"/>
              <w:rPr>
                <w:rFonts w:ascii="宋体" w:hAnsi="宋体"/>
                <w:highlight w:val="none"/>
              </w:rPr>
            </w:pPr>
            <w:r>
              <w:rPr>
                <w:rFonts w:hint="eastAsia" w:ascii="宋体" w:hAnsi="宋体"/>
                <w:highlight w:val="none"/>
              </w:rPr>
              <w:t xml:space="preserve">满足IPv6技术演进需求，所投机框具备IPv6+能力。</w:t>
            </w:r>
            <w:r/>
          </w:p>
          <w:p>
            <w:pPr>
              <w:spacing w:line="360" w:lineRule="auto"/>
              <w:rPr>
                <w:rFonts w:hint="eastAsia" w:ascii="宋体" w:hAnsi="宋体"/>
                <w:highlight w:val="none"/>
              </w:rPr>
            </w:pPr>
            <w:r>
              <w:rPr>
                <w:rFonts w:hint="eastAsia" w:ascii="宋体" w:hAnsi="宋体"/>
                <w:highlight w:val="none"/>
              </w:rPr>
              <w:t xml:space="preserve">以上</w:t>
            </w:r>
            <w:r>
              <w:rPr>
                <w:highlight w:val="none"/>
              </w:rPr>
              <w:t xml:space="preserve">需投标人提供书面承诺函并加盖电子签章。</w:t>
            </w:r>
            <w:r/>
          </w:p>
        </w:tc>
      </w:tr>
    </w:tbl>
    <w:p>
      <w:pPr>
        <w:pStyle w:val="1056"/>
        <w:rPr>
          <w:rFonts w:ascii="Times New Roman" w:hAnsi="Times New Roman" w:eastAsia="宋体"/>
          <w:sz w:val="24"/>
          <w:szCs w:val="24"/>
          <w:highlight w:val="none"/>
        </w:rPr>
      </w:pPr>
      <w:r>
        <w:rPr>
          <w:rFonts w:ascii="Times New Roman" w:hAnsi="Times New Roman" w:eastAsia="宋体"/>
          <w:sz w:val="24"/>
          <w:szCs w:val="24"/>
          <w:highlight w:val="none"/>
        </w:rPr>
        <w:t xml:space="preserve">2.3  </w:t>
      </w:r>
      <w:r>
        <w:rPr>
          <w:rFonts w:hint="eastAsia" w:ascii="Times New Roman" w:hAnsi="Times New Roman" w:eastAsia="宋体"/>
          <w:sz w:val="24"/>
          <w:szCs w:val="24"/>
          <w:highlight w:val="none"/>
        </w:rPr>
        <w:t xml:space="preserve">省级防火墙参数要求</w:t>
      </w:r>
      <w:r/>
    </w:p>
    <w:tbl>
      <w:tblPr>
        <w:tblStyle w:val="772"/>
        <w:tblW w:w="91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9"/>
        <w:gridCol w:w="7649"/>
      </w:tblGrid>
      <w:tr>
        <w:trPr>
          <w:jc w:val="center"/>
        </w:trPr>
        <w:tc>
          <w:tcPr>
            <w:tcW w:w="1479" w:type="dxa"/>
            <w:vAlign w:val="center"/>
            <w:textDirection w:val="lrTb"/>
            <w:noWrap w:val="false"/>
          </w:tcPr>
          <w:p>
            <w:pPr>
              <w:spacing w:line="360" w:lineRule="auto"/>
              <w:rPr>
                <w:rFonts w:ascii="宋体" w:hAnsi="宋体"/>
                <w:highlight w:val="none"/>
              </w:rPr>
            </w:pPr>
            <w:r>
              <w:rPr>
                <w:rFonts w:hint="eastAsia" w:ascii="宋体" w:hAnsi="宋体"/>
                <w:highlight w:val="none"/>
              </w:rPr>
              <w:t xml:space="preserve">产品需求</w:t>
            </w:r>
            <w:r/>
          </w:p>
        </w:tc>
        <w:tc>
          <w:tcPr>
            <w:tcW w:w="7649" w:type="dxa"/>
            <w:vAlign w:val="center"/>
            <w:textDirection w:val="lrTb"/>
            <w:noWrap w:val="false"/>
          </w:tcPr>
          <w:p>
            <w:pPr>
              <w:spacing w:line="360" w:lineRule="auto"/>
              <w:rPr>
                <w:rFonts w:ascii="宋体" w:hAnsi="宋体"/>
                <w:highlight w:val="none"/>
              </w:rPr>
            </w:pPr>
            <w:r>
              <w:rPr>
                <w:rFonts w:hint="eastAsia" w:ascii="宋体" w:hAnsi="宋体"/>
                <w:highlight w:val="none"/>
              </w:rPr>
              <w:t xml:space="preserve">参数要求</w:t>
            </w:r>
            <w:r/>
          </w:p>
        </w:tc>
      </w:tr>
      <w:tr>
        <w:trPr>
          <w:jc w:val="center"/>
        </w:trPr>
        <w:tc>
          <w:tcPr>
            <w:tcW w:w="1479" w:type="dxa"/>
            <w:vAlign w:val="center"/>
            <w:textDirection w:val="lrTb"/>
            <w:noWrap w:val="false"/>
          </w:tcPr>
          <w:p>
            <w:pPr>
              <w:spacing w:line="360" w:lineRule="auto"/>
              <w:rPr>
                <w:rFonts w:ascii="宋体" w:hAnsi="宋体"/>
                <w:highlight w:val="none"/>
              </w:rPr>
            </w:pPr>
            <w:r>
              <w:rPr>
                <w:rFonts w:hint="eastAsia" w:ascii="宋体" w:hAnsi="宋体"/>
                <w:highlight w:val="none"/>
              </w:rPr>
              <w:t xml:space="preserve">▲硬件规格</w:t>
            </w:r>
            <w:r/>
          </w:p>
        </w:tc>
        <w:tc>
          <w:tcPr>
            <w:tcW w:w="7649" w:type="dxa"/>
            <w:vAlign w:val="center"/>
            <w:textDirection w:val="lrTb"/>
            <w:noWrap w:val="false"/>
          </w:tcPr>
          <w:p>
            <w:pPr>
              <w:spacing w:line="360" w:lineRule="auto"/>
              <w:rPr>
                <w:rFonts w:ascii="宋体" w:hAnsi="宋体"/>
                <w:highlight w:val="none"/>
              </w:rPr>
            </w:pPr>
            <w:r>
              <w:rPr>
                <w:rFonts w:hint="eastAsia" w:ascii="宋体" w:hAnsi="宋体"/>
                <w:highlight w:val="none"/>
              </w:rPr>
              <w:t xml:space="preserve">采用国产CPU，CPU须通过中国信息安全测评中心组织的安全可靠测评，提供相关认证截图或其它证明材料加盖投标</w:t>
            </w:r>
            <w:r>
              <w:rPr>
                <w:rFonts w:ascii="宋体" w:hAnsi="宋体"/>
                <w:highlight w:val="none"/>
              </w:rPr>
              <w:t xml:space="preserve">人电子签章</w:t>
            </w:r>
            <w:r>
              <w:rPr>
                <w:rFonts w:hint="eastAsia" w:ascii="宋体" w:hAnsi="宋体"/>
                <w:highlight w:val="none"/>
              </w:rPr>
              <w:t xml:space="preserve">。</w:t>
            </w:r>
            <w:r/>
          </w:p>
          <w:p>
            <w:pPr>
              <w:spacing w:line="360" w:lineRule="auto"/>
              <w:rPr>
                <w:rFonts w:ascii="宋体" w:hAnsi="宋体"/>
                <w:highlight w:val="none"/>
              </w:rPr>
            </w:pPr>
            <w:r>
              <w:rPr>
                <w:rFonts w:hint="eastAsia" w:ascii="宋体" w:hAnsi="宋体"/>
                <w:highlight w:val="none"/>
              </w:rPr>
              <w:t xml:space="preserve">整机配置：关键组件(电源、风扇)支持冗余备份及热插拔，避免单点硬件故障导致设备宕机；</w:t>
            </w:r>
            <w:r/>
          </w:p>
          <w:p>
            <w:pPr>
              <w:spacing w:line="360" w:lineRule="auto"/>
              <w:rPr>
                <w:rFonts w:ascii="宋体" w:hAnsi="宋体"/>
                <w:highlight w:val="none"/>
              </w:rPr>
            </w:pPr>
            <w:r>
              <w:rPr>
                <w:rFonts w:hint="eastAsia" w:ascii="宋体" w:hAnsi="宋体"/>
                <w:highlight w:val="none"/>
              </w:rPr>
              <w:t xml:space="preserve">接口：具备端口冗余，100G光口≥6个，25G或40G光口≥8个，10G光口≥16个；</w:t>
            </w:r>
            <w:r/>
          </w:p>
          <w:p>
            <w:pPr>
              <w:spacing w:line="360" w:lineRule="auto"/>
              <w:rPr>
                <w:rFonts w:ascii="宋体" w:hAnsi="宋体"/>
                <w:highlight w:val="none"/>
              </w:rPr>
            </w:pPr>
            <w:r>
              <w:rPr>
                <w:rFonts w:hint="eastAsia" w:ascii="宋体" w:hAnsi="宋体"/>
                <w:highlight w:val="none"/>
              </w:rPr>
              <w:t xml:space="preserve">存储：≥1T SSD；</w:t>
            </w:r>
            <w:r/>
          </w:p>
          <w:p>
            <w:pPr>
              <w:spacing w:line="360" w:lineRule="auto"/>
              <w:rPr>
                <w:rFonts w:ascii="宋体" w:hAnsi="宋体"/>
                <w:highlight w:val="none"/>
              </w:rPr>
            </w:pPr>
            <w:r>
              <w:rPr>
                <w:rFonts w:hint="eastAsia" w:ascii="宋体" w:hAnsi="宋体"/>
                <w:highlight w:val="none"/>
              </w:rPr>
              <w:t xml:space="preserve">授权：≥3年入侵防御、AV防病毒、URL特征库、应用识别特征库升级授权。</w:t>
            </w:r>
            <w:r/>
          </w:p>
        </w:tc>
      </w:tr>
      <w:tr>
        <w:trPr>
          <w:jc w:val="center"/>
        </w:trPr>
        <w:tc>
          <w:tcPr>
            <w:tcW w:w="1479" w:type="dxa"/>
            <w:vAlign w:val="center"/>
            <w:textDirection w:val="lrTb"/>
            <w:noWrap w:val="false"/>
          </w:tcPr>
          <w:p>
            <w:pPr>
              <w:spacing w:line="360" w:lineRule="auto"/>
              <w:rPr>
                <w:rFonts w:ascii="宋体" w:hAnsi="宋体"/>
                <w:highlight w:val="none"/>
              </w:rPr>
            </w:pPr>
            <w:r>
              <w:rPr>
                <w:rFonts w:hint="eastAsia" w:ascii="宋体" w:hAnsi="宋体"/>
                <w:highlight w:val="none"/>
              </w:rPr>
              <w:t xml:space="preserve">性能要求</w:t>
            </w:r>
            <w:r/>
          </w:p>
        </w:tc>
        <w:tc>
          <w:tcPr>
            <w:tcW w:w="7649" w:type="dxa"/>
            <w:vAlign w:val="center"/>
            <w:textDirection w:val="lrTb"/>
            <w:noWrap w:val="false"/>
          </w:tcPr>
          <w:p>
            <w:pPr>
              <w:spacing w:line="360" w:lineRule="auto"/>
              <w:rPr>
                <w:rFonts w:ascii="宋体" w:hAnsi="宋体"/>
                <w:highlight w:val="none"/>
              </w:rPr>
            </w:pPr>
            <w:r>
              <w:rPr>
                <w:rFonts w:hint="eastAsia" w:ascii="宋体" w:hAnsi="宋体"/>
                <w:highlight w:val="none"/>
              </w:rPr>
              <w:t xml:space="preserve">▲设备吞吐量应不低于链路带宽，避免成为网络性能瓶颈；整机大包吞吐量≥200Gbps，最大并发连接数≥6500万；每秒新建连接数≥100万；设备性能和吞吐量应满足当前及未来三年业务增长需求；</w:t>
            </w:r>
            <w:r/>
          </w:p>
          <w:p>
            <w:pPr>
              <w:spacing w:line="360" w:lineRule="auto"/>
              <w:rPr>
                <w:rFonts w:ascii="宋体" w:hAnsi="宋体"/>
                <w:b/>
                <w:bCs/>
                <w:i/>
                <w:iCs/>
                <w:highlight w:val="none"/>
                <w:u w:val="single"/>
              </w:rPr>
            </w:pPr>
            <w:r>
              <w:rPr>
                <w:rFonts w:hint="eastAsia" w:ascii="宋体" w:hAnsi="宋体"/>
                <w:b/>
                <w:bCs/>
                <w:i/>
                <w:iCs/>
                <w:highlight w:val="none"/>
                <w:u w:val="single"/>
              </w:rPr>
              <w:t xml:space="preserve">因性能数据为</w:t>
            </w:r>
            <w:r>
              <w:rPr>
                <w:rFonts w:ascii="宋体" w:hAnsi="宋体"/>
                <w:b/>
                <w:bCs/>
                <w:i/>
                <w:iCs/>
                <w:highlight w:val="none"/>
                <w:u w:val="single"/>
              </w:rPr>
              <w:t xml:space="preserve">实验室数据，如果</w:t>
            </w:r>
            <w:r>
              <w:rPr>
                <w:rFonts w:hint="eastAsia" w:ascii="宋体" w:hAnsi="宋体"/>
                <w:b/>
                <w:bCs/>
                <w:i/>
                <w:iCs/>
                <w:highlight w:val="none"/>
                <w:u w:val="single"/>
              </w:rPr>
              <w:t xml:space="preserve">省法院在实际使用时发现有丢包现象，</w:t>
            </w:r>
            <w:r>
              <w:rPr>
                <w:rFonts w:ascii="宋体" w:hAnsi="宋体"/>
                <w:b/>
                <w:bCs/>
                <w:i/>
                <w:iCs/>
                <w:highlight w:val="none"/>
                <w:u w:val="single"/>
              </w:rPr>
              <w:t xml:space="preserve">应承诺</w:t>
            </w:r>
            <w:r>
              <w:rPr>
                <w:rFonts w:hint="eastAsia" w:ascii="宋体" w:hAnsi="宋体"/>
                <w:b/>
                <w:bCs/>
                <w:i/>
                <w:iCs/>
                <w:highlight w:val="none"/>
                <w:u w:val="single"/>
              </w:rPr>
              <w:t xml:space="preserve">立即免费更换或升级设备以满足需求</w:t>
            </w:r>
            <w:r>
              <w:rPr>
                <w:rFonts w:ascii="宋体" w:hAnsi="宋体"/>
                <w:b/>
                <w:bCs/>
                <w:i/>
                <w:iCs/>
                <w:highlight w:val="none"/>
                <w:u w:val="single"/>
              </w:rPr>
              <w:t xml:space="preserve">。</w:t>
            </w:r>
            <w:r/>
          </w:p>
        </w:tc>
      </w:tr>
      <w:tr>
        <w:trPr>
          <w:jc w:val="center"/>
        </w:trPr>
        <w:tc>
          <w:tcPr>
            <w:tcW w:w="1479" w:type="dxa"/>
            <w:vAlign w:val="center"/>
            <w:textDirection w:val="lrTb"/>
            <w:noWrap w:val="false"/>
          </w:tcPr>
          <w:p>
            <w:pPr>
              <w:spacing w:line="360" w:lineRule="auto"/>
              <w:rPr>
                <w:rFonts w:ascii="宋体" w:hAnsi="宋体"/>
                <w:highlight w:val="none"/>
              </w:rPr>
            </w:pPr>
            <w:r>
              <w:rPr>
                <w:rFonts w:hint="eastAsia" w:ascii="宋体" w:hAnsi="宋体"/>
                <w:highlight w:val="none"/>
              </w:rPr>
              <w:t xml:space="preserve">▲功能要求</w:t>
            </w:r>
            <w:r/>
          </w:p>
        </w:tc>
        <w:tc>
          <w:tcPr>
            <w:tcW w:w="7649" w:type="dxa"/>
            <w:vAlign w:val="center"/>
            <w:textDirection w:val="lrTb"/>
            <w:noWrap w:val="false"/>
          </w:tcPr>
          <w:p>
            <w:pPr>
              <w:spacing w:line="360" w:lineRule="auto"/>
              <w:rPr>
                <w:rFonts w:ascii="宋体" w:hAnsi="宋体"/>
                <w:highlight w:val="none"/>
              </w:rPr>
            </w:pPr>
            <w:r>
              <w:rPr>
                <w:rFonts w:hint="eastAsia" w:ascii="宋体" w:hAnsi="宋体"/>
                <w:highlight w:val="none"/>
              </w:rPr>
              <w:t xml:space="preserve">提供HA集群部署，开启会话状态同步功能，具备亚秒级（&lt;=1s）故障切换能力，确保业务链接不中断；</w:t>
            </w:r>
            <w:r/>
          </w:p>
          <w:p>
            <w:pPr>
              <w:spacing w:line="360" w:lineRule="auto"/>
              <w:rPr>
                <w:rFonts w:ascii="宋体" w:hAnsi="宋体"/>
                <w:highlight w:val="none"/>
              </w:rPr>
            </w:pPr>
            <w:r>
              <w:rPr>
                <w:rFonts w:hint="eastAsia" w:ascii="宋体" w:hAnsi="宋体"/>
                <w:highlight w:val="none"/>
              </w:rPr>
              <w:t xml:space="preserve">各防火墙设备之间通过独立心跳链路实现会话表与配置状态的实时同步；</w:t>
            </w:r>
            <w:r/>
          </w:p>
          <w:p>
            <w:pPr>
              <w:spacing w:line="360" w:lineRule="auto"/>
              <w:rPr>
                <w:rFonts w:ascii="宋体" w:hAnsi="宋体"/>
                <w:highlight w:val="none"/>
              </w:rPr>
            </w:pPr>
            <w:r>
              <w:rPr>
                <w:rFonts w:hint="eastAsia" w:ascii="宋体" w:hAnsi="宋体"/>
                <w:highlight w:val="none"/>
              </w:rPr>
              <w:t xml:space="preserve">防火墙采用旁挂式部署，结合策略路由引流方式，实现入站和出站双向安全检测；</w:t>
            </w:r>
            <w:r/>
          </w:p>
          <w:p>
            <w:pPr>
              <w:spacing w:line="360" w:lineRule="auto"/>
              <w:rPr>
                <w:rFonts w:ascii="宋体" w:hAnsi="宋体"/>
                <w:highlight w:val="none"/>
              </w:rPr>
            </w:pPr>
            <w:r>
              <w:rPr>
                <w:rFonts w:hint="eastAsia" w:ascii="宋体" w:hAnsi="宋体"/>
                <w:highlight w:val="none"/>
              </w:rPr>
              <w:t xml:space="preserve">具备</w:t>
            </w:r>
            <w:r>
              <w:rPr>
                <w:rFonts w:ascii="宋体" w:hAnsi="宋体"/>
                <w:highlight w:val="none"/>
              </w:rPr>
              <w:t xml:space="preserve">高可靠性，支持双机热备主备模式</w:t>
            </w:r>
            <w:r>
              <w:rPr>
                <w:rFonts w:hint="eastAsia" w:ascii="宋体" w:hAnsi="宋体"/>
                <w:highlight w:val="none"/>
              </w:rPr>
              <w:t xml:space="preserve">；提供策略路由引流，实现全流量安全检测；</w:t>
            </w:r>
            <w:r/>
          </w:p>
          <w:p>
            <w:pPr>
              <w:spacing w:line="360" w:lineRule="auto"/>
              <w:rPr>
                <w:rFonts w:ascii="宋体" w:hAnsi="宋体"/>
                <w:highlight w:val="none"/>
              </w:rPr>
            </w:pPr>
            <w:r>
              <w:rPr>
                <w:rFonts w:hint="eastAsia" w:ascii="宋体" w:hAnsi="宋体"/>
                <w:highlight w:val="none"/>
              </w:rPr>
              <w:t xml:space="preserve">支持IPSec VPN、L2TP VPN、GRE VPN、SSL VPN，配置SSL VPN并发用户10个；</w:t>
            </w:r>
            <w:r/>
          </w:p>
          <w:p>
            <w:pPr>
              <w:spacing w:line="360" w:lineRule="auto"/>
              <w:rPr>
                <w:rFonts w:ascii="宋体" w:hAnsi="宋体"/>
                <w:highlight w:val="none"/>
              </w:rPr>
            </w:pPr>
            <w:r>
              <w:rPr>
                <w:rFonts w:hint="eastAsia" w:ascii="宋体" w:hAnsi="宋体"/>
                <w:highlight w:val="none"/>
              </w:rPr>
              <w:t xml:space="preserve">支持深入到应用层的防护，具备应用层安全检测、入侵防御、恶意代码防护等安全功能，内嵌丰富的应用层过滤与控制引擎，可支持IPS、防病毒、流控等功能，支持可升级的专业特征库；在开启上述所有安全功能的状态下，应用层吞吐量仍能满足业务带宽需求；</w:t>
            </w:r>
            <w:r/>
          </w:p>
          <w:p>
            <w:pPr>
              <w:spacing w:line="360" w:lineRule="auto"/>
              <w:rPr>
                <w:rFonts w:ascii="宋体" w:hAnsi="宋体"/>
                <w:highlight w:val="none"/>
              </w:rPr>
            </w:pPr>
            <w:r>
              <w:rPr>
                <w:rFonts w:hint="eastAsia" w:ascii="宋体" w:hAnsi="宋体"/>
                <w:highlight w:val="none"/>
              </w:rPr>
              <w:t xml:space="preserve">支持一对一、地址池等NAT方式；支持多种应用协议，如FTP、H.323、RTSP、SIP、DNS、PPTP的NAT ALG功能；</w:t>
            </w:r>
            <w:r/>
          </w:p>
          <w:p>
            <w:pPr>
              <w:spacing w:line="360" w:lineRule="auto"/>
              <w:rPr>
                <w:rFonts w:ascii="宋体" w:hAnsi="宋体"/>
                <w:highlight w:val="none"/>
              </w:rPr>
            </w:pPr>
            <w:r>
              <w:rPr>
                <w:rFonts w:hint="eastAsia" w:ascii="宋体" w:hAnsi="宋体"/>
                <w:highlight w:val="none"/>
              </w:rPr>
              <w:t xml:space="preserve">支持通过命令查询数据流在设备上的处理流程，包含但不限于入接口以及入接口状态、会话创建或匹配结果、NAT匹配结果、路由查询结果(包含出接口、下一跳、下一跳 MAC地址)、安全策略匹配结果、出接口以及出接口状态、这个报文在设备中最终的处理结果等信息；</w:t>
            </w:r>
            <w:r/>
          </w:p>
          <w:p>
            <w:pPr>
              <w:spacing w:line="360" w:lineRule="auto"/>
              <w:rPr>
                <w:rFonts w:ascii="宋体" w:hAnsi="宋体"/>
                <w:highlight w:val="none"/>
              </w:rPr>
            </w:pPr>
            <w:r>
              <w:rPr>
                <w:rFonts w:hint="eastAsia" w:ascii="宋体" w:hAnsi="宋体"/>
                <w:highlight w:val="none"/>
              </w:rPr>
              <w:t xml:space="preserve">具备策略冗余分析功能，支持策略冗余检测，并且设备可以给出哪些信息是冗余的；</w:t>
            </w:r>
            <w:r/>
          </w:p>
          <w:p>
            <w:pPr>
              <w:spacing w:line="360" w:lineRule="auto"/>
              <w:rPr>
                <w:rFonts w:ascii="宋体" w:hAnsi="宋体"/>
                <w:highlight w:val="none"/>
              </w:rPr>
            </w:pPr>
            <w:r>
              <w:rPr>
                <w:rFonts w:hint="eastAsia" w:ascii="宋体" w:hAnsi="宋体"/>
                <w:highlight w:val="none"/>
              </w:rPr>
              <w:t xml:space="preserve">产品具备IPv6 Enable Security Logo或IPv6 Ready Logo 认证证书，具备中国信息安全测评中心颁发的EAL4+测评证书</w:t>
            </w:r>
            <w:r>
              <w:rPr>
                <w:rFonts w:ascii="宋体" w:hAnsi="宋体"/>
                <w:highlight w:val="none"/>
              </w:rPr>
              <w:t xml:space="preserve">或中国网络安全审查认证和市场监管大数据中心颁发的评估保障级</w:t>
            </w:r>
            <w:r>
              <w:rPr>
                <w:rFonts w:hint="eastAsia" w:ascii="宋体" w:hAnsi="宋体"/>
                <w:highlight w:val="none"/>
              </w:rPr>
              <w:t xml:space="preserve">（</w:t>
            </w:r>
            <w:r>
              <w:rPr>
                <w:rFonts w:ascii="宋体" w:hAnsi="宋体"/>
                <w:highlight w:val="none"/>
              </w:rPr>
              <w:t xml:space="preserve">EAL4增强级</w:t>
            </w:r>
            <w:r>
              <w:rPr>
                <w:rFonts w:hint="eastAsia" w:ascii="宋体" w:hAnsi="宋体"/>
                <w:highlight w:val="none"/>
              </w:rPr>
              <w:t xml:space="preserve">）。</w:t>
            </w:r>
            <w:r/>
          </w:p>
          <w:p>
            <w:pPr>
              <w:spacing w:line="360" w:lineRule="auto"/>
              <w:rPr>
                <w:rFonts w:hint="eastAsia" w:ascii="宋体" w:hAnsi="宋体"/>
                <w:highlight w:val="none"/>
              </w:rPr>
            </w:pPr>
            <w:r>
              <w:rPr>
                <w:rFonts w:hint="eastAsia" w:ascii="宋体" w:hAnsi="宋体"/>
                <w:highlight w:val="none"/>
              </w:rPr>
              <w:t xml:space="preserve">以上</w:t>
            </w:r>
            <w:r>
              <w:rPr>
                <w:highlight w:val="none"/>
              </w:rPr>
              <w:t xml:space="preserve">需投标人提供书面承诺函并加盖电子签章。</w:t>
            </w:r>
            <w:r/>
          </w:p>
        </w:tc>
      </w:tr>
    </w:tbl>
    <w:p>
      <w:pPr>
        <w:rPr>
          <w:highlight w:val="none"/>
        </w:rPr>
      </w:pPr>
      <w:r>
        <w:rPr>
          <w:highlight w:val="none"/>
        </w:rPr>
      </w:r>
      <w:r/>
    </w:p>
    <w:p>
      <w:pPr>
        <w:pStyle w:val="1056"/>
        <w:rPr>
          <w:rFonts w:ascii="Times New Roman" w:hAnsi="Times New Roman" w:eastAsia="宋体"/>
          <w:sz w:val="24"/>
          <w:szCs w:val="24"/>
          <w:highlight w:val="none"/>
        </w:rPr>
      </w:pPr>
      <w:r>
        <w:rPr>
          <w:rFonts w:ascii="Times New Roman" w:hAnsi="Times New Roman" w:eastAsia="宋体"/>
          <w:sz w:val="24"/>
          <w:szCs w:val="24"/>
          <w:highlight w:val="none"/>
        </w:rPr>
        <w:t xml:space="preserve">2.4  </w:t>
      </w:r>
      <w:r>
        <w:rPr>
          <w:rFonts w:hint="eastAsia" w:ascii="Times New Roman" w:hAnsi="Times New Roman" w:eastAsia="宋体"/>
          <w:sz w:val="24"/>
          <w:szCs w:val="24"/>
          <w:highlight w:val="none"/>
        </w:rPr>
        <w:t xml:space="preserve">DNS域名解析系统参数要求</w:t>
      </w:r>
      <w:r/>
    </w:p>
    <w:tbl>
      <w:tblPr>
        <w:tblStyle w:val="772"/>
        <w:tblW w:w="50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80" w:type="dxa"/>
          <w:top w:w="80" w:type="dxa"/>
          <w:right w:w="80" w:type="dxa"/>
          <w:bottom w:w="80" w:type="dxa"/>
        </w:tblCellMar>
        <w:tblLook w:val="04A0" w:firstRow="1" w:lastRow="0" w:firstColumn="1" w:lastColumn="0" w:noHBand="0" w:noVBand="1"/>
      </w:tblPr>
      <w:tblGrid>
        <w:gridCol w:w="1439"/>
        <w:gridCol w:w="7800"/>
      </w:tblGrid>
      <w:tr>
        <w:trPr>
          <w:jc w:val="center"/>
          <w:trHeight w:val="273"/>
        </w:trPr>
        <w:tc>
          <w:tcPr>
            <w:tcMar>
              <w:left w:w="80" w:type="dxa"/>
              <w:top w:w="80" w:type="dxa"/>
              <w:right w:w="80" w:type="dxa"/>
              <w:bottom w:w="80" w:type="dxa"/>
            </w:tcMar>
            <w:tcW w:w="779" w:type="dxa"/>
            <w:vAlign w:val="center"/>
            <w:textDirection w:val="lrTb"/>
            <w:noWrap w:val="false"/>
          </w:tcPr>
          <w:p>
            <w:pPr>
              <w:contextualSpacing/>
              <w:spacing w:line="360" w:lineRule="auto"/>
              <w:rPr>
                <w:rFonts w:ascii="宋体" w:hAnsi="宋体" w:cs="等线"/>
                <w:b/>
                <w:bCs/>
                <w:color w:val="000000"/>
                <w:highlight w:val="none"/>
              </w:rPr>
            </w:pPr>
            <w:r>
              <w:rPr>
                <w:rFonts w:hint="eastAsia" w:ascii="宋体" w:hAnsi="宋体"/>
                <w:highlight w:val="none"/>
              </w:rPr>
              <w:t xml:space="preserve">产品需求</w:t>
            </w:r>
            <w:r/>
          </w:p>
        </w:tc>
        <w:tc>
          <w:tcPr>
            <w:tcMar>
              <w:left w:w="80" w:type="dxa"/>
              <w:top w:w="80" w:type="dxa"/>
              <w:right w:w="80" w:type="dxa"/>
              <w:bottom w:w="80" w:type="dxa"/>
            </w:tcMar>
            <w:tcW w:w="4221" w:type="dxa"/>
            <w:vAlign w:val="center"/>
            <w:textDirection w:val="lrTb"/>
            <w:noWrap w:val="false"/>
          </w:tcPr>
          <w:p>
            <w:pPr>
              <w:contextualSpacing/>
              <w:spacing w:line="360" w:lineRule="auto"/>
              <w:rPr>
                <w:rFonts w:ascii="宋体" w:hAnsi="宋体" w:cs="等线"/>
                <w:b/>
                <w:bCs/>
                <w:color w:val="000000"/>
                <w:highlight w:val="none"/>
              </w:rPr>
            </w:pPr>
            <w:r>
              <w:rPr>
                <w:rFonts w:hint="eastAsia" w:ascii="宋体" w:hAnsi="宋体"/>
                <w:highlight w:val="none"/>
              </w:rPr>
              <w:t xml:space="preserve">参数要求</w:t>
            </w:r>
            <w:r/>
          </w:p>
        </w:tc>
      </w:tr>
      <w:tr>
        <w:trPr>
          <w:jc w:val="center"/>
          <w:trHeight w:val="448"/>
        </w:trPr>
        <w:tc>
          <w:tcPr>
            <w:tcW w:w="779" w:type="dxa"/>
            <w:vAlign w:val="center"/>
            <w:textDirection w:val="lrTb"/>
            <w:noWrap w:val="false"/>
          </w:tcPr>
          <w:p>
            <w:pPr>
              <w:contextualSpacing/>
              <w:spacing w:line="360" w:lineRule="auto"/>
              <w:rPr>
                <w:rFonts w:ascii="宋体" w:hAnsi="宋体" w:cs="宋体"/>
                <w:color w:val="000000"/>
                <w:highlight w:val="none"/>
              </w:rPr>
            </w:pPr>
            <w:r>
              <w:rPr>
                <w:rFonts w:hint="eastAsia" w:ascii="宋体" w:hAnsi="宋体"/>
                <w:highlight w:val="none"/>
              </w:rPr>
              <w:t xml:space="preserve">★</w:t>
            </w:r>
            <w:r>
              <w:rPr>
                <w:rFonts w:hint="eastAsia" w:ascii="宋体" w:hAnsi="宋体" w:cs="宋体"/>
                <w:color w:val="000000"/>
                <w:highlight w:val="none"/>
              </w:rPr>
              <w:t xml:space="preserve">硬件规格</w:t>
            </w:r>
            <w:r/>
          </w:p>
        </w:tc>
        <w:tc>
          <w:tcPr>
            <w:tcMar>
              <w:left w:w="80" w:type="dxa"/>
              <w:top w:w="80" w:type="dxa"/>
              <w:right w:w="80" w:type="dxa"/>
              <w:bottom w:w="80" w:type="dxa"/>
            </w:tcMar>
            <w:tcW w:w="4221" w:type="dxa"/>
            <w:vAlign w:val="center"/>
            <w:textDirection w:val="lrTb"/>
            <w:noWrap w:val="false"/>
          </w:tcPr>
          <w:p>
            <w:pPr>
              <w:contextualSpacing/>
              <w:jc w:val="left"/>
              <w:spacing w:line="360" w:lineRule="auto"/>
              <w:rPr>
                <w:rFonts w:ascii="宋体" w:hAnsi="宋体" w:cs="宋体"/>
                <w:highlight w:val="none"/>
              </w:rPr>
            </w:pPr>
            <w:r>
              <w:rPr>
                <w:rFonts w:hint="eastAsia" w:ascii="宋体" w:hAnsi="宋体" w:cs="宋体"/>
                <w:highlight w:val="none"/>
              </w:rPr>
              <w:t xml:space="preserve">专用一体化DNS设备，标准2U机架式。</w:t>
            </w:r>
            <w:r/>
          </w:p>
          <w:p>
            <w:pPr>
              <w:contextualSpacing/>
              <w:jc w:val="left"/>
              <w:spacing w:line="360" w:lineRule="auto"/>
              <w:rPr>
                <w:rFonts w:ascii="宋体" w:hAnsi="宋体" w:cs="宋体"/>
                <w:highlight w:val="none"/>
              </w:rPr>
            </w:pPr>
            <w:r>
              <w:rPr>
                <w:rFonts w:hint="eastAsia" w:ascii="宋体" w:hAnsi="宋体" w:cs="宋体"/>
                <w:highlight w:val="none"/>
              </w:rPr>
              <w:t xml:space="preserve">接口 ≥10个千兆电口，可扩展4口千兆光板卡x1、2口万兆光板卡x2；</w:t>
            </w:r>
            <w:r/>
          </w:p>
          <w:p>
            <w:pPr>
              <w:contextualSpacing/>
              <w:jc w:val="left"/>
              <w:spacing w:line="360" w:lineRule="auto"/>
              <w:rPr>
                <w:rFonts w:ascii="宋体" w:hAnsi="宋体" w:cs="宋体"/>
                <w:highlight w:val="none"/>
              </w:rPr>
            </w:pPr>
            <w:r>
              <w:rPr>
                <w:rFonts w:hint="eastAsia" w:ascii="宋体" w:hAnsi="宋体" w:cs="宋体"/>
                <w:highlight w:val="none"/>
              </w:rPr>
              <w:t xml:space="preserve">采用国产CPU（CPU须通过中国信息安全测评中心组织的安全可靠测评，提供相关认证截图</w:t>
            </w:r>
            <w:r>
              <w:rPr>
                <w:highlight w:val="none"/>
              </w:rPr>
              <w:t xml:space="preserve">加盖投标人电子签章</w:t>
            </w:r>
            <w:r>
              <w:rPr>
                <w:rFonts w:hint="eastAsia" w:ascii="宋体" w:hAnsi="宋体" w:cs="宋体"/>
                <w:highlight w:val="none"/>
              </w:rPr>
              <w:t xml:space="preserve">）</w:t>
            </w:r>
            <w:r/>
          </w:p>
          <w:p>
            <w:pPr>
              <w:contextualSpacing/>
              <w:jc w:val="left"/>
              <w:spacing w:line="360" w:lineRule="auto"/>
              <w:rPr>
                <w:rFonts w:ascii="宋体" w:hAnsi="宋体" w:cs="宋体"/>
                <w:highlight w:val="none"/>
              </w:rPr>
            </w:pPr>
            <w:r>
              <w:rPr>
                <w:rFonts w:hint="eastAsia" w:ascii="宋体" w:hAnsi="宋体" w:cs="宋体"/>
                <w:highlight w:val="none"/>
              </w:rPr>
              <w:t xml:space="preserve">硬盘容量≥2TB</w:t>
            </w:r>
            <w:r/>
          </w:p>
          <w:p>
            <w:pPr>
              <w:contextualSpacing/>
              <w:jc w:val="left"/>
              <w:spacing w:line="360" w:lineRule="auto"/>
              <w:rPr>
                <w:rFonts w:ascii="宋体" w:hAnsi="宋体" w:cs="宋体"/>
                <w:highlight w:val="none"/>
              </w:rPr>
            </w:pPr>
            <w:r>
              <w:rPr>
                <w:rFonts w:hint="eastAsia" w:ascii="宋体" w:hAnsi="宋体" w:cs="宋体"/>
                <w:highlight w:val="none"/>
              </w:rPr>
              <w:t xml:space="preserve">热插拔双冗余电源。</w:t>
            </w:r>
            <w:r/>
          </w:p>
        </w:tc>
      </w:tr>
      <w:tr>
        <w:trPr>
          <w:jc w:val="center"/>
          <w:trHeight w:val="448"/>
        </w:trPr>
        <w:tc>
          <w:tcPr>
            <w:tcW w:w="779" w:type="dxa"/>
            <w:vAlign w:val="center"/>
            <w:textDirection w:val="lrTb"/>
            <w:noWrap w:val="false"/>
          </w:tcPr>
          <w:p>
            <w:pPr>
              <w:contextualSpacing/>
              <w:spacing w:line="360" w:lineRule="auto"/>
              <w:rPr>
                <w:rFonts w:ascii="宋体" w:hAnsi="宋体" w:cs="宋体"/>
                <w:color w:val="000000"/>
                <w:highlight w:val="none"/>
              </w:rPr>
            </w:pPr>
            <w:r>
              <w:rPr>
                <w:rFonts w:hint="eastAsia" w:ascii="宋体" w:hAnsi="宋体"/>
                <w:highlight w:val="none"/>
              </w:rPr>
              <w:t xml:space="preserve">▲</w:t>
            </w:r>
            <w:r>
              <w:rPr>
                <w:rFonts w:hint="eastAsia" w:ascii="宋体" w:hAnsi="宋体" w:cs="宋体"/>
                <w:color w:val="000000"/>
                <w:highlight w:val="none"/>
              </w:rPr>
              <w:t xml:space="preserve">性能、部署、对接要求</w:t>
            </w:r>
            <w:r/>
          </w:p>
        </w:tc>
        <w:tc>
          <w:tcPr>
            <w:tcMar>
              <w:left w:w="80" w:type="dxa"/>
              <w:top w:w="80" w:type="dxa"/>
              <w:right w:w="80" w:type="dxa"/>
              <w:bottom w:w="80" w:type="dxa"/>
            </w:tcMar>
            <w:tcW w:w="4221" w:type="dxa"/>
            <w:vAlign w:val="center"/>
            <w:textDirection w:val="lrTb"/>
            <w:noWrap w:val="false"/>
          </w:tcPr>
          <w:p>
            <w:pPr>
              <w:contextualSpacing/>
              <w:jc w:val="left"/>
              <w:spacing w:line="360" w:lineRule="auto"/>
              <w:rPr>
                <w:rFonts w:ascii="宋体" w:hAnsi="宋体" w:cs="等线"/>
                <w:color w:val="000000"/>
                <w:highlight w:val="none"/>
              </w:rPr>
            </w:pPr>
            <w:r>
              <w:rPr>
                <w:rFonts w:hint="eastAsia" w:ascii="宋体" w:hAnsi="宋体" w:cs="宋体"/>
                <w:color w:val="000000"/>
                <w:highlight w:val="none"/>
              </w:rPr>
              <w:t xml:space="preserve">性能要求：</w:t>
            </w:r>
            <w:r>
              <w:rPr>
                <w:rFonts w:hint="eastAsia" w:ascii="宋体" w:hAnsi="宋体" w:cs="等线"/>
                <w:color w:val="000000"/>
                <w:highlight w:val="none"/>
              </w:rPr>
              <w:t xml:space="preserve">≥20</w:t>
            </w:r>
            <w:r>
              <w:rPr>
                <w:rFonts w:hint="eastAsia" w:ascii="宋体" w:hAnsi="宋体" w:cs="等线"/>
                <w:color w:val="000000"/>
                <w:highlight w:val="none"/>
                <w:lang w:val="zh-TW" w:eastAsia="zh-TW"/>
              </w:rPr>
              <w:t xml:space="preserve">万</w:t>
            </w:r>
            <w:r>
              <w:rPr>
                <w:rFonts w:hint="eastAsia" w:ascii="宋体" w:hAnsi="宋体" w:cs="等线"/>
                <w:color w:val="000000"/>
                <w:highlight w:val="none"/>
              </w:rPr>
              <w:t xml:space="preserve">QPS；</w:t>
            </w:r>
            <w:r/>
          </w:p>
          <w:p>
            <w:pPr>
              <w:contextualSpacing/>
              <w:spacing w:line="360" w:lineRule="auto"/>
              <w:rPr>
                <w:rFonts w:ascii="宋体" w:hAnsi="宋体" w:cs="等线"/>
                <w:color w:val="000000"/>
                <w:highlight w:val="none"/>
              </w:rPr>
            </w:pPr>
            <w:r>
              <w:rPr>
                <w:rFonts w:hint="eastAsia" w:ascii="宋体" w:hAnsi="宋体" w:cs="宋体"/>
                <w:color w:val="000000"/>
                <w:highlight w:val="none"/>
              </w:rPr>
              <w:t xml:space="preserve">部署要求：</w:t>
            </w:r>
            <w:r>
              <w:rPr>
                <w:rFonts w:hint="eastAsia" w:ascii="宋体" w:hAnsi="宋体" w:cs="等线"/>
                <w:color w:val="000000"/>
                <w:highlight w:val="none"/>
                <w:lang w:val="zh-TW"/>
              </w:rPr>
              <w:t xml:space="preserve">接入模式为核心交换机旁路接入，设备支持</w:t>
            </w:r>
            <w:r>
              <w:rPr>
                <w:rFonts w:hint="eastAsia" w:ascii="宋体" w:hAnsi="宋体" w:cs="等线"/>
                <w:color w:val="000000"/>
                <w:highlight w:val="none"/>
              </w:rPr>
              <w:t xml:space="preserve">与现有江苏省高级人民法院的智能DNS做集群及统一管理；</w:t>
            </w:r>
            <w:r/>
          </w:p>
          <w:p>
            <w:pPr>
              <w:contextualSpacing/>
              <w:jc w:val="left"/>
              <w:spacing w:line="360" w:lineRule="auto"/>
              <w:rPr>
                <w:rFonts w:ascii="宋体" w:hAnsi="宋体" w:cs="等线"/>
                <w:color w:val="000000"/>
                <w:highlight w:val="none"/>
              </w:rPr>
            </w:pPr>
            <w:r>
              <w:rPr>
                <w:rFonts w:hint="eastAsia" w:ascii="宋体" w:hAnsi="宋体" w:cs="等线"/>
                <w:color w:val="000000"/>
                <w:highlight w:val="none"/>
              </w:rPr>
              <w:t xml:space="preserve">标准与对接要求：</w:t>
            </w:r>
            <w:r/>
          </w:p>
          <w:p>
            <w:pPr>
              <w:contextualSpacing/>
              <w:jc w:val="left"/>
              <w:spacing w:line="360" w:lineRule="auto"/>
              <w:rPr>
                <w:rFonts w:ascii="宋体" w:hAnsi="宋体" w:cs="等线"/>
                <w:color w:val="000000"/>
                <w:highlight w:val="none"/>
              </w:rPr>
            </w:pPr>
            <w:r>
              <w:rPr>
                <w:rFonts w:hint="eastAsia" w:ascii="宋体" w:hAnsi="宋体" w:cs="等线"/>
                <w:color w:val="000000"/>
                <w:highlight w:val="none"/>
              </w:rPr>
              <w:t xml:space="preserve">投标人</w:t>
            </w:r>
            <w:r>
              <w:rPr>
                <w:rFonts w:ascii="宋体" w:hAnsi="宋体" w:cs="等线"/>
                <w:color w:val="000000"/>
                <w:highlight w:val="none"/>
              </w:rPr>
              <w:t xml:space="preserve">承诺所投</w:t>
            </w:r>
            <w:r>
              <w:rPr>
                <w:rFonts w:hint="eastAsia" w:ascii="宋体" w:hAnsi="宋体" w:cs="等线"/>
                <w:color w:val="000000"/>
                <w:highlight w:val="none"/>
              </w:rPr>
              <w:t xml:space="preserve">产品能够完整对接最高法域名系统的管理数据、日志等（</w:t>
            </w:r>
            <w:r>
              <w:rPr>
                <w:highlight w:val="none"/>
              </w:rPr>
              <w:t xml:space="preserve">投标人提供书面承诺函并加盖电子签章</w:t>
            </w:r>
            <w:r>
              <w:rPr>
                <w:rFonts w:hint="eastAsia"/>
                <w:highlight w:val="none"/>
              </w:rPr>
              <w:t xml:space="preserve">）</w:t>
            </w:r>
            <w:r>
              <w:rPr>
                <w:rFonts w:hint="eastAsia" w:ascii="宋体" w:hAnsi="宋体" w:cs="等线"/>
                <w:color w:val="000000"/>
                <w:highlight w:val="none"/>
              </w:rPr>
              <w:t xml:space="preserve">；</w:t>
            </w:r>
            <w:r/>
          </w:p>
          <w:p>
            <w:pPr>
              <w:contextualSpacing/>
              <w:jc w:val="left"/>
              <w:spacing w:line="360" w:lineRule="auto"/>
              <w:rPr>
                <w:rFonts w:ascii="宋体" w:hAnsi="宋体" w:cs="等线"/>
                <w:color w:val="000000"/>
                <w:highlight w:val="none"/>
              </w:rPr>
            </w:pPr>
            <w:r>
              <w:rPr>
                <w:rFonts w:hint="eastAsia" w:ascii="宋体" w:hAnsi="宋体" w:cs="等线"/>
                <w:color w:val="000000"/>
                <w:highlight w:val="none"/>
              </w:rPr>
              <w:t xml:space="preserve">能够完全满足最高法院关于域名系统建设要求指导文件要求：《人民法院一级网DNS系统对接方案》、《FYB_T 54006-2018-法院专网域名编码规范》、《FYB_T_54009-2020-法院统一DNS系统建设技术规范》；</w:t>
            </w:r>
            <w:r/>
          </w:p>
          <w:p>
            <w:pPr>
              <w:contextualSpacing/>
              <w:jc w:val="left"/>
              <w:spacing w:line="360" w:lineRule="auto"/>
              <w:rPr>
                <w:rFonts w:ascii="宋体" w:hAnsi="宋体" w:cs="等线"/>
                <w:color w:val="000000"/>
                <w:highlight w:val="none"/>
              </w:rPr>
            </w:pPr>
            <w:r>
              <w:rPr>
                <w:rFonts w:hint="eastAsia" w:ascii="宋体" w:hAnsi="宋体" w:cs="等线"/>
                <w:color w:val="000000"/>
                <w:highlight w:val="none"/>
              </w:rPr>
              <w:t xml:space="preserve">支持标准DNS协议：</w:t>
            </w:r>
            <w:r/>
          </w:p>
          <w:p>
            <w:pPr>
              <w:contextualSpacing/>
              <w:spacing w:line="360" w:lineRule="auto"/>
              <w:rPr>
                <w:rFonts w:hint="eastAsia" w:ascii="宋体" w:hAnsi="宋体" w:cs="等线"/>
                <w:color w:val="000000"/>
                <w:highlight w:val="none"/>
              </w:rPr>
            </w:pPr>
            <w:r>
              <w:rPr>
                <w:rFonts w:hint="eastAsia" w:ascii="宋体" w:hAnsi="宋体" w:cs="等线"/>
                <w:color w:val="000000"/>
                <w:highlight w:val="none"/>
              </w:rPr>
              <w:t xml:space="preserve">支持标准DNS协议RFC1034、1035，支持扩展DNS协议RFC2672、2782、3596；记录类型支持A、AAAA、PTR、CNAME、MX、NS、TXT、SOA等类型。</w:t>
            </w:r>
            <w:r/>
          </w:p>
        </w:tc>
      </w:tr>
      <w:tr>
        <w:trPr>
          <w:jc w:val="center"/>
          <w:trHeight w:val="448"/>
        </w:trPr>
        <w:tc>
          <w:tcPr>
            <w:tcW w:w="779" w:type="dxa"/>
            <w:vAlign w:val="center"/>
            <w:textDirection w:val="lrTb"/>
            <w:noWrap w:val="false"/>
          </w:tcPr>
          <w:p>
            <w:pPr>
              <w:contextualSpacing/>
              <w:spacing w:line="360" w:lineRule="auto"/>
              <w:rPr>
                <w:rFonts w:ascii="宋体" w:hAnsi="宋体" w:cs="宋体"/>
                <w:color w:val="000000"/>
                <w:highlight w:val="none"/>
              </w:rPr>
            </w:pPr>
            <w:r>
              <w:rPr>
                <w:rFonts w:hint="eastAsia" w:ascii="宋体" w:hAnsi="宋体"/>
                <w:highlight w:val="none"/>
              </w:rPr>
              <w:t xml:space="preserve">▲</w:t>
            </w:r>
            <w:r>
              <w:rPr>
                <w:rFonts w:hint="eastAsia" w:ascii="宋体" w:hAnsi="宋体" w:cs="宋体"/>
                <w:color w:val="000000"/>
                <w:highlight w:val="none"/>
              </w:rPr>
              <w:t xml:space="preserve">功能要求</w:t>
            </w:r>
            <w:r/>
          </w:p>
        </w:tc>
        <w:tc>
          <w:tcPr>
            <w:tcMar>
              <w:left w:w="80" w:type="dxa"/>
              <w:top w:w="80" w:type="dxa"/>
              <w:right w:w="80" w:type="dxa"/>
              <w:bottom w:w="80" w:type="dxa"/>
            </w:tcMar>
            <w:tcW w:w="4221" w:type="dxa"/>
            <w:vAlign w:val="center"/>
            <w:textDirection w:val="lrTb"/>
            <w:noWrap w:val="false"/>
          </w:tcPr>
          <w:p>
            <w:pPr>
              <w:contextualSpacing/>
              <w:jc w:val="left"/>
              <w:spacing w:line="360" w:lineRule="auto"/>
              <w:rPr>
                <w:rFonts w:ascii="宋体" w:hAnsi="宋体" w:cs="等线"/>
                <w:color w:val="000000"/>
                <w:highlight w:val="none"/>
                <w:lang w:val="zh-TW"/>
              </w:rPr>
            </w:pPr>
            <w:r>
              <w:rPr>
                <w:rFonts w:hint="eastAsia" w:ascii="宋体" w:hAnsi="宋体" w:cs="等线"/>
                <w:color w:val="000000"/>
                <w:highlight w:val="none"/>
                <w:lang w:val="zh-TW"/>
              </w:rPr>
              <w:t xml:space="preserve">递归DNS要求：</w:t>
            </w:r>
            <w:r/>
          </w:p>
          <w:p>
            <w:pPr>
              <w:contextualSpacing/>
              <w:jc w:val="left"/>
              <w:spacing w:line="360" w:lineRule="auto"/>
              <w:rPr>
                <w:rFonts w:ascii="宋体" w:hAnsi="宋体" w:cs="等线"/>
                <w:color w:val="000000"/>
                <w:highlight w:val="none"/>
              </w:rPr>
            </w:pPr>
            <w:r>
              <w:rPr>
                <w:rFonts w:hint="eastAsia" w:ascii="宋体" w:hAnsi="宋体" w:cs="等线"/>
                <w:color w:val="000000"/>
                <w:highlight w:val="none"/>
              </w:rPr>
              <w:t xml:space="preserve">支持智能出口流量调度技术，实现多出口链路的充分合理利用和快速的自动容灾切换；支持通过1台物理设备实现至少3条运营商线路的多出口智能流量调度，而非每条运营商线路均需部署物理DNS设备；支持视图概念，实现虚拟DNS功能，不同源IP用户对应不同的虚拟DNS，以实现不同源IP用户访问不同的线路资源，保障线路资源的最大化利用；支持线路检测机制，实现某一线路资源瘫痪时，基于自定义策略，实线路资源的自动切换。</w:t>
            </w:r>
            <w:r/>
          </w:p>
          <w:p>
            <w:pPr>
              <w:contextualSpacing/>
              <w:jc w:val="left"/>
              <w:spacing w:line="360" w:lineRule="auto"/>
              <w:rPr>
                <w:rFonts w:ascii="宋体" w:hAnsi="宋体" w:cs="等线"/>
                <w:color w:val="000000"/>
                <w:highlight w:val="none"/>
              </w:rPr>
            </w:pPr>
            <w:r>
              <w:rPr>
                <w:rFonts w:hint="eastAsia" w:ascii="宋体" w:hAnsi="宋体" w:cs="等线"/>
                <w:color w:val="000000"/>
                <w:highlight w:val="none"/>
              </w:rPr>
              <w:t xml:space="preserve">具备缓存管理技术，支持不同视图对应不同的缓存模块，支持缓存模块容量大小、缓存TTL的设置，支持缓存内容的查询、删除功能。</w:t>
            </w:r>
            <w:r/>
          </w:p>
          <w:p>
            <w:pPr>
              <w:contextualSpacing/>
              <w:jc w:val="left"/>
              <w:spacing w:line="360" w:lineRule="auto"/>
              <w:rPr>
                <w:rFonts w:ascii="宋体" w:hAnsi="宋体" w:cs="等线"/>
                <w:color w:val="000000"/>
                <w:highlight w:val="none"/>
              </w:rPr>
            </w:pPr>
            <w:r>
              <w:rPr>
                <w:rFonts w:hint="eastAsia" w:ascii="宋体" w:hAnsi="宋体" w:cs="等线"/>
                <w:color w:val="000000"/>
                <w:highlight w:val="none"/>
              </w:rPr>
              <w:t xml:space="preserve">用户根据源IP匹配视图，根据视图可以定义不同的DNS策略，支持系统默认视图：对所有源IP都生效，支持普通视图：具有明确的源IP地址范围，普通视图地址范围可以重叠，普通视图具有优先级，DNS解析按优先级来选择匹配普通视图，系统视图优先级最低。</w:t>
            </w:r>
            <w:r/>
          </w:p>
          <w:p>
            <w:pPr>
              <w:contextualSpacing/>
              <w:jc w:val="left"/>
              <w:spacing w:line="360" w:lineRule="auto"/>
              <w:rPr>
                <w:rFonts w:ascii="宋体" w:hAnsi="宋体" w:cs="等线"/>
                <w:color w:val="000000"/>
                <w:highlight w:val="none"/>
              </w:rPr>
            </w:pPr>
            <w:r>
              <w:rPr>
                <w:rFonts w:hint="eastAsia" w:ascii="宋体" w:hAnsi="宋体" w:cs="等线"/>
                <w:color w:val="000000"/>
                <w:highlight w:val="none"/>
              </w:rPr>
              <w:t xml:space="preserve">支持划分用户组，指定用户组在解析时优先返回指定运营商线路的IP，例如电信用户组，则递归解析的时候，优先返回部署在电信的应用的IP地址。</w:t>
            </w:r>
            <w:r/>
          </w:p>
          <w:p>
            <w:pPr>
              <w:contextualSpacing/>
              <w:jc w:val="left"/>
              <w:spacing w:line="360" w:lineRule="auto"/>
              <w:rPr>
                <w:rFonts w:ascii="宋体" w:hAnsi="宋体" w:cs="等线"/>
                <w:color w:val="000000"/>
                <w:highlight w:val="none"/>
              </w:rPr>
            </w:pPr>
            <w:r>
              <w:rPr>
                <w:rFonts w:hint="eastAsia" w:ascii="宋体" w:hAnsi="宋体" w:cs="等线"/>
                <w:color w:val="000000"/>
                <w:highlight w:val="none"/>
              </w:rPr>
              <w:t xml:space="preserve">支持与出口防火墙联动，按照出口带宽比例调度出口流量。</w:t>
            </w:r>
            <w:r/>
          </w:p>
          <w:p>
            <w:pPr>
              <w:contextualSpacing/>
              <w:jc w:val="left"/>
              <w:spacing w:line="360" w:lineRule="auto"/>
              <w:rPr>
                <w:rFonts w:ascii="宋体" w:hAnsi="宋体" w:cs="等线"/>
                <w:color w:val="000000"/>
                <w:highlight w:val="none"/>
              </w:rPr>
            </w:pPr>
            <w:r>
              <w:rPr>
                <w:rFonts w:hint="eastAsia" w:ascii="宋体" w:hAnsi="宋体" w:cs="等线"/>
                <w:color w:val="000000"/>
                <w:highlight w:val="none"/>
              </w:rPr>
              <w:t xml:space="preserve">内置域名库包括但不限于游戏网站、视频动漫、购物网站、下载网站、新闻媒体、网银、国际域名和教育网资源等，同时域名库可进行主动编辑和更新升级；可以通过库调节流量，将不同网站应用类别的应调配到特定出口。</w:t>
            </w:r>
            <w:r/>
          </w:p>
          <w:p>
            <w:pPr>
              <w:contextualSpacing/>
              <w:jc w:val="left"/>
              <w:spacing w:line="360" w:lineRule="auto"/>
              <w:rPr>
                <w:rFonts w:ascii="宋体" w:hAnsi="宋体" w:cs="等线"/>
                <w:color w:val="000000"/>
                <w:highlight w:val="none"/>
              </w:rPr>
            </w:pPr>
            <w:r>
              <w:rPr>
                <w:rFonts w:hint="eastAsia" w:ascii="宋体" w:hAnsi="宋体" w:cs="等线"/>
                <w:color w:val="000000"/>
                <w:highlight w:val="none"/>
              </w:rPr>
              <w:t xml:space="preserve">内置IP地址库，可以根据IP地址判断归属地。</w:t>
            </w:r>
            <w:r/>
          </w:p>
          <w:p>
            <w:pPr>
              <w:contextualSpacing/>
              <w:jc w:val="left"/>
              <w:spacing w:line="360" w:lineRule="auto"/>
              <w:rPr>
                <w:rFonts w:ascii="宋体" w:hAnsi="宋体" w:cs="等线"/>
                <w:color w:val="000000"/>
                <w:highlight w:val="none"/>
              </w:rPr>
            </w:pPr>
            <w:r>
              <w:rPr>
                <w:rFonts w:hint="eastAsia" w:ascii="宋体" w:hAnsi="宋体" w:cs="等线"/>
                <w:color w:val="000000"/>
                <w:highlight w:val="none"/>
              </w:rPr>
              <w:t xml:space="preserve">支持First/RTT、First/Order、Only/RTT、Only/Order和No的转发方式，支持对Forward服务器配置权重，支持对Forward服务器进行健康检查。</w:t>
            </w:r>
            <w:r/>
          </w:p>
          <w:p>
            <w:pPr>
              <w:contextualSpacing/>
              <w:jc w:val="left"/>
              <w:spacing w:line="360" w:lineRule="auto"/>
              <w:rPr>
                <w:rFonts w:ascii="宋体" w:hAnsi="宋体" w:cs="等线"/>
                <w:color w:val="000000"/>
                <w:highlight w:val="none"/>
              </w:rPr>
            </w:pPr>
            <w:r>
              <w:rPr>
                <w:rFonts w:hint="eastAsia" w:ascii="宋体" w:hAnsi="宋体" w:cs="等线"/>
                <w:color w:val="000000"/>
                <w:highlight w:val="none"/>
              </w:rPr>
              <w:t xml:space="preserve">能够主动发现恶意域名，同时阻止恶意域名解析，重定向到告警页面。</w:t>
            </w:r>
            <w:r/>
          </w:p>
          <w:p>
            <w:pPr>
              <w:contextualSpacing/>
              <w:jc w:val="left"/>
              <w:spacing w:line="360" w:lineRule="auto"/>
              <w:rPr>
                <w:rFonts w:ascii="宋体" w:hAnsi="宋体" w:cs="等线"/>
                <w:color w:val="000000"/>
                <w:highlight w:val="none"/>
              </w:rPr>
            </w:pPr>
            <w:r>
              <w:rPr>
                <w:rFonts w:hint="eastAsia" w:ascii="宋体" w:hAnsi="宋体" w:cs="等线"/>
                <w:color w:val="000000"/>
                <w:highlight w:val="none"/>
                <w:lang w:val="zh-TW"/>
              </w:rPr>
              <w:t xml:space="preserve">权威</w:t>
            </w:r>
            <w:r>
              <w:rPr>
                <w:rFonts w:ascii="宋体" w:hAnsi="宋体" w:cs="等线"/>
                <w:color w:val="000000"/>
                <w:highlight w:val="none"/>
              </w:rPr>
              <w:t xml:space="preserve">DNS</w:t>
            </w:r>
            <w:r>
              <w:rPr>
                <w:rFonts w:hint="eastAsia" w:ascii="宋体" w:hAnsi="宋体" w:cs="等线"/>
                <w:color w:val="000000"/>
                <w:highlight w:val="none"/>
              </w:rPr>
              <w:t xml:space="preserve">要求：</w:t>
            </w:r>
            <w:r/>
          </w:p>
          <w:p>
            <w:pPr>
              <w:contextualSpacing/>
              <w:jc w:val="left"/>
              <w:spacing w:line="360" w:lineRule="auto"/>
              <w:rPr>
                <w:rFonts w:ascii="宋体" w:hAnsi="宋体" w:cs="等线"/>
                <w:color w:val="000000"/>
                <w:highlight w:val="none"/>
              </w:rPr>
            </w:pPr>
            <w:r>
              <w:rPr>
                <w:rFonts w:hint="eastAsia" w:ascii="宋体" w:hAnsi="宋体" w:cs="等线"/>
                <w:color w:val="000000"/>
                <w:highlight w:val="none"/>
              </w:rPr>
              <w:t xml:space="preserve">支持查询zone配置得到域名的权威解析结果，支持zone配置的动态加载。</w:t>
            </w:r>
            <w:r/>
          </w:p>
          <w:p>
            <w:pPr>
              <w:contextualSpacing/>
              <w:jc w:val="left"/>
              <w:spacing w:line="360" w:lineRule="auto"/>
              <w:rPr>
                <w:rFonts w:ascii="宋体" w:hAnsi="宋体" w:cs="等线"/>
                <w:color w:val="000000"/>
                <w:highlight w:val="none"/>
              </w:rPr>
            </w:pPr>
            <w:r>
              <w:rPr>
                <w:rFonts w:hint="eastAsia" w:ascii="宋体" w:hAnsi="宋体" w:cs="等线"/>
                <w:color w:val="000000"/>
                <w:highlight w:val="none"/>
              </w:rPr>
              <w:t xml:space="preserve">可以设定要检测的应用服务器，判断服务器的的健康状况以及响应时间，支持基于ICMP、UDP、TCP_SYN、TCP、HTTP、HTTPS、FTP、SMTP、SNMP、TCP_KEEP、SNMP_LINK、DNS、MYSQL的应用健康检测模板定制。</w:t>
            </w:r>
            <w:r/>
          </w:p>
          <w:p>
            <w:pPr>
              <w:contextualSpacing/>
              <w:jc w:val="left"/>
              <w:spacing w:line="360" w:lineRule="auto"/>
              <w:rPr>
                <w:rFonts w:ascii="宋体" w:hAnsi="宋体" w:cs="等线"/>
                <w:color w:val="000000"/>
                <w:highlight w:val="none"/>
              </w:rPr>
            </w:pPr>
            <w:r>
              <w:rPr>
                <w:rFonts w:hint="eastAsia" w:ascii="宋体" w:hAnsi="宋体" w:cs="等线"/>
                <w:color w:val="000000"/>
                <w:highlight w:val="none"/>
              </w:rPr>
              <w:t xml:space="preserve">对于一定周期内同一用户相同的域名解析请求，实现解析结果的固定，避免出现频繁的跳动现象，从而实现流量的稳定牵引；支持会话保持时间设置，实现会话保持时间自主定义。</w:t>
            </w:r>
            <w:r/>
          </w:p>
          <w:p>
            <w:pPr>
              <w:contextualSpacing/>
              <w:jc w:val="left"/>
              <w:spacing w:line="360" w:lineRule="auto"/>
              <w:rPr>
                <w:rFonts w:ascii="宋体" w:hAnsi="宋体" w:cs="等线"/>
                <w:color w:val="000000"/>
                <w:highlight w:val="none"/>
              </w:rPr>
            </w:pPr>
            <w:r>
              <w:rPr>
                <w:rFonts w:hint="eastAsia" w:ascii="宋体" w:hAnsi="宋体" w:cs="等线"/>
                <w:color w:val="000000"/>
                <w:highlight w:val="none"/>
              </w:rPr>
              <w:t xml:space="preserve">判断用户访问的线路信息，根据用户的所属运营商，返回对应的运营商部署应用的IP地址。系统自带全国各省份IP地址信息，支持按省份的区域划分和IP地址更新，可按区域智能解析到相应区域线路对应的应用服务器IP地址。</w:t>
            </w:r>
            <w:r/>
          </w:p>
          <w:p>
            <w:pPr>
              <w:contextualSpacing/>
              <w:jc w:val="left"/>
              <w:spacing w:line="360" w:lineRule="auto"/>
              <w:rPr>
                <w:rFonts w:ascii="宋体" w:hAnsi="宋体" w:cs="等线"/>
                <w:color w:val="000000"/>
                <w:highlight w:val="none"/>
              </w:rPr>
            </w:pPr>
            <w:r>
              <w:rPr>
                <w:rFonts w:hint="eastAsia" w:ascii="宋体" w:hAnsi="宋体" w:cs="等线"/>
                <w:color w:val="000000"/>
                <w:highlight w:val="none"/>
              </w:rPr>
              <w:t xml:space="preserve">能够与最高法权威DNS服务器对接，兼容下发数据，数据可实时生效，无需人工干预。</w:t>
            </w:r>
            <w:r/>
          </w:p>
        </w:tc>
      </w:tr>
      <w:tr>
        <w:trPr>
          <w:jc w:val="center"/>
          <w:trHeight w:val="448"/>
        </w:trPr>
        <w:tc>
          <w:tcPr>
            <w:tcW w:w="779" w:type="dxa"/>
            <w:vAlign w:val="center"/>
            <w:textDirection w:val="lrTb"/>
            <w:noWrap w:val="false"/>
          </w:tcPr>
          <w:p>
            <w:pPr>
              <w:contextualSpacing/>
              <w:spacing w:line="360" w:lineRule="auto"/>
              <w:rPr>
                <w:rFonts w:ascii="宋体" w:hAnsi="宋体" w:cs="宋体"/>
                <w:color w:val="000000"/>
                <w:highlight w:val="none"/>
              </w:rPr>
            </w:pPr>
            <w:r>
              <w:rPr>
                <w:rFonts w:hint="eastAsia" w:ascii="宋体" w:hAnsi="宋体" w:cs="宋体"/>
                <w:color w:val="000000"/>
                <w:highlight w:val="none"/>
              </w:rPr>
              <w:t xml:space="preserve">安全、网管及IPv6要求</w:t>
            </w:r>
            <w:r/>
          </w:p>
        </w:tc>
        <w:tc>
          <w:tcPr>
            <w:tcMar>
              <w:left w:w="80" w:type="dxa"/>
              <w:top w:w="80" w:type="dxa"/>
              <w:right w:w="80" w:type="dxa"/>
              <w:bottom w:w="80" w:type="dxa"/>
            </w:tcMar>
            <w:tcW w:w="4221" w:type="dxa"/>
            <w:vAlign w:val="center"/>
            <w:textDirection w:val="lrTb"/>
            <w:noWrap w:val="false"/>
          </w:tcPr>
          <w:p>
            <w:pPr>
              <w:contextualSpacing/>
              <w:jc w:val="left"/>
              <w:spacing w:line="360" w:lineRule="auto"/>
              <w:rPr>
                <w:rFonts w:ascii="宋体" w:hAnsi="宋体" w:cs="等线"/>
                <w:color w:val="000000"/>
                <w:highlight w:val="none"/>
              </w:rPr>
            </w:pPr>
            <w:r>
              <w:rPr>
                <w:rFonts w:hint="eastAsia" w:ascii="宋体" w:hAnsi="宋体" w:cs="宋体"/>
                <w:color w:val="000000"/>
                <w:highlight w:val="none"/>
              </w:rPr>
              <w:t xml:space="preserve">安全要求:</w:t>
            </w:r>
            <w:r/>
          </w:p>
          <w:p>
            <w:pPr>
              <w:contextualSpacing/>
              <w:jc w:val="left"/>
              <w:spacing w:line="360" w:lineRule="auto"/>
              <w:rPr>
                <w:rFonts w:ascii="宋体" w:hAnsi="宋体" w:cs="等线"/>
                <w:color w:val="000000"/>
                <w:highlight w:val="none"/>
              </w:rPr>
            </w:pPr>
            <w:r>
              <w:rPr>
                <w:rFonts w:hint="eastAsia" w:ascii="宋体" w:hAnsi="宋体" w:cs="等线"/>
                <w:color w:val="000000"/>
                <w:highlight w:val="none"/>
              </w:rPr>
              <w:t xml:space="preserve">能够内置防DDOS攻击模块,保护权威DNS和递归DNS的安全。</w:t>
            </w:r>
            <w:r/>
          </w:p>
          <w:p>
            <w:pPr>
              <w:contextualSpacing/>
              <w:jc w:val="left"/>
              <w:spacing w:line="360" w:lineRule="auto"/>
              <w:rPr>
                <w:rFonts w:ascii="宋体" w:hAnsi="宋体" w:cs="等线"/>
                <w:color w:val="000000"/>
                <w:highlight w:val="none"/>
              </w:rPr>
            </w:pPr>
            <w:r>
              <w:rPr>
                <w:rFonts w:hint="eastAsia" w:ascii="宋体" w:hAnsi="宋体" w:cs="等线"/>
                <w:color w:val="000000"/>
                <w:highlight w:val="none"/>
              </w:rPr>
              <w:t xml:space="preserve">能够支持防御DNS SERVFAIL攻击，客户端通过发起大量错误域名攻击触发递归无响应从而导致服务器性能拥塞，该设备能够自主识别该类攻击特征，进行攻击防护。</w:t>
            </w:r>
            <w:r/>
          </w:p>
          <w:p>
            <w:pPr>
              <w:contextualSpacing/>
              <w:jc w:val="left"/>
              <w:spacing w:line="360" w:lineRule="auto"/>
              <w:rPr>
                <w:rFonts w:ascii="宋体" w:hAnsi="宋体" w:cs="等线"/>
                <w:color w:val="000000"/>
                <w:highlight w:val="none"/>
              </w:rPr>
            </w:pPr>
            <w:r>
              <w:rPr>
                <w:rFonts w:hint="eastAsia" w:ascii="宋体" w:hAnsi="宋体" w:cs="等线"/>
                <w:color w:val="000000"/>
                <w:highlight w:val="none"/>
              </w:rPr>
              <w:t xml:space="preserve">全局源IP限速、特定源IP限速、限制其DNS查询速率，超过速率的部分丢弃；全局域名限速、精确域名限速、泛域名限速，限制其DNS查询速率，超过速率的部分丢弃。</w:t>
            </w:r>
            <w:r/>
          </w:p>
          <w:p>
            <w:pPr>
              <w:contextualSpacing/>
              <w:jc w:val="left"/>
              <w:spacing w:line="360" w:lineRule="auto"/>
              <w:rPr>
                <w:rFonts w:ascii="宋体" w:hAnsi="宋体" w:cs="等线"/>
                <w:color w:val="000000"/>
                <w:highlight w:val="none"/>
              </w:rPr>
            </w:pPr>
            <w:r>
              <w:rPr>
                <w:rFonts w:hint="eastAsia" w:ascii="宋体" w:hAnsi="宋体" w:cs="等线"/>
                <w:color w:val="000000"/>
                <w:highlight w:val="none"/>
              </w:rPr>
              <w:t xml:space="preserve">精确域名封堵、泛域名封堵。</w:t>
            </w:r>
            <w:r/>
          </w:p>
          <w:p>
            <w:pPr>
              <w:contextualSpacing/>
              <w:jc w:val="left"/>
              <w:spacing w:line="360" w:lineRule="auto"/>
              <w:rPr>
                <w:rFonts w:ascii="宋体" w:hAnsi="宋体" w:cs="等线"/>
                <w:color w:val="000000"/>
                <w:highlight w:val="none"/>
              </w:rPr>
            </w:pPr>
            <w:r>
              <w:rPr>
                <w:rFonts w:hint="eastAsia" w:ascii="宋体" w:hAnsi="宋体" w:cs="等线"/>
                <w:color w:val="000000"/>
                <w:highlight w:val="none"/>
              </w:rPr>
              <w:t xml:space="preserve">全面支持DNSSEC技术。</w:t>
            </w:r>
            <w:r/>
          </w:p>
          <w:p>
            <w:pPr>
              <w:contextualSpacing/>
              <w:jc w:val="left"/>
              <w:spacing w:line="360" w:lineRule="auto"/>
              <w:rPr>
                <w:rFonts w:ascii="宋体" w:hAnsi="宋体" w:cs="等线"/>
                <w:color w:val="000000"/>
                <w:highlight w:val="none"/>
              </w:rPr>
            </w:pPr>
            <w:r>
              <w:rPr>
                <w:rFonts w:hint="eastAsia" w:ascii="宋体" w:hAnsi="宋体" w:cs="等线"/>
                <w:color w:val="000000"/>
                <w:highlight w:val="none"/>
              </w:rPr>
              <w:t xml:space="preserve">允许指定的IP范围内的终端访问DNS服务。</w:t>
            </w:r>
            <w:r/>
          </w:p>
          <w:p>
            <w:pPr>
              <w:contextualSpacing/>
              <w:jc w:val="left"/>
              <w:spacing w:line="360" w:lineRule="auto"/>
              <w:rPr>
                <w:rFonts w:ascii="宋体" w:hAnsi="宋体" w:cs="宋体"/>
                <w:color w:val="000000"/>
                <w:highlight w:val="none"/>
              </w:rPr>
            </w:pPr>
            <w:r>
              <w:rPr>
                <w:rFonts w:hint="eastAsia" w:ascii="宋体" w:hAnsi="宋体" w:cs="宋体"/>
                <w:color w:val="000000"/>
                <w:highlight w:val="none"/>
              </w:rPr>
              <w:t xml:space="preserve">网管要求:</w:t>
            </w:r>
            <w:r/>
          </w:p>
          <w:p>
            <w:pPr>
              <w:contextualSpacing/>
              <w:jc w:val="left"/>
              <w:spacing w:line="360" w:lineRule="auto"/>
              <w:rPr>
                <w:rFonts w:ascii="宋体" w:hAnsi="宋体" w:cs="等线"/>
                <w:color w:val="000000"/>
                <w:highlight w:val="none"/>
              </w:rPr>
            </w:pPr>
            <w:r>
              <w:rPr>
                <w:rFonts w:hint="eastAsia" w:ascii="宋体" w:hAnsi="宋体" w:cs="等线"/>
                <w:color w:val="000000"/>
                <w:highlight w:val="none"/>
              </w:rPr>
              <w:t xml:space="preserve">支持自定义报表定制，自定义报表分析类型包括但不限于TOP总量、TOP百分比、百分比及次数/秒；分析项目包括但不限于源IP、源端口、查询区、查询记录类型、查询域名、应答状态、RD位状态、请求签名、是否包含EDNS、是否TCP请求、DO位状态、CD位状态、是否命中缓存、ISP、国家、省、市；匹配规则包括但不限于所有、等于、不等于、包含、不包含；需支持统计项目内的二层分析；数据统计分析需支持省、国家地理位置的数据统计，且统计报告支持定时自动生成及定时邮件推送功能；</w:t>
            </w:r>
            <w:r/>
          </w:p>
          <w:p>
            <w:pPr>
              <w:contextualSpacing/>
              <w:jc w:val="left"/>
              <w:spacing w:line="360" w:lineRule="auto"/>
              <w:rPr>
                <w:rFonts w:ascii="宋体" w:hAnsi="宋体" w:cs="等线"/>
                <w:color w:val="000000"/>
                <w:highlight w:val="none"/>
              </w:rPr>
            </w:pPr>
            <w:r>
              <w:rPr>
                <w:rFonts w:hint="eastAsia" w:ascii="宋体" w:hAnsi="宋体" w:cs="等线"/>
                <w:color w:val="000000"/>
                <w:highlight w:val="none"/>
              </w:rPr>
              <w:t xml:space="preserve">设备输出的日志应分为系统日志、解析日志和操作日志三部分。解析日志信息中应至少包括用户源地址、请求域名、请求接受时间和处理时延、域名解析结果IP、解析结果代码等。操作日志应记录登录者对DNS的所有操作情况，包括操作时间、配置内容，是否生效等；支持日志、配置数据的手动和自动备份与恢复；所有系统与业务日志需要与最高法日志格式兼容，能够互操作。</w:t>
            </w:r>
            <w:r/>
          </w:p>
          <w:p>
            <w:pPr>
              <w:contextualSpacing/>
              <w:jc w:val="left"/>
              <w:spacing w:line="360" w:lineRule="auto"/>
              <w:rPr>
                <w:rFonts w:ascii="宋体" w:hAnsi="宋体" w:cs="等线"/>
                <w:color w:val="000000"/>
                <w:highlight w:val="none"/>
              </w:rPr>
            </w:pPr>
            <w:r>
              <w:rPr>
                <w:rFonts w:hint="eastAsia" w:ascii="宋体" w:hAnsi="宋体" w:cs="等线"/>
                <w:color w:val="000000"/>
                <w:highlight w:val="none"/>
              </w:rPr>
              <w:t xml:space="preserve">可以根据管理员的职责不同设置不同管理员权限；设置的权限需包括访问管理权限、分析监控权限、解析管理权限、安全管理权限及系统管理权限。</w:t>
            </w:r>
            <w:r/>
          </w:p>
          <w:p>
            <w:pPr>
              <w:contextualSpacing/>
              <w:jc w:val="left"/>
              <w:spacing w:line="360" w:lineRule="auto"/>
              <w:rPr>
                <w:rFonts w:ascii="宋体" w:hAnsi="宋体" w:cs="等线"/>
                <w:color w:val="000000"/>
                <w:highlight w:val="none"/>
              </w:rPr>
            </w:pPr>
            <w:r>
              <w:rPr>
                <w:rFonts w:hint="eastAsia" w:ascii="宋体" w:hAnsi="宋体" w:cs="等线"/>
                <w:color w:val="000000"/>
                <w:highlight w:val="none"/>
              </w:rPr>
              <w:t xml:space="preserve">可监控包括但不限于网卡流量、内存、CPU、磁盘、QPS、解析成功率、缓存命中率、解析域名排行、解析IP排行、解析状态及解析类型等。以上数据应完全实时，以上数据需要提供1分钟粒度以内的数据更新频率。</w:t>
            </w:r>
            <w:r/>
          </w:p>
          <w:p>
            <w:pPr>
              <w:contextualSpacing/>
              <w:jc w:val="left"/>
              <w:spacing w:line="360" w:lineRule="auto"/>
              <w:rPr>
                <w:rFonts w:ascii="宋体" w:hAnsi="宋体" w:cs="等线"/>
                <w:color w:val="000000"/>
                <w:highlight w:val="none"/>
              </w:rPr>
            </w:pPr>
            <w:r>
              <w:rPr>
                <w:rFonts w:hint="eastAsia" w:ascii="宋体" w:hAnsi="宋体" w:cs="等线"/>
                <w:color w:val="000000"/>
                <w:highlight w:val="none"/>
              </w:rPr>
              <w:t xml:space="preserve">可以设置各种阀值、事件告警，支持邮件告警、回调告警、SNMP告警、syslog告警、短信告警及声音告警。告警记录内容包括但不限于告警时间，节点名称及IP、告警事件原因。</w:t>
            </w:r>
            <w:r/>
          </w:p>
          <w:p>
            <w:pPr>
              <w:contextualSpacing/>
              <w:jc w:val="left"/>
              <w:spacing w:line="360" w:lineRule="auto"/>
              <w:rPr>
                <w:rFonts w:ascii="宋体" w:hAnsi="宋体" w:cs="宋体"/>
                <w:color w:val="000000"/>
                <w:highlight w:val="none"/>
              </w:rPr>
            </w:pPr>
            <w:r>
              <w:rPr>
                <w:rFonts w:hint="eastAsia" w:ascii="宋体" w:hAnsi="宋体" w:cs="宋体"/>
                <w:color w:val="000000"/>
                <w:highlight w:val="none"/>
              </w:rPr>
              <w:t xml:space="preserve">IPv6要求：</w:t>
            </w:r>
            <w:r/>
          </w:p>
          <w:p>
            <w:pPr>
              <w:contextualSpacing/>
              <w:jc w:val="left"/>
              <w:spacing w:line="360" w:lineRule="auto"/>
              <w:rPr>
                <w:rFonts w:ascii="宋体" w:hAnsi="宋体" w:cs="等线"/>
                <w:color w:val="000000"/>
                <w:highlight w:val="none"/>
              </w:rPr>
            </w:pPr>
            <w:r>
              <w:rPr>
                <w:rFonts w:hint="eastAsia" w:ascii="宋体" w:hAnsi="宋体" w:cs="等线"/>
                <w:color w:val="000000"/>
                <w:highlight w:val="none"/>
              </w:rPr>
              <w:t xml:space="preserve">系统必须全面支持IPv6，所采用的系统必须支持IPv4和IPv6双栈,并通过IPV6权威机构认证</w:t>
            </w:r>
            <w:r/>
          </w:p>
          <w:p>
            <w:pPr>
              <w:contextualSpacing/>
              <w:jc w:val="left"/>
              <w:spacing w:line="360" w:lineRule="auto"/>
              <w:rPr>
                <w:rFonts w:hint="eastAsia" w:ascii="宋体" w:hAnsi="宋体" w:cs="等线"/>
                <w:color w:val="000000"/>
                <w:highlight w:val="none"/>
              </w:rPr>
            </w:pPr>
            <w:r>
              <w:rPr>
                <w:rFonts w:hint="eastAsia" w:ascii="宋体" w:hAnsi="宋体" w:cs="等线"/>
                <w:color w:val="000000"/>
                <w:highlight w:val="none"/>
              </w:rPr>
              <w:t xml:space="preserve">支持AAAA应答控制，在解析结果同时存在A与AAAA记录时，针对部分AAAA记录进行过滤，支持A、AAAA记录同PTR的操作联动。</w:t>
            </w:r>
            <w:r/>
          </w:p>
        </w:tc>
      </w:tr>
      <w:tr>
        <w:trPr>
          <w:jc w:val="center"/>
          <w:trHeight w:val="1758"/>
        </w:trPr>
        <w:tc>
          <w:tcPr>
            <w:tcW w:w="779" w:type="dxa"/>
            <w:vAlign w:val="center"/>
            <w:textDirection w:val="lrTb"/>
            <w:noWrap w:val="false"/>
          </w:tcPr>
          <w:p>
            <w:pPr>
              <w:contextualSpacing/>
              <w:spacing w:line="360" w:lineRule="auto"/>
              <w:rPr>
                <w:rFonts w:ascii="宋体" w:hAnsi="宋体" w:cs="宋体"/>
                <w:color w:val="000000"/>
                <w:highlight w:val="none"/>
              </w:rPr>
            </w:pPr>
            <w:r>
              <w:rPr>
                <w:rFonts w:hint="eastAsia" w:ascii="宋体" w:hAnsi="宋体" w:cs="宋体"/>
                <w:color w:val="000000"/>
                <w:highlight w:val="none"/>
              </w:rPr>
              <w:t xml:space="preserve">厂商资质</w:t>
            </w:r>
            <w:r/>
          </w:p>
        </w:tc>
        <w:tc>
          <w:tcPr>
            <w:tcMar>
              <w:left w:w="80" w:type="dxa"/>
              <w:top w:w="80" w:type="dxa"/>
              <w:right w:w="80" w:type="dxa"/>
              <w:bottom w:w="80" w:type="dxa"/>
            </w:tcMar>
            <w:tcW w:w="4221" w:type="dxa"/>
            <w:vAlign w:val="center"/>
            <w:textDirection w:val="lrTb"/>
            <w:noWrap w:val="false"/>
          </w:tcPr>
          <w:p>
            <w:pPr>
              <w:contextualSpacing/>
              <w:jc w:val="left"/>
              <w:spacing w:line="360" w:lineRule="auto"/>
              <w:rPr>
                <w:rFonts w:ascii="宋体" w:hAnsi="宋体" w:cs="等线"/>
                <w:color w:val="000000"/>
                <w:highlight w:val="none"/>
              </w:rPr>
            </w:pPr>
            <w:r>
              <w:rPr>
                <w:rFonts w:hint="eastAsia" w:ascii="宋体" w:hAnsi="宋体" w:cs="等线"/>
                <w:color w:val="000000"/>
                <w:highlight w:val="none"/>
              </w:rPr>
              <w:t xml:space="preserve">所投标产品具有有效的节能产品认证证书，提供证书复印件。</w:t>
            </w:r>
            <w:r/>
          </w:p>
          <w:p>
            <w:pPr>
              <w:contextualSpacing/>
              <w:jc w:val="left"/>
              <w:spacing w:line="360" w:lineRule="auto"/>
              <w:rPr>
                <w:rFonts w:ascii="宋体" w:hAnsi="宋体" w:cs="等线"/>
                <w:color w:val="000000"/>
                <w:highlight w:val="none"/>
              </w:rPr>
            </w:pPr>
            <w:r>
              <w:rPr>
                <w:rFonts w:hint="eastAsia" w:ascii="宋体" w:hAnsi="宋体" w:cs="等线"/>
                <w:color w:val="000000"/>
                <w:highlight w:val="none"/>
              </w:rPr>
              <w:t xml:space="preserve">所投标产品具有DNS软件相关著作权登记证书，提供证书复印件</w:t>
            </w:r>
            <w:r/>
          </w:p>
          <w:p>
            <w:pPr>
              <w:contextualSpacing/>
              <w:jc w:val="left"/>
              <w:spacing w:line="360" w:lineRule="auto"/>
              <w:rPr>
                <w:rFonts w:hint="eastAsia" w:ascii="宋体" w:hAnsi="宋体" w:cs="等线"/>
                <w:color w:val="000000"/>
                <w:highlight w:val="none"/>
              </w:rPr>
            </w:pPr>
            <w:r>
              <w:rPr>
                <w:rFonts w:hint="eastAsia" w:ascii="宋体" w:hAnsi="宋体" w:cs="等线"/>
                <w:color w:val="000000"/>
                <w:highlight w:val="none"/>
              </w:rPr>
              <w:t xml:space="preserve">所投产品具有国家保密局颁发的符合国家保密标准的资质证书（提供资质证书复印件）</w:t>
            </w:r>
            <w:r/>
          </w:p>
        </w:tc>
      </w:tr>
    </w:tbl>
    <w:p>
      <w:pPr>
        <w:pStyle w:val="1056"/>
        <w:rPr>
          <w:rFonts w:ascii="Times New Roman" w:hAnsi="Times New Roman" w:eastAsia="宋体"/>
          <w:sz w:val="24"/>
          <w:szCs w:val="24"/>
          <w:highlight w:val="none"/>
        </w:rPr>
      </w:pPr>
      <w:r>
        <w:rPr>
          <w:rFonts w:hint="eastAsia" w:ascii="Times New Roman" w:hAnsi="Times New Roman" w:eastAsia="宋体"/>
          <w:sz w:val="24"/>
          <w:szCs w:val="24"/>
          <w:highlight w:val="none"/>
        </w:rPr>
        <w:t xml:space="preserve">2</w:t>
      </w:r>
      <w:r>
        <w:rPr>
          <w:rFonts w:ascii="Times New Roman" w:hAnsi="Times New Roman" w:eastAsia="宋体"/>
          <w:sz w:val="24"/>
          <w:szCs w:val="24"/>
          <w:highlight w:val="none"/>
        </w:rPr>
        <w:t xml:space="preserve">.5  </w:t>
      </w:r>
      <w:r>
        <w:rPr>
          <w:rFonts w:hint="eastAsia" w:ascii="Times New Roman" w:hAnsi="Times New Roman" w:eastAsia="宋体"/>
          <w:sz w:val="24"/>
          <w:szCs w:val="24"/>
          <w:highlight w:val="none"/>
        </w:rPr>
        <w:t xml:space="preserve">驻场及巡检人员服务要求</w:t>
      </w:r>
      <w:r/>
    </w:p>
    <w:tbl>
      <w:tblPr>
        <w:tblStyle w:val="772"/>
        <w:tblW w:w="91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60"/>
        <w:gridCol w:w="6468"/>
      </w:tblGrid>
      <w:tr>
        <w:trPr>
          <w:jc w:val="center"/>
        </w:trPr>
        <w:tc>
          <w:tcPr>
            <w:tcW w:w="2660" w:type="dxa"/>
            <w:vAlign w:val="center"/>
            <w:textDirection w:val="lrTb"/>
            <w:noWrap w:val="false"/>
          </w:tcPr>
          <w:p>
            <w:pPr>
              <w:spacing w:line="360" w:lineRule="auto"/>
              <w:rPr>
                <w:rFonts w:ascii="宋体" w:hAnsi="宋体"/>
                <w:highlight w:val="none"/>
              </w:rPr>
            </w:pPr>
            <w:r>
              <w:rPr>
                <w:rFonts w:hint="eastAsia" w:ascii="宋体" w:hAnsi="宋体"/>
                <w:highlight w:val="none"/>
              </w:rPr>
              <w:t xml:space="preserve">服务内容</w:t>
            </w:r>
            <w:r/>
          </w:p>
        </w:tc>
        <w:tc>
          <w:tcPr>
            <w:tcW w:w="6468" w:type="dxa"/>
            <w:vAlign w:val="center"/>
            <w:textDirection w:val="lrTb"/>
            <w:noWrap w:val="false"/>
          </w:tcPr>
          <w:p>
            <w:pPr>
              <w:spacing w:line="360" w:lineRule="auto"/>
              <w:rPr>
                <w:rFonts w:ascii="宋体" w:hAnsi="宋体"/>
                <w:highlight w:val="none"/>
              </w:rPr>
            </w:pPr>
            <w:r>
              <w:rPr>
                <w:rFonts w:hint="eastAsia" w:ascii="宋体" w:hAnsi="宋体"/>
                <w:highlight w:val="none"/>
              </w:rPr>
              <w:t xml:space="preserve">服务要求</w:t>
            </w:r>
            <w:r/>
          </w:p>
        </w:tc>
      </w:tr>
      <w:tr>
        <w:trPr>
          <w:jc w:val="center"/>
        </w:trPr>
        <w:tc>
          <w:tcPr>
            <w:tcW w:w="2660" w:type="dxa"/>
            <w:vAlign w:val="center"/>
            <w:textDirection w:val="lrTb"/>
            <w:noWrap w:val="false"/>
          </w:tcPr>
          <w:p>
            <w:pPr>
              <w:spacing w:line="360" w:lineRule="auto"/>
              <w:rPr>
                <w:rFonts w:ascii="宋体" w:hAnsi="宋体"/>
                <w:highlight w:val="none"/>
              </w:rPr>
            </w:pPr>
            <w:r>
              <w:rPr>
                <w:rFonts w:hint="eastAsia" w:ascii="宋体" w:hAnsi="宋体"/>
                <w:highlight w:val="none"/>
              </w:rPr>
              <w:t xml:space="preserve">广域网网络设备运维</w:t>
            </w:r>
            <w:r/>
          </w:p>
        </w:tc>
        <w:tc>
          <w:tcPr>
            <w:tcW w:w="6468" w:type="dxa"/>
            <w:vAlign w:val="center"/>
            <w:textDirection w:val="lrTb"/>
            <w:noWrap w:val="false"/>
          </w:tcPr>
          <w:p>
            <w:pPr>
              <w:spacing w:line="360" w:lineRule="auto"/>
              <w:rPr>
                <w:rFonts w:ascii="宋体" w:hAnsi="宋体"/>
                <w:highlight w:val="none"/>
              </w:rPr>
            </w:pPr>
            <w:r>
              <w:rPr>
                <w:rFonts w:hint="eastAsia" w:ascii="宋体" w:hAnsi="宋体"/>
                <w:highlight w:val="none"/>
              </w:rPr>
              <w:t xml:space="preserve">通过网络监控平台，实时监控上述所有广域网线路、网络设备的线路状态及设备使用情况。</w:t>
            </w:r>
            <w:r/>
          </w:p>
        </w:tc>
      </w:tr>
      <w:tr>
        <w:trPr>
          <w:jc w:val="center"/>
        </w:trPr>
        <w:tc>
          <w:tcPr>
            <w:tcW w:w="2660" w:type="dxa"/>
            <w:vAlign w:val="center"/>
            <w:textDirection w:val="lrTb"/>
            <w:noWrap w:val="false"/>
          </w:tcPr>
          <w:p>
            <w:pPr>
              <w:spacing w:line="360" w:lineRule="auto"/>
              <w:rPr>
                <w:rFonts w:ascii="宋体" w:hAnsi="宋体"/>
                <w:highlight w:val="none"/>
              </w:rPr>
            </w:pPr>
            <w:r>
              <w:rPr>
                <w:rFonts w:hint="eastAsia" w:ascii="宋体" w:hAnsi="宋体"/>
                <w:highlight w:val="none"/>
              </w:rPr>
              <w:t xml:space="preserve">江苏省高级人民法院局域网网络及安全设备运维</w:t>
            </w:r>
            <w:r/>
          </w:p>
        </w:tc>
        <w:tc>
          <w:tcPr>
            <w:tcW w:w="6468" w:type="dxa"/>
            <w:vAlign w:val="center"/>
            <w:textDirection w:val="lrTb"/>
            <w:noWrap w:val="false"/>
          </w:tcPr>
          <w:p>
            <w:pPr>
              <w:spacing w:line="360" w:lineRule="auto"/>
              <w:rPr>
                <w:rFonts w:ascii="宋体" w:hAnsi="宋体"/>
                <w:highlight w:val="none"/>
              </w:rPr>
            </w:pPr>
            <w:r>
              <w:rPr>
                <w:rFonts w:hint="eastAsia" w:ascii="宋体" w:hAnsi="宋体"/>
                <w:highlight w:val="none"/>
              </w:rPr>
              <w:t xml:space="preserve">通过网络监控平台及安全设备管理平台，实时监控江苏省高级人民法院局域网与一张网相关的所有网络及安全设备。</w:t>
            </w:r>
            <w:r/>
          </w:p>
        </w:tc>
      </w:tr>
      <w:tr>
        <w:trPr>
          <w:jc w:val="center"/>
        </w:trPr>
        <w:tc>
          <w:tcPr>
            <w:tcW w:w="2660" w:type="dxa"/>
            <w:vAlign w:val="center"/>
            <w:textDirection w:val="lrTb"/>
            <w:noWrap w:val="false"/>
          </w:tcPr>
          <w:p>
            <w:pPr>
              <w:spacing w:line="360" w:lineRule="auto"/>
              <w:rPr>
                <w:rFonts w:ascii="宋体" w:hAnsi="宋体"/>
                <w:highlight w:val="none"/>
              </w:rPr>
            </w:pPr>
            <w:r>
              <w:rPr>
                <w:rFonts w:hint="eastAsia" w:ascii="宋体" w:hAnsi="宋体"/>
                <w:highlight w:val="none"/>
              </w:rPr>
              <w:t xml:space="preserve">故障处理</w:t>
            </w:r>
            <w:r/>
          </w:p>
        </w:tc>
        <w:tc>
          <w:tcPr>
            <w:tcW w:w="6468" w:type="dxa"/>
            <w:vAlign w:val="center"/>
            <w:textDirection w:val="lrTb"/>
            <w:noWrap w:val="false"/>
          </w:tcPr>
          <w:p>
            <w:pPr>
              <w:spacing w:line="360" w:lineRule="auto"/>
              <w:rPr>
                <w:rFonts w:ascii="宋体" w:hAnsi="宋体"/>
                <w:highlight w:val="none"/>
              </w:rPr>
            </w:pPr>
            <w:r>
              <w:rPr>
                <w:rFonts w:hint="eastAsia" w:ascii="宋体" w:hAnsi="宋体"/>
                <w:highlight w:val="none"/>
              </w:rPr>
              <w:t xml:space="preserve">根据监控平台反馈问题及全省法院电话报修问题，及时处理网络故障。</w:t>
            </w:r>
            <w:r/>
          </w:p>
        </w:tc>
      </w:tr>
      <w:tr>
        <w:trPr>
          <w:jc w:val="center"/>
        </w:trPr>
        <w:tc>
          <w:tcPr>
            <w:tcW w:w="2660" w:type="dxa"/>
            <w:vAlign w:val="center"/>
            <w:textDirection w:val="lrTb"/>
            <w:noWrap w:val="false"/>
          </w:tcPr>
          <w:p>
            <w:pPr>
              <w:spacing w:line="360" w:lineRule="auto"/>
              <w:rPr>
                <w:rFonts w:ascii="宋体" w:hAnsi="宋体"/>
                <w:highlight w:val="none"/>
              </w:rPr>
            </w:pPr>
            <w:r>
              <w:rPr>
                <w:rFonts w:hint="eastAsia" w:ascii="宋体" w:hAnsi="宋体"/>
                <w:highlight w:val="none"/>
              </w:rPr>
              <w:t xml:space="preserve">远程巡检及报告</w:t>
            </w:r>
            <w:r/>
          </w:p>
        </w:tc>
        <w:tc>
          <w:tcPr>
            <w:tcW w:w="6468" w:type="dxa"/>
            <w:vAlign w:val="center"/>
            <w:textDirection w:val="lrTb"/>
            <w:noWrap w:val="false"/>
          </w:tcPr>
          <w:p>
            <w:pPr>
              <w:spacing w:line="360" w:lineRule="auto"/>
              <w:rPr>
                <w:rFonts w:ascii="宋体" w:hAnsi="宋体"/>
                <w:highlight w:val="none"/>
              </w:rPr>
            </w:pPr>
            <w:r>
              <w:rPr>
                <w:rFonts w:hint="eastAsia" w:ascii="宋体" w:hAnsi="宋体"/>
                <w:highlight w:val="none"/>
              </w:rPr>
              <w:t xml:space="preserve">每周远程查看上述所有设备状态，采集状态信息并形成书面报告。</w:t>
            </w:r>
            <w:r/>
          </w:p>
        </w:tc>
      </w:tr>
      <w:tr>
        <w:trPr>
          <w:jc w:val="center"/>
        </w:trPr>
        <w:tc>
          <w:tcPr>
            <w:tcW w:w="2660" w:type="dxa"/>
            <w:vAlign w:val="center"/>
            <w:textDirection w:val="lrTb"/>
            <w:noWrap w:val="false"/>
          </w:tcPr>
          <w:p>
            <w:pPr>
              <w:spacing w:line="360" w:lineRule="auto"/>
              <w:rPr>
                <w:rFonts w:ascii="宋体" w:hAnsi="宋体"/>
                <w:highlight w:val="none"/>
              </w:rPr>
            </w:pPr>
            <w:r>
              <w:rPr>
                <w:rFonts w:hint="eastAsia" w:ascii="宋体" w:hAnsi="宋体"/>
                <w:highlight w:val="none"/>
              </w:rPr>
              <w:t xml:space="preserve">局域网现场巡检</w:t>
            </w:r>
            <w:r/>
          </w:p>
        </w:tc>
        <w:tc>
          <w:tcPr>
            <w:tcW w:w="6468" w:type="dxa"/>
            <w:vAlign w:val="center"/>
            <w:textDirection w:val="lrTb"/>
            <w:noWrap w:val="false"/>
          </w:tcPr>
          <w:p>
            <w:pPr>
              <w:spacing w:line="360" w:lineRule="auto"/>
              <w:rPr>
                <w:rFonts w:ascii="宋体" w:hAnsi="宋体"/>
                <w:highlight w:val="none"/>
              </w:rPr>
            </w:pPr>
            <w:r>
              <w:rPr>
                <w:rFonts w:hint="eastAsia" w:ascii="宋体" w:hAnsi="宋体"/>
                <w:highlight w:val="none"/>
              </w:rPr>
              <w:t xml:space="preserve">每月对江苏省高级人民法院局域网现场环境及设备进行人工现场巡检并形成书面记录。</w:t>
            </w:r>
            <w:r/>
          </w:p>
        </w:tc>
      </w:tr>
      <w:tr>
        <w:trPr>
          <w:jc w:val="center"/>
        </w:trPr>
        <w:tc>
          <w:tcPr>
            <w:tcW w:w="2660" w:type="dxa"/>
            <w:vAlign w:val="center"/>
            <w:textDirection w:val="lrTb"/>
            <w:noWrap w:val="false"/>
          </w:tcPr>
          <w:p>
            <w:pPr>
              <w:spacing w:line="360" w:lineRule="auto"/>
              <w:rPr>
                <w:rFonts w:ascii="宋体" w:hAnsi="宋体"/>
                <w:highlight w:val="none"/>
              </w:rPr>
            </w:pPr>
            <w:r>
              <w:rPr>
                <w:rFonts w:hint="eastAsia" w:ascii="宋体" w:hAnsi="宋体"/>
                <w:highlight w:val="none"/>
              </w:rPr>
              <w:t xml:space="preserve">其他服务</w:t>
            </w:r>
            <w:r/>
          </w:p>
        </w:tc>
        <w:tc>
          <w:tcPr>
            <w:tcW w:w="6468" w:type="dxa"/>
            <w:vAlign w:val="center"/>
            <w:textDirection w:val="lrTb"/>
            <w:noWrap w:val="false"/>
          </w:tcPr>
          <w:p>
            <w:pPr>
              <w:spacing w:line="360" w:lineRule="auto"/>
              <w:rPr>
                <w:rFonts w:ascii="宋体" w:hAnsi="宋体"/>
                <w:highlight w:val="none"/>
              </w:rPr>
            </w:pPr>
            <w:r>
              <w:rPr>
                <w:rFonts w:hint="eastAsia" w:ascii="宋体" w:hAnsi="宋体"/>
                <w:highlight w:val="none"/>
              </w:rPr>
              <w:t xml:space="preserve">协助处理与江苏省高级人民法院所有线路、网络、安全相关的设备更替、策略调整等其他事宜。</w:t>
            </w:r>
            <w:r/>
          </w:p>
        </w:tc>
      </w:tr>
    </w:tbl>
    <w:p>
      <w:pPr>
        <w:pStyle w:val="945"/>
        <w:ind w:firstLine="321"/>
        <w:spacing w:before="0" w:after="0" w:line="360" w:lineRule="auto"/>
        <w:rPr>
          <w:sz w:val="24"/>
          <w:szCs w:val="24"/>
          <w:highlight w:val="none"/>
        </w:rPr>
      </w:pPr>
      <w:r>
        <w:rPr>
          <w:rFonts w:hint="eastAsia"/>
          <w:sz w:val="24"/>
          <w:szCs w:val="24"/>
          <w:highlight w:val="none"/>
        </w:rPr>
        <w:t xml:space="preserve">3</w:t>
      </w:r>
      <w:r>
        <w:rPr>
          <w:sz w:val="24"/>
          <w:szCs w:val="24"/>
          <w:highlight w:val="none"/>
        </w:rPr>
        <w:t xml:space="preserve">. </w:t>
      </w:r>
      <w:r>
        <w:rPr>
          <w:rFonts w:hint="eastAsia"/>
          <w:sz w:val="24"/>
          <w:szCs w:val="24"/>
          <w:highlight w:val="none"/>
        </w:rPr>
        <w:t xml:space="preserve">实施要求</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1、协议签订后，相关传输线路建设和配套设备部署需在40个自然日内完成交付，联网率达到</w:t>
      </w:r>
      <w:r>
        <w:rPr>
          <w:rFonts w:ascii="宋体" w:hAnsi="宋体"/>
          <w:sz w:val="24"/>
          <w:szCs w:val="24"/>
          <w:highlight w:val="none"/>
        </w:rPr>
        <w:t xml:space="preserve">100%</w:t>
      </w:r>
      <w:r>
        <w:rPr>
          <w:rFonts w:hint="eastAsia" w:ascii="宋体" w:hAnsi="宋体"/>
          <w:sz w:val="24"/>
          <w:szCs w:val="24"/>
          <w:highlight w:val="none"/>
        </w:rPr>
        <w:t xml:space="preserve">。驻场人员需在线路服务完成交付后10个自然日内进场。</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2、投标人</w:t>
      </w:r>
      <w:r>
        <w:rPr>
          <w:rFonts w:ascii="宋体" w:hAnsi="宋体"/>
          <w:sz w:val="24"/>
          <w:szCs w:val="24"/>
          <w:highlight w:val="none"/>
        </w:rPr>
        <w:t xml:space="preserve">根据</w:t>
      </w:r>
      <w:r>
        <w:rPr>
          <w:rFonts w:hint="eastAsia" w:ascii="宋体" w:hAnsi="宋体"/>
          <w:sz w:val="24"/>
          <w:szCs w:val="24"/>
          <w:highlight w:val="none"/>
        </w:rPr>
        <w:t xml:space="preserve">采购人</w:t>
      </w:r>
      <w:r>
        <w:rPr>
          <w:rFonts w:ascii="宋体" w:hAnsi="宋体"/>
          <w:sz w:val="24"/>
          <w:szCs w:val="24"/>
          <w:highlight w:val="none"/>
        </w:rPr>
        <w:t xml:space="preserve">提供的详细地址安装铺设到指定位置、指定设备，涉及线路割接等协调事宜，由</w:t>
      </w:r>
      <w:r>
        <w:rPr>
          <w:rFonts w:hint="eastAsia" w:ascii="宋体" w:hAnsi="宋体"/>
          <w:sz w:val="24"/>
          <w:szCs w:val="24"/>
          <w:highlight w:val="none"/>
        </w:rPr>
        <w:t xml:space="preserve">中标方</w:t>
      </w:r>
      <w:r>
        <w:rPr>
          <w:rFonts w:ascii="宋体" w:hAnsi="宋体"/>
          <w:sz w:val="24"/>
          <w:szCs w:val="24"/>
          <w:highlight w:val="none"/>
        </w:rPr>
        <w:t xml:space="preserve">负责。</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3、服务期内，线路进行日常割接时，网络通信中断不得超过8小时。配合完成现有一级专网线路的调整割接工作，包括但不限于路由切换、业务联调联测、原有路由设备下架等工作，确保割接期间业务平稳过渡。</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线路建设完成后，用户组织交付验收，验收报告需有双方签字、盖章。项目交付验收合格之日或最高法院“一张网”云资源租赁采购生效之日（以较晚日期起算），开始进入计费周期；若验收不通过，用户有权终止合同。</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5、服务期内，投标人应免费提供线路迁移服务，迁移服务包含：</w:t>
      </w:r>
      <w:r/>
    </w:p>
    <w:p>
      <w:pPr>
        <w:ind w:firstLine="480"/>
        <w:spacing w:line="360" w:lineRule="auto"/>
        <w:rPr>
          <w:rFonts w:ascii="宋体" w:hAnsi="宋体"/>
          <w:sz w:val="24"/>
          <w:szCs w:val="24"/>
          <w:highlight w:val="none"/>
        </w:rPr>
      </w:pPr>
      <w:r>
        <w:rPr>
          <w:rFonts w:ascii="宋体" w:hAnsi="宋体"/>
          <w:sz w:val="24"/>
          <w:szCs w:val="24"/>
          <w:highlight w:val="none"/>
        </w:rPr>
        <w:t xml:space="preserve">A</w:t>
      </w:r>
      <w:r>
        <w:rPr>
          <w:rFonts w:hint="eastAsia" w:ascii="宋体" w:hAnsi="宋体"/>
          <w:sz w:val="24"/>
          <w:szCs w:val="24"/>
          <w:highlight w:val="none"/>
        </w:rPr>
        <w:t xml:space="preserve">．用户方办公地点整体迁移。要求线路提供商先开通新办公地点的线路，用户迁移工作完毕后，再拆除原办公地点线路。新老线路在迁移期间不再额外收取任何费用。新旧光传输设备型号、容量不降低。</w:t>
      </w:r>
      <w:r/>
    </w:p>
    <w:p>
      <w:pPr>
        <w:ind w:firstLine="480"/>
        <w:spacing w:line="360" w:lineRule="auto"/>
        <w:rPr>
          <w:rFonts w:ascii="宋体" w:hAnsi="宋体"/>
          <w:sz w:val="24"/>
          <w:szCs w:val="24"/>
          <w:highlight w:val="none"/>
        </w:rPr>
      </w:pPr>
      <w:r>
        <w:rPr>
          <w:rFonts w:ascii="宋体" w:hAnsi="宋体"/>
          <w:sz w:val="24"/>
          <w:szCs w:val="24"/>
          <w:highlight w:val="none"/>
        </w:rPr>
        <w:t xml:space="preserve">B</w:t>
      </w:r>
      <w:r>
        <w:rPr>
          <w:rFonts w:hint="eastAsia" w:ascii="宋体" w:hAnsi="宋体"/>
          <w:sz w:val="24"/>
          <w:szCs w:val="24"/>
          <w:highlight w:val="none"/>
        </w:rPr>
        <w:t xml:space="preserve">．用户方办公地点不变，机房位置根据工作需要改变位置。要求线路提供商根据用户需求，免费提供接入光缆或光传输设备的移位服务。</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迁移前应制定详细的线路迁移方案，迁移中线路中断时间应在用户的要求范围内，迁移后保证线路的可用性，确保系统如期正常运行。如发生计划内或计划外的割接、升级和改造等操作，可能影响到采购人线路的正常使用时，投标人应至少提前5个工作日以书面形式通知采购人。</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6、竣工后，线路交付时投标人提供每条线路的测试报告。</w:t>
      </w:r>
      <w:r/>
    </w:p>
    <w:p>
      <w:pPr>
        <w:pStyle w:val="945"/>
        <w:ind w:firstLine="321"/>
        <w:spacing w:before="0" w:after="0" w:line="360" w:lineRule="auto"/>
        <w:rPr>
          <w:sz w:val="24"/>
          <w:szCs w:val="24"/>
          <w:highlight w:val="none"/>
        </w:rPr>
      </w:pPr>
      <w:r>
        <w:rPr>
          <w:rFonts w:hint="eastAsia"/>
          <w:sz w:val="24"/>
          <w:szCs w:val="24"/>
          <w:highlight w:val="none"/>
        </w:rPr>
        <w:t xml:space="preserve">4</w:t>
      </w:r>
      <w:r>
        <w:rPr>
          <w:sz w:val="24"/>
          <w:szCs w:val="24"/>
          <w:highlight w:val="none"/>
        </w:rPr>
        <w:t xml:space="preserve">. </w:t>
      </w:r>
      <w:r>
        <w:rPr>
          <w:rFonts w:hint="eastAsia"/>
          <w:sz w:val="24"/>
          <w:szCs w:val="24"/>
          <w:highlight w:val="none"/>
        </w:rPr>
        <w:t xml:space="preserve">服务要求</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1、服务范围：具备省市县三级服务架构，对线路和投标人放在客户端传输设备的运营和维护，故障排查和修复、故障配件更换、技术咨询等，并响应客户需求对重要时间节点进行应急保障和巡检。</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2、服务时间：需具有省、市、县三级维护架构，有经验丰富的专业技术人员负责维护管理，维护人员</w:t>
      </w:r>
      <w:r>
        <w:rPr>
          <w:rFonts w:ascii="宋体" w:hAnsi="宋体"/>
          <w:sz w:val="24"/>
          <w:szCs w:val="24"/>
          <w:highlight w:val="none"/>
        </w:rPr>
        <w:t xml:space="preserve">7*24</w:t>
      </w:r>
      <w:r>
        <w:rPr>
          <w:rFonts w:hint="eastAsia" w:ascii="宋体" w:hAnsi="宋体"/>
          <w:sz w:val="24"/>
          <w:szCs w:val="24"/>
          <w:highlight w:val="none"/>
        </w:rPr>
        <w:t xml:space="preserve">小时实时响应网络障碍或用户申告，保证网络障碍或用户申告得到快速、有效的处理，确保专网用户业务数据安全通畅。</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3、响应时间：线路和设备发生技术性故障影响使用时，要求投标人的服务电话</w:t>
      </w:r>
      <w:r>
        <w:rPr>
          <w:rFonts w:ascii="宋体" w:hAnsi="宋体"/>
          <w:sz w:val="24"/>
          <w:szCs w:val="24"/>
          <w:highlight w:val="none"/>
        </w:rPr>
        <w:t xml:space="preserve">15</w:t>
      </w:r>
      <w:r>
        <w:rPr>
          <w:rFonts w:hint="eastAsia" w:ascii="宋体" w:hAnsi="宋体"/>
          <w:sz w:val="24"/>
          <w:szCs w:val="24"/>
          <w:highlight w:val="none"/>
        </w:rPr>
        <w:t xml:space="preserve">分钟内进行实质性响应，平均恢复时间小于2小时。</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驻场人员安排：驻场运维人员应保持相对固定，人员更换应提前征得采购人同意，所更换人员需经采购人认可。运维人员应具有驻场工作所需对应水平的技术资质证书。具体要求请详见2.5驻场及巡检人员服务要求。</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5、配件要求：所供设备均为原厂正宗原配产品（包括在标配基础上增加的配件也必须为原厂原配），不得使用任何拆机件或旧件。</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6、备品备件要求：为确保设备发生故障后能尽快修复，投标人应根据实际维护要求自行储备各类常用备品、备件、备机。在服务期内，如发生网络设备故障，由相关工程师现场处理；对于硬件损坏的情况（需与硬件生产厂商技术支持热线确认），提供备件替换服务，</w:t>
      </w:r>
      <w:r>
        <w:rPr>
          <w:rFonts w:ascii="宋体" w:hAnsi="宋体"/>
          <w:sz w:val="24"/>
          <w:szCs w:val="24"/>
          <w:highlight w:val="none"/>
        </w:rPr>
        <w:t xml:space="preserve">数据存储</w:t>
      </w:r>
      <w:r>
        <w:rPr>
          <w:rFonts w:hint="eastAsia" w:ascii="宋体" w:hAnsi="宋体"/>
          <w:sz w:val="24"/>
          <w:szCs w:val="24"/>
          <w:highlight w:val="none"/>
        </w:rPr>
        <w:t xml:space="preserve">介质</w:t>
      </w:r>
      <w:r>
        <w:rPr>
          <w:rFonts w:ascii="宋体" w:hAnsi="宋体"/>
          <w:sz w:val="24"/>
          <w:szCs w:val="24"/>
          <w:highlight w:val="none"/>
        </w:rPr>
        <w:t xml:space="preserve">不得带离法院</w:t>
      </w:r>
      <w:r>
        <w:rPr>
          <w:rFonts w:hint="eastAsia" w:ascii="宋体" w:hAnsi="宋体"/>
          <w:sz w:val="24"/>
          <w:szCs w:val="24"/>
          <w:highlight w:val="none"/>
        </w:rPr>
        <w:t xml:space="preserve">。</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7、服务费用：本分包中所有电路调整、切换所需的相关设备由中标方提供，所有技术支持、服务产生的费用以及涉及的备件费用等均包含在此次项目报价中，采购人不再额外支付其他任何费用。</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8、知识产权：保证所供货物、服务或其他不受第三方提出侵犯其专利权、商标权、版权和工业设计权的指控。</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9、服务保障：网络服务期间以及网络割接替换过程时，配合采购人完成相关迁移工作，不以任何理由拒绝采购人提出的合理资源配合和人员保障要求，</w:t>
      </w:r>
      <w:r>
        <w:rPr>
          <w:rFonts w:ascii="宋体" w:hAnsi="宋体"/>
          <w:sz w:val="24"/>
          <w:szCs w:val="24"/>
          <w:highlight w:val="none"/>
        </w:rPr>
        <w:t xml:space="preserve">需投标人提供书面承诺函并加盖电子签章</w:t>
      </w:r>
      <w:r>
        <w:rPr>
          <w:rFonts w:hint="eastAsia" w:ascii="宋体" w:hAnsi="宋体"/>
          <w:sz w:val="24"/>
          <w:szCs w:val="24"/>
          <w:highlight w:val="none"/>
        </w:rPr>
        <w:t xml:space="preserve">。</w:t>
      </w:r>
      <w:r/>
    </w:p>
    <w:p>
      <w:pPr>
        <w:pStyle w:val="945"/>
        <w:ind w:firstLine="321"/>
        <w:spacing w:before="0" w:after="0" w:line="360" w:lineRule="auto"/>
        <w:rPr>
          <w:sz w:val="24"/>
          <w:szCs w:val="24"/>
          <w:highlight w:val="none"/>
        </w:rPr>
      </w:pPr>
      <w:r>
        <w:rPr>
          <w:rFonts w:hint="eastAsia"/>
          <w:sz w:val="24"/>
          <w:szCs w:val="24"/>
          <w:highlight w:val="none"/>
        </w:rPr>
        <w:t xml:space="preserve">5. 方案要求</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投标人需在投标过程中出具如下方案，中标后根据甲方要求进行修改，并在执行过程中不断完善：</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技术方案</w:t>
      </w:r>
      <w:r>
        <w:rPr>
          <w:rFonts w:hint="eastAsia" w:ascii="宋体" w:hAnsi="宋体"/>
          <w:sz w:val="24"/>
          <w:szCs w:val="24"/>
          <w:highlight w:val="none"/>
        </w:rPr>
        <w:t xml:space="preserve">。</w:t>
      </w:r>
      <w:r>
        <w:rPr>
          <w:rFonts w:ascii="宋体" w:hAnsi="宋体"/>
          <w:sz w:val="24"/>
          <w:szCs w:val="24"/>
          <w:highlight w:val="none"/>
        </w:rPr>
        <w:t xml:space="preserve">技术方案应满足与全省法院一张网的线路互联要求，包含但不限于组网设计、日常监管、可靠性保障、网络安全防护等内容。</w:t>
      </w:r>
      <w:r>
        <w:rPr>
          <w:rFonts w:hint="eastAsia" w:ascii="宋体" w:hAnsi="宋体"/>
          <w:sz w:val="24"/>
          <w:szCs w:val="24"/>
          <w:highlight w:val="none"/>
        </w:rPr>
        <w:t xml:space="preserve">日常监管方面，投标人须对提供的线路进行告警、性能等方面的监控，定期提供告警分析报告；投标人具备线路告警监控信息推送能力，按需向采购人进行推送；投标人按需对采购人重点线路进行网络带宽使用情况监控，具备按周、按月分析能力，并提供分析报告。</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2、实施方案。</w:t>
      </w:r>
      <w:r>
        <w:rPr>
          <w:rFonts w:ascii="宋体" w:hAnsi="宋体"/>
          <w:sz w:val="24"/>
          <w:szCs w:val="24"/>
          <w:highlight w:val="none"/>
        </w:rPr>
        <w:t xml:space="preserve">实施方案应包含但不限于实施进度计划、项目管理制度、工期和质量控制措施、测试验收等内容</w:t>
      </w:r>
      <w:r>
        <w:rPr>
          <w:rFonts w:hint="eastAsia" w:ascii="宋体" w:hAnsi="宋体"/>
          <w:sz w:val="24"/>
          <w:szCs w:val="24"/>
          <w:highlight w:val="none"/>
        </w:rPr>
        <w:t xml:space="preserve">。测试验收方面，竣工后线路交付时投标人应提供每条线路的测试报告；线路建设完成后，用户组织交付验收，验收报告需有双方签字、盖章。</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安全保障方案</w:t>
      </w:r>
      <w:r>
        <w:rPr>
          <w:rFonts w:hint="eastAsia" w:ascii="宋体" w:hAnsi="宋体"/>
          <w:sz w:val="24"/>
          <w:szCs w:val="24"/>
          <w:highlight w:val="none"/>
        </w:rPr>
        <w:t xml:space="preserve">。</w:t>
      </w:r>
      <w:r>
        <w:rPr>
          <w:rFonts w:ascii="宋体" w:hAnsi="宋体"/>
          <w:sz w:val="24"/>
          <w:szCs w:val="24"/>
          <w:highlight w:val="none"/>
        </w:rPr>
        <w:t xml:space="preserve">安全保障方案应包含但不限于网络安全防护、安全监控体系、安全事件应急预案、信息保密制度等</w:t>
      </w:r>
      <w:r>
        <w:rPr>
          <w:rFonts w:hint="eastAsia" w:ascii="宋体" w:hAnsi="宋体"/>
          <w:sz w:val="24"/>
          <w:szCs w:val="24"/>
          <w:highlight w:val="none"/>
        </w:rPr>
        <w:t xml:space="preserve">，确保施工期间及投入运营后符合最高法院网络安全要求。网络安全防护方面，</w:t>
      </w:r>
      <w:r>
        <w:rPr>
          <w:rFonts w:hint="eastAsia" w:ascii="宋体" w:hAnsi="宋体"/>
          <w:b/>
          <w:bCs/>
          <w:sz w:val="24"/>
          <w:highlight w:val="none"/>
        </w:rPr>
        <w:t xml:space="preserve">应提供包含安全策略、攻击防范、应用审计等维度的方案，</w:t>
      </w:r>
      <w:r>
        <w:rPr>
          <w:rFonts w:hint="eastAsia" w:ascii="宋体" w:hAnsi="宋体"/>
          <w:sz w:val="24"/>
          <w:szCs w:val="24"/>
          <w:highlight w:val="none"/>
        </w:rPr>
        <w:t xml:space="preserve">投标人应具备</w:t>
      </w:r>
      <w:r>
        <w:rPr>
          <w:rFonts w:ascii="宋体" w:hAnsi="宋体"/>
          <w:sz w:val="24"/>
          <w:szCs w:val="24"/>
          <w:highlight w:val="none"/>
        </w:rPr>
        <w:t xml:space="preserve">网络安全应急服务支撑能力、安全漏洞发现与处理能力，配合采购人定期针对</w:t>
      </w:r>
      <w:r>
        <w:rPr>
          <w:rFonts w:hint="eastAsia" w:ascii="宋体" w:hAnsi="宋体"/>
          <w:sz w:val="24"/>
          <w:szCs w:val="24"/>
          <w:highlight w:val="none"/>
        </w:rPr>
        <w:t xml:space="preserve">“一张网”</w:t>
      </w:r>
      <w:r>
        <w:rPr>
          <w:rFonts w:ascii="宋体" w:hAnsi="宋体"/>
          <w:sz w:val="24"/>
          <w:szCs w:val="24"/>
          <w:highlight w:val="none"/>
        </w:rPr>
        <w:t xml:space="preserve">系统</w:t>
      </w:r>
      <w:r>
        <w:rPr>
          <w:rFonts w:hint="eastAsia" w:ascii="宋体" w:hAnsi="宋体"/>
          <w:sz w:val="24"/>
          <w:szCs w:val="24"/>
          <w:highlight w:val="none"/>
        </w:rPr>
        <w:t xml:space="preserve">相关设备</w:t>
      </w:r>
      <w:r>
        <w:rPr>
          <w:rFonts w:ascii="宋体" w:hAnsi="宋体"/>
          <w:sz w:val="24"/>
          <w:szCs w:val="24"/>
          <w:highlight w:val="none"/>
        </w:rPr>
        <w:t xml:space="preserve">开展漏洞扫描、安全配置核查等相关工作，定位安全漏洞、弱口令等安全风险</w:t>
      </w:r>
      <w:r>
        <w:rPr>
          <w:rFonts w:hint="eastAsia" w:ascii="宋体" w:hAnsi="宋体"/>
          <w:sz w:val="24"/>
          <w:szCs w:val="24"/>
          <w:highlight w:val="none"/>
        </w:rPr>
        <w:t xml:space="preserve">。</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交接方案</w:t>
      </w:r>
      <w:r>
        <w:rPr>
          <w:rFonts w:hint="eastAsia" w:ascii="宋体" w:hAnsi="宋体"/>
          <w:sz w:val="24"/>
          <w:szCs w:val="24"/>
          <w:highlight w:val="none"/>
        </w:rPr>
        <w:t xml:space="preserve">。</w:t>
      </w:r>
      <w:r>
        <w:rPr>
          <w:rFonts w:ascii="宋体" w:hAnsi="宋体"/>
          <w:sz w:val="24"/>
          <w:szCs w:val="24"/>
          <w:highlight w:val="none"/>
        </w:rPr>
        <w:t xml:space="preserve">供应商应根据招标文件要求，提供具体详实的与南中心系统对接方案，包括但不限于对接难点、对接内容、对接计划、对接验证等。</w:t>
      </w:r>
      <w:r>
        <w:rPr>
          <w:rFonts w:hint="eastAsia" w:ascii="宋体" w:hAnsi="宋体"/>
          <w:sz w:val="24"/>
          <w:szCs w:val="24"/>
          <w:highlight w:val="none"/>
        </w:rPr>
        <w:t xml:space="preserve">对接难点方面，</w:t>
      </w:r>
      <w:r>
        <w:rPr>
          <w:rFonts w:ascii="宋体" w:hAnsi="宋体"/>
          <w:sz w:val="24"/>
          <w:szCs w:val="24"/>
          <w:highlight w:val="none"/>
        </w:rPr>
        <w:t xml:space="preserve">聚焦于双运营商专线场景下的高可用保障、链路与路由的协同冗余</w:t>
      </w:r>
      <w:r>
        <w:rPr>
          <w:rFonts w:hint="eastAsia" w:ascii="宋体" w:hAnsi="宋体"/>
          <w:sz w:val="24"/>
          <w:szCs w:val="24"/>
          <w:highlight w:val="none"/>
        </w:rPr>
        <w:t xml:space="preserve">等</w:t>
      </w:r>
      <w:r>
        <w:rPr>
          <w:rFonts w:ascii="宋体" w:hAnsi="宋体"/>
          <w:sz w:val="24"/>
          <w:szCs w:val="24"/>
          <w:highlight w:val="none"/>
        </w:rPr>
        <w:t xml:space="preserve">维度</w:t>
      </w:r>
      <w:r>
        <w:rPr>
          <w:rFonts w:hint="eastAsia" w:ascii="宋体" w:hAnsi="宋体"/>
          <w:sz w:val="24"/>
          <w:szCs w:val="24"/>
          <w:highlight w:val="none"/>
        </w:rPr>
        <w:t xml:space="preserve">，提供针对性的解决方案，投标人应在较短期限内，配合完成现有一级专网线路的调整割接工作，并完整</w:t>
      </w:r>
      <w:r>
        <w:rPr>
          <w:rFonts w:ascii="宋体" w:hAnsi="宋体"/>
          <w:sz w:val="24"/>
          <w:szCs w:val="24"/>
          <w:highlight w:val="none"/>
        </w:rPr>
        <w:t xml:space="preserve">对接最高</w:t>
      </w:r>
      <w:r>
        <w:rPr>
          <w:rFonts w:hint="eastAsia" w:ascii="宋体" w:hAnsi="宋体"/>
          <w:sz w:val="24"/>
          <w:szCs w:val="24"/>
          <w:highlight w:val="none"/>
        </w:rPr>
        <w:t xml:space="preserve">院</w:t>
      </w:r>
      <w:r>
        <w:rPr>
          <w:rFonts w:ascii="宋体" w:hAnsi="宋体"/>
          <w:sz w:val="24"/>
          <w:szCs w:val="24"/>
          <w:highlight w:val="none"/>
        </w:rPr>
        <w:t xml:space="preserve">域名系统</w:t>
      </w:r>
      <w:r>
        <w:rPr>
          <w:rFonts w:hint="eastAsia" w:ascii="宋体" w:hAnsi="宋体"/>
          <w:sz w:val="24"/>
          <w:szCs w:val="24"/>
          <w:highlight w:val="none"/>
        </w:rPr>
        <w:t xml:space="preserve">。对接验证方面，投标人应配合采购人对</w:t>
      </w:r>
      <w:r>
        <w:rPr>
          <w:rFonts w:ascii="宋体" w:hAnsi="宋体"/>
          <w:sz w:val="24"/>
          <w:szCs w:val="24"/>
          <w:highlight w:val="none"/>
        </w:rPr>
        <w:t xml:space="preserve">与南中心系统对接</w:t>
      </w:r>
      <w:r>
        <w:rPr>
          <w:rFonts w:hint="eastAsia" w:ascii="宋体" w:hAnsi="宋体"/>
          <w:sz w:val="24"/>
          <w:szCs w:val="24"/>
          <w:highlight w:val="none"/>
        </w:rPr>
        <w:t xml:space="preserve">的线路进行测试验收，</w:t>
      </w:r>
      <w:r>
        <w:rPr>
          <w:rFonts w:ascii="宋体" w:hAnsi="宋体"/>
          <w:bCs/>
          <w:sz w:val="24"/>
          <w:highlight w:val="none"/>
        </w:rPr>
        <w:t xml:space="preserve">从链路层、路由层</w:t>
      </w:r>
      <w:r>
        <w:rPr>
          <w:rFonts w:hint="eastAsia" w:ascii="宋体" w:hAnsi="宋体"/>
          <w:bCs/>
          <w:sz w:val="24"/>
          <w:highlight w:val="none"/>
        </w:rPr>
        <w:t xml:space="preserve">等</w:t>
      </w:r>
      <w:r>
        <w:rPr>
          <w:rFonts w:ascii="宋体" w:hAnsi="宋体"/>
          <w:bCs/>
          <w:sz w:val="24"/>
          <w:highlight w:val="none"/>
        </w:rPr>
        <w:t xml:space="preserve">维度开展验证工作，</w:t>
      </w:r>
      <w:r>
        <w:rPr>
          <w:rFonts w:hint="eastAsia" w:ascii="宋体" w:hAnsi="宋体"/>
          <w:sz w:val="24"/>
          <w:szCs w:val="24"/>
          <w:highlight w:val="none"/>
        </w:rPr>
        <w:t xml:space="preserve">确保线路满足互联互通需求。</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5、</w:t>
      </w:r>
      <w:r>
        <w:rPr>
          <w:rFonts w:ascii="宋体" w:hAnsi="宋体"/>
          <w:sz w:val="24"/>
          <w:szCs w:val="24"/>
          <w:highlight w:val="none"/>
        </w:rPr>
        <w:t xml:space="preserve">售后服务方案</w:t>
      </w:r>
      <w:r>
        <w:rPr>
          <w:rFonts w:hint="eastAsia" w:ascii="宋体" w:hAnsi="宋体"/>
          <w:sz w:val="24"/>
          <w:szCs w:val="24"/>
          <w:highlight w:val="none"/>
        </w:rPr>
        <w:t xml:space="preserve">。</w:t>
      </w:r>
      <w:r>
        <w:rPr>
          <w:rFonts w:ascii="宋体" w:hAnsi="宋体"/>
          <w:sz w:val="24"/>
          <w:szCs w:val="24"/>
          <w:highlight w:val="none"/>
        </w:rPr>
        <w:t xml:space="preserve">售后服务方案中需包含服务机构、服务内容、响应时间、故障处理、恢复时效、支撑保障内容</w:t>
      </w:r>
      <w:r>
        <w:rPr>
          <w:rFonts w:hint="eastAsia" w:ascii="宋体" w:hAnsi="宋体"/>
          <w:sz w:val="24"/>
          <w:szCs w:val="24"/>
          <w:highlight w:val="none"/>
        </w:rPr>
        <w:t xml:space="preserve">。服务内容方面，投标人在进行可能会影响采购人业务的所有维护或更换操作时，应提供完备详尽的操作方案，向用户详细解释潜在风险。所有操作均以保证数据安全和设备完好服务为前提。投标人须提供全面合理可行的故障应急解决方案，并负责整个系统恢复正常。系统恢复后，需出具详细维修服务报告。</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6、</w:t>
      </w:r>
      <w:r>
        <w:rPr>
          <w:rFonts w:ascii="宋体" w:hAnsi="宋体"/>
          <w:sz w:val="24"/>
          <w:szCs w:val="24"/>
          <w:highlight w:val="none"/>
        </w:rPr>
        <w:t xml:space="preserve">驻场运维方案</w:t>
      </w:r>
      <w:r>
        <w:rPr>
          <w:rFonts w:hint="eastAsia" w:ascii="宋体" w:hAnsi="宋体"/>
          <w:sz w:val="24"/>
          <w:szCs w:val="24"/>
          <w:highlight w:val="none"/>
        </w:rPr>
        <w:t xml:space="preserve">。</w:t>
      </w:r>
      <w:r>
        <w:rPr>
          <w:rFonts w:ascii="宋体" w:hAnsi="宋体"/>
          <w:sz w:val="24"/>
          <w:szCs w:val="24"/>
          <w:highlight w:val="none"/>
        </w:rPr>
        <w:t xml:space="preserve">驻场服务方案应包含但不限于线路日常管理、巡检维护、安全事件分析及处理等内容。</w:t>
      </w:r>
      <w:r>
        <w:rPr>
          <w:rFonts w:hint="eastAsia" w:ascii="宋体" w:hAnsi="宋体"/>
          <w:sz w:val="24"/>
          <w:szCs w:val="24"/>
          <w:highlight w:val="none"/>
        </w:rPr>
        <w:t xml:space="preserve">巡检维护方面，每半年由工程师对线路和设备进行一次整体巡检，每次需提供正式巡检报告。提供正式的巡检报告，报告中应详细列明线路和设备的运行情况和可能潜在的问题，如有维护维修操作则需提供相关报告。报告中所有数据均应真实可靠。</w:t>
      </w:r>
      <w:r/>
    </w:p>
    <w:p>
      <w:pPr>
        <w:pStyle w:val="945"/>
        <w:ind w:firstLine="321"/>
        <w:spacing w:before="0" w:after="0" w:line="360" w:lineRule="auto"/>
        <w:rPr>
          <w:sz w:val="24"/>
          <w:szCs w:val="24"/>
          <w:highlight w:val="none"/>
        </w:rPr>
      </w:pPr>
      <w:r>
        <w:rPr>
          <w:rFonts w:hint="eastAsia"/>
          <w:sz w:val="24"/>
          <w:szCs w:val="24"/>
          <w:highlight w:val="none"/>
        </w:rPr>
        <w:t xml:space="preserve">6. 其他要求</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对接承诺</w:t>
      </w:r>
      <w:r>
        <w:rPr>
          <w:rFonts w:hint="eastAsia" w:ascii="宋体" w:hAnsi="宋体"/>
          <w:sz w:val="24"/>
          <w:szCs w:val="24"/>
          <w:highlight w:val="none"/>
        </w:rPr>
        <w:t xml:space="preserve">。</w:t>
      </w:r>
      <w:r>
        <w:rPr>
          <w:rFonts w:ascii="宋体" w:hAnsi="宋体"/>
          <w:sz w:val="24"/>
          <w:szCs w:val="24"/>
          <w:highlight w:val="none"/>
        </w:rPr>
        <w:t xml:space="preserve">供应商针对与南中心对接并实现网络PING测通的时限进行承诺</w:t>
      </w:r>
      <w:r>
        <w:rPr>
          <w:rFonts w:hint="eastAsia" w:ascii="宋体" w:hAnsi="宋体"/>
          <w:sz w:val="24"/>
          <w:szCs w:val="24"/>
          <w:highlight w:val="none"/>
        </w:rPr>
        <w:t xml:space="preserve">。</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2、企业资质。</w:t>
      </w:r>
      <w:r>
        <w:rPr>
          <w:rFonts w:ascii="宋体" w:hAnsi="宋体"/>
          <w:sz w:val="24"/>
          <w:szCs w:val="24"/>
          <w:highlight w:val="none"/>
        </w:rPr>
        <w:t xml:space="preserve">投标人具备有效期内的ISO9001质量管理体系认证证书</w:t>
      </w:r>
      <w:r>
        <w:rPr>
          <w:rFonts w:hint="eastAsia" w:ascii="宋体" w:hAnsi="宋体"/>
          <w:sz w:val="24"/>
          <w:szCs w:val="24"/>
          <w:highlight w:val="none"/>
        </w:rPr>
        <w:t xml:space="preserve">。</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3、项目实施团队。</w:t>
      </w:r>
      <w:r>
        <w:rPr>
          <w:rFonts w:ascii="宋体" w:hAnsi="宋体"/>
          <w:sz w:val="24"/>
          <w:szCs w:val="24"/>
          <w:highlight w:val="none"/>
        </w:rPr>
        <w:t xml:space="preserve">（1）项目经理：投标人需配备1名项目经理，具备信息系统项目管理师（高级）、ITSS IT服务项目经理、一级建造师（通信与广电工程专业）、通信工程师、信息安全保障人员认证（CISAW）、注册信息安全专业人员（CISP）、高级工程师证书、系统集成项目管理工程师</w:t>
      </w:r>
      <w:r>
        <w:rPr>
          <w:rFonts w:hint="eastAsia" w:ascii="宋体" w:hAnsi="宋体"/>
          <w:sz w:val="24"/>
          <w:szCs w:val="24"/>
          <w:highlight w:val="none"/>
        </w:rPr>
        <w:t xml:space="preserve">等</w:t>
      </w:r>
      <w:r>
        <w:rPr>
          <w:rFonts w:ascii="宋体" w:hAnsi="宋体"/>
          <w:sz w:val="24"/>
          <w:szCs w:val="24"/>
          <w:highlight w:val="none"/>
        </w:rPr>
        <w:t xml:space="preserve">证书；（2）项目技术负责人：投标人需配备1名技术负责人，具备信息系统项目管理师（高级）、高级职称（通信、网络相关专业）、通信工程师、系统集成项目管理工程师、网络工程师、注册信息安全工程师（CISE）</w:t>
      </w:r>
      <w:r>
        <w:rPr>
          <w:rFonts w:hint="eastAsia" w:ascii="宋体" w:hAnsi="宋体"/>
          <w:sz w:val="24"/>
          <w:szCs w:val="24"/>
          <w:highlight w:val="none"/>
        </w:rPr>
        <w:t xml:space="preserve">等证书</w:t>
      </w:r>
      <w:r>
        <w:rPr>
          <w:rFonts w:ascii="宋体" w:hAnsi="宋体"/>
          <w:sz w:val="24"/>
          <w:szCs w:val="24"/>
          <w:highlight w:val="none"/>
        </w:rPr>
        <w:t xml:space="preserve">；（3）项目安全负责人：投标人需配备1名项目安全负责人，具备高级职称（通信、网络相关专业）、一级建造师（通信与广电工程专业）、信息系统项目管理师（高级）、ITSS IT服务项目经理、注册信息安全工程师（CISE）、注册信息安全专业人员（CISP)证书、网络安全能力认证（CCSC网络安全技术类别）、信息安全保障人员认证（CISAW）等证书。（4）其他人员：投标人为本项目实施配备的其他人员（除项目经理、项目技术负责人、项目安全负责人外），具有网络工程师、通信工程师、ITSS服务工程师证书、网络规划设计师</w:t>
      </w:r>
      <w:r>
        <w:rPr>
          <w:rFonts w:hint="eastAsia" w:ascii="宋体" w:hAnsi="宋体"/>
          <w:sz w:val="24"/>
          <w:szCs w:val="24"/>
          <w:highlight w:val="none"/>
        </w:rPr>
        <w:t xml:space="preserve">等证书</w:t>
      </w:r>
      <w:r>
        <w:rPr>
          <w:rFonts w:ascii="宋体" w:hAnsi="宋体"/>
          <w:sz w:val="24"/>
          <w:szCs w:val="24"/>
          <w:highlight w:val="none"/>
        </w:rPr>
        <w:t xml:space="preserve">。</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驻场运维服务承诺</w:t>
      </w:r>
      <w:r>
        <w:rPr>
          <w:rFonts w:hint="eastAsia" w:ascii="宋体" w:hAnsi="宋体"/>
          <w:sz w:val="24"/>
          <w:szCs w:val="24"/>
          <w:highlight w:val="none"/>
        </w:rPr>
        <w:t xml:space="preserve">。</w:t>
      </w:r>
      <w:r>
        <w:rPr>
          <w:rFonts w:ascii="宋体" w:hAnsi="宋体"/>
          <w:sz w:val="24"/>
          <w:szCs w:val="24"/>
          <w:highlight w:val="none"/>
        </w:rPr>
        <w:t xml:space="preserve">项目中标后提供一名驻场人员，该人员需全程在岗提供常态化运维保障服务。驻场人员具备多年一线从业经历，拥有丰富的网络线路搭建、巡检、故障排查、日常运维及改造类项目实操经验熟悉各类网络线路架构、设备运行规范与运维标准，可高效处置线路卡顿、中断、链路异常等各类常见及突发问题，保障项目网络线路长期稳定、安全运行，严格遵守省法院现场管理规定，保质保量完成各项驻场维护工作。</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5、</w:t>
      </w:r>
      <w:r>
        <w:rPr>
          <w:rFonts w:ascii="宋体" w:hAnsi="宋体"/>
          <w:sz w:val="24"/>
          <w:szCs w:val="24"/>
          <w:highlight w:val="none"/>
        </w:rPr>
        <w:t xml:space="preserve">成功案例</w:t>
      </w:r>
      <w:r>
        <w:rPr>
          <w:rFonts w:hint="eastAsia" w:ascii="宋体" w:hAnsi="宋体"/>
          <w:sz w:val="24"/>
          <w:szCs w:val="24"/>
          <w:highlight w:val="none"/>
        </w:rPr>
        <w:t xml:space="preserve">。</w:t>
      </w:r>
      <w:r>
        <w:rPr>
          <w:rFonts w:ascii="宋体" w:hAnsi="宋体"/>
          <w:sz w:val="24"/>
          <w:szCs w:val="24"/>
          <w:highlight w:val="none"/>
        </w:rPr>
        <w:t xml:space="preserve">投标人提供自 2023年1月1日以来（以合同签订时间为准）承担过类似组网项目。</w:t>
      </w:r>
      <w:r/>
    </w:p>
    <w:p>
      <w:pPr>
        <w:pStyle w:val="945"/>
        <w:ind w:firstLine="482"/>
        <w:spacing w:before="0" w:after="0" w:line="360" w:lineRule="auto"/>
        <w:rPr>
          <w:sz w:val="28"/>
          <w:szCs w:val="28"/>
          <w:highlight w:val="none"/>
        </w:rPr>
      </w:pPr>
      <w:r>
        <w:rPr>
          <w:rFonts w:hint="eastAsia"/>
          <w:sz w:val="28"/>
          <w:szCs w:val="28"/>
          <w:highlight w:val="none"/>
        </w:rPr>
        <w:t xml:space="preserve">采购包2：江苏法院“一张网”专线租赁项目备用线路租赁及运维服务</w:t>
      </w:r>
      <w:r/>
    </w:p>
    <w:p>
      <w:pPr>
        <w:pStyle w:val="945"/>
        <w:ind w:firstLine="607"/>
        <w:spacing w:before="0" w:after="0" w:line="360" w:lineRule="auto"/>
        <w:rPr>
          <w:sz w:val="24"/>
          <w:szCs w:val="24"/>
          <w:highlight w:val="none"/>
        </w:rPr>
      </w:pPr>
      <w:r>
        <w:rPr>
          <w:rFonts w:hint="eastAsia"/>
          <w:sz w:val="24"/>
          <w:szCs w:val="24"/>
          <w:highlight w:val="none"/>
        </w:rPr>
        <w:t xml:space="preserve">1.采购清单</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本采购包采购清单如下：</w:t>
      </w:r>
      <w:r/>
    </w:p>
    <w:tbl>
      <w:tblPr>
        <w:tblStyle w:val="772"/>
        <w:tblW w:w="89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5"/>
        <w:gridCol w:w="4543"/>
        <w:gridCol w:w="1542"/>
        <w:gridCol w:w="1340"/>
      </w:tblGrid>
      <w:tr>
        <w:trPr>
          <w:jc w:val="center"/>
          <w:trHeight w:val="285"/>
          <w:tblHeader/>
        </w:trPr>
        <w:tc>
          <w:tcPr>
            <w:shd w:val="clear" w:color="000000" w:fill="bfbfbf"/>
            <w:tcW w:w="1555" w:type="dxa"/>
            <w:vAlign w:val="center"/>
            <w:textDirection w:val="lrTb"/>
            <w:noWrap w:val="false"/>
          </w:tcPr>
          <w:p>
            <w:pPr>
              <w:contextualSpacing/>
              <w:spacing w:line="360" w:lineRule="auto"/>
              <w:rPr>
                <w:rFonts w:ascii="宋体" w:hAnsi="宋体"/>
                <w:highlight w:val="none"/>
              </w:rPr>
            </w:pPr>
            <w:r>
              <w:rPr>
                <w:rFonts w:hint="eastAsia" w:ascii="宋体" w:hAnsi="宋体"/>
                <w:highlight w:val="none"/>
              </w:rPr>
              <w:t xml:space="preserve">需求内容</w:t>
            </w:r>
            <w:r/>
          </w:p>
        </w:tc>
        <w:tc>
          <w:tcPr>
            <w:shd w:val="clear" w:color="000000" w:fill="bfbfbf"/>
            <w:tcW w:w="4543" w:type="dxa"/>
            <w:vAlign w:val="center"/>
            <w:textDirection w:val="lrTb"/>
            <w:noWrap w:val="false"/>
          </w:tcPr>
          <w:p>
            <w:pPr>
              <w:contextualSpacing/>
              <w:spacing w:line="360" w:lineRule="auto"/>
              <w:rPr>
                <w:rFonts w:ascii="宋体" w:hAnsi="宋体"/>
                <w:highlight w:val="none"/>
              </w:rPr>
            </w:pPr>
            <w:r>
              <w:rPr>
                <w:rFonts w:hint="eastAsia" w:ascii="宋体" w:hAnsi="宋体"/>
                <w:highlight w:val="none"/>
              </w:rPr>
              <w:t xml:space="preserve">详细描述</w:t>
            </w:r>
            <w:r/>
          </w:p>
        </w:tc>
        <w:tc>
          <w:tcPr>
            <w:shd w:val="clear" w:color="000000" w:fill="bfbfbf"/>
            <w:tcW w:w="1542" w:type="dxa"/>
            <w:vAlign w:val="center"/>
            <w:textDirection w:val="lrTb"/>
            <w:noWrap w:val="false"/>
          </w:tcPr>
          <w:p>
            <w:pPr>
              <w:contextualSpacing/>
              <w:spacing w:line="360" w:lineRule="auto"/>
              <w:rPr>
                <w:rFonts w:ascii="宋体" w:hAnsi="宋体"/>
                <w:highlight w:val="none"/>
              </w:rPr>
            </w:pPr>
            <w:r>
              <w:rPr>
                <w:rFonts w:hint="eastAsia" w:ascii="宋体" w:hAnsi="宋体"/>
                <w:highlight w:val="none"/>
              </w:rPr>
              <w:t xml:space="preserve">规格</w:t>
            </w:r>
            <w:r/>
          </w:p>
        </w:tc>
        <w:tc>
          <w:tcPr>
            <w:shd w:val="clear" w:color="000000" w:fill="bfbfbf"/>
            <w:tcW w:w="1340" w:type="dxa"/>
            <w:vAlign w:val="center"/>
            <w:textDirection w:val="lrTb"/>
            <w:noWrap w:val="false"/>
          </w:tcPr>
          <w:p>
            <w:pPr>
              <w:contextualSpacing/>
              <w:spacing w:line="360" w:lineRule="auto"/>
              <w:rPr>
                <w:rFonts w:ascii="宋体" w:hAnsi="宋体"/>
                <w:highlight w:val="none"/>
              </w:rPr>
            </w:pPr>
            <w:r>
              <w:rPr>
                <w:rFonts w:hint="eastAsia" w:ascii="宋体" w:hAnsi="宋体"/>
                <w:highlight w:val="none"/>
              </w:rPr>
              <w:t xml:space="preserve">数量</w:t>
            </w:r>
            <w:r/>
          </w:p>
        </w:tc>
      </w:tr>
      <w:tr>
        <w:trPr>
          <w:jc w:val="center"/>
          <w:trHeight w:val="315"/>
        </w:trPr>
        <w:tc>
          <w:tcPr>
            <w:tcW w:w="1555" w:type="dxa"/>
            <w:vAlign w:val="center"/>
            <w:vMerge w:val="restart"/>
            <w:textDirection w:val="lrTb"/>
            <w:noWrap w:val="false"/>
          </w:tcPr>
          <w:p>
            <w:pPr>
              <w:contextualSpacing/>
              <w:spacing w:line="360" w:lineRule="auto"/>
              <w:rPr>
                <w:rFonts w:ascii="宋体" w:hAnsi="宋体"/>
                <w:highlight w:val="none"/>
              </w:rPr>
            </w:pPr>
            <w:r>
              <w:rPr>
                <w:rFonts w:hint="eastAsia" w:ascii="宋体" w:hAnsi="宋体"/>
                <w:highlight w:val="none"/>
              </w:rPr>
              <w:t xml:space="preserve">传输线路</w:t>
            </w:r>
            <w:r/>
          </w:p>
        </w:tc>
        <w:tc>
          <w:tcPr>
            <w:tcW w:w="4543" w:type="dxa"/>
            <w:vAlign w:val="center"/>
            <w:textDirection w:val="lrTb"/>
            <w:noWrap w:val="false"/>
          </w:tcPr>
          <w:p>
            <w:pPr>
              <w:contextualSpacing/>
              <w:spacing w:line="360" w:lineRule="auto"/>
              <w:rPr>
                <w:rFonts w:ascii="宋体" w:hAnsi="宋体"/>
                <w:highlight w:val="none"/>
              </w:rPr>
            </w:pPr>
            <w:r>
              <w:rPr>
                <w:rFonts w:hint="eastAsia" w:ascii="宋体" w:hAnsi="宋体"/>
                <w:highlight w:val="none"/>
              </w:rPr>
              <w:t xml:space="preserve">省法院到各中级法院、基层法院、南京海事法院、江苏法官培训学院</w:t>
            </w:r>
            <w:r/>
          </w:p>
        </w:tc>
        <w:tc>
          <w:tcPr>
            <w:tcW w:w="1542" w:type="dxa"/>
            <w:vAlign w:val="center"/>
            <w:textDirection w:val="lrTb"/>
            <w:noWrap w:val="false"/>
          </w:tcPr>
          <w:p>
            <w:pPr>
              <w:contextualSpacing/>
              <w:spacing w:line="360" w:lineRule="auto"/>
              <w:rPr>
                <w:rFonts w:ascii="宋体" w:hAnsi="宋体"/>
                <w:highlight w:val="none"/>
              </w:rPr>
            </w:pPr>
            <w:r>
              <w:rPr>
                <w:rFonts w:hint="eastAsia" w:ascii="宋体" w:hAnsi="宋体"/>
                <w:highlight w:val="none"/>
              </w:rPr>
              <w:t xml:space="preserve">500M</w:t>
            </w:r>
            <w:r/>
          </w:p>
        </w:tc>
        <w:tc>
          <w:tcPr>
            <w:tcW w:w="1340" w:type="dxa"/>
            <w:vAlign w:val="center"/>
            <w:textDirection w:val="lrTb"/>
            <w:noWrap w:val="false"/>
          </w:tcPr>
          <w:p>
            <w:pPr>
              <w:contextualSpacing/>
              <w:spacing w:line="360" w:lineRule="auto"/>
              <w:rPr>
                <w:rFonts w:ascii="宋体" w:hAnsi="宋体"/>
                <w:highlight w:val="none"/>
              </w:rPr>
            </w:pPr>
            <w:r>
              <w:rPr>
                <w:rFonts w:hint="eastAsia" w:ascii="宋体" w:hAnsi="宋体"/>
                <w:highlight w:val="none"/>
              </w:rPr>
              <w:t xml:space="preserve">125条</w:t>
            </w:r>
            <w:r/>
          </w:p>
          <w:p>
            <w:pPr>
              <w:contextualSpacing/>
              <w:spacing w:line="360" w:lineRule="auto"/>
              <w:rPr>
                <w:rFonts w:ascii="宋体" w:hAnsi="宋体"/>
                <w:highlight w:val="none"/>
              </w:rPr>
            </w:pPr>
            <w:r>
              <w:rPr>
                <w:rFonts w:hint="eastAsia" w:ascii="宋体" w:hAnsi="宋体"/>
                <w:sz w:val="13"/>
                <w:szCs w:val="13"/>
                <w:highlight w:val="none"/>
              </w:rPr>
              <w:t xml:space="preserve">（以实际法院数量为准）</w:t>
            </w:r>
            <w:r/>
          </w:p>
        </w:tc>
      </w:tr>
      <w:tr>
        <w:trPr>
          <w:jc w:val="center"/>
          <w:trHeight w:val="315"/>
        </w:trPr>
        <w:tc>
          <w:tcPr>
            <w:tcW w:w="1555" w:type="dxa"/>
            <w:vAlign w:val="center"/>
            <w:vMerge w:val="continue"/>
            <w:textDirection w:val="lrTb"/>
            <w:noWrap w:val="false"/>
          </w:tcPr>
          <w:p>
            <w:pPr>
              <w:contextualSpacing/>
              <w:spacing w:line="360" w:lineRule="auto"/>
              <w:rPr>
                <w:rFonts w:ascii="宋体" w:hAnsi="宋体"/>
                <w:highlight w:val="none"/>
              </w:rPr>
            </w:pPr>
            <w:r>
              <w:rPr>
                <w:rFonts w:ascii="宋体" w:hAnsi="宋体"/>
                <w:highlight w:val="none"/>
              </w:rPr>
            </w:r>
            <w:r/>
          </w:p>
        </w:tc>
        <w:tc>
          <w:tcPr>
            <w:tcW w:w="4543" w:type="dxa"/>
            <w:vAlign w:val="center"/>
            <w:textDirection w:val="lrTb"/>
            <w:noWrap w:val="false"/>
          </w:tcPr>
          <w:p>
            <w:pPr>
              <w:contextualSpacing/>
              <w:spacing w:line="360" w:lineRule="auto"/>
              <w:rPr>
                <w:rFonts w:ascii="宋体" w:hAnsi="宋体"/>
                <w:highlight w:val="none"/>
              </w:rPr>
            </w:pPr>
            <w:r>
              <w:rPr>
                <w:rFonts w:hint="eastAsia" w:ascii="宋体" w:hAnsi="宋体"/>
                <w:highlight w:val="none"/>
              </w:rPr>
              <w:t xml:space="preserve">基层法院</w:t>
            </w:r>
            <w:r>
              <w:rPr>
                <w:rFonts w:ascii="宋体" w:hAnsi="宋体"/>
                <w:highlight w:val="none"/>
              </w:rPr>
              <w:t xml:space="preserve">到派出法庭</w:t>
            </w:r>
            <w:r/>
          </w:p>
        </w:tc>
        <w:tc>
          <w:tcPr>
            <w:tcW w:w="1542" w:type="dxa"/>
            <w:vAlign w:val="center"/>
            <w:textDirection w:val="lrTb"/>
            <w:noWrap w:val="false"/>
          </w:tcPr>
          <w:p>
            <w:pPr>
              <w:contextualSpacing/>
              <w:spacing w:line="360" w:lineRule="auto"/>
              <w:rPr>
                <w:rFonts w:ascii="宋体" w:hAnsi="宋体"/>
                <w:highlight w:val="none"/>
              </w:rPr>
            </w:pPr>
            <w:r>
              <w:rPr>
                <w:rFonts w:hint="eastAsia" w:ascii="宋体" w:hAnsi="宋体"/>
                <w:highlight w:val="none"/>
              </w:rPr>
              <w:t xml:space="preserve">100M</w:t>
            </w:r>
            <w:r/>
          </w:p>
        </w:tc>
        <w:tc>
          <w:tcPr>
            <w:tcW w:w="1340" w:type="dxa"/>
            <w:vAlign w:val="center"/>
            <w:textDirection w:val="lrTb"/>
            <w:noWrap w:val="false"/>
          </w:tcPr>
          <w:p>
            <w:pPr>
              <w:contextualSpacing/>
              <w:spacing w:line="360" w:lineRule="auto"/>
              <w:rPr>
                <w:rFonts w:ascii="宋体" w:hAnsi="宋体"/>
                <w:highlight w:val="none"/>
              </w:rPr>
            </w:pPr>
            <w:r>
              <w:rPr>
                <w:rFonts w:hint="eastAsia" w:ascii="宋体" w:hAnsi="宋体"/>
                <w:highlight w:val="none"/>
              </w:rPr>
              <w:t xml:space="preserve">310条</w:t>
            </w:r>
            <w:r/>
          </w:p>
          <w:p>
            <w:pPr>
              <w:contextualSpacing/>
              <w:spacing w:line="360" w:lineRule="auto"/>
              <w:rPr>
                <w:rFonts w:ascii="宋体" w:hAnsi="宋体"/>
                <w:highlight w:val="none"/>
              </w:rPr>
            </w:pPr>
            <w:r>
              <w:rPr>
                <w:rFonts w:hint="eastAsia" w:ascii="宋体" w:hAnsi="宋体"/>
                <w:sz w:val="13"/>
                <w:szCs w:val="13"/>
                <w:highlight w:val="none"/>
              </w:rPr>
              <w:t xml:space="preserve">（以中标时实际数量为准，后续如有增减，免费增补或停用）</w:t>
            </w:r>
            <w:r/>
          </w:p>
        </w:tc>
      </w:tr>
      <w:tr>
        <w:trPr>
          <w:jc w:val="center"/>
          <w:trHeight w:val="315"/>
        </w:trPr>
        <w:tc>
          <w:tcPr>
            <w:tcW w:w="1555" w:type="dxa"/>
            <w:vAlign w:val="center"/>
            <w:vMerge w:val="continue"/>
            <w:textDirection w:val="lrTb"/>
            <w:noWrap w:val="false"/>
          </w:tcPr>
          <w:p>
            <w:pPr>
              <w:contextualSpacing/>
              <w:spacing w:line="360" w:lineRule="auto"/>
              <w:rPr>
                <w:rFonts w:ascii="宋体" w:hAnsi="宋体"/>
                <w:highlight w:val="none"/>
              </w:rPr>
            </w:pPr>
            <w:r>
              <w:rPr>
                <w:rFonts w:ascii="宋体" w:hAnsi="宋体"/>
                <w:highlight w:val="none"/>
              </w:rPr>
            </w:r>
            <w:r/>
          </w:p>
        </w:tc>
        <w:tc>
          <w:tcPr>
            <w:tcW w:w="4543" w:type="dxa"/>
            <w:vAlign w:val="center"/>
            <w:textDirection w:val="lrTb"/>
            <w:noWrap w:val="false"/>
          </w:tcPr>
          <w:p>
            <w:pPr>
              <w:contextualSpacing/>
              <w:spacing w:line="360" w:lineRule="auto"/>
              <w:rPr>
                <w:rFonts w:ascii="宋体" w:hAnsi="宋体"/>
                <w:highlight w:val="none"/>
              </w:rPr>
            </w:pPr>
            <w:r>
              <w:rPr>
                <w:rFonts w:hint="eastAsia" w:ascii="宋体" w:hAnsi="宋体"/>
                <w:highlight w:val="none"/>
              </w:rPr>
              <w:t xml:space="preserve">江苏省高级人民法院到“一张网”南中心线路</w:t>
            </w:r>
            <w:r/>
          </w:p>
        </w:tc>
        <w:tc>
          <w:tcPr>
            <w:tcW w:w="1542" w:type="dxa"/>
            <w:vAlign w:val="center"/>
            <w:textDirection w:val="lrTb"/>
            <w:noWrap w:val="false"/>
          </w:tcPr>
          <w:p>
            <w:pPr>
              <w:contextualSpacing/>
              <w:spacing w:line="360" w:lineRule="auto"/>
              <w:rPr>
                <w:rFonts w:ascii="宋体" w:hAnsi="宋体"/>
                <w:highlight w:val="none"/>
              </w:rPr>
            </w:pPr>
            <w:r>
              <w:rPr>
                <w:rFonts w:hint="eastAsia" w:ascii="宋体" w:hAnsi="宋体"/>
                <w:highlight w:val="none"/>
              </w:rPr>
              <w:t xml:space="preserve">10000M</w:t>
            </w:r>
            <w:r/>
          </w:p>
        </w:tc>
        <w:tc>
          <w:tcPr>
            <w:tcW w:w="1340" w:type="dxa"/>
            <w:vAlign w:val="center"/>
            <w:textDirection w:val="lrTb"/>
            <w:noWrap w:val="false"/>
          </w:tcPr>
          <w:p>
            <w:pPr>
              <w:contextualSpacing/>
              <w:spacing w:line="360" w:lineRule="auto"/>
              <w:rPr>
                <w:rFonts w:ascii="宋体" w:hAnsi="宋体"/>
                <w:highlight w:val="none"/>
              </w:rPr>
            </w:pPr>
            <w:r>
              <w:rPr>
                <w:rFonts w:hint="eastAsia" w:ascii="宋体" w:hAnsi="宋体"/>
                <w:highlight w:val="none"/>
              </w:rPr>
              <w:t xml:space="preserve">1条</w:t>
            </w:r>
            <w:r/>
          </w:p>
          <w:p>
            <w:pPr>
              <w:contextualSpacing/>
              <w:spacing w:line="360" w:lineRule="auto"/>
              <w:rPr>
                <w:rFonts w:ascii="宋体" w:hAnsi="宋体"/>
                <w:highlight w:val="none"/>
              </w:rPr>
            </w:pPr>
            <w:r>
              <w:rPr>
                <w:rFonts w:hint="eastAsia" w:ascii="宋体" w:hAnsi="宋体"/>
                <w:sz w:val="13"/>
                <w:szCs w:val="13"/>
                <w:highlight w:val="none"/>
              </w:rPr>
              <w:t xml:space="preserve">（包1和包2该线路需采用不同运营商线路，确保路由安全）</w:t>
            </w:r>
            <w:r/>
          </w:p>
        </w:tc>
      </w:tr>
      <w:tr>
        <w:trPr>
          <w:jc w:val="center"/>
          <w:trHeight w:val="315"/>
        </w:trPr>
        <w:tc>
          <w:tcPr>
            <w:tcW w:w="1555" w:type="dxa"/>
            <w:vAlign w:val="center"/>
            <w:textDirection w:val="lrTb"/>
            <w:noWrap w:val="false"/>
          </w:tcPr>
          <w:p>
            <w:pPr>
              <w:contextualSpacing/>
              <w:spacing w:line="360" w:lineRule="auto"/>
              <w:rPr>
                <w:rFonts w:ascii="宋体" w:hAnsi="宋体"/>
                <w:highlight w:val="none"/>
              </w:rPr>
            </w:pPr>
            <w:r>
              <w:rPr>
                <w:rFonts w:hint="eastAsia" w:ascii="宋体" w:hAnsi="宋体"/>
                <w:highlight w:val="none"/>
              </w:rPr>
              <w:t xml:space="preserve">驻场人员</w:t>
            </w:r>
            <w:r/>
          </w:p>
        </w:tc>
        <w:tc>
          <w:tcPr>
            <w:tcW w:w="4543" w:type="dxa"/>
            <w:vAlign w:val="center"/>
            <w:textDirection w:val="lrTb"/>
            <w:noWrap w:val="false"/>
          </w:tcPr>
          <w:p>
            <w:pPr>
              <w:contextualSpacing/>
              <w:spacing w:line="360" w:lineRule="auto"/>
              <w:rPr>
                <w:rFonts w:ascii="宋体" w:hAnsi="宋体"/>
                <w:highlight w:val="none"/>
              </w:rPr>
            </w:pPr>
            <w:r>
              <w:rPr>
                <w:rFonts w:hint="eastAsia" w:ascii="宋体" w:hAnsi="宋体"/>
                <w:highlight w:val="none"/>
              </w:rPr>
              <w:t xml:space="preserve">负责上述所有线路、网络设备及与一张网相关的省法院各类局域网设备的巡检、策略调整，协助参与省法院的与线路相关的网络安全设备配置。</w:t>
            </w:r>
            <w:r/>
          </w:p>
        </w:tc>
        <w:tc>
          <w:tcPr>
            <w:tcW w:w="1542" w:type="dxa"/>
            <w:vAlign w:val="center"/>
            <w:textDirection w:val="lrTb"/>
            <w:noWrap w:val="false"/>
          </w:tcPr>
          <w:p>
            <w:pPr>
              <w:contextualSpacing/>
              <w:spacing w:line="360" w:lineRule="auto"/>
              <w:rPr>
                <w:rFonts w:ascii="宋体" w:hAnsi="宋体"/>
                <w:highlight w:val="none"/>
              </w:rPr>
            </w:pPr>
            <w:r>
              <w:rPr>
                <w:rFonts w:hint="eastAsia" w:ascii="宋体" w:hAnsi="宋体"/>
                <w:highlight w:val="none"/>
              </w:rPr>
              <w:t xml:space="preserve">/</w:t>
            </w:r>
            <w:r/>
          </w:p>
        </w:tc>
        <w:tc>
          <w:tcPr>
            <w:tcW w:w="1340" w:type="dxa"/>
            <w:vAlign w:val="center"/>
            <w:textDirection w:val="lrTb"/>
            <w:noWrap w:val="false"/>
          </w:tcPr>
          <w:p>
            <w:pPr>
              <w:contextualSpacing/>
              <w:spacing w:line="360" w:lineRule="auto"/>
              <w:rPr>
                <w:rFonts w:ascii="宋体" w:hAnsi="宋体"/>
                <w:highlight w:val="none"/>
              </w:rPr>
            </w:pPr>
            <w:r>
              <w:rPr>
                <w:rFonts w:hint="eastAsia" w:ascii="宋体" w:hAnsi="宋体"/>
                <w:highlight w:val="none"/>
              </w:rPr>
              <w:t xml:space="preserve">1名</w:t>
            </w:r>
            <w:r/>
          </w:p>
        </w:tc>
      </w:tr>
      <w:tr>
        <w:trPr>
          <w:jc w:val="center"/>
          <w:trHeight w:val="315"/>
        </w:trPr>
        <w:tc>
          <w:tcPr>
            <w:tcW w:w="1555" w:type="dxa"/>
            <w:vAlign w:val="center"/>
            <w:textDirection w:val="lrTb"/>
            <w:noWrap w:val="false"/>
          </w:tcPr>
          <w:p>
            <w:pPr>
              <w:contextualSpacing/>
              <w:spacing w:line="360" w:lineRule="auto"/>
              <w:rPr>
                <w:rFonts w:ascii="宋体" w:hAnsi="宋体"/>
                <w:highlight w:val="none"/>
              </w:rPr>
            </w:pPr>
            <w:r>
              <w:rPr>
                <w:rFonts w:hint="eastAsia" w:ascii="宋体" w:hAnsi="宋体"/>
                <w:highlight w:val="none"/>
              </w:rPr>
              <w:t xml:space="preserve">巡检人员</w:t>
            </w:r>
            <w:r/>
          </w:p>
        </w:tc>
        <w:tc>
          <w:tcPr>
            <w:tcW w:w="4543" w:type="dxa"/>
            <w:vAlign w:val="center"/>
            <w:textDirection w:val="lrTb"/>
            <w:noWrap w:val="false"/>
          </w:tcPr>
          <w:p>
            <w:pPr>
              <w:contextualSpacing/>
              <w:spacing w:line="360" w:lineRule="auto"/>
              <w:rPr>
                <w:rFonts w:ascii="宋体" w:hAnsi="宋体"/>
                <w:highlight w:val="none"/>
              </w:rPr>
            </w:pPr>
            <w:r>
              <w:rPr>
                <w:rFonts w:hint="eastAsia" w:ascii="宋体" w:hAnsi="宋体"/>
                <w:highlight w:val="none"/>
              </w:rPr>
              <w:t xml:space="preserve">配合上述所有线路、网络设备及与一张网相关的省法院各类局域网设备的巡检、策略调整，协助参与省法院的与线路相关的网络安全设备配置。</w:t>
            </w:r>
            <w:r/>
          </w:p>
          <w:p>
            <w:pPr>
              <w:contextualSpacing/>
              <w:spacing w:line="360" w:lineRule="auto"/>
              <w:rPr>
                <w:rFonts w:ascii="宋体" w:hAnsi="宋体"/>
                <w:highlight w:val="none"/>
              </w:rPr>
            </w:pPr>
            <w:r>
              <w:rPr>
                <w:rFonts w:hint="eastAsia" w:ascii="宋体" w:hAnsi="宋体"/>
                <w:highlight w:val="none"/>
              </w:rPr>
              <w:t xml:space="preserve">每季度到中基层法院对广域网设备检查，维护。检查设备运行环境，运行状况。发现问题及时向相关人员提出，并给出合理的，高效的解决方案。从而做到防微杜渐，保证各种及法院的广域网设备能高效，可靠，安全，稳定的运行。</w:t>
            </w:r>
            <w:r/>
          </w:p>
          <w:p>
            <w:pPr>
              <w:contextualSpacing/>
              <w:spacing w:line="360" w:lineRule="auto"/>
              <w:rPr>
                <w:rFonts w:ascii="宋体" w:hAnsi="宋体"/>
                <w:highlight w:val="none"/>
              </w:rPr>
            </w:pPr>
            <w:r>
              <w:rPr>
                <w:rFonts w:hint="eastAsia" w:ascii="宋体" w:hAnsi="宋体"/>
                <w:highlight w:val="none"/>
              </w:rPr>
              <w:t xml:space="preserve">协助处理省法院门禁系统的网络故障报修。</w:t>
            </w:r>
            <w:r/>
          </w:p>
        </w:tc>
        <w:tc>
          <w:tcPr>
            <w:tcW w:w="1542" w:type="dxa"/>
            <w:vAlign w:val="center"/>
            <w:textDirection w:val="lrTb"/>
            <w:noWrap w:val="false"/>
          </w:tcPr>
          <w:p>
            <w:pPr>
              <w:contextualSpacing/>
              <w:spacing w:line="360" w:lineRule="auto"/>
              <w:rPr>
                <w:rFonts w:ascii="宋体" w:hAnsi="宋体"/>
                <w:highlight w:val="none"/>
              </w:rPr>
            </w:pPr>
            <w:r>
              <w:rPr>
                <w:rFonts w:hint="eastAsia" w:ascii="宋体" w:hAnsi="宋体"/>
                <w:highlight w:val="none"/>
              </w:rPr>
              <w:t xml:space="preserve">/</w:t>
            </w:r>
            <w:r/>
          </w:p>
        </w:tc>
        <w:tc>
          <w:tcPr>
            <w:tcW w:w="1340" w:type="dxa"/>
            <w:vAlign w:val="center"/>
            <w:textDirection w:val="lrTb"/>
            <w:noWrap w:val="false"/>
          </w:tcPr>
          <w:p>
            <w:pPr>
              <w:rPr>
                <w:rFonts w:ascii="宋体" w:hAnsi="宋体"/>
                <w:highlight w:val="none"/>
              </w:rPr>
            </w:pPr>
            <w:r>
              <w:rPr>
                <w:rFonts w:ascii="宋体" w:hAnsi="宋体"/>
                <w:highlight w:val="none"/>
              </w:rPr>
              <w:t xml:space="preserve">1</w:t>
            </w:r>
            <w:r>
              <w:rPr>
                <w:rFonts w:hint="eastAsia" w:ascii="宋体" w:hAnsi="宋体"/>
                <w:highlight w:val="none"/>
              </w:rPr>
              <w:t xml:space="preserve">名</w:t>
            </w:r>
            <w:r/>
          </w:p>
          <w:p>
            <w:pPr>
              <w:contextualSpacing/>
              <w:spacing w:line="360" w:lineRule="auto"/>
              <w:rPr>
                <w:rFonts w:ascii="宋体" w:hAnsi="宋体"/>
                <w:highlight w:val="none"/>
              </w:rPr>
            </w:pPr>
            <w:r>
              <w:rPr>
                <w:rFonts w:hint="eastAsia" w:ascii="宋体" w:hAnsi="宋体"/>
                <w:sz w:val="11"/>
                <w:highlight w:val="none"/>
              </w:rPr>
              <w:t xml:space="preserve">（非常驻</w:t>
            </w:r>
            <w:r>
              <w:rPr>
                <w:rFonts w:ascii="宋体" w:hAnsi="宋体"/>
                <w:sz w:val="11"/>
                <w:highlight w:val="none"/>
              </w:rPr>
              <w:t xml:space="preserve">、可复用）</w:t>
            </w:r>
            <w:r/>
          </w:p>
        </w:tc>
      </w:tr>
      <w:tr>
        <w:trPr>
          <w:jc w:val="center"/>
          <w:trHeight w:val="315"/>
        </w:trPr>
        <w:tc>
          <w:tcPr>
            <w:tcW w:w="1555" w:type="dxa"/>
            <w:vAlign w:val="center"/>
            <w:textDirection w:val="lrTb"/>
            <w:noWrap w:val="false"/>
          </w:tcPr>
          <w:p>
            <w:pPr>
              <w:contextualSpacing/>
              <w:spacing w:line="360" w:lineRule="auto"/>
              <w:rPr>
                <w:rFonts w:ascii="宋体" w:hAnsi="宋体"/>
                <w:highlight w:val="none"/>
              </w:rPr>
            </w:pPr>
            <w:r>
              <w:rPr>
                <w:rFonts w:hint="eastAsia" w:ascii="宋体" w:hAnsi="宋体"/>
                <w:highlight w:val="none"/>
              </w:rPr>
              <w:t xml:space="preserve">点对点</w:t>
            </w:r>
            <w:r>
              <w:rPr>
                <w:rFonts w:ascii="宋体" w:hAnsi="宋体"/>
                <w:highlight w:val="none"/>
              </w:rPr>
              <w:t xml:space="preserve">查控</w:t>
            </w:r>
            <w:r>
              <w:rPr>
                <w:rFonts w:hint="eastAsia" w:ascii="宋体" w:hAnsi="宋体"/>
                <w:highlight w:val="none"/>
              </w:rPr>
              <w:t xml:space="preserve">及办公互联网</w:t>
            </w:r>
            <w:r/>
          </w:p>
        </w:tc>
        <w:tc>
          <w:tcPr>
            <w:tcW w:w="4543" w:type="dxa"/>
            <w:vAlign w:val="center"/>
            <w:textDirection w:val="lrTb"/>
            <w:noWrap w:val="false"/>
          </w:tcPr>
          <w:p>
            <w:pPr>
              <w:contextualSpacing/>
              <w:spacing w:line="360" w:lineRule="auto"/>
              <w:rPr>
                <w:rFonts w:ascii="宋体" w:hAnsi="宋体"/>
                <w:highlight w:val="none"/>
              </w:rPr>
            </w:pPr>
            <w:r>
              <w:rPr>
                <w:rFonts w:hint="eastAsia" w:ascii="宋体" w:hAnsi="宋体"/>
                <w:highlight w:val="none"/>
              </w:rPr>
              <w:t xml:space="preserve">点对点查控及办公互联网，主要包括数字专线电路组网、语音中继接入、互联网宽带接入、裸光纤接入、办公线路与其他线路，原</w:t>
            </w:r>
            <w:r>
              <w:rPr>
                <w:rFonts w:ascii="宋体" w:hAnsi="宋体"/>
                <w:highlight w:val="none"/>
              </w:rPr>
              <w:t xml:space="preserve">服务</w:t>
            </w:r>
            <w:r>
              <w:rPr>
                <w:rFonts w:hint="eastAsia" w:ascii="宋体" w:hAnsi="宋体"/>
                <w:highlight w:val="none"/>
              </w:rPr>
              <w:t xml:space="preserve">期到2026年9月</w:t>
            </w:r>
            <w:r>
              <w:rPr>
                <w:rFonts w:ascii="宋体" w:hAnsi="宋体"/>
                <w:highlight w:val="none"/>
              </w:rPr>
              <w:t xml:space="preserve">。</w:t>
            </w:r>
            <w:r/>
          </w:p>
          <w:p>
            <w:pPr>
              <w:contextualSpacing/>
              <w:spacing w:line="360" w:lineRule="auto"/>
              <w:rPr>
                <w:rFonts w:ascii="宋体" w:hAnsi="宋体"/>
                <w:highlight w:val="none"/>
              </w:rPr>
            </w:pPr>
            <w:r>
              <w:rPr>
                <w:rFonts w:hint="eastAsia" w:ascii="宋体" w:hAnsi="宋体"/>
                <w:highlight w:val="none"/>
              </w:rPr>
              <w:t xml:space="preserve">1000M省法院到吉山云平台MSTP电路两条（政务云法院专区建成后，免费切换至政务云法院专区，有一定并存期，迁移期间不重复收费）。</w:t>
            </w:r>
            <w:r/>
          </w:p>
          <w:p>
            <w:pPr>
              <w:contextualSpacing/>
              <w:spacing w:line="360" w:lineRule="auto"/>
              <w:rPr>
                <w:rFonts w:ascii="宋体" w:hAnsi="宋体"/>
                <w:highlight w:val="none"/>
              </w:rPr>
            </w:pPr>
            <w:r>
              <w:rPr>
                <w:rFonts w:hint="eastAsia" w:ascii="宋体" w:hAnsi="宋体"/>
                <w:highlight w:val="none"/>
              </w:rPr>
              <w:t xml:space="preserve">50M省法院</w:t>
            </w:r>
            <w:r>
              <w:rPr>
                <w:rFonts w:ascii="宋体" w:hAnsi="宋体"/>
                <w:highlight w:val="none"/>
              </w:rPr>
              <w:t xml:space="preserve">到吉山云平台</w:t>
            </w:r>
            <w:r>
              <w:rPr>
                <w:rFonts w:hint="eastAsia" w:ascii="宋体" w:hAnsi="宋体"/>
                <w:highlight w:val="none"/>
              </w:rPr>
              <w:t xml:space="preserve">M</w:t>
            </w:r>
            <w:r>
              <w:rPr>
                <w:rFonts w:ascii="宋体" w:hAnsi="宋体"/>
                <w:highlight w:val="none"/>
              </w:rPr>
              <w:t xml:space="preserve">STP</w:t>
            </w:r>
            <w:r>
              <w:rPr>
                <w:rFonts w:hint="eastAsia" w:ascii="宋体" w:hAnsi="宋体"/>
                <w:highlight w:val="none"/>
              </w:rPr>
              <w:t xml:space="preserve">运维</w:t>
            </w:r>
            <w:r>
              <w:rPr>
                <w:rFonts w:ascii="宋体" w:hAnsi="宋体"/>
                <w:highlight w:val="none"/>
              </w:rPr>
              <w:t xml:space="preserve">监控电路两条。</w:t>
            </w:r>
            <w:r/>
          </w:p>
        </w:tc>
        <w:tc>
          <w:tcPr>
            <w:tcW w:w="1542" w:type="dxa"/>
            <w:vAlign w:val="center"/>
            <w:textDirection w:val="lrTb"/>
            <w:noWrap w:val="false"/>
          </w:tcPr>
          <w:p>
            <w:pPr>
              <w:contextualSpacing/>
              <w:spacing w:line="360" w:lineRule="auto"/>
              <w:rPr>
                <w:rFonts w:ascii="宋体" w:hAnsi="宋体"/>
                <w:highlight w:val="none"/>
              </w:rPr>
            </w:pPr>
            <w:r>
              <w:rPr>
                <w:rFonts w:hint="eastAsia" w:ascii="宋体" w:hAnsi="宋体"/>
                <w:highlight w:val="none"/>
              </w:rPr>
              <w:t xml:space="preserve">见2.6点对点查控及办公互联网要求</w:t>
            </w:r>
            <w:r/>
          </w:p>
        </w:tc>
        <w:tc>
          <w:tcPr>
            <w:tcW w:w="1340" w:type="dxa"/>
            <w:vAlign w:val="center"/>
            <w:textDirection w:val="lrTb"/>
            <w:noWrap w:val="false"/>
          </w:tcPr>
          <w:p>
            <w:pPr>
              <w:contextualSpacing/>
              <w:spacing w:line="360" w:lineRule="auto"/>
              <w:rPr>
                <w:rFonts w:ascii="宋体" w:hAnsi="宋体"/>
                <w:highlight w:val="none"/>
              </w:rPr>
            </w:pPr>
            <w:r>
              <w:rPr>
                <w:rFonts w:ascii="宋体" w:hAnsi="宋体"/>
                <w:highlight w:val="none"/>
              </w:rPr>
            </w:r>
            <w:r/>
          </w:p>
        </w:tc>
      </w:tr>
      <w:tr>
        <w:trPr>
          <w:jc w:val="center"/>
          <w:trHeight w:val="315"/>
        </w:trPr>
        <w:tc>
          <w:tcPr>
            <w:tcW w:w="1555" w:type="dxa"/>
            <w:vAlign w:val="center"/>
            <w:textDirection w:val="lrTb"/>
            <w:noWrap w:val="false"/>
          </w:tcPr>
          <w:p>
            <w:pPr>
              <w:contextualSpacing/>
              <w:spacing w:line="360" w:lineRule="auto"/>
              <w:rPr>
                <w:rFonts w:ascii="宋体" w:hAnsi="宋体"/>
                <w:highlight w:val="none"/>
              </w:rPr>
            </w:pPr>
            <w:r>
              <w:rPr>
                <w:rFonts w:hint="eastAsia" w:ascii="宋体" w:hAnsi="宋体"/>
                <w:highlight w:val="none"/>
              </w:rPr>
              <w:t xml:space="preserve">移动办公线路</w:t>
            </w:r>
            <w:r/>
          </w:p>
        </w:tc>
        <w:tc>
          <w:tcPr>
            <w:tcW w:w="4543" w:type="dxa"/>
            <w:vAlign w:val="center"/>
            <w:textDirection w:val="lrTb"/>
            <w:noWrap w:val="false"/>
          </w:tcPr>
          <w:p>
            <w:pPr>
              <w:contextualSpacing/>
              <w:spacing w:line="360" w:lineRule="auto"/>
              <w:rPr>
                <w:rFonts w:ascii="宋体" w:hAnsi="宋体"/>
                <w:highlight w:val="none"/>
              </w:rPr>
            </w:pPr>
            <w:r>
              <w:rPr>
                <w:rFonts w:hint="eastAsia" w:ascii="宋体" w:hAnsi="宋体"/>
                <w:highlight w:val="none"/>
              </w:rPr>
              <w:t xml:space="preserve">本地200M专线，配套105张每月10G流量卡，用于省法院移动办公。</w:t>
            </w:r>
            <w:r/>
          </w:p>
        </w:tc>
        <w:tc>
          <w:tcPr>
            <w:tcW w:w="1542" w:type="dxa"/>
            <w:vAlign w:val="center"/>
            <w:textDirection w:val="lrTb"/>
            <w:noWrap w:val="false"/>
          </w:tcPr>
          <w:p>
            <w:pPr>
              <w:contextualSpacing/>
              <w:spacing w:line="360" w:lineRule="auto"/>
              <w:rPr>
                <w:rFonts w:ascii="宋体" w:hAnsi="宋体"/>
                <w:highlight w:val="none"/>
              </w:rPr>
            </w:pPr>
            <w:r>
              <w:rPr>
                <w:rFonts w:ascii="宋体" w:hAnsi="宋体"/>
                <w:highlight w:val="none"/>
              </w:rPr>
            </w:r>
            <w:r/>
          </w:p>
        </w:tc>
        <w:tc>
          <w:tcPr>
            <w:tcW w:w="1340" w:type="dxa"/>
            <w:vAlign w:val="center"/>
            <w:textDirection w:val="lrTb"/>
            <w:noWrap w:val="false"/>
          </w:tcPr>
          <w:p>
            <w:pPr>
              <w:contextualSpacing/>
              <w:spacing w:line="360" w:lineRule="auto"/>
              <w:rPr>
                <w:rFonts w:ascii="宋体" w:hAnsi="宋体"/>
                <w:highlight w:val="none"/>
              </w:rPr>
            </w:pPr>
            <w:r>
              <w:rPr>
                <w:rFonts w:ascii="宋体" w:hAnsi="宋体"/>
                <w:highlight w:val="none"/>
              </w:rPr>
            </w:r>
            <w:r/>
          </w:p>
        </w:tc>
      </w:tr>
      <w:tr>
        <w:trPr>
          <w:jc w:val="center"/>
          <w:trHeight w:val="315"/>
        </w:trPr>
        <w:tc>
          <w:tcPr>
            <w:tcW w:w="1555" w:type="dxa"/>
            <w:vAlign w:val="center"/>
            <w:textDirection w:val="lrTb"/>
            <w:noWrap w:val="false"/>
          </w:tcPr>
          <w:p>
            <w:pPr>
              <w:contextualSpacing/>
              <w:spacing w:line="360" w:lineRule="auto"/>
              <w:rPr>
                <w:rFonts w:ascii="宋体" w:hAnsi="宋体"/>
                <w:highlight w:val="none"/>
              </w:rPr>
            </w:pPr>
            <w:r>
              <w:rPr>
                <w:rFonts w:hint="eastAsia" w:ascii="宋体" w:hAnsi="宋体"/>
                <w:highlight w:val="none"/>
              </w:rPr>
              <w:t xml:space="preserve">其他线路</w:t>
            </w:r>
            <w:r/>
          </w:p>
        </w:tc>
        <w:tc>
          <w:tcPr>
            <w:tcW w:w="4543" w:type="dxa"/>
            <w:vAlign w:val="center"/>
            <w:textDirection w:val="lrTb"/>
            <w:noWrap w:val="false"/>
          </w:tcPr>
          <w:p>
            <w:pPr>
              <w:contextualSpacing/>
              <w:spacing w:line="360" w:lineRule="auto"/>
              <w:rPr>
                <w:rFonts w:ascii="宋体" w:hAnsi="宋体"/>
                <w:highlight w:val="none"/>
              </w:rPr>
            </w:pPr>
            <w:r>
              <w:rPr>
                <w:rFonts w:hint="eastAsia" w:ascii="宋体" w:hAnsi="宋体" w:cs="Courier New"/>
                <w:highlight w:val="none"/>
              </w:rPr>
              <w:t xml:space="preserve">主楼6楼机房连接到3楼本地电路</w:t>
            </w:r>
            <w:r/>
          </w:p>
        </w:tc>
        <w:tc>
          <w:tcPr>
            <w:tcW w:w="1542" w:type="dxa"/>
            <w:vAlign w:val="center"/>
            <w:textDirection w:val="lrTb"/>
            <w:noWrap w:val="false"/>
          </w:tcPr>
          <w:p>
            <w:pPr>
              <w:contextualSpacing/>
              <w:spacing w:line="360" w:lineRule="auto"/>
              <w:rPr>
                <w:rFonts w:ascii="宋体" w:hAnsi="宋体"/>
                <w:highlight w:val="none"/>
              </w:rPr>
            </w:pPr>
            <w:r>
              <w:rPr>
                <w:rFonts w:hint="eastAsia" w:ascii="宋体" w:hAnsi="宋体" w:cs="Courier New"/>
                <w:highlight w:val="none"/>
              </w:rPr>
              <w:t xml:space="preserve">2M</w:t>
            </w:r>
            <w:r/>
          </w:p>
        </w:tc>
        <w:tc>
          <w:tcPr>
            <w:tcW w:w="1340" w:type="dxa"/>
            <w:vAlign w:val="center"/>
            <w:textDirection w:val="lrTb"/>
            <w:noWrap w:val="false"/>
          </w:tcPr>
          <w:p>
            <w:pPr>
              <w:contextualSpacing/>
              <w:spacing w:line="360" w:lineRule="auto"/>
              <w:rPr>
                <w:rFonts w:ascii="宋体" w:hAnsi="宋体"/>
                <w:highlight w:val="none"/>
              </w:rPr>
            </w:pPr>
            <w:r>
              <w:rPr>
                <w:rFonts w:hint="eastAsia" w:ascii="宋体" w:hAnsi="宋体"/>
                <w:highlight w:val="none"/>
              </w:rPr>
              <w:t xml:space="preserve">4条</w:t>
            </w:r>
            <w:r/>
          </w:p>
        </w:tc>
      </w:tr>
      <w:tr>
        <w:trPr>
          <w:jc w:val="center"/>
          <w:trHeight w:val="315"/>
        </w:trPr>
        <w:tc>
          <w:tcPr>
            <w:gridSpan w:val="4"/>
            <w:tcW w:w="8980" w:type="dxa"/>
            <w:vAlign w:val="center"/>
            <w:textDirection w:val="lrTb"/>
            <w:noWrap w:val="false"/>
          </w:tcPr>
          <w:p>
            <w:pPr>
              <w:contextualSpacing/>
              <w:spacing w:line="360" w:lineRule="auto"/>
              <w:rPr>
                <w:rFonts w:hint="eastAsia" w:ascii="宋体" w:hAnsi="宋体"/>
                <w:b/>
                <w:bCs/>
                <w:highlight w:val="none"/>
              </w:rPr>
            </w:pPr>
            <w:r>
              <w:rPr>
                <w:rFonts w:hint="eastAsia"/>
                <w:b/>
                <w:bCs/>
                <w:highlight w:val="none"/>
              </w:rPr>
              <w:t xml:space="preserve">本采购包采购货物清单如下：</w:t>
            </w:r>
            <w:r/>
          </w:p>
        </w:tc>
      </w:tr>
      <w:tr>
        <w:trPr>
          <w:jc w:val="center"/>
          <w:trHeight w:val="315"/>
        </w:trPr>
        <w:tc>
          <w:tcPr>
            <w:tcW w:w="1555" w:type="dxa"/>
            <w:vAlign w:val="center"/>
            <w:textDirection w:val="lrTb"/>
            <w:noWrap w:val="false"/>
          </w:tcPr>
          <w:p>
            <w:pPr>
              <w:rPr>
                <w:rFonts w:hint="eastAsia" w:ascii="宋体" w:hAnsi="宋体"/>
                <w:highlight w:val="none"/>
              </w:rPr>
            </w:pPr>
            <w:r>
              <w:rPr>
                <w:rFonts w:hint="eastAsia" w:ascii="宋体" w:hAnsi="宋体"/>
                <w:highlight w:val="none"/>
              </w:rPr>
              <w:t xml:space="preserve">需求内容</w:t>
            </w:r>
            <w:r/>
          </w:p>
        </w:tc>
        <w:tc>
          <w:tcPr>
            <w:tcW w:w="4543" w:type="dxa"/>
            <w:vAlign w:val="center"/>
            <w:textDirection w:val="lrTb"/>
            <w:noWrap w:val="false"/>
          </w:tcPr>
          <w:p>
            <w:pPr>
              <w:rPr>
                <w:rFonts w:hint="eastAsia" w:ascii="宋体" w:hAnsi="宋体"/>
                <w:highlight w:val="none"/>
              </w:rPr>
            </w:pPr>
            <w:r>
              <w:rPr>
                <w:rFonts w:hint="eastAsia" w:ascii="宋体" w:hAnsi="宋体"/>
                <w:highlight w:val="none"/>
              </w:rPr>
              <w:t xml:space="preserve">详细描述</w:t>
            </w:r>
            <w:r/>
          </w:p>
        </w:tc>
        <w:tc>
          <w:tcPr>
            <w:tcW w:w="1542" w:type="dxa"/>
            <w:vAlign w:val="center"/>
            <w:textDirection w:val="lrTb"/>
            <w:noWrap w:val="false"/>
          </w:tcPr>
          <w:p>
            <w:pPr>
              <w:rPr>
                <w:rFonts w:hint="eastAsia" w:ascii="宋体" w:hAnsi="宋体"/>
                <w:highlight w:val="none"/>
              </w:rPr>
            </w:pPr>
            <w:r>
              <w:rPr>
                <w:rFonts w:hint="eastAsia" w:ascii="宋体" w:hAnsi="宋体"/>
                <w:highlight w:val="none"/>
              </w:rPr>
              <w:t xml:space="preserve">规格</w:t>
            </w:r>
            <w:r/>
          </w:p>
        </w:tc>
        <w:tc>
          <w:tcPr>
            <w:tcW w:w="1340" w:type="dxa"/>
            <w:vAlign w:val="center"/>
            <w:textDirection w:val="lrTb"/>
            <w:noWrap w:val="false"/>
          </w:tcPr>
          <w:p>
            <w:pPr>
              <w:rPr>
                <w:rFonts w:hint="eastAsia" w:ascii="宋体" w:hAnsi="宋体"/>
                <w:highlight w:val="none"/>
              </w:rPr>
            </w:pPr>
            <w:r>
              <w:rPr>
                <w:rFonts w:hint="eastAsia" w:ascii="宋体" w:hAnsi="宋体"/>
                <w:highlight w:val="none"/>
              </w:rPr>
              <w:t xml:space="preserve">数量</w:t>
            </w:r>
            <w:r/>
          </w:p>
        </w:tc>
      </w:tr>
      <w:tr>
        <w:trPr>
          <w:jc w:val="center"/>
          <w:trHeight w:val="315"/>
        </w:trPr>
        <w:tc>
          <w:tcPr>
            <w:tcW w:w="1555" w:type="dxa"/>
            <w:vAlign w:val="center"/>
            <w:textDirection w:val="lrTb"/>
            <w:noWrap w:val="false"/>
          </w:tcPr>
          <w:p>
            <w:pPr>
              <w:contextualSpacing/>
              <w:spacing w:line="360" w:lineRule="auto"/>
              <w:rPr>
                <w:rFonts w:hint="eastAsia" w:ascii="宋体" w:hAnsi="宋体"/>
                <w:highlight w:val="none"/>
              </w:rPr>
            </w:pPr>
            <w:r>
              <w:rPr>
                <w:rFonts w:hint="eastAsia" w:ascii="宋体" w:hAnsi="宋体"/>
                <w:highlight w:val="none"/>
              </w:rPr>
              <w:t xml:space="preserve">高性能边界路由器</w:t>
            </w:r>
            <w:r/>
          </w:p>
        </w:tc>
        <w:tc>
          <w:tcPr>
            <w:tcW w:w="4543" w:type="dxa"/>
            <w:vAlign w:val="center"/>
            <w:textDirection w:val="lrTb"/>
            <w:noWrap w:val="false"/>
          </w:tcPr>
          <w:p>
            <w:pPr>
              <w:contextualSpacing/>
              <w:spacing w:line="360" w:lineRule="auto"/>
              <w:rPr>
                <w:rFonts w:hint="eastAsia" w:ascii="宋体" w:hAnsi="宋体" w:cs="Courier New"/>
                <w:highlight w:val="none"/>
              </w:rPr>
            </w:pPr>
            <w:r>
              <w:rPr>
                <w:rFonts w:hint="eastAsia" w:ascii="宋体" w:hAnsi="宋体"/>
                <w:highlight w:val="none"/>
              </w:rPr>
              <w:t xml:space="preserve">上连最高法院南北中心，下联全省法院。</w:t>
            </w:r>
            <w:r/>
          </w:p>
        </w:tc>
        <w:tc>
          <w:tcPr>
            <w:tcW w:w="1542" w:type="dxa"/>
            <w:vAlign w:val="center"/>
            <w:textDirection w:val="lrTb"/>
            <w:noWrap w:val="false"/>
          </w:tcPr>
          <w:p>
            <w:pPr>
              <w:contextualSpacing/>
              <w:spacing w:line="360" w:lineRule="auto"/>
              <w:rPr>
                <w:rFonts w:hint="eastAsia" w:ascii="宋体" w:hAnsi="宋体" w:cs="Courier New"/>
                <w:highlight w:val="none"/>
              </w:rPr>
            </w:pPr>
            <w:r>
              <w:rPr>
                <w:rFonts w:hint="eastAsia" w:ascii="宋体" w:hAnsi="宋体"/>
                <w:highlight w:val="none"/>
              </w:rPr>
              <w:t xml:space="preserve">和包1的省级核心路由器参数要求相同</w:t>
            </w:r>
            <w:r/>
          </w:p>
        </w:tc>
        <w:tc>
          <w:tcPr>
            <w:tcW w:w="1340" w:type="dxa"/>
            <w:vAlign w:val="center"/>
            <w:textDirection w:val="lrTb"/>
            <w:noWrap w:val="false"/>
          </w:tcPr>
          <w:p>
            <w:pPr>
              <w:contextualSpacing/>
              <w:spacing w:line="360" w:lineRule="auto"/>
              <w:rPr>
                <w:rFonts w:ascii="宋体" w:hAnsi="宋体"/>
                <w:highlight w:val="none"/>
              </w:rPr>
            </w:pPr>
            <w:r>
              <w:rPr>
                <w:rFonts w:hint="eastAsia" w:ascii="宋体" w:hAnsi="宋体"/>
                <w:highlight w:val="none"/>
              </w:rPr>
              <w:t xml:space="preserve">1台</w:t>
            </w:r>
            <w:r/>
          </w:p>
          <w:p>
            <w:pPr>
              <w:contextualSpacing/>
              <w:spacing w:line="360" w:lineRule="auto"/>
              <w:rPr>
                <w:rFonts w:hint="eastAsia" w:ascii="宋体" w:hAnsi="宋体"/>
                <w:highlight w:val="none"/>
              </w:rPr>
            </w:pPr>
            <w:r>
              <w:rPr>
                <w:rFonts w:hint="eastAsia" w:ascii="宋体" w:hAnsi="宋体"/>
                <w:sz w:val="13"/>
                <w:szCs w:val="13"/>
                <w:highlight w:val="none"/>
              </w:rPr>
              <w:t xml:space="preserve">（包1和包2配置相同，构成高可用冗余架构）</w:t>
            </w:r>
            <w:r/>
          </w:p>
        </w:tc>
      </w:tr>
      <w:tr>
        <w:trPr>
          <w:jc w:val="center"/>
          <w:trHeight w:val="315"/>
        </w:trPr>
        <w:tc>
          <w:tcPr>
            <w:tcW w:w="1555" w:type="dxa"/>
            <w:vAlign w:val="center"/>
            <w:textDirection w:val="lrTb"/>
            <w:noWrap w:val="false"/>
          </w:tcPr>
          <w:p>
            <w:pPr>
              <w:contextualSpacing/>
              <w:spacing w:line="360" w:lineRule="auto"/>
              <w:rPr>
                <w:rFonts w:hint="eastAsia" w:ascii="宋体" w:hAnsi="宋体"/>
                <w:highlight w:val="none"/>
              </w:rPr>
            </w:pPr>
            <w:r>
              <w:rPr>
                <w:rFonts w:hint="eastAsia" w:ascii="宋体" w:hAnsi="宋体"/>
                <w:highlight w:val="none"/>
              </w:rPr>
              <w:t xml:space="preserve">防火墙</w:t>
            </w:r>
            <w:r/>
          </w:p>
        </w:tc>
        <w:tc>
          <w:tcPr>
            <w:tcW w:w="4543" w:type="dxa"/>
            <w:vAlign w:val="center"/>
            <w:textDirection w:val="lrTb"/>
            <w:noWrap w:val="false"/>
          </w:tcPr>
          <w:p>
            <w:pPr>
              <w:contextualSpacing/>
              <w:spacing w:line="360" w:lineRule="auto"/>
              <w:rPr>
                <w:rFonts w:hint="eastAsia" w:ascii="宋体" w:hAnsi="宋体" w:cs="Courier New"/>
                <w:highlight w:val="none"/>
              </w:rPr>
            </w:pPr>
            <w:r>
              <w:rPr>
                <w:rFonts w:hint="eastAsia" w:ascii="宋体" w:hAnsi="宋体"/>
                <w:highlight w:val="none"/>
              </w:rPr>
              <w:t xml:space="preserve">作为出口网络边界的关键安全设备，承担</w:t>
            </w:r>
            <w:r>
              <w:rPr>
                <w:highlight w:val="none"/>
              </w:rPr>
              <w:t xml:space="preserve">‌</w:t>
            </w:r>
            <w:r>
              <w:rPr>
                <w:rFonts w:hint="eastAsia" w:ascii="宋体" w:hAnsi="宋体" w:cs="宋体"/>
                <w:highlight w:val="none"/>
              </w:rPr>
              <w:t xml:space="preserve">流量过滤、访问控制</w:t>
            </w:r>
            <w:r>
              <w:rPr>
                <w:highlight w:val="none"/>
              </w:rPr>
              <w:t xml:space="preserve">‌</w:t>
            </w:r>
            <w:r>
              <w:rPr>
                <w:rFonts w:hint="eastAsia" w:ascii="宋体" w:hAnsi="宋体" w:cs="宋体"/>
                <w:highlight w:val="none"/>
              </w:rPr>
              <w:t xml:space="preserve">和</w:t>
            </w:r>
            <w:r>
              <w:rPr>
                <w:highlight w:val="none"/>
              </w:rPr>
              <w:t xml:space="preserve">‌</w:t>
            </w:r>
            <w:r>
              <w:rPr>
                <w:rFonts w:hint="eastAsia" w:ascii="宋体" w:hAnsi="宋体" w:cs="宋体"/>
                <w:highlight w:val="none"/>
              </w:rPr>
              <w:t xml:space="preserve">攻击防御等作用</w:t>
            </w:r>
            <w:r/>
          </w:p>
        </w:tc>
        <w:tc>
          <w:tcPr>
            <w:tcW w:w="1542" w:type="dxa"/>
            <w:vAlign w:val="center"/>
            <w:textDirection w:val="lrTb"/>
            <w:noWrap w:val="false"/>
          </w:tcPr>
          <w:p>
            <w:pPr>
              <w:contextualSpacing/>
              <w:spacing w:line="360" w:lineRule="auto"/>
              <w:rPr>
                <w:rFonts w:hint="eastAsia" w:ascii="宋体" w:hAnsi="宋体" w:cs="Courier New"/>
                <w:highlight w:val="none"/>
              </w:rPr>
            </w:pPr>
            <w:r>
              <w:rPr>
                <w:rFonts w:hint="eastAsia" w:ascii="宋体" w:hAnsi="宋体"/>
                <w:highlight w:val="none"/>
              </w:rPr>
              <w:t xml:space="preserve">和包1的防火墙参数要求相同</w:t>
            </w:r>
            <w:r/>
          </w:p>
        </w:tc>
        <w:tc>
          <w:tcPr>
            <w:tcW w:w="1340" w:type="dxa"/>
            <w:vAlign w:val="center"/>
            <w:textDirection w:val="lrTb"/>
            <w:noWrap w:val="false"/>
          </w:tcPr>
          <w:p>
            <w:pPr>
              <w:contextualSpacing/>
              <w:spacing w:line="360" w:lineRule="auto"/>
              <w:rPr>
                <w:rFonts w:ascii="宋体" w:hAnsi="宋体"/>
                <w:highlight w:val="none"/>
              </w:rPr>
            </w:pPr>
            <w:r>
              <w:rPr>
                <w:rFonts w:hint="eastAsia" w:ascii="宋体" w:hAnsi="宋体"/>
                <w:highlight w:val="none"/>
              </w:rPr>
              <w:t xml:space="preserve">1台</w:t>
            </w:r>
            <w:r/>
          </w:p>
          <w:p>
            <w:pPr>
              <w:contextualSpacing/>
              <w:spacing w:line="360" w:lineRule="auto"/>
              <w:rPr>
                <w:rFonts w:hint="eastAsia" w:ascii="宋体" w:hAnsi="宋体"/>
                <w:highlight w:val="none"/>
              </w:rPr>
            </w:pPr>
            <w:r>
              <w:rPr>
                <w:rFonts w:hint="eastAsia" w:ascii="宋体" w:hAnsi="宋体"/>
                <w:sz w:val="13"/>
                <w:szCs w:val="13"/>
                <w:highlight w:val="none"/>
              </w:rPr>
              <w:t xml:space="preserve">（包1和包2配置相同，组成HA（高可用）集群）</w:t>
            </w:r>
            <w:r/>
          </w:p>
        </w:tc>
      </w:tr>
      <w:tr>
        <w:trPr>
          <w:jc w:val="center"/>
          <w:trHeight w:val="315"/>
        </w:trPr>
        <w:tc>
          <w:tcPr>
            <w:tcW w:w="1555" w:type="dxa"/>
            <w:vAlign w:val="center"/>
            <w:textDirection w:val="lrTb"/>
            <w:noWrap w:val="false"/>
          </w:tcPr>
          <w:p>
            <w:pPr>
              <w:contextualSpacing/>
              <w:spacing w:line="360" w:lineRule="auto"/>
              <w:rPr>
                <w:rFonts w:ascii="宋体" w:hAnsi="宋体"/>
                <w:highlight w:val="none"/>
              </w:rPr>
            </w:pPr>
            <w:r>
              <w:rPr>
                <w:rFonts w:hint="eastAsia" w:ascii="宋体" w:hAnsi="宋体"/>
                <w:highlight w:val="none"/>
              </w:rPr>
              <w:t xml:space="preserve">DNS</w:t>
            </w:r>
            <w:r/>
          </w:p>
          <w:p>
            <w:pPr>
              <w:contextualSpacing/>
              <w:spacing w:line="360" w:lineRule="auto"/>
              <w:rPr>
                <w:rFonts w:hint="eastAsia" w:ascii="宋体" w:hAnsi="宋体"/>
                <w:highlight w:val="none"/>
              </w:rPr>
            </w:pPr>
            <w:r>
              <w:rPr>
                <w:rFonts w:hint="eastAsia" w:ascii="宋体" w:hAnsi="宋体"/>
                <w:highlight w:val="none"/>
              </w:rPr>
              <w:t xml:space="preserve">域名解析系统</w:t>
            </w:r>
            <w:r/>
          </w:p>
        </w:tc>
        <w:tc>
          <w:tcPr>
            <w:tcW w:w="4543" w:type="dxa"/>
            <w:vAlign w:val="center"/>
            <w:textDirection w:val="lrTb"/>
            <w:noWrap w:val="false"/>
          </w:tcPr>
          <w:p>
            <w:pPr>
              <w:contextualSpacing/>
              <w:spacing w:line="360" w:lineRule="auto"/>
              <w:rPr>
                <w:rFonts w:hint="eastAsia" w:ascii="宋体" w:hAnsi="宋体" w:cs="Courier New"/>
                <w:highlight w:val="none"/>
              </w:rPr>
            </w:pPr>
            <w:r>
              <w:rPr>
                <w:rFonts w:hint="eastAsia" w:ascii="宋体" w:hAnsi="宋体"/>
                <w:highlight w:val="none"/>
              </w:rPr>
              <w:t xml:space="preserve">作为域名解析服务器，承担江苏省高级人民法院、各中级法院、基层法院等单位的域名解析，满足将域名解析为IP地址，完成业务访问。</w:t>
            </w:r>
            <w:r/>
          </w:p>
        </w:tc>
        <w:tc>
          <w:tcPr>
            <w:tcW w:w="1542" w:type="dxa"/>
            <w:vAlign w:val="center"/>
            <w:textDirection w:val="lrTb"/>
            <w:noWrap w:val="false"/>
          </w:tcPr>
          <w:p>
            <w:pPr>
              <w:contextualSpacing/>
              <w:spacing w:line="360" w:lineRule="auto"/>
              <w:rPr>
                <w:rFonts w:hint="eastAsia" w:ascii="宋体" w:hAnsi="宋体" w:cs="Courier New"/>
                <w:highlight w:val="none"/>
              </w:rPr>
            </w:pPr>
            <w:r>
              <w:rPr>
                <w:rFonts w:hint="eastAsia" w:ascii="宋体" w:hAnsi="宋体"/>
                <w:highlight w:val="none"/>
              </w:rPr>
              <w:t xml:space="preserve">和包1的DNS域名解析系统参数要求相同</w:t>
            </w:r>
            <w:r/>
          </w:p>
        </w:tc>
        <w:tc>
          <w:tcPr>
            <w:tcW w:w="1340" w:type="dxa"/>
            <w:vAlign w:val="center"/>
            <w:textDirection w:val="lrTb"/>
            <w:noWrap w:val="false"/>
          </w:tcPr>
          <w:p>
            <w:pPr>
              <w:contextualSpacing/>
              <w:spacing w:line="360" w:lineRule="auto"/>
              <w:rPr>
                <w:rFonts w:hint="eastAsia" w:ascii="宋体" w:hAnsi="宋体"/>
                <w:highlight w:val="none"/>
              </w:rPr>
            </w:pPr>
            <w:r>
              <w:rPr>
                <w:rFonts w:hint="eastAsia" w:ascii="宋体" w:hAnsi="宋体"/>
                <w:highlight w:val="none"/>
              </w:rPr>
              <w:t xml:space="preserve">1台</w:t>
            </w:r>
            <w:r/>
          </w:p>
        </w:tc>
      </w:tr>
    </w:tbl>
    <w:p>
      <w:pPr>
        <w:pStyle w:val="945"/>
        <w:ind w:firstLine="323"/>
        <w:spacing w:before="145" w:after="0" w:line="360" w:lineRule="auto"/>
        <w:rPr>
          <w:sz w:val="24"/>
          <w:szCs w:val="24"/>
          <w:highlight w:val="none"/>
        </w:rPr>
      </w:pPr>
      <w:r>
        <w:rPr>
          <w:rFonts w:hint="eastAsia"/>
          <w:sz w:val="24"/>
          <w:szCs w:val="24"/>
          <w:highlight w:val="none"/>
        </w:rPr>
        <w:t xml:space="preserve">2</w:t>
      </w:r>
      <w:r>
        <w:rPr>
          <w:sz w:val="24"/>
          <w:szCs w:val="24"/>
          <w:highlight w:val="none"/>
        </w:rPr>
        <w:t xml:space="preserve">.</w:t>
      </w:r>
      <w:r>
        <w:rPr>
          <w:rFonts w:hint="eastAsia"/>
          <w:sz w:val="24"/>
          <w:szCs w:val="24"/>
          <w:highlight w:val="none"/>
        </w:rPr>
        <w:t xml:space="preserve">技术指标</w:t>
      </w:r>
      <w:r/>
    </w:p>
    <w:p>
      <w:pPr>
        <w:pStyle w:val="1056"/>
        <w:ind w:left="1446"/>
        <w:spacing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2.1 </w:t>
      </w:r>
      <w:r>
        <w:rPr>
          <w:rFonts w:hint="eastAsia" w:ascii="Times New Roman" w:hAnsi="Times New Roman" w:eastAsia="宋体"/>
          <w:sz w:val="24"/>
          <w:szCs w:val="24"/>
          <w:highlight w:val="none"/>
        </w:rPr>
        <w:t xml:space="preserve">传输线路（与包1传输线路要求相同）</w:t>
      </w:r>
      <w:r/>
    </w:p>
    <w:p>
      <w:pPr>
        <w:pStyle w:val="1056"/>
        <w:rPr>
          <w:rFonts w:ascii="Times New Roman" w:hAnsi="Times New Roman" w:eastAsia="宋体"/>
          <w:sz w:val="24"/>
          <w:szCs w:val="24"/>
          <w:highlight w:val="none"/>
        </w:rPr>
      </w:pPr>
      <w:r>
        <w:rPr>
          <w:rFonts w:ascii="Times New Roman" w:hAnsi="Times New Roman" w:eastAsia="宋体"/>
          <w:sz w:val="24"/>
          <w:szCs w:val="24"/>
          <w:highlight w:val="none"/>
        </w:rPr>
        <w:t xml:space="preserve">2.2 </w:t>
      </w:r>
      <w:r>
        <w:rPr>
          <w:rFonts w:hint="eastAsia" w:ascii="Times New Roman" w:hAnsi="Times New Roman" w:eastAsia="宋体"/>
          <w:sz w:val="24"/>
          <w:szCs w:val="24"/>
          <w:highlight w:val="none"/>
        </w:rPr>
        <w:t xml:space="preserve"> 高性能边界路由器参数要求（与包1路由器要求相同）</w:t>
      </w:r>
      <w:r/>
    </w:p>
    <w:p>
      <w:pPr>
        <w:pStyle w:val="1056"/>
        <w:rPr>
          <w:rFonts w:ascii="Times New Roman" w:hAnsi="Times New Roman" w:eastAsia="宋体"/>
          <w:sz w:val="24"/>
          <w:szCs w:val="24"/>
          <w:highlight w:val="none"/>
        </w:rPr>
      </w:pPr>
      <w:r>
        <w:rPr>
          <w:rFonts w:ascii="Times New Roman" w:hAnsi="Times New Roman" w:eastAsia="宋体"/>
          <w:sz w:val="24"/>
          <w:szCs w:val="24"/>
          <w:highlight w:val="none"/>
        </w:rPr>
        <w:t xml:space="preserve">2.3  </w:t>
      </w:r>
      <w:r>
        <w:rPr>
          <w:rFonts w:hint="eastAsia" w:ascii="Times New Roman" w:hAnsi="Times New Roman" w:eastAsia="宋体"/>
          <w:sz w:val="24"/>
          <w:szCs w:val="24"/>
          <w:highlight w:val="none"/>
        </w:rPr>
        <w:t xml:space="preserve">防火墙参数要求（与包1防火墙要求相同）</w:t>
      </w:r>
      <w:r/>
    </w:p>
    <w:p>
      <w:pPr>
        <w:pStyle w:val="1056"/>
        <w:rPr>
          <w:rFonts w:ascii="Times New Roman" w:hAnsi="Times New Roman" w:eastAsia="宋体"/>
          <w:sz w:val="24"/>
          <w:szCs w:val="24"/>
          <w:highlight w:val="none"/>
        </w:rPr>
      </w:pPr>
      <w:r>
        <w:rPr>
          <w:rFonts w:ascii="Times New Roman" w:hAnsi="Times New Roman" w:eastAsia="宋体"/>
          <w:sz w:val="24"/>
          <w:szCs w:val="24"/>
          <w:highlight w:val="none"/>
        </w:rPr>
        <w:t xml:space="preserve">2.4  </w:t>
      </w:r>
      <w:r>
        <w:rPr>
          <w:rFonts w:hint="eastAsia" w:ascii="Times New Roman" w:hAnsi="Times New Roman" w:eastAsia="宋体"/>
          <w:sz w:val="24"/>
          <w:szCs w:val="24"/>
          <w:highlight w:val="none"/>
        </w:rPr>
        <w:t xml:space="preserve">DNS域名解析系统参数要求（与包1 DNS域名解析系统要求相同）</w:t>
      </w:r>
      <w:r/>
    </w:p>
    <w:p>
      <w:pPr>
        <w:pStyle w:val="1056"/>
        <w:rPr>
          <w:rFonts w:ascii="Times New Roman" w:hAnsi="Times New Roman" w:eastAsia="宋体"/>
          <w:sz w:val="24"/>
          <w:szCs w:val="24"/>
          <w:highlight w:val="none"/>
        </w:rPr>
      </w:pPr>
      <w:r>
        <w:rPr>
          <w:rFonts w:hint="eastAsia" w:ascii="Times New Roman" w:hAnsi="Times New Roman" w:eastAsia="宋体"/>
          <w:sz w:val="24"/>
          <w:szCs w:val="24"/>
          <w:highlight w:val="none"/>
        </w:rPr>
        <w:t xml:space="preserve">2</w:t>
      </w:r>
      <w:r>
        <w:rPr>
          <w:rFonts w:ascii="Times New Roman" w:hAnsi="Times New Roman" w:eastAsia="宋体"/>
          <w:sz w:val="24"/>
          <w:szCs w:val="24"/>
          <w:highlight w:val="none"/>
        </w:rPr>
        <w:t xml:space="preserve">.5  </w:t>
      </w:r>
      <w:r>
        <w:rPr>
          <w:rFonts w:hint="eastAsia" w:ascii="Times New Roman" w:hAnsi="Times New Roman" w:eastAsia="宋体"/>
          <w:sz w:val="24"/>
          <w:szCs w:val="24"/>
          <w:highlight w:val="none"/>
        </w:rPr>
        <w:t xml:space="preserve">驻场及巡检人员服务要求（与包1 人员要求相同）</w:t>
      </w:r>
      <w:r/>
    </w:p>
    <w:p>
      <w:pPr>
        <w:pStyle w:val="1056"/>
        <w:rPr>
          <w:rFonts w:ascii="Times New Roman" w:hAnsi="Times New Roman" w:eastAsia="宋体"/>
          <w:sz w:val="24"/>
          <w:szCs w:val="24"/>
          <w:highlight w:val="none"/>
        </w:rPr>
      </w:pPr>
      <w:r>
        <w:rPr>
          <w:rFonts w:hint="eastAsia" w:ascii="Times New Roman" w:hAnsi="Times New Roman" w:eastAsia="宋体"/>
          <w:sz w:val="24"/>
          <w:szCs w:val="24"/>
          <w:highlight w:val="none"/>
        </w:rPr>
        <w:t xml:space="preserve">2</w:t>
      </w:r>
      <w:r>
        <w:rPr>
          <w:rFonts w:ascii="Times New Roman" w:hAnsi="Times New Roman" w:eastAsia="宋体"/>
          <w:sz w:val="24"/>
          <w:szCs w:val="24"/>
          <w:highlight w:val="none"/>
        </w:rPr>
        <w:t xml:space="preserve">.</w:t>
      </w:r>
      <w:r>
        <w:rPr>
          <w:rFonts w:hint="eastAsia" w:ascii="Times New Roman" w:hAnsi="Times New Roman" w:eastAsia="宋体"/>
          <w:sz w:val="24"/>
          <w:szCs w:val="24"/>
          <w:highlight w:val="none"/>
        </w:rPr>
        <w:t xml:space="preserve">6点对点查控及办公互联网要求</w:t>
      </w:r>
      <w:r/>
    </w:p>
    <w:p>
      <w:pPr>
        <w:contextualSpacing/>
        <w:ind w:firstLine="480"/>
        <w:spacing w:line="360" w:lineRule="auto"/>
        <w:widowControl/>
        <w:rPr>
          <w:rFonts w:ascii="宋体" w:hAnsi="宋体" w:cs="Courier New"/>
          <w:sz w:val="24"/>
          <w:szCs w:val="24"/>
          <w:highlight w:val="none"/>
        </w:rPr>
      </w:pPr>
      <w:r>
        <w:rPr>
          <w:rFonts w:hint="eastAsia" w:ascii="宋体" w:hAnsi="宋体" w:cs="Courier New"/>
          <w:sz w:val="24"/>
          <w:szCs w:val="24"/>
          <w:highlight w:val="none"/>
        </w:rPr>
        <w:t xml:space="preserve">点对点查控及办公互联网服务内容主要包含：数字专线电路组网、语音中继接入、互联网宽带接入、裸光纤接入、办公线路与其他线路。</w:t>
      </w:r>
      <w:r/>
    </w:p>
    <w:p>
      <w:pPr>
        <w:pStyle w:val="1033"/>
        <w:numPr>
          <w:ilvl w:val="0"/>
          <w:numId w:val="4"/>
        </w:numPr>
        <w:ind w:left="0" w:firstLine="480"/>
        <w:jc w:val="both"/>
        <w:spacing w:line="360" w:lineRule="auto"/>
        <w:rPr>
          <w:rFonts w:ascii="宋体" w:hAnsi="宋体" w:cs="Courier New"/>
          <w:highlight w:val="none"/>
          <w:lang w:eastAsia="zh-CN"/>
        </w:rPr>
      </w:pPr>
      <w:r>
        <w:rPr>
          <w:rFonts w:hint="eastAsia" w:ascii="宋体" w:hAnsi="宋体" w:cs="Courier New"/>
          <w:highlight w:val="none"/>
          <w:lang w:eastAsia="zh-CN"/>
        </w:rPr>
        <w:t xml:space="preserve">数字专线电路组网部分主要包括到各银行的2M电路、到南京海事法院100M电路和到江宁法官学院10M电路，以及到省公安厅1G电路。</w:t>
      </w:r>
      <w:r/>
    </w:p>
    <w:p>
      <w:pPr>
        <w:pStyle w:val="1033"/>
        <w:numPr>
          <w:ilvl w:val="0"/>
          <w:numId w:val="4"/>
        </w:numPr>
        <w:ind w:left="0" w:firstLine="480"/>
        <w:jc w:val="both"/>
        <w:spacing w:line="360" w:lineRule="auto"/>
        <w:rPr>
          <w:rFonts w:ascii="宋体" w:hAnsi="宋体" w:cs="Courier New"/>
          <w:highlight w:val="none"/>
          <w:lang w:eastAsia="zh-CN"/>
        </w:rPr>
      </w:pPr>
      <w:r>
        <w:rPr>
          <w:rFonts w:hint="eastAsia" w:ascii="宋体" w:hAnsi="宋体" w:cs="Courier New"/>
          <w:highlight w:val="none"/>
          <w:lang w:eastAsia="zh-CN"/>
        </w:rPr>
        <w:t xml:space="preserve">语音中继主要包括4条与运营商汇接局语音交换设备互联的2M电路，为省高院提供电话专网语音中继服务。</w:t>
      </w:r>
      <w:r/>
    </w:p>
    <w:p>
      <w:pPr>
        <w:pStyle w:val="1033"/>
        <w:numPr>
          <w:ilvl w:val="0"/>
          <w:numId w:val="4"/>
        </w:numPr>
        <w:ind w:left="0" w:firstLine="480"/>
        <w:jc w:val="both"/>
        <w:spacing w:line="360" w:lineRule="auto"/>
        <w:rPr>
          <w:rFonts w:ascii="宋体" w:hAnsi="宋体" w:cs="Courier New"/>
          <w:highlight w:val="none"/>
          <w:lang w:eastAsia="zh-CN"/>
        </w:rPr>
      </w:pPr>
      <w:r>
        <w:rPr>
          <w:rFonts w:hint="eastAsia" w:ascii="宋体" w:hAnsi="宋体" w:cs="Courier New"/>
          <w:highlight w:val="none"/>
          <w:lang w:eastAsia="zh-CN"/>
        </w:rPr>
        <w:t xml:space="preserve">互联网宽带主要包括省院办公使用的50M、100M、200M、200M、400M互联网专线宽带电路。</w:t>
      </w:r>
      <w:r/>
    </w:p>
    <w:p>
      <w:pPr>
        <w:pStyle w:val="1033"/>
        <w:numPr>
          <w:ilvl w:val="0"/>
          <w:numId w:val="4"/>
        </w:numPr>
        <w:ind w:left="0" w:firstLine="480"/>
        <w:jc w:val="both"/>
        <w:spacing w:line="360" w:lineRule="auto"/>
        <w:rPr>
          <w:rFonts w:ascii="宋体" w:hAnsi="宋体" w:cs="Courier New"/>
          <w:highlight w:val="none"/>
          <w:lang w:eastAsia="zh-CN"/>
        </w:rPr>
      </w:pPr>
      <w:r>
        <w:rPr>
          <w:rFonts w:hint="eastAsia" w:ascii="宋体" w:hAnsi="宋体" w:cs="Courier New"/>
          <w:highlight w:val="none"/>
          <w:lang w:eastAsia="zh-CN"/>
        </w:rPr>
        <w:t xml:space="preserve">裸光纤包括到南京中院的1条裸光纤业务。</w:t>
      </w:r>
      <w:r/>
    </w:p>
    <w:p>
      <w:pPr>
        <w:pStyle w:val="1033"/>
        <w:numPr>
          <w:ilvl w:val="0"/>
          <w:numId w:val="4"/>
        </w:numPr>
        <w:ind w:left="0" w:firstLine="480"/>
        <w:jc w:val="both"/>
        <w:spacing w:line="360" w:lineRule="auto"/>
        <w:rPr>
          <w:rFonts w:ascii="宋体" w:hAnsi="宋体" w:cs="Courier New"/>
          <w:highlight w:val="none"/>
          <w:lang w:eastAsia="zh-CN"/>
        </w:rPr>
      </w:pPr>
      <w:r>
        <w:rPr>
          <w:rFonts w:hint="eastAsia" w:ascii="宋体" w:hAnsi="宋体" w:cs="Courier New"/>
          <w:highlight w:val="none"/>
          <w:lang w:eastAsia="zh-CN"/>
        </w:rPr>
        <w:t xml:space="preserve">办公线路与其他线路，包含4条2MSDH电路、拨号宽带以及ITV电视、2条省院到12368职场的本地50M电路。</w:t>
      </w:r>
      <w:r/>
    </w:p>
    <w:p>
      <w:pPr>
        <w:pStyle w:val="1033"/>
        <w:numPr>
          <w:ilvl w:val="0"/>
          <w:numId w:val="4"/>
        </w:numPr>
        <w:ind w:left="0" w:firstLine="480"/>
        <w:jc w:val="both"/>
        <w:spacing w:line="360" w:lineRule="auto"/>
        <w:rPr>
          <w:rFonts w:ascii="宋体" w:hAnsi="宋体" w:cs="Courier New"/>
          <w:highlight w:val="none"/>
          <w:lang w:eastAsia="zh-CN"/>
        </w:rPr>
      </w:pPr>
      <w:r>
        <w:rPr>
          <w:rFonts w:hint="eastAsia" w:ascii="宋体" w:hAnsi="宋体" w:cs="Courier New"/>
          <w:highlight w:val="none"/>
          <w:lang w:eastAsia="zh-CN"/>
        </w:rPr>
        <w:t xml:space="preserve">免费为“人民法院大要案庭审转播”项目提供每年不超过12次的传输线路服务，在接到书面开通申请14日内，提供江苏高院至省内指定中院的4条2M省内长途E1电路的传输线路服务，自服务开通之日起最长不超过30天。</w:t>
      </w:r>
      <w:r/>
    </w:p>
    <w:p>
      <w:pPr>
        <w:ind w:firstLine="600"/>
        <w:spacing w:line="360" w:lineRule="auto"/>
        <w:rPr>
          <w:rFonts w:ascii="宋体" w:hAnsi="宋体" w:cs="Courier New"/>
          <w:sz w:val="24"/>
          <w:szCs w:val="24"/>
          <w:highlight w:val="none"/>
          <w:lang w:bidi="en-US"/>
        </w:rPr>
      </w:pPr>
      <w:r>
        <w:rPr>
          <w:rFonts w:hint="eastAsia" w:ascii="宋体" w:hAnsi="宋体" w:cs="Courier New"/>
          <w:sz w:val="24"/>
          <w:szCs w:val="24"/>
          <w:highlight w:val="none"/>
          <w:lang w:bidi="en-US"/>
        </w:rPr>
        <w:t xml:space="preserve">具体需求</w:t>
      </w:r>
      <w:r>
        <w:rPr>
          <w:rFonts w:ascii="宋体" w:hAnsi="宋体" w:cs="Courier New"/>
          <w:sz w:val="24"/>
          <w:szCs w:val="24"/>
          <w:highlight w:val="none"/>
          <w:lang w:bidi="en-US"/>
        </w:rPr>
        <w:t xml:space="preserve">如下：</w:t>
      </w:r>
      <w:r/>
    </w:p>
    <w:p>
      <w:pPr>
        <w:pStyle w:val="1033"/>
        <w:numPr>
          <w:ilvl w:val="0"/>
          <w:numId w:val="5"/>
        </w:numPr>
        <w:ind w:left="0" w:firstLine="480"/>
        <w:jc w:val="both"/>
        <w:spacing w:line="360" w:lineRule="auto"/>
        <w:rPr>
          <w:rFonts w:ascii="宋体" w:hAnsi="宋体" w:cs="Courier New"/>
          <w:highlight w:val="none"/>
        </w:rPr>
      </w:pPr>
      <w:r>
        <w:rPr>
          <w:rFonts w:hint="eastAsia" w:ascii="宋体" w:hAnsi="宋体" w:cs="Courier New"/>
          <w:highlight w:val="none"/>
        </w:rPr>
        <w:t xml:space="preserve">数字专线电路组网</w:t>
      </w:r>
      <w:r/>
    </w:p>
    <w:tbl>
      <w:tblPr>
        <w:tblStyle w:val="77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6"/>
        <w:gridCol w:w="1908"/>
        <w:gridCol w:w="812"/>
        <w:gridCol w:w="1317"/>
        <w:gridCol w:w="4195"/>
      </w:tblGrid>
      <w:tr>
        <w:trPr>
          <w:trHeight w:val="280"/>
        </w:trPr>
        <w:tc>
          <w:tcPr>
            <w:gridSpan w:val="2"/>
            <w:tcW w:w="828"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序号</w:t>
            </w:r>
            <w:r/>
          </w:p>
        </w:tc>
        <w:tc>
          <w:tcPr>
            <w:tcW w:w="1908"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业务类型</w:t>
            </w:r>
            <w:r/>
          </w:p>
        </w:tc>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带宽</w:t>
            </w:r>
            <w:r/>
          </w:p>
        </w:tc>
        <w:tc>
          <w:tcPr>
            <w:tcW w:w="1317"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A端</w:t>
            </w:r>
            <w:r/>
          </w:p>
        </w:tc>
        <w:tc>
          <w:tcPr>
            <w:tcW w:w="4195"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B端</w:t>
            </w:r>
            <w:r/>
          </w:p>
        </w:tc>
      </w:tr>
      <w:tr>
        <w:trPr>
          <w:trHeight w:val="290"/>
        </w:trPr>
        <w:tc>
          <w:tcPr>
            <w:gridSpan w:val="2"/>
            <w:tcW w:w="828"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1</w:t>
            </w:r>
            <w:r/>
          </w:p>
        </w:tc>
        <w:tc>
          <w:tcPr>
            <w:tcW w:w="1908"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本地数字电路</w:t>
            </w:r>
            <w:r/>
          </w:p>
        </w:tc>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2M</w:t>
            </w:r>
            <w:r/>
          </w:p>
        </w:tc>
        <w:tc>
          <w:tcPr>
            <w:tcW w:w="1317"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W w:w="4195"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电信“机房无忧”温湿度监控平台</w:t>
            </w:r>
            <w:r/>
          </w:p>
        </w:tc>
      </w:tr>
      <w:tr>
        <w:trPr>
          <w:trHeight w:val="290"/>
        </w:trPr>
        <w:tc>
          <w:tcPr>
            <w:gridSpan w:val="2"/>
            <w:tcW w:w="828"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w:t>
            </w:r>
            <w:r/>
          </w:p>
        </w:tc>
        <w:tc>
          <w:tcPr>
            <w:tcW w:w="1908"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本地数字电路</w:t>
            </w:r>
            <w:r/>
          </w:p>
        </w:tc>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2M</w:t>
            </w:r>
            <w:r/>
          </w:p>
        </w:tc>
        <w:tc>
          <w:tcPr>
            <w:tcW w:w="1317"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W w:w="4195"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中国银行</w:t>
            </w:r>
            <w:r/>
          </w:p>
        </w:tc>
      </w:tr>
      <w:tr>
        <w:trPr>
          <w:trHeight w:val="290"/>
        </w:trPr>
        <w:tc>
          <w:tcPr>
            <w:gridSpan w:val="2"/>
            <w:tcW w:w="828"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3</w:t>
            </w:r>
            <w:r/>
          </w:p>
        </w:tc>
        <w:tc>
          <w:tcPr>
            <w:tcW w:w="1908"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本地数字电路</w:t>
            </w:r>
            <w:r/>
          </w:p>
        </w:tc>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2M</w:t>
            </w:r>
            <w:r/>
          </w:p>
        </w:tc>
        <w:tc>
          <w:tcPr>
            <w:tcW w:w="1317"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W w:w="4195"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农业银行</w:t>
            </w:r>
            <w:r/>
          </w:p>
        </w:tc>
      </w:tr>
      <w:tr>
        <w:trPr>
          <w:trHeight w:val="290"/>
        </w:trPr>
        <w:tc>
          <w:tcPr>
            <w:gridSpan w:val="2"/>
            <w:tcW w:w="828"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4</w:t>
            </w:r>
            <w:r/>
          </w:p>
        </w:tc>
        <w:tc>
          <w:tcPr>
            <w:tcW w:w="1908"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本地数字电路</w:t>
            </w:r>
            <w:r/>
          </w:p>
        </w:tc>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2M</w:t>
            </w:r>
            <w:r/>
          </w:p>
        </w:tc>
        <w:tc>
          <w:tcPr>
            <w:tcW w:w="1317"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W w:w="4195"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建设银行</w:t>
            </w:r>
            <w:r/>
          </w:p>
        </w:tc>
      </w:tr>
      <w:tr>
        <w:trPr>
          <w:trHeight w:val="290"/>
        </w:trPr>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5</w:t>
            </w:r>
            <w:r/>
          </w:p>
        </w:tc>
        <w:tc>
          <w:tcPr>
            <w:gridSpan w:val="2"/>
            <w:tcW w:w="1924"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本地数字电路</w:t>
            </w:r>
            <w:r/>
          </w:p>
        </w:tc>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2M</w:t>
            </w:r>
            <w:r/>
          </w:p>
        </w:tc>
        <w:tc>
          <w:tcPr>
            <w:tcW w:w="1317"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W w:w="4195"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工商银行</w:t>
            </w:r>
            <w:r/>
          </w:p>
        </w:tc>
      </w:tr>
      <w:tr>
        <w:trPr>
          <w:trHeight w:val="290"/>
        </w:trPr>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6</w:t>
            </w:r>
            <w:r/>
          </w:p>
        </w:tc>
        <w:tc>
          <w:tcPr>
            <w:gridSpan w:val="2"/>
            <w:tcW w:w="1924"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本地数字电路</w:t>
            </w:r>
            <w:r/>
          </w:p>
        </w:tc>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2M</w:t>
            </w:r>
            <w:r/>
          </w:p>
        </w:tc>
        <w:tc>
          <w:tcPr>
            <w:tcW w:w="1317"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W w:w="4195"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南京银行</w:t>
            </w:r>
            <w:r/>
          </w:p>
        </w:tc>
      </w:tr>
      <w:tr>
        <w:trPr>
          <w:trHeight w:val="290"/>
        </w:trPr>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7</w:t>
            </w:r>
            <w:r/>
          </w:p>
        </w:tc>
        <w:tc>
          <w:tcPr>
            <w:gridSpan w:val="2"/>
            <w:tcW w:w="1924"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本地数字电路</w:t>
            </w:r>
            <w:r/>
          </w:p>
        </w:tc>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2M</w:t>
            </w:r>
            <w:r/>
          </w:p>
        </w:tc>
        <w:tc>
          <w:tcPr>
            <w:tcW w:w="1317"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W w:w="4195"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交通银行</w:t>
            </w:r>
            <w:r/>
          </w:p>
        </w:tc>
      </w:tr>
      <w:tr>
        <w:trPr>
          <w:trHeight w:val="290"/>
        </w:trPr>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8</w:t>
            </w:r>
            <w:r/>
          </w:p>
        </w:tc>
        <w:tc>
          <w:tcPr>
            <w:gridSpan w:val="2"/>
            <w:tcW w:w="1924"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本地数字电路</w:t>
            </w:r>
            <w:r/>
          </w:p>
        </w:tc>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2M</w:t>
            </w:r>
            <w:r/>
          </w:p>
        </w:tc>
        <w:tc>
          <w:tcPr>
            <w:tcW w:w="1317"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W w:w="4195"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江苏银行</w:t>
            </w:r>
            <w:r/>
          </w:p>
        </w:tc>
      </w:tr>
      <w:tr>
        <w:trPr>
          <w:trHeight w:val="290"/>
        </w:trPr>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9</w:t>
            </w:r>
            <w:r/>
          </w:p>
        </w:tc>
        <w:tc>
          <w:tcPr>
            <w:gridSpan w:val="2"/>
            <w:tcW w:w="1924"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本地数字电路</w:t>
            </w:r>
            <w:r/>
          </w:p>
        </w:tc>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2M</w:t>
            </w:r>
            <w:r/>
          </w:p>
        </w:tc>
        <w:tc>
          <w:tcPr>
            <w:tcW w:w="1317"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W w:w="4195"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邮储银行</w:t>
            </w:r>
            <w:r/>
          </w:p>
        </w:tc>
      </w:tr>
      <w:tr>
        <w:trPr>
          <w:trHeight w:val="290"/>
        </w:trPr>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10</w:t>
            </w:r>
            <w:r/>
          </w:p>
        </w:tc>
        <w:tc>
          <w:tcPr>
            <w:gridSpan w:val="2"/>
            <w:tcW w:w="1924"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本地数字电路</w:t>
            </w:r>
            <w:r/>
          </w:p>
        </w:tc>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2M</w:t>
            </w:r>
            <w:r/>
          </w:p>
        </w:tc>
        <w:tc>
          <w:tcPr>
            <w:tcW w:w="1317"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W w:w="4195"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中信银行</w:t>
            </w:r>
            <w:r/>
          </w:p>
        </w:tc>
      </w:tr>
      <w:tr>
        <w:trPr>
          <w:trHeight w:val="290"/>
        </w:trPr>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11</w:t>
            </w:r>
            <w:r/>
          </w:p>
        </w:tc>
        <w:tc>
          <w:tcPr>
            <w:gridSpan w:val="2"/>
            <w:tcW w:w="1924"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本地数字电路</w:t>
            </w:r>
            <w:r/>
          </w:p>
        </w:tc>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2M</w:t>
            </w:r>
            <w:r/>
          </w:p>
        </w:tc>
        <w:tc>
          <w:tcPr>
            <w:tcW w:w="1317"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W w:w="4195"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华夏银行</w:t>
            </w:r>
            <w:r/>
          </w:p>
        </w:tc>
      </w:tr>
      <w:tr>
        <w:trPr>
          <w:trHeight w:val="290"/>
        </w:trPr>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12</w:t>
            </w:r>
            <w:r/>
          </w:p>
        </w:tc>
        <w:tc>
          <w:tcPr>
            <w:gridSpan w:val="2"/>
            <w:tcW w:w="1924"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本地数字电路</w:t>
            </w:r>
            <w:r/>
          </w:p>
        </w:tc>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2M</w:t>
            </w:r>
            <w:r/>
          </w:p>
        </w:tc>
        <w:tc>
          <w:tcPr>
            <w:tcW w:w="1317"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W w:w="4195"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浦发银行</w:t>
            </w:r>
            <w:r/>
          </w:p>
        </w:tc>
      </w:tr>
      <w:tr>
        <w:trPr>
          <w:trHeight w:val="290"/>
        </w:trPr>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13</w:t>
            </w:r>
            <w:r/>
          </w:p>
        </w:tc>
        <w:tc>
          <w:tcPr>
            <w:gridSpan w:val="2"/>
            <w:tcW w:w="1924"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本地数字电路</w:t>
            </w:r>
            <w:r/>
          </w:p>
        </w:tc>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2M</w:t>
            </w:r>
            <w:r/>
          </w:p>
        </w:tc>
        <w:tc>
          <w:tcPr>
            <w:tcW w:w="1317"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W w:w="4195"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招商银行</w:t>
            </w:r>
            <w:r/>
          </w:p>
        </w:tc>
      </w:tr>
      <w:tr>
        <w:trPr>
          <w:trHeight w:val="290"/>
        </w:trPr>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14</w:t>
            </w:r>
            <w:r/>
          </w:p>
        </w:tc>
        <w:tc>
          <w:tcPr>
            <w:gridSpan w:val="2"/>
            <w:tcW w:w="1924"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本地数字电路</w:t>
            </w:r>
            <w:r/>
          </w:p>
        </w:tc>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2M</w:t>
            </w:r>
            <w:r/>
          </w:p>
        </w:tc>
        <w:tc>
          <w:tcPr>
            <w:tcW w:w="1317"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W w:w="4195"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广发银行</w:t>
            </w:r>
            <w:r/>
          </w:p>
        </w:tc>
      </w:tr>
      <w:tr>
        <w:trPr>
          <w:trHeight w:val="290"/>
        </w:trPr>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15</w:t>
            </w:r>
            <w:r/>
          </w:p>
        </w:tc>
        <w:tc>
          <w:tcPr>
            <w:gridSpan w:val="2"/>
            <w:tcW w:w="1924"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本地数字电路</w:t>
            </w:r>
            <w:r/>
          </w:p>
        </w:tc>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2M</w:t>
            </w:r>
            <w:r/>
          </w:p>
        </w:tc>
        <w:tc>
          <w:tcPr>
            <w:tcW w:w="1317"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W w:w="4195"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民生银行</w:t>
            </w:r>
            <w:r/>
          </w:p>
        </w:tc>
      </w:tr>
      <w:tr>
        <w:trPr>
          <w:trHeight w:val="290"/>
        </w:trPr>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16</w:t>
            </w:r>
            <w:r/>
          </w:p>
        </w:tc>
        <w:tc>
          <w:tcPr>
            <w:gridSpan w:val="2"/>
            <w:tcW w:w="1924"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本地数字电路</w:t>
            </w:r>
            <w:r/>
          </w:p>
        </w:tc>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2M</w:t>
            </w:r>
            <w:r/>
          </w:p>
        </w:tc>
        <w:tc>
          <w:tcPr>
            <w:tcW w:w="1317"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W w:w="4195"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光大银行</w:t>
            </w:r>
            <w:r/>
          </w:p>
        </w:tc>
      </w:tr>
      <w:tr>
        <w:trPr>
          <w:trHeight w:val="290"/>
        </w:trPr>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17</w:t>
            </w:r>
            <w:r/>
          </w:p>
        </w:tc>
        <w:tc>
          <w:tcPr>
            <w:gridSpan w:val="2"/>
            <w:tcW w:w="1924"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本地数字电路</w:t>
            </w:r>
            <w:r/>
          </w:p>
        </w:tc>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2M</w:t>
            </w:r>
            <w:r/>
          </w:p>
        </w:tc>
        <w:tc>
          <w:tcPr>
            <w:tcW w:w="1317"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W w:w="4195"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兴业银行</w:t>
            </w:r>
            <w:r/>
          </w:p>
        </w:tc>
      </w:tr>
      <w:tr>
        <w:trPr>
          <w:trHeight w:val="290"/>
        </w:trPr>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18</w:t>
            </w:r>
            <w:r/>
          </w:p>
        </w:tc>
        <w:tc>
          <w:tcPr>
            <w:gridSpan w:val="2"/>
            <w:tcW w:w="1924"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本地数字电路</w:t>
            </w:r>
            <w:r/>
          </w:p>
        </w:tc>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2M</w:t>
            </w:r>
            <w:r/>
          </w:p>
        </w:tc>
        <w:tc>
          <w:tcPr>
            <w:tcW w:w="1317"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W w:w="4195"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平安银行</w:t>
            </w:r>
            <w:r/>
          </w:p>
        </w:tc>
      </w:tr>
      <w:tr>
        <w:trPr>
          <w:trHeight w:val="290"/>
        </w:trPr>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19</w:t>
            </w:r>
            <w:r/>
          </w:p>
        </w:tc>
        <w:tc>
          <w:tcPr>
            <w:gridSpan w:val="2"/>
            <w:tcW w:w="1924"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本地数字电路</w:t>
            </w:r>
            <w:r/>
          </w:p>
        </w:tc>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2M</w:t>
            </w:r>
            <w:r/>
          </w:p>
        </w:tc>
        <w:tc>
          <w:tcPr>
            <w:tcW w:w="1317"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W w:w="4195"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恒丰银行</w:t>
            </w:r>
            <w:r/>
          </w:p>
        </w:tc>
      </w:tr>
      <w:tr>
        <w:trPr>
          <w:trHeight w:val="290"/>
        </w:trPr>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20</w:t>
            </w:r>
            <w:r/>
          </w:p>
        </w:tc>
        <w:tc>
          <w:tcPr>
            <w:gridSpan w:val="2"/>
            <w:tcW w:w="1924"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本地数字电路</w:t>
            </w:r>
            <w:r/>
          </w:p>
        </w:tc>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2M</w:t>
            </w:r>
            <w:r/>
          </w:p>
        </w:tc>
        <w:tc>
          <w:tcPr>
            <w:tcW w:w="1317"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W w:w="4195"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杭州银行</w:t>
            </w:r>
            <w:r/>
          </w:p>
        </w:tc>
      </w:tr>
      <w:tr>
        <w:trPr>
          <w:trHeight w:val="290"/>
        </w:trPr>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21</w:t>
            </w:r>
            <w:r/>
          </w:p>
        </w:tc>
        <w:tc>
          <w:tcPr>
            <w:gridSpan w:val="2"/>
            <w:tcW w:w="1924"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本地数字电路</w:t>
            </w:r>
            <w:r/>
          </w:p>
        </w:tc>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2M</w:t>
            </w:r>
            <w:r/>
          </w:p>
        </w:tc>
        <w:tc>
          <w:tcPr>
            <w:tcW w:w="1317"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W w:w="4195"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北京银行</w:t>
            </w:r>
            <w:r/>
          </w:p>
        </w:tc>
      </w:tr>
      <w:tr>
        <w:trPr>
          <w:trHeight w:val="290"/>
        </w:trPr>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22</w:t>
            </w:r>
            <w:r/>
          </w:p>
        </w:tc>
        <w:tc>
          <w:tcPr>
            <w:gridSpan w:val="2"/>
            <w:tcW w:w="1924"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本地数字电路</w:t>
            </w:r>
            <w:r/>
          </w:p>
        </w:tc>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2M</w:t>
            </w:r>
            <w:r/>
          </w:p>
        </w:tc>
        <w:tc>
          <w:tcPr>
            <w:tcW w:w="1317"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W w:w="4195"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广州银行</w:t>
            </w:r>
            <w:r/>
          </w:p>
        </w:tc>
      </w:tr>
      <w:tr>
        <w:trPr>
          <w:trHeight w:val="290"/>
        </w:trPr>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23</w:t>
            </w:r>
            <w:r/>
          </w:p>
        </w:tc>
        <w:tc>
          <w:tcPr>
            <w:gridSpan w:val="2"/>
            <w:tcW w:w="1924"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本地数字电路</w:t>
            </w:r>
            <w:r/>
          </w:p>
        </w:tc>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2M</w:t>
            </w:r>
            <w:r/>
          </w:p>
        </w:tc>
        <w:tc>
          <w:tcPr>
            <w:tcW w:w="1317"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W w:w="4195"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上海银行</w:t>
            </w:r>
            <w:r/>
          </w:p>
        </w:tc>
      </w:tr>
      <w:tr>
        <w:trPr>
          <w:trHeight w:val="290"/>
        </w:trPr>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24</w:t>
            </w:r>
            <w:r/>
          </w:p>
        </w:tc>
        <w:tc>
          <w:tcPr>
            <w:gridSpan w:val="2"/>
            <w:tcW w:w="1924"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本地数字电路</w:t>
            </w:r>
            <w:r/>
          </w:p>
        </w:tc>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2M</w:t>
            </w:r>
            <w:r/>
          </w:p>
        </w:tc>
        <w:tc>
          <w:tcPr>
            <w:tcW w:w="1317"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W w:w="4195"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宁波银行</w:t>
            </w:r>
            <w:r/>
          </w:p>
        </w:tc>
      </w:tr>
      <w:tr>
        <w:trPr>
          <w:trHeight w:val="290"/>
        </w:trPr>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25</w:t>
            </w:r>
            <w:r/>
          </w:p>
        </w:tc>
        <w:tc>
          <w:tcPr>
            <w:gridSpan w:val="2"/>
            <w:tcW w:w="1924"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本地数字电路</w:t>
            </w:r>
            <w:r/>
          </w:p>
        </w:tc>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2M</w:t>
            </w:r>
            <w:r/>
          </w:p>
        </w:tc>
        <w:tc>
          <w:tcPr>
            <w:tcW w:w="1317"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W w:w="4195"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浙商银行</w:t>
            </w:r>
            <w:r/>
          </w:p>
        </w:tc>
      </w:tr>
      <w:tr>
        <w:trPr>
          <w:trHeight w:val="290"/>
        </w:trPr>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26</w:t>
            </w:r>
            <w:r/>
          </w:p>
        </w:tc>
        <w:tc>
          <w:tcPr>
            <w:gridSpan w:val="2"/>
            <w:tcW w:w="1924"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本地数字电路</w:t>
            </w:r>
            <w:r/>
          </w:p>
        </w:tc>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2M</w:t>
            </w:r>
            <w:r/>
          </w:p>
        </w:tc>
        <w:tc>
          <w:tcPr>
            <w:tcW w:w="1317"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W w:w="4195"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徽商银行</w:t>
            </w:r>
            <w:r/>
          </w:p>
        </w:tc>
      </w:tr>
      <w:tr>
        <w:trPr>
          <w:trHeight w:val="290"/>
        </w:trPr>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27</w:t>
            </w:r>
            <w:r/>
          </w:p>
        </w:tc>
        <w:tc>
          <w:tcPr>
            <w:gridSpan w:val="2"/>
            <w:tcW w:w="1924"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本地数字电路</w:t>
            </w:r>
            <w:r/>
          </w:p>
        </w:tc>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2M</w:t>
            </w:r>
            <w:r/>
          </w:p>
        </w:tc>
        <w:tc>
          <w:tcPr>
            <w:tcW w:w="1317"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W w:w="4195"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稠州商业银行</w:t>
            </w:r>
            <w:r/>
          </w:p>
        </w:tc>
      </w:tr>
      <w:tr>
        <w:trPr>
          <w:trHeight w:val="290"/>
        </w:trPr>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28</w:t>
            </w:r>
            <w:r/>
          </w:p>
        </w:tc>
        <w:tc>
          <w:tcPr>
            <w:gridSpan w:val="2"/>
            <w:tcW w:w="1924"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本地数字电路</w:t>
            </w:r>
            <w:r/>
          </w:p>
        </w:tc>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2M</w:t>
            </w:r>
            <w:r/>
          </w:p>
        </w:tc>
        <w:tc>
          <w:tcPr>
            <w:tcW w:w="1317"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W w:w="4195"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渤海银行</w:t>
            </w:r>
            <w:r/>
          </w:p>
        </w:tc>
      </w:tr>
      <w:tr>
        <w:trPr>
          <w:trHeight w:val="290"/>
        </w:trPr>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29</w:t>
            </w:r>
            <w:r/>
          </w:p>
        </w:tc>
        <w:tc>
          <w:tcPr>
            <w:gridSpan w:val="2"/>
            <w:tcW w:w="1924"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本地数字电路</w:t>
            </w:r>
            <w:r/>
          </w:p>
        </w:tc>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2M</w:t>
            </w:r>
            <w:r/>
          </w:p>
        </w:tc>
        <w:tc>
          <w:tcPr>
            <w:tcW w:w="1317"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W w:w="4195"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紫金农商行</w:t>
            </w:r>
            <w:r/>
          </w:p>
        </w:tc>
      </w:tr>
      <w:tr>
        <w:trPr>
          <w:trHeight w:val="290"/>
        </w:trPr>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30</w:t>
            </w:r>
            <w:r/>
          </w:p>
        </w:tc>
        <w:tc>
          <w:tcPr>
            <w:gridSpan w:val="2"/>
            <w:tcW w:w="1924"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本地数字电路</w:t>
            </w:r>
            <w:r/>
          </w:p>
        </w:tc>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2M</w:t>
            </w:r>
            <w:r/>
          </w:p>
        </w:tc>
        <w:tc>
          <w:tcPr>
            <w:tcW w:w="1317"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W w:w="4195"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高淳农商行</w:t>
            </w:r>
            <w:r/>
          </w:p>
        </w:tc>
      </w:tr>
      <w:tr>
        <w:trPr>
          <w:trHeight w:val="290"/>
        </w:trPr>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31</w:t>
            </w:r>
            <w:r/>
          </w:p>
        </w:tc>
        <w:tc>
          <w:tcPr>
            <w:gridSpan w:val="2"/>
            <w:tcW w:w="1924"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本地数字电路</w:t>
            </w:r>
            <w:r/>
          </w:p>
        </w:tc>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2M</w:t>
            </w:r>
            <w:r/>
          </w:p>
        </w:tc>
        <w:tc>
          <w:tcPr>
            <w:tcW w:w="1317"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W w:w="4195"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溧水农商行</w:t>
            </w:r>
            <w:r/>
          </w:p>
        </w:tc>
      </w:tr>
      <w:tr>
        <w:trPr>
          <w:trHeight w:val="290"/>
        </w:trPr>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32</w:t>
            </w:r>
            <w:r/>
          </w:p>
        </w:tc>
        <w:tc>
          <w:tcPr>
            <w:gridSpan w:val="2"/>
            <w:tcW w:w="1924"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本地数字电路</w:t>
            </w:r>
            <w:r/>
          </w:p>
        </w:tc>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2M</w:t>
            </w:r>
            <w:r/>
          </w:p>
        </w:tc>
        <w:tc>
          <w:tcPr>
            <w:tcW w:w="1317"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W w:w="4195"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省农信社</w:t>
            </w:r>
            <w:r/>
          </w:p>
        </w:tc>
      </w:tr>
      <w:tr>
        <w:trPr>
          <w:trHeight w:val="290"/>
        </w:trPr>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33</w:t>
            </w:r>
            <w:r/>
          </w:p>
        </w:tc>
        <w:tc>
          <w:tcPr>
            <w:gridSpan w:val="2"/>
            <w:tcW w:w="1924"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本地数字电路</w:t>
            </w:r>
            <w:r/>
          </w:p>
        </w:tc>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2M</w:t>
            </w:r>
            <w:r/>
          </w:p>
        </w:tc>
        <w:tc>
          <w:tcPr>
            <w:tcW w:w="1317"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W w:w="4195"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电信行业短信平台机房</w:t>
            </w:r>
            <w:r/>
          </w:p>
        </w:tc>
      </w:tr>
      <w:tr>
        <w:trPr>
          <w:trHeight w:val="290"/>
        </w:trPr>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34</w:t>
            </w:r>
            <w:r/>
          </w:p>
        </w:tc>
        <w:tc>
          <w:tcPr>
            <w:gridSpan w:val="2"/>
            <w:tcW w:w="1924"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本地数字电路</w:t>
            </w:r>
            <w:r/>
          </w:p>
        </w:tc>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2M</w:t>
            </w:r>
            <w:r/>
          </w:p>
        </w:tc>
        <w:tc>
          <w:tcPr>
            <w:tcW w:w="1317"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W w:w="4195"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人民银行</w:t>
            </w:r>
            <w:r/>
          </w:p>
        </w:tc>
      </w:tr>
      <w:tr>
        <w:trPr>
          <w:trHeight w:val="290"/>
        </w:trPr>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35</w:t>
            </w:r>
            <w:r/>
          </w:p>
        </w:tc>
        <w:tc>
          <w:tcPr>
            <w:gridSpan w:val="2"/>
            <w:tcW w:w="1924"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本地数字电路</w:t>
            </w:r>
            <w:r/>
          </w:p>
        </w:tc>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2M</w:t>
            </w:r>
            <w:r/>
          </w:p>
        </w:tc>
        <w:tc>
          <w:tcPr>
            <w:tcW w:w="1317"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W w:w="4195"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国土厅</w:t>
            </w:r>
            <w:r/>
          </w:p>
        </w:tc>
      </w:tr>
      <w:tr>
        <w:trPr>
          <w:trHeight w:val="290"/>
        </w:trPr>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36</w:t>
            </w:r>
            <w:r/>
          </w:p>
        </w:tc>
        <w:tc>
          <w:tcPr>
            <w:gridSpan w:val="2"/>
            <w:tcW w:w="1924"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本地数字电路</w:t>
            </w:r>
            <w:r/>
          </w:p>
        </w:tc>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2M</w:t>
            </w:r>
            <w:r/>
          </w:p>
        </w:tc>
        <w:tc>
          <w:tcPr>
            <w:tcW w:w="1317"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W w:w="4195"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民政厅</w:t>
            </w:r>
            <w:r/>
          </w:p>
        </w:tc>
      </w:tr>
      <w:tr>
        <w:trPr>
          <w:trHeight w:val="290"/>
        </w:trPr>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37</w:t>
            </w:r>
            <w:r/>
          </w:p>
        </w:tc>
        <w:tc>
          <w:tcPr>
            <w:gridSpan w:val="2"/>
            <w:tcW w:w="1924"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本地数字电路</w:t>
            </w:r>
            <w:r/>
          </w:p>
        </w:tc>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2M</w:t>
            </w:r>
            <w:r/>
          </w:p>
        </w:tc>
        <w:tc>
          <w:tcPr>
            <w:tcW w:w="1317"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W w:w="4195"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省公积金中心</w:t>
            </w:r>
            <w:r/>
          </w:p>
        </w:tc>
      </w:tr>
      <w:tr>
        <w:trPr>
          <w:trHeight w:val="290"/>
        </w:trPr>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38</w:t>
            </w:r>
            <w:r/>
          </w:p>
        </w:tc>
        <w:tc>
          <w:tcPr>
            <w:gridSpan w:val="2"/>
            <w:tcW w:w="1924"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本地数字电路</w:t>
            </w:r>
            <w:r/>
          </w:p>
        </w:tc>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2M</w:t>
            </w:r>
            <w:r/>
          </w:p>
        </w:tc>
        <w:tc>
          <w:tcPr>
            <w:tcW w:w="1317"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W w:w="4195"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华东石油管理局公积金管理中心</w:t>
            </w:r>
            <w:r/>
          </w:p>
        </w:tc>
      </w:tr>
      <w:tr>
        <w:trPr>
          <w:trHeight w:val="290"/>
        </w:trPr>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39</w:t>
            </w:r>
            <w:r/>
          </w:p>
        </w:tc>
        <w:tc>
          <w:tcPr>
            <w:gridSpan w:val="2"/>
            <w:tcW w:w="1924"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本地数字电路</w:t>
            </w:r>
            <w:r/>
          </w:p>
        </w:tc>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2M</w:t>
            </w:r>
            <w:r/>
          </w:p>
        </w:tc>
        <w:tc>
          <w:tcPr>
            <w:tcW w:w="1317"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W w:w="4195"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省地税</w:t>
            </w:r>
            <w:r/>
          </w:p>
        </w:tc>
      </w:tr>
      <w:tr>
        <w:trPr>
          <w:trHeight w:val="290"/>
        </w:trPr>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40</w:t>
            </w:r>
            <w:r/>
          </w:p>
        </w:tc>
        <w:tc>
          <w:tcPr>
            <w:gridSpan w:val="2"/>
            <w:tcW w:w="1924"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本地数字电路</w:t>
            </w:r>
            <w:r/>
          </w:p>
        </w:tc>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2M</w:t>
            </w:r>
            <w:r/>
          </w:p>
        </w:tc>
        <w:tc>
          <w:tcPr>
            <w:tcW w:w="1317"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W w:w="4195"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江苏省监狱系统住房公积金管理部</w:t>
            </w:r>
            <w:r/>
          </w:p>
        </w:tc>
      </w:tr>
      <w:tr>
        <w:trPr>
          <w:trHeight w:val="290"/>
        </w:trPr>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41</w:t>
            </w:r>
            <w:r/>
          </w:p>
        </w:tc>
        <w:tc>
          <w:tcPr>
            <w:gridSpan w:val="2"/>
            <w:tcW w:w="1924"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本地数字电路</w:t>
            </w:r>
            <w:r/>
          </w:p>
        </w:tc>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1G</w:t>
            </w:r>
            <w:r/>
          </w:p>
        </w:tc>
        <w:tc>
          <w:tcPr>
            <w:tcW w:w="1317"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W w:w="4195"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政法网1G本地电路</w:t>
            </w:r>
            <w:r/>
          </w:p>
        </w:tc>
      </w:tr>
      <w:tr>
        <w:trPr>
          <w:trHeight w:val="90"/>
        </w:trPr>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42</w:t>
            </w:r>
            <w:r/>
          </w:p>
        </w:tc>
        <w:tc>
          <w:tcPr>
            <w:gridSpan w:val="2"/>
            <w:tcW w:w="1924"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本地数字电路</w:t>
            </w:r>
            <w:r/>
          </w:p>
        </w:tc>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100M</w:t>
            </w:r>
            <w:r/>
          </w:p>
        </w:tc>
        <w:tc>
          <w:tcPr>
            <w:tcW w:w="1317"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W w:w="4195"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南京海事法院</w:t>
            </w:r>
            <w:r/>
          </w:p>
        </w:tc>
      </w:tr>
      <w:tr>
        <w:trPr>
          <w:trHeight w:val="290"/>
        </w:trPr>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43</w:t>
            </w:r>
            <w:r/>
          </w:p>
        </w:tc>
        <w:tc>
          <w:tcPr>
            <w:gridSpan w:val="2"/>
            <w:tcW w:w="1924"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本地数字电路</w:t>
            </w:r>
            <w:r/>
          </w:p>
        </w:tc>
        <w:tc>
          <w:tcPr>
            <w:tcW w:w="81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10M</w:t>
            </w:r>
            <w:r/>
          </w:p>
        </w:tc>
        <w:tc>
          <w:tcPr>
            <w:tcW w:w="1317"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W w:w="4195"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江苏法官培训学院</w:t>
            </w:r>
            <w:r/>
          </w:p>
        </w:tc>
      </w:tr>
    </w:tbl>
    <w:p>
      <w:pPr>
        <w:pStyle w:val="1033"/>
        <w:numPr>
          <w:ilvl w:val="0"/>
          <w:numId w:val="5"/>
        </w:numPr>
        <w:ind w:left="0" w:firstLine="480"/>
        <w:jc w:val="both"/>
        <w:spacing w:line="360" w:lineRule="auto"/>
        <w:rPr>
          <w:rFonts w:ascii="宋体" w:hAnsi="宋体" w:cs="Courier New"/>
          <w:highlight w:val="none"/>
        </w:rPr>
      </w:pPr>
      <w:r>
        <w:rPr>
          <w:rFonts w:hint="eastAsia" w:ascii="宋体" w:hAnsi="宋体" w:cs="Courier New"/>
          <w:highlight w:val="none"/>
        </w:rPr>
        <w:t xml:space="preserve">语音中继</w:t>
      </w:r>
      <w:r/>
    </w:p>
    <w:tbl>
      <w:tblPr>
        <w:tblStyle w:val="772"/>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1197"/>
        <w:gridCol w:w="2019"/>
        <w:gridCol w:w="1197"/>
        <w:gridCol w:w="1606"/>
        <w:gridCol w:w="3150"/>
      </w:tblGrid>
      <w:tr>
        <w:trPr>
          <w:trHeight w:val="280"/>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序号</w:t>
            </w:r>
            <w:r/>
          </w:p>
        </w:tc>
        <w:tc>
          <w:tcPr>
            <w:tcBorders>
              <w:top w:val="single" w:color="000000" w:sz="4" w:space="0"/>
              <w:left w:val="none" w:color="000000" w:sz="4" w:space="0"/>
              <w:bottom w:val="single" w:color="000000" w:sz="4" w:space="0"/>
              <w:right w:val="single" w:color="000000" w:sz="4" w:space="0"/>
            </w:tcBorders>
            <w:tcW w:w="1101"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业务类型</w:t>
            </w:r>
            <w:r/>
          </w:p>
        </w:tc>
        <w:tc>
          <w:tcPr>
            <w:tcBorders>
              <w:top w:val="single" w:color="000000" w:sz="4" w:space="0"/>
              <w:left w:val="none" w:color="000000" w:sz="4" w:space="0"/>
              <w:bottom w:val="single" w:color="000000" w:sz="4" w:space="0"/>
              <w:right w:val="single" w:color="000000" w:sz="4" w:space="0"/>
            </w:tcBorders>
            <w:tcW w:w="653"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带宽</w:t>
            </w:r>
            <w:r/>
          </w:p>
        </w:tc>
        <w:tc>
          <w:tcPr>
            <w:tcBorders>
              <w:top w:val="single" w:color="000000" w:sz="4" w:space="0"/>
              <w:left w:val="none" w:color="000000" w:sz="4" w:space="0"/>
              <w:bottom w:val="single" w:color="000000" w:sz="4" w:space="0"/>
              <w:right w:val="single" w:color="000000" w:sz="4" w:space="0"/>
            </w:tcBorders>
            <w:tcW w:w="876"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A端</w:t>
            </w:r>
            <w:r/>
          </w:p>
        </w:tc>
        <w:tc>
          <w:tcPr>
            <w:tcBorders>
              <w:top w:val="single" w:color="000000" w:sz="4" w:space="0"/>
              <w:left w:val="none" w:color="000000" w:sz="4" w:space="0"/>
              <w:bottom w:val="single" w:color="000000" w:sz="4" w:space="0"/>
              <w:right w:val="single" w:color="000000" w:sz="4" w:space="0"/>
            </w:tcBorders>
            <w:tcW w:w="1717"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B端</w:t>
            </w:r>
            <w:r/>
          </w:p>
        </w:tc>
      </w:tr>
      <w:tr>
        <w:trPr>
          <w:trHeight w:val="280"/>
        </w:trPr>
        <w:tc>
          <w:tcPr>
            <w:tcBorders>
              <w:top w:val="none" w:color="000000" w:sz="4" w:space="0"/>
              <w:left w:val="single" w:color="000000" w:sz="4" w:space="0"/>
              <w:bottom w:val="single" w:color="000000" w:sz="4" w:space="0"/>
              <w:right w:val="single" w:color="000000" w:sz="4" w:space="0"/>
            </w:tcBorders>
            <w:tcW w:w="653"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1</w:t>
            </w:r>
            <w:r/>
          </w:p>
        </w:tc>
        <w:tc>
          <w:tcPr>
            <w:tcBorders>
              <w:top w:val="none" w:color="000000" w:sz="4" w:space="0"/>
              <w:left w:val="none" w:color="000000" w:sz="4" w:space="0"/>
              <w:bottom w:val="single" w:color="000000" w:sz="4" w:space="0"/>
              <w:right w:val="single" w:color="000000" w:sz="4" w:space="0"/>
            </w:tcBorders>
            <w:tcW w:w="1101"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语音中继</w:t>
            </w:r>
            <w:r/>
          </w:p>
        </w:tc>
        <w:tc>
          <w:tcPr>
            <w:tcBorders>
              <w:top w:val="none" w:color="000000" w:sz="4" w:space="0"/>
              <w:left w:val="none" w:color="000000" w:sz="4" w:space="0"/>
              <w:bottom w:val="single" w:color="000000" w:sz="4" w:space="0"/>
              <w:right w:val="single" w:color="000000" w:sz="4" w:space="0"/>
            </w:tcBorders>
            <w:tcW w:w="653"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2M</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Borders>
              <w:top w:val="none" w:color="000000" w:sz="4" w:space="0"/>
              <w:left w:val="none" w:color="000000" w:sz="4" w:space="0"/>
              <w:bottom w:val="single" w:color="000000" w:sz="4" w:space="0"/>
              <w:right w:val="single" w:color="000000" w:sz="4" w:space="0"/>
            </w:tcBorders>
            <w:tcW w:w="1717"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运营商汇接局1</w:t>
            </w:r>
            <w:r/>
          </w:p>
        </w:tc>
      </w:tr>
      <w:tr>
        <w:trPr>
          <w:trHeight w:val="280"/>
        </w:trPr>
        <w:tc>
          <w:tcPr>
            <w:tcBorders>
              <w:top w:val="none" w:color="000000" w:sz="4" w:space="0"/>
              <w:left w:val="single" w:color="000000" w:sz="4" w:space="0"/>
              <w:bottom w:val="single" w:color="000000" w:sz="4" w:space="0"/>
              <w:right w:val="single" w:color="000000" w:sz="4" w:space="0"/>
            </w:tcBorders>
            <w:tcW w:w="653"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w:t>
            </w:r>
            <w:r/>
          </w:p>
        </w:tc>
        <w:tc>
          <w:tcPr>
            <w:tcBorders>
              <w:top w:val="none" w:color="000000" w:sz="4" w:space="0"/>
              <w:left w:val="none" w:color="000000" w:sz="4" w:space="0"/>
              <w:bottom w:val="single" w:color="000000" w:sz="4" w:space="0"/>
              <w:right w:val="single" w:color="000000" w:sz="4" w:space="0"/>
            </w:tcBorders>
            <w:tcW w:w="1101" w:type="dxa"/>
            <w:vAlign w:val="top"/>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语音中继</w:t>
            </w:r>
            <w:r/>
          </w:p>
        </w:tc>
        <w:tc>
          <w:tcPr>
            <w:tcBorders>
              <w:top w:val="none" w:color="000000" w:sz="4" w:space="0"/>
              <w:left w:val="none" w:color="000000" w:sz="4" w:space="0"/>
              <w:bottom w:val="single" w:color="000000" w:sz="4" w:space="0"/>
              <w:right w:val="single" w:color="000000" w:sz="4" w:space="0"/>
            </w:tcBorders>
            <w:tcW w:w="653" w:type="dxa"/>
            <w:vAlign w:val="top"/>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2M</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Borders>
              <w:top w:val="none" w:color="000000" w:sz="4" w:space="0"/>
              <w:left w:val="none" w:color="000000" w:sz="4" w:space="0"/>
              <w:bottom w:val="single" w:color="000000" w:sz="4" w:space="0"/>
              <w:right w:val="single" w:color="000000" w:sz="4" w:space="0"/>
            </w:tcBorders>
            <w:tcW w:w="1717" w:type="dxa"/>
            <w:vAlign w:val="top"/>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运营商汇接局1</w:t>
            </w:r>
            <w:r/>
          </w:p>
        </w:tc>
      </w:tr>
      <w:tr>
        <w:trPr>
          <w:trHeight w:val="280"/>
        </w:trPr>
        <w:tc>
          <w:tcPr>
            <w:tcBorders>
              <w:top w:val="none" w:color="000000" w:sz="4" w:space="0"/>
              <w:left w:val="single" w:color="000000" w:sz="4" w:space="0"/>
              <w:bottom w:val="single" w:color="000000" w:sz="4" w:space="0"/>
              <w:right w:val="single" w:color="000000" w:sz="4" w:space="0"/>
            </w:tcBorders>
            <w:tcW w:w="653"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3</w:t>
            </w:r>
            <w:r/>
          </w:p>
        </w:tc>
        <w:tc>
          <w:tcPr>
            <w:tcBorders>
              <w:top w:val="none" w:color="000000" w:sz="4" w:space="0"/>
              <w:left w:val="none" w:color="000000" w:sz="4" w:space="0"/>
              <w:bottom w:val="single" w:color="000000" w:sz="4" w:space="0"/>
              <w:right w:val="single" w:color="000000" w:sz="4" w:space="0"/>
            </w:tcBorders>
            <w:tcW w:w="1101" w:type="dxa"/>
            <w:vAlign w:val="top"/>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语音中继</w:t>
            </w:r>
            <w:r/>
          </w:p>
        </w:tc>
        <w:tc>
          <w:tcPr>
            <w:tcBorders>
              <w:top w:val="none" w:color="000000" w:sz="4" w:space="0"/>
              <w:left w:val="none" w:color="000000" w:sz="4" w:space="0"/>
              <w:bottom w:val="single" w:color="000000" w:sz="4" w:space="0"/>
              <w:right w:val="single" w:color="000000" w:sz="4" w:space="0"/>
            </w:tcBorders>
            <w:tcW w:w="653" w:type="dxa"/>
            <w:vAlign w:val="top"/>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2M</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Borders>
              <w:top w:val="none" w:color="000000" w:sz="4" w:space="0"/>
              <w:left w:val="none" w:color="000000" w:sz="4" w:space="0"/>
              <w:bottom w:val="single" w:color="000000" w:sz="4" w:space="0"/>
              <w:right w:val="single" w:color="000000" w:sz="4" w:space="0"/>
            </w:tcBorders>
            <w:tcW w:w="1717" w:type="dxa"/>
            <w:vAlign w:val="top"/>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运营商汇接局2</w:t>
            </w:r>
            <w:r/>
          </w:p>
        </w:tc>
      </w:tr>
      <w:tr>
        <w:trPr>
          <w:trHeight w:val="280"/>
        </w:trPr>
        <w:tc>
          <w:tcPr>
            <w:tcBorders>
              <w:top w:val="none" w:color="000000" w:sz="4" w:space="0"/>
              <w:left w:val="single" w:color="000000" w:sz="4" w:space="0"/>
              <w:bottom w:val="single" w:color="000000" w:sz="4" w:space="0"/>
              <w:right w:val="single" w:color="000000" w:sz="4" w:space="0"/>
            </w:tcBorders>
            <w:tcW w:w="653"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4</w:t>
            </w:r>
            <w:r/>
          </w:p>
        </w:tc>
        <w:tc>
          <w:tcPr>
            <w:tcBorders>
              <w:top w:val="none" w:color="000000" w:sz="4" w:space="0"/>
              <w:left w:val="none" w:color="000000" w:sz="4" w:space="0"/>
              <w:bottom w:val="single" w:color="000000" w:sz="4" w:space="0"/>
              <w:right w:val="single" w:color="000000" w:sz="4" w:space="0"/>
            </w:tcBorders>
            <w:tcW w:w="1101" w:type="dxa"/>
            <w:vAlign w:val="top"/>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语音中继</w:t>
            </w:r>
            <w:r/>
          </w:p>
        </w:tc>
        <w:tc>
          <w:tcPr>
            <w:tcBorders>
              <w:top w:val="none" w:color="000000" w:sz="4" w:space="0"/>
              <w:left w:val="none" w:color="000000" w:sz="4" w:space="0"/>
              <w:bottom w:val="single" w:color="000000" w:sz="4" w:space="0"/>
              <w:right w:val="single" w:color="000000" w:sz="4" w:space="0"/>
            </w:tcBorders>
            <w:tcW w:w="653" w:type="dxa"/>
            <w:vAlign w:val="top"/>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2M</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Borders>
              <w:top w:val="none" w:color="000000" w:sz="4" w:space="0"/>
              <w:left w:val="none" w:color="000000" w:sz="4" w:space="0"/>
              <w:bottom w:val="single" w:color="000000" w:sz="4" w:space="0"/>
              <w:right w:val="single" w:color="000000" w:sz="4" w:space="0"/>
            </w:tcBorders>
            <w:tcW w:w="1717" w:type="dxa"/>
            <w:vAlign w:val="top"/>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运营商汇接局2</w:t>
            </w:r>
            <w:r/>
          </w:p>
        </w:tc>
      </w:tr>
    </w:tbl>
    <w:p>
      <w:pPr>
        <w:pStyle w:val="1033"/>
        <w:numPr>
          <w:ilvl w:val="0"/>
          <w:numId w:val="5"/>
        </w:numPr>
        <w:ind w:left="0" w:firstLine="480"/>
        <w:jc w:val="both"/>
        <w:spacing w:line="360" w:lineRule="auto"/>
        <w:rPr>
          <w:rFonts w:ascii="宋体" w:hAnsi="宋体" w:cs="Courier New"/>
          <w:highlight w:val="none"/>
        </w:rPr>
      </w:pPr>
      <w:r>
        <w:rPr>
          <w:rFonts w:hint="eastAsia" w:ascii="宋体" w:hAnsi="宋体" w:cs="Courier New"/>
          <w:highlight w:val="none"/>
        </w:rPr>
        <w:t xml:space="preserve">裸光纤</w:t>
      </w:r>
      <w:r/>
    </w:p>
    <w:tbl>
      <w:tblPr>
        <w:tblStyle w:val="772"/>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1396"/>
        <w:gridCol w:w="4349"/>
        <w:gridCol w:w="1038"/>
        <w:gridCol w:w="2386"/>
      </w:tblGrid>
      <w:tr>
        <w:trPr>
          <w:trHeight w:val="280"/>
        </w:trPr>
        <w:tc>
          <w:tcPr>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序号</w:t>
            </w:r>
            <w:r/>
          </w:p>
        </w:tc>
        <w:tc>
          <w:tcPr>
            <w:tcBorders>
              <w:top w:val="single" w:color="000000" w:sz="4" w:space="0"/>
              <w:left w:val="none" w:color="000000" w:sz="4" w:space="0"/>
              <w:bottom w:val="single" w:color="000000" w:sz="4" w:space="0"/>
              <w:right w:val="single" w:color="000000" w:sz="4" w:space="0"/>
            </w:tcBorders>
            <w:tcW w:w="2371"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电路类型</w:t>
            </w:r>
            <w:r/>
          </w:p>
        </w:tc>
        <w:tc>
          <w:tcPr>
            <w:tcBorders>
              <w:top w:val="single" w:color="000000" w:sz="4" w:space="0"/>
              <w:left w:val="none" w:color="000000" w:sz="4" w:space="0"/>
              <w:bottom w:val="single" w:color="000000" w:sz="4" w:space="0"/>
              <w:right w:val="single" w:color="000000" w:sz="4" w:space="0"/>
            </w:tcBorders>
            <w:tcW w:w="566"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A端</w:t>
            </w:r>
            <w:r/>
          </w:p>
        </w:tc>
        <w:tc>
          <w:tcPr>
            <w:tcBorders>
              <w:top w:val="single" w:color="000000" w:sz="4" w:space="0"/>
              <w:left w:val="none" w:color="000000" w:sz="4" w:space="0"/>
              <w:bottom w:val="single" w:color="000000" w:sz="4" w:space="0"/>
              <w:right w:val="single" w:color="000000" w:sz="4" w:space="0"/>
            </w:tcBorders>
            <w:tcW w:w="1301"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B端</w:t>
            </w:r>
            <w:r/>
          </w:p>
        </w:tc>
      </w:tr>
      <w:tr>
        <w:trPr>
          <w:trHeight w:val="280"/>
        </w:trPr>
        <w:tc>
          <w:tcPr>
            <w:tcBorders>
              <w:top w:val="none" w:color="000000" w:sz="4" w:space="0"/>
              <w:left w:val="single" w:color="000000" w:sz="4" w:space="0"/>
              <w:bottom w:val="single" w:color="000000" w:sz="4" w:space="0"/>
              <w:right w:val="single" w:color="000000" w:sz="4" w:space="0"/>
            </w:tcBorders>
            <w:tcW w:w="761"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1</w:t>
            </w:r>
            <w:r/>
          </w:p>
        </w:tc>
        <w:tc>
          <w:tcPr>
            <w:tcBorders>
              <w:top w:val="single" w:color="000000" w:sz="4" w:space="0"/>
              <w:left w:val="none" w:color="000000" w:sz="4" w:space="0"/>
              <w:bottom w:val="single" w:color="000000" w:sz="4" w:space="0"/>
              <w:right w:val="single" w:color="000000" w:sz="4" w:space="0"/>
            </w:tcBorders>
            <w:tcW w:w="2371"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裸光纤</w:t>
            </w:r>
            <w:r/>
          </w:p>
        </w:tc>
        <w:tc>
          <w:tcPr>
            <w:tcBorders>
              <w:top w:val="none" w:color="000000" w:sz="4" w:space="0"/>
              <w:left w:val="none" w:color="000000" w:sz="4" w:space="0"/>
              <w:bottom w:val="single" w:color="000000" w:sz="4" w:space="0"/>
              <w:right w:val="single" w:color="000000" w:sz="4" w:space="0"/>
            </w:tcBorders>
            <w:tcW w:w="566"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Borders>
              <w:top w:val="none" w:color="000000" w:sz="4" w:space="0"/>
              <w:left w:val="none" w:color="000000" w:sz="4" w:space="0"/>
              <w:bottom w:val="single" w:color="000000" w:sz="4" w:space="0"/>
              <w:right w:val="single" w:color="000000" w:sz="4" w:space="0"/>
            </w:tcBorders>
            <w:tcW w:w="1301"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南京中院</w:t>
            </w:r>
            <w:r/>
          </w:p>
        </w:tc>
      </w:tr>
    </w:tbl>
    <w:p>
      <w:pPr>
        <w:pStyle w:val="1033"/>
        <w:numPr>
          <w:ilvl w:val="0"/>
          <w:numId w:val="5"/>
        </w:numPr>
        <w:ind w:left="0" w:firstLine="480"/>
        <w:jc w:val="both"/>
        <w:spacing w:line="360" w:lineRule="auto"/>
        <w:rPr>
          <w:rFonts w:ascii="宋体" w:hAnsi="宋体" w:cs="Courier New"/>
          <w:highlight w:val="none"/>
        </w:rPr>
      </w:pPr>
      <w:r>
        <w:rPr>
          <w:rFonts w:hint="eastAsia" w:ascii="宋体" w:hAnsi="宋体" w:cs="Courier New"/>
          <w:highlight w:val="none"/>
        </w:rPr>
        <w:t xml:space="preserve">互联网专线宽带</w:t>
      </w:r>
      <w:r/>
    </w:p>
    <w:tbl>
      <w:tblPr>
        <w:tblStyle w:val="772"/>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1284"/>
        <w:gridCol w:w="2164"/>
        <w:gridCol w:w="1284"/>
        <w:gridCol w:w="2164"/>
        <w:gridCol w:w="2273"/>
      </w:tblGrid>
      <w:tr>
        <w:trPr>
          <w:trHeight w:val="280"/>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序号</w:t>
            </w:r>
            <w:r/>
          </w:p>
        </w:tc>
        <w:tc>
          <w:tcPr>
            <w:tcBorders>
              <w:top w:val="single" w:color="000000" w:sz="4" w:space="0"/>
              <w:left w:val="none" w:color="000000" w:sz="4" w:space="0"/>
              <w:bottom w:val="single" w:color="000000" w:sz="4" w:space="0"/>
              <w:right w:val="single" w:color="000000" w:sz="4" w:space="0"/>
            </w:tcBorders>
            <w:tcW w:w="1180"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业务类型</w:t>
            </w:r>
            <w:r/>
          </w:p>
        </w:tc>
        <w:tc>
          <w:tcPr>
            <w:tcBorders>
              <w:top w:val="single" w:color="000000" w:sz="4" w:space="0"/>
              <w:left w:val="none" w:color="000000" w:sz="4" w:space="0"/>
              <w:bottom w:val="single" w:color="000000" w:sz="4" w:space="0"/>
              <w:right w:val="single" w:color="000000" w:sz="4" w:space="0"/>
            </w:tcBorders>
            <w:tcW w:w="700"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带宽</w:t>
            </w:r>
            <w:r/>
          </w:p>
        </w:tc>
        <w:tc>
          <w:tcPr>
            <w:tcBorders>
              <w:top w:val="single" w:color="000000" w:sz="4" w:space="0"/>
              <w:left w:val="none" w:color="000000" w:sz="4" w:space="0"/>
              <w:bottom w:val="single" w:color="000000" w:sz="4" w:space="0"/>
              <w:right w:val="single" w:color="000000" w:sz="4" w:space="0"/>
            </w:tcBorders>
            <w:tcW w:w="1180"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装机地址</w:t>
            </w:r>
            <w:r/>
          </w:p>
        </w:tc>
        <w:tc>
          <w:tcPr>
            <w:tcBorders>
              <w:top w:val="single" w:color="000000" w:sz="4" w:space="0"/>
              <w:left w:val="none" w:color="000000" w:sz="4" w:space="0"/>
              <w:bottom w:val="single" w:color="000000" w:sz="4" w:space="0"/>
              <w:right w:val="single" w:color="000000" w:sz="4" w:space="0"/>
            </w:tcBorders>
            <w:tcW w:w="1239"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IP地址数</w:t>
            </w:r>
            <w:r/>
          </w:p>
        </w:tc>
      </w:tr>
      <w:tr>
        <w:trPr>
          <w:trHeight w:val="280"/>
        </w:trPr>
        <w:tc>
          <w:tcPr>
            <w:tcBorders>
              <w:top w:val="none" w:color="000000" w:sz="4" w:space="0"/>
              <w:left w:val="single" w:color="000000" w:sz="4" w:space="0"/>
              <w:bottom w:val="single" w:color="000000" w:sz="4" w:space="0"/>
              <w:right w:val="single" w:color="000000" w:sz="4" w:space="0"/>
            </w:tcBorders>
            <w:tcW w:w="700"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1</w:t>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专线宽带</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50M</w:t>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Borders>
              <w:top w:val="none" w:color="000000" w:sz="4" w:space="0"/>
              <w:left w:val="none" w:color="000000" w:sz="4" w:space="0"/>
              <w:bottom w:val="single" w:color="000000" w:sz="4" w:space="0"/>
              <w:right w:val="single" w:color="000000" w:sz="4" w:space="0"/>
            </w:tcBorders>
            <w:tcW w:w="1239"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4</w:t>
            </w:r>
            <w:r/>
          </w:p>
        </w:tc>
      </w:tr>
      <w:tr>
        <w:trPr>
          <w:trHeight w:val="280"/>
        </w:trPr>
        <w:tc>
          <w:tcPr>
            <w:tcBorders>
              <w:top w:val="none" w:color="000000" w:sz="4" w:space="0"/>
              <w:left w:val="single" w:color="000000" w:sz="4" w:space="0"/>
              <w:bottom w:val="single" w:color="000000" w:sz="4" w:space="0"/>
              <w:right w:val="single" w:color="000000" w:sz="4" w:space="0"/>
            </w:tcBorders>
            <w:tcW w:w="700"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w:t>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专线宽带</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100M</w:t>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Borders>
              <w:top w:val="none" w:color="000000" w:sz="4" w:space="0"/>
              <w:left w:val="none" w:color="000000" w:sz="4" w:space="0"/>
              <w:bottom w:val="single" w:color="000000" w:sz="4" w:space="0"/>
              <w:right w:val="single" w:color="000000" w:sz="4" w:space="0"/>
            </w:tcBorders>
            <w:tcW w:w="1239"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16</w:t>
            </w:r>
            <w:r/>
          </w:p>
        </w:tc>
      </w:tr>
      <w:tr>
        <w:trPr>
          <w:trHeight w:val="280"/>
        </w:trPr>
        <w:tc>
          <w:tcPr>
            <w:tcBorders>
              <w:top w:val="none" w:color="000000" w:sz="4" w:space="0"/>
              <w:left w:val="single" w:color="000000" w:sz="4" w:space="0"/>
              <w:bottom w:val="single" w:color="000000" w:sz="4" w:space="0"/>
              <w:right w:val="single" w:color="000000" w:sz="4" w:space="0"/>
            </w:tcBorders>
            <w:tcW w:w="700"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3</w:t>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专线宽带</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200M</w:t>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Borders>
              <w:top w:val="none" w:color="000000" w:sz="4" w:space="0"/>
              <w:left w:val="none" w:color="000000" w:sz="4" w:space="0"/>
              <w:bottom w:val="single" w:color="000000" w:sz="4" w:space="0"/>
              <w:right w:val="single" w:color="000000" w:sz="4" w:space="0"/>
            </w:tcBorders>
            <w:tcW w:w="1239"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8</w:t>
            </w:r>
            <w:r/>
          </w:p>
        </w:tc>
      </w:tr>
      <w:tr>
        <w:trPr>
          <w:trHeight w:val="280"/>
        </w:trPr>
        <w:tc>
          <w:tcPr>
            <w:tcBorders>
              <w:top w:val="none" w:color="000000" w:sz="4" w:space="0"/>
              <w:left w:val="single" w:color="000000" w:sz="4" w:space="0"/>
              <w:bottom w:val="single" w:color="000000" w:sz="4" w:space="0"/>
              <w:right w:val="single" w:color="000000" w:sz="4" w:space="0"/>
            </w:tcBorders>
            <w:tcW w:w="700"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4</w:t>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专线宽带</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200M</w:t>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Borders>
              <w:top w:val="none" w:color="000000" w:sz="4" w:space="0"/>
              <w:left w:val="none" w:color="000000" w:sz="4" w:space="0"/>
              <w:bottom w:val="single" w:color="000000" w:sz="4" w:space="0"/>
              <w:right w:val="single" w:color="000000" w:sz="4" w:space="0"/>
            </w:tcBorders>
            <w:tcW w:w="1239"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6</w:t>
            </w:r>
            <w:r/>
          </w:p>
        </w:tc>
      </w:tr>
      <w:tr>
        <w:trPr>
          <w:trHeight w:val="280"/>
        </w:trPr>
        <w:tc>
          <w:tcPr>
            <w:tcBorders>
              <w:top w:val="none" w:color="000000" w:sz="4" w:space="0"/>
              <w:left w:val="single" w:color="000000" w:sz="4" w:space="0"/>
              <w:bottom w:val="single" w:color="000000" w:sz="4" w:space="0"/>
              <w:right w:val="single" w:color="000000" w:sz="4" w:space="0"/>
            </w:tcBorders>
            <w:tcW w:w="700"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5</w:t>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专线宽带</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400M</w:t>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w:t>
            </w:r>
            <w:r/>
          </w:p>
        </w:tc>
        <w:tc>
          <w:tcPr>
            <w:tcBorders>
              <w:top w:val="none" w:color="000000" w:sz="4" w:space="0"/>
              <w:left w:val="none" w:color="000000" w:sz="4" w:space="0"/>
              <w:bottom w:val="single" w:color="000000" w:sz="4" w:space="0"/>
              <w:right w:val="single" w:color="000000" w:sz="4" w:space="0"/>
            </w:tcBorders>
            <w:tcW w:w="1239"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32</w:t>
            </w:r>
            <w:r/>
          </w:p>
        </w:tc>
      </w:tr>
    </w:tbl>
    <w:p>
      <w:pPr>
        <w:pStyle w:val="1033"/>
        <w:numPr>
          <w:ilvl w:val="0"/>
          <w:numId w:val="5"/>
        </w:numPr>
        <w:ind w:left="0" w:firstLine="480"/>
        <w:jc w:val="both"/>
        <w:spacing w:line="360" w:lineRule="auto"/>
        <w:rPr>
          <w:rFonts w:ascii="宋体" w:hAnsi="宋体" w:cs="Courier New"/>
          <w:highlight w:val="none"/>
        </w:rPr>
      </w:pPr>
      <w:r>
        <w:rPr>
          <w:rFonts w:hint="eastAsia" w:ascii="宋体" w:hAnsi="宋体" w:cs="Courier New"/>
          <w:highlight w:val="none"/>
        </w:rPr>
        <w:t xml:space="preserve">办公线路与其他线路</w:t>
      </w:r>
      <w:r/>
    </w:p>
    <w:tbl>
      <w:tblPr>
        <w:tblStyle w:val="772"/>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821"/>
        <w:gridCol w:w="1436"/>
        <w:gridCol w:w="3730"/>
        <w:gridCol w:w="2296"/>
        <w:gridCol w:w="886"/>
      </w:tblGrid>
      <w:tr>
        <w:trPr>
          <w:trHeight w:val="280"/>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序号</w:t>
            </w:r>
            <w:r/>
          </w:p>
        </w:tc>
        <w:tc>
          <w:tcPr>
            <w:tcBorders>
              <w:top w:val="single" w:color="000000" w:sz="4" w:space="0"/>
              <w:left w:val="none" w:color="000000" w:sz="4" w:space="0"/>
              <w:bottom w:val="single" w:color="000000" w:sz="4" w:space="0"/>
              <w:right w:val="single" w:color="000000" w:sz="4" w:space="0"/>
            </w:tcBorders>
            <w:tcW w:w="783"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业务类型</w:t>
            </w:r>
            <w:r/>
          </w:p>
        </w:tc>
        <w:tc>
          <w:tcPr>
            <w:tcBorders>
              <w:top w:val="single" w:color="000000" w:sz="4" w:space="0"/>
              <w:left w:val="none" w:color="000000" w:sz="4" w:space="0"/>
              <w:bottom w:val="single" w:color="000000" w:sz="4" w:space="0"/>
              <w:right w:val="single" w:color="000000" w:sz="4" w:space="0"/>
            </w:tcBorders>
            <w:tcW w:w="2034"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需求描述</w:t>
            </w:r>
            <w:r/>
          </w:p>
        </w:tc>
        <w:tc>
          <w:tcPr>
            <w:tcBorders>
              <w:top w:val="single" w:color="000000" w:sz="4" w:space="0"/>
              <w:left w:val="none" w:color="000000" w:sz="4" w:space="0"/>
              <w:bottom w:val="single" w:color="000000" w:sz="4" w:space="0"/>
              <w:right w:val="single" w:color="000000" w:sz="4" w:space="0"/>
            </w:tcBorders>
            <w:tcW w:w="125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装机地址</w:t>
            </w:r>
            <w:r/>
          </w:p>
        </w:tc>
        <w:tc>
          <w:tcPr>
            <w:tcBorders>
              <w:top w:val="single" w:color="000000" w:sz="4" w:space="0"/>
              <w:left w:val="none" w:color="000000" w:sz="4" w:space="0"/>
              <w:bottom w:val="single" w:color="000000" w:sz="4" w:space="0"/>
              <w:right w:val="single" w:color="000000" w:sz="4" w:space="0"/>
            </w:tcBorders>
            <w:tcW w:w="483"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数量</w:t>
            </w:r>
            <w:r/>
          </w:p>
        </w:tc>
      </w:tr>
      <w:tr>
        <w:trPr>
          <w:trHeight w:val="280"/>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1</w:t>
            </w:r>
            <w:r/>
          </w:p>
        </w:tc>
        <w:tc>
          <w:tcPr>
            <w:tcBorders>
              <w:top w:val="single" w:color="000000" w:sz="4" w:space="0"/>
              <w:left w:val="none" w:color="000000" w:sz="4" w:space="0"/>
              <w:bottom w:val="single" w:color="000000" w:sz="4" w:space="0"/>
              <w:right w:val="single" w:color="000000" w:sz="4" w:space="0"/>
            </w:tcBorders>
            <w:tcW w:w="783"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SDH电路</w:t>
            </w:r>
            <w:r/>
          </w:p>
        </w:tc>
        <w:tc>
          <w:tcPr>
            <w:tcBorders>
              <w:top w:val="single" w:color="000000" w:sz="4" w:space="0"/>
              <w:left w:val="none" w:color="000000" w:sz="4" w:space="0"/>
              <w:bottom w:val="single" w:color="000000" w:sz="4" w:space="0"/>
              <w:right w:val="single" w:color="000000" w:sz="4" w:space="0"/>
            </w:tcBorders>
            <w:tcW w:w="2034"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视频会议承载电路，2M带宽</w:t>
            </w:r>
            <w:r/>
          </w:p>
        </w:tc>
        <w:tc>
          <w:tcPr>
            <w:tcBorders>
              <w:top w:val="single" w:color="000000" w:sz="4" w:space="0"/>
              <w:left w:val="none" w:color="000000" w:sz="4" w:space="0"/>
              <w:bottom w:val="single" w:color="000000" w:sz="4" w:space="0"/>
              <w:right w:val="single" w:color="000000" w:sz="4" w:space="0"/>
            </w:tcBorders>
            <w:tcW w:w="125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省高院老楼-新楼</w:t>
            </w:r>
            <w:r/>
          </w:p>
        </w:tc>
        <w:tc>
          <w:tcPr>
            <w:tcBorders>
              <w:top w:val="single" w:color="000000" w:sz="4" w:space="0"/>
              <w:left w:val="none" w:color="000000" w:sz="4" w:space="0"/>
              <w:bottom w:val="single" w:color="000000" w:sz="4" w:space="0"/>
              <w:right w:val="single" w:color="000000" w:sz="4" w:space="0"/>
            </w:tcBorders>
            <w:tcW w:w="483"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4</w:t>
            </w:r>
            <w:r/>
          </w:p>
        </w:tc>
      </w:tr>
      <w:tr>
        <w:trPr>
          <w:trHeight w:val="280"/>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w:t>
            </w:r>
            <w:r/>
          </w:p>
        </w:tc>
        <w:tc>
          <w:tcPr>
            <w:tcBorders>
              <w:top w:val="single" w:color="000000" w:sz="4" w:space="0"/>
              <w:left w:val="none" w:color="000000" w:sz="4" w:space="0"/>
              <w:bottom w:val="single" w:color="000000" w:sz="4" w:space="0"/>
              <w:right w:val="single" w:color="000000" w:sz="4" w:space="0"/>
            </w:tcBorders>
            <w:tcW w:w="783"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拨号宽带</w:t>
            </w:r>
            <w:r/>
          </w:p>
        </w:tc>
        <w:tc>
          <w:tcPr>
            <w:tcBorders>
              <w:top w:val="single" w:color="000000" w:sz="4" w:space="0"/>
              <w:left w:val="none" w:color="000000" w:sz="4" w:space="0"/>
              <w:bottom w:val="single" w:color="000000" w:sz="4" w:space="0"/>
              <w:right w:val="single" w:color="000000" w:sz="4" w:space="0"/>
            </w:tcBorders>
            <w:tcW w:w="2034"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100M宽带</w:t>
            </w:r>
            <w:r/>
          </w:p>
        </w:tc>
        <w:tc>
          <w:tcPr>
            <w:tcBorders>
              <w:top w:val="single" w:color="000000" w:sz="4" w:space="0"/>
              <w:left w:val="none" w:color="000000" w:sz="4" w:space="0"/>
              <w:bottom w:val="single" w:color="000000" w:sz="4" w:space="0"/>
              <w:right w:val="single" w:color="000000" w:sz="4" w:space="0"/>
            </w:tcBorders>
            <w:tcW w:w="125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高院值班室</w:t>
            </w:r>
            <w:r/>
          </w:p>
        </w:tc>
        <w:tc>
          <w:tcPr>
            <w:tcBorders>
              <w:top w:val="single" w:color="000000" w:sz="4" w:space="0"/>
              <w:left w:val="none" w:color="000000" w:sz="4" w:space="0"/>
              <w:bottom w:val="single" w:color="000000" w:sz="4" w:space="0"/>
              <w:right w:val="single" w:color="000000" w:sz="4" w:space="0"/>
            </w:tcBorders>
            <w:tcW w:w="483"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1</w:t>
            </w:r>
            <w:r/>
          </w:p>
        </w:tc>
      </w:tr>
      <w:tr>
        <w:trPr>
          <w:trHeight w:val="280"/>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3</w:t>
            </w:r>
            <w:r/>
          </w:p>
        </w:tc>
        <w:tc>
          <w:tcPr>
            <w:tcBorders>
              <w:top w:val="single" w:color="000000" w:sz="4" w:space="0"/>
              <w:left w:val="none" w:color="000000" w:sz="4" w:space="0"/>
              <w:bottom w:val="single" w:color="000000" w:sz="4" w:space="0"/>
              <w:right w:val="single" w:color="000000" w:sz="4" w:space="0"/>
            </w:tcBorders>
            <w:tcW w:w="783"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ITV电视</w:t>
            </w:r>
            <w:r/>
          </w:p>
        </w:tc>
        <w:tc>
          <w:tcPr>
            <w:tcBorders>
              <w:top w:val="single" w:color="000000" w:sz="4" w:space="0"/>
              <w:left w:val="none" w:color="000000" w:sz="4" w:space="0"/>
              <w:bottom w:val="single" w:color="000000" w:sz="4" w:space="0"/>
              <w:right w:val="single" w:color="000000" w:sz="4" w:space="0"/>
            </w:tcBorders>
            <w:tcW w:w="2034"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无</w:t>
            </w:r>
            <w:r/>
          </w:p>
        </w:tc>
        <w:tc>
          <w:tcPr>
            <w:tcBorders>
              <w:top w:val="single" w:color="000000" w:sz="4" w:space="0"/>
              <w:left w:val="none" w:color="000000" w:sz="4" w:space="0"/>
              <w:bottom w:val="single" w:color="000000" w:sz="4" w:space="0"/>
              <w:right w:val="single" w:color="000000" w:sz="4" w:space="0"/>
            </w:tcBorders>
            <w:tcW w:w="125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高院值班室</w:t>
            </w:r>
            <w:r/>
          </w:p>
        </w:tc>
        <w:tc>
          <w:tcPr>
            <w:tcBorders>
              <w:top w:val="single" w:color="000000" w:sz="4" w:space="0"/>
              <w:left w:val="none" w:color="000000" w:sz="4" w:space="0"/>
              <w:bottom w:val="single" w:color="000000" w:sz="4" w:space="0"/>
              <w:right w:val="single" w:color="000000" w:sz="4" w:space="0"/>
            </w:tcBorders>
            <w:tcW w:w="483"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1</w:t>
            </w:r>
            <w:r/>
          </w:p>
        </w:tc>
      </w:tr>
      <w:tr>
        <w:trPr>
          <w:trHeight w:val="280"/>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4</w:t>
            </w:r>
            <w:r/>
          </w:p>
        </w:tc>
        <w:tc>
          <w:tcPr>
            <w:tcBorders>
              <w:top w:val="single" w:color="000000" w:sz="4" w:space="0"/>
              <w:left w:val="none" w:color="000000" w:sz="4" w:space="0"/>
              <w:bottom w:val="single" w:color="000000" w:sz="4" w:space="0"/>
              <w:right w:val="single" w:color="000000" w:sz="4" w:space="0"/>
            </w:tcBorders>
            <w:tcW w:w="783"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MSTP电路</w:t>
            </w:r>
            <w:r/>
          </w:p>
        </w:tc>
        <w:tc>
          <w:tcPr>
            <w:tcBorders>
              <w:top w:val="single" w:color="000000" w:sz="4" w:space="0"/>
              <w:left w:val="none" w:color="000000" w:sz="4" w:space="0"/>
              <w:bottom w:val="single" w:color="000000" w:sz="4" w:space="0"/>
              <w:right w:val="single" w:color="000000" w:sz="4" w:space="0"/>
            </w:tcBorders>
            <w:tcW w:w="2034"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cs="Courier New"/>
                <w:highlight w:val="none"/>
              </w:rPr>
              <w:t xml:space="preserve">50M本地电路</w:t>
            </w:r>
            <w:r/>
          </w:p>
        </w:tc>
        <w:tc>
          <w:tcPr>
            <w:tcBorders>
              <w:top w:val="single" w:color="000000" w:sz="4" w:space="0"/>
              <w:left w:val="none" w:color="000000" w:sz="4" w:space="0"/>
              <w:bottom w:val="single" w:color="000000" w:sz="4" w:space="0"/>
              <w:right w:val="single" w:color="000000" w:sz="4" w:space="0"/>
            </w:tcBorders>
            <w:tcW w:w="1252"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cs="Courier New"/>
                <w:highlight w:val="none"/>
              </w:rPr>
              <w:t xml:space="preserve">省院到12368职场</w:t>
            </w:r>
            <w:r/>
          </w:p>
        </w:tc>
        <w:tc>
          <w:tcPr>
            <w:tcBorders>
              <w:top w:val="single" w:color="000000" w:sz="4" w:space="0"/>
              <w:left w:val="none" w:color="000000" w:sz="4" w:space="0"/>
              <w:bottom w:val="single" w:color="000000" w:sz="4" w:space="0"/>
              <w:right w:val="single" w:color="000000" w:sz="4" w:space="0"/>
            </w:tcBorders>
            <w:tcW w:w="483" w:type="dxa"/>
            <w:vAlign w:val="center"/>
            <w:textDirection w:val="lrTb"/>
            <w:noWrap/>
          </w:tcPr>
          <w:p>
            <w:pPr>
              <w:contextualSpacing/>
              <w:jc w:val="center"/>
              <w:spacing w:line="360" w:lineRule="auto"/>
              <w:tabs>
                <w:tab w:val="left" w:pos="2020" w:leader="none"/>
              </w:tabs>
              <w:rPr>
                <w:rFonts w:ascii="宋体" w:hAnsi="宋体"/>
                <w:highlight w:val="none"/>
              </w:rPr>
            </w:pPr>
            <w:r>
              <w:rPr>
                <w:rFonts w:hint="eastAsia" w:ascii="宋体" w:hAnsi="宋体"/>
                <w:highlight w:val="none"/>
              </w:rPr>
              <w:t xml:space="preserve">2</w:t>
            </w:r>
            <w:r/>
          </w:p>
        </w:tc>
      </w:tr>
    </w:tbl>
    <w:p>
      <w:pPr>
        <w:pStyle w:val="945"/>
        <w:ind w:firstLine="241"/>
        <w:spacing w:before="0" w:after="0" w:line="360" w:lineRule="auto"/>
        <w:rPr>
          <w:sz w:val="24"/>
          <w:szCs w:val="24"/>
          <w:highlight w:val="none"/>
        </w:rPr>
      </w:pPr>
      <w:r>
        <w:rPr>
          <w:rFonts w:hint="eastAsia"/>
          <w:sz w:val="24"/>
          <w:szCs w:val="24"/>
          <w:highlight w:val="none"/>
        </w:rPr>
        <w:t xml:space="preserve">3</w:t>
      </w:r>
      <w:r>
        <w:rPr>
          <w:sz w:val="24"/>
          <w:szCs w:val="24"/>
          <w:highlight w:val="none"/>
        </w:rPr>
        <w:t xml:space="preserve">. </w:t>
      </w:r>
      <w:r>
        <w:rPr>
          <w:rFonts w:hint="eastAsia"/>
          <w:sz w:val="24"/>
          <w:szCs w:val="24"/>
          <w:highlight w:val="none"/>
        </w:rPr>
        <w:t xml:space="preserve">实施要求</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1、协议签订后，相关传输线路建设和配套设备部署需在40个自然日内完成交付，联网率达到</w:t>
      </w:r>
      <w:r>
        <w:rPr>
          <w:rFonts w:ascii="宋体" w:hAnsi="宋体"/>
          <w:sz w:val="24"/>
          <w:szCs w:val="24"/>
          <w:highlight w:val="none"/>
        </w:rPr>
        <w:t xml:space="preserve">100%</w:t>
      </w:r>
      <w:r>
        <w:rPr>
          <w:rFonts w:hint="eastAsia" w:ascii="宋体" w:hAnsi="宋体"/>
          <w:sz w:val="24"/>
          <w:szCs w:val="24"/>
          <w:highlight w:val="none"/>
        </w:rPr>
        <w:t xml:space="preserve">。驻场人员需在线路服务完成交付后10个自然日内进场。</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2、投标人</w:t>
      </w:r>
      <w:r>
        <w:rPr>
          <w:rFonts w:ascii="宋体" w:hAnsi="宋体"/>
          <w:sz w:val="24"/>
          <w:szCs w:val="24"/>
          <w:highlight w:val="none"/>
        </w:rPr>
        <w:t xml:space="preserve">根据</w:t>
      </w:r>
      <w:r>
        <w:rPr>
          <w:rFonts w:hint="eastAsia" w:ascii="宋体" w:hAnsi="宋体"/>
          <w:sz w:val="24"/>
          <w:szCs w:val="24"/>
          <w:highlight w:val="none"/>
        </w:rPr>
        <w:t xml:space="preserve">采购人</w:t>
      </w:r>
      <w:r>
        <w:rPr>
          <w:rFonts w:ascii="宋体" w:hAnsi="宋体"/>
          <w:sz w:val="24"/>
          <w:szCs w:val="24"/>
          <w:highlight w:val="none"/>
        </w:rPr>
        <w:t xml:space="preserve">提供的详细地址安装铺设到指定位置、指定设备，涉及线路割接等协调事宜，由</w:t>
      </w:r>
      <w:r>
        <w:rPr>
          <w:rFonts w:hint="eastAsia" w:ascii="宋体" w:hAnsi="宋体"/>
          <w:sz w:val="24"/>
          <w:szCs w:val="24"/>
          <w:highlight w:val="none"/>
        </w:rPr>
        <w:t xml:space="preserve">中标方</w:t>
      </w:r>
      <w:r>
        <w:rPr>
          <w:rFonts w:ascii="宋体" w:hAnsi="宋体"/>
          <w:sz w:val="24"/>
          <w:szCs w:val="24"/>
          <w:highlight w:val="none"/>
        </w:rPr>
        <w:t xml:space="preserve">负责。</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3、服务期内，线路进行日常割接时，网络通信中断不得超过8小时。配合完成现有一级专网线路的调整割接工作，包括但不限于路由切换、业务联调联测、原有路由设备下架等工作，确保割接期间业务平稳过渡。</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线路建设完成后，用户组织验收，验收报告需有双方签字、盖章。项目交付验收合格之日或最高法院“一张网”云资源租赁采购生效之日（以较晚日期起算），开始进入计费周期；若验收不通过，用户有权终止合同。</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5、服务期内，投标人应免费提供线路迁移服务，迁移服务包含：</w:t>
      </w:r>
      <w:r/>
    </w:p>
    <w:p>
      <w:pPr>
        <w:ind w:firstLine="480"/>
        <w:spacing w:line="360" w:lineRule="auto"/>
        <w:rPr>
          <w:rFonts w:ascii="宋体" w:hAnsi="宋体"/>
          <w:sz w:val="24"/>
          <w:szCs w:val="24"/>
          <w:highlight w:val="none"/>
        </w:rPr>
      </w:pPr>
      <w:r>
        <w:rPr>
          <w:rFonts w:ascii="宋体" w:hAnsi="宋体"/>
          <w:sz w:val="24"/>
          <w:szCs w:val="24"/>
          <w:highlight w:val="none"/>
        </w:rPr>
        <w:t xml:space="preserve">A</w:t>
      </w:r>
      <w:r>
        <w:rPr>
          <w:rFonts w:hint="eastAsia" w:ascii="宋体" w:hAnsi="宋体"/>
          <w:sz w:val="24"/>
          <w:szCs w:val="24"/>
          <w:highlight w:val="none"/>
        </w:rPr>
        <w:t xml:space="preserve">．用户方办公地点整体迁移。要求线路提供商先开通新办公地点的线路，用户迁移工作完毕后，再拆除原办公地点线路。新老线路在迁移期间不再额外收取任何费用。新旧光传输设备型号、容量不降低。</w:t>
      </w:r>
      <w:r/>
    </w:p>
    <w:p>
      <w:pPr>
        <w:ind w:firstLine="480"/>
        <w:spacing w:line="360" w:lineRule="auto"/>
        <w:rPr>
          <w:rFonts w:ascii="宋体" w:hAnsi="宋体"/>
          <w:sz w:val="24"/>
          <w:szCs w:val="24"/>
          <w:highlight w:val="none"/>
        </w:rPr>
      </w:pPr>
      <w:r>
        <w:rPr>
          <w:rFonts w:ascii="宋体" w:hAnsi="宋体"/>
          <w:sz w:val="24"/>
          <w:szCs w:val="24"/>
          <w:highlight w:val="none"/>
        </w:rPr>
        <w:t xml:space="preserve">B</w:t>
      </w:r>
      <w:r>
        <w:rPr>
          <w:rFonts w:hint="eastAsia" w:ascii="宋体" w:hAnsi="宋体"/>
          <w:sz w:val="24"/>
          <w:szCs w:val="24"/>
          <w:highlight w:val="none"/>
        </w:rPr>
        <w:t xml:space="preserve">．用户方办公地点不变，机房位置根据工作需要改变位置。要求线路提供商根据用户需求，免费提供接入光缆或光传输设备的移位服务。</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迁移前应制定详细的线路迁移方案，迁移中线路中断时间应在用户的要求范围内，迁移后保证线路的可用性，确保系统如期正常运行。</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如发生计划内或计划外的割接、升级和改造等操作，可能影响到采购人线路的正常使用时，投标人应至少提前5个工作日以书面形式通知采购人。6、竣工后，线路交付时投标人提供每条线路的测试报告。</w:t>
      </w:r>
      <w:r/>
    </w:p>
    <w:p>
      <w:pPr>
        <w:pStyle w:val="945"/>
        <w:ind w:firstLine="321"/>
        <w:spacing w:before="0" w:after="0" w:line="360" w:lineRule="auto"/>
        <w:rPr>
          <w:sz w:val="24"/>
          <w:szCs w:val="24"/>
          <w:highlight w:val="none"/>
        </w:rPr>
      </w:pPr>
      <w:r>
        <w:rPr>
          <w:rFonts w:hint="eastAsia"/>
          <w:sz w:val="24"/>
          <w:szCs w:val="24"/>
          <w:highlight w:val="none"/>
        </w:rPr>
        <w:t xml:space="preserve">4</w:t>
      </w:r>
      <w:r>
        <w:rPr>
          <w:sz w:val="24"/>
          <w:szCs w:val="24"/>
          <w:highlight w:val="none"/>
        </w:rPr>
        <w:t xml:space="preserve">. </w:t>
      </w:r>
      <w:r>
        <w:rPr>
          <w:rFonts w:hint="eastAsia"/>
          <w:sz w:val="24"/>
          <w:szCs w:val="24"/>
          <w:highlight w:val="none"/>
        </w:rPr>
        <w:t xml:space="preserve">服务要求</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1、服务范围：具备省市县三级服务架构，对线路和投标人放在客户端传输设备的运营和维护，故障排查和修复、故障配件更换、技术咨询等，并响应客户需求对重要时间节点进行应急保障和巡检。</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2、服务时间：需具有省、市、县三级维护架构，有经验丰富的专业技术人员负责维护管理，维护人员</w:t>
      </w:r>
      <w:r>
        <w:rPr>
          <w:rFonts w:ascii="宋体" w:hAnsi="宋体"/>
          <w:sz w:val="24"/>
          <w:szCs w:val="24"/>
          <w:highlight w:val="none"/>
        </w:rPr>
        <w:t xml:space="preserve">7*24</w:t>
      </w:r>
      <w:r>
        <w:rPr>
          <w:rFonts w:hint="eastAsia" w:ascii="宋体" w:hAnsi="宋体"/>
          <w:sz w:val="24"/>
          <w:szCs w:val="24"/>
          <w:highlight w:val="none"/>
        </w:rPr>
        <w:t xml:space="preserve">小时实时响应网络障碍或用户申告，保证网络障碍或用户申告得到快速、有效的处理，确保专网用户业务数据安全通畅。</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3、响应时间：线路和设备发生技术性故障影响使用时，要求投标人的服务电话</w:t>
      </w:r>
      <w:r>
        <w:rPr>
          <w:rFonts w:ascii="宋体" w:hAnsi="宋体"/>
          <w:sz w:val="24"/>
          <w:szCs w:val="24"/>
          <w:highlight w:val="none"/>
        </w:rPr>
        <w:t xml:space="preserve">15</w:t>
      </w:r>
      <w:r>
        <w:rPr>
          <w:rFonts w:hint="eastAsia" w:ascii="宋体" w:hAnsi="宋体"/>
          <w:sz w:val="24"/>
          <w:szCs w:val="24"/>
          <w:highlight w:val="none"/>
        </w:rPr>
        <w:t xml:space="preserve">分钟内进行实质性响应，平均恢复时间小于2小时。</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4、驻场人员安排：驻场运维人员应保持相对固定，人员更换应提前征得采购人同意，所更换人员需经采购人认可。运维人员应具有驻场工作所需对应水平的技术资质证书。</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5、配件要求：所供设备均为原厂正宗原配产品（包括在标配基础上增加的配件也必须为原厂原配），不得使用任何拆机件或旧件。</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6、备品备件要求：为确保设备发生故障后能尽快修复，投标人应根据实际维护要求自行储备各类常用备品、备件、备机。在服务期内，如发生网络设备故障，由相关工程师现场处理；对于硬件损坏的情况（需与硬件生产厂商技术支持热线确认），提供备件替换服务，</w:t>
      </w:r>
      <w:r>
        <w:rPr>
          <w:rFonts w:ascii="宋体" w:hAnsi="宋体"/>
          <w:sz w:val="24"/>
          <w:szCs w:val="24"/>
          <w:highlight w:val="none"/>
        </w:rPr>
        <w:t xml:space="preserve">数据存储</w:t>
      </w:r>
      <w:r>
        <w:rPr>
          <w:rFonts w:hint="eastAsia" w:ascii="宋体" w:hAnsi="宋体"/>
          <w:sz w:val="24"/>
          <w:szCs w:val="24"/>
          <w:highlight w:val="none"/>
        </w:rPr>
        <w:t xml:space="preserve">介质</w:t>
      </w:r>
      <w:r>
        <w:rPr>
          <w:rFonts w:ascii="宋体" w:hAnsi="宋体"/>
          <w:sz w:val="24"/>
          <w:szCs w:val="24"/>
          <w:highlight w:val="none"/>
        </w:rPr>
        <w:t xml:space="preserve">不得离院</w:t>
      </w:r>
      <w:r>
        <w:rPr>
          <w:rFonts w:hint="eastAsia" w:ascii="宋体" w:hAnsi="宋体"/>
          <w:sz w:val="24"/>
          <w:szCs w:val="24"/>
          <w:highlight w:val="none"/>
        </w:rPr>
        <w:t xml:space="preserve">。</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7、服务费用：本分包中所有电路调整、切换所需的相关设备由中标方提供，所有技术支持、服务产生的费用以及涉及的备件费用等均包含在此次项目报价中，采购人不再额外支付其他任何费用。</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8、知识产权：保证所供货物、服务或其任何一部分不受第三方提出侵犯其专利权、商标权、版权和工业设计权的指控。</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9、服务保障：网络服务期间以及网络割接替换过程时，配合采购人完成相关迁移工作，不以任何理由拒绝采购人提出的合理资源配合和人员保障要求，</w:t>
      </w:r>
      <w:r>
        <w:rPr>
          <w:rFonts w:ascii="宋体" w:hAnsi="宋体"/>
          <w:sz w:val="24"/>
          <w:szCs w:val="24"/>
          <w:highlight w:val="none"/>
        </w:rPr>
        <w:t xml:space="preserve">需投标人提供书面承诺函并加盖电子签章</w:t>
      </w:r>
      <w:r>
        <w:rPr>
          <w:rFonts w:hint="eastAsia" w:ascii="宋体" w:hAnsi="宋体"/>
          <w:sz w:val="24"/>
          <w:szCs w:val="24"/>
          <w:highlight w:val="none"/>
        </w:rPr>
        <w:t xml:space="preserve">。</w:t>
      </w:r>
      <w:r/>
    </w:p>
    <w:p>
      <w:pPr>
        <w:pStyle w:val="945"/>
        <w:ind w:firstLine="321"/>
        <w:spacing w:before="0" w:after="0" w:line="360" w:lineRule="auto"/>
        <w:rPr>
          <w:sz w:val="24"/>
          <w:szCs w:val="24"/>
          <w:highlight w:val="none"/>
        </w:rPr>
      </w:pPr>
      <w:r>
        <w:rPr>
          <w:rFonts w:hint="eastAsia"/>
          <w:sz w:val="24"/>
          <w:szCs w:val="24"/>
          <w:highlight w:val="none"/>
        </w:rPr>
        <w:t xml:space="preserve">5. 方案要求</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投标人需在投标过程中出具如下方案，中标后根据甲方要求进行修改，并在执行过程中不断完善：</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技术方案</w:t>
      </w:r>
      <w:r>
        <w:rPr>
          <w:rFonts w:hint="eastAsia" w:ascii="宋体" w:hAnsi="宋体"/>
          <w:sz w:val="24"/>
          <w:szCs w:val="24"/>
          <w:highlight w:val="none"/>
        </w:rPr>
        <w:t xml:space="preserve">。</w:t>
      </w:r>
      <w:r>
        <w:rPr>
          <w:rFonts w:ascii="宋体" w:hAnsi="宋体"/>
          <w:sz w:val="24"/>
          <w:szCs w:val="24"/>
          <w:highlight w:val="none"/>
        </w:rPr>
        <w:t xml:space="preserve">技术方案应满足与全省法院一张网的线路互联要求，包含但不限于组网设计、日常监管、可靠性保障、网络安全防护等内容。</w:t>
      </w:r>
      <w:r>
        <w:rPr>
          <w:rFonts w:hint="eastAsia" w:ascii="宋体" w:hAnsi="宋体"/>
          <w:sz w:val="24"/>
          <w:szCs w:val="24"/>
          <w:highlight w:val="none"/>
        </w:rPr>
        <w:t xml:space="preserve">日常监管方面，投标人须对提供的线路进行告警、性能等方面的监控，定期提供告警分析报告；投标人具备线路告警监控信息推送能力，按需向采购人进行推送；投标人按需对采购人重点线路进行网络带宽使用情况监控，具备按周、按月分析能力，并提供分析报告。</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2、实施方案。</w:t>
      </w:r>
      <w:r>
        <w:rPr>
          <w:rFonts w:ascii="宋体" w:hAnsi="宋体"/>
          <w:sz w:val="24"/>
          <w:szCs w:val="24"/>
          <w:highlight w:val="none"/>
        </w:rPr>
        <w:t xml:space="preserve">实施方案应包含但不限于实施进度计划、项目管理制度、工期和质量控制措施、测试验收等内容</w:t>
      </w:r>
      <w:r>
        <w:rPr>
          <w:rFonts w:hint="eastAsia" w:ascii="宋体" w:hAnsi="宋体"/>
          <w:sz w:val="24"/>
          <w:szCs w:val="24"/>
          <w:highlight w:val="none"/>
        </w:rPr>
        <w:t xml:space="preserve">。测试验收方面，竣工后线路交付时投标人应提供每条线路的测试报告；线路建设完成后，用户组织交付验收，验收报告需有双方签字、盖章。</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安全保障方案</w:t>
      </w:r>
      <w:r>
        <w:rPr>
          <w:rFonts w:hint="eastAsia" w:ascii="宋体" w:hAnsi="宋体"/>
          <w:sz w:val="24"/>
          <w:szCs w:val="24"/>
          <w:highlight w:val="none"/>
        </w:rPr>
        <w:t xml:space="preserve">。</w:t>
      </w:r>
      <w:r>
        <w:rPr>
          <w:rFonts w:ascii="宋体" w:hAnsi="宋体"/>
          <w:sz w:val="24"/>
          <w:szCs w:val="24"/>
          <w:highlight w:val="none"/>
        </w:rPr>
        <w:t xml:space="preserve">安全保障方案应包含但不限于网络安全防护、安全监控体系、安全事件应急预案、信息保密制度等</w:t>
      </w:r>
      <w:r>
        <w:rPr>
          <w:rFonts w:hint="eastAsia" w:ascii="宋体" w:hAnsi="宋体"/>
          <w:sz w:val="24"/>
          <w:szCs w:val="24"/>
          <w:highlight w:val="none"/>
        </w:rPr>
        <w:t xml:space="preserve">，确保施工期间及投入运营后符合最高法院网络安全要求。网络安全防护方面，</w:t>
      </w:r>
      <w:r>
        <w:rPr>
          <w:rFonts w:hint="eastAsia" w:ascii="宋体" w:hAnsi="宋体"/>
          <w:b/>
          <w:bCs/>
          <w:sz w:val="24"/>
          <w:highlight w:val="none"/>
        </w:rPr>
        <w:t xml:space="preserve">应提供包含安全策略、攻击防范、应用审计等维度的方案，</w:t>
      </w:r>
      <w:r>
        <w:rPr>
          <w:rFonts w:hint="eastAsia" w:ascii="宋体" w:hAnsi="宋体"/>
          <w:sz w:val="24"/>
          <w:szCs w:val="24"/>
          <w:highlight w:val="none"/>
        </w:rPr>
        <w:t xml:space="preserve">投标人应具备</w:t>
      </w:r>
      <w:r>
        <w:rPr>
          <w:rFonts w:ascii="宋体" w:hAnsi="宋体"/>
          <w:sz w:val="24"/>
          <w:szCs w:val="24"/>
          <w:highlight w:val="none"/>
        </w:rPr>
        <w:t xml:space="preserve">网络安全应急服务支撑能力、安全漏洞发现与处理能力，配合采购人定期针对</w:t>
      </w:r>
      <w:r>
        <w:rPr>
          <w:rFonts w:hint="eastAsia" w:ascii="宋体" w:hAnsi="宋体"/>
          <w:sz w:val="24"/>
          <w:szCs w:val="24"/>
          <w:highlight w:val="none"/>
        </w:rPr>
        <w:t xml:space="preserve">“一张网”</w:t>
      </w:r>
      <w:r>
        <w:rPr>
          <w:rFonts w:ascii="宋体" w:hAnsi="宋体"/>
          <w:sz w:val="24"/>
          <w:szCs w:val="24"/>
          <w:highlight w:val="none"/>
        </w:rPr>
        <w:t xml:space="preserve">系统</w:t>
      </w:r>
      <w:r>
        <w:rPr>
          <w:rFonts w:hint="eastAsia" w:ascii="宋体" w:hAnsi="宋体"/>
          <w:sz w:val="24"/>
          <w:szCs w:val="24"/>
          <w:highlight w:val="none"/>
        </w:rPr>
        <w:t xml:space="preserve">相关设备</w:t>
      </w:r>
      <w:r>
        <w:rPr>
          <w:rFonts w:ascii="宋体" w:hAnsi="宋体"/>
          <w:sz w:val="24"/>
          <w:szCs w:val="24"/>
          <w:highlight w:val="none"/>
        </w:rPr>
        <w:t xml:space="preserve">开展漏洞扫描、安全配置核查等相关工作，定位安全漏洞、弱口令等安全风险</w:t>
      </w:r>
      <w:r>
        <w:rPr>
          <w:rFonts w:hint="eastAsia" w:ascii="宋体" w:hAnsi="宋体"/>
          <w:sz w:val="24"/>
          <w:szCs w:val="24"/>
          <w:highlight w:val="none"/>
        </w:rPr>
        <w:t xml:space="preserve">。</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交接方案</w:t>
      </w:r>
      <w:r>
        <w:rPr>
          <w:rFonts w:hint="eastAsia" w:ascii="宋体" w:hAnsi="宋体"/>
          <w:sz w:val="24"/>
          <w:szCs w:val="24"/>
          <w:highlight w:val="none"/>
        </w:rPr>
        <w:t xml:space="preserve">。</w:t>
      </w:r>
      <w:r>
        <w:rPr>
          <w:rFonts w:ascii="宋体" w:hAnsi="宋体"/>
          <w:sz w:val="24"/>
          <w:szCs w:val="24"/>
          <w:highlight w:val="none"/>
        </w:rPr>
        <w:t xml:space="preserve">供应商应根据招标文件要求，提供具体详实的与南中心系统对接方案，包括但不限于对接难点、对接内容、对接计划、对接验证等。</w:t>
      </w:r>
      <w:r>
        <w:rPr>
          <w:rFonts w:hint="eastAsia" w:ascii="宋体" w:hAnsi="宋体"/>
          <w:sz w:val="24"/>
          <w:szCs w:val="24"/>
          <w:highlight w:val="none"/>
        </w:rPr>
        <w:t xml:space="preserve">对接难点方面，</w:t>
      </w:r>
      <w:r>
        <w:rPr>
          <w:rFonts w:ascii="宋体" w:hAnsi="宋体"/>
          <w:sz w:val="24"/>
          <w:szCs w:val="24"/>
          <w:highlight w:val="none"/>
        </w:rPr>
        <w:t xml:space="preserve">聚焦于双运营商专线场景下的高可用保障、链路与路由的协同冗余</w:t>
      </w:r>
      <w:r>
        <w:rPr>
          <w:rFonts w:hint="eastAsia" w:ascii="宋体" w:hAnsi="宋体"/>
          <w:sz w:val="24"/>
          <w:szCs w:val="24"/>
          <w:highlight w:val="none"/>
        </w:rPr>
        <w:t xml:space="preserve">等</w:t>
      </w:r>
      <w:r>
        <w:rPr>
          <w:rFonts w:ascii="宋体" w:hAnsi="宋体"/>
          <w:sz w:val="24"/>
          <w:szCs w:val="24"/>
          <w:highlight w:val="none"/>
        </w:rPr>
        <w:t xml:space="preserve">维度</w:t>
      </w:r>
      <w:r>
        <w:rPr>
          <w:rFonts w:hint="eastAsia" w:ascii="宋体" w:hAnsi="宋体"/>
          <w:sz w:val="24"/>
          <w:szCs w:val="24"/>
          <w:highlight w:val="none"/>
        </w:rPr>
        <w:t xml:space="preserve">，提供针对性的解决方案，投标人应在较短期限内，配合完成现有一级专网线路的调整割接工作，并完整</w:t>
      </w:r>
      <w:r>
        <w:rPr>
          <w:rFonts w:ascii="宋体" w:hAnsi="宋体"/>
          <w:sz w:val="24"/>
          <w:szCs w:val="24"/>
          <w:highlight w:val="none"/>
        </w:rPr>
        <w:t xml:space="preserve">对接最高</w:t>
      </w:r>
      <w:r>
        <w:rPr>
          <w:rFonts w:hint="eastAsia" w:ascii="宋体" w:hAnsi="宋体"/>
          <w:sz w:val="24"/>
          <w:szCs w:val="24"/>
          <w:highlight w:val="none"/>
        </w:rPr>
        <w:t xml:space="preserve">院</w:t>
      </w:r>
      <w:r>
        <w:rPr>
          <w:rFonts w:ascii="宋体" w:hAnsi="宋体"/>
          <w:sz w:val="24"/>
          <w:szCs w:val="24"/>
          <w:highlight w:val="none"/>
        </w:rPr>
        <w:t xml:space="preserve">域名系统</w:t>
      </w:r>
      <w:r>
        <w:rPr>
          <w:rFonts w:hint="eastAsia" w:ascii="宋体" w:hAnsi="宋体"/>
          <w:sz w:val="24"/>
          <w:szCs w:val="24"/>
          <w:highlight w:val="none"/>
        </w:rPr>
        <w:t xml:space="preserve">。对接验证方面，</w:t>
      </w:r>
      <w:r>
        <w:rPr>
          <w:rFonts w:ascii="宋体" w:hAnsi="宋体"/>
          <w:bCs/>
          <w:sz w:val="24"/>
          <w:highlight w:val="none"/>
        </w:rPr>
        <w:t xml:space="preserve">从链路层、路由层</w:t>
      </w:r>
      <w:r>
        <w:rPr>
          <w:rFonts w:hint="eastAsia" w:ascii="宋体" w:hAnsi="宋体"/>
          <w:bCs/>
          <w:sz w:val="24"/>
          <w:highlight w:val="none"/>
        </w:rPr>
        <w:t xml:space="preserve">等</w:t>
      </w:r>
      <w:r>
        <w:rPr>
          <w:rFonts w:ascii="宋体" w:hAnsi="宋体"/>
          <w:bCs/>
          <w:sz w:val="24"/>
          <w:highlight w:val="none"/>
        </w:rPr>
        <w:t xml:space="preserve">维度开展验证工作，</w:t>
      </w:r>
      <w:r>
        <w:rPr>
          <w:rFonts w:hint="eastAsia" w:ascii="宋体" w:hAnsi="宋体"/>
          <w:sz w:val="24"/>
          <w:szCs w:val="24"/>
          <w:highlight w:val="none"/>
        </w:rPr>
        <w:t xml:space="preserve">投标人应配合采购人对</w:t>
      </w:r>
      <w:r>
        <w:rPr>
          <w:rFonts w:ascii="宋体" w:hAnsi="宋体"/>
          <w:sz w:val="24"/>
          <w:szCs w:val="24"/>
          <w:highlight w:val="none"/>
        </w:rPr>
        <w:t xml:space="preserve">与南中心系统对接</w:t>
      </w:r>
      <w:r>
        <w:rPr>
          <w:rFonts w:hint="eastAsia" w:ascii="宋体" w:hAnsi="宋体"/>
          <w:sz w:val="24"/>
          <w:szCs w:val="24"/>
          <w:highlight w:val="none"/>
        </w:rPr>
        <w:t xml:space="preserve">的线路进行测试验收，确保线路满足互联互通需求。</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5、</w:t>
      </w:r>
      <w:r>
        <w:rPr>
          <w:rFonts w:ascii="宋体" w:hAnsi="宋体"/>
          <w:sz w:val="24"/>
          <w:szCs w:val="24"/>
          <w:highlight w:val="none"/>
        </w:rPr>
        <w:t xml:space="preserve">售后服务方案</w:t>
      </w:r>
      <w:r>
        <w:rPr>
          <w:rFonts w:hint="eastAsia" w:ascii="宋体" w:hAnsi="宋体"/>
          <w:sz w:val="24"/>
          <w:szCs w:val="24"/>
          <w:highlight w:val="none"/>
        </w:rPr>
        <w:t xml:space="preserve">。</w:t>
      </w:r>
      <w:r>
        <w:rPr>
          <w:rFonts w:ascii="宋体" w:hAnsi="宋体"/>
          <w:sz w:val="24"/>
          <w:szCs w:val="24"/>
          <w:highlight w:val="none"/>
        </w:rPr>
        <w:t xml:space="preserve">售后服务方案中需包含服务机构、服务内容、响应时间、故障处理、恢复时效、支撑保障内容</w:t>
      </w:r>
      <w:r>
        <w:rPr>
          <w:rFonts w:hint="eastAsia" w:ascii="宋体" w:hAnsi="宋体"/>
          <w:sz w:val="24"/>
          <w:szCs w:val="24"/>
          <w:highlight w:val="none"/>
        </w:rPr>
        <w:t xml:space="preserve">。服务内容方面，投标人在进行可能会影响采购人业务的所有维护或更换操作时，应提供完备详尽的操作方案，向用户详细解释潜在风险。所有操作均以保证数据安全和设备完好服务为前提。投标人须提供全面合理可行的故障应急解决方案，并负责整个系统恢复正常。系统恢复后，需出具详细维修服务报告。</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6、</w:t>
      </w:r>
      <w:r>
        <w:rPr>
          <w:rFonts w:ascii="宋体" w:hAnsi="宋体"/>
          <w:sz w:val="24"/>
          <w:szCs w:val="24"/>
          <w:highlight w:val="none"/>
        </w:rPr>
        <w:t xml:space="preserve">驻场运维方案</w:t>
      </w:r>
      <w:r>
        <w:rPr>
          <w:rFonts w:hint="eastAsia" w:ascii="宋体" w:hAnsi="宋体"/>
          <w:sz w:val="24"/>
          <w:szCs w:val="24"/>
          <w:highlight w:val="none"/>
        </w:rPr>
        <w:t xml:space="preserve">。</w:t>
      </w:r>
      <w:r>
        <w:rPr>
          <w:rFonts w:ascii="宋体" w:hAnsi="宋体"/>
          <w:sz w:val="24"/>
          <w:szCs w:val="24"/>
          <w:highlight w:val="none"/>
        </w:rPr>
        <w:t xml:space="preserve">驻场服务方案应包含但不限于线路日常管理、巡检维护、安全事件分析及处理等内容。</w:t>
      </w:r>
      <w:r>
        <w:rPr>
          <w:rFonts w:hint="eastAsia" w:ascii="宋体" w:hAnsi="宋体"/>
          <w:sz w:val="24"/>
          <w:szCs w:val="24"/>
          <w:highlight w:val="none"/>
        </w:rPr>
        <w:t xml:space="preserve">巡检维护方面，每半年由工程师对线路和设备进行一次整体巡检，每次需提供正式巡检报告。提供正式的巡检报告，报告中应详细列明线路和设备的运行情况和可能潜在的问题，如有维护维修操作则需提供相关报告。报告中所有数据均应真实可靠。</w:t>
      </w:r>
      <w:r/>
    </w:p>
    <w:p>
      <w:pPr>
        <w:pStyle w:val="945"/>
        <w:ind w:firstLine="321"/>
        <w:spacing w:before="0" w:after="0" w:line="360" w:lineRule="auto"/>
        <w:rPr>
          <w:sz w:val="24"/>
          <w:szCs w:val="24"/>
          <w:highlight w:val="none"/>
        </w:rPr>
      </w:pPr>
      <w:r>
        <w:rPr>
          <w:rFonts w:hint="eastAsia"/>
          <w:sz w:val="24"/>
          <w:szCs w:val="24"/>
          <w:highlight w:val="none"/>
        </w:rPr>
        <w:t xml:space="preserve">6. 其他要求</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对接承诺</w:t>
      </w:r>
      <w:r>
        <w:rPr>
          <w:rFonts w:hint="eastAsia" w:ascii="宋体" w:hAnsi="宋体"/>
          <w:sz w:val="24"/>
          <w:szCs w:val="24"/>
          <w:highlight w:val="none"/>
        </w:rPr>
        <w:t xml:space="preserve">。</w:t>
      </w:r>
      <w:r>
        <w:rPr>
          <w:rFonts w:ascii="宋体" w:hAnsi="宋体"/>
          <w:sz w:val="24"/>
          <w:szCs w:val="24"/>
          <w:highlight w:val="none"/>
        </w:rPr>
        <w:t xml:space="preserve">供应商针对与南中心对接并实现网络PING测通的时限进行承诺</w:t>
      </w:r>
      <w:r>
        <w:rPr>
          <w:rFonts w:hint="eastAsia" w:ascii="宋体" w:hAnsi="宋体"/>
          <w:sz w:val="24"/>
          <w:szCs w:val="24"/>
          <w:highlight w:val="none"/>
        </w:rPr>
        <w:t xml:space="preserve">。</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2、企业资质。</w:t>
      </w:r>
      <w:r>
        <w:rPr>
          <w:rFonts w:ascii="宋体" w:hAnsi="宋体"/>
          <w:sz w:val="24"/>
          <w:szCs w:val="24"/>
          <w:highlight w:val="none"/>
        </w:rPr>
        <w:t xml:space="preserve">投标人具备有效期内的ISO9001质量管理体系认证证书</w:t>
      </w:r>
      <w:r>
        <w:rPr>
          <w:rFonts w:hint="eastAsia" w:ascii="宋体" w:hAnsi="宋体"/>
          <w:sz w:val="24"/>
          <w:szCs w:val="24"/>
          <w:highlight w:val="none"/>
        </w:rPr>
        <w:t xml:space="preserve">。</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3、项目实施团队。</w:t>
      </w:r>
      <w:r>
        <w:rPr>
          <w:rFonts w:ascii="宋体" w:hAnsi="宋体"/>
          <w:sz w:val="24"/>
          <w:szCs w:val="24"/>
          <w:highlight w:val="none"/>
        </w:rPr>
        <w:t xml:space="preserve">（1）项目经理：投标人需配备1名项目经理，具备信息系统项目管理师（高级）、ITSS IT服务项目经理、一级建造师（通信与广电工程专业）、通信工程师、信息安全保障人员认证（CISAW）、注册信息安全专业人员（CISP）、高级工程师证书、系统集成项目管理工程师</w:t>
      </w:r>
      <w:r>
        <w:rPr>
          <w:rFonts w:hint="eastAsia" w:ascii="宋体" w:hAnsi="宋体"/>
          <w:sz w:val="24"/>
          <w:szCs w:val="24"/>
          <w:highlight w:val="none"/>
        </w:rPr>
        <w:t xml:space="preserve">等</w:t>
      </w:r>
      <w:r>
        <w:rPr>
          <w:rFonts w:ascii="宋体" w:hAnsi="宋体"/>
          <w:sz w:val="24"/>
          <w:szCs w:val="24"/>
          <w:highlight w:val="none"/>
        </w:rPr>
        <w:t xml:space="preserve">证书；（2）项目技术负责人：投标人需配备1名技术负责人，具备信息系统项目管理师（高级）、高级职称（通信、网络相关专业）、通信工程师、系统集成项目管理工程师、网络工程师、注册信息安全工程师（CISE）</w:t>
      </w:r>
      <w:r>
        <w:rPr>
          <w:rFonts w:hint="eastAsia" w:ascii="宋体" w:hAnsi="宋体"/>
          <w:sz w:val="24"/>
          <w:szCs w:val="24"/>
          <w:highlight w:val="none"/>
        </w:rPr>
        <w:t xml:space="preserve">等证书</w:t>
      </w:r>
      <w:r>
        <w:rPr>
          <w:rFonts w:ascii="宋体" w:hAnsi="宋体"/>
          <w:sz w:val="24"/>
          <w:szCs w:val="24"/>
          <w:highlight w:val="none"/>
        </w:rPr>
        <w:t xml:space="preserve">；（3）项目安全负责人：投标人需配备1名项目安全负责人，具备高级职称（通信、网络相关专业）、一级建造师（通信与广电工程专业）、信息系统项目管理师（高级）、ITSS IT服务项目经理、注册信息安全工程师（CISE）、注册信息安全专业人员（CISP)证书、网络安全能力认证（CCSC网络安全技术类别）、信息安全保障人员认证（CISAW）等证书。（4）其他人员：投标人为本项目实施配备的其他人员（除项目经理、项目技术负责人、项目安全负责人外），具有网络工程师、通信工程师、ITSS服务工程师证书、网络规划设计师</w:t>
      </w:r>
      <w:r>
        <w:rPr>
          <w:rFonts w:hint="eastAsia" w:ascii="宋体" w:hAnsi="宋体"/>
          <w:sz w:val="24"/>
          <w:szCs w:val="24"/>
          <w:highlight w:val="none"/>
        </w:rPr>
        <w:t xml:space="preserve">等证书</w:t>
      </w:r>
      <w:r>
        <w:rPr>
          <w:rFonts w:ascii="宋体" w:hAnsi="宋体"/>
          <w:sz w:val="24"/>
          <w:szCs w:val="24"/>
          <w:highlight w:val="none"/>
        </w:rPr>
        <w:t xml:space="preserve">。</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驻场运维服务承诺</w:t>
      </w:r>
      <w:r>
        <w:rPr>
          <w:rFonts w:hint="eastAsia" w:ascii="宋体" w:hAnsi="宋体"/>
          <w:sz w:val="24"/>
          <w:szCs w:val="24"/>
          <w:highlight w:val="none"/>
        </w:rPr>
        <w:t xml:space="preserve">。</w:t>
      </w:r>
      <w:r>
        <w:rPr>
          <w:rFonts w:ascii="宋体" w:hAnsi="宋体"/>
          <w:sz w:val="24"/>
          <w:szCs w:val="24"/>
          <w:highlight w:val="none"/>
        </w:rPr>
        <w:t xml:space="preserve">项目中标后提供一名驻场人员，该人员需全程在岗提供常态化运维保障服务。驻场人员具备多年一线从业经历，拥有丰富的网络线路搭建、巡检、故障排查、日常运维及改造类项目实操经验熟悉各类网络线路架构、设备运行规范与运维标准，可高效处置线路卡顿、中断、链路异常等各类常见及突发问题，保障项目网络线路长期稳定、安全运行，严格遵守省法院现场管理规定，保质保量完成各项驻场维护工作。</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5、</w:t>
      </w:r>
      <w:r>
        <w:rPr>
          <w:rFonts w:ascii="宋体" w:hAnsi="宋体"/>
          <w:sz w:val="24"/>
          <w:szCs w:val="24"/>
          <w:highlight w:val="none"/>
        </w:rPr>
        <w:t xml:space="preserve">成功案例</w:t>
      </w:r>
      <w:r>
        <w:rPr>
          <w:rFonts w:hint="eastAsia" w:ascii="宋体" w:hAnsi="宋体"/>
          <w:sz w:val="24"/>
          <w:szCs w:val="24"/>
          <w:highlight w:val="none"/>
        </w:rPr>
        <w:t xml:space="preserve">。</w:t>
      </w:r>
      <w:r>
        <w:rPr>
          <w:rFonts w:ascii="宋体" w:hAnsi="宋体"/>
          <w:sz w:val="24"/>
          <w:szCs w:val="24"/>
          <w:highlight w:val="none"/>
        </w:rPr>
        <w:t xml:space="preserve">投标人提供自 2023年1月1日以来（以合同签订时间为准）承担过类似组网项目。</w:t>
      </w:r>
      <w:r/>
    </w:p>
    <w:p>
      <w:pPr>
        <w:pStyle w:val="979"/>
        <w:ind w:firstLine="560"/>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四、商务要求（采购包1、采购包2）</w:t>
      </w:r>
      <w:r/>
    </w:p>
    <w:p>
      <w:pPr>
        <w:pStyle w:val="1057"/>
        <w:spacing w:before="120" w:after="120" w:line="360" w:lineRule="auto"/>
        <w:rPr>
          <w:color w:val="000000"/>
          <w:highlight w:val="none"/>
        </w:rPr>
      </w:pPr>
      <w:r>
        <w:rPr>
          <w:rFonts w:hint="eastAsia"/>
          <w:color w:val="000000"/>
          <w:highlight w:val="none"/>
        </w:rPr>
        <w:t xml:space="preserve">1</w:t>
      </w:r>
      <w:r>
        <w:rPr>
          <w:color w:val="000000"/>
          <w:highlight w:val="none"/>
        </w:rPr>
        <w:t xml:space="preserve">. </w:t>
      </w:r>
      <w:r>
        <w:rPr>
          <w:rFonts w:hint="eastAsia"/>
          <w:color w:val="000000"/>
          <w:highlight w:val="none"/>
        </w:rPr>
        <w:t xml:space="preserve">质保和服务期限</w:t>
      </w:r>
      <w:r/>
    </w:p>
    <w:p>
      <w:pPr>
        <w:pStyle w:val="1058"/>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质保和服务期限：项目交付验收合格之日</w:t>
      </w:r>
      <w:r>
        <w:rPr>
          <w:rFonts w:ascii="宋体" w:hAnsi="宋体" w:eastAsia="宋体" w:cs="宋体"/>
          <w:color w:val="000000"/>
          <w:sz w:val="24"/>
          <w:szCs w:val="24"/>
          <w:highlight w:val="none"/>
        </w:rPr>
        <w:t xml:space="preserve">或最高法院“一张网”云资源租赁采购生效之日（以较晚日期起算）起三年。</w:t>
      </w:r>
      <w:r/>
    </w:p>
    <w:p>
      <w:pPr>
        <w:pStyle w:val="1057"/>
        <w:spacing w:before="120" w:after="120" w:line="360" w:lineRule="auto"/>
        <w:rPr>
          <w:highlight w:val="none"/>
        </w:rPr>
      </w:pPr>
      <w:r>
        <w:rPr>
          <w:rFonts w:hint="eastAsia"/>
          <w:color w:val="000000"/>
          <w:highlight w:val="none"/>
        </w:rPr>
        <w:t xml:space="preserve">2</w:t>
      </w:r>
      <w:r>
        <w:rPr>
          <w:color w:val="000000"/>
          <w:highlight w:val="none"/>
        </w:rPr>
        <w:t xml:space="preserve">. </w:t>
      </w:r>
      <w:r>
        <w:rPr>
          <w:rFonts w:hint="eastAsia"/>
          <w:color w:val="000000"/>
          <w:highlight w:val="none"/>
        </w:rPr>
        <w:t xml:space="preserve">项目验收</w:t>
      </w:r>
      <w:r/>
    </w:p>
    <w:p>
      <w:pPr>
        <w:ind w:firstLine="480"/>
        <w:spacing w:line="360" w:lineRule="auto"/>
        <w:rPr>
          <w:rFonts w:ascii="宋体" w:hAnsi="宋体" w:cs="Arial"/>
          <w:color w:val="000000"/>
          <w:sz w:val="24"/>
          <w:szCs w:val="24"/>
          <w:highlight w:val="none"/>
        </w:rPr>
      </w:pPr>
      <w:r>
        <w:rPr>
          <w:rFonts w:hint="eastAsia" w:ascii="宋体" w:hAnsi="宋体" w:cs="Arial"/>
          <w:color w:val="000000"/>
          <w:sz w:val="24"/>
          <w:szCs w:val="24"/>
          <w:highlight w:val="none"/>
        </w:rPr>
        <w:t xml:space="preserve">3</w:t>
      </w:r>
      <w:r>
        <w:rPr>
          <w:rFonts w:ascii="宋体" w:hAnsi="宋体" w:cs="Arial"/>
          <w:color w:val="000000"/>
          <w:sz w:val="24"/>
          <w:szCs w:val="24"/>
          <w:highlight w:val="none"/>
        </w:rPr>
        <w:t xml:space="preserve">.1</w:t>
      </w:r>
      <w:r>
        <w:rPr>
          <w:rFonts w:hint="eastAsia" w:ascii="宋体" w:hAnsi="宋体" w:cs="Arial"/>
          <w:color w:val="000000"/>
          <w:sz w:val="24"/>
          <w:szCs w:val="24"/>
          <w:highlight w:val="none"/>
        </w:rPr>
        <w:t xml:space="preserve">采购人根据项目特点制定验收方案，组织实施项目验收。</w:t>
      </w:r>
      <w:r/>
    </w:p>
    <w:p>
      <w:pPr>
        <w:ind w:firstLine="480"/>
        <w:spacing w:line="360" w:lineRule="auto"/>
        <w:rPr>
          <w:rFonts w:ascii="宋体" w:hAnsi="宋体" w:cs="Arial"/>
          <w:color w:val="000000"/>
          <w:sz w:val="24"/>
          <w:szCs w:val="24"/>
          <w:highlight w:val="none"/>
        </w:rPr>
      </w:pPr>
      <w:r>
        <w:rPr>
          <w:rFonts w:hint="eastAsia" w:ascii="宋体" w:hAnsi="宋体" w:cs="Arial"/>
          <w:color w:val="000000"/>
          <w:sz w:val="24"/>
          <w:szCs w:val="24"/>
          <w:highlight w:val="none"/>
        </w:rPr>
        <w:t xml:space="preserve">3</w:t>
      </w:r>
      <w:r>
        <w:rPr>
          <w:rFonts w:ascii="宋体" w:hAnsi="宋体" w:cs="Arial"/>
          <w:color w:val="000000"/>
          <w:sz w:val="24"/>
          <w:szCs w:val="24"/>
          <w:highlight w:val="none"/>
        </w:rPr>
        <w:t xml:space="preserve">.2</w:t>
      </w:r>
      <w:r>
        <w:rPr>
          <w:rFonts w:hint="eastAsia" w:ascii="宋体" w:hAnsi="宋体" w:cs="Arial"/>
          <w:color w:val="000000"/>
          <w:sz w:val="24"/>
          <w:szCs w:val="24"/>
          <w:highlight w:val="none"/>
        </w:rPr>
        <w:t xml:space="preserve">投标人应根据招投标文件和合同要求，提供项目验收的文档资料，主要包括设备运维报告、故障处理报告、日常远程/现场巡检记录等。</w:t>
      </w:r>
      <w:r/>
    </w:p>
    <w:p>
      <w:pPr>
        <w:ind w:firstLine="480"/>
        <w:spacing w:line="360" w:lineRule="auto"/>
        <w:rPr>
          <w:rFonts w:ascii="宋体" w:hAnsi="宋体" w:cs="Arial"/>
          <w:color w:val="000000"/>
          <w:sz w:val="24"/>
          <w:szCs w:val="24"/>
          <w:highlight w:val="none"/>
        </w:rPr>
      </w:pPr>
      <w:r>
        <w:rPr>
          <w:rFonts w:hint="eastAsia" w:ascii="宋体" w:hAnsi="宋体" w:cs="Arial"/>
          <w:color w:val="000000"/>
          <w:sz w:val="24"/>
          <w:szCs w:val="24"/>
          <w:highlight w:val="none"/>
        </w:rPr>
        <w:t xml:space="preserve">3</w:t>
      </w:r>
      <w:r>
        <w:rPr>
          <w:rFonts w:ascii="宋体" w:hAnsi="宋体" w:cs="Arial"/>
          <w:color w:val="000000"/>
          <w:sz w:val="24"/>
          <w:szCs w:val="24"/>
          <w:highlight w:val="none"/>
        </w:rPr>
        <w:t xml:space="preserve">.3</w:t>
      </w:r>
      <w:r>
        <w:rPr>
          <w:rFonts w:hint="eastAsia" w:ascii="宋体" w:hAnsi="宋体" w:cs="Arial"/>
          <w:color w:val="000000"/>
          <w:sz w:val="24"/>
          <w:szCs w:val="24"/>
          <w:highlight w:val="none"/>
        </w:rPr>
        <w:t xml:space="preserve">投标人须针对本项目运维保障服务，汇报招投标文件和合同要求执行情况和质量状况，以及服务质量整改措施的跟踪落实情况，回答验收专家质询。</w:t>
      </w:r>
      <w:r/>
    </w:p>
    <w:p>
      <w:pPr>
        <w:ind w:firstLine="480"/>
        <w:spacing w:line="360" w:lineRule="auto"/>
        <w:rPr>
          <w:rFonts w:ascii="宋体" w:hAnsi="宋体" w:cs="Arial"/>
          <w:color w:val="000000"/>
          <w:sz w:val="24"/>
          <w:szCs w:val="24"/>
          <w:highlight w:val="none"/>
        </w:rPr>
      </w:pPr>
      <w:r>
        <w:rPr>
          <w:rFonts w:hint="eastAsia" w:ascii="宋体" w:hAnsi="宋体" w:cs="Arial"/>
          <w:color w:val="000000"/>
          <w:sz w:val="24"/>
          <w:szCs w:val="24"/>
          <w:highlight w:val="none"/>
        </w:rPr>
        <w:t xml:space="preserve">3.4验收</w:t>
      </w:r>
      <w:r/>
    </w:p>
    <w:p>
      <w:pPr>
        <w:ind w:firstLine="480"/>
        <w:spacing w:line="360" w:lineRule="auto"/>
        <w:rPr>
          <w:rFonts w:ascii="宋体" w:hAnsi="宋体" w:cs="Arial"/>
          <w:color w:val="000000"/>
          <w:sz w:val="24"/>
          <w:szCs w:val="24"/>
          <w:highlight w:val="none"/>
        </w:rPr>
      </w:pPr>
      <w:r>
        <w:rPr>
          <w:rFonts w:hint="eastAsia" w:ascii="宋体" w:hAnsi="宋体" w:cs="Arial"/>
          <w:color w:val="000000"/>
          <w:sz w:val="24"/>
          <w:szCs w:val="24"/>
          <w:highlight w:val="none"/>
        </w:rPr>
        <w:t xml:space="preserve">3.5质量保证及售后服务</w:t>
      </w:r>
      <w:r/>
    </w:p>
    <w:p>
      <w:pPr>
        <w:pStyle w:val="1058"/>
        <w:ind w:firstLine="480"/>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t xml:space="preserve">、供应商</w:t>
      </w:r>
      <w:r>
        <w:rPr>
          <w:rFonts w:ascii="宋体" w:hAnsi="宋体" w:eastAsia="宋体" w:cs="宋体"/>
          <w:color w:val="000000"/>
          <w:sz w:val="24"/>
          <w:szCs w:val="24"/>
          <w:highlight w:val="none"/>
        </w:rPr>
        <w:t xml:space="preserve">应按采购文件规定和响应文件承诺的性能、技术要求、质量标准向</w:t>
      </w:r>
      <w:r>
        <w:rPr>
          <w:rFonts w:hint="eastAsia" w:ascii="宋体" w:hAnsi="宋体" w:eastAsia="宋体" w:cs="宋体"/>
          <w:color w:val="000000"/>
          <w:sz w:val="24"/>
          <w:szCs w:val="24"/>
          <w:highlight w:val="none"/>
        </w:rPr>
        <w:t xml:space="preserve">采购人</w:t>
      </w:r>
      <w:r>
        <w:rPr>
          <w:rFonts w:ascii="宋体" w:hAnsi="宋体" w:eastAsia="宋体" w:cs="宋体"/>
          <w:color w:val="000000"/>
          <w:sz w:val="24"/>
          <w:szCs w:val="24"/>
          <w:highlight w:val="none"/>
        </w:rPr>
        <w:t xml:space="preserve">提供产品或服务。</w:t>
      </w:r>
      <w:r/>
    </w:p>
    <w:p>
      <w:pPr>
        <w:pStyle w:val="1058"/>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w:t>
      </w:r>
      <w:r>
        <w:rPr>
          <w:rFonts w:ascii="宋体" w:hAnsi="宋体" w:eastAsia="宋体" w:cs="宋体"/>
          <w:color w:val="000000"/>
          <w:sz w:val="24"/>
          <w:szCs w:val="24"/>
          <w:highlight w:val="none"/>
        </w:rPr>
        <w:t xml:space="preserve">提供的产品或服务在服务期内因其本身出现质量问题，根据实际情况，经双方协商，可按以下办法处理：</w:t>
      </w:r>
      <w:r/>
    </w:p>
    <w:p>
      <w:pPr>
        <w:pStyle w:val="1058"/>
        <w:ind w:firstLine="480"/>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t xml:space="preserve">造成采购人重大损失的，供应商负责赔偿，且采购人将从供应商应得的当年度维保费中扣除相同金额的服务费用</w:t>
      </w:r>
      <w:r>
        <w:rPr>
          <w:rFonts w:ascii="宋体" w:hAnsi="宋体" w:eastAsia="宋体" w:cs="宋体"/>
          <w:color w:val="000000"/>
          <w:sz w:val="24"/>
          <w:szCs w:val="24"/>
          <w:highlight w:val="none"/>
        </w:rPr>
        <w:t xml:space="preserve">。</w:t>
      </w:r>
      <w:r/>
    </w:p>
    <w:p>
      <w:pPr>
        <w:pStyle w:val="1058"/>
        <w:ind w:firstLine="480"/>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t xml:space="preserve">供应商</w:t>
      </w:r>
      <w:r>
        <w:rPr>
          <w:rFonts w:ascii="宋体" w:hAnsi="宋体" w:eastAsia="宋体" w:cs="宋体"/>
          <w:color w:val="000000"/>
          <w:sz w:val="24"/>
          <w:szCs w:val="24"/>
          <w:highlight w:val="none"/>
        </w:rPr>
        <w:t xml:space="preserve">提供的产品或服务在服务期内</w:t>
      </w:r>
      <w:r>
        <w:rPr>
          <w:rFonts w:hint="eastAsia" w:ascii="宋体" w:hAnsi="宋体" w:eastAsia="宋体" w:cs="宋体"/>
          <w:color w:val="000000"/>
          <w:sz w:val="24"/>
          <w:szCs w:val="24"/>
          <w:highlight w:val="none"/>
        </w:rPr>
        <w:t xml:space="preserve">出现重大</w:t>
      </w:r>
      <w:r>
        <w:rPr>
          <w:rFonts w:ascii="宋体" w:hAnsi="宋体" w:eastAsia="宋体" w:cs="宋体"/>
          <w:color w:val="000000"/>
          <w:sz w:val="24"/>
          <w:szCs w:val="24"/>
          <w:highlight w:val="none"/>
        </w:rPr>
        <w:t xml:space="preserve">质量问题</w:t>
      </w:r>
      <w:r>
        <w:rPr>
          <w:rFonts w:hint="eastAsia" w:ascii="宋体" w:hAnsi="宋体" w:eastAsia="宋体" w:cs="宋体"/>
          <w:color w:val="000000"/>
          <w:sz w:val="24"/>
          <w:szCs w:val="24"/>
          <w:highlight w:val="none"/>
        </w:rPr>
        <w:t xml:space="preserve">不能继续提供服务的，采购人有权要求供应商限期整改，供应商未在甲方要求期限内整改完成或整改后仍不合格或已不能整改的，采购人有权拒绝支付剩余款项并解除合同</w:t>
      </w:r>
      <w:r>
        <w:rPr>
          <w:rFonts w:ascii="宋体" w:hAnsi="宋体" w:eastAsia="宋体" w:cs="宋体"/>
          <w:color w:val="000000"/>
          <w:sz w:val="24"/>
          <w:szCs w:val="24"/>
          <w:highlight w:val="none"/>
        </w:rPr>
        <w:t xml:space="preserve">。</w:t>
      </w:r>
      <w:r/>
    </w:p>
    <w:p>
      <w:pPr>
        <w:pStyle w:val="1058"/>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rPr>
        <w:t xml:space="preserve">服务</w:t>
      </w:r>
      <w:r>
        <w:rPr>
          <w:rFonts w:ascii="宋体" w:hAnsi="宋体" w:eastAsia="宋体" w:cs="宋体"/>
          <w:color w:val="000000"/>
          <w:sz w:val="24"/>
          <w:szCs w:val="24"/>
          <w:highlight w:val="none"/>
        </w:rPr>
        <w:t xml:space="preserve">期内，</w:t>
      </w:r>
      <w:r>
        <w:rPr>
          <w:rFonts w:hint="eastAsia" w:ascii="宋体" w:hAnsi="宋体" w:eastAsia="宋体" w:cs="宋体"/>
          <w:color w:val="000000"/>
          <w:sz w:val="24"/>
          <w:szCs w:val="24"/>
          <w:highlight w:val="none"/>
        </w:rPr>
        <w:t xml:space="preserve">供应商</w:t>
      </w:r>
      <w:r>
        <w:rPr>
          <w:rFonts w:ascii="宋体" w:hAnsi="宋体" w:eastAsia="宋体" w:cs="宋体"/>
          <w:color w:val="000000"/>
          <w:sz w:val="24"/>
          <w:szCs w:val="24"/>
          <w:highlight w:val="none"/>
        </w:rPr>
        <w:t xml:space="preserve">应对产品或服务出现的质量及安全问题负责处理解决并承担一切费用。</w:t>
      </w:r>
      <w:r/>
    </w:p>
    <w:p>
      <w:pPr>
        <w:pStyle w:val="1058"/>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4、在服务期内，供应商应负责免费对运行中出现的故障进行解决，提供系统的维护。运行中出现故障时，必须第一时间（含节假日）通知采购人相关经办人。</w:t>
      </w:r>
      <w:r/>
    </w:p>
    <w:p>
      <w:pPr>
        <w:pStyle w:val="979"/>
        <w:ind w:firstLine="560"/>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五、其他要求（采购包1、采购包2）</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1.项目属性:服务类项目。</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2.本项目采购包1、采购包2均不接受进口产品参与投标。</w:t>
      </w:r>
      <w:r/>
    </w:p>
    <w:p>
      <w:pPr>
        <w:rPr>
          <w:rFonts w:hint="eastAsia" w:ascii="黑体" w:eastAsia="黑体"/>
          <w:bCs/>
          <w:sz w:val="44"/>
          <w:highlight w:val="none"/>
        </w:rPr>
      </w:pPr>
      <w:r/>
      <w:bookmarkStart w:id="161" w:name="_Toc120614281"/>
      <w:r/>
      <w:r/>
    </w:p>
    <w:p>
      <w:pPr>
        <w:rPr>
          <w:rFonts w:hint="eastAsia" w:ascii="黑体" w:eastAsia="黑体"/>
          <w:bCs/>
          <w:sz w:val="44"/>
          <w:highlight w:val="none"/>
        </w:rPr>
      </w:pPr>
      <w:r>
        <w:rPr>
          <w:rFonts w:hint="eastAsia" w:ascii="黑体" w:eastAsia="黑体"/>
          <w:bCs/>
          <w:sz w:val="44"/>
          <w:highlight w:val="none"/>
        </w:rPr>
      </w:r>
      <w:r/>
    </w:p>
    <w:p>
      <w:pPr>
        <w:rPr>
          <w:rFonts w:hint="eastAsia" w:ascii="黑体" w:eastAsia="黑体"/>
          <w:bCs/>
          <w:sz w:val="44"/>
          <w:highlight w:val="none"/>
        </w:rPr>
      </w:pPr>
      <w:r>
        <w:rPr>
          <w:rFonts w:hint="eastAsia" w:ascii="黑体" w:eastAsia="黑体"/>
          <w:bCs/>
          <w:sz w:val="44"/>
          <w:highlight w:val="none"/>
        </w:rPr>
      </w:r>
      <w:r/>
    </w:p>
    <w:p>
      <w:pPr>
        <w:rPr>
          <w:rFonts w:hint="eastAsia" w:ascii="黑体" w:eastAsia="黑体"/>
          <w:bCs/>
          <w:sz w:val="44"/>
          <w:highlight w:val="none"/>
        </w:rPr>
      </w:pPr>
      <w:r>
        <w:rPr>
          <w:rFonts w:hint="eastAsia" w:ascii="黑体" w:eastAsia="黑体"/>
          <w:bCs/>
          <w:sz w:val="44"/>
          <w:highlight w:val="none"/>
        </w:rPr>
      </w:r>
      <w:r/>
    </w:p>
    <w:p>
      <w:pPr>
        <w:pStyle w:val="943"/>
        <w:spacing w:line="400" w:lineRule="exact"/>
        <w:rPr>
          <w:rFonts w:hint="eastAsia" w:ascii="黑体" w:hAnsi="黑体" w:eastAsia="黑体"/>
          <w:sz w:val="28"/>
          <w:szCs w:val="28"/>
          <w:highlight w:val="none"/>
        </w:rPr>
      </w:pPr>
      <w:r>
        <w:rPr>
          <w:rFonts w:hint="eastAsia" w:ascii="黑体" w:hAnsi="黑体" w:eastAsia="黑体"/>
          <w:sz w:val="28"/>
          <w:szCs w:val="28"/>
          <w:highlight w:val="none"/>
        </w:rPr>
        <w:t xml:space="preserve">第五章  评标方法与评标标准</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highlight w:val="none"/>
        </w:rPr>
        <w:t xml:space="preserve">得分且投标报价相同的并列。</w:t>
      </w:r>
      <w:r/>
    </w:p>
    <w:tbl>
      <w:tblPr>
        <w:tblStyle w:val="772"/>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p>
        </w:tc>
        <w:tc>
          <w:tcPr>
            <w:tcW w:w="2183"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选取中标候选人数量</w:t>
            </w:r>
            <w:r/>
          </w:p>
        </w:tc>
        <w:tc>
          <w:tcPr>
            <w:tcW w:w="5134"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选取中标候选人的原则</w:t>
            </w:r>
            <w:r/>
          </w:p>
        </w:tc>
      </w:tr>
      <w:tr>
        <w:trPr/>
        <w:tc>
          <w:tcPr>
            <w:tcW w:w="1608"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2183"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5134" w:type="dxa"/>
            <w:vAlign w:val="top"/>
            <w:textDirection w:val="lrTb"/>
            <w:noWrap w:val="false"/>
          </w:tcPr>
          <w:p>
            <w:pPr>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满足招标文件全部实质性要求，且按照评审因素的量化指标评审得分最高的投标人为中标候选人。</w:t>
            </w:r>
            <w:r/>
          </w:p>
        </w:tc>
      </w:tr>
      <w:tr>
        <w:trPr/>
        <w:tc>
          <w:tcPr>
            <w:tcW w:w="1608"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p>
        </w:tc>
        <w:tc>
          <w:tcPr>
            <w:tcW w:w="2183"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5134" w:type="dxa"/>
            <w:vAlign w:val="top"/>
            <w:textDirection w:val="lrTb"/>
            <w:noWrap w:val="false"/>
          </w:tcPr>
          <w:p>
            <w:pPr>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满足招标文件全部实质性要求，且按照评审因素的量化指标评审得分最高的投标人为中标候选人。</w:t>
            </w:r>
            <w:r/>
          </w:p>
        </w:tc>
      </w:tr>
    </w:tbl>
    <w:p>
      <w:pPr>
        <w:pStyle w:val="1028"/>
        <w:ind w:firstLine="562"/>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本项目每个采购包选取一名中标候选人，投标人可参与多个采购包投标，但同一投标人最多只能作一个采购包的中标候选人，不能兼中。评标委员会按采购包1、采购包2的顺序评审并确定中标候选人，采购包1的中标候选人不得参与采购包2的评审。</w:t>
      </w:r>
      <w:r/>
    </w:p>
    <w:p>
      <w:pPr>
        <w:pStyle w:val="1028"/>
        <w:ind w:firstLine="562"/>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政府采购政策功能落实</w:t>
      </w:r>
      <w:r/>
    </w:p>
    <w:p>
      <w:pPr>
        <w:pStyle w:val="1028"/>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1.小微型企业价格扣除</w:t>
      </w:r>
      <w:r/>
    </w:p>
    <w:p>
      <w:pPr>
        <w:pStyle w:val="1028"/>
        <w:ind w:firstLine="560"/>
        <w:spacing w:line="400" w:lineRule="exact"/>
        <w:rPr>
          <w:rFonts w:hint="eastAsia" w:ascii="宋体" w:hAnsi="宋体"/>
          <w:sz w:val="28"/>
          <w:szCs w:val="28"/>
          <w:highlight w:val="none"/>
        </w:rPr>
      </w:pPr>
      <w:r>
        <w:rPr>
          <w:rFonts w:hint="eastAsia" w:ascii="方正仿宋_GBK" w:hAnsi="方正仿宋_GBK" w:eastAsia="方正仿宋_GBK" w:cs="方正仿宋_GBK"/>
          <w:color w:val="000000"/>
          <w:sz w:val="28"/>
          <w:szCs w:val="28"/>
          <w:highlight w:val="none"/>
        </w:rPr>
        <w:t xml:space="preserve">（1）本项目对小型和微型企业提供的服务给予10%的扣除价格，用扣除后的价格参与评审。</w:t>
      </w:r>
      <w:r/>
    </w:p>
    <w:p>
      <w:pPr>
        <w:pStyle w:val="1028"/>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（2）供应商需按照采购文件的要求提供相应的《中小微企业声明函》。</w:t>
      </w:r>
      <w:r/>
    </w:p>
    <w:p>
      <w:pPr>
        <w:pStyle w:val="1028"/>
        <w:ind w:firstLine="561"/>
        <w:keepLines w:val="0"/>
        <w:keepNext w:val="0"/>
        <w:pageBreakBefore w:val="0"/>
        <w:spacing w:line="500" w:lineRule="exact"/>
        <w:widowControl w:val="off"/>
        <w:rPr>
          <w:rFonts w:hint="eastAsia" w:ascii="方正仿宋_GBK" w:hAnsi="方正仿宋_GBK" w:eastAsia="方正仿宋_GBK" w:cs="方正仿宋_GBK"/>
          <w:color w:val="000000"/>
          <w:sz w:val="44"/>
          <w:szCs w:val="44"/>
          <w:highlight w:val="none"/>
          <w:lang w:eastAsia="zh-CN"/>
        </w:rPr>
      </w:pPr>
      <w:r>
        <w:rPr>
          <w:rFonts w:hint="eastAsia" w:ascii="方正仿宋_GBK" w:hAnsi="方正仿宋_GBK" w:eastAsia="方正仿宋_GBK" w:cs="方正仿宋_GBK"/>
          <w:color w:val="000000"/>
          <w:sz w:val="44"/>
          <w:szCs w:val="44"/>
          <w:highlight w:val="none"/>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r>
        <w:rPr>
          <w:rFonts w:hint="eastAsia" w:ascii="方正仿宋_GBK" w:hAnsi="方正仿宋_GBK" w:eastAsia="方正仿宋_GBK" w:cs="方正仿宋_GBK"/>
          <w:color w:val="000000"/>
          <w:sz w:val="44"/>
          <w:szCs w:val="44"/>
          <w:highlight w:val="none"/>
          <w:lang w:eastAsia="zh-CN"/>
        </w:rPr>
        <w:t xml:space="preserve">。</w:t>
      </w:r>
      <w:r/>
    </w:p>
    <w:p>
      <w:pPr>
        <w:pStyle w:val="1028"/>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2.残疾人福利单位价格扣除</w:t>
      </w:r>
      <w:r/>
    </w:p>
    <w:p>
      <w:pPr>
        <w:pStyle w:val="1028"/>
        <w:ind w:left="120" w:firstLine="560"/>
        <w:spacing w:line="400" w:lineRule="exact"/>
        <w:rPr>
          <w:rFonts w:hint="eastAsia" w:ascii="宋体" w:hAnsi="宋体"/>
          <w:sz w:val="28"/>
          <w:szCs w:val="28"/>
          <w:highlight w:val="none"/>
        </w:rPr>
      </w:pPr>
      <w:r>
        <w:rPr>
          <w:rFonts w:hint="eastAsia" w:ascii="方正仿宋_GBK" w:hAnsi="方正仿宋_GBK" w:eastAsia="方正仿宋_GBK" w:cs="方正仿宋_GBK"/>
          <w:color w:val="000000"/>
          <w:sz w:val="28"/>
          <w:szCs w:val="28"/>
          <w:highlight w:val="none"/>
        </w:rPr>
        <w:t xml:space="preserve">（1）本项目对残疾人福利性单位视同小型、微型企业，给予10%的价格扣除，用扣除后的价格参与评审。</w:t>
      </w:r>
      <w:r/>
    </w:p>
    <w:p>
      <w:pPr>
        <w:pStyle w:val="1028"/>
        <w:ind w:left="120"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（2）残疾人福利单位需按照采购文件的要求提供《残疾人福利性单位声明函》。</w:t>
      </w:r>
      <w:r/>
    </w:p>
    <w:p>
      <w:pPr>
        <w:pStyle w:val="1028"/>
        <w:ind w:left="120"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（3）残疾人福利单位标准请参照《关于促进残疾人就业政府采购政策的通知》（财库〔2017〕141号）。</w:t>
      </w:r>
      <w:r/>
    </w:p>
    <w:p>
      <w:pPr>
        <w:pStyle w:val="1028"/>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3.监狱和戒毒企业价格扣除</w:t>
      </w:r>
      <w:r/>
    </w:p>
    <w:p>
      <w:pPr>
        <w:pStyle w:val="1028"/>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（1）本项目对监狱和戒毒企业（简称监狱企业）视同小型、微型企业，给予10%的价格扣除，用扣除后的价格参与评审。</w:t>
      </w:r>
      <w:r/>
    </w:p>
    <w:p>
      <w:pPr>
        <w:pStyle w:val="1028"/>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28"/>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（3）监狱企业标准请参照《关于政府采购支持监狱企业发展有关问题的通知》（财库〔2014〕68号）。</w:t>
      </w:r>
      <w:r/>
    </w:p>
    <w:p>
      <w:pPr>
        <w:pStyle w:val="1028"/>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4.残疾人福利单位、监狱企业属于小型、微型企业的，不重复享受政策。</w:t>
      </w:r>
      <w:r/>
    </w:p>
    <w:p>
      <w:pPr>
        <w:pStyle w:val="1028"/>
        <w:ind w:firstLine="560"/>
        <w:spacing w:line="400" w:lineRule="exact"/>
        <w:rPr>
          <w:rFonts w:hint="eastAsia" w:ascii="宋体" w:hAnsi="宋体"/>
          <w:sz w:val="28"/>
          <w:szCs w:val="28"/>
          <w:highlight w:val="none"/>
        </w:rPr>
      </w:pPr>
      <w:r>
        <w:rPr>
          <w:rFonts w:hint="eastAsia" w:ascii="方正仿宋_GBK" w:hAnsi="方正仿宋_GBK" w:eastAsia="方正仿宋_GBK" w:cs="方正仿宋_GBK"/>
          <w:color w:val="000000"/>
          <w:sz w:val="28"/>
          <w:szCs w:val="28"/>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pStyle w:val="1028"/>
        <w:ind w:firstLine="560"/>
        <w:spacing w:line="400" w:lineRule="exact"/>
        <w:rPr>
          <w:rFonts w:hint="eastAsia" w:ascii="宋体" w:hAnsi="宋体"/>
          <w:sz w:val="28"/>
          <w:szCs w:val="28"/>
          <w:highlight w:val="none"/>
        </w:rPr>
      </w:pPr>
      <w:r>
        <w:rPr>
          <w:rFonts w:hint="eastAsia" w:ascii="方正仿宋_GBK" w:hAnsi="方正仿宋_GBK" w:eastAsia="方正仿宋_GBK" w:cs="方正仿宋_GBK"/>
          <w:color w:val="000000"/>
          <w:sz w:val="28"/>
          <w:szCs w:val="28"/>
          <w:highlight w:val="none"/>
        </w:rPr>
        <w:t xml:space="preserve">6.联合体各方均为小型、微型企业（残疾人福利单位、监狱企业）的，联合体享受10%价格扣除，用扣除后的价格参与评审。</w:t>
      </w:r>
      <w:r/>
    </w:p>
    <w:p>
      <w:pPr>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7.采购本国产品的支持政策</w:t>
      </w:r>
      <w:r/>
    </w:p>
    <w:p>
      <w:pPr>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sz w:val="28"/>
          <w:szCs w:val="28"/>
          <w:highlight w:val="none"/>
          <w:u w:val="single"/>
        </w:rPr>
        <w:t xml:space="preserve">80%</w:t>
      </w:r>
      <w:r>
        <w:rPr>
          <w:rFonts w:hint="eastAsia" w:ascii="方正仿宋_GBK" w:hAnsi="方正仿宋_GBK" w:eastAsia="方正仿宋_GBK" w:cs="方正仿宋_GBK"/>
          <w:sz w:val="28"/>
          <w:szCs w:val="28"/>
          <w:highlight w:val="none"/>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sz w:val="28"/>
          <w:szCs w:val="28"/>
          <w:highlight w:val="none"/>
          <w:u w:val="single"/>
        </w:rPr>
        <w:t xml:space="preserve">20%</w:t>
      </w:r>
      <w:r>
        <w:rPr>
          <w:rFonts w:hint="eastAsia" w:ascii="方正仿宋_GBK" w:hAnsi="方正仿宋_GBK" w:eastAsia="方正仿宋_GBK" w:cs="方正仿宋_GBK"/>
          <w:sz w:val="28"/>
          <w:szCs w:val="28"/>
          <w:highlight w:val="none"/>
        </w:rPr>
        <w:t xml:space="preserve">的价格扣除，用扣除后的价格参与评审。供应商未填写比例数值，或比例数值不足</w:t>
      </w:r>
      <w:r>
        <w:rPr>
          <w:rFonts w:hint="eastAsia" w:ascii="方正仿宋_GBK" w:hAnsi="方正仿宋_GBK" w:eastAsia="方正仿宋_GBK" w:cs="方正仿宋_GBK"/>
          <w:sz w:val="28"/>
          <w:szCs w:val="28"/>
          <w:highlight w:val="none"/>
          <w:u w:val="single"/>
        </w:rPr>
        <w:t xml:space="preserve">80%</w:t>
      </w:r>
      <w:r>
        <w:rPr>
          <w:rFonts w:hint="eastAsia" w:ascii="方正仿宋_GBK" w:hAnsi="方正仿宋_GBK" w:eastAsia="方正仿宋_GBK" w:cs="方正仿宋_GBK"/>
          <w:sz w:val="28"/>
          <w:szCs w:val="28"/>
          <w:highlight w:val="none"/>
        </w:rPr>
        <w:t xml:space="preserve">的，将不享受本国产品价格评审优惠。</w:t>
      </w:r>
      <w:r/>
    </w:p>
    <w:p>
      <w:pPr>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7.2 供应商需按照招标文件的要求提供《关于符合本国产品标准的声明函》（以下简称《声明函》），如不提供将不享受本国产品价格评审优惠。</w:t>
      </w:r>
      <w:r/>
    </w:p>
    <w:p>
      <w:pPr>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7.3 供应商需在《声明函》中逐一、准确填写产品名称、厂名、生产厂址三项信息（《声明函》中标注</w:t>
      </w:r>
      <w:r>
        <w:rPr>
          <w:rFonts w:hint="eastAsia" w:ascii="方正仿宋_GBK" w:hAnsi="方正仿宋_GBK" w:eastAsia="方正仿宋_GBK" w:cs="方正仿宋_GBK"/>
          <w:sz w:val="28"/>
          <w:szCs w:val="28"/>
          <w:highlight w:val="none"/>
          <w:u w:val="single"/>
        </w:rPr>
        <w:t xml:space="preserve">“  /  ”</w:t>
      </w:r>
      <w:r>
        <w:rPr>
          <w:rFonts w:hint="eastAsia" w:ascii="方正仿宋_GBK" w:hAnsi="方正仿宋_GBK" w:eastAsia="方正仿宋_GBK" w:cs="方正仿宋_GBK"/>
          <w:sz w:val="28"/>
          <w:szCs w:val="28"/>
          <w:highlight w:val="none"/>
        </w:rPr>
        <w:t xml:space="preserve">的地方无需填写），三项信息中任意一项未填写的视为该项产品不符合本国产品标准，不享受本国产品价格评审优惠。</w:t>
      </w:r>
      <w:r/>
    </w:p>
    <w:p>
      <w:pPr>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spacing w:before="120" w:after="120"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评标方法与评标标准</w:t>
      </w:r>
      <w:r/>
    </w:p>
    <w:p>
      <w:pPr>
        <w:pStyle w:val="1028"/>
        <w:rPr>
          <w:rFonts w:ascii="宋体" w:hAnsi="宋体"/>
          <w:b/>
          <w:bCs/>
          <w:color w:val="000000"/>
          <w:highlight w:val="none"/>
        </w:rPr>
      </w:pPr>
      <w:r>
        <w:rPr>
          <w:rFonts w:hint="eastAsia" w:ascii="宋体" w:hAnsi="宋体"/>
          <w:b/>
          <w:bCs/>
          <w:color w:val="000000"/>
          <w:highlight w:val="none"/>
        </w:rPr>
        <w:t xml:space="preserve">采购包</w:t>
      </w:r>
      <w:r>
        <w:rPr>
          <w:rFonts w:ascii="宋体" w:hAnsi="宋体"/>
          <w:b/>
          <w:bCs/>
          <w:color w:val="000000"/>
          <w:highlight w:val="none"/>
        </w:rPr>
        <w:t xml:space="preserve">1</w:t>
      </w:r>
      <w:r>
        <w:rPr>
          <w:rFonts w:hint="eastAsia" w:ascii="宋体" w:hAnsi="宋体"/>
          <w:b/>
          <w:bCs/>
          <w:color w:val="000000"/>
          <w:highlight w:val="none"/>
        </w:rPr>
        <w:t xml:space="preserve">、包2：</w:t>
      </w:r>
      <w:r/>
    </w:p>
    <w:tbl>
      <w:tblPr>
        <w:tblStyle w:val="772"/>
        <w:tblW w:w="93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992"/>
        <w:gridCol w:w="6124"/>
        <w:gridCol w:w="822"/>
      </w:tblGrid>
      <w:tr>
        <w:trPr>
          <w:jc w:val="center"/>
        </w:trPr>
        <w:tc>
          <w:tcPr>
            <w:gridSpan w:val="2"/>
            <w:tcW w:w="2410" w:type="dxa"/>
            <w:vAlign w:val="center"/>
            <w:textDirection w:val="lrTb"/>
            <w:noWrap w:val="false"/>
          </w:tcPr>
          <w:p>
            <w:pPr>
              <w:contextualSpacing/>
              <w:jc w:val="center"/>
              <w:spacing w:line="360" w:lineRule="auto"/>
              <w:rPr>
                <w:rFonts w:ascii="宋体" w:hAnsi="宋体"/>
                <w:b/>
                <w:highlight w:val="none"/>
              </w:rPr>
            </w:pPr>
            <w:r/>
            <w:bookmarkStart w:id="162" w:name="_Hlk82605648"/>
            <w:r>
              <w:rPr>
                <w:rFonts w:hint="eastAsia" w:ascii="宋体" w:hAnsi="宋体"/>
                <w:b/>
                <w:highlight w:val="none"/>
              </w:rPr>
              <w:t xml:space="preserve">序号</w:t>
            </w:r>
            <w:r/>
          </w:p>
        </w:tc>
        <w:tc>
          <w:tcPr>
            <w:tcW w:w="6124" w:type="dxa"/>
            <w:vAlign w:val="center"/>
            <w:textDirection w:val="lrTb"/>
            <w:noWrap w:val="false"/>
          </w:tcPr>
          <w:p>
            <w:pPr>
              <w:contextualSpacing/>
              <w:jc w:val="center"/>
              <w:spacing w:line="360" w:lineRule="auto"/>
              <w:rPr>
                <w:rFonts w:ascii="宋体" w:hAnsi="宋体"/>
                <w:b/>
                <w:highlight w:val="none"/>
              </w:rPr>
            </w:pPr>
            <w:r>
              <w:rPr>
                <w:rFonts w:hint="eastAsia" w:ascii="宋体" w:hAnsi="宋体"/>
                <w:b/>
                <w:highlight w:val="none"/>
              </w:rPr>
              <w:t xml:space="preserve">评分办法</w:t>
            </w:r>
            <w:r/>
          </w:p>
        </w:tc>
        <w:tc>
          <w:tcPr>
            <w:tcW w:w="822" w:type="dxa"/>
            <w:vAlign w:val="center"/>
            <w:textDirection w:val="lrTb"/>
            <w:noWrap w:val="false"/>
          </w:tcPr>
          <w:p>
            <w:pPr>
              <w:contextualSpacing/>
              <w:jc w:val="center"/>
              <w:spacing w:line="360" w:lineRule="auto"/>
              <w:rPr>
                <w:rFonts w:ascii="宋体" w:hAnsi="宋体"/>
                <w:b/>
                <w:highlight w:val="none"/>
              </w:rPr>
            </w:pPr>
            <w:r>
              <w:rPr>
                <w:rFonts w:hint="eastAsia" w:ascii="宋体" w:hAnsi="宋体"/>
                <w:b/>
                <w:highlight w:val="none"/>
              </w:rPr>
              <w:t xml:space="preserve">得分</w:t>
            </w:r>
            <w:r/>
          </w:p>
        </w:tc>
      </w:tr>
      <w:tr>
        <w:trPr>
          <w:jc w:val="center"/>
          <w:trHeight w:val="1441"/>
        </w:trPr>
        <w:tc>
          <w:tcPr>
            <w:gridSpan w:val="2"/>
            <w:tcW w:w="2410" w:type="dxa"/>
            <w:vAlign w:val="center"/>
            <w:textDirection w:val="lrTb"/>
            <w:noWrap w:val="false"/>
          </w:tcPr>
          <w:p>
            <w:pPr>
              <w:contextualSpacing/>
              <w:jc w:val="center"/>
              <w:spacing w:line="360" w:lineRule="auto"/>
              <w:rPr>
                <w:rFonts w:ascii="宋体" w:hAnsi="宋体"/>
                <w:b/>
                <w:highlight w:val="none"/>
              </w:rPr>
            </w:pPr>
            <w:r>
              <w:rPr>
                <w:rFonts w:hint="eastAsia" w:ascii="宋体" w:hAnsi="宋体"/>
                <w:b/>
                <w:highlight w:val="none"/>
              </w:rPr>
              <w:t xml:space="preserve">（一）</w:t>
            </w:r>
            <w:r/>
          </w:p>
          <w:p>
            <w:pPr>
              <w:contextualSpacing/>
              <w:jc w:val="center"/>
              <w:spacing w:line="360" w:lineRule="auto"/>
              <w:rPr>
                <w:rFonts w:ascii="宋体" w:hAnsi="宋体"/>
                <w:b/>
                <w:highlight w:val="none"/>
              </w:rPr>
            </w:pPr>
            <w:r>
              <w:rPr>
                <w:rFonts w:hint="eastAsia" w:ascii="宋体" w:hAnsi="宋体"/>
                <w:b/>
                <w:highlight w:val="none"/>
              </w:rPr>
              <w:t xml:space="preserve">价格分</w:t>
            </w:r>
            <w:r/>
          </w:p>
          <w:p>
            <w:pPr>
              <w:contextualSpacing/>
              <w:jc w:val="center"/>
              <w:spacing w:line="360" w:lineRule="auto"/>
              <w:rPr>
                <w:rFonts w:ascii="宋体" w:hAnsi="宋体"/>
                <w:highlight w:val="none"/>
              </w:rPr>
            </w:pPr>
            <w:r>
              <w:rPr>
                <w:rFonts w:hint="eastAsia" w:ascii="宋体" w:hAnsi="宋体"/>
                <w:b/>
                <w:highlight w:val="none"/>
              </w:rPr>
              <w:t xml:space="preserve">10分</w:t>
            </w:r>
            <w:r/>
          </w:p>
        </w:tc>
        <w:tc>
          <w:tcPr>
            <w:tcW w:w="6124" w:type="dxa"/>
            <w:vAlign w:val="center"/>
            <w:textDirection w:val="lrTb"/>
            <w:noWrap w:val="false"/>
          </w:tcPr>
          <w:p>
            <w:pPr>
              <w:contextualSpacing/>
              <w:spacing w:line="360" w:lineRule="auto"/>
              <w:rPr>
                <w:rFonts w:ascii="宋体" w:hAnsi="宋体" w:cs="宋体"/>
                <w:highlight w:val="none"/>
              </w:rPr>
            </w:pPr>
            <w:r>
              <w:rPr>
                <w:rFonts w:hint="eastAsia" w:ascii="宋体" w:hAnsi="宋体" w:cs="宋体"/>
                <w:highlight w:val="none"/>
              </w:rPr>
              <w:t xml:space="preserve">以满足招标文件要求且投标总报价价格最低的投标报价为评标基准价，其价格分为满分10分，其他投标人的价格分按照下列公式计算：</w:t>
            </w:r>
            <w:r/>
          </w:p>
          <w:p>
            <w:pPr>
              <w:contextualSpacing/>
              <w:spacing w:line="360" w:lineRule="auto"/>
              <w:rPr>
                <w:rFonts w:ascii="宋体" w:hAnsi="宋体" w:cs="宋体"/>
                <w:highlight w:val="none"/>
              </w:rPr>
            </w:pPr>
            <w:r>
              <w:rPr>
                <w:rFonts w:hint="eastAsia" w:ascii="宋体" w:hAnsi="宋体" w:cs="宋体"/>
                <w:highlight w:val="none"/>
              </w:rPr>
              <w:t xml:space="preserve">投标总报价得分=（评标基准价/投标总报价）×10，小数点后保留2位。</w:t>
            </w:r>
            <w:r/>
          </w:p>
        </w:tc>
        <w:tc>
          <w:tcPr>
            <w:tcW w:w="822" w:type="dxa"/>
            <w:vAlign w:val="center"/>
            <w:textDirection w:val="lrTb"/>
            <w:noWrap w:val="false"/>
          </w:tcPr>
          <w:p>
            <w:pPr>
              <w:contextualSpacing/>
              <w:jc w:val="center"/>
              <w:spacing w:line="360" w:lineRule="auto"/>
              <w:rPr>
                <w:rFonts w:ascii="宋体" w:hAnsi="宋体" w:cs="宋体"/>
                <w:highlight w:val="none"/>
              </w:rPr>
            </w:pPr>
            <w:r>
              <w:rPr>
                <w:rFonts w:hint="eastAsia" w:ascii="宋体" w:hAnsi="宋体" w:cs="宋体"/>
                <w:highlight w:val="none"/>
              </w:rPr>
              <w:t xml:space="preserve">10</w:t>
            </w:r>
            <w:r/>
          </w:p>
        </w:tc>
      </w:tr>
      <w:tr>
        <w:trPr>
          <w:jc w:val="center"/>
          <w:trHeight w:val="50"/>
        </w:trPr>
        <w:tc>
          <w:tcPr>
            <w:tcW w:w="1418" w:type="dxa"/>
            <w:vAlign w:val="center"/>
            <w:vMerge w:val="restart"/>
            <w:textDirection w:val="lrTb"/>
            <w:noWrap w:val="false"/>
          </w:tcPr>
          <w:p>
            <w:pPr>
              <w:contextualSpacing/>
              <w:jc w:val="center"/>
              <w:spacing w:line="360" w:lineRule="auto"/>
              <w:rPr>
                <w:rFonts w:ascii="宋体" w:hAnsi="宋体"/>
                <w:b/>
                <w:highlight w:val="none"/>
              </w:rPr>
            </w:pPr>
            <w:r>
              <w:rPr>
                <w:rFonts w:hint="eastAsia" w:ascii="宋体" w:hAnsi="宋体"/>
                <w:b/>
                <w:highlight w:val="none"/>
              </w:rPr>
              <w:t xml:space="preserve">（二）</w:t>
            </w:r>
            <w:r/>
          </w:p>
          <w:p>
            <w:pPr>
              <w:contextualSpacing/>
              <w:jc w:val="center"/>
              <w:spacing w:line="360" w:lineRule="auto"/>
              <w:rPr>
                <w:rFonts w:ascii="宋体" w:hAnsi="宋体"/>
                <w:b/>
                <w:highlight w:val="none"/>
              </w:rPr>
            </w:pPr>
            <w:r>
              <w:rPr>
                <w:rFonts w:hint="eastAsia" w:ascii="宋体" w:hAnsi="宋体"/>
                <w:b/>
                <w:highlight w:val="none"/>
              </w:rPr>
              <w:t xml:space="preserve">建设方案</w:t>
            </w:r>
            <w:r/>
          </w:p>
          <w:p>
            <w:pPr>
              <w:contextualSpacing/>
              <w:jc w:val="center"/>
              <w:spacing w:line="360" w:lineRule="auto"/>
              <w:rPr>
                <w:rFonts w:ascii="宋体" w:hAnsi="宋体"/>
                <w:highlight w:val="none"/>
              </w:rPr>
            </w:pPr>
            <w:r>
              <w:rPr>
                <w:rFonts w:hint="eastAsia" w:ascii="宋体" w:hAnsi="宋体"/>
                <w:b/>
                <w:highlight w:val="none"/>
              </w:rPr>
              <w:t xml:space="preserve">49分</w:t>
            </w:r>
            <w:r/>
          </w:p>
        </w:tc>
        <w:tc>
          <w:tcPr>
            <w:tcW w:w="992" w:type="dxa"/>
            <w:vAlign w:val="center"/>
            <w:textDirection w:val="lrTb"/>
            <w:noWrap w:val="false"/>
          </w:tcPr>
          <w:p>
            <w:pPr>
              <w:contextualSpacing/>
              <w:spacing w:line="360" w:lineRule="auto"/>
              <w:rPr>
                <w:rFonts w:ascii="宋体" w:hAnsi="宋体"/>
                <w:highlight w:val="none"/>
              </w:rPr>
            </w:pPr>
            <w:r>
              <w:rPr>
                <w:rFonts w:hint="eastAsia" w:ascii="宋体" w:hAnsi="宋体"/>
                <w:highlight w:val="none"/>
              </w:rPr>
              <w:t xml:space="preserve">2.1</w:t>
            </w:r>
            <w:r/>
          </w:p>
        </w:tc>
        <w:tc>
          <w:tcPr>
            <w:tcW w:w="6124" w:type="dxa"/>
            <w:vAlign w:val="center"/>
            <w:textDirection w:val="lrTb"/>
            <w:noWrap w:val="false"/>
          </w:tcPr>
          <w:p>
            <w:pPr>
              <w:contextualSpacing/>
              <w:spacing w:line="360" w:lineRule="auto"/>
              <w:rPr>
                <w:rFonts w:ascii="宋体" w:hAnsi="宋体"/>
                <w:highlight w:val="none"/>
              </w:rPr>
            </w:pPr>
            <w:r>
              <w:rPr>
                <w:rFonts w:hint="eastAsia" w:ascii="宋体" w:hAnsi="宋体" w:cs="宋体"/>
                <w:b/>
                <w:bCs/>
                <w:highlight w:val="none"/>
              </w:rPr>
              <w:t xml:space="preserve">技术响应情况（29分）</w:t>
            </w:r>
            <w:r>
              <w:rPr>
                <w:rFonts w:hint="eastAsia" w:ascii="宋体" w:hAnsi="宋体" w:cs="宋体"/>
                <w:highlight w:val="none"/>
              </w:rPr>
              <w:t xml:space="preserve">根据投标人的投标文件响应情况（</w:t>
            </w:r>
            <w:r>
              <w:rPr>
                <w:rFonts w:hint="eastAsia" w:ascii="宋体" w:hAnsi="宋体" w:cs="宋体"/>
                <w:i w:val="0"/>
                <w:iCs w:val="0"/>
                <w:highlight w:val="none"/>
                <w:u w:val="none"/>
              </w:rPr>
              <w:t xml:space="preserve">除</w:t>
            </w:r>
            <w:r>
              <w:rPr>
                <w:rFonts w:hint="eastAsia" w:ascii="宋体" w:hAnsi="宋体" w:cs="宋体"/>
                <w:i/>
                <w:iCs/>
                <w:highlight w:val="none"/>
                <w:u w:val="single"/>
              </w:rPr>
              <w:t xml:space="preserve">斜体下划线项</w:t>
            </w:r>
            <w:r>
              <w:rPr>
                <w:rFonts w:hint="eastAsia" w:ascii="宋体" w:hAnsi="宋体" w:cs="宋体"/>
                <w:highlight w:val="none"/>
              </w:rPr>
              <w:t xml:space="preserve">以外）评分，满分</w:t>
            </w:r>
            <w:r>
              <w:rPr>
                <w:rFonts w:hint="eastAsia" w:ascii="宋体" w:hAnsi="宋体" w:cs="宋体"/>
                <w:highlight w:val="none"/>
                <w:lang w:val="en-US" w:eastAsia="zh-CN"/>
              </w:rPr>
              <w:t xml:space="preserve">29</w:t>
            </w:r>
            <w:r>
              <w:rPr>
                <w:rFonts w:hint="eastAsia" w:ascii="宋体" w:hAnsi="宋体" w:cs="宋体"/>
                <w:highlight w:val="none"/>
              </w:rPr>
              <w:t xml:space="preserve">分。所投服务或产品全部响应招标文件第四章采购需求的“2.技术指标”的得</w:t>
            </w:r>
            <w:r>
              <w:rPr>
                <w:rFonts w:hint="eastAsia" w:ascii="宋体" w:hAnsi="宋体" w:cs="宋体"/>
                <w:highlight w:val="none"/>
                <w:lang w:val="en-US" w:eastAsia="zh-CN"/>
              </w:rPr>
              <w:t xml:space="preserve">29</w:t>
            </w:r>
            <w:r>
              <w:rPr>
                <w:rFonts w:hint="eastAsia" w:ascii="宋体" w:hAnsi="宋体" w:cs="宋体"/>
                <w:highlight w:val="none"/>
              </w:rPr>
              <w:t xml:space="preserve">分。相关带★项（共1项）指标低于招标文件要求的，每一项扣1分；相关带</w:t>
            </w:r>
            <w:r>
              <w:rPr>
                <w:rFonts w:hint="eastAsia" w:ascii="宋体" w:hAnsi="宋体"/>
                <w:highlight w:val="none"/>
              </w:rPr>
              <w:t xml:space="preserve">▲</w:t>
            </w:r>
            <w:r>
              <w:rPr>
                <w:rFonts w:hint="eastAsia" w:ascii="宋体" w:hAnsi="宋体" w:cs="宋体"/>
                <w:highlight w:val="none"/>
              </w:rPr>
              <w:t xml:space="preserve">项（共12项）指标低于招标文件要求的，每一项扣2分；其余指标项（共8项）低于招标文件要求的，每一项扣0.5分，扣完为止。需按照采购需求提供对应证明材料。</w:t>
            </w:r>
            <w:r/>
          </w:p>
        </w:tc>
        <w:tc>
          <w:tcPr>
            <w:tcW w:w="822" w:type="dxa"/>
            <w:vAlign w:val="center"/>
            <w:textDirection w:val="lrTb"/>
            <w:noWrap w:val="false"/>
          </w:tcPr>
          <w:p>
            <w:pPr>
              <w:contextualSpacing/>
              <w:jc w:val="center"/>
              <w:spacing w:line="360" w:lineRule="auto"/>
              <w:rPr>
                <w:rFonts w:ascii="宋体" w:hAnsi="宋体"/>
                <w:highlight w:val="none"/>
              </w:rPr>
            </w:pPr>
            <w:r>
              <w:rPr>
                <w:rFonts w:hint="eastAsia" w:ascii="宋体" w:hAnsi="宋体"/>
                <w:highlight w:val="none"/>
              </w:rPr>
              <w:t xml:space="preserve">29</w:t>
            </w:r>
            <w:r/>
          </w:p>
        </w:tc>
      </w:tr>
      <w:tr>
        <w:trPr>
          <w:jc w:val="center"/>
          <w:trHeight w:val="132"/>
        </w:trPr>
        <w:tc>
          <w:tcPr>
            <w:tcW w:w="1418" w:type="dxa"/>
            <w:vAlign w:val="center"/>
            <w:vMerge w:val="continue"/>
            <w:textDirection w:val="lrTb"/>
            <w:noWrap w:val="false"/>
          </w:tcPr>
          <w:p>
            <w:pPr>
              <w:contextualSpacing/>
              <w:jc w:val="center"/>
              <w:spacing w:line="360" w:lineRule="auto"/>
              <w:rPr>
                <w:rFonts w:ascii="宋体" w:hAnsi="宋体"/>
                <w:b/>
                <w:highlight w:val="none"/>
              </w:rPr>
            </w:pPr>
            <w:r>
              <w:rPr>
                <w:rFonts w:ascii="宋体" w:hAnsi="宋体"/>
                <w:b/>
                <w:highlight w:val="none"/>
              </w:rPr>
            </w:r>
            <w:r/>
          </w:p>
        </w:tc>
        <w:tc>
          <w:tcPr>
            <w:tcW w:w="992" w:type="dxa"/>
            <w:vAlign w:val="center"/>
            <w:textDirection w:val="lrTb"/>
            <w:noWrap w:val="false"/>
          </w:tcPr>
          <w:p>
            <w:pPr>
              <w:contextualSpacing/>
              <w:spacing w:line="360" w:lineRule="auto"/>
              <w:rPr>
                <w:rFonts w:ascii="宋体" w:hAnsi="宋体"/>
                <w:highlight w:val="none"/>
              </w:rPr>
            </w:pPr>
            <w:r>
              <w:rPr>
                <w:rFonts w:hint="eastAsia" w:ascii="宋体" w:hAnsi="宋体"/>
                <w:highlight w:val="none"/>
              </w:rPr>
              <w:t xml:space="preserve">2.2</w:t>
            </w:r>
            <w:r/>
          </w:p>
        </w:tc>
        <w:tc>
          <w:tcPr>
            <w:tcW w:w="6124" w:type="dxa"/>
            <w:vAlign w:val="center"/>
            <w:textDirection w:val="lrTb"/>
            <w:noWrap w:val="false"/>
          </w:tcPr>
          <w:p>
            <w:pPr>
              <w:contextualSpacing/>
              <w:spacing w:line="360" w:lineRule="auto"/>
              <w:rPr>
                <w:rFonts w:hint="eastAsia" w:ascii="宋体" w:hAnsi="宋体"/>
                <w:color w:val="000000"/>
                <w:highlight w:val="none"/>
              </w:rPr>
            </w:pPr>
            <w:r>
              <w:rPr>
                <w:rFonts w:hint="eastAsia" w:ascii="宋体" w:hAnsi="宋体" w:cs="宋体"/>
                <w:b/>
                <w:bCs/>
                <w:highlight w:val="none"/>
              </w:rPr>
              <w:t xml:space="preserve">技术方案（5分）</w:t>
            </w:r>
            <w:r>
              <w:rPr>
                <w:rFonts w:hint="eastAsia" w:ascii="宋体" w:hAnsi="宋体"/>
                <w:color w:val="000000"/>
                <w:highlight w:val="none"/>
              </w:rPr>
              <w:t xml:space="preserve">投标人根据项目需求提供具体详实的技术方案，技术方案应满足与全省法院一张网的线路互联要求，包含但不限于组网设计、日常监管、可靠性保障、网络安全防护等内容。</w:t>
            </w:r>
            <w:r/>
          </w:p>
          <w:p>
            <w:pPr>
              <w:contextualSpacing/>
              <w:spacing w:line="360" w:lineRule="auto"/>
              <w:rPr>
                <w:rFonts w:hint="eastAsia" w:ascii="宋体" w:hAnsi="宋体"/>
                <w:color w:val="000000"/>
                <w:highlight w:val="none"/>
              </w:rPr>
            </w:pPr>
            <w:r>
              <w:rPr>
                <w:rFonts w:hint="eastAsia" w:ascii="宋体" w:hAnsi="宋体"/>
                <w:color w:val="000000"/>
                <w:highlight w:val="none"/>
              </w:rPr>
              <w:t xml:space="preserve">（1）投标文件未符合“技术方案”中全部条款要求的，视为不符合招标文件要求，本项得0分。</w:t>
            </w:r>
            <w:r/>
          </w:p>
          <w:p>
            <w:pPr>
              <w:contextualSpacing/>
              <w:spacing w:line="360" w:lineRule="auto"/>
              <w:rPr>
                <w:rFonts w:hint="eastAsia" w:ascii="宋体" w:hAnsi="宋体"/>
                <w:color w:val="000000"/>
                <w:highlight w:val="none"/>
              </w:rPr>
            </w:pPr>
            <w:r>
              <w:rPr>
                <w:rFonts w:hint="eastAsia" w:ascii="宋体" w:hAnsi="宋体"/>
                <w:color w:val="000000"/>
                <w:highlight w:val="none"/>
              </w:rPr>
              <w:t xml:space="preserve">（2）投标文件符合“技术方案”中全部条款要求的，视为符合招标文件要求，本项得3分。</w:t>
            </w:r>
            <w:r/>
          </w:p>
          <w:p>
            <w:pPr>
              <w:contextualSpacing/>
              <w:spacing w:line="360" w:lineRule="auto"/>
              <w:rPr>
                <w:rFonts w:hint="eastAsia" w:ascii="宋体" w:hAnsi="宋体"/>
                <w:color w:val="000000"/>
                <w:highlight w:val="none"/>
              </w:rPr>
            </w:pPr>
            <w:r>
              <w:rPr>
                <w:rFonts w:hint="eastAsia" w:ascii="宋体" w:hAnsi="宋体"/>
                <w:color w:val="000000"/>
                <w:highlight w:val="none"/>
              </w:rPr>
              <w:t xml:space="preserve">（3）投标文件对“技术方案”中“日常监管”一项要求的响应内容优于招标文件要求的（前提是投标文件对“技术方案”中除“日常监管”外其他要求响应内容符合招标文件要求），本项得5分。</w:t>
            </w:r>
            <w:r/>
          </w:p>
        </w:tc>
        <w:tc>
          <w:tcPr>
            <w:tcW w:w="822" w:type="dxa"/>
            <w:vAlign w:val="center"/>
            <w:textDirection w:val="lrTb"/>
            <w:noWrap w:val="false"/>
          </w:tcPr>
          <w:p>
            <w:pPr>
              <w:contextualSpacing/>
              <w:jc w:val="center"/>
              <w:spacing w:line="360" w:lineRule="auto"/>
              <w:rPr>
                <w:rFonts w:ascii="宋体" w:hAnsi="宋体"/>
                <w:highlight w:val="none"/>
              </w:rPr>
            </w:pPr>
            <w:r>
              <w:rPr>
                <w:rFonts w:hint="eastAsia" w:ascii="宋体" w:hAnsi="宋体"/>
                <w:highlight w:val="none"/>
              </w:rPr>
              <w:t xml:space="preserve">5</w:t>
            </w:r>
            <w:r/>
          </w:p>
        </w:tc>
      </w:tr>
      <w:tr>
        <w:trPr>
          <w:jc w:val="center"/>
          <w:trHeight w:val="132"/>
        </w:trPr>
        <w:tc>
          <w:tcPr>
            <w:tcW w:w="1418" w:type="dxa"/>
            <w:vAlign w:val="center"/>
            <w:vMerge w:val="continue"/>
            <w:textDirection w:val="lrTb"/>
            <w:noWrap w:val="false"/>
          </w:tcPr>
          <w:p>
            <w:pPr>
              <w:contextualSpacing/>
              <w:jc w:val="center"/>
              <w:spacing w:line="360" w:lineRule="auto"/>
              <w:rPr>
                <w:rFonts w:ascii="宋体" w:hAnsi="宋体"/>
                <w:b/>
                <w:highlight w:val="none"/>
              </w:rPr>
            </w:pPr>
            <w:r>
              <w:rPr>
                <w:rFonts w:ascii="宋体" w:hAnsi="宋体"/>
                <w:b/>
                <w:highlight w:val="none"/>
              </w:rPr>
            </w:r>
            <w:r/>
          </w:p>
        </w:tc>
        <w:tc>
          <w:tcPr>
            <w:tcW w:w="992" w:type="dxa"/>
            <w:vAlign w:val="center"/>
            <w:textDirection w:val="lrTb"/>
            <w:noWrap w:val="false"/>
          </w:tcPr>
          <w:p>
            <w:pPr>
              <w:contextualSpacing/>
              <w:spacing w:line="360" w:lineRule="auto"/>
              <w:rPr>
                <w:rFonts w:ascii="宋体" w:hAnsi="宋体"/>
                <w:highlight w:val="none"/>
              </w:rPr>
            </w:pPr>
            <w:r>
              <w:rPr>
                <w:rFonts w:hint="eastAsia" w:ascii="宋体" w:hAnsi="宋体"/>
                <w:highlight w:val="none"/>
              </w:rPr>
              <w:t xml:space="preserve">2.3</w:t>
            </w:r>
            <w:r/>
          </w:p>
        </w:tc>
        <w:tc>
          <w:tcPr>
            <w:tcW w:w="6124" w:type="dxa"/>
            <w:vAlign w:val="center"/>
            <w:textDirection w:val="lrTb"/>
            <w:noWrap w:val="false"/>
          </w:tcPr>
          <w:p>
            <w:pPr>
              <w:contextualSpacing/>
              <w:spacing w:line="360" w:lineRule="auto"/>
              <w:rPr>
                <w:rFonts w:hint="eastAsia" w:ascii="宋体" w:hAnsi="宋体"/>
                <w:color w:val="000000"/>
                <w:highlight w:val="none"/>
              </w:rPr>
            </w:pPr>
            <w:r>
              <w:rPr>
                <w:rFonts w:hint="eastAsia" w:ascii="宋体" w:hAnsi="宋体" w:cs="宋体"/>
                <w:b/>
                <w:bCs/>
                <w:highlight w:val="none"/>
              </w:rPr>
              <w:t xml:space="preserve">实施方案（5分）</w:t>
            </w:r>
            <w:r>
              <w:rPr>
                <w:rFonts w:hint="eastAsia" w:ascii="宋体" w:hAnsi="宋体"/>
                <w:color w:val="000000"/>
                <w:highlight w:val="none"/>
              </w:rPr>
              <w:t xml:space="preserve">投标人根据项目需求提供具体详实的实施方案。实施方案应包含但不限于实施进度计划、项目管理制度、工期和质量控制措施、测试验收等内容。</w:t>
            </w:r>
            <w:r/>
          </w:p>
          <w:p>
            <w:pPr>
              <w:contextualSpacing/>
              <w:spacing w:line="360" w:lineRule="auto"/>
              <w:rPr>
                <w:rFonts w:hint="eastAsia" w:ascii="宋体" w:hAnsi="宋体"/>
                <w:color w:val="000000"/>
                <w:highlight w:val="none"/>
              </w:rPr>
            </w:pPr>
            <w:r>
              <w:rPr>
                <w:rFonts w:hint="eastAsia" w:ascii="宋体" w:hAnsi="宋体"/>
                <w:color w:val="000000"/>
                <w:highlight w:val="none"/>
              </w:rPr>
              <w:t xml:space="preserve">（1）投标文件未符合“实施方案”中全部条款要求的，视为不符合招标文件要求，本项得0分。</w:t>
            </w:r>
            <w:r/>
          </w:p>
          <w:p>
            <w:pPr>
              <w:contextualSpacing/>
              <w:spacing w:line="360" w:lineRule="auto"/>
              <w:rPr>
                <w:rFonts w:hint="eastAsia" w:ascii="宋体" w:hAnsi="宋体"/>
                <w:color w:val="000000"/>
                <w:highlight w:val="none"/>
              </w:rPr>
            </w:pPr>
            <w:r>
              <w:rPr>
                <w:rFonts w:hint="eastAsia" w:ascii="宋体" w:hAnsi="宋体"/>
                <w:color w:val="000000"/>
                <w:highlight w:val="none"/>
              </w:rPr>
              <w:t xml:space="preserve">（2）投标文件符合“实施方案”中全部条款要求的，视为符合招标文件要求，本项得3分。</w:t>
            </w:r>
            <w:r/>
          </w:p>
          <w:p>
            <w:pPr>
              <w:contextualSpacing/>
              <w:spacing w:line="360" w:lineRule="auto"/>
              <w:rPr>
                <w:rFonts w:ascii="宋体" w:hAnsi="宋体" w:cs="宋体"/>
                <w:b/>
                <w:bCs/>
                <w:highlight w:val="none"/>
              </w:rPr>
            </w:pPr>
            <w:r>
              <w:rPr>
                <w:rFonts w:hint="eastAsia" w:ascii="宋体" w:hAnsi="宋体"/>
                <w:color w:val="000000"/>
                <w:highlight w:val="none"/>
              </w:rPr>
              <w:t xml:space="preserve">（3）投标文件对“实施方案”中“测试验收”一项要求的响应内容优于招标文件要求的（前提是投标文件对“实施方案”中除“测试验收”外其他要求响应内容符合招标文件要求），本项得5分。</w:t>
            </w:r>
            <w:r/>
          </w:p>
        </w:tc>
        <w:tc>
          <w:tcPr>
            <w:tcW w:w="822" w:type="dxa"/>
            <w:vAlign w:val="center"/>
            <w:textDirection w:val="lrTb"/>
            <w:noWrap w:val="false"/>
          </w:tcPr>
          <w:p>
            <w:pPr>
              <w:contextualSpacing/>
              <w:jc w:val="center"/>
              <w:spacing w:line="360" w:lineRule="auto"/>
              <w:rPr>
                <w:rFonts w:ascii="宋体" w:hAnsi="宋体"/>
                <w:highlight w:val="none"/>
              </w:rPr>
            </w:pPr>
            <w:r>
              <w:rPr>
                <w:rFonts w:hint="eastAsia" w:ascii="宋体" w:hAnsi="宋体"/>
                <w:highlight w:val="none"/>
              </w:rPr>
              <w:t xml:space="preserve">5</w:t>
            </w:r>
            <w:r/>
          </w:p>
        </w:tc>
      </w:tr>
      <w:tr>
        <w:trPr>
          <w:jc w:val="center"/>
          <w:trHeight w:val="126"/>
        </w:trPr>
        <w:tc>
          <w:tcPr>
            <w:tcW w:w="1418" w:type="dxa"/>
            <w:vAlign w:val="center"/>
            <w:vMerge w:val="continue"/>
            <w:textDirection w:val="lrTb"/>
            <w:noWrap w:val="false"/>
          </w:tcPr>
          <w:p>
            <w:pPr>
              <w:contextualSpacing/>
              <w:jc w:val="center"/>
              <w:spacing w:line="360" w:lineRule="auto"/>
              <w:rPr>
                <w:rFonts w:ascii="宋体" w:hAnsi="宋体"/>
                <w:b/>
                <w:highlight w:val="none"/>
              </w:rPr>
            </w:pPr>
            <w:r>
              <w:rPr>
                <w:rFonts w:ascii="宋体" w:hAnsi="宋体"/>
                <w:b/>
                <w:highlight w:val="none"/>
              </w:rPr>
            </w:r>
            <w:r/>
          </w:p>
        </w:tc>
        <w:tc>
          <w:tcPr>
            <w:tcW w:w="992" w:type="dxa"/>
            <w:vAlign w:val="center"/>
            <w:textDirection w:val="lrTb"/>
            <w:noWrap w:val="false"/>
          </w:tcPr>
          <w:p>
            <w:pPr>
              <w:contextualSpacing/>
              <w:spacing w:line="360" w:lineRule="auto"/>
              <w:rPr>
                <w:rFonts w:ascii="宋体" w:hAnsi="宋体"/>
                <w:highlight w:val="none"/>
              </w:rPr>
            </w:pPr>
            <w:r>
              <w:rPr>
                <w:rFonts w:hint="eastAsia" w:ascii="宋体" w:hAnsi="宋体"/>
                <w:highlight w:val="none"/>
              </w:rPr>
              <w:t xml:space="preserve">2.4</w:t>
            </w:r>
            <w:r/>
          </w:p>
        </w:tc>
        <w:tc>
          <w:tcPr>
            <w:tcW w:w="6124" w:type="dxa"/>
            <w:vAlign w:val="center"/>
            <w:textDirection w:val="lrTb"/>
            <w:noWrap w:val="false"/>
          </w:tcPr>
          <w:p>
            <w:pPr>
              <w:contextualSpacing/>
              <w:spacing w:line="360" w:lineRule="auto"/>
              <w:rPr>
                <w:rFonts w:hint="eastAsia" w:ascii="宋体" w:hAnsi="宋体" w:cs="宋体"/>
                <w:highlight w:val="none"/>
              </w:rPr>
            </w:pPr>
            <w:r>
              <w:rPr>
                <w:rFonts w:hint="eastAsia" w:ascii="宋体" w:hAnsi="宋体" w:cs="宋体"/>
                <w:b/>
                <w:bCs/>
                <w:highlight w:val="none"/>
              </w:rPr>
              <w:t xml:space="preserve">安全保障方案（5分）</w:t>
            </w:r>
            <w:r>
              <w:rPr>
                <w:rFonts w:hint="eastAsia" w:ascii="宋体" w:hAnsi="宋体" w:cs="宋体"/>
                <w:highlight w:val="none"/>
              </w:rPr>
              <w:t xml:space="preserve">投标人根据项目需求提供安全保障方案。安全保障方案</w:t>
            </w:r>
            <w:r>
              <w:rPr>
                <w:rFonts w:hint="eastAsia" w:ascii="宋体" w:hAnsi="宋体"/>
                <w:color w:val="000000"/>
                <w:highlight w:val="none"/>
              </w:rPr>
              <w:t xml:space="preserve">应包含但不限于网络安全防护、安全监控体系、安全事件应急预案、信息保密制度等</w:t>
            </w:r>
            <w:r>
              <w:rPr>
                <w:rFonts w:hint="eastAsia" w:ascii="宋体" w:hAnsi="宋体" w:cs="宋体"/>
                <w:highlight w:val="none"/>
              </w:rPr>
              <w:t xml:space="preserve">。</w:t>
            </w:r>
            <w:r/>
          </w:p>
          <w:p>
            <w:pPr>
              <w:contextualSpacing/>
              <w:spacing w:line="360" w:lineRule="auto"/>
              <w:rPr>
                <w:rFonts w:hint="eastAsia" w:ascii="宋体" w:hAnsi="宋体"/>
                <w:color w:val="000000"/>
                <w:highlight w:val="none"/>
              </w:rPr>
            </w:pPr>
            <w:r>
              <w:rPr>
                <w:rFonts w:hint="eastAsia" w:ascii="宋体" w:hAnsi="宋体"/>
                <w:color w:val="000000"/>
                <w:highlight w:val="none"/>
              </w:rPr>
              <w:t xml:space="preserve">（1）投标文件未符合“安全保障方案”中全部条款要求的，视为不符合招标文件要求，本项得0分。</w:t>
            </w:r>
            <w:r/>
          </w:p>
          <w:p>
            <w:pPr>
              <w:contextualSpacing/>
              <w:spacing w:line="360" w:lineRule="auto"/>
              <w:rPr>
                <w:rFonts w:hint="eastAsia" w:ascii="宋体" w:hAnsi="宋体"/>
                <w:color w:val="000000"/>
                <w:highlight w:val="none"/>
              </w:rPr>
            </w:pPr>
            <w:r>
              <w:rPr>
                <w:rFonts w:hint="eastAsia" w:ascii="宋体" w:hAnsi="宋体"/>
                <w:color w:val="000000"/>
                <w:highlight w:val="none"/>
              </w:rPr>
              <w:t xml:space="preserve">（2）投标文件符合“安全保障方案”中全部条款要求的，视为符合招标文件要求，本项得3分。</w:t>
            </w:r>
            <w:r/>
          </w:p>
          <w:p>
            <w:pPr>
              <w:contextualSpacing/>
              <w:spacing w:line="360" w:lineRule="auto"/>
              <w:rPr>
                <w:rFonts w:hint="eastAsia" w:ascii="宋体" w:hAnsi="宋体" w:cs="宋体"/>
                <w:highlight w:val="none"/>
              </w:rPr>
            </w:pPr>
            <w:r>
              <w:rPr>
                <w:rFonts w:hint="eastAsia" w:ascii="宋体" w:hAnsi="宋体"/>
                <w:color w:val="000000"/>
                <w:highlight w:val="none"/>
              </w:rPr>
              <w:t xml:space="preserve">（3）投标文件对“安全保障方案”中“网络安全防护”一项要求的响应内容优于招标文件要求的（前提是投标文件对“安全保障方案”中除“网络安全防护”外其他要求响应内容符合招标文件要求），本项得5分。</w:t>
            </w:r>
            <w:r/>
          </w:p>
        </w:tc>
        <w:tc>
          <w:tcPr>
            <w:tcW w:w="822" w:type="dxa"/>
            <w:vAlign w:val="center"/>
            <w:textDirection w:val="lrTb"/>
            <w:noWrap w:val="false"/>
          </w:tcPr>
          <w:p>
            <w:pPr>
              <w:contextualSpacing/>
              <w:jc w:val="center"/>
              <w:spacing w:line="360" w:lineRule="auto"/>
              <w:rPr>
                <w:rFonts w:ascii="宋体" w:hAnsi="宋体"/>
                <w:highlight w:val="none"/>
              </w:rPr>
            </w:pPr>
            <w:r>
              <w:rPr>
                <w:rFonts w:hint="eastAsia" w:ascii="宋体" w:hAnsi="宋体"/>
                <w:highlight w:val="none"/>
              </w:rPr>
              <w:t xml:space="preserve">5</w:t>
            </w:r>
            <w:r/>
          </w:p>
        </w:tc>
      </w:tr>
      <w:tr>
        <w:trPr>
          <w:jc w:val="center"/>
          <w:trHeight w:val="572"/>
        </w:trPr>
        <w:tc>
          <w:tcPr>
            <w:tcW w:w="1418" w:type="dxa"/>
            <w:vAlign w:val="center"/>
            <w:vMerge w:val="continue"/>
            <w:textDirection w:val="lrTb"/>
            <w:noWrap w:val="false"/>
          </w:tcPr>
          <w:p>
            <w:pPr>
              <w:contextualSpacing/>
              <w:jc w:val="center"/>
              <w:spacing w:line="360" w:lineRule="auto"/>
              <w:rPr>
                <w:rFonts w:ascii="宋体" w:hAnsi="宋体"/>
                <w:b/>
                <w:highlight w:val="none"/>
              </w:rPr>
            </w:pPr>
            <w:r>
              <w:rPr>
                <w:rFonts w:ascii="宋体" w:hAnsi="宋体"/>
                <w:b/>
                <w:highlight w:val="none"/>
              </w:rPr>
            </w:r>
            <w:r/>
          </w:p>
        </w:tc>
        <w:tc>
          <w:tcPr>
            <w:tcW w:w="992" w:type="dxa"/>
            <w:vAlign w:val="center"/>
            <w:textDirection w:val="lrTb"/>
            <w:noWrap w:val="false"/>
          </w:tcPr>
          <w:p>
            <w:pPr>
              <w:contextualSpacing/>
              <w:spacing w:line="360" w:lineRule="auto"/>
              <w:rPr>
                <w:rFonts w:ascii="宋体" w:hAnsi="宋体"/>
                <w:highlight w:val="none"/>
              </w:rPr>
            </w:pPr>
            <w:r>
              <w:rPr>
                <w:rFonts w:hint="eastAsia" w:ascii="宋体" w:hAnsi="宋体"/>
                <w:highlight w:val="none"/>
              </w:rPr>
              <w:t xml:space="preserve">2.5</w:t>
            </w:r>
            <w:r/>
          </w:p>
        </w:tc>
        <w:tc>
          <w:tcPr>
            <w:tcW w:w="6124" w:type="dxa"/>
            <w:vAlign w:val="center"/>
            <w:textDirection w:val="lrTb"/>
            <w:noWrap w:val="false"/>
          </w:tcPr>
          <w:p>
            <w:pPr>
              <w:contextualSpacing/>
              <w:spacing w:line="360" w:lineRule="auto"/>
              <w:rPr>
                <w:rFonts w:hint="eastAsia" w:ascii="宋体" w:hAnsi="宋体" w:cs="宋体"/>
                <w:highlight w:val="none"/>
              </w:rPr>
            </w:pPr>
            <w:r>
              <w:rPr>
                <w:rFonts w:hint="eastAsia" w:ascii="宋体" w:hAnsi="宋体" w:cs="宋体"/>
                <w:b/>
                <w:bCs/>
                <w:highlight w:val="none"/>
              </w:rPr>
              <w:t xml:space="preserve">交接方案（5分）</w:t>
            </w:r>
            <w:r>
              <w:rPr>
                <w:rFonts w:hint="eastAsia" w:ascii="宋体" w:hAnsi="宋体" w:cs="宋体"/>
                <w:highlight w:val="none"/>
              </w:rPr>
              <w:t xml:space="preserve">供应商应根据招标文件要求，提供具体详实的与南中心系统对接方案，包括但不限于对接难点、对接内容、对接计划、对接验证等。</w:t>
            </w:r>
            <w:r/>
          </w:p>
          <w:p>
            <w:pPr>
              <w:contextualSpacing/>
              <w:spacing w:line="360" w:lineRule="auto"/>
              <w:rPr>
                <w:rFonts w:hint="eastAsia" w:ascii="宋体" w:hAnsi="宋体"/>
                <w:color w:val="000000"/>
                <w:highlight w:val="none"/>
              </w:rPr>
            </w:pPr>
            <w:r>
              <w:rPr>
                <w:rFonts w:hint="eastAsia" w:ascii="宋体" w:hAnsi="宋体"/>
                <w:color w:val="000000"/>
                <w:highlight w:val="none"/>
              </w:rPr>
              <w:t xml:space="preserve">（1）投标文件未符合“交接方案”中全部条款要求的，视为不符合招标文件要求，本项得0分。</w:t>
            </w:r>
            <w:r/>
          </w:p>
          <w:p>
            <w:pPr>
              <w:contextualSpacing/>
              <w:spacing w:line="360" w:lineRule="auto"/>
              <w:rPr>
                <w:rFonts w:hint="eastAsia" w:ascii="宋体" w:hAnsi="宋体"/>
                <w:color w:val="000000"/>
                <w:highlight w:val="none"/>
              </w:rPr>
            </w:pPr>
            <w:r>
              <w:rPr>
                <w:rFonts w:hint="eastAsia" w:ascii="宋体" w:hAnsi="宋体"/>
                <w:color w:val="000000"/>
                <w:highlight w:val="none"/>
              </w:rPr>
              <w:t xml:space="preserve">（2）投标文件符合“交接方案”中全部条款要求的，视为符合招标文件要求，本项得3分。</w:t>
            </w:r>
            <w:r/>
          </w:p>
          <w:p>
            <w:pPr>
              <w:contextualSpacing/>
              <w:spacing w:line="360" w:lineRule="auto"/>
              <w:rPr>
                <w:rFonts w:hint="eastAsia" w:ascii="宋体" w:hAnsi="宋体" w:cs="宋体"/>
                <w:highlight w:val="none"/>
              </w:rPr>
            </w:pPr>
            <w:r>
              <w:rPr>
                <w:rFonts w:hint="eastAsia" w:ascii="宋体" w:hAnsi="宋体"/>
                <w:color w:val="000000"/>
                <w:highlight w:val="none"/>
              </w:rPr>
              <w:t xml:space="preserve">（3）投标文件对“交接方案”中“</w:t>
            </w:r>
            <w:r>
              <w:rPr>
                <w:rFonts w:hint="eastAsia" w:ascii="宋体" w:hAnsi="宋体" w:cs="宋体"/>
                <w:highlight w:val="none"/>
              </w:rPr>
              <w:t xml:space="preserve">对接难点</w:t>
            </w:r>
            <w:r>
              <w:rPr>
                <w:rFonts w:hint="eastAsia" w:ascii="宋体" w:hAnsi="宋体"/>
                <w:color w:val="000000"/>
                <w:highlight w:val="none"/>
              </w:rPr>
              <w:t xml:space="preserve">”“</w:t>
            </w:r>
            <w:r>
              <w:rPr>
                <w:rFonts w:hint="eastAsia" w:ascii="宋体" w:hAnsi="宋体" w:cs="宋体"/>
                <w:highlight w:val="none"/>
              </w:rPr>
              <w:t xml:space="preserve">对接验证</w:t>
            </w:r>
            <w:r>
              <w:rPr>
                <w:rFonts w:hint="eastAsia" w:ascii="宋体" w:hAnsi="宋体"/>
                <w:color w:val="000000"/>
                <w:highlight w:val="none"/>
              </w:rPr>
              <w:t xml:space="preserve">”两项要求的响应内容优于招标文件要求的（前提是投标文件对“交接方案”中除“</w:t>
            </w:r>
            <w:r>
              <w:rPr>
                <w:rFonts w:hint="eastAsia" w:ascii="宋体" w:hAnsi="宋体" w:cs="宋体"/>
                <w:highlight w:val="none"/>
              </w:rPr>
              <w:t xml:space="preserve">对接难点</w:t>
            </w:r>
            <w:r>
              <w:rPr>
                <w:rFonts w:hint="eastAsia" w:ascii="宋体" w:hAnsi="宋体"/>
                <w:color w:val="000000"/>
                <w:highlight w:val="none"/>
              </w:rPr>
              <w:t xml:space="preserve">”“</w:t>
            </w:r>
            <w:r>
              <w:rPr>
                <w:rFonts w:hint="eastAsia" w:ascii="宋体" w:hAnsi="宋体" w:cs="宋体"/>
                <w:highlight w:val="none"/>
              </w:rPr>
              <w:t xml:space="preserve">对接验证</w:t>
            </w:r>
            <w:r>
              <w:rPr>
                <w:rFonts w:hint="eastAsia" w:ascii="宋体" w:hAnsi="宋体"/>
                <w:color w:val="000000"/>
                <w:highlight w:val="none"/>
              </w:rPr>
              <w:t xml:space="preserve">”外其他要求响应内容符合招标文件要求），本项得5分。</w:t>
            </w:r>
            <w:r/>
          </w:p>
        </w:tc>
        <w:tc>
          <w:tcPr>
            <w:tcW w:w="822" w:type="dxa"/>
            <w:vAlign w:val="center"/>
            <w:textDirection w:val="lrTb"/>
            <w:noWrap w:val="false"/>
          </w:tcPr>
          <w:p>
            <w:pPr>
              <w:contextualSpacing/>
              <w:jc w:val="center"/>
              <w:spacing w:line="360" w:lineRule="auto"/>
              <w:rPr>
                <w:rFonts w:ascii="宋体" w:hAnsi="宋体"/>
                <w:highlight w:val="none"/>
              </w:rPr>
            </w:pPr>
            <w:r>
              <w:rPr>
                <w:rFonts w:hint="eastAsia" w:ascii="宋体" w:hAnsi="宋体"/>
                <w:highlight w:val="none"/>
              </w:rPr>
              <w:t xml:space="preserve">5</w:t>
            </w:r>
            <w:r/>
          </w:p>
        </w:tc>
      </w:tr>
      <w:tr>
        <w:trPr>
          <w:jc w:val="center"/>
          <w:trHeight w:val="274"/>
        </w:trPr>
        <w:tc>
          <w:tcPr>
            <w:tcW w:w="1418" w:type="dxa"/>
            <w:vAlign w:val="center"/>
            <w:vMerge w:val="restart"/>
            <w:textDirection w:val="lrTb"/>
            <w:noWrap w:val="false"/>
          </w:tcPr>
          <w:p>
            <w:pPr>
              <w:contextualSpacing/>
              <w:jc w:val="center"/>
              <w:spacing w:line="360" w:lineRule="auto"/>
              <w:rPr>
                <w:rFonts w:ascii="宋体" w:hAnsi="宋体"/>
                <w:b/>
                <w:bCs/>
                <w:highlight w:val="none"/>
              </w:rPr>
            </w:pPr>
            <w:r>
              <w:rPr>
                <w:rFonts w:hint="eastAsia" w:ascii="宋体" w:hAnsi="宋体"/>
                <w:b/>
                <w:bCs/>
                <w:highlight w:val="none"/>
              </w:rPr>
              <w:t xml:space="preserve">（三）</w:t>
            </w:r>
            <w:r/>
          </w:p>
          <w:p>
            <w:pPr>
              <w:contextualSpacing/>
              <w:jc w:val="center"/>
              <w:spacing w:line="360" w:lineRule="auto"/>
              <w:rPr>
                <w:rFonts w:ascii="宋体" w:hAnsi="宋体"/>
                <w:b/>
                <w:bCs/>
                <w:highlight w:val="none"/>
              </w:rPr>
            </w:pPr>
            <w:r>
              <w:rPr>
                <w:rFonts w:hint="eastAsia" w:ascii="宋体" w:hAnsi="宋体"/>
                <w:b/>
                <w:bCs/>
                <w:highlight w:val="none"/>
              </w:rPr>
              <w:t xml:space="preserve">售后服务方案</w:t>
            </w:r>
            <w:r/>
          </w:p>
          <w:p>
            <w:pPr>
              <w:contextualSpacing/>
              <w:jc w:val="center"/>
              <w:spacing w:line="360" w:lineRule="auto"/>
              <w:rPr>
                <w:rFonts w:ascii="宋体" w:hAnsi="宋体"/>
                <w:b/>
                <w:bCs/>
                <w:highlight w:val="none"/>
              </w:rPr>
            </w:pPr>
            <w:r>
              <w:rPr>
                <w:rFonts w:ascii="宋体" w:hAnsi="宋体"/>
                <w:b/>
                <w:bCs/>
                <w:highlight w:val="none"/>
              </w:rPr>
              <w:t xml:space="preserve">10</w:t>
            </w:r>
            <w:r>
              <w:rPr>
                <w:rFonts w:hint="eastAsia" w:ascii="宋体" w:hAnsi="宋体"/>
                <w:b/>
                <w:bCs/>
                <w:highlight w:val="none"/>
              </w:rPr>
              <w:t xml:space="preserve">分</w:t>
            </w:r>
            <w:r/>
          </w:p>
        </w:tc>
        <w:tc>
          <w:tcPr>
            <w:tcW w:w="992" w:type="dxa"/>
            <w:vAlign w:val="center"/>
            <w:textDirection w:val="lrTb"/>
            <w:noWrap w:val="false"/>
          </w:tcPr>
          <w:p>
            <w:pPr>
              <w:contextualSpacing/>
              <w:spacing w:line="360" w:lineRule="auto"/>
              <w:rPr>
                <w:rFonts w:ascii="宋体" w:hAnsi="宋体"/>
                <w:highlight w:val="none"/>
              </w:rPr>
            </w:pPr>
            <w:r>
              <w:rPr>
                <w:rFonts w:hint="eastAsia" w:ascii="宋体" w:hAnsi="宋体"/>
                <w:highlight w:val="none"/>
              </w:rPr>
              <w:t xml:space="preserve">3.1</w:t>
            </w:r>
            <w:r/>
          </w:p>
        </w:tc>
        <w:tc>
          <w:tcPr>
            <w:tcW w:w="6124" w:type="dxa"/>
            <w:vAlign w:val="center"/>
            <w:textDirection w:val="lrTb"/>
            <w:noWrap w:val="false"/>
          </w:tcPr>
          <w:p>
            <w:pPr>
              <w:contextualSpacing/>
              <w:spacing w:line="360" w:lineRule="auto"/>
              <w:rPr>
                <w:rFonts w:hint="eastAsia" w:ascii="宋体" w:hAnsi="宋体"/>
                <w:color w:val="000000"/>
                <w:highlight w:val="none"/>
              </w:rPr>
            </w:pPr>
            <w:r>
              <w:rPr>
                <w:rFonts w:hint="eastAsia" w:ascii="宋体" w:hAnsi="宋体"/>
                <w:b/>
                <w:bCs/>
                <w:highlight w:val="none"/>
              </w:rPr>
              <w:t xml:space="preserve">售后服务方案（5分）</w:t>
            </w:r>
            <w:r>
              <w:rPr>
                <w:rFonts w:hint="eastAsia" w:ascii="宋体" w:hAnsi="宋体"/>
                <w:highlight w:val="none"/>
              </w:rPr>
              <w:t xml:space="preserve">投标人提供维护服务保障体系和完整合理的售后服务方案，售后服务方案中需包含服务机构、服务内容、响应时间、故障处理、恢复时效、支撑保障内容；对照招标需求，</w:t>
            </w:r>
            <w:r>
              <w:rPr>
                <w:rFonts w:hint="eastAsia" w:ascii="宋体" w:hAnsi="宋体"/>
                <w:color w:val="000000"/>
                <w:highlight w:val="none"/>
              </w:rPr>
              <w:t xml:space="preserve">（1）投标文件未符合“售后服务方案”中全部条款要求的，视为不符合招标文件要求，本项得0分。</w:t>
            </w:r>
            <w:r/>
          </w:p>
          <w:p>
            <w:pPr>
              <w:contextualSpacing/>
              <w:spacing w:line="360" w:lineRule="auto"/>
              <w:rPr>
                <w:rFonts w:hint="eastAsia" w:ascii="宋体" w:hAnsi="宋体"/>
                <w:color w:val="000000"/>
                <w:highlight w:val="none"/>
              </w:rPr>
            </w:pPr>
            <w:r>
              <w:rPr>
                <w:rFonts w:hint="eastAsia" w:ascii="宋体" w:hAnsi="宋体"/>
                <w:color w:val="000000"/>
                <w:highlight w:val="none"/>
              </w:rPr>
              <w:t xml:space="preserve">（2）投标文件符合“售后服务方案”中全部条款要求的，视为符合招标文件要求，本项得3分。</w:t>
            </w:r>
            <w:r/>
          </w:p>
          <w:p>
            <w:pPr>
              <w:contextualSpacing/>
              <w:spacing w:line="360" w:lineRule="auto"/>
              <w:rPr>
                <w:rFonts w:ascii="宋体" w:hAnsi="宋体"/>
                <w:highlight w:val="none"/>
              </w:rPr>
            </w:pPr>
            <w:r>
              <w:rPr>
                <w:rFonts w:hint="eastAsia" w:ascii="宋体" w:hAnsi="宋体"/>
                <w:color w:val="000000"/>
                <w:highlight w:val="none"/>
              </w:rPr>
              <w:t xml:space="preserve">（3）投标文件对“售后服务方案”中“</w:t>
            </w:r>
            <w:r>
              <w:rPr>
                <w:rFonts w:hint="eastAsia" w:ascii="宋体" w:hAnsi="宋体"/>
                <w:highlight w:val="none"/>
              </w:rPr>
              <w:t xml:space="preserve">服务内容</w:t>
            </w:r>
            <w:r>
              <w:rPr>
                <w:rFonts w:hint="eastAsia" w:ascii="宋体" w:hAnsi="宋体"/>
                <w:color w:val="000000"/>
                <w:highlight w:val="none"/>
              </w:rPr>
              <w:t xml:space="preserve">”一项要求的响应内容优于招标文件要求的（前提是投标文件对“售后服务方案”中除“</w:t>
            </w:r>
            <w:r>
              <w:rPr>
                <w:rFonts w:hint="eastAsia" w:ascii="宋体" w:hAnsi="宋体"/>
                <w:highlight w:val="none"/>
              </w:rPr>
              <w:t xml:space="preserve">服务内容</w:t>
            </w:r>
            <w:r>
              <w:rPr>
                <w:rFonts w:hint="eastAsia" w:ascii="宋体" w:hAnsi="宋体"/>
                <w:color w:val="000000"/>
                <w:highlight w:val="none"/>
              </w:rPr>
              <w:t xml:space="preserve">”外其他要求响应内容符合招标文件要求），本项得5分。</w:t>
            </w:r>
            <w:r/>
          </w:p>
        </w:tc>
        <w:tc>
          <w:tcPr>
            <w:tcW w:w="822" w:type="dxa"/>
            <w:vAlign w:val="center"/>
            <w:textDirection w:val="lrTb"/>
            <w:noWrap w:val="false"/>
          </w:tcPr>
          <w:p>
            <w:pPr>
              <w:contextualSpacing/>
              <w:jc w:val="center"/>
              <w:spacing w:line="360" w:lineRule="auto"/>
              <w:rPr>
                <w:rFonts w:ascii="宋体" w:hAnsi="宋体"/>
                <w:highlight w:val="none"/>
              </w:rPr>
            </w:pPr>
            <w:r>
              <w:rPr>
                <w:rFonts w:hint="eastAsia" w:ascii="宋体" w:hAnsi="宋体"/>
                <w:highlight w:val="none"/>
              </w:rPr>
              <w:t xml:space="preserve">5</w:t>
            </w:r>
            <w:r/>
          </w:p>
        </w:tc>
      </w:tr>
      <w:tr>
        <w:trPr>
          <w:jc w:val="center"/>
          <w:trHeight w:val="274"/>
        </w:trPr>
        <w:tc>
          <w:tcPr>
            <w:tcW w:w="1418" w:type="dxa"/>
            <w:vAlign w:val="center"/>
            <w:vMerge w:val="continue"/>
            <w:textDirection w:val="lrTb"/>
            <w:noWrap w:val="false"/>
          </w:tcPr>
          <w:p>
            <w:pPr>
              <w:contextualSpacing/>
              <w:jc w:val="center"/>
              <w:spacing w:line="360" w:lineRule="auto"/>
              <w:rPr>
                <w:rFonts w:ascii="宋体" w:hAnsi="宋体"/>
                <w:b/>
                <w:bCs/>
                <w:highlight w:val="none"/>
              </w:rPr>
            </w:pPr>
            <w:r>
              <w:rPr>
                <w:rFonts w:ascii="宋体" w:hAnsi="宋体"/>
                <w:b/>
                <w:bCs/>
                <w:highlight w:val="none"/>
              </w:rPr>
            </w:r>
            <w:r/>
          </w:p>
        </w:tc>
        <w:tc>
          <w:tcPr>
            <w:tcW w:w="992" w:type="dxa"/>
            <w:vAlign w:val="center"/>
            <w:textDirection w:val="lrTb"/>
            <w:noWrap w:val="false"/>
          </w:tcPr>
          <w:p>
            <w:pPr>
              <w:contextualSpacing/>
              <w:spacing w:line="360" w:lineRule="auto"/>
              <w:rPr>
                <w:rFonts w:ascii="宋体" w:hAnsi="宋体"/>
                <w:highlight w:val="none"/>
              </w:rPr>
            </w:pPr>
            <w:r>
              <w:rPr>
                <w:rFonts w:hint="eastAsia" w:ascii="宋体" w:hAnsi="宋体"/>
                <w:highlight w:val="none"/>
              </w:rPr>
              <w:t xml:space="preserve">3.2</w:t>
            </w:r>
            <w:r/>
          </w:p>
        </w:tc>
        <w:tc>
          <w:tcPr>
            <w:tcW w:w="6124" w:type="dxa"/>
            <w:vAlign w:val="center"/>
            <w:textDirection w:val="lrTb"/>
            <w:noWrap w:val="false"/>
          </w:tcPr>
          <w:p>
            <w:pPr>
              <w:contextualSpacing/>
              <w:spacing w:line="360" w:lineRule="auto"/>
              <w:rPr>
                <w:rFonts w:hint="eastAsia" w:ascii="宋体" w:hAnsi="宋体" w:cs="宋体"/>
                <w:highlight w:val="none"/>
              </w:rPr>
            </w:pPr>
            <w:r>
              <w:rPr>
                <w:rFonts w:hint="eastAsia" w:ascii="宋体" w:hAnsi="宋体" w:cs="宋体"/>
                <w:b/>
                <w:bCs/>
                <w:highlight w:val="none"/>
              </w:rPr>
              <w:t xml:space="preserve">驻场运维方案（5分）</w:t>
            </w:r>
            <w:r>
              <w:rPr>
                <w:rFonts w:hint="eastAsia" w:ascii="宋体" w:hAnsi="宋体" w:cs="宋体"/>
                <w:highlight w:val="none"/>
              </w:rPr>
              <w:t xml:space="preserve">投标人根据项目需求提供</w:t>
            </w:r>
            <w:r>
              <w:rPr>
                <w:rFonts w:hint="eastAsia" w:ascii="宋体" w:hAnsi="宋体"/>
                <w:color w:val="000000"/>
                <w:highlight w:val="none"/>
              </w:rPr>
              <w:t xml:space="preserve">具体详实的</w:t>
            </w:r>
            <w:r>
              <w:rPr>
                <w:rFonts w:hint="eastAsia" w:ascii="宋体" w:hAnsi="宋体" w:cs="宋体"/>
                <w:highlight w:val="none"/>
              </w:rPr>
              <w:t xml:space="preserve">驻场服务方案。驻场服务方案</w:t>
            </w:r>
            <w:r>
              <w:rPr>
                <w:rFonts w:hint="eastAsia" w:ascii="宋体" w:hAnsi="宋体"/>
                <w:color w:val="000000"/>
                <w:highlight w:val="none"/>
              </w:rPr>
              <w:t xml:space="preserve">应包含但不限于</w:t>
            </w:r>
            <w:r>
              <w:rPr>
                <w:rFonts w:hint="eastAsia" w:ascii="宋体" w:hAnsi="宋体" w:cs="宋体"/>
                <w:highlight w:val="none"/>
              </w:rPr>
              <w:t xml:space="preserve">线路日常管理、巡检维护、安全事件分析及处理等内容。</w:t>
            </w:r>
            <w:r/>
          </w:p>
          <w:p>
            <w:pPr>
              <w:contextualSpacing/>
              <w:spacing w:line="360" w:lineRule="auto"/>
              <w:rPr>
                <w:rFonts w:hint="eastAsia" w:ascii="宋体" w:hAnsi="宋体"/>
                <w:color w:val="000000"/>
                <w:highlight w:val="none"/>
              </w:rPr>
            </w:pPr>
            <w:r>
              <w:rPr>
                <w:rFonts w:hint="eastAsia" w:ascii="宋体" w:hAnsi="宋体"/>
                <w:color w:val="000000"/>
                <w:highlight w:val="none"/>
              </w:rPr>
              <w:t xml:space="preserve">（1）投标文件未符合“驻场运维方案”中全部条款要求的，视为不符合招标文件要求，本项得0分。</w:t>
            </w:r>
            <w:r/>
          </w:p>
          <w:p>
            <w:pPr>
              <w:contextualSpacing/>
              <w:spacing w:line="360" w:lineRule="auto"/>
              <w:rPr>
                <w:rFonts w:hint="eastAsia" w:ascii="宋体" w:hAnsi="宋体"/>
                <w:color w:val="000000"/>
                <w:highlight w:val="none"/>
              </w:rPr>
            </w:pPr>
            <w:r>
              <w:rPr>
                <w:rFonts w:hint="eastAsia" w:ascii="宋体" w:hAnsi="宋体"/>
                <w:color w:val="000000"/>
                <w:highlight w:val="none"/>
              </w:rPr>
              <w:t xml:space="preserve">（2）投标文件符合“驻场运维方案”中全部条款要求的，视为符合招标文件要求，本项得3分。</w:t>
            </w:r>
            <w:r/>
          </w:p>
          <w:p>
            <w:pPr>
              <w:contextualSpacing/>
              <w:spacing w:line="360" w:lineRule="auto"/>
              <w:rPr>
                <w:rFonts w:ascii="宋体" w:hAnsi="宋体"/>
                <w:b/>
                <w:bCs/>
                <w:highlight w:val="none"/>
              </w:rPr>
            </w:pPr>
            <w:r>
              <w:rPr>
                <w:rFonts w:hint="eastAsia" w:ascii="宋体" w:hAnsi="宋体"/>
                <w:color w:val="000000"/>
                <w:highlight w:val="none"/>
              </w:rPr>
              <w:t xml:space="preserve">（3）投标文件对“驻场运维方案”中“</w:t>
            </w:r>
            <w:r>
              <w:rPr>
                <w:rFonts w:hint="eastAsia" w:ascii="宋体" w:hAnsi="宋体" w:cs="宋体"/>
                <w:highlight w:val="none"/>
              </w:rPr>
              <w:t xml:space="preserve">巡检维护</w:t>
            </w:r>
            <w:r>
              <w:rPr>
                <w:rFonts w:hint="eastAsia" w:ascii="宋体" w:hAnsi="宋体"/>
                <w:color w:val="000000"/>
                <w:highlight w:val="none"/>
              </w:rPr>
              <w:t xml:space="preserve">”一项要求的响应内容优于招标文件要求的（前提是投标文件对“驻场运维方案”中除“</w:t>
            </w:r>
            <w:r>
              <w:rPr>
                <w:rFonts w:hint="eastAsia" w:ascii="宋体" w:hAnsi="宋体" w:cs="宋体"/>
                <w:highlight w:val="none"/>
              </w:rPr>
              <w:t xml:space="preserve">巡检维护</w:t>
            </w:r>
            <w:r>
              <w:rPr>
                <w:rFonts w:hint="eastAsia" w:ascii="宋体" w:hAnsi="宋体"/>
                <w:color w:val="000000"/>
                <w:highlight w:val="none"/>
              </w:rPr>
              <w:t xml:space="preserve">”外其他要求响应内容符合招标文件要求），本项得5分。</w:t>
            </w:r>
            <w:r/>
          </w:p>
        </w:tc>
        <w:tc>
          <w:tcPr>
            <w:tcW w:w="822" w:type="dxa"/>
            <w:vAlign w:val="center"/>
            <w:textDirection w:val="lrTb"/>
            <w:noWrap w:val="false"/>
          </w:tcPr>
          <w:p>
            <w:pPr>
              <w:contextualSpacing/>
              <w:jc w:val="center"/>
              <w:spacing w:line="360" w:lineRule="auto"/>
              <w:rPr>
                <w:rFonts w:ascii="宋体" w:hAnsi="宋体"/>
                <w:highlight w:val="none"/>
              </w:rPr>
            </w:pPr>
            <w:r>
              <w:rPr>
                <w:rFonts w:hint="eastAsia" w:ascii="宋体" w:hAnsi="宋体"/>
                <w:highlight w:val="none"/>
              </w:rPr>
              <w:t xml:space="preserve">5</w:t>
            </w:r>
            <w:r/>
          </w:p>
        </w:tc>
      </w:tr>
      <w:tr>
        <w:trPr>
          <w:jc w:val="center"/>
          <w:trHeight w:val="992"/>
        </w:trPr>
        <w:tc>
          <w:tcPr>
            <w:tcW w:w="1418" w:type="dxa"/>
            <w:vAlign w:val="center"/>
            <w:vMerge w:val="restart"/>
            <w:textDirection w:val="lrTb"/>
            <w:noWrap w:val="false"/>
          </w:tcPr>
          <w:p>
            <w:pPr>
              <w:contextualSpacing/>
              <w:jc w:val="center"/>
              <w:spacing w:line="360" w:lineRule="auto"/>
              <w:tabs>
                <w:tab w:val="left" w:pos="567" w:leader="none"/>
              </w:tabs>
              <w:rPr>
                <w:rFonts w:ascii="宋体" w:hAnsi="宋体"/>
                <w:b/>
                <w:highlight w:val="none"/>
              </w:rPr>
            </w:pPr>
            <w:r>
              <w:rPr>
                <w:rFonts w:hint="eastAsia" w:ascii="宋体" w:hAnsi="宋体"/>
                <w:b/>
                <w:highlight w:val="none"/>
              </w:rPr>
              <w:t xml:space="preserve">（四）</w:t>
            </w:r>
            <w:r/>
          </w:p>
          <w:p>
            <w:pPr>
              <w:contextualSpacing/>
              <w:jc w:val="center"/>
              <w:spacing w:line="360" w:lineRule="auto"/>
              <w:tabs>
                <w:tab w:val="left" w:pos="567" w:leader="none"/>
              </w:tabs>
              <w:rPr>
                <w:rFonts w:ascii="宋体" w:hAnsi="宋体"/>
                <w:b/>
                <w:bCs/>
                <w:color w:val="000000"/>
                <w:highlight w:val="none"/>
              </w:rPr>
            </w:pPr>
            <w:r>
              <w:rPr>
                <w:rFonts w:hint="eastAsia" w:ascii="宋体" w:hAnsi="宋体"/>
                <w:b/>
                <w:bCs/>
                <w:color w:val="000000"/>
                <w:highlight w:val="none"/>
              </w:rPr>
              <w:t xml:space="preserve">履约能力及经验</w:t>
            </w:r>
            <w:r>
              <w:rPr>
                <w:rFonts w:ascii="宋体" w:hAnsi="宋体"/>
                <w:b/>
                <w:bCs/>
                <w:color w:val="000000"/>
                <w:highlight w:val="none"/>
              </w:rPr>
              <w:t xml:space="preserve">要求</w:t>
            </w:r>
            <w:r/>
          </w:p>
          <w:p>
            <w:pPr>
              <w:contextualSpacing/>
              <w:jc w:val="center"/>
              <w:spacing w:line="360" w:lineRule="auto"/>
              <w:tabs>
                <w:tab w:val="left" w:pos="567" w:leader="none"/>
              </w:tabs>
              <w:rPr>
                <w:rFonts w:ascii="宋体" w:hAnsi="宋体"/>
                <w:b/>
                <w:highlight w:val="none"/>
              </w:rPr>
            </w:pPr>
            <w:r>
              <w:rPr>
                <w:rFonts w:hint="eastAsia" w:ascii="宋体" w:hAnsi="宋体"/>
                <w:b/>
                <w:highlight w:val="none"/>
              </w:rPr>
              <w:t xml:space="preserve">31分</w:t>
            </w:r>
            <w:r/>
          </w:p>
        </w:tc>
        <w:tc>
          <w:tcPr>
            <w:tcW w:w="992" w:type="dxa"/>
            <w:vAlign w:val="center"/>
            <w:textDirection w:val="lrTb"/>
            <w:noWrap w:val="false"/>
          </w:tcPr>
          <w:p>
            <w:pPr>
              <w:contextualSpacing/>
              <w:spacing w:line="360" w:lineRule="auto"/>
              <w:rPr>
                <w:rFonts w:ascii="宋体" w:hAnsi="宋体"/>
                <w:highlight w:val="none"/>
              </w:rPr>
            </w:pPr>
            <w:r>
              <w:rPr>
                <w:rFonts w:hint="eastAsia" w:ascii="宋体" w:hAnsi="宋体"/>
                <w:highlight w:val="none"/>
              </w:rPr>
              <w:t xml:space="preserve">4.1</w:t>
            </w:r>
            <w:r/>
          </w:p>
        </w:tc>
        <w:tc>
          <w:tcPr>
            <w:tcW w:w="6124" w:type="dxa"/>
            <w:vAlign w:val="center"/>
            <w:textDirection w:val="lrTb"/>
            <w:noWrap w:val="false"/>
          </w:tcPr>
          <w:p>
            <w:pPr>
              <w:contextualSpacing/>
              <w:spacing w:line="360" w:lineRule="auto"/>
              <w:rPr>
                <w:rFonts w:ascii="宋体" w:hAnsi="宋体"/>
                <w:highlight w:val="none"/>
              </w:rPr>
            </w:pPr>
            <w:r>
              <w:rPr>
                <w:rFonts w:hint="eastAsia" w:ascii="宋体" w:hAnsi="宋体" w:cs="宋体"/>
                <w:b/>
                <w:bCs/>
                <w:highlight w:val="none"/>
              </w:rPr>
              <w:t xml:space="preserve">对接承诺（3分）</w:t>
            </w:r>
            <w:r>
              <w:rPr>
                <w:rFonts w:hint="eastAsia" w:ascii="宋体" w:hAnsi="宋体" w:cs="宋体"/>
                <w:highlight w:val="none"/>
              </w:rPr>
              <w:t xml:space="preserve">供应商针对与南中心对接并实现网络PING测通的时限进行承诺，承诺在合同签订</w:t>
            </w:r>
            <w:r>
              <w:rPr>
                <w:rFonts w:ascii="宋体" w:hAnsi="宋体" w:cs="宋体"/>
                <w:highlight w:val="none"/>
              </w:rPr>
              <w:t xml:space="preserve">之日起，</w:t>
            </w:r>
            <w:r>
              <w:rPr>
                <w:rFonts w:hint="eastAsia" w:ascii="宋体" w:hAnsi="宋体" w:cs="宋体"/>
                <w:highlight w:val="none"/>
              </w:rPr>
              <w:t xml:space="preserve">24小时内完成的得3分，承诺在48小时内完成的得1分，其余不得分。提供承诺函，并加盖公章。</w:t>
            </w:r>
            <w:r/>
          </w:p>
        </w:tc>
        <w:tc>
          <w:tcPr>
            <w:tcW w:w="822" w:type="dxa"/>
            <w:vAlign w:val="center"/>
            <w:textDirection w:val="lrTb"/>
            <w:noWrap w:val="false"/>
          </w:tcPr>
          <w:p>
            <w:pPr>
              <w:contextualSpacing/>
              <w:jc w:val="center"/>
              <w:spacing w:line="360" w:lineRule="auto"/>
              <w:rPr>
                <w:rFonts w:ascii="宋体" w:hAnsi="宋体"/>
                <w:highlight w:val="none"/>
              </w:rPr>
            </w:pPr>
            <w:r>
              <w:rPr>
                <w:rFonts w:hint="eastAsia" w:ascii="宋体" w:hAnsi="宋体"/>
                <w:highlight w:val="none"/>
              </w:rPr>
              <w:t xml:space="preserve">3</w:t>
            </w:r>
            <w:r/>
          </w:p>
        </w:tc>
      </w:tr>
      <w:tr>
        <w:trPr>
          <w:jc w:val="center"/>
          <w:trHeight w:val="992"/>
        </w:trPr>
        <w:tc>
          <w:tcPr>
            <w:tcW w:w="1418" w:type="dxa"/>
            <w:vAlign w:val="center"/>
            <w:vMerge w:val="continue"/>
            <w:textDirection w:val="lrTb"/>
            <w:noWrap w:val="false"/>
          </w:tcPr>
          <w:p>
            <w:pPr>
              <w:contextualSpacing/>
              <w:jc w:val="center"/>
              <w:spacing w:line="360" w:lineRule="auto"/>
              <w:tabs>
                <w:tab w:val="left" w:pos="567" w:leader="none"/>
              </w:tabs>
              <w:rPr>
                <w:rFonts w:ascii="宋体" w:hAnsi="宋体"/>
                <w:b/>
                <w:highlight w:val="none"/>
              </w:rPr>
            </w:pPr>
            <w:r>
              <w:rPr>
                <w:rFonts w:ascii="宋体" w:hAnsi="宋体"/>
                <w:b/>
                <w:highlight w:val="none"/>
              </w:rPr>
            </w:r>
            <w:r/>
          </w:p>
        </w:tc>
        <w:tc>
          <w:tcPr>
            <w:tcW w:w="992" w:type="dxa"/>
            <w:vAlign w:val="center"/>
            <w:textDirection w:val="lrTb"/>
            <w:noWrap w:val="false"/>
          </w:tcPr>
          <w:p>
            <w:pPr>
              <w:contextualSpacing/>
              <w:spacing w:line="360" w:lineRule="auto"/>
              <w:rPr>
                <w:rFonts w:ascii="宋体" w:hAnsi="宋体"/>
                <w:highlight w:val="none"/>
              </w:rPr>
            </w:pPr>
            <w:r>
              <w:rPr>
                <w:rFonts w:hint="eastAsia" w:ascii="宋体" w:hAnsi="宋体"/>
                <w:highlight w:val="none"/>
              </w:rPr>
              <w:t xml:space="preserve">4.2</w:t>
            </w:r>
            <w:r/>
          </w:p>
        </w:tc>
        <w:tc>
          <w:tcPr>
            <w:tcW w:w="6124" w:type="dxa"/>
            <w:vAlign w:val="center"/>
            <w:textDirection w:val="lrTb"/>
            <w:noWrap w:val="false"/>
          </w:tcPr>
          <w:p>
            <w:pPr>
              <w:contextualSpacing/>
              <w:spacing w:line="360" w:lineRule="auto"/>
              <w:rPr>
                <w:rFonts w:ascii="宋体" w:hAnsi="宋体" w:cs="宋体"/>
                <w:highlight w:val="none"/>
              </w:rPr>
            </w:pPr>
            <w:r>
              <w:rPr>
                <w:rFonts w:hint="eastAsia" w:ascii="宋体" w:hAnsi="宋体"/>
                <w:b/>
                <w:highlight w:val="none"/>
              </w:rPr>
              <w:t xml:space="preserve">企业资质（1分）</w:t>
            </w:r>
            <w:r>
              <w:rPr>
                <w:rFonts w:hint="eastAsia" w:ascii="宋体" w:hAnsi="宋体"/>
                <w:bCs/>
                <w:highlight w:val="none"/>
              </w:rPr>
              <w:t xml:space="preserve">投标人具备有效期内的ISO9001质量管理体系认证</w:t>
            </w:r>
            <w:r>
              <w:rPr>
                <w:rFonts w:hint="eastAsia" w:ascii="宋体" w:hAnsi="宋体" w:cs="宋体"/>
                <w:highlight w:val="none"/>
              </w:rPr>
              <w:t xml:space="preserve">证书</w:t>
            </w:r>
            <w:r>
              <w:rPr>
                <w:rFonts w:hint="eastAsia" w:ascii="宋体" w:hAnsi="宋体"/>
                <w:bCs/>
                <w:highlight w:val="none"/>
              </w:rPr>
              <w:t xml:space="preserve">的，得1分，满分1分。（提供证书复印件并加盖投标人公章）</w:t>
            </w:r>
            <w:r/>
          </w:p>
        </w:tc>
        <w:tc>
          <w:tcPr>
            <w:tcW w:w="822" w:type="dxa"/>
            <w:vAlign w:val="center"/>
            <w:textDirection w:val="lrTb"/>
            <w:noWrap w:val="false"/>
          </w:tcPr>
          <w:p>
            <w:pPr>
              <w:contextualSpacing/>
              <w:jc w:val="center"/>
              <w:spacing w:line="360" w:lineRule="auto"/>
              <w:rPr>
                <w:rFonts w:ascii="宋体" w:hAnsi="宋体"/>
                <w:highlight w:val="none"/>
              </w:rPr>
            </w:pPr>
            <w:r>
              <w:rPr>
                <w:rFonts w:hint="eastAsia" w:ascii="宋体" w:hAnsi="宋体"/>
                <w:highlight w:val="none"/>
              </w:rPr>
              <w:t xml:space="preserve">1</w:t>
            </w:r>
            <w:r/>
          </w:p>
        </w:tc>
      </w:tr>
      <w:tr>
        <w:trPr>
          <w:jc w:val="center"/>
          <w:trHeight w:val="992"/>
        </w:trPr>
        <w:tc>
          <w:tcPr>
            <w:tcW w:w="1418" w:type="dxa"/>
            <w:vAlign w:val="center"/>
            <w:vMerge w:val="continue"/>
            <w:textDirection w:val="lrTb"/>
            <w:noWrap w:val="false"/>
          </w:tcPr>
          <w:p>
            <w:pPr>
              <w:contextualSpacing/>
              <w:spacing w:line="360" w:lineRule="auto"/>
              <w:widowControl/>
              <w:rPr>
                <w:rFonts w:ascii="宋体" w:hAnsi="宋体"/>
                <w:b/>
                <w:highlight w:val="none"/>
              </w:rPr>
            </w:pPr>
            <w:r>
              <w:rPr>
                <w:rFonts w:ascii="宋体" w:hAnsi="宋体"/>
                <w:b/>
                <w:highlight w:val="none"/>
              </w:rPr>
            </w:r>
            <w:r/>
          </w:p>
        </w:tc>
        <w:tc>
          <w:tcPr>
            <w:tcW w:w="992" w:type="dxa"/>
            <w:vAlign w:val="center"/>
            <w:textDirection w:val="lrTb"/>
            <w:noWrap w:val="false"/>
          </w:tcPr>
          <w:p>
            <w:pPr>
              <w:contextualSpacing/>
              <w:spacing w:line="360" w:lineRule="auto"/>
              <w:rPr>
                <w:rFonts w:ascii="宋体" w:hAnsi="宋体"/>
                <w:highlight w:val="none"/>
              </w:rPr>
            </w:pPr>
            <w:r>
              <w:rPr>
                <w:rFonts w:hint="eastAsia" w:ascii="宋体" w:hAnsi="宋体"/>
                <w:bCs/>
                <w:highlight w:val="none"/>
              </w:rPr>
              <w:t xml:space="preserve">4.3</w:t>
            </w:r>
            <w:r/>
          </w:p>
        </w:tc>
        <w:tc>
          <w:tcPr>
            <w:tcW w:w="6124" w:type="dxa"/>
            <w:vAlign w:val="center"/>
            <w:textDirection w:val="lrTb"/>
            <w:noWrap w:val="false"/>
          </w:tcPr>
          <w:p>
            <w:pPr>
              <w:contextualSpacing/>
              <w:spacing w:line="360" w:lineRule="auto"/>
              <w:rPr>
                <w:rFonts w:ascii="宋体" w:hAnsi="宋体"/>
                <w:b/>
                <w:highlight w:val="none"/>
              </w:rPr>
            </w:pPr>
            <w:r>
              <w:rPr>
                <w:rFonts w:hint="eastAsia" w:ascii="宋体" w:hAnsi="宋体"/>
                <w:b/>
                <w:highlight w:val="none"/>
              </w:rPr>
              <w:t xml:space="preserve">项目实施团队（</w:t>
            </w:r>
            <w:r>
              <w:rPr>
                <w:rFonts w:ascii="宋体" w:hAnsi="宋体"/>
                <w:b/>
                <w:highlight w:val="none"/>
              </w:rPr>
              <w:t xml:space="preserve">1</w:t>
            </w:r>
            <w:r>
              <w:rPr>
                <w:rFonts w:hint="eastAsia" w:ascii="宋体" w:hAnsi="宋体"/>
                <w:b/>
                <w:highlight w:val="none"/>
              </w:rPr>
              <w:t xml:space="preserve">4分）</w:t>
            </w:r>
            <w:r/>
          </w:p>
          <w:p>
            <w:pPr>
              <w:contextualSpacing/>
              <w:spacing w:line="360" w:lineRule="auto"/>
              <w:rPr>
                <w:rFonts w:ascii="宋体" w:hAnsi="宋体"/>
                <w:bCs/>
                <w:highlight w:val="none"/>
              </w:rPr>
            </w:pPr>
            <w:r>
              <w:rPr>
                <w:rFonts w:hint="eastAsia" w:ascii="宋体" w:hAnsi="宋体"/>
                <w:bCs/>
                <w:highlight w:val="none"/>
              </w:rPr>
              <w:t xml:space="preserve">（1）项目经理（与技术负责人、安全负责人不为同一人）：投标人需配备1名项目经理，具备</w:t>
            </w:r>
            <w:r>
              <w:rPr>
                <w:rFonts w:hint="eastAsia" w:ascii="宋体" w:hAnsi="宋体" w:cs="宋体"/>
                <w:highlight w:val="none"/>
              </w:rPr>
              <w:t xml:space="preserve">信息系统项目管理师（高级）、ITSS IT服务项目经理、一级建造师（通信与广电工程专业）、通信工程师、</w:t>
            </w:r>
            <w:r>
              <w:rPr>
                <w:rFonts w:hint="eastAsia" w:ascii="宋体" w:hAnsi="宋体"/>
                <w:bCs/>
                <w:highlight w:val="none"/>
              </w:rPr>
              <w:t xml:space="preserve">信息安全保障人员认证（CISAW）</w:t>
            </w:r>
            <w:r>
              <w:rPr>
                <w:rFonts w:hint="eastAsia"/>
                <w:highlight w:val="none"/>
              </w:rPr>
              <w:t xml:space="preserve">、</w:t>
            </w:r>
            <w:r>
              <w:rPr>
                <w:rFonts w:hint="eastAsia" w:ascii="宋体" w:hAnsi="宋体"/>
                <w:bCs/>
                <w:highlight w:val="none"/>
              </w:rPr>
              <w:t xml:space="preserve">注册信息安全专业人员（CISP）、高级工程师</w:t>
            </w:r>
            <w:r>
              <w:rPr>
                <w:rFonts w:hint="eastAsia" w:ascii="宋体" w:hAnsi="宋体" w:cs="宋体"/>
                <w:highlight w:val="none"/>
              </w:rPr>
              <w:t xml:space="preserve">证书、</w:t>
            </w:r>
            <w:r>
              <w:rPr>
                <w:rFonts w:ascii="宋体" w:hAnsi="宋体" w:cs="宋体"/>
                <w:bCs/>
                <w:highlight w:val="none"/>
              </w:rPr>
              <w:t xml:space="preserve">系统集成项目管理工程师证书</w:t>
            </w:r>
            <w:r>
              <w:rPr>
                <w:rFonts w:hint="eastAsia" w:ascii="宋体" w:hAnsi="宋体" w:cs="宋体"/>
                <w:highlight w:val="none"/>
              </w:rPr>
              <w:t xml:space="preserve">的，每提供一种证书得1分，满分4分；</w:t>
            </w:r>
            <w:r/>
          </w:p>
          <w:p>
            <w:pPr>
              <w:contextualSpacing/>
              <w:spacing w:line="360" w:lineRule="auto"/>
              <w:rPr>
                <w:rFonts w:ascii="宋体" w:hAnsi="宋体"/>
                <w:bCs/>
                <w:highlight w:val="none"/>
              </w:rPr>
            </w:pPr>
            <w:r>
              <w:rPr>
                <w:rFonts w:hint="eastAsia" w:ascii="宋体" w:hAnsi="宋体"/>
                <w:bCs/>
                <w:highlight w:val="none"/>
              </w:rPr>
              <w:t xml:space="preserve">（2）项目技术负责人（与项目经理、安全负责人不为同一人）：投标人需配备1名技术负责人，具备</w:t>
            </w:r>
            <w:r>
              <w:rPr>
                <w:rFonts w:hint="eastAsia" w:ascii="宋体" w:hAnsi="宋体" w:cs="宋体"/>
                <w:highlight w:val="none"/>
              </w:rPr>
              <w:t xml:space="preserve">信息系统项目管理师（高级）、</w:t>
            </w:r>
            <w:r>
              <w:rPr>
                <w:rFonts w:hint="eastAsia" w:ascii="宋体" w:hAnsi="宋体"/>
                <w:bCs/>
                <w:highlight w:val="none"/>
              </w:rPr>
              <w:t xml:space="preserve">高级职称（通信、网络相关专业）、通信工程师、系统集成项目管理工程师、网络工程师、注册信息安全工程师（CISE）的，每提供一种证书得1分，满分3分；</w:t>
            </w:r>
            <w:r/>
          </w:p>
          <w:p>
            <w:pPr>
              <w:contextualSpacing/>
              <w:spacing w:line="360" w:lineRule="auto"/>
              <w:rPr>
                <w:rFonts w:ascii="宋体" w:hAnsi="宋体"/>
                <w:bCs/>
                <w:highlight w:val="none"/>
              </w:rPr>
            </w:pPr>
            <w:r>
              <w:rPr>
                <w:rFonts w:hint="eastAsia" w:ascii="宋体" w:hAnsi="宋体"/>
                <w:bCs/>
                <w:highlight w:val="none"/>
              </w:rPr>
              <w:t xml:space="preserve">（3）项目安全负责人（与项目经理、技术负责人不为同一人）：投标人需配备1名项目安全负责人，具备高级职称（通信、网络相关专业）、</w:t>
            </w:r>
            <w:r>
              <w:rPr>
                <w:rFonts w:hint="eastAsia" w:ascii="宋体" w:hAnsi="宋体" w:cs="宋体"/>
                <w:highlight w:val="none"/>
              </w:rPr>
              <w:t xml:space="preserve">一级建造师（通信与广电工程专业）、</w:t>
            </w:r>
            <w:r>
              <w:rPr>
                <w:rFonts w:hint="eastAsia" w:ascii="宋体" w:hAnsi="宋体"/>
                <w:bCs/>
                <w:highlight w:val="none"/>
              </w:rPr>
              <w:t xml:space="preserve">信息系统项目管理师（高级）、ITSS IT服务项目经理、注册信息安全工程师（CISE）、注册信息安全专业人员（CISP)证书、网络安全能力认证（CCSC网络安全技术类别）</w:t>
            </w:r>
            <w:r>
              <w:rPr>
                <w:rFonts w:ascii="宋体" w:hAnsi="宋体"/>
                <w:bCs/>
                <w:highlight w:val="none"/>
              </w:rPr>
              <w:t xml:space="preserve">、</w:t>
            </w:r>
            <w:r>
              <w:rPr>
                <w:rFonts w:hint="eastAsia" w:ascii="宋体" w:hAnsi="宋体"/>
                <w:bCs/>
                <w:highlight w:val="none"/>
              </w:rPr>
              <w:t xml:space="preserve">信息安全保障人员认证（CISAW）等证书的，每提供一种证书得1分，满分3分。</w:t>
            </w:r>
            <w:r/>
          </w:p>
          <w:p>
            <w:pPr>
              <w:contextualSpacing/>
              <w:spacing w:line="360" w:lineRule="auto"/>
              <w:rPr>
                <w:rFonts w:ascii="宋体" w:hAnsi="宋体"/>
                <w:bCs/>
                <w:highlight w:val="none"/>
              </w:rPr>
            </w:pPr>
            <w:r>
              <w:rPr>
                <w:rFonts w:hint="eastAsia" w:ascii="宋体" w:hAnsi="宋体"/>
                <w:bCs/>
                <w:highlight w:val="none"/>
              </w:rPr>
              <w:t xml:space="preserve">（4）其他人员：投标人为本项目实施配备的其他人员（除项目经理、项目技术负责人、项目安全负责人外），具有网络工程师、通信工程师、ITSS服务工程师证书、网络规划设计师的，每提供一种证书得1分，满分4分。同一证书不可重复得分。</w:t>
            </w:r>
            <w:r/>
          </w:p>
          <w:p>
            <w:pPr>
              <w:contextualSpacing/>
              <w:spacing w:line="360" w:lineRule="auto"/>
              <w:rPr>
                <w:rFonts w:ascii="宋体" w:hAnsi="宋体"/>
                <w:b/>
                <w:bCs/>
                <w:highlight w:val="none"/>
              </w:rPr>
            </w:pPr>
            <w:r>
              <w:rPr>
                <w:rFonts w:ascii="宋体" w:hAnsi="宋体"/>
                <w:bCs/>
                <w:highlight w:val="none"/>
              </w:rPr>
              <w:t xml:space="preserve">以上人员需提供证书扫描件以及投标人为相关人员在距离开标截止时间前6个月内任意一个月缴纳社保的证明文件，否则不得分。</w:t>
            </w:r>
            <w:r/>
          </w:p>
        </w:tc>
        <w:tc>
          <w:tcPr>
            <w:tcW w:w="822" w:type="dxa"/>
            <w:vAlign w:val="center"/>
            <w:textDirection w:val="lrTb"/>
            <w:noWrap w:val="false"/>
          </w:tcPr>
          <w:p>
            <w:pPr>
              <w:contextualSpacing/>
              <w:jc w:val="center"/>
              <w:spacing w:line="360" w:lineRule="auto"/>
              <w:rPr>
                <w:rFonts w:ascii="宋体" w:hAnsi="宋体"/>
                <w:highlight w:val="none"/>
              </w:rPr>
            </w:pPr>
            <w:r>
              <w:rPr>
                <w:rFonts w:ascii="宋体" w:hAnsi="宋体"/>
                <w:highlight w:val="none"/>
              </w:rPr>
              <w:t xml:space="preserve">1</w:t>
            </w:r>
            <w:r>
              <w:rPr>
                <w:rFonts w:hint="eastAsia" w:ascii="宋体" w:hAnsi="宋体"/>
                <w:highlight w:val="none"/>
              </w:rPr>
              <w:t xml:space="preserve">4</w:t>
            </w:r>
            <w:r/>
          </w:p>
        </w:tc>
      </w:tr>
      <w:tr>
        <w:trPr>
          <w:jc w:val="center"/>
          <w:trHeight w:val="992"/>
        </w:trPr>
        <w:tc>
          <w:tcPr>
            <w:tcW w:w="1418" w:type="dxa"/>
            <w:vAlign w:val="center"/>
            <w:vMerge w:val="continue"/>
            <w:textDirection w:val="lrTb"/>
            <w:noWrap w:val="false"/>
          </w:tcPr>
          <w:p>
            <w:pPr>
              <w:contextualSpacing/>
              <w:spacing w:line="360" w:lineRule="auto"/>
              <w:widowControl/>
              <w:rPr>
                <w:rFonts w:ascii="宋体" w:hAnsi="宋体"/>
                <w:b/>
                <w:highlight w:val="none"/>
              </w:rPr>
            </w:pPr>
            <w:r>
              <w:rPr>
                <w:rFonts w:ascii="宋体" w:hAnsi="宋体"/>
                <w:b/>
                <w:highlight w:val="none"/>
              </w:rPr>
            </w:r>
            <w:r/>
          </w:p>
        </w:tc>
        <w:tc>
          <w:tcPr>
            <w:tcW w:w="992" w:type="dxa"/>
            <w:vAlign w:val="center"/>
            <w:textDirection w:val="lrTb"/>
            <w:noWrap w:val="false"/>
          </w:tcPr>
          <w:p>
            <w:pPr>
              <w:contextualSpacing/>
              <w:spacing w:line="360" w:lineRule="auto"/>
              <w:rPr>
                <w:rFonts w:ascii="宋体" w:hAnsi="宋体"/>
                <w:bCs/>
                <w:highlight w:val="none"/>
              </w:rPr>
            </w:pPr>
            <w:r>
              <w:rPr>
                <w:rFonts w:hint="eastAsia" w:ascii="宋体" w:hAnsi="宋体"/>
                <w:highlight w:val="none"/>
              </w:rPr>
              <w:t xml:space="preserve">4.4</w:t>
            </w:r>
            <w:r/>
          </w:p>
        </w:tc>
        <w:tc>
          <w:tcPr>
            <w:tcW w:w="6124" w:type="dxa"/>
            <w:vAlign w:val="center"/>
            <w:textDirection w:val="lrTb"/>
            <w:noWrap w:val="false"/>
          </w:tcPr>
          <w:p>
            <w:pPr>
              <w:contextualSpacing/>
              <w:spacing w:line="360" w:lineRule="auto"/>
              <w:rPr>
                <w:rFonts w:ascii="宋体" w:hAnsi="宋体"/>
                <w:bCs/>
                <w:highlight w:val="none"/>
              </w:rPr>
            </w:pPr>
            <w:r>
              <w:rPr>
                <w:rFonts w:ascii="宋体" w:hAnsi="宋体"/>
                <w:b/>
                <w:highlight w:val="none"/>
              </w:rPr>
              <w:t xml:space="preserve">驻场运维服务承诺</w:t>
            </w:r>
            <w:r>
              <w:rPr>
                <w:rFonts w:hint="eastAsia" w:ascii="宋体" w:hAnsi="宋体"/>
                <w:b/>
                <w:highlight w:val="none"/>
              </w:rPr>
              <w:t xml:space="preserve">（3分）</w:t>
            </w:r>
            <w:r>
              <w:rPr>
                <w:rFonts w:ascii="宋体" w:hAnsi="宋体"/>
                <w:bCs/>
                <w:highlight w:val="none"/>
              </w:rPr>
              <w:t xml:space="preserve">投标人需承诺，项目中标后提供一名驻场人员，该人员需全程在岗提供常态化运维保障服务。驻场人员具备多年一线从业经历，拥有丰富的网络线路搭建、巡检、故障排查、日常运维及改造类项目实操经验熟悉各类网络线路架构、设备运行规范与运维标准，可高效处置线路卡顿、中断、链路异常等各类常见及突发问题，保障项目网络线路长期稳定、安全运行，严格遵守</w:t>
            </w:r>
            <w:r>
              <w:rPr>
                <w:rFonts w:hint="eastAsia" w:ascii="宋体" w:hAnsi="宋体"/>
                <w:bCs/>
                <w:highlight w:val="none"/>
              </w:rPr>
              <w:t xml:space="preserve">省法院</w:t>
            </w:r>
            <w:r>
              <w:rPr>
                <w:rFonts w:ascii="宋体" w:hAnsi="宋体"/>
                <w:bCs/>
                <w:highlight w:val="none"/>
              </w:rPr>
              <w:t xml:space="preserve">现场管理规定，保质保量完成各项驻场维护工作</w:t>
            </w:r>
            <w:r>
              <w:rPr>
                <w:rFonts w:hint="eastAsia" w:ascii="宋体" w:hAnsi="宋体"/>
                <w:bCs/>
                <w:highlight w:val="none"/>
              </w:rPr>
              <w:t xml:space="preserve">。</w:t>
            </w:r>
            <w:r>
              <w:rPr>
                <w:rFonts w:hint="eastAsia" w:ascii="宋体" w:hAnsi="宋体" w:cs="宋体"/>
                <w:highlight w:val="none"/>
              </w:rPr>
              <w:t xml:space="preserve">提供承诺函，并加盖公章。</w:t>
            </w:r>
            <w:r/>
          </w:p>
        </w:tc>
        <w:tc>
          <w:tcPr>
            <w:tcW w:w="822" w:type="dxa"/>
            <w:vAlign w:val="center"/>
            <w:textDirection w:val="lrTb"/>
            <w:noWrap w:val="false"/>
          </w:tcPr>
          <w:p>
            <w:pPr>
              <w:contextualSpacing/>
              <w:jc w:val="center"/>
              <w:spacing w:line="360" w:lineRule="auto"/>
              <w:rPr>
                <w:rFonts w:ascii="宋体" w:hAnsi="宋体"/>
                <w:highlight w:val="none"/>
              </w:rPr>
            </w:pPr>
            <w:r>
              <w:rPr>
                <w:rFonts w:hint="eastAsia" w:ascii="宋体" w:hAnsi="宋体"/>
                <w:highlight w:val="none"/>
              </w:rPr>
              <w:t xml:space="preserve">3</w:t>
            </w:r>
            <w:r/>
          </w:p>
        </w:tc>
      </w:tr>
      <w:tr>
        <w:trPr>
          <w:jc w:val="center"/>
          <w:trHeight w:val="558"/>
        </w:trPr>
        <w:tc>
          <w:tcPr>
            <w:tcW w:w="1418" w:type="dxa"/>
            <w:vAlign w:val="center"/>
            <w:vMerge w:val="continue"/>
            <w:textDirection w:val="lrTb"/>
            <w:noWrap w:val="false"/>
          </w:tcPr>
          <w:p>
            <w:pPr>
              <w:contextualSpacing/>
              <w:spacing w:line="360" w:lineRule="auto"/>
              <w:widowControl/>
              <w:rPr>
                <w:rFonts w:ascii="宋体" w:hAnsi="宋体"/>
                <w:b/>
                <w:highlight w:val="none"/>
              </w:rPr>
            </w:pPr>
            <w:r>
              <w:rPr>
                <w:rFonts w:ascii="宋体" w:hAnsi="宋体"/>
                <w:b/>
                <w:highlight w:val="none"/>
              </w:rPr>
            </w:r>
            <w:r/>
          </w:p>
        </w:tc>
        <w:tc>
          <w:tcPr>
            <w:tcW w:w="992" w:type="dxa"/>
            <w:vAlign w:val="center"/>
            <w:textDirection w:val="lrTb"/>
            <w:noWrap w:val="false"/>
          </w:tcPr>
          <w:p>
            <w:pPr>
              <w:contextualSpacing/>
              <w:spacing w:line="360" w:lineRule="auto"/>
              <w:rPr>
                <w:rFonts w:ascii="宋体" w:hAnsi="宋体"/>
                <w:bCs/>
                <w:highlight w:val="none"/>
              </w:rPr>
            </w:pPr>
            <w:r>
              <w:rPr>
                <w:rFonts w:ascii="宋体" w:hAnsi="宋体"/>
                <w:bCs/>
                <w:highlight w:val="none"/>
              </w:rPr>
              <w:t xml:space="preserve">4.</w:t>
            </w:r>
            <w:r>
              <w:rPr>
                <w:rFonts w:hint="eastAsia" w:ascii="宋体" w:hAnsi="宋体"/>
                <w:bCs/>
                <w:highlight w:val="none"/>
              </w:rPr>
              <w:t xml:space="preserve">5</w:t>
            </w:r>
            <w:r/>
          </w:p>
        </w:tc>
        <w:tc>
          <w:tcPr>
            <w:tcW w:w="6124" w:type="dxa"/>
            <w:vAlign w:val="center"/>
            <w:textDirection w:val="lrTb"/>
            <w:noWrap w:val="false"/>
          </w:tcPr>
          <w:p>
            <w:pPr>
              <w:contextualSpacing/>
              <w:spacing w:line="360" w:lineRule="auto"/>
              <w:rPr>
                <w:rFonts w:ascii="宋体" w:hAnsi="宋体"/>
                <w:b/>
                <w:bCs/>
                <w:highlight w:val="none"/>
              </w:rPr>
            </w:pPr>
            <w:r>
              <w:rPr>
                <w:rFonts w:hint="eastAsia" w:ascii="宋体" w:hAnsi="宋体" w:cs="宋体"/>
                <w:b/>
                <w:bCs/>
                <w:highlight w:val="none"/>
              </w:rPr>
              <w:t xml:space="preserve">成功案例（10分）</w:t>
            </w:r>
            <w:r>
              <w:rPr>
                <w:rFonts w:hint="eastAsia" w:ascii="宋体" w:hAnsi="宋体" w:cs="宋体"/>
                <w:highlight w:val="none"/>
              </w:rPr>
              <w:t xml:space="preserve">投标人提供自 202</w:t>
            </w:r>
            <w:r>
              <w:rPr>
                <w:rFonts w:ascii="宋体" w:hAnsi="宋体" w:cs="宋体"/>
                <w:highlight w:val="none"/>
              </w:rPr>
              <w:t xml:space="preserve">3</w:t>
            </w:r>
            <w:r>
              <w:rPr>
                <w:rFonts w:hint="eastAsia" w:ascii="宋体" w:hAnsi="宋体" w:cs="宋体"/>
                <w:highlight w:val="none"/>
              </w:rPr>
              <w:t xml:space="preserve">年1月1日以来（以合同签订时间为准）承担过类似组网项目的业绩合同，每提供一个得2分，最多得10分。需提供合同复印件加盖投标单位公章，未按要求提供的，不得分。</w:t>
            </w:r>
            <w:r/>
          </w:p>
        </w:tc>
        <w:tc>
          <w:tcPr>
            <w:tcW w:w="822" w:type="dxa"/>
            <w:vAlign w:val="center"/>
            <w:textDirection w:val="lrTb"/>
            <w:noWrap w:val="false"/>
          </w:tcPr>
          <w:p>
            <w:pPr>
              <w:contextualSpacing/>
              <w:jc w:val="center"/>
              <w:spacing w:line="360" w:lineRule="auto"/>
              <w:rPr>
                <w:rFonts w:ascii="宋体" w:hAnsi="宋体"/>
                <w:highlight w:val="none"/>
              </w:rPr>
            </w:pPr>
            <w:r>
              <w:rPr>
                <w:rFonts w:hint="eastAsia" w:ascii="宋体" w:hAnsi="宋体"/>
                <w:highlight w:val="none"/>
              </w:rPr>
              <w:t xml:space="preserve">10</w:t>
            </w:r>
            <w:bookmarkEnd w:id="162"/>
            <w:r/>
            <w:r/>
          </w:p>
        </w:tc>
      </w:tr>
    </w:tbl>
    <w:p>
      <w:pPr>
        <w:pStyle w:val="944"/>
        <w:ind w:firstLine="0"/>
        <w:spacing w:line="360" w:lineRule="auto"/>
        <w:rPr>
          <w:b/>
          <w:color w:val="000000"/>
          <w:sz w:val="22"/>
          <w:szCs w:val="22"/>
          <w:highlight w:val="none"/>
        </w:rPr>
      </w:pPr>
      <w:r>
        <w:rPr>
          <w:rFonts w:hint="eastAsia"/>
          <w:b/>
          <w:color w:val="000000"/>
          <w:sz w:val="22"/>
          <w:szCs w:val="22"/>
          <w:highlight w:val="none"/>
        </w:rPr>
        <w:t xml:space="preserve">说明： 以上证明、证书、认证等资料均需提供扫描件或复印件。采购人将在合同签订前对中标供应商以上评分项目中证明材料原件及承诺的能力情况进行核查，如果发现与投标文件所载内容不符，采购人有权报告政府采购监督管理部门依据相关法律法规处理。</w:t>
      </w:r>
      <w:r/>
    </w:p>
    <w:p>
      <w:pPr>
        <w:jc w:val="left"/>
        <w:widowControl/>
        <w:rPr>
          <w:rFonts w:ascii="宋体" w:hAnsi="Courier New" w:cs="Courier New"/>
          <w:highlight w:val="none"/>
        </w:rPr>
      </w:pPr>
      <w:r>
        <w:rPr>
          <w:rFonts w:ascii="宋体" w:hAnsi="Courier New" w:cs="Courier New"/>
          <w:highlight w:val="none"/>
        </w:rPr>
        <w:br w:type="page" w:clear="all"/>
      </w:r>
      <w:r/>
    </w:p>
    <w:p>
      <w:pPr>
        <w:ind w:right="839"/>
        <w:jc w:val="center"/>
        <w:spacing w:line="660" w:lineRule="exact"/>
        <w:rPr>
          <w:rFonts w:hint="eastAsia" w:ascii="方正黑体_GBK" w:hAnsi="方正黑体_GBK" w:eastAsia="方正黑体_GBK" w:cs="方正黑体_GBK"/>
          <w:color w:val="000000"/>
          <w:sz w:val="32"/>
          <w:szCs w:val="32"/>
          <w:highlight w:val="none"/>
        </w:rPr>
      </w:pPr>
      <w:r>
        <w:rPr>
          <w:rFonts w:hint="eastAsia" w:ascii="方正仿宋_GBK" w:hAnsi="方正仿宋_GBK" w:eastAsia="方正仿宋_GBK" w:cs="方正仿宋_GBK"/>
          <w:b/>
          <w:color w:val="000000"/>
          <w:sz w:val="28"/>
          <w:szCs w:val="28"/>
          <w:highlight w:val="none"/>
        </w:rPr>
        <w:t xml:space="preserve">  </w:t>
      </w:r>
      <w:r/>
    </w:p>
    <w:p>
      <w:pPr>
        <w:ind w:right="839"/>
        <w:jc w:val="center"/>
        <w:spacing w:line="66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第六章  投标</w:t>
      </w:r>
      <w:bookmarkEnd w:id="159"/>
      <w:r/>
      <w:bookmarkEnd w:id="160"/>
      <w:r/>
      <w:bookmarkEnd w:id="161"/>
      <w:r>
        <w:rPr>
          <w:rFonts w:hint="eastAsia" w:ascii="方正黑体_GBK" w:hAnsi="方正黑体_GBK" w:eastAsia="方正黑体_GBK" w:cs="方正黑体_GBK"/>
          <w:color w:val="000000"/>
          <w:sz w:val="28"/>
          <w:szCs w:val="28"/>
          <w:highlight w:val="none"/>
        </w:rPr>
        <w:t xml:space="preserve">文件格式 </w:t>
      </w:r>
      <w:r/>
    </w:p>
    <w:p>
      <w:pPr>
        <w:jc w:val="center"/>
        <w:rPr>
          <w:rFonts w:hint="eastAsia" w:ascii="宋体" w:hAnsi="宋体"/>
          <w:b/>
          <w:sz w:val="28"/>
          <w:szCs w:val="28"/>
          <w:highlight w:val="none"/>
        </w:rPr>
      </w:pPr>
      <w:r/>
      <w:bookmarkStart w:id="163" w:name="_Hlt26671244"/>
      <w:r/>
      <w:bookmarkEnd w:id="163"/>
      <w:r/>
      <w:bookmarkStart w:id="164" w:name="_Hlt26955039"/>
      <w:r/>
      <w:bookmarkEnd w:id="164"/>
      <w:r/>
      <w:bookmarkStart w:id="165" w:name="_Toc49090576"/>
      <w:r/>
      <w:bookmarkStart w:id="166" w:name="_Toc120614282"/>
      <w:r/>
      <w:bookmarkStart w:id="167" w:name="_Toc26554094"/>
      <w:r/>
      <w:r/>
    </w:p>
    <w:p>
      <w:pPr>
        <w:jc w:val="center"/>
        <w:rPr>
          <w:rFonts w:hint="eastAsia" w:ascii="方正小标宋_GBK" w:hAnsi="方正小标宋_GBK" w:eastAsia="方正小标宋_GBK" w:cs="方正小标宋_GBK"/>
          <w:bCs/>
          <w:sz w:val="44"/>
          <w:szCs w:val="44"/>
          <w:highlight w:val="none"/>
        </w:rPr>
      </w:pPr>
      <w:r>
        <w:rPr>
          <w:rFonts w:hint="eastAsia" w:ascii="方正小标宋_GBK" w:hAnsi="方正小标宋_GBK" w:eastAsia="方正小标宋_GBK" w:cs="方正小标宋_GBK"/>
          <w:bCs/>
          <w:sz w:val="44"/>
          <w:szCs w:val="44"/>
          <w:highlight w:val="none"/>
        </w:rPr>
      </w:r>
      <w:r/>
    </w:p>
    <w:p>
      <w:pPr>
        <w:jc w:val="center"/>
        <w:rPr>
          <w:rFonts w:hint="eastAsia" w:ascii="方正小标宋_GBK" w:hAnsi="方正小标宋_GBK" w:eastAsia="方正小标宋_GBK" w:cs="方正小标宋_GBK"/>
          <w:bCs/>
          <w:sz w:val="32"/>
          <w:szCs w:val="32"/>
          <w:highlight w:val="none"/>
        </w:rPr>
      </w:pPr>
      <w:r>
        <w:rPr>
          <w:rFonts w:hint="eastAsia" w:ascii="方正小标宋_GBK" w:hAnsi="方正小标宋_GBK" w:eastAsia="方正小标宋_GBK" w:cs="方正小标宋_GBK"/>
          <w:bCs/>
          <w:sz w:val="32"/>
          <w:szCs w:val="32"/>
          <w:highlight w:val="none"/>
        </w:rPr>
        <w:t xml:space="preserve">投  标  文  件</w:t>
      </w:r>
      <w:r/>
    </w:p>
    <w:p>
      <w:pPr>
        <w:jc w:val="center"/>
        <w:rPr>
          <w:rFonts w:hint="eastAsia" w:ascii="宋体" w:hAnsi="宋体"/>
          <w:b/>
          <w:sz w:val="28"/>
          <w:szCs w:val="28"/>
          <w:highlight w:val="none"/>
        </w:rPr>
      </w:pPr>
      <w:r>
        <w:rPr>
          <w:rFonts w:hint="eastAsia" w:ascii="宋体" w:hAnsi="宋体"/>
          <w:b/>
          <w:sz w:val="28"/>
          <w:szCs w:val="28"/>
          <w:highlight w:val="none"/>
        </w:rPr>
      </w:r>
      <w:r/>
    </w:p>
    <w:p>
      <w:pPr>
        <w:jc w:val="center"/>
        <w:rPr>
          <w:rFonts w:hint="eastAsia" w:ascii="宋体" w:hAnsi="宋体"/>
          <w:b/>
          <w:sz w:val="28"/>
          <w:szCs w:val="28"/>
          <w:highlight w:val="none"/>
        </w:rPr>
      </w:pPr>
      <w:r>
        <w:rPr>
          <w:rFonts w:hint="eastAsia" w:ascii="宋体" w:hAnsi="宋体"/>
          <w:b/>
          <w:sz w:val="28"/>
          <w:szCs w:val="28"/>
          <w:highlight w:val="none"/>
        </w:rPr>
      </w:r>
      <w:r/>
    </w:p>
    <w:p>
      <w:pPr>
        <w:jc w:val="center"/>
        <w:rPr>
          <w:rFonts w:hint="eastAsia" w:ascii="宋体" w:hAnsi="宋体"/>
          <w:b/>
          <w:sz w:val="28"/>
          <w:szCs w:val="28"/>
          <w:highlight w:val="none"/>
        </w:rPr>
      </w:pPr>
      <w:r>
        <w:rPr>
          <w:rFonts w:hint="eastAsia" w:ascii="宋体" w:hAnsi="宋体"/>
          <w:b/>
          <w:sz w:val="28"/>
          <w:szCs w:val="28"/>
          <w:highlight w:val="none"/>
        </w:rPr>
      </w:r>
      <w:r/>
    </w:p>
    <w:p>
      <w:pPr>
        <w:jc w:val="center"/>
        <w:rPr>
          <w:rFonts w:hint="eastAsia" w:ascii="宋体" w:hAnsi="宋体"/>
          <w:b/>
          <w:sz w:val="28"/>
          <w:szCs w:val="28"/>
          <w:highlight w:val="none"/>
        </w:rPr>
      </w:pPr>
      <w:r>
        <w:rPr>
          <w:rFonts w:hint="eastAsia" w:ascii="宋体" w:hAnsi="宋体"/>
          <w:b/>
          <w:sz w:val="28"/>
          <w:szCs w:val="28"/>
          <w:highlight w:val="none"/>
        </w:rPr>
      </w:r>
      <w:r/>
    </w:p>
    <w:p>
      <w:pPr>
        <w:jc w:val="center"/>
        <w:rPr>
          <w:rFonts w:hint="eastAsia" w:ascii="宋体" w:hAnsi="宋体"/>
          <w:b/>
          <w:sz w:val="28"/>
          <w:szCs w:val="28"/>
          <w:highlight w:val="none"/>
        </w:rPr>
      </w:pPr>
      <w:r>
        <w:rPr>
          <w:rFonts w:hint="eastAsia" w:ascii="宋体" w:hAnsi="宋体"/>
          <w:b/>
          <w:sz w:val="28"/>
          <w:szCs w:val="28"/>
          <w:highlight w:val="none"/>
        </w:rPr>
      </w:r>
      <w:r/>
    </w:p>
    <w:p>
      <w:pPr>
        <w:ind w:firstLine="840"/>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项 目 名 称：</w:t>
      </w:r>
      <w:r>
        <w:rPr>
          <w:rFonts w:hint="eastAsia" w:ascii="方正黑体_GBK" w:hAnsi="方正黑体_GBK" w:eastAsia="方正黑体_GBK" w:cs="方正黑体_GBK"/>
          <w:bCs/>
          <w:sz w:val="28"/>
          <w:szCs w:val="28"/>
          <w:highlight w:val="none"/>
          <w:u w:val="single"/>
        </w:rPr>
        <w:t xml:space="preserve">               </w:t>
      </w:r>
      <w:r/>
    </w:p>
    <w:p>
      <w:pPr>
        <w:ind w:firstLine="840"/>
        <w:spacing w:line="400" w:lineRule="exact"/>
        <w:rPr>
          <w:rFonts w:hint="eastAsia" w:ascii="方正黑体_GBK" w:hAnsi="方正黑体_GBK" w:eastAsia="方正黑体_GBK" w:cs="方正黑体_GBK"/>
          <w:bCs/>
          <w:sz w:val="28"/>
          <w:szCs w:val="28"/>
          <w:highlight w:val="none"/>
          <w:u w:val="single"/>
        </w:rPr>
      </w:pPr>
      <w:r>
        <w:rPr>
          <w:rFonts w:hint="eastAsia" w:ascii="方正黑体_GBK" w:hAnsi="方正黑体_GBK" w:eastAsia="方正黑体_GBK" w:cs="方正黑体_GBK"/>
          <w:bCs/>
          <w:sz w:val="28"/>
          <w:szCs w:val="28"/>
          <w:highlight w:val="none"/>
        </w:rPr>
        <w:t xml:space="preserve">采 购 编 号：</w:t>
      </w:r>
      <w:r>
        <w:rPr>
          <w:rFonts w:hint="eastAsia" w:ascii="方正黑体_GBK" w:hAnsi="方正黑体_GBK" w:eastAsia="方正黑体_GBK" w:cs="方正黑体_GBK"/>
          <w:bCs/>
          <w:sz w:val="28"/>
          <w:szCs w:val="28"/>
          <w:highlight w:val="none"/>
          <w:u w:val="single"/>
        </w:rPr>
        <w:t xml:space="preserve">               </w:t>
      </w:r>
      <w:r/>
    </w:p>
    <w:p>
      <w:pPr>
        <w:spacing w:line="400" w:lineRule="exact"/>
        <w:rPr>
          <w:rFonts w:hint="eastAsia" w:ascii="方正黑体_GBK" w:hAnsi="方正黑体_GBK" w:eastAsia="方正黑体_GBK" w:cs="方正黑体_GBK"/>
          <w:bCs/>
          <w:sz w:val="28"/>
          <w:szCs w:val="28"/>
          <w:highlight w:val="none"/>
          <w:u w:val="single"/>
        </w:rPr>
      </w:pPr>
      <w:r>
        <w:rPr>
          <w:rFonts w:hint="eastAsia" w:ascii="方正黑体_GBK" w:hAnsi="方正黑体_GBK" w:eastAsia="方正黑体_GBK" w:cs="方正黑体_GBK"/>
          <w:bCs/>
          <w:sz w:val="28"/>
          <w:szCs w:val="28"/>
          <w:highlight w:val="none"/>
        </w:rPr>
        <w:t xml:space="preserve">      投标人名称 ：</w:t>
      </w:r>
      <w:r>
        <w:rPr>
          <w:rFonts w:hint="eastAsia" w:ascii="方正黑体_GBK" w:hAnsi="方正黑体_GBK" w:eastAsia="方正黑体_GBK" w:cs="方正黑体_GBK"/>
          <w:bCs/>
          <w:sz w:val="28"/>
          <w:szCs w:val="28"/>
          <w:highlight w:val="none"/>
          <w:u w:val="single"/>
        </w:rPr>
        <w:t xml:space="preserve">（加盖CA电子公章）</w:t>
      </w:r>
      <w:r/>
    </w:p>
    <w:p>
      <w:pPr>
        <w:spacing w:line="400" w:lineRule="exact"/>
        <w:rPr>
          <w:rFonts w:hint="eastAsia" w:ascii="方正黑体_GBK" w:hAnsi="方正黑体_GBK" w:eastAsia="方正黑体_GBK" w:cs="方正黑体_GBK"/>
          <w:bCs/>
          <w:sz w:val="28"/>
          <w:szCs w:val="28"/>
          <w:highlight w:val="none"/>
          <w:u w:val="single"/>
        </w:rPr>
      </w:pPr>
      <w:r>
        <w:rPr>
          <w:rFonts w:hint="eastAsia" w:ascii="方正黑体_GBK" w:hAnsi="方正黑体_GBK" w:eastAsia="方正黑体_GBK" w:cs="方正黑体_GBK"/>
          <w:bCs/>
          <w:sz w:val="28"/>
          <w:szCs w:val="28"/>
          <w:highlight w:val="none"/>
        </w:rPr>
        <w:t xml:space="preserve">      日      期 ：</w:t>
      </w:r>
      <w:r>
        <w:rPr>
          <w:rFonts w:hint="eastAsia" w:ascii="方正黑体_GBK" w:hAnsi="方正黑体_GBK" w:eastAsia="方正黑体_GBK" w:cs="方正黑体_GBK"/>
          <w:bCs/>
          <w:sz w:val="28"/>
          <w:szCs w:val="28"/>
          <w:highlight w:val="none"/>
          <w:u w:val="single"/>
        </w:rPr>
        <w:t xml:space="preserve">               </w:t>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spacing w:line="440" w:lineRule="exact"/>
        <w:rPr>
          <w:rFonts w:ascii="宋体" w:hAnsi="宋体"/>
          <w:highlight w:val="none"/>
        </w:rPr>
      </w:pPr>
      <w:r>
        <w:rPr>
          <w:rFonts w:ascii="宋体" w:hAnsi="宋体"/>
          <w:highlight w:val="none"/>
        </w:rPr>
      </w:r>
      <w:r/>
    </w:p>
    <w:p>
      <w:pPr>
        <w:ind w:firstLine="1084"/>
        <w:rPr>
          <w:rFonts w:ascii="宋体" w:hAnsi="宋体"/>
          <w:b/>
          <w:bCs/>
          <w:sz w:val="32"/>
          <w:szCs w:val="32"/>
          <w:highlight w:val="none"/>
        </w:rPr>
      </w:pPr>
      <w:r>
        <w:rPr>
          <w:rFonts w:ascii="宋体" w:hAnsi="宋体"/>
          <w:b/>
          <w:sz w:val="36"/>
          <w:highlight w:val="none"/>
          <w:u w:val="single"/>
        </w:rPr>
        <w:br w:type="page" w:clear="all"/>
      </w:r>
      <w:r/>
    </w:p>
    <w:p>
      <w:pPr>
        <w:jc w:val="center"/>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投标文件的组成</w:t>
      </w:r>
      <w:r/>
    </w:p>
    <w:p>
      <w:pPr>
        <w:jc w:val="center"/>
        <w:spacing w:line="400" w:lineRule="exact"/>
        <w:rPr>
          <w:rFonts w:hint="eastAsia" w:ascii="宋体" w:hAnsi="宋体"/>
          <w:b/>
          <w:bCs/>
          <w:sz w:val="28"/>
          <w:szCs w:val="28"/>
          <w:highlight w:val="none"/>
        </w:rPr>
      </w:pPr>
      <w:r>
        <w:rPr>
          <w:rFonts w:hint="eastAsia" w:ascii="宋体" w:hAnsi="宋体"/>
          <w:b/>
          <w:bCs/>
          <w:sz w:val="28"/>
          <w:szCs w:val="28"/>
          <w:highlight w:val="none"/>
        </w:rPr>
      </w:r>
      <w:r/>
    </w:p>
    <w:p>
      <w:pPr>
        <w:ind w:firstLine="560"/>
        <w:jc w:val="left"/>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一、基本目录</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1.开标一览表（格式见附件1）</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2.投标分项报价表（格式见附件2）</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3.技术要求响应及偏离表（格式见附件3）</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4.商务要求响应及偏离表（格式见附件4）</w:t>
      </w:r>
      <w:r/>
    </w:p>
    <w:p>
      <w:pPr>
        <w:ind w:firstLine="560"/>
        <w:jc w:val="left"/>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二、资格审查内容</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1.法人或者其他组织的营业执照等证明文件，自然人的身份证明</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2.上一年度的财务状况报告（投标人成立不满一年无需提供）</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4.具备履行合同所必需的设备和专业技术能力的书面声明（格式见附件5）</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5.参加政府采购活动前 3 年内在经营活动中没有重大违法记录的书面声明（格式见附件6）</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6.特定资格要求的证明文件（如果本项目对投标人做出特定资格要求的，必须提供）</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7.在“信用中国”网站（</w:t>
      </w:r>
      <w:r>
        <w:rPr>
          <w:rFonts w:hint="eastAsia" w:eastAsia="方正仿宋_GBK"/>
          <w:color w:val="000000"/>
          <w:sz w:val="28"/>
          <w:szCs w:val="28"/>
          <w:highlight w:val="none"/>
        </w:rPr>
        <w:t xml:space="preserve">www.creditchina.gov.cn</w:t>
      </w:r>
      <w:r>
        <w:rPr>
          <w:rFonts w:hint="eastAsia" w:ascii="方正仿宋_GBK" w:hAnsi="方正仿宋_GBK" w:eastAsia="方正仿宋_GBK" w:cs="方正仿宋_GBK"/>
          <w:sz w:val="28"/>
          <w:szCs w:val="28"/>
          <w:highlight w:val="none"/>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8.法人授权书（格式见附件7）</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9.投标函（格式见附件8）</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总备注：上述“资格审查内容”中1-5条、8、9条投标人必须在投标文件中提供相关材料，否则作无效投标处理；6条如招标文件要求必须提供相关材料而未提供的，作无效投标处理。</w:t>
      </w:r>
      <w:r/>
    </w:p>
    <w:p>
      <w:pPr>
        <w:ind w:firstLine="560"/>
        <w:jc w:val="left"/>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三、符合性审查内容</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投标人必须对招标文件（含技术要求和商务要求）中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w:t>
      </w:r>
      <w:r>
        <w:rPr>
          <w:rFonts w:hint="eastAsia" w:ascii="方正仿宋_GBK" w:hAnsi="方正仿宋_GBK" w:eastAsia="方正仿宋_GBK" w:cs="方正仿宋_GBK"/>
          <w:sz w:val="28"/>
          <w:szCs w:val="28"/>
          <w:highlight w:val="none"/>
        </w:rPr>
        <w:t xml:space="preserve">的实质性要求逐条做出响应，并按照招标文件要求提供证明材料，否则作无效投标处理。（格式见附件12）</w:t>
      </w:r>
      <w:r/>
    </w:p>
    <w:p>
      <w:pPr>
        <w:ind w:firstLine="560"/>
        <w:jc w:val="left"/>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四、价格扣除证明文件</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1.中小微企业声明函（格式见附件9）</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2.残疾人福利性单位声明函（格式见附件10）</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3.关于符合本国产品标准的声明函（格式见附件13）</w:t>
      </w:r>
      <w:r/>
    </w:p>
    <w:p>
      <w:pPr>
        <w:spacing w:line="400" w:lineRule="exact"/>
        <w:rPr>
          <w:rFonts w:ascii="宋体" w:hAnsi="宋体"/>
          <w:b/>
          <w:color w:val="ff0000"/>
          <w:sz w:val="28"/>
          <w:szCs w:val="28"/>
          <w:highlight w:val="none"/>
        </w:rPr>
      </w:pPr>
      <w:r>
        <w:rPr>
          <w:rFonts w:ascii="宋体" w:hAnsi="宋体"/>
          <w:b/>
          <w:color w:val="ff0000"/>
          <w:sz w:val="28"/>
          <w:szCs w:val="28"/>
          <w:highlight w:val="none"/>
        </w:rPr>
      </w:r>
      <w:r/>
    </w:p>
    <w:p>
      <w:pPr>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bCs/>
          <w:sz w:val="28"/>
          <w:szCs w:val="28"/>
          <w:highlight w:val="none"/>
        </w:rPr>
        <w:t xml:space="preserve">附件1 开标一览表</w:t>
      </w:r>
      <w:r/>
    </w:p>
    <w:p>
      <w:pPr>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投标人全称（加盖CA电子签章）：</w:t>
      </w:r>
      <w:r/>
    </w:p>
    <w:p>
      <w:pPr>
        <w:ind w:firstLine="482"/>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项目名称：</w:t>
      </w:r>
      <w:r>
        <w:rPr>
          <w:rFonts w:hint="eastAsia" w:eastAsia="方正仿宋_GBK"/>
          <w:color w:val="000000"/>
          <w:sz w:val="28"/>
          <w:szCs w:val="28"/>
          <w:highlight w:val="none"/>
        </w:rPr>
        <w:t xml:space="preserve">XXXX</w:t>
      </w:r>
      <w:r/>
    </w:p>
    <w:p>
      <w:pPr>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采购编号：</w:t>
      </w:r>
      <w:r>
        <w:rPr>
          <w:rFonts w:hint="eastAsia" w:eastAsia="方正仿宋_GBK"/>
          <w:color w:val="000000"/>
          <w:sz w:val="28"/>
          <w:szCs w:val="28"/>
          <w:highlight w:val="none"/>
        </w:rPr>
        <w:t xml:space="preserve">JSZC-320000-SCZX-G20XX-XXXX    </w:t>
      </w:r>
      <w:r>
        <w:rPr>
          <w:rFonts w:hint="eastAsia" w:ascii="方正仿宋_GBK" w:hAnsi="方正仿宋_GBK" w:eastAsia="方正仿宋_GBK" w:cs="方正仿宋_GBK"/>
          <w:sz w:val="28"/>
          <w:szCs w:val="28"/>
          <w:highlight w:val="none"/>
        </w:rPr>
        <w:t xml:space="preserve">                                  </w:t>
      </w:r>
      <w:r/>
    </w:p>
    <w:p>
      <w:pPr>
        <w:ind w:firstLine="482"/>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eastAsia="方正仿宋_GBK"/>
          <w:color w:val="000000"/>
          <w:sz w:val="28"/>
          <w:szCs w:val="28"/>
          <w:highlight w:val="none"/>
        </w:rPr>
        <w:t xml:space="preserve">XX</w:t>
      </w:r>
      <w:r/>
    </w:p>
    <w:tbl>
      <w:tblPr>
        <w:tblStyle w:val="77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投标总报价</w:t>
            </w:r>
            <w:r/>
          </w:p>
        </w:tc>
      </w:tr>
      <w:tr>
        <w:trPr>
          <w:cantSplit/>
          <w:trHeight w:val="612"/>
        </w:trPr>
        <w:tc>
          <w:tcPr>
            <w:tcW w:w="8934" w:type="dxa"/>
            <w:vAlign w:val="center"/>
            <w:textDirection w:val="lrTb"/>
            <w:noWrap w:val="false"/>
          </w:tcPr>
          <w:p>
            <w:pPr>
              <w:pStyle w:val="1028"/>
              <w:ind w:firstLine="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小写：                             （人民币：元）</w:t>
            </w:r>
            <w:r/>
          </w:p>
        </w:tc>
      </w:tr>
    </w:tbl>
    <w:p>
      <w:pPr>
        <w:ind w:firstLine="480"/>
        <w:spacing w:line="400" w:lineRule="exact"/>
        <w:rPr>
          <w:rFonts w:hint="eastAsia" w:ascii="宋体" w:hAnsi="宋体"/>
          <w:sz w:val="28"/>
          <w:szCs w:val="28"/>
          <w:highlight w:val="none"/>
        </w:rPr>
      </w:pPr>
      <w:r>
        <w:rPr>
          <w:rFonts w:hint="eastAsia" w:ascii="宋体" w:hAnsi="宋体"/>
          <w:sz w:val="28"/>
          <w:szCs w:val="28"/>
          <w:highlight w:val="none"/>
        </w:rPr>
      </w:r>
      <w:r/>
    </w:p>
    <w:p>
      <w:pPr>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附件2 投标分项报价表（采购包号：</w:t>
      </w:r>
      <w:r>
        <w:rPr>
          <w:rFonts w:hint="eastAsia" w:eastAsia="方正仿宋_GBK"/>
          <w:color w:val="000000"/>
          <w:sz w:val="28"/>
          <w:szCs w:val="28"/>
          <w:highlight w:val="none"/>
        </w:rPr>
        <w:t xml:space="preserve">XX</w:t>
      </w:r>
      <w:r>
        <w:rPr>
          <w:rFonts w:hint="eastAsia" w:ascii="方正黑体_GBK" w:hAnsi="方正黑体_GBK" w:eastAsia="方正黑体_GBK" w:cs="方正黑体_GBK"/>
          <w:bCs/>
          <w:sz w:val="28"/>
          <w:szCs w:val="28"/>
          <w:highlight w:val="none"/>
        </w:rPr>
        <w:t xml:space="preserve">）</w:t>
      </w:r>
      <w:r/>
    </w:p>
    <w:tbl>
      <w:tblPr>
        <w:tblStyle w:val="772"/>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p>
        </w:tc>
        <w:tc>
          <w:tcPr>
            <w:tcW w:w="1106"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1064"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p>
        </w:tc>
        <w:tc>
          <w:tcPr>
            <w:tcW w:w="1060"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w:t>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w:t>
            </w:r>
            <w:r/>
          </w:p>
        </w:tc>
        <w:tc>
          <w:tcPr>
            <w:tcW w:w="1040"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w:t>
            </w:r>
            <w:r/>
          </w:p>
        </w:tc>
        <w:tc>
          <w:tcPr>
            <w:tcW w:w="1250"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w:t>
            </w:r>
            <w:r/>
          </w:p>
        </w:tc>
        <w:tc>
          <w:tcPr>
            <w:tcW w:w="860"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w:t>
            </w:r>
            <w:r/>
          </w:p>
        </w:tc>
        <w:tc>
          <w:tcPr>
            <w:tcW w:w="920"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w:t>
            </w:r>
            <w:r/>
          </w:p>
        </w:tc>
        <w:tc>
          <w:tcPr>
            <w:tcW w:w="861"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w:t>
            </w:r>
            <w:r/>
          </w:p>
        </w:tc>
      </w:tr>
      <w:tr>
        <w:trPr>
          <w:cantSplit/>
          <w:trHeight w:val="294"/>
        </w:trPr>
        <w:tc>
          <w:tcPr>
            <w:tcW w:w="720"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1106" w:type="dxa"/>
            <w:vAlign w:val="center"/>
            <w:textDirection w:val="lrTb"/>
            <w:noWrap w:val="false"/>
          </w:tcPr>
          <w:p>
            <w:pP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分项服务名称/货物名称</w:t>
            </w:r>
            <w:r/>
          </w:p>
        </w:tc>
        <w:tc>
          <w:tcPr>
            <w:tcW w:w="1064"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品牌</w:t>
            </w:r>
            <w:r/>
          </w:p>
        </w:tc>
        <w:tc>
          <w:tcPr>
            <w:tcW w:w="1060"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规格</w:t>
            </w:r>
            <w:r/>
          </w:p>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型号</w:t>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制造商名称</w:t>
            </w:r>
            <w:r/>
          </w:p>
        </w:tc>
        <w:tc>
          <w:tcPr>
            <w:tcW w:w="1040"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产地</w:t>
            </w:r>
            <w:r/>
          </w:p>
        </w:tc>
        <w:tc>
          <w:tcPr>
            <w:tcW w:w="1250"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交付期/服务期</w:t>
            </w:r>
            <w:r/>
          </w:p>
        </w:tc>
        <w:tc>
          <w:tcPr>
            <w:tcW w:w="860"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数量</w:t>
            </w:r>
            <w:r/>
          </w:p>
        </w:tc>
        <w:tc>
          <w:tcPr>
            <w:tcW w:w="920"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分项</w:t>
            </w:r>
            <w:r/>
          </w:p>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单价</w:t>
            </w:r>
            <w:r/>
          </w:p>
        </w:tc>
        <w:tc>
          <w:tcPr>
            <w:tcW w:w="861"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分项</w:t>
            </w:r>
            <w:r/>
          </w:p>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总价</w:t>
            </w:r>
            <w:r/>
          </w:p>
        </w:tc>
      </w:tr>
      <w:tr>
        <w:trPr>
          <w:cantSplit/>
          <w:trHeight w:val="696"/>
        </w:trPr>
        <w:tc>
          <w:tcPr>
            <w:tcW w:w="720"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p>
        </w:tc>
        <w:tc>
          <w:tcPr>
            <w:tcW w:w="1106"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64"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60"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40"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250"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合同签订后</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日</w:t>
            </w:r>
            <w:r/>
          </w:p>
        </w:tc>
        <w:tc>
          <w:tcPr>
            <w:tcW w:w="860"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20"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861"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724"/>
        </w:trPr>
        <w:tc>
          <w:tcPr>
            <w:tcW w:w="720"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w:t>
            </w:r>
            <w:r/>
          </w:p>
        </w:tc>
        <w:tc>
          <w:tcPr>
            <w:tcW w:w="1106"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64"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60"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40"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250"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860"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20"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861"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720"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w:t>
            </w:r>
            <w:r/>
          </w:p>
        </w:tc>
        <w:tc>
          <w:tcPr>
            <w:tcW w:w="1106"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64"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60"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40"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250"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860"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20"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861"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580"/>
        </w:trPr>
        <w:tc>
          <w:tcPr>
            <w:tcW w:w="720"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tc>
        <w:tc>
          <w:tcPr>
            <w:tcW w:w="1106"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tc>
        <w:tc>
          <w:tcPr>
            <w:tcW w:w="1064"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60"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40"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250"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860"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20"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861"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434"/>
        </w:trPr>
        <w:tc>
          <w:tcPr>
            <w:gridSpan w:val="10"/>
            <w:tcW w:w="9861" w:type="dxa"/>
            <w:vAlign w:val="top"/>
            <w:textDirection w:val="lrTb"/>
            <w:noWrap w:val="false"/>
          </w:tcPr>
          <w:p>
            <w:pPr>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投标总报价（人民币：元）</w:t>
            </w:r>
            <w:r>
              <w:rPr>
                <w:rFonts w:hint="eastAsia" w:ascii="方正仿宋_GBK" w:hAnsi="方正仿宋_GBK" w:eastAsia="方正仿宋_GBK" w:cs="方正仿宋_GBK"/>
                <w:sz w:val="28"/>
                <w:szCs w:val="28"/>
                <w:highlight w:val="none"/>
                <w:u w:val="single"/>
              </w:rPr>
              <w:t xml:space="preserve">                             </w:t>
            </w:r>
            <w:r/>
          </w:p>
        </w:tc>
      </w:tr>
      <w:tr>
        <w:trPr>
          <w:cantSplit/>
          <w:trHeight w:val="757"/>
        </w:trPr>
        <w:tc>
          <w:tcPr>
            <w:gridSpan w:val="10"/>
            <w:tcW w:w="9861" w:type="dxa"/>
            <w:vAlign w:val="top"/>
            <w:textDirection w:val="lrTb"/>
            <w:noWrap w:val="false"/>
          </w:tcPr>
          <w:p>
            <w:pPr>
              <w:pStyle w:val="1003"/>
              <w:spacing w:before="0" w:beforeAutospacing="0" w:after="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w:t>
            </w:r>
            <w:r/>
          </w:p>
        </w:tc>
      </w:tr>
    </w:tbl>
    <w:p>
      <w:pPr>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p>
    <w:p>
      <w:pPr>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2.“投标分项报价表”中“投标总报价”数额应当与“开标一览表”中“投标总报价”数额一致。</w:t>
      </w:r>
      <w:r/>
    </w:p>
    <w:p>
      <w:pPr>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3.分项货物需填写品牌、规格型号、制造商、产地；分项服务不需填写品牌、规格型号、制造商、产地。</w:t>
      </w:r>
      <w:r/>
    </w:p>
    <w:p>
      <w:pPr>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highlight w:val="none"/>
          <w:u w:val="single"/>
        </w:rPr>
        <w:t xml:space="preserve">80%</w:t>
      </w:r>
      <w:r>
        <w:rPr>
          <w:rFonts w:hint="eastAsia" w:ascii="方正仿宋_GBK" w:hAnsi="方正仿宋_GBK" w:eastAsia="方正仿宋_GBK" w:cs="方正仿宋_GBK"/>
          <w:sz w:val="28"/>
          <w:szCs w:val="28"/>
          <w:highlight w:val="none"/>
        </w:rPr>
        <w:t xml:space="preserve">的，将不享受本国产品价格评审优惠。</w:t>
      </w:r>
      <w:r/>
    </w:p>
    <w:p>
      <w:pPr>
        <w:spacing w:line="400" w:lineRule="exact"/>
        <w:rPr>
          <w:rFonts w:ascii="宋体" w:hAnsi="宋体"/>
          <w:sz w:val="28"/>
          <w:szCs w:val="28"/>
          <w:highlight w:val="none"/>
        </w:rPr>
      </w:pPr>
      <w:r>
        <w:rPr>
          <w:rFonts w:hint="eastAsia" w:ascii="宋体" w:hAnsi="宋体"/>
          <w:sz w:val="28"/>
          <w:szCs w:val="28"/>
          <w:highlight w:val="none"/>
        </w:rPr>
        <w:t xml:space="preserve">                         </w:t>
      </w:r>
      <w:r/>
    </w:p>
    <w:p>
      <w:pPr>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附件3 技术要求响应及偏离表（采购包号：XX）</w:t>
      </w:r>
      <w:r/>
    </w:p>
    <w:tbl>
      <w:tblPr>
        <w:tblStyle w:val="77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p>
        </w:tc>
        <w:tc>
          <w:tcPr>
            <w:tcW w:w="3063"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技术要求</w:t>
            </w:r>
            <w:r/>
          </w:p>
        </w:tc>
        <w:tc>
          <w:tcPr>
            <w:tcW w:w="3191"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p>
        </w:tc>
        <w:tc>
          <w:tcPr>
            <w:tcW w:w="2128"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3063"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tc>
        <w:tc>
          <w:tcPr>
            <w:tcW w:w="3191"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jc w:val="left"/>
        <w:spacing w:line="400" w:lineRule="exact"/>
        <w:rPr>
          <w:rFonts w:ascii="宋体" w:hAnsi="宋体"/>
          <w:sz w:val="28"/>
          <w:szCs w:val="28"/>
          <w:highlight w:val="none"/>
        </w:rPr>
      </w:pPr>
      <w:r>
        <w:rPr>
          <w:rFonts w:hint="eastAsia" w:ascii="方正仿宋_GBK" w:hAnsi="方正仿宋_GBK" w:eastAsia="方正仿宋_GBK" w:cs="方正仿宋_GBK"/>
          <w:sz w:val="28"/>
          <w:szCs w:val="28"/>
          <w:highlight w:val="none"/>
        </w:rPr>
        <w:t xml:space="preserve">附件3-1  证明材料1，证明材料2，……</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1.投标人需对招标文件技术要求中非实质性要求（</w:t>
      </w:r>
      <w:r>
        <w:rPr>
          <w:rFonts w:hint="eastAsia" w:ascii="方正仿宋_GBK" w:hAnsi="方正仿宋_GBK" w:eastAsia="方正仿宋_GBK" w:cs="方正仿宋_GBK"/>
          <w:b/>
          <w:sz w:val="28"/>
          <w:szCs w:val="28"/>
          <w:highlight w:val="none"/>
        </w:rPr>
        <w:t xml:space="preserve">未加</w:t>
      </w:r>
      <w:r>
        <w:rPr>
          <w:rFonts w:hint="eastAsia" w:ascii="方正仿宋_GBK" w:hAnsi="方正仿宋_GBK" w:eastAsia="方正仿宋_GBK" w:cs="方正仿宋_GBK"/>
          <w:b/>
          <w:i/>
          <w:sz w:val="28"/>
          <w:szCs w:val="28"/>
          <w:highlight w:val="none"/>
          <w:u w:val="single"/>
        </w:rPr>
        <w:t xml:space="preserve">斜体下划线</w:t>
      </w:r>
      <w:r>
        <w:rPr>
          <w:rFonts w:hint="eastAsia" w:ascii="方正仿宋_GBK" w:hAnsi="方正仿宋_GBK" w:eastAsia="方正仿宋_GBK" w:cs="方正仿宋_GBK"/>
          <w:b/>
          <w:iCs/>
          <w:sz w:val="28"/>
          <w:szCs w:val="28"/>
          <w:highlight w:val="none"/>
        </w:rPr>
        <w:t xml:space="preserve">部分</w:t>
      </w:r>
      <w:r>
        <w:rPr>
          <w:rFonts w:hint="eastAsia" w:ascii="方正仿宋_GBK" w:hAnsi="方正仿宋_GBK" w:eastAsia="方正仿宋_GBK" w:cs="方正仿宋_GBK"/>
          <w:b/>
          <w:sz w:val="28"/>
          <w:szCs w:val="28"/>
          <w:highlight w:val="none"/>
        </w:rPr>
        <w:t xml:space="preserve">或未加*号条款</w:t>
      </w:r>
      <w:r>
        <w:rPr>
          <w:rFonts w:hint="eastAsia" w:ascii="方正仿宋_GBK" w:hAnsi="方正仿宋_GBK" w:eastAsia="方正仿宋_GBK" w:cs="方正仿宋_GBK"/>
          <w:sz w:val="28"/>
          <w:szCs w:val="28"/>
          <w:highlight w:val="none"/>
        </w:rPr>
        <w:t xml:space="preserve">）逐条做出明确响应。</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2.如果招标文件要求提供证明材料，投标人需将证明材料列于该表之下。</w:t>
      </w:r>
      <w:r/>
    </w:p>
    <w:p>
      <w:pPr>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r>
      <w:r/>
    </w:p>
    <w:p>
      <w:pPr>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附件4 商务要求响应及偏离表（采购包号：XX）</w:t>
      </w:r>
      <w:r/>
    </w:p>
    <w:tbl>
      <w:tblPr>
        <w:tblStyle w:val="77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p>
        </w:tc>
        <w:tc>
          <w:tcPr>
            <w:tcW w:w="3063"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商务要求 </w:t>
            </w:r>
            <w:r/>
          </w:p>
        </w:tc>
        <w:tc>
          <w:tcPr>
            <w:tcW w:w="3191"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p>
        </w:tc>
        <w:tc>
          <w:tcPr>
            <w:tcW w:w="2296"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3063"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296"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tc>
        <w:tc>
          <w:tcPr>
            <w:tcW w:w="3191"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296"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附件4-1  证明材料1，证明材料2，……</w:t>
      </w:r>
      <w:r/>
    </w:p>
    <w:p>
      <w:pPr>
        <w:spacing w:line="400" w:lineRule="exact"/>
        <w:rPr>
          <w:rFonts w:ascii="宋体" w:hAnsi="宋体"/>
          <w:sz w:val="28"/>
          <w:szCs w:val="28"/>
          <w:highlight w:val="none"/>
        </w:rPr>
      </w:pPr>
      <w:r>
        <w:rPr>
          <w:rFonts w:ascii="宋体" w:hAnsi="宋体"/>
          <w:sz w:val="28"/>
          <w:szCs w:val="28"/>
          <w:highlight w:val="none"/>
        </w:rPr>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1.投标人需对招标文件商务要求中非实质性要求（</w:t>
      </w:r>
      <w:r>
        <w:rPr>
          <w:rFonts w:hint="eastAsia" w:ascii="方正仿宋_GBK" w:hAnsi="方正仿宋_GBK" w:eastAsia="方正仿宋_GBK" w:cs="方正仿宋_GBK"/>
          <w:b/>
          <w:sz w:val="28"/>
          <w:szCs w:val="28"/>
          <w:highlight w:val="none"/>
        </w:rPr>
        <w:t xml:space="preserve">未加</w:t>
      </w:r>
      <w:r>
        <w:rPr>
          <w:rFonts w:hint="eastAsia" w:ascii="方正仿宋_GBK" w:hAnsi="方正仿宋_GBK" w:eastAsia="方正仿宋_GBK" w:cs="方正仿宋_GBK"/>
          <w:b/>
          <w:i/>
          <w:sz w:val="28"/>
          <w:szCs w:val="28"/>
          <w:highlight w:val="none"/>
          <w:u w:val="single"/>
        </w:rPr>
        <w:t xml:space="preserve">斜体下划线</w:t>
      </w:r>
      <w:r>
        <w:rPr>
          <w:rFonts w:hint="eastAsia" w:ascii="方正仿宋_GBK" w:hAnsi="方正仿宋_GBK" w:eastAsia="方正仿宋_GBK" w:cs="方正仿宋_GBK"/>
          <w:b/>
          <w:iCs/>
          <w:sz w:val="28"/>
          <w:szCs w:val="28"/>
          <w:highlight w:val="none"/>
        </w:rPr>
        <w:t xml:space="preserve">部分</w:t>
      </w:r>
      <w:r>
        <w:rPr>
          <w:rFonts w:hint="eastAsia" w:ascii="方正仿宋_GBK" w:hAnsi="方正仿宋_GBK" w:eastAsia="方正仿宋_GBK" w:cs="方正仿宋_GBK"/>
          <w:b/>
          <w:sz w:val="28"/>
          <w:szCs w:val="28"/>
          <w:highlight w:val="none"/>
        </w:rPr>
        <w:t xml:space="preserve">或未加*号条款</w:t>
      </w:r>
      <w:r>
        <w:rPr>
          <w:rFonts w:hint="eastAsia" w:ascii="方正仿宋_GBK" w:hAnsi="方正仿宋_GBK" w:eastAsia="方正仿宋_GBK" w:cs="方正仿宋_GBK"/>
          <w:sz w:val="28"/>
          <w:szCs w:val="28"/>
          <w:highlight w:val="none"/>
        </w:rPr>
        <w:t xml:space="preserve">）逐条做出明确响应。</w:t>
      </w:r>
      <w:r/>
    </w:p>
    <w:p>
      <w:pPr>
        <w:ind w:firstLine="560"/>
        <w:spacing w:line="400" w:lineRule="exact"/>
        <w:rPr>
          <w:rFonts w:hint="eastAsia" w:ascii="宋体" w:hAnsi="宋体"/>
          <w:b/>
          <w:sz w:val="28"/>
          <w:szCs w:val="28"/>
          <w:highlight w:val="none"/>
        </w:rPr>
      </w:pPr>
      <w:r>
        <w:rPr>
          <w:rFonts w:hint="eastAsia" w:ascii="方正仿宋_GBK" w:hAnsi="方正仿宋_GBK" w:eastAsia="方正仿宋_GBK" w:cs="方正仿宋_GBK"/>
          <w:sz w:val="28"/>
          <w:szCs w:val="28"/>
          <w:highlight w:val="none"/>
        </w:rPr>
        <w:t xml:space="preserve">2.如果招标文件要求提供证明材料，投标人需将证明材料列于该表之下。</w:t>
      </w:r>
      <w:r/>
    </w:p>
    <w:p>
      <w:pP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附件5 具备履行合同所必需的设备和专业技术能力的书面声明</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我单位郑重声明：我单位具备履行本项采购合同所必需的设备和专业技术能力，为履行本项采购合同我公司具备如下主要设备和主要专业技术能力：</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主要设备有：</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主要专业技术能力有：</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w:t>
      </w:r>
      <w:r/>
    </w:p>
    <w:p>
      <w:pPr>
        <w:spacing w:line="400" w:lineRule="exact"/>
        <w:rPr>
          <w:rFonts w:ascii="宋体" w:hAnsi="宋体"/>
          <w:b/>
          <w:color w:val="000000"/>
          <w:sz w:val="28"/>
          <w:szCs w:val="28"/>
          <w:highlight w:val="none"/>
        </w:rPr>
      </w:pPr>
      <w:r>
        <w:rPr>
          <w:rFonts w:hint="eastAsia" w:ascii="宋体" w:hAnsi="宋体"/>
          <w:bCs/>
          <w:color w:val="000000"/>
          <w:sz w:val="28"/>
          <w:szCs w:val="28"/>
          <w:highlight w:val="none"/>
        </w:rPr>
        <w:t xml:space="preserve">                                     </w:t>
      </w:r>
      <w:r/>
    </w:p>
    <w:p>
      <w:pPr>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r>
      <w:r/>
    </w:p>
    <w:p>
      <w:pPr>
        <w:jc w:val="center"/>
        <w:spacing w:line="400" w:lineRule="exact"/>
        <w:rPr>
          <w:rFonts w:ascii="宋体" w:hAnsi="宋体"/>
          <w:bCs/>
          <w:color w:val="000000"/>
          <w:sz w:val="28"/>
          <w:szCs w:val="28"/>
          <w:highlight w:val="none"/>
        </w:rPr>
      </w:pPr>
      <w:r>
        <w:rPr>
          <w:rFonts w:hint="eastAsia" w:ascii="方正黑体_GBK" w:hAnsi="方正黑体_GBK" w:eastAsia="方正黑体_GBK" w:cs="方正黑体_GBK"/>
          <w:bCs/>
          <w:sz w:val="28"/>
          <w:szCs w:val="28"/>
          <w:highlight w:val="none"/>
        </w:rPr>
        <w:t xml:space="preserve">附件6 参加政府采购活动前 3 年内在经营活动中没有重大违法记录的书面声明</w:t>
      </w:r>
      <w:r/>
    </w:p>
    <w:p>
      <w:pPr>
        <w:ind w:firstLine="560"/>
        <w:spacing w:line="400" w:lineRule="exact"/>
        <w:rPr>
          <w:rFonts w:hint="eastAsia" w:ascii="方正黑体_GBK" w:hAnsi="方正黑体_GBK" w:eastAsia="方正黑体_GBK" w:cs="方正黑体_GBK"/>
          <w:bCs/>
          <w:sz w:val="28"/>
          <w:szCs w:val="28"/>
          <w:highlight w:val="none"/>
        </w:rPr>
      </w:pPr>
      <w:r>
        <w:rPr>
          <w:rFonts w:hint="eastAsia" w:ascii="方正仿宋_GBK" w:hAnsi="方正仿宋_GBK" w:eastAsia="方正仿宋_GBK" w:cs="方正仿宋_GBK"/>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r>
      <w:r/>
    </w:p>
    <w:p>
      <w:pPr>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附件7         法人授权书</w:t>
      </w:r>
      <w:r/>
    </w:p>
    <w:p>
      <w:pPr>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本授权书声明：</w:t>
      </w:r>
      <w:r>
        <w:rPr>
          <w:rFonts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（投标人名称）授权</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（被授权人的姓名）为我方就采购编号为</w:t>
      </w:r>
      <w:r>
        <w:rPr>
          <w:rFonts w:eastAsia="方正仿宋_GBK"/>
          <w:color w:val="000000"/>
          <w:sz w:val="28"/>
          <w:szCs w:val="28"/>
          <w:highlight w:val="none"/>
        </w:rPr>
        <w:t xml:space="preserve">JSZC-320000-SCZX-G20XX-XXXX</w:t>
      </w:r>
      <w:r>
        <w:rPr>
          <w:rFonts w:hint="eastAsia" w:ascii="方正仿宋_GBK" w:hAnsi="方正仿宋_GBK" w:eastAsia="方正仿宋_GBK" w:cs="方正仿宋_GBK"/>
          <w:color w:val="000000"/>
          <w:sz w:val="28"/>
          <w:szCs w:val="28"/>
          <w:highlight w:val="none"/>
        </w:rPr>
        <w:t xml:space="preserve">，</w:t>
      </w:r>
      <w:r>
        <w:rPr>
          <w:rFonts w:hint="eastAsia"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项目（项目名称）采购活动的合法代理人，以本单位名义全权处理一切与该项目采购有关的事务。</w:t>
      </w:r>
      <w:r/>
    </w:p>
    <w:p>
      <w:pPr>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本授权书于</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年</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月</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日起生效，特此声明。</w:t>
      </w:r>
      <w:r/>
    </w:p>
    <w:p>
      <w:pPr>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被授权人身份证号码：</w:t>
      </w:r>
      <w:r>
        <w:rPr>
          <w:rFonts w:hint="eastAsia" w:ascii="方正仿宋_GBK" w:hAnsi="方正仿宋_GBK" w:eastAsia="方正仿宋_GBK" w:cs="方正仿宋_GBK"/>
          <w:color w:val="000000"/>
          <w:sz w:val="28"/>
          <w:szCs w:val="28"/>
          <w:highlight w:val="none"/>
          <w:u w:val="single"/>
        </w:rPr>
        <w:t xml:space="preserve">                              </w:t>
      </w:r>
      <w:r/>
    </w:p>
    <w:p>
      <w:pPr>
        <w:ind w:firstLine="560"/>
        <w:spacing w:line="400" w:lineRule="exact"/>
        <w:tabs>
          <w:tab w:val="left" w:pos="360" w:leader="none"/>
        </w:tabs>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被授权人联系电话：（手机）</w:t>
      </w:r>
      <w:r>
        <w:rPr>
          <w:rFonts w:hint="eastAsia" w:ascii="方正仿宋_GBK" w:hAnsi="方正仿宋_GBK" w:eastAsia="方正仿宋_GBK" w:cs="方正仿宋_GBK"/>
          <w:sz w:val="28"/>
          <w:szCs w:val="28"/>
          <w:highlight w:val="none"/>
          <w:u w:val="single"/>
        </w:rPr>
        <w:t xml:space="preserve">                          </w:t>
      </w:r>
      <w:r/>
    </w:p>
    <w:p>
      <w:pPr>
        <w:ind w:firstLine="560"/>
        <w:spacing w:line="400" w:lineRule="exact"/>
        <w:tabs>
          <w:tab w:val="left" w:pos="360" w:leader="none"/>
        </w:tabs>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被授权人电子邮箱：</w:t>
      </w:r>
      <w:r>
        <w:rPr>
          <w:rFonts w:hint="eastAsia" w:ascii="方正仿宋_GBK" w:hAnsi="方正仿宋_GBK" w:eastAsia="方正仿宋_GBK" w:cs="方正仿宋_GBK"/>
          <w:sz w:val="28"/>
          <w:szCs w:val="28"/>
          <w:highlight w:val="none"/>
          <w:u w:val="single"/>
        </w:rPr>
        <w:t xml:space="preserve">            </w:t>
      </w:r>
      <w:r/>
    </w:p>
    <w:p>
      <w:pPr>
        <w:ind w:firstLine="560"/>
        <w:spacing w:line="400" w:lineRule="exact"/>
        <w:tabs>
          <w:tab w:val="left" w:pos="36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授权单位名称：</w:t>
      </w:r>
      <w:r>
        <w:rPr>
          <w:rFonts w:hint="eastAsia" w:ascii="方正仿宋_GBK" w:hAnsi="方正仿宋_GBK" w:eastAsia="方正仿宋_GBK" w:cs="方正仿宋_GBK"/>
          <w:sz w:val="28"/>
          <w:szCs w:val="28"/>
          <w:highlight w:val="none"/>
          <w:u w:val="single"/>
        </w:rPr>
        <w:t xml:space="preserve">（加盖CA电子公章）</w:t>
      </w:r>
      <w:r/>
    </w:p>
    <w:p>
      <w:pPr>
        <w:ind w:firstLine="560"/>
        <w:spacing w:line="400" w:lineRule="exact"/>
        <w:tabs>
          <w:tab w:val="left" w:pos="360" w:leader="none"/>
        </w:tabs>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单位地址：</w:t>
      </w:r>
      <w:r>
        <w:rPr>
          <w:rFonts w:hint="eastAsia" w:ascii="方正仿宋_GBK" w:hAnsi="方正仿宋_GBK" w:eastAsia="方正仿宋_GBK" w:cs="方正仿宋_GBK"/>
          <w:sz w:val="28"/>
          <w:szCs w:val="28"/>
          <w:highlight w:val="none"/>
          <w:u w:val="single"/>
        </w:rPr>
        <w:t xml:space="preserve">                                         </w:t>
      </w:r>
      <w:r/>
    </w:p>
    <w:p>
      <w:pPr>
        <w:ind w:firstLine="560"/>
        <w:spacing w:line="400" w:lineRule="exact"/>
        <w:tabs>
          <w:tab w:val="left" w:pos="36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日    期：</w:t>
      </w:r>
      <w:r>
        <w:rPr>
          <w:rFonts w:hint="eastAsia" w:ascii="方正仿宋_GBK" w:hAnsi="方正仿宋_GBK" w:eastAsia="方正仿宋_GBK" w:cs="方正仿宋_GBK"/>
          <w:sz w:val="28"/>
          <w:szCs w:val="28"/>
          <w:highlight w:val="none"/>
          <w:u w:val="single"/>
        </w:rPr>
        <w:t xml:space="preserve">                                         </w:t>
      </w:r>
      <w:r/>
    </w:p>
    <w:p>
      <w:pPr>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r>
      <w:r/>
    </w:p>
    <w:p>
      <w:pPr>
        <w:jc w:val="center"/>
        <w:spacing w:line="400" w:lineRule="exact"/>
        <w:rPr>
          <w:rFonts w:ascii="黑体" w:hAnsi="黑体" w:eastAsia="黑体"/>
          <w:b/>
          <w:i/>
          <w:color w:val="000000"/>
          <w:sz w:val="28"/>
          <w:szCs w:val="28"/>
          <w:highlight w:val="none"/>
          <w:u w:val="single"/>
        </w:rPr>
      </w:pPr>
      <w:r>
        <w:rPr>
          <w:rFonts w:hint="eastAsia" w:ascii="方正黑体_GBK" w:hAnsi="方正黑体_GBK" w:eastAsia="方正黑体_GBK" w:cs="方正黑体_GBK"/>
          <w:bCs/>
          <w:sz w:val="28"/>
          <w:szCs w:val="28"/>
          <w:highlight w:val="none"/>
        </w:rPr>
        <w:t xml:space="preserve">附件8              投标函</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致：江苏省政府采购中心</w:t>
      </w:r>
      <w:r/>
    </w:p>
    <w:p>
      <w:pPr>
        <w:pStyle w:val="1028"/>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根据贵方</w:t>
      </w:r>
      <w:r>
        <w:rPr>
          <w:rFonts w:hint="eastAsia" w:ascii="方正仿宋_GBK" w:hAnsi="方正仿宋_GBK" w:eastAsia="方正仿宋_GBK" w:cs="方正仿宋_GBK"/>
          <w:sz w:val="28"/>
          <w:szCs w:val="28"/>
          <w:highlight w:val="none"/>
        </w:rPr>
        <w:t xml:space="preserve">采购编号为</w:t>
      </w:r>
      <w:r>
        <w:rPr>
          <w:rFonts w:ascii="Times New Roman" w:hAnsi="Times New Roman" w:eastAsia="方正仿宋_GBK"/>
          <w:color w:val="000000"/>
          <w:sz w:val="28"/>
          <w:szCs w:val="28"/>
          <w:highlight w:val="none"/>
        </w:rPr>
        <w:t xml:space="preserve">JSZC-320000-SCZX-G20XX-XXXX</w:t>
      </w:r>
      <w:r>
        <w:rPr>
          <w:rFonts w:ascii="Times New Roman" w:hAnsi="Times New Roman" w:eastAsia="方正仿宋_GBK"/>
          <w:sz w:val="28"/>
          <w:szCs w:val="28"/>
          <w:highlight w:val="none"/>
        </w:rPr>
        <w:t xml:space="preserve">，</w:t>
      </w:r>
      <w:r>
        <w:rPr>
          <w:rFonts w:ascii="Times New Roman" w:hAnsi="Times New Roman" w:eastAsia="方正仿宋_GBK"/>
          <w:color w:val="000000"/>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项目（项目名称）的</w:t>
      </w:r>
      <w:r>
        <w:rPr>
          <w:rFonts w:hint="eastAsia" w:ascii="方正仿宋_GBK" w:hAnsi="方正仿宋_GBK" w:eastAsia="方正仿宋_GBK" w:cs="方正仿宋_GBK"/>
          <w:color w:val="000000"/>
          <w:sz w:val="28"/>
          <w:szCs w:val="28"/>
          <w:highlight w:val="none"/>
        </w:rPr>
        <w:t xml:space="preserve">招标文件</w:t>
      </w:r>
      <w:r>
        <w:rPr>
          <w:rFonts w:hint="eastAsia" w:ascii="方正仿宋_GBK" w:hAnsi="方正仿宋_GBK" w:eastAsia="方正仿宋_GBK" w:cs="方正仿宋_GBK"/>
          <w:sz w:val="28"/>
          <w:szCs w:val="28"/>
          <w:highlight w:val="none"/>
        </w:rPr>
        <w:t xml:space="preserve">，正式授权下述签字人</w:t>
      </w:r>
      <w:r>
        <w:rPr>
          <w:rFonts w:hint="eastAsia" w:ascii="Times New Roman" w:hAnsi="Times New Roman"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(姓名)代表我方</w:t>
      </w:r>
      <w:r>
        <w:rPr>
          <w:rFonts w:hint="eastAsia" w:ascii="Times New Roman" w:hAnsi="Times New Roman" w:eastAsia="方正仿宋_GBK"/>
          <w:color w:val="000000"/>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（投标人的名称），全权处理本次项目投标的有关事宜。</w:t>
      </w:r>
      <w:r/>
    </w:p>
    <w:p>
      <w:pPr>
        <w:pStyle w:val="1028"/>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据此函，</w:t>
      </w:r>
      <w:r>
        <w:rPr>
          <w:rFonts w:hint="eastAsia" w:ascii="Times New Roman" w:hAnsi="Times New Roman"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签字人兹宣布同意如下：</w:t>
      </w:r>
      <w:r/>
    </w:p>
    <w:p>
      <w:pPr>
        <w:pStyle w:val="1028"/>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1.按招标文件规定的各项要求，向买方提供所需服务（包含与服务相关的货物）。</w:t>
      </w:r>
      <w:r/>
    </w:p>
    <w:p>
      <w:pPr>
        <w:pStyle w:val="1028"/>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2.我们完全理解贵方不一定将合同授予最低报价的投标人。</w:t>
      </w:r>
      <w:r/>
    </w:p>
    <w:p>
      <w:pPr>
        <w:pStyle w:val="1028"/>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3.我们已详细审核全部招标文件及其有效补充文件。</w:t>
      </w:r>
      <w:r/>
    </w:p>
    <w:p>
      <w:pPr>
        <w:pStyle w:val="1028"/>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4.我们同意从规定的开标日期起遵循本投标文件，并在规定的投标有效期期满之前均具有约束力。</w:t>
      </w:r>
      <w:r/>
    </w:p>
    <w:p>
      <w:pPr>
        <w:pStyle w:val="1028"/>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5.同意向贵方提供贵方可能另外要求的与投标有关的任何证据或资料，并保证我方已提供和将要提供的文件是真实的、准确的。</w:t>
      </w:r>
      <w:r/>
    </w:p>
    <w:p>
      <w:pPr>
        <w:pStyle w:val="1028"/>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6.一旦我方中标,我方将根据招标文件的规定，严格履行合同的责任和义务,并保证在招标文件规定的时间内完成项目，交付买方验收、使用。</w:t>
      </w:r>
      <w:r/>
    </w:p>
    <w:p>
      <w:pPr>
        <w:pStyle w:val="1028"/>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7.与本投标有关的正式通讯地址为：</w:t>
      </w:r>
      <w:r/>
    </w:p>
    <w:p>
      <w:pPr>
        <w:pStyle w:val="1028"/>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          址：</w:t>
      </w:r>
      <w:r/>
    </w:p>
    <w:p>
      <w:pPr>
        <w:pStyle w:val="1028"/>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邮          编：</w:t>
      </w:r>
      <w:r/>
    </w:p>
    <w:p>
      <w:pPr>
        <w:pStyle w:val="1028"/>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电          话：</w:t>
      </w:r>
      <w:r/>
    </w:p>
    <w:p>
      <w:pPr>
        <w:pStyle w:val="1028"/>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传          真：</w:t>
      </w:r>
      <w:r/>
    </w:p>
    <w:p>
      <w:pPr>
        <w:pStyle w:val="1028"/>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投标人开户行：</w:t>
      </w:r>
      <w:r/>
    </w:p>
    <w:p>
      <w:pPr>
        <w:pStyle w:val="1028"/>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账        号： </w:t>
      </w:r>
      <w:r/>
    </w:p>
    <w:p>
      <w:pPr>
        <w:pStyle w:val="1028"/>
        <w:ind w:left="420" w:firstLine="560"/>
        <w:spacing w:before="0" w:after="0" w:line="400" w:lineRule="exact"/>
        <w:rPr>
          <w:rFonts w:hint="eastAsia" w:ascii="宋体" w:hAnsi="宋体"/>
          <w:sz w:val="28"/>
          <w:szCs w:val="28"/>
          <w:highlight w:val="none"/>
        </w:rPr>
      </w:pPr>
      <w:r>
        <w:rPr>
          <w:rFonts w:hint="eastAsia" w:ascii="宋体" w:hAnsi="宋体"/>
          <w:sz w:val="28"/>
          <w:szCs w:val="28"/>
          <w:highlight w:val="none"/>
        </w:rPr>
      </w:r>
      <w:r/>
    </w:p>
    <w:p>
      <w:pPr>
        <w:jc w:val="righ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供应商全称（加盖CA电子公章）：</w:t>
      </w:r>
      <w:r/>
    </w:p>
    <w:p>
      <w:pPr>
        <w:pStyle w:val="1028"/>
        <w:jc w:val="center"/>
        <w:spacing w:before="0" w:after="0"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sz w:val="28"/>
          <w:szCs w:val="28"/>
          <w:highlight w:val="none"/>
        </w:rPr>
        <w:t xml:space="preserve">                            日      期：___年____月____日</w:t>
      </w:r>
      <w:r/>
    </w:p>
    <w:p>
      <w:pPr>
        <w:ind w:firstLine="560"/>
        <w:spacing w:line="400" w:lineRule="exact"/>
        <w:rPr>
          <w:rFonts w:ascii="宋体" w:hAnsi="宋体"/>
          <w:sz w:val="28"/>
          <w:szCs w:val="28"/>
          <w:highlight w:val="none"/>
        </w:rPr>
      </w:pPr>
      <w:r>
        <w:rPr>
          <w:rFonts w:ascii="宋体" w:hAnsi="宋体"/>
          <w:sz w:val="28"/>
          <w:szCs w:val="28"/>
          <w:highlight w:val="none"/>
        </w:rPr>
      </w:r>
      <w:bookmarkEnd w:id="165"/>
      <w:r/>
      <w:bookmarkEnd w:id="166"/>
      <w:r/>
      <w:bookmarkEnd w:id="167"/>
      <w:r/>
      <w:r/>
    </w:p>
    <w:p>
      <w:pPr>
        <w:jc w:val="center"/>
        <w:spacing w:line="400" w:lineRule="exact"/>
        <w:rPr>
          <w:rFonts w:hint="eastAsia" w:ascii="方正黑体_GBK" w:hAnsi="方正黑体_GBK" w:eastAsia="方正黑体_GBK" w:cs="方正黑体_GBK"/>
          <w:bCs/>
          <w:sz w:val="28"/>
          <w:szCs w:val="28"/>
          <w:highlight w:val="none"/>
        </w:rPr>
      </w:pPr>
      <w:r/>
      <w:bookmarkStart w:id="168" w:name="_Toc120614284"/>
      <w:r>
        <w:rPr>
          <w:rFonts w:hint="eastAsia" w:ascii="方正黑体_GBK" w:hAnsi="方正黑体_GBK" w:eastAsia="方正黑体_GBK" w:cs="方正黑体_GBK"/>
          <w:bCs/>
          <w:sz w:val="28"/>
          <w:szCs w:val="28"/>
          <w:highlight w:val="none"/>
        </w:rPr>
        <w:t xml:space="preserve">附件9 中小微企业声明函（服务类项目）（采购包号：</w:t>
      </w:r>
      <w:r>
        <w:rPr>
          <w:rFonts w:eastAsia="方正黑体_GBK"/>
          <w:bCs/>
          <w:sz w:val="28"/>
          <w:szCs w:val="28"/>
          <w:highlight w:val="none"/>
        </w:rPr>
        <w:t xml:space="preserve">XX</w:t>
      </w:r>
      <w:r>
        <w:rPr>
          <w:rFonts w:hint="eastAsia" w:ascii="方正黑体_GBK" w:hAnsi="方正黑体_GBK" w:eastAsia="方正黑体_GBK" w:cs="方正黑体_GBK"/>
          <w:bCs/>
          <w:sz w:val="28"/>
          <w:szCs w:val="28"/>
          <w:highlight w:val="none"/>
        </w:rPr>
        <w:t xml:space="preserve">）</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本公司（联合体）郑重声明，根据《政府采购促进中小企业发展管理办法》(财库〔2020〕46号)的规定，本公司（联合体）参加江苏省政府采购中心组织的</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（单位名称）采购编号为</w:t>
      </w:r>
      <w:r>
        <w:rPr>
          <w:rFonts w:hint="eastAsia" w:eastAsia="方正黑体_GBK"/>
          <w:bCs/>
          <w:sz w:val="28"/>
          <w:szCs w:val="28"/>
          <w:highlight w:val="none"/>
        </w:rPr>
        <w:t xml:space="preserve">JSZC-320000-SCZX-G20XX-XXXX</w:t>
      </w:r>
      <w:r>
        <w:rPr>
          <w:rFonts w:hint="eastAsia" w:ascii="方正仿宋_GBK" w:hAnsi="方正仿宋_GBK" w:eastAsia="方正仿宋_GBK" w:cs="方正仿宋_GBK"/>
          <w:sz w:val="28"/>
          <w:szCs w:val="28"/>
          <w:highlight w:val="none"/>
        </w:rPr>
        <w:t xml:space="preserve">，</w:t>
      </w:r>
      <w:r>
        <w:rPr>
          <w:rFonts w:hint="eastAsia" w:eastAsia="方正仿宋_GBK"/>
          <w:color w:val="000000"/>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项目（项目名称）（采购包号：XX）的采购活动，服务全部由符合政策的中小微企业承接。相关企业（含联合体中的中小微企业、签订采购包意向协议的中小微企业）的具体情况如下：</w:t>
      </w:r>
      <w:r/>
    </w:p>
    <w:p>
      <w:pPr>
        <w:ind w:firstLine="560"/>
        <w:spacing w:line="400" w:lineRule="exact"/>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sz w:val="28"/>
          <w:szCs w:val="28"/>
          <w:highlight w:val="none"/>
        </w:rPr>
        <w:t xml:space="preserve">1.</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（标的名称）</w:t>
      </w:r>
      <w:r>
        <w:rPr>
          <w:rFonts w:hint="eastAsia" w:ascii="方正仿宋_GBK" w:hAnsi="方正仿宋_GBK" w:eastAsia="方正仿宋_GBK" w:cs="方正仿宋_GBK"/>
          <w:i/>
          <w:sz w:val="28"/>
          <w:szCs w:val="28"/>
          <w:highlight w:val="none"/>
        </w:rPr>
        <w:t xml:space="preserve">，</w:t>
      </w:r>
      <w:r>
        <w:rPr>
          <w:rFonts w:hint="eastAsia" w:ascii="方正仿宋_GBK" w:hAnsi="方正仿宋_GBK" w:eastAsia="方正仿宋_GBK" w:cs="方正仿宋_GBK"/>
          <w:sz w:val="28"/>
          <w:szCs w:val="28"/>
          <w:highlight w:val="none"/>
        </w:rPr>
        <w:t xml:space="preserve">属于</w:t>
      </w:r>
      <w:r>
        <w:rPr>
          <w:rFonts w:hint="eastAsia" w:eastAsia="方正仿宋_GBK"/>
          <w:color w:val="000000"/>
          <w:sz w:val="28"/>
          <w:szCs w:val="28"/>
          <w:highlight w:val="none"/>
          <w:u w:val="single"/>
        </w:rPr>
        <w:t xml:space="preserve">XX</w:t>
      </w:r>
      <w:r>
        <w:rPr>
          <w:rFonts w:hint="eastAsia" w:eastAsia="方正仿宋_GBK"/>
          <w:color w:val="000000"/>
          <w:sz w:val="28"/>
          <w:szCs w:val="28"/>
          <w:highlight w:val="none"/>
        </w:rPr>
        <w:t xml:space="preserve">（</w:t>
      </w:r>
      <w:r>
        <w:rPr>
          <w:rFonts w:hint="eastAsia" w:ascii="方正仿宋_GBK" w:hAnsi="方正仿宋_GBK" w:eastAsia="方正仿宋_GBK" w:cs="方正仿宋_GBK"/>
          <w:sz w:val="28"/>
          <w:szCs w:val="28"/>
          <w:highlight w:val="none"/>
        </w:rPr>
        <w:t xml:space="preserve">供应商填写招标文件中明确的所属行业）行业；承接企业为</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（企业名称），从业人员</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人，营业收入为</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万元，资产总额为</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万元</w:t>
      </w:r>
      <w:r>
        <w:rPr>
          <w:rFonts w:hint="eastAsia" w:ascii="方正仿宋_GBK" w:hAnsi="方正仿宋_GBK" w:eastAsia="方正仿宋_GBK" w:cs="方正仿宋_GBK"/>
          <w:sz w:val="28"/>
          <w:szCs w:val="28"/>
          <w:highlight w:val="none"/>
          <w:vertAlign w:val="superscript"/>
        </w:rPr>
        <w:t xml:space="preserve">1</w:t>
      </w:r>
      <w:r>
        <w:rPr>
          <w:rFonts w:hint="eastAsia" w:ascii="方正仿宋_GBK" w:hAnsi="方正仿宋_GBK" w:eastAsia="方正仿宋_GBK" w:cs="方正仿宋_GBK"/>
          <w:sz w:val="28"/>
          <w:szCs w:val="28"/>
          <w:highlight w:val="none"/>
        </w:rPr>
        <w:t xml:space="preserve">，属于</w:t>
      </w:r>
      <w:r>
        <w:rPr>
          <w:rFonts w:hint="eastAsia" w:ascii="方正仿宋_GBK" w:hAnsi="方正仿宋_GBK" w:eastAsia="方正仿宋_GBK" w:cs="方正仿宋_GBK"/>
          <w:sz w:val="28"/>
          <w:szCs w:val="28"/>
          <w:highlight w:val="none"/>
          <w:u w:val="single"/>
        </w:rPr>
        <w:t xml:space="preserve">（□中型企业 □小型企业 □微型企业）；</w:t>
      </w:r>
      <w:r/>
    </w:p>
    <w:p>
      <w:pPr>
        <w:ind w:firstLine="560"/>
        <w:spacing w:line="400" w:lineRule="exact"/>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sz w:val="28"/>
          <w:szCs w:val="28"/>
          <w:highlight w:val="none"/>
        </w:rPr>
        <w:t xml:space="preserve">2.</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（标的名称）</w:t>
      </w:r>
      <w:r>
        <w:rPr>
          <w:rFonts w:hint="eastAsia" w:ascii="方正仿宋_GBK" w:hAnsi="方正仿宋_GBK" w:eastAsia="方正仿宋_GBK" w:cs="方正仿宋_GBK"/>
          <w:i/>
          <w:sz w:val="28"/>
          <w:szCs w:val="28"/>
          <w:highlight w:val="none"/>
        </w:rPr>
        <w:t xml:space="preserve">，</w:t>
      </w:r>
      <w:r>
        <w:rPr>
          <w:rFonts w:hint="eastAsia" w:ascii="方正仿宋_GBK" w:hAnsi="方正仿宋_GBK" w:eastAsia="方正仿宋_GBK" w:cs="方正仿宋_GBK"/>
          <w:sz w:val="28"/>
          <w:szCs w:val="28"/>
          <w:highlight w:val="none"/>
        </w:rPr>
        <w:t xml:space="preserve">属于</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（供应商填写招标文件中明确的所属行业）行业；承接企业为</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（企业名称），从业人员</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人，营业收入为</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万元，资产总额为</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万元</w:t>
      </w:r>
      <w:r>
        <w:rPr>
          <w:rFonts w:hint="eastAsia" w:ascii="方正仿宋_GBK" w:hAnsi="方正仿宋_GBK" w:eastAsia="方正仿宋_GBK" w:cs="方正仿宋_GBK"/>
          <w:sz w:val="28"/>
          <w:szCs w:val="28"/>
          <w:highlight w:val="none"/>
          <w:vertAlign w:val="superscript"/>
        </w:rPr>
        <w:t xml:space="preserve">1</w:t>
      </w:r>
      <w:r>
        <w:rPr>
          <w:rFonts w:hint="eastAsia" w:ascii="方正仿宋_GBK" w:hAnsi="方正仿宋_GBK" w:eastAsia="方正仿宋_GBK" w:cs="方正仿宋_GBK"/>
          <w:sz w:val="28"/>
          <w:szCs w:val="28"/>
          <w:highlight w:val="none"/>
        </w:rPr>
        <w:t xml:space="preserve">，属于</w:t>
      </w:r>
      <w:r>
        <w:rPr>
          <w:rFonts w:hint="eastAsia" w:ascii="方正仿宋_GBK" w:hAnsi="方正仿宋_GBK" w:eastAsia="方正仿宋_GBK" w:cs="方正仿宋_GBK"/>
          <w:sz w:val="28"/>
          <w:szCs w:val="28"/>
          <w:highlight w:val="none"/>
          <w:u w:val="single"/>
        </w:rPr>
        <w:t xml:space="preserve">（□中型企业 □小型企业 □微型企业）；</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以上企业，不属于大企业的分支机构，不存在控股股东为大企业的情形，也不存在与大企业的负责人为同一人的情形。</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本企业对上述声明内容的真实性负责。如有虚假，将依法承担相应责任</w:t>
      </w:r>
      <w:r/>
    </w:p>
    <w:p>
      <w:pPr>
        <w:ind w:right="720"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ind w:right="180" w:firstLine="56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企业名称（加盖CA电子公章）：</w:t>
      </w:r>
      <w:r/>
    </w:p>
    <w:p>
      <w:pPr>
        <w:ind w:right="180" w:firstLine="56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                    日     期：___年___月___日 </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1.从业人员、营业收入、资产总额填报上一年度数据，无上一年度数据的新成立企业可不填报。</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ind w:firstLine="560"/>
        <w:spacing w:line="400" w:lineRule="exact"/>
        <w:rPr>
          <w:rFonts w:hint="eastAsia" w:ascii="宋体" w:hAnsi="宋体"/>
          <w:color w:val="ff0000"/>
          <w:sz w:val="28"/>
          <w:szCs w:val="28"/>
          <w:highlight w:val="none"/>
        </w:rPr>
      </w:pPr>
      <w:r>
        <w:rPr>
          <w:rFonts w:hint="eastAsia" w:ascii="方正黑体_GBK" w:hAnsi="方正黑体_GBK" w:eastAsia="方正黑体_GBK" w:cs="方正黑体_GBK"/>
          <w:bCs/>
          <w:sz w:val="28"/>
          <w:szCs w:val="28"/>
          <w:highlight w:val="none"/>
        </w:rPr>
        <w:t xml:space="preserve">附件10 残疾人福利性单位声明函（服务类项目）（采购包号：</w:t>
      </w:r>
      <w:r>
        <w:rPr>
          <w:rFonts w:hint="eastAsia" w:eastAsia="方正黑体_GBK"/>
          <w:bCs/>
          <w:sz w:val="28"/>
          <w:szCs w:val="28"/>
          <w:highlight w:val="none"/>
        </w:rPr>
        <w:t xml:space="preserve">XX</w:t>
      </w:r>
      <w:r>
        <w:rPr>
          <w:rFonts w:hint="eastAsia" w:ascii="方正黑体_GBK" w:hAnsi="方正黑体_GBK" w:eastAsia="方正黑体_GBK" w:cs="方正黑体_GBK"/>
          <w:bCs/>
          <w:sz w:val="28"/>
          <w:szCs w:val="28"/>
          <w:highlight w:val="none"/>
        </w:rPr>
        <w:t xml:space="preserve">）</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单位采购编号为</w:t>
      </w:r>
      <w:r>
        <w:rPr>
          <w:rFonts w:hint="eastAsia" w:eastAsia="方正黑体_GBK"/>
          <w:bCs/>
          <w:sz w:val="28"/>
          <w:szCs w:val="28"/>
          <w:highlight w:val="none"/>
        </w:rPr>
        <w:t xml:space="preserve">JSZC-320000-SCZX-G20XX-XXXX</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u w:val="single"/>
        </w:rPr>
        <w:t xml:space="preserve">    </w:t>
      </w:r>
      <w:r>
        <w:rPr>
          <w:rFonts w:hint="eastAsia" w:eastAsia="方正仿宋_GBK"/>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项目（项目名称）（采购包号：</w:t>
      </w:r>
      <w:r>
        <w:rPr>
          <w:rFonts w:hint="eastAsia" w:eastAsia="方正黑体_GBK"/>
          <w:bCs/>
          <w:sz w:val="28"/>
          <w:szCs w:val="28"/>
          <w:highlight w:val="none"/>
        </w:rPr>
        <w:t xml:space="preserve">XX</w:t>
      </w:r>
      <w:r>
        <w:rPr>
          <w:rFonts w:hint="eastAsia" w:ascii="方正仿宋_GBK" w:hAnsi="方正仿宋_GBK" w:eastAsia="方正仿宋_GBK" w:cs="方正仿宋_GBK"/>
          <w:sz w:val="28"/>
          <w:szCs w:val="28"/>
          <w:highlight w:val="none"/>
        </w:rPr>
        <w:t xml:space="preserve">）采购活动由本单位提供服务。</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本单位对上述声明的真实性负责。如有虚假，将依法承担相应责任。</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1.专门面向中小微型企业采购的项目，供应商为残疾人福利性单位并提供服务的必须提供此声明函，否则将不能通过资格审查。</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2.非专门面向中小微型企业采购的项目，供应商如不提供此声明函，价格将不做相应扣除。</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3.中标/成交供应商为残疾人福利性单位的，此声明函将随中标/成交结果同时公告，接受社会监督</w:t>
      </w:r>
      <w:r/>
    </w:p>
    <w:p>
      <w:pPr>
        <w:ind w:firstLine="584"/>
        <w:spacing w:line="400" w:lineRule="exact"/>
        <w:rPr>
          <w:rFonts w:hint="eastAsia" w:ascii="方正仿宋_GBK" w:hAnsi="方正仿宋_GBK" w:eastAsia="方正仿宋_GBK" w:cs="方正仿宋_GBK"/>
          <w:spacing w:val="6"/>
          <w:sz w:val="28"/>
          <w:szCs w:val="28"/>
          <w:highlight w:val="none"/>
        </w:rPr>
      </w:pPr>
      <w:r>
        <w:rPr>
          <w:rFonts w:hint="eastAsia" w:ascii="方正仿宋_GBK" w:hAnsi="方正仿宋_GBK" w:eastAsia="方正仿宋_GBK" w:cs="方正仿宋_GBK"/>
          <w:spacing w:val="6"/>
          <w:sz w:val="28"/>
          <w:szCs w:val="28"/>
          <w:highlight w:val="none"/>
        </w:rPr>
      </w:r>
      <w:r/>
    </w:p>
    <w:p>
      <w:pPr>
        <w:ind w:right="1559" w:firstLine="584"/>
        <w:jc w:val="center"/>
        <w:spacing w:line="400" w:lineRule="exact"/>
        <w:tabs>
          <w:tab w:val="left" w:pos="486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pacing w:val="6"/>
          <w:sz w:val="28"/>
          <w:szCs w:val="28"/>
          <w:highlight w:val="none"/>
        </w:rPr>
        <w:t xml:space="preserve">             </w:t>
      </w:r>
      <w:r>
        <w:rPr>
          <w:rFonts w:hint="eastAsia" w:ascii="方正仿宋_GBK" w:hAnsi="方正仿宋_GBK" w:eastAsia="方正仿宋_GBK" w:cs="方正仿宋_GBK"/>
          <w:sz w:val="28"/>
          <w:szCs w:val="28"/>
          <w:highlight w:val="none"/>
        </w:rPr>
        <w:t xml:space="preserve">供应商全称（加盖CA电子公章）：</w:t>
      </w:r>
      <w:r/>
    </w:p>
    <w:p>
      <w:pPr>
        <w:ind w:right="1559" w:firstLine="560"/>
        <w:jc w:val="center"/>
        <w:spacing w:line="400" w:lineRule="exact"/>
        <w:tabs>
          <w:tab w:val="left" w:pos="486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shd w:val="clear" w:color="auto" w:fill="ffffff"/>
        </w:rPr>
        <w:t xml:space="preserve">日     期：___年____月____日   </w:t>
      </w:r>
      <w:r/>
    </w:p>
    <w:p>
      <w:pPr>
        <w:jc w:val="center"/>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r>
      <w:r/>
    </w:p>
    <w:p>
      <w:pPr>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r>
      <w:r/>
    </w:p>
    <w:p>
      <w:pPr>
        <w:ind w:firstLine="560"/>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附件11 联合体协议（参考格式）（采购包号：XX）</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（联合体中各供应商全称）在此达成以下协议：</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1.我们</w:t>
      </w:r>
      <w:r>
        <w:rPr>
          <w:rFonts w:hint="eastAsia" w:ascii="方正仿宋_GBK" w:hAnsi="方正仿宋_GBK" w:eastAsia="方正仿宋_GBK" w:cs="方正仿宋_GBK"/>
          <w:sz w:val="28"/>
          <w:szCs w:val="28"/>
          <w:highlight w:val="none"/>
          <w:u w:val="single"/>
        </w:rPr>
        <w:t xml:space="preserve"> （供应商1），（供应商2） ，……</w:t>
      </w:r>
      <w:r>
        <w:rPr>
          <w:rFonts w:hint="eastAsia" w:ascii="方正仿宋_GBK" w:hAnsi="方正仿宋_GBK" w:eastAsia="方正仿宋_GBK" w:cs="方正仿宋_GBK"/>
          <w:sz w:val="28"/>
          <w:szCs w:val="28"/>
          <w:highlight w:val="none"/>
        </w:rPr>
        <w:t xml:space="preserve">自愿组成联合体，参加江苏省政府采购中心组织的采购编号为</w:t>
      </w:r>
      <w:r>
        <w:rPr>
          <w:rFonts w:eastAsia="方正仿宋_GBK"/>
          <w:color w:val="000000"/>
          <w:sz w:val="28"/>
          <w:szCs w:val="28"/>
          <w:highlight w:val="none"/>
        </w:rPr>
        <w:t xml:space="preserve">JSZC-320000-SCZX-G20XX-XXXX</w:t>
      </w:r>
      <w:r>
        <w:rPr>
          <w:rFonts w:hint="eastAsia" w:ascii="方正仿宋_GBK" w:hAnsi="方正仿宋_GBK" w:eastAsia="方正仿宋_GBK" w:cs="方正仿宋_GBK"/>
          <w:sz w:val="28"/>
          <w:szCs w:val="28"/>
          <w:highlight w:val="none"/>
        </w:rPr>
        <w:t xml:space="preserve">，</w:t>
      </w:r>
      <w:r>
        <w:rPr>
          <w:rFonts w:hint="eastAsia" w:eastAsia="方正仿宋_GBK"/>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项目（项目名称）（采购包号：XX）的政府采购活动，我联合体指定</w:t>
      </w:r>
      <w:r>
        <w:rPr>
          <w:rFonts w:hint="eastAsia"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（供应商全称）为牵头单位（牵头单位必须为联合体成员）。</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2.若我们联合中标、成交，</w:t>
      </w:r>
      <w:r>
        <w:rPr>
          <w:rFonts w:hint="eastAsia"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（供应商单位1全称）实施项目中</w:t>
      </w:r>
      <w:r>
        <w:rPr>
          <w:rFonts w:hint="eastAsia" w:eastAsia="方正仿宋_GBK"/>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（工作内容）部分工作，并承担相应的责任。</w:t>
      </w:r>
      <w:r>
        <w:rPr>
          <w:rFonts w:hint="eastAsia"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（供应商单位2全称）实施项目中</w:t>
      </w:r>
      <w:r>
        <w:rPr>
          <w:rFonts w:hint="eastAsia" w:eastAsia="方正仿宋_GBK"/>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（工作内容）部分工作，并承担相应的责任……。（注：联合体中各供应商都应明示所承担的工作和相应的责任）。</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3.其中</w:t>
      </w:r>
      <w:r>
        <w:rPr>
          <w:rFonts w:hint="eastAsia"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（小型、微型企业/残疾人福利性单位/监狱企业全称）为（</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小型、微型企业 </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残疾人福利性单位 </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p>
    <w:p>
      <w:pPr>
        <w:ind w:firstLine="560"/>
        <w:jc w:val="righ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联合体中各供应商全称（公章）：     </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shd w:val="clear" w:color="auto" w:fill="ffffff"/>
        </w:rPr>
        <w:t xml:space="preserve">日期：___年____月____日     </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备注：本招标文件中要求加盖CA电子签章的地方，仅需加盖牵头单位的CA电子签章。</w:t>
      </w:r>
      <w:r/>
    </w:p>
    <w:p>
      <w:pPr>
        <w:ind w:firstLine="645"/>
        <w:spacing w:line="400" w:lineRule="exact"/>
        <w:rPr>
          <w:rFonts w:hint="eastAsia" w:ascii="宋体" w:hAnsi="宋体"/>
          <w:sz w:val="28"/>
          <w:szCs w:val="28"/>
          <w:highlight w:val="none"/>
        </w:rPr>
      </w:pPr>
      <w:r>
        <w:rPr>
          <w:rFonts w:hint="eastAsia" w:ascii="宋体" w:hAnsi="宋体"/>
          <w:sz w:val="28"/>
          <w:szCs w:val="28"/>
          <w:highlight w:val="none"/>
        </w:rPr>
      </w:r>
      <w:r/>
    </w:p>
    <w:p>
      <w:pPr>
        <w:spacing w:line="400" w:lineRule="exact"/>
        <w:rPr>
          <w:rFonts w:hint="eastAsia" w:ascii="宋体" w:hAnsi="宋体"/>
          <w:sz w:val="28"/>
          <w:szCs w:val="28"/>
          <w:highlight w:val="none"/>
        </w:rPr>
      </w:pPr>
      <w:r>
        <w:rPr>
          <w:rFonts w:hint="eastAsia" w:ascii="宋体" w:hAnsi="宋体"/>
          <w:sz w:val="28"/>
          <w:szCs w:val="28"/>
          <w:highlight w:val="none"/>
        </w:rPr>
      </w:r>
      <w:r/>
    </w:p>
    <w:p>
      <w:pPr>
        <w:ind w:firstLine="560"/>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附件12 实质性要求响应及偏离表（采购包号：XX）</w:t>
      </w:r>
      <w:r/>
    </w:p>
    <w:tbl>
      <w:tblPr>
        <w:tblStyle w:val="77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p>
        </w:tc>
        <w:tc>
          <w:tcPr>
            <w:tcW w:w="3609"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招标文件（含技术要求和商务要求）中的实质性要求</w:t>
            </w:r>
            <w:r>
              <w:rPr>
                <w:rFonts w:hint="eastAsia" w:ascii="方正仿宋_GBK" w:hAnsi="方正仿宋_GBK" w:eastAsia="方正仿宋_GBK" w:cs="方正仿宋_GBK"/>
                <w:b/>
                <w:bCs/>
                <w:sz w:val="28"/>
                <w:szCs w:val="28"/>
                <w:highlight w:val="none"/>
              </w:rPr>
              <w:t xml:space="preserve">（</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w:t>
            </w:r>
            <w:r/>
          </w:p>
        </w:tc>
        <w:tc>
          <w:tcPr>
            <w:tcW w:w="3317"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p>
        </w:tc>
        <w:tc>
          <w:tcPr>
            <w:tcW w:w="1526"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3609"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317"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526"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p>
        </w:tc>
        <w:tc>
          <w:tcPr>
            <w:tcW w:w="3609"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317"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526"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609"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tc>
        <w:tc>
          <w:tcPr>
            <w:tcW w:w="3317"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526" w:type="dxa"/>
            <w:vAlign w:val="top"/>
            <w:textDirection w:val="lrTb"/>
            <w:noWrap w:val="false"/>
          </w:tcPr>
          <w:p>
            <w:pPr>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附件12-1 证明材料1，证明材料2，……</w:t>
      </w:r>
      <w:r/>
    </w:p>
    <w:p>
      <w:pP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1.投标人必须对招标文件（含技术要求和商务要求）中的实质性要求</w:t>
      </w:r>
      <w:r>
        <w:rPr>
          <w:rFonts w:hint="eastAsia" w:ascii="方正仿宋_GBK" w:hAnsi="方正仿宋_GBK" w:eastAsia="方正仿宋_GBK" w:cs="方正仿宋_GBK"/>
          <w:b/>
          <w:bCs/>
          <w:sz w:val="28"/>
          <w:szCs w:val="28"/>
          <w:highlight w:val="none"/>
        </w:rPr>
        <w:t xml:space="preserve">（</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或加*号条款为实质性要求）</w:t>
      </w:r>
      <w:r>
        <w:rPr>
          <w:rFonts w:hint="eastAsia" w:ascii="方正仿宋_GBK" w:hAnsi="方正仿宋_GBK" w:eastAsia="方正仿宋_GBK" w:cs="方正仿宋_GBK"/>
          <w:sz w:val="28"/>
          <w:szCs w:val="28"/>
          <w:highlight w:val="none"/>
        </w:rPr>
        <w:t xml:space="preserve">逐条做出明确响应，否则作无效投标处理。</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2.如果招标文件要求提供证明材料，投标人必须将证明材料列于该表之下。</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3.投标人未对实质性要求逐条作出明确响应的，或未按招标文件要求提供证明材料的，该采购包作无效投标处理。</w:t>
      </w:r>
      <w:r/>
    </w:p>
    <w:p>
      <w:pPr>
        <w:jc w:val="center"/>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ind w:firstLine="560"/>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附件13  关于符合本国产品标准的声明函（采购包号：XX）</w:t>
      </w:r>
      <w:r/>
    </w:p>
    <w:p>
      <w:pPr>
        <w:pStyle w:val="1003"/>
        <w:ind w:firstLine="560"/>
        <w:spacing w:before="0" w:beforeAutospacing="0" w:after="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03"/>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1.</w:t>
      </w:r>
      <w:r>
        <w:rPr>
          <w:rStyle w:val="1015"/>
          <w:rFonts w:hint="eastAsia" w:ascii="方正仿宋_GBK" w:hAnsi="方正仿宋_GBK" w:eastAsia="方正仿宋_GBK" w:cs="方正仿宋_GBK"/>
          <w:i w:val="0"/>
          <w:sz w:val="28"/>
          <w:szCs w:val="28"/>
          <w:highlight w:val="none"/>
          <w:u w:val="single"/>
          <w:shd w:val="clear" w:color="auto" w:fill="ffffff"/>
        </w:rPr>
        <w:t xml:space="preserve">（产品名称1）</w:t>
      </w:r>
      <w:r>
        <w:rPr>
          <w:rStyle w:val="1015"/>
          <w:rFonts w:hint="eastAsia" w:ascii="方正仿宋_GBK" w:hAnsi="方正仿宋_GBK" w:eastAsia="方正仿宋_GBK" w:cs="方正仿宋_GBK"/>
          <w:i w:val="0"/>
          <w:sz w:val="28"/>
          <w:szCs w:val="28"/>
          <w:highlight w:val="none"/>
          <w:shd w:val="clear" w:color="auto" w:fill="ffffff"/>
          <w:vertAlign w:val="superscript"/>
        </w:rPr>
        <w:t xml:space="preserve">1</w:t>
      </w:r>
      <w:r>
        <w:rPr>
          <w:rFonts w:hint="eastAsia" w:ascii="方正仿宋_GBK" w:hAnsi="方正仿宋_GBK" w:eastAsia="方正仿宋_GBK" w:cs="方正仿宋_GBK"/>
          <w:sz w:val="28"/>
          <w:szCs w:val="28"/>
          <w:highlight w:val="none"/>
          <w:shd w:val="clear" w:color="auto" w:fill="ffffff"/>
        </w:rPr>
        <w:t xml:space="preserve">，生产厂为</w:t>
      </w:r>
      <w:r>
        <w:rPr>
          <w:rStyle w:val="1015"/>
          <w:rFonts w:hint="eastAsia" w:ascii="方正仿宋_GBK" w:hAnsi="方正仿宋_GBK" w:eastAsia="方正仿宋_GBK" w:cs="方正仿宋_GBK"/>
          <w:i w:val="0"/>
          <w:sz w:val="28"/>
          <w:szCs w:val="28"/>
          <w:highlight w:val="none"/>
          <w:u w:val="single"/>
          <w:shd w:val="clear" w:color="auto" w:fill="ffffff"/>
        </w:rPr>
        <w:t xml:space="preserve">（厂名）</w:t>
      </w:r>
      <w:r>
        <w:rPr>
          <w:rStyle w:val="1015"/>
          <w:rFonts w:hint="eastAsia" w:ascii="方正仿宋_GBK" w:hAnsi="方正仿宋_GBK" w:eastAsia="方正仿宋_GBK" w:cs="方正仿宋_GBK"/>
          <w:i w:val="0"/>
          <w:sz w:val="28"/>
          <w:szCs w:val="28"/>
          <w:highlight w:val="none"/>
          <w:shd w:val="clear" w:color="auto" w:fill="ffffff"/>
          <w:vertAlign w:val="superscript"/>
        </w:rPr>
        <w:t xml:space="preserve">2</w:t>
      </w:r>
      <w:r>
        <w:rPr>
          <w:rFonts w:hint="eastAsia" w:ascii="方正仿宋_GBK" w:hAnsi="方正仿宋_GBK" w:eastAsia="方正仿宋_GBK" w:cs="方正仿宋_GBK"/>
          <w:sz w:val="28"/>
          <w:szCs w:val="28"/>
          <w:highlight w:val="none"/>
          <w:shd w:val="clear" w:color="auto" w:fill="ffffff"/>
        </w:rPr>
        <w:t xml:space="preserve">，厂址为</w:t>
      </w:r>
      <w:r>
        <w:rPr>
          <w:rStyle w:val="1015"/>
          <w:rFonts w:hint="eastAsia" w:ascii="方正仿宋_GBK" w:hAnsi="方正仿宋_GBK" w:eastAsia="方正仿宋_GBK" w:cs="方正仿宋_GBK"/>
          <w:i w:val="0"/>
          <w:sz w:val="28"/>
          <w:szCs w:val="28"/>
          <w:highlight w:val="none"/>
          <w:u w:val="single"/>
          <w:shd w:val="clear" w:color="auto" w:fill="ffffff"/>
        </w:rPr>
        <w:t xml:space="preserve">（生产厂址）</w:t>
      </w: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u w:val="single"/>
          <w:shd w:val="clear" w:color="auto" w:fill="ffffff"/>
        </w:rPr>
        <w:t xml:space="preserve"> </w:t>
      </w:r>
      <w:r>
        <w:rPr>
          <w:rStyle w:val="1015"/>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的中国境内生产的组件成本占比≥</w:t>
      </w:r>
      <w:r>
        <w:rPr>
          <w:rFonts w:hint="eastAsia" w:ascii="方正仿宋_GBK" w:hAnsi="方正仿宋_GBK" w:eastAsia="方正仿宋_GBK" w:cs="方正仿宋_GBK"/>
          <w:sz w:val="28"/>
          <w:szCs w:val="28"/>
          <w:highlight w:val="none"/>
          <w:u w:val="single"/>
          <w:shd w:val="clear" w:color="auto" w:fill="ffffff"/>
        </w:rPr>
        <w:t xml:space="preserve">  </w:t>
      </w:r>
      <w:r>
        <w:rPr>
          <w:rStyle w:val="1015"/>
          <w:rFonts w:hint="eastAsia" w:ascii="方正仿宋_GBK" w:hAnsi="方正仿宋_GBK" w:eastAsia="方正仿宋_GBK" w:cs="方正仿宋_GBK"/>
          <w:i w:val="0"/>
          <w:sz w:val="28"/>
          <w:szCs w:val="28"/>
          <w:highlight w:val="none"/>
          <w:u w:val="single"/>
          <w:shd w:val="clear" w:color="auto" w:fill="ffffff"/>
        </w:rPr>
        <w:t xml:space="preserve">/  </w:t>
      </w:r>
      <w:r>
        <w:rPr>
          <w:rStyle w:val="1015"/>
          <w:rFonts w:hint="eastAsia" w:ascii="方正仿宋_GBK" w:hAnsi="方正仿宋_GBK" w:eastAsia="方正仿宋_GBK" w:cs="方正仿宋_GBK"/>
          <w:i w:val="0"/>
          <w:sz w:val="28"/>
          <w:szCs w:val="28"/>
          <w:highlight w:val="none"/>
          <w:shd w:val="clear" w:color="auto" w:fill="ffffff"/>
          <w:vertAlign w:val="superscript"/>
        </w:rPr>
        <w:t xml:space="preserve">3</w:t>
      </w: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u w:val="single"/>
          <w:shd w:val="clear" w:color="auto" w:fill="ffffff"/>
        </w:rPr>
        <w:t xml:space="preserve">  </w:t>
      </w:r>
      <w:r>
        <w:rPr>
          <w:rStyle w:val="1015"/>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w:t>
      </w:r>
      <w:r>
        <w:rPr>
          <w:rFonts w:hint="eastAsia" w:ascii="方正仿宋_GBK" w:hAnsi="方正仿宋_GBK" w:eastAsia="方正仿宋_GBK" w:cs="方正仿宋_GBK"/>
          <w:sz w:val="28"/>
          <w:szCs w:val="28"/>
          <w:highlight w:val="none"/>
          <w:u w:val="single"/>
          <w:shd w:val="clear" w:color="auto" w:fill="ffffff"/>
        </w:rPr>
        <w:t xml:space="preserve">  </w:t>
      </w:r>
      <w:r>
        <w:rPr>
          <w:rStyle w:val="1015"/>
          <w:rFonts w:hint="eastAsia" w:ascii="方正仿宋_GBK" w:hAnsi="方正仿宋_GBK" w:eastAsia="方正仿宋_GBK" w:cs="方正仿宋_GBK"/>
          <w:i w:val="0"/>
          <w:sz w:val="28"/>
          <w:szCs w:val="28"/>
          <w:highlight w:val="none"/>
          <w:u w:val="single"/>
          <w:shd w:val="clear" w:color="auto" w:fill="ffffff"/>
        </w:rPr>
        <w:t xml:space="preserve">/  </w:t>
      </w:r>
      <w:r>
        <w:rPr>
          <w:rStyle w:val="1015"/>
          <w:rFonts w:hint="eastAsia" w:ascii="方正仿宋_GBK" w:hAnsi="方正仿宋_GBK" w:eastAsia="方正仿宋_GBK" w:cs="方正仿宋_GBK"/>
          <w:i w:val="0"/>
          <w:sz w:val="28"/>
          <w:szCs w:val="28"/>
          <w:highlight w:val="none"/>
          <w:shd w:val="clear" w:color="auto" w:fill="ffffff"/>
          <w:vertAlign w:val="superscript"/>
        </w:rPr>
        <w:t xml:space="preserve">4</w:t>
      </w:r>
      <w:r>
        <w:rPr>
          <w:rFonts w:hint="eastAsia" w:ascii="方正仿宋_GBK" w:hAnsi="方正仿宋_GBK" w:eastAsia="方正仿宋_GBK" w:cs="方正仿宋_GBK"/>
          <w:sz w:val="28"/>
          <w:szCs w:val="28"/>
          <w:highlight w:val="none"/>
          <w:shd w:val="clear" w:color="auto" w:fill="ffffff"/>
        </w:rPr>
        <w:t xml:space="preserve">在中国境内生产。</w:t>
      </w:r>
      <w:r>
        <w:rPr>
          <w:rFonts w:hint="eastAsia" w:ascii="方正仿宋_GBK" w:hAnsi="方正仿宋_GBK" w:eastAsia="方正仿宋_GBK" w:cs="方正仿宋_GBK"/>
          <w:sz w:val="28"/>
          <w:szCs w:val="28"/>
          <w:highlight w:val="none"/>
          <w:u w:val="single"/>
          <w:shd w:val="clear" w:color="auto" w:fill="ffffff"/>
        </w:rPr>
        <w:t xml:space="preserve">  </w:t>
      </w:r>
      <w:r>
        <w:rPr>
          <w:rStyle w:val="1015"/>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w:t>
      </w:r>
      <w:r>
        <w:rPr>
          <w:rFonts w:hint="eastAsia" w:ascii="方正仿宋_GBK" w:hAnsi="方正仿宋_GBK" w:eastAsia="方正仿宋_GBK" w:cs="方正仿宋_GBK"/>
          <w:sz w:val="28"/>
          <w:szCs w:val="28"/>
          <w:highlight w:val="none"/>
          <w:u w:val="single"/>
          <w:shd w:val="clear" w:color="auto" w:fill="ffffff"/>
        </w:rPr>
        <w:t xml:space="preserve">  </w:t>
      </w:r>
      <w:r>
        <w:rPr>
          <w:rStyle w:val="1015"/>
          <w:rFonts w:hint="eastAsia" w:ascii="方正仿宋_GBK" w:hAnsi="方正仿宋_GBK" w:eastAsia="方正仿宋_GBK" w:cs="方正仿宋_GBK"/>
          <w:i w:val="0"/>
          <w:sz w:val="28"/>
          <w:szCs w:val="28"/>
          <w:highlight w:val="none"/>
          <w:u w:val="single"/>
          <w:shd w:val="clear" w:color="auto" w:fill="ffffff"/>
        </w:rPr>
        <w:t xml:space="preserve">/  </w:t>
      </w:r>
      <w:r>
        <w:rPr>
          <w:rStyle w:val="1015"/>
          <w:rFonts w:hint="eastAsia" w:ascii="方正仿宋_GBK" w:hAnsi="方正仿宋_GBK" w:eastAsia="方正仿宋_GBK" w:cs="方正仿宋_GBK"/>
          <w:i w:val="0"/>
          <w:sz w:val="28"/>
          <w:szCs w:val="28"/>
          <w:highlight w:val="none"/>
          <w:shd w:val="clear" w:color="auto" w:fill="ffffff"/>
          <w:vertAlign w:val="superscript"/>
        </w:rPr>
        <w:t xml:space="preserve">5</w:t>
      </w:r>
      <w:r>
        <w:rPr>
          <w:rFonts w:hint="eastAsia" w:ascii="方正仿宋_GBK" w:hAnsi="方正仿宋_GBK" w:eastAsia="方正仿宋_GBK" w:cs="方正仿宋_GBK"/>
          <w:sz w:val="28"/>
          <w:szCs w:val="28"/>
          <w:highlight w:val="none"/>
          <w:shd w:val="clear" w:color="auto" w:fill="ffffff"/>
        </w:rPr>
        <w:t xml:space="preserve">在中国境内完成。</w:t>
      </w:r>
      <w:r/>
    </w:p>
    <w:p>
      <w:pPr>
        <w:pStyle w:val="1003"/>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2.</w:t>
      </w:r>
      <w:r>
        <w:rPr>
          <w:rStyle w:val="1015"/>
          <w:rFonts w:hint="eastAsia" w:ascii="方正仿宋_GBK" w:hAnsi="方正仿宋_GBK" w:eastAsia="方正仿宋_GBK" w:cs="方正仿宋_GBK"/>
          <w:i w:val="0"/>
          <w:sz w:val="28"/>
          <w:szCs w:val="28"/>
          <w:highlight w:val="none"/>
          <w:u w:val="single"/>
          <w:shd w:val="clear" w:color="auto" w:fill="ffffff"/>
        </w:rPr>
        <w:t xml:space="preserve">（产品名称2）</w:t>
      </w:r>
      <w:r>
        <w:rPr>
          <w:rFonts w:hint="eastAsia" w:ascii="方正仿宋_GBK" w:hAnsi="方正仿宋_GBK" w:eastAsia="方正仿宋_GBK" w:cs="方正仿宋_GBK"/>
          <w:sz w:val="28"/>
          <w:szCs w:val="28"/>
          <w:highlight w:val="none"/>
          <w:shd w:val="clear" w:color="auto" w:fill="ffffff"/>
        </w:rPr>
        <w:t xml:space="preserve">，生产厂为</w:t>
      </w:r>
      <w:r>
        <w:rPr>
          <w:rStyle w:val="1015"/>
          <w:rFonts w:hint="eastAsia" w:ascii="方正仿宋_GBK" w:hAnsi="方正仿宋_GBK" w:eastAsia="方正仿宋_GBK" w:cs="方正仿宋_GBK"/>
          <w:i w:val="0"/>
          <w:sz w:val="28"/>
          <w:szCs w:val="28"/>
          <w:highlight w:val="none"/>
          <w:u w:val="single"/>
          <w:shd w:val="clear" w:color="auto" w:fill="ffffff"/>
        </w:rPr>
        <w:t xml:space="preserve">（厂名）</w:t>
      </w:r>
      <w:r>
        <w:rPr>
          <w:rFonts w:hint="eastAsia" w:ascii="方正仿宋_GBK" w:hAnsi="方正仿宋_GBK" w:eastAsia="方正仿宋_GBK" w:cs="方正仿宋_GBK"/>
          <w:sz w:val="28"/>
          <w:szCs w:val="28"/>
          <w:highlight w:val="none"/>
          <w:shd w:val="clear" w:color="auto" w:fill="ffffff"/>
        </w:rPr>
        <w:t xml:space="preserve">，厂址为</w:t>
      </w:r>
      <w:r>
        <w:rPr>
          <w:rStyle w:val="1015"/>
          <w:rFonts w:hint="eastAsia" w:ascii="方正仿宋_GBK" w:hAnsi="方正仿宋_GBK" w:eastAsia="方正仿宋_GBK" w:cs="方正仿宋_GBK"/>
          <w:i w:val="0"/>
          <w:sz w:val="28"/>
          <w:szCs w:val="28"/>
          <w:highlight w:val="none"/>
          <w:u w:val="single"/>
          <w:shd w:val="clear" w:color="auto" w:fill="ffffff"/>
        </w:rPr>
        <w:t xml:space="preserve">（生产厂址）</w:t>
      </w: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u w:val="single"/>
          <w:shd w:val="clear" w:color="auto" w:fill="ffffff"/>
        </w:rPr>
        <w:t xml:space="preserve"> </w:t>
      </w:r>
      <w:r>
        <w:rPr>
          <w:rStyle w:val="1015"/>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的中国境内生产的组件成本占比≥</w:t>
      </w:r>
      <w:r>
        <w:rPr>
          <w:rFonts w:hint="eastAsia" w:ascii="方正仿宋_GBK" w:hAnsi="方正仿宋_GBK" w:eastAsia="方正仿宋_GBK" w:cs="方正仿宋_GBK"/>
          <w:sz w:val="28"/>
          <w:szCs w:val="28"/>
          <w:highlight w:val="none"/>
          <w:u w:val="single"/>
          <w:shd w:val="clear" w:color="auto" w:fill="ffffff"/>
        </w:rPr>
        <w:t xml:space="preserve">  </w:t>
      </w:r>
      <w:r>
        <w:rPr>
          <w:rStyle w:val="1015"/>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u w:val="single"/>
          <w:shd w:val="clear" w:color="auto" w:fill="ffffff"/>
        </w:rPr>
        <w:t xml:space="preserve">  </w:t>
      </w:r>
      <w:r>
        <w:rPr>
          <w:rStyle w:val="1015"/>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w:t>
      </w:r>
      <w:r>
        <w:rPr>
          <w:rFonts w:hint="eastAsia" w:ascii="方正仿宋_GBK" w:hAnsi="方正仿宋_GBK" w:eastAsia="方正仿宋_GBK" w:cs="方正仿宋_GBK"/>
          <w:sz w:val="28"/>
          <w:szCs w:val="28"/>
          <w:highlight w:val="none"/>
          <w:u w:val="single"/>
          <w:shd w:val="clear" w:color="auto" w:fill="ffffff"/>
        </w:rPr>
        <w:t xml:space="preserve">  </w:t>
      </w:r>
      <w:r>
        <w:rPr>
          <w:rStyle w:val="1015"/>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在中国境内生产。</w:t>
      </w:r>
      <w:r>
        <w:rPr>
          <w:rFonts w:hint="eastAsia" w:ascii="方正仿宋_GBK" w:hAnsi="方正仿宋_GBK" w:eastAsia="方正仿宋_GBK" w:cs="方正仿宋_GBK"/>
          <w:sz w:val="28"/>
          <w:szCs w:val="28"/>
          <w:highlight w:val="none"/>
          <w:u w:val="single"/>
          <w:shd w:val="clear" w:color="auto" w:fill="ffffff"/>
        </w:rPr>
        <w:t xml:space="preserve">  </w:t>
      </w:r>
      <w:r>
        <w:rPr>
          <w:rStyle w:val="1015"/>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w:t>
      </w:r>
      <w:r>
        <w:rPr>
          <w:rFonts w:hint="eastAsia" w:ascii="方正仿宋_GBK" w:hAnsi="方正仿宋_GBK" w:eastAsia="方正仿宋_GBK" w:cs="方正仿宋_GBK"/>
          <w:sz w:val="28"/>
          <w:szCs w:val="28"/>
          <w:highlight w:val="none"/>
          <w:u w:val="single"/>
          <w:shd w:val="clear" w:color="auto" w:fill="ffffff"/>
        </w:rPr>
        <w:t xml:space="preserve">  </w:t>
      </w:r>
      <w:r>
        <w:rPr>
          <w:rStyle w:val="1015"/>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在中国境内完成。</w:t>
      </w:r>
      <w:r/>
    </w:p>
    <w:p>
      <w:pPr>
        <w:pStyle w:val="1003"/>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w:t>
      </w:r>
      <w:r/>
    </w:p>
    <w:p>
      <w:pPr>
        <w:pStyle w:val="1003"/>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本公司（单位）对上述声明内容的真实性负责。如有虚假，愿承担相应法律责任。</w:t>
      </w:r>
      <w:r/>
    </w:p>
    <w:p>
      <w:pPr>
        <w:pStyle w:val="1003"/>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1003"/>
        <w:ind w:firstLine="560"/>
        <w:jc w:val="right"/>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    公司（单位）名称（加盖CA电子公章）：　        </w:t>
      </w:r>
      <w:r/>
    </w:p>
    <w:p>
      <w:pPr>
        <w:pStyle w:val="1003"/>
        <w:ind w:firstLine="560"/>
        <w:jc w:val="center"/>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          日期：</w:t>
      </w:r>
      <w:r>
        <w:rPr>
          <w:rFonts w:hint="eastAsia" w:ascii="方正仿宋_GBK" w:hAnsi="方正仿宋_GBK" w:eastAsia="方正仿宋_GBK" w:cs="方正仿宋_GBK"/>
          <w:sz w:val="28"/>
          <w:szCs w:val="28"/>
          <w:highlight w:val="none"/>
        </w:rPr>
        <w:t xml:space="preserve">___年____月____日</w:t>
      </w:r>
      <w:r>
        <w:rPr>
          <w:rFonts w:hint="eastAsia" w:ascii="方正仿宋_GBK" w:hAnsi="方正仿宋_GBK" w:eastAsia="方正仿宋_GBK" w:cs="方正仿宋_GBK"/>
          <w:sz w:val="28"/>
          <w:szCs w:val="28"/>
          <w:highlight w:val="none"/>
          <w:shd w:val="clear" w:color="auto" w:fill="ffffff"/>
        </w:rPr>
        <w:t xml:space="preserve">        </w:t>
      </w:r>
      <w:r/>
    </w:p>
    <w:p>
      <w:pPr>
        <w:pStyle w:val="1003"/>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__________________</w:t>
      </w:r>
      <w:r/>
    </w:p>
    <w:p>
      <w:pPr>
        <w:pStyle w:val="1003"/>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1.产品如有型号，请在“产品名称”栏一并填写。</w:t>
      </w:r>
      <w:r/>
    </w:p>
    <w:p>
      <w:pPr>
        <w:pStyle w:val="1003"/>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2.生产厂名与厂址应与生产厂营业执照载明的相关信息保持一致。</w:t>
      </w:r>
      <w:r/>
    </w:p>
    <w:p>
      <w:pPr>
        <w:pStyle w:val="1003"/>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3.该产品的中国境内生产的组件成本占比相关要求实施前，“规定比例”栏可不填，下同。</w:t>
      </w:r>
      <w:r/>
    </w:p>
    <w:p>
      <w:pPr>
        <w:pStyle w:val="1003"/>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4.该产品的关键组件要求实施前，“关键组件”栏可不填，下同。</w:t>
      </w:r>
      <w:r/>
    </w:p>
    <w:p>
      <w:pPr>
        <w:pStyle w:val="1003"/>
        <w:ind w:firstLine="560"/>
        <w:spacing w:before="30" w:beforeAutospacing="0" w:after="30" w:afterAutospacing="0" w:line="400" w:lineRule="exact"/>
        <w:rPr>
          <w:rFonts w:hint="eastAsia" w:ascii="方正仿宋_GBK" w:hAnsi="方正仿宋_GBK" w:eastAsia="方正仿宋_GBK" w:cs="方正仿宋_GBK"/>
          <w:sz w:val="28"/>
          <w:szCs w:val="28"/>
          <w:highlight w:val="none"/>
          <w:shd w:val="clear" w:color="auto" w:fill="ffffff"/>
        </w:rPr>
      </w:pPr>
      <w:r>
        <w:rPr>
          <w:rFonts w:hint="eastAsia" w:ascii="方正仿宋_GBK" w:hAnsi="方正仿宋_GBK" w:eastAsia="方正仿宋_GBK" w:cs="方正仿宋_GBK"/>
          <w:sz w:val="28"/>
          <w:szCs w:val="28"/>
          <w:highlight w:val="none"/>
          <w:shd w:val="clear" w:color="auto" w:fill="ffffff"/>
        </w:rPr>
        <w:t xml:space="preserve">5.该产品的关键工序要求实施前，“关键工序”栏可不填，下同。</w:t>
      </w:r>
      <w:r/>
    </w:p>
    <w:p>
      <w:pPr>
        <w:pStyle w:val="1003"/>
        <w:ind w:firstLine="560"/>
        <w:spacing w:before="30" w:beforeAutospacing="0" w:after="30" w:afterAutospacing="0" w:line="400" w:lineRule="exact"/>
        <w:rPr>
          <w:rFonts w:hint="eastAsia" w:ascii="方正仿宋_GBK" w:hAnsi="方正仿宋_GBK" w:eastAsia="方正仿宋_GBK" w:cs="方正仿宋_GBK"/>
          <w:sz w:val="28"/>
          <w:szCs w:val="28"/>
          <w:highlight w:val="none"/>
          <w:shd w:val="clear" w:color="auto" w:fill="ffffff"/>
        </w:rPr>
      </w:pPr>
      <w:r>
        <w:rPr>
          <w:rFonts w:hint="eastAsia" w:ascii="方正仿宋_GBK" w:hAnsi="方正仿宋_GBK" w:eastAsia="方正仿宋_GBK" w:cs="方正仿宋_GBK"/>
          <w:sz w:val="28"/>
          <w:szCs w:val="28"/>
          <w:highlight w:val="none"/>
          <w:shd w:val="clear" w:color="auto" w:fill="ffffff"/>
        </w:rPr>
        <w:t xml:space="preserve">6.《声明函》中标注“</w:t>
      </w:r>
      <w:r>
        <w:rPr>
          <w:rFonts w:hint="eastAsia" w:ascii="方正仿宋_GBK" w:hAnsi="方正仿宋_GBK" w:eastAsia="方正仿宋_GBK" w:cs="方正仿宋_GBK"/>
          <w:sz w:val="28"/>
          <w:szCs w:val="28"/>
          <w:highlight w:val="none"/>
          <w:u w:val="single"/>
          <w:shd w:val="clear" w:color="auto" w:fill="ffffff"/>
        </w:rPr>
        <w:t xml:space="preserve">  </w:t>
      </w:r>
      <w:r>
        <w:rPr>
          <w:rStyle w:val="1015"/>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”的地方无需填写。</w:t>
      </w:r>
      <w:r/>
    </w:p>
    <w:p>
      <w:pPr>
        <w:pStyle w:val="1003"/>
        <w:ind w:firstLine="560"/>
        <w:spacing w:before="30" w:beforeAutospacing="0" w:after="30" w:afterAutospacing="0" w:line="400" w:lineRule="exact"/>
        <w:rPr>
          <w:rFonts w:hint="eastAsia" w:ascii="方正仿宋_GBK" w:hAnsi="方正仿宋_GBK" w:eastAsia="方正仿宋_GBK" w:cs="方正仿宋_GBK"/>
          <w:sz w:val="28"/>
          <w:szCs w:val="28"/>
          <w:highlight w:val="none"/>
          <w:shd w:val="clear" w:color="auto" w:fill="ffffff"/>
        </w:rPr>
      </w:pPr>
      <w:r>
        <w:rPr>
          <w:rFonts w:hint="eastAsia" w:ascii="方正仿宋_GBK" w:hAnsi="方正仿宋_GBK" w:eastAsia="方正仿宋_GBK" w:cs="方正仿宋_GBK"/>
          <w:sz w:val="28"/>
          <w:szCs w:val="28"/>
          <w:highlight w:val="none"/>
          <w:shd w:val="clear" w:color="auto" w:fill="ffffff"/>
        </w:rPr>
      </w:r>
      <w:r/>
    </w:p>
    <w:p>
      <w:pPr>
        <w:pStyle w:val="1003"/>
        <w:ind w:firstLine="560"/>
        <w:spacing w:before="30" w:beforeAutospacing="0" w:after="30" w:afterAutospacing="0" w:line="400" w:lineRule="exact"/>
        <w:rPr>
          <w:rFonts w:hint="eastAsia" w:ascii="方正仿宋_GBK" w:hAnsi="方正仿宋_GBK" w:eastAsia="方正仿宋_GBK" w:cs="方正仿宋_GBK"/>
          <w:sz w:val="28"/>
          <w:szCs w:val="28"/>
          <w:highlight w:val="none"/>
          <w:shd w:val="clear" w:color="auto" w:fill="ffffff"/>
        </w:rPr>
      </w:pPr>
      <w:r>
        <w:rPr>
          <w:rFonts w:hint="eastAsia" w:ascii="方正仿宋_GBK" w:hAnsi="方正仿宋_GBK" w:eastAsia="方正仿宋_GBK" w:cs="方正仿宋_GBK"/>
          <w:sz w:val="28"/>
          <w:szCs w:val="28"/>
          <w:highlight w:val="none"/>
          <w:shd w:val="clear" w:color="auto" w:fill="ffffff"/>
        </w:rPr>
      </w:r>
      <w:r/>
    </w:p>
    <w:p>
      <w:pPr>
        <w:ind w:firstLine="560"/>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附件1</w:t>
      </w:r>
      <w:r>
        <w:rPr>
          <w:rFonts w:hint="eastAsia" w:ascii="方正黑体_GBK" w:hAnsi="方正黑体_GBK" w:eastAsia="方正黑体_GBK" w:cs="方正黑体_GBK"/>
          <w:bCs/>
          <w:sz w:val="28"/>
          <w:szCs w:val="28"/>
          <w:highlight w:val="none"/>
          <w:lang w:val="en-US" w:eastAsia="zh-CN"/>
        </w:rPr>
        <w:t xml:space="preserve">4</w:t>
      </w:r>
      <w:r>
        <w:rPr>
          <w:rFonts w:hint="eastAsia" w:ascii="方正黑体_GBK" w:hAnsi="方正黑体_GBK" w:eastAsia="方正黑体_GBK" w:cs="方正黑体_GBK"/>
          <w:bCs/>
          <w:sz w:val="28"/>
          <w:szCs w:val="28"/>
          <w:highlight w:val="none"/>
        </w:rPr>
        <w:t xml:space="preserve">  提供服务的人员均为订立劳动合同的从业人员的书面声明</w:t>
      </w:r>
      <w:r/>
    </w:p>
    <w:p>
      <w:pPr>
        <w:ind w:firstLine="560"/>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（采购包号：XX）</w:t>
      </w:r>
      <w:r/>
    </w:p>
    <w:p>
      <w:pPr>
        <w:pStyle w:val="1003"/>
        <w:ind w:firstLine="560"/>
        <w:spacing w:before="30" w:beforeAutospacing="0" w:after="30" w:afterAutospacing="0" w:line="400" w:lineRule="exact"/>
        <w:rPr>
          <w:rFonts w:hint="eastAsia" w:ascii="方正仿宋_GBK" w:hAnsi="方正仿宋_GBK" w:eastAsia="方正仿宋_GBK" w:cs="方正仿宋_GBK"/>
          <w:sz w:val="28"/>
          <w:szCs w:val="28"/>
          <w:highlight w:val="none"/>
          <w:shd w:val="clear" w:color="auto" w:fill="ffffff"/>
        </w:rPr>
      </w:pPr>
      <w:r>
        <w:rPr>
          <w:rFonts w:hint="eastAsia" w:ascii="方正仿宋_GBK" w:hAnsi="方正仿宋_GBK" w:eastAsia="方正仿宋_GBK" w:cs="方正仿宋_GBK"/>
          <w:sz w:val="28"/>
          <w:szCs w:val="28"/>
          <w:highlight w:val="none"/>
          <w:shd w:val="clear" w:color="auto" w:fill="ffffff"/>
        </w:rPr>
      </w:r>
      <w:r/>
    </w:p>
    <w:p>
      <w:pPr>
        <w:pStyle w:val="1003"/>
        <w:ind w:firstLine="560"/>
        <w:spacing w:before="30" w:beforeAutospacing="0" w:after="30" w:afterAutospacing="0" w:line="400" w:lineRule="exact"/>
        <w:rPr>
          <w:rFonts w:hint="default" w:ascii="方正仿宋_GBK" w:hAnsi="方正仿宋_GBK" w:eastAsia="方正仿宋_GBK" w:cs="方正仿宋_GBK"/>
          <w:sz w:val="28"/>
          <w:szCs w:val="28"/>
          <w:highlight w:val="none"/>
          <w:shd w:val="clear" w:color="auto" w:fill="ffffff"/>
          <w:lang w:val="en-US" w:eastAsia="zh-CN"/>
        </w:rPr>
      </w:pPr>
      <w:r>
        <w:rPr>
          <w:rFonts w:hint="eastAsia" w:ascii="方正仿宋_GBK" w:hAnsi="方正仿宋_GBK" w:eastAsia="方正仿宋_GBK" w:cs="方正仿宋_GBK"/>
          <w:sz w:val="28"/>
          <w:szCs w:val="28"/>
          <w:highlight w:val="none"/>
          <w:shd w:val="clear" w:color="auto" w:fill="ffffff"/>
          <w:lang w:val="en-US" w:eastAsia="zh-CN"/>
        </w:rPr>
        <w:t xml:space="preserve">本企业（本联合体，如项目采购包接受联合体参加的）</w:t>
      </w:r>
      <w:r>
        <w:rPr>
          <w:rFonts w:hint="default" w:ascii="方正仿宋_GBK" w:hAnsi="方正仿宋_GBK" w:eastAsia="方正仿宋_GBK" w:cs="方正仿宋_GBK"/>
          <w:sz w:val="28"/>
          <w:szCs w:val="28"/>
          <w:highlight w:val="none"/>
          <w:shd w:val="clear" w:color="auto" w:fill="ffffff"/>
          <w:lang w:val="en-US" w:eastAsia="zh-CN"/>
        </w:rPr>
        <w:t xml:space="preserve">参加江苏省政府采购中心组织的项目编号为JSZC-320000-SCZX-</w:t>
      </w:r>
      <w:r>
        <w:rPr>
          <w:rFonts w:hint="eastAsia" w:ascii="方正仿宋_GBK" w:hAnsi="方正仿宋_GBK" w:eastAsia="方正仿宋_GBK" w:cs="方正仿宋_GBK"/>
          <w:sz w:val="28"/>
          <w:szCs w:val="28"/>
          <w:highlight w:val="none"/>
          <w:shd w:val="clear" w:color="auto" w:fill="ffffff"/>
          <w:lang w:val="en-US" w:eastAsia="zh-CN"/>
        </w:rPr>
        <w:t xml:space="preserve">G</w:t>
      </w:r>
      <w:r>
        <w:rPr>
          <w:rFonts w:hint="default" w:ascii="方正仿宋_GBK" w:hAnsi="方正仿宋_GBK" w:eastAsia="方正仿宋_GBK" w:cs="方正仿宋_GBK"/>
          <w:sz w:val="28"/>
          <w:szCs w:val="28"/>
          <w:highlight w:val="none"/>
          <w:shd w:val="clear" w:color="auto" w:fill="ffffff"/>
          <w:lang w:val="en-US" w:eastAsia="zh-CN"/>
        </w:rPr>
        <w:t xml:space="preserve">20XX-XXXX，XXXX（项目名称）（采购包号：XX）项目采购活动</w:t>
      </w:r>
      <w:r>
        <w:rPr>
          <w:rFonts w:hint="eastAsia" w:ascii="方正仿宋_GBK" w:hAnsi="方正仿宋_GBK" w:eastAsia="方正仿宋_GBK" w:cs="方正仿宋_GBK"/>
          <w:sz w:val="28"/>
          <w:szCs w:val="28"/>
          <w:highlight w:val="none"/>
          <w:shd w:val="clear" w:color="auto" w:fill="ffffff"/>
          <w:lang w:val="en-US" w:eastAsia="zh-CN"/>
        </w:rPr>
        <w:t xml:space="preserve">，根据</w:t>
      </w:r>
      <w:r>
        <w:rPr>
          <w:rFonts w:hint="default" w:ascii="方正仿宋_GBK" w:hAnsi="方正仿宋_GBK" w:eastAsia="方正仿宋_GBK" w:cs="方正仿宋_GBK"/>
          <w:sz w:val="28"/>
          <w:szCs w:val="28"/>
          <w:highlight w:val="none"/>
          <w:shd w:val="clear" w:color="auto" w:fill="ffffff"/>
          <w:lang w:val="en-US" w:eastAsia="zh-CN"/>
        </w:rPr>
        <w:t xml:space="preserve">《政府采购促进中小企业发展管理办法》</w:t>
      </w:r>
      <w:r>
        <w:rPr>
          <w:rFonts w:hint="eastAsia" w:ascii="方正仿宋_GBK" w:hAnsi="方正仿宋_GBK" w:eastAsia="方正仿宋_GBK" w:cs="方正仿宋_GBK"/>
          <w:sz w:val="28"/>
          <w:szCs w:val="28"/>
          <w:highlight w:val="none"/>
          <w:shd w:val="clear" w:color="auto" w:fill="ffffff"/>
          <w:lang w:val="en-US" w:eastAsia="zh-CN"/>
        </w:rPr>
        <w:t xml:space="preserve">第四条规定</w:t>
      </w:r>
      <w:r>
        <w:rPr>
          <w:rFonts w:hint="default" w:ascii="方正仿宋_GBK" w:hAnsi="方正仿宋_GBK" w:eastAsia="方正仿宋_GBK" w:cs="方正仿宋_GBK"/>
          <w:sz w:val="28"/>
          <w:szCs w:val="28"/>
          <w:highlight w:val="none"/>
          <w:shd w:val="clear" w:color="auto" w:fill="ffffff"/>
          <w:lang w:val="en-US" w:eastAsia="zh-CN"/>
        </w:rPr>
        <w:t xml:space="preserve">，</w:t>
      </w:r>
      <w:r>
        <w:rPr>
          <w:rFonts w:hint="eastAsia" w:ascii="方正仿宋_GBK" w:hAnsi="方正仿宋_GBK" w:eastAsia="方正仿宋_GBK" w:cs="方正仿宋_GBK"/>
          <w:sz w:val="28"/>
          <w:szCs w:val="28"/>
          <w:highlight w:val="none"/>
          <w:shd w:val="clear" w:color="auto" w:fill="ffffff"/>
          <w:lang w:val="en-US" w:eastAsia="zh-CN"/>
        </w:rPr>
        <w:t xml:space="preserve">本企业（本联合体，如项目采购包接受联合体参加的）</w:t>
      </w:r>
      <w:r>
        <w:rPr>
          <w:rFonts w:hint="default" w:ascii="方正仿宋_GBK" w:hAnsi="方正仿宋_GBK" w:eastAsia="方正仿宋_GBK" w:cs="方正仿宋_GBK"/>
          <w:sz w:val="28"/>
          <w:szCs w:val="28"/>
          <w:highlight w:val="none"/>
          <w:shd w:val="clear" w:color="auto" w:fill="ffffff"/>
          <w:lang w:val="en-US" w:eastAsia="zh-CN"/>
        </w:rPr>
        <w:t xml:space="preserve">郑重声明</w:t>
      </w:r>
      <w:r>
        <w:rPr>
          <w:rFonts w:hint="eastAsia" w:ascii="方正仿宋_GBK" w:hAnsi="方正仿宋_GBK" w:eastAsia="方正仿宋_GBK" w:cs="方正仿宋_GBK"/>
          <w:sz w:val="28"/>
          <w:szCs w:val="28"/>
          <w:highlight w:val="none"/>
          <w:shd w:val="clear" w:color="auto" w:fill="ffffff"/>
          <w:lang w:val="en-US" w:eastAsia="zh-CN"/>
        </w:rPr>
        <w:t xml:space="preserve">：如服务由本企业（本联合体，如项目采购包接受联合体参加的）承接，为本项目采购包提供服务的人员均为依照《中华人民共和国劳动合同法》订立劳动合同的从业人员。</w:t>
      </w:r>
      <w:r/>
    </w:p>
    <w:p>
      <w:pPr>
        <w:pStyle w:val="1003"/>
        <w:ind w:firstLine="560"/>
        <w:spacing w:before="30" w:beforeAutospacing="0" w:after="30" w:afterAutospacing="0" w:line="400" w:lineRule="exact"/>
        <w:rPr>
          <w:rFonts w:hint="default" w:ascii="方正仿宋_GBK" w:hAnsi="方正仿宋_GBK" w:eastAsia="方正仿宋_GBK" w:cs="方正仿宋_GBK"/>
          <w:sz w:val="28"/>
          <w:szCs w:val="28"/>
          <w:highlight w:val="none"/>
          <w:shd w:val="clear" w:color="auto" w:fill="ffffff"/>
          <w:lang w:val="en-US" w:eastAsia="zh-CN"/>
        </w:rPr>
      </w:pPr>
      <w:r>
        <w:rPr>
          <w:rFonts w:hint="default" w:ascii="方正仿宋_GBK" w:hAnsi="方正仿宋_GBK" w:eastAsia="方正仿宋_GBK" w:cs="方正仿宋_GBK"/>
          <w:sz w:val="28"/>
          <w:szCs w:val="28"/>
          <w:highlight w:val="none"/>
          <w:shd w:val="clear" w:color="auto" w:fill="ffffff"/>
          <w:lang w:val="en-US" w:eastAsia="zh-CN"/>
        </w:rPr>
        <w:t xml:space="preserve">本</w:t>
      </w:r>
      <w:r>
        <w:rPr>
          <w:rFonts w:hint="eastAsia" w:ascii="方正仿宋_GBK" w:hAnsi="方正仿宋_GBK" w:eastAsia="方正仿宋_GBK" w:cs="方正仿宋_GBK"/>
          <w:sz w:val="28"/>
          <w:szCs w:val="28"/>
          <w:highlight w:val="none"/>
          <w:shd w:val="clear" w:color="auto" w:fill="ffffff"/>
          <w:lang w:val="en-US" w:eastAsia="zh-CN"/>
        </w:rPr>
        <w:t xml:space="preserve">企业（联合体）</w:t>
      </w:r>
      <w:r>
        <w:rPr>
          <w:rFonts w:hint="default" w:ascii="方正仿宋_GBK" w:hAnsi="方正仿宋_GBK" w:eastAsia="方正仿宋_GBK" w:cs="方正仿宋_GBK"/>
          <w:sz w:val="28"/>
          <w:szCs w:val="28"/>
          <w:highlight w:val="none"/>
          <w:shd w:val="clear" w:color="auto" w:fill="ffffff"/>
          <w:lang w:val="en-US" w:eastAsia="zh-CN"/>
        </w:rPr>
        <w:t xml:space="preserve">对上述声明的真实性负责。如有虚假，将依法承担相应责任。</w:t>
      </w:r>
      <w:r/>
    </w:p>
    <w:p>
      <w:pPr>
        <w:pStyle w:val="1003"/>
        <w:ind w:firstLine="560"/>
        <w:spacing w:before="30" w:beforeAutospacing="0" w:after="30" w:afterAutospacing="0" w:line="400" w:lineRule="exact"/>
        <w:rPr>
          <w:rFonts w:hint="default" w:ascii="方正仿宋_GBK" w:hAnsi="方正仿宋_GBK" w:eastAsia="方正仿宋_GBK" w:cs="方正仿宋_GBK"/>
          <w:sz w:val="28"/>
          <w:szCs w:val="28"/>
          <w:highlight w:val="none"/>
          <w:shd w:val="clear" w:color="auto" w:fill="ffffff"/>
          <w:lang w:val="en-US" w:eastAsia="zh-CN"/>
        </w:rPr>
      </w:pPr>
      <w:r>
        <w:rPr>
          <w:rFonts w:hint="default" w:ascii="方正仿宋_GBK" w:hAnsi="方正仿宋_GBK" w:eastAsia="方正仿宋_GBK" w:cs="方正仿宋_GBK"/>
          <w:sz w:val="28"/>
          <w:szCs w:val="28"/>
          <w:highlight w:val="none"/>
          <w:shd w:val="clear" w:color="auto" w:fill="ffffff"/>
          <w:lang w:val="en-US" w:eastAsia="zh-CN"/>
        </w:rPr>
      </w:r>
      <w:r/>
    </w:p>
    <w:p>
      <w:pPr>
        <w:pStyle w:val="1003"/>
        <w:ind w:firstLine="560"/>
        <w:spacing w:before="30" w:beforeAutospacing="0" w:after="30" w:afterAutospacing="0" w:line="400" w:lineRule="exact"/>
        <w:rPr>
          <w:rFonts w:hint="eastAsia" w:ascii="方正仿宋_GBK" w:hAnsi="方正仿宋_GBK" w:eastAsia="方正仿宋_GBK" w:cs="方正仿宋_GBK"/>
          <w:sz w:val="28"/>
          <w:szCs w:val="28"/>
          <w:highlight w:val="none"/>
          <w:shd w:val="clear" w:color="auto" w:fill="ffffff"/>
          <w:lang w:val="en-US" w:eastAsia="zh-CN"/>
        </w:rPr>
      </w:pPr>
      <w:r>
        <w:rPr>
          <w:rFonts w:hint="eastAsia" w:ascii="方正仿宋_GBK" w:hAnsi="方正仿宋_GBK" w:eastAsia="方正仿宋_GBK" w:cs="方正仿宋_GBK"/>
          <w:sz w:val="28"/>
          <w:szCs w:val="28"/>
          <w:highlight w:val="none"/>
          <w:shd w:val="clear" w:color="auto" w:fill="ffffff"/>
          <w:lang w:val="en-US" w:eastAsia="zh-CN"/>
        </w:rPr>
        <w:t xml:space="preserve">注：如为专门面向中小微型企业采购的采购项目采购包，投标人（供应商）未提供该书面声明的，投标（响应）无效。</w:t>
      </w:r>
      <w:r/>
    </w:p>
    <w:p>
      <w:pPr>
        <w:pStyle w:val="1003"/>
        <w:ind w:firstLine="560"/>
        <w:jc w:val="right"/>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公司（单位）名称（加盖CA电子公章）：　        </w:t>
      </w:r>
      <w:r/>
    </w:p>
    <w:p>
      <w:pPr>
        <w:ind w:left="0" w:firstLine="560"/>
        <w:keepLines w:val="0"/>
        <w:keepNext w:val="0"/>
        <w:pageBreakBefore w:val="0"/>
        <w:spacing w:line="560" w:lineRule="atLeast"/>
        <w:widowControl w:val="off"/>
        <w:rPr>
          <w:rFonts w:hint="default"/>
          <w:highlight w:val="none"/>
          <w:lang w:val="en-US" w:eastAsia="zh-CN"/>
        </w:rPr>
      </w:pPr>
      <w:r>
        <w:rPr>
          <w:rFonts w:hint="eastAsia" w:ascii="方正仿宋_GBK" w:hAnsi="方正仿宋_GBK" w:eastAsia="方正仿宋_GBK" w:cs="方正仿宋_GBK"/>
          <w:sz w:val="28"/>
          <w:szCs w:val="28"/>
          <w:highlight w:val="none"/>
          <w:shd w:val="clear" w:color="auto" w:fill="ffffff"/>
        </w:rPr>
        <w:t xml:space="preserve">          日期：</w:t>
      </w:r>
      <w:r>
        <w:rPr>
          <w:rFonts w:hint="eastAsia" w:ascii="方正仿宋_GBK" w:hAnsi="方正仿宋_GBK" w:eastAsia="方正仿宋_GBK" w:cs="方正仿宋_GBK"/>
          <w:sz w:val="28"/>
          <w:szCs w:val="28"/>
          <w:highlight w:val="none"/>
        </w:rPr>
        <w:t xml:space="preserve">___年____月____日</w:t>
      </w:r>
      <w:r>
        <w:rPr>
          <w:rFonts w:hint="eastAsia" w:ascii="方正仿宋_GBK" w:hAnsi="方正仿宋_GBK" w:eastAsia="方正仿宋_GBK" w:cs="方正仿宋_GBK"/>
          <w:sz w:val="28"/>
          <w:szCs w:val="28"/>
          <w:highlight w:val="none"/>
          <w:shd w:val="clear" w:color="auto" w:fill="ffffff"/>
        </w:rPr>
        <w:t xml:space="preserve">    </w:t>
      </w:r>
      <w:r/>
    </w:p>
    <w:p>
      <w:pPr>
        <w:ind w:left="0" w:firstLine="420"/>
        <w:keepLines w:val="0"/>
        <w:keepNext w:val="0"/>
        <w:pageBreakBefore w:val="0"/>
        <w:spacing w:line="560" w:lineRule="atLeast"/>
        <w:widowControl w:val="off"/>
        <w:rPr>
          <w:rFonts w:hint="eastAsia"/>
          <w:highlight w:val="none"/>
          <w:lang w:val="en-US" w:eastAsia="zh-CN"/>
        </w:rPr>
      </w:pPr>
      <w:r>
        <w:rPr>
          <w:rFonts w:hint="eastAsia"/>
          <w:highlight w:val="none"/>
          <w:lang w:val="en-US" w:eastAsia="zh-CN"/>
        </w:rPr>
      </w:r>
      <w:r/>
    </w:p>
    <w:p>
      <w:pPr>
        <w:spacing w:line="400" w:lineRule="exact"/>
        <w:rPr>
          <w:rFonts w:hint="eastAsia" w:ascii="方正魏碑_GBK" w:hAnsi="方正魏碑_GBK" w:eastAsia="方正魏碑_GBK" w:cs="方正魏碑_GBK"/>
          <w:bCs/>
          <w:color w:val="ff0000"/>
          <w:sz w:val="28"/>
          <w:szCs w:val="28"/>
          <w:highlight w:val="none"/>
        </w:rPr>
      </w:pPr>
      <w:r>
        <w:rPr>
          <w:rFonts w:hint="eastAsia" w:ascii="方正魏碑_GBK" w:hAnsi="方正魏碑_GBK" w:eastAsia="方正魏碑_GBK" w:cs="方正魏碑_GBK"/>
          <w:bCs/>
          <w:color w:val="ff0000"/>
          <w:sz w:val="28"/>
          <w:szCs w:val="28"/>
          <w:highlight w:val="none"/>
        </w:rPr>
      </w:r>
      <w:r/>
    </w:p>
    <w:p>
      <w:pPr>
        <w:spacing w:line="400" w:lineRule="exact"/>
        <w:rPr>
          <w:rFonts w:hint="eastAsia" w:ascii="宋体" w:hAnsi="宋体"/>
          <w:bCs/>
          <w:sz w:val="28"/>
          <w:szCs w:val="28"/>
          <w:highlight w:val="none"/>
        </w:rPr>
      </w:pPr>
      <w:r>
        <w:rPr>
          <w:rFonts w:hint="eastAsia" w:ascii="宋体" w:hAnsi="宋体"/>
          <w:bCs/>
          <w:sz w:val="28"/>
          <w:szCs w:val="28"/>
          <w:highlight w:val="none"/>
        </w:rPr>
      </w:r>
      <w:bookmarkEnd w:id="156"/>
      <w:r/>
      <w:bookmarkEnd w:id="157"/>
      <w:r/>
      <w:bookmarkEnd w:id="168"/>
      <w:r/>
      <w:r/>
    </w:p>
    <w:p>
      <w:pPr>
        <w:ind w:firstLine="560"/>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质疑函范本</w:t>
      </w:r>
      <w:r/>
    </w:p>
    <w:p>
      <w:pPr>
        <w:ind w:firstLine="560"/>
        <w:spacing w:before="290"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一、质疑供应商基本信息</w:t>
      </w:r>
      <w:r/>
    </w:p>
    <w:p>
      <w:pPr>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质疑供应商：</w:t>
      </w:r>
      <w:r>
        <w:rPr>
          <w:rFonts w:hint="eastAsia" w:ascii="方正仿宋_GBK" w:hAnsi="方正仿宋_GBK" w:eastAsia="方正仿宋_GBK" w:cs="方正仿宋_GBK"/>
          <w:sz w:val="28"/>
          <w:szCs w:val="28"/>
          <w:highlight w:val="none"/>
          <w:u w:val="single"/>
        </w:rPr>
        <w:t xml:space="preserve">                                                              </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地址：</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邮编：</w:t>
      </w:r>
      <w:r>
        <w:rPr>
          <w:rFonts w:hint="eastAsia" w:ascii="方正仿宋_GBK" w:hAnsi="方正仿宋_GBK" w:eastAsia="方正仿宋_GBK" w:cs="方正仿宋_GBK"/>
          <w:sz w:val="28"/>
          <w:szCs w:val="28"/>
          <w:highlight w:val="none"/>
          <w:u w:val="single"/>
        </w:rPr>
        <w:t xml:space="preserve">                                    </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联系人：</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联系电话：</w:t>
      </w:r>
      <w:r>
        <w:rPr>
          <w:rFonts w:hint="eastAsia" w:ascii="方正仿宋_GBK" w:hAnsi="方正仿宋_GBK" w:eastAsia="方正仿宋_GBK" w:cs="方正仿宋_GBK"/>
          <w:sz w:val="28"/>
          <w:szCs w:val="28"/>
          <w:highlight w:val="none"/>
          <w:u w:val="single"/>
        </w:rPr>
        <w:t xml:space="preserve">                                       </w:t>
      </w:r>
      <w:r/>
    </w:p>
    <w:p>
      <w:pPr>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授权代表：</w:t>
      </w:r>
      <w:r>
        <w:rPr>
          <w:rFonts w:hint="eastAsia" w:ascii="方正仿宋_GBK" w:hAnsi="方正仿宋_GBK" w:eastAsia="方正仿宋_GBK" w:cs="方正仿宋_GBK"/>
          <w:sz w:val="28"/>
          <w:szCs w:val="28"/>
          <w:highlight w:val="none"/>
          <w:u w:val="single"/>
        </w:rPr>
        <w:t xml:space="preserve">                                                                 </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联系电话：</w:t>
      </w:r>
      <w:r>
        <w:rPr>
          <w:rFonts w:hint="eastAsia" w:ascii="方正仿宋_GBK" w:hAnsi="方正仿宋_GBK" w:eastAsia="方正仿宋_GBK" w:cs="方正仿宋_GBK"/>
          <w:sz w:val="28"/>
          <w:szCs w:val="28"/>
          <w:highlight w:val="none"/>
          <w:u w:val="single"/>
        </w:rPr>
        <w:t xml:space="preserve">                                                                </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地址：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邮编：</w:t>
      </w:r>
      <w:r>
        <w:rPr>
          <w:rFonts w:hint="eastAsia" w:ascii="方正仿宋_GBK" w:hAnsi="方正仿宋_GBK" w:eastAsia="方正仿宋_GBK" w:cs="方正仿宋_GBK"/>
          <w:sz w:val="28"/>
          <w:szCs w:val="28"/>
          <w:highlight w:val="none"/>
          <w:u w:val="single"/>
        </w:rPr>
        <w:t xml:space="preserve">                                     </w:t>
      </w:r>
      <w:r/>
    </w:p>
    <w:p>
      <w:pPr>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二、质疑项目基本情况</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质疑项目的名称：</w:t>
      </w:r>
      <w:r>
        <w:rPr>
          <w:rFonts w:hint="eastAsia" w:ascii="方正仿宋_GBK" w:hAnsi="方正仿宋_GBK" w:eastAsia="方正仿宋_GBK" w:cs="方正仿宋_GBK"/>
          <w:sz w:val="28"/>
          <w:szCs w:val="28"/>
          <w:highlight w:val="none"/>
          <w:u w:val="single"/>
        </w:rPr>
        <w:t xml:space="preserve">                                                          </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质疑项目的编号：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包号：</w:t>
      </w:r>
      <w:r>
        <w:rPr>
          <w:rFonts w:hint="eastAsia" w:ascii="方正仿宋_GBK" w:hAnsi="方正仿宋_GBK" w:eastAsia="方正仿宋_GBK" w:cs="方正仿宋_GBK"/>
          <w:sz w:val="28"/>
          <w:szCs w:val="28"/>
          <w:highlight w:val="none"/>
          <w:u w:val="single"/>
        </w:rPr>
        <w:t xml:space="preserve">                           </w:t>
      </w:r>
      <w:r/>
    </w:p>
    <w:p>
      <w:pPr>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采购人名称：</w:t>
      </w:r>
      <w:r>
        <w:rPr>
          <w:rFonts w:hint="eastAsia" w:ascii="方正仿宋_GBK" w:hAnsi="方正仿宋_GBK" w:eastAsia="方正仿宋_GBK" w:cs="方正仿宋_GBK"/>
          <w:sz w:val="28"/>
          <w:szCs w:val="28"/>
          <w:highlight w:val="none"/>
          <w:u w:val="single"/>
        </w:rPr>
        <w:t xml:space="preserve">                                                              </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采购文件获取日期：</w:t>
      </w:r>
      <w:r>
        <w:rPr>
          <w:rFonts w:hint="eastAsia" w:ascii="方正仿宋_GBK" w:hAnsi="方正仿宋_GBK" w:eastAsia="方正仿宋_GBK" w:cs="方正仿宋_GBK"/>
          <w:sz w:val="28"/>
          <w:szCs w:val="28"/>
          <w:highlight w:val="none"/>
          <w:u w:val="single"/>
        </w:rPr>
        <w:t xml:space="preserve">                                                        </w:t>
      </w:r>
      <w:r/>
    </w:p>
    <w:p>
      <w:pPr>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三、质疑事项具体内容</w:t>
      </w:r>
      <w:r/>
    </w:p>
    <w:p>
      <w:pPr>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质疑事项1：</w:t>
      </w:r>
      <w:r>
        <w:rPr>
          <w:rFonts w:hint="eastAsia" w:ascii="方正仿宋_GBK" w:hAnsi="方正仿宋_GBK" w:eastAsia="方正仿宋_GBK" w:cs="方正仿宋_GBK"/>
          <w:sz w:val="28"/>
          <w:szCs w:val="28"/>
          <w:highlight w:val="none"/>
          <w:u w:val="single"/>
        </w:rPr>
        <w:t xml:space="preserve">                                                              </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事实依据：</w:t>
      </w:r>
      <w:r>
        <w:rPr>
          <w:rFonts w:hint="eastAsia" w:ascii="方正仿宋_GBK" w:hAnsi="方正仿宋_GBK" w:eastAsia="方正仿宋_GBK" w:cs="方正仿宋_GBK"/>
          <w:sz w:val="28"/>
          <w:szCs w:val="28"/>
          <w:highlight w:val="none"/>
          <w:u w:val="single"/>
        </w:rPr>
        <w:t xml:space="preserve">                                                                </w:t>
      </w:r>
      <w:r/>
    </w:p>
    <w:p>
      <w:pPr>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法律依据：</w:t>
      </w:r>
      <w:r>
        <w:rPr>
          <w:rFonts w:hint="eastAsia" w:ascii="方正仿宋_GBK" w:hAnsi="方正仿宋_GBK" w:eastAsia="方正仿宋_GBK" w:cs="方正仿宋_GBK"/>
          <w:sz w:val="28"/>
          <w:szCs w:val="28"/>
          <w:highlight w:val="none"/>
          <w:u w:val="single"/>
        </w:rPr>
        <w:t xml:space="preserve">                                                                 </w:t>
      </w:r>
      <w:r/>
    </w:p>
    <w:p>
      <w:pPr>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质疑事项2</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p>
      <w:pPr>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四、与质疑事项相关的质疑请求</w:t>
      </w:r>
      <w:r/>
    </w:p>
    <w:p>
      <w:pPr>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请求：</w:t>
      </w:r>
      <w:r>
        <w:rPr>
          <w:rFonts w:hint="eastAsia" w:ascii="方正仿宋_GBK" w:hAnsi="方正仿宋_GBK" w:eastAsia="方正仿宋_GBK" w:cs="方正仿宋_GBK"/>
          <w:sz w:val="28"/>
          <w:szCs w:val="28"/>
          <w:highlight w:val="none"/>
          <w:u w:val="single"/>
        </w:rPr>
        <w:t xml:space="preserve">                                                                     </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签字(签章)：                   公章：                      </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日期：    </w:t>
      </w:r>
      <w:r/>
    </w:p>
    <w:p>
      <w:pPr>
        <w:ind w:firstLine="562"/>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质疑函制作说明：</w:t>
      </w:r>
      <w:r/>
    </w:p>
    <w:p>
      <w:pPr>
        <w:ind w:firstLine="560"/>
        <w:jc w:val="left"/>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1.供应商提出质疑时，应提交质疑函和必要的证明材料。</w:t>
      </w:r>
      <w:r/>
    </w:p>
    <w:p>
      <w:pPr>
        <w:ind w:firstLine="560"/>
        <w:jc w:val="left"/>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3.质疑供应商若对项目的某一采购包进行质疑，质疑函中应列明具体采购包号。</w:t>
      </w:r>
      <w:r/>
    </w:p>
    <w:p>
      <w:pPr>
        <w:ind w:firstLine="560"/>
        <w:jc w:val="left"/>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4.质疑函的质疑事项应具体、明确，并有必要的事实依据和法律依据。</w:t>
      </w:r>
      <w:r/>
    </w:p>
    <w:p>
      <w:pPr>
        <w:ind w:firstLine="560"/>
        <w:jc w:val="left"/>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5.质疑函的质疑请求应与质疑事项相关。</w:t>
      </w:r>
      <w:r/>
    </w:p>
    <w:p>
      <w:pPr>
        <w:ind w:firstLine="560"/>
        <w:jc w:val="left"/>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44"/>
        <w:spacing w:line="400" w:lineRule="exact"/>
        <w:rPr>
          <w:rFonts w:hint="eastAsia"/>
          <w:sz w:val="28"/>
          <w:szCs w:val="28"/>
          <w:highlight w:val="none"/>
        </w:rPr>
      </w:pPr>
      <w:r>
        <w:rPr>
          <w:rFonts w:hint="eastAsia"/>
          <w:sz w:val="28"/>
          <w:szCs w:val="28"/>
          <w:highlight w:val="none"/>
        </w:rPr>
      </w:r>
      <w:r/>
    </w:p>
    <w:p>
      <w:pPr>
        <w:pStyle w:val="944"/>
        <w:rPr>
          <w:sz w:val="24"/>
          <w:szCs w:val="24"/>
          <w:highlight w:val="none"/>
        </w:rPr>
      </w:pPr>
      <w:r>
        <w:rPr>
          <w:sz w:val="24"/>
          <w:szCs w:val="24"/>
          <w:highlight w:val="none"/>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等线">
    <w:panose1 w:val="02010600030101010101"/>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8"/>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39</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8"/>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39</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rPr>
        <w:rStyle w:val="1013"/>
      </w:rPr>
      <w:framePr w:wrap="around" w:vAnchor="text" w:hAnchor="margin" w:xAlign="center" w:y="1"/>
    </w:pPr>
    <w:r>
      <w:fldChar w:fldCharType="begin"/>
    </w:r>
    <w:r>
      <w:rPr>
        <w:rStyle w:val="1013"/>
      </w:rPr>
      <w:instrText xml:space="preserve">PAGE  </w:instrText>
    </w:r>
    <w:r>
      <w:fldChar w:fldCharType="separate"/>
    </w:r>
    <w:r>
      <w:rPr>
        <w:rStyle w:val="1013"/>
      </w:rPr>
      <w:t xml:space="preserve">1</w:t>
    </w:r>
    <w:r>
      <w:fldChar w:fldCharType="end"/>
    </w:r>
    <w:r/>
  </w:p>
  <w:p>
    <w:pPr>
      <w:pStyle w:val="98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8"/>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8"/>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v:textbox>
            </v:shape>
          </w:pict>
        </mc:Fallback>
      </mc:AlternateContent>
    </w:r>
    <w:r/>
  </w:p>
  <w:p>
    <w:pPr>
      <w:pStyle w:val="9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987" w:hanging="420"/>
      </w:pPr>
      <w:rPr>
        <w:rFonts w:hint="eastAsia"/>
      </w:rPr>
    </w:lvl>
    <w:lvl w:ilvl="1">
      <w:start w:val="1"/>
      <w:numFmt w:val="lowerLetter"/>
      <w:isLgl w:val="false"/>
      <w:suff w:val="tab"/>
      <w:lvlText w:val="%2)"/>
      <w:lvlJc w:val="left"/>
      <w:pPr>
        <w:ind w:left="1409" w:hanging="420"/>
      </w:pPr>
    </w:lvl>
    <w:lvl w:ilvl="2">
      <w:start w:val="1"/>
      <w:numFmt w:val="lowerRoman"/>
      <w:isLgl w:val="false"/>
      <w:suff w:val="tab"/>
      <w:lvlText w:val="%3."/>
      <w:lvlJc w:val="right"/>
      <w:pPr>
        <w:ind w:left="1829" w:hanging="420"/>
      </w:pPr>
    </w:lvl>
    <w:lvl w:ilvl="3">
      <w:start w:val="1"/>
      <w:numFmt w:val="decimal"/>
      <w:isLgl w:val="false"/>
      <w:suff w:val="tab"/>
      <w:lvlText w:val="%4."/>
      <w:lvlJc w:val="left"/>
      <w:pPr>
        <w:ind w:left="2249" w:hanging="420"/>
      </w:pPr>
    </w:lvl>
    <w:lvl w:ilvl="4">
      <w:start w:val="1"/>
      <w:numFmt w:val="lowerLetter"/>
      <w:isLgl w:val="false"/>
      <w:suff w:val="tab"/>
      <w:lvlText w:val="%5)"/>
      <w:lvlJc w:val="left"/>
      <w:pPr>
        <w:ind w:left="2669" w:hanging="420"/>
      </w:pPr>
    </w:lvl>
    <w:lvl w:ilvl="5">
      <w:start w:val="1"/>
      <w:numFmt w:val="lowerRoman"/>
      <w:isLgl w:val="false"/>
      <w:suff w:val="tab"/>
      <w:lvlText w:val="%6."/>
      <w:lvlJc w:val="right"/>
      <w:pPr>
        <w:ind w:left="3089" w:hanging="420"/>
      </w:pPr>
    </w:lvl>
    <w:lvl w:ilvl="6">
      <w:start w:val="1"/>
      <w:numFmt w:val="decimal"/>
      <w:isLgl w:val="false"/>
      <w:suff w:val="tab"/>
      <w:lvlText w:val="%7."/>
      <w:lvlJc w:val="left"/>
      <w:pPr>
        <w:ind w:left="3509" w:hanging="420"/>
      </w:pPr>
    </w:lvl>
    <w:lvl w:ilvl="7">
      <w:start w:val="1"/>
      <w:numFmt w:val="lowerLetter"/>
      <w:isLgl w:val="false"/>
      <w:suff w:val="tab"/>
      <w:lvlText w:val="%8)"/>
      <w:lvlJc w:val="left"/>
      <w:pPr>
        <w:ind w:left="3929" w:hanging="420"/>
      </w:pPr>
    </w:lvl>
    <w:lvl w:ilvl="8">
      <w:start w:val="1"/>
      <w:numFmt w:val="lowerRoman"/>
      <w:isLgl w:val="false"/>
      <w:suff w:val="tab"/>
      <w:lvlText w:val="%9."/>
      <w:lvlJc w:val="right"/>
      <w:pPr>
        <w:ind w:left="4349" w:hanging="420"/>
      </w:pPr>
    </w:lvl>
  </w:abstractNum>
  <w:abstractNum w:abstractNumId="1">
    <w:multiLevelType w:val="hybridMultilevel"/>
    <w:lvl w:ilvl="0">
      <w:start w:val="1"/>
      <w:numFmt w:val="upperLetter"/>
      <w:pStyle w:val="102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8"/>
      <w:isLgl w:val="false"/>
      <w:suff w:val="nothing"/>
      <w:lvlText w:val=""/>
      <w:lvlJc w:val="left"/>
      <w:pPr>
        <w:ind w:left="0" w:firstLine="0"/>
      </w:pPr>
      <w:rPr>
        <w:rFonts w:hint="eastAsia"/>
      </w:rPr>
    </w:lvl>
    <w:lvl w:ilvl="6">
      <w:start w:val="1"/>
      <w:numFmt w:val="decimal"/>
      <w:pStyle w:val="949"/>
      <w:isLgl w:val="false"/>
      <w:suff w:val="nothing"/>
      <w:lvlText w:val=""/>
      <w:lvlJc w:val="left"/>
      <w:pPr>
        <w:ind w:left="0" w:firstLine="0"/>
      </w:pPr>
      <w:rPr>
        <w:rFonts w:hint="eastAsia"/>
      </w:rPr>
    </w:lvl>
    <w:lvl w:ilvl="7">
      <w:start w:val="1"/>
      <w:numFmt w:val="decimal"/>
      <w:pStyle w:val="950"/>
      <w:isLgl w:val="false"/>
      <w:suff w:val="nothing"/>
      <w:lvlText w:val=""/>
      <w:lvlJc w:val="left"/>
      <w:pPr>
        <w:ind w:left="0" w:firstLine="0"/>
      </w:pPr>
      <w:rPr>
        <w:rFonts w:hint="eastAsia"/>
      </w:rPr>
    </w:lvl>
    <w:lvl w:ilvl="8">
      <w:start w:val="1"/>
      <w:numFmt w:val="decimal"/>
      <w:pStyle w:val="951"/>
      <w:isLgl w:val="false"/>
      <w:suff w:val="nothing"/>
      <w:lvlText w:val=""/>
      <w:lvlJc w:val="left"/>
      <w:pPr>
        <w:ind w:left="0" w:firstLine="0"/>
      </w:pPr>
      <w:rPr>
        <w:rFonts w:hint="eastAsia"/>
      </w:rPr>
    </w:lvl>
  </w:abstractNum>
  <w:abstractNum w:abstractNumId="3">
    <w:multiLevelType w:val="hybridMultilevel"/>
    <w:lvl w:ilvl="0">
      <w:start w:val="1"/>
      <w:numFmt w:val="decimal"/>
      <w:pStyle w:val="103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decimal"/>
      <w:isLgl w:val="false"/>
      <w:suff w:val="nothing"/>
      <w:lvlText w:val="（%1）"/>
      <w:lvlJc w:val="left"/>
      <w:pPr>
        <w:ind w:left="562" w:hanging="420"/>
      </w:pPr>
      <w:rPr>
        <w:rFonts w:hint="eastAsia"/>
      </w:rPr>
    </w:lvl>
    <w:lvl w:ilvl="1">
      <w:start w:val="1"/>
      <w:numFmt w:val="lowerLetter"/>
      <w:isLgl w:val="false"/>
      <w:suff w:val="tab"/>
      <w:lvlText w:val="%2)"/>
      <w:lvlJc w:val="left"/>
      <w:pPr>
        <w:ind w:left="984" w:hanging="420"/>
      </w:pPr>
    </w:lvl>
    <w:lvl w:ilvl="2">
      <w:start w:val="1"/>
      <w:numFmt w:val="lowerRoman"/>
      <w:isLgl w:val="false"/>
      <w:suff w:val="tab"/>
      <w:lvlText w:val="%3."/>
      <w:lvlJc w:val="right"/>
      <w:pPr>
        <w:ind w:left="1404" w:hanging="420"/>
      </w:pPr>
    </w:lvl>
    <w:lvl w:ilvl="3">
      <w:start w:val="1"/>
      <w:numFmt w:val="decimal"/>
      <w:isLgl w:val="false"/>
      <w:suff w:val="tab"/>
      <w:lvlText w:val="%4."/>
      <w:lvlJc w:val="left"/>
      <w:pPr>
        <w:ind w:left="1824" w:hanging="420"/>
      </w:pPr>
    </w:lvl>
    <w:lvl w:ilvl="4">
      <w:start w:val="1"/>
      <w:numFmt w:val="lowerLetter"/>
      <w:isLgl w:val="false"/>
      <w:suff w:val="tab"/>
      <w:lvlText w:val="%5)"/>
      <w:lvlJc w:val="left"/>
      <w:pPr>
        <w:ind w:left="2244" w:hanging="420"/>
      </w:pPr>
    </w:lvl>
    <w:lvl w:ilvl="5">
      <w:start w:val="1"/>
      <w:numFmt w:val="lowerRoman"/>
      <w:isLgl w:val="false"/>
      <w:suff w:val="tab"/>
      <w:lvlText w:val="%6."/>
      <w:lvlJc w:val="right"/>
      <w:pPr>
        <w:ind w:left="2664" w:hanging="420"/>
      </w:pPr>
    </w:lvl>
    <w:lvl w:ilvl="6">
      <w:start w:val="1"/>
      <w:numFmt w:val="decimal"/>
      <w:isLgl w:val="false"/>
      <w:suff w:val="tab"/>
      <w:lvlText w:val="%7."/>
      <w:lvlJc w:val="left"/>
      <w:pPr>
        <w:ind w:left="3084" w:hanging="420"/>
      </w:pPr>
    </w:lvl>
    <w:lvl w:ilvl="7">
      <w:start w:val="1"/>
      <w:numFmt w:val="lowerLetter"/>
      <w:isLgl w:val="false"/>
      <w:suff w:val="tab"/>
      <w:lvlText w:val="%8)"/>
      <w:lvlJc w:val="left"/>
      <w:pPr>
        <w:ind w:left="3504" w:hanging="420"/>
      </w:pPr>
    </w:lvl>
    <w:lvl w:ilvl="8">
      <w:start w:val="1"/>
      <w:numFmt w:val="lowerRoman"/>
      <w:isLgl w:val="false"/>
      <w:suff w:val="tab"/>
      <w:lvlText w:val="%9."/>
      <w:lvlJc w:val="right"/>
      <w:pPr>
        <w:ind w:left="3924" w:hanging="420"/>
      </w:p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1" w:default="1">
    <w:name w:val="Normal"/>
    <w:next w:val="773"/>
    <w:link w:val="1059"/>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62">
    <w:name w:val="Heading 1"/>
    <w:basedOn w:val="761"/>
    <w:next w:val="761"/>
    <w:link w:val="794"/>
    <w:uiPriority w:val="9"/>
    <w:qFormat/>
    <w:pPr>
      <w:keepLines/>
      <w:keepNext/>
      <w:spacing w:before="480" w:after="200"/>
      <w:outlineLvl w:val="0"/>
    </w:pPr>
    <w:rPr>
      <w:rFonts w:ascii="Arial" w:hAnsi="Arial" w:eastAsia="Arial" w:cs="Arial"/>
      <w:sz w:val="40"/>
      <w:szCs w:val="40"/>
    </w:rPr>
  </w:style>
  <w:style w:type="paragraph" w:styleId="763">
    <w:name w:val="Heading 2"/>
    <w:basedOn w:val="761"/>
    <w:next w:val="761"/>
    <w:link w:val="795"/>
    <w:uiPriority w:val="9"/>
    <w:unhideWhenUsed/>
    <w:qFormat/>
    <w:pPr>
      <w:keepLines/>
      <w:keepNext/>
      <w:spacing w:before="360" w:after="200"/>
      <w:outlineLvl w:val="1"/>
    </w:pPr>
    <w:rPr>
      <w:rFonts w:ascii="Arial" w:hAnsi="Arial" w:eastAsia="Arial" w:cs="Arial"/>
      <w:sz w:val="34"/>
    </w:rPr>
  </w:style>
  <w:style w:type="paragraph" w:styleId="764">
    <w:name w:val="Heading 3"/>
    <w:basedOn w:val="761"/>
    <w:next w:val="761"/>
    <w:link w:val="796"/>
    <w:uiPriority w:val="9"/>
    <w:unhideWhenUsed/>
    <w:qFormat/>
    <w:pPr>
      <w:keepLines/>
      <w:keepNext/>
      <w:spacing w:before="320" w:after="200"/>
      <w:outlineLvl w:val="2"/>
    </w:pPr>
    <w:rPr>
      <w:rFonts w:ascii="Arial" w:hAnsi="Arial" w:eastAsia="Arial" w:cs="Arial"/>
      <w:sz w:val="30"/>
      <w:szCs w:val="30"/>
    </w:rPr>
  </w:style>
  <w:style w:type="paragraph" w:styleId="765">
    <w:name w:val="Heading 4"/>
    <w:basedOn w:val="761"/>
    <w:next w:val="761"/>
    <w:link w:val="797"/>
    <w:uiPriority w:val="9"/>
    <w:unhideWhenUsed/>
    <w:qFormat/>
    <w:pPr>
      <w:keepLines/>
      <w:keepNext/>
      <w:spacing w:before="320" w:after="200"/>
      <w:outlineLvl w:val="3"/>
    </w:pPr>
    <w:rPr>
      <w:rFonts w:ascii="Arial" w:hAnsi="Arial" w:eastAsia="Arial" w:cs="Arial"/>
      <w:b/>
      <w:bCs/>
      <w:sz w:val="26"/>
      <w:szCs w:val="26"/>
    </w:rPr>
  </w:style>
  <w:style w:type="paragraph" w:styleId="766">
    <w:name w:val="Heading 5"/>
    <w:basedOn w:val="761"/>
    <w:next w:val="761"/>
    <w:link w:val="798"/>
    <w:uiPriority w:val="9"/>
    <w:unhideWhenUsed/>
    <w:qFormat/>
    <w:pPr>
      <w:keepLines/>
      <w:keepNext/>
      <w:spacing w:before="320" w:after="200"/>
      <w:outlineLvl w:val="4"/>
    </w:pPr>
    <w:rPr>
      <w:rFonts w:ascii="Arial" w:hAnsi="Arial" w:eastAsia="Arial" w:cs="Arial"/>
      <w:b/>
      <w:bCs/>
      <w:sz w:val="24"/>
      <w:szCs w:val="24"/>
    </w:rPr>
  </w:style>
  <w:style w:type="paragraph" w:styleId="767">
    <w:name w:val="Heading 6"/>
    <w:basedOn w:val="761"/>
    <w:next w:val="761"/>
    <w:link w:val="799"/>
    <w:uiPriority w:val="9"/>
    <w:unhideWhenUsed/>
    <w:qFormat/>
    <w:pPr>
      <w:keepLines/>
      <w:keepNext/>
      <w:spacing w:before="320" w:after="200"/>
      <w:outlineLvl w:val="5"/>
    </w:pPr>
    <w:rPr>
      <w:rFonts w:ascii="Arial" w:hAnsi="Arial" w:eastAsia="Arial" w:cs="Arial"/>
      <w:b/>
      <w:bCs/>
      <w:sz w:val="22"/>
      <w:szCs w:val="22"/>
    </w:rPr>
  </w:style>
  <w:style w:type="paragraph" w:styleId="768">
    <w:name w:val="Heading 7"/>
    <w:basedOn w:val="761"/>
    <w:next w:val="761"/>
    <w:link w:val="800"/>
    <w:uiPriority w:val="9"/>
    <w:unhideWhenUsed/>
    <w:qFormat/>
    <w:pPr>
      <w:keepLines/>
      <w:keepNext/>
      <w:spacing w:before="320" w:after="200"/>
      <w:outlineLvl w:val="6"/>
    </w:pPr>
    <w:rPr>
      <w:rFonts w:ascii="Arial" w:hAnsi="Arial" w:eastAsia="Arial" w:cs="Arial"/>
      <w:b/>
      <w:bCs/>
      <w:i/>
      <w:iCs/>
      <w:sz w:val="22"/>
      <w:szCs w:val="22"/>
    </w:rPr>
  </w:style>
  <w:style w:type="paragraph" w:styleId="769">
    <w:name w:val="Heading 8"/>
    <w:basedOn w:val="761"/>
    <w:next w:val="761"/>
    <w:link w:val="801"/>
    <w:uiPriority w:val="9"/>
    <w:unhideWhenUsed/>
    <w:qFormat/>
    <w:pPr>
      <w:keepLines/>
      <w:keepNext/>
      <w:spacing w:before="320" w:after="200"/>
      <w:outlineLvl w:val="7"/>
    </w:pPr>
    <w:rPr>
      <w:rFonts w:ascii="Arial" w:hAnsi="Arial" w:eastAsia="Arial" w:cs="Arial"/>
      <w:i/>
      <w:iCs/>
      <w:sz w:val="22"/>
      <w:szCs w:val="22"/>
    </w:rPr>
  </w:style>
  <w:style w:type="paragraph" w:styleId="770">
    <w:name w:val="Heading 9"/>
    <w:basedOn w:val="761"/>
    <w:next w:val="761"/>
    <w:link w:val="802"/>
    <w:uiPriority w:val="9"/>
    <w:unhideWhenUsed/>
    <w:qFormat/>
    <w:pPr>
      <w:keepLines/>
      <w:keepNext/>
      <w:spacing w:before="320" w:after="200"/>
      <w:outlineLvl w:val="8"/>
    </w:pPr>
    <w:rPr>
      <w:rFonts w:ascii="Arial" w:hAnsi="Arial" w:eastAsia="Arial" w:cs="Arial"/>
      <w:i/>
      <w:iCs/>
      <w:sz w:val="21"/>
      <w:szCs w:val="21"/>
    </w:rPr>
  </w:style>
  <w:style w:type="character" w:styleId="771" w:default="1">
    <w:name w:val="Default Paragraph Font"/>
    <w:uiPriority w:val="1"/>
    <w:semiHidden/>
    <w:unhideWhenUsed/>
    <w:qFormat/>
  </w:style>
  <w:style w:type="table" w:styleId="772" w:default="1">
    <w:name w:val="Normal Table"/>
    <w:uiPriority w:val="99"/>
    <w:semiHidden/>
    <w:unhideWhenUsed/>
    <w:qFormat/>
    <w:tblPr>
      <w:tblCellMar>
        <w:left w:w="108" w:type="dxa"/>
        <w:top w:w="0" w:type="dxa"/>
        <w:right w:w="108" w:type="dxa"/>
        <w:bottom w:w="0" w:type="dxa"/>
      </w:tblCellMar>
    </w:tblPr>
  </w:style>
  <w:style w:type="paragraph" w:styleId="773">
    <w:name w:val="toc 1"/>
    <w:basedOn w:val="761"/>
    <w:next w:val="761"/>
    <w:uiPriority w:val="39"/>
    <w:unhideWhenUsed/>
    <w:qFormat/>
    <w:pPr>
      <w:ind w:left="0" w:right="0" w:firstLine="0"/>
      <w:spacing w:after="57"/>
    </w:pPr>
  </w:style>
  <w:style w:type="paragraph" w:styleId="774">
    <w:name w:val="toc 7"/>
    <w:basedOn w:val="761"/>
    <w:next w:val="761"/>
    <w:uiPriority w:val="39"/>
    <w:unhideWhenUsed/>
    <w:qFormat/>
    <w:pPr>
      <w:ind w:left="1701" w:right="0" w:firstLine="0"/>
      <w:spacing w:after="57"/>
    </w:pPr>
  </w:style>
  <w:style w:type="paragraph" w:styleId="775">
    <w:name w:val="Caption"/>
    <w:basedOn w:val="761"/>
    <w:next w:val="76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6">
    <w:name w:val="toc 5"/>
    <w:basedOn w:val="761"/>
    <w:next w:val="761"/>
    <w:uiPriority w:val="39"/>
    <w:unhideWhenUsed/>
    <w:qFormat/>
    <w:pPr>
      <w:ind w:left="1134" w:right="0" w:firstLine="0"/>
      <w:spacing w:after="57"/>
    </w:pPr>
  </w:style>
  <w:style w:type="paragraph" w:styleId="777">
    <w:name w:val="toc 3"/>
    <w:basedOn w:val="761"/>
    <w:next w:val="761"/>
    <w:uiPriority w:val="39"/>
    <w:unhideWhenUsed/>
    <w:qFormat/>
    <w:pPr>
      <w:ind w:left="567" w:right="0" w:firstLine="0"/>
      <w:spacing w:after="57"/>
    </w:pPr>
  </w:style>
  <w:style w:type="paragraph" w:styleId="778">
    <w:name w:val="toc 8"/>
    <w:basedOn w:val="761"/>
    <w:next w:val="761"/>
    <w:uiPriority w:val="39"/>
    <w:unhideWhenUsed/>
    <w:qFormat/>
    <w:pPr>
      <w:ind w:left="1984" w:right="0" w:firstLine="0"/>
      <w:spacing w:after="57"/>
    </w:pPr>
  </w:style>
  <w:style w:type="paragraph" w:styleId="779">
    <w:name w:val="endnote text"/>
    <w:basedOn w:val="761"/>
    <w:link w:val="940"/>
    <w:uiPriority w:val="99"/>
    <w:semiHidden/>
    <w:unhideWhenUsed/>
    <w:qFormat/>
    <w:pPr>
      <w:spacing w:after="0" w:line="240" w:lineRule="auto"/>
    </w:pPr>
    <w:rPr>
      <w:sz w:val="20"/>
    </w:rPr>
  </w:style>
  <w:style w:type="paragraph" w:styleId="780">
    <w:name w:val="Footer"/>
    <w:basedOn w:val="761"/>
    <w:link w:val="813"/>
    <w:uiPriority w:val="99"/>
    <w:unhideWhenUsed/>
    <w:qFormat/>
    <w:pPr>
      <w:spacing w:after="0" w:line="240" w:lineRule="auto"/>
      <w:tabs>
        <w:tab w:val="center" w:pos="7143" w:leader="none"/>
        <w:tab w:val="right" w:pos="14287" w:leader="none"/>
      </w:tabs>
    </w:pPr>
  </w:style>
  <w:style w:type="paragraph" w:styleId="781">
    <w:name w:val="Header"/>
    <w:basedOn w:val="761"/>
    <w:link w:val="811"/>
    <w:uiPriority w:val="99"/>
    <w:unhideWhenUsed/>
    <w:qFormat/>
    <w:pPr>
      <w:spacing w:after="0" w:line="240" w:lineRule="auto"/>
      <w:tabs>
        <w:tab w:val="center" w:pos="7143" w:leader="none"/>
        <w:tab w:val="right" w:pos="14287" w:leader="none"/>
      </w:tabs>
    </w:pPr>
  </w:style>
  <w:style w:type="paragraph" w:styleId="782">
    <w:name w:val="toc 4"/>
    <w:basedOn w:val="761"/>
    <w:next w:val="761"/>
    <w:uiPriority w:val="39"/>
    <w:unhideWhenUsed/>
    <w:qFormat/>
    <w:pPr>
      <w:ind w:left="850" w:right="0" w:firstLine="0"/>
      <w:spacing w:after="57"/>
    </w:pPr>
  </w:style>
  <w:style w:type="paragraph" w:styleId="783">
    <w:name w:val="Subtitle"/>
    <w:basedOn w:val="761"/>
    <w:next w:val="761"/>
    <w:link w:val="806"/>
    <w:uiPriority w:val="11"/>
    <w:qFormat/>
    <w:pPr>
      <w:spacing w:before="200" w:after="200"/>
    </w:pPr>
    <w:rPr>
      <w:sz w:val="24"/>
      <w:szCs w:val="24"/>
    </w:rPr>
  </w:style>
  <w:style w:type="paragraph" w:styleId="784">
    <w:name w:val="footnote text"/>
    <w:basedOn w:val="761"/>
    <w:link w:val="939"/>
    <w:uiPriority w:val="99"/>
    <w:semiHidden/>
    <w:unhideWhenUsed/>
    <w:qFormat/>
    <w:pPr>
      <w:spacing w:after="40" w:line="240" w:lineRule="auto"/>
    </w:pPr>
    <w:rPr>
      <w:sz w:val="18"/>
    </w:rPr>
  </w:style>
  <w:style w:type="paragraph" w:styleId="785">
    <w:name w:val="toc 6"/>
    <w:basedOn w:val="761"/>
    <w:next w:val="761"/>
    <w:uiPriority w:val="39"/>
    <w:unhideWhenUsed/>
    <w:qFormat/>
    <w:pPr>
      <w:ind w:left="1417" w:right="0" w:firstLine="0"/>
      <w:spacing w:after="57"/>
    </w:pPr>
  </w:style>
  <w:style w:type="paragraph" w:styleId="786">
    <w:name w:val="table of figures"/>
    <w:basedOn w:val="761"/>
    <w:next w:val="761"/>
    <w:uiPriority w:val="99"/>
    <w:unhideWhenUsed/>
    <w:qFormat/>
    <w:pPr>
      <w:spacing w:after="0" w:afterAutospacing="0"/>
    </w:pPr>
  </w:style>
  <w:style w:type="paragraph" w:styleId="787">
    <w:name w:val="toc 2"/>
    <w:basedOn w:val="761"/>
    <w:next w:val="761"/>
    <w:uiPriority w:val="39"/>
    <w:unhideWhenUsed/>
    <w:qFormat/>
    <w:pPr>
      <w:ind w:left="283" w:right="0" w:firstLine="0"/>
      <w:spacing w:after="57"/>
    </w:pPr>
  </w:style>
  <w:style w:type="paragraph" w:styleId="788">
    <w:name w:val="toc 9"/>
    <w:basedOn w:val="761"/>
    <w:next w:val="761"/>
    <w:uiPriority w:val="39"/>
    <w:unhideWhenUsed/>
    <w:qFormat/>
    <w:pPr>
      <w:ind w:left="2268" w:right="0" w:firstLine="0"/>
      <w:spacing w:after="57"/>
    </w:pPr>
  </w:style>
  <w:style w:type="paragraph" w:styleId="789">
    <w:name w:val="Title"/>
    <w:basedOn w:val="761"/>
    <w:next w:val="761"/>
    <w:link w:val="805"/>
    <w:uiPriority w:val="10"/>
    <w:qFormat/>
    <w:pPr>
      <w:contextualSpacing/>
      <w:spacing w:before="300" w:after="200"/>
    </w:pPr>
    <w:rPr>
      <w:sz w:val="48"/>
      <w:szCs w:val="48"/>
    </w:rPr>
  </w:style>
  <w:style w:type="table" w:styleId="79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1">
    <w:name w:val="endnote reference"/>
    <w:uiPriority w:val="99"/>
    <w:semiHidden/>
    <w:unhideWhenUsed/>
    <w:qFormat/>
    <w:rPr>
      <w:vertAlign w:val="superscript"/>
    </w:rPr>
  </w:style>
  <w:style w:type="character" w:styleId="792">
    <w:name w:val="Hyperlink"/>
    <w:uiPriority w:val="99"/>
    <w:unhideWhenUsed/>
    <w:qFormat/>
    <w:rPr>
      <w:color w:val="0000ff" w:themeColor="hyperlink"/>
      <w:u w:val="single"/>
      <w14:textFill>
        <w14:solidFill>
          <w14:schemeClr w14:val="hlink"/>
        </w14:solidFill>
      </w14:textFill>
    </w:rPr>
  </w:style>
  <w:style w:type="character" w:styleId="793">
    <w:name w:val="footnote reference"/>
    <w:uiPriority w:val="99"/>
    <w:unhideWhenUsed/>
    <w:qFormat/>
    <w:rPr>
      <w:vertAlign w:val="superscript"/>
    </w:rPr>
  </w:style>
  <w:style w:type="character" w:styleId="794" w:customStyle="1">
    <w:name w:val="Heading 1 Char"/>
    <w:link w:val="762"/>
    <w:uiPriority w:val="9"/>
    <w:qFormat/>
    <w:rPr>
      <w:rFonts w:ascii="Arial" w:hAnsi="Arial" w:eastAsia="Arial" w:cs="Arial"/>
      <w:sz w:val="40"/>
      <w:szCs w:val="40"/>
    </w:rPr>
  </w:style>
  <w:style w:type="character" w:styleId="795" w:customStyle="1">
    <w:name w:val="Heading 2 Char"/>
    <w:link w:val="763"/>
    <w:uiPriority w:val="9"/>
    <w:qFormat/>
    <w:rPr>
      <w:rFonts w:ascii="Arial" w:hAnsi="Arial" w:eastAsia="Arial" w:cs="Arial"/>
      <w:sz w:val="34"/>
    </w:rPr>
  </w:style>
  <w:style w:type="character" w:styleId="796" w:customStyle="1">
    <w:name w:val="Heading 3 Char"/>
    <w:link w:val="764"/>
    <w:uiPriority w:val="9"/>
    <w:qFormat/>
    <w:rPr>
      <w:rFonts w:ascii="Arial" w:hAnsi="Arial" w:eastAsia="Arial" w:cs="Arial"/>
      <w:sz w:val="30"/>
      <w:szCs w:val="30"/>
    </w:rPr>
  </w:style>
  <w:style w:type="character" w:styleId="797" w:customStyle="1">
    <w:name w:val="Heading 4 Char"/>
    <w:link w:val="765"/>
    <w:uiPriority w:val="9"/>
    <w:qFormat/>
    <w:rPr>
      <w:rFonts w:ascii="Arial" w:hAnsi="Arial" w:eastAsia="Arial" w:cs="Arial"/>
      <w:b/>
      <w:bCs/>
      <w:sz w:val="26"/>
      <w:szCs w:val="26"/>
    </w:rPr>
  </w:style>
  <w:style w:type="character" w:styleId="798" w:customStyle="1">
    <w:name w:val="Heading 5 Char"/>
    <w:link w:val="766"/>
    <w:uiPriority w:val="9"/>
    <w:qFormat/>
    <w:rPr>
      <w:rFonts w:ascii="Arial" w:hAnsi="Arial" w:eastAsia="Arial" w:cs="Arial"/>
      <w:b/>
      <w:bCs/>
      <w:sz w:val="24"/>
      <w:szCs w:val="24"/>
    </w:rPr>
  </w:style>
  <w:style w:type="character" w:styleId="799" w:customStyle="1">
    <w:name w:val="Heading 6 Char"/>
    <w:link w:val="767"/>
    <w:uiPriority w:val="9"/>
    <w:qFormat/>
    <w:rPr>
      <w:rFonts w:ascii="Arial" w:hAnsi="Arial" w:eastAsia="Arial" w:cs="Arial"/>
      <w:b/>
      <w:bCs/>
      <w:sz w:val="22"/>
      <w:szCs w:val="22"/>
    </w:rPr>
  </w:style>
  <w:style w:type="character" w:styleId="800" w:customStyle="1">
    <w:name w:val="Heading 7 Char"/>
    <w:link w:val="768"/>
    <w:uiPriority w:val="9"/>
    <w:qFormat/>
    <w:rPr>
      <w:rFonts w:ascii="Arial" w:hAnsi="Arial" w:eastAsia="Arial" w:cs="Arial"/>
      <w:b/>
      <w:bCs/>
      <w:i/>
      <w:iCs/>
      <w:sz w:val="22"/>
      <w:szCs w:val="22"/>
    </w:rPr>
  </w:style>
  <w:style w:type="character" w:styleId="801" w:customStyle="1">
    <w:name w:val="Heading 8 Char"/>
    <w:link w:val="769"/>
    <w:uiPriority w:val="9"/>
    <w:qFormat/>
    <w:rPr>
      <w:rFonts w:ascii="Arial" w:hAnsi="Arial" w:eastAsia="Arial" w:cs="Arial"/>
      <w:i/>
      <w:iCs/>
      <w:sz w:val="22"/>
      <w:szCs w:val="22"/>
    </w:rPr>
  </w:style>
  <w:style w:type="character" w:styleId="802" w:customStyle="1">
    <w:name w:val="Heading 9 Char"/>
    <w:link w:val="770"/>
    <w:uiPriority w:val="9"/>
    <w:qFormat/>
    <w:rPr>
      <w:rFonts w:ascii="Arial" w:hAnsi="Arial" w:eastAsia="Arial" w:cs="Arial"/>
      <w:i/>
      <w:iCs/>
      <w:sz w:val="21"/>
      <w:szCs w:val="21"/>
    </w:rPr>
  </w:style>
  <w:style w:type="paragraph" w:styleId="803">
    <w:name w:val="List Paragraph"/>
    <w:basedOn w:val="761"/>
    <w:uiPriority w:val="34"/>
    <w:qFormat/>
    <w:pPr>
      <w:contextualSpacing/>
      <w:ind w:left="720"/>
    </w:pPr>
  </w:style>
  <w:style w:type="paragraph" w:styleId="804">
    <w:name w:val="No Spacing"/>
    <w:uiPriority w:val="1"/>
    <w:qFormat/>
    <w:pPr>
      <w:spacing w:before="0" w:after="0" w:line="240" w:lineRule="auto"/>
    </w:pPr>
    <w:rPr>
      <w:rFonts w:hint="default" w:ascii="Calibri" w:hAnsi="Calibri" w:eastAsia="宋体" w:cs="Times New Roman"/>
    </w:rPr>
  </w:style>
  <w:style w:type="character" w:styleId="805" w:customStyle="1">
    <w:name w:val="Title Char"/>
    <w:link w:val="789"/>
    <w:uiPriority w:val="10"/>
    <w:qFormat/>
    <w:rPr>
      <w:sz w:val="48"/>
      <w:szCs w:val="48"/>
    </w:rPr>
  </w:style>
  <w:style w:type="character" w:styleId="806" w:customStyle="1">
    <w:name w:val="Subtitle Char"/>
    <w:link w:val="783"/>
    <w:uiPriority w:val="11"/>
    <w:qFormat/>
    <w:rPr>
      <w:sz w:val="24"/>
      <w:szCs w:val="24"/>
    </w:rPr>
  </w:style>
  <w:style w:type="paragraph" w:styleId="807">
    <w:name w:val="Quote"/>
    <w:basedOn w:val="761"/>
    <w:next w:val="761"/>
    <w:link w:val="808"/>
    <w:uiPriority w:val="29"/>
    <w:qFormat/>
    <w:pPr>
      <w:ind w:left="720" w:right="720"/>
    </w:pPr>
    <w:rPr>
      <w:i/>
    </w:rPr>
  </w:style>
  <w:style w:type="character" w:styleId="808" w:customStyle="1">
    <w:name w:val="Quote Char"/>
    <w:link w:val="807"/>
    <w:uiPriority w:val="29"/>
    <w:qFormat/>
    <w:rPr>
      <w:i/>
    </w:rPr>
  </w:style>
  <w:style w:type="paragraph" w:styleId="809">
    <w:name w:val="Intense Quote"/>
    <w:basedOn w:val="761"/>
    <w:next w:val="761"/>
    <w:link w:val="8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customStyle="1">
    <w:name w:val="Intense Quote Char"/>
    <w:link w:val="809"/>
    <w:uiPriority w:val="30"/>
    <w:qFormat/>
    <w:rPr>
      <w:i/>
    </w:rPr>
  </w:style>
  <w:style w:type="character" w:styleId="811" w:customStyle="1">
    <w:name w:val="Header Char"/>
    <w:link w:val="781"/>
    <w:uiPriority w:val="99"/>
    <w:qFormat/>
  </w:style>
  <w:style w:type="character" w:styleId="812" w:customStyle="1">
    <w:name w:val="Footer Char"/>
    <w:link w:val="780"/>
    <w:uiPriority w:val="99"/>
    <w:qFormat/>
  </w:style>
  <w:style w:type="character" w:styleId="813" w:customStyle="1">
    <w:name w:val="Caption Char"/>
    <w:link w:val="780"/>
    <w:uiPriority w:val="99"/>
    <w:qFormat/>
  </w:style>
  <w:style w:type="table" w:styleId="81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9" w:customStyle="1">
    <w:name w:val="Footnote Text Char"/>
    <w:link w:val="784"/>
    <w:uiPriority w:val="99"/>
    <w:qFormat/>
    <w:rPr>
      <w:sz w:val="18"/>
    </w:rPr>
  </w:style>
  <w:style w:type="character" w:styleId="940" w:customStyle="1">
    <w:name w:val="Endnote Text Char"/>
    <w:link w:val="779"/>
    <w:uiPriority w:val="99"/>
    <w:qFormat/>
    <w:rPr>
      <w:sz w:val="20"/>
    </w:rPr>
  </w:style>
  <w:style w:type="paragraph" w:styleId="941" w:customStyle="1">
    <w:name w:val="TOC Heading"/>
    <w:uiPriority w:val="39"/>
    <w:unhideWhenUsed/>
    <w:qFormat/>
    <w:rPr>
      <w:rFonts w:hint="default" w:ascii="Calibri" w:hAnsi="Calibri" w:eastAsia="宋体" w:cs="Times New Roman"/>
    </w:rPr>
  </w:style>
  <w:style w:type="paragraph" w:styleId="942" w:customStyle="1">
    <w:name w:val="标题 11"/>
    <w:basedOn w:val="761"/>
    <w:next w:val="761"/>
    <w:link w:val="954"/>
    <w:uiPriority w:val="0"/>
    <w:qFormat/>
    <w:pPr>
      <w:jc w:val="center"/>
      <w:keepNext/>
      <w:outlineLvl w:val="0"/>
    </w:pPr>
    <w:rPr>
      <w:rFonts w:ascii="楷体_GB2312" w:eastAsia="楷体_GB2312"/>
      <w:sz w:val="28"/>
      <w:szCs w:val="28"/>
    </w:rPr>
  </w:style>
  <w:style w:type="paragraph" w:styleId="943" w:customStyle="1">
    <w:name w:val="标题 21"/>
    <w:basedOn w:val="761"/>
    <w:next w:val="944"/>
    <w:link w:val="95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44" w:customStyle="1">
    <w:name w:val="正文缩进11"/>
    <w:basedOn w:val="761"/>
    <w:link w:val="956"/>
    <w:uiPriority w:val="0"/>
    <w:qFormat/>
    <w:pPr>
      <w:ind w:firstLine="420"/>
    </w:pPr>
  </w:style>
  <w:style w:type="paragraph" w:styleId="945" w:customStyle="1">
    <w:name w:val="标题 311"/>
    <w:basedOn w:val="761"/>
    <w:next w:val="944"/>
    <w:link w:val="957"/>
    <w:uiPriority w:val="0"/>
    <w:qFormat/>
    <w:pPr>
      <w:keepLines/>
      <w:keepNext/>
      <w:spacing w:before="260" w:after="260" w:line="416" w:lineRule="auto"/>
      <w:outlineLvl w:val="2"/>
    </w:pPr>
    <w:rPr>
      <w:b/>
      <w:bCs/>
      <w:sz w:val="32"/>
      <w:szCs w:val="32"/>
    </w:rPr>
  </w:style>
  <w:style w:type="paragraph" w:styleId="946" w:customStyle="1">
    <w:name w:val="标题 41"/>
    <w:basedOn w:val="761"/>
    <w:next w:val="944"/>
    <w:link w:val="958"/>
    <w:uiPriority w:val="0"/>
    <w:qFormat/>
    <w:pPr>
      <w:keepLines/>
      <w:keepNext/>
      <w:spacing w:before="280" w:after="290" w:line="376" w:lineRule="auto"/>
      <w:outlineLvl w:val="3"/>
    </w:pPr>
    <w:rPr>
      <w:rFonts w:ascii="Arial" w:hAnsi="Arial" w:eastAsia="黑体" w:cs="Arial"/>
      <w:b/>
      <w:bCs/>
      <w:sz w:val="28"/>
      <w:szCs w:val="28"/>
    </w:rPr>
  </w:style>
  <w:style w:type="paragraph" w:styleId="947" w:customStyle="1">
    <w:name w:val="标题 51"/>
    <w:basedOn w:val="761"/>
    <w:next w:val="944"/>
    <w:link w:val="959"/>
    <w:uiPriority w:val="0"/>
    <w:qFormat/>
    <w:pPr>
      <w:keepNext/>
      <w:outlineLvl w:val="4"/>
    </w:pPr>
    <w:rPr>
      <w:rFonts w:ascii="宋体"/>
      <w:color w:val="000000"/>
      <w:sz w:val="28"/>
      <w:szCs w:val="28"/>
    </w:rPr>
  </w:style>
  <w:style w:type="paragraph" w:styleId="948" w:customStyle="1">
    <w:name w:val="标题 61"/>
    <w:basedOn w:val="761"/>
    <w:next w:val="761"/>
    <w:link w:val="96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49" w:customStyle="1">
    <w:name w:val="标题 71"/>
    <w:basedOn w:val="761"/>
    <w:next w:val="761"/>
    <w:link w:val="961"/>
    <w:uiPriority w:val="0"/>
    <w:qFormat/>
    <w:pPr>
      <w:numPr>
        <w:ilvl w:val="6"/>
        <w:numId w:val="1"/>
      </w:numPr>
      <w:keepLines/>
      <w:keepNext/>
      <w:spacing w:before="240" w:after="64" w:line="320" w:lineRule="auto"/>
      <w:outlineLvl w:val="6"/>
    </w:pPr>
    <w:rPr>
      <w:b/>
      <w:bCs/>
      <w:sz w:val="24"/>
      <w:szCs w:val="24"/>
    </w:rPr>
  </w:style>
  <w:style w:type="paragraph" w:styleId="950" w:customStyle="1">
    <w:name w:val="标题 81"/>
    <w:basedOn w:val="761"/>
    <w:next w:val="761"/>
    <w:link w:val="96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51" w:customStyle="1">
    <w:name w:val="标题 91"/>
    <w:basedOn w:val="761"/>
    <w:next w:val="761"/>
    <w:link w:val="963"/>
    <w:uiPriority w:val="0"/>
    <w:qFormat/>
    <w:pPr>
      <w:numPr>
        <w:ilvl w:val="8"/>
        <w:numId w:val="1"/>
      </w:numPr>
      <w:keepLines/>
      <w:keepNext/>
      <w:spacing w:before="240" w:after="64" w:line="320" w:lineRule="auto"/>
      <w:outlineLvl w:val="8"/>
    </w:pPr>
    <w:rPr>
      <w:rFonts w:ascii="Arial" w:hAnsi="Arial" w:eastAsia="黑体"/>
    </w:rPr>
  </w:style>
  <w:style w:type="character" w:styleId="952" w:customStyle="1">
    <w:name w:val="默认段落字体1"/>
    <w:link w:val="761"/>
    <w:uiPriority w:val="1"/>
    <w:unhideWhenUsed/>
    <w:qFormat/>
  </w:style>
  <w:style w:type="table" w:styleId="953" w:customStyle="1">
    <w:name w:val="普通表格1"/>
    <w:uiPriority w:val="99"/>
    <w:unhideWhenUsed/>
    <w:qFormat/>
    <w:tblPr/>
  </w:style>
  <w:style w:type="character" w:styleId="954" w:customStyle="1">
    <w:name w:val="标题 1 字符"/>
    <w:link w:val="942"/>
    <w:uiPriority w:val="0"/>
    <w:qFormat/>
    <w:rPr>
      <w:rFonts w:ascii="楷体_GB2312" w:hAnsi="Times New Roman" w:eastAsia="楷体_GB2312" w:cs="Times New Roman"/>
      <w:sz w:val="28"/>
      <w:szCs w:val="28"/>
    </w:rPr>
  </w:style>
  <w:style w:type="character" w:styleId="955" w:customStyle="1">
    <w:name w:val="标题 2 字符"/>
    <w:link w:val="943"/>
    <w:uiPriority w:val="0"/>
    <w:qFormat/>
    <w:rPr>
      <w:rFonts w:ascii="Arial" w:hAnsi="Arial" w:eastAsia="幼圆" w:cs="Arial"/>
      <w:b/>
      <w:bCs/>
      <w:sz w:val="44"/>
      <w:szCs w:val="44"/>
    </w:rPr>
  </w:style>
  <w:style w:type="character" w:styleId="956" w:customStyle="1">
    <w:name w:val="正文缩进 字符"/>
    <w:link w:val="944"/>
    <w:uiPriority w:val="0"/>
    <w:qFormat/>
    <w:rPr>
      <w:rFonts w:ascii="Times New Roman" w:hAnsi="Times New Roman" w:eastAsia="宋体" w:cs="Times New Roman"/>
      <w:szCs w:val="21"/>
    </w:rPr>
  </w:style>
  <w:style w:type="character" w:styleId="957" w:customStyle="1">
    <w:name w:val="标题 3 字符"/>
    <w:link w:val="945"/>
    <w:uiPriority w:val="0"/>
    <w:qFormat/>
    <w:rPr>
      <w:rFonts w:ascii="Times New Roman" w:hAnsi="Times New Roman" w:eastAsia="宋体" w:cs="Times New Roman"/>
      <w:b/>
      <w:bCs/>
      <w:sz w:val="32"/>
      <w:szCs w:val="32"/>
    </w:rPr>
  </w:style>
  <w:style w:type="character" w:styleId="958" w:customStyle="1">
    <w:name w:val="标题 4 字符"/>
    <w:link w:val="946"/>
    <w:uiPriority w:val="0"/>
    <w:qFormat/>
    <w:rPr>
      <w:rFonts w:ascii="Arial" w:hAnsi="Arial" w:eastAsia="黑体" w:cs="Arial"/>
      <w:b/>
      <w:bCs/>
      <w:sz w:val="28"/>
      <w:szCs w:val="28"/>
    </w:rPr>
  </w:style>
  <w:style w:type="character" w:styleId="959" w:customStyle="1">
    <w:name w:val="标题 5 字符"/>
    <w:link w:val="947"/>
    <w:uiPriority w:val="0"/>
    <w:qFormat/>
    <w:rPr>
      <w:rFonts w:ascii="宋体" w:hAnsi="Times New Roman" w:eastAsia="宋体" w:cs="Times New Roman"/>
      <w:color w:val="000000"/>
      <w:sz w:val="28"/>
      <w:szCs w:val="28"/>
    </w:rPr>
  </w:style>
  <w:style w:type="character" w:styleId="960" w:customStyle="1">
    <w:name w:val="标题 6 字符"/>
    <w:link w:val="948"/>
    <w:uiPriority w:val="0"/>
    <w:qFormat/>
    <w:rPr>
      <w:rFonts w:ascii="Arial" w:hAnsi="Arial" w:eastAsia="黑体" w:cs="Times New Roman"/>
      <w:b/>
      <w:bCs/>
      <w:sz w:val="24"/>
      <w:szCs w:val="24"/>
    </w:rPr>
  </w:style>
  <w:style w:type="character" w:styleId="961" w:customStyle="1">
    <w:name w:val="标题 7 字符"/>
    <w:link w:val="949"/>
    <w:uiPriority w:val="0"/>
    <w:qFormat/>
    <w:rPr>
      <w:rFonts w:ascii="Times New Roman" w:hAnsi="Times New Roman" w:eastAsia="宋体" w:cs="Times New Roman"/>
      <w:b/>
      <w:bCs/>
      <w:sz w:val="24"/>
      <w:szCs w:val="24"/>
    </w:rPr>
  </w:style>
  <w:style w:type="character" w:styleId="962" w:customStyle="1">
    <w:name w:val="标题 8 字符"/>
    <w:link w:val="950"/>
    <w:uiPriority w:val="0"/>
    <w:qFormat/>
    <w:rPr>
      <w:rFonts w:ascii="Arial" w:hAnsi="Arial" w:eastAsia="黑体" w:cs="Times New Roman"/>
      <w:sz w:val="24"/>
      <w:szCs w:val="24"/>
    </w:rPr>
  </w:style>
  <w:style w:type="character" w:styleId="963" w:customStyle="1">
    <w:name w:val="标题 9 字符"/>
    <w:link w:val="951"/>
    <w:uiPriority w:val="0"/>
    <w:qFormat/>
    <w:rPr>
      <w:rFonts w:ascii="Arial" w:hAnsi="Arial" w:eastAsia="黑体" w:cs="Times New Roman"/>
      <w:szCs w:val="21"/>
    </w:rPr>
  </w:style>
  <w:style w:type="paragraph" w:styleId="964" w:customStyle="1">
    <w:name w:val="列表 31"/>
    <w:basedOn w:val="761"/>
    <w:uiPriority w:val="0"/>
    <w:qFormat/>
    <w:pPr>
      <w:ind w:left="100" w:hanging="200"/>
    </w:pPr>
  </w:style>
  <w:style w:type="paragraph" w:styleId="965" w:customStyle="1">
    <w:name w:val="目录 71"/>
    <w:basedOn w:val="761"/>
    <w:next w:val="761"/>
    <w:uiPriority w:val="0"/>
    <w:semiHidden/>
    <w:qFormat/>
    <w:pPr>
      <w:ind w:left="1260"/>
      <w:jc w:val="left"/>
    </w:pPr>
  </w:style>
  <w:style w:type="paragraph" w:styleId="966" w:customStyle="1">
    <w:name w:val="文档结构图1"/>
    <w:basedOn w:val="761"/>
    <w:link w:val="967"/>
    <w:uiPriority w:val="0"/>
    <w:semiHidden/>
    <w:qFormat/>
    <w:pPr>
      <w:shd w:val="clear" w:color="auto" w:fill="000080"/>
    </w:pPr>
  </w:style>
  <w:style w:type="character" w:styleId="967" w:customStyle="1">
    <w:name w:val="文档结构图 字符"/>
    <w:link w:val="966"/>
    <w:uiPriority w:val="0"/>
    <w:semiHidden/>
    <w:qFormat/>
    <w:rPr>
      <w:rFonts w:ascii="Times New Roman" w:hAnsi="Times New Roman" w:eastAsia="宋体" w:cs="Times New Roman"/>
      <w:szCs w:val="21"/>
      <w:shd w:val="clear" w:color="auto" w:fill="000080"/>
    </w:rPr>
  </w:style>
  <w:style w:type="paragraph" w:styleId="968" w:customStyle="1">
    <w:name w:val="批注文字1"/>
    <w:basedOn w:val="761"/>
    <w:link w:val="969"/>
    <w:uiPriority w:val="0"/>
    <w:semiHidden/>
    <w:qFormat/>
    <w:pPr>
      <w:jc w:val="left"/>
    </w:pPr>
  </w:style>
  <w:style w:type="character" w:styleId="969" w:customStyle="1">
    <w:name w:val="批注文字 字符"/>
    <w:link w:val="968"/>
    <w:uiPriority w:val="0"/>
    <w:semiHidden/>
    <w:qFormat/>
    <w:rPr>
      <w:rFonts w:ascii="Times New Roman" w:hAnsi="Times New Roman" w:eastAsia="宋体" w:cs="Times New Roman"/>
      <w:szCs w:val="21"/>
    </w:rPr>
  </w:style>
  <w:style w:type="paragraph" w:styleId="970" w:customStyle="1">
    <w:name w:val="正文文本 31"/>
    <w:basedOn w:val="761"/>
    <w:link w:val="971"/>
    <w:uiPriority w:val="0"/>
    <w:qFormat/>
    <w:rPr>
      <w:rFonts w:ascii="仿宋_GB2312" w:hAnsi="Arial" w:eastAsia="仿宋_GB2312"/>
      <w:sz w:val="32"/>
      <w:szCs w:val="32"/>
    </w:rPr>
  </w:style>
  <w:style w:type="character" w:styleId="971" w:customStyle="1">
    <w:name w:val="正文文本 3 字符"/>
    <w:link w:val="970"/>
    <w:uiPriority w:val="0"/>
    <w:qFormat/>
    <w:rPr>
      <w:rFonts w:ascii="仿宋_GB2312" w:hAnsi="Arial" w:eastAsia="仿宋_GB2312" w:cs="Times New Roman"/>
      <w:sz w:val="32"/>
      <w:szCs w:val="32"/>
    </w:rPr>
  </w:style>
  <w:style w:type="paragraph" w:styleId="972" w:customStyle="1">
    <w:name w:val="正文文本11"/>
    <w:basedOn w:val="761"/>
    <w:link w:val="973"/>
    <w:uiPriority w:val="0"/>
    <w:qFormat/>
    <w:rPr>
      <w:rFonts w:ascii="楷体_GB2312" w:hAnsi="Arial" w:eastAsia="楷体_GB2312"/>
      <w:sz w:val="28"/>
      <w:szCs w:val="28"/>
    </w:rPr>
  </w:style>
  <w:style w:type="character" w:styleId="973" w:customStyle="1">
    <w:name w:val="正文文本 字符"/>
    <w:link w:val="972"/>
    <w:uiPriority w:val="0"/>
    <w:qFormat/>
    <w:rPr>
      <w:rFonts w:ascii="楷体_GB2312" w:hAnsi="Arial" w:eastAsia="楷体_GB2312" w:cs="Times New Roman"/>
      <w:sz w:val="28"/>
      <w:szCs w:val="28"/>
    </w:rPr>
  </w:style>
  <w:style w:type="paragraph" w:styleId="974" w:customStyle="1">
    <w:name w:val="正文文本缩进1"/>
    <w:basedOn w:val="761"/>
    <w:link w:val="975"/>
    <w:uiPriority w:val="0"/>
    <w:qFormat/>
    <w:pPr>
      <w:ind w:firstLine="645"/>
    </w:pPr>
    <w:rPr>
      <w:rFonts w:ascii="楷体_GB2312" w:eastAsia="楷体_GB2312"/>
      <w:sz w:val="32"/>
      <w:szCs w:val="32"/>
    </w:rPr>
  </w:style>
  <w:style w:type="character" w:styleId="975" w:customStyle="1">
    <w:name w:val="正文文本缩进 字符"/>
    <w:link w:val="974"/>
    <w:uiPriority w:val="0"/>
    <w:qFormat/>
    <w:rPr>
      <w:rFonts w:ascii="楷体_GB2312" w:hAnsi="Times New Roman" w:eastAsia="楷体_GB2312" w:cs="Times New Roman"/>
      <w:sz w:val="32"/>
      <w:szCs w:val="32"/>
    </w:rPr>
  </w:style>
  <w:style w:type="paragraph" w:styleId="976" w:customStyle="1">
    <w:name w:val="列表 21"/>
    <w:basedOn w:val="761"/>
    <w:uiPriority w:val="0"/>
    <w:qFormat/>
    <w:pPr>
      <w:ind w:left="100" w:hanging="200"/>
    </w:pPr>
  </w:style>
  <w:style w:type="paragraph" w:styleId="977" w:customStyle="1">
    <w:name w:val="目录 51"/>
    <w:basedOn w:val="761"/>
    <w:next w:val="761"/>
    <w:uiPriority w:val="0"/>
    <w:semiHidden/>
    <w:qFormat/>
    <w:pPr>
      <w:ind w:left="840"/>
      <w:jc w:val="left"/>
    </w:pPr>
  </w:style>
  <w:style w:type="paragraph" w:styleId="978" w:customStyle="1">
    <w:name w:val="目录 31"/>
    <w:basedOn w:val="761"/>
    <w:next w:val="761"/>
    <w:uiPriority w:val="0"/>
    <w:semiHidden/>
    <w:qFormat/>
    <w:pPr>
      <w:ind w:left="420"/>
      <w:jc w:val="left"/>
    </w:pPr>
    <w:rPr>
      <w:i/>
      <w:iCs/>
      <w:szCs w:val="24"/>
    </w:rPr>
  </w:style>
  <w:style w:type="paragraph" w:styleId="979" w:customStyle="1">
    <w:name w:val="纯文本1"/>
    <w:basedOn w:val="761"/>
    <w:link w:val="980"/>
    <w:uiPriority w:val="0"/>
    <w:qFormat/>
    <w:rPr>
      <w:rFonts w:ascii="宋体" w:hAnsi="Courier New" w:cs="Courier New"/>
    </w:rPr>
  </w:style>
  <w:style w:type="character" w:styleId="980" w:customStyle="1">
    <w:name w:val="纯文本 字符"/>
    <w:link w:val="979"/>
    <w:uiPriority w:val="0"/>
    <w:qFormat/>
    <w:rPr>
      <w:rFonts w:ascii="宋体" w:hAnsi="Courier New" w:eastAsia="宋体" w:cs="Courier New"/>
      <w:szCs w:val="21"/>
    </w:rPr>
  </w:style>
  <w:style w:type="paragraph" w:styleId="981" w:customStyle="1">
    <w:name w:val="目录 81"/>
    <w:basedOn w:val="761"/>
    <w:next w:val="761"/>
    <w:uiPriority w:val="0"/>
    <w:semiHidden/>
    <w:qFormat/>
    <w:pPr>
      <w:ind w:left="1470"/>
      <w:jc w:val="left"/>
    </w:pPr>
  </w:style>
  <w:style w:type="paragraph" w:styleId="982" w:customStyle="1">
    <w:name w:val="日期1"/>
    <w:basedOn w:val="761"/>
    <w:next w:val="761"/>
    <w:link w:val="983"/>
    <w:uiPriority w:val="0"/>
    <w:qFormat/>
    <w:rPr>
      <w:sz w:val="24"/>
      <w:szCs w:val="24"/>
    </w:rPr>
  </w:style>
  <w:style w:type="character" w:styleId="983" w:customStyle="1">
    <w:name w:val="日期 字符"/>
    <w:link w:val="982"/>
    <w:uiPriority w:val="0"/>
    <w:qFormat/>
    <w:rPr>
      <w:rFonts w:ascii="Times New Roman" w:hAnsi="Times New Roman" w:eastAsia="宋体" w:cs="Times New Roman"/>
      <w:sz w:val="24"/>
      <w:szCs w:val="24"/>
    </w:rPr>
  </w:style>
  <w:style w:type="paragraph" w:styleId="984" w:customStyle="1">
    <w:name w:val="正文文本缩进 21"/>
    <w:basedOn w:val="761"/>
    <w:link w:val="985"/>
    <w:uiPriority w:val="0"/>
    <w:qFormat/>
    <w:pPr>
      <w:ind w:left="630" w:firstLine="645"/>
    </w:pPr>
    <w:rPr>
      <w:rFonts w:ascii="Arial" w:hAnsi="Arial" w:eastAsia="仿宋_GB2312" w:cs="Arial"/>
      <w:sz w:val="32"/>
      <w:szCs w:val="32"/>
    </w:rPr>
  </w:style>
  <w:style w:type="character" w:styleId="985" w:customStyle="1">
    <w:name w:val="正文文本缩进 2 字符"/>
    <w:link w:val="984"/>
    <w:uiPriority w:val="0"/>
    <w:qFormat/>
    <w:rPr>
      <w:rFonts w:ascii="Arial" w:hAnsi="Arial" w:eastAsia="仿宋_GB2312" w:cs="Arial"/>
      <w:sz w:val="32"/>
      <w:szCs w:val="32"/>
    </w:rPr>
  </w:style>
  <w:style w:type="paragraph" w:styleId="986" w:customStyle="1">
    <w:name w:val="批注框文本1"/>
    <w:basedOn w:val="761"/>
    <w:link w:val="987"/>
    <w:uiPriority w:val="0"/>
    <w:semiHidden/>
    <w:qFormat/>
    <w:rPr>
      <w:sz w:val="18"/>
      <w:szCs w:val="18"/>
    </w:rPr>
  </w:style>
  <w:style w:type="character" w:styleId="987" w:customStyle="1">
    <w:name w:val="批注框文本 字符"/>
    <w:link w:val="986"/>
    <w:uiPriority w:val="0"/>
    <w:semiHidden/>
    <w:qFormat/>
    <w:rPr>
      <w:rFonts w:ascii="Times New Roman" w:hAnsi="Times New Roman" w:eastAsia="宋体" w:cs="Times New Roman"/>
      <w:sz w:val="18"/>
      <w:szCs w:val="18"/>
    </w:rPr>
  </w:style>
  <w:style w:type="paragraph" w:styleId="988" w:customStyle="1">
    <w:name w:val="页脚1"/>
    <w:basedOn w:val="761"/>
    <w:link w:val="989"/>
    <w:uiPriority w:val="99"/>
    <w:qFormat/>
    <w:pPr>
      <w:jc w:val="left"/>
      <w:tabs>
        <w:tab w:val="center" w:pos="4153" w:leader="none"/>
        <w:tab w:val="right" w:pos="8306" w:leader="none"/>
      </w:tabs>
    </w:pPr>
    <w:rPr>
      <w:sz w:val="18"/>
      <w:szCs w:val="18"/>
    </w:rPr>
  </w:style>
  <w:style w:type="character" w:styleId="989" w:customStyle="1">
    <w:name w:val="页脚 字符"/>
    <w:link w:val="988"/>
    <w:uiPriority w:val="99"/>
    <w:qFormat/>
    <w:rPr>
      <w:rFonts w:ascii="Times New Roman" w:hAnsi="Times New Roman" w:eastAsia="宋体" w:cs="Times New Roman"/>
      <w:sz w:val="18"/>
      <w:szCs w:val="18"/>
    </w:rPr>
  </w:style>
  <w:style w:type="paragraph" w:styleId="990" w:customStyle="1">
    <w:name w:val="页眉1"/>
    <w:basedOn w:val="761"/>
    <w:link w:val="991"/>
    <w:uiPriority w:val="0"/>
    <w:qFormat/>
    <w:pPr>
      <w:jc w:val="center"/>
      <w:tabs>
        <w:tab w:val="center" w:pos="4153" w:leader="none"/>
        <w:tab w:val="right" w:pos="8306" w:leader="none"/>
      </w:tabs>
      <w:pBdr>
        <w:bottom w:val="single" w:color="000000" w:sz="6" w:space="1"/>
      </w:pBdr>
    </w:pPr>
    <w:rPr>
      <w:sz w:val="18"/>
      <w:szCs w:val="18"/>
    </w:rPr>
  </w:style>
  <w:style w:type="character" w:styleId="991" w:customStyle="1">
    <w:name w:val="页眉 字符"/>
    <w:link w:val="990"/>
    <w:uiPriority w:val="0"/>
    <w:qFormat/>
    <w:rPr>
      <w:rFonts w:ascii="Times New Roman" w:hAnsi="Times New Roman" w:eastAsia="宋体" w:cs="Times New Roman"/>
      <w:sz w:val="18"/>
      <w:szCs w:val="18"/>
    </w:rPr>
  </w:style>
  <w:style w:type="paragraph" w:styleId="992" w:customStyle="1">
    <w:name w:val="目录 11"/>
    <w:basedOn w:val="761"/>
    <w:next w:val="761"/>
    <w:uiPriority w:val="0"/>
    <w:semiHidden/>
    <w:qFormat/>
    <w:pPr>
      <w:jc w:val="left"/>
      <w:spacing w:before="120" w:after="120" w:line="400" w:lineRule="exact"/>
      <w:tabs>
        <w:tab w:val="right" w:pos="8720" w:leader="dot"/>
      </w:tabs>
    </w:pPr>
    <w:rPr>
      <w:rFonts w:ascii="宋体" w:hAnsi="宋体"/>
      <w:caps/>
      <w:sz w:val="24"/>
      <w:szCs w:val="24"/>
    </w:rPr>
  </w:style>
  <w:style w:type="paragraph" w:styleId="993" w:customStyle="1">
    <w:name w:val="目录 41"/>
    <w:basedOn w:val="761"/>
    <w:next w:val="761"/>
    <w:uiPriority w:val="0"/>
    <w:semiHidden/>
    <w:qFormat/>
    <w:pPr>
      <w:ind w:left="630"/>
      <w:jc w:val="left"/>
    </w:pPr>
  </w:style>
  <w:style w:type="paragraph" w:styleId="994" w:customStyle="1">
    <w:name w:val="列表1"/>
    <w:basedOn w:val="761"/>
    <w:uiPriority w:val="0"/>
    <w:qFormat/>
    <w:pPr>
      <w:ind w:left="200" w:hanging="200"/>
    </w:pPr>
  </w:style>
  <w:style w:type="paragraph" w:styleId="995" w:customStyle="1">
    <w:name w:val="目录 61"/>
    <w:basedOn w:val="761"/>
    <w:next w:val="761"/>
    <w:uiPriority w:val="0"/>
    <w:semiHidden/>
    <w:qFormat/>
    <w:pPr>
      <w:ind w:left="1050"/>
      <w:jc w:val="left"/>
    </w:pPr>
  </w:style>
  <w:style w:type="paragraph" w:styleId="996" w:customStyle="1">
    <w:name w:val="正文文本缩进 31"/>
    <w:basedOn w:val="761"/>
    <w:link w:val="997"/>
    <w:uiPriority w:val="0"/>
    <w:qFormat/>
    <w:pPr>
      <w:ind w:left="645" w:firstLine="645"/>
    </w:pPr>
    <w:rPr>
      <w:rFonts w:ascii="Arial" w:hAnsi="Arial" w:eastAsia="仿宋_GB2312" w:cs="Arial"/>
      <w:color w:val="ffff00"/>
      <w:sz w:val="32"/>
      <w:szCs w:val="32"/>
    </w:rPr>
  </w:style>
  <w:style w:type="character" w:styleId="997" w:customStyle="1">
    <w:name w:val="正文文本缩进 3 字符"/>
    <w:link w:val="996"/>
    <w:uiPriority w:val="0"/>
    <w:qFormat/>
    <w:rPr>
      <w:rFonts w:ascii="Arial" w:hAnsi="Arial" w:eastAsia="仿宋_GB2312" w:cs="Arial"/>
      <w:color w:val="ffff00"/>
      <w:sz w:val="32"/>
      <w:szCs w:val="32"/>
    </w:rPr>
  </w:style>
  <w:style w:type="paragraph" w:styleId="998" w:customStyle="1">
    <w:name w:val="图表目录1"/>
    <w:basedOn w:val="761"/>
    <w:next w:val="761"/>
    <w:uiPriority w:val="0"/>
    <w:semiHidden/>
    <w:qFormat/>
    <w:pPr>
      <w:ind w:left="840" w:hanging="420"/>
    </w:pPr>
  </w:style>
  <w:style w:type="paragraph" w:styleId="999" w:customStyle="1">
    <w:name w:val="目录 21"/>
    <w:basedOn w:val="761"/>
    <w:next w:val="761"/>
    <w:uiPriority w:val="0"/>
    <w:semiHidden/>
    <w:qFormat/>
    <w:pPr>
      <w:ind w:left="210"/>
      <w:jc w:val="left"/>
    </w:pPr>
    <w:rPr>
      <w:smallCaps/>
      <w:szCs w:val="24"/>
    </w:rPr>
  </w:style>
  <w:style w:type="paragraph" w:styleId="1000" w:customStyle="1">
    <w:name w:val="目录 91"/>
    <w:basedOn w:val="761"/>
    <w:next w:val="761"/>
    <w:uiPriority w:val="0"/>
    <w:semiHidden/>
    <w:qFormat/>
    <w:pPr>
      <w:ind w:left="1680"/>
      <w:jc w:val="left"/>
    </w:pPr>
  </w:style>
  <w:style w:type="paragraph" w:styleId="1001" w:customStyle="1">
    <w:name w:val="正文文本 21"/>
    <w:basedOn w:val="761"/>
    <w:link w:val="1002"/>
    <w:uiPriority w:val="0"/>
    <w:qFormat/>
    <w:pPr>
      <w:jc w:val="center"/>
      <w:widowControl/>
    </w:pPr>
    <w:rPr>
      <w:rFonts w:ascii="楷体_GB2312" w:eastAsia="楷体_GB2312"/>
      <w:sz w:val="28"/>
      <w:szCs w:val="28"/>
    </w:rPr>
  </w:style>
  <w:style w:type="character" w:styleId="1002" w:customStyle="1">
    <w:name w:val="正文文本 2 字符"/>
    <w:link w:val="1001"/>
    <w:uiPriority w:val="0"/>
    <w:qFormat/>
    <w:rPr>
      <w:rFonts w:ascii="楷体_GB2312" w:hAnsi="Times New Roman" w:eastAsia="楷体_GB2312" w:cs="Times New Roman"/>
      <w:sz w:val="28"/>
      <w:szCs w:val="28"/>
    </w:rPr>
  </w:style>
  <w:style w:type="paragraph" w:styleId="1003" w:customStyle="1">
    <w:name w:val="普通(网站)1"/>
    <w:basedOn w:val="761"/>
    <w:uiPriority w:val="99"/>
    <w:qFormat/>
    <w:pPr>
      <w:jc w:val="left"/>
      <w:spacing w:before="100" w:beforeAutospacing="1" w:after="100" w:afterAutospacing="1"/>
      <w:widowControl/>
    </w:pPr>
    <w:rPr>
      <w:rFonts w:ascii="宋体" w:hAnsi="宋体" w:cs="宋体"/>
      <w:sz w:val="24"/>
      <w:szCs w:val="24"/>
    </w:rPr>
  </w:style>
  <w:style w:type="paragraph" w:styleId="1004" w:customStyle="1">
    <w:name w:val="索引 11"/>
    <w:basedOn w:val="761"/>
    <w:next w:val="761"/>
    <w:uiPriority w:val="0"/>
    <w:semiHidden/>
    <w:qFormat/>
    <w:pPr>
      <w:spacing w:line="240" w:lineRule="atLeast"/>
    </w:pPr>
    <w:rPr>
      <w:b/>
      <w:bCs/>
    </w:rPr>
  </w:style>
  <w:style w:type="paragraph" w:styleId="1005" w:customStyle="1">
    <w:name w:val="批注主题1"/>
    <w:basedOn w:val="968"/>
    <w:next w:val="968"/>
    <w:link w:val="1006"/>
    <w:uiPriority w:val="0"/>
    <w:semiHidden/>
    <w:qFormat/>
    <w:rPr>
      <w:b/>
      <w:bCs/>
    </w:rPr>
  </w:style>
  <w:style w:type="character" w:styleId="1006" w:customStyle="1">
    <w:name w:val="批注主题 字符"/>
    <w:link w:val="1005"/>
    <w:uiPriority w:val="0"/>
    <w:semiHidden/>
    <w:qFormat/>
    <w:rPr>
      <w:rFonts w:ascii="Times New Roman" w:hAnsi="Times New Roman" w:eastAsia="宋体" w:cs="Times New Roman"/>
      <w:b/>
      <w:bCs/>
      <w:szCs w:val="21"/>
    </w:rPr>
  </w:style>
  <w:style w:type="paragraph" w:styleId="1007" w:customStyle="1">
    <w:name w:val="正文首行缩进11"/>
    <w:basedOn w:val="761"/>
    <w:link w:val="1008"/>
    <w:uiPriority w:val="0"/>
    <w:qFormat/>
    <w:pPr>
      <w:ind w:firstLine="200"/>
      <w:spacing w:line="360" w:lineRule="auto"/>
    </w:pPr>
    <w:rPr>
      <w:rFonts w:ascii="仿宋_GB2312" w:eastAsia="仿宋_GB2312"/>
      <w:sz w:val="30"/>
      <w:szCs w:val="30"/>
    </w:rPr>
  </w:style>
  <w:style w:type="character" w:styleId="1008" w:customStyle="1">
    <w:name w:val="正文文本首行缩进 字符"/>
    <w:link w:val="1007"/>
    <w:uiPriority w:val="0"/>
    <w:qFormat/>
    <w:rPr>
      <w:rFonts w:ascii="仿宋_GB2312" w:hAnsi="Times New Roman" w:eastAsia="仿宋_GB2312" w:cs="Times New Roman"/>
      <w:sz w:val="30"/>
      <w:szCs w:val="30"/>
    </w:rPr>
  </w:style>
  <w:style w:type="paragraph" w:styleId="1009" w:customStyle="1">
    <w:name w:val="正文首行缩进 21"/>
    <w:basedOn w:val="974"/>
    <w:link w:val="1010"/>
    <w:uiPriority w:val="0"/>
    <w:qFormat/>
    <w:pPr>
      <w:ind w:firstLine="420"/>
      <w:spacing w:line="360" w:lineRule="auto"/>
    </w:pPr>
    <w:rPr>
      <w:rFonts w:ascii="宋体" w:hAnsi="宋体" w:eastAsia="宋体"/>
      <w:sz w:val="21"/>
      <w:szCs w:val="20"/>
    </w:rPr>
  </w:style>
  <w:style w:type="character" w:styleId="1010" w:customStyle="1">
    <w:name w:val="正文文本首行缩进 2 字符"/>
    <w:link w:val="1009"/>
    <w:uiPriority w:val="0"/>
    <w:qFormat/>
    <w:rPr>
      <w:rFonts w:ascii="宋体" w:hAnsi="宋体" w:eastAsia="宋体" w:cs="Times New Roman"/>
      <w:sz w:val="32"/>
      <w:szCs w:val="20"/>
    </w:rPr>
  </w:style>
  <w:style w:type="table" w:styleId="1011" w:customStyle="1">
    <w:name w:val="网格型1"/>
    <w:basedOn w:val="953"/>
    <w:uiPriority w:val="0"/>
    <w:qFormat/>
    <w:pPr>
      <w:jc w:val="both"/>
      <w:widowControl w:val="off"/>
    </w:pPr>
    <w:rPr>
      <w:rFonts w:ascii="Times New Roman" w:hAnsi="Times New Roman" w:eastAsia="宋体" w:cs="Times New Roman"/>
      <w:sz w:val="20"/>
      <w:szCs w:val="20"/>
    </w:rPr>
    <w:tblPr/>
  </w:style>
  <w:style w:type="character" w:styleId="1012" w:customStyle="1">
    <w:name w:val="要点1"/>
    <w:link w:val="761"/>
    <w:uiPriority w:val="0"/>
    <w:qFormat/>
    <w:rPr>
      <w:b/>
      <w:bCs/>
    </w:rPr>
  </w:style>
  <w:style w:type="character" w:styleId="1013" w:customStyle="1">
    <w:name w:val="页码1"/>
    <w:link w:val="761"/>
    <w:uiPriority w:val="0"/>
    <w:qFormat/>
  </w:style>
  <w:style w:type="character" w:styleId="1014" w:customStyle="1">
    <w:name w:val="已访问的超链接1"/>
    <w:link w:val="761"/>
    <w:uiPriority w:val="0"/>
    <w:qFormat/>
    <w:rPr>
      <w:color w:val="800080"/>
      <w:u w:val="single"/>
    </w:rPr>
  </w:style>
  <w:style w:type="character" w:styleId="1015" w:customStyle="1">
    <w:name w:val="强调1"/>
    <w:link w:val="761"/>
    <w:uiPriority w:val="0"/>
    <w:qFormat/>
    <w:rPr>
      <w:i/>
    </w:rPr>
  </w:style>
  <w:style w:type="character" w:styleId="1016" w:customStyle="1">
    <w:name w:val="超链接1"/>
    <w:link w:val="761"/>
    <w:uiPriority w:val="0"/>
    <w:qFormat/>
    <w:rPr>
      <w:color w:val="0000ff"/>
      <w:u w:val="single"/>
    </w:rPr>
  </w:style>
  <w:style w:type="character" w:styleId="1017" w:customStyle="1">
    <w:name w:val="批注引用1"/>
    <w:link w:val="761"/>
    <w:uiPriority w:val="0"/>
    <w:semiHidden/>
    <w:qFormat/>
    <w:rPr>
      <w:sz w:val="21"/>
      <w:szCs w:val="21"/>
    </w:rPr>
  </w:style>
  <w:style w:type="character" w:styleId="1018" w:customStyle="1">
    <w:name w:val="font5 Char"/>
    <w:link w:val="761"/>
    <w:uiPriority w:val="0"/>
    <w:qFormat/>
    <w:rPr>
      <w:rFonts w:ascii="宋体" w:hAnsi="宋体" w:eastAsia="宋体"/>
      <w:sz w:val="28"/>
      <w:szCs w:val="28"/>
      <w:lang w:val="en-US" w:eastAsia="zh-CN" w:bidi="ar-SA"/>
    </w:rPr>
  </w:style>
  <w:style w:type="character" w:styleId="1019" w:customStyle="1">
    <w:name w:val="二级目录 Char"/>
    <w:link w:val="1020"/>
    <w:uiPriority w:val="0"/>
    <w:qFormat/>
    <w:rPr>
      <w:b/>
      <w:sz w:val="30"/>
      <w:szCs w:val="28"/>
    </w:rPr>
  </w:style>
  <w:style w:type="paragraph" w:styleId="1020" w:customStyle="1">
    <w:name w:val="二级目录"/>
    <w:next w:val="761"/>
    <w:link w:val="1019"/>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021" w:customStyle="1">
    <w:name w:val="列出段落 Char"/>
    <w:link w:val="1022"/>
    <w:uiPriority w:val="0"/>
    <w:qFormat/>
    <w:rPr>
      <w:rFonts w:ascii="Calibri" w:hAnsi="Calibri"/>
      <w:sz w:val="24"/>
      <w:szCs w:val="24"/>
      <w:lang w:eastAsia="en-US" w:bidi="en-US"/>
    </w:rPr>
  </w:style>
  <w:style w:type="paragraph" w:styleId="1022" w:customStyle="1">
    <w:name w:val="列出段落1"/>
    <w:basedOn w:val="761"/>
    <w:link w:val="1021"/>
    <w:uiPriority w:val="0"/>
    <w:qFormat/>
    <w:pPr>
      <w:contextualSpacing/>
      <w:ind w:left="720"/>
      <w:jc w:val="left"/>
      <w:widowControl/>
    </w:pPr>
    <w:rPr>
      <w:rFonts w:ascii="Calibri" w:hAnsi="Calibri" w:eastAsia="宋体" w:cs="Times New Roman"/>
      <w:sz w:val="24"/>
      <w:szCs w:val="24"/>
      <w:lang w:eastAsia="en-US" w:bidi="en-US"/>
    </w:rPr>
  </w:style>
  <w:style w:type="paragraph" w:styleId="1023" w:customStyle="1">
    <w:name w:val="Body Text(ch)"/>
    <w:basedOn w:val="761"/>
    <w:next w:val="972"/>
    <w:uiPriority w:val="0"/>
    <w:qFormat/>
    <w:pPr>
      <w:spacing w:after="120"/>
    </w:pPr>
    <w:rPr>
      <w:rFonts w:ascii="宋体" w:hAnsi="Arial"/>
      <w:bCs/>
      <w:iCs/>
      <w:szCs w:val="24"/>
    </w:rPr>
  </w:style>
  <w:style w:type="paragraph" w:styleId="1024" w:customStyle="1">
    <w:name w:val="xl27"/>
    <w:basedOn w:val="76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5" w:customStyle="1">
    <w:name w:val="xl26"/>
    <w:basedOn w:val="7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6" w:customStyle="1">
    <w:name w:val="Char"/>
    <w:basedOn w:val="761"/>
    <w:uiPriority w:val="0"/>
    <w:qFormat/>
    <w:pPr>
      <w:ind w:firstLine="200"/>
      <w:tabs>
        <w:tab w:val="left" w:pos="360" w:leader="none"/>
      </w:tabs>
    </w:pPr>
    <w:rPr>
      <w:sz w:val="28"/>
      <w:szCs w:val="30"/>
    </w:rPr>
  </w:style>
  <w:style w:type="paragraph" w:styleId="1027" w:customStyle="1">
    <w:name w:val=" Char"/>
    <w:basedOn w:val="966"/>
    <w:uiPriority w:val="0"/>
    <w:qFormat/>
    <w:rPr>
      <w:rFonts w:ascii="Tahoma" w:hAnsi="Tahoma"/>
      <w:sz w:val="24"/>
      <w:szCs w:val="24"/>
    </w:rPr>
  </w:style>
  <w:style w:type="paragraph" w:styleId="1028" w:customStyle="1">
    <w:name w:val="普通正文"/>
    <w:basedOn w:val="761"/>
    <w:uiPriority w:val="0"/>
    <w:qFormat/>
    <w:pPr>
      <w:ind w:firstLine="480"/>
      <w:jc w:val="left"/>
      <w:spacing w:before="120" w:after="120" w:line="360" w:lineRule="auto"/>
    </w:pPr>
    <w:rPr>
      <w:rFonts w:ascii="Arial" w:hAnsi="Arial"/>
      <w:sz w:val="24"/>
      <w:szCs w:val="24"/>
    </w:rPr>
  </w:style>
  <w:style w:type="paragraph" w:styleId="1029" w:customStyle="1">
    <w:name w:val="table_lines"/>
    <w:basedOn w:val="761"/>
    <w:uiPriority w:val="0"/>
    <w:qFormat/>
    <w:pPr>
      <w:jc w:val="left"/>
      <w:widowControl/>
    </w:pPr>
    <w:rPr>
      <w:sz w:val="20"/>
      <w:szCs w:val="20"/>
      <w:lang w:val="de-DE" w:eastAsia="de-DE"/>
    </w:rPr>
  </w:style>
  <w:style w:type="paragraph" w:styleId="1030"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31" w:customStyle="1">
    <w:name w:val="font7"/>
    <w:basedOn w:val="761"/>
    <w:uiPriority w:val="0"/>
    <w:qFormat/>
    <w:pPr>
      <w:jc w:val="left"/>
      <w:spacing w:before="100" w:beforeAutospacing="1" w:after="100" w:afterAutospacing="1"/>
      <w:widowControl/>
    </w:pPr>
    <w:rPr>
      <w:rFonts w:hint="eastAsia" w:ascii="宋体" w:hAnsi="宋体"/>
      <w:sz w:val="18"/>
      <w:szCs w:val="18"/>
    </w:rPr>
  </w:style>
  <w:style w:type="paragraph" w:styleId="1032" w:customStyle="1">
    <w:name w:val=" Char Char Char Char"/>
    <w:basedOn w:val="966"/>
    <w:uiPriority w:val="0"/>
    <w:qFormat/>
    <w:pPr>
      <w:spacing w:line="360" w:lineRule="auto"/>
    </w:pPr>
    <w:rPr>
      <w:rFonts w:ascii="Tahoma" w:hAnsi="Tahoma"/>
      <w:sz w:val="24"/>
      <w:szCs w:val="24"/>
    </w:rPr>
  </w:style>
  <w:style w:type="paragraph" w:styleId="1033" w:customStyle="1">
    <w:name w:val="列表段落"/>
    <w:basedOn w:val="761"/>
    <w:uiPriority w:val="0"/>
    <w:qFormat/>
    <w:pPr>
      <w:contextualSpacing/>
      <w:ind w:left="720"/>
      <w:jc w:val="left"/>
      <w:widowControl/>
    </w:pPr>
    <w:rPr>
      <w:rFonts w:ascii="Calibri" w:hAnsi="Calibri"/>
      <w:sz w:val="24"/>
      <w:szCs w:val="24"/>
      <w:lang w:eastAsia="en-US" w:bidi="en-US"/>
    </w:rPr>
  </w:style>
  <w:style w:type="paragraph" w:styleId="1034" w:customStyle="1">
    <w:name w:val="4"/>
    <w:basedOn w:val="761"/>
    <w:next w:val="996"/>
    <w:uiPriority w:val="0"/>
    <w:qFormat/>
    <w:pPr>
      <w:ind w:firstLine="420"/>
      <w:spacing w:line="360" w:lineRule="auto"/>
    </w:pPr>
    <w:rPr>
      <w:color w:val="ff0000"/>
      <w:sz w:val="24"/>
      <w:szCs w:val="24"/>
    </w:rPr>
  </w:style>
  <w:style w:type="paragraph" w:styleId="1035" w:customStyle="1">
    <w:name w:val="普通 (Web)"/>
    <w:basedOn w:val="761"/>
    <w:uiPriority w:val="0"/>
    <w:qFormat/>
    <w:pPr>
      <w:jc w:val="left"/>
      <w:spacing w:before="100" w:beforeAutospacing="1" w:after="100" w:afterAutospacing="1"/>
      <w:widowControl/>
    </w:pPr>
    <w:rPr>
      <w:rFonts w:ascii="宋体" w:hAnsi="宋体"/>
      <w:sz w:val="24"/>
      <w:szCs w:val="24"/>
    </w:rPr>
  </w:style>
  <w:style w:type="paragraph" w:styleId="1036" w:customStyle="1">
    <w:name w:val=" Char Char Char Char Char Char Char Char Char Char"/>
    <w:basedOn w:val="761"/>
    <w:uiPriority w:val="0"/>
    <w:qFormat/>
    <w:pPr>
      <w:spacing w:line="360" w:lineRule="auto"/>
    </w:pPr>
    <w:rPr>
      <w:sz w:val="24"/>
      <w:szCs w:val="20"/>
    </w:rPr>
  </w:style>
  <w:style w:type="paragraph" w:styleId="1037" w:customStyle="1">
    <w:name w:val="样式1"/>
    <w:basedOn w:val="761"/>
    <w:uiPriority w:val="0"/>
    <w:qFormat/>
    <w:pPr>
      <w:numPr>
        <w:ilvl w:val="0"/>
        <w:numId w:val="3"/>
      </w:numPr>
    </w:pPr>
    <w:rPr>
      <w:rFonts w:ascii="宋体" w:hAnsi="宋体"/>
    </w:rPr>
  </w:style>
  <w:style w:type="paragraph" w:styleId="1038" w:customStyle="1">
    <w:name w:val="font6"/>
    <w:basedOn w:val="761"/>
    <w:uiPriority w:val="0"/>
    <w:qFormat/>
    <w:pPr>
      <w:jc w:val="left"/>
      <w:spacing w:before="100" w:beforeAutospacing="1" w:after="100" w:afterAutospacing="1"/>
      <w:widowControl/>
    </w:pPr>
    <w:rPr>
      <w:rFonts w:hint="eastAsia" w:ascii="宋体" w:hAnsi="宋体"/>
      <w:sz w:val="28"/>
      <w:szCs w:val="28"/>
      <w:u w:val="single"/>
    </w:rPr>
  </w:style>
  <w:style w:type="paragraph" w:styleId="1039" w:customStyle="1">
    <w:name w:val="xl25"/>
    <w:basedOn w:val="76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0" w:customStyle="1">
    <w:name w:val="图标"/>
    <w:basedOn w:val="761"/>
    <w:next w:val="76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1" w:customStyle="1">
    <w:name w:val="标题3"/>
    <w:basedOn w:val="761"/>
    <w:next w:val="761"/>
    <w:uiPriority w:val="0"/>
    <w:qFormat/>
    <w:pPr>
      <w:ind w:firstLine="624"/>
      <w:spacing w:line="590" w:lineRule="atLeast"/>
    </w:pPr>
    <w:rPr>
      <w:rFonts w:ascii="方正黑体_GBK" w:eastAsia="方正黑体_GBK"/>
      <w:sz w:val="32"/>
      <w:szCs w:val="32"/>
    </w:rPr>
  </w:style>
  <w:style w:type="paragraph" w:styleId="1042" w:customStyle="1">
    <w:name w:val="xl24"/>
    <w:basedOn w:val="76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3" w:customStyle="1">
    <w:name w:val="xl29"/>
    <w:basedOn w:val="76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4" w:customStyle="1">
    <w:name w:val="Char Char Char Char Char Char Char Char"/>
    <w:basedOn w:val="761"/>
    <w:uiPriority w:val="0"/>
    <w:qFormat/>
    <w:pPr>
      <w:jc w:val="left"/>
      <w:spacing w:after="160" w:line="240" w:lineRule="exact"/>
      <w:widowControl/>
    </w:pPr>
    <w:rPr>
      <w:rFonts w:ascii="Verdana" w:hAnsi="Verdana"/>
      <w:sz w:val="20"/>
      <w:szCs w:val="20"/>
      <w:lang w:eastAsia="en-US"/>
    </w:rPr>
  </w:style>
  <w:style w:type="paragraph" w:styleId="1045" w:customStyle="1">
    <w:name w:val="xl28"/>
    <w:basedOn w:val="76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6" w:customStyle="1">
    <w:name w:val=" Char Char Char Char Char Char Char Char"/>
    <w:basedOn w:val="761"/>
    <w:uiPriority w:val="0"/>
    <w:qFormat/>
    <w:pPr>
      <w:jc w:val="left"/>
      <w:spacing w:after="160" w:line="240" w:lineRule="exact"/>
      <w:widowControl/>
    </w:pPr>
    <w:rPr>
      <w:rFonts w:ascii="Verdana" w:hAnsi="Verdana"/>
      <w:sz w:val="20"/>
      <w:szCs w:val="20"/>
      <w:lang w:eastAsia="en-US"/>
    </w:rPr>
  </w:style>
  <w:style w:type="paragraph" w:styleId="1047" w:customStyle="1">
    <w:name w:val="xl30"/>
    <w:basedOn w:val="761"/>
    <w:uiPriority w:val="0"/>
    <w:qFormat/>
    <w:pPr>
      <w:jc w:val="center"/>
      <w:spacing w:before="100" w:beforeAutospacing="1" w:after="100" w:afterAutospacing="1"/>
      <w:widowControl/>
    </w:pPr>
    <w:rPr>
      <w:rFonts w:ascii="宋体" w:hAnsi="宋体"/>
      <w:b/>
      <w:bCs/>
      <w:sz w:val="36"/>
      <w:szCs w:val="36"/>
    </w:rPr>
  </w:style>
  <w:style w:type="paragraph" w:styleId="1048" w:customStyle="1">
    <w:name w:val="Char Char Char Char"/>
    <w:basedOn w:val="966"/>
    <w:uiPriority w:val="0"/>
    <w:qFormat/>
    <w:pPr>
      <w:spacing w:line="360" w:lineRule="auto"/>
    </w:pPr>
    <w:rPr>
      <w:rFonts w:ascii="Tahoma" w:hAnsi="Tahoma"/>
      <w:sz w:val="24"/>
      <w:szCs w:val="24"/>
    </w:rPr>
  </w:style>
  <w:style w:type="paragraph" w:styleId="1049" w:customStyle="1">
    <w:name w:val="table_1stline"/>
    <w:basedOn w:val="761"/>
    <w:uiPriority w:val="0"/>
    <w:qFormat/>
    <w:pPr>
      <w:jc w:val="left"/>
      <w:spacing w:before="120"/>
      <w:widowControl/>
    </w:pPr>
    <w:rPr>
      <w:bCs/>
      <w:sz w:val="20"/>
      <w:szCs w:val="20"/>
      <w:lang w:val="de-DE" w:eastAsia="de-DE"/>
    </w:rPr>
  </w:style>
  <w:style w:type="paragraph" w:styleId="1050" w:customStyle="1">
    <w:name w:val="font5"/>
    <w:basedOn w:val="761"/>
    <w:uiPriority w:val="0"/>
    <w:qFormat/>
    <w:pPr>
      <w:jc w:val="left"/>
      <w:spacing w:before="100" w:beforeAutospacing="1" w:after="100" w:afterAutospacing="1"/>
      <w:widowControl/>
    </w:pPr>
    <w:rPr>
      <w:rFonts w:hint="eastAsia" w:ascii="宋体" w:hAnsi="宋体"/>
      <w:sz w:val="28"/>
      <w:szCs w:val="28"/>
    </w:rPr>
  </w:style>
  <w:style w:type="paragraph" w:styleId="1051" w:customStyle="1">
    <w:name w:val="标题1"/>
    <w:basedOn w:val="761"/>
    <w:next w:val="76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5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54" w:customStyle="1">
    <w:name w:val="正文首行缩进1"/>
    <w:basedOn w:val="1055"/>
    <w:uiPriority w:val="0"/>
    <w:qFormat/>
    <w:pPr>
      <w:ind w:firstLine="200"/>
      <w:spacing w:line="360" w:lineRule="auto"/>
    </w:pPr>
    <w:rPr>
      <w:rFonts w:ascii="仿宋_GB2312" w:hAnsi="Times New Roman" w:eastAsia="仿宋_GB2312"/>
      <w:sz w:val="30"/>
      <w:szCs w:val="30"/>
    </w:rPr>
  </w:style>
  <w:style w:type="paragraph" w:styleId="1055" w:customStyle="1">
    <w:name w:val="正文文本1"/>
    <w:basedOn w:val="761"/>
    <w:uiPriority w:val="0"/>
    <w:qFormat/>
    <w:rPr>
      <w:rFonts w:ascii="楷体_GB2312" w:hAnsi="Arial" w:eastAsia="楷体_GB2312"/>
      <w:sz w:val="28"/>
      <w:szCs w:val="28"/>
    </w:rPr>
  </w:style>
  <w:style w:type="paragraph" w:styleId="1056" w:customStyle="1">
    <w:name w:val="标题 4（xuhuan）"/>
    <w:basedOn w:val="946"/>
    <w:next w:val="761"/>
    <w:uiPriority w:val="0"/>
    <w:qFormat/>
    <w:pPr>
      <w:ind w:left="1447" w:hanging="1021"/>
      <w:jc w:val="left"/>
      <w:spacing w:after="156"/>
      <w:widowControl/>
    </w:pPr>
    <w:rPr>
      <w:bCs w:val="0"/>
    </w:rPr>
  </w:style>
  <w:style w:type="paragraph" w:styleId="1057" w:customStyle="1">
    <w:name w:val="标题 31"/>
    <w:basedOn w:val="761"/>
    <w:next w:val="1058"/>
    <w:uiPriority w:val="0"/>
    <w:qFormat/>
    <w:pPr>
      <w:keepLines/>
      <w:keepNext/>
      <w:spacing w:before="260" w:after="260" w:line="415" w:lineRule="auto"/>
      <w:outlineLvl w:val="2"/>
    </w:pPr>
    <w:rPr>
      <w:rFonts w:ascii="宋体" w:hAnsi="宋体"/>
      <w:b/>
      <w:bCs/>
      <w:sz w:val="24"/>
      <w:szCs w:val="24"/>
    </w:rPr>
  </w:style>
  <w:style w:type="paragraph" w:styleId="1058" w:customStyle="1">
    <w:name w:val="正文缩进1"/>
    <w:basedOn w:val="761"/>
    <w:uiPriority w:val="0"/>
    <w:qFormat/>
    <w:pPr>
      <w:ind w:firstLine="420"/>
      <w:spacing w:line="360" w:lineRule="auto"/>
    </w:pPr>
    <w:rPr>
      <w:rFonts w:ascii="仿宋_GB2312" w:eastAsia="仿宋_GB2312"/>
      <w:sz w:val="32"/>
      <w:szCs w:val="20"/>
    </w:rPr>
  </w:style>
  <w:style w:type="character" w:styleId="1059" w:customStyle="1">
    <w:name w:val="未处理的提及"/>
    <w:link w:val="761"/>
    <w:uiPriority w:val="99"/>
    <w:unhideWhenUsed/>
    <w:qFormat/>
    <w:rPr>
      <w:color w:val="605e5c"/>
      <w:shd w:val="clear" w:color="auto" w:fill="e1dfdd"/>
    </w:rPr>
  </w:style>
  <w:style w:type="numbering" w:styleId="10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王烨</cp:lastModifiedBy>
  <cp:revision>8</cp:revision>
  <dcterms:created xsi:type="dcterms:W3CDTF">2026-07-23T09:56:00Z</dcterms:created>
  <dcterms:modified xsi:type="dcterms:W3CDTF">2026-11-02T08:29:30Z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CA2D7032891B470597756C8122BCACA9_12</vt:lpwstr>
  </property>
</Properties>
</file>