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37"/>
        <w:ind w:firstLine="0"/>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公开招标文件</w:t>
      </w:r>
      <w:r/>
    </w:p>
    <w:p>
      <w:pPr>
        <w:pStyle w:val="1037"/>
        <w:ind w:firstLine="0"/>
        <w:jc w:val="center"/>
        <w:rPr>
          <w:rFonts w:ascii="黑体" w:hAnsi="华文中宋" w:eastAsia="黑体"/>
          <w:bCs/>
          <w:color w:val="000000" w:themeColor="text1"/>
          <w:spacing w:val="20"/>
          <w:sz w:val="52"/>
          <w:szCs w:val="52"/>
          <w:highlight w:val="white"/>
          <w14:textFill>
            <w14:solidFill>
              <w14:schemeClr w14:val="tx1"/>
            </w14:solidFill>
          </w14:textFill>
        </w:rPr>
      </w:pPr>
      <w:r>
        <w:rPr>
          <w:rFonts w:ascii="黑体" w:hAnsi="华文中宋" w:eastAsia="黑体"/>
          <w:bCs/>
          <w:color w:val="000000" w:themeColor="text1"/>
          <w:spacing w:val="20"/>
          <w:sz w:val="52"/>
          <w:szCs w:val="52"/>
          <w:highlight w:val="white"/>
          <w14:textFill>
            <w14:solidFill>
              <w14:schemeClr w14:val="tx1"/>
            </w14:solidFill>
          </w14:textFill>
        </w:rPr>
      </w:r>
      <w:r/>
    </w:p>
    <w:p>
      <w:pPr>
        <w:pStyle w:val="1037"/>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37"/>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37"/>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50"/>
        <w:jc w:val="left"/>
        <w:rPr>
          <w:rFonts w:hint="eastAsia" w:ascii="黑体" w:hAnsi="华文中宋" w:eastAsia="黑体"/>
          <w:bCs/>
          <w:color w:val="000000" w:themeColor="text1"/>
          <w:sz w:val="32"/>
          <w:szCs w:val="32"/>
          <w:highlight w:val="white"/>
          <w:lang w:eastAsia="zh-CN"/>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JSZC-320200-XWJC-G2026-0078</w:t>
      </w:r>
      <w:r/>
    </w:p>
    <w:p>
      <w:pPr>
        <w:ind w:left="3251" w:hanging="1600"/>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项目名称：江南大学附属医院输注系统、输注工作站项目</w:t>
      </w:r>
      <w:r/>
    </w:p>
    <w:p>
      <w:pPr>
        <w:ind w:firstLine="1695"/>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采购人：江南大学附属医院</w:t>
      </w:r>
      <w:r/>
    </w:p>
    <w:p>
      <w:pPr>
        <w:ind w:firstLine="1680"/>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776"/>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776"/>
        <w:ind w:firstLine="0"/>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1037"/>
        <w:ind w:firstLine="0"/>
        <w:jc w:val="center"/>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二〇二六年十</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一</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37"/>
        <w:ind w:firstLine="0"/>
        <w:jc w:val="center"/>
        <w:rPr>
          <w:rFonts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479757206"/>
      <w:r/>
      <w:bookmarkStart w:id="2" w:name="_Toc20823272"/>
      <w:r/>
      <w:bookmarkStart w:id="3" w:name="_Toc523127445"/>
      <w:r/>
      <w:bookmarkStart w:id="4" w:name="_Toc16938516"/>
      <w:r/>
      <w:bookmarkStart w:id="5" w:name="_Toc513029200"/>
      <w:r/>
      <w:r/>
    </w:p>
    <w:p>
      <w:pPr>
        <w:pStyle w:val="1037"/>
        <w:ind w:firstLine="0"/>
        <w:jc w:val="center"/>
        <w:rPr>
          <w:rFonts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总目录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投标人须知-----------------------------（10）</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合同文本-------------------------------（24）</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采购需求-------------------------------（31）</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评标方法与评标标准---------------------（39）</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 ----------------（46）</w:t>
      </w:r>
      <w:r/>
    </w:p>
    <w:p>
      <w:pPr>
        <w:pStyle w:val="774"/>
        <w:jc w:val="center"/>
        <w:spacing w:before="0" w:beforeAutospacing="0" w:after="0" w:afterAutospacing="0" w:line="560" w:lineRule="exact"/>
        <w:shd w:val="clear" w:color="auto" w:fill="ffffff"/>
        <w:rPr>
          <w:rFonts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74"/>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55"/>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55"/>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74"/>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7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7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7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7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7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7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7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7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74"/>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7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7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7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7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7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7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74"/>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55"/>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55"/>
        <w:ind w:firstLine="560"/>
        <w:spacing w:line="560" w:lineRule="exact"/>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74"/>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74"/>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pStyle w:val="75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5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5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5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5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5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5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5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5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5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5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5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5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5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5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5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5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56"/>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第一章投标邀请</w:t>
      </w:r>
      <w:bookmarkEnd w:id="0"/>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受江南大学附属医院的委托，无锡市卫生健康综合服务中心就江南大学附属医院输注系统、输注工作站项目（</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JSZC-320200-XWJC-G2026-0078</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江南大学附属医院输注系统、输注工作站项目的潜在投标人应在“江苏政府采购网”自行浏览招标文件，如有投标意向须在本招标文件有效获取期内通过登录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下载的方式依法获取招标文件，并于2026年11月</w:t>
      </w:r>
      <w:r>
        <w:rPr>
          <w:rFonts w:hint="eastAsia" w:ascii="宋体" w:hAnsi="宋体"/>
          <w:color w:val="000000" w:themeColor="text1"/>
          <w:sz w:val="24"/>
          <w:szCs w:val="24"/>
          <w:highlight w:val="white"/>
          <w:lang w:val="en-US" w:eastAsia="zh-CN"/>
          <w14:textFill>
            <w14:solidFill>
              <w14:schemeClr w14:val="tx1"/>
            </w14:solidFill>
          </w14:textFill>
        </w:rPr>
        <w:t xml:space="preserve">25</w:t>
      </w:r>
      <w:r>
        <w:rPr>
          <w:rFonts w:hint="eastAsia" w:ascii="宋体" w:hAnsi="宋体"/>
          <w:color w:val="000000" w:themeColor="text1"/>
          <w:sz w:val="24"/>
          <w:szCs w:val="24"/>
          <w:highlight w:val="white"/>
          <w14:textFill>
            <w14:solidFill>
              <w14:schemeClr w14:val="tx1"/>
            </w14:solidFill>
          </w14:textFill>
        </w:rPr>
        <w:t xml:space="preserve">日13点30分</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954"/>
        <w:keepLines w:val="0"/>
        <w:keepNext w:val="0"/>
        <w:spacing w:before="0" w:after="0" w:line="500" w:lineRule="exact"/>
        <w:rPr>
          <w:highlight w:val="white"/>
          <w:lang w:eastAsia="zh-CN"/>
        </w:rPr>
      </w:pPr>
      <w:r>
        <w:rPr>
          <w:highlight w:val="white"/>
          <w:lang w:eastAsia="zh-CN"/>
        </w:rPr>
      </w:r>
      <w:r/>
    </w:p>
    <w:p>
      <w:pPr>
        <w:pStyle w:val="954"/>
        <w:ind w:firstLine="452"/>
        <w:keepLines w:val="0"/>
        <w:keepNext w:val="0"/>
        <w:spacing w:before="0" w:after="0" w:line="500" w:lineRule="exact"/>
        <w:rPr>
          <w:color w:val="000000" w:themeColor="text1"/>
          <w:sz w:val="30"/>
          <w:szCs w:val="30"/>
          <w:highlight w:val="white"/>
          <w:lang w:eastAsia="zh-CN"/>
          <w14:textFill>
            <w14:solidFill>
              <w14:schemeClr w14:val="tx1"/>
            </w14:solidFill>
          </w14:textFill>
        </w:rPr>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lang w:eastAsia="zh-CN"/>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JSZC-320200-XWJC-G2026-0078</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14:textFill>
            <w14:solidFill>
              <w14:schemeClr w14:val="tx1"/>
            </w14:solidFill>
          </w14:textFill>
        </w:rPr>
        <w:t xml:space="preserve">江南大学附属医院输注系统、输注工作站项目</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14:textFill>
            <w14:solidFill>
              <w14:schemeClr w14:val="tx1"/>
            </w14:solidFill>
          </w14:textFill>
        </w:rPr>
        <w:t xml:space="preserve">：121.5万元/27套</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4.项目最高限价：94.5万元</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w:t>
      </w:r>
      <w:r>
        <w:rPr>
          <w:rFonts w:hint="eastAsia" w:ascii="宋体" w:hAnsi="宋体" w:cs="宋体"/>
          <w:sz w:val="24"/>
          <w:szCs w:val="24"/>
        </w:rPr>
        <w:t xml:space="preserve">本项目不接受联合体投标（本招标文件中所有关于联合体的规定、要求及约束，均不适用于本项目）</w:t>
      </w:r>
      <w:r/>
    </w:p>
    <w:p>
      <w:pPr>
        <w:pStyle w:val="954"/>
        <w:ind w:firstLine="452"/>
        <w:keepLines w:val="0"/>
        <w:keepNext w:val="0"/>
        <w:spacing w:before="0" w:after="0" w:line="500" w:lineRule="exact"/>
        <w:rPr>
          <w:color w:val="000000" w:themeColor="text1"/>
          <w:sz w:val="30"/>
          <w:szCs w:val="30"/>
          <w:highlight w:val="white"/>
          <w:lang w:eastAsia="zh-CN"/>
          <w14:textFill>
            <w14:solidFill>
              <w14:schemeClr w14:val="tx1"/>
            </w14:solidFill>
          </w14:textFill>
        </w:rPr>
      </w:pPr>
      <w:r/>
      <w:bookmarkStart w:id="12" w:name="_Toc38985264"/>
      <w:r/>
      <w:bookmarkStart w:id="13" w:name="_Toc28359080"/>
      <w:r/>
      <w:bookmarkStart w:id="14" w:name="_Toc35393791"/>
      <w:r/>
      <w:bookmarkStart w:id="15" w:name="_Toc35393622"/>
      <w:r/>
      <w:bookmarkStart w:id="16" w:name="_Toc28359003"/>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7" w:name="_Toc28359081"/>
      <w:r/>
      <w:bookmarkStart w:id="18" w:name="_Toc38985265"/>
      <w:r/>
      <w:bookmarkStart w:id="19" w:name="_Toc35393623"/>
      <w:r/>
      <w:bookmarkStart w:id="20" w:name="_Toc28359004"/>
      <w:r/>
      <w:bookmarkStart w:id="21" w:name="_Toc35393792"/>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w:t>
      </w:r>
      <w:r/>
    </w:p>
    <w:p>
      <w:pPr>
        <w:pStyle w:val="954"/>
        <w:ind w:firstLine="480"/>
        <w:keepLines w:val="0"/>
        <w:keepNext w:val="0"/>
        <w:spacing w:before="0" w:after="0" w:line="500" w:lineRule="exact"/>
        <w:rPr>
          <w:rFonts w:ascii="宋体" w:hAnsi="宋体"/>
          <w:b w:val="0"/>
          <w:bCs w:val="0"/>
          <w:color w:val="000000" w:themeColor="text1"/>
          <w:sz w:val="24"/>
          <w:szCs w:val="24"/>
          <w:highlight w:val="white"/>
          <w:lang w:eastAsia="zh-CN"/>
          <w14:textFill>
            <w14:solidFill>
              <w14:schemeClr w14:val="tx1"/>
            </w14:solidFill>
          </w14:textFill>
        </w:rPr>
      </w:pPr>
      <w:r>
        <w:rPr>
          <w:rFonts w:hint="eastAsia" w:ascii="宋体" w:hAnsi="宋体"/>
          <w:b w:val="0"/>
          <w:bCs w:val="0"/>
          <w:color w:val="000000" w:themeColor="text1"/>
          <w:sz w:val="24"/>
          <w:szCs w:val="24"/>
          <w:highlight w:val="white"/>
          <w:lang w:eastAsia="zh-CN"/>
          <w14:textFill>
            <w14:solidFill>
              <w14:schemeClr w14:val="tx1"/>
            </w14:solidFill>
          </w14:textFill>
        </w:rPr>
        <w:t xml:space="preserve">3.1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上传证明文件并加盖公章）</w:t>
      </w:r>
      <w:r/>
    </w:p>
    <w:p>
      <w:pPr>
        <w:pStyle w:val="954"/>
        <w:ind w:firstLine="480"/>
        <w:keepLines w:val="0"/>
        <w:keepNext w:val="0"/>
        <w:spacing w:before="0" w:after="0" w:line="500" w:lineRule="exact"/>
        <w:rPr>
          <w:rFonts w:ascii="宋体" w:hAnsi="宋体"/>
          <w:b w:val="0"/>
          <w:bCs w:val="0"/>
          <w:color w:val="000000" w:themeColor="text1"/>
          <w:sz w:val="24"/>
          <w:szCs w:val="24"/>
          <w:highlight w:val="white"/>
          <w:lang w:eastAsia="zh-CN"/>
          <w14:textFill>
            <w14:solidFill>
              <w14:schemeClr w14:val="tx1"/>
            </w14:solidFill>
          </w14:textFill>
        </w:rPr>
      </w:pPr>
      <w:r>
        <w:rPr>
          <w:rFonts w:hint="eastAsia" w:ascii="宋体" w:hAnsi="宋体"/>
          <w:b w:val="0"/>
          <w:bCs w:val="0"/>
          <w:color w:val="000000" w:themeColor="text1"/>
          <w:sz w:val="24"/>
          <w:szCs w:val="24"/>
          <w:highlight w:val="white"/>
          <w:lang w:eastAsia="zh-CN"/>
          <w14:textFill>
            <w14:solidFill>
              <w14:schemeClr w14:val="tx1"/>
            </w14:solidFill>
          </w14:textFill>
        </w:rPr>
        <w:t xml:space="preserve">3.2供应商须提供产品有效完整的第三类《医疗器械注册证》。（上传证明文件并加盖公章）</w:t>
      </w:r>
      <w:r/>
    </w:p>
    <w:p>
      <w:pPr>
        <w:pStyle w:val="954"/>
        <w:ind w:firstLine="452"/>
        <w:keepLines w:val="0"/>
        <w:keepNext w:val="0"/>
        <w:spacing w:before="0" w:after="0" w:line="500" w:lineRule="exact"/>
        <w:rPr>
          <w:color w:val="000000" w:themeColor="text1"/>
          <w:sz w:val="30"/>
          <w:szCs w:val="30"/>
          <w:highlight w:val="white"/>
          <w:lang w:eastAsia="zh-CN"/>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themeColor="text1"/>
          <w:sz w:val="24"/>
          <w:szCs w:val="24"/>
          <w:highlight w:val="white"/>
          <w14:textFill>
            <w14:solidFill>
              <w14:schemeClr w14:val="tx1"/>
            </w14:solidFill>
          </w14:textFill>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1026"/>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54"/>
        <w:ind w:firstLine="452"/>
        <w:keepLines w:val="0"/>
        <w:keepNext w:val="0"/>
        <w:spacing w:before="0" w:after="0" w:line="500" w:lineRule="exact"/>
        <w:rPr>
          <w:color w:val="000000" w:themeColor="text1"/>
          <w:sz w:val="30"/>
          <w:szCs w:val="30"/>
          <w:highlight w:val="white"/>
          <w:lang w:eastAsia="zh-CN"/>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2026年11月</w:t>
      </w:r>
      <w:r>
        <w:rPr>
          <w:rFonts w:hint="eastAsia" w:ascii="宋体" w:hAnsi="宋体"/>
          <w:color w:val="000000" w:themeColor="text1"/>
          <w:sz w:val="24"/>
          <w:szCs w:val="24"/>
          <w:highlight w:val="white"/>
          <w:lang w:val="en-US" w:eastAsia="zh-CN"/>
          <w14:textFill>
            <w14:solidFill>
              <w14:schemeClr w14:val="tx1"/>
            </w14:solidFill>
          </w14:textFill>
        </w:rPr>
        <w:t xml:space="preserve">25</w:t>
      </w:r>
      <w:bookmarkStart w:id="196" w:name="_GoBack"/>
      <w:r/>
      <w:bookmarkEnd w:id="196"/>
      <w:r>
        <w:rPr>
          <w:rFonts w:hint="eastAsia" w:ascii="宋体" w:hAnsi="宋体"/>
          <w:color w:val="000000" w:themeColor="text1"/>
          <w:sz w:val="24"/>
          <w:szCs w:val="24"/>
          <w:highlight w:val="white"/>
          <w14:textFill>
            <w14:solidFill>
              <w14:schemeClr w14:val="tx1"/>
            </w14:solidFill>
          </w14:textFill>
        </w:rPr>
        <w:t xml:space="preserve">日13点30分</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54"/>
        <w:ind w:firstLine="452"/>
        <w:keepLines w:val="0"/>
        <w:keepNext w:val="0"/>
        <w:spacing w:before="0" w:after="0" w:line="500" w:lineRule="exact"/>
        <w:rPr>
          <w:color w:val="000000" w:themeColor="text1"/>
          <w:sz w:val="30"/>
          <w:szCs w:val="30"/>
          <w:highlight w:val="white"/>
          <w:lang w:eastAsia="zh-CN"/>
          <w14:textFill>
            <w14:solidFill>
              <w14:schemeClr w14:val="tx1"/>
            </w14:solidFill>
          </w14:textFill>
        </w:rPr>
      </w:pPr>
      <w:r/>
      <w:bookmarkStart w:id="27" w:name="_Toc28359084"/>
      <w:r/>
      <w:bookmarkStart w:id="28" w:name="_Toc28359007"/>
      <w:r/>
      <w:bookmarkStart w:id="29" w:name="_Toc35393625"/>
      <w:r/>
      <w:bookmarkStart w:id="30" w:name="_Toc38985267"/>
      <w:r/>
      <w:bookmarkStart w:id="31" w:name="_Toc35393794"/>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bookmarkStart w:id="32" w:name="_Toc35393795"/>
      <w:r/>
      <w:bookmarkStart w:id="33" w:name="_Toc38985268"/>
      <w:r/>
      <w:bookmarkStart w:id="34" w:name="_Toc35393626"/>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54"/>
        <w:ind w:firstLine="452"/>
        <w:keepLines w:val="0"/>
        <w:keepNext w:val="0"/>
        <w:spacing w:before="0" w:after="0" w:line="500" w:lineRule="exact"/>
        <w:rPr>
          <w:color w:val="000000" w:themeColor="text1"/>
          <w:sz w:val="30"/>
          <w:szCs w:val="30"/>
          <w:highlight w:val="white"/>
          <w:lang w:eastAsia="zh-CN"/>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743"/>
        <w:ind w:firstLine="452"/>
        <w:keepLines w:val="0"/>
        <w:keepNext w:val="0"/>
        <w:spacing w:before="0" w:after="0" w:line="500" w:lineRule="exact"/>
        <w:rPr>
          <w:rFonts w:ascii="Times New Roman" w:hAnsi="Times New Roman" w:eastAsia="宋体" w:cs="Times New Roman"/>
          <w:b/>
          <w:bCs/>
          <w:color w:val="000000" w:themeColor="text1"/>
          <w:highlight w:val="white"/>
          <w14:textFill>
            <w14:solidFill>
              <w14:schemeClr w14:val="tx1"/>
            </w14:solidFill>
          </w14:textFill>
        </w:rPr>
      </w:pPr>
      <w:r/>
      <w:bookmarkStart w:id="35" w:name="_Toc38985269"/>
      <w:r/>
      <w:bookmarkStart w:id="36" w:name="_Toc35393796"/>
      <w:r/>
      <w:bookmarkStart w:id="37" w:name="_Toc28359008"/>
      <w:r/>
      <w:bookmarkStart w:id="38" w:name="_Toc28359085"/>
      <w:r/>
      <w:bookmarkStart w:id="39" w:name="_Toc35393627"/>
      <w:r>
        <w:rPr>
          <w:rFonts w:hint="eastAsia" w:ascii="Times New Roman" w:hAnsi="Times New Roman" w:eastAsia="宋体" w:cs="Times New Roman"/>
          <w:b/>
          <w:bCs/>
          <w:color w:val="000000" w:themeColor="text1"/>
          <w:highlight w:val="white"/>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ascii="宋体" w:hAnsi="宋体" w:cs="宋体"/>
          <w:sz w:val="24"/>
          <w:szCs w:val="24"/>
        </w:rPr>
      </w:pPr>
      <w:r>
        <w:rPr>
          <w:rFonts w:hint="eastAsia" w:ascii="宋体" w:hAnsi="宋体" w:cs="宋体"/>
          <w:sz w:val="24"/>
          <w:szCs w:val="24"/>
        </w:rPr>
        <w:t xml:space="preserve">名    称：江南大学附属医院</w:t>
      </w:r>
      <w:r/>
    </w:p>
    <w:p>
      <w:pPr>
        <w:ind w:firstLine="480"/>
        <w:spacing w:line="500" w:lineRule="exact"/>
        <w:rPr>
          <w:rFonts w:ascii="宋体" w:hAnsi="宋体" w:cs="宋体"/>
          <w:sz w:val="24"/>
          <w:szCs w:val="24"/>
        </w:rPr>
      </w:pPr>
      <w:r>
        <w:rPr>
          <w:rFonts w:hint="eastAsia" w:ascii="宋体" w:hAnsi="宋体" w:cs="宋体"/>
          <w:sz w:val="24"/>
          <w:szCs w:val="24"/>
        </w:rPr>
        <w:t xml:space="preserve">地    址：无锡市滨湖区和风路1000号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500" w:lineRule="exact"/>
        <w:rPr>
          <w:rFonts w:ascii="宋体" w:hAnsi="宋体" w:cs="宋体"/>
          <w:sz w:val="24"/>
          <w:szCs w:val="24"/>
        </w:rPr>
      </w:pPr>
      <w:r>
        <w:rPr>
          <w:rFonts w:hint="eastAsia" w:ascii="宋体" w:hAnsi="宋体" w:cs="宋体"/>
          <w:sz w:val="24"/>
          <w:szCs w:val="24"/>
        </w:rPr>
        <w:t xml:space="preserve">名    称：无锡市卫生健康综合服务中心</w:t>
      </w:r>
      <w:r/>
    </w:p>
    <w:p>
      <w:pPr>
        <w:ind w:firstLine="480"/>
        <w:spacing w:line="500" w:lineRule="exact"/>
        <w:rPr>
          <w:rFonts w:ascii="宋体" w:hAnsi="宋体" w:cs="宋体"/>
          <w:sz w:val="24"/>
          <w:szCs w:val="24"/>
        </w:rPr>
      </w:pPr>
      <w:r>
        <w:rPr>
          <w:rFonts w:hint="eastAsia" w:ascii="宋体" w:hAnsi="宋体" w:cs="宋体"/>
          <w:sz w:val="24"/>
          <w:szCs w:val="24"/>
        </w:rPr>
        <w:t xml:space="preserve">地    址：无锡市滨湖区建筑路450号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采购人项目咨询联系人：联系人姓名：</w:t>
      </w:r>
      <w:r>
        <w:rPr>
          <w:rFonts w:hint="eastAsia" w:ascii="宋体" w:hAnsi="宋体" w:cs="宋体"/>
          <w:color w:val="000000"/>
          <w:sz w:val="24"/>
          <w:szCs w:val="24"/>
        </w:rPr>
        <w:t xml:space="preserve">林老师</w:t>
      </w:r>
      <w:r>
        <w:rPr>
          <w:rFonts w:hint="eastAsia" w:ascii="宋体" w:hAnsi="宋体" w:cs="宋体"/>
          <w:sz w:val="24"/>
          <w:szCs w:val="24"/>
        </w:rPr>
        <w:t xml:space="preserve">；电话：</w:t>
      </w:r>
      <w:r>
        <w:rPr>
          <w:rFonts w:hint="eastAsia" w:ascii="宋体" w:hAnsi="宋体" w:cs="宋体"/>
          <w:color w:val="000000"/>
          <w:sz w:val="24"/>
          <w:szCs w:val="24"/>
        </w:rPr>
        <w:t xml:space="preserve">0510-68089116</w:t>
      </w:r>
      <w:r/>
    </w:p>
    <w:p>
      <w:pPr>
        <w:ind w:firstLine="480"/>
        <w:spacing w:line="500" w:lineRule="exact"/>
        <w:rPr>
          <w:rFonts w:ascii="宋体" w:hAnsi="宋体" w:cs="宋体"/>
          <w:sz w:val="24"/>
          <w:szCs w:val="24"/>
        </w:rPr>
      </w:pPr>
      <w:r>
        <w:rPr>
          <w:rFonts w:hint="eastAsia" w:ascii="宋体" w:hAnsi="宋体" w:cs="宋体"/>
          <w:sz w:val="24"/>
          <w:szCs w:val="24"/>
        </w:rPr>
        <w:t xml:space="preserve">采购人质疑受理联系人：受理人姓名：</w:t>
      </w:r>
      <w:r>
        <w:rPr>
          <w:rFonts w:hint="eastAsia" w:ascii="宋体" w:hAnsi="宋体" w:cs="宋体"/>
          <w:color w:val="000000"/>
          <w:sz w:val="24"/>
          <w:szCs w:val="24"/>
        </w:rPr>
        <w:t xml:space="preserve">胡老师</w:t>
      </w:r>
      <w:r>
        <w:rPr>
          <w:rFonts w:hint="eastAsia" w:ascii="宋体" w:hAnsi="宋体" w:cs="宋体"/>
          <w:sz w:val="24"/>
          <w:szCs w:val="24"/>
        </w:rPr>
        <w:t xml:space="preserve">；电话：</w:t>
      </w:r>
      <w:r>
        <w:rPr>
          <w:rFonts w:hint="eastAsia" w:ascii="宋体" w:hAnsi="宋体" w:cs="宋体"/>
          <w:color w:val="000000"/>
          <w:sz w:val="24"/>
          <w:szCs w:val="24"/>
        </w:rPr>
        <w:t xml:space="preserve">0510-68089116</w:t>
      </w:r>
      <w:r/>
    </w:p>
    <w:p>
      <w:pPr>
        <w:ind w:firstLine="480"/>
        <w:spacing w:line="500" w:lineRule="exact"/>
        <w:rPr>
          <w:rFonts w:ascii="宋体" w:hAnsi="宋体" w:cs="宋体"/>
          <w:sz w:val="24"/>
          <w:szCs w:val="24"/>
        </w:rPr>
      </w:pPr>
      <w:r>
        <w:rPr>
          <w:rFonts w:hint="eastAsia" w:ascii="宋体" w:hAnsi="宋体" w:cs="宋体"/>
          <w:sz w:val="24"/>
          <w:szCs w:val="24"/>
        </w:rPr>
        <w:t xml:space="preserve">无锡市卫生健康综合服务中心项目联系人：孙老师；电话：0510-85757946</w:t>
      </w:r>
      <w:r/>
    </w:p>
    <w:p>
      <w:pPr>
        <w:pStyle w:val="743"/>
        <w:ind w:firstLine="452"/>
        <w:keepLines w:val="0"/>
        <w:keepNext w:val="0"/>
        <w:spacing w:before="0" w:after="0" w:line="500" w:lineRule="exact"/>
        <w:rPr>
          <w:rFonts w:ascii="Times New Roman" w:hAnsi="Times New Roman" w:eastAsia="宋体" w:cs="Times New Roman"/>
          <w:b/>
          <w:bCs/>
          <w:color w:val="000000" w:themeColor="text1"/>
          <w:highlight w:val="white"/>
          <w14:textFill>
            <w14:solidFill>
              <w14:schemeClr w14:val="tx1"/>
            </w14:solidFill>
          </w14:textFill>
        </w:rPr>
      </w:pPr>
      <w:r>
        <w:rPr>
          <w:rFonts w:hint="eastAsia" w:ascii="Times New Roman" w:hAnsi="Times New Roman" w:eastAsia="宋体" w:cs="Times New Roman"/>
          <w:b/>
          <w:bCs/>
          <w:color w:val="000000" w:themeColor="text1"/>
          <w:highlight w:val="white"/>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“苏采云”系统账号登录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hint="eastAsia" w:ascii="宋体" w:hAnsi="宋体"/>
          <w:color w:val="000000" w:themeColor="text1"/>
          <w:sz w:val="24"/>
          <w:szCs w:val="24"/>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sz w:val="24"/>
          <w:szCs w:val="24"/>
        </w:rPr>
        <w:t xml:space="preserve">（四）本次采购不收取投标保证金。</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w:t>
      </w:r>
      <w:bookmarkEnd w:id="1"/>
      <w:r/>
      <w:bookmarkEnd w:id="2"/>
      <w:r/>
      <w:bookmarkEnd w:id="3"/>
      <w:r/>
      <w:bookmarkEnd w:id="4"/>
      <w:r/>
      <w:bookmarkEnd w:id="5"/>
      <w:r/>
      <w:bookmarkEnd w:id="42"/>
      <w:r/>
      <w:bookmarkStart w:id="43" w:name="_Toc20823274"/>
      <w:r/>
      <w:bookmarkStart w:id="44" w:name="_Toc16938518"/>
      <w:r/>
      <w:bookmarkStart w:id="45" w:name="_Toc120614213"/>
      <w:r/>
      <w:bookmarkStart w:id="46" w:name="_Toc513029202"/>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54"/>
        <w:ind w:firstLine="454"/>
        <w:jc w:val="left"/>
        <w:keepLines w:val="0"/>
        <w:keepNext w:val="0"/>
        <w:spacing w:before="0" w:after="0" w:line="440" w:lineRule="exact"/>
        <w:widowControl/>
        <w:tabs>
          <w:tab w:val="left" w:pos="720" w:leader="none"/>
        </w:tabs>
        <w:rPr>
          <w:sz w:val="30"/>
          <w:szCs w:val="30"/>
          <w:lang w:eastAsia="zh-CN"/>
        </w:rPr>
      </w:pPr>
      <w:r/>
      <w:bookmarkStart w:id="47" w:name="_Toc513029203"/>
      <w:r/>
      <w:bookmarkStart w:id="48" w:name="_Toc20823275"/>
      <w:r/>
      <w:bookmarkStart w:id="49" w:name="_Toc16938519"/>
      <w:r/>
      <w:bookmarkStart w:id="50" w:name="_Toc120614214"/>
      <w:r/>
      <w:bookmarkStart w:id="51" w:name="_Toc513029242"/>
      <w:r/>
      <w:bookmarkStart w:id="52" w:name="_Toc120614221"/>
      <w:r/>
      <w:bookmarkStart w:id="53" w:name="_Toc20823314"/>
      <w:r/>
      <w:bookmarkStart w:id="54" w:name="_Toc16938558"/>
      <w:r/>
      <w:bookmarkStart w:id="55" w:name="_Toc479757207"/>
      <w:r>
        <w:rPr>
          <w:rFonts w:hint="eastAsia"/>
          <w:sz w:val="30"/>
          <w:szCs w:val="30"/>
          <w:lang w:eastAsia="zh-CN"/>
        </w:rPr>
        <w:t xml:space="preserve">一、总则</w:t>
      </w:r>
      <w:bookmarkEnd w:id="47"/>
      <w:r/>
      <w:bookmarkEnd w:id="48"/>
      <w:r/>
      <w:bookmarkEnd w:id="49"/>
      <w:r/>
      <w:bookmarkEnd w:id="50"/>
      <w:r/>
      <w:r/>
    </w:p>
    <w:p>
      <w:pPr>
        <w:pStyle w:val="955"/>
        <w:ind w:firstLine="422"/>
        <w:keepLines w:val="0"/>
        <w:keepNext w:val="0"/>
        <w:spacing w:before="0" w:after="0" w:line="440" w:lineRule="exact"/>
        <w:rPr>
          <w:rFonts w:ascii="宋体" w:hAnsi="宋体" w:eastAsia="宋体"/>
          <w:bCs w:val="0"/>
          <w:lang w:eastAsia="zh-CN"/>
        </w:rPr>
      </w:pPr>
      <w:r/>
      <w:bookmarkStart w:id="56" w:name="_Hlt16619475"/>
      <w:r/>
      <w:bookmarkEnd w:id="56"/>
      <w:r/>
      <w:bookmarkStart w:id="57" w:name="_Toc20823276"/>
      <w:r/>
      <w:bookmarkStart w:id="58" w:name="_Toc513029204"/>
      <w:r/>
      <w:bookmarkStart w:id="59" w:name="_Toc16938520"/>
      <w:r>
        <w:rPr>
          <w:rFonts w:hint="eastAsia" w:ascii="宋体" w:hAnsi="宋体" w:eastAsia="宋体"/>
          <w:bCs w:val="0"/>
          <w:lang w:eastAsia="zh-CN"/>
        </w:rPr>
        <w:t xml:space="preserve">1.招标方式</w:t>
      </w:r>
      <w:bookmarkEnd w:id="57"/>
      <w:r/>
      <w:bookmarkEnd w:id="58"/>
      <w:r/>
      <w:bookmarkEnd w:id="59"/>
      <w:r/>
      <w:r/>
    </w:p>
    <w:p>
      <w:pPr>
        <w:ind w:firstLine="480"/>
        <w:spacing w:line="44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955"/>
        <w:ind w:firstLine="422"/>
        <w:keepLines w:val="0"/>
        <w:keepNext w:val="0"/>
        <w:spacing w:before="0" w:after="0" w:line="440" w:lineRule="exact"/>
        <w:rPr>
          <w:rFonts w:ascii="宋体" w:hAnsi="宋体" w:eastAsia="宋体"/>
          <w:bCs w:val="0"/>
          <w:lang w:eastAsia="zh-CN"/>
        </w:rPr>
      </w:pPr>
      <w:r/>
      <w:bookmarkStart w:id="60" w:name="_Toc513029205"/>
      <w:r/>
      <w:bookmarkStart w:id="61" w:name="_Toc20823277"/>
      <w:r/>
      <w:bookmarkStart w:id="62" w:name="_Toc16938521"/>
      <w:r>
        <w:rPr>
          <w:rFonts w:hint="eastAsia" w:ascii="宋体" w:hAnsi="宋体" w:eastAsia="宋体"/>
          <w:bCs w:val="0"/>
          <w:lang w:eastAsia="zh-CN"/>
        </w:rPr>
        <w:t xml:space="preserve">2.</w:t>
      </w:r>
      <w:bookmarkEnd w:id="60"/>
      <w:r/>
      <w:bookmarkEnd w:id="61"/>
      <w:r/>
      <w:bookmarkEnd w:id="62"/>
      <w:r>
        <w:rPr>
          <w:rFonts w:hint="eastAsia" w:ascii="宋体" w:hAnsi="宋体" w:eastAsia="宋体"/>
          <w:bCs w:val="0"/>
          <w:lang w:eastAsia="zh-CN"/>
        </w:rPr>
        <w:t xml:space="preserve">采购人、采购代理机构、投标人、联合体</w:t>
      </w:r>
      <w:r/>
    </w:p>
    <w:p>
      <w:pPr>
        <w:ind w:firstLine="480"/>
        <w:spacing w:line="440" w:lineRule="exact"/>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44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440" w:lineRule="exact"/>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5"/>
        <w:ind w:firstLine="422"/>
        <w:keepLines w:val="0"/>
        <w:keepNext w:val="0"/>
        <w:spacing w:before="0" w:after="0" w:line="440" w:lineRule="exact"/>
        <w:rPr>
          <w:rFonts w:ascii="宋体" w:hAnsi="宋体" w:eastAsia="宋体"/>
          <w:bCs w:val="0"/>
          <w:lang w:eastAsia="zh-CN"/>
        </w:rPr>
      </w:pPr>
      <w:r/>
      <w:bookmarkStart w:id="63" w:name="_Toc513029206"/>
      <w:r/>
      <w:bookmarkStart w:id="64" w:name="_Toc16938522"/>
      <w:r/>
      <w:bookmarkStart w:id="65" w:name="_Toc20823278"/>
      <w:r>
        <w:rPr>
          <w:rFonts w:hint="eastAsia" w:ascii="宋体" w:hAnsi="宋体" w:eastAsia="宋体"/>
          <w:bCs w:val="0"/>
          <w:lang w:eastAsia="zh-CN"/>
        </w:rPr>
        <w:t xml:space="preserve">3.适用法律</w:t>
      </w:r>
      <w:bookmarkEnd w:id="63"/>
      <w:r/>
      <w:bookmarkEnd w:id="64"/>
      <w:r/>
      <w:bookmarkEnd w:id="65"/>
      <w:r/>
      <w:r/>
    </w:p>
    <w:p>
      <w:pPr>
        <w:ind w:firstLine="480"/>
        <w:spacing w:line="440" w:lineRule="exact"/>
        <w:rPr>
          <w:rFonts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p>
    <w:p>
      <w:pPr>
        <w:ind w:firstLine="480"/>
        <w:spacing w:line="440" w:lineRule="exact"/>
        <w:rPr>
          <w:rFonts w:ascii="宋体" w:hAnsi="宋体"/>
          <w:sz w:val="24"/>
        </w:rPr>
      </w:pPr>
      <w:r>
        <w:rPr>
          <w:rFonts w:hint="eastAsia" w:ascii="宋体" w:hAnsi="宋体"/>
          <w:sz w:val="24"/>
          <w:szCs w:val="24"/>
        </w:rPr>
        <w:t xml:space="preserve">3.2在本项目政府采购活动过程中，如果所执行的标准有更新的，按照最新标准执行。</w:t>
      </w:r>
      <w:r/>
    </w:p>
    <w:p>
      <w:pPr>
        <w:pStyle w:val="955"/>
        <w:ind w:firstLine="422"/>
        <w:keepLines w:val="0"/>
        <w:keepNext w:val="0"/>
        <w:spacing w:before="0" w:after="0" w:line="440" w:lineRule="exact"/>
        <w:rPr>
          <w:rFonts w:ascii="宋体" w:hAnsi="宋体" w:eastAsia="宋体"/>
          <w:bCs w:val="0"/>
          <w:lang w:eastAsia="zh-CN"/>
        </w:rPr>
      </w:pPr>
      <w:r/>
      <w:bookmarkStart w:id="66" w:name="_Toc462564067"/>
      <w:r/>
      <w:bookmarkStart w:id="67" w:name="_Toc513029207"/>
      <w:r/>
      <w:bookmarkStart w:id="68" w:name="_Toc20823279"/>
      <w:r/>
      <w:bookmarkStart w:id="69" w:name="_Toc16938523"/>
      <w:r>
        <w:rPr>
          <w:rFonts w:hint="eastAsia" w:ascii="宋体" w:hAnsi="宋体" w:eastAsia="宋体"/>
          <w:bCs w:val="0"/>
          <w:lang w:eastAsia="zh-CN"/>
        </w:rPr>
        <w:t xml:space="preserve">4.投标费用</w:t>
      </w:r>
      <w:bookmarkEnd w:id="66"/>
      <w:r/>
      <w:bookmarkEnd w:id="67"/>
      <w:r/>
      <w:bookmarkEnd w:id="68"/>
      <w:r/>
      <w:bookmarkEnd w:id="69"/>
      <w:r/>
      <w:r/>
    </w:p>
    <w:p>
      <w:pPr>
        <w:ind w:firstLine="480"/>
        <w:spacing w:line="44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投标人应自行承担所有与参加投标有关的费用，无论投标过程中的做法和结果如何，无锡市卫生健康综合服务中心在任何情况下均无义务和责任承担这些费用。</w:t>
      </w:r>
      <w:r/>
    </w:p>
    <w:p>
      <w:pPr>
        <w:ind w:firstLine="480"/>
        <w:spacing w:line="440" w:lineRule="exact"/>
        <w:rPr>
          <w:rFonts w:ascii="宋体" w:hAnsi="宋体"/>
          <w:sz w:val="24"/>
        </w:rPr>
      </w:pPr>
      <w:r>
        <w:rPr>
          <w:rFonts w:hint="eastAsia" w:ascii="宋体" w:hAnsi="宋体"/>
          <w:sz w:val="24"/>
        </w:rPr>
        <w:t xml:space="preserve">4.2本次招标标书工本费、中标服务费、招标文件均免费。</w:t>
      </w:r>
      <w:r/>
    </w:p>
    <w:p>
      <w:pPr>
        <w:pStyle w:val="955"/>
        <w:ind w:firstLine="422"/>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5.招标文件的约束力</w:t>
      </w:r>
      <w:r/>
    </w:p>
    <w:p>
      <w:pPr>
        <w:ind w:firstLine="480"/>
        <w:spacing w:line="44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54"/>
        <w:ind w:firstLine="454"/>
        <w:jc w:val="left"/>
        <w:keepLines w:val="0"/>
        <w:keepNext w:val="0"/>
        <w:spacing w:before="0" w:after="0" w:line="440" w:lineRule="exact"/>
        <w:widowControl/>
        <w:tabs>
          <w:tab w:val="left" w:pos="720" w:leader="none"/>
        </w:tabs>
        <w:rPr>
          <w:sz w:val="30"/>
          <w:szCs w:val="30"/>
          <w:lang w:eastAsia="zh-CN"/>
        </w:rPr>
      </w:pPr>
      <w:r/>
      <w:bookmarkStart w:id="70" w:name="_Toc16938525"/>
      <w:r/>
      <w:bookmarkStart w:id="71" w:name="_Toc120614215"/>
      <w:r/>
      <w:bookmarkStart w:id="72" w:name="_Toc20823281"/>
      <w:r/>
      <w:bookmarkStart w:id="73" w:name="_Toc513029209"/>
      <w:r>
        <w:rPr>
          <w:rFonts w:hint="eastAsia"/>
          <w:sz w:val="30"/>
          <w:szCs w:val="30"/>
          <w:lang w:eastAsia="zh-CN"/>
        </w:rPr>
        <w:t xml:space="preserve">二、招标文件</w:t>
      </w:r>
      <w:bookmarkEnd w:id="70"/>
      <w:r/>
      <w:bookmarkEnd w:id="71"/>
      <w:r/>
      <w:bookmarkEnd w:id="72"/>
      <w:r/>
      <w:bookmarkEnd w:id="73"/>
      <w:r/>
      <w:r/>
    </w:p>
    <w:p>
      <w:pPr>
        <w:pStyle w:val="955"/>
        <w:ind w:firstLine="422"/>
        <w:keepLines w:val="0"/>
        <w:keepNext w:val="0"/>
        <w:spacing w:before="0" w:after="0" w:line="440" w:lineRule="exact"/>
        <w:rPr>
          <w:rFonts w:ascii="宋体" w:hAnsi="宋体" w:eastAsia="宋体"/>
          <w:bCs w:val="0"/>
          <w:lang w:eastAsia="zh-CN"/>
        </w:rPr>
      </w:pPr>
      <w:r/>
      <w:bookmarkStart w:id="74" w:name="_Toc513029210"/>
      <w:r/>
      <w:bookmarkStart w:id="75" w:name="_Toc16938526"/>
      <w:r/>
      <w:bookmarkStart w:id="76" w:name="_Toc20823282"/>
      <w:r>
        <w:rPr>
          <w:rFonts w:hint="eastAsia" w:ascii="宋体" w:hAnsi="宋体" w:eastAsia="宋体"/>
          <w:bCs w:val="0"/>
          <w:lang w:eastAsia="zh-CN"/>
        </w:rPr>
        <w:t xml:space="preserve">6.招标文件构成</w:t>
      </w:r>
      <w:bookmarkEnd w:id="74"/>
      <w:r/>
      <w:bookmarkEnd w:id="75"/>
      <w:r/>
      <w:bookmarkEnd w:id="76"/>
      <w:r/>
      <w:r/>
    </w:p>
    <w:p>
      <w:pPr>
        <w:ind w:firstLine="480"/>
        <w:spacing w:line="440" w:lineRule="exact"/>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44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440" w:lineRule="exact"/>
        <w:rPr>
          <w:rFonts w:ascii="宋体" w:hAnsi="宋体"/>
          <w:sz w:val="24"/>
          <w:szCs w:val="24"/>
        </w:rPr>
      </w:pPr>
      <w:r>
        <w:rPr>
          <w:rFonts w:hint="eastAsia" w:ascii="宋体" w:hAnsi="宋体"/>
          <w:sz w:val="24"/>
          <w:szCs w:val="24"/>
        </w:rPr>
        <w:t xml:space="preserve">（2）投标人须知</w:t>
      </w:r>
      <w:r/>
    </w:p>
    <w:p>
      <w:pPr>
        <w:ind w:firstLine="480"/>
        <w:spacing w:line="440" w:lineRule="exact"/>
        <w:rPr>
          <w:rFonts w:ascii="宋体" w:hAnsi="宋体"/>
          <w:sz w:val="24"/>
          <w:szCs w:val="24"/>
        </w:rPr>
      </w:pPr>
      <w:r>
        <w:rPr>
          <w:rFonts w:hint="eastAsia" w:ascii="宋体" w:hAnsi="宋体"/>
          <w:sz w:val="24"/>
          <w:szCs w:val="24"/>
        </w:rPr>
        <w:t xml:space="preserve">（3）合同文本</w:t>
      </w:r>
      <w:r/>
    </w:p>
    <w:p>
      <w:pPr>
        <w:ind w:firstLine="480"/>
        <w:spacing w:line="440" w:lineRule="exact"/>
        <w:rPr>
          <w:rFonts w:ascii="宋体" w:hAnsi="宋体"/>
          <w:sz w:val="24"/>
          <w:szCs w:val="24"/>
        </w:rPr>
      </w:pPr>
      <w:r>
        <w:rPr>
          <w:rFonts w:hint="eastAsia" w:ascii="宋体" w:hAnsi="宋体"/>
          <w:sz w:val="24"/>
          <w:szCs w:val="24"/>
        </w:rPr>
        <w:t xml:space="preserve">（4）采购需求</w:t>
      </w:r>
      <w:r/>
    </w:p>
    <w:p>
      <w:pPr>
        <w:ind w:firstLine="480"/>
        <w:spacing w:line="44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440" w:lineRule="exact"/>
        <w:rPr>
          <w:rFonts w:ascii="宋体" w:hAnsi="宋体"/>
          <w:sz w:val="24"/>
          <w:szCs w:val="24"/>
        </w:rPr>
      </w:pPr>
      <w:r>
        <w:rPr>
          <w:rFonts w:hint="eastAsia" w:ascii="宋体" w:hAnsi="宋体"/>
          <w:sz w:val="24"/>
          <w:szCs w:val="24"/>
        </w:rPr>
        <w:t xml:space="preserve">（6）投标文件内容与格式</w:t>
      </w:r>
      <w:r/>
    </w:p>
    <w:p>
      <w:pPr>
        <w:ind w:firstLine="480"/>
        <w:spacing w:line="440" w:lineRule="exact"/>
        <w:rPr>
          <w:rFonts w:ascii="宋体" w:hAnsi="宋体"/>
          <w:sz w:val="24"/>
        </w:rPr>
      </w:pPr>
      <w:r>
        <w:rPr>
          <w:rFonts w:hint="eastAsia" w:ascii="宋体" w:hAnsi="宋体"/>
          <w:sz w:val="24"/>
        </w:rPr>
        <w:t xml:space="preserve">请仔细检查招标文件是否齐全，如有缺漏请立即与无锡市卫生健康综合服务中心联系解决。</w:t>
      </w:r>
      <w:r/>
    </w:p>
    <w:p>
      <w:pPr>
        <w:ind w:firstLine="480"/>
        <w:spacing w:line="440" w:lineRule="exact"/>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5"/>
        <w:ind w:firstLine="422"/>
        <w:keepLines w:val="0"/>
        <w:keepNext w:val="0"/>
        <w:spacing w:before="0" w:after="0" w:line="440" w:lineRule="exact"/>
        <w:rPr>
          <w:rFonts w:ascii="宋体" w:hAnsi="宋体" w:eastAsia="宋体"/>
          <w:bCs w:val="0"/>
          <w:lang w:eastAsia="zh-CN"/>
        </w:rPr>
      </w:pPr>
      <w:r/>
      <w:bookmarkStart w:id="77" w:name="_Toc20823283"/>
      <w:r/>
      <w:bookmarkStart w:id="78" w:name="_Toc513029211"/>
      <w:r/>
      <w:bookmarkStart w:id="79" w:name="_Toc462564070"/>
      <w:r/>
      <w:bookmarkStart w:id="80" w:name="_Toc16938527"/>
      <w:r>
        <w:rPr>
          <w:rFonts w:hint="eastAsia" w:ascii="宋体" w:hAnsi="宋体" w:eastAsia="宋体"/>
          <w:bCs w:val="0"/>
          <w:lang w:eastAsia="zh-CN"/>
        </w:rPr>
        <w:t xml:space="preserve">7.招标文件的澄清</w:t>
      </w:r>
      <w:bookmarkEnd w:id="77"/>
      <w:r/>
      <w:bookmarkEnd w:id="78"/>
      <w:r/>
      <w:bookmarkEnd w:id="79"/>
      <w:r/>
      <w:bookmarkEnd w:id="80"/>
      <w:r/>
      <w:r/>
    </w:p>
    <w:p>
      <w:pPr>
        <w:ind w:firstLine="480"/>
        <w:spacing w:line="440" w:lineRule="exact"/>
        <w:rPr>
          <w:rFonts w:ascii="宋体" w:hAnsi="宋体"/>
          <w:bCs/>
          <w:sz w:val="24"/>
        </w:rPr>
      </w:pPr>
      <w:r/>
      <w:bookmarkStart w:id="81" w:name="_Toc462564071"/>
      <w:r/>
      <w:bookmarkStart w:id="82" w:name="_Toc16938528"/>
      <w:r/>
      <w:bookmarkStart w:id="83" w:name="_Toc513029212"/>
      <w:r/>
      <w:bookmarkStart w:id="84" w:name="_Toc20823284"/>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55"/>
        <w:ind w:firstLine="422"/>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8.招标文件的修改</w:t>
      </w:r>
      <w:bookmarkEnd w:id="81"/>
      <w:r/>
      <w:bookmarkEnd w:id="82"/>
      <w:r/>
      <w:bookmarkEnd w:id="83"/>
      <w:r/>
      <w:bookmarkEnd w:id="84"/>
      <w:r/>
      <w:r/>
    </w:p>
    <w:p>
      <w:pPr>
        <w:ind w:firstLine="480"/>
        <w:spacing w:line="440" w:lineRule="exact"/>
        <w:rPr>
          <w:rFonts w:ascii="宋体" w:hAnsi="宋体"/>
          <w:bCs/>
          <w:sz w:val="24"/>
          <w:szCs w:val="24"/>
        </w:rPr>
      </w:pPr>
      <w:r>
        <w:rPr>
          <w:rFonts w:hint="eastAsia" w:ascii="宋体" w:hAnsi="宋体"/>
          <w:bCs/>
          <w:sz w:val="24"/>
          <w:szCs w:val="24"/>
        </w:rPr>
        <w:t xml:space="preserve">8.1无锡市卫生健康综合服务中心可在投标截止时间十五日前对招标文件进行必要的澄清或者修改，不足十五日的，将顺延提交投标文件的截止时间和开标日期。</w:t>
      </w:r>
      <w:r/>
    </w:p>
    <w:p>
      <w:pPr>
        <w:ind w:firstLine="480"/>
        <w:spacing w:line="440" w:lineRule="exact"/>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954"/>
        <w:ind w:firstLine="454"/>
        <w:jc w:val="left"/>
        <w:keepLines w:val="0"/>
        <w:keepNext w:val="0"/>
        <w:spacing w:before="0" w:after="0" w:line="440" w:lineRule="exact"/>
        <w:widowControl/>
        <w:tabs>
          <w:tab w:val="left" w:pos="720" w:leader="none"/>
        </w:tabs>
        <w:rPr>
          <w:sz w:val="30"/>
          <w:szCs w:val="30"/>
          <w:lang w:eastAsia="zh-CN"/>
        </w:rPr>
      </w:pPr>
      <w:r/>
      <w:bookmarkStart w:id="85" w:name="_Toc20823285"/>
      <w:r/>
      <w:bookmarkStart w:id="86" w:name="_Toc120614216"/>
      <w:r/>
      <w:bookmarkStart w:id="87" w:name="_Toc462564072"/>
      <w:r/>
      <w:bookmarkStart w:id="88" w:name="_Toc16938529"/>
      <w:r/>
      <w:bookmarkStart w:id="89" w:name="_Toc513029213"/>
      <w:r>
        <w:rPr>
          <w:rFonts w:hint="eastAsia"/>
          <w:sz w:val="30"/>
          <w:szCs w:val="30"/>
          <w:lang w:eastAsia="zh-CN"/>
        </w:rPr>
        <w:t xml:space="preserve">三、投标文件的编制</w:t>
      </w:r>
      <w:bookmarkEnd w:id="85"/>
      <w:r/>
      <w:bookmarkEnd w:id="86"/>
      <w:r/>
      <w:bookmarkEnd w:id="87"/>
      <w:r/>
      <w:bookmarkEnd w:id="88"/>
      <w:r/>
      <w:bookmarkEnd w:id="89"/>
      <w:r/>
      <w:r/>
    </w:p>
    <w:p>
      <w:pPr>
        <w:pStyle w:val="955"/>
        <w:ind w:firstLine="422"/>
        <w:keepLines w:val="0"/>
        <w:keepNext w:val="0"/>
        <w:spacing w:before="0" w:after="0" w:line="440" w:lineRule="exact"/>
        <w:rPr>
          <w:rFonts w:ascii="宋体" w:hAnsi="宋体" w:eastAsia="宋体"/>
          <w:bCs w:val="0"/>
          <w:lang w:eastAsia="zh-CN"/>
        </w:rPr>
      </w:pPr>
      <w:r/>
      <w:bookmarkStart w:id="90" w:name="_Toc16938530"/>
      <w:r/>
      <w:bookmarkStart w:id="91" w:name="_Toc513029214"/>
      <w:r/>
      <w:bookmarkStart w:id="92" w:name="_Toc20823286"/>
      <w:r/>
      <w:bookmarkStart w:id="93" w:name="_Toc462564073"/>
      <w:r>
        <w:rPr>
          <w:rFonts w:hint="eastAsia" w:ascii="宋体" w:hAnsi="宋体" w:eastAsia="宋体"/>
          <w:bCs w:val="0"/>
          <w:lang w:eastAsia="zh-CN"/>
        </w:rPr>
        <w:t xml:space="preserve">9.投标文件的语言及度量衡单位</w:t>
      </w:r>
      <w:bookmarkEnd w:id="90"/>
      <w:r/>
      <w:bookmarkEnd w:id="91"/>
      <w:r/>
      <w:bookmarkEnd w:id="92"/>
      <w:r/>
      <w:bookmarkEnd w:id="93"/>
      <w:r/>
      <w:r/>
    </w:p>
    <w:p>
      <w:pPr>
        <w:ind w:firstLine="480"/>
        <w:spacing w:line="44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投标人提交的投标文件以及投标人与无锡市卫生健康综合服务中心就有关投标的所有来往通知、函件和文件均应使用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2"/>
        <w:spacing w:line="440" w:lineRule="exact"/>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ind w:firstLine="482"/>
        <w:spacing w:line="440" w:lineRule="exact"/>
        <w:rPr>
          <w:rFonts w:ascii="宋体" w:hAnsi="宋体"/>
          <w:b/>
          <w:sz w:val="24"/>
          <w:szCs w:val="24"/>
        </w:rPr>
      </w:pPr>
      <w:r>
        <w:rPr>
          <w:rFonts w:hint="eastAsia" w:ascii="宋体" w:hAnsi="宋体"/>
          <w:bCs/>
          <w:sz w:val="24"/>
          <w:szCs w:val="24"/>
        </w:rPr>
        <w:t xml:space="preserve">9.3</w:t>
      </w:r>
      <w:r>
        <w:rPr>
          <w:rFonts w:hint="eastAsia" w:ascii="宋体" w:hAnsi="宋体" w:cs="宋体"/>
          <w:color w:val="000000" w:themeColor="text1"/>
          <w:sz w:val="24"/>
          <w:szCs w:val="24"/>
          <w:highlight w:val="white"/>
          <w14:textFill>
            <w14:solidFill>
              <w14:schemeClr w14:val="tx1"/>
            </w14:solidFill>
          </w14:textFill>
        </w:rPr>
        <w:t xml:space="preserve">投标文件中的非中文材料，需同时提供经公证处公证的中文翻译件，公证内容应包括中文翻译件与原文一致的内容，并加盖投标人公章。</w:t>
      </w:r>
      <w:r/>
    </w:p>
    <w:p>
      <w:pPr>
        <w:pStyle w:val="955"/>
        <w:ind w:firstLine="422"/>
        <w:keepLines w:val="0"/>
        <w:keepNext w:val="0"/>
        <w:spacing w:before="0" w:after="0" w:line="440" w:lineRule="exact"/>
        <w:rPr>
          <w:rFonts w:ascii="宋体" w:hAnsi="宋体" w:eastAsia="宋体"/>
          <w:bCs w:val="0"/>
          <w:lang w:eastAsia="zh-CN"/>
        </w:rPr>
      </w:pPr>
      <w:r/>
      <w:bookmarkStart w:id="94" w:name="_Toc462564074"/>
      <w:r/>
      <w:bookmarkStart w:id="95" w:name="_Toc20823287"/>
      <w:r/>
      <w:bookmarkStart w:id="96" w:name="_Toc16938531"/>
      <w:r/>
      <w:bookmarkStart w:id="97" w:name="_Toc513029215"/>
      <w:r>
        <w:rPr>
          <w:rFonts w:hint="eastAsia" w:ascii="宋体" w:hAnsi="宋体" w:eastAsia="宋体"/>
          <w:bCs w:val="0"/>
          <w:lang w:eastAsia="zh-CN"/>
        </w:rPr>
        <w:t xml:space="preserve">10.投标文件构成</w:t>
      </w:r>
      <w:bookmarkEnd w:id="94"/>
      <w:r/>
      <w:bookmarkEnd w:id="95"/>
      <w:r/>
      <w:bookmarkEnd w:id="96"/>
      <w:r/>
      <w:bookmarkEnd w:id="97"/>
      <w:r/>
      <w:r/>
    </w:p>
    <w:p>
      <w:pPr>
        <w:ind w:firstLine="480"/>
        <w:spacing w:line="44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440" w:lineRule="exact"/>
        <w:rPr>
          <w:rFonts w:ascii="宋体" w:hAnsi="宋体"/>
          <w:sz w:val="24"/>
        </w:rPr>
      </w:pPr>
      <w:r>
        <w:rPr>
          <w:rFonts w:hint="eastAsia" w:ascii="宋体" w:hAnsi="宋体"/>
          <w:sz w:val="24"/>
        </w:rPr>
        <w:t xml:space="preserve">10.2投标人所需提供的相关证明文件和要求以及投标文件的部分格式要求，详见第六章《投标文件内容与格式》。</w:t>
      </w:r>
      <w:r/>
    </w:p>
    <w:p>
      <w:pPr>
        <w:ind w:firstLine="480"/>
        <w:spacing w:line="440" w:lineRule="exact"/>
        <w:rPr>
          <w:rFonts w:ascii="宋体" w:hAnsi="宋体"/>
          <w:sz w:val="24"/>
        </w:rPr>
      </w:pPr>
      <w:r>
        <w:rPr>
          <w:rFonts w:hint="eastAsia" w:ascii="宋体" w:hAnsi="宋体"/>
          <w:sz w:val="24"/>
        </w:rPr>
        <w:t xml:space="preserve">10.3如标书制作工具中格式和内容与招标文件不一致的，请以招标文件为准。</w:t>
      </w:r>
      <w:r/>
    </w:p>
    <w:p>
      <w:pPr>
        <w:pStyle w:val="955"/>
        <w:ind w:firstLine="422"/>
        <w:keepLines w:val="0"/>
        <w:keepNext w:val="0"/>
        <w:spacing w:before="0" w:after="0" w:line="440" w:lineRule="exact"/>
        <w:rPr>
          <w:rFonts w:ascii="宋体" w:hAnsi="宋体" w:eastAsia="宋体"/>
          <w:bCs w:val="0"/>
          <w:lang w:eastAsia="zh-CN"/>
        </w:rPr>
      </w:pPr>
      <w:r/>
      <w:bookmarkStart w:id="98" w:name="_Hlt26954838"/>
      <w:r/>
      <w:bookmarkEnd w:id="98"/>
      <w:r/>
      <w:bookmarkStart w:id="99" w:name="_Hlt26668975"/>
      <w:r/>
      <w:bookmarkEnd w:id="99"/>
      <w:r/>
      <w:bookmarkStart w:id="100" w:name="_Hlt26670360"/>
      <w:r/>
      <w:bookmarkEnd w:id="100"/>
      <w:r/>
      <w:bookmarkStart w:id="101" w:name="_Toc513029216"/>
      <w:r/>
      <w:bookmarkStart w:id="102" w:name="_Toc513029219"/>
      <w:r/>
      <w:bookmarkStart w:id="103" w:name="_Toc49090507"/>
      <w:r/>
      <w:bookmarkStart w:id="104" w:name="_Toc14577354"/>
      <w:r/>
      <w:bookmarkStart w:id="105" w:name="_Toc14577357"/>
      <w:r/>
      <w:bookmarkStart w:id="106" w:name="_Toc49090509"/>
      <w:r>
        <w:rPr>
          <w:rFonts w:hint="eastAsia" w:ascii="宋体" w:hAnsi="宋体" w:eastAsia="宋体"/>
          <w:bCs w:val="0"/>
          <w:lang w:eastAsia="zh-CN"/>
        </w:rPr>
        <w:t xml:space="preserve">11.证明投标人及投标标的符合招标文件规定的文件</w:t>
      </w:r>
      <w:bookmarkEnd w:id="101"/>
      <w:r/>
      <w:bookmarkEnd w:id="102"/>
      <w:r/>
      <w:bookmarkEnd w:id="103"/>
      <w:r/>
      <w:bookmarkEnd w:id="104"/>
      <w:r/>
      <w:bookmarkEnd w:id="105"/>
      <w:r/>
      <w:bookmarkEnd w:id="106"/>
      <w:r/>
      <w:r/>
    </w:p>
    <w:p>
      <w:pPr>
        <w:ind w:firstLine="480"/>
        <w:spacing w:line="440" w:lineRule="exact"/>
        <w:rPr>
          <w:rFonts w:ascii="宋体" w:hAnsi="宋体"/>
          <w:bCs/>
          <w:sz w:val="24"/>
        </w:rPr>
      </w:pPr>
      <w:r/>
      <w:bookmarkStart w:id="107" w:name="_Toc49090508"/>
      <w:r/>
      <w:bookmarkStart w:id="108" w:name="_Toc14577355"/>
      <w:r>
        <w:rPr>
          <w:rFonts w:hint="eastAsia" w:ascii="宋体" w:hAnsi="宋体"/>
          <w:bCs/>
          <w:sz w:val="24"/>
        </w:rPr>
        <w:t xml:space="preserve">11.1投标人应按照法律法规、规章和规范性文件以及招标文件要求提交证明文件，证明其及投标标的符合招标文件的规定。</w:t>
      </w:r>
      <w:r/>
    </w:p>
    <w:p>
      <w:pPr>
        <w:ind w:firstLine="480"/>
        <w:spacing w:line="44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55"/>
        <w:ind w:firstLine="422"/>
        <w:keepLines w:val="0"/>
        <w:keepNext w:val="0"/>
        <w:spacing w:before="0" w:after="0" w:line="440" w:lineRule="exact"/>
        <w:rPr>
          <w:rFonts w:ascii="宋体" w:hAnsi="宋体" w:eastAsia="宋体"/>
          <w:bCs w:val="0"/>
          <w:lang w:eastAsia="zh-CN"/>
        </w:rPr>
      </w:pPr>
      <w:r/>
      <w:bookmarkStart w:id="109" w:name="_Toc14577359"/>
      <w:r/>
      <w:bookmarkStart w:id="110" w:name="_Toc49090510"/>
      <w:r>
        <w:rPr>
          <w:rFonts w:hint="eastAsia" w:ascii="宋体" w:hAnsi="宋体" w:eastAsia="宋体"/>
          <w:bCs w:val="0"/>
          <w:lang w:eastAsia="zh-CN"/>
        </w:rPr>
        <w:t xml:space="preserve">12.投标函、承诺书和开标一览表</w:t>
      </w:r>
      <w:r/>
    </w:p>
    <w:p>
      <w:pPr>
        <w:ind w:firstLine="480"/>
        <w:spacing w:line="440" w:lineRule="exact"/>
        <w:rPr>
          <w:rFonts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ind w:firstLine="480"/>
        <w:spacing w:line="440" w:lineRule="exact"/>
        <w:rPr>
          <w:rFonts w:ascii="宋体" w:hAnsi="宋体"/>
          <w:bCs/>
          <w:sz w:val="24"/>
        </w:rPr>
      </w:pPr>
      <w:r>
        <w:rPr>
          <w:rFonts w:hint="eastAsia" w:ascii="宋体" w:hAnsi="宋体"/>
          <w:sz w:val="24"/>
        </w:rPr>
        <w:t xml:space="preserve">12.2对于采用货币报价的项目，开标一览表中的投标总报价应与细目报价表的总额一致，如不一致，不作为无效投标处理，但评标时按开标一览表中的价格为准。</w:t>
      </w:r>
      <w:bookmarkEnd w:id="109"/>
      <w:r/>
      <w:bookmarkEnd w:id="110"/>
      <w:r/>
      <w:r/>
    </w:p>
    <w:p>
      <w:pPr>
        <w:pStyle w:val="955"/>
        <w:ind w:firstLine="422"/>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13.</w:t>
      </w:r>
      <w:bookmarkEnd w:id="107"/>
      <w:r/>
      <w:bookmarkEnd w:id="108"/>
      <w:r>
        <w:rPr>
          <w:rFonts w:hint="eastAsia" w:ascii="宋体" w:hAnsi="宋体" w:eastAsia="宋体"/>
          <w:bCs w:val="0"/>
          <w:lang w:eastAsia="zh-CN"/>
        </w:rPr>
        <w:t xml:space="preserve">细目报价表</w:t>
      </w:r>
      <w:r/>
    </w:p>
    <w:p>
      <w:pPr>
        <w:ind w:firstLine="480"/>
        <w:spacing w:line="440" w:lineRule="exact"/>
        <w:rPr>
          <w:rFonts w:ascii="宋体" w:hAnsi="宋体"/>
          <w:bCs/>
          <w:sz w:val="24"/>
        </w:rPr>
      </w:pPr>
      <w:r>
        <w:rPr>
          <w:rFonts w:hint="eastAsia" w:ascii="宋体" w:hAnsi="宋体"/>
          <w:bCs/>
          <w:sz w:val="24"/>
        </w:rPr>
        <w:t xml:space="preserve">13.1</w:t>
      </w:r>
      <w:r>
        <w:rPr>
          <w:rFonts w:hint="eastAsia" w:ascii="宋体" w:hAnsi="宋体"/>
          <w:sz w:val="24"/>
        </w:rPr>
        <w:t xml:space="preserve">投</w:t>
      </w:r>
      <w:bookmarkStart w:id="111" w:name="_Hlt26954840"/>
      <w:r/>
      <w:bookmarkEnd w:id="111"/>
      <w:r>
        <w:rPr>
          <w:rFonts w:hint="eastAsia" w:ascii="宋体" w:hAnsi="宋体"/>
          <w:sz w:val="24"/>
        </w:rPr>
        <w:t xml:space="preserve">标人应按照招标文件规定格式填报</w:t>
      </w:r>
      <w:bookmarkStart w:id="112" w:name="_Hlt26670399"/>
      <w:r/>
      <w:bookmarkEnd w:id="112"/>
      <w:r>
        <w:rPr>
          <w:rFonts w:hint="eastAsia" w:ascii="宋体" w:hAnsi="宋体"/>
          <w:sz w:val="24"/>
        </w:rPr>
        <w:t xml:space="preserve">细目报价表。</w:t>
      </w:r>
      <w:r/>
    </w:p>
    <w:p>
      <w:pPr>
        <w:ind w:firstLine="480"/>
        <w:spacing w:line="440" w:lineRule="exact"/>
        <w:rPr>
          <w:rFonts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55"/>
        <w:ind w:firstLine="422"/>
        <w:keepLines w:val="0"/>
        <w:keepNext w:val="0"/>
        <w:spacing w:before="0" w:after="0" w:line="440" w:lineRule="exact"/>
        <w:rPr>
          <w:rFonts w:ascii="宋体" w:hAnsi="宋体" w:eastAsia="宋体"/>
          <w:bCs w:val="0"/>
          <w:lang w:eastAsia="zh-CN"/>
        </w:rPr>
      </w:pPr>
      <w:r/>
      <w:bookmarkStart w:id="113" w:name="_Hlt26954844"/>
      <w:r/>
      <w:bookmarkEnd w:id="113"/>
      <w:r/>
      <w:bookmarkStart w:id="114" w:name="_Hlt26668983"/>
      <w:r/>
      <w:bookmarkEnd w:id="114"/>
      <w:r/>
      <w:bookmarkStart w:id="115" w:name="_Hlt26670482"/>
      <w:r/>
      <w:bookmarkEnd w:id="115"/>
      <w:r/>
      <w:bookmarkStart w:id="116" w:name="_Hlt26954846"/>
      <w:r/>
      <w:bookmarkEnd w:id="116"/>
      <w:r/>
      <w:bookmarkStart w:id="117" w:name="_Hlt26670425"/>
      <w:r/>
      <w:bookmarkEnd w:id="117"/>
      <w:r/>
      <w:bookmarkStart w:id="118" w:name="_Hlt26954842"/>
      <w:r/>
      <w:bookmarkEnd w:id="118"/>
      <w:r/>
      <w:bookmarkStart w:id="119" w:name="_Hlt26954731"/>
      <w:r/>
      <w:bookmarkEnd w:id="119"/>
      <w:r/>
      <w:bookmarkStart w:id="120" w:name="_Hlt26954848"/>
      <w:r/>
      <w:bookmarkEnd w:id="120"/>
      <w:r/>
      <w:bookmarkStart w:id="121" w:name="_Hlt26670403"/>
      <w:r/>
      <w:bookmarkEnd w:id="121"/>
      <w:r/>
      <w:bookmarkStart w:id="122" w:name="_Hlt26670486"/>
      <w:r/>
      <w:bookmarkEnd w:id="122"/>
      <w:r>
        <w:rPr>
          <w:rFonts w:hint="eastAsia" w:ascii="宋体" w:hAnsi="宋体" w:eastAsia="宋体"/>
          <w:bCs w:val="0"/>
          <w:lang w:eastAsia="zh-CN"/>
        </w:rPr>
        <w:t xml:space="preserve">14.投标偏离表</w:t>
      </w:r>
      <w:r/>
    </w:p>
    <w:p>
      <w:pPr>
        <w:ind w:firstLine="480"/>
        <w:spacing w:line="440" w:lineRule="exact"/>
        <w:tabs>
          <w:tab w:val="left" w:pos="1035" w:leader="none"/>
        </w:tabs>
        <w:rPr>
          <w:rFonts w:ascii="宋体" w:hAnsi="Arial" w:cs="宋体"/>
          <w:sz w:val="24"/>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955"/>
        <w:ind w:firstLine="422"/>
        <w:keepLines w:val="0"/>
        <w:keepNext w:val="0"/>
        <w:spacing w:before="0" w:after="0" w:line="440" w:lineRule="exact"/>
        <w:rPr>
          <w:rFonts w:ascii="宋体" w:hAnsi="宋体" w:eastAsia="宋体"/>
          <w:bCs w:val="0"/>
          <w:lang w:eastAsia="zh-CN"/>
        </w:rPr>
      </w:pPr>
      <w:r/>
      <w:bookmarkStart w:id="123" w:name="_Hlt26670489"/>
      <w:r/>
      <w:bookmarkEnd w:id="123"/>
      <w:r/>
      <w:bookmarkStart w:id="124" w:name="_Hlt26954734"/>
      <w:r/>
      <w:bookmarkEnd w:id="124"/>
      <w:r/>
      <w:bookmarkStart w:id="125" w:name="_Hlt26954850"/>
      <w:r/>
      <w:bookmarkEnd w:id="125"/>
      <w:r/>
      <w:bookmarkStart w:id="126" w:name="_Toc14577360"/>
      <w:r/>
      <w:bookmarkStart w:id="127" w:name="_Toc49090511"/>
      <w:r>
        <w:rPr>
          <w:rFonts w:hint="eastAsia" w:ascii="宋体" w:hAnsi="宋体" w:eastAsia="宋体"/>
          <w:bCs w:val="0"/>
          <w:lang w:eastAsia="zh-CN"/>
        </w:rPr>
        <w:t xml:space="preserve">15.投标有效期</w:t>
      </w:r>
      <w:bookmarkEnd w:id="126"/>
      <w:r/>
      <w:bookmarkEnd w:id="127"/>
      <w:r/>
      <w:r/>
    </w:p>
    <w:p>
      <w:pPr>
        <w:ind w:firstLine="480"/>
        <w:spacing w:line="440" w:lineRule="exact"/>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55"/>
        <w:ind w:firstLine="422"/>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16.投标有效期的延长</w:t>
      </w:r>
      <w:r/>
    </w:p>
    <w:p>
      <w:pPr>
        <w:ind w:firstLine="480"/>
        <w:spacing w:line="440" w:lineRule="exact"/>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54"/>
        <w:ind w:firstLine="454"/>
        <w:jc w:val="left"/>
        <w:keepLines w:val="0"/>
        <w:keepNext w:val="0"/>
        <w:spacing w:before="0" w:after="0" w:line="440" w:lineRule="exact"/>
        <w:widowControl/>
        <w:tabs>
          <w:tab w:val="left" w:pos="720" w:leader="none"/>
        </w:tabs>
        <w:rPr>
          <w:sz w:val="30"/>
          <w:szCs w:val="30"/>
          <w:lang w:eastAsia="zh-CN"/>
        </w:rPr>
      </w:pPr>
      <w:r/>
      <w:bookmarkStart w:id="128" w:name="_Hlt26954852"/>
      <w:r/>
      <w:bookmarkEnd w:id="128"/>
      <w:r/>
      <w:bookmarkStart w:id="129" w:name="_Hlt26954739"/>
      <w:r/>
      <w:bookmarkEnd w:id="129"/>
      <w:r/>
      <w:bookmarkStart w:id="130" w:name="_Toc16938540"/>
      <w:r/>
      <w:bookmarkStart w:id="131" w:name="_Toc20823296"/>
      <w:r/>
      <w:bookmarkStart w:id="132" w:name="_Toc120614217"/>
      <w:r/>
      <w:bookmarkStart w:id="133" w:name="_Toc513029224"/>
      <w:r>
        <w:rPr>
          <w:rFonts w:hint="eastAsia"/>
          <w:sz w:val="30"/>
          <w:szCs w:val="30"/>
          <w:lang w:eastAsia="zh-CN"/>
        </w:rPr>
        <w:t xml:space="preserve">四、投标文件的递交</w:t>
      </w:r>
      <w:bookmarkEnd w:id="130"/>
      <w:r/>
      <w:bookmarkEnd w:id="131"/>
      <w:r/>
      <w:bookmarkEnd w:id="132"/>
      <w:r/>
      <w:bookmarkEnd w:id="133"/>
      <w:r/>
      <w:r/>
    </w:p>
    <w:p>
      <w:pPr>
        <w:pStyle w:val="955"/>
        <w:ind w:firstLine="422"/>
        <w:keepLines w:val="0"/>
        <w:keepNext w:val="0"/>
        <w:spacing w:before="0" w:after="0" w:line="440" w:lineRule="exact"/>
        <w:rPr>
          <w:rFonts w:ascii="宋体" w:hAnsi="宋体" w:eastAsia="宋体"/>
          <w:bCs w:val="0"/>
          <w:lang w:eastAsia="zh-CN"/>
        </w:rPr>
      </w:pPr>
      <w:r/>
      <w:bookmarkStart w:id="134" w:name="_Toc462564084"/>
      <w:r/>
      <w:bookmarkStart w:id="135" w:name="_Toc513029225"/>
      <w:r/>
      <w:bookmarkStart w:id="136" w:name="_Toc16938541"/>
      <w:r/>
      <w:bookmarkStart w:id="137" w:name="_Toc20823297"/>
      <w:r>
        <w:rPr>
          <w:rFonts w:hint="eastAsia" w:ascii="宋体" w:hAnsi="宋体" w:eastAsia="宋体"/>
          <w:bCs w:val="0"/>
          <w:lang w:eastAsia="zh-CN"/>
        </w:rPr>
        <w:t xml:space="preserve">17.投标文件</w:t>
      </w:r>
      <w:bookmarkEnd w:id="134"/>
      <w:r/>
      <w:bookmarkEnd w:id="135"/>
      <w:r/>
      <w:bookmarkEnd w:id="136"/>
      <w:r/>
      <w:bookmarkEnd w:id="137"/>
      <w:r>
        <w:rPr>
          <w:rFonts w:hint="eastAsia" w:ascii="宋体" w:hAnsi="宋体" w:eastAsia="宋体"/>
          <w:bCs w:val="0"/>
          <w:lang w:eastAsia="zh-CN"/>
        </w:rPr>
        <w:t xml:space="preserve">的递交</w:t>
      </w:r>
      <w:r/>
    </w:p>
    <w:p>
      <w:pPr>
        <w:ind w:firstLine="480"/>
        <w:spacing w:line="440" w:lineRule="exact"/>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62"/>
        <w:ind w:firstLine="480"/>
        <w:spacing w:line="440" w:lineRule="exact"/>
        <w:rPr>
          <w:rFonts w:ascii="宋体" w:hAnsi="宋体"/>
          <w:bCs/>
          <w:sz w:val="24"/>
        </w:rPr>
      </w:pPr>
      <w:r>
        <w:rPr>
          <w:rFonts w:hint="eastAsia" w:ascii="宋体" w:hAnsi="宋体"/>
          <w:bCs/>
          <w:sz w:val="24"/>
        </w:rPr>
        <w:t xml:space="preserve">投标人应当按照《操作手册》的规定，在投标截止时间前</w:t>
      </w:r>
      <w:r>
        <w:rPr>
          <w:rFonts w:ascii="宋体" w:hAnsi="宋体"/>
          <w:bCs/>
          <w:sz w:val="24"/>
        </w:rPr>
        <w:t xml:space="preserve">制作</w:t>
      </w:r>
      <w:r>
        <w:rPr>
          <w:rFonts w:hint="eastAsia" w:ascii="宋体" w:hAnsi="宋体"/>
          <w:bCs/>
          <w:sz w:val="24"/>
        </w:rPr>
        <w:t xml:space="preserve">并上传电子投标文件。</w:t>
      </w:r>
      <w:bookmarkStart w:id="138" w:name="_Toc20823298"/>
      <w:r/>
      <w:bookmarkStart w:id="139" w:name="_Toc513029226"/>
      <w:r/>
      <w:bookmarkStart w:id="140" w:name="_Toc16938542"/>
      <w:r/>
      <w:r/>
    </w:p>
    <w:p>
      <w:pPr>
        <w:pStyle w:val="955"/>
        <w:ind w:firstLine="422"/>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18.投标截止</w:t>
      </w:r>
      <w:bookmarkEnd w:id="138"/>
      <w:r/>
      <w:bookmarkEnd w:id="139"/>
      <w:r/>
      <w:bookmarkEnd w:id="140"/>
      <w:r>
        <w:rPr>
          <w:rFonts w:hint="eastAsia" w:ascii="宋体" w:hAnsi="宋体" w:eastAsia="宋体"/>
          <w:bCs w:val="0"/>
          <w:lang w:eastAsia="zh-CN"/>
        </w:rPr>
        <w:t xml:space="preserve">时间</w:t>
      </w:r>
      <w:r/>
    </w:p>
    <w:p>
      <w:pPr>
        <w:ind w:firstLine="480"/>
        <w:spacing w:line="440" w:lineRule="exact"/>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440" w:lineRule="exact"/>
        <w:rPr>
          <w:rFonts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440" w:lineRule="exact"/>
        <w:rPr>
          <w:rFonts w:ascii="宋体" w:hAnsi="宋体"/>
          <w:bCs/>
          <w:sz w:val="24"/>
        </w:rPr>
      </w:pPr>
      <w:r>
        <w:rPr>
          <w:rFonts w:hint="eastAsia" w:ascii="宋体" w:hAnsi="宋体"/>
          <w:sz w:val="24"/>
        </w:rPr>
        <w:t xml:space="preserve">18.2</w:t>
      </w:r>
      <w:r>
        <w:rPr>
          <w:rFonts w:hint="eastAsia" w:ascii="宋体" w:hAnsi="宋体"/>
          <w:bCs/>
          <w:sz w:val="24"/>
        </w:rPr>
        <w:t xml:space="preserve">无锡市卫生健康综合服务中心可以按照规定，通过更正公告修改投标截止时间，投标人的所有权利和义务以及投标人受制的截止时间均应以延长后新的截止时间为准。</w:t>
      </w:r>
      <w:r/>
    </w:p>
    <w:p>
      <w:pPr>
        <w:pStyle w:val="955"/>
        <w:ind w:firstLine="422"/>
        <w:keepLines w:val="0"/>
        <w:keepNext w:val="0"/>
        <w:spacing w:before="0" w:after="0" w:line="440" w:lineRule="exact"/>
        <w:rPr>
          <w:rFonts w:ascii="宋体" w:hAnsi="宋体" w:eastAsia="宋体"/>
          <w:bCs w:val="0"/>
          <w:lang w:eastAsia="zh-CN"/>
        </w:rPr>
      </w:pPr>
      <w:r/>
      <w:bookmarkStart w:id="141" w:name="_Toc16938543"/>
      <w:r/>
      <w:bookmarkStart w:id="142" w:name="_Toc20823299"/>
      <w:r/>
      <w:bookmarkStart w:id="143" w:name="_Toc513029227"/>
      <w:r>
        <w:rPr>
          <w:rFonts w:hint="eastAsia" w:ascii="宋体" w:hAnsi="宋体" w:eastAsia="宋体"/>
          <w:bCs w:val="0"/>
          <w:lang w:eastAsia="zh-CN"/>
        </w:rPr>
        <w:t xml:space="preserve">19.投标文件</w:t>
      </w:r>
      <w:bookmarkEnd w:id="141"/>
      <w:r/>
      <w:bookmarkEnd w:id="142"/>
      <w:r/>
      <w:bookmarkEnd w:id="143"/>
      <w:r>
        <w:rPr>
          <w:rFonts w:hint="eastAsia" w:ascii="宋体" w:hAnsi="宋体" w:eastAsia="宋体"/>
          <w:bCs w:val="0"/>
          <w:lang w:eastAsia="zh-CN"/>
        </w:rPr>
        <w:t xml:space="preserve">的拒收</w:t>
      </w:r>
      <w:r/>
    </w:p>
    <w:p>
      <w:pPr>
        <w:ind w:firstLine="480"/>
        <w:spacing w:line="440" w:lineRule="exact"/>
        <w:rPr>
          <w:rFonts w:ascii="宋体" w:hAnsi="宋体"/>
          <w:bCs/>
          <w:sz w:val="24"/>
        </w:rPr>
      </w:pPr>
      <w:r>
        <w:rPr>
          <w:rFonts w:hint="eastAsia" w:ascii="宋体" w:hAnsi="宋体"/>
          <w:sz w:val="24"/>
        </w:rPr>
        <w:t xml:space="preserve">19.1</w:t>
      </w:r>
      <w:r>
        <w:rPr>
          <w:rFonts w:hint="eastAsia" w:ascii="宋体" w:hAnsi="宋体"/>
          <w:bCs/>
          <w:sz w:val="24"/>
        </w:rPr>
        <w:t xml:space="preserve">无锡市卫生健康综合服务中心拒绝接收在其规定的投标截止时间后上传的任何投标文件。</w:t>
      </w:r>
      <w:r/>
    </w:p>
    <w:p>
      <w:pPr>
        <w:pStyle w:val="955"/>
        <w:ind w:firstLine="422"/>
        <w:keepLines w:val="0"/>
        <w:keepNext w:val="0"/>
        <w:spacing w:before="0" w:after="0" w:line="440" w:lineRule="exact"/>
        <w:rPr>
          <w:rFonts w:ascii="宋体" w:hAnsi="宋体" w:eastAsia="宋体"/>
          <w:bCs w:val="0"/>
          <w:lang w:eastAsia="zh-CN"/>
        </w:rPr>
      </w:pPr>
      <w:r/>
      <w:bookmarkStart w:id="144" w:name="_Toc20823300"/>
      <w:r/>
      <w:bookmarkStart w:id="145" w:name="_Toc513029228"/>
      <w:r/>
      <w:bookmarkStart w:id="146" w:name="_Toc16938544"/>
      <w:r>
        <w:rPr>
          <w:rFonts w:hint="eastAsia" w:ascii="宋体" w:hAnsi="宋体" w:eastAsia="宋体"/>
          <w:bCs w:val="0"/>
          <w:lang w:eastAsia="zh-CN"/>
        </w:rPr>
        <w:t xml:space="preserve">20.投标文件的撤回和修改</w:t>
      </w:r>
      <w:bookmarkEnd w:id="144"/>
      <w:r/>
      <w:bookmarkEnd w:id="145"/>
      <w:r/>
      <w:bookmarkEnd w:id="146"/>
      <w:r/>
      <w:r/>
    </w:p>
    <w:p>
      <w:pPr>
        <w:ind w:firstLine="480"/>
        <w:spacing w:line="440" w:lineRule="exact"/>
        <w:rPr>
          <w:rFonts w:ascii="宋体" w:hAnsi="宋体"/>
          <w:sz w:val="24"/>
        </w:rPr>
      </w:pPr>
      <w:r>
        <w:rPr>
          <w:rFonts w:hint="eastAsia" w:ascii="宋体" w:hAnsi="宋体"/>
          <w:sz w:val="24"/>
        </w:rPr>
        <w:t xml:space="preserve">20.1投标文件的撤回</w:t>
      </w:r>
      <w:r/>
    </w:p>
    <w:p>
      <w:pPr>
        <w:ind w:firstLine="480"/>
        <w:spacing w:line="440" w:lineRule="exact"/>
        <w:rPr>
          <w:rFonts w:ascii="宋体" w:hAnsi="宋体"/>
          <w:sz w:val="24"/>
        </w:rPr>
      </w:pPr>
      <w:r>
        <w:rPr>
          <w:rFonts w:hint="eastAsia" w:ascii="宋体" w:hAnsi="宋体"/>
          <w:sz w:val="24"/>
        </w:rPr>
        <w:t xml:space="preserve">20.1.1电子投标文件的撤回</w:t>
      </w:r>
      <w:r/>
    </w:p>
    <w:p>
      <w:pPr>
        <w:ind w:firstLine="480"/>
        <w:spacing w:line="44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4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440" w:lineRule="exact"/>
        <w:rPr>
          <w:rFonts w:ascii="宋体" w:hAnsi="宋体"/>
          <w:sz w:val="24"/>
          <w:szCs w:val="24"/>
        </w:rPr>
      </w:pPr>
      <w:r>
        <w:rPr>
          <w:rFonts w:hint="eastAsia" w:ascii="宋体" w:hAnsi="宋体"/>
          <w:sz w:val="24"/>
          <w:szCs w:val="24"/>
        </w:rPr>
        <w:t xml:space="preserve">20.2投标文件的修改</w:t>
      </w:r>
      <w:r/>
    </w:p>
    <w:p>
      <w:pPr>
        <w:ind w:firstLine="480"/>
        <w:spacing w:line="44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440" w:lineRule="exact"/>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440" w:lineRule="exact"/>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54"/>
        <w:ind w:firstLine="454"/>
        <w:jc w:val="left"/>
        <w:keepLines w:val="0"/>
        <w:keepNext w:val="0"/>
        <w:spacing w:before="0" w:after="0" w:line="440" w:lineRule="exact"/>
        <w:widowControl/>
        <w:tabs>
          <w:tab w:val="left" w:pos="720" w:leader="none"/>
        </w:tabs>
        <w:rPr>
          <w:sz w:val="30"/>
          <w:szCs w:val="30"/>
          <w:lang w:eastAsia="zh-CN"/>
        </w:rPr>
      </w:pPr>
      <w:r/>
      <w:bookmarkStart w:id="147" w:name="_Toc513029229"/>
      <w:r/>
      <w:bookmarkStart w:id="148" w:name="_Toc20823301"/>
      <w:r/>
      <w:bookmarkStart w:id="149" w:name="_Toc120614218"/>
      <w:r/>
      <w:bookmarkStart w:id="150" w:name="_Toc16938545"/>
      <w:r>
        <w:rPr>
          <w:rFonts w:hint="eastAsia"/>
          <w:sz w:val="30"/>
          <w:szCs w:val="30"/>
          <w:lang w:eastAsia="zh-CN"/>
        </w:rPr>
        <w:t xml:space="preserve">五、开标与评标</w:t>
      </w:r>
      <w:bookmarkEnd w:id="147"/>
      <w:r/>
      <w:bookmarkEnd w:id="148"/>
      <w:r/>
      <w:bookmarkEnd w:id="149"/>
      <w:r/>
      <w:bookmarkEnd w:id="150"/>
      <w:r/>
      <w:r/>
    </w:p>
    <w:p>
      <w:pPr>
        <w:pStyle w:val="955"/>
        <w:ind w:firstLine="422"/>
        <w:keepLines w:val="0"/>
        <w:keepNext w:val="0"/>
        <w:spacing w:before="0" w:after="0" w:line="440" w:lineRule="exact"/>
        <w:rPr>
          <w:rFonts w:ascii="宋体" w:hAnsi="宋体" w:eastAsia="宋体"/>
          <w:bCs w:val="0"/>
          <w:lang w:eastAsia="zh-CN"/>
        </w:rPr>
      </w:pPr>
      <w:r/>
      <w:bookmarkStart w:id="151" w:name="_Toc513029230"/>
      <w:r/>
      <w:bookmarkStart w:id="152" w:name="_Toc16938546"/>
      <w:r/>
      <w:bookmarkStart w:id="153" w:name="_Toc20823302"/>
      <w:r>
        <w:rPr>
          <w:rFonts w:hint="eastAsia" w:ascii="宋体" w:hAnsi="宋体" w:eastAsia="宋体"/>
          <w:bCs w:val="0"/>
          <w:lang w:eastAsia="zh-CN"/>
        </w:rPr>
        <w:t xml:space="preserve">21.开标</w:t>
      </w:r>
      <w:bookmarkEnd w:id="151"/>
      <w:r/>
      <w:bookmarkEnd w:id="152"/>
      <w:r/>
      <w:bookmarkEnd w:id="153"/>
      <w:r/>
      <w:r/>
    </w:p>
    <w:p>
      <w:pPr>
        <w:ind w:firstLine="480"/>
        <w:spacing w:line="440" w:lineRule="exact"/>
      </w:pPr>
      <w:r>
        <w:rPr>
          <w:rFonts w:hint="eastAsia" w:ascii="宋体" w:hAnsi="宋体"/>
          <w:sz w:val="24"/>
        </w:rPr>
        <w:t xml:space="preserve">21.1</w:t>
      </w:r>
      <w:r>
        <w:rPr>
          <w:rFonts w:hint="eastAsia" w:ascii="宋体" w:hAnsi="宋体"/>
          <w:bCs/>
          <w:sz w:val="24"/>
        </w:rPr>
        <w:t xml:space="preserve">无锡市卫生健康综合服务中心将在招标公告中规定的时间和地点组织公开开标</w:t>
      </w:r>
      <w:r>
        <w:rPr>
          <w:rFonts w:hint="eastAsia" w:ascii="宋体" w:hAnsi="宋体"/>
          <w:sz w:val="24"/>
          <w:szCs w:val="24"/>
        </w:rPr>
        <w:t xml:space="preserve">。投标人应当按照《操作手册》的规定，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440" w:lineRule="exact"/>
        <w:rPr>
          <w:rFonts w:ascii="宋体" w:hAnsi="宋体"/>
          <w:sz w:val="24"/>
        </w:rPr>
      </w:pPr>
      <w:r>
        <w:rPr>
          <w:rFonts w:hint="eastAsia" w:ascii="宋体" w:hAnsi="宋体"/>
          <w:sz w:val="24"/>
        </w:rPr>
        <w:t xml:space="preserve">21.2开标仪式由无锡市卫生健康综合服务中心组织。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440" w:lineRule="exact"/>
        <w:rPr>
          <w:rFonts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44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955"/>
        <w:ind w:firstLine="422"/>
        <w:keepLines w:val="0"/>
        <w:keepNext w:val="0"/>
        <w:spacing w:before="0" w:after="0" w:line="440" w:lineRule="exact"/>
        <w:rPr>
          <w:rFonts w:ascii="宋体" w:hAnsi="宋体" w:eastAsia="宋体"/>
          <w:bCs w:val="0"/>
          <w:lang w:eastAsia="zh-CN"/>
        </w:rPr>
      </w:pPr>
      <w:r/>
      <w:bookmarkStart w:id="154" w:name="_Toc20823303"/>
      <w:r/>
      <w:bookmarkStart w:id="155" w:name="_Toc16938547"/>
      <w:r/>
      <w:bookmarkStart w:id="156" w:name="_Toc513029231"/>
      <w:r>
        <w:rPr>
          <w:rFonts w:hint="eastAsia" w:ascii="宋体" w:hAnsi="宋体" w:eastAsia="宋体"/>
          <w:bCs w:val="0"/>
          <w:lang w:eastAsia="zh-CN"/>
        </w:rPr>
        <w:t xml:space="preserve">22.评标委员会</w:t>
      </w:r>
      <w:r/>
    </w:p>
    <w:p>
      <w:pPr>
        <w:ind w:firstLine="480"/>
        <w:spacing w:line="440" w:lineRule="exact"/>
        <w:rPr>
          <w:rFonts w:ascii="宋体" w:hAnsi="宋体"/>
          <w:b/>
          <w:sz w:val="24"/>
          <w:szCs w:val="24"/>
        </w:rPr>
      </w:pPr>
      <w:r>
        <w:rPr>
          <w:rFonts w:hint="eastAsia" w:ascii="宋体" w:hAnsi="宋体"/>
          <w:sz w:val="24"/>
          <w:szCs w:val="24"/>
        </w:rPr>
        <w:t xml:space="preserve">22.1开标后，无锡市卫生健康综合服务中心将立即组织评标委员会（以下简称评委会）进行评标。</w:t>
      </w:r>
      <w:r/>
    </w:p>
    <w:p>
      <w:pPr>
        <w:ind w:firstLine="480"/>
        <w:spacing w:line="440" w:lineRule="exact"/>
        <w:rPr>
          <w:rFonts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440" w:lineRule="exact"/>
        <w:rPr>
          <w:rFonts w:ascii="宋体" w:hAnsi="宋体"/>
          <w:sz w:val="24"/>
          <w:szCs w:val="24"/>
        </w:rPr>
      </w:pPr>
      <w:r>
        <w:rPr>
          <w:rFonts w:hint="eastAsia" w:ascii="宋体" w:hAnsi="宋体"/>
          <w:sz w:val="24"/>
          <w:szCs w:val="24"/>
        </w:rPr>
        <w:t xml:space="preserve">22.3评委会独立工作，负责评审所有投标文件并确定中标候选人。</w:t>
      </w:r>
      <w:r/>
    </w:p>
    <w:p>
      <w:pPr>
        <w:pStyle w:val="955"/>
        <w:ind w:firstLine="422"/>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23.评标过程的保密与公正</w:t>
      </w:r>
      <w:bookmarkEnd w:id="154"/>
      <w:r/>
      <w:bookmarkEnd w:id="155"/>
      <w:r/>
      <w:bookmarkEnd w:id="156"/>
      <w:r/>
      <w:r/>
    </w:p>
    <w:p>
      <w:pPr>
        <w:ind w:firstLine="480"/>
        <w:spacing w:line="44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凡是与审查、澄清、评价和比较投标的有关资料以及授标建议等，采购人、评委、无锡市卫生健康综合服务中心均不得向投标人或与评标无关的其他人员透露。</w:t>
      </w:r>
      <w:r/>
    </w:p>
    <w:p>
      <w:pPr>
        <w:ind w:firstLine="480"/>
        <w:spacing w:line="44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4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无锡市卫生健康综合服务中心和评标委员会不向未中标的投标人解释未中标原因，也不公布评标过程中的相关细节。</w:t>
      </w:r>
      <w:r/>
    </w:p>
    <w:p>
      <w:pPr>
        <w:ind w:firstLine="480"/>
        <w:spacing w:line="440" w:lineRule="exact"/>
        <w:rPr>
          <w:rFonts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955"/>
        <w:ind w:firstLine="422"/>
        <w:keepLines w:val="0"/>
        <w:keepNext w:val="0"/>
        <w:spacing w:before="0" w:after="0" w:line="440" w:lineRule="exact"/>
        <w:rPr>
          <w:rFonts w:ascii="宋体" w:hAnsi="宋体" w:eastAsia="宋体"/>
          <w:bCs w:val="0"/>
          <w:lang w:eastAsia="zh-CN"/>
        </w:rPr>
      </w:pPr>
      <w:r/>
      <w:bookmarkStart w:id="157" w:name="_Toc513029232"/>
      <w:r/>
      <w:bookmarkStart w:id="158" w:name="_Toc20823304"/>
      <w:r/>
      <w:bookmarkStart w:id="159" w:name="_Toc16938548"/>
      <w:r>
        <w:rPr>
          <w:rFonts w:hint="eastAsia" w:ascii="宋体" w:hAnsi="宋体" w:eastAsia="宋体"/>
          <w:bCs w:val="0"/>
          <w:lang w:eastAsia="zh-CN"/>
        </w:rPr>
        <w:t xml:space="preserve">24.投标文件的澄清</w:t>
      </w:r>
      <w:bookmarkEnd w:id="157"/>
      <w:r/>
      <w:bookmarkEnd w:id="158"/>
      <w:r/>
      <w:bookmarkEnd w:id="159"/>
      <w:r/>
      <w:r/>
    </w:p>
    <w:p>
      <w:pPr>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4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4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440" w:lineRule="exact"/>
        <w:rPr>
          <w:rFonts w:ascii="宋体" w:hAnsi="宋体"/>
          <w:sz w:val="24"/>
          <w:szCs w:val="24"/>
        </w:rPr>
      </w:pPr>
      <w:r>
        <w:rPr>
          <w:rFonts w:hint="eastAsia" w:ascii="宋体" w:hAnsi="宋体"/>
          <w:sz w:val="24"/>
          <w:szCs w:val="24"/>
        </w:rPr>
        <w:t xml:space="preserve">24.3接到评委会澄清、说明和补正要求的投标人如未按规定及时作出澄清、说明和补正，其风险由投标人自行承担。</w:t>
      </w:r>
      <w:r/>
    </w:p>
    <w:p>
      <w:pPr>
        <w:pStyle w:val="955"/>
        <w:ind w:firstLine="422"/>
        <w:keepLines w:val="0"/>
        <w:keepNext w:val="0"/>
        <w:spacing w:before="0" w:after="0" w:line="440" w:lineRule="exact"/>
        <w:rPr>
          <w:rFonts w:ascii="宋体" w:hAnsi="宋体" w:eastAsia="宋体"/>
          <w:bCs w:val="0"/>
          <w:lang w:eastAsia="zh-CN"/>
        </w:rPr>
      </w:pPr>
      <w:r/>
      <w:bookmarkStart w:id="160" w:name="_Toc513029233"/>
      <w:r/>
      <w:bookmarkStart w:id="161" w:name="_Toc16938549"/>
      <w:r/>
      <w:bookmarkStart w:id="162" w:name="_Toc20823305"/>
      <w:r>
        <w:rPr>
          <w:rFonts w:hint="eastAsia" w:ascii="宋体" w:hAnsi="宋体" w:eastAsia="宋体"/>
          <w:bCs w:val="0"/>
          <w:lang w:eastAsia="zh-CN"/>
        </w:rPr>
        <w:t xml:space="preserve">25.对投标文件的初审</w:t>
      </w:r>
      <w:bookmarkEnd w:id="160"/>
      <w:r/>
      <w:bookmarkEnd w:id="161"/>
      <w:r/>
      <w:bookmarkEnd w:id="162"/>
      <w:r/>
      <w:r/>
    </w:p>
    <w:p>
      <w:pPr>
        <w:ind w:firstLine="480"/>
        <w:spacing w:line="44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40" w:lineRule="exact"/>
        <w:rPr>
          <w:rFonts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440" w:lineRule="exact"/>
        <w:rPr>
          <w:rFonts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44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40" w:lineRule="exact"/>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4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44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4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4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4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4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4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4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80"/>
        <w:spacing w:line="440" w:lineRule="exact"/>
        <w:rPr>
          <w:rFonts w:ascii="宋体" w:hAnsi="宋体"/>
          <w:bCs/>
          <w:sz w:val="24"/>
        </w:rPr>
      </w:pPr>
      <w:r>
        <w:rPr>
          <w:rFonts w:hint="eastAsia" w:ascii="宋体" w:hAnsi="宋体"/>
          <w:bCs/>
          <w:sz w:val="24"/>
        </w:rPr>
        <w:t xml:space="preserve">25.6政府采购异常低价审查</w:t>
      </w:r>
      <w:r/>
    </w:p>
    <w:p>
      <w:pPr>
        <w:ind w:firstLine="480"/>
        <w:spacing w:line="440" w:lineRule="exact"/>
        <w:rPr>
          <w:rFonts w:ascii="宋体" w:hAnsi="宋体"/>
          <w:bCs/>
          <w:sz w:val="24"/>
        </w:rPr>
      </w:pPr>
      <w:r>
        <w:rPr>
          <w:rFonts w:hint="eastAsia" w:ascii="宋体" w:hAnsi="宋体"/>
          <w:bCs/>
          <w:sz w:val="24"/>
        </w:rPr>
        <w:t xml:space="preserve">25.6.1政府采购评审中出现下列情形之一的，评审委员会应当启动异常低价投标（响应）审查程序：</w:t>
      </w:r>
      <w:r/>
    </w:p>
    <w:p>
      <w:pPr>
        <w:ind w:firstLine="480"/>
        <w:spacing w:line="440" w:lineRule="exact"/>
        <w:rPr>
          <w:rFonts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p>
    <w:p>
      <w:pPr>
        <w:ind w:firstLine="480"/>
        <w:spacing w:line="440" w:lineRule="exact"/>
        <w:rPr>
          <w:rFonts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ascii="宋体" w:hAnsi="宋体"/>
          <w:bCs/>
          <w:sz w:val="24"/>
        </w:rPr>
      </w:pPr>
      <w:r>
        <w:rPr>
          <w:rFonts w:hint="eastAsia" w:ascii="宋体" w:hAnsi="宋体"/>
          <w:bCs/>
          <w:sz w:val="24"/>
        </w:rPr>
        <w:t xml:space="preserve">3.投标（响应）报价低于采购项目最高限价45%的，即投标（响应）报价&lt;采购项目最高限价×45%；</w:t>
      </w:r>
      <w:r/>
    </w:p>
    <w:p>
      <w:pPr>
        <w:ind w:firstLine="480"/>
        <w:spacing w:line="440" w:lineRule="exact"/>
        <w:rPr>
          <w:rFonts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ind w:firstLine="480"/>
        <w:spacing w:line="440" w:lineRule="exact"/>
        <w:rPr>
          <w:rFonts w:ascii="宋体" w:hAnsi="宋体"/>
          <w:bCs/>
          <w:sz w:val="24"/>
        </w:rPr>
      </w:pPr>
      <w:r>
        <w:rPr>
          <w:rFonts w:hint="eastAsia" w:ascii="宋体" w:hAnsi="宋体"/>
          <w:bCs/>
          <w:sz w:val="24"/>
        </w:rPr>
        <w:t xml:space="preserve">相关法律法规对供应商报价有规定的，从其规定。</w:t>
      </w:r>
      <w:r/>
    </w:p>
    <w:p>
      <w:pPr>
        <w:ind w:firstLine="480"/>
        <w:spacing w:line="500" w:lineRule="exact"/>
        <w:rPr>
          <w:rFonts w:ascii="宋体" w:hAnsi="宋体"/>
          <w:bCs/>
          <w:sz w:val="24"/>
        </w:rPr>
      </w:pPr>
      <w:r>
        <w:rPr>
          <w:rFonts w:hint="eastAsia" w:ascii="宋体" w:hAnsi="宋体"/>
          <w:bCs/>
          <w:sz w:val="24"/>
        </w:rPr>
        <w:t xml:space="preserve">如果项目或采购包存在有分项价格最高限价要求或单价最高限价（最高限制单价）要求时，有上述情形的，应当启动异常低价投标（响应）审查程序。</w:t>
      </w:r>
      <w:r/>
    </w:p>
    <w:p>
      <w:pPr>
        <w:ind w:firstLine="480"/>
        <w:spacing w:line="440" w:lineRule="exact"/>
        <w:rPr>
          <w:rFonts w:ascii="宋体" w:hAnsi="宋体"/>
          <w:bCs/>
          <w:sz w:val="24"/>
        </w:rPr>
      </w:pPr>
      <w:r>
        <w:rPr>
          <w:rFonts w:hint="eastAsia" w:ascii="宋体" w:hAnsi="宋体"/>
          <w:bCs/>
          <w:sz w:val="24"/>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ascii="宋体" w:hAnsi="宋体"/>
          <w:bCs/>
          <w:sz w:val="24"/>
        </w:rPr>
      </w:pPr>
      <w:r>
        <w:rPr>
          <w:rFonts w:hint="eastAsia" w:ascii="宋体" w:hAnsi="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ascii="宋体" w:hAnsi="宋体"/>
          <w:bCs/>
          <w:sz w:val="24"/>
        </w:rPr>
      </w:pPr>
      <w:r>
        <w:rPr>
          <w:rFonts w:hint="eastAsia" w:ascii="宋体" w:hAnsi="宋体"/>
          <w:bCs/>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40" w:lineRule="exact"/>
        <w:rPr>
          <w:rFonts w:ascii="宋体" w:hAnsi="宋体"/>
          <w:sz w:val="24"/>
        </w:rPr>
      </w:pPr>
      <w:r/>
      <w:bookmarkStart w:id="163" w:name="_Toc513029234"/>
      <w:r/>
      <w:bookmarkStart w:id="164" w:name="_Toc20823306"/>
      <w:r/>
      <w:bookmarkStart w:id="165" w:name="_Toc16938550"/>
      <w:r>
        <w:rPr>
          <w:rFonts w:hint="eastAsia" w:ascii="宋体" w:hAnsi="宋体"/>
          <w:sz w:val="24"/>
        </w:rPr>
        <w:t xml:space="preserve">25.7投标人在开、评标全过程中应保持通信畅通，及时登录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55"/>
        <w:ind w:firstLine="422"/>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26</w:t>
      </w:r>
      <w:bookmarkEnd w:id="163"/>
      <w:r/>
      <w:bookmarkEnd w:id="164"/>
      <w:r/>
      <w:bookmarkEnd w:id="165"/>
      <w:r>
        <w:rPr>
          <w:rFonts w:hint="eastAsia" w:ascii="宋体" w:hAnsi="宋体" w:eastAsia="宋体"/>
          <w:bCs w:val="0"/>
          <w:lang w:eastAsia="zh-CN"/>
        </w:rPr>
        <w:t xml:space="preserve">.无效投标条款和废标条款</w:t>
      </w:r>
      <w:r/>
    </w:p>
    <w:p>
      <w:pPr>
        <w:ind w:left="479"/>
        <w:spacing w:line="440" w:lineRule="exact"/>
        <w:rPr>
          <w:rFonts w:ascii="宋体" w:hAnsi="宋体"/>
          <w:bCs/>
          <w:sz w:val="24"/>
        </w:rPr>
      </w:pPr>
      <w:r/>
      <w:bookmarkStart w:id="166" w:name="_Toc16938551"/>
      <w:r/>
      <w:bookmarkStart w:id="167" w:name="_Toc20823307"/>
      <w:r/>
      <w:bookmarkStart w:id="168" w:name="_Toc513029235"/>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440" w:lineRule="exact"/>
        <w:rPr>
          <w:rFonts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440" w:lineRule="exact"/>
        <w:rPr>
          <w:rFonts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440" w:lineRule="exact"/>
        <w:rPr>
          <w:rFonts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440" w:lineRule="exact"/>
        <w:rPr>
          <w:rFonts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440" w:lineRule="exact"/>
        <w:rPr>
          <w:rFonts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440" w:lineRule="exact"/>
        <w:rPr>
          <w:rFonts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440" w:lineRule="exact"/>
        <w:rPr>
          <w:rFonts w:ascii="宋体" w:hAnsi="宋体"/>
          <w:bCs/>
          <w:sz w:val="24"/>
          <w:szCs w:val="24"/>
        </w:rPr>
      </w:pPr>
      <w:r>
        <w:rPr>
          <w:rFonts w:hint="eastAsia" w:ascii="宋体" w:hAnsi="宋体"/>
          <w:sz w:val="24"/>
          <w:szCs w:val="24"/>
        </w:rPr>
        <w:t xml:space="preserve">26.1.8投标人被“信用中国”网站（</w:t>
      </w:r>
      <w:r>
        <w:rPr>
          <w:rFonts w:hint="eastAsia"/>
        </w:rPr>
        <w:fldChar w:fldCharType="begin"/>
      </w:r>
      <w:r>
        <w:instrText xml:space="preserve"> HYPERLINK "http://www.creditchina.gov.cn" </w:instrText>
      </w:r>
      <w:r>
        <w:rPr>
          <w:rFonts w:hint="eastAsia"/>
        </w:rP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440" w:lineRule="exact"/>
        <w:rPr>
          <w:rFonts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440" w:lineRule="exact"/>
        <w:rPr>
          <w:rFonts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项目（标项、标段、分包）投标总价超过本项目（标项、标段、分包）预算或最高限价的。</w:t>
      </w:r>
      <w:r/>
    </w:p>
    <w:p>
      <w:pPr>
        <w:ind w:firstLine="480"/>
        <w:spacing w:line="440" w:lineRule="exact"/>
        <w:rPr>
          <w:rFonts w:ascii="宋体" w:hAnsi="宋体"/>
          <w:bCs/>
          <w:sz w:val="24"/>
          <w:szCs w:val="24"/>
        </w:rPr>
      </w:pPr>
      <w:r>
        <w:rPr>
          <w:rFonts w:hint="eastAsia" w:ascii="宋体" w:hAnsi="宋体"/>
          <w:bCs/>
          <w:sz w:val="24"/>
          <w:szCs w:val="24"/>
        </w:rPr>
        <w:t xml:space="preserve">26.1.11未通过符合性审查的。</w:t>
      </w:r>
      <w:r/>
    </w:p>
    <w:p>
      <w:pPr>
        <w:ind w:firstLine="480"/>
        <w:spacing w:line="440" w:lineRule="exact"/>
        <w:rPr>
          <w:rFonts w:ascii="宋体" w:hAnsi="宋体"/>
          <w:bCs/>
          <w:sz w:val="24"/>
          <w:szCs w:val="24"/>
        </w:rPr>
      </w:pPr>
      <w:r>
        <w:rPr>
          <w:rFonts w:hint="eastAsia" w:ascii="宋体" w:hAnsi="宋体"/>
          <w:bCs/>
          <w:sz w:val="24"/>
          <w:szCs w:val="24"/>
        </w:rPr>
        <w:t xml:space="preserve">26.1.12电子投标文件图片、字迹模糊不清、无法辨认导致无法评审的。</w:t>
      </w:r>
      <w:r/>
    </w:p>
    <w:p>
      <w:pPr>
        <w:ind w:firstLine="480"/>
        <w:spacing w:line="440" w:lineRule="exact"/>
        <w:rPr>
          <w:rFonts w:ascii="宋体" w:hAnsi="宋体"/>
          <w:bCs/>
          <w:sz w:val="24"/>
          <w:szCs w:val="24"/>
        </w:rPr>
      </w:pPr>
      <w:r>
        <w:rPr>
          <w:rFonts w:hint="eastAsia" w:ascii="宋体" w:hAnsi="宋体"/>
          <w:bCs/>
          <w:sz w:val="24"/>
          <w:szCs w:val="24"/>
        </w:rPr>
        <w:t xml:space="preserve">26.1.13投标文件中有招标文件未允许提供的选择性内容。</w:t>
      </w:r>
      <w:r/>
    </w:p>
    <w:p>
      <w:pPr>
        <w:ind w:firstLine="480"/>
        <w:spacing w:line="440" w:lineRule="exact"/>
        <w:rPr>
          <w:rFonts w:ascii="宋体" w:hAnsi="宋体"/>
          <w:bCs/>
          <w:sz w:val="24"/>
          <w:szCs w:val="24"/>
        </w:rPr>
      </w:pPr>
      <w:r>
        <w:rPr>
          <w:rFonts w:hint="eastAsia" w:ascii="宋体" w:hAnsi="宋体"/>
          <w:bCs/>
          <w:sz w:val="24"/>
        </w:rPr>
        <w:t xml:space="preserve">26.1.14</w:t>
      </w:r>
      <w:r>
        <w:rPr>
          <w:rFonts w:hint="eastAsia" w:ascii="宋体" w:hAnsi="宋体"/>
          <w:bCs/>
          <w:sz w:val="24"/>
          <w:szCs w:val="24"/>
        </w:rPr>
        <w:t xml:space="preserve">不同投标人委托同一单位或者个人办理投标事宜的。</w:t>
      </w:r>
      <w:r/>
    </w:p>
    <w:p>
      <w:pPr>
        <w:ind w:firstLine="480"/>
        <w:spacing w:line="440" w:lineRule="exact"/>
        <w:rPr>
          <w:rFonts w:ascii="宋体" w:hAnsi="宋体"/>
          <w:bCs/>
          <w:sz w:val="24"/>
        </w:rPr>
      </w:pPr>
      <w:r>
        <w:rPr>
          <w:rFonts w:hint="eastAsia" w:ascii="宋体" w:hAnsi="宋体"/>
          <w:bCs/>
          <w:sz w:val="24"/>
        </w:rPr>
        <w:t xml:space="preserve">26.1.15</w:t>
      </w:r>
      <w:r>
        <w:rPr>
          <w:rFonts w:hint="eastAsia" w:ascii="宋体" w:hAnsi="宋体"/>
          <w:bCs/>
          <w:sz w:val="24"/>
          <w:szCs w:val="24"/>
        </w:rPr>
        <w:t xml:space="preserve">不同投标人的单位负责人为同一人或者存在直接控股、管理关系的。</w:t>
      </w:r>
      <w:r/>
    </w:p>
    <w:p>
      <w:pPr>
        <w:ind w:firstLine="480"/>
        <w:spacing w:line="440" w:lineRule="exact"/>
        <w:rPr>
          <w:rFonts w:ascii="宋体" w:hAnsi="宋体"/>
          <w:bCs/>
          <w:sz w:val="24"/>
          <w:szCs w:val="24"/>
        </w:rPr>
      </w:pPr>
      <w:r>
        <w:rPr>
          <w:rFonts w:hint="eastAsia" w:ascii="宋体" w:hAnsi="宋体"/>
          <w:bCs/>
          <w:sz w:val="24"/>
          <w:szCs w:val="24"/>
        </w:rPr>
        <w:t xml:space="preserve">26.1.16不同投标人的投标文件的装订形式、纸张情况、目录序号、排版格式、文字风格等存在明显的相似性或一致性，特征显示由同一单位或者同一个人编制的。</w:t>
      </w:r>
      <w:r/>
    </w:p>
    <w:p>
      <w:pPr>
        <w:ind w:firstLine="480"/>
        <w:spacing w:line="440" w:lineRule="exact"/>
        <w:rPr>
          <w:rFonts w:ascii="宋体" w:hAnsi="宋体"/>
          <w:bCs/>
          <w:sz w:val="24"/>
          <w:szCs w:val="24"/>
        </w:rPr>
      </w:pPr>
      <w:r>
        <w:rPr>
          <w:rFonts w:hint="eastAsia" w:ascii="宋体" w:hAnsi="宋体"/>
          <w:bCs/>
          <w:sz w:val="24"/>
          <w:szCs w:val="24"/>
        </w:rPr>
        <w:t xml:space="preserve">26.1.17不同投标人投标文件内容存在非正常一致、项目组成员出现同一人、投标文件中错误（或异常）一致或雷同、电子文档信息一致或雷同的、投标报价呈规律性差异的。</w:t>
      </w:r>
      <w:r/>
    </w:p>
    <w:p>
      <w:pPr>
        <w:ind w:firstLine="480"/>
        <w:spacing w:line="440" w:lineRule="exact"/>
        <w:rPr>
          <w:rFonts w:ascii="宋体" w:hAnsi="宋体"/>
          <w:bCs/>
          <w:sz w:val="24"/>
        </w:rPr>
      </w:pPr>
      <w:r>
        <w:rPr>
          <w:rFonts w:hint="eastAsia" w:ascii="宋体" w:hAnsi="宋体"/>
          <w:bCs/>
          <w:sz w:val="24"/>
        </w:rPr>
        <w:t xml:space="preserve">26.1.18不同投标人的投标资料相互混装、不同投标人的委托代理人、项目负责人以及其他相关人员有在同一个单位缴纳社会保险、同一投标文件中单位名称落款与公章不是同一单位的。</w:t>
      </w:r>
      <w:r/>
    </w:p>
    <w:p>
      <w:pPr>
        <w:ind w:firstLine="480"/>
        <w:spacing w:line="440" w:lineRule="exact"/>
        <w:rPr>
          <w:rFonts w:ascii="宋体" w:hAnsi="宋体"/>
          <w:bCs/>
          <w:sz w:val="24"/>
        </w:rPr>
      </w:pPr>
      <w:r>
        <w:rPr>
          <w:rFonts w:hint="eastAsia" w:ascii="宋体" w:hAnsi="宋体"/>
          <w:bCs/>
          <w:sz w:val="24"/>
        </w:rPr>
        <w:t xml:space="preserve">26.1.19</w:t>
      </w:r>
      <w:r>
        <w:rPr>
          <w:rFonts w:hint="eastAsia" w:ascii="宋体" w:hAnsi="宋体"/>
          <w:bCs/>
          <w:sz w:val="24"/>
          <w:szCs w:val="24"/>
        </w:rPr>
        <w:t xml:space="preserve">提供虚假材料的（包括工商营业执照、财务报表、资格证明文件等）。</w:t>
      </w:r>
      <w:r/>
    </w:p>
    <w:p>
      <w:pPr>
        <w:ind w:firstLine="480"/>
        <w:spacing w:line="440" w:lineRule="exact"/>
        <w:rPr>
          <w:rFonts w:ascii="宋体" w:hAnsi="宋体"/>
          <w:bCs/>
          <w:sz w:val="24"/>
        </w:rPr>
      </w:pPr>
      <w:r>
        <w:rPr>
          <w:rFonts w:hint="eastAsia" w:ascii="宋体" w:hAnsi="宋体"/>
          <w:bCs/>
          <w:sz w:val="24"/>
        </w:rPr>
        <w:t xml:space="preserve">26.1.20</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440" w:lineRule="exact"/>
        <w:rPr>
          <w:rFonts w:ascii="宋体" w:hAnsi="宋体"/>
          <w:bCs/>
          <w:sz w:val="24"/>
        </w:rPr>
      </w:pPr>
      <w:r>
        <w:rPr>
          <w:rFonts w:hint="eastAsia" w:ascii="宋体" w:hAnsi="宋体"/>
          <w:bCs/>
          <w:sz w:val="24"/>
          <w:szCs w:val="24"/>
        </w:rPr>
        <w:t xml:space="preserve">26.1.21投标文件内容不全或不符合招标文件中规定的其他实质性要求和条件的。</w:t>
      </w:r>
      <w:r/>
    </w:p>
    <w:p>
      <w:pPr>
        <w:ind w:firstLine="480"/>
        <w:spacing w:line="440" w:lineRule="exact"/>
        <w:rPr>
          <w:rFonts w:ascii="宋体" w:hAnsi="宋体"/>
          <w:bCs/>
          <w:sz w:val="24"/>
        </w:rPr>
      </w:pPr>
      <w:r>
        <w:rPr>
          <w:rFonts w:hint="eastAsia" w:ascii="宋体" w:hAnsi="宋体"/>
          <w:bCs/>
          <w:sz w:val="24"/>
        </w:rPr>
        <w:t xml:space="preserve">26.1.22不同供应商上传或编制电子投标（响应）文件的IP地址、MAC地址、标书制作工具客户端标识码信息相同的。</w:t>
      </w:r>
      <w:r/>
    </w:p>
    <w:p>
      <w:pPr>
        <w:ind w:firstLine="480"/>
        <w:spacing w:line="440" w:lineRule="exact"/>
        <w:rPr>
          <w:rFonts w:ascii="宋体" w:hAnsi="宋体"/>
          <w:bCs/>
          <w:sz w:val="24"/>
        </w:rPr>
      </w:pPr>
      <w:r>
        <w:rPr>
          <w:rFonts w:hint="eastAsia" w:ascii="宋体" w:hAnsi="宋体"/>
          <w:bCs/>
          <w:sz w:val="24"/>
        </w:rPr>
        <w:t xml:space="preserve">26.1.23如本项目采购产品被财政部、国家发改委列入“</w:t>
      </w:r>
      <w:r>
        <w:rPr>
          <w:rFonts w:ascii="宋体" w:hAnsi="宋体"/>
          <w:color w:val="000000" w:themeColor="text1"/>
          <w:sz w:val="24"/>
          <w14:textFill>
            <w14:solidFill>
              <w14:schemeClr w14:val="tx1"/>
            </w14:solidFill>
          </w14:textFill>
        </w:rPr>
        <w:t xml:space="preserve">节能产品政府采购品目清单</w:t>
      </w:r>
      <w:r>
        <w:rPr>
          <w:rFonts w:hint="eastAsia" w:ascii="宋体" w:hAnsi="宋体"/>
          <w:bCs/>
          <w:sz w:val="24"/>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bCs/>
          <w:sz w:val="24"/>
        </w:rPr>
      </w:pPr>
      <w:r>
        <w:rPr>
          <w:rFonts w:hint="eastAsia" w:ascii="宋体" w:hAnsi="宋体"/>
          <w:bCs/>
          <w:sz w:val="24"/>
        </w:rPr>
        <w:t xml:space="preserve">26.1.24投标人所投标产品不符合招标文件中所列国家强制性标准的。</w:t>
      </w:r>
      <w:r/>
    </w:p>
    <w:p>
      <w:pPr>
        <w:ind w:firstLine="480"/>
        <w:spacing w:line="500" w:lineRule="exact"/>
        <w:rPr>
          <w:rFonts w:ascii="宋体" w:hAnsi="宋体"/>
          <w:bCs/>
          <w:sz w:val="24"/>
        </w:rPr>
      </w:pPr>
      <w:r>
        <w:rPr>
          <w:rFonts w:hint="eastAsia" w:ascii="宋体" w:hAnsi="宋体"/>
          <w:bCs/>
          <w:sz w:val="24"/>
        </w:rPr>
        <w:t xml:space="preserve">26.1.25评标委员会按照本招标文件规定对投标人进行异常低价投标（响应）审查后，认为投标人不能证明其报价合理性的。</w:t>
      </w:r>
      <w:r/>
    </w:p>
    <w:p>
      <w:pPr>
        <w:ind w:firstLine="480"/>
        <w:spacing w:line="440" w:lineRule="exact"/>
        <w:rPr>
          <w:rFonts w:ascii="宋体" w:hAnsi="宋体"/>
          <w:bCs/>
          <w:sz w:val="24"/>
        </w:rPr>
      </w:pPr>
      <w:r>
        <w:rPr>
          <w:rFonts w:hint="eastAsia" w:ascii="宋体" w:hAnsi="宋体"/>
          <w:bCs/>
          <w:sz w:val="24"/>
          <w:szCs w:val="24"/>
        </w:rPr>
        <w:t xml:space="preserve">26.1.26投标文件含有采购人不能接受的附加条件的。</w:t>
      </w:r>
      <w:r/>
    </w:p>
    <w:p>
      <w:pPr>
        <w:ind w:firstLine="480"/>
        <w:spacing w:line="500" w:lineRule="exact"/>
        <w:rPr>
          <w:rFonts w:ascii="宋体" w:hAnsi="宋体"/>
          <w:bCs/>
          <w:sz w:val="24"/>
        </w:rPr>
      </w:pPr>
      <w:r>
        <w:rPr>
          <w:rFonts w:hint="eastAsia" w:ascii="宋体" w:hAnsi="宋体"/>
          <w:bCs/>
          <w:sz w:val="24"/>
        </w:rPr>
        <w:t xml:space="preserve">26.1.27其他法律法规及本招标文件规定的属无效投标的情形。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26.2废标条款</w:t>
      </w:r>
      <w:r/>
    </w:p>
    <w:p>
      <w:pPr>
        <w:ind w:firstLine="480"/>
        <w:spacing w:line="440" w:lineRule="exact"/>
        <w:rPr>
          <w:rFonts w:ascii="宋体" w:hAnsi="宋体"/>
          <w:bCs/>
          <w:sz w:val="24"/>
          <w:szCs w:val="24"/>
        </w:rPr>
      </w:pPr>
      <w:r>
        <w:rPr>
          <w:rFonts w:hint="eastAsia" w:ascii="宋体" w:hAnsi="宋体"/>
          <w:bCs/>
          <w:sz w:val="24"/>
          <w:szCs w:val="24"/>
        </w:rPr>
        <w:t xml:space="preserve">26.2.1符合专业条件的供应商或者对招标文件做实质响应的供应商不足三家的。</w:t>
      </w:r>
      <w:r/>
    </w:p>
    <w:p>
      <w:pPr>
        <w:ind w:firstLine="480"/>
        <w:spacing w:line="440" w:lineRule="exact"/>
        <w:rPr>
          <w:rFonts w:ascii="宋体" w:hAnsi="宋体"/>
          <w:bCs/>
          <w:sz w:val="24"/>
          <w:szCs w:val="24"/>
        </w:rPr>
      </w:pPr>
      <w:r>
        <w:rPr>
          <w:rFonts w:hint="eastAsia" w:ascii="宋体" w:hAnsi="宋体"/>
          <w:bCs/>
          <w:sz w:val="24"/>
          <w:szCs w:val="24"/>
        </w:rPr>
        <w:t xml:space="preserve">26.2.2出现影响采购公正的违法、违规行为的。</w:t>
      </w:r>
      <w:r/>
    </w:p>
    <w:p>
      <w:pPr>
        <w:ind w:firstLine="480"/>
        <w:spacing w:line="440" w:lineRule="exact"/>
        <w:rPr>
          <w:rFonts w:ascii="宋体" w:hAnsi="宋体"/>
          <w:bCs/>
          <w:sz w:val="24"/>
          <w:szCs w:val="24"/>
        </w:rPr>
      </w:pPr>
      <w:r>
        <w:rPr>
          <w:rFonts w:hint="eastAsia" w:ascii="宋体" w:hAnsi="宋体"/>
          <w:bCs/>
          <w:sz w:val="24"/>
          <w:szCs w:val="24"/>
        </w:rPr>
        <w:t xml:space="preserve">26.2.3因重大变故，采购任务取消的。</w:t>
      </w:r>
      <w:r/>
    </w:p>
    <w:p>
      <w:pPr>
        <w:ind w:firstLine="480"/>
        <w:spacing w:line="440" w:lineRule="exact"/>
        <w:rPr>
          <w:rFonts w:ascii="宋体" w:hAnsi="宋体"/>
          <w:bCs/>
          <w:sz w:val="24"/>
          <w:szCs w:val="24"/>
        </w:rPr>
      </w:pPr>
      <w:r>
        <w:rPr>
          <w:rFonts w:hint="eastAsia" w:ascii="宋体" w:hAnsi="宋体"/>
          <w:bCs/>
          <w:sz w:val="24"/>
          <w:szCs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440" w:lineRule="exact"/>
        <w:rPr>
          <w:rFonts w:ascii="宋体" w:hAnsi="宋体"/>
          <w:bCs/>
          <w:sz w:val="24"/>
        </w:rPr>
      </w:pPr>
      <w:r>
        <w:rPr>
          <w:rFonts w:hint="eastAsia" w:ascii="宋体" w:hAnsi="宋体"/>
          <w:bCs/>
          <w:sz w:val="24"/>
          <w:szCs w:val="24"/>
        </w:rPr>
        <w:t xml:space="preserve">26.2.6投标人的报价均超过采购预算，采购人不能支付的。</w:t>
      </w:r>
      <w:r/>
    </w:p>
    <w:p>
      <w:pPr>
        <w:ind w:left="479"/>
        <w:spacing w:line="440" w:lineRule="exact"/>
        <w:rPr>
          <w:rFonts w:ascii="宋体" w:hAnsi="宋体"/>
          <w:bCs/>
          <w:sz w:val="24"/>
        </w:rPr>
      </w:pPr>
      <w:r>
        <w:rPr>
          <w:rFonts w:hint="eastAsia" w:ascii="宋体" w:hAnsi="宋体"/>
          <w:bCs/>
          <w:sz w:val="24"/>
        </w:rPr>
        <w:t xml:space="preserve">26.3投标截止时间结束后参加投标的供应商不足三家的处理：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54"/>
        <w:ind w:firstLine="454"/>
        <w:jc w:val="left"/>
        <w:keepLines w:val="0"/>
        <w:keepNext w:val="0"/>
        <w:spacing w:before="0" w:after="0" w:line="440" w:lineRule="exact"/>
        <w:widowControl/>
        <w:tabs>
          <w:tab w:val="left" w:pos="720" w:leader="none"/>
        </w:tabs>
        <w:rPr>
          <w:sz w:val="30"/>
          <w:szCs w:val="30"/>
          <w:lang w:eastAsia="zh-CN"/>
        </w:rPr>
      </w:pPr>
      <w:r/>
      <w:bookmarkStart w:id="169" w:name="_Toc120614219"/>
      <w:r>
        <w:rPr>
          <w:rFonts w:hint="eastAsia"/>
          <w:sz w:val="30"/>
          <w:szCs w:val="30"/>
          <w:lang w:eastAsia="zh-CN"/>
        </w:rPr>
        <w:t xml:space="preserve">六、</w:t>
      </w:r>
      <w:bookmarkEnd w:id="166"/>
      <w:r/>
      <w:bookmarkEnd w:id="167"/>
      <w:r/>
      <w:bookmarkEnd w:id="168"/>
      <w:r>
        <w:rPr>
          <w:rFonts w:hint="eastAsia"/>
          <w:sz w:val="30"/>
          <w:szCs w:val="30"/>
          <w:lang w:eastAsia="zh-CN"/>
        </w:rPr>
        <w:t xml:space="preserve">定标</w:t>
      </w:r>
      <w:bookmarkEnd w:id="169"/>
      <w:r/>
      <w:r/>
    </w:p>
    <w:p>
      <w:pPr>
        <w:pStyle w:val="955"/>
        <w:ind w:firstLine="422"/>
        <w:keepLines w:val="0"/>
        <w:keepNext w:val="0"/>
        <w:spacing w:before="0" w:after="0" w:line="440" w:lineRule="exact"/>
        <w:rPr>
          <w:rFonts w:ascii="宋体" w:hAnsi="宋体" w:eastAsia="宋体"/>
          <w:bCs w:val="0"/>
          <w:lang w:eastAsia="zh-CN"/>
        </w:rPr>
      </w:pPr>
      <w:r/>
      <w:bookmarkStart w:id="170" w:name="_Toc513029238"/>
      <w:r/>
      <w:bookmarkStart w:id="171" w:name="_Toc20823310"/>
      <w:r/>
      <w:bookmarkStart w:id="172" w:name="_Toc16938554"/>
      <w:r>
        <w:rPr>
          <w:rFonts w:hint="eastAsia" w:ascii="宋体" w:hAnsi="宋体" w:eastAsia="宋体"/>
          <w:bCs w:val="0"/>
          <w:lang w:eastAsia="zh-CN"/>
        </w:rPr>
        <w:t xml:space="preserve">27</w:t>
      </w:r>
      <w:bookmarkEnd w:id="170"/>
      <w:r>
        <w:rPr>
          <w:rFonts w:hint="eastAsia" w:ascii="宋体" w:hAnsi="宋体" w:eastAsia="宋体"/>
          <w:bCs w:val="0"/>
          <w:lang w:eastAsia="zh-CN"/>
        </w:rPr>
        <w:t xml:space="preserve">.确定</w:t>
      </w:r>
      <w:bookmarkEnd w:id="171"/>
      <w:r/>
      <w:bookmarkEnd w:id="172"/>
      <w:r>
        <w:rPr>
          <w:rFonts w:hint="eastAsia" w:ascii="宋体" w:hAnsi="宋体" w:eastAsia="宋体"/>
          <w:bCs w:val="0"/>
          <w:lang w:eastAsia="zh-CN"/>
        </w:rPr>
        <w:t xml:space="preserve">中标单位</w:t>
      </w:r>
      <w:r/>
    </w:p>
    <w:p>
      <w:pPr>
        <w:ind w:firstLine="480"/>
        <w:spacing w:line="440" w:lineRule="exact"/>
        <w:rPr>
          <w:rFonts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440" w:lineRule="exact"/>
        <w:rPr>
          <w:rFonts w:ascii="宋体" w:hAnsi="宋体"/>
          <w:bCs/>
          <w:sz w:val="24"/>
        </w:rPr>
      </w:pPr>
      <w:r>
        <w:rPr>
          <w:rFonts w:hint="eastAsia" w:ascii="宋体" w:hAnsi="宋体"/>
          <w:bCs/>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440" w:lineRule="exact"/>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无锡市卫生健康综合服务中心将在“江苏政府采购网”发布中标公告，公告期限为1个工作日。</w:t>
      </w:r>
      <w:r/>
    </w:p>
    <w:p>
      <w:pPr>
        <w:ind w:firstLine="480"/>
        <w:spacing w:line="440" w:lineRule="exact"/>
        <w:rPr>
          <w:rFonts w:ascii="宋体" w:hAnsi="宋体"/>
          <w:sz w:val="24"/>
          <w:szCs w:val="24"/>
        </w:rPr>
      </w:pPr>
      <w:r>
        <w:rPr>
          <w:rFonts w:hint="eastAsia" w:ascii="宋体" w:hAnsi="宋体"/>
          <w:sz w:val="24"/>
          <w:szCs w:val="24"/>
        </w:rPr>
        <w:t xml:space="preserve">27.4中标无效的确认</w:t>
      </w:r>
      <w:r/>
    </w:p>
    <w:p>
      <w:pPr>
        <w:ind w:firstLine="480"/>
        <w:spacing w:line="440" w:lineRule="exact"/>
        <w:rPr>
          <w:rFonts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44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40" w:lineRule="exact"/>
        <w:rPr>
          <w:rFonts w:ascii="宋体" w:hAnsi="宋体"/>
          <w:sz w:val="24"/>
          <w:szCs w:val="24"/>
        </w:rPr>
      </w:pPr>
      <w:r>
        <w:rPr>
          <w:rFonts w:hint="eastAsia" w:ascii="宋体" w:hAnsi="宋体"/>
          <w:sz w:val="24"/>
          <w:szCs w:val="24"/>
        </w:rPr>
        <w:t xml:space="preserve">27.4.2向采购人、无锡市卫生健康综合服务中心行贿或者提供其他不正当利益的。</w:t>
      </w:r>
      <w:r/>
    </w:p>
    <w:p>
      <w:pPr>
        <w:ind w:firstLine="480"/>
        <w:spacing w:line="440" w:lineRule="exact"/>
        <w:rPr>
          <w:rFonts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44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4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40" w:lineRule="exact"/>
        <w:rPr>
          <w:rFonts w:ascii="宋体" w:hAnsi="宋体"/>
          <w:sz w:val="24"/>
          <w:szCs w:val="24"/>
        </w:rPr>
      </w:pPr>
      <w:r/>
      <w:bookmarkStart w:id="173"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440" w:lineRule="exact"/>
        <w:rPr>
          <w:rFonts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440" w:lineRule="exact"/>
        <w:rPr>
          <w:rFonts w:ascii="宋体" w:hAnsi="宋体"/>
          <w:sz w:val="24"/>
          <w:szCs w:val="24"/>
        </w:rPr>
      </w:pPr>
      <w:r>
        <w:rPr>
          <w:rFonts w:hint="eastAsia" w:ascii="宋体" w:hAnsi="宋体"/>
          <w:sz w:val="24"/>
          <w:szCs w:val="24"/>
        </w:rPr>
        <w:t xml:space="preserve">27.5</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4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4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40" w:lineRule="exact"/>
        <w:rPr>
          <w:rFonts w:ascii="宋体" w:hAnsi="宋体"/>
          <w:sz w:val="24"/>
          <w:szCs w:val="24"/>
        </w:rPr>
      </w:pPr>
      <w:r>
        <w:rPr>
          <w:rFonts w:hint="eastAsia" w:ascii="宋体" w:hAnsi="宋体"/>
          <w:sz w:val="24"/>
          <w:szCs w:val="24"/>
        </w:rPr>
        <w:t xml:space="preserve">27.5.3不同投标人的投标文件载明的项目管理成员或者联系人员为同一人。</w:t>
      </w:r>
      <w:r/>
    </w:p>
    <w:p>
      <w:pPr>
        <w:ind w:firstLine="480"/>
        <w:spacing w:line="44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55"/>
        <w:ind w:firstLine="422"/>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28.质疑处理</w:t>
      </w:r>
      <w:bookmarkEnd w:id="173"/>
      <w:r/>
      <w:r/>
    </w:p>
    <w:p>
      <w:pPr>
        <w:ind w:firstLine="480"/>
        <w:spacing w:line="440" w:lineRule="exact"/>
        <w:rPr>
          <w:rFonts w:ascii="宋体" w:hAnsi="宋体"/>
          <w:sz w:val="24"/>
          <w:szCs w:val="24"/>
        </w:rPr>
      </w:pPr>
      <w:r>
        <w:rPr>
          <w:rFonts w:hint="eastAsia" w:ascii="宋体" w:hAnsi="宋体"/>
          <w:sz w:val="24"/>
          <w:szCs w:val="24"/>
        </w:rPr>
        <w:t xml:space="preserve">28.1提出质疑的供应商应当是参与所质疑项目采购活动的供应商。潜在供应商依法获取其可质疑的采购文件的，可以对采购文件提出质疑。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440" w:lineRule="exact"/>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440" w:lineRule="exact"/>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440" w:lineRule="exact"/>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440" w:lineRule="exact"/>
        <w:rPr>
          <w:rFonts w:ascii="宋体" w:hAnsi="宋体"/>
          <w:sz w:val="24"/>
          <w:szCs w:val="24"/>
        </w:rPr>
      </w:pPr>
      <w:r>
        <w:rPr>
          <w:rFonts w:hint="eastAsia" w:ascii="宋体" w:hAnsi="宋体"/>
          <w:sz w:val="24"/>
          <w:szCs w:val="24"/>
        </w:rPr>
        <w:t xml:space="preserve">供应商应当在法定质疑期内一次性提出针对同一采购程序环节</w:t>
      </w:r>
      <w:r>
        <w:rPr>
          <w:rFonts w:hint="eastAsia" w:ascii="宋体" w:hAnsi="宋体" w:cs="宋体"/>
          <w:sz w:val="24"/>
          <w:szCs w:val="24"/>
        </w:rPr>
        <w:t xml:space="preserve">（采购文件，采购过程或结果）</w:t>
      </w:r>
      <w:r>
        <w:rPr>
          <w:rFonts w:hint="eastAsia" w:ascii="宋体" w:hAnsi="宋体"/>
          <w:sz w:val="24"/>
          <w:szCs w:val="24"/>
        </w:rPr>
        <w:t xml:space="preserve">的质疑。供应商如在法定期限内对同一采购程序环节提出多次质疑的，无锡市卫生健康综合服务中心、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440" w:lineRule="exact"/>
        <w:rPr>
          <w:rFonts w:ascii="宋体" w:hAnsi="宋体"/>
          <w:sz w:val="24"/>
          <w:szCs w:val="24"/>
        </w:rPr>
      </w:pPr>
      <w:r>
        <w:rPr>
          <w:rFonts w:hint="eastAsia" w:ascii="宋体" w:hAnsi="宋体"/>
          <w:sz w:val="24"/>
          <w:szCs w:val="24"/>
        </w:rPr>
        <w:t xml:space="preserve">28.3</w:t>
      </w:r>
      <w:r>
        <w:rPr>
          <w:rFonts w:hint="eastAsia" w:ascii="宋体" w:hAnsi="宋体" w:cs="宋体"/>
          <w:sz w:val="24"/>
          <w:szCs w:val="24"/>
        </w:rPr>
        <w:t xml:space="preserve">质疑函应符合《政府采购质疑和投诉办法》（财政部令第94号）第十二条、第三十九条。</w:t>
      </w:r>
      <w:r>
        <w:rPr>
          <w:rFonts w:hint="eastAsia" w:ascii="宋体"/>
          <w:bCs/>
          <w:sz w:val="24"/>
          <w:szCs w:val="24"/>
        </w:rPr>
        <w:t xml:space="preserve">质疑函的质疑事项应具体、明确，并具有必要的事实依据和法律依据（格式详见中国政府采购网《政府采购供应商质疑函范本》）。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440" w:lineRule="exact"/>
        <w:rPr>
          <w:rFonts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440" w:lineRule="exact"/>
        <w:rPr>
          <w:rFonts w:ascii="宋体" w:hAnsi="宋体"/>
          <w:sz w:val="24"/>
          <w:szCs w:val="24"/>
        </w:rPr>
      </w:pPr>
      <w:r>
        <w:rPr>
          <w:rFonts w:hint="eastAsia" w:ascii="宋体" w:hAnsi="宋体"/>
          <w:sz w:val="24"/>
          <w:szCs w:val="24"/>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440" w:lineRule="exact"/>
        <w:rPr>
          <w:rFonts w:ascii="宋体" w:hAnsi="宋体"/>
          <w:sz w:val="24"/>
          <w:szCs w:val="24"/>
        </w:rPr>
      </w:pPr>
      <w:r>
        <w:rPr>
          <w:rFonts w:hint="eastAsia" w:ascii="宋体" w:hAnsi="宋体"/>
          <w:sz w:val="24"/>
          <w:szCs w:val="24"/>
        </w:rPr>
        <w:t xml:space="preserve">采购人、无锡市卫生健康综合服务中心联系人、联系方式、通信地址见招标文件第一章。</w:t>
      </w:r>
      <w:r/>
    </w:p>
    <w:p>
      <w:pPr>
        <w:ind w:firstLine="480"/>
        <w:spacing w:line="440" w:lineRule="exact"/>
        <w:rPr>
          <w:rFonts w:ascii="宋体" w:hAnsi="宋体"/>
          <w:sz w:val="24"/>
          <w:szCs w:val="24"/>
        </w:rPr>
      </w:pPr>
      <w:r>
        <w:rPr>
          <w:rFonts w:hint="eastAsia" w:ascii="宋体" w:hAnsi="宋体"/>
          <w:sz w:val="24"/>
          <w:szCs w:val="24"/>
        </w:rPr>
        <w:t xml:space="preserve">28.5以下情形的质疑不予受理</w:t>
      </w:r>
      <w:r/>
    </w:p>
    <w:p>
      <w:pPr>
        <w:ind w:firstLine="480"/>
        <w:spacing w:line="440" w:lineRule="exact"/>
        <w:rPr>
          <w:rFonts w:ascii="宋体" w:hAnsi="宋体"/>
          <w:sz w:val="24"/>
          <w:szCs w:val="24"/>
        </w:rPr>
      </w:pPr>
      <w:r>
        <w:rPr>
          <w:rFonts w:hint="eastAsia" w:ascii="宋体" w:hAnsi="宋体"/>
          <w:sz w:val="24"/>
          <w:szCs w:val="24"/>
        </w:rPr>
        <w:t xml:space="preserve">28.5.1内容不符合《政府采购质疑和投诉办法》第十二条规定的质疑。</w:t>
      </w:r>
      <w:r/>
    </w:p>
    <w:p>
      <w:pPr>
        <w:ind w:firstLine="480"/>
        <w:spacing w:line="440" w:lineRule="exact"/>
        <w:rPr>
          <w:rFonts w:ascii="宋体" w:hAnsi="宋体"/>
          <w:sz w:val="24"/>
          <w:szCs w:val="24"/>
        </w:rPr>
      </w:pPr>
      <w:r>
        <w:rPr>
          <w:rFonts w:hint="eastAsia" w:ascii="宋体" w:hAnsi="宋体"/>
          <w:sz w:val="24"/>
          <w:szCs w:val="24"/>
        </w:rPr>
        <w:t xml:space="preserve">28.5.2超出政府采购法定期限的质疑。</w:t>
      </w:r>
      <w:r/>
    </w:p>
    <w:p>
      <w:pPr>
        <w:ind w:firstLine="480"/>
        <w:spacing w:line="440" w:lineRule="exact"/>
        <w:rPr>
          <w:rFonts w:ascii="宋体" w:hAnsi="宋体"/>
          <w:sz w:val="24"/>
          <w:szCs w:val="24"/>
        </w:rPr>
      </w:pPr>
      <w:r>
        <w:rPr>
          <w:rFonts w:hint="eastAsia" w:ascii="宋体" w:hAnsi="宋体"/>
          <w:sz w:val="24"/>
          <w:szCs w:val="24"/>
        </w:rPr>
        <w:t xml:space="preserve">28.5.3以传真、电子邮件等方式递交的非原件形式的质疑。</w:t>
      </w:r>
      <w:r/>
    </w:p>
    <w:p>
      <w:pPr>
        <w:ind w:firstLine="480"/>
        <w:spacing w:line="440" w:lineRule="exact"/>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44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40" w:lineRule="exact"/>
        <w:rPr>
          <w:rFonts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一经查实，无锡市卫生健康综合服务中心有权依据政府采购的有关规定，报请政府采购监管部门对该供应商进行相应的行政处罚和记录该供应商的失信信息。</w:t>
      </w:r>
      <w:r/>
    </w:p>
    <w:p>
      <w:pPr>
        <w:pStyle w:val="955"/>
        <w:ind w:firstLine="422"/>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29.中标通知书</w:t>
      </w:r>
      <w:r/>
    </w:p>
    <w:p>
      <w:pPr>
        <w:ind w:firstLine="480"/>
        <w:spacing w:line="440" w:lineRule="exact"/>
        <w:rPr>
          <w:rFonts w:ascii="宋体" w:hAnsi="宋体"/>
          <w:sz w:val="24"/>
          <w:szCs w:val="24"/>
        </w:rPr>
      </w:pPr>
      <w:r>
        <w:rPr>
          <w:rFonts w:hint="eastAsia" w:ascii="宋体" w:hAnsi="宋体"/>
          <w:sz w:val="24"/>
          <w:szCs w:val="24"/>
        </w:rPr>
        <w:t xml:space="preserve">29.l中标结果确定后，无锡市卫生健康综合服务中心将向中标人发出中标通知书。请中标人在中标结果公告届满之日起30日内，使用CA数字证书登录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44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54"/>
        <w:ind w:firstLine="454"/>
        <w:jc w:val="left"/>
        <w:keepLines w:val="0"/>
        <w:keepNext w:val="0"/>
        <w:spacing w:before="0" w:after="0" w:line="440" w:lineRule="exact"/>
        <w:widowControl/>
        <w:tabs>
          <w:tab w:val="left" w:pos="720" w:leader="none"/>
        </w:tabs>
        <w:rPr>
          <w:sz w:val="30"/>
          <w:szCs w:val="30"/>
          <w:lang w:eastAsia="zh-CN"/>
        </w:rPr>
      </w:pPr>
      <w:r/>
      <w:bookmarkStart w:id="174" w:name="_Toc120614220"/>
      <w:r/>
      <w:bookmarkStart w:id="175" w:name="_Toc20823308"/>
      <w:r/>
      <w:bookmarkStart w:id="176" w:name="_Toc16938552"/>
      <w:r/>
      <w:bookmarkStart w:id="177" w:name="_Toc513029236"/>
      <w:r>
        <w:rPr>
          <w:rFonts w:hint="eastAsia"/>
          <w:sz w:val="30"/>
          <w:szCs w:val="30"/>
          <w:lang w:eastAsia="zh-CN"/>
        </w:rPr>
        <w:t xml:space="preserve">七、授予合同</w:t>
      </w:r>
      <w:bookmarkEnd w:id="174"/>
      <w:r/>
      <w:bookmarkEnd w:id="175"/>
      <w:r/>
      <w:bookmarkEnd w:id="176"/>
      <w:r/>
      <w:bookmarkEnd w:id="177"/>
      <w:r/>
      <w:r/>
    </w:p>
    <w:p>
      <w:pPr>
        <w:pStyle w:val="955"/>
        <w:ind w:firstLine="420"/>
        <w:keepLines w:val="0"/>
        <w:keepNext w:val="0"/>
        <w:spacing w:before="0" w:after="0" w:line="440" w:lineRule="exact"/>
        <w:rPr>
          <w:rFonts w:ascii="宋体" w:hAnsi="宋体" w:eastAsia="宋体"/>
          <w:bCs w:val="0"/>
          <w:lang w:eastAsia="zh-CN"/>
        </w:rPr>
      </w:pPr>
      <w:r/>
      <w:bookmarkStart w:id="178" w:name="_Toc513029237"/>
      <w:r/>
      <w:bookmarkStart w:id="179" w:name="_Toc16938553"/>
      <w:r/>
      <w:bookmarkStart w:id="180" w:name="_Toc20823309"/>
      <w:r>
        <w:rPr>
          <w:rFonts w:hint="eastAsia" w:ascii="宋体" w:hAnsi="宋体" w:eastAsia="宋体"/>
          <w:bCs w:val="0"/>
          <w:lang w:eastAsia="zh-CN"/>
        </w:rPr>
        <w:t xml:space="preserve">30.签订合同</w:t>
      </w:r>
      <w:r/>
    </w:p>
    <w:p>
      <w:pPr>
        <w:ind w:firstLine="480"/>
        <w:spacing w:line="440" w:lineRule="exact"/>
        <w:rPr>
          <w:rFonts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440" w:lineRule="exact"/>
        <w:rPr>
          <w:rFonts w:ascii="宋体" w:hAnsi="宋体"/>
          <w:sz w:val="24"/>
          <w:szCs w:val="24"/>
        </w:rPr>
      </w:pPr>
      <w:r>
        <w:rPr>
          <w:rFonts w:hint="eastAsia" w:ascii="宋体" w:hAnsi="宋体"/>
          <w:sz w:val="24"/>
          <w:szCs w:val="24"/>
        </w:rPr>
        <w:t xml:space="preserve">30.2中标人非因不可抗力未履行招、投标文件和合同规定的义务，一经查实，无锡市卫生健康综合服务中心将根据具体情况提请政府采购管理部门作出相应处理。</w:t>
      </w:r>
      <w:r/>
    </w:p>
    <w:p>
      <w:pPr>
        <w:ind w:firstLine="480"/>
        <w:spacing w:line="440" w:lineRule="exact"/>
        <w:rPr>
          <w:rFonts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40" w:lineRule="exact"/>
        <w:rPr>
          <w:rFonts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55"/>
        <w:ind w:firstLine="422"/>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31.服务（包含与服务相关的货物）的追加</w:t>
      </w:r>
      <w:r/>
    </w:p>
    <w:p>
      <w:pPr>
        <w:pStyle w:val="744"/>
        <w:ind w:firstLine="480"/>
        <w:jc w:val="left"/>
        <w:keepLines w:val="0"/>
        <w:keepNext w:val="0"/>
        <w:spacing w:before="0" w:after="0" w:line="500" w:lineRule="exact"/>
        <w:rPr>
          <w:rFonts w:ascii="黑体"/>
          <w:bCs w:val="0"/>
          <w:sz w:val="36"/>
          <w:szCs w:val="36"/>
        </w:rPr>
      </w:pPr>
      <w:r>
        <w:rPr>
          <w:rFonts w:hint="eastAsia" w:ascii="宋体" w:hAnsi="宋体"/>
          <w:b w:val="0"/>
          <w:bCs w:val="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8"/>
      <w:r/>
      <w:bookmarkEnd w:id="179"/>
      <w:r/>
      <w:bookmarkEnd w:id="180"/>
      <w:r>
        <w:rPr>
          <w:rFonts w:ascii="宋体" w:hAnsi="宋体"/>
          <w:color w:val="000000" w:themeColor="text1"/>
          <w:sz w:val="24"/>
          <w:highlight w:val="white"/>
          <w:shd w:val="clear" w:color="ffffff" w:fill="d9d9d9"/>
          <w14:textFill>
            <w14:solidFill>
              <w14:schemeClr w14:val="tx1"/>
            </w14:solidFill>
          </w14:textFill>
        </w:rPr>
        <w:br w:type="page" w:clear="all"/>
      </w:r>
      <w:bookmarkEnd w:id="51"/>
      <w:r/>
      <w:bookmarkEnd w:id="52"/>
      <w:r/>
      <w:bookmarkEnd w:id="53"/>
      <w:r/>
      <w:bookmarkEnd w:id="54"/>
      <w:r/>
      <w:bookmarkEnd w:id="55"/>
      <w:r/>
      <w:bookmarkStart w:id="181" w:name="_Hlt16619350"/>
      <w:r/>
      <w:bookmarkStart w:id="182" w:name="_Toc20823346"/>
      <w:r/>
      <w:bookmarkStart w:id="183" w:name="_Toc120614244"/>
      <w:r/>
      <w:bookmarkStart w:id="184" w:name="_Toc16938590"/>
      <w:r>
        <w:rPr>
          <w:rFonts w:hint="eastAsia" w:ascii="宋体" w:hAnsi="宋体"/>
          <w:color w:val="000000" w:themeColor="text1"/>
          <w:sz w:val="24"/>
          <w:highlight w:val="white"/>
          <w:shd w:val="clear" w:color="ffffff" w:fill="d9d9d9"/>
          <w14:textFill>
            <w14:solidFill>
              <w14:schemeClr w14:val="tx1"/>
            </w14:solidFill>
          </w14:textFill>
        </w:rPr>
        <w:t xml:space="preserve">                     </w:t>
      </w:r>
      <w:r>
        <w:rPr>
          <w:rFonts w:hint="eastAsia" w:ascii="黑体"/>
          <w:sz w:val="36"/>
          <w:szCs w:val="36"/>
        </w:rPr>
        <w:t xml:space="preserve">第三章  合同文本</w:t>
      </w:r>
      <w:r/>
    </w:p>
    <w:p>
      <w:pPr>
        <w:spacing w:line="440" w:lineRule="exact"/>
        <w:rPr>
          <w:rFonts w:ascii="宋体" w:hAnsi="宋体" w:cs="宋体"/>
          <w:bCs/>
          <w:sz w:val="24"/>
        </w:rPr>
      </w:pPr>
      <w:r/>
      <w:bookmarkStart w:id="185" w:name="_Hlt16619369"/>
      <w:r/>
      <w:bookmarkEnd w:id="185"/>
      <w:r>
        <w:rPr>
          <w:rFonts w:hint="eastAsia" w:ascii="宋体" w:hAnsi="宋体" w:cs="宋体"/>
          <w:bCs/>
          <w:sz w:val="24"/>
        </w:rPr>
        <w:t xml:space="preserve">项目名称：</w:t>
      </w:r>
      <w:r/>
    </w:p>
    <w:p>
      <w:pPr>
        <w:jc w:val="left"/>
        <w:spacing w:line="440" w:lineRule="exact"/>
        <w:rPr>
          <w:rFonts w:ascii="宋体" w:hAnsi="宋体" w:cs="宋体"/>
          <w:sz w:val="24"/>
        </w:rPr>
      </w:pPr>
      <w:r>
        <w:rPr>
          <w:rFonts w:hint="eastAsia" w:ascii="宋体" w:hAnsi="宋体" w:cs="宋体"/>
          <w:sz w:val="24"/>
        </w:rPr>
        <w:t xml:space="preserve">项目编号：</w:t>
      </w:r>
      <w:r/>
    </w:p>
    <w:p>
      <w:pPr>
        <w:spacing w:line="440" w:lineRule="exact"/>
        <w:rPr>
          <w:rFonts w:ascii="宋体" w:hAnsi="宋体" w:cs="宋体"/>
          <w:sz w:val="24"/>
        </w:rPr>
      </w:pPr>
      <w:r>
        <w:rPr>
          <w:rFonts w:hint="eastAsia" w:ascii="宋体" w:hAnsi="宋体" w:cs="宋体"/>
          <w:sz w:val="24"/>
        </w:rPr>
        <w:t xml:space="preserve">甲方：（采购人）_________</w:t>
      </w:r>
      <w:r/>
    </w:p>
    <w:p>
      <w:pPr>
        <w:spacing w:line="440" w:lineRule="exact"/>
        <w:rPr>
          <w:rFonts w:ascii="宋体" w:hAnsi="宋体" w:cs="宋体"/>
          <w:sz w:val="24"/>
        </w:rPr>
      </w:pPr>
      <w:r>
        <w:rPr>
          <w:rFonts w:hint="eastAsia" w:ascii="宋体" w:hAnsi="宋体" w:cs="宋体"/>
          <w:sz w:val="24"/>
        </w:rPr>
        <w:t xml:space="preserve">乙方：（成交方）_________</w:t>
      </w:r>
      <w:r/>
    </w:p>
    <w:p>
      <w:pPr>
        <w:ind w:firstLine="480"/>
        <w:spacing w:line="440" w:lineRule="exact"/>
        <w:rPr>
          <w:rFonts w:ascii="宋体" w:hAnsi="宋体" w:cs="宋体"/>
          <w:b/>
          <w:sz w:val="24"/>
        </w:rPr>
      </w:pPr>
      <w:r>
        <w:rPr>
          <w:rFonts w:hint="eastAsia" w:ascii="宋体" w:hAnsi="宋体" w:cs="宋体"/>
          <w:sz w:val="24"/>
        </w:rPr>
        <w:t xml:space="preserve">甲、乙双方根据无锡市卫生健康综合服务中心</w:t>
      </w:r>
      <w:r>
        <w:rPr>
          <w:rFonts w:hint="eastAsia" w:ascii="宋体" w:hAnsi="宋体" w:cs="宋体"/>
          <w:sz w:val="24"/>
          <w:u w:val="single"/>
        </w:rPr>
        <w:t xml:space="preserve">           </w:t>
      </w:r>
      <w:r>
        <w:rPr>
          <w:rFonts w:hint="eastAsia" w:ascii="宋体" w:hAnsi="宋体" w:cs="宋体"/>
          <w:sz w:val="24"/>
        </w:rPr>
        <w:t xml:space="preserve">项目招标的结果，签署本合同。</w:t>
      </w:r>
      <w:r/>
    </w:p>
    <w:p>
      <w:pPr>
        <w:ind w:firstLine="482"/>
        <w:spacing w:line="440" w:lineRule="exact"/>
        <w:rPr>
          <w:rFonts w:ascii="宋体" w:hAnsi="宋体" w:cs="宋体"/>
          <w:b/>
          <w:sz w:val="24"/>
        </w:rPr>
      </w:pPr>
      <w:r>
        <w:rPr>
          <w:rFonts w:hint="eastAsia" w:ascii="宋体" w:hAnsi="宋体" w:cs="宋体"/>
          <w:b/>
          <w:sz w:val="24"/>
        </w:rPr>
        <w:t xml:space="preserve">一、合同内容</w:t>
      </w:r>
      <w:r/>
    </w:p>
    <w:p>
      <w:pPr>
        <w:ind w:firstLine="480"/>
        <w:spacing w:line="440" w:lineRule="exact"/>
        <w:rPr>
          <w:rFonts w:ascii="宋体" w:hAnsi="宋体" w:cs="宋体"/>
          <w:sz w:val="24"/>
        </w:rPr>
      </w:pPr>
      <w:r>
        <w:rPr>
          <w:rFonts w:hint="eastAsia" w:ascii="宋体" w:hAnsi="宋体" w:cs="宋体"/>
          <w:sz w:val="24"/>
        </w:rPr>
        <w:t xml:space="preserve">1.1 采购内容：货物名称、规格型号、数量、单价、成交总价</w:t>
      </w:r>
      <w:r/>
    </w:p>
    <w:tbl>
      <w:tblPr>
        <w:tblStyle w:val="778"/>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1372"/>
        <w:gridCol w:w="1509"/>
        <w:gridCol w:w="1381"/>
        <w:gridCol w:w="1165"/>
        <w:gridCol w:w="1394"/>
      </w:tblGrid>
      <w:tr>
        <w:trPr/>
        <w:tc>
          <w:tcPr>
            <w:tcW w:w="1475"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设备名称</w:t>
            </w:r>
            <w:r/>
          </w:p>
        </w:tc>
        <w:tc>
          <w:tcPr>
            <w:tcW w:w="1372"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生产厂家</w:t>
            </w:r>
            <w:r/>
          </w:p>
        </w:tc>
        <w:tc>
          <w:tcPr>
            <w:tcW w:w="1509"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规格型号</w:t>
            </w:r>
            <w:r/>
          </w:p>
        </w:tc>
        <w:tc>
          <w:tcPr>
            <w:tcW w:w="1381"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数量</w:t>
            </w:r>
            <w:r/>
          </w:p>
          <w:p>
            <w:pPr>
              <w:jc w:val="center"/>
              <w:spacing w:line="440" w:lineRule="exact"/>
              <w:rPr>
                <w:rFonts w:ascii="宋体" w:hAnsi="宋体" w:cs="宋体"/>
                <w:sz w:val="24"/>
              </w:rPr>
            </w:pPr>
            <w:r>
              <w:rPr>
                <w:rFonts w:hint="eastAsia" w:ascii="宋体" w:hAnsi="宋体" w:cs="宋体"/>
                <w:sz w:val="24"/>
              </w:rPr>
              <w:t xml:space="preserve">（台/套）</w:t>
            </w:r>
            <w:r/>
          </w:p>
        </w:tc>
        <w:tc>
          <w:tcPr>
            <w:tcW w:w="1165"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单价</w:t>
            </w:r>
            <w:r/>
          </w:p>
          <w:p>
            <w:pPr>
              <w:jc w:val="center"/>
              <w:spacing w:line="440" w:lineRule="exact"/>
              <w:rPr>
                <w:rFonts w:ascii="宋体" w:hAnsi="宋体" w:cs="宋体"/>
                <w:sz w:val="24"/>
              </w:rPr>
            </w:pPr>
            <w:r>
              <w:rPr>
                <w:rFonts w:hint="eastAsia" w:ascii="宋体" w:hAnsi="宋体" w:cs="宋体"/>
                <w:sz w:val="24"/>
              </w:rPr>
              <w:t xml:space="preserve">（元）</w:t>
            </w:r>
            <w:r/>
          </w:p>
        </w:tc>
        <w:tc>
          <w:tcPr>
            <w:tcW w:w="1394"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成交总价</w:t>
            </w:r>
            <w:r/>
          </w:p>
          <w:p>
            <w:pPr>
              <w:jc w:val="center"/>
              <w:spacing w:line="440" w:lineRule="exact"/>
              <w:rPr>
                <w:rFonts w:ascii="宋体" w:hAnsi="宋体" w:cs="宋体"/>
                <w:sz w:val="24"/>
              </w:rPr>
            </w:pPr>
            <w:r>
              <w:rPr>
                <w:rFonts w:hint="eastAsia" w:ascii="宋体" w:hAnsi="宋体" w:cs="宋体"/>
                <w:sz w:val="24"/>
              </w:rPr>
              <w:t xml:space="preserve">（元）</w:t>
            </w:r>
            <w:r/>
          </w:p>
        </w:tc>
      </w:tr>
      <w:tr>
        <w:trPr/>
        <w:tc>
          <w:tcPr>
            <w:tcW w:w="1475" w:type="dxa"/>
            <w:textDirection w:val="lrTb"/>
            <w:noWrap w:val="false"/>
          </w:tcPr>
          <w:p>
            <w:pPr>
              <w:spacing w:line="440" w:lineRule="exact"/>
              <w:rPr>
                <w:rFonts w:ascii="宋体" w:hAnsi="宋体" w:cs="宋体"/>
                <w:sz w:val="24"/>
              </w:rPr>
            </w:pPr>
            <w:r>
              <w:rPr>
                <w:rFonts w:ascii="宋体" w:hAnsi="宋体" w:cs="宋体"/>
                <w:sz w:val="24"/>
              </w:rPr>
            </w:r>
            <w:r/>
          </w:p>
        </w:tc>
        <w:tc>
          <w:tcPr>
            <w:tcW w:w="1372" w:type="dxa"/>
            <w:textDirection w:val="lrTb"/>
            <w:noWrap w:val="false"/>
          </w:tcPr>
          <w:p>
            <w:pPr>
              <w:spacing w:line="440" w:lineRule="exact"/>
              <w:rPr>
                <w:rFonts w:ascii="宋体" w:hAnsi="宋体" w:cs="宋体"/>
                <w:sz w:val="24"/>
              </w:rPr>
            </w:pPr>
            <w:r>
              <w:rPr>
                <w:rFonts w:ascii="宋体" w:hAnsi="宋体" w:cs="宋体"/>
                <w:sz w:val="24"/>
              </w:rPr>
            </w:r>
            <w:r/>
          </w:p>
        </w:tc>
        <w:tc>
          <w:tcPr>
            <w:tcW w:w="1509" w:type="dxa"/>
            <w:textDirection w:val="lrTb"/>
            <w:noWrap w:val="false"/>
          </w:tcPr>
          <w:p>
            <w:pPr>
              <w:spacing w:line="440" w:lineRule="exact"/>
              <w:rPr>
                <w:rFonts w:ascii="宋体" w:hAnsi="宋体" w:cs="宋体"/>
                <w:sz w:val="24"/>
              </w:rPr>
            </w:pPr>
            <w:r>
              <w:rPr>
                <w:rFonts w:ascii="宋体" w:hAnsi="宋体" w:cs="宋体"/>
                <w:sz w:val="24"/>
              </w:rPr>
            </w:r>
            <w:r/>
          </w:p>
        </w:tc>
        <w:tc>
          <w:tcPr>
            <w:tcW w:w="1381" w:type="dxa"/>
            <w:textDirection w:val="lrTb"/>
            <w:noWrap w:val="false"/>
          </w:tcPr>
          <w:p>
            <w:pPr>
              <w:spacing w:line="440" w:lineRule="exact"/>
              <w:rPr>
                <w:rFonts w:ascii="宋体" w:hAnsi="宋体" w:cs="宋体"/>
                <w:sz w:val="24"/>
              </w:rPr>
            </w:pPr>
            <w:r>
              <w:rPr>
                <w:rFonts w:ascii="宋体" w:hAnsi="宋体" w:cs="宋体"/>
                <w:sz w:val="24"/>
              </w:rPr>
            </w:r>
            <w:r/>
          </w:p>
        </w:tc>
        <w:tc>
          <w:tcPr>
            <w:tcW w:w="1165" w:type="dxa"/>
            <w:textDirection w:val="lrTb"/>
            <w:noWrap w:val="false"/>
          </w:tcPr>
          <w:p>
            <w:pPr>
              <w:spacing w:line="440" w:lineRule="exact"/>
              <w:rPr>
                <w:rFonts w:ascii="宋体" w:hAnsi="宋体" w:cs="宋体"/>
                <w:sz w:val="24"/>
              </w:rPr>
            </w:pPr>
            <w:r>
              <w:rPr>
                <w:rFonts w:ascii="宋体" w:hAnsi="宋体" w:cs="宋体"/>
                <w:sz w:val="24"/>
              </w:rPr>
            </w:r>
            <w:r/>
          </w:p>
        </w:tc>
        <w:tc>
          <w:tcPr>
            <w:tcW w:w="1394" w:type="dxa"/>
            <w:textDirection w:val="lrTb"/>
            <w:noWrap w:val="false"/>
          </w:tcPr>
          <w:p>
            <w:pPr>
              <w:spacing w:line="440" w:lineRule="exact"/>
              <w:rPr>
                <w:rFonts w:ascii="宋体" w:hAnsi="宋体" w:cs="宋体"/>
                <w:sz w:val="24"/>
              </w:rPr>
            </w:pPr>
            <w:r>
              <w:rPr>
                <w:rFonts w:ascii="宋体" w:hAnsi="宋体" w:cs="宋体"/>
                <w:sz w:val="24"/>
              </w:rPr>
            </w:r>
            <w:r/>
          </w:p>
        </w:tc>
      </w:tr>
      <w:tr>
        <w:trPr/>
        <w:tc>
          <w:tcPr>
            <w:gridSpan w:val="4"/>
            <w:tcW w:w="5737" w:type="dxa"/>
            <w:textDirection w:val="lrTb"/>
            <w:noWrap w:val="false"/>
          </w:tcPr>
          <w:p>
            <w:pPr>
              <w:spacing w:line="440" w:lineRule="exact"/>
              <w:rPr>
                <w:rFonts w:ascii="宋体" w:hAnsi="宋体" w:cs="宋体"/>
                <w:sz w:val="24"/>
              </w:rPr>
            </w:pPr>
            <w:r>
              <w:rPr>
                <w:rFonts w:hint="eastAsia" w:ascii="宋体" w:hAnsi="宋体" w:cs="宋体"/>
                <w:sz w:val="24"/>
              </w:rPr>
              <w:t xml:space="preserve">总计（大写）：</w:t>
            </w:r>
            <w:r/>
          </w:p>
        </w:tc>
        <w:tc>
          <w:tcPr>
            <w:gridSpan w:val="2"/>
            <w:tcW w:w="2559" w:type="dxa"/>
            <w:textDirection w:val="lrTb"/>
            <w:noWrap w:val="false"/>
          </w:tcPr>
          <w:p>
            <w:pPr>
              <w:spacing w:line="440" w:lineRule="exact"/>
              <w:rPr>
                <w:rFonts w:ascii="宋体" w:hAnsi="宋体" w:cs="宋体"/>
                <w:sz w:val="24"/>
              </w:rPr>
            </w:pPr>
            <w:r>
              <w:rPr>
                <w:rFonts w:hint="eastAsia" w:ascii="宋体" w:hAnsi="宋体" w:cs="宋体"/>
                <w:sz w:val="24"/>
              </w:rPr>
              <w:t xml:space="preserve">（小写）：</w:t>
            </w:r>
            <w:r/>
          </w:p>
        </w:tc>
      </w:tr>
    </w:tbl>
    <w:p>
      <w:pPr>
        <w:ind w:firstLine="480"/>
        <w:spacing w:line="440" w:lineRule="exact"/>
        <w:rPr>
          <w:rFonts w:ascii="宋体" w:hAnsi="宋体" w:cs="宋体"/>
          <w:sz w:val="24"/>
        </w:rPr>
      </w:pPr>
      <w:r>
        <w:rPr>
          <w:rFonts w:hint="eastAsia" w:ascii="宋体" w:hAnsi="宋体" w:cs="宋体"/>
          <w:sz w:val="24"/>
        </w:rPr>
        <w:t xml:space="preserve">以上价格均为含税价格。</w:t>
      </w:r>
      <w:r/>
    </w:p>
    <w:p>
      <w:pPr>
        <w:ind w:firstLine="480"/>
        <w:spacing w:line="440" w:lineRule="exact"/>
        <w:rPr>
          <w:rFonts w:ascii="宋体" w:hAnsi="宋体" w:cs="宋体"/>
          <w:i/>
          <w:iCs/>
          <w:sz w:val="24"/>
        </w:rPr>
      </w:pPr>
      <w:r>
        <w:rPr>
          <w:rFonts w:hint="eastAsia" w:ascii="宋体" w:hAnsi="宋体" w:cs="宋体"/>
          <w:sz w:val="24"/>
        </w:rPr>
        <w:t xml:space="preserve">1.2 标的质量与检验：</w:t>
      </w:r>
      <w:r>
        <w:rPr>
          <w:rFonts w:hint="eastAsia" w:ascii="宋体" w:hAnsi="宋体" w:cs="宋体"/>
          <w:i/>
          <w:iCs/>
          <w:sz w:val="24"/>
        </w:rPr>
        <w:t xml:space="preserve"> </w:t>
      </w:r>
      <w:r/>
    </w:p>
    <w:p>
      <w:pPr>
        <w:ind w:firstLine="480"/>
        <w:spacing w:line="440" w:lineRule="exact"/>
        <w:tabs>
          <w:tab w:val="left" w:pos="525" w:leader="none"/>
          <w:tab w:val="left" w:pos="1050" w:leader="none"/>
          <w:tab w:val="left" w:pos="1155" w:leader="none"/>
        </w:tabs>
        <w:rPr>
          <w:rFonts w:ascii="宋体" w:hAnsi="宋体" w:cs="宋体"/>
          <w:bCs/>
          <w:sz w:val="24"/>
        </w:rPr>
      </w:pPr>
      <w:r>
        <w:rPr>
          <w:rFonts w:hint="eastAsia" w:ascii="宋体" w:hAnsi="宋体" w:cs="宋体"/>
          <w:bCs/>
          <w:sz w:val="24"/>
        </w:rPr>
        <w:t xml:space="preserve">1.2.1乙方应严格按照招标文件的有关规定和乙方投标文件提供合格的货物及服务。</w:t>
      </w:r>
      <w:r/>
    </w:p>
    <w:p>
      <w:pPr>
        <w:ind w:firstLine="480"/>
        <w:spacing w:line="440" w:lineRule="exact"/>
        <w:tabs>
          <w:tab w:val="left" w:pos="1050" w:leader="none"/>
          <w:tab w:val="left" w:pos="1155" w:leader="none"/>
        </w:tabs>
        <w:rPr>
          <w:rFonts w:ascii="宋体" w:hAnsi="宋体" w:cs="宋体"/>
          <w:bCs/>
          <w:sz w:val="24"/>
        </w:rPr>
      </w:pPr>
      <w:r>
        <w:rPr>
          <w:rFonts w:hint="eastAsia" w:ascii="宋体" w:hAnsi="宋体" w:cs="宋体"/>
          <w:bCs/>
          <w:sz w:val="24"/>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spacing w:line="440" w:lineRule="exact"/>
        <w:tabs>
          <w:tab w:val="left" w:pos="420" w:leader="none"/>
          <w:tab w:val="left" w:pos="1050" w:leader="none"/>
          <w:tab w:val="left" w:pos="1155" w:leader="none"/>
        </w:tabs>
        <w:rPr>
          <w:rFonts w:ascii="宋体" w:hAnsi="宋体" w:cs="宋体"/>
          <w:bCs/>
          <w:sz w:val="24"/>
        </w:rPr>
      </w:pPr>
      <w:r>
        <w:rPr>
          <w:rFonts w:hint="eastAsia" w:ascii="宋体" w:hAnsi="宋体" w:cs="宋体"/>
          <w:bCs/>
          <w:sz w:val="24"/>
        </w:rPr>
        <w:t xml:space="preserve">1.2.3货物的到货验收包括：数量、外观、质量、性能、随机备件、装箱单、质量证书等随机资料及包装完整无破损。</w:t>
      </w:r>
      <w:r/>
    </w:p>
    <w:p>
      <w:pPr>
        <w:ind w:firstLine="480"/>
        <w:spacing w:line="440" w:lineRule="exact"/>
        <w:tabs>
          <w:tab w:val="left" w:pos="1050" w:leader="none"/>
          <w:tab w:val="left" w:pos="1155" w:leader="none"/>
        </w:tabs>
        <w:rPr>
          <w:rFonts w:ascii="宋体" w:hAnsi="宋体" w:cs="宋体"/>
          <w:bCs/>
          <w:sz w:val="24"/>
        </w:rPr>
      </w:pPr>
      <w:r>
        <w:rPr>
          <w:rFonts w:hint="eastAsia" w:ascii="宋体" w:hAnsi="宋体" w:cs="宋体"/>
          <w:bCs/>
          <w:sz w:val="24"/>
        </w:rPr>
        <w:t xml:space="preserve">1.2.4货物和系统调试验收标准：按行业通行标准、厂方出厂标准、招标文件要求和乙方投标文件的承诺，并不低于国家相关标准。</w:t>
      </w:r>
      <w:r/>
    </w:p>
    <w:p>
      <w:pPr>
        <w:ind w:firstLine="480"/>
        <w:spacing w:line="440" w:lineRule="exact"/>
        <w:tabs>
          <w:tab w:val="left" w:pos="1050" w:leader="none"/>
          <w:tab w:val="left" w:pos="1155" w:leader="none"/>
        </w:tabs>
        <w:rPr>
          <w:rFonts w:ascii="宋体" w:hAnsi="宋体" w:cs="宋体"/>
          <w:bCs/>
          <w:sz w:val="24"/>
        </w:rPr>
      </w:pPr>
      <w:r>
        <w:rPr>
          <w:rFonts w:hint="eastAsia" w:ascii="宋体" w:hAnsi="宋体" w:cs="宋体"/>
          <w:bCs/>
          <w:sz w:val="24"/>
        </w:rPr>
        <w:t xml:space="preserve">1.2.5货物运到甲方指定地点并经甲方验证签收后，由于甲方保管不善造成的质量问题，乙方应负责修理，但有关费用由甲方承担。</w:t>
      </w:r>
      <w:r/>
    </w:p>
    <w:p>
      <w:pPr>
        <w:ind w:firstLine="480"/>
        <w:spacing w:line="440" w:lineRule="exact"/>
        <w:tabs>
          <w:tab w:val="left" w:pos="1050" w:leader="none"/>
          <w:tab w:val="left" w:pos="1155" w:leader="none"/>
        </w:tabs>
        <w:rPr>
          <w:rFonts w:ascii="宋体" w:hAnsi="宋体" w:cs="宋体"/>
          <w:bCs/>
          <w:sz w:val="24"/>
        </w:rPr>
      </w:pPr>
      <w:r>
        <w:rPr>
          <w:rFonts w:hint="eastAsia" w:ascii="宋体" w:hAnsi="宋体" w:cs="宋体"/>
          <w:bCs/>
          <w:sz w:val="24"/>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spacing w:line="440" w:lineRule="exact"/>
        <w:tabs>
          <w:tab w:val="left" w:pos="1050" w:leader="none"/>
          <w:tab w:val="left" w:pos="1155" w:leader="none"/>
        </w:tabs>
        <w:rPr>
          <w:rFonts w:ascii="宋体" w:hAnsi="宋体" w:cs="宋体"/>
          <w:bCs/>
          <w:sz w:val="24"/>
        </w:rPr>
      </w:pPr>
      <w:r>
        <w:rPr>
          <w:rFonts w:hint="eastAsia" w:ascii="宋体" w:hAnsi="宋体" w:cs="宋体"/>
          <w:bCs/>
          <w:sz w:val="24"/>
        </w:rPr>
        <w:t xml:space="preserve">1.2.7甲方不得擅自变更招投标文件约定的性能、指标等相关内容，如有变更应按《中华人民共和国政府采购法》、财政部《政府采购货物和服务招标投标管理办法》的相关程序执行。</w:t>
      </w:r>
      <w:r/>
    </w:p>
    <w:p>
      <w:pPr>
        <w:ind w:firstLine="480"/>
        <w:spacing w:line="440" w:lineRule="exact"/>
        <w:rPr>
          <w:rFonts w:ascii="宋体" w:hAnsi="宋体" w:cs="宋体"/>
          <w:sz w:val="24"/>
        </w:rPr>
      </w:pPr>
      <w:r>
        <w:rPr>
          <w:rFonts w:hint="eastAsia" w:ascii="宋体" w:hAnsi="宋体" w:cs="宋体"/>
          <w:sz w:val="24"/>
        </w:rPr>
        <w:t xml:space="preserve">1.3履行时间（交货或完工期限）：合同生效之日起</w:t>
      </w:r>
      <w:r>
        <w:rPr>
          <w:rFonts w:hint="eastAsia" w:ascii="宋体" w:hAnsi="宋体" w:cs="宋体"/>
          <w:sz w:val="24"/>
          <w:u w:val="single"/>
        </w:rPr>
        <w:t xml:space="preserve">         </w:t>
      </w:r>
      <w:r>
        <w:rPr>
          <w:rFonts w:hint="eastAsia" w:ascii="宋体" w:hAnsi="宋体" w:cs="宋体"/>
          <w:sz w:val="24"/>
        </w:rPr>
        <w:t xml:space="preserve">天内，交货并完成安装调试。</w:t>
      </w:r>
      <w:r/>
    </w:p>
    <w:p>
      <w:pPr>
        <w:ind w:firstLine="480"/>
        <w:spacing w:line="440" w:lineRule="exact"/>
        <w:rPr>
          <w:rFonts w:ascii="宋体" w:hAnsi="宋体" w:cs="宋体"/>
          <w:sz w:val="24"/>
        </w:rPr>
      </w:pPr>
      <w:r>
        <w:rPr>
          <w:rFonts w:hint="eastAsia" w:ascii="宋体" w:hAnsi="宋体" w:cs="宋体"/>
          <w:sz w:val="24"/>
        </w:rPr>
        <w:t xml:space="preserve">1.4履行地点：江南大学附属医院烧创伤楼5楼急诊科EICU和6楼烧伤重症监护室。</w:t>
      </w:r>
      <w:r/>
    </w:p>
    <w:p>
      <w:pPr>
        <w:ind w:firstLine="480"/>
        <w:spacing w:line="440" w:lineRule="exact"/>
        <w:rPr>
          <w:rFonts w:ascii="宋体" w:hAnsi="宋体" w:cs="宋体"/>
          <w:sz w:val="24"/>
        </w:rPr>
      </w:pPr>
      <w:r>
        <w:rPr>
          <w:rFonts w:hint="eastAsia" w:ascii="宋体" w:hAnsi="宋体" w:cs="宋体"/>
          <w:sz w:val="24"/>
        </w:rPr>
        <w:t xml:space="preserve">1.5履行方式：由乙方负责办理运输及装卸，直接送至甲方指定地点，并负责安装、调试、使用维护培训、售后服务等，所有费用由乙方承担。</w:t>
      </w:r>
      <w:r/>
    </w:p>
    <w:p>
      <w:pPr>
        <w:ind w:firstLine="480"/>
        <w:spacing w:line="440" w:lineRule="exact"/>
        <w:rPr>
          <w:rFonts w:ascii="宋体" w:hAnsi="宋体" w:cs="宋体"/>
          <w:bCs/>
          <w:sz w:val="24"/>
        </w:rPr>
      </w:pPr>
      <w:r>
        <w:rPr>
          <w:rFonts w:hint="eastAsia" w:ascii="宋体" w:hAnsi="宋体" w:cs="宋体"/>
          <w:bCs/>
          <w:sz w:val="24"/>
        </w:rPr>
        <w:t xml:space="preserve">1.5.1交货条件：</w:t>
      </w:r>
      <w:r/>
    </w:p>
    <w:p>
      <w:pPr>
        <w:ind w:firstLine="480"/>
        <w:spacing w:line="440" w:lineRule="exact"/>
        <w:tabs>
          <w:tab w:val="left" w:pos="420" w:leader="none"/>
          <w:tab w:val="left" w:pos="1155" w:leader="none"/>
        </w:tabs>
        <w:rPr>
          <w:rFonts w:ascii="宋体" w:hAnsi="宋体" w:cs="宋体"/>
          <w:bCs/>
          <w:sz w:val="24"/>
        </w:rPr>
      </w:pPr>
      <w:r>
        <w:rPr>
          <w:rFonts w:hint="eastAsia" w:ascii="宋体" w:hAnsi="宋体" w:cs="宋体"/>
          <w:bCs/>
          <w:sz w:val="24"/>
        </w:rPr>
        <w:t xml:space="preserve">1.5.1.1乙方在验收时应先用信函、传真、电子邮件等书面方式通知甲方。</w:t>
      </w:r>
      <w:r/>
    </w:p>
    <w:p>
      <w:pPr>
        <w:ind w:firstLine="480"/>
        <w:spacing w:line="440" w:lineRule="exact"/>
        <w:tabs>
          <w:tab w:val="left" w:pos="1155" w:leader="none"/>
        </w:tabs>
        <w:rPr>
          <w:rFonts w:ascii="宋体" w:hAnsi="宋体" w:cs="宋体"/>
          <w:bCs/>
          <w:sz w:val="24"/>
        </w:rPr>
      </w:pPr>
      <w:r>
        <w:rPr>
          <w:rFonts w:hint="eastAsia" w:ascii="宋体" w:hAnsi="宋体" w:cs="宋体"/>
          <w:bCs/>
          <w:sz w:val="24"/>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spacing w:line="440" w:lineRule="exact"/>
        <w:tabs>
          <w:tab w:val="left" w:pos="1155" w:leader="none"/>
        </w:tabs>
        <w:rPr>
          <w:rFonts w:ascii="宋体" w:hAnsi="宋体" w:cs="宋体"/>
          <w:bCs/>
          <w:sz w:val="24"/>
        </w:rPr>
      </w:pPr>
      <w:r>
        <w:rPr>
          <w:rFonts w:hint="eastAsia" w:ascii="宋体" w:hAnsi="宋体" w:cs="宋体"/>
          <w:bCs/>
          <w:sz w:val="24"/>
        </w:rPr>
        <w:t xml:space="preserve">1.5.1.3货物交货时，所有货物必须带有装箱单、</w:t>
      </w:r>
      <w:r>
        <w:rPr>
          <w:rFonts w:hint="eastAsia" w:ascii="宋体" w:hAnsi="宋体" w:cs="宋体"/>
          <w:sz w:val="24"/>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cs="宋体"/>
          <w:bCs/>
          <w:sz w:val="24"/>
        </w:rPr>
        <w:t xml:space="preserve">。其他附件所有部件必须原包装。</w:t>
      </w:r>
      <w:r/>
    </w:p>
    <w:p>
      <w:pPr>
        <w:ind w:firstLine="480"/>
        <w:spacing w:line="440" w:lineRule="exact"/>
        <w:tabs>
          <w:tab w:val="left" w:pos="1155" w:leader="none"/>
        </w:tabs>
        <w:rPr>
          <w:rFonts w:ascii="宋体" w:hAnsi="宋体" w:cs="宋体"/>
          <w:bCs/>
          <w:sz w:val="24"/>
        </w:rPr>
      </w:pPr>
      <w:r>
        <w:rPr>
          <w:rFonts w:hint="eastAsia" w:ascii="宋体" w:hAnsi="宋体" w:cs="宋体"/>
          <w:bCs/>
          <w:sz w:val="24"/>
        </w:rPr>
        <w:t xml:space="preserve">1.5.1.4运输及到货地点：由乙方负责办理运输并承担所有费用，直接送到甲方指定地点，即：以合同书上的地点为准。</w:t>
      </w:r>
      <w:r/>
    </w:p>
    <w:p>
      <w:pPr>
        <w:ind w:firstLine="480"/>
        <w:spacing w:line="440" w:lineRule="exact"/>
        <w:rPr>
          <w:rFonts w:ascii="宋体" w:hAnsi="宋体" w:cs="宋体"/>
          <w:bCs/>
          <w:sz w:val="24"/>
        </w:rPr>
      </w:pPr>
      <w:r>
        <w:rPr>
          <w:rFonts w:hint="eastAsia" w:ascii="宋体" w:hAnsi="宋体" w:cs="宋体"/>
          <w:bCs/>
          <w:sz w:val="24"/>
        </w:rPr>
        <w:t xml:space="preserve">1.5.2 安装调试及售后服务：</w:t>
      </w:r>
      <w:r/>
    </w:p>
    <w:p>
      <w:pPr>
        <w:ind w:firstLine="480"/>
        <w:spacing w:line="440" w:lineRule="exact"/>
        <w:tabs>
          <w:tab w:val="left" w:pos="525" w:leader="none"/>
          <w:tab w:val="left" w:pos="840" w:leader="none"/>
          <w:tab w:val="left" w:pos="945" w:leader="none"/>
          <w:tab w:val="left" w:pos="1965" w:leader="none"/>
        </w:tabs>
        <w:rPr>
          <w:rFonts w:ascii="宋体" w:hAnsi="宋体" w:cs="宋体"/>
          <w:bCs/>
          <w:sz w:val="24"/>
        </w:rPr>
      </w:pPr>
      <w:r>
        <w:rPr>
          <w:rFonts w:hint="eastAsia" w:ascii="宋体" w:hAnsi="宋体" w:cs="宋体"/>
          <w:bCs/>
          <w:sz w:val="24"/>
        </w:rPr>
        <w:t xml:space="preserve">1.5.2.1乙方负责本项目的安装和调试，并保证其提供的货物符合国家、行业、地方、招投标文件及合同规定的质量、性能和标准，并正确且安全地安装。</w:t>
      </w:r>
      <w:r/>
    </w:p>
    <w:p>
      <w:pPr>
        <w:ind w:firstLine="480"/>
        <w:spacing w:line="440" w:lineRule="exact"/>
        <w:tabs>
          <w:tab w:val="left" w:pos="525" w:leader="none"/>
          <w:tab w:val="left" w:pos="840" w:leader="none"/>
          <w:tab w:val="left" w:pos="945" w:leader="none"/>
          <w:tab w:val="left" w:pos="1050" w:leader="none"/>
          <w:tab w:val="left" w:pos="1965" w:leader="none"/>
        </w:tabs>
        <w:rPr>
          <w:rFonts w:ascii="宋体" w:hAnsi="宋体" w:cs="宋体"/>
          <w:bCs/>
          <w:sz w:val="24"/>
        </w:rPr>
      </w:pPr>
      <w:r>
        <w:rPr>
          <w:rFonts w:hint="eastAsia" w:ascii="宋体" w:hAnsi="宋体" w:cs="宋体"/>
          <w:bCs/>
          <w:sz w:val="24"/>
        </w:rPr>
        <w:t xml:space="preserve">1.5.2.2乙方提供的服务全部按照国家有关法律法规规章和“三包”规定以及按照招标文件要求和乙方投标文件中的承诺执行。</w:t>
      </w:r>
      <w:r/>
    </w:p>
    <w:p>
      <w:pPr>
        <w:ind w:firstLine="480"/>
        <w:spacing w:line="440" w:lineRule="exact"/>
        <w:tabs>
          <w:tab w:val="left" w:pos="525" w:leader="none"/>
          <w:tab w:val="left" w:pos="840" w:leader="none"/>
          <w:tab w:val="left" w:pos="945" w:leader="none"/>
          <w:tab w:val="left" w:pos="1050" w:leader="none"/>
          <w:tab w:val="left" w:pos="1965" w:leader="none"/>
        </w:tabs>
        <w:rPr>
          <w:rFonts w:ascii="宋体" w:hAnsi="宋体" w:cs="宋体"/>
          <w:bCs/>
          <w:sz w:val="24"/>
        </w:rPr>
      </w:pPr>
      <w:r>
        <w:rPr>
          <w:rFonts w:hint="eastAsia" w:ascii="宋体" w:hAnsi="宋体" w:cs="宋体"/>
          <w:bCs/>
          <w:sz w:val="24"/>
        </w:rPr>
        <w:t xml:space="preserve">1.5.2.3超过质保期的机器设备，终身维修，维修只收配件费，供方必须以低于市场价的80％优惠提供，具体由双方协商再定。</w:t>
      </w:r>
      <w:r/>
    </w:p>
    <w:p>
      <w:pPr>
        <w:ind w:firstLine="480"/>
        <w:spacing w:line="440" w:lineRule="exact"/>
        <w:tabs>
          <w:tab w:val="left" w:pos="525" w:leader="none"/>
          <w:tab w:val="left" w:pos="840" w:leader="none"/>
          <w:tab w:val="left" w:pos="945" w:leader="none"/>
          <w:tab w:val="left" w:pos="1050" w:leader="none"/>
          <w:tab w:val="left" w:pos="1965" w:leader="none"/>
        </w:tabs>
        <w:rPr>
          <w:rFonts w:ascii="宋体" w:hAnsi="宋体" w:cs="宋体"/>
          <w:bCs/>
          <w:sz w:val="24"/>
        </w:rPr>
      </w:pPr>
      <w:r>
        <w:rPr>
          <w:rFonts w:hint="eastAsia" w:ascii="宋体" w:hAnsi="宋体" w:cs="宋体"/>
          <w:bCs/>
          <w:sz w:val="24"/>
        </w:rPr>
        <w:t xml:space="preserve">1.5.2.4甲方应向乙方现场调试的技术人员及维修人员提供方便条件，有关费用由乙方负责。</w:t>
      </w:r>
      <w:r/>
    </w:p>
    <w:p>
      <w:pPr>
        <w:ind w:firstLine="480"/>
        <w:spacing w:line="440" w:lineRule="exact"/>
        <w:tabs>
          <w:tab w:val="left" w:pos="525" w:leader="none"/>
          <w:tab w:val="left" w:pos="840" w:leader="none"/>
          <w:tab w:val="left" w:pos="945" w:leader="none"/>
          <w:tab w:val="left" w:pos="1050" w:leader="none"/>
          <w:tab w:val="left" w:pos="1965" w:leader="none"/>
        </w:tabs>
        <w:rPr>
          <w:rFonts w:ascii="宋体" w:hAnsi="宋体" w:cs="宋体"/>
          <w:bCs/>
          <w:sz w:val="24"/>
        </w:rPr>
      </w:pPr>
      <w:r>
        <w:rPr>
          <w:rFonts w:hint="eastAsia" w:ascii="宋体" w:hAnsi="宋体" w:cs="宋体"/>
          <w:bCs/>
          <w:sz w:val="24"/>
        </w:rPr>
        <w:t xml:space="preserve">1.5.2.5甲方如要求乙方提供招标文件及乙方投标文件以外的其他服务，其费用另定。</w:t>
      </w:r>
      <w:r/>
    </w:p>
    <w:p>
      <w:pPr>
        <w:ind w:firstLine="480"/>
        <w:spacing w:line="440" w:lineRule="exact"/>
        <w:tabs>
          <w:tab w:val="left" w:pos="525" w:leader="none"/>
          <w:tab w:val="left" w:pos="840" w:leader="none"/>
          <w:tab w:val="left" w:pos="945" w:leader="none"/>
          <w:tab w:val="left" w:pos="1050" w:leader="none"/>
          <w:tab w:val="left" w:pos="1965" w:leader="none"/>
        </w:tabs>
        <w:rPr>
          <w:rFonts w:ascii="宋体" w:hAnsi="宋体" w:cs="宋体"/>
          <w:bCs/>
          <w:sz w:val="24"/>
        </w:rPr>
      </w:pPr>
      <w:r>
        <w:rPr>
          <w:rFonts w:hint="eastAsia" w:ascii="宋体" w:hAnsi="宋体" w:cs="宋体"/>
          <w:bCs/>
          <w:sz w:val="24"/>
        </w:rPr>
        <w:t xml:space="preserve">1.5.2.</w:t>
      </w:r>
      <w:r>
        <w:rPr>
          <w:rFonts w:hint="eastAsia" w:ascii="宋体" w:hAnsi="宋体" w:cs="宋体"/>
          <w:sz w:val="24"/>
          <w:shd w:val="clear" w:color="auto" w:fill="ffffff"/>
          <w:lang w:bidi="ar"/>
        </w:rPr>
        <w:t xml:space="preserve">6乙方承诺免费开放该设备的所有数字化接口，并由乙方配合与医院信息系统相连接。乙方承诺该设备软件终身免费升级。</w:t>
      </w:r>
      <w:r/>
    </w:p>
    <w:p>
      <w:pPr>
        <w:ind w:firstLine="480"/>
        <w:spacing w:line="440" w:lineRule="exact"/>
        <w:rPr>
          <w:rFonts w:ascii="宋体" w:hAnsi="宋体" w:cs="宋体"/>
          <w:sz w:val="24"/>
        </w:rPr>
      </w:pPr>
      <w:r>
        <w:rPr>
          <w:rFonts w:hint="eastAsia" w:ascii="宋体" w:hAnsi="宋体" w:cs="宋体"/>
          <w:sz w:val="24"/>
        </w:rPr>
        <w:t xml:space="preserve">1.6 包装方式：</w:t>
      </w:r>
      <w:r>
        <w:rPr>
          <w:rFonts w:hint="eastAsia" w:ascii="宋体" w:hAnsi="宋体" w:cs="宋体"/>
          <w:iCs/>
          <w:sz w:val="24"/>
          <w:u w:val="single"/>
        </w:rPr>
        <w:t xml:space="preserve">箱板包装。</w:t>
      </w:r>
      <w:r/>
    </w:p>
    <w:p>
      <w:pPr>
        <w:ind w:firstLine="482"/>
        <w:spacing w:line="440" w:lineRule="exact"/>
        <w:rPr>
          <w:rFonts w:ascii="宋体" w:hAnsi="宋体" w:cs="宋体"/>
          <w:b/>
          <w:sz w:val="24"/>
        </w:rPr>
      </w:pPr>
      <w:r>
        <w:rPr>
          <w:rFonts w:hint="eastAsia" w:ascii="宋体" w:hAnsi="宋体" w:cs="宋体"/>
          <w:b/>
          <w:sz w:val="24"/>
        </w:rPr>
        <w:t xml:space="preserve">二、合同金额</w:t>
      </w:r>
      <w:r/>
    </w:p>
    <w:p>
      <w:pPr>
        <w:ind w:firstLine="480"/>
        <w:spacing w:line="440" w:lineRule="exact"/>
        <w:rPr>
          <w:rFonts w:ascii="宋体" w:hAnsi="宋体" w:cs="宋体"/>
          <w:sz w:val="24"/>
        </w:rPr>
      </w:pPr>
      <w:r>
        <w:rPr>
          <w:rFonts w:hint="eastAsia" w:ascii="宋体" w:hAnsi="宋体" w:cs="宋体"/>
          <w:sz w:val="24"/>
        </w:rPr>
        <w:t xml:space="preserve">2.1本合同含税金额为（大写）： _____________圆（______元）人民币。</w:t>
      </w:r>
      <w:r/>
    </w:p>
    <w:p>
      <w:pPr>
        <w:ind w:firstLine="482"/>
        <w:spacing w:line="440" w:lineRule="exact"/>
        <w:rPr>
          <w:rFonts w:ascii="宋体" w:hAnsi="宋体" w:cs="宋体"/>
          <w:b/>
          <w:sz w:val="24"/>
        </w:rPr>
      </w:pPr>
      <w:r>
        <w:rPr>
          <w:rFonts w:hint="eastAsia" w:ascii="宋体" w:hAnsi="宋体" w:cs="宋体"/>
          <w:b/>
          <w:sz w:val="24"/>
        </w:rPr>
        <w:t xml:space="preserve">三、技术资料</w:t>
      </w:r>
      <w:r/>
    </w:p>
    <w:p>
      <w:pPr>
        <w:ind w:firstLine="480"/>
        <w:spacing w:line="440" w:lineRule="exact"/>
        <w:rPr>
          <w:rFonts w:ascii="宋体" w:hAnsi="宋体" w:cs="宋体"/>
          <w:sz w:val="24"/>
        </w:rPr>
      </w:pPr>
      <w:r>
        <w:rPr>
          <w:rFonts w:hint="eastAsia" w:ascii="宋体" w:hAnsi="宋体" w:cs="宋体"/>
          <w:sz w:val="24"/>
        </w:rPr>
        <w:t xml:space="preserve">3.1乙方应按招标文件规定的时间向甲方提供使用货物(包含与货物相关的服务)的有关技术资料。</w:t>
      </w:r>
      <w:r/>
    </w:p>
    <w:p>
      <w:pPr>
        <w:ind w:firstLine="480"/>
        <w:spacing w:line="440" w:lineRule="exact"/>
        <w:rPr>
          <w:rFonts w:ascii="宋体" w:hAnsi="宋体" w:cs="宋体"/>
          <w:sz w:val="24"/>
        </w:rPr>
      </w:pPr>
      <w:r>
        <w:rPr>
          <w:rFonts w:hint="eastAsia" w:ascii="宋体" w:hAnsi="宋体" w:cs="宋体"/>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40" w:lineRule="exact"/>
        <w:rPr>
          <w:rFonts w:ascii="宋体" w:hAnsi="宋体" w:cs="宋体"/>
          <w:b/>
          <w:sz w:val="24"/>
        </w:rPr>
      </w:pPr>
      <w:r>
        <w:rPr>
          <w:rFonts w:hint="eastAsia" w:ascii="宋体" w:hAnsi="宋体" w:cs="宋体"/>
          <w:b/>
          <w:sz w:val="24"/>
        </w:rPr>
        <w:t xml:space="preserve">四、知识产权</w:t>
      </w:r>
      <w:r/>
    </w:p>
    <w:p>
      <w:pPr>
        <w:ind w:firstLine="480"/>
        <w:spacing w:line="440" w:lineRule="exact"/>
        <w:rPr>
          <w:rFonts w:ascii="宋体" w:hAnsi="宋体" w:cs="宋体"/>
          <w:sz w:val="24"/>
        </w:rPr>
      </w:pPr>
      <w:r>
        <w:rPr>
          <w:rFonts w:hint="eastAsia" w:ascii="宋体" w:hAnsi="宋体" w:cs="宋体"/>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line="440" w:lineRule="exact"/>
        <w:rPr>
          <w:rFonts w:ascii="宋体" w:hAnsi="宋体" w:cs="宋体"/>
          <w:sz w:val="24"/>
        </w:rPr>
      </w:pPr>
      <w:r>
        <w:rPr>
          <w:rFonts w:hint="eastAsia" w:ascii="宋体" w:hAnsi="宋体" w:cs="宋体"/>
          <w:sz w:val="24"/>
        </w:rPr>
        <w:t xml:space="preserve">（注：采购项目如涉及采购标的的知识产权归属、处理的，如订购、设计、定制开发的信息化建设项目等，应当约定知识产权的归属和处理方式）</w:t>
      </w:r>
      <w:r/>
    </w:p>
    <w:p>
      <w:pPr>
        <w:ind w:firstLine="482"/>
        <w:spacing w:line="440" w:lineRule="exact"/>
        <w:rPr>
          <w:rFonts w:ascii="宋体" w:hAnsi="宋体" w:cs="宋体"/>
          <w:sz w:val="24"/>
          <w:u w:val="single"/>
        </w:rPr>
      </w:pPr>
      <w:r>
        <w:rPr>
          <w:rFonts w:hint="eastAsia" w:ascii="宋体" w:hAnsi="宋体" w:cs="宋体"/>
          <w:b/>
          <w:sz w:val="24"/>
        </w:rPr>
        <w:t xml:space="preserve">五、产权担保</w:t>
      </w:r>
      <w:r/>
    </w:p>
    <w:p>
      <w:pPr>
        <w:ind w:firstLine="480"/>
        <w:spacing w:line="440" w:lineRule="exact"/>
        <w:rPr>
          <w:rFonts w:ascii="宋体" w:hAnsi="宋体" w:cs="宋体"/>
          <w:sz w:val="24"/>
          <w:u w:val="single"/>
        </w:rPr>
      </w:pPr>
      <w:r>
        <w:rPr>
          <w:rFonts w:hint="eastAsia" w:ascii="宋体" w:hAnsi="宋体" w:cs="宋体"/>
          <w:sz w:val="24"/>
        </w:rPr>
        <w:t xml:space="preserve">5.1 乙方保证所交付的货物（包含与货物相关的服务）的所有权完全属于乙方且无任何抵押、查封等产权瑕疵。</w:t>
      </w:r>
      <w:r/>
    </w:p>
    <w:p>
      <w:pPr>
        <w:ind w:firstLine="482"/>
        <w:spacing w:line="440" w:lineRule="exact"/>
        <w:rPr>
          <w:rFonts w:ascii="宋体" w:hAnsi="宋体" w:cs="宋体"/>
          <w:b/>
          <w:sz w:val="24"/>
        </w:rPr>
      </w:pPr>
      <w:r>
        <w:rPr>
          <w:rFonts w:hint="eastAsia" w:ascii="宋体" w:hAnsi="宋体" w:cs="宋体"/>
          <w:b/>
          <w:sz w:val="24"/>
        </w:rPr>
        <w:t xml:space="preserve">六、履约保证金</w:t>
      </w:r>
      <w:r/>
    </w:p>
    <w:p>
      <w:pPr>
        <w:ind w:firstLine="480"/>
        <w:spacing w:line="440" w:lineRule="exact"/>
        <w:rPr>
          <w:rFonts w:ascii="宋体" w:hAnsi="宋体" w:cs="宋体"/>
          <w:sz w:val="24"/>
        </w:rPr>
      </w:pPr>
      <w:r>
        <w:rPr>
          <w:rFonts w:hint="eastAsia" w:ascii="宋体" w:hAnsi="宋体" w:cs="宋体"/>
          <w:sz w:val="24"/>
        </w:rPr>
        <w:t xml:space="preserve">6.1履约保证金缴纳金额：中标金额的10%。</w:t>
      </w:r>
      <w:r/>
    </w:p>
    <w:p>
      <w:pPr>
        <w:ind w:firstLine="480"/>
        <w:spacing w:line="440" w:lineRule="exact"/>
        <w:rPr>
          <w:rFonts w:ascii="宋体" w:hAnsi="宋体" w:cs="宋体"/>
          <w:sz w:val="24"/>
        </w:rPr>
      </w:pPr>
      <w:r>
        <w:rPr>
          <w:rFonts w:hint="eastAsia" w:ascii="宋体" w:hAnsi="宋体" w:cs="宋体"/>
          <w:sz w:val="24"/>
        </w:rPr>
        <w:t xml:space="preserve">6.1.1履约保证金的缴纳时间：供方在合同生效后进行缴纳。</w:t>
      </w:r>
      <w:r/>
    </w:p>
    <w:p>
      <w:pPr>
        <w:ind w:firstLine="480"/>
        <w:spacing w:line="440" w:lineRule="exact"/>
        <w:rPr>
          <w:rFonts w:ascii="宋体" w:hAnsi="宋体" w:cs="宋体"/>
          <w:sz w:val="24"/>
        </w:rPr>
      </w:pPr>
      <w:r>
        <w:rPr>
          <w:rFonts w:hint="eastAsia" w:ascii="宋体" w:hAnsi="宋体" w:cs="宋体"/>
          <w:sz w:val="24"/>
        </w:rPr>
        <w:t xml:space="preserve">6.1.2缴纳形式：银行保函等非现金形式缴纳。</w:t>
      </w:r>
      <w:r/>
    </w:p>
    <w:p>
      <w:pPr>
        <w:ind w:firstLine="480"/>
        <w:spacing w:line="440" w:lineRule="exact"/>
        <w:rPr>
          <w:rFonts w:ascii="宋体" w:hAnsi="宋体" w:cs="宋体"/>
          <w:sz w:val="24"/>
        </w:rPr>
      </w:pPr>
      <w:r>
        <w:rPr>
          <w:rFonts w:hint="eastAsia" w:ascii="宋体" w:hAnsi="宋体" w:cs="宋体"/>
          <w:sz w:val="24"/>
        </w:rPr>
        <w:t xml:space="preserve">6.2履约保证金的退付时间：本项目验收合格后。</w:t>
      </w:r>
      <w:r/>
    </w:p>
    <w:p>
      <w:pPr>
        <w:ind w:firstLine="480"/>
        <w:spacing w:line="440" w:lineRule="exact"/>
        <w:rPr>
          <w:rFonts w:ascii="宋体" w:hAnsi="宋体" w:cs="宋体"/>
          <w:sz w:val="24"/>
        </w:rPr>
      </w:pPr>
      <w:r>
        <w:rPr>
          <w:rFonts w:hint="eastAsia" w:ascii="宋体" w:hAnsi="宋体" w:cs="宋体"/>
          <w:sz w:val="24"/>
        </w:rPr>
        <w:t xml:space="preserve">6.2.1退付办法：原路退还，或履约保函到期自动失效。</w:t>
      </w:r>
      <w:r/>
    </w:p>
    <w:p>
      <w:pPr>
        <w:ind w:firstLine="480"/>
        <w:spacing w:line="440" w:lineRule="exact"/>
        <w:rPr>
          <w:rFonts w:ascii="宋体" w:hAnsi="宋体" w:cs="宋体"/>
          <w:sz w:val="24"/>
        </w:rPr>
      </w:pPr>
      <w:r>
        <w:rPr>
          <w:rFonts w:hint="eastAsia" w:ascii="宋体" w:hAnsi="宋体" w:cs="宋体"/>
          <w:sz w:val="24"/>
        </w:rPr>
        <w:t xml:space="preserve">6.2.2履约保证金不予退还的情形：</w:t>
      </w:r>
      <w:r/>
    </w:p>
    <w:p>
      <w:pPr>
        <w:ind w:firstLine="480"/>
        <w:spacing w:line="440" w:lineRule="exact"/>
        <w:rPr>
          <w:rFonts w:ascii="宋体" w:hAnsi="宋体" w:cs="宋体"/>
          <w:sz w:val="24"/>
        </w:rPr>
      </w:pPr>
      <w:r>
        <w:rPr>
          <w:rFonts w:hint="eastAsia" w:ascii="宋体" w:hAnsi="宋体" w:cs="宋体"/>
          <w:sz w:val="24"/>
        </w:rPr>
        <w:t xml:space="preserve">①乙方根本违约，导致合同目的无法实现的（根本违约的具体情形包括但不限于：逾期交付超过30日、产品经更换后仍无法满足使用要求等）。</w:t>
      </w:r>
      <w:r/>
    </w:p>
    <w:p>
      <w:pPr>
        <w:ind w:firstLine="480"/>
        <w:spacing w:line="440" w:lineRule="exact"/>
        <w:rPr>
          <w:rFonts w:ascii="宋体" w:hAnsi="宋体" w:cs="宋体"/>
          <w:sz w:val="24"/>
        </w:rPr>
      </w:pPr>
      <w:r>
        <w:rPr>
          <w:rFonts w:hint="eastAsia" w:ascii="宋体" w:hAnsi="宋体" w:cs="宋体"/>
          <w:sz w:val="24"/>
        </w:rPr>
        <w:t xml:space="preserve">②乙方提供的产品/服务因严重质量问题导致人身伤害或重大财产损失的。</w:t>
      </w:r>
      <w:r/>
    </w:p>
    <w:p>
      <w:pPr>
        <w:ind w:firstLine="480"/>
        <w:spacing w:line="440" w:lineRule="exact"/>
        <w:rPr>
          <w:rFonts w:ascii="宋体" w:hAnsi="宋体" w:cs="宋体"/>
          <w:sz w:val="24"/>
        </w:rPr>
      </w:pPr>
      <w:r>
        <w:rPr>
          <w:rFonts w:hint="eastAsia" w:ascii="宋体" w:hAnsi="宋体" w:cs="宋体"/>
          <w:sz w:val="24"/>
        </w:rPr>
        <w:t xml:space="preserve">③因乙方原因给甲方造成经济损失，且损失金额超过履约保证金金额的，甲方有权扣除与损失相当的保证金。</w:t>
      </w:r>
      <w:r/>
    </w:p>
    <w:p>
      <w:pPr>
        <w:ind w:firstLine="480"/>
        <w:spacing w:line="440" w:lineRule="exact"/>
        <w:rPr>
          <w:rFonts w:ascii="宋体" w:hAnsi="宋体" w:cs="宋体"/>
          <w:sz w:val="24"/>
        </w:rPr>
      </w:pPr>
      <w:r>
        <w:rPr>
          <w:rFonts w:hint="eastAsia" w:ascii="宋体" w:hAnsi="宋体" w:cs="宋体"/>
          <w:sz w:val="24"/>
        </w:rPr>
        <w:t xml:space="preserve">6.2.3逾期退还履约保证金的违约责任：承担履约保证金金额千分之二/天的违约金。</w:t>
      </w:r>
      <w:r/>
    </w:p>
    <w:p>
      <w:pPr>
        <w:ind w:firstLine="480"/>
        <w:spacing w:line="440" w:lineRule="exact"/>
        <w:rPr>
          <w:rFonts w:ascii="宋体" w:hAnsi="宋体" w:cs="宋体"/>
          <w:sz w:val="24"/>
        </w:rPr>
      </w:pPr>
      <w:r>
        <w:rPr>
          <w:rFonts w:hint="eastAsia" w:ascii="宋体" w:hAnsi="宋体" w:cs="宋体"/>
          <w:sz w:val="24"/>
        </w:rPr>
        <w:t xml:space="preserve">6.2.4乙方向甲方支付赔偿金或违约金的，甲方有权在应付款或履约保证金中直接扣除。</w:t>
      </w:r>
      <w:r/>
    </w:p>
    <w:p>
      <w:pPr>
        <w:ind w:firstLine="482"/>
        <w:spacing w:line="440" w:lineRule="exact"/>
        <w:rPr>
          <w:rFonts w:ascii="宋体" w:hAnsi="宋体" w:cs="宋体"/>
          <w:b/>
          <w:sz w:val="24"/>
        </w:rPr>
      </w:pPr>
      <w:r>
        <w:rPr>
          <w:rFonts w:hint="eastAsia" w:ascii="宋体" w:hAnsi="宋体" w:cs="宋体"/>
          <w:b/>
          <w:sz w:val="24"/>
        </w:rPr>
        <w:t xml:space="preserve">七、合同转包或分包</w:t>
      </w:r>
      <w:r/>
    </w:p>
    <w:p>
      <w:pPr>
        <w:ind w:firstLine="480"/>
        <w:spacing w:line="440" w:lineRule="exact"/>
        <w:rPr>
          <w:rFonts w:ascii="宋体" w:hAnsi="宋体" w:cs="宋体"/>
          <w:sz w:val="24"/>
        </w:rPr>
      </w:pPr>
      <w:r>
        <w:rPr>
          <w:rFonts w:hint="eastAsia" w:ascii="宋体" w:hAnsi="宋体" w:cs="宋体"/>
          <w:sz w:val="24"/>
        </w:rPr>
        <w:t xml:space="preserve">7.1乙方不得将合同标的转包给他人履行。</w:t>
      </w:r>
      <w:r/>
    </w:p>
    <w:p>
      <w:pPr>
        <w:ind w:firstLine="480"/>
        <w:spacing w:line="440" w:lineRule="exact"/>
        <w:rPr>
          <w:rFonts w:ascii="宋体" w:hAnsi="宋体" w:cs="宋体"/>
          <w:sz w:val="24"/>
        </w:rPr>
      </w:pPr>
      <w:r>
        <w:rPr>
          <w:rFonts w:hint="eastAsia" w:ascii="宋体" w:hAnsi="宋体" w:cs="宋体"/>
          <w:sz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40" w:lineRule="exact"/>
        <w:rPr>
          <w:rFonts w:ascii="宋体" w:hAnsi="宋体" w:cs="宋体"/>
          <w:sz w:val="24"/>
        </w:rPr>
      </w:pPr>
      <w:r>
        <w:rPr>
          <w:rFonts w:hint="eastAsia" w:ascii="宋体" w:hAnsi="宋体" w:cs="宋体"/>
          <w:sz w:val="24"/>
        </w:rPr>
        <w:t xml:space="preserve">7.3乙方如有转包或未经甲方同意的分包行为，甲方有权给予终止合同。</w:t>
      </w:r>
      <w:r/>
    </w:p>
    <w:p>
      <w:pPr>
        <w:ind w:firstLine="482"/>
        <w:spacing w:line="440" w:lineRule="exact"/>
        <w:rPr>
          <w:rFonts w:ascii="宋体" w:hAnsi="宋体" w:cs="宋体"/>
          <w:b/>
          <w:sz w:val="24"/>
        </w:rPr>
      </w:pPr>
      <w:r>
        <w:rPr>
          <w:rFonts w:hint="eastAsia" w:ascii="宋体" w:hAnsi="宋体" w:cs="宋体"/>
          <w:b/>
          <w:sz w:val="24"/>
        </w:rPr>
        <w:t xml:space="preserve">八、合同款项支付</w:t>
      </w:r>
      <w:r/>
    </w:p>
    <w:p>
      <w:pPr>
        <w:ind w:firstLine="480"/>
        <w:spacing w:line="440" w:lineRule="exact"/>
        <w:rPr>
          <w:rFonts w:ascii="宋体" w:hAnsi="宋体" w:cs="宋体"/>
          <w:bCs/>
          <w:sz w:val="24"/>
        </w:rPr>
      </w:pPr>
      <w:r>
        <w:rPr>
          <w:rFonts w:hint="eastAsia" w:ascii="宋体" w:hAnsi="宋体" w:cs="宋体"/>
          <w:bCs/>
          <w:sz w:val="24"/>
        </w:rPr>
        <w:t xml:space="preserve">8.1合同款项的支付方式及进度安排</w:t>
      </w:r>
      <w:r/>
    </w:p>
    <w:p>
      <w:pPr>
        <w:ind w:firstLine="480"/>
        <w:spacing w:line="440" w:lineRule="exact"/>
        <w:rPr>
          <w:rFonts w:ascii="宋体" w:hAnsi="宋体" w:cs="宋体"/>
          <w:sz w:val="24"/>
        </w:rPr>
      </w:pPr>
      <w:r>
        <w:rPr>
          <w:rFonts w:hint="eastAsia" w:ascii="宋体" w:hAnsi="宋体" w:cs="宋体"/>
          <w:sz w:val="24"/>
        </w:rPr>
        <w:t xml:space="preserve">合同签订后30日内预付合同金额30%，货到现场安装、调试、培训、初步验收试运行3个月后30日内付款60%，试运行12个月后30日内正式验收合格后无息支付10%余款。（如果中标人为中小企业，按《保障中小企业款项支付条例》(国令第 802号)相关要求执行。）</w:t>
      </w:r>
      <w:r/>
    </w:p>
    <w:p>
      <w:pPr>
        <w:ind w:firstLine="480"/>
        <w:spacing w:line="440" w:lineRule="exact"/>
        <w:rPr>
          <w:rFonts w:ascii="宋体" w:hAnsi="宋体" w:cs="宋体"/>
          <w:sz w:val="24"/>
        </w:rPr>
      </w:pPr>
      <w:r>
        <w:rPr>
          <w:rFonts w:hint="eastAsia" w:ascii="宋体" w:hAnsi="宋体" w:cs="宋体"/>
          <w:bCs/>
          <w:sz w:val="24"/>
        </w:rPr>
        <w:t xml:space="preserve">8.2</w:t>
      </w:r>
      <w:r>
        <w:rPr>
          <w:rFonts w:hint="eastAsia" w:ascii="宋体" w:hAnsi="宋体" w:cs="宋体"/>
          <w:sz w:val="24"/>
        </w:rPr>
        <w:t xml:space="preserve">当采购数量与实际使用数量不一致时，乙方应根据实际使用量供货，合同的最终结算金额按实际使用量乘以成交单价进行计算。</w:t>
      </w:r>
      <w:r/>
    </w:p>
    <w:p>
      <w:pPr>
        <w:ind w:firstLine="480"/>
        <w:spacing w:line="440" w:lineRule="exact"/>
        <w:rPr>
          <w:rFonts w:ascii="宋体" w:hAnsi="宋体" w:cs="宋体"/>
          <w:sz w:val="24"/>
        </w:rPr>
      </w:pPr>
      <w:r>
        <w:rPr>
          <w:rFonts w:hint="eastAsia" w:ascii="宋体" w:hAnsi="宋体" w:cs="宋体"/>
          <w:sz w:val="24"/>
        </w:rPr>
        <w:t xml:space="preserve">8.3乙方应在甲方付款前向甲方交付符合要求的发票，乙方逾期交付发票的，甲方有权延迟付款。</w:t>
      </w:r>
      <w:r/>
    </w:p>
    <w:p>
      <w:pPr>
        <w:ind w:firstLine="482"/>
        <w:spacing w:line="440" w:lineRule="exact"/>
        <w:rPr>
          <w:rFonts w:ascii="宋体" w:hAnsi="宋体" w:cs="宋体"/>
          <w:b/>
          <w:sz w:val="24"/>
        </w:rPr>
      </w:pPr>
      <w:r>
        <w:rPr>
          <w:rFonts w:hint="eastAsia" w:ascii="宋体" w:hAnsi="宋体" w:cs="宋体"/>
          <w:b/>
          <w:sz w:val="24"/>
        </w:rPr>
        <w:t xml:space="preserve">九、税费</w:t>
      </w:r>
      <w:r/>
    </w:p>
    <w:p>
      <w:pPr>
        <w:ind w:firstLine="480"/>
        <w:spacing w:line="440" w:lineRule="exact"/>
        <w:rPr>
          <w:rFonts w:ascii="宋体" w:hAnsi="宋体" w:cs="宋体"/>
          <w:sz w:val="24"/>
        </w:rPr>
      </w:pPr>
      <w:r>
        <w:rPr>
          <w:rFonts w:hint="eastAsia" w:ascii="宋体" w:hAnsi="宋体" w:cs="宋体"/>
          <w:sz w:val="24"/>
        </w:rPr>
        <w:t xml:space="preserve">9.1本合同执行中相关的一切税费均由乙方负担。</w:t>
      </w:r>
      <w:r/>
    </w:p>
    <w:p>
      <w:pPr>
        <w:ind w:firstLine="482"/>
        <w:spacing w:line="440" w:lineRule="exact"/>
        <w:rPr>
          <w:rFonts w:ascii="宋体" w:hAnsi="宋体" w:cs="宋体"/>
          <w:sz w:val="24"/>
        </w:rPr>
      </w:pPr>
      <w:r>
        <w:rPr>
          <w:rFonts w:hint="eastAsia" w:ascii="宋体" w:hAnsi="宋体" w:cs="宋体"/>
          <w:b/>
          <w:sz w:val="24"/>
        </w:rPr>
        <w:t xml:space="preserve">十、质量保修范围和质保期及售后服务</w:t>
      </w:r>
      <w:r/>
    </w:p>
    <w:p>
      <w:pPr>
        <w:ind w:firstLine="480"/>
        <w:spacing w:line="440" w:lineRule="exact"/>
        <w:rPr>
          <w:rFonts w:ascii="宋体" w:hAnsi="宋体" w:cs="宋体"/>
          <w:sz w:val="24"/>
        </w:rPr>
      </w:pPr>
      <w:r>
        <w:rPr>
          <w:rFonts w:hint="eastAsia" w:ascii="宋体" w:hAnsi="宋体" w:cs="宋体"/>
          <w:sz w:val="24"/>
        </w:rPr>
        <w:t xml:space="preserve">10.1乙方应按招标文件规定的货物性能、技术要求、质量标准向甲方提供未经使用的全新产品。</w:t>
      </w:r>
      <w:r/>
    </w:p>
    <w:p>
      <w:pPr>
        <w:ind w:firstLine="480"/>
        <w:spacing w:line="440" w:lineRule="exact"/>
        <w:rPr>
          <w:rFonts w:ascii="宋体" w:hAnsi="宋体" w:cs="宋体"/>
          <w:sz w:val="24"/>
        </w:rPr>
      </w:pPr>
      <w:r>
        <w:rPr>
          <w:rFonts w:hint="eastAsia" w:ascii="宋体" w:hAnsi="宋体" w:cs="宋体"/>
          <w:sz w:val="24"/>
        </w:rPr>
        <w:t xml:space="preserve">10.2乙方提供的货物在质量期内因货物本身的质量问题发生故障，乙方应负责免费更换。对达不到技术要求者，根据实际情况，经双方协商，可按以下办法处理：</w:t>
      </w:r>
      <w:r/>
    </w:p>
    <w:p>
      <w:pPr>
        <w:ind w:firstLine="480"/>
        <w:spacing w:line="440" w:lineRule="exact"/>
        <w:rPr>
          <w:rFonts w:ascii="宋体" w:hAnsi="宋体" w:cs="宋体"/>
          <w:sz w:val="24"/>
        </w:rPr>
      </w:pPr>
      <w:r>
        <w:rPr>
          <w:rFonts w:hint="eastAsia" w:ascii="宋体" w:hAnsi="宋体" w:cs="宋体"/>
          <w:sz w:val="24"/>
        </w:rPr>
        <w:t xml:space="preserve">⑴更换：由乙方承担所发生的全部费用。</w:t>
      </w:r>
      <w:r/>
    </w:p>
    <w:p>
      <w:pPr>
        <w:ind w:firstLine="480"/>
        <w:spacing w:line="440" w:lineRule="exact"/>
        <w:rPr>
          <w:rFonts w:ascii="宋体" w:hAnsi="宋体" w:cs="宋体"/>
          <w:sz w:val="24"/>
        </w:rPr>
      </w:pPr>
      <w:r>
        <w:rPr>
          <w:rFonts w:hint="eastAsia" w:ascii="宋体" w:hAnsi="宋体" w:cs="宋体"/>
          <w:sz w:val="24"/>
        </w:rPr>
        <w:t xml:space="preserve">⑵贬值处理：由甲乙双方合议定价。</w:t>
      </w:r>
      <w:r/>
    </w:p>
    <w:p>
      <w:pPr>
        <w:ind w:firstLine="480"/>
        <w:spacing w:line="440" w:lineRule="exact"/>
        <w:rPr>
          <w:rFonts w:ascii="宋体" w:hAnsi="宋体" w:cs="宋体"/>
          <w:sz w:val="24"/>
        </w:rPr>
      </w:pPr>
      <w:r>
        <w:rPr>
          <w:rFonts w:hint="eastAsia" w:ascii="宋体" w:hAnsi="宋体" w:cs="宋体"/>
          <w:sz w:val="24"/>
        </w:rPr>
        <w:t xml:space="preserve">⑶退货处理：乙方应退还甲方支付的合同款，同时应承担该货物的直接费用（运输、保险、检验、货款利息及银行手续费等）。</w:t>
      </w:r>
      <w:r/>
    </w:p>
    <w:p>
      <w:pPr>
        <w:ind w:firstLine="480"/>
        <w:spacing w:line="440" w:lineRule="exact"/>
        <w:rPr>
          <w:rFonts w:ascii="宋体" w:hAnsi="宋体" w:cs="宋体"/>
          <w:sz w:val="24"/>
        </w:rPr>
      </w:pPr>
      <w:r>
        <w:rPr>
          <w:rFonts w:hint="eastAsia" w:ascii="宋体" w:hAnsi="宋体" w:cs="宋体"/>
          <w:sz w:val="24"/>
        </w:rPr>
        <w:t xml:space="preserve">10.3如在使用过程中发生质量问题或故障，乙方在接到甲方通知后在_________小时内到达甲方现场。</w:t>
      </w:r>
      <w:r/>
    </w:p>
    <w:p>
      <w:pPr>
        <w:ind w:firstLine="480"/>
        <w:spacing w:line="440" w:lineRule="exact"/>
        <w:rPr>
          <w:rFonts w:ascii="宋体" w:hAnsi="宋体" w:cs="宋体"/>
          <w:sz w:val="24"/>
        </w:rPr>
      </w:pPr>
      <w:r>
        <w:rPr>
          <w:rFonts w:hint="eastAsia" w:ascii="宋体" w:hAnsi="宋体" w:cs="宋体"/>
          <w:sz w:val="24"/>
        </w:rPr>
        <w:t xml:space="preserve">10.4在质保期内，乙方应对货物出现的质量及安全问题负责处理解决并承担一切费用。</w:t>
      </w:r>
      <w:r/>
    </w:p>
    <w:p>
      <w:pPr>
        <w:ind w:firstLine="480"/>
        <w:spacing w:line="440" w:lineRule="exact"/>
        <w:rPr>
          <w:rFonts w:ascii="宋体" w:hAnsi="宋体" w:cs="宋体"/>
          <w:sz w:val="24"/>
        </w:rPr>
      </w:pPr>
      <w:r>
        <w:rPr>
          <w:rFonts w:hint="eastAsia" w:ascii="宋体" w:hAnsi="宋体" w:cs="宋体"/>
          <w:sz w:val="24"/>
        </w:rPr>
        <w:t xml:space="preserve">10.5上述的货物免费质保期为</w:t>
      </w:r>
      <w:r>
        <w:rPr>
          <w:rFonts w:hint="eastAsia" w:ascii="宋体" w:hAnsi="宋体" w:cs="宋体"/>
          <w:sz w:val="24"/>
          <w:u w:val="single"/>
        </w:rPr>
        <w:t xml:space="preserve">     </w:t>
      </w:r>
      <w:r>
        <w:rPr>
          <w:rFonts w:hint="eastAsia" w:ascii="宋体" w:hAnsi="宋体" w:cs="宋体"/>
          <w:sz w:val="24"/>
        </w:rPr>
        <w:t xml:space="preserve">年（自交货验收合格之日起计），因人为因素出现的故障不在免费保修范围内。超过质保期的机器设备，终身维修，维修只收配件费，供方必须以低于市场价的80％优惠提供，具体</w:t>
      </w:r>
      <w:r>
        <w:rPr>
          <w:rFonts w:hint="eastAsia" w:ascii="宋体" w:hAnsi="宋体" w:cs="宋体"/>
          <w:bCs/>
          <w:sz w:val="24"/>
        </w:rPr>
        <w:t xml:space="preserve">由双方协商再定。</w:t>
      </w:r>
      <w:r/>
    </w:p>
    <w:p>
      <w:pPr>
        <w:ind w:firstLine="482"/>
        <w:spacing w:line="440" w:lineRule="exact"/>
        <w:rPr>
          <w:rFonts w:ascii="宋体" w:hAnsi="宋体" w:cs="宋体"/>
          <w:b/>
          <w:sz w:val="24"/>
        </w:rPr>
      </w:pPr>
      <w:r>
        <w:rPr>
          <w:rFonts w:hint="eastAsia" w:ascii="宋体" w:hAnsi="宋体" w:cs="宋体"/>
          <w:b/>
          <w:sz w:val="24"/>
        </w:rPr>
        <w:t xml:space="preserve">十一、项目验收</w:t>
      </w:r>
      <w:r/>
    </w:p>
    <w:p>
      <w:pPr>
        <w:ind w:firstLine="480"/>
        <w:spacing w:line="440" w:lineRule="exact"/>
        <w:rPr>
          <w:rFonts w:ascii="宋体" w:hAnsi="宋体" w:cs="宋体"/>
          <w:sz w:val="24"/>
        </w:rPr>
      </w:pPr>
      <w:r>
        <w:rPr>
          <w:rFonts w:hint="eastAsia" w:ascii="宋体" w:hAnsi="宋体" w:cs="宋体"/>
          <w:sz w:val="24"/>
        </w:rPr>
        <w:t xml:space="preserve">11.1甲方依法组织履约验收工作。</w:t>
      </w:r>
      <w:r/>
    </w:p>
    <w:p>
      <w:pPr>
        <w:ind w:firstLine="480"/>
        <w:spacing w:line="440" w:lineRule="exact"/>
        <w:rPr>
          <w:rFonts w:ascii="宋体" w:hAnsi="宋体" w:cs="宋体"/>
          <w:sz w:val="24"/>
        </w:rPr>
      </w:pPr>
      <w:r>
        <w:rPr>
          <w:rFonts w:hint="eastAsia" w:ascii="宋体" w:hAnsi="宋体" w:cs="宋体"/>
          <w:sz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40" w:lineRule="exact"/>
        <w:rPr>
          <w:rFonts w:ascii="宋体" w:hAnsi="宋体" w:cs="宋体"/>
          <w:sz w:val="24"/>
        </w:rPr>
      </w:pPr>
      <w:r>
        <w:rPr>
          <w:rFonts w:hint="eastAsia" w:ascii="宋体" w:hAnsi="宋体" w:cs="宋体"/>
          <w:sz w:val="24"/>
        </w:rPr>
        <w:t xml:space="preserve">11.3对于实际使用人和甲方分离的项目，甲方邀请实际使用人参与验收。</w:t>
      </w:r>
      <w:r/>
    </w:p>
    <w:p>
      <w:pPr>
        <w:ind w:firstLine="480"/>
        <w:spacing w:line="440" w:lineRule="exact"/>
        <w:rPr>
          <w:rFonts w:ascii="宋体" w:hAnsi="宋体" w:cs="宋体"/>
          <w:sz w:val="24"/>
        </w:rPr>
      </w:pPr>
      <w:r>
        <w:rPr>
          <w:rFonts w:hint="eastAsia" w:ascii="宋体" w:hAnsi="宋体" w:cs="宋体"/>
          <w:sz w:val="24"/>
        </w:rPr>
        <w:t xml:space="preserve">11.4如有必要，甲方邀请参加本项目的其他供应商或第三方专业机构及专家参与验收，相关意见将作为验收书的参考资料。</w:t>
      </w:r>
      <w:r/>
    </w:p>
    <w:p>
      <w:pPr>
        <w:ind w:firstLine="480"/>
        <w:spacing w:line="440" w:lineRule="exact"/>
        <w:rPr>
          <w:rFonts w:ascii="宋体" w:hAnsi="宋体" w:cs="宋体"/>
          <w:sz w:val="24"/>
        </w:rPr>
      </w:pPr>
      <w:r>
        <w:rPr>
          <w:rFonts w:hint="eastAsia" w:ascii="宋体" w:hAnsi="宋体" w:cs="宋体"/>
          <w:sz w:val="24"/>
        </w:rPr>
        <w:t xml:space="preserve">11.5甲方成立验收小组，按照采购合同的约定对乙方的履约情况进行验收。验收时间、验收标准见招标文件验收内容，</w:t>
      </w:r>
      <w:r>
        <w:rPr>
          <w:rFonts w:hint="eastAsia" w:ascii="宋体" w:hAnsi="宋体"/>
          <w:bCs/>
          <w:color w:val="000000" w:themeColor="text1"/>
          <w:sz w:val="24"/>
          <w14:textFill>
            <w14:solidFill>
              <w14:schemeClr w14:val="tx1"/>
            </w14:solidFill>
          </w14:textFill>
        </w:rPr>
        <w:t xml:space="preserve">要求进口产品到货日期距仪器生产日期不超</w:t>
      </w:r>
      <w:r>
        <w:rPr>
          <w:rFonts w:hint="eastAsia" w:ascii="宋体" w:hAnsi="宋体"/>
          <w:bCs/>
          <w:sz w:val="24"/>
        </w:rPr>
        <w:t xml:space="preserve">过一年，国产产品不超过半年（以铭牌或说明书确认）</w:t>
      </w:r>
      <w:r>
        <w:rPr>
          <w:rFonts w:hint="eastAsia" w:ascii="宋体" w:hAnsi="宋体" w:cs="宋体"/>
          <w:sz w:val="24"/>
        </w:rPr>
        <w:t xml:space="preserve">。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40" w:lineRule="exact"/>
        <w:rPr>
          <w:rFonts w:ascii="宋体" w:hAnsi="宋体" w:cs="宋体"/>
          <w:sz w:val="24"/>
        </w:rPr>
      </w:pPr>
      <w:r>
        <w:rPr>
          <w:rFonts w:hint="eastAsia" w:ascii="宋体" w:hAnsi="宋体" w:cs="宋体"/>
          <w:sz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40" w:lineRule="exact"/>
        <w:rPr>
          <w:rFonts w:ascii="宋体" w:hAnsi="宋体" w:cs="宋体"/>
          <w:b/>
          <w:sz w:val="24"/>
        </w:rPr>
      </w:pPr>
      <w:r>
        <w:rPr>
          <w:rFonts w:hint="eastAsia" w:ascii="宋体" w:hAnsi="宋体" w:cs="宋体"/>
          <w:b/>
          <w:sz w:val="24"/>
        </w:rPr>
        <w:t xml:space="preserve">十二、货物的包装、发运及运输</w:t>
      </w:r>
      <w:r/>
    </w:p>
    <w:p>
      <w:pPr>
        <w:ind w:firstLine="480"/>
        <w:spacing w:line="440" w:lineRule="exact"/>
        <w:rPr>
          <w:rFonts w:ascii="宋体" w:hAnsi="宋体" w:cs="宋体"/>
          <w:sz w:val="24"/>
        </w:rPr>
      </w:pPr>
      <w:r>
        <w:rPr>
          <w:rFonts w:hint="eastAsia" w:ascii="宋体" w:hAnsi="宋体" w:cs="宋体"/>
          <w:sz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40" w:lineRule="exact"/>
        <w:rPr>
          <w:rFonts w:ascii="宋体" w:hAnsi="宋体" w:cs="宋体"/>
          <w:sz w:val="24"/>
        </w:rPr>
      </w:pPr>
      <w:r>
        <w:rPr>
          <w:rFonts w:hint="eastAsia" w:ascii="宋体" w:hAnsi="宋体" w:cs="宋体"/>
          <w:sz w:val="24"/>
        </w:rPr>
        <w:t xml:space="preserve">12.2使用说明书、质量检验证明书、随配附件和工具以及清单一并附于货物内。</w:t>
      </w:r>
      <w:r/>
    </w:p>
    <w:p>
      <w:pPr>
        <w:ind w:firstLine="480"/>
        <w:spacing w:line="440" w:lineRule="exact"/>
        <w:rPr>
          <w:rFonts w:ascii="宋体" w:hAnsi="宋体" w:cs="宋体"/>
          <w:sz w:val="24"/>
        </w:rPr>
      </w:pPr>
      <w:r>
        <w:rPr>
          <w:rFonts w:hint="eastAsia" w:ascii="宋体" w:hAnsi="宋体" w:cs="宋体"/>
          <w:sz w:val="24"/>
        </w:rPr>
        <w:t xml:space="preserve">12.3乙方在货物发运手续办理完毕后24小时内或货到甲方48小时前通知甲方，以准备接货。</w:t>
      </w:r>
      <w:r/>
    </w:p>
    <w:p>
      <w:pPr>
        <w:ind w:firstLine="480"/>
        <w:spacing w:line="440" w:lineRule="exact"/>
        <w:rPr>
          <w:rFonts w:ascii="宋体" w:hAnsi="宋体" w:cs="宋体"/>
          <w:sz w:val="24"/>
        </w:rPr>
      </w:pPr>
      <w:r>
        <w:rPr>
          <w:rFonts w:hint="eastAsia" w:ascii="宋体" w:hAnsi="宋体" w:cs="宋体"/>
          <w:sz w:val="24"/>
        </w:rPr>
        <w:t xml:space="preserve">12.4货物在验收合格前发生的风险均由乙方负责。</w:t>
      </w:r>
      <w:r/>
    </w:p>
    <w:p>
      <w:pPr>
        <w:ind w:firstLine="480"/>
        <w:spacing w:line="440" w:lineRule="exact"/>
        <w:rPr>
          <w:rFonts w:ascii="宋体" w:hAnsi="宋体" w:cs="宋体"/>
          <w:sz w:val="24"/>
        </w:rPr>
      </w:pPr>
      <w:r>
        <w:rPr>
          <w:rFonts w:hint="eastAsia" w:ascii="宋体" w:hAnsi="宋体" w:cs="宋体"/>
          <w:sz w:val="24"/>
        </w:rPr>
        <w:t xml:space="preserve">12.5货物在规定的交付期限内由乙方送达甲方指定的地点视为交付，乙方同时需通知甲方货物已送达。</w:t>
      </w:r>
      <w:r/>
    </w:p>
    <w:p>
      <w:pPr>
        <w:ind w:firstLine="482"/>
        <w:spacing w:line="440" w:lineRule="exact"/>
        <w:rPr>
          <w:rFonts w:ascii="宋体" w:hAnsi="宋体" w:cs="宋体"/>
          <w:b/>
          <w:sz w:val="24"/>
        </w:rPr>
      </w:pPr>
      <w:r>
        <w:rPr>
          <w:rFonts w:hint="eastAsia" w:ascii="宋体" w:hAnsi="宋体" w:cs="宋体"/>
          <w:b/>
          <w:sz w:val="24"/>
        </w:rPr>
        <w:t xml:space="preserve">十三、违约责任</w:t>
      </w:r>
      <w:r/>
    </w:p>
    <w:p>
      <w:pPr>
        <w:ind w:firstLine="480"/>
        <w:spacing w:line="440" w:lineRule="exact"/>
        <w:rPr>
          <w:rFonts w:ascii="宋体" w:hAnsi="宋体" w:cs="宋体"/>
          <w:sz w:val="24"/>
        </w:rPr>
      </w:pPr>
      <w:r>
        <w:rPr>
          <w:rFonts w:hint="eastAsia" w:ascii="宋体" w:hAnsi="宋体" w:cs="宋体"/>
          <w:sz w:val="24"/>
        </w:rPr>
        <w:t xml:space="preserve">13.1甲方无正当理由拒收货物的，甲方向乙方偿付拒收货款总值</w:t>
      </w:r>
      <w:r>
        <w:rPr>
          <w:rFonts w:hint="eastAsia" w:ascii="宋体" w:hAnsi="宋体" w:cs="宋体"/>
          <w:sz w:val="24"/>
          <w:u w:val="single"/>
        </w:rPr>
        <w:t xml:space="preserve">    </w:t>
      </w:r>
      <w:r>
        <w:rPr>
          <w:rFonts w:hint="eastAsia" w:ascii="宋体" w:hAnsi="宋体" w:cs="宋体"/>
          <w:sz w:val="24"/>
        </w:rPr>
        <w:t xml:space="preserve">的违约金。</w:t>
      </w:r>
      <w:r/>
    </w:p>
    <w:p>
      <w:pPr>
        <w:ind w:firstLine="480"/>
        <w:spacing w:line="440" w:lineRule="exact"/>
        <w:rPr>
          <w:rFonts w:ascii="宋体" w:hAnsi="宋体" w:cs="宋体"/>
          <w:sz w:val="24"/>
        </w:rPr>
      </w:pPr>
      <w:r>
        <w:rPr>
          <w:rFonts w:hint="eastAsia" w:ascii="宋体" w:hAnsi="宋体" w:cs="宋体"/>
          <w:sz w:val="24"/>
        </w:rPr>
        <w:t xml:space="preserve">13.2甲方无故逾期验收和办理货款支付手续的,甲方应按逾期付款总额每日</w:t>
      </w:r>
      <w:r>
        <w:rPr>
          <w:rFonts w:hint="eastAsia" w:ascii="宋体" w:hAnsi="宋体" w:cs="宋体"/>
          <w:sz w:val="24"/>
          <w:u w:val="single"/>
        </w:rPr>
        <w:t xml:space="preserve">    </w:t>
      </w:r>
      <w:r>
        <w:rPr>
          <w:rFonts w:hint="eastAsia" w:ascii="宋体" w:hAnsi="宋体" w:cs="宋体"/>
          <w:sz w:val="24"/>
        </w:rPr>
        <w:t xml:space="preserve">向乙方支付违约金。</w:t>
      </w:r>
      <w:r/>
    </w:p>
    <w:p>
      <w:pPr>
        <w:ind w:firstLine="480"/>
        <w:spacing w:line="440" w:lineRule="exact"/>
        <w:rPr>
          <w:rFonts w:ascii="宋体" w:hAnsi="宋体" w:cs="宋体"/>
          <w:sz w:val="24"/>
        </w:rPr>
      </w:pPr>
      <w:r>
        <w:rPr>
          <w:rFonts w:hint="eastAsia" w:ascii="宋体" w:hAnsi="宋体" w:cs="宋体"/>
          <w:sz w:val="24"/>
        </w:rPr>
        <w:t xml:space="preserve">13.3乙方逾期交付货物或逾期完成安装调试的，乙方应按逾期货物总额每日千分之六向甲方支付违约金，由甲方从待付货款中扣除。逾期超过约定日期10个工作日不能交货或完成安装调试的，甲方可解除本合同。乙方因逾期交货或因其他违约行为导致甲方解除合同的，乙方应向甲方支付合同总值</w:t>
      </w:r>
      <w:r>
        <w:rPr>
          <w:rFonts w:hint="eastAsia" w:ascii="宋体" w:hAnsi="宋体" w:cs="宋体"/>
          <w:sz w:val="24"/>
          <w:u w:val="single"/>
        </w:rPr>
        <w:t xml:space="preserve">    </w:t>
      </w:r>
      <w:r>
        <w:rPr>
          <w:rFonts w:hint="eastAsia" w:ascii="宋体" w:hAnsi="宋体" w:cs="宋体"/>
          <w:sz w:val="24"/>
        </w:rPr>
        <w:t xml:space="preserve">的违约金，如造成甲方损失超过违约金的，超出部分由乙方继续承担赔偿责任。 </w:t>
      </w:r>
      <w:r/>
    </w:p>
    <w:p>
      <w:pPr>
        <w:ind w:firstLine="480"/>
        <w:spacing w:line="440" w:lineRule="exact"/>
        <w:rPr>
          <w:rFonts w:ascii="宋体" w:hAnsi="宋体" w:cs="宋体"/>
          <w:sz w:val="24"/>
        </w:rPr>
      </w:pPr>
      <w:r>
        <w:rPr>
          <w:rFonts w:hint="eastAsia" w:ascii="宋体" w:hAnsi="宋体" w:cs="宋体"/>
          <w:sz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40" w:lineRule="exact"/>
        <w:rPr>
          <w:rFonts w:ascii="宋体" w:hAnsi="宋体" w:cs="宋体"/>
          <w:b/>
          <w:sz w:val="24"/>
        </w:rPr>
      </w:pPr>
      <w:r>
        <w:rPr>
          <w:rFonts w:hint="eastAsia" w:ascii="宋体" w:hAnsi="宋体" w:cs="宋体"/>
          <w:b/>
          <w:sz w:val="24"/>
        </w:rPr>
        <w:t xml:space="preserve">十四、不可抗力事件处理</w:t>
      </w:r>
      <w:r/>
    </w:p>
    <w:p>
      <w:pPr>
        <w:ind w:firstLine="480"/>
        <w:spacing w:line="440" w:lineRule="exact"/>
        <w:rPr>
          <w:rFonts w:ascii="宋体" w:hAnsi="宋体" w:cs="宋体"/>
          <w:sz w:val="24"/>
        </w:rPr>
      </w:pPr>
      <w:r>
        <w:rPr>
          <w:rFonts w:hint="eastAsia" w:ascii="宋体" w:hAnsi="宋体" w:cs="宋体"/>
          <w:sz w:val="24"/>
        </w:rPr>
        <w:t xml:space="preserve">14.1在合同有效期内，任何一方因不可抗力事件导致不能履行合同，则合同履行期可延长，其延长期与不可抗力影响期相同。</w:t>
      </w:r>
      <w:r/>
    </w:p>
    <w:p>
      <w:pPr>
        <w:ind w:firstLine="480"/>
        <w:spacing w:line="440" w:lineRule="exact"/>
        <w:rPr>
          <w:rFonts w:ascii="宋体" w:hAnsi="宋体" w:cs="宋体"/>
          <w:sz w:val="24"/>
        </w:rPr>
      </w:pPr>
      <w:r>
        <w:rPr>
          <w:rFonts w:hint="eastAsia" w:ascii="宋体" w:hAnsi="宋体" w:cs="宋体"/>
          <w:sz w:val="24"/>
        </w:rPr>
        <w:t xml:space="preserve">14.2不可抗力事件发生后，应立即通知对方，并寄送有关权威机构出具的证明。</w:t>
      </w:r>
      <w:r/>
    </w:p>
    <w:p>
      <w:pPr>
        <w:ind w:firstLine="480"/>
        <w:spacing w:line="440" w:lineRule="exact"/>
        <w:rPr>
          <w:rFonts w:ascii="宋体" w:hAnsi="宋体" w:cs="宋体"/>
          <w:sz w:val="24"/>
        </w:rPr>
      </w:pPr>
      <w:r>
        <w:rPr>
          <w:rFonts w:hint="eastAsia" w:ascii="宋体" w:hAnsi="宋体" w:cs="宋体"/>
          <w:sz w:val="24"/>
        </w:rPr>
        <w:t xml:space="preserve">14.3不可抗力事件延续120天以上，双方应通过友好协商，确定是否继续履行合同。</w:t>
      </w:r>
      <w:r/>
    </w:p>
    <w:p>
      <w:pPr>
        <w:ind w:firstLine="482"/>
        <w:spacing w:line="440" w:lineRule="exact"/>
        <w:rPr>
          <w:rFonts w:ascii="宋体" w:hAnsi="宋体" w:cs="宋体"/>
          <w:b/>
          <w:sz w:val="24"/>
        </w:rPr>
      </w:pPr>
      <w:r>
        <w:rPr>
          <w:rFonts w:hint="eastAsia" w:ascii="宋体" w:hAnsi="宋体" w:cs="宋体"/>
          <w:b/>
          <w:sz w:val="24"/>
        </w:rPr>
        <w:t xml:space="preserve">十五、解决争议的方法</w:t>
      </w:r>
      <w:r/>
    </w:p>
    <w:p>
      <w:pPr>
        <w:ind w:firstLine="480"/>
        <w:spacing w:line="440" w:lineRule="exact"/>
        <w:rPr>
          <w:rFonts w:ascii="宋体" w:hAnsi="宋体" w:cs="宋体"/>
          <w:sz w:val="24"/>
        </w:rPr>
      </w:pPr>
      <w:r>
        <w:rPr>
          <w:rFonts w:hint="eastAsia" w:ascii="宋体" w:hAnsi="宋体" w:cs="宋体"/>
          <w:sz w:val="24"/>
        </w:rPr>
        <w:t xml:space="preserve">15.1甲乙双方因合同签订、履行而发生的一切争议，应通过友好协商解决。如协商不成由甲方住所地人民法院管辖。</w:t>
      </w:r>
      <w:r/>
    </w:p>
    <w:p>
      <w:pPr>
        <w:ind w:firstLine="482"/>
        <w:spacing w:line="440" w:lineRule="exact"/>
        <w:rPr>
          <w:rFonts w:ascii="宋体" w:hAnsi="宋体" w:cs="宋体"/>
          <w:b/>
          <w:sz w:val="24"/>
        </w:rPr>
      </w:pPr>
      <w:r>
        <w:rPr>
          <w:rFonts w:hint="eastAsia" w:ascii="宋体" w:hAnsi="宋体" w:cs="宋体"/>
          <w:b/>
          <w:sz w:val="24"/>
        </w:rPr>
        <w:t xml:space="preserve">十六、合同生效及其他</w:t>
      </w:r>
      <w:r/>
    </w:p>
    <w:p>
      <w:pPr>
        <w:ind w:firstLine="480"/>
        <w:spacing w:line="440" w:lineRule="exact"/>
        <w:rPr>
          <w:rFonts w:ascii="宋体" w:hAnsi="宋体" w:cs="宋体"/>
          <w:sz w:val="24"/>
        </w:rPr>
      </w:pPr>
      <w:r>
        <w:rPr>
          <w:rFonts w:hint="eastAsia" w:ascii="宋体" w:hAnsi="宋体" w:cs="宋体"/>
          <w:sz w:val="24"/>
        </w:rPr>
        <w:t xml:space="preserve">16.1 合同经双方法定代表人或授权委托代表人签字并加盖单位公章后生效。</w:t>
      </w:r>
      <w:r/>
    </w:p>
    <w:p>
      <w:pPr>
        <w:ind w:firstLine="480"/>
        <w:spacing w:line="440" w:lineRule="exact"/>
        <w:rPr>
          <w:rFonts w:ascii="宋体" w:hAnsi="宋体" w:cs="宋体"/>
          <w:sz w:val="24"/>
        </w:rPr>
      </w:pPr>
      <w:r>
        <w:rPr>
          <w:rFonts w:hint="eastAsia" w:ascii="宋体" w:hAnsi="宋体" w:cs="宋体"/>
          <w:sz w:val="24"/>
        </w:rPr>
        <w:t xml:space="preserve">16.2本合同未尽事宜，遵照《中华人民共和国民法典》《中华人民共和国政府采购法》有关条文执行。</w:t>
      </w:r>
      <w:r/>
    </w:p>
    <w:p>
      <w:pPr>
        <w:ind w:firstLine="480"/>
        <w:spacing w:line="440" w:lineRule="exact"/>
        <w:rPr>
          <w:rFonts w:ascii="宋体" w:hAnsi="宋体" w:cs="宋体"/>
          <w:sz w:val="24"/>
        </w:rPr>
      </w:pPr>
      <w:r>
        <w:rPr>
          <w:rFonts w:hint="eastAsia" w:ascii="宋体" w:hAnsi="宋体" w:cs="宋体"/>
          <w:sz w:val="24"/>
        </w:rPr>
        <w:t xml:space="preserve">16.3 本合同正本一式四份，具有同等法律效力，甲方三份、乙方一份。</w:t>
      </w:r>
      <w:r/>
    </w:p>
    <w:p>
      <w:pPr>
        <w:ind w:firstLine="482"/>
        <w:spacing w:line="440" w:lineRule="exact"/>
        <w:rPr>
          <w:rFonts w:ascii="宋体" w:hAnsi="宋体" w:cs="宋体"/>
          <w:b/>
          <w:sz w:val="24"/>
        </w:rPr>
      </w:pPr>
      <w:r>
        <w:rPr>
          <w:rFonts w:hint="eastAsia" w:ascii="宋体" w:hAnsi="宋体" w:cs="宋体"/>
          <w:b/>
          <w:sz w:val="24"/>
        </w:rPr>
        <w:t xml:space="preserve">十七、合同附件（注：可按需添加附件）</w:t>
      </w:r>
      <w:r/>
    </w:p>
    <w:p>
      <w:pPr>
        <w:spacing w:line="440" w:lineRule="exact"/>
        <w:tabs>
          <w:tab w:val="left" w:pos="945" w:leader="none"/>
          <w:tab w:val="left" w:pos="1155" w:leader="none"/>
        </w:tabs>
        <w:rPr>
          <w:rFonts w:ascii="宋体" w:hAnsi="宋体" w:cs="宋体"/>
          <w:bCs/>
          <w:sz w:val="24"/>
        </w:rPr>
      </w:pPr>
      <w:r>
        <w:rPr>
          <w:rFonts w:hint="eastAsia" w:ascii="宋体" w:hAnsi="宋体" w:cs="宋体"/>
          <w:bCs/>
          <w:sz w:val="24"/>
        </w:rPr>
        <w:t xml:space="preserve"> </w:t>
      </w:r>
      <w:r/>
    </w:p>
    <w:p>
      <w:pPr>
        <w:spacing w:line="440" w:lineRule="exact"/>
        <w:rPr>
          <w:rFonts w:ascii="宋体" w:hAnsi="宋体" w:cs="宋体"/>
          <w:sz w:val="24"/>
        </w:rPr>
      </w:pPr>
      <w:r>
        <w:rPr>
          <w:rFonts w:ascii="宋体" w:hAnsi="宋体" w:cs="宋体"/>
          <w:sz w:val="24"/>
        </w:rPr>
      </w:r>
      <w:r/>
    </w:p>
    <w:p>
      <w:pPr>
        <w:ind w:hanging="480"/>
        <w:spacing w:line="440" w:lineRule="exact"/>
        <w:rPr>
          <w:rFonts w:ascii="宋体" w:hAnsi="宋体" w:cs="宋体"/>
          <w:sz w:val="24"/>
        </w:rPr>
      </w:pPr>
      <w:r>
        <w:rPr>
          <w:rFonts w:hint="eastAsia" w:ascii="宋体" w:hAnsi="宋体" w:cs="宋体"/>
          <w:sz w:val="24"/>
        </w:rPr>
        <w:t xml:space="preserve">      甲方：江南大学附属医院                  乙方： </w:t>
      </w:r>
      <w:r/>
    </w:p>
    <w:p>
      <w:pPr>
        <w:spacing w:line="440" w:lineRule="exact"/>
        <w:rPr>
          <w:rFonts w:ascii="宋体" w:hAnsi="宋体" w:cs="宋体"/>
          <w:sz w:val="24"/>
        </w:rPr>
      </w:pPr>
      <w:r>
        <w:rPr>
          <w:rFonts w:hint="eastAsia" w:ascii="宋体" w:hAnsi="宋体" w:cs="宋体"/>
          <w:sz w:val="24"/>
        </w:rPr>
        <w:t xml:space="preserve">  地址：无锡市滨湖区和风路 1000 号        地址： </w:t>
      </w:r>
      <w:r/>
    </w:p>
    <w:p>
      <w:pPr>
        <w:spacing w:line="440" w:lineRule="exact"/>
        <w:rPr>
          <w:rFonts w:ascii="宋体" w:hAnsi="宋体" w:cs="宋体"/>
          <w:sz w:val="24"/>
        </w:rPr>
      </w:pPr>
      <w:r>
        <w:rPr>
          <w:rFonts w:hint="eastAsia" w:ascii="宋体" w:hAnsi="宋体" w:cs="宋体"/>
          <w:sz w:val="24"/>
        </w:rPr>
        <w:t xml:space="preserve">  法定代表人或授权代表：                  法定代表人或授权代表：</w:t>
      </w:r>
      <w:r/>
    </w:p>
    <w:p>
      <w:pPr>
        <w:ind w:firstLine="240"/>
        <w:spacing w:line="440" w:lineRule="exact"/>
        <w:rPr>
          <w:rFonts w:ascii="宋体" w:hAnsi="宋体" w:cs="宋体"/>
          <w:sz w:val="24"/>
        </w:rPr>
      </w:pPr>
      <w:r>
        <w:rPr>
          <w:rFonts w:hint="eastAsia" w:ascii="宋体" w:hAnsi="宋体" w:cs="宋体"/>
          <w:sz w:val="24"/>
        </w:rPr>
        <w:t xml:space="preserve">                       </w:t>
      </w:r>
      <w:r/>
    </w:p>
    <w:p>
      <w:pPr>
        <w:ind w:firstLine="240"/>
        <w:spacing w:line="440" w:lineRule="exact"/>
        <w:rPr>
          <w:rFonts w:ascii="宋体" w:hAnsi="宋体" w:cs="宋体"/>
          <w:sz w:val="24"/>
        </w:rPr>
      </w:pPr>
      <w:r>
        <w:rPr>
          <w:rFonts w:hint="eastAsia" w:ascii="宋体" w:hAnsi="宋体" w:cs="宋体"/>
          <w:sz w:val="24"/>
        </w:rPr>
        <w:t xml:space="preserve">202</w:t>
      </w:r>
      <w:r>
        <w:rPr>
          <w:rFonts w:ascii="宋体" w:hAnsi="宋体" w:cs="宋体"/>
          <w:sz w:val="24"/>
        </w:rPr>
        <w:t xml:space="preserve">6</w:t>
      </w:r>
      <w:r>
        <w:rPr>
          <w:rFonts w:hint="eastAsia" w:ascii="宋体" w:hAnsi="宋体" w:cs="宋体"/>
          <w:sz w:val="24"/>
        </w:rPr>
        <w:t xml:space="preserve">年    月   日                       202</w:t>
      </w:r>
      <w:r>
        <w:rPr>
          <w:rFonts w:ascii="宋体" w:hAnsi="宋体" w:cs="宋体"/>
          <w:sz w:val="24"/>
        </w:rPr>
        <w:t xml:space="preserve">6</w:t>
      </w:r>
      <w:r>
        <w:rPr>
          <w:rFonts w:hint="eastAsia" w:ascii="宋体" w:hAnsi="宋体" w:cs="宋体"/>
          <w:sz w:val="24"/>
        </w:rPr>
        <w:t xml:space="preserve">年    月   日</w:t>
      </w:r>
      <w:r/>
    </w:p>
    <w:p>
      <w:pPr>
        <w:ind w:firstLine="240"/>
        <w:spacing w:line="440" w:lineRule="exact"/>
        <w:rPr>
          <w:rFonts w:ascii="宋体" w:hAnsi="宋体" w:cs="宋体"/>
          <w:sz w:val="24"/>
        </w:rPr>
      </w:pPr>
      <w:r>
        <w:rPr>
          <w:rFonts w:ascii="宋体" w:hAnsi="宋体" w:cs="宋体"/>
          <w:sz w:val="24"/>
        </w:rPr>
      </w:r>
      <w:r/>
    </w:p>
    <w:p>
      <w:pPr>
        <w:jc w:val="center"/>
        <w:spacing w:line="440" w:lineRule="exact"/>
        <w:rPr>
          <w:rFonts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乙方户名：</w:t>
      </w:r>
      <w:r/>
    </w:p>
    <w:p>
      <w:pPr>
        <w:ind w:firstLine="480"/>
        <w:spacing w:line="440" w:lineRule="exact"/>
        <w:rPr>
          <w:rFonts w:ascii="宋体" w:hAnsi="宋体" w:cs="宋体"/>
          <w:bCs/>
          <w:sz w:val="24"/>
        </w:rPr>
      </w:pPr>
      <w:r>
        <w:rPr>
          <w:rFonts w:hint="eastAsia" w:ascii="宋体" w:hAnsi="宋体" w:cs="宋体"/>
          <w:sz w:val="24"/>
        </w:rPr>
        <w:t xml:space="preserve">                                      乙方开户银行：</w:t>
      </w:r>
      <w:r/>
    </w:p>
    <w:p>
      <w:pPr>
        <w:ind w:firstLine="4080"/>
        <w:spacing w:line="440" w:lineRule="exact"/>
      </w:pPr>
      <w:r>
        <w:rPr>
          <w:rFonts w:hint="eastAsia" w:ascii="宋体" w:hAnsi="宋体" w:cs="宋体"/>
          <w:sz w:val="24"/>
        </w:rPr>
        <w:t xml:space="preserve">        乙方账号：</w:t>
      </w:r>
      <w:r/>
    </w:p>
    <w:p>
      <w:pPr>
        <w:ind w:firstLine="4080"/>
        <w:spacing w:line="500" w:lineRule="exact"/>
        <w:rPr>
          <w:rFonts w:ascii="宋体" w:hAnsi="宋体" w:cs="宋体"/>
        </w:rPr>
      </w:pPr>
      <w:r>
        <w:rPr>
          <w:rFonts w:ascii="宋体" w:hAnsi="宋体" w:cs="宋体"/>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ind w:firstLine="480"/>
        <w:rPr>
          <w:rFonts w:ascii="宋体" w:hAnsi="宋体" w:cs="宋体"/>
          <w:sz w:val="24"/>
          <w:szCs w:val="24"/>
        </w:rPr>
      </w:pPr>
      <w:r>
        <w:rPr>
          <w:rFonts w:ascii="宋体" w:hAnsi="宋体" w:cs="宋体"/>
          <w:sz w:val="24"/>
          <w:szCs w:val="24"/>
        </w:rPr>
      </w:r>
      <w:r/>
    </w:p>
    <w:p>
      <w:pPr>
        <w:jc w:val="center"/>
        <w:rPr>
          <w:highlight w:val="white"/>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四章采购需求</w:t>
      </w:r>
      <w:bookmarkEnd w:id="182"/>
      <w:r/>
      <w:bookmarkEnd w:id="183"/>
      <w:r/>
      <w:bookmarkEnd w:id="184"/>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bookmarkStart w:id="186" w:name="_Toc26554093"/>
      <w:r/>
      <w:bookmarkStart w:id="187" w:name="_Toc49090575"/>
      <w:r>
        <w:rPr>
          <w:rFonts w:hint="eastAsia" w:ascii="宋体" w:hAnsi="宋体"/>
          <w:bCs/>
          <w:color w:val="000000" w:themeColor="text1"/>
          <w:sz w:val="24"/>
          <w:szCs w:val="24"/>
          <w:highlight w:val="white"/>
          <w14:textFill>
            <w14:solidFill>
              <w14:schemeClr w14:val="tx1"/>
            </w14:solidFill>
          </w14:textFill>
        </w:rPr>
        <w:t xml:space="preserve">本项目属性：货物类项目</w:t>
      </w:r>
      <w:r/>
    </w:p>
    <w:p>
      <w:pPr>
        <w:ind w:firstLine="480"/>
        <w:spacing w:line="360" w:lineRule="auto"/>
        <w:rPr>
          <w:highlight w:val="white"/>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本项目中的</w:t>
      </w:r>
      <w:r>
        <w:rPr>
          <w:rFonts w:hint="eastAsia" w:ascii="宋体" w:hAnsi="宋体"/>
          <w:color w:val="000000" w:themeColor="text1"/>
          <w:sz w:val="24"/>
          <w:szCs w:val="24"/>
          <w:highlight w:val="white"/>
          <w14:textFill>
            <w14:solidFill>
              <w14:schemeClr w14:val="tx1"/>
            </w14:solidFill>
          </w14:textFill>
        </w:rPr>
        <w:t xml:space="preserve">输注系统、输注工作站</w:t>
      </w:r>
      <w:r>
        <w:rPr>
          <w:rFonts w:hint="eastAsia" w:ascii="宋体" w:hAnsi="宋体"/>
          <w:bCs/>
          <w:color w:val="000000" w:themeColor="text1"/>
          <w:sz w:val="24"/>
          <w:szCs w:val="24"/>
          <w:highlight w:val="white"/>
          <w14:textFill>
            <w14:solidFill>
              <w14:schemeClr w14:val="tx1"/>
            </w14:solidFill>
          </w14:textFill>
        </w:rPr>
        <w:t xml:space="preserve">为核心产品。</w:t>
      </w:r>
      <w:r/>
    </w:p>
    <w:p>
      <w:pPr>
        <w:numPr>
          <w:ilvl w:val="0"/>
          <w:numId w:val="5"/>
        </w:num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项目技术要求</w:t>
      </w:r>
      <w:r/>
    </w:p>
    <w:p>
      <w:pPr>
        <w:ind w:firstLine="480"/>
        <w:jc w:val="left"/>
        <w:spacing w:line="360" w:lineRule="auto"/>
        <w:rPr>
          <w:rFonts w:ascii="宋体" w:hAnsi="宋体"/>
          <w:color w:val="000000" w:themeColor="text1"/>
          <w:sz w:val="24"/>
          <w:szCs w:val="24"/>
          <w:highlight w:val="white"/>
          <w:u w:val="single"/>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宋体" w:hAnsi="宋体"/>
          <w:b/>
          <w:bCs/>
          <w:color w:val="000000" w:themeColor="text1"/>
          <w:sz w:val="24"/>
          <w:szCs w:val="24"/>
          <w:highlight w:val="whit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white"/>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highlight w:val="white"/>
          <w:u w:val="single"/>
          <w14:textFill>
            <w14:solidFill>
              <w14:schemeClr w14:val="tx1"/>
            </w14:solidFill>
          </w14:textFill>
        </w:rPr>
        <w:t xml:space="preserve">必须</w:t>
      </w:r>
      <w:r>
        <w:rPr>
          <w:rFonts w:hint="eastAsia" w:ascii="宋体" w:hAnsi="宋体"/>
          <w:color w:val="000000" w:themeColor="text1"/>
          <w:sz w:val="24"/>
          <w:szCs w:val="24"/>
          <w:highlight w:val="white"/>
          <w:u w:val="single"/>
          <w14:textFill>
            <w14:solidFill>
              <w14:schemeClr w14:val="tx1"/>
            </w14:solidFill>
          </w14:textFill>
        </w:rPr>
        <w:t xml:space="preserve">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号指标不满足即无效标书。</w:t>
      </w:r>
      <w:r/>
    </w:p>
    <w:p>
      <w:pPr>
        <w:spacing w:line="360" w:lineRule="auto"/>
        <w:rPr>
          <w:rFonts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t xml:space="preserve">一、项目配置：</w:t>
      </w:r>
      <w:r/>
    </w:p>
    <w:p>
      <w:pPr>
        <w:rPr>
          <w:rFonts w:ascii="宋体" w:hAnsi="宋体" w:cs="宋体"/>
          <w:b/>
          <w:bCs/>
          <w:color w:val="ff0000"/>
          <w:sz w:val="24"/>
          <w:szCs w:val="24"/>
        </w:rPr>
      </w:pPr>
      <w:r>
        <w:rPr>
          <w:rFonts w:hint="eastAsia" w:ascii="宋体" w:hAnsi="宋体" w:cs="宋体"/>
          <w:b/>
          <w:bCs/>
          <w:color w:val="000000"/>
          <w:sz w:val="24"/>
          <w:szCs w:val="24"/>
        </w:rPr>
        <w:t xml:space="preserve">1. 烧伤重症监护室：输注系统单套配置（共15套）</w:t>
      </w:r>
      <w:r/>
    </w:p>
    <w:tbl>
      <w:tblPr>
        <w:tblStyle w:val="751"/>
        <w:tblW w:w="0" w:type="auto"/>
        <w:jc w:val="center"/>
        <w:tblLayout w:type="autofit"/>
        <w:tblCellMar>
          <w:left w:w="108" w:type="dxa"/>
          <w:top w:w="0" w:type="dxa"/>
          <w:right w:w="108" w:type="dxa"/>
          <w:bottom w:w="0" w:type="dxa"/>
        </w:tblCellMar>
        <w:tblLook w:val="04A0" w:firstRow="1" w:lastRow="0" w:firstColumn="1" w:lastColumn="0" w:noHBand="0" w:noVBand="1"/>
      </w:tblPr>
      <w:tblGrid>
        <w:gridCol w:w="988"/>
        <w:gridCol w:w="3685"/>
        <w:gridCol w:w="1276"/>
      </w:tblGrid>
      <w:tr>
        <w:trPr>
          <w:jc w:val="center"/>
          <w:trHeight w:val="36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68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r>
      <w:tr>
        <w:trPr>
          <w:jc w:val="center"/>
          <w:trHeight w:val="36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输注系统（工作站）8槽位</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1个</w:t>
            </w:r>
            <w:r/>
          </w:p>
        </w:tc>
      </w:tr>
      <w:tr>
        <w:trPr>
          <w:jc w:val="center"/>
          <w:trHeight w:val="36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输液泵</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2台</w:t>
            </w:r>
            <w:r/>
          </w:p>
        </w:tc>
      </w:tr>
      <w:tr>
        <w:trPr>
          <w:jc w:val="center"/>
          <w:trHeight w:val="36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注射泵</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4台</w:t>
            </w:r>
            <w:r/>
          </w:p>
        </w:tc>
      </w:tr>
      <w:tr>
        <w:trPr>
          <w:jc w:val="center"/>
          <w:trHeight w:val="36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68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电池</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6块</w:t>
            </w:r>
            <w:r/>
          </w:p>
        </w:tc>
      </w:tr>
      <w:tr>
        <w:trPr>
          <w:jc w:val="center"/>
          <w:trHeight w:val="36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国标电源线</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1套</w:t>
            </w:r>
            <w:r/>
          </w:p>
        </w:tc>
      </w:tr>
      <w:tr>
        <w:trPr>
          <w:jc w:val="center"/>
          <w:trHeight w:val="36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68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台车</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1台</w:t>
            </w:r>
            <w:r/>
          </w:p>
        </w:tc>
      </w:tr>
    </w:tbl>
    <w:p>
      <w:pPr>
        <w:rPr>
          <w:rFonts w:ascii="宋体" w:hAnsi="宋体" w:cs="宋体"/>
          <w:color w:val="ff0000"/>
          <w:sz w:val="24"/>
          <w:szCs w:val="24"/>
        </w:rPr>
      </w:pPr>
      <w:r>
        <w:rPr>
          <w:rFonts w:ascii="宋体" w:hAnsi="宋体" w:cs="宋体"/>
          <w:color w:val="ff0000"/>
          <w:sz w:val="24"/>
          <w:szCs w:val="24"/>
        </w:rPr>
      </w:r>
      <w:r/>
    </w:p>
    <w:p>
      <w:pPr>
        <w:rPr>
          <w:rFonts w:ascii="宋体" w:hAnsi="宋体" w:cs="宋体"/>
          <w:b/>
          <w:bCs/>
          <w:color w:val="ff0000"/>
          <w:sz w:val="24"/>
          <w:szCs w:val="24"/>
        </w:rPr>
      </w:pPr>
      <w:r>
        <w:rPr>
          <w:rFonts w:hint="eastAsia" w:ascii="宋体" w:hAnsi="宋体" w:cs="宋体"/>
          <w:b/>
          <w:bCs/>
          <w:color w:val="000000"/>
          <w:sz w:val="24"/>
          <w:szCs w:val="24"/>
        </w:rPr>
        <w:t xml:space="preserve">2. 急诊科：输注工作站单套配置（共12套）</w:t>
      </w:r>
      <w:r/>
    </w:p>
    <w:tbl>
      <w:tblPr>
        <w:tblStyle w:val="751"/>
        <w:tblW w:w="0" w:type="auto"/>
        <w:jc w:val="center"/>
        <w:tblLayout w:type="autofit"/>
        <w:tblCellMar>
          <w:left w:w="108" w:type="dxa"/>
          <w:top w:w="0" w:type="dxa"/>
          <w:right w:w="108" w:type="dxa"/>
          <w:bottom w:w="0" w:type="dxa"/>
        </w:tblCellMar>
        <w:tblLook w:val="04A0" w:firstRow="1" w:lastRow="0" w:firstColumn="1" w:lastColumn="0" w:noHBand="0" w:noVBand="1"/>
      </w:tblPr>
      <w:tblGrid>
        <w:gridCol w:w="988"/>
        <w:gridCol w:w="3685"/>
        <w:gridCol w:w="1277"/>
      </w:tblGrid>
      <w:tr>
        <w:trPr>
          <w:jc w:val="center"/>
          <w:trHeight w:val="36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685"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1277"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r>
      <w:tr>
        <w:trPr>
          <w:jc w:val="center"/>
          <w:trHeight w:val="360"/>
        </w:trPr>
        <w:tc>
          <w:tcPr>
            <w:shd w:val="clear" w:color="auto" w:fill="auto"/>
            <w:tcBorders>
              <w:top w:val="single" w:color="auto" w:sz="4" w:space="0"/>
              <w:left w:val="single" w:color="auto" w:sz="4" w:space="0"/>
              <w:bottom w:val="single" w:color="auto" w:sz="4" w:space="0"/>
              <w:right w:val="single" w:color="auto" w:sz="4" w:space="0"/>
            </w:tcBorders>
            <w:tcW w:w="98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3685"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输注系统（工作站）8槽位</w:t>
            </w:r>
            <w:r/>
          </w:p>
        </w:tc>
        <w:tc>
          <w:tcPr>
            <w:shd w:val="clear" w:color="auto" w:fill="auto"/>
            <w:tcBorders>
              <w:top w:val="single" w:color="auto" w:sz="4" w:space="0"/>
              <w:left w:val="none" w:color="000000" w:sz="4" w:space="0"/>
              <w:bottom w:val="single" w:color="auto" w:sz="4" w:space="0"/>
              <w:right w:val="single" w:color="auto" w:sz="4" w:space="0"/>
            </w:tcBorders>
            <w:tcW w:w="127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1个</w:t>
            </w:r>
            <w:r/>
          </w:p>
        </w:tc>
      </w:tr>
      <w:tr>
        <w:trPr>
          <w:jc w:val="center"/>
          <w:trHeight w:val="360"/>
        </w:trPr>
        <w:tc>
          <w:tcPr>
            <w:shd w:val="clear" w:color="auto" w:fill="auto"/>
            <w:tcBorders>
              <w:top w:val="none" w:color="000000" w:sz="4" w:space="0"/>
              <w:left w:val="single" w:color="auto" w:sz="4" w:space="0"/>
              <w:bottom w:val="single" w:color="auto" w:sz="4" w:space="0"/>
              <w:right w:val="single" w:color="auto" w:sz="4" w:space="0"/>
            </w:tcBorders>
            <w:tcW w:w="98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输液泵</w:t>
            </w:r>
            <w:r/>
          </w:p>
        </w:tc>
        <w:tc>
          <w:tcPr>
            <w:shd w:val="clear" w:color="auto" w:fill="auto"/>
            <w:tcBorders>
              <w:top w:val="none" w:color="000000" w:sz="4" w:space="0"/>
              <w:left w:val="none" w:color="000000" w:sz="4" w:space="0"/>
              <w:bottom w:val="single" w:color="auto" w:sz="4" w:space="0"/>
              <w:right w:val="single" w:color="auto" w:sz="4" w:space="0"/>
            </w:tcBorders>
            <w:tcW w:w="127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1台</w:t>
            </w:r>
            <w:r/>
          </w:p>
        </w:tc>
      </w:tr>
      <w:tr>
        <w:trPr>
          <w:jc w:val="center"/>
          <w:trHeight w:val="360"/>
        </w:trPr>
        <w:tc>
          <w:tcPr>
            <w:shd w:val="clear" w:color="auto" w:fill="auto"/>
            <w:tcBorders>
              <w:top w:val="none" w:color="000000" w:sz="4" w:space="0"/>
              <w:left w:val="single" w:color="auto" w:sz="4" w:space="0"/>
              <w:bottom w:val="single" w:color="auto" w:sz="4" w:space="0"/>
              <w:right w:val="single" w:color="auto" w:sz="4" w:space="0"/>
            </w:tcBorders>
            <w:tcW w:w="98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注射泵</w:t>
            </w:r>
            <w:r/>
          </w:p>
        </w:tc>
        <w:tc>
          <w:tcPr>
            <w:shd w:val="clear" w:color="auto" w:fill="auto"/>
            <w:tcBorders>
              <w:top w:val="none" w:color="000000" w:sz="4" w:space="0"/>
              <w:left w:val="none" w:color="000000" w:sz="4" w:space="0"/>
              <w:bottom w:val="single" w:color="auto" w:sz="4" w:space="0"/>
              <w:right w:val="single" w:color="auto" w:sz="4" w:space="0"/>
            </w:tcBorders>
            <w:tcW w:w="127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5台</w:t>
            </w:r>
            <w:r/>
          </w:p>
        </w:tc>
      </w:tr>
      <w:tr>
        <w:trPr>
          <w:jc w:val="center"/>
          <w:trHeight w:val="360"/>
        </w:trPr>
        <w:tc>
          <w:tcPr>
            <w:shd w:val="clear" w:color="auto" w:fill="auto"/>
            <w:tcBorders>
              <w:top w:val="none" w:color="000000" w:sz="4" w:space="0"/>
              <w:left w:val="single" w:color="auto" w:sz="4" w:space="0"/>
              <w:bottom w:val="single" w:color="auto" w:sz="4" w:space="0"/>
              <w:right w:val="single" w:color="auto" w:sz="4" w:space="0"/>
            </w:tcBorders>
            <w:tcW w:w="98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68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电池</w:t>
            </w:r>
            <w:r/>
          </w:p>
        </w:tc>
        <w:tc>
          <w:tcPr>
            <w:shd w:val="clear" w:color="auto" w:fill="auto"/>
            <w:tcBorders>
              <w:top w:val="none" w:color="000000" w:sz="4" w:space="0"/>
              <w:left w:val="none" w:color="000000" w:sz="4" w:space="0"/>
              <w:bottom w:val="single" w:color="auto" w:sz="4" w:space="0"/>
              <w:right w:val="single" w:color="auto" w:sz="4" w:space="0"/>
            </w:tcBorders>
            <w:tcW w:w="127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6块</w:t>
            </w:r>
            <w:r/>
          </w:p>
        </w:tc>
      </w:tr>
      <w:tr>
        <w:trPr>
          <w:jc w:val="center"/>
          <w:trHeight w:val="360"/>
        </w:trPr>
        <w:tc>
          <w:tcPr>
            <w:shd w:val="clear" w:color="auto" w:fill="auto"/>
            <w:tcBorders>
              <w:top w:val="none" w:color="000000" w:sz="4" w:space="0"/>
              <w:left w:val="single" w:color="auto" w:sz="4" w:space="0"/>
              <w:bottom w:val="single" w:color="auto" w:sz="4" w:space="0"/>
              <w:right w:val="single" w:color="auto" w:sz="4" w:space="0"/>
            </w:tcBorders>
            <w:tcW w:w="98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685"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国标电源线</w:t>
            </w:r>
            <w:r/>
          </w:p>
        </w:tc>
        <w:tc>
          <w:tcPr>
            <w:shd w:val="clear" w:color="auto" w:fill="auto"/>
            <w:tcBorders>
              <w:top w:val="none" w:color="000000" w:sz="4" w:space="0"/>
              <w:left w:val="none" w:color="000000" w:sz="4" w:space="0"/>
              <w:bottom w:val="single" w:color="auto" w:sz="4" w:space="0"/>
              <w:right w:val="single" w:color="auto" w:sz="4" w:space="0"/>
            </w:tcBorders>
            <w:tcW w:w="127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1套</w:t>
            </w:r>
            <w:r/>
          </w:p>
        </w:tc>
      </w:tr>
      <w:tr>
        <w:trPr>
          <w:jc w:val="center"/>
          <w:trHeight w:val="360"/>
        </w:trPr>
        <w:tc>
          <w:tcPr>
            <w:shd w:val="clear" w:color="auto" w:fill="auto"/>
            <w:tcBorders>
              <w:top w:val="none" w:color="000000" w:sz="4" w:space="0"/>
              <w:left w:val="single" w:color="auto" w:sz="4" w:space="0"/>
              <w:bottom w:val="single" w:color="auto" w:sz="4" w:space="0"/>
              <w:right w:val="single" w:color="auto" w:sz="4" w:space="0"/>
            </w:tcBorders>
            <w:tcW w:w="98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685"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台车</w:t>
            </w:r>
            <w:r/>
          </w:p>
        </w:tc>
        <w:tc>
          <w:tcPr>
            <w:shd w:val="clear" w:color="auto" w:fill="auto"/>
            <w:tcBorders>
              <w:top w:val="none" w:color="000000" w:sz="4" w:space="0"/>
              <w:left w:val="none" w:color="000000" w:sz="4" w:space="0"/>
              <w:bottom w:val="single" w:color="auto" w:sz="4" w:space="0"/>
              <w:right w:val="single" w:color="auto" w:sz="4" w:space="0"/>
            </w:tcBorders>
            <w:tcW w:w="1277"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1台</w:t>
            </w:r>
            <w:r/>
          </w:p>
        </w:tc>
      </w:tr>
    </w:tbl>
    <w:p>
      <w:pPr>
        <w:spacing w:line="360" w:lineRule="auto"/>
        <w:rPr>
          <w:rFonts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r>
      <w:r/>
    </w:p>
    <w:p>
      <w:pPr>
        <w:spacing w:line="360" w:lineRule="auto"/>
        <w:rPr>
          <w:rFonts w:ascii="宋体" w:hAnsi="宋体" w:cs="宋体"/>
          <w:color w:val="000000" w:themeColor="text1"/>
          <w:sz w:val="24"/>
          <w:szCs w:val="24"/>
          <w:highlight w:val="white"/>
          <w:u w:val="single"/>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★二、技术参数：</w:t>
      </w:r>
      <w:r/>
    </w:p>
    <w:tbl>
      <w:tblPr>
        <w:tblStyle w:val="7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7826"/>
      </w:tblGrid>
      <w:tr>
        <w:trPr>
          <w:trHeight w:val="416"/>
        </w:trPr>
        <w:tc>
          <w:tcPr>
            <w:shd w:val="clear" w:color="auto" w:fill="auto"/>
            <w:tcW w:w="320" w:type="pct"/>
            <w:textDirection w:val="lrTb"/>
            <w:noWrap/>
          </w:tcPr>
          <w:p>
            <w:pPr>
              <w:jc w:val="left"/>
              <w:widowControl/>
              <w:rPr>
                <w:rFonts w:ascii="宋体" w:hAnsi="宋体" w:cs="宋体"/>
                <w:color w:val="000000"/>
                <w:sz w:val="24"/>
                <w:szCs w:val="24"/>
              </w:rPr>
            </w:pPr>
            <w:r/>
            <w:bookmarkStart w:id="188" w:name="_Toc120614281"/>
            <w:r>
              <w:rPr>
                <w:rFonts w:hint="eastAsia" w:ascii="宋体" w:hAnsi="宋体" w:cs="宋体"/>
                <w:sz w:val="24"/>
                <w:szCs w:val="24"/>
              </w:rPr>
              <w:t xml:space="preserve">1</w:t>
            </w:r>
            <w:r/>
          </w:p>
        </w:tc>
        <w:tc>
          <w:tcPr>
            <w:shd w:val="clear" w:color="auto" w:fill="auto"/>
            <w:tcW w:w="4680" w:type="pct"/>
            <w:textDirection w:val="lrTb"/>
            <w:noWrap w:val="false"/>
          </w:tcPr>
          <w:p>
            <w:pPr>
              <w:jc w:val="left"/>
              <w:widowControl/>
              <w:rPr>
                <w:rFonts w:ascii="宋体" w:hAnsi="宋体" w:cs="宋体"/>
                <w:color w:val="000000"/>
                <w:sz w:val="24"/>
                <w:szCs w:val="24"/>
              </w:rPr>
            </w:pPr>
            <w:r>
              <w:rPr>
                <w:rFonts w:hint="eastAsia" w:ascii="宋体" w:hAnsi="宋体" w:cs="宋体"/>
                <w:sz w:val="24"/>
                <w:szCs w:val="24"/>
              </w:rPr>
              <w:t xml:space="preserve">适用范围：医院内对患者进行静脉输注药液。</w:t>
            </w:r>
            <w:r/>
          </w:p>
        </w:tc>
      </w:tr>
      <w:tr>
        <w:trPr>
          <w:trHeight w:val="58"/>
        </w:trPr>
        <w:tc>
          <w:tcPr>
            <w:shd w:val="clear" w:color="auto" w:fill="auto"/>
            <w:tcW w:w="320" w:type="pct"/>
            <w:textDirection w:val="lrTb"/>
            <w:noWrap w:val="false"/>
          </w:tcPr>
          <w:p>
            <w:pPr>
              <w:jc w:val="left"/>
              <w:widowControl/>
              <w:rPr>
                <w:rFonts w:ascii="宋体" w:hAnsi="宋体" w:cs="宋体"/>
                <w:color w:val="000000"/>
                <w:sz w:val="24"/>
                <w:szCs w:val="24"/>
              </w:rPr>
            </w:pPr>
            <w:r>
              <w:rPr>
                <w:rFonts w:hint="eastAsia" w:ascii="宋体" w:hAnsi="宋体" w:cs="宋体"/>
                <w:sz w:val="24"/>
                <w:szCs w:val="24"/>
              </w:rPr>
              <w:t xml:space="preserve">2</w:t>
            </w:r>
            <w:r/>
          </w:p>
        </w:tc>
        <w:tc>
          <w:tcPr>
            <w:shd w:val="clear" w:color="auto" w:fill="auto"/>
            <w:tcW w:w="4680" w:type="pct"/>
            <w:textDirection w:val="lrTb"/>
            <w:noWrap/>
          </w:tcPr>
          <w:p>
            <w:pPr>
              <w:jc w:val="left"/>
              <w:widowControl/>
              <w:rPr>
                <w:rFonts w:ascii="宋体" w:hAnsi="宋体" w:cs="宋体"/>
                <w:b/>
                <w:bCs/>
                <w:color w:val="000000"/>
                <w:sz w:val="24"/>
                <w:szCs w:val="24"/>
              </w:rPr>
            </w:pPr>
            <w:r>
              <w:rPr>
                <w:rFonts w:hint="eastAsia" w:ascii="宋体" w:hAnsi="宋体" w:cs="宋体"/>
                <w:b/>
                <w:bCs/>
                <w:sz w:val="24"/>
                <w:szCs w:val="24"/>
              </w:rPr>
              <w:t xml:space="preserve">输注系统（工作站）</w:t>
            </w:r>
            <w:r/>
          </w:p>
        </w:tc>
      </w:tr>
      <w:tr>
        <w:trPr>
          <w:trHeight w:val="58"/>
        </w:trPr>
        <w:tc>
          <w:tcPr>
            <w:shd w:val="clear" w:color="auto" w:fill="auto"/>
            <w:tcW w:w="32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2.1</w:t>
            </w:r>
            <w:r/>
          </w:p>
        </w:tc>
        <w:tc>
          <w:tcPr>
            <w:shd w:val="clear" w:color="auto" w:fill="auto"/>
            <w:tcW w:w="4680" w:type="pct"/>
            <w:textDirection w:val="lrTb"/>
            <w:noWrap w:val="false"/>
          </w:tcPr>
          <w:p>
            <w:pPr>
              <w:jc w:val="left"/>
              <w:widowControl/>
              <w:rPr>
                <w:rFonts w:ascii="宋体" w:hAnsi="宋体" w:cs="宋体"/>
                <w:color w:val="000000"/>
                <w:sz w:val="24"/>
                <w:szCs w:val="24"/>
              </w:rPr>
            </w:pPr>
            <w:r>
              <w:rPr>
                <w:rFonts w:hint="eastAsia" w:ascii="宋体" w:hAnsi="宋体" w:cs="宋体"/>
                <w:sz w:val="24"/>
                <w:szCs w:val="24"/>
              </w:rPr>
              <w:t xml:space="preserve">输注系统（工作站）≥8通道，输液泵和注射泵可以自由组合在工作站中使用。</w:t>
            </w:r>
            <w:r/>
          </w:p>
        </w:tc>
      </w:tr>
      <w:tr>
        <w:trPr>
          <w:trHeight w:val="58"/>
        </w:trPr>
        <w:tc>
          <w:tcPr>
            <w:shd w:val="clear" w:color="auto" w:fill="auto"/>
            <w:tcW w:w="32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2.2</w:t>
            </w:r>
            <w:r/>
          </w:p>
        </w:tc>
        <w:tc>
          <w:tcPr>
            <w:shd w:val="clear" w:color="auto" w:fill="auto"/>
            <w:tcW w:w="4680" w:type="pct"/>
            <w:textDirection w:val="lrTb"/>
            <w:noWrap w:val="false"/>
          </w:tcPr>
          <w:p>
            <w:pPr>
              <w:jc w:val="left"/>
              <w:widowControl/>
              <w:rPr>
                <w:rFonts w:ascii="宋体" w:hAnsi="宋体" w:cs="宋体"/>
                <w:color w:val="000000"/>
                <w:sz w:val="24"/>
                <w:szCs w:val="24"/>
              </w:rPr>
            </w:pPr>
            <w:r>
              <w:rPr>
                <w:rFonts w:hint="eastAsia" w:ascii="宋体" w:hAnsi="宋体" w:cs="宋体"/>
                <w:sz w:val="24"/>
                <w:szCs w:val="24"/>
              </w:rPr>
              <w:t xml:space="preserve">具备中央站（急诊科与烧伤重症监护室各一套），或与科室已有中央站相连接。</w:t>
            </w:r>
            <w:r/>
          </w:p>
        </w:tc>
      </w:tr>
      <w:tr>
        <w:trPr>
          <w:trHeight w:val="288"/>
        </w:trPr>
        <w:tc>
          <w:tcPr>
            <w:shd w:val="clear" w:color="auto" w:fill="auto"/>
            <w:tcW w:w="320" w:type="pct"/>
            <w:textDirection w:val="lrTb"/>
            <w:noWrap w:val="false"/>
          </w:tcPr>
          <w:p>
            <w:pPr>
              <w:jc w:val="left"/>
              <w:widowControl/>
              <w:rPr>
                <w:rFonts w:ascii="宋体" w:hAnsi="宋体" w:cs="宋体"/>
                <w:color w:val="000000"/>
                <w:sz w:val="24"/>
                <w:szCs w:val="24"/>
              </w:rPr>
            </w:pPr>
            <w:r>
              <w:rPr>
                <w:rFonts w:hint="eastAsia" w:ascii="宋体" w:hAnsi="宋体" w:cs="宋体"/>
                <w:sz w:val="24"/>
                <w:szCs w:val="24"/>
              </w:rPr>
              <w:t xml:space="preserve">3</w:t>
            </w:r>
            <w:r/>
          </w:p>
        </w:tc>
        <w:tc>
          <w:tcPr>
            <w:shd w:val="clear" w:color="auto" w:fill="auto"/>
            <w:tcW w:w="4680" w:type="pct"/>
            <w:textDirection w:val="lrTb"/>
            <w:noWrap/>
          </w:tcPr>
          <w:p>
            <w:pPr>
              <w:jc w:val="left"/>
              <w:widowControl/>
              <w:rPr>
                <w:rFonts w:ascii="宋体" w:hAnsi="宋体" w:cs="宋体"/>
                <w:b/>
                <w:bCs/>
                <w:color w:val="000000"/>
                <w:sz w:val="24"/>
                <w:szCs w:val="24"/>
              </w:rPr>
            </w:pPr>
            <w:r>
              <w:rPr>
                <w:rFonts w:hint="eastAsia" w:ascii="宋体" w:hAnsi="宋体" w:cs="宋体"/>
                <w:b/>
                <w:bCs/>
                <w:sz w:val="24"/>
                <w:szCs w:val="24"/>
              </w:rPr>
              <w:t xml:space="preserve">注射泵</w:t>
            </w:r>
            <w:r/>
          </w:p>
        </w:tc>
      </w:tr>
      <w:tr>
        <w:trPr>
          <w:trHeight w:val="288"/>
        </w:trPr>
        <w:tc>
          <w:tcPr>
            <w:shd w:val="clear" w:color="auto" w:fill="auto"/>
            <w:tcW w:w="32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3.1</w:t>
            </w:r>
            <w:r/>
          </w:p>
        </w:tc>
        <w:tc>
          <w:tcPr>
            <w:shd w:val="clear" w:color="auto" w:fill="auto"/>
            <w:tcW w:w="468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注射精度≤±2%。</w:t>
            </w:r>
            <w:r/>
          </w:p>
        </w:tc>
      </w:tr>
      <w:tr>
        <w:trPr>
          <w:trHeight w:val="221"/>
        </w:trPr>
        <w:tc>
          <w:tcPr>
            <w:shd w:val="clear" w:color="auto" w:fill="auto"/>
            <w:tcW w:w="320" w:type="pc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3.2</w:t>
            </w:r>
            <w:r/>
          </w:p>
        </w:tc>
        <w:tc>
          <w:tcPr>
            <w:shd w:val="clear" w:color="auto" w:fill="auto"/>
            <w:tcW w:w="4680" w:type="pc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注射速率设定范围至少包含：0.1-2000mL/h, 最小步进≤0.01mL/h。</w:t>
            </w:r>
            <w:r/>
          </w:p>
        </w:tc>
      </w:tr>
      <w:tr>
        <w:trPr>
          <w:trHeight w:val="312"/>
        </w:trPr>
        <w:tc>
          <w:tcPr>
            <w:shd w:val="clear" w:color="auto" w:fill="auto"/>
            <w:tcW w:w="320" w:type="pc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3.3</w:t>
            </w:r>
            <w:r/>
          </w:p>
        </w:tc>
        <w:tc>
          <w:tcPr>
            <w:shd w:val="clear" w:color="auto" w:fill="auto"/>
            <w:tcW w:w="4680" w:type="pct"/>
            <w:textDirection w:val="lrTb"/>
            <w:noWrap/>
          </w:tcPr>
          <w:p>
            <w:pPr>
              <w:jc w:val="left"/>
              <w:widowControl/>
              <w:rPr>
                <w:rFonts w:ascii="宋体" w:hAnsi="宋体" w:cs="宋体"/>
                <w:sz w:val="24"/>
                <w:szCs w:val="24"/>
              </w:rPr>
            </w:pPr>
            <w:r>
              <w:rPr>
                <w:rFonts w:hint="eastAsia" w:ascii="宋体" w:hAnsi="宋体" w:cs="宋体"/>
                <w:sz w:val="24"/>
                <w:szCs w:val="24"/>
              </w:rPr>
              <w:t xml:space="preserve">具备≥3英寸触摸显示屏。</w:t>
            </w:r>
            <w:r/>
          </w:p>
        </w:tc>
      </w:tr>
      <w:tr>
        <w:trPr>
          <w:trHeight w:val="58"/>
        </w:trPr>
        <w:tc>
          <w:tcPr>
            <w:shd w:val="clear" w:color="auto" w:fill="auto"/>
            <w:tcW w:w="32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3.4</w:t>
            </w:r>
            <w:r/>
          </w:p>
        </w:tc>
        <w:tc>
          <w:tcPr>
            <w:shd w:val="clear" w:color="auto" w:fill="auto"/>
            <w:tcW w:w="468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具备药物库功能，可存储≥5000种药物。</w:t>
            </w:r>
            <w:r/>
          </w:p>
        </w:tc>
      </w:tr>
      <w:tr>
        <w:trPr>
          <w:trHeight w:val="58"/>
        </w:trPr>
        <w:tc>
          <w:tcPr>
            <w:shd w:val="clear" w:color="auto" w:fill="auto"/>
            <w:tcW w:w="320" w:type="pc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3.5</w:t>
            </w:r>
            <w:r/>
          </w:p>
        </w:tc>
        <w:tc>
          <w:tcPr>
            <w:shd w:val="clear" w:color="auto" w:fill="auto"/>
            <w:tcW w:w="468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具备压力管理功能，阻塞压力等级≥7档可调。</w:t>
            </w:r>
            <w:r/>
          </w:p>
        </w:tc>
      </w:tr>
      <w:tr>
        <w:trPr>
          <w:trHeight w:val="58"/>
        </w:trPr>
        <w:tc>
          <w:tcPr>
            <w:shd w:val="clear" w:color="auto" w:fill="auto"/>
            <w:tcW w:w="32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3.6</w:t>
            </w:r>
            <w:r/>
          </w:p>
        </w:tc>
        <w:tc>
          <w:tcPr>
            <w:shd w:val="clear" w:color="auto" w:fill="auto"/>
            <w:tcW w:w="468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具备事件（日志）记录功能。</w:t>
            </w:r>
            <w:r/>
          </w:p>
        </w:tc>
      </w:tr>
      <w:tr>
        <w:trPr>
          <w:trHeight w:val="58"/>
        </w:trPr>
        <w:tc>
          <w:tcPr>
            <w:shd w:val="clear" w:color="auto" w:fill="auto"/>
            <w:tcW w:w="320" w:type="pc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3.7</w:t>
            </w:r>
            <w:r/>
          </w:p>
        </w:tc>
        <w:tc>
          <w:tcPr>
            <w:shd w:val="clear" w:color="auto" w:fill="auto"/>
            <w:tcW w:w="4680" w:type="pct"/>
            <w:textDirection w:val="lrTb"/>
            <w:noWrap w:val="false"/>
          </w:tcPr>
          <w:p>
            <w:pPr>
              <w:jc w:val="left"/>
              <w:widowControl/>
              <w:rPr>
                <w:rFonts w:ascii="宋体" w:hAnsi="宋体" w:cs="宋体"/>
                <w:color w:val="000000"/>
                <w:sz w:val="24"/>
                <w:szCs w:val="24"/>
              </w:rPr>
            </w:pPr>
            <w:r>
              <w:rPr>
                <w:rFonts w:hint="eastAsia" w:ascii="宋体" w:hAnsi="宋体" w:cs="宋体"/>
                <w:sz w:val="24"/>
                <w:szCs w:val="24"/>
              </w:rPr>
              <w:t xml:space="preserve">具备完善的报警机制，包括注射器排空报警、注射器接近排空报警、阻塞报警。</w:t>
            </w:r>
            <w:r/>
          </w:p>
        </w:tc>
      </w:tr>
      <w:tr>
        <w:trPr>
          <w:trHeight w:val="58"/>
        </w:trPr>
        <w:tc>
          <w:tcPr>
            <w:shd w:val="clear" w:color="auto" w:fill="auto"/>
            <w:tcW w:w="32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3.8</w:t>
            </w:r>
            <w:r/>
          </w:p>
        </w:tc>
        <w:tc>
          <w:tcPr>
            <w:shd w:val="clear" w:color="auto" w:fill="auto"/>
            <w:tcW w:w="468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具备级联中继功能（多个泵能连续、不间断输液）。</w:t>
            </w:r>
            <w:r/>
          </w:p>
        </w:tc>
      </w:tr>
      <w:tr>
        <w:trPr>
          <w:trHeight w:val="58"/>
        </w:trPr>
        <w:tc>
          <w:tcPr>
            <w:shd w:val="clear" w:color="auto" w:fill="auto"/>
            <w:tcW w:w="32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3.9</w:t>
            </w:r>
            <w:r/>
          </w:p>
        </w:tc>
        <w:tc>
          <w:tcPr>
            <w:shd w:val="clear" w:color="auto" w:fill="auto"/>
            <w:tcW w:w="468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具备WIFI功能。</w:t>
            </w:r>
            <w:r/>
          </w:p>
        </w:tc>
      </w:tr>
      <w:tr>
        <w:trPr>
          <w:trHeight w:val="288"/>
        </w:trPr>
        <w:tc>
          <w:tcPr>
            <w:shd w:val="clear" w:color="auto" w:fill="auto"/>
            <w:tcW w:w="320" w:type="pct"/>
            <w:textDirection w:val="lrTb"/>
            <w:noWrap w:val="false"/>
          </w:tcPr>
          <w:p>
            <w:pPr>
              <w:jc w:val="left"/>
              <w:widowControl/>
              <w:rPr>
                <w:rFonts w:ascii="宋体" w:hAnsi="宋体" w:cs="宋体"/>
                <w:color w:val="000000"/>
                <w:sz w:val="24"/>
                <w:szCs w:val="24"/>
              </w:rPr>
            </w:pPr>
            <w:r>
              <w:rPr>
                <w:rFonts w:hint="eastAsia" w:ascii="宋体" w:hAnsi="宋体" w:cs="宋体"/>
                <w:sz w:val="24"/>
                <w:szCs w:val="24"/>
              </w:rPr>
              <w:t xml:space="preserve">4</w:t>
            </w:r>
            <w:r/>
          </w:p>
        </w:tc>
        <w:tc>
          <w:tcPr>
            <w:shd w:val="clear" w:color="auto" w:fill="auto"/>
            <w:tcW w:w="4680" w:type="pct"/>
            <w:textDirection w:val="lrTb"/>
            <w:noWrap/>
          </w:tcPr>
          <w:p>
            <w:pPr>
              <w:jc w:val="left"/>
              <w:widowControl/>
              <w:rPr>
                <w:rFonts w:ascii="宋体" w:hAnsi="宋体" w:cs="宋体"/>
                <w:b/>
                <w:bCs/>
                <w:color w:val="000000"/>
                <w:sz w:val="24"/>
                <w:szCs w:val="24"/>
              </w:rPr>
            </w:pPr>
            <w:r>
              <w:rPr>
                <w:rFonts w:hint="eastAsia" w:ascii="宋体" w:hAnsi="宋体" w:cs="宋体"/>
                <w:b/>
                <w:bCs/>
                <w:sz w:val="24"/>
                <w:szCs w:val="24"/>
              </w:rPr>
              <w:t xml:space="preserve">输液泵</w:t>
            </w:r>
            <w:r/>
          </w:p>
        </w:tc>
      </w:tr>
      <w:tr>
        <w:trPr>
          <w:trHeight w:val="58"/>
        </w:trPr>
        <w:tc>
          <w:tcPr>
            <w:shd w:val="clear" w:color="auto" w:fill="auto"/>
            <w:tcW w:w="32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4.1</w:t>
            </w:r>
            <w:r/>
          </w:p>
        </w:tc>
        <w:tc>
          <w:tcPr>
            <w:shd w:val="clear" w:color="auto" w:fill="auto"/>
            <w:tcW w:w="468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输液精度≤±5%。</w:t>
            </w:r>
            <w:r/>
          </w:p>
        </w:tc>
      </w:tr>
      <w:tr>
        <w:trPr>
          <w:trHeight w:val="58"/>
        </w:trPr>
        <w:tc>
          <w:tcPr>
            <w:shd w:val="clear" w:color="auto" w:fill="auto"/>
            <w:tcW w:w="32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4.2</w:t>
            </w:r>
            <w:r/>
          </w:p>
        </w:tc>
        <w:tc>
          <w:tcPr>
            <w:shd w:val="clear" w:color="auto" w:fill="auto"/>
            <w:tcW w:w="4680" w:type="pct"/>
            <w:textDirection w:val="lrTb"/>
            <w:noWrap w:val="false"/>
          </w:tcPr>
          <w:p>
            <w:pPr>
              <w:jc w:val="left"/>
              <w:widowControl/>
              <w:rPr>
                <w:rFonts w:ascii="宋体" w:hAnsi="宋体" w:cs="宋体"/>
                <w:color w:val="000000"/>
                <w:sz w:val="24"/>
                <w:szCs w:val="24"/>
              </w:rPr>
            </w:pPr>
            <w:r>
              <w:rPr>
                <w:rFonts w:hint="eastAsia" w:ascii="宋体" w:hAnsi="宋体" w:cs="宋体"/>
                <w:sz w:val="24"/>
                <w:szCs w:val="24"/>
              </w:rPr>
              <w:t xml:space="preserve">输液速率设定范围至少包含：0.1-2000mL/h, 最小步进≤0.01mL/h。</w:t>
            </w:r>
            <w:r/>
          </w:p>
        </w:tc>
      </w:tr>
      <w:tr>
        <w:trPr>
          <w:trHeight w:val="288"/>
        </w:trPr>
        <w:tc>
          <w:tcPr>
            <w:shd w:val="clear" w:color="auto" w:fill="auto"/>
            <w:tcW w:w="32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4.3</w:t>
            </w:r>
            <w:r/>
          </w:p>
        </w:tc>
        <w:tc>
          <w:tcPr>
            <w:shd w:val="clear" w:color="auto" w:fill="auto"/>
            <w:tcW w:w="468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具备≥3英寸触摸显示屏。</w:t>
            </w:r>
            <w:r/>
          </w:p>
        </w:tc>
      </w:tr>
      <w:tr>
        <w:trPr>
          <w:trHeight w:val="58"/>
        </w:trPr>
        <w:tc>
          <w:tcPr>
            <w:shd w:val="clear" w:color="auto" w:fill="auto"/>
            <w:tcW w:w="32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4.4</w:t>
            </w:r>
            <w:r/>
          </w:p>
        </w:tc>
        <w:tc>
          <w:tcPr>
            <w:shd w:val="clear" w:color="auto" w:fill="auto"/>
            <w:tcW w:w="468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具备药物库功能，可存储≥5000种药物。</w:t>
            </w:r>
            <w:r/>
          </w:p>
        </w:tc>
      </w:tr>
      <w:tr>
        <w:trPr>
          <w:trHeight w:val="191"/>
        </w:trPr>
        <w:tc>
          <w:tcPr>
            <w:shd w:val="clear" w:color="auto" w:fill="auto"/>
            <w:tcW w:w="32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4.5</w:t>
            </w:r>
            <w:r/>
          </w:p>
        </w:tc>
        <w:tc>
          <w:tcPr>
            <w:shd w:val="clear" w:color="auto" w:fill="auto"/>
            <w:tcW w:w="468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具备压力管理功能，阻塞压力等级≥12档可调。</w:t>
            </w:r>
            <w:r/>
          </w:p>
        </w:tc>
      </w:tr>
      <w:tr>
        <w:trPr>
          <w:trHeight w:val="153"/>
        </w:trPr>
        <w:tc>
          <w:tcPr>
            <w:shd w:val="clear" w:color="auto" w:fill="auto"/>
            <w:tcW w:w="32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4.6</w:t>
            </w:r>
            <w:r/>
          </w:p>
        </w:tc>
        <w:tc>
          <w:tcPr>
            <w:shd w:val="clear" w:color="auto" w:fill="auto"/>
            <w:tcW w:w="468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具备事件（日志）记录功能。</w:t>
            </w:r>
            <w:r/>
          </w:p>
        </w:tc>
      </w:tr>
      <w:tr>
        <w:trPr>
          <w:trHeight w:val="101"/>
        </w:trPr>
        <w:tc>
          <w:tcPr>
            <w:shd w:val="clear" w:color="auto" w:fill="auto"/>
            <w:tcW w:w="32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4.7</w:t>
            </w:r>
            <w:r/>
          </w:p>
        </w:tc>
        <w:tc>
          <w:tcPr>
            <w:shd w:val="clear" w:color="auto" w:fill="auto"/>
            <w:tcW w:w="4680" w:type="pct"/>
            <w:textDirection w:val="lrTb"/>
            <w:noWrap w:val="false"/>
          </w:tcPr>
          <w:p>
            <w:pPr>
              <w:jc w:val="left"/>
              <w:widowControl/>
              <w:rPr>
                <w:rFonts w:ascii="宋体" w:hAnsi="宋体" w:cs="宋体"/>
                <w:color w:val="000000"/>
                <w:sz w:val="24"/>
                <w:szCs w:val="24"/>
              </w:rPr>
            </w:pPr>
            <w:r>
              <w:rPr>
                <w:rFonts w:hint="eastAsia" w:ascii="宋体" w:hAnsi="宋体" w:cs="宋体"/>
                <w:sz w:val="24"/>
                <w:szCs w:val="24"/>
              </w:rPr>
              <w:t xml:space="preserve">具备完善的报警机制，包括输液结束、输液即将结束、阻塞报警。</w:t>
            </w:r>
            <w:r/>
          </w:p>
        </w:tc>
      </w:tr>
      <w:tr>
        <w:trPr>
          <w:trHeight w:val="58"/>
        </w:trPr>
        <w:tc>
          <w:tcPr>
            <w:shd w:val="clear" w:color="auto" w:fill="auto"/>
            <w:tcW w:w="32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4.8</w:t>
            </w:r>
            <w:r/>
          </w:p>
        </w:tc>
        <w:tc>
          <w:tcPr>
            <w:shd w:val="clear" w:color="auto" w:fill="auto"/>
            <w:tcW w:w="4680" w:type="pct"/>
            <w:textDirection w:val="lrTb"/>
            <w:noWrap w:val="false"/>
          </w:tcPr>
          <w:p>
            <w:pPr>
              <w:jc w:val="left"/>
              <w:widowControl/>
              <w:rPr>
                <w:rFonts w:ascii="宋体" w:hAnsi="宋体" w:cs="宋体"/>
                <w:color w:val="000000"/>
                <w:sz w:val="24"/>
                <w:szCs w:val="24"/>
              </w:rPr>
            </w:pPr>
            <w:r>
              <w:rPr>
                <w:rFonts w:hint="eastAsia" w:ascii="宋体" w:hAnsi="宋体" w:cs="宋体"/>
                <w:sz w:val="24"/>
                <w:szCs w:val="24"/>
              </w:rPr>
              <w:t xml:space="preserve">具有止液夹功能，防止药物回流。</w:t>
            </w:r>
            <w:r/>
          </w:p>
        </w:tc>
      </w:tr>
      <w:tr>
        <w:trPr>
          <w:trHeight w:val="323"/>
        </w:trPr>
        <w:tc>
          <w:tcPr>
            <w:shd w:val="clear" w:color="auto" w:fill="auto"/>
            <w:tcW w:w="32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4.9</w:t>
            </w:r>
            <w:r/>
          </w:p>
        </w:tc>
        <w:tc>
          <w:tcPr>
            <w:shd w:val="clear" w:color="auto" w:fill="auto"/>
            <w:tcW w:w="468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具备级联中继功能（多个泵能连续、不间断输液）。</w:t>
            </w:r>
            <w:r/>
          </w:p>
        </w:tc>
      </w:tr>
      <w:tr>
        <w:trPr>
          <w:trHeight w:val="323"/>
        </w:trPr>
        <w:tc>
          <w:tcPr>
            <w:shd w:val="clear" w:color="auto" w:fill="auto"/>
            <w:tcW w:w="32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4.10</w:t>
            </w:r>
            <w:r/>
          </w:p>
        </w:tc>
        <w:tc>
          <w:tcPr>
            <w:shd w:val="clear" w:color="auto" w:fill="auto"/>
            <w:tcW w:w="4680" w:type="pct"/>
            <w:textDirection w:val="lrTb"/>
            <w:noWrap/>
          </w:tcPr>
          <w:p>
            <w:pPr>
              <w:jc w:val="left"/>
              <w:widowControl/>
              <w:rPr>
                <w:rFonts w:ascii="宋体" w:hAnsi="宋体" w:cs="宋体"/>
                <w:color w:val="000000"/>
                <w:sz w:val="24"/>
                <w:szCs w:val="24"/>
              </w:rPr>
            </w:pPr>
            <w:r>
              <w:rPr>
                <w:rFonts w:hint="eastAsia" w:ascii="宋体" w:hAnsi="宋体" w:cs="宋体"/>
                <w:sz w:val="24"/>
                <w:szCs w:val="24"/>
              </w:rPr>
              <w:t xml:space="preserve">具备WIFI功能。</w:t>
            </w:r>
            <w:r/>
          </w:p>
        </w:tc>
      </w:tr>
    </w:tbl>
    <w:p>
      <w:pPr>
        <w:ind w:firstLine="602"/>
        <w:spacing w:line="360" w:lineRule="auto"/>
        <w:tabs>
          <w:tab w:val="left" w:pos="525" w:leader="none"/>
          <w:tab w:val="left" w:pos="630" w:leader="none"/>
          <w:tab w:val="left" w:pos="735" w:leader="none"/>
          <w:tab w:val="left" w:pos="945" w:leader="none"/>
        </w:tabs>
        <w:rPr>
          <w:rFonts w:ascii="宋体" w:hAnsi="宋体"/>
          <w:bCs/>
          <w:sz w:val="24"/>
          <w:szCs w:val="24"/>
          <w:u w:val="single"/>
        </w:rPr>
      </w:pPr>
      <w:r>
        <w:rPr>
          <w:rFonts w:hint="eastAsia" w:ascii="宋体" w:hAnsi="宋体"/>
          <w:bCs/>
          <w:sz w:val="24"/>
          <w:szCs w:val="24"/>
          <w:u w:val="single"/>
        </w:rPr>
        <w:t xml:space="preserve">★三、商务需求：</w:t>
      </w:r>
      <w:r/>
    </w:p>
    <w:p>
      <w:pPr>
        <w:ind w:firstLine="602"/>
        <w:spacing w:line="360" w:lineRule="auto"/>
        <w:rPr>
          <w:rFonts w:ascii="宋体" w:hAnsi="宋体"/>
          <w:bCs/>
          <w:sz w:val="24"/>
          <w:szCs w:val="24"/>
        </w:rPr>
      </w:pPr>
      <w:r>
        <w:rPr>
          <w:rFonts w:hint="eastAsia" w:ascii="宋体" w:hAnsi="宋体"/>
          <w:bCs/>
          <w:sz w:val="24"/>
          <w:szCs w:val="24"/>
        </w:rPr>
        <w:t xml:space="preserve">1.维修保证：</w:t>
      </w:r>
      <w:r/>
    </w:p>
    <w:p>
      <w:pPr>
        <w:ind w:firstLine="602"/>
        <w:spacing w:line="360" w:lineRule="auto"/>
        <w:rPr>
          <w:rFonts w:ascii="宋体" w:hAnsi="宋体"/>
          <w:bCs/>
          <w:sz w:val="24"/>
          <w:szCs w:val="24"/>
        </w:rPr>
      </w:pPr>
      <w:r>
        <w:rPr>
          <w:rFonts w:hint="eastAsia" w:ascii="宋体" w:hAnsi="宋体"/>
          <w:bCs/>
          <w:sz w:val="24"/>
          <w:szCs w:val="24"/>
        </w:rPr>
        <w:t xml:space="preserve">1.1原厂免费质保期≥5年（易损件（电池）质保期≥1年）。</w:t>
      </w:r>
      <w:r/>
    </w:p>
    <w:p>
      <w:pPr>
        <w:ind w:firstLine="602"/>
        <w:spacing w:line="360" w:lineRule="auto"/>
        <w:rPr>
          <w:rFonts w:ascii="宋体" w:hAnsi="宋体"/>
          <w:bCs/>
          <w:sz w:val="24"/>
          <w:szCs w:val="24"/>
        </w:rPr>
      </w:pPr>
      <w:r>
        <w:rPr>
          <w:rFonts w:hint="eastAsia" w:ascii="宋体" w:hAnsi="宋体"/>
          <w:bCs/>
          <w:sz w:val="24"/>
          <w:szCs w:val="24"/>
        </w:rPr>
        <w:t xml:space="preserve">1.2在保质期内，故障发生后，要求供方在接报后2小时之内响应，24小时之内到达现场排除故障；须提供故障不能排除时的解决方案；免费质保期后，设备终身维修，维修只收配件费，供方必须以低于市场价的80％优惠提供（提供承诺书，格式自拟，须加盖投标人公章）。</w:t>
      </w:r>
      <w:r/>
    </w:p>
    <w:p>
      <w:pPr>
        <w:ind w:firstLine="602"/>
        <w:spacing w:line="360" w:lineRule="auto"/>
        <w:rPr>
          <w:rFonts w:ascii="宋体" w:hAnsi="宋体"/>
          <w:bCs/>
          <w:sz w:val="24"/>
          <w:szCs w:val="24"/>
        </w:rPr>
      </w:pPr>
      <w:r>
        <w:rPr>
          <w:rFonts w:hint="eastAsia" w:ascii="宋体" w:hAnsi="宋体"/>
          <w:bCs/>
          <w:sz w:val="24"/>
          <w:szCs w:val="24"/>
        </w:rPr>
        <w:t xml:space="preserve">2.交货时间：合同生效之日起30天内。</w:t>
      </w:r>
      <w:r/>
    </w:p>
    <w:p>
      <w:pPr>
        <w:ind w:firstLine="602"/>
        <w:spacing w:line="360" w:lineRule="auto"/>
        <w:rPr>
          <w:rFonts w:ascii="宋体" w:hAnsi="宋体"/>
          <w:bCs/>
          <w:sz w:val="24"/>
          <w:szCs w:val="24"/>
        </w:rPr>
      </w:pPr>
      <w:r>
        <w:rPr>
          <w:rFonts w:hint="eastAsia" w:ascii="宋体" w:hAnsi="宋体"/>
          <w:bCs/>
          <w:sz w:val="24"/>
          <w:szCs w:val="24"/>
        </w:rPr>
        <w:t xml:space="preserve">3.验收标准： </w:t>
      </w:r>
      <w:r/>
    </w:p>
    <w:p>
      <w:pPr>
        <w:ind w:firstLine="602"/>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履约验收主体：江南大学附属医院</w:t>
      </w:r>
      <w:r/>
    </w:p>
    <w:p>
      <w:pPr>
        <w:ind w:firstLine="602"/>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履约验收时间：按合同约定完成全部货物的供货，安装调试、培训完成具备验收条件后的5个工作日内组织验收。</w:t>
      </w:r>
      <w:r/>
    </w:p>
    <w:p>
      <w:pPr>
        <w:ind w:firstLine="602"/>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方式：江南大学附属医院组织成立验收小组，按照合同约定内容制定履约验收方案并组织现场实物验收及资料验收。如有必要，需方可委托第三方专业机构及专家参与验收，相关意见将作为验收单的参考资料。</w:t>
      </w:r>
      <w:r/>
    </w:p>
    <w:p>
      <w:pPr>
        <w:ind w:firstLine="602"/>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履约验收程序：按照采购合同约定内容对供方的履约情况进行验收。验收结束后，验收小组出具验收单并签署。验收结果与采购合同约定的资金支付及履约保证金返还条件挂钩。履约验收的各项资料存档备查。</w:t>
      </w:r>
      <w:r/>
    </w:p>
    <w:p>
      <w:pPr>
        <w:ind w:firstLine="602"/>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履约验收内容和标准：验收时，验收小组按照合同约定对每一项技术、商务要求的履约情况进行验收。验收标准按照招标文件内的相关要求执行，无明确要求的按照相应国家标准进行验收。要求进口产品到货日期距仪器生产日期不超过一年，国产产品不超过半年(以铭牌或说明书确认)。</w:t>
      </w:r>
      <w:r/>
    </w:p>
    <w:p>
      <w:pPr>
        <w:pStyle w:val="756"/>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pStyle w:val="756"/>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5.交货条件： </w:t>
      </w:r>
      <w:r/>
    </w:p>
    <w:p>
      <w:pPr>
        <w:pStyle w:val="756"/>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产品交货时，包装完整无破损，还必须提供以下材料： </w:t>
      </w:r>
      <w:r/>
    </w:p>
    <w:p>
      <w:pPr>
        <w:pStyle w:val="756"/>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 装箱单 </w:t>
      </w:r>
      <w:r/>
    </w:p>
    <w:p>
      <w:pPr>
        <w:pStyle w:val="756"/>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 产品质检合格证明</w:t>
      </w:r>
      <w:r/>
    </w:p>
    <w:p>
      <w:pPr>
        <w:pStyle w:val="756"/>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 若为进口产品，供方需要提供进口商品检验检疫证明和报关单</w:t>
      </w:r>
      <w:r/>
    </w:p>
    <w:p>
      <w:pPr>
        <w:pStyle w:val="756"/>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 使用说明书及操作手册（电子版、纸质版同时提供）</w:t>
      </w:r>
      <w:r/>
    </w:p>
    <w:p>
      <w:pPr>
        <w:pStyle w:val="756"/>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 单价10万元以上的设备需提供设备操作、保养的视频资料</w:t>
      </w:r>
      <w:r/>
    </w:p>
    <w:p>
      <w:pPr>
        <w:pStyle w:val="756"/>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6.运输及到货地点：由供方负责办理运输及装卸，直接送至江南大学附属医院烧创伤楼5楼急诊科EICU和6楼烧伤重症监护室，所有费用由供方承担。 </w:t>
      </w:r>
      <w:r/>
    </w:p>
    <w:p>
      <w:pPr>
        <w:pStyle w:val="756"/>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7.安装、调试及售后服务：供方负责本次采购设备的免费安装、调试(安装、调试过程所需耗品应由供方免费提供)，保证培训人员正常操作该设备的各种功能。供方提供设备操作规范张贴设备上，提供设备操作规范电子档交于医院。</w:t>
      </w:r>
      <w:r/>
    </w:p>
    <w:p>
      <w:pPr>
        <w:pStyle w:val="756"/>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8.付款方式：</w:t>
      </w:r>
      <w:r/>
    </w:p>
    <w:p>
      <w:pPr>
        <w:pStyle w:val="756"/>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合同签订后30日内预付合同金额30%，货到现场安装、调试、培训、初步验收试运行3个月后30日内付款60%，试运行12个月后30日内正式验收合格后无息支付10%余款。（如果中标人为中小企业，按《保障中小企业款项支付条例》(国令第 802号)相关要求执行。）</w:t>
      </w:r>
      <w:r/>
    </w:p>
    <w:p>
      <w:pPr>
        <w:pStyle w:val="756"/>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pStyle w:val="756"/>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10.具备数字化接口的设备应承诺免费开放该接口，由供应商配合与医院信息系统（如HIS，RIS，PACS，LIS等）相连接并承担相应费用（提供承诺书，格式自拟，须加盖投标人公章）。</w:t>
      </w:r>
      <w:r/>
    </w:p>
    <w:p>
      <w:pPr>
        <w:pStyle w:val="756"/>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11.具有汉字字库、中文支持的系统及中文文档的设备应免费提供该系统，暂不具备的应承诺如日后具备此系统后免费向用户提供（提供承诺书，格式自拟，须加盖投标人公章）。</w:t>
      </w:r>
      <w:r/>
    </w:p>
    <w:p>
      <w:pPr>
        <w:pStyle w:val="756"/>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12.设备使用年限内（本次所投产品的年限≥10年），应承诺保证配件、耗材的供应；若因设备升级等原因导致配件、耗材价格提高，或已无法正常供应配件、耗材时，医院有权要求生产厂家按折旧后的价格将设备回购。（《关于所投设备的配件、耗材供应情况的承诺函》参考格式）</w:t>
      </w:r>
      <w:r/>
    </w:p>
    <w:p>
      <w:pPr>
        <w:pStyle w:val="756"/>
        <w:ind w:firstLine="600"/>
        <w:spacing w:line="336"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13.供应商承担设备与医院设备实时监控系统相连的相关费用，达到医院实时监控要求。支持DICOM通信协议；或主机具备HDMI、DVI、SDI等主流视频输出口；或开放文件共享端口，支持任意一项或多项通信协议，如：smb、ssh、ftp、http、https等，允许获取故障日志、运营日志、参数日志等数据。（提供承诺书，格式自拟，须加盖投标人公章）。</w:t>
      </w:r>
      <w:r/>
    </w:p>
    <w:p>
      <w:pPr>
        <w:pStyle w:val="756"/>
        <w:ind w:firstLine="600"/>
        <w:spacing w:line="336" w:lineRule="auto"/>
        <w:rPr>
          <w:rFonts w:ascii="宋体"/>
          <w:bCs/>
          <w:sz w:val="24"/>
          <w:szCs w:val="24"/>
        </w:rPr>
      </w:pPr>
      <w:r>
        <w:rPr>
          <w:rFonts w:hint="eastAsia" w:ascii="黑体" w:hAnsi="黑体" w:eastAsia="黑体"/>
          <w:sz w:val="30"/>
          <w:szCs w:val="30"/>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ab/>
      </w:r>
      <w:r>
        <w:rPr>
          <w:rFonts w:hint="eastAsia" w:ascii="宋体" w:hAnsi="宋体" w:cs="宋体"/>
          <w:sz w:val="24"/>
          <w:szCs w:val="24"/>
        </w:rPr>
        <w:t xml:space="preserve">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2.2.本次采购项目拒绝进口产品参与。注：进口产品是指通过中国海关报关验放进入中国境内且产自关境外的产品。</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ab/>
      </w:r>
      <w:r>
        <w:rPr>
          <w:rFonts w:hint="eastAsia" w:ascii="宋体" w:hAnsi="宋体" w:cs="宋体"/>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ab/>
      </w:r>
      <w:r>
        <w:rPr>
          <w:rFonts w:hint="eastAsia" w:ascii="宋体" w:hAnsi="宋体" w:cs="宋体"/>
          <w:sz w:val="24"/>
          <w:szCs w:val="24"/>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ab/>
      </w:r>
      <w:r>
        <w:rPr>
          <w:rFonts w:hint="eastAsia" w:ascii="宋体" w:hAnsi="宋体" w:cs="宋体"/>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ab/>
      </w:r>
      <w:r>
        <w:rPr>
          <w:rFonts w:hint="eastAsia" w:ascii="宋体" w:hAnsi="宋体" w:cs="宋体"/>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ab/>
      </w:r>
      <w:r>
        <w:rPr>
          <w:rFonts w:hint="eastAsia" w:ascii="宋体" w:hAnsi="宋体" w:cs="宋体"/>
          <w:sz w:val="24"/>
          <w:szCs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8.本章中标注“★”的条款为本项目的实质性条款，投标人不满足的，将按照无效投标处理。</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cs="宋体"/>
          <w:sz w:val="24"/>
          <w:szCs w:val="24"/>
        </w:rPr>
      </w:pPr>
      <w:r>
        <w:rPr>
          <w:rFonts w:hint="eastAsia" w:ascii="宋体" w:hAnsi="宋体"/>
          <w:bCs/>
          <w:sz w:val="24"/>
        </w:rPr>
        <w:t xml:space="preserve">9.本项目采购人不统一组织现场查勘，供应商可根据投标需要自行联系采购人开展现场查勘（联系人：沈老师，联系电话：0510-68089112）。供应商应通过现场查勘充分了解安装场地的实际条件、周边环境及项目实施相关要求，查勘过程中产生的交通、食宿等费用及安全风险由供应商自行承担。投标报价应包含设备运输、安装、调试直至达到正常运行条件的全部费用，且供应商需在报价中充分考虑现场实际条件对项目实施的影响。</w:t>
      </w:r>
      <w:r/>
    </w:p>
    <w:p>
      <w:pPr>
        <w:ind w:firstLine="600"/>
        <w:jc w:val="left"/>
        <w:spacing w:line="360" w:lineRule="auto"/>
        <w:rPr>
          <w:rFonts w:ascii="黑体" w:hAnsi="黑体" w:eastAsia="黑体"/>
          <w:sz w:val="30"/>
          <w:szCs w:val="30"/>
        </w:rPr>
      </w:pPr>
      <w:r>
        <w:rPr>
          <w:rFonts w:hint="eastAsia" w:ascii="黑体" w:hAnsi="黑体" w:eastAsia="黑体"/>
          <w:sz w:val="30"/>
          <w:szCs w:val="30"/>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ascii="宋体" w:hAnsi="宋体"/>
          <w:bCs/>
          <w:sz w:val="24"/>
        </w:rPr>
        <w:t xml:space="preserve">一、</w:t>
      </w:r>
      <w:r>
        <w:rPr>
          <w:rFonts w:hint="eastAsia" w:ascii="宋体" w:hAnsi="宋体"/>
          <w:bCs/>
          <w:sz w:val="24"/>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三、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四、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五、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六、中标、成交供应商可采用合同融资形式，中标人可凭政府采购合同办理融资贷款。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七、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八、本项目中如有涉及数据库、操作系</w:t>
      </w:r>
      <w:r>
        <w:rPr>
          <w:rFonts w:hint="eastAsia" w:ascii="宋体" w:hAnsi="宋体"/>
          <w:bCs/>
          <w:sz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九、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ascii="黑体" w:hAnsi="黑体" w:eastAsia="黑体"/>
          <w:bCs/>
          <w:sz w:val="36"/>
          <w:szCs w:val="36"/>
        </w:rPr>
      </w:pPr>
      <w:r>
        <w:rPr>
          <w:rFonts w:hint="eastAsia" w:ascii="宋体" w:hAnsi="宋体"/>
          <w:bCs/>
          <w:sz w:val="24"/>
        </w:rPr>
        <w:t xml:space="preserve">采购人原则上应当自收到发票后10个工作日内将资金支付到合同约定的供应商账户。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r>
      <w:r/>
    </w:p>
    <w:p>
      <w:pPr>
        <w:pStyle w:val="776"/>
        <w:ind w:firstLine="0"/>
        <w:rPr>
          <w:highlight w:val="white"/>
        </w:rPr>
      </w:pPr>
      <w:r>
        <w:rPr>
          <w:highlight w:val="white"/>
        </w:rPr>
      </w:r>
      <w:r/>
    </w:p>
    <w:p>
      <w:pPr>
        <w:pStyle w:val="776"/>
        <w:ind w:firstLine="0"/>
        <w:rPr>
          <w:highlight w:val="white"/>
        </w:rPr>
      </w:pPr>
      <w:r>
        <w:rPr>
          <w:highlight w:val="white"/>
        </w:rPr>
      </w:r>
      <w:r/>
    </w:p>
    <w:p>
      <w:pPr>
        <w:pStyle w:val="776"/>
        <w:ind w:firstLine="0"/>
        <w:rPr>
          <w:highlight w:val="white"/>
        </w:rPr>
      </w:pPr>
      <w:r>
        <w:rPr>
          <w:highlight w:val="white"/>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themeColor="text1"/>
          <w:sz w:val="36"/>
          <w:szCs w:val="36"/>
          <w:highlight w:val="white"/>
          <w14:textFill>
            <w14:solidFill>
              <w14:schemeClr w14:val="tx1"/>
            </w14:solidFill>
          </w14:textFill>
        </w:rPr>
      </w:pPr>
      <w:r>
        <w:rPr>
          <w:rFonts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37"/>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第一部分评标方法</w:t>
      </w:r>
      <w:r/>
    </w:p>
    <w:p>
      <w:pPr>
        <w:pStyle w:val="1037"/>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37"/>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37"/>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7"/>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37"/>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37"/>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37"/>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37"/>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37"/>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37"/>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37"/>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37"/>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37"/>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37"/>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37"/>
        <w:ind w:firstLine="0"/>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37"/>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第二部分评标标准</w:t>
      </w:r>
      <w:r/>
    </w:p>
    <w:p>
      <w:pPr>
        <w:pStyle w:val="1037"/>
        <w:ind w:firstLine="562"/>
        <w:spacing w:before="0" w:after="0" w:line="500" w:lineRule="exact"/>
        <w:rPr>
          <w:rFonts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line="50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ind w:firstLine="480"/>
        <w:jc w:val="left"/>
        <w:spacing w:line="500" w:lineRule="exact"/>
        <w:rPr>
          <w:rFonts w:ascii="宋体" w:hAnsi="宋体"/>
          <w:bCs/>
          <w:sz w:val="24"/>
          <w:szCs w:val="24"/>
        </w:rPr>
      </w:pPr>
      <w:r>
        <w:rPr>
          <w:rFonts w:hint="eastAsia" w:ascii="宋体" w:hAnsi="宋体"/>
          <w:bCs/>
          <w:sz w:val="24"/>
          <w:szCs w:val="24"/>
        </w:rPr>
        <w:t xml:space="preserve">7.采购本国产品的支持政策</w:t>
      </w:r>
      <w:r/>
    </w:p>
    <w:p>
      <w:pPr>
        <w:ind w:firstLine="480"/>
        <w:jc w:val="left"/>
        <w:spacing w:line="500" w:lineRule="exact"/>
        <w:rPr>
          <w:rFonts w:ascii="宋体" w:hAnsi="宋体"/>
          <w:bCs/>
          <w:sz w:val="24"/>
          <w:szCs w:val="24"/>
        </w:rPr>
      </w:pPr>
      <w:r>
        <w:rPr>
          <w:rFonts w:hint="eastAsia" w:ascii="宋体" w:hAnsi="宋体"/>
          <w:bCs/>
          <w:sz w:val="24"/>
          <w:szCs w:val="24"/>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sz w:val="24"/>
          <w:szCs w:val="24"/>
        </w:rPr>
        <w:t xml:space="preserve">对于仅有本国产品参与竞争的政府采购项目，本国产品不享受20%价格扣除评审优惠。</w:t>
      </w:r>
      <w:r/>
    </w:p>
    <w:p>
      <w:pPr>
        <w:ind w:firstLine="480"/>
        <w:jc w:val="left"/>
        <w:spacing w:line="500" w:lineRule="exact"/>
        <w:rPr>
          <w:rFonts w:ascii="宋体" w:hAnsi="宋体"/>
          <w:bCs/>
          <w:sz w:val="24"/>
          <w:szCs w:val="24"/>
        </w:rPr>
      </w:pPr>
      <w:r>
        <w:rPr>
          <w:rFonts w:hint="eastAsia" w:ascii="宋体" w:hAnsi="宋体"/>
          <w:bCs/>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ascii="宋体" w:hAnsi="宋体"/>
          <w:bCs/>
          <w:sz w:val="24"/>
          <w:szCs w:val="24"/>
        </w:rPr>
      </w:pPr>
      <w:r>
        <w:rPr>
          <w:rFonts w:hint="eastAsia" w:ascii="宋体" w:hAnsi="宋体"/>
          <w:bCs/>
          <w:sz w:val="24"/>
          <w:szCs w:val="24"/>
        </w:rPr>
        <w:t xml:space="preserve">7.3 供应商需按照招标文件的要求提供《关于符合本国产品标准的声明函》（以下简称《声明函》），如不提供将不享受本国产品价格评审优惠。</w:t>
      </w:r>
      <w:r/>
    </w:p>
    <w:p>
      <w:pPr>
        <w:ind w:firstLine="480"/>
        <w:jc w:val="left"/>
        <w:spacing w:line="500" w:lineRule="exact"/>
        <w:rPr>
          <w:rFonts w:ascii="宋体" w:hAnsi="宋体"/>
          <w:bCs/>
          <w:sz w:val="24"/>
          <w:szCs w:val="24"/>
        </w:rPr>
      </w:pPr>
      <w:r>
        <w:rPr>
          <w:rFonts w:hint="eastAsia" w:ascii="宋体" w:hAnsi="宋体"/>
          <w:bCs/>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37"/>
        <w:ind w:firstLine="562"/>
        <w:spacing w:before="0" w:after="0" w:line="500" w:lineRule="exact"/>
        <w:rPr>
          <w:rFonts w:ascii="宋体" w:hAnsi="宋体"/>
          <w:bCs/>
        </w:rPr>
      </w:pPr>
      <w:r>
        <w:rPr>
          <w:rFonts w:hint="eastAsia" w:ascii="宋体" w:hAnsi="宋体"/>
          <w:bCs/>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7"/>
        <w:ind w:firstLine="562"/>
        <w:spacing w:before="0" w:after="0" w:line="500" w:lineRule="exact"/>
        <w:rPr>
          <w:highlight w:val="white"/>
          <w:shd w:val="clear" w:color="ffffff" w:fill="d9d9d9"/>
        </w:rPr>
      </w:pPr>
      <w:r>
        <w:rPr>
          <w:rFonts w:hint="eastAsia" w:ascii="宋体" w:hAnsi="宋体"/>
          <w:b/>
          <w:color w:val="000000" w:themeColor="text1"/>
          <w:sz w:val="28"/>
          <w:szCs w:val="28"/>
          <w:highlight w:val="white"/>
          <w14:textFill>
            <w14:solidFill>
              <w14:schemeClr w14:val="tx1"/>
            </w14:solidFill>
          </w14:textFill>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1.价格：（40分）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以进入评标程序、满足招标文件要求且报价最低的投标报价为评标基准价（须未超过采购预算价），其价格分为满分40分。其他投标人的价格分统一按照下列公式计算：</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投标报价得分=（评标基准价/投标报价）×40（保留两位小数）</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numPr>
          <w:ilvl w:val="0"/>
          <w:numId w:val="6"/>
        </w:numPr>
        <w:ind w:firstLine="482"/>
        <w:spacing w:line="360" w:lineRule="auto"/>
        <w:tabs>
          <w:tab w:val="clear" w:pos="312" w:leader="none"/>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技术（40分）</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751"/>
        <w:tblW w:w="50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6"/>
        <w:gridCol w:w="6559"/>
        <w:gridCol w:w="734"/>
        <w:gridCol w:w="737"/>
      </w:tblGrid>
      <w:tr>
        <w:trPr>
          <w:jc w:val="center"/>
          <w:trHeight w:val="937"/>
        </w:trPr>
        <w:tc>
          <w:tcPr>
            <w:tcW w:w="340" w:type="pct"/>
            <w:vAlign w:val="center"/>
            <w:textDirection w:val="lrTb"/>
            <w:noWrap w:val="false"/>
          </w:tcPr>
          <w:p>
            <w:pPr>
              <w:jc w:val="center"/>
              <w:spacing w:line="360" w:lineRule="auto"/>
              <w:rPr>
                <w:rFonts w:ascii="宋体" w:hAnsi="宋体" w:cs="宋体"/>
                <w:sz w:val="24"/>
                <w:szCs w:val="24"/>
              </w:rPr>
            </w:pPr>
            <w:r/>
            <w:bookmarkStart w:id="189" w:name="_Hlk188515134"/>
            <w:r>
              <w:rPr>
                <w:rFonts w:hint="eastAsia" w:ascii="宋体" w:hAnsi="宋体" w:cs="宋体"/>
                <w:sz w:val="24"/>
                <w:szCs w:val="24"/>
              </w:rPr>
              <w:t xml:space="preserve">序号</w:t>
            </w:r>
            <w:r/>
          </w:p>
        </w:tc>
        <w:tc>
          <w:tcPr>
            <w:tcW w:w="3805"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技术评分标准</w:t>
            </w:r>
            <w:r/>
          </w:p>
        </w:tc>
        <w:tc>
          <w:tcPr>
            <w:tcW w:w="426"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评分下限</w:t>
            </w:r>
            <w:r/>
          </w:p>
        </w:tc>
        <w:tc>
          <w:tcPr>
            <w:tcW w:w="427"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评分上限</w:t>
            </w:r>
            <w:r/>
          </w:p>
        </w:tc>
      </w:tr>
      <w:tr>
        <w:trPr>
          <w:jc w:val="center"/>
          <w:trHeight w:val="628"/>
        </w:trPr>
        <w:tc>
          <w:tcPr>
            <w:tcW w:w="34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05" w:type="pc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输注系统（工作站）可通过中央站实现医嘱下发、远程操控、数据自动上传，满足得2分，其他不得分。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jc w:val="center"/>
          <w:trHeight w:val="654"/>
        </w:trPr>
        <w:tc>
          <w:tcPr>
            <w:tcW w:w="34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3805" w:type="pc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输注系统（工作站）仅需通过1个多功能接口，即可同时对系统内输注泵进行供电和通讯，满足得2分，其他不得分。</w:t>
            </w:r>
            <w:r/>
          </w:p>
        </w:tc>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0</w:t>
            </w:r>
            <w:r/>
          </w:p>
        </w:tc>
        <w:tc>
          <w:tcPr>
            <w:shd w:val="clear" w:color="auto" w:fill="auto"/>
            <w:tcBorders>
              <w:top w:val="none" w:color="000000"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jc w:val="center"/>
          <w:trHeight w:val="634"/>
        </w:trPr>
        <w:tc>
          <w:tcPr>
            <w:tcW w:w="34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3805" w:type="pc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输注系统（工作站）能够接入中央站，实现输注泵和监护仪、呼吸机信息同屏查看，满足得2分，其他不得分。</w:t>
            </w:r>
            <w:r/>
          </w:p>
        </w:tc>
        <w:tc>
          <w:tcPr>
            <w:tcBorders>
              <w:top w:val="none" w:color="000000" w:sz="4" w:space="0"/>
              <w:left w:val="single" w:color="auto" w:sz="4" w:space="0"/>
              <w:bottom w:val="single" w:color="auto" w:sz="4" w:space="0"/>
              <w:right w:val="single" w:color="auto" w:sz="4" w:space="0"/>
            </w:tcBorders>
            <w:tcW w:w="42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0</w:t>
            </w:r>
            <w:r/>
          </w:p>
        </w:tc>
        <w:tc>
          <w:tcPr>
            <w:shd w:val="clear" w:color="auto" w:fill="auto"/>
            <w:tcBorders>
              <w:top w:val="none" w:color="000000"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jc w:val="center"/>
          <w:trHeight w:val="937"/>
        </w:trPr>
        <w:tc>
          <w:tcPr>
            <w:tcBorders>
              <w:right w:val="single" w:color="auto" w:sz="4" w:space="0"/>
            </w:tcBorders>
            <w:tcW w:w="34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805" w:type="pc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输注系统（工作站）以≤3个通道为基本单位增减，满足得2分，达到：≤2个通道为基本单位增减，得4分，其他不得分。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r>
      <w:tr>
        <w:trPr>
          <w:jc w:val="center"/>
          <w:trHeight w:val="937"/>
        </w:trPr>
        <w:tc>
          <w:tcPr>
            <w:tcBorders>
              <w:right w:val="single" w:color="auto" w:sz="4" w:space="0"/>
            </w:tcBorders>
            <w:tcW w:w="34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805" w:type="pc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注射泵的注射器规格包含：1mL、2mL、3mL、5mL、10mL、20mL、30mL、50/60mL。以上规格具备≥5种得1分，达到：≥8种得2分，其他不得分。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jc w:val="center"/>
          <w:trHeight w:val="628"/>
        </w:trPr>
        <w:tc>
          <w:tcPr>
            <w:tcBorders>
              <w:right w:val="single" w:color="auto" w:sz="4" w:space="0"/>
            </w:tcBorders>
            <w:tcW w:w="34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805" w:type="pc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输液泵具备≥3.5英寸彩色触摸显示屏，得1分；达到：≥5英寸，得2分，其他不得分。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jc w:val="center"/>
          <w:trHeight w:val="628"/>
        </w:trPr>
        <w:tc>
          <w:tcPr>
            <w:tcBorders>
              <w:right w:val="single" w:color="auto" w:sz="4" w:space="0"/>
            </w:tcBorders>
            <w:tcW w:w="34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3805" w:type="pc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注射泵具备≥8种不同的注射模式，得2分，达到：≥11种，得4分，其他不得分。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r>
      <w:tr>
        <w:trPr>
          <w:jc w:val="center"/>
          <w:trHeight w:val="628"/>
        </w:trPr>
        <w:tc>
          <w:tcPr>
            <w:tcBorders>
              <w:bottom w:val="single" w:color="auto" w:sz="4" w:space="0"/>
            </w:tcBorders>
            <w:tcW w:w="34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805" w:type="pc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注射泵阻塞压力等级≥12档可调，得2分，达到：≥15档，得4分，其他不得分。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r>
      <w:tr>
        <w:trPr>
          <w:jc w:val="center"/>
          <w:trHeight w:val="628"/>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3805" w:type="pc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注射泵的注射器安装后，推拉盒能自动固定注射器，满足得2分，其他不得分。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jc w:val="center"/>
          <w:trHeight w:val="610"/>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805" w:type="pc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注射泵和输液泵的不同药物能用不同色彩标识，支持≥15种颜色标识，得2分；达到：≥30种，得4分，其他不得分。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r>
      <w:tr>
        <w:trPr>
          <w:jc w:val="center"/>
          <w:trHeight w:val="628"/>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3805" w:type="pc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输液泵具有电动门，能够自动开关泵门，满足得2分，其他不得分。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rPr>
              <w:t xml:space="preserve">2</w:t>
            </w:r>
            <w:r/>
          </w:p>
        </w:tc>
      </w:tr>
      <w:tr>
        <w:trPr>
          <w:jc w:val="center"/>
          <w:trHeight w:val="937"/>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3805" w:type="pc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输液泵具备上下两个阻塞（压力）传感器；具备上下两个空气（气泡）传感器。每满足一项得2分，全部满足得4分，其他不得分。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rPr>
              <w:t xml:space="preserve">4</w:t>
            </w:r>
            <w:r/>
          </w:p>
        </w:tc>
      </w:tr>
      <w:tr>
        <w:trPr>
          <w:jc w:val="center"/>
          <w:trHeight w:val="628"/>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3805" w:type="pc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单个注射泵重量（含电池）≤1.8kg,得2分，达到：≤1.6kg，得3分，其他不得分。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rPr>
              <w:t xml:space="preserve">3</w:t>
            </w:r>
            <w:r/>
          </w:p>
        </w:tc>
      </w:tr>
      <w:tr>
        <w:trPr>
          <w:jc w:val="center"/>
          <w:trHeight w:val="638"/>
        </w:trPr>
        <w:tc>
          <w:tcPr>
            <w:tcBorders>
              <w:top w:val="single" w:color="auto" w:sz="4" w:space="0"/>
              <w:left w:val="single" w:color="auto" w:sz="4" w:space="0"/>
              <w:bottom w:val="single" w:color="auto" w:sz="4" w:space="0"/>
              <w:right w:val="single" w:color="auto" w:sz="4" w:space="0"/>
            </w:tcBorders>
            <w:tcW w:w="340" w:type="pc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3805" w:type="pct"/>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单个输液泵重量（含电池）≤2kg得2分，达到：≤1.7kg，得3分，其他不得分。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rPr>
              <w:t xml:space="preserve">3</w:t>
            </w:r>
            <w:bookmarkEnd w:id="189"/>
            <w:r/>
            <w:r/>
          </w:p>
        </w:tc>
      </w:tr>
    </w:tbl>
    <w:p>
      <w:pPr>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ascii="宋体" w:hAnsi="宋体"/>
          <w:b/>
          <w:bCs/>
          <w:color w:val="000000" w:themeColor="text1"/>
          <w:sz w:val="24"/>
          <w:szCs w:val="24"/>
          <w:highlight w:val="white"/>
          <w14:textFill>
            <w14:solidFill>
              <w14:schemeClr w14:val="tx1"/>
            </w14:solidFill>
          </w14:textFill>
        </w:rPr>
      </w:r>
      <w:r/>
    </w:p>
    <w:p>
      <w:pPr>
        <w:numPr>
          <w:ilvl w:val="0"/>
          <w:numId w:val="6"/>
        </w:numPr>
        <w:ind w:firstLine="482"/>
        <w:spacing w:line="360" w:lineRule="auto"/>
        <w:tabs>
          <w:tab w:val="clear" w:pos="312" w:leader="none"/>
          <w:tab w:val="left" w:pos="945" w:leader="none"/>
          <w:tab w:val="left" w:pos="1155" w:leader="none"/>
          <w:tab w:val="left" w:pos="3823" w:leader="none"/>
        </w:tabs>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商务</w:t>
      </w:r>
      <w:r>
        <w:rPr>
          <w:rFonts w:hint="eastAsia" w:ascii="宋体" w:hAnsi="宋体"/>
          <w:b/>
          <w:bCs/>
          <w:color w:val="000000" w:themeColor="text1"/>
          <w:sz w:val="24"/>
          <w:szCs w:val="24"/>
          <w14:textFill>
            <w14:solidFill>
              <w14:schemeClr w14:val="tx1"/>
            </w14:solidFill>
          </w14:textFill>
        </w:rPr>
        <w:t xml:space="preserve">：20分</w:t>
      </w:r>
      <w:r/>
    </w:p>
    <w:p>
      <w:pPr>
        <w:ind w:firstLine="480"/>
        <w:spacing w:line="360" w:lineRule="auto"/>
        <w:rPr>
          <w:rFonts w:ascii="宋体" w:hAnsi="宋体"/>
          <w:bCs/>
          <w:sz w:val="24"/>
          <w:szCs w:val="24"/>
        </w:rPr>
      </w:pPr>
      <w:r>
        <w:rPr>
          <w:rFonts w:hint="eastAsia" w:ascii="宋体" w:hAnsi="宋体"/>
          <w:bCs/>
          <w:sz w:val="24"/>
          <w:szCs w:val="24"/>
        </w:rPr>
        <w:t xml:space="preserve">3.1质保期（3分）：原厂免费主机质保5年为基准，每增加一年加1分，最多不超过3分。提供《质量保证及售后服务承诺书》（参考格式）。</w:t>
      </w:r>
      <w:r/>
    </w:p>
    <w:p>
      <w:pPr>
        <w:ind w:firstLine="480"/>
        <w:spacing w:line="360" w:lineRule="auto"/>
        <w:rPr>
          <w:rFonts w:ascii="宋体" w:hAnsi="宋体"/>
          <w:bCs/>
          <w:sz w:val="24"/>
          <w:szCs w:val="24"/>
        </w:rPr>
      </w:pPr>
      <w:r>
        <w:rPr>
          <w:rFonts w:hint="eastAsia" w:ascii="宋体" w:hAnsi="宋体"/>
          <w:bCs/>
          <w:sz w:val="24"/>
          <w:szCs w:val="24"/>
        </w:rPr>
        <w:t xml:space="preserve">3.2备用机（2分）：若设备出现故障，24小时内无法解决的，承诺提供备用机得2分，不提供不得分。（提供备用机承诺书，格式自拟，并加盖投标人电子公章）</w:t>
      </w:r>
      <w:r/>
    </w:p>
    <w:p>
      <w:pPr>
        <w:ind w:firstLine="480"/>
        <w:spacing w:line="360" w:lineRule="auto"/>
        <w:rPr>
          <w:rFonts w:ascii="宋体" w:hAnsi="宋体"/>
          <w:bCs/>
          <w:sz w:val="24"/>
          <w:szCs w:val="24"/>
        </w:rPr>
      </w:pPr>
      <w:r>
        <w:rPr>
          <w:rFonts w:hint="eastAsia" w:ascii="宋体" w:hAnsi="宋体"/>
          <w:bCs/>
          <w:sz w:val="24"/>
          <w:szCs w:val="24"/>
        </w:rPr>
        <w:t xml:space="preserve">3.3服务方案体系（6分）：投标人保障采购项目能够达到招标文件设定的使用和运行状态提供下列方案：</w:t>
      </w:r>
      <w:r/>
    </w:p>
    <w:p>
      <w:pPr>
        <w:ind w:firstLine="480"/>
        <w:spacing w:line="360" w:lineRule="auto"/>
        <w:rPr>
          <w:rFonts w:ascii="宋体" w:hAnsi="宋体"/>
          <w:bCs/>
          <w:sz w:val="24"/>
          <w:szCs w:val="24"/>
        </w:rPr>
      </w:pPr>
      <w:r>
        <w:rPr>
          <w:rFonts w:hint="eastAsia" w:ascii="宋体" w:hAnsi="宋体"/>
          <w:bCs/>
          <w:sz w:val="24"/>
          <w:szCs w:val="24"/>
        </w:rPr>
        <w:t xml:space="preserve">3.3.1运输配送、安装方案，调试、培训方案（2分）：提供完整、合理的运输配送和安装方案，明确运输流程、时效保障、货物防护措施，可落地性强，安装施工流程、安全规范、质量控制措施，实施条件完备，提供完整的调试、</w:t>
      </w:r>
      <w:r>
        <w:rPr>
          <w:rFonts w:hint="eastAsia" w:ascii="宋体" w:hAnsi="宋体"/>
          <w:bCs/>
          <w:sz w:val="24"/>
          <w:szCs w:val="24"/>
        </w:rPr>
        <w:t xml:space="preserve">培训方案，明确调试流程、调试标准、问题处置措施，流程科学规范，明确培训对象、培训内容、培训方式、培训时效，贴合项目实际需求，得2分；提供基本完整的运输配送和安装方案，运输流程、保障措施基本合理，具备一定落地性，安装施工流程、安全规范基本合理，具备基础实施条件，提供基本完整的调试、培训方案，调试流程、标准基本合理，具备基础调试能力，培训方案核心要素齐全，基本贴合项目需求，得1分；未提供方案、方案内容缺失、无法落地、内容不合理或缺乏可操作性，未提供方案、方案内容缺失、调试流程不合理或培训不符合项目需求，得0分。</w:t>
      </w:r>
      <w:r/>
    </w:p>
    <w:p>
      <w:pPr>
        <w:ind w:firstLine="480"/>
        <w:spacing w:line="360" w:lineRule="auto"/>
        <w:rPr>
          <w:rFonts w:ascii="宋体" w:hAnsi="宋体"/>
          <w:bCs/>
          <w:sz w:val="24"/>
          <w:szCs w:val="24"/>
        </w:rPr>
      </w:pPr>
      <w:r>
        <w:rPr>
          <w:rFonts w:hint="eastAsia" w:ascii="宋体" w:hAnsi="宋体"/>
          <w:bCs/>
          <w:sz w:val="24"/>
          <w:szCs w:val="24"/>
        </w:rPr>
        <w:t xml:space="preserve">3.3.2咨询（技术支持）方案，维护巡检方案（2分）：提供完整的咨询（技术支持）方案，明确服务渠道、响应方式、服务时效，技术支持能力充足，提供完整的维护巡检方案，明确巡检周期、巡检内容、维护措施、责任分工，可操作性强，得2分；提供基本完整的咨询（技术支持）方案，服务渠道、响应方式基本明确，具备基础技术支持能力，提供基本完整的维护巡检方案，巡检周期、内容基本明确，具备一定可操作性，得1分；未提供方案、方案内容不完善或服务保障不足，未提供方案、方案内容缺失或无法落地，得0分。</w:t>
      </w:r>
      <w:r/>
    </w:p>
    <w:p>
      <w:pPr>
        <w:ind w:firstLine="480"/>
        <w:spacing w:line="360" w:lineRule="auto"/>
        <w:rPr>
          <w:rFonts w:ascii="宋体" w:hAnsi="宋体"/>
          <w:bCs/>
          <w:sz w:val="24"/>
          <w:szCs w:val="24"/>
        </w:rPr>
      </w:pPr>
      <w:r>
        <w:rPr>
          <w:rFonts w:hint="eastAsia" w:ascii="宋体" w:hAnsi="宋体"/>
          <w:bCs/>
          <w:sz w:val="24"/>
          <w:szCs w:val="24"/>
        </w:rPr>
        <w:t xml:space="preserve">3.3.3维修方案，应急保障方案（2分）：提供完整的维修方案，明确维修流程、维修时限、配件保障、维修团队安排，维修服务能力充足，提供完整的应急保障方案，明确应急预警机制、处置流程、应急资源、应对措施，能有效应对突发状况，得2分；提供基本完整的维修方案，维修流程、时限基本明确，具备基础维修服务能力，提供基本完整的应急保障方案，应急处置流程、措施基本合理，能应对简单突发状况，得1分；未提供方案、方案内容不合理或维修保障缺失，未提供方案、方案内容不完善或无法应对突发状况，得0分。</w:t>
      </w:r>
      <w:r/>
    </w:p>
    <w:p>
      <w:pPr>
        <w:ind w:firstLine="480"/>
        <w:spacing w:line="360" w:lineRule="auto"/>
        <w:rPr>
          <w:rFonts w:ascii="宋体" w:hAnsi="宋体"/>
          <w:bCs/>
          <w:sz w:val="24"/>
          <w:szCs w:val="24"/>
        </w:rPr>
      </w:pPr>
      <w:r>
        <w:rPr>
          <w:rFonts w:hint="eastAsia" w:ascii="宋体" w:hAnsi="宋体"/>
          <w:bCs/>
          <w:sz w:val="24"/>
          <w:szCs w:val="24"/>
        </w:rPr>
        <w:t xml:space="preserve">3.4服务保障体系（4分）：</w:t>
      </w:r>
      <w:r/>
    </w:p>
    <w:p>
      <w:pPr>
        <w:ind w:firstLine="480"/>
        <w:spacing w:line="360" w:lineRule="auto"/>
        <w:rPr>
          <w:rFonts w:ascii="宋体" w:hAnsi="宋体"/>
          <w:bCs/>
          <w:sz w:val="24"/>
          <w:szCs w:val="24"/>
        </w:rPr>
      </w:pPr>
      <w:r>
        <w:rPr>
          <w:rFonts w:hint="eastAsia" w:ascii="宋体" w:hAnsi="宋体"/>
          <w:bCs/>
          <w:sz w:val="24"/>
          <w:szCs w:val="24"/>
        </w:rPr>
        <w:t xml:space="preserve">3.4.1保障服务方案的实施而设立服务机构（2分）：设立专门的服务机构，明确机构职能、运营机制，具有完善的服务细则和规范的管理制度，完全匹配服务方案实施需求，得2分；设立服务机构，明确基本职能，具有基本的服务细则和管理制度，基本满足服务方案实施需求，得1分；未设立服务机构或服务机构无明确职能、无相应的服务细则和管理制度、无法保障服务方案实施，得0分。</w:t>
      </w:r>
      <w:r/>
    </w:p>
    <w:p>
      <w:pPr>
        <w:ind w:firstLine="480"/>
        <w:spacing w:line="360" w:lineRule="auto"/>
        <w:rPr>
          <w:rFonts w:ascii="宋体" w:hAnsi="宋体"/>
          <w:bCs/>
          <w:sz w:val="24"/>
          <w:szCs w:val="24"/>
        </w:rPr>
      </w:pPr>
      <w:r>
        <w:rPr>
          <w:rFonts w:hint="eastAsia" w:ascii="宋体" w:hAnsi="宋体"/>
          <w:bCs/>
          <w:sz w:val="24"/>
          <w:szCs w:val="24"/>
        </w:rPr>
        <w:t xml:space="preserve">3.4.2配备相应服务人员和设施装备（1分）：配备足额、专业的服务人员，明确人员岗位职责、资质证书、从业经验，人员配置完全满足项目需求，配备齐全的设施装备，明确装备名称、规格、数量、维护情况，装备性能完全匹配项目实施要求，得1分；配备基本足额的服务人员，明确岗位职责，具备基础从业能力，基本满足项目需求，配备基本齐全的设施装备，能满足基础项目实施需求，装备维护基本到位，得0.5分；未配备服务人员或人员数量不足、无相应资质，无法满足项目需求，未配备设施装备或装备数量不足、性能不达标，无法保障项目实施，得0分。</w:t>
      </w:r>
      <w:r/>
    </w:p>
    <w:p>
      <w:pPr>
        <w:ind w:firstLine="480"/>
        <w:spacing w:line="360" w:lineRule="auto"/>
        <w:rPr>
          <w:rFonts w:ascii="宋体" w:hAnsi="宋体"/>
          <w:bCs/>
          <w:sz w:val="24"/>
          <w:szCs w:val="24"/>
        </w:rPr>
      </w:pPr>
      <w:r>
        <w:rPr>
          <w:rFonts w:hint="eastAsia" w:ascii="宋体" w:hAnsi="宋体"/>
          <w:bCs/>
          <w:sz w:val="24"/>
          <w:szCs w:val="24"/>
        </w:rPr>
        <w:t xml:space="preserve">3.4.3设定确保兑现服务承诺、保证服务质量的措施（1分）：设定完善的服务承诺兑现机制和质量管控措施，明确管控流程、考核标准，措施可操作性强、保障有力，得1分；设定基本的服务承诺兑现和质量管控措施，明确核心管控环节，具备一定可操作性，得0.5分；未设定相关措施或措施不完善、无法保障服务承诺兑现和服务质量，得0分。</w:t>
      </w:r>
      <w:r/>
    </w:p>
    <w:p>
      <w:pPr>
        <w:ind w:firstLine="480"/>
        <w:spacing w:line="360" w:lineRule="auto"/>
        <w:rPr>
          <w:rFonts w:ascii="宋体" w:hAnsi="宋体"/>
          <w:bCs/>
          <w:sz w:val="24"/>
          <w:szCs w:val="24"/>
        </w:rPr>
      </w:pPr>
      <w:r>
        <w:rPr>
          <w:rFonts w:hint="eastAsia" w:ascii="宋体" w:hAnsi="宋体"/>
          <w:bCs/>
          <w:sz w:val="24"/>
          <w:szCs w:val="24"/>
        </w:rPr>
        <w:t xml:space="preserve">3.5销售业绩及客户评价比较（3分）：从2024年1月来主要业绩，提供投标人与终端用户签订的与本次招标采购项目同类产品（本项目核心产品）的完整销售合同复印件，有一例得1.5分，最高不超过 3 分。（提供合同复印件并加盖投标人电子公章）。</w:t>
      </w:r>
      <w:r/>
    </w:p>
    <w:p>
      <w:pPr>
        <w:ind w:firstLine="480"/>
        <w:spacing w:line="360" w:lineRule="auto"/>
        <w:rPr>
          <w:rFonts w:ascii="宋体" w:hAnsi="宋体"/>
          <w:bCs/>
          <w:sz w:val="24"/>
          <w:szCs w:val="24"/>
        </w:rPr>
      </w:pPr>
      <w:r>
        <w:rPr>
          <w:rFonts w:hint="eastAsia" w:ascii="宋体" w:hAnsi="宋体"/>
          <w:bCs/>
          <w:sz w:val="24"/>
          <w:szCs w:val="24"/>
        </w:rPr>
        <w:t xml:space="preserve">3.6政策性因素（2分）</w:t>
      </w:r>
      <w:r/>
    </w:p>
    <w:p>
      <w:pPr>
        <w:ind w:firstLine="480"/>
        <w:spacing w:line="360" w:lineRule="auto"/>
        <w:tabs>
          <w:tab w:val="left" w:pos="0" w:leader="none"/>
        </w:tabs>
        <w:rPr>
          <w:rFonts w:ascii="宋体" w:hAnsi="宋体"/>
          <w:bCs/>
          <w:sz w:val="24"/>
          <w:szCs w:val="24"/>
        </w:rPr>
      </w:pPr>
      <w:r>
        <w:rPr>
          <w:rFonts w:hint="eastAsia" w:ascii="宋体" w:hAnsi="宋体"/>
          <w:bCs/>
          <w:sz w:val="24"/>
          <w:szCs w:val="24"/>
        </w:rPr>
        <w:t xml:space="preserve">3.6.1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jc w:val="left"/>
        <w:spacing w:line="360" w:lineRule="auto"/>
        <w:rPr>
          <w:rFonts w:ascii="黑体" w:eastAsia="黑体"/>
          <w:color w:val="000000" w:themeColor="text1"/>
          <w:sz w:val="36"/>
          <w:szCs w:val="36"/>
          <w:highlight w:val="white"/>
          <w14:textFill>
            <w14:solidFill>
              <w14:schemeClr w14:val="tx1"/>
            </w14:solidFill>
          </w14:textFill>
        </w:rPr>
      </w:pPr>
      <w:r>
        <w:rPr>
          <w:rFonts w:hint="eastAsia" w:ascii="宋体" w:hAnsi="宋体"/>
          <w:bCs/>
          <w:sz w:val="24"/>
          <w:szCs w:val="24"/>
        </w:rPr>
        <w:t xml:space="preserve">    3.6.2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w:t>
      </w:r>
      <w:bookmarkEnd w:id="186"/>
      <w:r/>
      <w:bookmarkEnd w:id="187"/>
      <w:r/>
      <w:bookmarkEnd w:id="188"/>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37"/>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90" w:name="_Hlt26955039"/>
      <w:r/>
      <w:bookmarkEnd w:id="190"/>
      <w:r/>
      <w:bookmarkStart w:id="191" w:name="_Hlt26671244"/>
      <w:r/>
      <w:bookmarkEnd w:id="191"/>
      <w:r/>
      <w:bookmarkStart w:id="192" w:name="_Toc120614282"/>
      <w:r/>
      <w:bookmarkStart w:id="193" w:name="_Toc49090576"/>
      <w:r/>
      <w:bookmarkStart w:id="194" w:name="_Toc26554094"/>
      <w:r>
        <w:rPr>
          <w:rFonts w:hint="eastAsia" w:cs="Arial"/>
          <w:b/>
          <w:color w:val="000000" w:themeColor="text1"/>
          <w:sz w:val="30"/>
          <w:szCs w:val="30"/>
          <w:highlight w:val="white"/>
          <w14:textFill>
            <w14:solidFill>
              <w14:schemeClr w14:val="tx1"/>
            </w14:solidFill>
          </w14:textFill>
        </w:rPr>
        <w:t xml:space="preserve">第一部分投标文件内容</w:t>
      </w:r>
      <w:r/>
    </w:p>
    <w:p>
      <w:pPr>
        <w:pStyle w:val="1037"/>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5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7"/>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序号</w:t>
            </w:r>
            <w:r/>
          </w:p>
        </w:tc>
        <w:tc>
          <w:tcPr>
            <w:tcW w:w="6104" w:type="dxa"/>
            <w:vAlign w:val="center"/>
            <w:textDirection w:val="lrTb"/>
            <w:noWrap w:val="false"/>
          </w:tcPr>
          <w:p>
            <w:pPr>
              <w:pStyle w:val="1037"/>
              <w:jc w:val="center"/>
              <w:spacing w:before="0" w:after="0" w:line="240" w:lineRule="auto"/>
              <w:rPr>
                <w:rFonts w:ascii="宋体" w:hAnsi="宋体" w:cs="宋体"/>
                <w:b/>
                <w:highlight w:val="white"/>
              </w:rPr>
            </w:pPr>
            <w:r>
              <w:rPr>
                <w:rFonts w:hint="eastAsia" w:ascii="宋体" w:hAnsi="宋体" w:cs="宋体"/>
                <w:b/>
                <w:highlight w:val="white"/>
              </w:rPr>
              <w:t xml:space="preserve">评审项目及评审要求</w:t>
            </w:r>
            <w:r/>
          </w:p>
        </w:tc>
        <w:tc>
          <w:tcPr>
            <w:tcW w:w="2449" w:type="dxa"/>
            <w:vAlign w:val="center"/>
            <w:textDirection w:val="lrTb"/>
            <w:noWrap w:val="false"/>
          </w:tcPr>
          <w:p>
            <w:pPr>
              <w:pStyle w:val="1037"/>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审查因素</w:t>
            </w:r>
            <w:r/>
          </w:p>
        </w:tc>
      </w:tr>
      <w:tr>
        <w:trPr>
          <w:cantSplit/>
          <w:jc w:val="center"/>
          <w:trHeight w:val="1335"/>
        </w:trPr>
        <w:tc>
          <w:tcPr>
            <w:tcW w:w="719" w:type="dxa"/>
            <w:vAlign w:val="center"/>
            <w:textDirection w:val="lrTb"/>
            <w:noWrap w:val="false"/>
          </w:tcPr>
          <w:p>
            <w:pPr>
              <w:pStyle w:val="1037"/>
              <w:ind w:firstLine="0"/>
              <w:jc w:val="center"/>
              <w:spacing w:before="0" w:after="0" w:line="240" w:lineRule="auto"/>
              <w:rPr>
                <w:rFonts w:ascii="宋体" w:hAnsi="宋体" w:cs="宋体"/>
                <w:highlight w:val="white"/>
              </w:rPr>
            </w:pPr>
            <w:r>
              <w:rPr>
                <w:rFonts w:hint="eastAsia" w:ascii="宋体" w:hAnsi="宋体" w:cs="宋体"/>
                <w:highlight w:val="white"/>
              </w:rPr>
              <w:t xml:space="preserve">1</w:t>
            </w:r>
            <w:r/>
          </w:p>
        </w:tc>
        <w:tc>
          <w:tcPr>
            <w:tcW w:w="6104" w:type="dxa"/>
            <w:vAlign w:val="center"/>
            <w:textDirection w:val="lrTb"/>
            <w:noWrap w:val="false"/>
          </w:tcPr>
          <w:p>
            <w:pPr>
              <w:pStyle w:val="1037"/>
              <w:ind w:firstLine="0"/>
              <w:jc w:val="both"/>
              <w:spacing w:before="0" w:after="0" w:line="240" w:lineRule="auto"/>
              <w:rPr>
                <w:rFonts w:ascii="宋体" w:hAnsi="宋体" w:cs="宋体"/>
                <w:highlight w:val="white"/>
              </w:rPr>
            </w:pPr>
            <w:r>
              <w:rPr>
                <w:rFonts w:hint="eastAsia" w:ascii="宋体" w:hAnsi="宋体" w:cs="宋体"/>
                <w:highlight w:val="whit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7"/>
              <w:ind w:firstLine="0"/>
              <w:spacing w:before="0" w:after="0" w:line="240" w:lineRule="auto"/>
              <w:rPr>
                <w:rFonts w:ascii="宋体" w:hAnsi="宋体" w:cs="宋体"/>
                <w:highlight w:val="white"/>
              </w:rPr>
            </w:pPr>
            <w:r>
              <w:rPr>
                <w:rFonts w:hint="eastAsia" w:ascii="宋体" w:hAnsi="宋体" w:cs="宋体"/>
                <w:highlight w:val="whit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37"/>
              <w:ind w:firstLine="0"/>
              <w:jc w:val="center"/>
              <w:spacing w:before="0" w:after="0" w:line="240" w:lineRule="auto"/>
              <w:rPr>
                <w:rFonts w:ascii="宋体" w:hAnsi="宋体" w:cs="宋体"/>
                <w:highlight w:val="white"/>
              </w:rPr>
            </w:pPr>
            <w:r>
              <w:rPr>
                <w:rFonts w:hint="eastAsia" w:ascii="宋体" w:hAnsi="宋体" w:cs="宋体"/>
                <w:highlight w:val="white"/>
              </w:rPr>
              <w:t xml:space="preserve">2</w:t>
            </w:r>
            <w:r/>
          </w:p>
        </w:tc>
        <w:tc>
          <w:tcPr>
            <w:tcW w:w="6104" w:type="dxa"/>
            <w:vAlign w:val="center"/>
            <w:textDirection w:val="lrTb"/>
            <w:noWrap w:val="false"/>
          </w:tcPr>
          <w:p>
            <w:pPr>
              <w:pStyle w:val="1037"/>
              <w:ind w:firstLine="0"/>
              <w:jc w:val="both"/>
              <w:spacing w:before="0" w:after="0" w:line="240" w:lineRule="auto"/>
              <w:rPr>
                <w:rFonts w:ascii="宋体" w:hAnsi="宋体" w:cs="宋体"/>
                <w:highlight w:val="white"/>
              </w:rPr>
            </w:pPr>
            <w:r>
              <w:rPr>
                <w:rFonts w:hint="eastAsia" w:ascii="宋体" w:hAnsi="宋体" w:cs="宋体"/>
                <w:highlight w:val="white"/>
              </w:rPr>
              <w:t xml:space="preserve">《授权委托书》（给定格式；投标人如是自然人情形的，可不提供）。</w:t>
            </w:r>
            <w:r/>
          </w:p>
        </w:tc>
        <w:tc>
          <w:tcPr>
            <w:tcW w:w="2449" w:type="dxa"/>
            <w:vAlign w:val="center"/>
            <w:vMerge w:val="continue"/>
            <w:textDirection w:val="lrTb"/>
            <w:noWrap w:val="false"/>
          </w:tcPr>
          <w:p>
            <w:pPr>
              <w:pStyle w:val="1037"/>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1037"/>
              <w:ind w:firstLine="0"/>
              <w:jc w:val="center"/>
              <w:spacing w:before="0" w:after="0" w:line="240" w:lineRule="auto"/>
              <w:rPr>
                <w:rFonts w:ascii="宋体" w:hAnsi="宋体" w:cs="宋体"/>
                <w:highlight w:val="white"/>
              </w:rPr>
            </w:pPr>
            <w:r>
              <w:rPr>
                <w:rFonts w:hint="eastAsia" w:ascii="宋体" w:hAnsi="宋体" w:cs="宋体"/>
                <w:highlight w:val="white"/>
              </w:rPr>
              <w:t xml:space="preserve">3</w:t>
            </w:r>
            <w:r/>
          </w:p>
        </w:tc>
        <w:tc>
          <w:tcPr>
            <w:tcW w:w="6104" w:type="dxa"/>
            <w:vAlign w:val="center"/>
            <w:textDirection w:val="lrTb"/>
            <w:noWrap w:val="false"/>
          </w:tcPr>
          <w:p>
            <w:pPr>
              <w:pStyle w:val="1037"/>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6"/>
                <w:rFonts w:hint="eastAsia" w:ascii="宋体" w:hAnsi="宋体" w:cs="宋体"/>
                <w:sz w:val="24"/>
                <w:szCs w:val="24"/>
                <w:highlight w:val="white"/>
              </w:rPr>
              <w:t xml:space="preserve">。</w:t>
            </w:r>
            <w:r/>
          </w:p>
        </w:tc>
        <w:tc>
          <w:tcPr>
            <w:tcW w:w="2449" w:type="dxa"/>
            <w:vAlign w:val="center"/>
            <w:vMerge w:val="continue"/>
            <w:textDirection w:val="lrTb"/>
            <w:noWrap w:val="false"/>
          </w:tcPr>
          <w:p>
            <w:pPr>
              <w:pStyle w:val="1037"/>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1037"/>
              <w:ind w:firstLine="0"/>
              <w:jc w:val="center"/>
              <w:spacing w:before="0" w:after="0" w:line="240" w:lineRule="auto"/>
              <w:rPr>
                <w:rFonts w:ascii="宋体" w:hAnsi="宋体" w:cs="宋体"/>
                <w:highlight w:val="white"/>
              </w:rPr>
            </w:pPr>
            <w:r>
              <w:rPr>
                <w:rFonts w:hint="eastAsia" w:ascii="宋体" w:hAnsi="宋体" w:cs="宋体"/>
                <w:highlight w:val="white"/>
              </w:rPr>
              <w:t xml:space="preserve">4</w:t>
            </w:r>
            <w:r/>
          </w:p>
        </w:tc>
        <w:tc>
          <w:tcPr>
            <w:tcW w:w="6104" w:type="dxa"/>
            <w:vAlign w:val="center"/>
            <w:textDirection w:val="lrTb"/>
            <w:noWrap w:val="false"/>
          </w:tcPr>
          <w:p>
            <w:pPr>
              <w:pStyle w:val="1037"/>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7"/>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1037"/>
              <w:ind w:firstLine="0"/>
              <w:jc w:val="center"/>
              <w:spacing w:before="0" w:after="0" w:line="240" w:lineRule="auto"/>
              <w:rPr>
                <w:rFonts w:ascii="宋体" w:hAnsi="宋体" w:cs="宋体"/>
                <w:highlight w:val="white"/>
              </w:rPr>
            </w:pPr>
            <w:r>
              <w:rPr>
                <w:rFonts w:hint="eastAsia" w:ascii="宋体" w:hAnsi="宋体" w:cs="宋体"/>
                <w:highlight w:val="white"/>
              </w:rPr>
              <w:t xml:space="preserve">5</w:t>
            </w:r>
            <w:r/>
          </w:p>
        </w:tc>
        <w:tc>
          <w:tcPr>
            <w:tcW w:w="6104" w:type="dxa"/>
            <w:vAlign w:val="center"/>
            <w:textDirection w:val="lrTb"/>
            <w:noWrap w:val="false"/>
          </w:tcPr>
          <w:p>
            <w:pPr>
              <w:pStyle w:val="1037"/>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7"/>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037"/>
              <w:ind w:firstLine="0"/>
              <w:jc w:val="center"/>
              <w:spacing w:before="0" w:after="0" w:line="240" w:lineRule="auto"/>
              <w:rPr>
                <w:rFonts w:ascii="宋体" w:hAnsi="宋体" w:cs="宋体"/>
                <w:highlight w:val="white"/>
              </w:rPr>
            </w:pPr>
            <w:r>
              <w:rPr>
                <w:rFonts w:hint="eastAsia" w:ascii="宋体" w:hAnsi="宋体" w:cs="宋体"/>
                <w:highlight w:val="white"/>
              </w:rPr>
              <w:t xml:space="preserve">6</w:t>
            </w:r>
            <w:r/>
          </w:p>
        </w:tc>
        <w:tc>
          <w:tcPr>
            <w:tcBorders>
              <w:bottom w:val="single" w:color="000000" w:sz="4" w:space="0"/>
            </w:tcBorders>
            <w:tcW w:w="6104" w:type="dxa"/>
            <w:vAlign w:val="center"/>
            <w:textDirection w:val="lrTb"/>
            <w:noWrap w:val="false"/>
          </w:tcPr>
          <w:p>
            <w:pPr>
              <w:pStyle w:val="1037"/>
              <w:ind w:firstLine="0"/>
              <w:jc w:val="both"/>
              <w:spacing w:before="0" w:after="0" w:line="240" w:lineRule="auto"/>
              <w:rPr>
                <w:rFonts w:ascii="宋体" w:hAnsi="宋体" w:cs="宋体"/>
                <w:highlight w:val="white"/>
              </w:rPr>
            </w:pPr>
            <w:r>
              <w:rPr>
                <w:rFonts w:hint="eastAsia" w:ascii="宋体" w:hAnsi="宋体" w:cs="宋体"/>
                <w:highlight w:val="white"/>
              </w:rPr>
              <w:t xml:space="preserve">《资格声明函》（给定格式）。</w:t>
            </w:r>
            <w:r/>
          </w:p>
        </w:tc>
        <w:tc>
          <w:tcPr>
            <w:tcW w:w="2449" w:type="dxa"/>
            <w:vAlign w:val="center"/>
            <w:vMerge w:val="continue"/>
            <w:textDirection w:val="lrTb"/>
            <w:noWrap w:val="false"/>
          </w:tcPr>
          <w:p>
            <w:pPr>
              <w:pStyle w:val="1037"/>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1037"/>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7</w:t>
            </w:r>
            <w:r/>
          </w:p>
        </w:tc>
        <w:tc>
          <w:tcPr>
            <w:tcW w:w="6104" w:type="dxa"/>
            <w:vAlign w:val="center"/>
            <w:textDirection w:val="lrTb"/>
            <w:noWrap w:val="false"/>
          </w:tcPr>
          <w:p>
            <w:pPr>
              <w:pStyle w:val="1037"/>
              <w:ind w:firstLine="0"/>
              <w:spacing w:before="0" w:after="0" w:line="240" w:lineRule="auto"/>
              <w:rPr>
                <w:rFonts w:ascii="宋体" w:hAnsi="宋体" w:cs="宋体"/>
                <w:bCs/>
                <w:highlight w:val="white"/>
              </w:rPr>
            </w:pPr>
            <w:r>
              <w:rPr>
                <w:rFonts w:hint="eastAsia" w:ascii="宋体" w:hAnsi="宋体" w:cs="宋体"/>
                <w:bCs/>
                <w:highlight w:val="white"/>
              </w:rPr>
              <w:t xml:space="preserve">满足中小企业政策的证明文件（如有中小企业政策要求的）。</w:t>
            </w:r>
            <w:r/>
          </w:p>
        </w:tc>
        <w:tc>
          <w:tcPr>
            <w:tcW w:w="2449" w:type="dxa"/>
            <w:vAlign w:val="center"/>
            <w:textDirection w:val="lrTb"/>
            <w:noWrap w:val="false"/>
          </w:tcPr>
          <w:p>
            <w:pPr>
              <w:pStyle w:val="1037"/>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37"/>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8</w:t>
            </w:r>
            <w:r/>
          </w:p>
        </w:tc>
        <w:tc>
          <w:tcPr>
            <w:tcW w:w="6104" w:type="dxa"/>
            <w:vAlign w:val="center"/>
            <w:textDirection w:val="lrTb"/>
            <w:noWrap w:val="false"/>
          </w:tcPr>
          <w:p>
            <w:pPr>
              <w:pStyle w:val="1037"/>
              <w:ind w:firstLine="0"/>
              <w:jc w:val="both"/>
              <w:spacing w:before="0" w:after="0" w:line="240" w:lineRule="auto"/>
              <w:rPr>
                <w:rFonts w:ascii="宋体" w:hAnsi="宋体" w:cs="宋体"/>
                <w:bCs/>
                <w:highlight w:val="white"/>
              </w:rPr>
            </w:pPr>
            <w:r>
              <w:rPr>
                <w:rFonts w:hint="eastAsia" w:ascii="宋体" w:hAnsi="宋体" w:cs="宋体"/>
                <w:bCs/>
                <w:highlight w:val="white"/>
              </w:rPr>
              <w:t xml:space="preserve">本项目要求的特定资格证明</w:t>
            </w:r>
            <w:r>
              <w:rPr>
                <w:rFonts w:hint="eastAsia" w:ascii="宋体" w:hAnsi="宋体" w:cs="宋体"/>
                <w:highlight w:val="white"/>
              </w:rPr>
              <w:t xml:space="preserve">文件（如有特定资格要求的）。</w:t>
            </w:r>
            <w:r/>
          </w:p>
        </w:tc>
        <w:tc>
          <w:tcPr>
            <w:tcW w:w="2449" w:type="dxa"/>
            <w:vAlign w:val="center"/>
            <w:textDirection w:val="lrTb"/>
            <w:noWrap w:val="false"/>
          </w:tcPr>
          <w:p>
            <w:pPr>
              <w:pStyle w:val="1037"/>
              <w:ind w:firstLine="0"/>
              <w:spacing w:before="0" w:after="0" w:line="240" w:lineRule="auto"/>
              <w:rPr>
                <w:rFonts w:ascii="宋体" w:hAnsi="宋体" w:cs="宋体"/>
                <w:bCs/>
                <w:highlight w:val="white"/>
              </w:rPr>
            </w:pPr>
            <w:r>
              <w:rPr>
                <w:rFonts w:hint="eastAsia" w:ascii="宋体" w:hAnsi="宋体" w:cs="宋体"/>
                <w:highlight w:val="white"/>
              </w:rPr>
              <w:t xml:space="preserve">特定资格要求，详见第一章《投标邀请》</w:t>
            </w:r>
            <w:r/>
          </w:p>
        </w:tc>
      </w:tr>
      <w:tr>
        <w:trPr>
          <w:jc w:val="center"/>
          <w:trHeight w:val="632"/>
        </w:trPr>
        <w:tc>
          <w:tcPr>
            <w:tcW w:w="719" w:type="dxa"/>
            <w:vAlign w:val="center"/>
            <w:textDirection w:val="lrTb"/>
            <w:noWrap w:val="false"/>
          </w:tcPr>
          <w:p>
            <w:pPr>
              <w:pStyle w:val="1037"/>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9</w:t>
            </w:r>
            <w:r/>
          </w:p>
        </w:tc>
        <w:tc>
          <w:tcPr>
            <w:gridSpan w:val="2"/>
            <w:tcW w:w="8553" w:type="dxa"/>
            <w:vAlign w:val="center"/>
            <w:textDirection w:val="lrTb"/>
            <w:noWrap w:val="false"/>
          </w:tcPr>
          <w:p>
            <w:pPr>
              <w:pStyle w:val="1037"/>
              <w:ind w:firstLine="0"/>
              <w:spacing w:before="0" w:after="0" w:line="240" w:lineRule="auto"/>
              <w:rPr>
                <w:rFonts w:ascii="宋体" w:hAnsi="宋体" w:cs="宋体"/>
                <w:highlight w:val="white"/>
              </w:rPr>
            </w:pPr>
            <w:r>
              <w:rPr>
                <w:rFonts w:hint="eastAsia" w:ascii="宋体" w:hAnsi="宋体" w:cs="宋体"/>
                <w:bCs/>
                <w:highlight w:val="whit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jc w:val="center"/>
          <w:trHeight w:val="567"/>
        </w:trPr>
        <w:tc>
          <w:tcPr>
            <w:tcW w:w="823" w:type="dxa"/>
            <w:vAlign w:val="center"/>
            <w:textDirection w:val="lrTb"/>
            <w:noWrap w:val="false"/>
          </w:tcPr>
          <w:p>
            <w:pPr>
              <w:pStyle w:val="1037"/>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37"/>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37"/>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7"/>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37"/>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37"/>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7"/>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37"/>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37"/>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7"/>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37"/>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7"/>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7"/>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37"/>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7"/>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7"/>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37"/>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7"/>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7"/>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37"/>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《采购需求》中要求须提供的证明文件</w:t>
            </w:r>
            <w:r/>
          </w:p>
        </w:tc>
        <w:tc>
          <w:tcPr>
            <w:tcW w:w="1979" w:type="dxa"/>
            <w:vAlign w:val="center"/>
            <w:vMerge w:val="continue"/>
            <w:textDirection w:val="lrTb"/>
            <w:noWrap w:val="false"/>
          </w:tcPr>
          <w:p>
            <w:pPr>
              <w:pStyle w:val="1037"/>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7"/>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37"/>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7"/>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7"/>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37"/>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7"/>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8"/>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第二部分投标文件格式</w:t>
      </w:r>
      <w:r/>
    </w:p>
    <w:p>
      <w:pPr>
        <w:pStyle w:val="1037"/>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投标文件</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white"/>
          <w:lang w:eastAsia="zh-CN"/>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JSZC-320200-XWJC-G2026-0078</w:t>
      </w:r>
      <w:r/>
    </w:p>
    <w:p>
      <w:pPr>
        <w:ind w:firstLine="1200"/>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14:textFill>
            <w14:solidFill>
              <w14:schemeClr w14:val="tx1"/>
            </w14:solidFill>
          </w14:textFill>
        </w:rPr>
        <w:t xml:space="preserve">江南大学附属医院输注系统、输注工作站项目</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35"/>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JSZC-320200-XWJC-G2026-0078</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35"/>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35"/>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35"/>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35"/>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35"/>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35"/>
        <w:ind w:firstLine="0"/>
        <w:spacing w:line="360" w:lineRule="auto"/>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  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35"/>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被授权人签字：</w:t>
      </w:r>
      <w:r>
        <w:rPr>
          <w:rFonts w:hint="eastAsia" w:ascii="宋体"/>
          <w:bCs/>
          <w:color w:val="000000" w:themeColor="text1"/>
          <w:sz w:val="24"/>
          <w:szCs w:val="24"/>
          <w:highlight w:val="white"/>
          <w:u w:val="single"/>
          <w14:textFill>
            <w14:solidFill>
              <w14:schemeClr w14:val="tx1"/>
            </w14:solidFill>
          </w14:textFill>
        </w:rPr>
        <w:t xml:space="preserve">     </w:t>
      </w:r>
      <w:r/>
    </w:p>
    <w:p>
      <w:pPr>
        <w:pStyle w:val="1035"/>
        <w:ind w:firstLine="0"/>
        <w:spacing w:line="360" w:lineRule="auto"/>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35"/>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35"/>
        <w:numPr>
          <w:ilvl w:val="0"/>
          <w:numId w:val="9"/>
        </w:numPr>
        <w:ind w:firstLine="480"/>
        <w:spacing w:line="360" w:lineRule="auto"/>
        <w:rPr>
          <w:rFonts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35"/>
        <w:numPr>
          <w:ilvl w:val="0"/>
          <w:numId w:val="9"/>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1035"/>
        <w:numPr>
          <w:ilvl w:val="0"/>
          <w:numId w:val="9"/>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35"/>
        <w:numPr>
          <w:ilvl w:val="0"/>
          <w:numId w:val="9"/>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1035"/>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5" w:name="报价方关于资格的声明函（格式）"/>
      <w:r/>
      <w:bookmarkEnd w:id="195"/>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JSZC-320200-XWJC-G2026-0078</w:t>
      </w:r>
      <w:r>
        <w:rPr>
          <w:rFonts w:hint="eastAsia" w:ascii="宋体" w:hAnsi="宋体"/>
          <w:bCs/>
          <w:color w:val="000000" w:themeColor="text1"/>
          <w:sz w:val="24"/>
          <w:szCs w:val="24"/>
          <w:highlight w:val="white"/>
          <w14:textFill>
            <w14:solidFill>
              <w14:schemeClr w14:val="tx1"/>
            </w14:solidFill>
          </w14:textFill>
        </w:rPr>
        <w:t xml:space="preserve">进行投标，并做如下声明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ind w:firstLine="560"/>
        <w:jc w:val="center"/>
        <w:spacing w:line="348" w:lineRule="auto"/>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t xml:space="preserve">中小企业声明函</w:t>
      </w:r>
      <w:r/>
    </w:p>
    <w:p>
      <w:pPr>
        <w:ind w:firstLine="480"/>
        <w:jc w:val="left"/>
        <w:spacing w:line="348"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80"/>
        <w:jc w:val="left"/>
        <w:spacing w:line="348"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jc w:val="left"/>
        <w:spacing w:line="348"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jc w:val="left"/>
        <w:spacing w:line="348"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w:t>
      </w:r>
      <w:r/>
    </w:p>
    <w:p>
      <w:pPr>
        <w:ind w:firstLine="480"/>
        <w:jc w:val="left"/>
        <w:spacing w:line="348"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jc w:val="left"/>
        <w:spacing w:line="348"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ind w:firstLine="4800"/>
        <w:jc w:val="left"/>
        <w:spacing w:line="348"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ind w:firstLine="420"/>
        <w:jc w:val="left"/>
        <w:spacing w:line="348"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jc w:val="left"/>
        <w:spacing w:line="348"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ind w:firstLine="420"/>
        <w:jc w:val="left"/>
        <w:spacing w:line="348"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jc w:val="left"/>
        <w:spacing w:line="348"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》将随中标公告进行公示。供应商按照本办法规定提供声明函内容不实的，属于提供虚假材料谋取中标、成交，可依照《中华人民共和国政府采购法》等国家有关规定追究相应责任。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b/>
          <w:color w:val="000000" w:themeColor="text1"/>
          <w:sz w:val="30"/>
          <w:szCs w:val="30"/>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六、关于符合本国产品标准的声明函（给定格式）：</w:t>
      </w:r>
      <w:r/>
    </w:p>
    <w:p>
      <w:pPr>
        <w:ind w:firstLine="2711"/>
        <w:pBdr>
          <w:top w:val="none" w:color="000000" w:sz="0" w:space="0"/>
          <w:left w:val="none" w:color="000000" w:sz="0" w:space="0"/>
          <w:bottom w:val="none" w:color="000000" w:sz="0" w:space="0"/>
          <w:right w:val="none" w:color="000000" w:sz="0" w:space="0"/>
        </w:pBdr>
      </w:pPr>
      <w:r>
        <w:rPr>
          <w:rFonts w:ascii="宋体" w:hAnsi="宋体" w:cs="宋体"/>
          <w:b/>
          <w:color w:val="333333"/>
          <w:sz w:val="30"/>
          <w:highlight w:val="white"/>
        </w:rPr>
        <w:t xml:space="preserve">关于符合本国产品标准的声明函</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1.</w:t>
      </w:r>
      <w:r>
        <w:rPr>
          <w:rFonts w:ascii="宋体" w:hAnsi="宋体" w:cs="宋体"/>
          <w:color w:val="000000"/>
          <w:sz w:val="24"/>
          <w:highlight w:val="white"/>
          <w:u w:val="single"/>
        </w:rPr>
        <w:t xml:space="preserve">（产品名称1）</w:t>
      </w:r>
      <w:r>
        <w:rPr>
          <w:rFonts w:ascii="宋体" w:hAnsi="宋体" w:cs="宋体"/>
          <w:color w:val="000000"/>
          <w:sz w:val="24"/>
          <w:highlight w:val="white"/>
          <w:vertAlign w:val="superscript"/>
        </w:rPr>
        <w:t xml:space="preserve">1</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vertAlign w:val="superscript"/>
        </w:rPr>
        <w:t xml:space="preserve">2</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3</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4</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5</w:t>
      </w:r>
      <w:r>
        <w:rPr>
          <w:rFonts w:ascii="宋体" w:hAnsi="宋体" w:cs="宋体"/>
          <w:color w:val="000000"/>
          <w:sz w:val="24"/>
          <w:highlight w:val="white"/>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w:t>
      </w:r>
      <w:r>
        <w:rPr>
          <w:rFonts w:ascii="宋体" w:hAnsi="宋体" w:cs="宋体"/>
          <w:color w:val="000000"/>
          <w:sz w:val="24"/>
          <w:highlight w:val="white"/>
          <w:u w:val="single"/>
        </w:rPr>
        <w:t xml:space="preserve">（产品名称2）</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本公司（单位）对上述声明内容的真实性负责。如有虚假，愿承担相应法律责任。</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公司（单位）名称（加盖CA电子公章）：　</w:t>
      </w:r>
      <w:r/>
    </w:p>
    <w:p>
      <w:pPr>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日期：　     年　  月　  日         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_________________</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1.产品如有型号，请在“产品名称”栏一并填写。</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2.生产厂名与厂址应与生产厂营业执照载明的相关信息保持一致。</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3.该产品的中国境内生产的组件成本占比相关要求实施前，“规定比例”栏可不填，下同。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4.该产品的关键组件要求实施前，“关键组件”栏可不填，下同。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5.该产品的关键工序要求实施前，“关键工序”栏可不填，下同。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6.《声明函》中标注“</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”的地方无需填写。</w:t>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七</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JSZC-320200-XWJC-G2026-0078</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10"/>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24"/>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我方同意按照招标文件中的规定，从规定的开标日期起遵循本投标文件，并在规定的投标有效期期满之前均具有约束力。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ind w:firstLine="480"/>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八、承诺书（给定格式）：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JSZC-320200-XWJC-G2026-0078</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九、开标一览表（给定格式）：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lang w:eastAsia="zh-CN"/>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JSZC-320200-XWJC-G2026-0078</w:t>
      </w:r>
      <w:r/>
    </w:p>
    <w:tbl>
      <w:tblPr>
        <w:tblStyle w:val="75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63"/>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63"/>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eastAsia="黑体"/>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14:textFill>
            <w14:solidFill>
              <w14:schemeClr w14:val="tx1"/>
            </w14:solidFill>
          </w14:textFill>
        </w:rPr>
        <w:t xml:space="preserve">、细目报价表（给定格式）：</w:t>
      </w:r>
      <w:bookmarkEnd w:id="192"/>
      <w:r/>
      <w:bookmarkEnd w:id="193"/>
      <w:r/>
      <w:bookmarkEnd w:id="194"/>
      <w:r/>
      <w:r/>
    </w:p>
    <w:p>
      <w:pPr>
        <w:spacing w:line="36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JSZC-320200-XWJC-G2026-0078</w:t>
      </w:r>
      <w:r/>
    </w:p>
    <w:tbl>
      <w:tblPr>
        <w:tblStyle w:val="751"/>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14:textFill>
                  <w14:solidFill>
                    <w14:schemeClr w14:val="tx1"/>
                  </w14:solidFill>
                </w14:textFill>
              </w:rPr>
            </w:pPr>
            <w:r>
              <w:rPr>
                <w:rFonts w:hint="eastAsia" w:asciiTheme="majorEastAsia" w:hAnsiTheme="majorEastAsia" w:eastAsiaTheme="majorEastAsia" w:cstheme="majorEastAsia"/>
                <w:color w:val="000000" w:themeColor="text1"/>
                <w:sz w:val="24"/>
                <w:szCs w:val="24"/>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交货完工期：合同签订生效后</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p>
        </w:tc>
      </w:tr>
    </w:tbl>
    <w:p>
      <w:pPr>
        <w:spacing w:before="5" w:line="560" w:lineRule="atLeas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投标人名称（盖章）：</w:t>
      </w:r>
      <w:r/>
    </w:p>
    <w:p>
      <w:pPr>
        <w:spacing w:line="400" w:lineRule="exact"/>
        <w:rPr>
          <w:rFonts w:ascii="宋体" w:hAnsi="宋体"/>
          <w:b/>
          <w:color w:val="000000" w:themeColor="text1"/>
          <w14:textFill>
            <w14:solidFill>
              <w14:schemeClr w14:val="tx1"/>
            </w14:solidFill>
          </w14:textFill>
        </w:rPr>
        <w:outlineLvl w:val="0"/>
      </w:pPr>
      <w:r>
        <w:rPr>
          <w:rFonts w:ascii="宋体" w:hAnsi="宋体"/>
          <w:b/>
          <w:color w:val="000000" w:themeColor="text1"/>
          <w14:textFill>
            <w14:solidFill>
              <w14:schemeClr w14:val="tx1"/>
            </w14:solidFill>
          </w14:textFill>
        </w:rPr>
      </w:r>
      <w:r/>
    </w:p>
    <w:p>
      <w:pPr>
        <w:spacing w:line="400" w:lineRule="exact"/>
        <w:rPr>
          <w:rFonts w:ascii="宋体"/>
          <w:bCs/>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t xml:space="preserve">注：</w:t>
      </w: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1</w:t>
      </w:r>
      <w:r>
        <w:rPr>
          <w:rFonts w:hint="eastAsia" w:ascii="宋体" w:hAnsi="宋体"/>
          <w:bCs/>
          <w:color w:val="000000" w:themeColor="text1"/>
          <w14:textFill>
            <w14:solidFill>
              <w14:schemeClr w14:val="tx1"/>
            </w14:solidFill>
          </w14:textFill>
        </w:rPr>
        <w:t xml:space="preserve">）</w:t>
      </w:r>
      <w:r>
        <w:rPr>
          <w:rFonts w:hint="eastAsia" w:ascii="宋体"/>
          <w:bCs/>
          <w:color w:val="000000" w:themeColor="text1"/>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ascii="宋体"/>
          <w:bCs/>
          <w:color w:val="000000" w:themeColor="text1"/>
          <w14:textFill>
            <w14:solidFill>
              <w14:schemeClr w14:val="tx1"/>
            </w14:solidFill>
          </w14:textFill>
        </w:rPr>
        <w:outlineLvl w:val="0"/>
      </w:pPr>
      <w:r>
        <w:rPr>
          <w:rFonts w:hint="eastAsia" w:ascii="宋体"/>
          <w:bCs/>
          <w:color w:val="000000" w:themeColor="text1"/>
          <w14:textFill>
            <w14:solidFill>
              <w14:schemeClr w14:val="tx1"/>
            </w14:solidFill>
          </w14:textFill>
        </w:rPr>
        <w:t xml:space="preserve">（2）投标人应当根据“采购需求”的内容在上表中详细填写；</w:t>
      </w:r>
      <w:r/>
    </w:p>
    <w:p>
      <w:pPr>
        <w:spacing w:line="400" w:lineRule="exact"/>
        <w:rPr>
          <w:rFonts w:ascii="宋体"/>
          <w:bCs/>
          <w:color w:val="000000" w:themeColor="text1"/>
          <w14:textFill>
            <w14:solidFill>
              <w14:schemeClr w14:val="tx1"/>
            </w14:solidFill>
          </w14:textFill>
        </w:rPr>
        <w:outlineLvl w:val="0"/>
      </w:pPr>
      <w:r>
        <w:rPr>
          <w:rFonts w:hint="eastAsia" w:ascii="宋体"/>
          <w:bCs/>
          <w:color w:val="000000" w:themeColor="text1"/>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宋体"/>
          <w:bCs/>
          <w:color w:val="000000" w:themeColor="text1"/>
          <w14:textFill>
            <w14:solidFill>
              <w14:schemeClr w14:val="tx1"/>
            </w14:solidFill>
          </w14:textFill>
        </w:rPr>
        <w:outlineLvl w:val="0"/>
      </w:pPr>
      <w:r>
        <w:rPr>
          <w:rFonts w:hint="eastAsia" w:ascii="宋体"/>
          <w:bCs/>
          <w:color w:val="000000" w:themeColor="text1"/>
          <w14:textFill>
            <w14:solidFill>
              <w14:schemeClr w14:val="tx1"/>
            </w14:solidFill>
          </w14:textFill>
        </w:rPr>
        <w:t xml:space="preserve">（4）表格不够可自行延长。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十一</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lang w:eastAsia="zh-CN"/>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JSZC-320200-XWJC-G2026-0078</w:t>
      </w:r>
      <w:r/>
    </w:p>
    <w:tbl>
      <w:tblPr>
        <w:tblStyle w:val="75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（4）投标人应当根据“采购需求”－“第一部分项目技术要求”的内容在上表中逐条填写。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十二、项目人员配置清单（给定格式）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lang w:eastAsia="zh-CN"/>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JSZC-320200-XWJC-G2026-0078</w:t>
      </w:r>
      <w:r/>
    </w:p>
    <w:tbl>
      <w:tblPr>
        <w:tblStyle w:val="7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49"/>
        <w:gridCol w:w="713"/>
        <w:gridCol w:w="2465"/>
        <w:gridCol w:w="3198"/>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十三、《采购需求》中如有要求须提供的证明文件</w:t>
      </w:r>
      <w:r/>
    </w:p>
    <w:p>
      <w:pPr>
        <w:spacing w:line="85" w:lineRule="atLeast"/>
        <w:rPr>
          <w:rFonts w:eastAsia="Times New Roman"/>
          <w:highlight w:val="white"/>
        </w:rPr>
        <w:pBdr>
          <w:top w:val="none" w:color="000000" w:sz="0" w:space="0"/>
          <w:left w:val="none" w:color="000000" w:sz="0" w:space="0"/>
          <w:bottom w:val="none" w:color="000000" w:sz="0" w:space="0"/>
          <w:right w:val="none" w:color="000000" w:sz="0" w:space="0"/>
        </w:pBdr>
      </w:pPr>
      <w:r>
        <w:rPr>
          <w:rFonts w:eastAsia="Times New Roman"/>
          <w:highlight w:val="white"/>
        </w:rPr>
      </w:r>
      <w:r/>
    </w:p>
    <w:p>
      <w:pPr>
        <w:spacing w:line="360" w:lineRule="auto"/>
        <w:rPr>
          <w:rFonts w:ascii="黑体" w:hAnsi="黑体" w:eastAsia="黑体" w:cs="黑体"/>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eastAsia="黑体"/>
          <w:b/>
          <w:bCs/>
          <w:color w:val="000000" w:themeColor="text1"/>
          <w:sz w:val="28"/>
          <w:szCs w:val="28"/>
          <w:highlight w:val="white"/>
          <w14:textFill>
            <w14:solidFill>
              <w14:schemeClr w14:val="tx1"/>
            </w14:solidFill>
          </w14:textFill>
        </w:rPr>
        <w:t xml:space="preserve">1.</w:t>
      </w:r>
      <w:r>
        <w:rPr>
          <w:rFonts w:hint="eastAsia" w:ascii="黑体" w:hAnsi="黑体" w:eastAsia="黑体" w:cs="黑体"/>
          <w:color w:val="000000" w:themeColor="text1"/>
          <w:sz w:val="28"/>
          <w:szCs w:val="28"/>
          <w:highlight w:val="white"/>
          <w14:textFill>
            <w14:solidFill>
              <w14:schemeClr w14:val="tx1"/>
            </w14:solidFill>
          </w14:textFill>
        </w:rPr>
        <w:t xml:space="preserve">招标文件第四章“采购需求”规定的投标人需要提供的投标产品技术支持材料和其他相关证明文件</w:t>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2.制造商出具的授权函（给定格式）：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ascii="宋体"/>
          <w:color w:val="000000" w:themeColor="text1"/>
          <w:sz w:val="24"/>
          <w:szCs w:val="24"/>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14:textFill>
            <w14:solidFill>
              <w14:schemeClr w14:val="tx1"/>
            </w14:solidFill>
          </w14:textFill>
        </w:rPr>
        <w:t xml:space="preserve">江南大学附属医院输注系统、输注工作站项目</w:t>
      </w:r>
      <w:r>
        <w:rPr>
          <w:rFonts w:hint="eastAsia" w:ascii="宋体" w:hAnsi="宋体"/>
          <w:color w:val="000000" w:themeColor="text1"/>
          <w:sz w:val="24"/>
          <w:szCs w:val="24"/>
          <w:highlight w:val="white"/>
          <w14:textFill>
            <w14:solidFill>
              <w14:schemeClr w14:val="tx1"/>
            </w14:solidFill>
          </w14:textFill>
        </w:rPr>
        <w:t xml:space="preserve">（采购包：</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JSZC-320200-XWJC-G2026-0078</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）全权办理和履行上述我方为完成上述各点所必需的事宜，且有替换或撤销或另行授权的权利。兹确认（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日接收此文件，以此为证。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3.质量保证及售后服务承诺书（参考格式）：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日接收此文件，以此为证。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投标人名称（盖章）：</w:t>
      </w:r>
      <w:r/>
    </w:p>
    <w:p>
      <w:pPr>
        <w:spacing w:line="360" w:lineRule="auto"/>
        <w:rPr>
          <w:b/>
          <w:bCs/>
          <w:color w:val="000000" w:themeColor="text1"/>
          <w:sz w:val="30"/>
          <w:szCs w:val="30"/>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日期：</w:t>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4.耗材易耗品及维修配件明细表（给定格式）：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1126"/>
        <w:gridCol w:w="884"/>
        <w:gridCol w:w="895"/>
        <w:gridCol w:w="945"/>
        <w:gridCol w:w="651"/>
        <w:gridCol w:w="900"/>
        <w:gridCol w:w="1083"/>
        <w:gridCol w:w="1145"/>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bl>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528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2880"/>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cs="宋体"/>
          <w:color w:val="000000"/>
          <w:sz w:val="24"/>
          <w:highlight w:val="white"/>
        </w:rPr>
        <w:t xml:space="preserve">法定代表人或法定代表人授权代表CA签章</w:t>
      </w:r>
      <w:r>
        <w:rPr>
          <w:rFonts w:hint="eastAsia" w:ascii="宋体" w:hAnsi="宋体" w:cs="宋体"/>
          <w:color w:val="000000"/>
          <w:sz w:val="24"/>
          <w:highlight w:val="white"/>
        </w:rPr>
        <w:t xml:space="preserve"> </w:t>
      </w:r>
      <w:r>
        <w:rPr>
          <w:rFonts w:ascii="宋体" w:hAnsi="宋体" w:cs="宋体"/>
          <w:color w:val="000000"/>
          <w:sz w:val="24"/>
          <w:highlight w:val="white"/>
        </w:rPr>
        <w:t xml:space="preserve">：</w:t>
      </w:r>
      <w:r/>
    </w:p>
    <w:p>
      <w:pPr>
        <w:spacing w:before="5"/>
        <w:rPr>
          <w:rFonts w:ascii="黑体" w:eastAsia="黑体" w:cs="黑体"/>
          <w:color w:val="000000" w:themeColor="text1"/>
          <w:sz w:val="28"/>
          <w:szCs w:val="28"/>
          <w14:textFill>
            <w14:solidFill>
              <w14:schemeClr w14:val="tx1"/>
            </w14:solidFill>
          </w14:textFill>
        </w:rPr>
      </w:pPr>
      <w:r>
        <w:rPr>
          <w:rFonts w:ascii="黑体" w:eastAsia="黑体" w:cs="黑体"/>
          <w:color w:val="000000" w:themeColor="text1"/>
          <w:sz w:val="28"/>
          <w:szCs w:val="28"/>
          <w14:textFill>
            <w14:solidFill>
              <w14:schemeClr w14:val="tx1"/>
            </w14:solidFill>
          </w14:textFill>
        </w:rPr>
      </w:r>
      <w:r/>
    </w:p>
    <w:p>
      <w:pPr>
        <w:ind w:right="-14"/>
        <w:jc w:val="right"/>
        <w:rPr>
          <w:b/>
          <w:bCs/>
          <w:color w:val="000000" w:themeColor="text1"/>
          <w:sz w:val="30"/>
          <w:szCs w:val="30"/>
          <w14:textFill>
            <w14:solidFill>
              <w14:schemeClr w14:val="tx1"/>
            </w14:solidFill>
          </w14:textFill>
        </w:rPr>
      </w:pPr>
      <w:r>
        <w:rPr>
          <w:b/>
          <w:bCs/>
          <w:color w:val="000000" w:themeColor="text1"/>
          <w:sz w:val="30"/>
          <w:szCs w:val="30"/>
          <w14:textFill>
            <w14:solidFill>
              <w14:schemeClr w14:val="tx1"/>
            </w14:solidFill>
          </w14:textFill>
        </w:rPr>
      </w:r>
      <w:r/>
    </w:p>
    <w:p>
      <w:pPr>
        <w:spacing w:line="36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spacing w:line="36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spacing w:line="360" w:lineRule="auto"/>
        <w:rPr>
          <w:b/>
          <w:bCs/>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5.关于所投</w:t>
      </w:r>
      <w:r>
        <w:rPr>
          <w:rFonts w:hint="eastAsia"/>
          <w:b/>
          <w:color w:val="000000" w:themeColor="text1"/>
          <w:sz w:val="30"/>
          <w:szCs w:val="30"/>
          <w:u w:val="single"/>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设备的配件、耗材供应情况的承诺函（参考格式）：</w:t>
      </w:r>
      <w:r/>
    </w:p>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center"/>
        <w:spacing w:line="360" w:lineRule="auto"/>
        <w:rPr>
          <w:rFonts w:ascii="黑体" w:hAnsi="黑体" w:eastAsia="黑体"/>
          <w:bCs/>
          <w:color w:val="000000" w:themeColor="text1"/>
          <w:sz w:val="28"/>
          <w:szCs w:val="28"/>
          <w14:textFill>
            <w14:solidFill>
              <w14:schemeClr w14:val="tx1"/>
            </w14:solidFill>
          </w14:textFill>
        </w:rPr>
        <w:outlineLvl w:val="0"/>
      </w:pPr>
      <w:r>
        <w:rPr>
          <w:rFonts w:ascii="黑体" w:hAnsi="黑体" w:eastAsia="黑体"/>
          <w:bCs/>
          <w:color w:val="000000" w:themeColor="text1"/>
          <w:sz w:val="28"/>
          <w:szCs w:val="28"/>
          <w14:textFill>
            <w14:solidFill>
              <w14:schemeClr w14:val="tx1"/>
            </w14:solidFill>
          </w14:textFill>
        </w:rPr>
        <w:t xml:space="preserve">关于所投</w:t>
      </w:r>
      <w:r>
        <w:rPr>
          <w:rFonts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我方承诺确保</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设备在设备使用年限（自</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之日算起</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年）内的配件、耗材的正常供应；如因设备升级等原因而导致配件、耗材价格提高，且采购人无法接受时；或已无法正常供应配件、耗材时，我方同意</w:t>
      </w:r>
      <w:r>
        <w:rPr>
          <w:rFonts w:hint="eastAsia" w:ascii="宋体" w:hAnsi="宋体" w:cs="宋体"/>
          <w:color w:val="000000" w:themeColor="text1"/>
          <w:sz w:val="24"/>
          <w:szCs w:val="24"/>
          <w14:textFill>
            <w14:solidFill>
              <w14:schemeClr w14:val="tx1"/>
            </w14:solidFill>
          </w14:textFill>
        </w:rPr>
        <w:t xml:space="preserve">按折价进行补偿</w:t>
      </w:r>
      <w:r>
        <w:rPr>
          <w:rFonts w:ascii="宋体" w:hAnsi="宋体" w:cs="宋体"/>
          <w:color w:val="000000" w:themeColor="text1"/>
          <w:sz w:val="24"/>
          <w:szCs w:val="24"/>
          <w14:textFill>
            <w14:solidFill>
              <w14:schemeClr w14:val="tx1"/>
            </w14:solidFill>
          </w14:textFill>
        </w:rPr>
        <w:t xml:space="preserve">（折旧方法：直线折旧法）。</w:t>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left="239" w:firstLine="307"/>
        <w:jc w:val="cente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制造厂商</w:t>
      </w:r>
      <w:r>
        <w:rPr>
          <w:rFonts w:ascii="宋体" w:hAnsi="宋体" w:cs="宋体"/>
          <w:color w:val="000000" w:themeColor="text1"/>
          <w:sz w:val="24"/>
          <w:szCs w:val="24"/>
          <w14:textFill>
            <w14:solidFill>
              <w14:schemeClr w14:val="tx1"/>
            </w14:solidFill>
          </w14:textFill>
        </w:rPr>
        <w:t xml:space="preserve">：</w:t>
      </w:r>
      <w:r/>
    </w:p>
    <w:p>
      <w:pPr>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制造</w:t>
      </w:r>
      <w:r>
        <w:rPr>
          <w:rFonts w:ascii="宋体" w:hAnsi="宋体" w:cs="宋体"/>
          <w:color w:val="000000" w:themeColor="text1"/>
          <w:sz w:val="24"/>
          <w:szCs w:val="24"/>
          <w14:textFill>
            <w14:solidFill>
              <w14:schemeClr w14:val="tx1"/>
            </w14:solidFill>
          </w14:textFill>
        </w:rPr>
        <w:t xml:space="preserve">厂家法定（授权）代表人</w:t>
      </w:r>
      <w:r>
        <w:t xml:space="preserve">：</w:t>
      </w:r>
      <w:r/>
    </w:p>
    <w:p>
      <w:pPr>
        <w:ind w:firstLine="480"/>
        <w:spacing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 日期：</w:t>
      </w:r>
      <w:r/>
    </w:p>
    <w:p>
      <w:pPr>
        <w:pStyle w:val="764"/>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pPr>
    <w:r>
      <w:fldChar w:fldCharType="begin"/>
    </w:r>
    <w:r>
      <w:instrText xml:space="preserve">PAGE \* MERGEFORMAT</w:instrText>
    </w:r>
    <w:r>
      <w:fldChar w:fldCharType="separate"/>
    </w:r>
    <w:r>
      <w:t xml:space="preserve">62</w:t>
    </w:r>
    <w:r>
      <w:fldChar w:fldCharType="end"/>
    </w:r>
    <w:r/>
  </w:p>
  <w:p>
    <w:pPr>
      <w:pStyle w:val="7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Style w:val="1022"/>
      </w:rPr>
      <w:framePr w:wrap="around" w:vAnchor="text" w:hAnchor="margin" w:xAlign="center" w:y="1"/>
    </w:pPr>
    <w:r>
      <w:fldChar w:fldCharType="begin"/>
    </w:r>
    <w:r>
      <w:rPr>
        <w:rStyle w:val="1022"/>
      </w:rPr>
      <w:instrText xml:space="preserve">PAGE  </w:instrText>
    </w:r>
    <w:r>
      <w:fldChar w:fldCharType="separate"/>
    </w:r>
    <w:r>
      <w:rPr>
        <w:rStyle w:val="1022"/>
      </w:rPr>
      <w:t xml:space="preserve">1</w:t>
    </w:r>
    <w:r>
      <w:fldChar w:fldCharType="end"/>
    </w:r>
    <w:r/>
  </w:p>
  <w:p>
    <w:pPr>
      <w:pStyle w:val="9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7"/>
      <w:isLgl w:val="false"/>
      <w:suff w:val="nothing"/>
      <w:lvlText w:val=""/>
      <w:lvlJc w:val="left"/>
      <w:pPr>
        <w:ind w:left="0" w:firstLine="0"/>
      </w:pPr>
      <w:rPr>
        <w:rFonts w:hint="eastAsia"/>
      </w:rPr>
    </w:lvl>
    <w:lvl w:ilvl="6">
      <w:start w:val="1"/>
      <w:numFmt w:val="decimal"/>
      <w:pStyle w:val="958"/>
      <w:isLgl w:val="false"/>
      <w:suff w:val="nothing"/>
      <w:lvlText w:val=""/>
      <w:lvlJc w:val="left"/>
      <w:pPr>
        <w:ind w:left="0" w:firstLine="0"/>
      </w:pPr>
      <w:rPr>
        <w:rFonts w:hint="eastAsia"/>
      </w:rPr>
    </w:lvl>
    <w:lvl w:ilvl="7">
      <w:start w:val="1"/>
      <w:numFmt w:val="decimal"/>
      <w:pStyle w:val="959"/>
      <w:isLgl w:val="false"/>
      <w:suff w:val="nothing"/>
      <w:lvlText w:val=""/>
      <w:lvlJc w:val="left"/>
      <w:pPr>
        <w:ind w:left="0" w:firstLine="0"/>
      </w:pPr>
      <w:rPr>
        <w:rFonts w:hint="eastAsia"/>
      </w:rPr>
    </w:lvl>
    <w:lvl w:ilvl="8">
      <w:start w:val="1"/>
      <w:numFmt w:val="decimal"/>
      <w:pStyle w:val="960"/>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9"/>
  </w:num>
  <w:num w:numId="7">
    <w:abstractNumId w:val="5"/>
  </w:num>
  <w:num w:numId="8">
    <w:abstractNumId w:val="0"/>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0">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9">
    <w:name w:val="TOC Heading"/>
    <w:uiPriority w:val="39"/>
    <w:unhideWhenUsed/>
  </w:style>
  <w:style w:type="paragraph" w:styleId="74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41">
    <w:name w:val="Heading 1"/>
    <w:basedOn w:val="740"/>
    <w:next w:val="740"/>
    <w:link w:val="803"/>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804"/>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52"/>
    <w:link w:val="805"/>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52"/>
    <w:link w:val="806"/>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807"/>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808"/>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810"/>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811"/>
    <w:uiPriority w:val="9"/>
    <w:unhideWhenUsed/>
    <w:qFormat/>
    <w:pPr>
      <w:keepLines/>
      <w:keepNext/>
      <w:spacing w:before="320" w:after="200"/>
      <w:outlineLvl w:val="8"/>
    </w:pPr>
    <w:rPr>
      <w:rFonts w:ascii="Arial" w:hAnsi="Arial" w:eastAsia="Arial" w:cs="Arial"/>
      <w:i/>
      <w:iCs/>
    </w:rPr>
  </w:style>
  <w:style w:type="character" w:styleId="750" w:default="1">
    <w:name w:val="Default Paragraph Font"/>
    <w:uiPriority w:val="1"/>
    <w:semiHidden/>
    <w:unhideWhenUsed/>
  </w:style>
  <w:style w:type="table" w:styleId="751" w:default="1">
    <w:name w:val="Normal Table"/>
    <w:uiPriority w:val="99"/>
    <w:semiHidden/>
    <w:unhideWhenUsed/>
    <w:tblPr>
      <w:tblCellMar>
        <w:left w:w="108" w:type="dxa"/>
        <w:top w:w="0" w:type="dxa"/>
        <w:right w:w="108" w:type="dxa"/>
        <w:bottom w:w="0" w:type="dxa"/>
      </w:tblCellMar>
    </w:tblPr>
  </w:style>
  <w:style w:type="paragraph" w:styleId="752">
    <w:name w:val="Normal Indent"/>
    <w:basedOn w:val="740"/>
    <w:uiPriority w:val="99"/>
    <w:qFormat/>
    <w:pPr>
      <w:ind w:firstLine="420"/>
    </w:pPr>
    <w:rPr>
      <w:sz w:val="20"/>
    </w:rPr>
  </w:style>
  <w:style w:type="paragraph" w:styleId="753">
    <w:name w:val="toc 7"/>
    <w:basedOn w:val="740"/>
    <w:next w:val="740"/>
    <w:uiPriority w:val="39"/>
    <w:unhideWhenUsed/>
    <w:qFormat/>
    <w:pPr>
      <w:ind w:left="1701"/>
      <w:spacing w:after="57"/>
    </w:pPr>
  </w:style>
  <w:style w:type="paragraph" w:styleId="754">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Body Text"/>
    <w:basedOn w:val="740"/>
    <w:uiPriority w:val="0"/>
    <w:unhideWhenUsed/>
    <w:qFormat/>
    <w:pPr>
      <w:spacing w:after="120"/>
    </w:pPr>
    <w:rPr>
      <w:rFonts w:ascii="Calibri" w:hAnsi="Calibri"/>
      <w:szCs w:val="22"/>
    </w:rPr>
  </w:style>
  <w:style w:type="paragraph" w:styleId="756">
    <w:name w:val="Body Text Indent"/>
    <w:basedOn w:val="740"/>
    <w:link w:val="1065"/>
    <w:uiPriority w:val="99"/>
    <w:qFormat/>
    <w:pPr>
      <w:ind w:firstLine="576"/>
    </w:pPr>
    <w:rPr>
      <w:sz w:val="20"/>
      <w:szCs w:val="20"/>
    </w:rPr>
  </w:style>
  <w:style w:type="paragraph" w:styleId="757">
    <w:name w:val="toc 5"/>
    <w:basedOn w:val="740"/>
    <w:next w:val="740"/>
    <w:uiPriority w:val="39"/>
    <w:unhideWhenUsed/>
    <w:qFormat/>
    <w:pPr>
      <w:ind w:left="1134"/>
      <w:spacing w:after="57"/>
    </w:pPr>
  </w:style>
  <w:style w:type="paragraph" w:styleId="758">
    <w:name w:val="toc 3"/>
    <w:basedOn w:val="740"/>
    <w:next w:val="740"/>
    <w:uiPriority w:val="39"/>
    <w:unhideWhenUsed/>
    <w:qFormat/>
    <w:pPr>
      <w:ind w:left="567"/>
      <w:spacing w:after="57"/>
    </w:pPr>
  </w:style>
  <w:style w:type="paragraph" w:styleId="759">
    <w:name w:val="Plain Text"/>
    <w:basedOn w:val="740"/>
    <w:uiPriority w:val="0"/>
    <w:qFormat/>
    <w:rPr>
      <w:rFonts w:ascii="宋体" w:hAnsi="Courier New" w:cs="Courier New"/>
    </w:rPr>
  </w:style>
  <w:style w:type="paragraph" w:styleId="760">
    <w:name w:val="toc 8"/>
    <w:basedOn w:val="740"/>
    <w:next w:val="740"/>
    <w:uiPriority w:val="39"/>
    <w:unhideWhenUsed/>
    <w:qFormat/>
    <w:pPr>
      <w:ind w:left="1984"/>
      <w:spacing w:after="57"/>
    </w:pPr>
  </w:style>
  <w:style w:type="paragraph" w:styleId="761">
    <w:name w:val="Body Text Indent 2"/>
    <w:basedOn w:val="740"/>
    <w:uiPriority w:val="0"/>
    <w:qFormat/>
    <w:pPr>
      <w:ind w:left="420"/>
      <w:spacing w:after="120" w:line="480" w:lineRule="auto"/>
    </w:pPr>
  </w:style>
  <w:style w:type="paragraph" w:styleId="762">
    <w:name w:val="endnote text"/>
    <w:basedOn w:val="740"/>
    <w:link w:val="949"/>
    <w:uiPriority w:val="99"/>
    <w:semiHidden/>
    <w:unhideWhenUsed/>
    <w:qFormat/>
    <w:rPr>
      <w:sz w:val="20"/>
    </w:rPr>
  </w:style>
  <w:style w:type="paragraph" w:styleId="763">
    <w:name w:val="Footer"/>
    <w:basedOn w:val="740"/>
    <w:link w:val="822"/>
    <w:uiPriority w:val="99"/>
    <w:unhideWhenUsed/>
    <w:qFormat/>
    <w:pPr>
      <w:tabs>
        <w:tab w:val="center" w:pos="7143" w:leader="none"/>
        <w:tab w:val="right" w:pos="14287" w:leader="none"/>
      </w:tabs>
    </w:pPr>
  </w:style>
  <w:style w:type="paragraph" w:styleId="764">
    <w:name w:val="envelope return"/>
    <w:basedOn w:val="740"/>
    <w:uiPriority w:val="0"/>
    <w:qFormat/>
    <w:rPr>
      <w:rFonts w:ascii="Arial" w:hAnsi="Arial" w:eastAsia="楷体_GB2312"/>
      <w:sz w:val="26"/>
      <w:szCs w:val="20"/>
    </w:rPr>
  </w:style>
  <w:style w:type="paragraph" w:styleId="765">
    <w:name w:val="Header"/>
    <w:basedOn w:val="740"/>
    <w:link w:val="820"/>
    <w:uiPriority w:val="99"/>
    <w:unhideWhenUsed/>
    <w:qFormat/>
    <w:pPr>
      <w:tabs>
        <w:tab w:val="center" w:pos="7143" w:leader="none"/>
        <w:tab w:val="right" w:pos="14287" w:leader="none"/>
      </w:tabs>
    </w:pPr>
  </w:style>
  <w:style w:type="paragraph" w:styleId="766">
    <w:name w:val="toc 1"/>
    <w:basedOn w:val="740"/>
    <w:next w:val="740"/>
    <w:uiPriority w:val="39"/>
    <w:unhideWhenUsed/>
    <w:qFormat/>
    <w:pPr>
      <w:spacing w:after="57"/>
    </w:pPr>
  </w:style>
  <w:style w:type="paragraph" w:styleId="767">
    <w:name w:val="toc 4"/>
    <w:basedOn w:val="740"/>
    <w:next w:val="740"/>
    <w:uiPriority w:val="39"/>
    <w:unhideWhenUsed/>
    <w:qFormat/>
    <w:pPr>
      <w:ind w:left="850"/>
      <w:spacing w:after="57"/>
    </w:pPr>
  </w:style>
  <w:style w:type="paragraph" w:styleId="768">
    <w:name w:val="Subtitle"/>
    <w:basedOn w:val="740"/>
    <w:next w:val="740"/>
    <w:link w:val="815"/>
    <w:uiPriority w:val="11"/>
    <w:qFormat/>
    <w:pPr>
      <w:spacing w:before="200" w:after="200"/>
    </w:pPr>
    <w:rPr>
      <w:sz w:val="24"/>
      <w:szCs w:val="24"/>
    </w:rPr>
  </w:style>
  <w:style w:type="paragraph" w:styleId="769">
    <w:name w:val="footnote text"/>
    <w:basedOn w:val="740"/>
    <w:link w:val="948"/>
    <w:uiPriority w:val="99"/>
    <w:semiHidden/>
    <w:unhideWhenUsed/>
    <w:qFormat/>
    <w:pPr>
      <w:spacing w:after="40"/>
    </w:pPr>
    <w:rPr>
      <w:sz w:val="18"/>
    </w:rPr>
  </w:style>
  <w:style w:type="paragraph" w:styleId="770">
    <w:name w:val="toc 6"/>
    <w:basedOn w:val="740"/>
    <w:next w:val="740"/>
    <w:uiPriority w:val="39"/>
    <w:unhideWhenUsed/>
    <w:qFormat/>
    <w:pPr>
      <w:ind w:left="1417"/>
      <w:spacing w:after="57"/>
    </w:pPr>
  </w:style>
  <w:style w:type="paragraph" w:styleId="771">
    <w:name w:val="table of figures"/>
    <w:basedOn w:val="740"/>
    <w:next w:val="740"/>
    <w:uiPriority w:val="99"/>
    <w:unhideWhenUsed/>
    <w:qFormat/>
  </w:style>
  <w:style w:type="paragraph" w:styleId="772">
    <w:name w:val="toc 2"/>
    <w:basedOn w:val="740"/>
    <w:next w:val="740"/>
    <w:uiPriority w:val="39"/>
    <w:unhideWhenUsed/>
    <w:qFormat/>
    <w:pPr>
      <w:ind w:left="283"/>
      <w:spacing w:after="57"/>
    </w:pPr>
  </w:style>
  <w:style w:type="paragraph" w:styleId="773">
    <w:name w:val="toc 9"/>
    <w:basedOn w:val="740"/>
    <w:next w:val="740"/>
    <w:uiPriority w:val="39"/>
    <w:unhideWhenUsed/>
    <w:qFormat/>
    <w:pPr>
      <w:ind w:left="2268"/>
      <w:spacing w:after="57"/>
    </w:pPr>
  </w:style>
  <w:style w:type="paragraph" w:styleId="774">
    <w:name w:val="Normal (Web)"/>
    <w:basedOn w:val="740"/>
    <w:uiPriority w:val="0"/>
    <w:qFormat/>
    <w:pPr>
      <w:jc w:val="left"/>
      <w:spacing w:before="100" w:beforeAutospacing="1" w:after="100" w:afterAutospacing="1"/>
      <w:widowControl/>
    </w:pPr>
    <w:rPr>
      <w:rFonts w:ascii="宋体" w:hAnsi="宋体" w:cs="宋体"/>
      <w:sz w:val="24"/>
      <w:szCs w:val="24"/>
    </w:rPr>
  </w:style>
  <w:style w:type="paragraph" w:styleId="775">
    <w:name w:val="Title"/>
    <w:basedOn w:val="740"/>
    <w:next w:val="740"/>
    <w:link w:val="814"/>
    <w:uiPriority w:val="10"/>
    <w:qFormat/>
    <w:pPr>
      <w:contextualSpacing/>
      <w:spacing w:before="300" w:after="200"/>
    </w:pPr>
    <w:rPr>
      <w:sz w:val="48"/>
      <w:szCs w:val="48"/>
    </w:rPr>
  </w:style>
  <w:style w:type="paragraph" w:styleId="776">
    <w:name w:val="Body Text First Indent"/>
    <w:basedOn w:val="755"/>
    <w:uiPriority w:val="0"/>
    <w:qFormat/>
    <w:pPr>
      <w:ind w:firstLine="420"/>
      <w:spacing w:line="360" w:lineRule="auto"/>
    </w:pPr>
    <w:rPr>
      <w:rFonts w:ascii="Times New Roman" w:hAnsi="Times New Roman"/>
      <w:szCs w:val="21"/>
    </w:rPr>
  </w:style>
  <w:style w:type="paragraph" w:styleId="777">
    <w:name w:val="Body Text First Indent 2"/>
    <w:basedOn w:val="756"/>
    <w:link w:val="1066"/>
    <w:uiPriority w:val="99"/>
    <w:unhideWhenUsed/>
    <w:qFormat/>
    <w:pPr>
      <w:ind w:left="420" w:firstLine="420"/>
      <w:spacing w:after="120"/>
    </w:pPr>
    <w:rPr>
      <w:sz w:val="21"/>
      <w:szCs w:val="21"/>
    </w:r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semiHidden/>
    <w:unhideWhenUsed/>
    <w:qFormat/>
    <w:rPr>
      <w:vertAlign w:val="superscript"/>
    </w:rPr>
  </w:style>
  <w:style w:type="character" w:styleId="780">
    <w:name w:val="Emphasis"/>
    <w:basedOn w:val="750"/>
    <w:uiPriority w:val="20"/>
    <w:qFormat/>
    <w:rPr>
      <w:i/>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footnote reference"/>
    <w:uiPriority w:val="99"/>
    <w:unhideWhenUsed/>
    <w:qFormat/>
    <w:rPr>
      <w:vertAlign w:val="superscript"/>
    </w:rPr>
  </w:style>
  <w:style w:type="paragraph" w:styleId="783" w:customStyle="1">
    <w:name w:val="TOC 标题1"/>
    <w:uiPriority w:val="39"/>
    <w:unhideWhenUsed/>
    <w:qFormat/>
    <w:rPr>
      <w:rFonts w:ascii="Times New Roman" w:hAnsi="Times New Roman" w:eastAsia="宋体" w:cs="Times New Roman"/>
      <w:lang w:val="en-US" w:eastAsia="zh-CN" w:bidi="ar-SA"/>
    </w:rPr>
  </w:style>
  <w:style w:type="character" w:styleId="784" w:customStyle="1">
    <w:name w:val="Heading 1 Char"/>
    <w:basedOn w:val="750"/>
    <w:uiPriority w:val="9"/>
    <w:qFormat/>
    <w:rPr>
      <w:rFonts w:ascii="Arial" w:hAnsi="Arial" w:eastAsia="Arial" w:cs="Arial"/>
      <w:sz w:val="40"/>
      <w:szCs w:val="40"/>
    </w:rPr>
  </w:style>
  <w:style w:type="character" w:styleId="785" w:customStyle="1">
    <w:name w:val="Heading 2 Char"/>
    <w:basedOn w:val="750"/>
    <w:uiPriority w:val="9"/>
    <w:qFormat/>
    <w:rPr>
      <w:rFonts w:ascii="Arial" w:hAnsi="Arial" w:eastAsia="Arial" w:cs="Arial"/>
      <w:sz w:val="34"/>
    </w:rPr>
  </w:style>
  <w:style w:type="character" w:styleId="786" w:customStyle="1">
    <w:name w:val="Heading 3 Char"/>
    <w:basedOn w:val="750"/>
    <w:uiPriority w:val="9"/>
    <w:qFormat/>
    <w:rPr>
      <w:rFonts w:ascii="Arial" w:hAnsi="Arial" w:eastAsia="Arial" w:cs="Arial"/>
      <w:sz w:val="30"/>
      <w:szCs w:val="30"/>
    </w:rPr>
  </w:style>
  <w:style w:type="character" w:styleId="787" w:customStyle="1">
    <w:name w:val="Heading 4 Char"/>
    <w:basedOn w:val="750"/>
    <w:uiPriority w:val="9"/>
    <w:qFormat/>
    <w:rPr>
      <w:rFonts w:ascii="Arial" w:hAnsi="Arial" w:eastAsia="Arial" w:cs="Arial"/>
      <w:b/>
      <w:bCs/>
      <w:sz w:val="26"/>
      <w:szCs w:val="26"/>
    </w:rPr>
  </w:style>
  <w:style w:type="character" w:styleId="788" w:customStyle="1">
    <w:name w:val="Heading 5 Char"/>
    <w:basedOn w:val="750"/>
    <w:uiPriority w:val="9"/>
    <w:qFormat/>
    <w:rPr>
      <w:rFonts w:ascii="Arial" w:hAnsi="Arial" w:eastAsia="Arial" w:cs="Arial"/>
      <w:b/>
      <w:bCs/>
      <w:sz w:val="24"/>
      <w:szCs w:val="24"/>
    </w:rPr>
  </w:style>
  <w:style w:type="character" w:styleId="789" w:customStyle="1">
    <w:name w:val="Heading 6 Char"/>
    <w:basedOn w:val="750"/>
    <w:uiPriority w:val="9"/>
    <w:qFormat/>
    <w:rPr>
      <w:rFonts w:ascii="Arial" w:hAnsi="Arial" w:eastAsia="Arial" w:cs="Arial"/>
      <w:b/>
      <w:bCs/>
      <w:sz w:val="22"/>
      <w:szCs w:val="22"/>
    </w:rPr>
  </w:style>
  <w:style w:type="character" w:styleId="790" w:customStyle="1">
    <w:name w:val="Heading 7 Char"/>
    <w:basedOn w:val="750"/>
    <w:uiPriority w:val="9"/>
    <w:qFormat/>
    <w:rPr>
      <w:rFonts w:ascii="Arial" w:hAnsi="Arial" w:eastAsia="Arial" w:cs="Arial"/>
      <w:b/>
      <w:bCs/>
      <w:i/>
      <w:iCs/>
      <w:sz w:val="22"/>
      <w:szCs w:val="22"/>
    </w:rPr>
  </w:style>
  <w:style w:type="character" w:styleId="791" w:customStyle="1">
    <w:name w:val="Heading 8 Char"/>
    <w:basedOn w:val="750"/>
    <w:uiPriority w:val="9"/>
    <w:qFormat/>
    <w:rPr>
      <w:rFonts w:ascii="Arial" w:hAnsi="Arial" w:eastAsia="Arial" w:cs="Arial"/>
      <w:i/>
      <w:iCs/>
      <w:sz w:val="22"/>
      <w:szCs w:val="22"/>
    </w:rPr>
  </w:style>
  <w:style w:type="character" w:styleId="792" w:customStyle="1">
    <w:name w:val="Heading 9 Char"/>
    <w:basedOn w:val="750"/>
    <w:uiPriority w:val="9"/>
    <w:qFormat/>
    <w:rPr>
      <w:rFonts w:ascii="Arial" w:hAnsi="Arial" w:eastAsia="Arial" w:cs="Arial"/>
      <w:i/>
      <w:iCs/>
      <w:sz w:val="21"/>
      <w:szCs w:val="21"/>
    </w:rPr>
  </w:style>
  <w:style w:type="character" w:styleId="793" w:customStyle="1">
    <w:name w:val="Title Char"/>
    <w:basedOn w:val="750"/>
    <w:uiPriority w:val="10"/>
    <w:qFormat/>
    <w:rPr>
      <w:sz w:val="48"/>
      <w:szCs w:val="48"/>
    </w:rPr>
  </w:style>
  <w:style w:type="character" w:styleId="794" w:customStyle="1">
    <w:name w:val="Subtitle Char"/>
    <w:basedOn w:val="750"/>
    <w:uiPriority w:val="11"/>
    <w:qFormat/>
    <w:rPr>
      <w:sz w:val="24"/>
      <w:szCs w:val="24"/>
    </w:rPr>
  </w:style>
  <w:style w:type="character" w:styleId="795" w:customStyle="1">
    <w:name w:val="Quote Char"/>
    <w:uiPriority w:val="29"/>
    <w:qFormat/>
    <w:rPr>
      <w:i/>
    </w:rPr>
  </w:style>
  <w:style w:type="character" w:styleId="796" w:customStyle="1">
    <w:name w:val="Intense Quote Char"/>
    <w:uiPriority w:val="30"/>
    <w:qFormat/>
    <w:rPr>
      <w:i/>
    </w:rPr>
  </w:style>
  <w:style w:type="character" w:styleId="797" w:customStyle="1">
    <w:name w:val="Header Char"/>
    <w:basedOn w:val="750"/>
    <w:uiPriority w:val="99"/>
    <w:qFormat/>
  </w:style>
  <w:style w:type="character" w:styleId="798" w:customStyle="1">
    <w:name w:val="Caption Char"/>
    <w:uiPriority w:val="99"/>
    <w:qFormat/>
  </w:style>
  <w:style w:type="character" w:styleId="799" w:customStyle="1">
    <w:name w:val="Footnote Text Char"/>
    <w:uiPriority w:val="99"/>
    <w:qFormat/>
    <w:rPr>
      <w:sz w:val="18"/>
    </w:rPr>
  </w:style>
  <w:style w:type="character" w:styleId="800" w:customStyle="1">
    <w:name w:val="Endnote Text Char"/>
    <w:uiPriority w:val="99"/>
    <w:qFormat/>
    <w:rPr>
      <w:sz w:val="20"/>
    </w:rPr>
  </w:style>
  <w:style w:type="paragraph" w:styleId="801" w:customStyle="1">
    <w:name w:val="TOC 标题111"/>
    <w:uiPriority w:val="39"/>
    <w:unhideWhenUsed/>
    <w:qFormat/>
    <w:rPr>
      <w:rFonts w:ascii="Times New Roman" w:hAnsi="Times New Roman" w:eastAsia="宋体" w:cs="Times New Roman"/>
      <w:lang w:val="en-US" w:eastAsia="zh-CN" w:bidi="ar-SA"/>
    </w:rPr>
  </w:style>
  <w:style w:type="paragraph" w:styleId="80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03" w:customStyle="1">
    <w:name w:val="标题 1 字符"/>
    <w:link w:val="741"/>
    <w:uiPriority w:val="9"/>
    <w:qFormat/>
    <w:rPr>
      <w:rFonts w:ascii="Arial" w:hAnsi="Arial" w:eastAsia="Arial" w:cs="Arial"/>
      <w:sz w:val="40"/>
      <w:szCs w:val="40"/>
    </w:rPr>
  </w:style>
  <w:style w:type="character" w:styleId="804" w:customStyle="1">
    <w:name w:val="标题 2 字符"/>
    <w:link w:val="742"/>
    <w:uiPriority w:val="9"/>
    <w:qFormat/>
    <w:rPr>
      <w:rFonts w:ascii="Arial" w:hAnsi="Arial" w:eastAsia="Arial" w:cs="Arial"/>
      <w:sz w:val="34"/>
    </w:rPr>
  </w:style>
  <w:style w:type="character" w:styleId="805" w:customStyle="1">
    <w:name w:val="标题 3 字符"/>
    <w:link w:val="743"/>
    <w:uiPriority w:val="9"/>
    <w:qFormat/>
    <w:rPr>
      <w:rFonts w:ascii="Arial" w:hAnsi="Arial" w:eastAsia="Arial" w:cs="Arial"/>
      <w:sz w:val="30"/>
      <w:szCs w:val="30"/>
    </w:rPr>
  </w:style>
  <w:style w:type="character" w:styleId="806" w:customStyle="1">
    <w:name w:val="标题 4 字符"/>
    <w:link w:val="744"/>
    <w:uiPriority w:val="9"/>
    <w:qFormat/>
    <w:rPr>
      <w:rFonts w:ascii="Arial" w:hAnsi="Arial" w:eastAsia="Arial" w:cs="Arial"/>
      <w:b/>
      <w:bCs/>
      <w:sz w:val="26"/>
      <w:szCs w:val="26"/>
    </w:rPr>
  </w:style>
  <w:style w:type="character" w:styleId="807" w:customStyle="1">
    <w:name w:val="标题 5 字符"/>
    <w:link w:val="745"/>
    <w:uiPriority w:val="9"/>
    <w:qFormat/>
    <w:rPr>
      <w:rFonts w:ascii="Arial" w:hAnsi="Arial" w:eastAsia="Arial" w:cs="Arial"/>
      <w:b/>
      <w:bCs/>
      <w:sz w:val="24"/>
      <w:szCs w:val="24"/>
    </w:rPr>
  </w:style>
  <w:style w:type="character" w:styleId="808" w:customStyle="1">
    <w:name w:val="标题 6 字符"/>
    <w:link w:val="746"/>
    <w:uiPriority w:val="9"/>
    <w:qFormat/>
    <w:rPr>
      <w:rFonts w:ascii="Arial" w:hAnsi="Arial" w:eastAsia="Arial" w:cs="Arial"/>
      <w:b/>
      <w:bCs/>
      <w:sz w:val="22"/>
      <w:szCs w:val="22"/>
    </w:rPr>
  </w:style>
  <w:style w:type="character" w:styleId="809" w:customStyle="1">
    <w:name w:val="标题 7 字符"/>
    <w:link w:val="747"/>
    <w:uiPriority w:val="9"/>
    <w:qFormat/>
    <w:rPr>
      <w:rFonts w:ascii="Arial" w:hAnsi="Arial" w:eastAsia="Arial" w:cs="Arial"/>
      <w:b/>
      <w:bCs/>
      <w:i/>
      <w:iCs/>
      <w:sz w:val="22"/>
      <w:szCs w:val="22"/>
    </w:rPr>
  </w:style>
  <w:style w:type="character" w:styleId="810" w:customStyle="1">
    <w:name w:val="标题 8 字符"/>
    <w:link w:val="748"/>
    <w:uiPriority w:val="9"/>
    <w:qFormat/>
    <w:rPr>
      <w:rFonts w:ascii="Arial" w:hAnsi="Arial" w:eastAsia="Arial" w:cs="Arial"/>
      <w:i/>
      <w:iCs/>
      <w:sz w:val="22"/>
      <w:szCs w:val="22"/>
    </w:rPr>
  </w:style>
  <w:style w:type="character" w:styleId="811" w:customStyle="1">
    <w:name w:val="标题 9 字符"/>
    <w:link w:val="749"/>
    <w:uiPriority w:val="9"/>
    <w:qFormat/>
    <w:rPr>
      <w:rFonts w:ascii="Arial" w:hAnsi="Arial" w:eastAsia="Arial" w:cs="Arial"/>
      <w:i/>
      <w:iCs/>
      <w:sz w:val="21"/>
      <w:szCs w:val="21"/>
    </w:rPr>
  </w:style>
  <w:style w:type="paragraph" w:styleId="812">
    <w:name w:val="List Paragraph"/>
    <w:basedOn w:val="740"/>
    <w:uiPriority w:val="34"/>
    <w:qFormat/>
    <w:pPr>
      <w:contextualSpacing/>
      <w:ind w:left="720"/>
    </w:pPr>
  </w:style>
  <w:style w:type="paragraph" w:styleId="813">
    <w:name w:val="No Spacing"/>
    <w:uiPriority w:val="1"/>
    <w:qFormat/>
    <w:rPr>
      <w:rFonts w:ascii="Calibri" w:hAnsi="Calibri" w:eastAsia="宋体" w:cs="Times New Roman"/>
      <w:lang w:val="en-US" w:eastAsia="zh-CN" w:bidi="ar-SA"/>
    </w:rPr>
  </w:style>
  <w:style w:type="character" w:styleId="814" w:customStyle="1">
    <w:name w:val="标题 字符"/>
    <w:link w:val="775"/>
    <w:uiPriority w:val="10"/>
    <w:qFormat/>
    <w:rPr>
      <w:sz w:val="48"/>
      <w:szCs w:val="48"/>
    </w:rPr>
  </w:style>
  <w:style w:type="character" w:styleId="815" w:customStyle="1">
    <w:name w:val="副标题 字符"/>
    <w:link w:val="768"/>
    <w:uiPriority w:val="11"/>
    <w:qFormat/>
    <w:rPr>
      <w:sz w:val="24"/>
      <w:szCs w:val="24"/>
    </w:rPr>
  </w:style>
  <w:style w:type="paragraph" w:styleId="816">
    <w:name w:val="Quote"/>
    <w:basedOn w:val="740"/>
    <w:next w:val="740"/>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40"/>
    <w:next w:val="740"/>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页眉 字符"/>
    <w:link w:val="765"/>
    <w:uiPriority w:val="99"/>
    <w:qFormat/>
  </w:style>
  <w:style w:type="character" w:styleId="821" w:customStyle="1">
    <w:name w:val="Footer Char"/>
    <w:uiPriority w:val="99"/>
    <w:qFormat/>
  </w:style>
  <w:style w:type="character" w:styleId="822" w:customStyle="1">
    <w:name w:val="页脚 字符"/>
    <w:link w:val="763"/>
    <w:uiPriority w:val="99"/>
    <w:qFormat/>
  </w:style>
  <w:style w:type="table" w:styleId="8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脚注文本 字符"/>
    <w:link w:val="769"/>
    <w:uiPriority w:val="99"/>
    <w:qFormat/>
    <w:rPr>
      <w:sz w:val="18"/>
    </w:rPr>
  </w:style>
  <w:style w:type="character" w:styleId="949" w:customStyle="1">
    <w:name w:val="尾注文本 字符"/>
    <w:link w:val="762"/>
    <w:uiPriority w:val="99"/>
    <w:qFormat/>
    <w:rPr>
      <w:sz w:val="20"/>
    </w:rPr>
  </w:style>
  <w:style w:type="paragraph" w:styleId="950" w:customStyle="1">
    <w:name w:val="TOC 标题11"/>
    <w:uiPriority w:val="39"/>
    <w:unhideWhenUsed/>
    <w:qFormat/>
    <w:rPr>
      <w:rFonts w:ascii="Calibri" w:hAnsi="Calibri" w:eastAsia="宋体" w:cs="Times New Roman"/>
      <w:lang w:val="en-US" w:eastAsia="zh-CN" w:bidi="ar-SA"/>
    </w:rPr>
  </w:style>
  <w:style w:type="paragraph" w:styleId="951" w:customStyle="1">
    <w:name w:val="标题 11"/>
    <w:basedOn w:val="740"/>
    <w:next w:val="740"/>
    <w:link w:val="963"/>
    <w:uiPriority w:val="0"/>
    <w:qFormat/>
    <w:pPr>
      <w:jc w:val="center"/>
      <w:keepNext/>
      <w:outlineLvl w:val="0"/>
    </w:pPr>
    <w:rPr>
      <w:rFonts w:ascii="楷体_GB2312" w:eastAsia="楷体_GB2312"/>
      <w:sz w:val="28"/>
      <w:szCs w:val="28"/>
      <w:lang w:eastAsia="en-US"/>
    </w:rPr>
  </w:style>
  <w:style w:type="paragraph" w:styleId="952" w:customStyle="1">
    <w:name w:val="标题 21"/>
    <w:basedOn w:val="740"/>
    <w:next w:val="953"/>
    <w:link w:val="964"/>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3" w:customStyle="1">
    <w:name w:val="正文缩进1"/>
    <w:basedOn w:val="740"/>
    <w:link w:val="965"/>
    <w:uiPriority w:val="0"/>
    <w:qFormat/>
    <w:pPr>
      <w:ind w:firstLine="420"/>
    </w:pPr>
    <w:rPr>
      <w:sz w:val="20"/>
      <w:lang w:eastAsia="en-US"/>
    </w:rPr>
  </w:style>
  <w:style w:type="paragraph" w:styleId="954" w:customStyle="1">
    <w:name w:val="标题 31"/>
    <w:basedOn w:val="740"/>
    <w:next w:val="953"/>
    <w:link w:val="966"/>
    <w:uiPriority w:val="0"/>
    <w:qFormat/>
    <w:pPr>
      <w:keepLines/>
      <w:keepNext/>
      <w:spacing w:before="260" w:after="260" w:line="416" w:lineRule="auto"/>
      <w:outlineLvl w:val="2"/>
    </w:pPr>
    <w:rPr>
      <w:b/>
      <w:bCs/>
      <w:sz w:val="32"/>
      <w:szCs w:val="32"/>
      <w:lang w:eastAsia="en-US"/>
    </w:rPr>
  </w:style>
  <w:style w:type="paragraph" w:styleId="955" w:customStyle="1">
    <w:name w:val="标题 41"/>
    <w:basedOn w:val="740"/>
    <w:next w:val="953"/>
    <w:link w:val="967"/>
    <w:uiPriority w:val="0"/>
    <w:qFormat/>
    <w:pPr>
      <w:keepLines/>
      <w:keepNext/>
      <w:spacing w:before="280" w:after="290" w:line="376" w:lineRule="auto"/>
      <w:outlineLvl w:val="3"/>
    </w:pPr>
    <w:rPr>
      <w:rFonts w:ascii="Arial" w:hAnsi="Arial" w:eastAsia="黑体"/>
      <w:b/>
      <w:bCs/>
      <w:sz w:val="28"/>
      <w:szCs w:val="28"/>
      <w:lang w:eastAsia="en-US"/>
    </w:rPr>
  </w:style>
  <w:style w:type="paragraph" w:styleId="956" w:customStyle="1">
    <w:name w:val="标题 51"/>
    <w:basedOn w:val="740"/>
    <w:next w:val="953"/>
    <w:link w:val="968"/>
    <w:uiPriority w:val="0"/>
    <w:qFormat/>
    <w:pPr>
      <w:keepNext/>
      <w:outlineLvl w:val="4"/>
    </w:pPr>
    <w:rPr>
      <w:rFonts w:ascii="宋体"/>
      <w:color w:val="000000"/>
      <w:sz w:val="28"/>
      <w:szCs w:val="28"/>
      <w:lang w:eastAsia="en-US"/>
    </w:rPr>
  </w:style>
  <w:style w:type="paragraph" w:styleId="957" w:customStyle="1">
    <w:name w:val="标题 61"/>
    <w:basedOn w:val="740"/>
    <w:next w:val="740"/>
    <w:link w:val="969"/>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8" w:customStyle="1">
    <w:name w:val="标题 71"/>
    <w:basedOn w:val="740"/>
    <w:next w:val="740"/>
    <w:link w:val="970"/>
    <w:uiPriority w:val="0"/>
    <w:qFormat/>
    <w:pPr>
      <w:numPr>
        <w:ilvl w:val="6"/>
        <w:numId w:val="1"/>
      </w:numPr>
      <w:keepLines/>
      <w:keepNext/>
      <w:spacing w:before="240" w:after="64" w:line="320" w:lineRule="auto"/>
      <w:outlineLvl w:val="6"/>
    </w:pPr>
    <w:rPr>
      <w:b/>
      <w:bCs/>
      <w:sz w:val="24"/>
      <w:szCs w:val="24"/>
      <w:lang w:eastAsia="en-US"/>
    </w:rPr>
  </w:style>
  <w:style w:type="paragraph" w:styleId="959" w:customStyle="1">
    <w:name w:val="标题 81"/>
    <w:basedOn w:val="740"/>
    <w:next w:val="740"/>
    <w:link w:val="971"/>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60" w:customStyle="1">
    <w:name w:val="标题 91"/>
    <w:basedOn w:val="740"/>
    <w:next w:val="740"/>
    <w:link w:val="972"/>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61" w:customStyle="1">
    <w:name w:val="默认段落字体1"/>
    <w:uiPriority w:val="1"/>
    <w:unhideWhenUsed/>
    <w:qFormat/>
  </w:style>
  <w:style w:type="table" w:styleId="962" w:customStyle="1">
    <w:name w:val="普通表格1"/>
    <w:uiPriority w:val="99"/>
    <w:unhideWhenUsed/>
    <w:qFormat/>
    <w:tblPr>
      <w:tblCellMar>
        <w:left w:w="0" w:type="dxa"/>
        <w:top w:w="0" w:type="dxa"/>
        <w:right w:w="0" w:type="dxa"/>
        <w:bottom w:w="0" w:type="dxa"/>
      </w:tblCellMar>
    </w:tblPr>
  </w:style>
  <w:style w:type="character" w:styleId="963" w:customStyle="1">
    <w:name w:val="标题 1 Char"/>
    <w:link w:val="951"/>
    <w:uiPriority w:val="0"/>
    <w:qFormat/>
    <w:rPr>
      <w:rFonts w:ascii="楷体_GB2312" w:hAnsi="Times New Roman" w:eastAsia="楷体_GB2312" w:cs="Times New Roman"/>
      <w:sz w:val="28"/>
      <w:szCs w:val="28"/>
    </w:rPr>
  </w:style>
  <w:style w:type="character" w:styleId="964" w:customStyle="1">
    <w:name w:val="标题 2 Char"/>
    <w:link w:val="952"/>
    <w:uiPriority w:val="0"/>
    <w:qFormat/>
    <w:rPr>
      <w:rFonts w:ascii="Arial" w:hAnsi="Arial" w:eastAsia="幼圆" w:cs="Arial"/>
      <w:b/>
      <w:bCs/>
      <w:sz w:val="44"/>
      <w:szCs w:val="44"/>
    </w:rPr>
  </w:style>
  <w:style w:type="character" w:styleId="965" w:customStyle="1">
    <w:name w:val="正文缩进 Char"/>
    <w:link w:val="953"/>
    <w:uiPriority w:val="0"/>
    <w:qFormat/>
    <w:rPr>
      <w:rFonts w:ascii="Times New Roman" w:hAnsi="Times New Roman" w:eastAsia="宋体" w:cs="Times New Roman"/>
      <w:szCs w:val="21"/>
    </w:rPr>
  </w:style>
  <w:style w:type="character" w:styleId="966" w:customStyle="1">
    <w:name w:val="标题 3 Char"/>
    <w:link w:val="954"/>
    <w:uiPriority w:val="0"/>
    <w:qFormat/>
    <w:rPr>
      <w:rFonts w:ascii="Times New Roman" w:hAnsi="Times New Roman" w:eastAsia="宋体" w:cs="Times New Roman"/>
      <w:b/>
      <w:bCs/>
      <w:sz w:val="32"/>
      <w:szCs w:val="32"/>
    </w:rPr>
  </w:style>
  <w:style w:type="character" w:styleId="967" w:customStyle="1">
    <w:name w:val="标题 4 Char"/>
    <w:link w:val="955"/>
    <w:uiPriority w:val="0"/>
    <w:qFormat/>
    <w:rPr>
      <w:rFonts w:ascii="Arial" w:hAnsi="Arial" w:eastAsia="黑体" w:cs="Arial"/>
      <w:b/>
      <w:bCs/>
      <w:sz w:val="28"/>
      <w:szCs w:val="28"/>
    </w:rPr>
  </w:style>
  <w:style w:type="character" w:styleId="968" w:customStyle="1">
    <w:name w:val="标题 5 Char"/>
    <w:link w:val="956"/>
    <w:uiPriority w:val="0"/>
    <w:qFormat/>
    <w:rPr>
      <w:rFonts w:ascii="宋体" w:hAnsi="Times New Roman" w:eastAsia="宋体" w:cs="Times New Roman"/>
      <w:color w:val="000000"/>
      <w:sz w:val="28"/>
      <w:szCs w:val="28"/>
    </w:rPr>
  </w:style>
  <w:style w:type="character" w:styleId="969" w:customStyle="1">
    <w:name w:val="标题 6 Char"/>
    <w:link w:val="957"/>
    <w:uiPriority w:val="0"/>
    <w:qFormat/>
    <w:rPr>
      <w:rFonts w:ascii="Arial" w:hAnsi="Arial" w:eastAsia="黑体" w:cs="Times New Roman"/>
      <w:b/>
      <w:bCs/>
      <w:sz w:val="24"/>
      <w:szCs w:val="24"/>
    </w:rPr>
  </w:style>
  <w:style w:type="character" w:styleId="970" w:customStyle="1">
    <w:name w:val="标题 7 Char"/>
    <w:link w:val="958"/>
    <w:uiPriority w:val="0"/>
    <w:qFormat/>
    <w:rPr>
      <w:rFonts w:ascii="Times New Roman" w:hAnsi="Times New Roman" w:eastAsia="宋体" w:cs="Times New Roman"/>
      <w:b/>
      <w:bCs/>
      <w:sz w:val="24"/>
      <w:szCs w:val="24"/>
    </w:rPr>
  </w:style>
  <w:style w:type="character" w:styleId="971" w:customStyle="1">
    <w:name w:val="标题 8 Char"/>
    <w:link w:val="959"/>
    <w:uiPriority w:val="0"/>
    <w:qFormat/>
    <w:rPr>
      <w:rFonts w:ascii="Arial" w:hAnsi="Arial" w:eastAsia="黑体" w:cs="Times New Roman"/>
      <w:sz w:val="24"/>
      <w:szCs w:val="24"/>
    </w:rPr>
  </w:style>
  <w:style w:type="character" w:styleId="972" w:customStyle="1">
    <w:name w:val="标题 9 Char"/>
    <w:link w:val="960"/>
    <w:uiPriority w:val="0"/>
    <w:qFormat/>
    <w:rPr>
      <w:rFonts w:ascii="Arial" w:hAnsi="Arial" w:eastAsia="黑体" w:cs="Times New Roman"/>
      <w:szCs w:val="21"/>
    </w:rPr>
  </w:style>
  <w:style w:type="paragraph" w:styleId="973" w:customStyle="1">
    <w:name w:val="列表 31"/>
    <w:basedOn w:val="740"/>
    <w:uiPriority w:val="0"/>
    <w:qFormat/>
    <w:pPr>
      <w:ind w:left="100" w:hanging="200"/>
    </w:pPr>
  </w:style>
  <w:style w:type="paragraph" w:styleId="974" w:customStyle="1">
    <w:name w:val="目录 71"/>
    <w:basedOn w:val="740"/>
    <w:next w:val="740"/>
    <w:uiPriority w:val="0"/>
    <w:semiHidden/>
    <w:qFormat/>
    <w:pPr>
      <w:ind w:left="1260"/>
      <w:jc w:val="left"/>
    </w:pPr>
  </w:style>
  <w:style w:type="paragraph" w:styleId="975" w:customStyle="1">
    <w:name w:val="文档结构图1"/>
    <w:basedOn w:val="740"/>
    <w:link w:val="976"/>
    <w:uiPriority w:val="0"/>
    <w:semiHidden/>
    <w:qFormat/>
    <w:pPr>
      <w:shd w:val="clear" w:color="auto" w:fill="000080"/>
    </w:pPr>
    <w:rPr>
      <w:sz w:val="20"/>
      <w:lang w:eastAsia="en-US"/>
    </w:rPr>
  </w:style>
  <w:style w:type="character" w:styleId="976" w:customStyle="1">
    <w:name w:val="文档结构图 Char"/>
    <w:link w:val="975"/>
    <w:uiPriority w:val="0"/>
    <w:semiHidden/>
    <w:qFormat/>
    <w:rPr>
      <w:rFonts w:ascii="Times New Roman" w:hAnsi="Times New Roman" w:eastAsia="宋体" w:cs="Times New Roman"/>
      <w:szCs w:val="21"/>
      <w:shd w:val="clear" w:color="auto" w:fill="000080"/>
    </w:rPr>
  </w:style>
  <w:style w:type="paragraph" w:styleId="977" w:customStyle="1">
    <w:name w:val="批注文字1"/>
    <w:basedOn w:val="740"/>
    <w:link w:val="978"/>
    <w:uiPriority w:val="0"/>
    <w:semiHidden/>
    <w:qFormat/>
    <w:pPr>
      <w:jc w:val="left"/>
    </w:pPr>
    <w:rPr>
      <w:sz w:val="20"/>
      <w:lang w:eastAsia="en-US"/>
    </w:rPr>
  </w:style>
  <w:style w:type="character" w:styleId="978" w:customStyle="1">
    <w:name w:val="批注文字 Char"/>
    <w:link w:val="977"/>
    <w:uiPriority w:val="0"/>
    <w:semiHidden/>
    <w:qFormat/>
    <w:rPr>
      <w:rFonts w:ascii="Times New Roman" w:hAnsi="Times New Roman" w:eastAsia="宋体" w:cs="Times New Roman"/>
      <w:szCs w:val="21"/>
    </w:rPr>
  </w:style>
  <w:style w:type="paragraph" w:styleId="979" w:customStyle="1">
    <w:name w:val="正文文本 31"/>
    <w:basedOn w:val="740"/>
    <w:link w:val="980"/>
    <w:uiPriority w:val="0"/>
    <w:qFormat/>
    <w:rPr>
      <w:rFonts w:ascii="仿宋_GB2312" w:hAnsi="Arial" w:eastAsia="仿宋_GB2312"/>
      <w:sz w:val="32"/>
      <w:szCs w:val="32"/>
      <w:lang w:eastAsia="en-US"/>
    </w:rPr>
  </w:style>
  <w:style w:type="character" w:styleId="980" w:customStyle="1">
    <w:name w:val="正文文本 3 Char"/>
    <w:link w:val="979"/>
    <w:uiPriority w:val="0"/>
    <w:qFormat/>
    <w:rPr>
      <w:rFonts w:ascii="仿宋_GB2312" w:hAnsi="Arial" w:eastAsia="仿宋_GB2312" w:cs="Times New Roman"/>
      <w:sz w:val="32"/>
      <w:szCs w:val="32"/>
    </w:rPr>
  </w:style>
  <w:style w:type="paragraph" w:styleId="981" w:customStyle="1">
    <w:name w:val="正文文本1"/>
    <w:basedOn w:val="740"/>
    <w:link w:val="982"/>
    <w:uiPriority w:val="0"/>
    <w:qFormat/>
    <w:rPr>
      <w:rFonts w:ascii="楷体_GB2312" w:hAnsi="Arial" w:eastAsia="楷体_GB2312"/>
      <w:sz w:val="28"/>
      <w:szCs w:val="28"/>
      <w:lang w:eastAsia="en-US"/>
    </w:rPr>
  </w:style>
  <w:style w:type="character" w:styleId="982" w:customStyle="1">
    <w:name w:val="正文文本 Char"/>
    <w:link w:val="981"/>
    <w:uiPriority w:val="0"/>
    <w:qFormat/>
    <w:rPr>
      <w:rFonts w:ascii="楷体_GB2312" w:hAnsi="Arial" w:eastAsia="楷体_GB2312" w:cs="Times New Roman"/>
      <w:sz w:val="28"/>
      <w:szCs w:val="28"/>
    </w:rPr>
  </w:style>
  <w:style w:type="paragraph" w:styleId="983" w:customStyle="1">
    <w:name w:val="正文文本缩进1"/>
    <w:basedOn w:val="740"/>
    <w:link w:val="984"/>
    <w:uiPriority w:val="0"/>
    <w:qFormat/>
    <w:pPr>
      <w:ind w:firstLine="645"/>
    </w:pPr>
    <w:rPr>
      <w:rFonts w:ascii="楷体_GB2312" w:eastAsia="楷体_GB2312"/>
      <w:sz w:val="32"/>
      <w:szCs w:val="32"/>
      <w:lang w:eastAsia="en-US"/>
    </w:rPr>
  </w:style>
  <w:style w:type="character" w:styleId="984" w:customStyle="1">
    <w:name w:val="正文文本缩进 Char"/>
    <w:link w:val="983"/>
    <w:uiPriority w:val="0"/>
    <w:qFormat/>
    <w:rPr>
      <w:rFonts w:ascii="楷体_GB2312" w:hAnsi="Times New Roman" w:eastAsia="楷体_GB2312" w:cs="Times New Roman"/>
      <w:sz w:val="32"/>
      <w:szCs w:val="32"/>
    </w:rPr>
  </w:style>
  <w:style w:type="paragraph" w:styleId="985" w:customStyle="1">
    <w:name w:val="列表 21"/>
    <w:basedOn w:val="740"/>
    <w:uiPriority w:val="0"/>
    <w:qFormat/>
    <w:pPr>
      <w:ind w:left="100" w:hanging="200"/>
    </w:pPr>
  </w:style>
  <w:style w:type="paragraph" w:styleId="986" w:customStyle="1">
    <w:name w:val="目录 51"/>
    <w:basedOn w:val="740"/>
    <w:next w:val="740"/>
    <w:uiPriority w:val="0"/>
    <w:semiHidden/>
    <w:qFormat/>
    <w:pPr>
      <w:ind w:left="840"/>
      <w:jc w:val="left"/>
    </w:pPr>
  </w:style>
  <w:style w:type="paragraph" w:styleId="987" w:customStyle="1">
    <w:name w:val="目录 31"/>
    <w:basedOn w:val="740"/>
    <w:next w:val="740"/>
    <w:uiPriority w:val="0"/>
    <w:semiHidden/>
    <w:qFormat/>
    <w:pPr>
      <w:ind w:left="420"/>
      <w:jc w:val="left"/>
    </w:pPr>
    <w:rPr>
      <w:i/>
      <w:iCs/>
      <w:szCs w:val="24"/>
    </w:rPr>
  </w:style>
  <w:style w:type="paragraph" w:styleId="988" w:customStyle="1">
    <w:name w:val="纯文本1"/>
    <w:basedOn w:val="740"/>
    <w:link w:val="989"/>
    <w:uiPriority w:val="0"/>
    <w:qFormat/>
    <w:rPr>
      <w:rFonts w:ascii="宋体" w:hAnsi="Courier New"/>
      <w:sz w:val="20"/>
      <w:lang w:eastAsia="en-US"/>
    </w:rPr>
  </w:style>
  <w:style w:type="character" w:styleId="989" w:customStyle="1">
    <w:name w:val="纯文本 Char"/>
    <w:link w:val="988"/>
    <w:uiPriority w:val="0"/>
    <w:qFormat/>
    <w:rPr>
      <w:rFonts w:ascii="宋体" w:hAnsi="Courier New" w:eastAsia="宋体" w:cs="Courier New"/>
      <w:szCs w:val="21"/>
    </w:rPr>
  </w:style>
  <w:style w:type="paragraph" w:styleId="990" w:customStyle="1">
    <w:name w:val="目录 81"/>
    <w:basedOn w:val="740"/>
    <w:next w:val="740"/>
    <w:uiPriority w:val="0"/>
    <w:semiHidden/>
    <w:qFormat/>
    <w:pPr>
      <w:ind w:left="1470"/>
      <w:jc w:val="left"/>
    </w:pPr>
  </w:style>
  <w:style w:type="paragraph" w:styleId="991" w:customStyle="1">
    <w:name w:val="日期1"/>
    <w:basedOn w:val="740"/>
    <w:next w:val="740"/>
    <w:link w:val="992"/>
    <w:uiPriority w:val="0"/>
    <w:qFormat/>
    <w:rPr>
      <w:sz w:val="24"/>
      <w:szCs w:val="24"/>
      <w:lang w:eastAsia="en-US"/>
    </w:rPr>
  </w:style>
  <w:style w:type="character" w:styleId="992" w:customStyle="1">
    <w:name w:val="日期 Char"/>
    <w:link w:val="991"/>
    <w:uiPriority w:val="0"/>
    <w:qFormat/>
    <w:rPr>
      <w:rFonts w:ascii="Times New Roman" w:hAnsi="Times New Roman" w:eastAsia="宋体" w:cs="Times New Roman"/>
      <w:sz w:val="24"/>
      <w:szCs w:val="24"/>
    </w:rPr>
  </w:style>
  <w:style w:type="paragraph" w:styleId="993" w:customStyle="1">
    <w:name w:val="正文文本缩进 21"/>
    <w:basedOn w:val="740"/>
    <w:link w:val="994"/>
    <w:uiPriority w:val="0"/>
    <w:qFormat/>
    <w:pPr>
      <w:ind w:left="630" w:firstLine="645"/>
    </w:pPr>
    <w:rPr>
      <w:rFonts w:ascii="Arial" w:hAnsi="Arial" w:eastAsia="仿宋_GB2312"/>
      <w:sz w:val="32"/>
      <w:szCs w:val="32"/>
      <w:lang w:eastAsia="en-US"/>
    </w:rPr>
  </w:style>
  <w:style w:type="character" w:styleId="994" w:customStyle="1">
    <w:name w:val="正文文本缩进 2 Char"/>
    <w:link w:val="993"/>
    <w:uiPriority w:val="0"/>
    <w:qFormat/>
    <w:rPr>
      <w:rFonts w:ascii="Arial" w:hAnsi="Arial" w:eastAsia="仿宋_GB2312" w:cs="Arial"/>
      <w:sz w:val="32"/>
      <w:szCs w:val="32"/>
    </w:rPr>
  </w:style>
  <w:style w:type="paragraph" w:styleId="995" w:customStyle="1">
    <w:name w:val="批注框文本1"/>
    <w:basedOn w:val="740"/>
    <w:link w:val="996"/>
    <w:uiPriority w:val="0"/>
    <w:qFormat/>
    <w:rPr>
      <w:sz w:val="18"/>
      <w:szCs w:val="18"/>
      <w:lang w:eastAsia="en-US"/>
    </w:rPr>
  </w:style>
  <w:style w:type="character" w:styleId="996" w:customStyle="1">
    <w:name w:val="批注框文本 Char"/>
    <w:link w:val="995"/>
    <w:uiPriority w:val="0"/>
    <w:qFormat/>
    <w:rPr>
      <w:rFonts w:ascii="Times New Roman" w:hAnsi="Times New Roman" w:eastAsia="宋体" w:cs="Times New Roman"/>
      <w:sz w:val="18"/>
      <w:szCs w:val="18"/>
    </w:rPr>
  </w:style>
  <w:style w:type="paragraph" w:styleId="997" w:customStyle="1">
    <w:name w:val="页脚1"/>
    <w:basedOn w:val="740"/>
    <w:link w:val="998"/>
    <w:uiPriority w:val="0"/>
    <w:qFormat/>
    <w:pPr>
      <w:jc w:val="left"/>
      <w:tabs>
        <w:tab w:val="center" w:pos="4153" w:leader="none"/>
        <w:tab w:val="right" w:pos="8306" w:leader="none"/>
      </w:tabs>
    </w:pPr>
    <w:rPr>
      <w:sz w:val="18"/>
      <w:szCs w:val="18"/>
      <w:lang w:eastAsia="en-US"/>
    </w:rPr>
  </w:style>
  <w:style w:type="character" w:styleId="998" w:customStyle="1">
    <w:name w:val="页脚 Char"/>
    <w:link w:val="997"/>
    <w:uiPriority w:val="0"/>
    <w:qFormat/>
    <w:rPr>
      <w:rFonts w:ascii="Times New Roman" w:hAnsi="Times New Roman" w:eastAsia="宋体" w:cs="Times New Roman"/>
      <w:sz w:val="18"/>
      <w:szCs w:val="18"/>
    </w:rPr>
  </w:style>
  <w:style w:type="paragraph" w:styleId="999" w:customStyle="1">
    <w:name w:val="页眉1"/>
    <w:basedOn w:val="740"/>
    <w:link w:val="1000"/>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00" w:customStyle="1">
    <w:name w:val="页眉 Char"/>
    <w:link w:val="999"/>
    <w:uiPriority w:val="0"/>
    <w:qFormat/>
    <w:rPr>
      <w:rFonts w:ascii="Times New Roman" w:hAnsi="Times New Roman" w:eastAsia="宋体" w:cs="Times New Roman"/>
      <w:sz w:val="18"/>
      <w:szCs w:val="18"/>
    </w:rPr>
  </w:style>
  <w:style w:type="paragraph" w:styleId="1001" w:customStyle="1">
    <w:name w:val="目录 11"/>
    <w:basedOn w:val="740"/>
    <w:next w:val="740"/>
    <w:uiPriority w:val="0"/>
    <w:semiHidden/>
    <w:qFormat/>
    <w:pPr>
      <w:jc w:val="left"/>
      <w:spacing w:before="120" w:after="120" w:line="400" w:lineRule="exact"/>
      <w:tabs>
        <w:tab w:val="right" w:pos="8720" w:leader="dot"/>
      </w:tabs>
    </w:pPr>
    <w:rPr>
      <w:rFonts w:ascii="宋体" w:hAnsi="宋体"/>
      <w:caps/>
      <w:sz w:val="24"/>
      <w:szCs w:val="24"/>
    </w:rPr>
  </w:style>
  <w:style w:type="paragraph" w:styleId="1002" w:customStyle="1">
    <w:name w:val="目录 41"/>
    <w:basedOn w:val="740"/>
    <w:next w:val="740"/>
    <w:uiPriority w:val="0"/>
    <w:semiHidden/>
    <w:qFormat/>
    <w:pPr>
      <w:ind w:left="630"/>
      <w:jc w:val="left"/>
    </w:pPr>
  </w:style>
  <w:style w:type="paragraph" w:styleId="1003" w:customStyle="1">
    <w:name w:val="列表1"/>
    <w:basedOn w:val="740"/>
    <w:uiPriority w:val="0"/>
    <w:qFormat/>
    <w:pPr>
      <w:ind w:left="200" w:hanging="200"/>
    </w:pPr>
  </w:style>
  <w:style w:type="paragraph" w:styleId="1004" w:customStyle="1">
    <w:name w:val="目录 61"/>
    <w:basedOn w:val="740"/>
    <w:next w:val="740"/>
    <w:uiPriority w:val="0"/>
    <w:semiHidden/>
    <w:qFormat/>
    <w:pPr>
      <w:ind w:left="1050"/>
      <w:jc w:val="left"/>
    </w:pPr>
  </w:style>
  <w:style w:type="paragraph" w:styleId="1005" w:customStyle="1">
    <w:name w:val="正文文本缩进 31"/>
    <w:basedOn w:val="740"/>
    <w:link w:val="1006"/>
    <w:uiPriority w:val="0"/>
    <w:qFormat/>
    <w:pPr>
      <w:ind w:left="645" w:firstLine="645"/>
    </w:pPr>
    <w:rPr>
      <w:rFonts w:ascii="Arial" w:hAnsi="Arial" w:eastAsia="仿宋_GB2312"/>
      <w:color w:val="ffff00"/>
      <w:sz w:val="32"/>
      <w:szCs w:val="32"/>
      <w:lang w:eastAsia="en-US"/>
    </w:rPr>
  </w:style>
  <w:style w:type="character" w:styleId="1006" w:customStyle="1">
    <w:name w:val="正文文本缩进 3 Char"/>
    <w:link w:val="1005"/>
    <w:uiPriority w:val="0"/>
    <w:qFormat/>
    <w:rPr>
      <w:rFonts w:ascii="Arial" w:hAnsi="Arial" w:eastAsia="仿宋_GB2312" w:cs="Arial"/>
      <w:color w:val="ffff00"/>
      <w:sz w:val="32"/>
      <w:szCs w:val="32"/>
    </w:rPr>
  </w:style>
  <w:style w:type="paragraph" w:styleId="1007" w:customStyle="1">
    <w:name w:val="图表目录1"/>
    <w:basedOn w:val="740"/>
    <w:next w:val="740"/>
    <w:uiPriority w:val="0"/>
    <w:semiHidden/>
    <w:qFormat/>
    <w:pPr>
      <w:ind w:left="840" w:hanging="420"/>
    </w:pPr>
  </w:style>
  <w:style w:type="paragraph" w:styleId="1008" w:customStyle="1">
    <w:name w:val="目录 21"/>
    <w:basedOn w:val="740"/>
    <w:next w:val="740"/>
    <w:uiPriority w:val="0"/>
    <w:semiHidden/>
    <w:qFormat/>
    <w:pPr>
      <w:ind w:left="210"/>
      <w:jc w:val="left"/>
    </w:pPr>
    <w:rPr>
      <w:smallCaps/>
      <w:szCs w:val="24"/>
    </w:rPr>
  </w:style>
  <w:style w:type="paragraph" w:styleId="1009" w:customStyle="1">
    <w:name w:val="目录 91"/>
    <w:basedOn w:val="740"/>
    <w:next w:val="740"/>
    <w:uiPriority w:val="0"/>
    <w:semiHidden/>
    <w:qFormat/>
    <w:pPr>
      <w:ind w:left="1680"/>
      <w:jc w:val="left"/>
    </w:pPr>
  </w:style>
  <w:style w:type="paragraph" w:styleId="1010" w:customStyle="1">
    <w:name w:val="正文文本 21"/>
    <w:basedOn w:val="740"/>
    <w:link w:val="1011"/>
    <w:uiPriority w:val="0"/>
    <w:qFormat/>
    <w:pPr>
      <w:jc w:val="center"/>
      <w:widowControl/>
    </w:pPr>
    <w:rPr>
      <w:rFonts w:ascii="楷体_GB2312" w:eastAsia="楷体_GB2312"/>
      <w:sz w:val="28"/>
      <w:szCs w:val="28"/>
      <w:lang w:eastAsia="en-US"/>
    </w:rPr>
  </w:style>
  <w:style w:type="character" w:styleId="1011" w:customStyle="1">
    <w:name w:val="正文文本 2 Char"/>
    <w:link w:val="1010"/>
    <w:uiPriority w:val="0"/>
    <w:qFormat/>
    <w:rPr>
      <w:rFonts w:ascii="楷体_GB2312" w:hAnsi="Times New Roman" w:eastAsia="楷体_GB2312" w:cs="Times New Roman"/>
      <w:sz w:val="28"/>
      <w:szCs w:val="28"/>
    </w:rPr>
  </w:style>
  <w:style w:type="paragraph" w:styleId="1012" w:customStyle="1">
    <w:name w:val="普通(网站)1"/>
    <w:basedOn w:val="740"/>
    <w:uiPriority w:val="99"/>
    <w:qFormat/>
    <w:pPr>
      <w:jc w:val="left"/>
      <w:spacing w:before="100" w:beforeAutospacing="1" w:after="100" w:afterAutospacing="1"/>
      <w:widowControl/>
    </w:pPr>
    <w:rPr>
      <w:rFonts w:ascii="宋体" w:hAnsi="宋体" w:cs="宋体"/>
      <w:sz w:val="24"/>
      <w:szCs w:val="24"/>
    </w:rPr>
  </w:style>
  <w:style w:type="paragraph" w:styleId="1013" w:customStyle="1">
    <w:name w:val="索引 11"/>
    <w:basedOn w:val="740"/>
    <w:next w:val="740"/>
    <w:uiPriority w:val="0"/>
    <w:semiHidden/>
    <w:qFormat/>
    <w:pPr>
      <w:spacing w:line="240" w:lineRule="atLeast"/>
    </w:pPr>
    <w:rPr>
      <w:b/>
      <w:bCs/>
    </w:rPr>
  </w:style>
  <w:style w:type="paragraph" w:styleId="1014" w:customStyle="1">
    <w:name w:val="批注主题1"/>
    <w:basedOn w:val="977"/>
    <w:next w:val="977"/>
    <w:link w:val="1015"/>
    <w:uiPriority w:val="0"/>
    <w:semiHidden/>
    <w:qFormat/>
    <w:rPr>
      <w:b/>
      <w:bCs/>
    </w:rPr>
  </w:style>
  <w:style w:type="character" w:styleId="1015" w:customStyle="1">
    <w:name w:val="批注主题 Char"/>
    <w:link w:val="1014"/>
    <w:uiPriority w:val="0"/>
    <w:semiHidden/>
    <w:qFormat/>
    <w:rPr>
      <w:rFonts w:ascii="Times New Roman" w:hAnsi="Times New Roman" w:eastAsia="宋体" w:cs="Times New Roman"/>
      <w:b/>
      <w:bCs/>
      <w:szCs w:val="21"/>
    </w:rPr>
  </w:style>
  <w:style w:type="paragraph" w:styleId="1016" w:customStyle="1">
    <w:name w:val="正文首行缩进1"/>
    <w:basedOn w:val="740"/>
    <w:link w:val="1017"/>
    <w:uiPriority w:val="0"/>
    <w:qFormat/>
    <w:pPr>
      <w:ind w:firstLine="200"/>
      <w:spacing w:line="360" w:lineRule="auto"/>
    </w:pPr>
    <w:rPr>
      <w:rFonts w:ascii="仿宋_GB2312" w:eastAsia="仿宋_GB2312"/>
      <w:sz w:val="30"/>
      <w:szCs w:val="30"/>
      <w:lang w:eastAsia="en-US"/>
    </w:rPr>
  </w:style>
  <w:style w:type="character" w:styleId="1017" w:customStyle="1">
    <w:name w:val="正文首行缩进 Char"/>
    <w:link w:val="1016"/>
    <w:uiPriority w:val="0"/>
    <w:qFormat/>
    <w:rPr>
      <w:rFonts w:ascii="仿宋_GB2312" w:hAnsi="Times New Roman" w:eastAsia="仿宋_GB2312" w:cs="Times New Roman"/>
      <w:sz w:val="30"/>
      <w:szCs w:val="30"/>
    </w:rPr>
  </w:style>
  <w:style w:type="paragraph" w:styleId="1018" w:customStyle="1">
    <w:name w:val="正文首行缩进 21"/>
    <w:basedOn w:val="983"/>
    <w:link w:val="1019"/>
    <w:uiPriority w:val="0"/>
    <w:qFormat/>
    <w:pPr>
      <w:ind w:firstLine="420"/>
      <w:spacing w:line="360" w:lineRule="auto"/>
    </w:pPr>
    <w:rPr>
      <w:rFonts w:ascii="宋体" w:hAnsi="宋体" w:eastAsia="宋体"/>
      <w:szCs w:val="20"/>
    </w:rPr>
  </w:style>
  <w:style w:type="character" w:styleId="1019" w:customStyle="1">
    <w:name w:val="正文首行缩进 2 Char"/>
    <w:link w:val="1018"/>
    <w:uiPriority w:val="0"/>
    <w:qFormat/>
    <w:rPr>
      <w:rFonts w:ascii="宋体" w:hAnsi="宋体" w:eastAsia="宋体" w:cs="Times New Roman"/>
      <w:sz w:val="32"/>
      <w:szCs w:val="20"/>
    </w:rPr>
  </w:style>
  <w:style w:type="table" w:styleId="1020" w:customStyle="1">
    <w:name w:val="网格型1"/>
    <w:basedOn w:val="962"/>
    <w:uiPriority w:val="0"/>
    <w:qFormat/>
    <w:pPr>
      <w:jc w:val="both"/>
      <w:widowControl w:val="off"/>
    </w:pPr>
    <w:tblPr/>
  </w:style>
  <w:style w:type="character" w:styleId="1021" w:customStyle="1">
    <w:name w:val="要点1"/>
    <w:uiPriority w:val="0"/>
    <w:qFormat/>
    <w:rPr>
      <w:b/>
      <w:bCs/>
    </w:rPr>
  </w:style>
  <w:style w:type="character" w:styleId="1022" w:customStyle="1">
    <w:name w:val="页码1"/>
    <w:uiPriority w:val="0"/>
    <w:qFormat/>
  </w:style>
  <w:style w:type="character" w:styleId="1023" w:customStyle="1">
    <w:name w:val="已访问的超链接1"/>
    <w:uiPriority w:val="0"/>
    <w:qFormat/>
    <w:rPr>
      <w:color w:val="800080"/>
      <w:u w:val="single"/>
    </w:rPr>
  </w:style>
  <w:style w:type="character" w:styleId="1024" w:customStyle="1">
    <w:name w:val="HTML 打字机1"/>
    <w:uiPriority w:val="99"/>
    <w:qFormat/>
    <w:rPr>
      <w:rFonts w:ascii="宋体" w:hAnsi="宋体" w:eastAsia="宋体" w:cs="宋体"/>
      <w:sz w:val="24"/>
      <w:szCs w:val="24"/>
    </w:rPr>
  </w:style>
  <w:style w:type="character" w:styleId="1025" w:customStyle="1">
    <w:name w:val="超链接1"/>
    <w:uiPriority w:val="0"/>
    <w:qFormat/>
    <w:rPr>
      <w:color w:val="0000ff"/>
      <w:u w:val="single"/>
    </w:rPr>
  </w:style>
  <w:style w:type="character" w:styleId="1026"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27" w:customStyle="1">
    <w:name w:val="font5 Char"/>
    <w:uiPriority w:val="0"/>
    <w:qFormat/>
    <w:rPr>
      <w:rFonts w:ascii="宋体" w:hAnsi="宋体" w:eastAsia="宋体"/>
      <w:sz w:val="28"/>
      <w:szCs w:val="28"/>
      <w:lang w:val="en-US" w:eastAsia="zh-CN" w:bidi="ar-SA"/>
    </w:rPr>
  </w:style>
  <w:style w:type="character" w:styleId="1028" w:customStyle="1">
    <w:name w:val="二级目录 Char"/>
    <w:link w:val="1029"/>
    <w:uiPriority w:val="0"/>
    <w:qFormat/>
    <w:rPr>
      <w:rFonts w:ascii="Calibri" w:hAnsi="Calibri"/>
      <w:b/>
      <w:sz w:val="30"/>
      <w:szCs w:val="28"/>
    </w:rPr>
  </w:style>
  <w:style w:type="paragraph" w:styleId="1029" w:customStyle="1">
    <w:name w:val="二级目录"/>
    <w:next w:val="740"/>
    <w:link w:val="1028"/>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30" w:customStyle="1">
    <w:name w:val="列出段落 Char"/>
    <w:link w:val="1031"/>
    <w:uiPriority w:val="0"/>
    <w:qFormat/>
    <w:rPr>
      <w:rFonts w:ascii="Calibri" w:hAnsi="Calibri"/>
      <w:sz w:val="24"/>
      <w:szCs w:val="24"/>
      <w:lang w:eastAsia="en-US" w:bidi="en-US"/>
    </w:rPr>
  </w:style>
  <w:style w:type="paragraph" w:styleId="1031" w:customStyle="1">
    <w:name w:val="列出段落1"/>
    <w:basedOn w:val="740"/>
    <w:link w:val="1030"/>
    <w:uiPriority w:val="0"/>
    <w:qFormat/>
    <w:pPr>
      <w:contextualSpacing/>
      <w:ind w:left="720"/>
      <w:jc w:val="left"/>
      <w:widowControl/>
    </w:pPr>
    <w:rPr>
      <w:rFonts w:ascii="Calibri" w:hAnsi="Calibri"/>
      <w:sz w:val="24"/>
      <w:szCs w:val="24"/>
      <w:lang w:eastAsia="en-US" w:bidi="en-US"/>
    </w:rPr>
  </w:style>
  <w:style w:type="paragraph" w:styleId="1032" w:customStyle="1">
    <w:name w:val="Body Text(ch)"/>
    <w:basedOn w:val="740"/>
    <w:next w:val="981"/>
    <w:uiPriority w:val="0"/>
    <w:qFormat/>
    <w:pPr>
      <w:spacing w:after="120"/>
    </w:pPr>
    <w:rPr>
      <w:rFonts w:ascii="宋体" w:hAnsi="Arial"/>
      <w:bCs/>
      <w:iCs/>
      <w:szCs w:val="24"/>
    </w:rPr>
  </w:style>
  <w:style w:type="paragraph" w:styleId="1033" w:customStyle="1">
    <w:name w:val="xl27"/>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4" w:customStyle="1">
    <w:name w:val="xl26"/>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5" w:customStyle="1">
    <w:name w:val="Char"/>
    <w:basedOn w:val="740"/>
    <w:uiPriority w:val="0"/>
    <w:qFormat/>
    <w:pPr>
      <w:ind w:firstLine="200"/>
      <w:tabs>
        <w:tab w:val="left" w:pos="360" w:leader="none"/>
      </w:tabs>
    </w:pPr>
    <w:rPr>
      <w:sz w:val="28"/>
      <w:szCs w:val="30"/>
    </w:rPr>
  </w:style>
  <w:style w:type="paragraph" w:styleId="1036" w:customStyle="1">
    <w:name w:val="Char1"/>
    <w:basedOn w:val="975"/>
    <w:uiPriority w:val="0"/>
    <w:qFormat/>
    <w:rPr>
      <w:rFonts w:ascii="Tahoma" w:hAnsi="Tahoma"/>
      <w:sz w:val="24"/>
      <w:szCs w:val="24"/>
    </w:rPr>
  </w:style>
  <w:style w:type="paragraph" w:styleId="1037" w:customStyle="1">
    <w:name w:val="普通正文"/>
    <w:basedOn w:val="740"/>
    <w:uiPriority w:val="0"/>
    <w:qFormat/>
    <w:pPr>
      <w:ind w:firstLine="480"/>
      <w:jc w:val="left"/>
      <w:spacing w:before="120" w:after="120" w:line="360" w:lineRule="auto"/>
    </w:pPr>
    <w:rPr>
      <w:rFonts w:ascii="Arial" w:hAnsi="Arial"/>
      <w:sz w:val="24"/>
      <w:szCs w:val="24"/>
    </w:rPr>
  </w:style>
  <w:style w:type="paragraph" w:styleId="1038" w:customStyle="1">
    <w:name w:val="table_lines"/>
    <w:basedOn w:val="740"/>
    <w:uiPriority w:val="0"/>
    <w:qFormat/>
    <w:pPr>
      <w:jc w:val="left"/>
      <w:widowControl/>
    </w:pPr>
    <w:rPr>
      <w:sz w:val="20"/>
      <w:szCs w:val="20"/>
      <w:lang w:val="de-DE" w:eastAsia="de-DE"/>
    </w:rPr>
  </w:style>
  <w:style w:type="paragraph" w:styleId="103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40" w:customStyle="1">
    <w:name w:val="font7"/>
    <w:basedOn w:val="740"/>
    <w:uiPriority w:val="0"/>
    <w:qFormat/>
    <w:pPr>
      <w:jc w:val="left"/>
      <w:spacing w:before="100" w:beforeAutospacing="1" w:after="100" w:afterAutospacing="1"/>
      <w:widowControl/>
    </w:pPr>
    <w:rPr>
      <w:rFonts w:hint="eastAsia" w:ascii="宋体" w:hAnsi="宋体"/>
      <w:sz w:val="18"/>
      <w:szCs w:val="18"/>
    </w:rPr>
  </w:style>
  <w:style w:type="paragraph" w:styleId="1041" w:customStyle="1">
    <w:name w:val="Char Char Char Char"/>
    <w:basedOn w:val="975"/>
    <w:uiPriority w:val="0"/>
    <w:qFormat/>
    <w:pPr>
      <w:spacing w:line="360" w:lineRule="auto"/>
    </w:pPr>
    <w:rPr>
      <w:rFonts w:ascii="Tahoma" w:hAnsi="Tahoma"/>
      <w:sz w:val="24"/>
      <w:szCs w:val="24"/>
    </w:rPr>
  </w:style>
  <w:style w:type="paragraph" w:styleId="1042" w:customStyle="1">
    <w:name w:val="列出段落2"/>
    <w:basedOn w:val="740"/>
    <w:uiPriority w:val="99"/>
    <w:qFormat/>
    <w:pPr>
      <w:contextualSpacing/>
      <w:ind w:left="720"/>
      <w:jc w:val="left"/>
      <w:widowControl/>
    </w:pPr>
    <w:rPr>
      <w:rFonts w:ascii="Calibri" w:hAnsi="Calibri"/>
      <w:sz w:val="24"/>
      <w:szCs w:val="24"/>
      <w:lang w:eastAsia="en-US" w:bidi="en-US"/>
    </w:rPr>
  </w:style>
  <w:style w:type="paragraph" w:styleId="1043" w:customStyle="1">
    <w:name w:val="4"/>
    <w:basedOn w:val="740"/>
    <w:next w:val="1005"/>
    <w:uiPriority w:val="0"/>
    <w:qFormat/>
    <w:pPr>
      <w:ind w:firstLine="420"/>
      <w:spacing w:line="360" w:lineRule="auto"/>
    </w:pPr>
    <w:rPr>
      <w:color w:val="ff0000"/>
      <w:sz w:val="24"/>
      <w:szCs w:val="24"/>
    </w:rPr>
  </w:style>
  <w:style w:type="paragraph" w:styleId="1044" w:customStyle="1">
    <w:name w:val="普通 (Web)"/>
    <w:basedOn w:val="740"/>
    <w:uiPriority w:val="0"/>
    <w:qFormat/>
    <w:pPr>
      <w:jc w:val="left"/>
      <w:spacing w:before="100" w:beforeAutospacing="1" w:after="100" w:afterAutospacing="1"/>
      <w:widowControl/>
    </w:pPr>
    <w:rPr>
      <w:rFonts w:ascii="宋体" w:hAnsi="宋体"/>
      <w:sz w:val="24"/>
      <w:szCs w:val="24"/>
    </w:rPr>
  </w:style>
  <w:style w:type="paragraph" w:styleId="1045" w:customStyle="1">
    <w:name w:val="Char Char Char Char Char Char Char Char Char Char"/>
    <w:basedOn w:val="740"/>
    <w:uiPriority w:val="0"/>
    <w:qFormat/>
    <w:pPr>
      <w:spacing w:line="360" w:lineRule="auto"/>
    </w:pPr>
    <w:rPr>
      <w:sz w:val="24"/>
      <w:szCs w:val="20"/>
    </w:rPr>
  </w:style>
  <w:style w:type="paragraph" w:styleId="1046" w:customStyle="1">
    <w:name w:val="样式1"/>
    <w:basedOn w:val="740"/>
    <w:uiPriority w:val="0"/>
    <w:qFormat/>
    <w:pPr>
      <w:numPr>
        <w:ilvl w:val="0"/>
        <w:numId w:val="3"/>
      </w:numPr>
    </w:pPr>
    <w:rPr>
      <w:rFonts w:ascii="宋体" w:hAnsi="宋体"/>
    </w:rPr>
  </w:style>
  <w:style w:type="paragraph" w:styleId="1047" w:customStyle="1">
    <w:name w:val="font6"/>
    <w:basedOn w:val="740"/>
    <w:uiPriority w:val="0"/>
    <w:qFormat/>
    <w:pPr>
      <w:jc w:val="left"/>
      <w:spacing w:before="100" w:beforeAutospacing="1" w:after="100" w:afterAutospacing="1"/>
      <w:widowControl/>
    </w:pPr>
    <w:rPr>
      <w:rFonts w:hint="eastAsia" w:ascii="宋体" w:hAnsi="宋体"/>
      <w:sz w:val="28"/>
      <w:szCs w:val="28"/>
      <w:u w:val="single"/>
    </w:rPr>
  </w:style>
  <w:style w:type="paragraph" w:styleId="1048" w:customStyle="1">
    <w:name w:val="xl25"/>
    <w:basedOn w:val="74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9" w:customStyle="1">
    <w:name w:val="图标"/>
    <w:basedOn w:val="740"/>
    <w:next w:val="74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0" w:customStyle="1">
    <w:name w:val="标题3"/>
    <w:basedOn w:val="740"/>
    <w:next w:val="740"/>
    <w:uiPriority w:val="0"/>
    <w:qFormat/>
    <w:pPr>
      <w:ind w:firstLine="624"/>
      <w:spacing w:line="590" w:lineRule="atLeast"/>
    </w:pPr>
    <w:rPr>
      <w:rFonts w:ascii="方正黑体_GBK" w:eastAsia="方正黑体_GBK"/>
      <w:sz w:val="32"/>
      <w:szCs w:val="32"/>
    </w:rPr>
  </w:style>
  <w:style w:type="paragraph" w:styleId="1051" w:customStyle="1">
    <w:name w:val="xl24"/>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2" w:customStyle="1">
    <w:name w:val="xl29"/>
    <w:basedOn w:val="74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3" w:customStyle="1">
    <w:name w:val="Char Char Char Char Char Char Char Char"/>
    <w:basedOn w:val="740"/>
    <w:uiPriority w:val="0"/>
    <w:qFormat/>
    <w:pPr>
      <w:jc w:val="left"/>
      <w:spacing w:after="160" w:line="240" w:lineRule="exact"/>
      <w:widowControl/>
    </w:pPr>
    <w:rPr>
      <w:rFonts w:ascii="Verdana" w:hAnsi="Verdana"/>
      <w:sz w:val="20"/>
      <w:szCs w:val="20"/>
      <w:lang w:eastAsia="en-US"/>
    </w:rPr>
  </w:style>
  <w:style w:type="paragraph" w:styleId="1054" w:customStyle="1">
    <w:name w:val="xl28"/>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5" w:customStyle="1">
    <w:name w:val="Char Char Char Char Char Char Char Char1"/>
    <w:basedOn w:val="740"/>
    <w:uiPriority w:val="0"/>
    <w:qFormat/>
    <w:pPr>
      <w:jc w:val="left"/>
      <w:spacing w:after="160" w:line="240" w:lineRule="exact"/>
      <w:widowControl/>
    </w:pPr>
    <w:rPr>
      <w:rFonts w:ascii="Verdana" w:hAnsi="Verdana"/>
      <w:sz w:val="20"/>
      <w:szCs w:val="20"/>
      <w:lang w:eastAsia="en-US"/>
    </w:rPr>
  </w:style>
  <w:style w:type="paragraph" w:styleId="1056" w:customStyle="1">
    <w:name w:val="xl30"/>
    <w:basedOn w:val="740"/>
    <w:uiPriority w:val="0"/>
    <w:qFormat/>
    <w:pPr>
      <w:jc w:val="center"/>
      <w:spacing w:before="100" w:beforeAutospacing="1" w:after="100" w:afterAutospacing="1"/>
      <w:widowControl/>
    </w:pPr>
    <w:rPr>
      <w:rFonts w:ascii="宋体" w:hAnsi="宋体"/>
      <w:b/>
      <w:bCs/>
      <w:sz w:val="36"/>
      <w:szCs w:val="36"/>
    </w:rPr>
  </w:style>
  <w:style w:type="paragraph" w:styleId="1057" w:customStyle="1">
    <w:name w:val="Char Char Char Char1"/>
    <w:basedOn w:val="975"/>
    <w:uiPriority w:val="0"/>
    <w:qFormat/>
    <w:pPr>
      <w:spacing w:line="360" w:lineRule="auto"/>
    </w:pPr>
    <w:rPr>
      <w:rFonts w:ascii="Tahoma" w:hAnsi="Tahoma"/>
      <w:sz w:val="24"/>
      <w:szCs w:val="24"/>
    </w:rPr>
  </w:style>
  <w:style w:type="paragraph" w:styleId="1058" w:customStyle="1">
    <w:name w:val="table_1stline"/>
    <w:basedOn w:val="740"/>
    <w:uiPriority w:val="0"/>
    <w:qFormat/>
    <w:pPr>
      <w:jc w:val="left"/>
      <w:spacing w:before="120"/>
      <w:widowControl/>
    </w:pPr>
    <w:rPr>
      <w:bCs/>
      <w:sz w:val="20"/>
      <w:szCs w:val="20"/>
      <w:lang w:val="de-DE" w:eastAsia="de-DE"/>
    </w:rPr>
  </w:style>
  <w:style w:type="paragraph" w:styleId="1059" w:customStyle="1">
    <w:name w:val="font5"/>
    <w:basedOn w:val="740"/>
    <w:uiPriority w:val="0"/>
    <w:qFormat/>
    <w:pPr>
      <w:jc w:val="left"/>
      <w:spacing w:before="100" w:beforeAutospacing="1" w:after="100" w:afterAutospacing="1"/>
      <w:widowControl/>
    </w:pPr>
    <w:rPr>
      <w:rFonts w:hint="eastAsia" w:ascii="宋体" w:hAnsi="宋体"/>
      <w:sz w:val="28"/>
      <w:szCs w:val="28"/>
    </w:rPr>
  </w:style>
  <w:style w:type="paragraph" w:styleId="1060" w:customStyle="1">
    <w:name w:val="标题1"/>
    <w:basedOn w:val="740"/>
    <w:next w:val="74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1" w:customStyle="1">
    <w:name w:val="修订1"/>
    <w:uiPriority w:val="99"/>
    <w:semiHidden/>
    <w:qFormat/>
    <w:rPr>
      <w:rFonts w:ascii="Times New Roman" w:hAnsi="Times New Roman" w:eastAsia="宋体" w:cs="Times New Roman"/>
      <w:sz w:val="21"/>
      <w:szCs w:val="21"/>
      <w:lang w:val="en-US" w:eastAsia="zh-CN" w:bidi="ar-SA"/>
    </w:rPr>
  </w:style>
  <w:style w:type="paragraph" w:styleId="1062"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63" w:customStyle="1">
    <w:name w:val="普通文字"/>
    <w:basedOn w:val="740"/>
    <w:next w:val="740"/>
    <w:uiPriority w:val="99"/>
    <w:qFormat/>
    <w:rPr>
      <w:rFonts w:ascii="宋体"/>
      <w:sz w:val="24"/>
      <w:szCs w:val="20"/>
    </w:rPr>
  </w:style>
  <w:style w:type="paragraph" w:styleId="1064" w:customStyle="1">
    <w:name w:val="目录 111"/>
    <w:basedOn w:val="740"/>
    <w:next w:val="740"/>
    <w:uiPriority w:val="39"/>
    <w:unhideWhenUsed/>
    <w:qFormat/>
    <w:pPr>
      <w:jc w:val="left"/>
      <w:spacing w:after="100" w:line="259" w:lineRule="auto"/>
      <w:widowControl/>
    </w:pPr>
    <w:rPr>
      <w:rFonts w:ascii="Calibri" w:hAnsi="Calibri"/>
      <w:sz w:val="22"/>
      <w:szCs w:val="22"/>
    </w:rPr>
  </w:style>
  <w:style w:type="character" w:styleId="1065" w:customStyle="1">
    <w:name w:val="正文文本缩进 字符"/>
    <w:basedOn w:val="750"/>
    <w:link w:val="756"/>
    <w:uiPriority w:val="99"/>
    <w:qFormat/>
  </w:style>
  <w:style w:type="character" w:styleId="1066" w:customStyle="1">
    <w:name w:val="正文文本首行缩进 2 字符"/>
    <w:basedOn w:val="1065"/>
    <w:link w:val="777"/>
    <w:uiPriority w:val="99"/>
    <w:qFormat/>
    <w:rPr>
      <w:sz w:val="21"/>
      <w:szCs w:val="21"/>
    </w:r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52084f10-1842-46bd-89a5-366ed59d3a23</errorID>
      <errorWord>上午00:00</errorWord>
      <group>L1_Knowledge</group>
      <groupName>知识性问题</groupName>
      <ability>L2_Time</ability>
      <abilityName>日期时间</abilityName>
      <candidateList/>
      <explain>时间与前缀不匹配，可能的时间前缀有“下午、晚上、凌晨、午夜”。</explain>
      <paraID>304AD2B6</paraID>
      <start>44</start>
      <end>51</end>
      <status>unmodified</status>
      <modifiedWord/>
      <trackRevisions>false</trackRevisions>
    </reviewItem>
    <reviewItem>
      <errorID>bbb3dbe3-0390-4fdf-b122-723a0e714ca8</errorID>
      <errorWord>-</errorWord>
      <group>L1_Format</group>
      <groupName>格式问题</groupName>
      <ability>L2_HalfPunc</ability>
      <abilityName>全半角检查</abilityName>
      <candidateList>
        <item>－</item>
      </candidateList>
      <explain>文本全半角错误。</explain>
      <paraID>4C888A15</paraID>
      <start>82</start>
      <end>83</end>
      <status>unmodified</status>
      <modifiedWord/>
      <trackRevisions>false</trackRevisions>
    </reviewItem>
    <reviewItem>
      <errorID>1eeae497-1791-474d-b925-b217bcada0ce</errorID>
      <errorWord>-</errorWord>
      <group>L1_Format</group>
      <groupName>格式问题</groupName>
      <ability>L2_HalfPunc</ability>
      <abilityName>全半角检查</abilityName>
      <candidateList>
        <item>－</item>
      </candidateList>
      <explain>文本全半角错误。</explain>
      <paraID>4C888A15</paraID>
      <start>83</start>
      <end>84</end>
      <status>unmodified</status>
      <modifiedWord/>
      <trackRevisions>false</trackRevisions>
    </reviewItem>
    <reviewItem>
      <errorID>47980f88-970c-4e78-9ba4-a26e0ea6bc31</errorID>
      <errorWord>-</errorWord>
      <group>L1_Format</group>
      <groupName>格式问题</groupName>
      <ability>L2_HalfPunc</ability>
      <abilityName>全半角检查</abilityName>
      <candidateList>
        <item>－</item>
      </candidateList>
      <explain>文本全半角错误。</explain>
      <paraID>4C888A15</paraID>
      <start>89</start>
      <end>90</end>
      <status>unmodified</status>
      <modifiedWord/>
      <trackRevisions>false</trackRevisions>
    </reviewItem>
    <reviewItem>
      <errorID>e83fbd6a-53a9-4b8a-babc-62f9c6f0e440</errorID>
      <errorWord>-</errorWord>
      <group>L1_Format</group>
      <groupName>格式问题</groupName>
      <ability>L2_HalfPunc</ability>
      <abilityName>全半角检查</abilityName>
      <candidateList>
        <item>－</item>
      </candidateList>
      <explain>文本全半角错误。</explain>
      <paraID>4C888A15</paraID>
      <start>90</start>
      <end>91</end>
      <status>unmodified</status>
      <modifiedWord/>
      <trackRevisions>false</trackRevisions>
    </reviewItem>
    <reviewItem>
      <errorID>70bba62b-ce38-4b35-85b5-5681129822e4</errorID>
      <errorWord>“.</errorWord>
      <group>L1_Punc</group>
      <groupName>标点问题</groupName>
      <ability>L2_Punc</ability>
      <abilityName>标点符号检查</abilityName>
      <candidateList>
        <item>“</item>
      </candidateList>
      <explain/>
      <paraID>4C8551E4</paraID>
      <start>145</start>
      <end>147</end>
      <status>unmodified</status>
      <modifiedWord/>
      <trackRevisions>false</trackRevisions>
    </reviewItem>
    <reviewItem>
      <errorID>9d71ce0f-3bc1-4542-852b-4c3979d43579</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662A37E9</paraID>
      <start>153</start>
      <end>156</end>
      <status>unmodified</status>
      <modifiedWord/>
      <trackRevisions>false</trackRevisions>
    </reviewItem>
    <reviewItem>
      <errorID>88a1ff4b-7706-48b7-98dd-9409e711e172</errorID>
      <errorWord>其及</errorWord>
      <group>L1_Word</group>
      <groupName>字词问题</groupName>
      <ability>L2_Typo</ability>
      <abilityName>字词错误</abilityName>
      <candidateList>
        <item>其</item>
      </candidateList>
      <explain>词缀：极～｜尤～｜如～。</explain>
      <paraID>485384A0</paraID>
      <start>40</start>
      <end>42</end>
      <status>unmodified</status>
      <modifiedWord/>
      <trackRevisions>false</trackRevisions>
    </reviewItem>
    <reviewItem>
      <errorID>91cd83dc-b41d-457c-8a7c-baacd79ab9d6</errorID>
      <errorWord>填报细</errorWord>
      <group>L1_Word</group>
      <groupName>字词问题</groupName>
      <ability>L2_Typo</ability>
      <abilityName>字词错误</abilityName>
      <candidateList>
        <item>填报项</item>
      </candidateList>
      <explain/>
      <paraID>3C5A6139</paraID>
      <start>18</start>
      <end>21</end>
      <status>unmodified</status>
      <modifiedWord/>
      <trackRevisions>false</trackRevisions>
    </reviewItem>
    <reviewItem>
      <errorID>e6a2d98c-4cd6-412e-a4af-7739f1eedcee</errorID>
      <errorWord>做</errorWord>
      <group>L1_Word</group>
      <groupName>字词问题</groupName>
      <ability>L2_Typo</ability>
      <abilityName>字词错误</abilityName>
      <candidateList>
        <item>作</item>
      </candidateList>
      <explain>存在发音相同字词的误用。</explain>
      <paraID>65840A7D</paraID>
      <start>70</start>
      <end>71</end>
      <status>unmodified</status>
      <modifiedWord/>
      <trackRevisions>false</trackRevisions>
    </reviewItem>
    <reviewItem>
      <errorID>0404c0c0-b9d5-48ee-ba94-17c5acd00902</errorID>
      <errorWord>授标</errorWord>
      <group>L1_Word</group>
      <groupName>字词问题</groupName>
      <ability>L2_Typo</ability>
      <abilityName>字词错误</abilityName>
      <candidateList>
        <item>投标</item>
      </candidateList>
      <explain/>
      <paraID>13687176</paraID>
      <start>27</start>
      <end>29</end>
      <status>unmodified</status>
      <modifiedWord/>
      <trackRevisions>false</trackRevisions>
    </reviewItem>
    <reviewItem>
      <errorID>0c781ad1-b712-4faa-b870-e04ddd0c998c</errorID>
      <errorWord>&lt;</errorWord>
      <group>L1_Format</group>
      <groupName>格式问题</groupName>
      <ability>L2_HalfPunc</ability>
      <abilityName>全半角检查</abilityName>
      <candidateList>
        <item>〈</item>
      </candidateList>
      <explain>文本全半角错误。</explain>
      <paraID>4283A964</paraID>
      <start>49</start>
      <end>50</end>
      <status>unmodified</status>
      <modifiedWord/>
      <trackRevisions>false</trackRevisions>
    </reviewItem>
    <reviewItem>
      <errorID>2c42ab0f-47fe-4e36-9f7d-9d55de7ffe94</errorID>
      <errorWord>&lt;</errorWord>
      <group>L1_Format</group>
      <groupName>格式问题</groupName>
      <ability>L2_HalfPunc</ability>
      <abilityName>全半角检查</abilityName>
      <candidateList>
        <item>〈</item>
      </candidateList>
      <explain>文本全半角错误。</explain>
      <paraID>554A7EA9</paraID>
      <start>49</start>
      <end>50</end>
      <status>unmodified</status>
      <modifiedWord/>
      <trackRevisions>false</trackRevisions>
    </reviewItem>
    <reviewItem>
      <errorID>bf2c2b22-2f3c-45e6-894b-c7377d1bbcfc</errorID>
      <errorWord>&lt;</errorWord>
      <group>L1_Format</group>
      <groupName>格式问题</groupName>
      <ability>L2_HalfPunc</ability>
      <abilityName>全半角检查</abilityName>
      <candidateList>
        <item>〈</item>
      </candidateList>
      <explain>文本全半角错误。</explain>
      <paraID>2F6EB903</paraID>
      <start>34</start>
      <end>35</end>
      <status>unmodified</status>
      <modifiedWord/>
      <trackRevisions>false</trackRevisions>
    </reviewItem>
    <reviewItem>
      <errorID>4f4a09bd-50f3-4d0f-b47e-a02d644e4b54</errorID>
      <errorWord>国家发改委</errorWord>
      <group>L1_Knowledge</group>
      <groupName>知识性问题</groupName>
      <ability>L2_Knowledge</ability>
      <abilityName>其他知识</abilityName>
      <candidateList>
        <item>国家发展改革委</item>
      </candidateList>
      <explain/>
      <paraID>3B7B11FB</paraID>
      <start>20</start>
      <end>25</end>
      <status>unmodified</status>
      <modifiedWord/>
      <trackRevisions>false</trackRevisions>
    </reviewItem>
    <reviewItem>
      <errorID>19eed317-962f-4b59-bd85-b315fe5c0317</errorID>
      <errorWord>属</errorWord>
      <group>L1_Word</group>
      <groupName>字词问题</groupName>
      <ability>L2_Typo</ability>
      <abilityName>字词错误</abilityName>
      <candidateList>
        <item>属于</item>
      </candidateList>
      <explain/>
      <paraID> 4BCF290</paraID>
      <start>22</start>
      <end>23</end>
      <status>unmodified</status>
      <modifiedWord/>
      <trackRevisions>false</trackRevisions>
    </reviewItem>
    <reviewItem>
      <errorID>13dd6a96-bfb1-43ce-8063-f0f37a35c902</errorID>
      <errorWord>提出质疑</errorWord>
      <group>L1_Grammar</group>
      <groupName>语法问题</groupName>
      <ability>L2_Grammar</ability>
      <abilityName>语法错误</abilityName>
      <candidateList>
        <item>质疑</item>
      </candidateList>
      <explain>〈动〉提出疑问：～问难。</explain>
      <paraID>1473ED12</paraID>
      <start>99</start>
      <end>103</end>
      <status>unmodified</status>
      <modifiedWord/>
      <trackRevisions>false</trackRevisions>
    </reviewItem>
    <reviewItem>
      <errorID>53d2b3aa-ba21-4f03-8483-4539471cfc26</errorID>
      <errorWord>:</errorWord>
      <group>L1_Format</group>
      <groupName>格式问题</groupName>
      <ability>L2_HalfPunc</ability>
      <abilityName>全半角检查</abilityName>
      <candidateList>
        <item>：</item>
      </candidateList>
      <explain>文本全半角错误。</explain>
      <paraID>4370574A</paraID>
      <start>14</start>
      <end>15</end>
      <status>unmodified</status>
      <modifiedWord/>
      <trackRevisions>false</trackRevisions>
    </reviewItem>
    <reviewItem>
      <errorID>bb7cb68f-89cd-49a9-b9c9-b79b9fc989fc</errorID>
      <errorWord>:</errorWord>
      <group>L1_Format</group>
      <groupName>格式问题</groupName>
      <ability>L2_HalfPunc</ability>
      <abilityName>全半角检查</abilityName>
      <candidateList>
        <item>：</item>
      </candidateList>
      <explain>文本全半角错误。</explain>
      <paraID>25EC1ACD</paraID>
      <start>9</start>
      <end>10</end>
      <status>unmodified</status>
      <modifiedWord/>
      <trackRevisions>false</trackRevisions>
    </reviewItem>
    <reviewItem>
      <errorID>598c83cb-3bc7-4fd6-b338-debb22036f63</errorID>
      <errorWord>担</errorWord>
      <group>L1_Word</group>
      <groupName>字词问题</groupName>
      <ability>L2_Typo</ability>
      <abilityName>字词错误</abilityName>
      <candidateList>
        <item>担违</item>
      </candidateList>
      <explain/>
      <paraID>1CE020C7</paraID>
      <start>21</start>
      <end>22</end>
      <status>unmodified</status>
      <modifiedWord/>
      <trackRevisions>false</trackRevisions>
    </reviewItem>
    <reviewItem>
      <errorID>361608f9-8078-40d9-bfa3-2b8a1a9f1276</errorID>
      <errorWord>后</errorWord>
      <group>L1_Word</group>
      <groupName>字词问题</groupName>
      <ability>L2_Typo</ability>
      <abilityName>字词错误</abilityName>
      <candidateList>
        <item>后支</item>
      </candidateList>
      <explain/>
      <paraID>74203283</paraID>
      <start>31</start>
      <end>32</end>
      <status>unmodified</status>
      <modifiedWord/>
      <trackRevisions>false</trackRevisions>
    </reviewItem>
    <reviewItem>
      <errorID>138ab3aa-61b7-4563-aec9-ba36f9052c40</errorID>
      <errorWord>(</errorWord>
      <group>L1_Format</group>
      <groupName>格式问题</groupName>
      <ability>L2_HalfPunc</ability>
      <abilityName>全半角检查</abilityName>
      <candidateList>
        <item>（</item>
      </candidateList>
      <explain>文本全半角错误。</explain>
      <paraID>74203283</paraID>
      <start>81</start>
      <end>82</end>
      <status>unmodified</status>
      <modifiedWord/>
      <trackRevisions>false</trackRevisions>
    </reviewItem>
    <reviewItem>
      <errorID>1f55e125-9407-4d3f-9910-92d87d60ef8b</errorID>
      <errorWord>)</errorWord>
      <group>L1_Format</group>
      <groupName>格式问题</groupName>
      <ability>L2_HalfPunc</ability>
      <abilityName>全半角检查</abilityName>
      <candidateList>
        <item>）</item>
      </candidateList>
      <explain>文本全半角错误。</explain>
      <paraID>74203283</paraID>
      <start>90</start>
      <end>91</end>
      <status>unmodified</status>
      <modifiedWord/>
      <trackRevisions>false</trackRevisions>
    </reviewItem>
    <reviewItem>
      <errorID>491fca19-aa1b-4008-a908-b4577807f4c6</errorID>
      <errorWord>上述的</errorWord>
      <group>L1_Word</group>
      <groupName>字词问题</groupName>
      <ability>L2_Typo</ability>
      <abilityName>字词错误</abilityName>
      <candidateList>
        <item>上述</item>
      </candidateList>
      <explain>〈形〉属性词。上面所说的：～各条，望切实执行。</explain>
      <paraID>224A64B9</paraID>
      <start>4</start>
      <end>7</end>
      <status>unmodified</status>
      <modifiedWord/>
      <trackRevisions>false</trackRevisions>
    </reviewItem>
    <reviewItem>
      <errorID>002f5ddb-3d32-4570-adc2-a2041455e49e</errorID>
      <errorWord>折</errorWord>
      <group>L1_Word</group>
      <groupName>字词问题</groupName>
      <ability>L2_Typo</ability>
      <abilityName>字词错误</abilityName>
      <candidateList>
        <item/>
      </candidateList>
      <explain/>
      <paraID>224A64B9</paraID>
      <start>78</start>
      <end>79</end>
      <status>unmodified</status>
      <modifiedWord/>
      <trackRevisions>false</trackRevisions>
    </reviewItem>
    <reviewItem>
      <errorID>7ec4bf55-790c-42f5-a037-f8787ad17a61</errorID>
      <errorWord>.</errorWord>
      <group>L1_Format</group>
      <groupName>格式问题</groupName>
      <ability>L2_HalfPunc</ability>
      <abilityName>全半角检查</abilityName>
      <candidateList>
        <item>。</item>
      </candidateList>
      <explain>文本全半角错误。</explain>
      <paraID>224A64B9</paraID>
      <start>93</start>
      <end>94</end>
      <status>unmodified</status>
      <modifiedWord/>
      <trackRevisions>false</trackRevisions>
    </reviewItem>
    <reviewItem>
      <errorID>ae4be1f3-71a0-4f93-af6c-280e24134ea4</errorID>
      <errorWord>》</errorWord>
      <group>L1_Word</group>
      <groupName>字词问题</groupName>
      <ability>L2_Typo</ability>
      <abilityName>字词错误</abilityName>
      <candidateList>
        <item>》和</item>
      </candidateList>
      <explain/>
      <paraID>5C841427</paraID>
      <start>88</start>
      <end>89</end>
      <status>unmodified</status>
      <modifiedWord/>
      <trackRevisions>false</trackRevisions>
    </reviewItem>
    <reviewItem>
      <errorID>395d5465-834e-4d81-85d6-70fd85e4a34d</errorID>
      <errorWord>》</errorWord>
      <group>L1_Word</group>
      <groupName>字词问题</groupName>
      <ability>L2_Typo</ability>
      <abilityName>字词错误</abilityName>
      <candidateList>
        <item>》等</item>
      </candidateList>
      <explain/>
      <paraID>5EEB2148</paraID>
      <start>39</start>
      <end>40</end>
      <status>unmodified</status>
      <modifiedWord/>
      <trackRevisions>false</trackRevisions>
    </reviewItem>
    <reviewItem>
      <errorID>6cbcc6f1-f08b-4fd0-81b2-ebc2f5c7ca5e</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3AA5443E</paraID>
      <start>33</start>
      <end>36</end>
      <status>unmodified</status>
      <modifiedWord/>
      <trackRevisions>false</trackRevisions>
    </reviewItem>
    <reviewItem>
      <errorID>c514f65f-2b95-4b9d-bfc7-b4e3846d61b0</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3AA5443E</paraID>
      <start>64</start>
      <end>67</end>
      <status>unmodified</status>
      <modifiedWord/>
      <trackRevisions>false</trackRevisions>
    </reviewItem>
    <reviewItem>
      <errorID>8ccc475d-44f9-4107-871f-6f6d56443d14</errorID>
      <errorWord>（</errorWord>
      <group>L1_Punc</group>
      <groupName>标点问题</groupName>
      <ability>L2_Punc</ability>
      <abilityName>标点符号检查</abilityName>
      <candidateList/>
      <explain>同一形式括号套用。</explain>
      <paraID>6DDA9409</paraID>
      <start>136</start>
      <end>137</end>
      <status>unmodified</status>
      <modifiedWord/>
      <trackRevisions>false</trackRevisions>
    </reviewItem>
    <reviewItem>
      <errorID>f7626f1e-ea39-41fe-a34d-f74629dd4310</errorID>
      <errorWord>）</errorWord>
      <group>L1_Punc</group>
      <groupName>标点问题</groupName>
      <ability>L2_Punc</ability>
      <abilityName>标点符号检查</abilityName>
      <candidateList/>
      <explain>同一形式括号套用。</explain>
      <paraID>6DDA9409</paraID>
      <start>148</start>
      <end>149</end>
      <status>unmodified</status>
      <modifiedWord/>
      <trackRevisions>false</trackRevisions>
    </reviewItem>
    <reviewItem>
      <errorID>5eaf859b-5b24-44e2-8625-5f630e2b1114</errorID>
      <errorWord>激光主机</errorWord>
      <group>L1_Knowledge</group>
      <groupName>知识性问题</groupName>
      <ability>L2_Term</ability>
      <abilityName>专业术语</abilityName>
      <candidateList>
        <item>激光焊机</item>
      </candidateList>
      <explain/>
      <paraID>6FD238C7</paraID>
      <start>0</start>
      <end>4</end>
      <status>unmodified</status>
      <modifiedWord/>
      <trackRevisions>false</trackRevisions>
    </reviewItem>
    <reviewItem>
      <errorID>673afadf-e261-4df4-95bf-cf15c8dd8f56</errorID>
      <errorWord>:</errorWord>
      <group>L1_Format</group>
      <groupName>格式问题</groupName>
      <ability>L2_HalfPunc</ability>
      <abilityName>全半角检查</abilityName>
      <candidateList>
        <item>：</item>
      </candidateList>
      <explain>文本全半角错误。</explain>
      <paraID> 72F323C</paraID>
      <start>5</start>
      <end>6</end>
      <status>modified</status>
      <modifiedWord>：</modifiedWord>
      <trackRevisions>false</trackRevisions>
    </reviewItem>
    <reviewItem>
      <errorID>3ea0c94f-2fd2-4bd3-a3ba-5b32b0c70786</errorID>
      <errorWord>(</errorWord>
      <group>L1_Format</group>
      <groupName>格式问题</groupName>
      <ability>L2_HalfPunc</ability>
      <abilityName>全半角检查</abilityName>
      <candidateList>
        <item>（</item>
      </candidateList>
      <explain>文本全半角错误。</explain>
      <paraID>482331C7</paraID>
      <start>14</start>
      <end>15</end>
      <status>modified</status>
      <modifiedWord>（</modifiedWord>
      <trackRevisions>false</trackRevisions>
    </reviewItem>
    <reviewItem>
      <errorID>e6e5cb6f-32db-41a3-98ba-474bc5f0b50e</errorID>
      <errorWord>)</errorWord>
      <group>L1_Format</group>
      <groupName>格式问题</groupName>
      <ability>L2_HalfPunc</ability>
      <abilityName>全半角检查</abilityName>
      <candidateList>
        <item>）</item>
      </candidateList>
      <explain>文本全半角错误。</explain>
      <paraID>482331C7</paraID>
      <start>18</start>
      <end>19</end>
      <status>modified</status>
      <modifiedWord>）</modifiedWord>
      <trackRevisions>false</trackRevisions>
    </reviewItem>
    <reviewItem>
      <errorID>37fc8356-cd9e-45a1-bcab-a34213d7e6ce</errorID>
      <errorWord>(</errorWord>
      <group>L1_Format</group>
      <groupName>格式问题</groupName>
      <ability>L2_HalfPunc</ability>
      <abilityName>全半角检查</abilityName>
      <candidateList>
        <item>（</item>
      </candidateList>
      <explain>文本全半角错误。</explain>
      <paraID>2D4DEB56</paraID>
      <start>89</start>
      <end>90</end>
      <status>unmodified</status>
      <modifiedWord/>
      <trackRevisions>false</trackRevisions>
    </reviewItem>
    <reviewItem>
      <errorID>965add4c-e3c4-423d-90ad-f907eea869e4</errorID>
      <errorWord>)</errorWord>
      <group>L1_Format</group>
      <groupName>格式问题</groupName>
      <ability>L2_HalfPunc</ability>
      <abilityName>全半角检查</abilityName>
      <candidateList>
        <item>）</item>
      </candidateList>
      <explain>文本全半角错误。</explain>
      <paraID>2D4DEB56</paraID>
      <start>98</start>
      <end>99</end>
      <status>unmodified</status>
      <modifiedWord/>
      <trackRevisions>false</trackRevisions>
    </reviewItem>
    <reviewItem>
      <errorID>1438b128-f028-4a54-87c0-df0720950c3c</errorID>
      <errorWord>，</errorWord>
      <group>L1_Word</group>
      <groupName>字词问题</groupName>
      <ability>L2_Typo</ability>
      <abilityName>字词错误</abilityName>
      <candidateList>
        <item>，在</item>
      </candidateList>
      <explain/>
      <paraID>48898FA0</paraID>
      <start>90</start>
      <end>91</end>
      <status>unmodified</status>
      <modifiedWord/>
      <trackRevisions>false</trackRevisions>
    </reviewItem>
    <reviewItem>
      <errorID>ef9f3228-28b7-4764-ae06-42d78573a816</errorID>
      <errorWord>,</errorWord>
      <group>L1_Format</group>
      <groupName>格式问题</groupName>
      <ability>L2_HalfPunc</ability>
      <abilityName>全半角检查</abilityName>
      <candidateList>
        <item>，</item>
      </candidateList>
      <explain>文本全半角错误。</explain>
      <paraID>1CD758A6</paraID>
      <start>23</start>
      <end>24</end>
      <status>unmodified</status>
      <modifiedWord/>
      <trackRevisions>false</trackRevisions>
    </reviewItem>
    <reviewItem>
      <errorID>ace47418-0f59-4170-8768-a030c412b11f</errorID>
      <errorWord>（</errorWord>
      <group>L1_Punc</group>
      <groupName>标点问题</groupName>
      <ability>L2_Punc</ability>
      <abilityName>标点符号检查</abilityName>
      <candidateList/>
      <explain>同一形式括号套用。</explain>
      <paraID>47DF1762</paraID>
      <start>56</start>
      <end>57</end>
      <status>unmodified</status>
      <modifiedWord/>
      <trackRevisions>false</trackRevisions>
    </reviewItem>
    <reviewItem>
      <errorID>57d6c7de-a977-4723-aab7-12049c4c4614</errorID>
      <errorWord>）</errorWord>
      <group>L1_Punc</group>
      <groupName>标点问题</groupName>
      <ability>L2_Punc</ability>
      <abilityName>标点符号检查</abilityName>
      <candidateList/>
      <explain>同一形式括号套用。</explain>
      <paraID>47DF1762</paraID>
      <start>68</start>
      <end>69</end>
      <status>unmodified</status>
      <modifiedWord/>
      <trackRevisions>false</trackRevisions>
    </reviewItem>
    <reviewItem>
      <errorID>92747006-edaf-4365-87b5-23b9e8815c07</errorID>
      <errorWord>(</errorWord>
      <group>L1_Format</group>
      <groupName>格式问题</groupName>
      <ability>L2_HalfPunc</ability>
      <abilityName>全半角检查</abilityName>
      <candidateList>
        <item>（</item>
      </candidateList>
      <explain>文本全半角错误。</explain>
      <paraID> 66C53C1</paraID>
      <start>22</start>
      <end>23</end>
      <status>modified</status>
      <modifiedWord>（</modifiedWord>
      <trackRevisions>false</trackRevisions>
    </reviewItem>
    <reviewItem>
      <errorID>78f43001-476e-4ba6-88cc-488077d34122</errorID>
      <errorWord>)</errorWord>
      <group>L1_Format</group>
      <groupName>格式问题</groupName>
      <ability>L2_HalfPunc</ability>
      <abilityName>全半角检查</abilityName>
      <candidateList>
        <item>）</item>
      </candidateList>
      <explain>文本全半角错误。</explain>
      <paraID> 66C53C1</paraID>
      <start>29</start>
      <end>30</end>
      <status>modified</status>
      <modifiedWord>）</modifiedWord>
      <trackRevisions>false</trackRevisions>
    </reviewItem>
    <reviewItem>
      <errorID>8ad366f1-4390-4907-a360-d1016246fc24</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5E6972F9</paraID>
      <start>16</start>
      <end>17</end>
      <status>unmodified</status>
      <modifiedWord/>
      <trackRevisions>false</trackRevisions>
    </reviewItem>
    <reviewItem>
      <errorID>b57c953b-ace6-4b0c-a464-2b9a5beb3ba0</errorID>
      <errorWord>审</errorWord>
      <group>L1_Word</group>
      <groupName>字词问题</groupName>
      <ability>L2_Typo</ability>
      <abilityName>字词错误</abilityName>
      <candidateList>
        <item>审计</item>
      </candidateList>
      <explain/>
      <paraID>72BD17CE</paraID>
      <start>69</start>
      <end>70</end>
      <status>unmodified</status>
      <modifiedWord/>
      <trackRevisions>false</trackRevisions>
    </reviewItem>
    <reviewItem>
      <errorID>28bddfa4-5e77-4fde-a0ce-06e1b087e750</errorID>
      <errorWord>的</errorWord>
      <group>L1_Word</group>
      <groupName>字词问题</groupName>
      <ability>L2_Typo</ability>
      <abilityName>字词错误</abilityName>
      <candidateList>
        <item/>
      </candidateList>
      <explain/>
      <paraID>1CBA12F1</paraID>
      <start>34</start>
      <end>35</end>
      <status>unmodified</status>
      <modifiedWord/>
      <trackRevisions>false</trackRevisions>
    </reviewItem>
    <reviewItem>
      <errorID>6077b6ba-dae5-4d5d-b12e-74330da324af</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4B7290E4</paraID>
      <start>7</start>
      <end>8</end>
      <status>unmodified</status>
      <modifiedWord/>
      <trackRevisions>false</trackRevisions>
    </reviewItem>
    <reviewItem>
      <errorID>467fdc03-f78c-4efd-a33d-406e6d4a099f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6621BFB2</paraID>
      <start>0</start>
      <end>2</end>
      <status>unmodified</status>
      <modifiedWord/>
      <trackRevisions>false</trackRevisions>
    </reviewItem>
    <reviewItem>
      <errorID>d1abfed3-0924-444a-b7eb-d5e1d05da108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66F0288</paraID>
      <start>0</start>
      <end>2</end>
      <status>unmodified</status>
      <modifiedWord/>
      <trackRevisions>false</trackRevisions>
    </reviewItem>
    <reviewItem>
      <errorID>709aec06-edd9-4eda-a6b5-508c065f915a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7AD75D94</paraID>
      <start>0</start>
      <end>2</end>
      <status>unmodified</status>
      <modifiedWord/>
      <trackRevisions>false</trackRevisions>
    </reviewItem>
    <reviewItem>
      <errorID>eb9e193b-45d8-4c8e-b683-5bcbde859e08</errorID>
      <errorWord>年</errorWord>
      <group>L1_Word</group>
      <groupName>字词问题</groupName>
      <ability>L2_Typo</ability>
      <abilityName>字词错误</abilityName>
      <candidateList>
        <item/>
      </candidateList>
      <explain/>
      <paraID>4092F7D4</paraID>
      <start>48</start>
      <end>49</end>
      <status>unmodified</status>
      <modifiedWord/>
      <trackRevisions>false</trackRevisions>
    </reviewItem>
  </reviewItems>
  <config/>
</contractReview>
</file>

<file path=customXml/itemProps1.xml><?xml version="1.0" encoding="utf-8"?>
<ds:datastoreItem xmlns:ds="http://schemas.openxmlformats.org/officeDocument/2006/customXml" ds:itemID="{A985A9C1-9575-435B-A359-21E0F8D8A5E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560</cp:revision>
  <dcterms:created xsi:type="dcterms:W3CDTF">2023-03-16T02:16:00Z</dcterms:created>
  <dcterms:modified xsi:type="dcterms:W3CDTF">2026-11-02T02:11:29Z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CEAA14C994D74D40A13FB93AC50818D4_13</vt:lpwstr>
  </property>
  <property fmtid="{D5CDD505-2E9C-101B-9397-08002B2CF9AE}" pid="4" name="KSOTemplateDocerSaveRecord">
    <vt:lpwstr>eyJoZGlkIjoiYWEwNDBkZDVjMDI2NzVhN2Q2ZjdkYzk3NDg0ZWQ4YWQiLCJ1c2VySWQiOiI1Mzk3NjA2MDAifQ==</vt:lpwstr>
  </property>
</Properties>
</file>