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74231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val="0"/>
          <w:color w:val="auto"/>
          <w:spacing w:val="20"/>
          <w:sz w:val="52"/>
          <w:szCs w:val="52"/>
          <w:highlight w:val="none"/>
          <w:lang w:val="en-US" w:eastAsia="zh-CN"/>
        </w:rPr>
      </w:pPr>
    </w:p>
    <w:p w14:paraId="3BBB2BD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val="0"/>
          <w:color w:val="auto"/>
          <w:spacing w:val="20"/>
          <w:sz w:val="52"/>
          <w:szCs w:val="52"/>
          <w:highlight w:val="none"/>
        </w:rPr>
      </w:pPr>
      <w:r>
        <w:rPr>
          <w:rFonts w:hint="eastAsia" w:asciiTheme="minorEastAsia" w:hAnsiTheme="minorEastAsia" w:eastAsiaTheme="minorEastAsia" w:cstheme="minorEastAsia"/>
          <w:b/>
          <w:bCs w:val="0"/>
          <w:color w:val="auto"/>
          <w:spacing w:val="20"/>
          <w:sz w:val="52"/>
          <w:szCs w:val="52"/>
          <w:highlight w:val="none"/>
          <w:lang w:val="en-US" w:eastAsia="zh-CN"/>
        </w:rPr>
        <w:t>吕四港镇沿海巡防服务项目</w:t>
      </w:r>
    </w:p>
    <w:p w14:paraId="7D96C201">
      <w:pPr>
        <w:jc w:val="center"/>
        <w:rPr>
          <w:rFonts w:hint="eastAsia" w:asciiTheme="minorEastAsia" w:hAnsiTheme="minorEastAsia" w:eastAsiaTheme="minorEastAsia" w:cstheme="minorEastAsia"/>
          <w:bCs/>
          <w:color w:val="auto"/>
          <w:sz w:val="100"/>
          <w:szCs w:val="100"/>
          <w:highlight w:val="none"/>
        </w:rPr>
      </w:pPr>
    </w:p>
    <w:p w14:paraId="168EDFCF">
      <w:pPr>
        <w:jc w:val="center"/>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sz w:val="100"/>
          <w:szCs w:val="100"/>
          <w:highlight w:val="none"/>
        </w:rPr>
        <w:t>政府采购磋商文件</w:t>
      </w:r>
    </w:p>
    <w:p w14:paraId="022CD1DC">
      <w:pPr>
        <w:pStyle w:val="4"/>
        <w:spacing w:before="0" w:after="0" w:line="500" w:lineRule="exact"/>
        <w:jc w:val="center"/>
        <w:rPr>
          <w:rFonts w:hint="eastAsia" w:asciiTheme="minorEastAsia" w:hAnsiTheme="minorEastAsia" w:eastAsiaTheme="minorEastAsia" w:cstheme="minorEastAsia"/>
          <w:b w:val="0"/>
          <w:color w:val="auto"/>
          <w:sz w:val="36"/>
          <w:szCs w:val="36"/>
          <w:highlight w:val="none"/>
        </w:rPr>
      </w:pPr>
    </w:p>
    <w:p w14:paraId="0C7B873E">
      <w:pPr>
        <w:pStyle w:val="4"/>
        <w:spacing w:before="0" w:after="0" w:line="500" w:lineRule="exact"/>
        <w:ind w:firstLine="1084" w:firstLineChars="300"/>
        <w:jc w:val="both"/>
        <w:rPr>
          <w:rFonts w:hint="default" w:asciiTheme="minorEastAsia" w:hAnsiTheme="minorEastAsia" w:eastAsiaTheme="minorEastAsia" w:cstheme="minorEastAsia"/>
          <w:b/>
          <w:bCs w:val="0"/>
          <w:color w:val="auto"/>
          <w:sz w:val="36"/>
          <w:szCs w:val="36"/>
          <w:highlight w:val="none"/>
          <w:lang w:val="en-US" w:eastAsia="zh-CN"/>
        </w:rPr>
      </w:pPr>
      <w:r>
        <w:rPr>
          <w:rFonts w:hint="eastAsia" w:asciiTheme="minorEastAsia" w:hAnsiTheme="minorEastAsia" w:eastAsiaTheme="minorEastAsia" w:cstheme="minorEastAsia"/>
          <w:b/>
          <w:bCs w:val="0"/>
          <w:color w:val="auto"/>
          <w:sz w:val="36"/>
          <w:szCs w:val="36"/>
          <w:highlight w:val="none"/>
        </w:rPr>
        <w:t>项目编号</w:t>
      </w:r>
      <w:r>
        <w:rPr>
          <w:rFonts w:hint="eastAsia" w:asciiTheme="minorEastAsia" w:hAnsiTheme="minorEastAsia" w:eastAsiaTheme="minorEastAsia" w:cstheme="minorEastAsia"/>
          <w:b/>
          <w:bCs w:val="0"/>
          <w:color w:val="auto"/>
          <w:sz w:val="36"/>
          <w:szCs w:val="36"/>
          <w:highlight w:val="none"/>
          <w:lang w:eastAsia="zh-CN"/>
        </w:rPr>
        <w:t>：</w:t>
      </w:r>
      <w:r>
        <w:rPr>
          <w:rFonts w:hint="eastAsia" w:asciiTheme="minorEastAsia" w:hAnsiTheme="minorEastAsia" w:eastAsiaTheme="minorEastAsia" w:cstheme="minorEastAsia"/>
          <w:b/>
          <w:bCs w:val="0"/>
          <w:color w:val="auto"/>
          <w:sz w:val="36"/>
          <w:szCs w:val="36"/>
          <w:highlight w:val="none"/>
        </w:rPr>
        <w:t>JSZC-320681-HXTH-C2026-0041</w:t>
      </w:r>
    </w:p>
    <w:p w14:paraId="7A001057">
      <w:pPr>
        <w:spacing w:line="500" w:lineRule="exact"/>
        <w:jc w:val="center"/>
        <w:rPr>
          <w:rFonts w:hint="eastAsia" w:asciiTheme="minorEastAsia" w:hAnsiTheme="minorEastAsia" w:eastAsiaTheme="minorEastAsia" w:cstheme="minorEastAsia"/>
          <w:b/>
          <w:color w:val="auto"/>
          <w:sz w:val="36"/>
          <w:highlight w:val="none"/>
        </w:rPr>
      </w:pPr>
    </w:p>
    <w:p w14:paraId="6F7FE0FD">
      <w:pPr>
        <w:pStyle w:val="6"/>
        <w:rPr>
          <w:rFonts w:hint="eastAsia" w:asciiTheme="minorEastAsia" w:hAnsiTheme="minorEastAsia" w:eastAsiaTheme="minorEastAsia" w:cstheme="minorEastAsia"/>
          <w:color w:val="auto"/>
          <w:highlight w:val="none"/>
        </w:rPr>
      </w:pPr>
    </w:p>
    <w:p w14:paraId="17E74386">
      <w:pPr>
        <w:pStyle w:val="6"/>
        <w:rPr>
          <w:rFonts w:hint="eastAsia" w:asciiTheme="minorEastAsia" w:hAnsiTheme="minorEastAsia" w:eastAsiaTheme="minorEastAsia" w:cstheme="minorEastAsia"/>
          <w:color w:val="auto"/>
          <w:highlight w:val="none"/>
        </w:rPr>
      </w:pPr>
    </w:p>
    <w:p w14:paraId="1E1617AA">
      <w:pPr>
        <w:spacing w:line="500" w:lineRule="exact"/>
        <w:jc w:val="center"/>
        <w:rPr>
          <w:rFonts w:hint="eastAsia" w:asciiTheme="minorEastAsia" w:hAnsiTheme="minorEastAsia" w:eastAsiaTheme="minorEastAsia" w:cstheme="minorEastAsia"/>
          <w:b/>
          <w:color w:val="auto"/>
          <w:sz w:val="36"/>
          <w:highlight w:val="none"/>
        </w:rPr>
      </w:pPr>
    </w:p>
    <w:p w14:paraId="5096A023">
      <w:pPr>
        <w:spacing w:line="500" w:lineRule="exact"/>
        <w:jc w:val="center"/>
        <w:rPr>
          <w:rFonts w:hint="eastAsia" w:asciiTheme="minorEastAsia" w:hAnsiTheme="minorEastAsia" w:eastAsiaTheme="minorEastAsia" w:cstheme="minorEastAsia"/>
          <w:b/>
          <w:color w:val="auto"/>
          <w:sz w:val="36"/>
          <w:highlight w:val="none"/>
        </w:rPr>
      </w:pPr>
    </w:p>
    <w:p w14:paraId="3D8A2E37">
      <w:pPr>
        <w:spacing w:line="500" w:lineRule="exact"/>
        <w:rPr>
          <w:rFonts w:hint="eastAsia" w:asciiTheme="minorEastAsia" w:hAnsiTheme="minorEastAsia" w:eastAsiaTheme="minorEastAsia" w:cstheme="minorEastAsia"/>
          <w:color w:val="auto"/>
          <w:highlight w:val="none"/>
        </w:rPr>
      </w:pPr>
    </w:p>
    <w:p w14:paraId="791BC31A">
      <w:pPr>
        <w:spacing w:line="500" w:lineRule="exact"/>
        <w:jc w:val="center"/>
        <w:rPr>
          <w:rFonts w:hint="eastAsia" w:asciiTheme="minorEastAsia" w:hAnsiTheme="minorEastAsia" w:eastAsiaTheme="minorEastAsia" w:cstheme="minorEastAsia"/>
          <w:color w:val="auto"/>
          <w:sz w:val="32"/>
          <w:highlight w:val="none"/>
        </w:rPr>
      </w:pPr>
    </w:p>
    <w:p w14:paraId="3918B575">
      <w:pPr>
        <w:spacing w:line="500" w:lineRule="exact"/>
        <w:jc w:val="center"/>
        <w:rPr>
          <w:rFonts w:hint="eastAsia" w:asciiTheme="minorEastAsia" w:hAnsiTheme="minorEastAsia" w:eastAsiaTheme="minorEastAsia" w:cstheme="minorEastAsia"/>
          <w:color w:val="auto"/>
          <w:sz w:val="32"/>
          <w:highlight w:val="none"/>
        </w:rPr>
      </w:pPr>
    </w:p>
    <w:p w14:paraId="10FC6394">
      <w:pPr>
        <w:pStyle w:val="6"/>
        <w:rPr>
          <w:rFonts w:hint="eastAsia" w:asciiTheme="minorEastAsia" w:hAnsiTheme="minorEastAsia" w:eastAsiaTheme="minorEastAsia" w:cstheme="minorEastAsia"/>
          <w:color w:val="auto"/>
          <w:highlight w:val="none"/>
        </w:rPr>
      </w:pPr>
    </w:p>
    <w:p w14:paraId="3D84F145">
      <w:pPr>
        <w:rPr>
          <w:rFonts w:hint="eastAsia" w:asciiTheme="minorEastAsia" w:hAnsiTheme="minorEastAsia" w:eastAsiaTheme="minorEastAsia" w:cstheme="minorEastAsia"/>
          <w:color w:val="auto"/>
          <w:highlight w:val="none"/>
        </w:rPr>
      </w:pPr>
    </w:p>
    <w:p w14:paraId="3028A900">
      <w:pPr>
        <w:rPr>
          <w:rFonts w:hint="eastAsia" w:asciiTheme="minorEastAsia" w:hAnsiTheme="minorEastAsia" w:eastAsiaTheme="minorEastAsia" w:cstheme="minorEastAsia"/>
          <w:color w:val="auto"/>
          <w:highlight w:val="none"/>
        </w:rPr>
      </w:pPr>
    </w:p>
    <w:p w14:paraId="22E84309">
      <w:pPr>
        <w:rPr>
          <w:rFonts w:hint="eastAsia" w:asciiTheme="minorEastAsia" w:hAnsiTheme="minorEastAsia" w:eastAsiaTheme="minorEastAsia" w:cstheme="minorEastAsia"/>
          <w:color w:val="auto"/>
          <w:highlight w:val="none"/>
        </w:rPr>
      </w:pPr>
    </w:p>
    <w:p w14:paraId="43608889">
      <w:pPr>
        <w:rPr>
          <w:rFonts w:hint="eastAsia" w:asciiTheme="minorEastAsia" w:hAnsiTheme="minorEastAsia" w:eastAsiaTheme="minorEastAsia" w:cstheme="minorEastAsia"/>
          <w:color w:val="auto"/>
          <w:highlight w:val="none"/>
        </w:rPr>
      </w:pPr>
    </w:p>
    <w:p w14:paraId="6962C88F">
      <w:pPr>
        <w:spacing w:line="500" w:lineRule="exact"/>
        <w:jc w:val="center"/>
        <w:rPr>
          <w:rFonts w:hint="eastAsia" w:asciiTheme="minorEastAsia" w:hAnsiTheme="minorEastAsia" w:eastAsiaTheme="minorEastAsia" w:cstheme="minorEastAsia"/>
          <w:bCs/>
          <w:color w:val="auto"/>
          <w:spacing w:val="20"/>
          <w:sz w:val="44"/>
          <w:highlight w:val="none"/>
          <w:lang w:eastAsia="zh-CN"/>
        </w:rPr>
      </w:pPr>
      <w:r>
        <w:rPr>
          <w:rFonts w:hint="eastAsia" w:asciiTheme="minorEastAsia" w:hAnsiTheme="minorEastAsia" w:eastAsiaTheme="minorEastAsia" w:cstheme="minorEastAsia"/>
          <w:bCs/>
          <w:color w:val="auto"/>
          <w:spacing w:val="20"/>
          <w:sz w:val="44"/>
          <w:highlight w:val="none"/>
          <w:lang w:eastAsia="zh-CN"/>
        </w:rPr>
        <w:t>启东市吕四港镇人民政府</w:t>
      </w:r>
    </w:p>
    <w:p w14:paraId="0DB4F928">
      <w:pPr>
        <w:pStyle w:val="14"/>
        <w:spacing w:before="0" w:after="0" w:line="500" w:lineRule="exact"/>
        <w:ind w:left="0" w:right="119" w:firstLine="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lang w:val="en-US" w:eastAsia="zh-CN"/>
        </w:rPr>
        <w:t>2026</w:t>
      </w:r>
      <w:r>
        <w:rPr>
          <w:rFonts w:hint="eastAsia" w:asciiTheme="minorEastAsia" w:hAnsiTheme="minorEastAsia" w:eastAsiaTheme="minorEastAsia" w:cstheme="minorEastAsia"/>
          <w:color w:val="auto"/>
          <w:sz w:val="44"/>
          <w:szCs w:val="44"/>
          <w:highlight w:val="none"/>
        </w:rPr>
        <w:t>年</w:t>
      </w:r>
      <w:r>
        <w:rPr>
          <w:rFonts w:hint="eastAsia" w:asciiTheme="minorEastAsia" w:hAnsiTheme="minorEastAsia" w:eastAsiaTheme="minorEastAsia" w:cstheme="minorEastAsia"/>
          <w:color w:val="auto"/>
          <w:sz w:val="44"/>
          <w:szCs w:val="44"/>
          <w:highlight w:val="none"/>
          <w:lang w:val="en-US" w:eastAsia="zh-CN"/>
        </w:rPr>
        <w:t>11</w:t>
      </w:r>
      <w:r>
        <w:rPr>
          <w:rFonts w:hint="eastAsia" w:asciiTheme="minorEastAsia" w:hAnsiTheme="minorEastAsia" w:eastAsiaTheme="minorEastAsia" w:cstheme="minorEastAsia"/>
          <w:color w:val="auto"/>
          <w:sz w:val="44"/>
          <w:szCs w:val="44"/>
          <w:highlight w:val="none"/>
        </w:rPr>
        <w:t>月</w:t>
      </w:r>
      <w:r>
        <w:rPr>
          <w:rFonts w:hint="eastAsia" w:asciiTheme="minorEastAsia" w:hAnsiTheme="minorEastAsia" w:eastAsiaTheme="minorEastAsia" w:cstheme="minorEastAsia"/>
          <w:color w:val="auto"/>
          <w:sz w:val="44"/>
          <w:szCs w:val="44"/>
          <w:highlight w:val="none"/>
          <w:lang w:val="en-US" w:eastAsia="zh-CN"/>
        </w:rPr>
        <w:t>2</w:t>
      </w:r>
      <w:r>
        <w:rPr>
          <w:rFonts w:hint="eastAsia" w:asciiTheme="minorEastAsia" w:hAnsiTheme="minorEastAsia" w:eastAsiaTheme="minorEastAsia" w:cstheme="minorEastAsia"/>
          <w:color w:val="auto"/>
          <w:sz w:val="44"/>
          <w:szCs w:val="44"/>
          <w:highlight w:val="none"/>
        </w:rPr>
        <w:t>日</w:t>
      </w:r>
    </w:p>
    <w:p w14:paraId="72C739E3">
      <w:pPr>
        <w:adjustRightInd w:val="0"/>
        <w:snapToGrid w:val="0"/>
        <w:spacing w:line="500" w:lineRule="exact"/>
        <w:ind w:left="-158" w:leftChars="-75"/>
        <w:rPr>
          <w:rFonts w:hint="eastAsia" w:asciiTheme="minorEastAsia" w:hAnsiTheme="minorEastAsia" w:eastAsiaTheme="minorEastAsia" w:cstheme="minorEastAsia"/>
          <w:b/>
          <w:snapToGrid w:val="0"/>
          <w:color w:val="auto"/>
          <w:sz w:val="26"/>
          <w:szCs w:val="28"/>
          <w:highlight w:val="none"/>
          <w:u w:val="single"/>
        </w:rPr>
      </w:pPr>
      <w:r>
        <w:rPr>
          <w:rFonts w:hint="eastAsia" w:asciiTheme="minorEastAsia" w:hAnsiTheme="minorEastAsia" w:eastAsiaTheme="minorEastAsia" w:cstheme="minorEastAsia"/>
          <w:b/>
          <w:snapToGrid w:val="0"/>
          <w:color w:val="auto"/>
          <w:sz w:val="26"/>
          <w:szCs w:val="28"/>
          <w:highlight w:val="none"/>
          <w:u w:val="single"/>
        </w:rPr>
        <w:t>________________________________________________________________</w:t>
      </w:r>
    </w:p>
    <w:p w14:paraId="6004A8CF">
      <w:pPr>
        <w:adjustRightInd w:val="0"/>
        <w:snapToGrid w:val="0"/>
        <w:ind w:left="-158" w:leftChars="-75"/>
        <w:jc w:val="left"/>
        <w:rPr>
          <w:rFonts w:hint="eastAsia" w:asciiTheme="minorEastAsia" w:hAnsiTheme="minorEastAsia" w:eastAsiaTheme="minorEastAsia" w:cstheme="minorEastAsia"/>
          <w:snapToGrid w:val="0"/>
          <w:color w:val="auto"/>
          <w:sz w:val="32"/>
          <w:szCs w:val="32"/>
          <w:highlight w:val="none"/>
        </w:rPr>
      </w:pPr>
      <w:r>
        <w:rPr>
          <w:rFonts w:hint="eastAsia" w:asciiTheme="minorEastAsia" w:hAnsiTheme="minorEastAsia" w:eastAsiaTheme="minorEastAsia" w:cstheme="minorEastAsia"/>
          <w:b/>
          <w:snapToGrid w:val="0"/>
          <w:color w:val="auto"/>
          <w:sz w:val="32"/>
          <w:szCs w:val="32"/>
          <w:highlight w:val="none"/>
        </w:rPr>
        <w:t>地址：</w:t>
      </w:r>
      <w:r>
        <w:rPr>
          <w:rFonts w:hint="eastAsia" w:asciiTheme="minorEastAsia" w:hAnsiTheme="minorEastAsia" w:eastAsiaTheme="minorEastAsia" w:cstheme="minorEastAsia"/>
          <w:snapToGrid w:val="0"/>
          <w:color w:val="auto"/>
          <w:sz w:val="32"/>
          <w:szCs w:val="32"/>
          <w:highlight w:val="none"/>
          <w:lang w:val="en-US" w:eastAsia="zh-CN"/>
        </w:rPr>
        <w:t>启东市吕四港镇环城北路328号</w:t>
      </w:r>
    </w:p>
    <w:p w14:paraId="2DCCE40B">
      <w:pPr>
        <w:adjustRightInd w:val="0"/>
        <w:snapToGrid w:val="0"/>
        <w:ind w:left="-158" w:leftChars="-75"/>
        <w:jc w:val="left"/>
        <w:rPr>
          <w:rFonts w:hint="eastAsia" w:asciiTheme="minorEastAsia" w:hAnsiTheme="minorEastAsia" w:eastAsiaTheme="minorEastAsia" w:cstheme="minorEastAsia"/>
          <w:snapToGrid w:val="0"/>
          <w:color w:val="auto"/>
          <w:sz w:val="32"/>
          <w:szCs w:val="32"/>
          <w:highlight w:val="none"/>
        </w:rPr>
      </w:pPr>
      <w:r>
        <w:rPr>
          <w:rFonts w:hint="eastAsia" w:asciiTheme="minorEastAsia" w:hAnsiTheme="minorEastAsia" w:eastAsiaTheme="minorEastAsia" w:cstheme="minorEastAsia"/>
          <w:b/>
          <w:snapToGrid w:val="0"/>
          <w:color w:val="auto"/>
          <w:sz w:val="32"/>
          <w:szCs w:val="32"/>
          <w:highlight w:val="none"/>
        </w:rPr>
        <w:t>邮政编码：</w:t>
      </w:r>
      <w:r>
        <w:rPr>
          <w:rFonts w:hint="eastAsia" w:asciiTheme="minorEastAsia" w:hAnsiTheme="minorEastAsia" w:eastAsiaTheme="minorEastAsia" w:cstheme="minorEastAsia"/>
          <w:snapToGrid w:val="0"/>
          <w:color w:val="auto"/>
          <w:sz w:val="32"/>
          <w:szCs w:val="32"/>
          <w:highlight w:val="none"/>
        </w:rPr>
        <w:t>226200</w:t>
      </w:r>
    </w:p>
    <w:p w14:paraId="2855417B">
      <w:pPr>
        <w:adjustRightInd w:val="0"/>
        <w:snapToGrid w:val="0"/>
        <w:ind w:left="-158" w:leftChars="-75" w:right="-601" w:rightChars="-286"/>
        <w:rPr>
          <w:rFonts w:hint="eastAsia" w:asciiTheme="minorEastAsia" w:hAnsiTheme="minorEastAsia" w:eastAsiaTheme="minorEastAsia" w:cstheme="minorEastAsia"/>
          <w:b/>
          <w:snapToGrid w:val="0"/>
          <w:color w:val="auto"/>
          <w:sz w:val="32"/>
          <w:szCs w:val="32"/>
          <w:highlight w:val="none"/>
        </w:rPr>
      </w:pPr>
      <w:r>
        <w:rPr>
          <w:rFonts w:hint="eastAsia" w:asciiTheme="minorEastAsia" w:hAnsiTheme="minorEastAsia" w:eastAsiaTheme="minorEastAsia" w:cstheme="minorEastAsia"/>
          <w:b/>
          <w:snapToGrid w:val="0"/>
          <w:color w:val="auto"/>
          <w:sz w:val="32"/>
          <w:szCs w:val="32"/>
          <w:highlight w:val="none"/>
        </w:rPr>
        <w:t>江苏政府采购网</w:t>
      </w:r>
    </w:p>
    <w:p w14:paraId="69BDCA19">
      <w:pPr>
        <w:widowControl/>
        <w:jc w:val="center"/>
        <w:rPr>
          <w:rFonts w:hint="eastAsia" w:asciiTheme="minorEastAsia" w:hAnsiTheme="minorEastAsia" w:eastAsiaTheme="minorEastAsia" w:cstheme="minorEastAsia"/>
          <w:color w:val="auto"/>
          <w:sz w:val="44"/>
          <w:szCs w:val="44"/>
          <w:highlight w:val="none"/>
          <w:lang w:val="zh-CN"/>
        </w:rPr>
      </w:pPr>
      <w:r>
        <w:rPr>
          <w:rFonts w:hint="eastAsia" w:asciiTheme="minorEastAsia" w:hAnsiTheme="minorEastAsia" w:eastAsiaTheme="minorEastAsia" w:cstheme="minorEastAsia"/>
          <w:snapToGrid w:val="0"/>
          <w:color w:val="auto"/>
          <w:sz w:val="32"/>
          <w:szCs w:val="32"/>
          <w:highlight w:val="none"/>
        </w:rPr>
        <w:br w:type="page"/>
      </w:r>
      <w:r>
        <w:rPr>
          <w:rFonts w:hint="eastAsia" w:asciiTheme="minorEastAsia" w:hAnsiTheme="minorEastAsia" w:eastAsiaTheme="minorEastAsia" w:cstheme="minorEastAsia"/>
          <w:color w:val="auto"/>
          <w:sz w:val="44"/>
          <w:szCs w:val="44"/>
          <w:highlight w:val="none"/>
          <w:lang w:val="zh-CN"/>
        </w:rPr>
        <w:t>目 录</w:t>
      </w:r>
    </w:p>
    <w:p w14:paraId="30FF06B0">
      <w:pPr>
        <w:autoSpaceDE w:val="0"/>
        <w:autoSpaceDN w:val="0"/>
        <w:adjustRightInd w:val="0"/>
        <w:snapToGrid w:val="0"/>
        <w:spacing w:line="360" w:lineRule="auto"/>
        <w:ind w:firstLine="556"/>
        <w:rPr>
          <w:rFonts w:hint="eastAsia" w:asciiTheme="minorEastAsia" w:hAnsiTheme="minorEastAsia" w:eastAsiaTheme="minorEastAsia" w:cstheme="minorEastAsia"/>
          <w:color w:val="auto"/>
          <w:sz w:val="32"/>
          <w:szCs w:val="32"/>
          <w:highlight w:val="none"/>
        </w:rPr>
      </w:pPr>
    </w:p>
    <w:p w14:paraId="42B04D1A">
      <w:pPr>
        <w:autoSpaceDE w:val="0"/>
        <w:autoSpaceDN w:val="0"/>
        <w:adjustRightInd w:val="0"/>
        <w:snapToGrid w:val="0"/>
        <w:spacing w:line="360" w:lineRule="auto"/>
        <w:ind w:firstLine="556"/>
        <w:rPr>
          <w:rFonts w:hint="eastAsia" w:asciiTheme="minorEastAsia" w:hAnsiTheme="minorEastAsia" w:eastAsiaTheme="minorEastAsia" w:cstheme="minorEastAsia"/>
          <w:color w:val="auto"/>
          <w:sz w:val="32"/>
          <w:szCs w:val="32"/>
          <w:highlight w:val="none"/>
        </w:rPr>
      </w:pPr>
    </w:p>
    <w:p w14:paraId="008ABD02">
      <w:pPr>
        <w:autoSpaceDE w:val="0"/>
        <w:autoSpaceDN w:val="0"/>
        <w:adjustRightInd w:val="0"/>
        <w:snapToGrid w:val="0"/>
        <w:spacing w:line="360" w:lineRule="auto"/>
        <w:ind w:firstLine="556"/>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第一部分  竞争性磋商公告</w:t>
      </w:r>
    </w:p>
    <w:p w14:paraId="6581B20B">
      <w:pPr>
        <w:autoSpaceDE w:val="0"/>
        <w:autoSpaceDN w:val="0"/>
        <w:adjustRightInd w:val="0"/>
        <w:snapToGrid w:val="0"/>
        <w:spacing w:line="360" w:lineRule="auto"/>
        <w:ind w:firstLine="556"/>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第二部分  磋商须知</w:t>
      </w:r>
    </w:p>
    <w:p w14:paraId="3B98324E">
      <w:pPr>
        <w:autoSpaceDE w:val="0"/>
        <w:autoSpaceDN w:val="0"/>
        <w:adjustRightInd w:val="0"/>
        <w:snapToGrid w:val="0"/>
        <w:spacing w:line="360" w:lineRule="auto"/>
        <w:ind w:firstLine="537"/>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第三部分  项目需求</w:t>
      </w:r>
    </w:p>
    <w:p w14:paraId="58CEA543">
      <w:pPr>
        <w:autoSpaceDE w:val="0"/>
        <w:autoSpaceDN w:val="0"/>
        <w:adjustRightInd w:val="0"/>
        <w:snapToGrid w:val="0"/>
        <w:spacing w:line="360" w:lineRule="auto"/>
        <w:ind w:firstLine="537"/>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第四部分  评审方法和评审标准</w:t>
      </w:r>
    </w:p>
    <w:p w14:paraId="0AA6EDC2">
      <w:pPr>
        <w:autoSpaceDE w:val="0"/>
        <w:autoSpaceDN w:val="0"/>
        <w:adjustRightInd w:val="0"/>
        <w:snapToGrid w:val="0"/>
        <w:spacing w:line="360" w:lineRule="auto"/>
        <w:ind w:firstLine="556"/>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第五部分  响应文件格式</w:t>
      </w:r>
    </w:p>
    <w:p w14:paraId="40FBECF7">
      <w:pPr>
        <w:tabs>
          <w:tab w:val="left" w:pos="7740"/>
        </w:tabs>
        <w:spacing w:line="500" w:lineRule="exact"/>
        <w:rPr>
          <w:rFonts w:hint="eastAsia" w:asciiTheme="minorEastAsia" w:hAnsiTheme="minorEastAsia" w:eastAsiaTheme="minorEastAsia" w:cstheme="minorEastAsia"/>
          <w:bCs/>
          <w:color w:val="auto"/>
          <w:sz w:val="32"/>
          <w:szCs w:val="32"/>
          <w:highlight w:val="none"/>
        </w:rPr>
      </w:pPr>
    </w:p>
    <w:p w14:paraId="1BBE9022">
      <w:pPr>
        <w:tabs>
          <w:tab w:val="left" w:pos="7740"/>
        </w:tabs>
        <w:spacing w:line="500" w:lineRule="exact"/>
        <w:rPr>
          <w:rFonts w:hint="eastAsia" w:asciiTheme="minorEastAsia" w:hAnsiTheme="minorEastAsia" w:eastAsiaTheme="minorEastAsia" w:cstheme="minorEastAsia"/>
          <w:bCs/>
          <w:color w:val="auto"/>
          <w:sz w:val="32"/>
          <w:szCs w:val="32"/>
          <w:highlight w:val="none"/>
        </w:rPr>
      </w:pPr>
    </w:p>
    <w:p w14:paraId="78AC1801">
      <w:pPr>
        <w:autoSpaceDE w:val="0"/>
        <w:autoSpaceDN w:val="0"/>
        <w:adjustRightInd w:val="0"/>
        <w:spacing w:line="500" w:lineRule="exact"/>
        <w:jc w:val="center"/>
        <w:rPr>
          <w:rFonts w:hint="eastAsia" w:asciiTheme="minorEastAsia" w:hAnsiTheme="minorEastAsia" w:eastAsiaTheme="minorEastAsia" w:cstheme="minorEastAsia"/>
          <w:b/>
          <w:bCs/>
          <w:color w:val="auto"/>
          <w:sz w:val="36"/>
          <w:szCs w:val="36"/>
          <w:highlight w:val="none"/>
          <w:lang w:val="zh-CN"/>
        </w:rPr>
      </w:pPr>
    </w:p>
    <w:p w14:paraId="7D21CC48">
      <w:pPr>
        <w:autoSpaceDE w:val="0"/>
        <w:autoSpaceDN w:val="0"/>
        <w:adjustRightInd w:val="0"/>
        <w:spacing w:line="500" w:lineRule="exact"/>
        <w:rPr>
          <w:rFonts w:hint="eastAsia" w:asciiTheme="minorEastAsia" w:hAnsiTheme="minorEastAsia" w:eastAsiaTheme="minorEastAsia" w:cstheme="minorEastAsia"/>
          <w:b/>
          <w:bCs/>
          <w:color w:val="auto"/>
          <w:sz w:val="36"/>
          <w:szCs w:val="36"/>
          <w:highlight w:val="none"/>
          <w:lang w:val="zh-CN"/>
        </w:rPr>
      </w:pPr>
    </w:p>
    <w:p w14:paraId="14A6D1FB">
      <w:pPr>
        <w:autoSpaceDE w:val="0"/>
        <w:autoSpaceDN w:val="0"/>
        <w:adjustRightInd w:val="0"/>
        <w:spacing w:line="500" w:lineRule="exact"/>
        <w:jc w:val="center"/>
        <w:rPr>
          <w:rFonts w:hint="eastAsia" w:asciiTheme="minorEastAsia" w:hAnsiTheme="minorEastAsia" w:eastAsiaTheme="minorEastAsia" w:cstheme="minorEastAsia"/>
          <w:b/>
          <w:bCs/>
          <w:color w:val="auto"/>
          <w:sz w:val="36"/>
          <w:szCs w:val="36"/>
          <w:highlight w:val="none"/>
          <w:lang w:val="zh-CN"/>
        </w:rPr>
      </w:pPr>
    </w:p>
    <w:p w14:paraId="5ED24C58">
      <w:pPr>
        <w:autoSpaceDE w:val="0"/>
        <w:autoSpaceDN w:val="0"/>
        <w:adjustRightInd w:val="0"/>
        <w:spacing w:line="500" w:lineRule="exact"/>
        <w:jc w:val="center"/>
        <w:rPr>
          <w:rFonts w:hint="eastAsia" w:asciiTheme="minorEastAsia" w:hAnsiTheme="minorEastAsia" w:eastAsiaTheme="minorEastAsia" w:cstheme="minorEastAsia"/>
          <w:b/>
          <w:bCs/>
          <w:color w:val="auto"/>
          <w:sz w:val="36"/>
          <w:szCs w:val="36"/>
          <w:highlight w:val="none"/>
          <w:lang w:val="zh-CN"/>
        </w:rPr>
      </w:pPr>
    </w:p>
    <w:p w14:paraId="44C7B4B8">
      <w:pPr>
        <w:autoSpaceDE w:val="0"/>
        <w:autoSpaceDN w:val="0"/>
        <w:adjustRightInd w:val="0"/>
        <w:spacing w:line="500" w:lineRule="exact"/>
        <w:jc w:val="center"/>
        <w:rPr>
          <w:rFonts w:hint="eastAsia" w:asciiTheme="minorEastAsia" w:hAnsiTheme="minorEastAsia" w:eastAsiaTheme="minorEastAsia" w:cstheme="minorEastAsia"/>
          <w:b/>
          <w:bCs/>
          <w:color w:val="auto"/>
          <w:sz w:val="36"/>
          <w:szCs w:val="36"/>
          <w:highlight w:val="none"/>
          <w:lang w:val="zh-CN"/>
        </w:rPr>
      </w:pPr>
    </w:p>
    <w:p w14:paraId="3C6CCE23">
      <w:pPr>
        <w:autoSpaceDE w:val="0"/>
        <w:autoSpaceDN w:val="0"/>
        <w:adjustRightInd w:val="0"/>
        <w:spacing w:line="500" w:lineRule="exact"/>
        <w:jc w:val="center"/>
        <w:rPr>
          <w:rFonts w:hint="eastAsia" w:asciiTheme="minorEastAsia" w:hAnsiTheme="minorEastAsia" w:eastAsiaTheme="minorEastAsia" w:cstheme="minorEastAsia"/>
          <w:b/>
          <w:bCs/>
          <w:color w:val="auto"/>
          <w:sz w:val="36"/>
          <w:szCs w:val="36"/>
          <w:highlight w:val="none"/>
          <w:lang w:val="zh-CN"/>
        </w:rPr>
      </w:pPr>
    </w:p>
    <w:p w14:paraId="352CDFA5">
      <w:pPr>
        <w:autoSpaceDE w:val="0"/>
        <w:autoSpaceDN w:val="0"/>
        <w:adjustRightInd w:val="0"/>
        <w:spacing w:line="500" w:lineRule="exact"/>
        <w:jc w:val="center"/>
        <w:rPr>
          <w:rFonts w:hint="eastAsia" w:asciiTheme="minorEastAsia" w:hAnsiTheme="minorEastAsia" w:eastAsiaTheme="minorEastAsia" w:cstheme="minorEastAsia"/>
          <w:b/>
          <w:bCs/>
          <w:color w:val="auto"/>
          <w:sz w:val="36"/>
          <w:szCs w:val="36"/>
          <w:highlight w:val="none"/>
          <w:lang w:val="zh-CN"/>
        </w:rPr>
      </w:pPr>
    </w:p>
    <w:p w14:paraId="158C88FF">
      <w:pPr>
        <w:autoSpaceDE w:val="0"/>
        <w:autoSpaceDN w:val="0"/>
        <w:adjustRightInd w:val="0"/>
        <w:spacing w:line="500" w:lineRule="exact"/>
        <w:jc w:val="center"/>
        <w:rPr>
          <w:rFonts w:hint="eastAsia" w:asciiTheme="minorEastAsia" w:hAnsiTheme="minorEastAsia" w:eastAsiaTheme="minorEastAsia" w:cstheme="minorEastAsia"/>
          <w:b/>
          <w:bCs/>
          <w:color w:val="auto"/>
          <w:sz w:val="36"/>
          <w:szCs w:val="36"/>
          <w:highlight w:val="none"/>
          <w:lang w:val="zh-CN"/>
        </w:rPr>
      </w:pPr>
    </w:p>
    <w:p w14:paraId="4B706020">
      <w:pPr>
        <w:pStyle w:val="6"/>
        <w:rPr>
          <w:rFonts w:hint="eastAsia" w:asciiTheme="minorEastAsia" w:hAnsiTheme="minorEastAsia" w:eastAsiaTheme="minorEastAsia" w:cstheme="minorEastAsia"/>
          <w:color w:val="auto"/>
          <w:highlight w:val="none"/>
          <w:lang w:val="zh-CN"/>
        </w:rPr>
      </w:pPr>
    </w:p>
    <w:p w14:paraId="31247C06">
      <w:pPr>
        <w:pStyle w:val="6"/>
        <w:rPr>
          <w:rFonts w:hint="eastAsia" w:asciiTheme="minorEastAsia" w:hAnsiTheme="minorEastAsia" w:eastAsiaTheme="minorEastAsia" w:cstheme="minorEastAsia"/>
          <w:color w:val="auto"/>
          <w:highlight w:val="none"/>
          <w:lang w:val="zh-CN"/>
        </w:rPr>
      </w:pPr>
    </w:p>
    <w:p w14:paraId="5FB6C832">
      <w:pPr>
        <w:rPr>
          <w:rFonts w:hint="eastAsia" w:asciiTheme="minorEastAsia" w:hAnsiTheme="minorEastAsia" w:eastAsiaTheme="minorEastAsia" w:cstheme="minorEastAsia"/>
          <w:color w:val="auto"/>
          <w:highlight w:val="none"/>
          <w:lang w:val="zh-CN"/>
        </w:rPr>
      </w:pPr>
    </w:p>
    <w:p w14:paraId="022B1417">
      <w:pPr>
        <w:pStyle w:val="6"/>
        <w:rPr>
          <w:rFonts w:hint="eastAsia" w:asciiTheme="minorEastAsia" w:hAnsiTheme="minorEastAsia" w:eastAsiaTheme="minorEastAsia" w:cstheme="minorEastAsia"/>
          <w:color w:val="auto"/>
          <w:highlight w:val="none"/>
          <w:lang w:val="zh-CN"/>
        </w:rPr>
      </w:pPr>
    </w:p>
    <w:p w14:paraId="49AE5560">
      <w:pPr>
        <w:autoSpaceDE w:val="0"/>
        <w:autoSpaceDN w:val="0"/>
        <w:adjustRightInd w:val="0"/>
        <w:spacing w:line="500" w:lineRule="exact"/>
        <w:jc w:val="center"/>
        <w:rPr>
          <w:rFonts w:hint="eastAsia" w:asciiTheme="minorEastAsia" w:hAnsiTheme="minorEastAsia" w:eastAsiaTheme="minorEastAsia" w:cstheme="minorEastAsia"/>
          <w:b/>
          <w:bCs/>
          <w:color w:val="auto"/>
          <w:sz w:val="36"/>
          <w:szCs w:val="36"/>
          <w:highlight w:val="none"/>
          <w:lang w:val="zh-CN"/>
        </w:rPr>
      </w:pPr>
    </w:p>
    <w:p w14:paraId="3CB98CC8">
      <w:pPr>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br w:type="page"/>
      </w:r>
    </w:p>
    <w:p w14:paraId="400E255C">
      <w:pPr>
        <w:autoSpaceDE w:val="0"/>
        <w:autoSpaceDN w:val="0"/>
        <w:adjustRightInd w:val="0"/>
        <w:snapToGrid w:val="0"/>
        <w:spacing w:line="500" w:lineRule="exact"/>
        <w:jc w:val="center"/>
        <w:outlineLvl w:val="0"/>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lang w:val="zh-CN"/>
        </w:rPr>
        <w:t>第一部分  竞争性磋商公告</w:t>
      </w:r>
    </w:p>
    <w:p w14:paraId="79BC10F6">
      <w:pPr>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受[</w:t>
      </w:r>
      <w:r>
        <w:rPr>
          <w:rFonts w:hint="eastAsia" w:asciiTheme="minorEastAsia" w:hAnsiTheme="minorEastAsia" w:eastAsiaTheme="minorEastAsia" w:cstheme="minorEastAsia"/>
          <w:color w:val="auto"/>
          <w:sz w:val="28"/>
          <w:szCs w:val="28"/>
          <w:highlight w:val="none"/>
          <w:lang w:eastAsia="zh-CN"/>
        </w:rPr>
        <w:t>启东市吕四港镇人民政府</w:t>
      </w:r>
      <w:r>
        <w:rPr>
          <w:rFonts w:hint="eastAsia" w:asciiTheme="minorEastAsia" w:hAnsiTheme="minorEastAsia" w:eastAsiaTheme="minorEastAsia" w:cstheme="minorEastAsia"/>
          <w:color w:val="auto"/>
          <w:sz w:val="28"/>
          <w:szCs w:val="28"/>
          <w:highlight w:val="none"/>
        </w:rPr>
        <w:t>]的委托，就[</w:t>
      </w:r>
      <w:r>
        <w:rPr>
          <w:rFonts w:hint="eastAsia" w:asciiTheme="minorEastAsia" w:hAnsiTheme="minorEastAsia" w:eastAsiaTheme="minorEastAsia" w:cstheme="minorEastAsia"/>
          <w:color w:val="auto"/>
          <w:sz w:val="28"/>
          <w:szCs w:val="28"/>
          <w:highlight w:val="none"/>
          <w:lang w:val="en-US" w:eastAsia="zh-CN"/>
        </w:rPr>
        <w:t>吕四港镇沿海巡防服务项目</w:t>
      </w:r>
      <w:r>
        <w:rPr>
          <w:rFonts w:hint="eastAsia" w:asciiTheme="minorEastAsia" w:hAnsiTheme="minorEastAsia" w:eastAsiaTheme="minorEastAsia" w:cstheme="minorEastAsia"/>
          <w:color w:val="auto"/>
          <w:sz w:val="28"/>
          <w:szCs w:val="28"/>
          <w:highlight w:val="none"/>
        </w:rPr>
        <w:t>]（项目编号：JSZC-320681-HXTH-C2026-0041）进行竞争性磋商采购，欢迎符合条件的供应商参加磋商。</w:t>
      </w:r>
    </w:p>
    <w:p w14:paraId="3EE3A5B4">
      <w:pPr>
        <w:pBdr>
          <w:top w:val="single" w:color="auto" w:sz="4" w:space="1"/>
          <w:left w:val="single" w:color="auto" w:sz="4" w:space="1"/>
          <w:bottom w:val="single" w:color="auto" w:sz="4" w:space="1"/>
          <w:right w:val="single" w:color="auto" w:sz="4" w:space="4"/>
        </w:pBd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项目概况</w:t>
      </w:r>
    </w:p>
    <w:p w14:paraId="3E58B971">
      <w:pPr>
        <w:pBdr>
          <w:top w:val="single" w:color="auto" w:sz="4" w:space="1"/>
          <w:left w:val="single" w:color="auto" w:sz="4" w:space="1"/>
          <w:bottom w:val="single" w:color="auto" w:sz="4" w:space="1"/>
          <w:right w:val="single" w:color="auto" w:sz="4" w:space="4"/>
        </w:pBdr>
        <w:adjustRightInd w:val="0"/>
        <w:snapToGrid w:val="0"/>
        <w:spacing w:after="24" w:afterLines="10" w:line="500" w:lineRule="exact"/>
        <w:ind w:firstLine="560" w:firstLineChars="200"/>
        <w:rPr>
          <w:rFonts w:hint="eastAsia" w:asciiTheme="minorEastAsia" w:hAnsiTheme="minorEastAsia" w:eastAsiaTheme="minorEastAsia" w:cstheme="minorEastAsia"/>
          <w:b/>
          <w:color w:val="auto"/>
          <w:spacing w:val="7"/>
          <w:kern w:val="0"/>
          <w:sz w:val="28"/>
          <w:szCs w:val="28"/>
          <w:highlight w:val="none"/>
        </w:rPr>
      </w:pPr>
      <w:bookmarkStart w:id="0" w:name="_Hlk194482126"/>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吕四港镇沿海巡防服务项目</w:t>
      </w:r>
      <w:r>
        <w:rPr>
          <w:rFonts w:hint="eastAsia" w:asciiTheme="minorEastAsia" w:hAnsiTheme="minorEastAsia" w:eastAsiaTheme="minorEastAsia" w:cstheme="minorEastAsia"/>
          <w:color w:val="auto"/>
          <w:sz w:val="28"/>
          <w:szCs w:val="28"/>
          <w:highlight w:val="none"/>
        </w:rPr>
        <w:t>]的</w:t>
      </w:r>
      <w:bookmarkEnd w:id="0"/>
      <w:r>
        <w:rPr>
          <w:rFonts w:hint="eastAsia" w:asciiTheme="minorEastAsia" w:hAnsiTheme="minorEastAsia" w:eastAsiaTheme="minorEastAsia" w:cstheme="minorEastAsia"/>
          <w:color w:val="auto"/>
          <w:sz w:val="28"/>
          <w:szCs w:val="28"/>
          <w:highlight w:val="none"/>
        </w:rPr>
        <w:t>潜在供应商应在江苏政府采购网获取采购文件，并于</w:t>
      </w:r>
      <w:r>
        <w:rPr>
          <w:rFonts w:hint="eastAsia" w:asciiTheme="minorEastAsia" w:hAnsiTheme="minorEastAsia" w:eastAsiaTheme="minorEastAsia" w:cstheme="minorEastAsia"/>
          <w:color w:val="auto"/>
          <w:sz w:val="28"/>
          <w:szCs w:val="28"/>
          <w:highlight w:val="none"/>
          <w:lang w:val="en-US" w:eastAsia="zh-CN"/>
        </w:rPr>
        <w:t>2026</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lang w:val="en-US" w:eastAsia="zh-CN"/>
        </w:rPr>
        <w:t>11</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lang w:val="en-US" w:eastAsia="zh-CN"/>
        </w:rPr>
        <w:t>13</w:t>
      </w:r>
      <w:r>
        <w:rPr>
          <w:rFonts w:hint="eastAsia" w:asciiTheme="minorEastAsia" w:hAnsiTheme="minorEastAsia" w:eastAsiaTheme="minorEastAsia" w:cstheme="minorEastAsia"/>
          <w:color w:val="auto"/>
          <w:sz w:val="28"/>
          <w:szCs w:val="28"/>
          <w:highlight w:val="none"/>
        </w:rPr>
        <w:t>日</w:t>
      </w:r>
      <w:r>
        <w:rPr>
          <w:rFonts w:hint="eastAsia" w:asciiTheme="minorEastAsia" w:hAnsiTheme="minorEastAsia" w:eastAsiaTheme="minorEastAsia" w:cstheme="minorEastAsia"/>
          <w:color w:val="auto"/>
          <w:sz w:val="28"/>
          <w:szCs w:val="28"/>
          <w:highlight w:val="none"/>
          <w:lang w:val="en-US" w:eastAsia="zh-CN"/>
        </w:rPr>
        <w:t>0</w:t>
      </w:r>
      <w:r>
        <w:rPr>
          <w:rFonts w:hint="eastAsia" w:asciiTheme="minorEastAsia" w:hAnsiTheme="minorEastAsia" w:eastAsiaTheme="minorEastAsia" w:cstheme="minorEastAsia"/>
          <w:color w:val="auto"/>
          <w:sz w:val="28"/>
          <w:szCs w:val="28"/>
          <w:highlight w:val="none"/>
        </w:rPr>
        <w:t>9点00分（北京时间）前提交响应文件。</w:t>
      </w:r>
    </w:p>
    <w:p w14:paraId="6CCEEFBA">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一、项目基本情况</w:t>
      </w:r>
    </w:p>
    <w:p w14:paraId="59CF9DF1">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项目编号：JSZC-320681-HXTH-C2026-0041</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 xml:space="preserve">  </w:t>
      </w:r>
    </w:p>
    <w:p w14:paraId="0CEB0BA2">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项目名称：</w:t>
      </w:r>
      <w:r>
        <w:rPr>
          <w:rFonts w:hint="eastAsia" w:asciiTheme="minorEastAsia" w:hAnsiTheme="minorEastAsia" w:eastAsiaTheme="minorEastAsia" w:cstheme="minorEastAsia"/>
          <w:color w:val="auto"/>
          <w:sz w:val="28"/>
          <w:szCs w:val="28"/>
          <w:highlight w:val="none"/>
          <w:lang w:val="en-US" w:eastAsia="zh-CN"/>
        </w:rPr>
        <w:t>吕四港镇沿海巡防服务项目</w:t>
      </w:r>
    </w:p>
    <w:p w14:paraId="45D2BB05">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项目类型：服务</w:t>
      </w:r>
      <w:r>
        <w:rPr>
          <w:rFonts w:hint="eastAsia" w:asciiTheme="minorEastAsia" w:hAnsiTheme="minorEastAsia" w:eastAsiaTheme="minorEastAsia" w:cstheme="minorEastAsia"/>
          <w:color w:val="auto"/>
          <w:sz w:val="28"/>
          <w:szCs w:val="28"/>
          <w:highlight w:val="none"/>
          <w:lang w:eastAsia="zh-CN"/>
        </w:rPr>
        <w:tab/>
      </w:r>
    </w:p>
    <w:p w14:paraId="24E30D65">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所属行业：</w:t>
      </w:r>
      <w:r>
        <w:rPr>
          <w:rFonts w:hint="eastAsia" w:asciiTheme="minorEastAsia" w:hAnsiTheme="minorEastAsia" w:eastAsiaTheme="minorEastAsia" w:cstheme="minorEastAsia"/>
          <w:color w:val="auto"/>
          <w:sz w:val="28"/>
          <w:szCs w:val="28"/>
          <w:highlight w:val="none"/>
          <w:lang w:val="en-US" w:eastAsia="zh-CN"/>
        </w:rPr>
        <w:t>租赁和商务服务业</w:t>
      </w:r>
    </w:p>
    <w:p w14:paraId="20355BF8">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预算金额：</w:t>
      </w:r>
      <w:r>
        <w:rPr>
          <w:rFonts w:hint="eastAsia" w:asciiTheme="minorEastAsia" w:hAnsiTheme="minorEastAsia" w:eastAsiaTheme="minorEastAsia" w:cstheme="minorEastAsia"/>
          <w:color w:val="auto"/>
          <w:sz w:val="28"/>
          <w:szCs w:val="28"/>
          <w:highlight w:val="none"/>
          <w:lang w:val="en-US" w:eastAsia="zh-CN"/>
        </w:rPr>
        <w:t>115</w:t>
      </w:r>
      <w:r>
        <w:rPr>
          <w:rFonts w:hint="eastAsia" w:asciiTheme="minorEastAsia" w:hAnsiTheme="minorEastAsia" w:eastAsiaTheme="minorEastAsia" w:cstheme="minorEastAsia"/>
          <w:color w:val="auto"/>
          <w:sz w:val="28"/>
          <w:szCs w:val="28"/>
          <w:highlight w:val="none"/>
        </w:rPr>
        <w:t>万元</w:t>
      </w:r>
    </w:p>
    <w:p w14:paraId="3A160DB0">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最高限价：</w:t>
      </w:r>
      <w:r>
        <w:rPr>
          <w:rFonts w:hint="eastAsia" w:asciiTheme="minorEastAsia" w:hAnsiTheme="minorEastAsia" w:eastAsiaTheme="minorEastAsia" w:cstheme="minorEastAsia"/>
          <w:color w:val="auto"/>
          <w:sz w:val="28"/>
          <w:szCs w:val="28"/>
          <w:highlight w:val="none"/>
          <w:lang w:val="en-US" w:eastAsia="zh-CN"/>
        </w:rPr>
        <w:t>115</w:t>
      </w:r>
      <w:r>
        <w:rPr>
          <w:rFonts w:hint="eastAsia" w:asciiTheme="minorEastAsia" w:hAnsiTheme="minorEastAsia" w:eastAsiaTheme="minorEastAsia" w:cstheme="minorEastAsia"/>
          <w:color w:val="auto"/>
          <w:sz w:val="28"/>
          <w:szCs w:val="28"/>
          <w:highlight w:val="none"/>
        </w:rPr>
        <w:t>万元</w:t>
      </w:r>
    </w:p>
    <w:p w14:paraId="7B17F58C">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采购需求：详见磋商文件，请仔细研究。</w:t>
      </w:r>
    </w:p>
    <w:p w14:paraId="45D51212">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合同履行期限：详见磋商文件第三部分项目需求。</w:t>
      </w:r>
    </w:p>
    <w:p w14:paraId="1F856427">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本项目是否接受联合体响应：否。</w:t>
      </w:r>
    </w:p>
    <w:p w14:paraId="5B5FE8DC">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本项目是否接受分包：否。</w:t>
      </w:r>
    </w:p>
    <w:p w14:paraId="09751EB6">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二、供应商的资格要求</w:t>
      </w:r>
    </w:p>
    <w:p w14:paraId="20C69C97">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1.满足《中华人民共和国政府采购法》第二十二条规定。</w:t>
      </w:r>
    </w:p>
    <w:p w14:paraId="42786FB3">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p>
    <w:p w14:paraId="7DCABE97">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3.本项目的特定资格要求：</w:t>
      </w:r>
    </w:p>
    <w:p w14:paraId="32AD7D18">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3.1具有有效的《劳务派遣经营许可证》。</w:t>
      </w:r>
    </w:p>
    <w:p w14:paraId="5C04614C">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3.2</w:t>
      </w:r>
      <w:r>
        <w:rPr>
          <w:rFonts w:hint="eastAsia" w:asciiTheme="minorEastAsia" w:hAnsiTheme="minorEastAsia" w:eastAsiaTheme="minorEastAsia" w:cstheme="minorEastAsia"/>
          <w:color w:val="auto"/>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DA63220">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三、获取采购文件</w:t>
      </w:r>
    </w:p>
    <w:p w14:paraId="3BDDAC40">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时间：自本公告发布之日起5个工作日</w:t>
      </w:r>
    </w:p>
    <w:p w14:paraId="4225D6B0">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地点：江苏政府采购网（网上注册登记成功后系统内免费下载）</w:t>
      </w:r>
    </w:p>
    <w:p w14:paraId="40A9E3B2">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方式：本项目采用网上注册登记方式。</w:t>
      </w:r>
    </w:p>
    <w:p w14:paraId="509101A0">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65F8286C">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2.潜在供应商访问“苏采云”系统的网络地址和方法：“苏采云”系统的网址：http://jszfcg.jsczt.cn/。</w:t>
      </w:r>
    </w:p>
    <w:p w14:paraId="7C339424">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61C73245">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4.采购文件（后缀名为“.kedt”）、供应商操作指南及政府采购客户端工具可通过“苏采云”系统－已报名项目－报名详情页面内相应链接进行下载。</w:t>
      </w:r>
    </w:p>
    <w:p w14:paraId="31E07163">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5.招标代理机构（采购代理机构）将数据电文形式的采购文件加载至“苏采云”系统，供潜在供应商下载或者查阅。</w:t>
      </w:r>
    </w:p>
    <w:p w14:paraId="0A6AA129">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6.请潜在响应单位提前安装相应的控件（详见《江苏省政府采购管理交易系统（苏采云）供应商操作指南》）并使用谷歌浏览器登录“苏采云”系统参与不见面开评标。</w:t>
      </w:r>
    </w:p>
    <w:p w14:paraId="37B54C3B">
      <w:pPr>
        <w:keepNext w:val="0"/>
        <w:keepLines w:val="0"/>
        <w:pageBreakBefore w:val="0"/>
        <w:widowControl w:val="0"/>
        <w:kinsoku/>
        <w:wordWrap/>
        <w:overflowPunct/>
        <w:topLinePunct w:val="0"/>
        <w:autoSpaceDE/>
        <w:autoSpaceDN/>
        <w:bidi w:val="0"/>
        <w:adjustRightInd w:val="0"/>
        <w:snapToGrid w:val="0"/>
        <w:spacing w:line="480" w:lineRule="atLeast"/>
        <w:ind w:firstLine="562"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color w:val="auto"/>
          <w:sz w:val="28"/>
          <w:szCs w:val="28"/>
          <w:highlight w:val="none"/>
        </w:rPr>
        <w:t>注：如潜在供应商未按上述要求操作，将自行承担所产生的风险。</w:t>
      </w:r>
    </w:p>
    <w:p w14:paraId="413A3EF6">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四、提交响应文件截止时间、磋商时间和地点</w:t>
      </w:r>
    </w:p>
    <w:p w14:paraId="728E40CD">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i/>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lang w:val="en-US" w:eastAsia="zh-CN"/>
        </w:rPr>
        <w:t>2026</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lang w:val="en-US" w:eastAsia="zh-CN"/>
        </w:rPr>
        <w:t>11</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lang w:val="en-US" w:eastAsia="zh-CN"/>
        </w:rPr>
        <w:t>13</w:t>
      </w:r>
      <w:r>
        <w:rPr>
          <w:rFonts w:hint="eastAsia" w:asciiTheme="minorEastAsia" w:hAnsiTheme="minorEastAsia" w:eastAsiaTheme="minorEastAsia" w:cstheme="minorEastAsia"/>
          <w:color w:val="auto"/>
          <w:sz w:val="28"/>
          <w:szCs w:val="28"/>
          <w:highlight w:val="none"/>
        </w:rPr>
        <w:t>日</w:t>
      </w:r>
      <w:r>
        <w:rPr>
          <w:rFonts w:hint="eastAsia" w:asciiTheme="minorEastAsia" w:hAnsiTheme="minorEastAsia" w:eastAsiaTheme="minorEastAsia" w:cstheme="minorEastAsia"/>
          <w:color w:val="auto"/>
          <w:sz w:val="28"/>
          <w:szCs w:val="28"/>
          <w:highlight w:val="none"/>
          <w:lang w:val="en-US" w:eastAsia="zh-CN"/>
        </w:rPr>
        <w:t>0</w:t>
      </w:r>
      <w:r>
        <w:rPr>
          <w:rFonts w:hint="eastAsia" w:asciiTheme="minorEastAsia" w:hAnsiTheme="minorEastAsia" w:eastAsiaTheme="minorEastAsia" w:cstheme="minorEastAsia"/>
          <w:color w:val="auto"/>
          <w:sz w:val="28"/>
          <w:szCs w:val="28"/>
          <w:highlight w:val="none"/>
        </w:rPr>
        <w:t>9点00分（北京时间）</w:t>
      </w:r>
    </w:p>
    <w:p w14:paraId="5658E5B8">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逾时，交易系统将拒绝接受上传响应文件电子文档。</w:t>
      </w:r>
    </w:p>
    <w:p w14:paraId="2B719764">
      <w:pPr>
        <w:keepNext w:val="0"/>
        <w:keepLines w:val="0"/>
        <w:pageBreakBefore w:val="0"/>
        <w:widowControl w:val="0"/>
        <w:kinsoku/>
        <w:wordWrap/>
        <w:overflowPunct/>
        <w:topLinePunct w:val="0"/>
        <w:autoSpaceDE/>
        <w:autoSpaceDN/>
        <w:bidi w:val="0"/>
        <w:adjustRightInd w:val="0"/>
        <w:snapToGrid w:val="0"/>
        <w:spacing w:line="480" w:lineRule="atLeast"/>
        <w:ind w:firstLine="562" w:firstLineChars="200"/>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14:paraId="3FC99F1C">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2.线上开标地点：“苏采云”系统（网址：http://jszfcg.jsczt.cn/）“开标大厅”。</w:t>
      </w:r>
    </w:p>
    <w:p w14:paraId="34E9CF76">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i/>
          <w:color w:val="auto"/>
          <w:sz w:val="28"/>
          <w:szCs w:val="28"/>
          <w:highlight w:val="none"/>
        </w:rPr>
      </w:pPr>
      <w:r>
        <w:rPr>
          <w:rFonts w:hint="eastAsia" w:asciiTheme="minorEastAsia" w:hAnsiTheme="minorEastAsia" w:eastAsiaTheme="minorEastAsia" w:cstheme="minorEastAsia"/>
          <w:color w:val="auto"/>
          <w:sz w:val="28"/>
          <w:szCs w:val="28"/>
          <w:highlight w:val="none"/>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8C8B6FD">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五、公告期限</w:t>
      </w:r>
    </w:p>
    <w:p w14:paraId="1720C893">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自本公告发布之日起3个工作日。</w:t>
      </w:r>
    </w:p>
    <w:p w14:paraId="5FBB7FE0">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六、其他补充事宜</w:t>
      </w:r>
    </w:p>
    <w:p w14:paraId="3725915D">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1.响应保证金：免收</w:t>
      </w:r>
    </w:p>
    <w:p w14:paraId="37466039">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2.项目磋商活动模式：不见面远程磋商模式，供应商在各自地点通过“苏采云”系统参加磋商活动。</w:t>
      </w:r>
    </w:p>
    <w:p w14:paraId="1E567918">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3.项目演示、样品、答辩等：无。</w:t>
      </w:r>
    </w:p>
    <w:p w14:paraId="16DE2332">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14:paraId="62F8E019">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00B9FBFF">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七、本次磋商联系方式</w:t>
      </w:r>
    </w:p>
    <w:p w14:paraId="7A05221A">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1.采购人信息</w:t>
      </w:r>
    </w:p>
    <w:p w14:paraId="381A9E7D">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 称：</w:t>
      </w:r>
      <w:r>
        <w:rPr>
          <w:rFonts w:hint="eastAsia" w:ascii="宋体" w:hAnsi="宋体" w:eastAsia="宋体" w:cs="宋体"/>
          <w:color w:val="auto"/>
          <w:sz w:val="28"/>
          <w:szCs w:val="28"/>
          <w:highlight w:val="none"/>
          <w:lang w:eastAsia="zh-CN"/>
        </w:rPr>
        <w:t>启东市吕四港镇人民政府</w:t>
      </w:r>
      <w:r>
        <w:rPr>
          <w:rFonts w:hint="eastAsia" w:ascii="宋体" w:hAnsi="宋体" w:eastAsia="宋体" w:cs="宋体"/>
          <w:color w:val="auto"/>
          <w:sz w:val="28"/>
          <w:szCs w:val="28"/>
          <w:highlight w:val="none"/>
        </w:rPr>
        <w:t>　　　　　　　　</w:t>
      </w:r>
    </w:p>
    <w:p w14:paraId="1EF36810">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址：</w:t>
      </w:r>
      <w:r>
        <w:rPr>
          <w:rFonts w:hint="eastAsia" w:ascii="宋体" w:hAnsi="宋体" w:eastAsia="宋体" w:cs="宋体"/>
          <w:color w:val="auto"/>
          <w:sz w:val="28"/>
          <w:szCs w:val="28"/>
          <w:highlight w:val="none"/>
          <w:lang w:val="en-US" w:eastAsia="zh-CN"/>
        </w:rPr>
        <w:t>启东市吕四港镇环城北路328号</w:t>
      </w:r>
      <w:r>
        <w:rPr>
          <w:rFonts w:hint="eastAsia" w:ascii="宋体" w:hAnsi="宋体" w:eastAsia="宋体" w:cs="宋体"/>
          <w:color w:val="auto"/>
          <w:sz w:val="28"/>
          <w:szCs w:val="28"/>
          <w:highlight w:val="none"/>
        </w:rPr>
        <w:t>　</w:t>
      </w:r>
    </w:p>
    <w:p w14:paraId="06C28648">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r>
        <w:rPr>
          <w:rFonts w:hint="eastAsia" w:ascii="宋体" w:hAnsi="宋体" w:eastAsia="宋体" w:cs="宋体"/>
          <w:color w:val="auto"/>
          <w:sz w:val="28"/>
          <w:szCs w:val="28"/>
          <w:highlight w:val="none"/>
          <w:lang w:val="en-US" w:eastAsia="zh-CN"/>
        </w:rPr>
        <w:t>吕东</w:t>
      </w:r>
      <w:r>
        <w:rPr>
          <w:rFonts w:hint="eastAsia" w:ascii="宋体" w:hAnsi="宋体" w:eastAsia="宋体" w:cs="宋体"/>
          <w:color w:val="auto"/>
          <w:sz w:val="28"/>
          <w:szCs w:val="28"/>
          <w:highlight w:val="none"/>
        </w:rPr>
        <w:t>　　　　　　　　　　</w:t>
      </w:r>
    </w:p>
    <w:p w14:paraId="51C39B3F">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联系方式：</w:t>
      </w:r>
      <w:r>
        <w:rPr>
          <w:rFonts w:hint="eastAsia" w:ascii="宋体" w:hAnsi="宋体" w:eastAsia="宋体" w:cs="宋体"/>
          <w:color w:val="auto"/>
          <w:sz w:val="28"/>
          <w:szCs w:val="28"/>
          <w:highlight w:val="none"/>
          <w:lang w:val="en-US" w:eastAsia="zh-CN"/>
        </w:rPr>
        <w:t>0513-68261895</w:t>
      </w:r>
    </w:p>
    <w:p w14:paraId="45AE6E6E">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2.采购代理机构</w:t>
      </w:r>
    </w:p>
    <w:p w14:paraId="5F9D93A3">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 称：江苏天宏华信工程投资管理咨询有限公司</w:t>
      </w:r>
    </w:p>
    <w:p w14:paraId="4DC503BF">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址：启东市南苑西路1168号国动产业园2号楼402室</w:t>
      </w:r>
    </w:p>
    <w:p w14:paraId="14559E5C">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联系人：</w:t>
      </w:r>
      <w:r>
        <w:rPr>
          <w:rFonts w:hint="eastAsia" w:ascii="宋体" w:hAnsi="宋体" w:cs="宋体"/>
          <w:color w:val="auto"/>
          <w:sz w:val="28"/>
          <w:szCs w:val="28"/>
          <w:highlight w:val="none"/>
          <w:lang w:eastAsia="zh-CN"/>
        </w:rPr>
        <w:t>徐海燕</w:t>
      </w:r>
    </w:p>
    <w:p w14:paraId="48CBFD55">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联系方式：0513-83248588</w:t>
      </w:r>
    </w:p>
    <w:p w14:paraId="0D4018F0">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3.软件技术支持</w:t>
      </w:r>
    </w:p>
    <w:p w14:paraId="6F096489">
      <w:pPr>
        <w:keepNext w:val="0"/>
        <w:keepLines w:val="0"/>
        <w:pageBreakBefore w:val="0"/>
        <w:widowControl w:val="0"/>
        <w:kinsoku/>
        <w:wordWrap/>
        <w:overflowPunct/>
        <w:topLinePunct w:val="0"/>
        <w:autoSpaceDE/>
        <w:autoSpaceDN/>
        <w:bidi w:val="0"/>
        <w:adjustRightInd w:val="0"/>
        <w:snapToGrid w:val="0"/>
        <w:spacing w:line="480" w:lineRule="atLeas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交易系统软件维护人员：0519-86722801、0519-86722806。</w:t>
      </w:r>
    </w:p>
    <w:p w14:paraId="25C0DDB2">
      <w:pPr>
        <w:autoSpaceDE w:val="0"/>
        <w:autoSpaceDN w:val="0"/>
        <w:adjustRightInd w:val="0"/>
        <w:snapToGrid w:val="0"/>
        <w:spacing w:line="500" w:lineRule="exact"/>
        <w:jc w:val="center"/>
        <w:outlineLvl w:val="0"/>
        <w:rPr>
          <w:rFonts w:hint="eastAsia" w:asciiTheme="minorEastAsia" w:hAnsiTheme="minorEastAsia" w:eastAsiaTheme="minorEastAsia" w:cstheme="minorEastAsia"/>
          <w:color w:val="auto"/>
          <w:sz w:val="36"/>
          <w:szCs w:val="36"/>
          <w:highlight w:val="none"/>
          <w:lang w:val="zh-CN"/>
        </w:rPr>
      </w:pPr>
      <w:bookmarkStart w:id="1" w:name="_Toc120614214"/>
      <w:bookmarkStart w:id="2" w:name="_Toc513029203"/>
      <w:bookmarkStart w:id="3" w:name="_Toc16938519"/>
      <w:bookmarkStart w:id="4" w:name="_Toc20823275"/>
      <w:r>
        <w:rPr>
          <w:rFonts w:hint="eastAsia" w:asciiTheme="minorEastAsia" w:hAnsiTheme="minorEastAsia" w:eastAsiaTheme="minorEastAsia" w:cstheme="minorEastAsia"/>
          <w:color w:val="auto"/>
          <w:szCs w:val="20"/>
          <w:highlight w:val="none"/>
        </w:rPr>
        <w:br w:type="page"/>
      </w:r>
      <w:r>
        <w:rPr>
          <w:rFonts w:hint="eastAsia" w:asciiTheme="minorEastAsia" w:hAnsiTheme="minorEastAsia" w:eastAsiaTheme="minorEastAsia" w:cstheme="minorEastAsia"/>
          <w:color w:val="auto"/>
          <w:sz w:val="36"/>
          <w:szCs w:val="36"/>
          <w:highlight w:val="none"/>
          <w:lang w:val="zh-CN"/>
        </w:rPr>
        <w:t>第二部分  磋商须知</w:t>
      </w:r>
    </w:p>
    <w:bookmarkEnd w:id="1"/>
    <w:bookmarkEnd w:id="2"/>
    <w:bookmarkEnd w:id="3"/>
    <w:bookmarkEnd w:id="4"/>
    <w:p w14:paraId="79A97FEA">
      <w:pPr>
        <w:keepNext/>
        <w:keepLines/>
        <w:pageBreakBefore w:val="0"/>
        <w:widowControl w:val="0"/>
        <w:kinsoku/>
        <w:wordWrap/>
        <w:overflowPunct/>
        <w:topLinePunct w:val="0"/>
        <w:autoSpaceDE/>
        <w:autoSpaceDN/>
        <w:bidi w:val="0"/>
        <w:spacing w:line="500" w:lineRule="exact"/>
        <w:textAlignment w:val="auto"/>
        <w:outlineLvl w:val="2"/>
        <w:rPr>
          <w:rFonts w:hint="eastAsia" w:ascii="宋体" w:hAnsi="宋体" w:eastAsia="宋体" w:cs="宋体"/>
          <w:b/>
          <w:bCs/>
          <w:color w:val="auto"/>
          <w:sz w:val="28"/>
          <w:szCs w:val="28"/>
          <w:highlight w:val="none"/>
        </w:rPr>
      </w:pPr>
      <w:bookmarkStart w:id="5" w:name="_Toc513029237"/>
      <w:bookmarkStart w:id="6" w:name="_Toc20823309"/>
      <w:bookmarkStart w:id="7" w:name="_Toc16938553"/>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总则</w:t>
      </w:r>
    </w:p>
    <w:p w14:paraId="7BC5B2C6">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8" w:name="_Hlt16619475"/>
      <w:bookmarkEnd w:id="8"/>
      <w:bookmarkStart w:id="9" w:name="_Toc458694821"/>
      <w:bookmarkStart w:id="10" w:name="_Toc20823276"/>
      <w:bookmarkStart w:id="11" w:name="_Toc513029204"/>
      <w:bookmarkStart w:id="12" w:name="_Toc16938520"/>
      <w:r>
        <w:rPr>
          <w:rFonts w:hint="eastAsia" w:ascii="宋体" w:hAnsi="宋体" w:eastAsia="宋体" w:cs="宋体"/>
          <w:color w:val="auto"/>
          <w:sz w:val="28"/>
          <w:szCs w:val="28"/>
          <w:highlight w:val="none"/>
        </w:rPr>
        <w:t>1</w:t>
      </w:r>
      <w:bookmarkEnd w:id="9"/>
      <w:r>
        <w:rPr>
          <w:rFonts w:hint="eastAsia" w:ascii="宋体" w:hAnsi="宋体" w:eastAsia="宋体" w:cs="宋体"/>
          <w:color w:val="auto"/>
          <w:sz w:val="28"/>
          <w:szCs w:val="28"/>
          <w:highlight w:val="none"/>
        </w:rPr>
        <w:t>.采购方式</w:t>
      </w:r>
      <w:bookmarkEnd w:id="10"/>
      <w:bookmarkEnd w:id="11"/>
      <w:bookmarkEnd w:id="12"/>
    </w:p>
    <w:p w14:paraId="51467A22">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1.1本次采取竞争性磋商方式，本磋商文件仅适用于磋商公告中所述项目。</w:t>
      </w:r>
    </w:p>
    <w:p w14:paraId="516B3AB5">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13" w:name="_Toc16938521"/>
      <w:bookmarkStart w:id="14" w:name="_Toc20823277"/>
      <w:bookmarkStart w:id="15" w:name="_Toc513029205"/>
      <w:r>
        <w:rPr>
          <w:rFonts w:hint="eastAsia" w:ascii="宋体" w:hAnsi="宋体" w:eastAsia="宋体" w:cs="宋体"/>
          <w:color w:val="auto"/>
          <w:sz w:val="28"/>
          <w:szCs w:val="28"/>
          <w:highlight w:val="none"/>
        </w:rPr>
        <w:t>2.合格的</w:t>
      </w:r>
      <w:bookmarkEnd w:id="13"/>
      <w:bookmarkEnd w:id="14"/>
      <w:bookmarkEnd w:id="15"/>
      <w:r>
        <w:rPr>
          <w:rFonts w:hint="eastAsia" w:ascii="宋体" w:hAnsi="宋体" w:eastAsia="宋体" w:cs="宋体"/>
          <w:color w:val="auto"/>
          <w:sz w:val="28"/>
          <w:szCs w:val="28"/>
          <w:highlight w:val="none"/>
        </w:rPr>
        <w:t>供应商</w:t>
      </w:r>
    </w:p>
    <w:p w14:paraId="3AA4E876">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2.1满足磋商公告中供应商的资格要求的规定。</w:t>
      </w:r>
    </w:p>
    <w:p w14:paraId="42510CC3">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2.2满足本文件实质性条款的规定。</w:t>
      </w:r>
    </w:p>
    <w:p w14:paraId="78F8035D">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16" w:name="_Toc513029206"/>
      <w:bookmarkStart w:id="17" w:name="_Toc20823278"/>
      <w:bookmarkStart w:id="18" w:name="_Toc16938522"/>
      <w:r>
        <w:rPr>
          <w:rFonts w:hint="eastAsia" w:ascii="宋体" w:hAnsi="宋体" w:eastAsia="宋体" w:cs="宋体"/>
          <w:color w:val="auto"/>
          <w:sz w:val="28"/>
          <w:szCs w:val="28"/>
          <w:highlight w:val="none"/>
        </w:rPr>
        <w:t>3.适用法律</w:t>
      </w:r>
      <w:bookmarkEnd w:id="16"/>
      <w:bookmarkEnd w:id="17"/>
      <w:bookmarkEnd w:id="18"/>
    </w:p>
    <w:p w14:paraId="3C99EA94">
      <w:pPr>
        <w:pageBreakBefore w:val="0"/>
        <w:widowControl w:val="0"/>
        <w:kinsoku/>
        <w:wordWrap/>
        <w:overflowPunct/>
        <w:topLinePunct w:val="0"/>
        <w:autoSpaceDE/>
        <w:autoSpaceDN/>
        <w:bidi w:val="0"/>
        <w:adjustRightInd/>
        <w:snapToGrid/>
        <w:spacing w:line="500" w:lineRule="exact"/>
        <w:ind w:firstLine="49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3.1本次采购及由此产生的合同受中华人民共和国有关的法律法规制约和保护。</w:t>
      </w:r>
    </w:p>
    <w:p w14:paraId="72DFF8AC">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19" w:name="_Toc462564067"/>
      <w:bookmarkStart w:id="20" w:name="_Toc16938523"/>
      <w:bookmarkStart w:id="21" w:name="_Toc513029207"/>
      <w:bookmarkStart w:id="22" w:name="_Toc20823279"/>
      <w:r>
        <w:rPr>
          <w:rFonts w:hint="eastAsia" w:ascii="宋体" w:hAnsi="宋体" w:eastAsia="宋体" w:cs="宋体"/>
          <w:color w:val="auto"/>
          <w:sz w:val="28"/>
          <w:szCs w:val="28"/>
          <w:highlight w:val="none"/>
        </w:rPr>
        <w:t>4.磋商费用</w:t>
      </w:r>
      <w:bookmarkEnd w:id="19"/>
      <w:bookmarkEnd w:id="20"/>
      <w:bookmarkEnd w:id="21"/>
      <w:bookmarkEnd w:id="22"/>
    </w:p>
    <w:p w14:paraId="72DE601A">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4.1</w:t>
      </w:r>
      <w:r>
        <w:rPr>
          <w:rFonts w:hint="eastAsia" w:ascii="宋体" w:hAnsi="宋体" w:eastAsia="宋体" w:cs="宋体"/>
          <w:color w:val="auto"/>
          <w:sz w:val="28"/>
          <w:szCs w:val="28"/>
          <w:highlight w:val="none"/>
        </w:rPr>
        <w:t>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在任何情况下均无义务和责任承担这些费用。</w:t>
      </w:r>
    </w:p>
    <w:p w14:paraId="3625819A">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5.磋商文件的约束力</w:t>
      </w:r>
    </w:p>
    <w:p w14:paraId="6E1D8ED3">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5.1</w:t>
      </w:r>
      <w:r>
        <w:rPr>
          <w:rFonts w:hint="eastAsia" w:ascii="宋体" w:hAnsi="宋体" w:eastAsia="宋体" w:cs="宋体"/>
          <w:color w:val="auto"/>
          <w:sz w:val="28"/>
          <w:szCs w:val="28"/>
          <w:highlight w:val="none"/>
        </w:rPr>
        <w:t>供应商一旦参加本项目采购活动，即被认为接受了本磋商文件的规定和约束。</w:t>
      </w:r>
    </w:p>
    <w:p w14:paraId="643DDAF9">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6.磋商文件的解释</w:t>
      </w:r>
    </w:p>
    <w:p w14:paraId="712DE9F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6.1</w:t>
      </w:r>
      <w:r>
        <w:rPr>
          <w:rFonts w:hint="eastAsia" w:ascii="宋体" w:hAnsi="宋体" w:eastAsia="宋体" w:cs="宋体"/>
          <w:color w:val="auto"/>
          <w:sz w:val="28"/>
          <w:szCs w:val="28"/>
          <w:highlight w:val="none"/>
        </w:rPr>
        <w:t>磋商文件需求部分（供应商资格要求、项目需求、商务技术评分标准）由采购人解释，其他部分由代理机构解释。</w:t>
      </w:r>
    </w:p>
    <w:p w14:paraId="60375905">
      <w:pPr>
        <w:keepNext/>
        <w:keepLines/>
        <w:pageBreakBefore w:val="0"/>
        <w:widowControl w:val="0"/>
        <w:kinsoku/>
        <w:wordWrap/>
        <w:overflowPunct/>
        <w:topLinePunct w:val="0"/>
        <w:autoSpaceDE/>
        <w:autoSpaceDN/>
        <w:bidi w:val="0"/>
        <w:adjustRightInd/>
        <w:snapToGrid/>
        <w:spacing w:line="500" w:lineRule="exact"/>
        <w:textAlignment w:val="auto"/>
        <w:outlineLvl w:val="2"/>
        <w:rPr>
          <w:rFonts w:hint="eastAsia" w:ascii="宋体" w:hAnsi="宋体" w:eastAsia="宋体" w:cs="宋体"/>
          <w:b/>
          <w:bCs/>
          <w:color w:val="auto"/>
          <w:sz w:val="28"/>
          <w:szCs w:val="28"/>
          <w:highlight w:val="none"/>
        </w:rPr>
      </w:pPr>
      <w:bookmarkStart w:id="23" w:name="_Toc20823281"/>
      <w:bookmarkStart w:id="24" w:name="_Toc513029209"/>
      <w:bookmarkStart w:id="25" w:name="_Toc16938525"/>
      <w:bookmarkStart w:id="26" w:name="_Toc120614215"/>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磋商文件</w:t>
      </w:r>
      <w:bookmarkEnd w:id="23"/>
      <w:bookmarkEnd w:id="24"/>
      <w:bookmarkEnd w:id="25"/>
      <w:bookmarkEnd w:id="26"/>
    </w:p>
    <w:p w14:paraId="358A7A13">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27" w:name="_Toc16938526"/>
      <w:bookmarkStart w:id="28" w:name="_Toc513029210"/>
      <w:bookmarkStart w:id="29" w:name="_Toc20823282"/>
      <w:r>
        <w:rPr>
          <w:rFonts w:hint="eastAsia" w:ascii="宋体" w:hAnsi="宋体" w:eastAsia="宋体" w:cs="宋体"/>
          <w:color w:val="auto"/>
          <w:sz w:val="28"/>
          <w:szCs w:val="28"/>
          <w:highlight w:val="none"/>
        </w:rPr>
        <w:t>1.磋商文件构成</w:t>
      </w:r>
      <w:bookmarkEnd w:id="27"/>
      <w:bookmarkEnd w:id="28"/>
      <w:bookmarkEnd w:id="29"/>
    </w:p>
    <w:p w14:paraId="3D12F299">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1.1</w:t>
      </w:r>
      <w:r>
        <w:rPr>
          <w:rFonts w:hint="eastAsia" w:ascii="宋体" w:hAnsi="宋体" w:eastAsia="宋体" w:cs="宋体"/>
          <w:color w:val="auto"/>
          <w:sz w:val="28"/>
          <w:szCs w:val="28"/>
          <w:highlight w:val="none"/>
        </w:rPr>
        <w:t>磋商文件由以下部分组成：</w:t>
      </w:r>
    </w:p>
    <w:p w14:paraId="5EEF90E4">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（1）采购邀请</w:t>
      </w:r>
    </w:p>
    <w:p w14:paraId="67E70FF5">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（2）磋商须知</w:t>
      </w:r>
    </w:p>
    <w:p w14:paraId="2F0E6335">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（3）项目需求</w:t>
      </w:r>
    </w:p>
    <w:p w14:paraId="534F7EF3">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（4）评审方法和评审标准</w:t>
      </w:r>
    </w:p>
    <w:p w14:paraId="4B278FA8">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（5）响应文件格式</w:t>
      </w:r>
    </w:p>
    <w:p w14:paraId="6B316B99">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（6）附件</w:t>
      </w:r>
    </w:p>
    <w:p w14:paraId="1811C529">
      <w:pPr>
        <w:pageBreakBefore w:val="0"/>
        <w:widowControl w:val="0"/>
        <w:kinsoku/>
        <w:wordWrap/>
        <w:overflowPunct/>
        <w:topLinePunct w:val="0"/>
        <w:autoSpaceDE/>
        <w:autoSpaceDN/>
        <w:bidi w:val="0"/>
        <w:adjustRightInd/>
        <w:snapToGrid/>
        <w:spacing w:line="500" w:lineRule="exact"/>
        <w:ind w:firstLine="536"/>
        <w:textAlignment w:val="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请仔细检查磋商文件是否齐全，如有缺漏请立即与代理机构联系解决。</w:t>
      </w:r>
    </w:p>
    <w:p w14:paraId="47EAB2C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1.2</w:t>
      </w:r>
      <w:r>
        <w:rPr>
          <w:rFonts w:hint="eastAsia" w:ascii="宋体" w:hAnsi="宋体" w:eastAsia="宋体" w:cs="宋体"/>
          <w:color w:val="auto"/>
          <w:sz w:val="28"/>
          <w:szCs w:val="28"/>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F473657">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30" w:name="_Toc513029211"/>
      <w:bookmarkStart w:id="31" w:name="_Toc20823283"/>
      <w:bookmarkStart w:id="32" w:name="_Toc16938527"/>
      <w:bookmarkStart w:id="33" w:name="_Toc462564070"/>
      <w:r>
        <w:rPr>
          <w:rFonts w:hint="eastAsia" w:ascii="宋体" w:hAnsi="宋体" w:eastAsia="宋体" w:cs="宋体"/>
          <w:color w:val="auto"/>
          <w:sz w:val="28"/>
          <w:szCs w:val="28"/>
          <w:highlight w:val="none"/>
        </w:rPr>
        <w:t>2.磋商文件的澄清</w:t>
      </w:r>
      <w:bookmarkEnd w:id="30"/>
      <w:bookmarkEnd w:id="31"/>
      <w:bookmarkEnd w:id="32"/>
      <w:bookmarkEnd w:id="33"/>
    </w:p>
    <w:p w14:paraId="5E7C26A4">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2.1</w:t>
      </w:r>
      <w:r>
        <w:rPr>
          <w:rFonts w:hint="eastAsia" w:ascii="宋体" w:hAnsi="宋体" w:eastAsia="宋体" w:cs="宋体"/>
          <w:color w:val="auto"/>
          <w:sz w:val="28"/>
          <w:szCs w:val="28"/>
          <w:highlight w:val="none"/>
        </w:rPr>
        <w:t>任何要求对磋商文件进行澄清的供应商，应在提交首次响应文件截止时间五日前按磋商公告中的通讯地址，以书面形式通知采购人。采购人有权对发出的磋商文件进行必要的澄清或修改。</w:t>
      </w:r>
    </w:p>
    <w:p w14:paraId="228706F1">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2.2采购人视情组织答疑会</w:t>
      </w:r>
    </w:p>
    <w:p w14:paraId="6963FA64">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34" w:name="_Toc20823284"/>
      <w:bookmarkStart w:id="35" w:name="_Toc462564071"/>
      <w:bookmarkStart w:id="36" w:name="_Toc16938528"/>
      <w:bookmarkStart w:id="37" w:name="_Toc513029212"/>
      <w:r>
        <w:rPr>
          <w:rFonts w:hint="eastAsia" w:ascii="宋体" w:hAnsi="宋体" w:eastAsia="宋体" w:cs="宋体"/>
          <w:color w:val="auto"/>
          <w:sz w:val="28"/>
          <w:szCs w:val="28"/>
          <w:highlight w:val="none"/>
        </w:rPr>
        <w:t>3.磋商文件的修改</w:t>
      </w:r>
      <w:bookmarkEnd w:id="34"/>
      <w:bookmarkEnd w:id="35"/>
      <w:bookmarkEnd w:id="36"/>
      <w:bookmarkEnd w:id="37"/>
    </w:p>
    <w:p w14:paraId="16FDEB7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3.1</w:t>
      </w:r>
      <w:r>
        <w:rPr>
          <w:rFonts w:hint="eastAsia" w:ascii="宋体" w:hAnsi="宋体" w:eastAsia="宋体" w:cs="宋体"/>
          <w:color w:val="auto"/>
          <w:sz w:val="28"/>
          <w:szCs w:val="28"/>
          <w:highlight w:val="none"/>
        </w:rPr>
        <w:t>在响应文件提交截止时间前，采购人可以对磋商文件进行修改。</w:t>
      </w:r>
    </w:p>
    <w:p w14:paraId="11F85FC1">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3.2</w:t>
      </w:r>
      <w:r>
        <w:rPr>
          <w:rFonts w:hint="eastAsia" w:ascii="宋体" w:hAnsi="宋体" w:eastAsia="宋体" w:cs="宋体"/>
          <w:color w:val="auto"/>
          <w:spacing w:val="-6"/>
          <w:sz w:val="28"/>
          <w:szCs w:val="28"/>
          <w:highlight w:val="none"/>
        </w:rPr>
        <w:t>采购人有权按照法定的要求推迟响应文件提交截止日期和磋商日期。</w:t>
      </w:r>
    </w:p>
    <w:p w14:paraId="4DDDCB4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3.3</w:t>
      </w:r>
      <w:r>
        <w:rPr>
          <w:rFonts w:hint="eastAsia" w:ascii="宋体" w:hAnsi="宋体" w:eastAsia="宋体" w:cs="宋体"/>
          <w:color w:val="auto"/>
          <w:sz w:val="28"/>
          <w:szCs w:val="28"/>
          <w:highlight w:val="none"/>
        </w:rPr>
        <w:t>磋商文件的修改将在江苏政府采购网公布，补充文件将作为磋商文件的组成部分，并对供应商具有约束力。</w:t>
      </w:r>
    </w:p>
    <w:p w14:paraId="020A14B9">
      <w:pPr>
        <w:keepNext/>
        <w:keepLines/>
        <w:pageBreakBefore w:val="0"/>
        <w:widowControl w:val="0"/>
        <w:kinsoku/>
        <w:wordWrap/>
        <w:overflowPunct/>
        <w:topLinePunct w:val="0"/>
        <w:autoSpaceDE/>
        <w:autoSpaceDN/>
        <w:bidi w:val="0"/>
        <w:adjustRightInd/>
        <w:snapToGrid/>
        <w:spacing w:line="500" w:lineRule="exact"/>
        <w:textAlignment w:val="auto"/>
        <w:outlineLvl w:val="2"/>
        <w:rPr>
          <w:rFonts w:hint="eastAsia" w:ascii="宋体" w:hAnsi="宋体" w:eastAsia="宋体" w:cs="宋体"/>
          <w:b/>
          <w:bCs/>
          <w:color w:val="auto"/>
          <w:sz w:val="28"/>
          <w:szCs w:val="28"/>
          <w:highlight w:val="none"/>
        </w:rPr>
      </w:pPr>
      <w:bookmarkStart w:id="38" w:name="_Toc120614216"/>
      <w:bookmarkStart w:id="39" w:name="_Toc16938529"/>
      <w:bookmarkStart w:id="40" w:name="_Toc20823285"/>
      <w:bookmarkStart w:id="41" w:name="_Toc513029213"/>
      <w:bookmarkStart w:id="42" w:name="_Toc462564072"/>
      <w:r>
        <w:rPr>
          <w:rFonts w:hint="eastAsia" w:ascii="宋体" w:hAnsi="宋体" w:eastAsia="宋体" w:cs="宋体"/>
          <w:b/>
          <w:bCs/>
          <w:color w:val="auto"/>
          <w:sz w:val="28"/>
          <w:szCs w:val="28"/>
          <w:highlight w:val="none"/>
          <w:lang w:eastAsia="zh-CN"/>
        </w:rPr>
        <w:t>三、</w:t>
      </w:r>
      <w:r>
        <w:rPr>
          <w:rFonts w:hint="eastAsia" w:ascii="宋体" w:hAnsi="宋体" w:eastAsia="宋体" w:cs="宋体"/>
          <w:b/>
          <w:bCs/>
          <w:color w:val="auto"/>
          <w:sz w:val="28"/>
          <w:szCs w:val="28"/>
          <w:highlight w:val="none"/>
        </w:rPr>
        <w:t>响应文件的编制</w:t>
      </w:r>
      <w:bookmarkEnd w:id="38"/>
      <w:bookmarkEnd w:id="39"/>
      <w:bookmarkEnd w:id="40"/>
      <w:bookmarkEnd w:id="41"/>
      <w:bookmarkEnd w:id="42"/>
    </w:p>
    <w:p w14:paraId="1E071414">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Cs/>
          <w:color w:val="auto"/>
          <w:sz w:val="28"/>
          <w:szCs w:val="28"/>
          <w:highlight w:val="none"/>
        </w:rPr>
      </w:pPr>
      <w:bookmarkStart w:id="43" w:name="_Toc513029214"/>
      <w:bookmarkStart w:id="44" w:name="_Toc462564073"/>
      <w:bookmarkStart w:id="45" w:name="_Toc16938530"/>
      <w:bookmarkStart w:id="46" w:name="_Toc20823286"/>
      <w:r>
        <w:rPr>
          <w:rFonts w:hint="eastAsia" w:ascii="宋体" w:hAnsi="宋体" w:eastAsia="宋体" w:cs="宋体"/>
          <w:color w:val="auto"/>
          <w:sz w:val="28"/>
          <w:szCs w:val="28"/>
          <w:highlight w:val="none"/>
        </w:rPr>
        <w:t>1.响应文件的语言及度量衡单位</w:t>
      </w:r>
      <w:bookmarkEnd w:id="43"/>
      <w:bookmarkEnd w:id="44"/>
      <w:bookmarkEnd w:id="45"/>
      <w:bookmarkEnd w:id="46"/>
    </w:p>
    <w:p w14:paraId="06E81735">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1.1</w:t>
      </w:r>
      <w:r>
        <w:rPr>
          <w:rFonts w:hint="eastAsia" w:ascii="宋体" w:hAnsi="宋体" w:eastAsia="宋体" w:cs="宋体"/>
          <w:color w:val="auto"/>
          <w:sz w:val="28"/>
          <w:szCs w:val="28"/>
          <w:highlight w:val="none"/>
        </w:rPr>
        <w:t>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简体中文</w:t>
      </w:r>
      <w:r>
        <w:rPr>
          <w:rFonts w:hint="eastAsia" w:ascii="宋体" w:hAnsi="宋体" w:eastAsia="宋体" w:cs="宋体"/>
          <w:color w:val="auto"/>
          <w:sz w:val="28"/>
          <w:szCs w:val="28"/>
          <w:highlight w:val="none"/>
        </w:rPr>
        <w:t>。</w:t>
      </w:r>
    </w:p>
    <w:p w14:paraId="7D61A594">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1.2</w:t>
      </w:r>
      <w:r>
        <w:rPr>
          <w:rFonts w:hint="eastAsia" w:ascii="宋体" w:hAnsi="宋体" w:eastAsia="宋体" w:cs="宋体"/>
          <w:color w:val="auto"/>
          <w:sz w:val="28"/>
          <w:szCs w:val="28"/>
          <w:highlight w:val="none"/>
        </w:rPr>
        <w:t>除技术性能另有规定外，响应文件所使用的度量衡单位，均须采用国家法定计量单位。</w:t>
      </w:r>
    </w:p>
    <w:p w14:paraId="07D05A9B">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47" w:name="_Toc513029215"/>
      <w:bookmarkStart w:id="48" w:name="_Toc16938531"/>
      <w:bookmarkStart w:id="49" w:name="_Toc20823287"/>
      <w:bookmarkStart w:id="50" w:name="_Toc462564074"/>
      <w:r>
        <w:rPr>
          <w:rFonts w:hint="eastAsia" w:ascii="宋体" w:hAnsi="宋体" w:eastAsia="宋体" w:cs="宋体"/>
          <w:color w:val="auto"/>
          <w:sz w:val="28"/>
          <w:szCs w:val="28"/>
          <w:highlight w:val="none"/>
        </w:rPr>
        <w:t>2.响应文件构成</w:t>
      </w:r>
      <w:bookmarkEnd w:id="47"/>
      <w:bookmarkEnd w:id="48"/>
      <w:bookmarkEnd w:id="49"/>
      <w:bookmarkEnd w:id="50"/>
    </w:p>
    <w:p w14:paraId="37FBEF6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2.1供应商编写的响应文件应包括资格证明文件、符合性证明文件、磋商报价表、其他证明文件等部分。供应商按“第五部分 响应文件格式”及“苏采云系统”中电子投标（响应）文件格式目录要求的内容编写响应文件。</w:t>
      </w:r>
    </w:p>
    <w:p w14:paraId="7B4605CC">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2.2如标书制作工具中格式和内容与“江苏政府采购网”发布的磋商文件不一致，请以“江苏政府采购网”发布的磋商文件为准。</w:t>
      </w:r>
    </w:p>
    <w:p w14:paraId="37BDC67D">
      <w:pPr>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color w:val="auto"/>
          <w:sz w:val="28"/>
          <w:szCs w:val="28"/>
          <w:highlight w:val="none"/>
        </w:rPr>
      </w:pPr>
      <w:bookmarkStart w:id="51" w:name="_Hlt26668975"/>
      <w:bookmarkEnd w:id="51"/>
      <w:bookmarkStart w:id="52" w:name="_Hlt26954838"/>
      <w:bookmarkEnd w:id="52"/>
      <w:bookmarkStart w:id="53" w:name="_Hlt26670360"/>
      <w:bookmarkEnd w:id="53"/>
      <w:bookmarkStart w:id="54" w:name="_Toc14577360"/>
      <w:bookmarkStart w:id="55" w:name="_Toc49090511"/>
      <w:r>
        <w:rPr>
          <w:rFonts w:hint="eastAsia" w:ascii="宋体" w:hAnsi="宋体" w:eastAsia="宋体" w:cs="宋体"/>
          <w:color w:val="auto"/>
          <w:sz w:val="28"/>
          <w:szCs w:val="28"/>
          <w:highlight w:val="none"/>
        </w:rPr>
        <w:t>3.证明供应商及响应标的符合磋商文件规定的文件</w:t>
      </w:r>
    </w:p>
    <w:p w14:paraId="0B4E7C19">
      <w:pPr>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rPr>
      </w:pPr>
      <w:bookmarkStart w:id="56" w:name="_Toc49090508"/>
      <w:bookmarkStart w:id="57" w:name="_Toc14577355"/>
      <w:r>
        <w:rPr>
          <w:rFonts w:hint="eastAsia" w:ascii="宋体" w:hAnsi="宋体" w:eastAsia="宋体" w:cs="宋体"/>
          <w:color w:val="auto"/>
          <w:sz w:val="28"/>
          <w:szCs w:val="28"/>
          <w:highlight w:val="none"/>
        </w:rPr>
        <w:t>3.1供应商应按照法律、法规、规章和规范性文件以及磋商文件要求提交证明文件，证明其及响应标的符合磋商文件规定。</w:t>
      </w:r>
    </w:p>
    <w:p w14:paraId="3D69C730">
      <w:pPr>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3.2磋商文件对证明文件无明确形式要求的，证明文件可以以文字资料、图纸和数据等形式提交。</w:t>
      </w:r>
    </w:p>
    <w:bookmarkEnd w:id="56"/>
    <w:bookmarkEnd w:id="57"/>
    <w:p w14:paraId="7B2F3DD0">
      <w:pPr>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color w:val="auto"/>
          <w:sz w:val="28"/>
          <w:szCs w:val="28"/>
          <w:highlight w:val="none"/>
        </w:rPr>
      </w:pPr>
      <w:bookmarkStart w:id="58" w:name="_Hlt26670482"/>
      <w:bookmarkEnd w:id="58"/>
      <w:bookmarkStart w:id="59" w:name="_Hlt26670425"/>
      <w:bookmarkEnd w:id="59"/>
      <w:bookmarkStart w:id="60" w:name="_Hlt26954842"/>
      <w:bookmarkEnd w:id="60"/>
      <w:bookmarkStart w:id="61" w:name="_Hlt26670403"/>
      <w:bookmarkEnd w:id="61"/>
      <w:bookmarkStart w:id="62" w:name="_Hlt26670486"/>
      <w:bookmarkEnd w:id="62"/>
      <w:bookmarkStart w:id="63" w:name="_Hlt26954844"/>
      <w:bookmarkEnd w:id="63"/>
      <w:bookmarkStart w:id="64" w:name="_Hlt26954731"/>
      <w:bookmarkEnd w:id="64"/>
      <w:bookmarkStart w:id="65" w:name="_Hlt26954848"/>
      <w:bookmarkEnd w:id="65"/>
      <w:bookmarkStart w:id="66" w:name="_Hlt26668983"/>
      <w:bookmarkEnd w:id="66"/>
      <w:bookmarkStart w:id="67" w:name="_Hlt26954846"/>
      <w:bookmarkEnd w:id="67"/>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.技术部分正负偏离表、商务部分正负偏离表</w:t>
      </w:r>
    </w:p>
    <w:p w14:paraId="19FC7C40">
      <w:pPr>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.1供应商需按磋商文件中的技术要求与商务要求作出响应或偏离，并说明原因。</w:t>
      </w:r>
    </w:p>
    <w:p w14:paraId="4B0BAEBF">
      <w:pPr>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.2供应商可在磋商文件中提供认为需要的其他技术文件或说明。</w:t>
      </w:r>
    </w:p>
    <w:p w14:paraId="32684506">
      <w:pPr>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.磋商响应函和磋商报价表</w:t>
      </w:r>
    </w:p>
    <w:p w14:paraId="244C0057">
      <w:pPr>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.1供应商应按照磋商文件中提供的格式完整、正确填写磋商响应函、磋商报价表。</w:t>
      </w:r>
    </w:p>
    <w:p w14:paraId="137EE43A">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w:t>
      </w:r>
      <w:bookmarkEnd w:id="54"/>
      <w:bookmarkEnd w:id="55"/>
      <w:r>
        <w:rPr>
          <w:rFonts w:hint="eastAsia" w:ascii="宋体" w:hAnsi="宋体" w:eastAsia="宋体" w:cs="宋体"/>
          <w:color w:val="auto"/>
          <w:sz w:val="28"/>
          <w:szCs w:val="28"/>
          <w:highlight w:val="none"/>
        </w:rPr>
        <w:t>磋商响应有效期</w:t>
      </w:r>
    </w:p>
    <w:p w14:paraId="5431A687">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6</w:t>
      </w:r>
      <w:r>
        <w:rPr>
          <w:rFonts w:hint="eastAsia" w:ascii="宋体" w:hAnsi="宋体" w:eastAsia="宋体" w:cs="宋体"/>
          <w:bCs/>
          <w:color w:val="auto"/>
          <w:sz w:val="28"/>
          <w:szCs w:val="28"/>
          <w:highlight w:val="none"/>
        </w:rPr>
        <w:t>.1磋商响应有效期为</w:t>
      </w:r>
      <w:r>
        <w:rPr>
          <w:rFonts w:hint="eastAsia" w:ascii="宋体" w:hAnsi="宋体" w:eastAsia="宋体" w:cs="宋体"/>
          <w:color w:val="auto"/>
          <w:sz w:val="28"/>
          <w:szCs w:val="28"/>
          <w:highlight w:val="none"/>
        </w:rPr>
        <w:t>采购人</w:t>
      </w:r>
      <w:r>
        <w:rPr>
          <w:rFonts w:hint="eastAsia" w:ascii="宋体" w:hAnsi="宋体" w:eastAsia="宋体" w:cs="宋体"/>
          <w:bCs/>
          <w:color w:val="auto"/>
          <w:sz w:val="28"/>
          <w:szCs w:val="28"/>
          <w:highlight w:val="none"/>
        </w:rPr>
        <w:t>规定的响应文件</w:t>
      </w:r>
      <w:r>
        <w:rPr>
          <w:rFonts w:hint="eastAsia" w:ascii="宋体" w:hAnsi="宋体" w:eastAsia="宋体" w:cs="宋体"/>
          <w:color w:val="auto"/>
          <w:sz w:val="28"/>
          <w:szCs w:val="28"/>
          <w:highlight w:val="none"/>
        </w:rPr>
        <w:t>提交</w:t>
      </w:r>
      <w:r>
        <w:rPr>
          <w:rFonts w:hint="eastAsia" w:ascii="宋体" w:hAnsi="宋体" w:eastAsia="宋体" w:cs="宋体"/>
          <w:bCs/>
          <w:color w:val="auto"/>
          <w:sz w:val="28"/>
          <w:szCs w:val="28"/>
          <w:highlight w:val="none"/>
        </w:rPr>
        <w:t>截止时间后</w:t>
      </w:r>
      <w:r>
        <w:rPr>
          <w:rFonts w:hint="eastAsia" w:ascii="宋体" w:hAnsi="宋体" w:eastAsia="宋体" w:cs="宋体"/>
          <w:b/>
          <w:color w:val="auto"/>
          <w:sz w:val="28"/>
          <w:szCs w:val="28"/>
          <w:highlight w:val="none"/>
          <w:u w:val="single"/>
        </w:rPr>
        <w:t>六十（60）天</w:t>
      </w:r>
      <w:r>
        <w:rPr>
          <w:rFonts w:hint="eastAsia" w:ascii="宋体" w:hAnsi="宋体" w:eastAsia="宋体" w:cs="宋体"/>
          <w:bCs/>
          <w:color w:val="auto"/>
          <w:sz w:val="28"/>
          <w:szCs w:val="28"/>
          <w:highlight w:val="none"/>
        </w:rPr>
        <w:t>。磋商响应有效期比规定短的将被视为非实质性响应而予以拒绝。</w:t>
      </w:r>
    </w:p>
    <w:p w14:paraId="3D954B1F">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.磋商响应有效期的延长</w:t>
      </w:r>
    </w:p>
    <w:p w14:paraId="5DDE0986">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7</w:t>
      </w:r>
      <w:r>
        <w:rPr>
          <w:rFonts w:hint="eastAsia" w:ascii="宋体" w:hAnsi="宋体" w:eastAsia="宋体" w:cs="宋体"/>
          <w:bCs/>
          <w:color w:val="auto"/>
          <w:sz w:val="28"/>
          <w:szCs w:val="28"/>
          <w:highlight w:val="none"/>
        </w:rPr>
        <w:t>.1在特殊情况下，</w:t>
      </w:r>
      <w:r>
        <w:rPr>
          <w:rFonts w:hint="eastAsia" w:ascii="宋体" w:hAnsi="宋体" w:eastAsia="宋体" w:cs="宋体"/>
          <w:color w:val="auto"/>
          <w:sz w:val="28"/>
          <w:szCs w:val="28"/>
          <w:highlight w:val="none"/>
        </w:rPr>
        <w:t>采购人</w:t>
      </w:r>
      <w:r>
        <w:rPr>
          <w:rFonts w:hint="eastAsia" w:ascii="宋体" w:hAnsi="宋体" w:eastAsia="宋体" w:cs="宋体"/>
          <w:bCs/>
          <w:color w:val="auto"/>
          <w:sz w:val="28"/>
          <w:szCs w:val="28"/>
          <w:highlight w:val="none"/>
        </w:rPr>
        <w:t>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采购人</w:t>
      </w:r>
      <w:r>
        <w:rPr>
          <w:rFonts w:hint="eastAsia" w:ascii="宋体" w:hAnsi="宋体" w:eastAsia="宋体" w:cs="宋体"/>
          <w:bCs/>
          <w:color w:val="auto"/>
          <w:sz w:val="28"/>
          <w:szCs w:val="28"/>
          <w:highlight w:val="none"/>
        </w:rPr>
        <w:t>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受磋商响应有效期约束的所有权利与义务均延长至新的有效期</w:t>
      </w:r>
      <w:r>
        <w:rPr>
          <w:rFonts w:hint="eastAsia" w:ascii="宋体" w:hAnsi="宋体" w:eastAsia="宋体" w:cs="宋体"/>
          <w:bCs/>
          <w:color w:val="auto"/>
          <w:sz w:val="28"/>
          <w:szCs w:val="28"/>
          <w:highlight w:val="none"/>
        </w:rPr>
        <w:t>。</w:t>
      </w:r>
    </w:p>
    <w:p w14:paraId="745DB356">
      <w:pPr>
        <w:keepNext/>
        <w:keepLines/>
        <w:pageBreakBefore w:val="0"/>
        <w:widowControl w:val="0"/>
        <w:kinsoku/>
        <w:wordWrap/>
        <w:overflowPunct/>
        <w:topLinePunct w:val="0"/>
        <w:autoSpaceDE/>
        <w:autoSpaceDN/>
        <w:bidi w:val="0"/>
        <w:adjustRightInd/>
        <w:snapToGrid/>
        <w:spacing w:line="500" w:lineRule="exact"/>
        <w:textAlignment w:val="auto"/>
        <w:outlineLvl w:val="2"/>
        <w:rPr>
          <w:rFonts w:hint="eastAsia" w:ascii="宋体" w:hAnsi="宋体" w:eastAsia="宋体" w:cs="宋体"/>
          <w:b/>
          <w:bCs/>
          <w:color w:val="auto"/>
          <w:sz w:val="28"/>
          <w:szCs w:val="28"/>
          <w:highlight w:val="none"/>
        </w:rPr>
      </w:pPr>
      <w:bookmarkStart w:id="68" w:name="_Hlt26954739"/>
      <w:bookmarkEnd w:id="68"/>
      <w:bookmarkStart w:id="69" w:name="_Hlt26954852"/>
      <w:bookmarkEnd w:id="69"/>
      <w:bookmarkStart w:id="70" w:name="_Toc16938540"/>
      <w:bookmarkStart w:id="71" w:name="_Toc120614217"/>
      <w:bookmarkStart w:id="72" w:name="_Toc20823296"/>
      <w:bookmarkStart w:id="73" w:name="_Toc513029224"/>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响应文件的提交</w:t>
      </w:r>
      <w:bookmarkEnd w:id="70"/>
      <w:bookmarkEnd w:id="71"/>
      <w:bookmarkEnd w:id="72"/>
      <w:bookmarkEnd w:id="73"/>
    </w:p>
    <w:p w14:paraId="46A94AD5">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74" w:name="_Toc513029225"/>
      <w:bookmarkStart w:id="75" w:name="_Toc20823297"/>
      <w:bookmarkStart w:id="76" w:name="_Toc16938541"/>
      <w:bookmarkStart w:id="77" w:name="_Toc462564084"/>
      <w:r>
        <w:rPr>
          <w:rFonts w:hint="eastAsia" w:ascii="宋体" w:hAnsi="宋体" w:eastAsia="宋体" w:cs="宋体"/>
          <w:color w:val="auto"/>
          <w:sz w:val="28"/>
          <w:szCs w:val="28"/>
          <w:highlight w:val="none"/>
        </w:rPr>
        <w:t>1.响应文件</w:t>
      </w:r>
      <w:bookmarkEnd w:id="74"/>
      <w:bookmarkEnd w:id="75"/>
      <w:bookmarkEnd w:id="76"/>
      <w:bookmarkEnd w:id="77"/>
      <w:r>
        <w:rPr>
          <w:rFonts w:hint="eastAsia" w:ascii="宋体" w:hAnsi="宋体" w:eastAsia="宋体" w:cs="宋体"/>
          <w:color w:val="auto"/>
          <w:sz w:val="28"/>
          <w:szCs w:val="28"/>
          <w:highlight w:val="none"/>
        </w:rPr>
        <w:t>的提交</w:t>
      </w:r>
    </w:p>
    <w:p w14:paraId="17F37750">
      <w:pPr>
        <w:pageBreakBefore w:val="0"/>
        <w:widowControl w:val="0"/>
        <w:kinsoku/>
        <w:wordWrap/>
        <w:overflowPunct/>
        <w:topLinePunct w:val="0"/>
        <w:autoSpaceDE/>
        <w:autoSpaceDN/>
        <w:bidi w:val="0"/>
        <w:adjustRightInd/>
        <w:snapToGrid/>
        <w:spacing w:line="500" w:lineRule="exact"/>
        <w:ind w:firstLine="556"/>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w:t>
      </w:r>
      <w:bookmarkStart w:id="78" w:name="_Toc16938542"/>
      <w:bookmarkStart w:id="79" w:name="_Toc20823298"/>
      <w:bookmarkStart w:id="80" w:name="_Toc513029226"/>
      <w:r>
        <w:rPr>
          <w:rFonts w:hint="eastAsia" w:ascii="宋体" w:hAnsi="宋体" w:eastAsia="宋体" w:cs="宋体"/>
          <w:bCs/>
          <w:color w:val="auto"/>
          <w:sz w:val="28"/>
          <w:szCs w:val="28"/>
          <w:highlight w:val="none"/>
        </w:rPr>
        <w:t>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响应文件提交</w:t>
      </w:r>
      <w:r>
        <w:rPr>
          <w:rFonts w:hint="eastAsia" w:ascii="宋体" w:hAnsi="宋体" w:eastAsia="宋体" w:cs="宋体"/>
          <w:bCs/>
          <w:color w:val="auto"/>
          <w:sz w:val="28"/>
          <w:szCs w:val="28"/>
          <w:highlight w:val="none"/>
        </w:rPr>
        <w:t>截止时间前</w:t>
      </w:r>
      <w:r>
        <w:rPr>
          <w:rFonts w:hint="eastAsia" w:ascii="宋体" w:hAnsi="宋体" w:eastAsia="宋体" w:cs="宋体"/>
          <w:bCs/>
          <w:color w:val="auto"/>
          <w:sz w:val="28"/>
          <w:szCs w:val="28"/>
          <w:highlight w:val="none"/>
          <w:lang w:val="en-US" w:eastAsia="zh-CN"/>
        </w:rPr>
        <w:t>按要求</w:t>
      </w:r>
      <w:r>
        <w:rPr>
          <w:rFonts w:hint="eastAsia" w:ascii="宋体" w:hAnsi="宋体" w:eastAsia="宋体" w:cs="宋体"/>
          <w:bCs/>
          <w:color w:val="auto"/>
          <w:sz w:val="28"/>
          <w:szCs w:val="28"/>
          <w:highlight w:val="none"/>
        </w:rPr>
        <w:t>制作并上传电子响应文件。</w:t>
      </w:r>
    </w:p>
    <w:p w14:paraId="16C06200">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2.响应文件截止日期</w:t>
      </w:r>
      <w:bookmarkEnd w:id="78"/>
      <w:bookmarkEnd w:id="79"/>
      <w:bookmarkEnd w:id="80"/>
    </w:p>
    <w:p w14:paraId="19C3B3CC">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2.1供应商上传电子响应文件的时间不得迟于磋商公告中规定的响应文件提交截止时间。</w:t>
      </w:r>
    </w:p>
    <w:p w14:paraId="2A7639C3">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供应商应充分考虑到网络环境、网络带宽、CA数字证书及电子签章故障等风险因素，如因供应商自身原因造成的电子响应文件上传不成功由供应商自行承担全部责任。</w:t>
      </w:r>
    </w:p>
    <w:p w14:paraId="2C912001">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2.2采购人</w:t>
      </w:r>
      <w:r>
        <w:rPr>
          <w:rFonts w:hint="eastAsia" w:ascii="宋体" w:hAnsi="宋体" w:eastAsia="宋体" w:cs="宋体"/>
          <w:bCs/>
          <w:color w:val="auto"/>
          <w:sz w:val="28"/>
          <w:szCs w:val="28"/>
          <w:highlight w:val="none"/>
        </w:rPr>
        <w:t>可以按照规定，通过修改响应文件酌情延长响应文件提交截止日期，在此情况下，供应商的所有权利和义务以及供应商受制的截止日期均应以延长后新的截止日期为准。</w:t>
      </w:r>
    </w:p>
    <w:p w14:paraId="2EE31B3A">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81" w:name="_Toc20823299"/>
      <w:bookmarkStart w:id="82" w:name="_Toc513029227"/>
      <w:bookmarkStart w:id="83" w:name="_Toc16938543"/>
      <w:r>
        <w:rPr>
          <w:rFonts w:hint="eastAsia" w:ascii="宋体" w:hAnsi="宋体" w:eastAsia="宋体" w:cs="宋体"/>
          <w:color w:val="auto"/>
          <w:sz w:val="28"/>
          <w:szCs w:val="28"/>
          <w:highlight w:val="none"/>
        </w:rPr>
        <w:t>3.响应文件</w:t>
      </w:r>
      <w:bookmarkEnd w:id="81"/>
      <w:bookmarkEnd w:id="82"/>
      <w:bookmarkEnd w:id="83"/>
      <w:r>
        <w:rPr>
          <w:rFonts w:hint="eastAsia" w:ascii="宋体" w:hAnsi="宋体" w:eastAsia="宋体" w:cs="宋体"/>
          <w:color w:val="auto"/>
          <w:sz w:val="28"/>
          <w:szCs w:val="28"/>
          <w:highlight w:val="none"/>
        </w:rPr>
        <w:t>的拒收</w:t>
      </w:r>
    </w:p>
    <w:p w14:paraId="268E50C2">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3.1</w:t>
      </w:r>
      <w:r>
        <w:rPr>
          <w:rFonts w:hint="eastAsia" w:ascii="宋体" w:hAnsi="宋体" w:eastAsia="宋体" w:cs="宋体"/>
          <w:color w:val="auto"/>
          <w:sz w:val="28"/>
          <w:szCs w:val="28"/>
          <w:highlight w:val="none"/>
        </w:rPr>
        <w:t>采购人</w:t>
      </w:r>
      <w:r>
        <w:rPr>
          <w:rFonts w:hint="eastAsia" w:ascii="宋体" w:hAnsi="宋体" w:eastAsia="宋体" w:cs="宋体"/>
          <w:bCs/>
          <w:color w:val="auto"/>
          <w:sz w:val="28"/>
          <w:szCs w:val="28"/>
          <w:highlight w:val="none"/>
        </w:rPr>
        <w:t>拒绝接收在其规定的响应文件提交截止时间后上传的任何响应文件。</w:t>
      </w:r>
    </w:p>
    <w:p w14:paraId="078AFB49">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bCs/>
          <w:color w:val="auto"/>
          <w:sz w:val="28"/>
          <w:szCs w:val="28"/>
          <w:highlight w:val="none"/>
        </w:rPr>
      </w:pPr>
      <w:bookmarkStart w:id="84" w:name="_Toc16938544"/>
      <w:bookmarkStart w:id="85" w:name="_Toc513029228"/>
      <w:bookmarkStart w:id="86" w:name="_Toc20823300"/>
      <w:r>
        <w:rPr>
          <w:rFonts w:hint="eastAsia" w:ascii="宋体" w:hAnsi="宋体" w:eastAsia="宋体" w:cs="宋体"/>
          <w:color w:val="auto"/>
          <w:sz w:val="28"/>
          <w:szCs w:val="28"/>
          <w:highlight w:val="none"/>
        </w:rPr>
        <w:t>4.响应文件的撤回和修改</w:t>
      </w:r>
      <w:bookmarkEnd w:id="84"/>
      <w:bookmarkEnd w:id="85"/>
      <w:bookmarkEnd w:id="86"/>
    </w:p>
    <w:p w14:paraId="5B28F4C2">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4.1响应文件的撤回</w:t>
      </w:r>
    </w:p>
    <w:p w14:paraId="407E81ED">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4.1.1电子响应文件的撤回</w:t>
      </w:r>
    </w:p>
    <w:p w14:paraId="1D715C41">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供应商可在响应文件提交截止时间前，撤回其电子响应文件，具体操作方法见《江苏省政府采购管理交易系统（苏采云）供应商操作指南》。</w:t>
      </w:r>
    </w:p>
    <w:p w14:paraId="1178F982">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4.1.2供应商撤回电子响应文件，则认为其不再参与本项目磋商活动。</w:t>
      </w:r>
    </w:p>
    <w:p w14:paraId="0227D703">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4.2响应文件的修改</w:t>
      </w:r>
    </w:p>
    <w:p w14:paraId="43B1B6EA">
      <w:pPr>
        <w:pageBreakBefore w:val="0"/>
        <w:widowControl w:val="0"/>
        <w:kinsoku/>
        <w:wordWrap/>
        <w:overflowPunct/>
        <w:topLinePunct w:val="0"/>
        <w:autoSpaceDE/>
        <w:autoSpaceDN/>
        <w:bidi w:val="0"/>
        <w:adjustRightInd/>
        <w:snapToGrid/>
        <w:spacing w:line="500" w:lineRule="exact"/>
        <w:ind w:firstLine="555"/>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供应商可在响应文件提交截止时间前，对其电子响应文件进行修改，</w:t>
      </w:r>
      <w:r>
        <w:rPr>
          <w:rFonts w:hint="eastAsia" w:ascii="宋体" w:hAnsi="宋体" w:eastAsia="宋体" w:cs="宋体"/>
          <w:color w:val="auto"/>
          <w:sz w:val="28"/>
          <w:szCs w:val="28"/>
          <w:highlight w:val="none"/>
        </w:rPr>
        <w:t>具体操作方法见《江苏省政府采购管理交易系统（苏采云）供应商操作指南》</w:t>
      </w:r>
      <w:r>
        <w:rPr>
          <w:rFonts w:hint="eastAsia" w:ascii="宋体" w:hAnsi="宋体" w:eastAsia="宋体" w:cs="宋体"/>
          <w:bCs/>
          <w:color w:val="auto"/>
          <w:sz w:val="28"/>
          <w:szCs w:val="28"/>
          <w:highlight w:val="none"/>
        </w:rPr>
        <w:t>。</w:t>
      </w:r>
    </w:p>
    <w:p w14:paraId="27CBD071">
      <w:pPr>
        <w:pageBreakBefore w:val="0"/>
        <w:widowControl w:val="0"/>
        <w:kinsoku/>
        <w:wordWrap/>
        <w:overflowPunct/>
        <w:topLinePunct w:val="0"/>
        <w:autoSpaceDE/>
        <w:autoSpaceDN/>
        <w:bidi w:val="0"/>
        <w:adjustRightInd/>
        <w:snapToGrid/>
        <w:spacing w:line="500" w:lineRule="exact"/>
        <w:ind w:firstLine="555"/>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4.3</w:t>
      </w:r>
      <w:r>
        <w:rPr>
          <w:rFonts w:hint="eastAsia" w:ascii="宋体" w:hAnsi="宋体" w:eastAsia="宋体" w:cs="宋体"/>
          <w:bCs/>
          <w:color w:val="auto"/>
          <w:sz w:val="28"/>
          <w:szCs w:val="28"/>
          <w:highlight w:val="none"/>
        </w:rPr>
        <w:t>在响应文件提交截止时间之后，供应商不得对其电子响应文件作任何修改。</w:t>
      </w:r>
    </w:p>
    <w:p w14:paraId="683BB5BE">
      <w:pPr>
        <w:pageBreakBefore w:val="0"/>
        <w:widowControl w:val="0"/>
        <w:kinsoku/>
        <w:wordWrap/>
        <w:overflowPunct/>
        <w:topLinePunct w:val="0"/>
        <w:autoSpaceDE/>
        <w:autoSpaceDN/>
        <w:bidi w:val="0"/>
        <w:adjustRightInd/>
        <w:snapToGrid/>
        <w:spacing w:line="500" w:lineRule="exact"/>
        <w:ind w:firstLine="555"/>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4.4</w:t>
      </w:r>
      <w:r>
        <w:rPr>
          <w:rFonts w:hint="eastAsia" w:ascii="宋体" w:hAnsi="宋体" w:eastAsia="宋体" w:cs="宋体"/>
          <w:bCs/>
          <w:color w:val="auto"/>
          <w:sz w:val="28"/>
          <w:szCs w:val="28"/>
          <w:highlight w:val="none"/>
        </w:rPr>
        <w:t>在响应文件截止时间至响应文件中规定的磋商响应有效期满之间的这段时间内，供应商不得撤回其响应文件。</w:t>
      </w:r>
    </w:p>
    <w:p w14:paraId="6B3A15BF">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8"/>
          <w:szCs w:val="28"/>
          <w:highlight w:val="none"/>
        </w:rPr>
      </w:pPr>
      <w:bookmarkStart w:id="87" w:name="_Toc16938546"/>
      <w:bookmarkStart w:id="88" w:name="_Toc513029230"/>
      <w:bookmarkStart w:id="89" w:name="_Toc20823302"/>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磋商与评审</w:t>
      </w:r>
    </w:p>
    <w:p w14:paraId="151BB145">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1.磋商仪式</w:t>
      </w:r>
    </w:p>
    <w:p w14:paraId="050E49F4">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w:t>
      </w:r>
      <w:r>
        <w:rPr>
          <w:rFonts w:hint="eastAsia" w:ascii="宋体" w:hAnsi="宋体" w:eastAsia="宋体" w:cs="宋体"/>
          <w:color w:val="auto"/>
          <w:sz w:val="28"/>
          <w:szCs w:val="28"/>
          <w:highlight w:val="none"/>
        </w:rPr>
        <w:t>采购人</w:t>
      </w:r>
      <w:r>
        <w:rPr>
          <w:rFonts w:hint="eastAsia" w:ascii="宋体" w:hAnsi="宋体" w:eastAsia="宋体" w:cs="宋体"/>
          <w:bCs/>
          <w:color w:val="auto"/>
          <w:sz w:val="28"/>
          <w:szCs w:val="28"/>
          <w:highlight w:val="none"/>
        </w:rPr>
        <w:t>将在磋商公告中规定的时间和地点组织磋商开始仪式。</w:t>
      </w:r>
    </w:p>
    <w:p w14:paraId="3673BBA6">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1.2磋商活动的文件解密工作</w:t>
      </w:r>
      <w:r>
        <w:rPr>
          <w:rFonts w:hint="eastAsia" w:ascii="宋体" w:hAnsi="宋体" w:eastAsia="宋体" w:cs="宋体"/>
          <w:color w:val="auto"/>
          <w:sz w:val="28"/>
          <w:szCs w:val="28"/>
          <w:highlight w:val="none"/>
        </w:rPr>
        <w:t>由采购人组织，在“苏采云”系统中进行磋商。</w:t>
      </w:r>
    </w:p>
    <w:p w14:paraId="5719FE29">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1.3供应商在磋商过程中涉及到的磋商文件解密等工作，按照《</w:t>
      </w:r>
      <w:r>
        <w:rPr>
          <w:rFonts w:hint="eastAsia" w:ascii="宋体" w:hAnsi="宋体" w:eastAsia="宋体" w:cs="宋体"/>
          <w:color w:val="auto"/>
          <w:sz w:val="28"/>
          <w:szCs w:val="28"/>
          <w:highlight w:val="none"/>
        </w:rPr>
        <w:t>江苏省政府采购管理交易系统（苏采云）供应商操作指南</w:t>
      </w:r>
      <w:r>
        <w:rPr>
          <w:rFonts w:hint="eastAsia" w:ascii="宋体" w:hAnsi="宋体" w:eastAsia="宋体" w:cs="宋体"/>
          <w:bCs/>
          <w:color w:val="auto"/>
          <w:sz w:val="28"/>
          <w:szCs w:val="28"/>
          <w:highlight w:val="none"/>
        </w:rPr>
        <w:t>》执行。</w:t>
      </w:r>
    </w:p>
    <w:p w14:paraId="1AEB7B8A">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2.磋商小组</w:t>
      </w:r>
    </w:p>
    <w:p w14:paraId="343D118C">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2.1磋商开始仪式结束后，采购人将组织磋商小组进行评审。</w:t>
      </w:r>
    </w:p>
    <w:p w14:paraId="109CC7EF">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w:t>
      </w:r>
    </w:p>
    <w:p w14:paraId="3342EB1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w:t>
      </w:r>
      <w:r>
        <w:rPr>
          <w:rFonts w:hint="eastAsia" w:ascii="宋体" w:hAnsi="宋体" w:eastAsia="宋体" w:cs="宋体"/>
          <w:color w:val="auto"/>
          <w:spacing w:val="-6"/>
          <w:sz w:val="28"/>
          <w:szCs w:val="28"/>
          <w:highlight w:val="none"/>
        </w:rPr>
        <w:t>超过公开招标限额标准的项目，磋商小组应当由5人以上单数组成。</w:t>
      </w:r>
    </w:p>
    <w:p w14:paraId="6354071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1CC121CE">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2.5磋商小组独立工作，负责评审所有响应文件并确定成交候选人。</w:t>
      </w:r>
    </w:p>
    <w:p w14:paraId="119EBE97">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3.磋商评审过程的保密与公正</w:t>
      </w:r>
    </w:p>
    <w:p w14:paraId="403566FC">
      <w:pPr>
        <w:pageBreakBefore w:val="0"/>
        <w:widowControl w:val="0"/>
        <w:tabs>
          <w:tab w:val="left" w:pos="900"/>
        </w:tabs>
        <w:kinsoku/>
        <w:wordWrap/>
        <w:overflowPunct/>
        <w:topLinePunct w:val="0"/>
        <w:autoSpaceDE/>
        <w:autoSpaceDN/>
        <w:bidi w:val="0"/>
        <w:adjustRightInd/>
        <w:snapToGrid/>
        <w:spacing w:line="500" w:lineRule="exact"/>
        <w:ind w:firstLine="557"/>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3.1磋商小组、采购人和代理机构工作人员、相关监督人员等与评审工作有关的人员，对评审情况以及在评审过程中获悉的国家秘密、商业秘密负有保密责任。</w:t>
      </w:r>
    </w:p>
    <w:p w14:paraId="61A9C425">
      <w:pPr>
        <w:pageBreakBefore w:val="0"/>
        <w:widowControl w:val="0"/>
        <w:tabs>
          <w:tab w:val="left" w:pos="900"/>
        </w:tabs>
        <w:kinsoku/>
        <w:wordWrap/>
        <w:overflowPunct/>
        <w:topLinePunct w:val="0"/>
        <w:autoSpaceDE/>
        <w:autoSpaceDN/>
        <w:bidi w:val="0"/>
        <w:adjustRightInd/>
        <w:snapToGrid/>
        <w:spacing w:line="500" w:lineRule="exact"/>
        <w:ind w:firstLine="557"/>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3.2在磋商评审过程中，磋商供应商不得以任何行为影响磋商评审过程，否则其响应文件将被作为无效响应文件。</w:t>
      </w:r>
    </w:p>
    <w:p w14:paraId="04E98901">
      <w:pPr>
        <w:pageBreakBefore w:val="0"/>
        <w:widowControl w:val="0"/>
        <w:tabs>
          <w:tab w:val="left" w:pos="900"/>
        </w:tabs>
        <w:kinsoku/>
        <w:wordWrap/>
        <w:overflowPunct/>
        <w:topLinePunct w:val="0"/>
        <w:autoSpaceDE/>
        <w:autoSpaceDN/>
        <w:bidi w:val="0"/>
        <w:adjustRightInd/>
        <w:snapToGrid/>
        <w:spacing w:line="500" w:lineRule="exact"/>
        <w:ind w:firstLine="557"/>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磋商小组应当告知提交响应文件的供应商。</w:t>
      </w:r>
    </w:p>
    <w:p w14:paraId="79E0ACF8">
      <w:pPr>
        <w:pageBreakBefore w:val="0"/>
        <w:widowControl w:val="0"/>
        <w:tabs>
          <w:tab w:val="left" w:pos="900"/>
        </w:tabs>
        <w:kinsoku/>
        <w:wordWrap/>
        <w:overflowPunct/>
        <w:topLinePunct w:val="0"/>
        <w:autoSpaceDE/>
        <w:autoSpaceDN/>
        <w:bidi w:val="0"/>
        <w:adjustRightInd/>
        <w:snapToGrid/>
        <w:spacing w:line="500" w:lineRule="exact"/>
        <w:ind w:firstLine="557"/>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3.4</w:t>
      </w:r>
      <w:r>
        <w:rPr>
          <w:rFonts w:hint="eastAsia" w:ascii="宋体" w:hAnsi="宋体" w:eastAsia="宋体" w:cs="宋体"/>
          <w:bCs/>
          <w:color w:val="auto"/>
          <w:sz w:val="28"/>
          <w:szCs w:val="28"/>
          <w:highlight w:val="none"/>
        </w:rPr>
        <w:t>评审开始后，直至向成交供应商授予合同时止，凡是与审查、澄清、评价和比较响应的有关资料以及授标建议等，采购人、磋商小组、代理机构均不得向供应商或与评标无关的其他人员透露。</w:t>
      </w:r>
    </w:p>
    <w:p w14:paraId="4FE1304C">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3.5在评审期间，采购人将设专门人员与供应商联系。</w:t>
      </w:r>
    </w:p>
    <w:p w14:paraId="1C1D87EA">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3.6采购人和评审小组不向未成交的供应商解释未成交原因，也不公布评审过程中的相关细节。</w:t>
      </w:r>
    </w:p>
    <w:p w14:paraId="4CF75AC7">
      <w:pPr>
        <w:pageBreakBefore w:val="0"/>
        <w:widowControl w:val="0"/>
        <w:tabs>
          <w:tab w:val="left" w:pos="900"/>
        </w:tabs>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4.评审过程的澄清</w:t>
      </w:r>
    </w:p>
    <w:p w14:paraId="40A054DD">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4.1评审期间，为有助于对响应文件的审查、评价和比较，磋商小组有权以电子函件形式要求响应人对其响应文件进行澄清，但并非对每个供应商都作澄清要求。</w:t>
      </w:r>
    </w:p>
    <w:p w14:paraId="068C34B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rPr>
        <w:t>江苏省政府采购管理交易系统（苏采云）供应商操作指南</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rPr>
        <w:t>。</w:t>
      </w:r>
    </w:p>
    <w:p w14:paraId="58186681">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4.3接到磋商小组澄清要求的供应商如未按规定做出澄清，其风</w:t>
      </w:r>
      <w:r>
        <w:rPr>
          <w:rFonts w:hint="eastAsia" w:ascii="宋体" w:hAnsi="宋体" w:eastAsia="宋体" w:cs="宋体"/>
          <w:bCs/>
          <w:color w:val="auto"/>
          <w:sz w:val="28"/>
          <w:szCs w:val="28"/>
          <w:highlight w:val="none"/>
        </w:rPr>
        <w:t>险由供应商自行承担。</w:t>
      </w:r>
    </w:p>
    <w:p w14:paraId="3AF659BF">
      <w:pPr>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5.对响应文件的初审</w:t>
      </w:r>
    </w:p>
    <w:p w14:paraId="4B55DA55">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5.1响应文件初审分为资格性审查和符合性审查。</w:t>
      </w:r>
    </w:p>
    <w:p w14:paraId="16108DC5">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5.1.1资格性检查：依据法律法规和磋商文件的规定，由磋商小组对响应文件中的资格审查证明材料进行审查，以确定供应商是否具备参加磋商的资格。</w:t>
      </w:r>
    </w:p>
    <w:p w14:paraId="45FAA670">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w:t>
      </w:r>
    </w:p>
    <w:p w14:paraId="21FE131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D13A980">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5.1.2符合性审查：依据磋商文件的规定，由磋商小组从响应文件的有效性、完整性和对磋商文件的响应程度（包括技术部分、商务部分和其他磋商材料的响应）进行审查，以确定是否对磋商文件的实质性要求作出响应。</w:t>
      </w:r>
    </w:p>
    <w:p w14:paraId="092CEFC9">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5.1.3未通过资格审查或符合性审查的供应商，采购人或代理机构将告知未通过资格审查或符合性审查的原因，评审结束后，采购人或代理机构将不再告知未通过资格审查或符合性审查的原因。</w:t>
      </w:r>
    </w:p>
    <w:p w14:paraId="2059C208">
      <w:pPr>
        <w:pageBreakBefore w:val="0"/>
        <w:widowControl w:val="0"/>
        <w:tabs>
          <w:tab w:val="left" w:pos="900"/>
        </w:tabs>
        <w:kinsoku/>
        <w:wordWrap/>
        <w:overflowPunct/>
        <w:topLinePunct w:val="0"/>
        <w:autoSpaceDE/>
        <w:autoSpaceDN/>
        <w:bidi w:val="0"/>
        <w:adjustRightInd/>
        <w:snapToGrid/>
        <w:spacing w:line="500" w:lineRule="exact"/>
        <w:ind w:firstLine="557"/>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2B842A52">
      <w:pPr>
        <w:pageBreakBefore w:val="0"/>
        <w:widowControl w:val="0"/>
        <w:tabs>
          <w:tab w:val="left" w:pos="900"/>
        </w:tabs>
        <w:kinsoku/>
        <w:wordWrap/>
        <w:overflowPunct/>
        <w:topLinePunct w:val="0"/>
        <w:autoSpaceDE/>
        <w:autoSpaceDN/>
        <w:bidi w:val="0"/>
        <w:adjustRightInd/>
        <w:snapToGrid/>
        <w:spacing w:line="500" w:lineRule="exact"/>
        <w:ind w:firstLine="557"/>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B0C6233">
      <w:pPr>
        <w:pageBreakBefore w:val="0"/>
        <w:widowControl w:val="0"/>
        <w:tabs>
          <w:tab w:val="left" w:pos="900"/>
        </w:tabs>
        <w:kinsoku/>
        <w:wordWrap/>
        <w:overflowPunct/>
        <w:topLinePunct w:val="0"/>
        <w:autoSpaceDE/>
        <w:autoSpaceDN/>
        <w:bidi w:val="0"/>
        <w:adjustRightInd/>
        <w:snapToGrid/>
        <w:spacing w:line="500" w:lineRule="exact"/>
        <w:ind w:firstLine="557"/>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5.3如果响应文件实质上没有响应磋商文件的要求，磋商小组将予以拒绝，供应商不得通过修改或撤销不合要求的偏离或保留而使其响应文件成为实质性响应的文件。</w:t>
      </w:r>
    </w:p>
    <w:p w14:paraId="6C4FC859">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5.4</w:t>
      </w:r>
      <w:r>
        <w:rPr>
          <w:rFonts w:hint="eastAsia" w:ascii="宋体" w:hAnsi="宋体" w:eastAsia="宋体" w:cs="宋体"/>
          <w:bCs/>
          <w:color w:val="auto"/>
          <w:sz w:val="28"/>
          <w:szCs w:val="28"/>
          <w:highlight w:val="none"/>
        </w:rPr>
        <w:t>磋商小组将对确定为实质性响应的文件进行进一步审核，看其是否有计算上或累加上的算术错误，修正错误的原则如下：</w:t>
      </w:r>
    </w:p>
    <w:p w14:paraId="66B31B3A">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（1）响应文件中磋商</w:t>
      </w:r>
      <w:r>
        <w:rPr>
          <w:rFonts w:hint="eastAsia" w:ascii="宋体" w:hAnsi="宋体" w:eastAsia="宋体" w:cs="宋体"/>
          <w:color w:val="auto"/>
          <w:sz w:val="28"/>
          <w:szCs w:val="28"/>
          <w:highlight w:val="none"/>
        </w:rPr>
        <w:t>报价表</w:t>
      </w:r>
      <w:r>
        <w:rPr>
          <w:rFonts w:hint="eastAsia" w:ascii="宋体" w:hAnsi="宋体" w:eastAsia="宋体" w:cs="宋体"/>
          <w:bCs/>
          <w:color w:val="auto"/>
          <w:sz w:val="28"/>
          <w:szCs w:val="28"/>
          <w:highlight w:val="none"/>
        </w:rPr>
        <w:t>内容与响应文件中相应内容不一致的，以磋商</w:t>
      </w:r>
      <w:r>
        <w:rPr>
          <w:rFonts w:hint="eastAsia" w:ascii="宋体" w:hAnsi="宋体" w:eastAsia="宋体" w:cs="宋体"/>
          <w:color w:val="auto"/>
          <w:sz w:val="28"/>
          <w:szCs w:val="28"/>
          <w:highlight w:val="none"/>
        </w:rPr>
        <w:t>报价表</w:t>
      </w:r>
      <w:r>
        <w:rPr>
          <w:rFonts w:hint="eastAsia" w:ascii="宋体" w:hAnsi="宋体" w:eastAsia="宋体" w:cs="宋体"/>
          <w:bCs/>
          <w:color w:val="auto"/>
          <w:sz w:val="28"/>
          <w:szCs w:val="28"/>
          <w:highlight w:val="none"/>
        </w:rPr>
        <w:t>为准。</w:t>
      </w:r>
    </w:p>
    <w:p w14:paraId="327929DA">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（2）大写金额和小写金额不一致的，以大写金额为准。</w:t>
      </w:r>
    </w:p>
    <w:p w14:paraId="0587BFA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（3）单价金额小数点或者百分比有明显错位的，以磋商</w:t>
      </w:r>
      <w:r>
        <w:rPr>
          <w:rFonts w:hint="eastAsia" w:ascii="宋体" w:hAnsi="宋体" w:eastAsia="宋体" w:cs="宋体"/>
          <w:color w:val="auto"/>
          <w:sz w:val="28"/>
          <w:szCs w:val="28"/>
          <w:highlight w:val="none"/>
        </w:rPr>
        <w:t>报价表</w:t>
      </w:r>
      <w:r>
        <w:rPr>
          <w:rFonts w:hint="eastAsia" w:ascii="宋体" w:hAnsi="宋体" w:eastAsia="宋体" w:cs="宋体"/>
          <w:bCs/>
          <w:color w:val="auto"/>
          <w:sz w:val="28"/>
          <w:szCs w:val="28"/>
          <w:highlight w:val="none"/>
        </w:rPr>
        <w:t>的总价为准，并修改单价。</w:t>
      </w:r>
    </w:p>
    <w:p w14:paraId="21DCDA4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（4）总价金额与按单价汇总金额不一致的，以单价金额计算结果为准。</w:t>
      </w:r>
    </w:p>
    <w:p w14:paraId="377990CF">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同时出现两种以上错误的，按照前款规定的顺序修正。</w:t>
      </w:r>
    </w:p>
    <w:p w14:paraId="17F8BF96">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bCs/>
          <w:color w:val="auto"/>
          <w:sz w:val="28"/>
          <w:szCs w:val="28"/>
          <w:highlight w:val="none"/>
        </w:rPr>
        <w:t>.5磋商小组将按上述修正错误的方法调整响应文件中的报价，并通过</w:t>
      </w:r>
      <w:r>
        <w:rPr>
          <w:rFonts w:hint="eastAsia" w:ascii="宋体" w:hAnsi="宋体" w:eastAsia="宋体" w:cs="宋体"/>
          <w:color w:val="auto"/>
          <w:sz w:val="28"/>
          <w:szCs w:val="28"/>
          <w:highlight w:val="none"/>
        </w:rPr>
        <w:t>“苏采云”</w:t>
      </w:r>
      <w:r>
        <w:rPr>
          <w:rFonts w:hint="eastAsia" w:ascii="宋体" w:hAnsi="宋体" w:eastAsia="宋体" w:cs="宋体"/>
          <w:bCs/>
          <w:color w:val="auto"/>
          <w:sz w:val="28"/>
          <w:szCs w:val="28"/>
          <w:highlight w:val="none"/>
        </w:rPr>
        <w:t>系统告知供应商，调整后的价格应对供应商具有约束力。如果供应商不接受修正后的价格，则其磋商活动将被拒绝。</w:t>
      </w:r>
    </w:p>
    <w:p w14:paraId="47E5C500">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5.6磋商小组将允许修正响应文件中不构成重大偏离的、微小的、非正规的、不一致的或不规则的地方，但这些修改不能影响任何供应商相应的名次排列。</w:t>
      </w:r>
    </w:p>
    <w:p w14:paraId="468360B2">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5.7</w:t>
      </w:r>
      <w:r>
        <w:rPr>
          <w:rFonts w:hint="eastAsia" w:ascii="宋体" w:hAnsi="宋体" w:eastAsia="宋体" w:cs="宋体"/>
          <w:color w:val="auto"/>
          <w:sz w:val="28"/>
          <w:szCs w:val="28"/>
          <w:highlight w:val="none"/>
        </w:rPr>
        <w:t>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p>
    <w:p w14:paraId="1FCD3007">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非单一产品采购项目，磋商文件中将载明其中的核心产品。多家供应商提供的核心产品品牌相同的，按前款规定处理。</w:t>
      </w:r>
    </w:p>
    <w:p w14:paraId="20AD11AF">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5.8供应商在评审全过程中应保持通讯畅通，并安排专人与采购人及磋商小组联系。</w:t>
      </w:r>
    </w:p>
    <w:p w14:paraId="749220AF">
      <w:pPr>
        <w:pageBreakBefore w:val="0"/>
        <w:widowControl w:val="0"/>
        <w:tabs>
          <w:tab w:val="left" w:pos="6555"/>
          <w:tab w:val="right" w:pos="8306"/>
        </w:tabs>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6.被认定为未实质性响应磋商文件的响应文件的情形。</w:t>
      </w:r>
    </w:p>
    <w:p w14:paraId="780419A2">
      <w:pPr>
        <w:pageBreakBefore w:val="0"/>
        <w:widowControl w:val="0"/>
        <w:tabs>
          <w:tab w:val="left" w:pos="6555"/>
          <w:tab w:val="right" w:pos="8306"/>
        </w:tabs>
        <w:kinsoku/>
        <w:wordWrap/>
        <w:overflowPunct/>
        <w:topLinePunct w:val="0"/>
        <w:autoSpaceDE/>
        <w:autoSpaceDN/>
        <w:bidi w:val="0"/>
        <w:adjustRightInd/>
        <w:snapToGrid/>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p>
    <w:p w14:paraId="1EEDE3FD">
      <w:pPr>
        <w:pageBreakBefore w:val="0"/>
        <w:widowControl w:val="0"/>
        <w:kinsoku/>
        <w:wordWrap/>
        <w:overflowPunct/>
        <w:topLinePunct w:val="0"/>
        <w:autoSpaceDE/>
        <w:autoSpaceDN/>
        <w:bidi w:val="0"/>
        <w:adjustRightInd/>
        <w:snapToGrid/>
        <w:spacing w:line="500" w:lineRule="exact"/>
        <w:ind w:firstLine="57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6.1.1供应商在</w:t>
      </w:r>
      <w:r>
        <w:rPr>
          <w:rFonts w:hint="eastAsia" w:ascii="宋体" w:hAnsi="宋体" w:eastAsia="宋体" w:cs="宋体"/>
          <w:color w:val="auto"/>
          <w:sz w:val="28"/>
          <w:szCs w:val="28"/>
          <w:highlight w:val="none"/>
        </w:rPr>
        <w:t>“苏采云”</w:t>
      </w:r>
      <w:r>
        <w:rPr>
          <w:rFonts w:hint="eastAsia" w:ascii="宋体" w:hAnsi="宋体" w:eastAsia="宋体" w:cs="宋体"/>
          <w:bCs/>
          <w:color w:val="auto"/>
          <w:sz w:val="28"/>
          <w:szCs w:val="28"/>
          <w:highlight w:val="none"/>
        </w:rPr>
        <w:t>系统规定的时间内未成功解密电子响应文件的。</w:t>
      </w:r>
    </w:p>
    <w:p w14:paraId="0C70D9F7">
      <w:pPr>
        <w:pageBreakBefore w:val="0"/>
        <w:widowControl w:val="0"/>
        <w:kinsoku/>
        <w:wordWrap/>
        <w:overflowPunct/>
        <w:topLinePunct w:val="0"/>
        <w:autoSpaceDE/>
        <w:autoSpaceDN/>
        <w:bidi w:val="0"/>
        <w:adjustRightInd/>
        <w:snapToGrid/>
        <w:spacing w:line="500" w:lineRule="exact"/>
        <w:ind w:firstLine="57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6.1.2未完整上传响应文件电子文档的,或上传的文件打不开的。</w:t>
      </w:r>
    </w:p>
    <w:p w14:paraId="2F7DFCE6">
      <w:pPr>
        <w:pageBreakBefore w:val="0"/>
        <w:widowControl w:val="0"/>
        <w:kinsoku/>
        <w:wordWrap/>
        <w:overflowPunct/>
        <w:topLinePunct w:val="0"/>
        <w:autoSpaceDE/>
        <w:autoSpaceDN/>
        <w:bidi w:val="0"/>
        <w:adjustRightInd/>
        <w:snapToGrid/>
        <w:spacing w:line="500" w:lineRule="exact"/>
        <w:ind w:left="559"/>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6.1.3同一供应商提交两个（含两个）以上不同的响应报价的。</w:t>
      </w:r>
    </w:p>
    <w:p w14:paraId="005F96CA">
      <w:pPr>
        <w:pageBreakBefore w:val="0"/>
        <w:widowControl w:val="0"/>
        <w:kinsoku/>
        <w:wordWrap/>
        <w:overflowPunct/>
        <w:topLinePunct w:val="0"/>
        <w:autoSpaceDE/>
        <w:autoSpaceDN/>
        <w:bidi w:val="0"/>
        <w:adjustRightInd/>
        <w:snapToGrid/>
        <w:spacing w:line="500" w:lineRule="exact"/>
        <w:ind w:left="559"/>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6.1.4不具备磋商文件中规定的资格要求的。</w:t>
      </w:r>
    </w:p>
    <w:p w14:paraId="7A8C0D63">
      <w:pPr>
        <w:pageBreakBefore w:val="0"/>
        <w:widowControl w:val="0"/>
        <w:kinsoku/>
        <w:wordWrap/>
        <w:overflowPunct/>
        <w:topLinePunct w:val="0"/>
        <w:autoSpaceDE/>
        <w:autoSpaceDN/>
        <w:bidi w:val="0"/>
        <w:adjustRightInd/>
        <w:snapToGrid/>
        <w:spacing w:line="500" w:lineRule="exact"/>
        <w:ind w:firstLine="57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6.1.5响应报价超过了采购预算或最高限价的。</w:t>
      </w:r>
    </w:p>
    <w:p w14:paraId="60CD8C12">
      <w:pPr>
        <w:pageBreakBefore w:val="0"/>
        <w:widowControl w:val="0"/>
        <w:kinsoku/>
        <w:wordWrap/>
        <w:overflowPunct/>
        <w:topLinePunct w:val="0"/>
        <w:autoSpaceDE/>
        <w:autoSpaceDN/>
        <w:bidi w:val="0"/>
        <w:adjustRightInd/>
        <w:snapToGrid/>
        <w:spacing w:line="500" w:lineRule="exact"/>
        <w:ind w:firstLine="57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6.1.6未通过符合性检查的。</w:t>
      </w:r>
    </w:p>
    <w:p w14:paraId="130CC115">
      <w:pPr>
        <w:pageBreakBefore w:val="0"/>
        <w:widowControl w:val="0"/>
        <w:kinsoku/>
        <w:wordWrap/>
        <w:overflowPunct/>
        <w:topLinePunct w:val="0"/>
        <w:autoSpaceDE/>
        <w:autoSpaceDN/>
        <w:bidi w:val="0"/>
        <w:adjustRightInd/>
        <w:snapToGrid/>
        <w:spacing w:line="500" w:lineRule="exact"/>
        <w:ind w:firstLine="57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6.1.7不符合法律、法规和磋商文件中规定的其他实质性要求的。</w:t>
      </w:r>
    </w:p>
    <w:p w14:paraId="28778BC2">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76F6D4FD">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6.1.9响应文件含有采购人不能接受的附加条件的。</w:t>
      </w:r>
    </w:p>
    <w:p w14:paraId="3A12B3D9">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6.1.10异常低价投标（响应）审查的情形和具体要求：</w:t>
      </w:r>
    </w:p>
    <w:p w14:paraId="721B2E50">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6.1.10.1评审过程中出现下列情形之一的，磋商小组应当启动异常低价投标（响应）审查程序：</w:t>
      </w:r>
    </w:p>
    <w:p w14:paraId="035EF23A">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①投标（响应）报价低于全部通过符合性审查供应商投标（响应）报价平均值50%的，即投标（响应）报价&lt;全部通过符合性审查供应商投标（响应）报价平均值×50%；</w:t>
      </w:r>
    </w:p>
    <w:p w14:paraId="6C7F500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②投标（响应）报价低于通过符合性审查的次低报价供应商投标（响应）报价50%的，即投标（响应）报价&lt;通过符合性审查的次低报价供应商投标（响应）报价×50%；</w:t>
      </w:r>
    </w:p>
    <w:p w14:paraId="6B2E9FF1">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③投标（响应）报价低于采购项目最高限价45%的，即投标（响应）报价&lt;采购项目最高限价×45%；</w:t>
      </w:r>
    </w:p>
    <w:p w14:paraId="76BADAC1">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④磋商小组基于专业判断，认为供应商报价过低，有可能影响产品质量或者不能诚信履约的其他情形。</w:t>
      </w:r>
    </w:p>
    <w:p w14:paraId="432E7D11">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14:paraId="0AA3C1ED">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5667976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2BD42265">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异常低价投标（响应）审查的启动原因、审查意见和审查结果应当在评审报告中记录，并随供应商提供的相关书面说明及证明材料，以及磋商小组有关互联网浏览、查询历史一并归档。</w:t>
      </w:r>
    </w:p>
    <w:p w14:paraId="071092A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14:paraId="1453489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6.1.12响应文件未按照采购文件要求加盖电子签章。</w:t>
      </w:r>
    </w:p>
    <w:p w14:paraId="6522057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6.1.13不同供应商的响应文件经系统查询Mac地址、标书制作工具客户端标识码一致的。（符合本条款不同的供应商不得参加本项目的后续采购事项，并移送政府采购监管部门进行处理。）</w:t>
      </w:r>
    </w:p>
    <w:p w14:paraId="456A490F">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6.1.1</w:t>
      </w:r>
      <w:r>
        <w:rPr>
          <w:rFonts w:hint="eastAsia" w:ascii="宋体" w:hAnsi="宋体" w:eastAsia="宋体" w:cs="宋体"/>
          <w:bCs/>
          <w:color w:val="auto"/>
          <w:sz w:val="28"/>
          <w:szCs w:val="28"/>
          <w:highlight w:val="none"/>
          <w:lang w:val="en-US" w:eastAsia="zh-CN"/>
        </w:rPr>
        <w:t>4</w:t>
      </w:r>
      <w:r>
        <w:rPr>
          <w:rFonts w:hint="eastAsia" w:ascii="宋体" w:hAnsi="宋体" w:eastAsia="宋体" w:cs="宋体"/>
          <w:bCs/>
          <w:color w:val="auto"/>
          <w:sz w:val="28"/>
          <w:szCs w:val="28"/>
          <w:highlight w:val="none"/>
        </w:rPr>
        <w:t>其他法律、法规及本磋商文件规定的属无效响应的情形。</w:t>
      </w:r>
    </w:p>
    <w:p w14:paraId="28983311">
      <w:pPr>
        <w:pageBreakBefore w:val="0"/>
        <w:widowControl w:val="0"/>
        <w:kinsoku/>
        <w:wordWrap/>
        <w:overflowPunct/>
        <w:topLinePunct w:val="0"/>
        <w:autoSpaceDE/>
        <w:autoSpaceDN/>
        <w:bidi w:val="0"/>
        <w:adjustRightInd/>
        <w:snapToGrid/>
        <w:spacing w:line="500" w:lineRule="exact"/>
        <w:ind w:firstLine="57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6.2出现下列情形之一的，磋商失败。</w:t>
      </w:r>
    </w:p>
    <w:p w14:paraId="7EC98353">
      <w:pPr>
        <w:pageBreakBefore w:val="0"/>
        <w:widowControl w:val="0"/>
        <w:kinsoku/>
        <w:wordWrap/>
        <w:overflowPunct/>
        <w:topLinePunct w:val="0"/>
        <w:autoSpaceDE/>
        <w:autoSpaceDN/>
        <w:bidi w:val="0"/>
        <w:adjustRightInd/>
        <w:snapToGrid/>
        <w:spacing w:line="500" w:lineRule="exact"/>
        <w:ind w:firstLine="57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6.2.1符合条件的供应商或者对磋商文件作实质响应的供应商不足3家的（市场竞争不充分的科研项目，以及需要扶持的科技成果转化项目可以是2家）；</w:t>
      </w:r>
    </w:p>
    <w:p w14:paraId="2934C159">
      <w:pPr>
        <w:pageBreakBefore w:val="0"/>
        <w:widowControl w:val="0"/>
        <w:kinsoku/>
        <w:wordWrap/>
        <w:overflowPunct/>
        <w:topLinePunct w:val="0"/>
        <w:autoSpaceDE/>
        <w:autoSpaceDN/>
        <w:bidi w:val="0"/>
        <w:adjustRightInd/>
        <w:snapToGrid/>
        <w:spacing w:line="500" w:lineRule="exact"/>
        <w:ind w:firstLine="555"/>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6.2.2出现影响采购公正的违法违规行为的；</w:t>
      </w:r>
    </w:p>
    <w:p w14:paraId="1EEE1E3F">
      <w:pPr>
        <w:pageBreakBefore w:val="0"/>
        <w:widowControl w:val="0"/>
        <w:kinsoku/>
        <w:wordWrap/>
        <w:overflowPunct/>
        <w:topLinePunct w:val="0"/>
        <w:autoSpaceDE/>
        <w:autoSpaceDN/>
        <w:bidi w:val="0"/>
        <w:adjustRightInd/>
        <w:snapToGrid/>
        <w:spacing w:line="500" w:lineRule="exact"/>
        <w:ind w:firstLine="555"/>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6.2.3因重大变故，采购任务取消的。</w:t>
      </w:r>
    </w:p>
    <w:p w14:paraId="1EC5DAD7">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6.2.4磋商小组认定磋商文件存在歧义、重大缺陷导致评审工作无法进行。</w:t>
      </w:r>
    </w:p>
    <w:p w14:paraId="2CF95BA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6.2.5因</w:t>
      </w:r>
      <w:r>
        <w:rPr>
          <w:rFonts w:hint="eastAsia" w:ascii="宋体" w:hAnsi="宋体" w:eastAsia="宋体" w:cs="宋体"/>
          <w:color w:val="auto"/>
          <w:sz w:val="28"/>
          <w:szCs w:val="28"/>
          <w:highlight w:val="none"/>
        </w:rPr>
        <w:t>“苏采云”系统</w:t>
      </w:r>
      <w:r>
        <w:rPr>
          <w:rFonts w:hint="eastAsia" w:ascii="宋体" w:hAnsi="宋体" w:eastAsia="宋体" w:cs="宋体"/>
          <w:bCs/>
          <w:color w:val="auto"/>
          <w:sz w:val="28"/>
          <w:szCs w:val="28"/>
          <w:highlight w:val="none"/>
        </w:rPr>
        <w:t>系统故障原因造成磋商不成功的。</w:t>
      </w:r>
    </w:p>
    <w:p w14:paraId="0F24F10F">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6.3响应</w:t>
      </w:r>
      <w:r>
        <w:rPr>
          <w:rFonts w:hint="eastAsia" w:ascii="宋体" w:hAnsi="宋体" w:eastAsia="宋体" w:cs="宋体"/>
          <w:color w:val="auto"/>
          <w:sz w:val="28"/>
          <w:szCs w:val="28"/>
          <w:highlight w:val="none"/>
        </w:rPr>
        <w:t>文件提交</w:t>
      </w:r>
      <w:r>
        <w:rPr>
          <w:rFonts w:hint="eastAsia" w:ascii="宋体" w:hAnsi="宋体" w:eastAsia="宋体" w:cs="宋体"/>
          <w:bCs/>
          <w:color w:val="auto"/>
          <w:sz w:val="28"/>
          <w:szCs w:val="28"/>
          <w:highlight w:val="none"/>
        </w:rPr>
        <w:t>截止时间结束后参加磋商的供应商不足三家的处理：</w:t>
      </w:r>
    </w:p>
    <w:p w14:paraId="019EF3DD">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6.3.1如出现响应</w:t>
      </w:r>
      <w:r>
        <w:rPr>
          <w:rFonts w:hint="eastAsia" w:ascii="宋体" w:hAnsi="宋体" w:eastAsia="宋体" w:cs="宋体"/>
          <w:color w:val="auto"/>
          <w:sz w:val="28"/>
          <w:szCs w:val="28"/>
          <w:highlight w:val="none"/>
        </w:rPr>
        <w:t>文件提交</w:t>
      </w:r>
      <w:r>
        <w:rPr>
          <w:rFonts w:hint="eastAsia" w:ascii="宋体" w:hAnsi="宋体" w:eastAsia="宋体" w:cs="宋体"/>
          <w:bCs/>
          <w:color w:val="auto"/>
          <w:sz w:val="28"/>
          <w:szCs w:val="28"/>
          <w:highlight w:val="none"/>
        </w:rPr>
        <w:t>截止时间结束后参加磋商的供应商或者在评审期间对磋商文件做出实质响应的供应商不足三家情况，按政府采购相关规定执行。</w:t>
      </w:r>
    </w:p>
    <w:bookmarkEnd w:id="87"/>
    <w:bookmarkEnd w:id="88"/>
    <w:bookmarkEnd w:id="89"/>
    <w:p w14:paraId="1FA22F10">
      <w:pPr>
        <w:keepNext/>
        <w:keepLines/>
        <w:pageBreakBefore w:val="0"/>
        <w:widowControl w:val="0"/>
        <w:kinsoku/>
        <w:wordWrap/>
        <w:overflowPunct/>
        <w:topLinePunct w:val="0"/>
        <w:autoSpaceDE/>
        <w:autoSpaceDN/>
        <w:bidi w:val="0"/>
        <w:adjustRightInd/>
        <w:snapToGrid/>
        <w:spacing w:line="500" w:lineRule="exact"/>
        <w:textAlignment w:val="auto"/>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成交</w:t>
      </w:r>
    </w:p>
    <w:p w14:paraId="2FE1692D">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color w:val="auto"/>
          <w:sz w:val="28"/>
          <w:szCs w:val="28"/>
          <w:highlight w:val="none"/>
        </w:rPr>
      </w:pPr>
      <w:bookmarkStart w:id="90" w:name="_Toc20823310"/>
      <w:bookmarkStart w:id="91" w:name="_Toc16938554"/>
      <w:r>
        <w:rPr>
          <w:rFonts w:hint="eastAsia" w:ascii="宋体" w:hAnsi="宋体" w:eastAsia="宋体" w:cs="宋体"/>
          <w:color w:val="auto"/>
          <w:sz w:val="28"/>
          <w:szCs w:val="28"/>
          <w:highlight w:val="none"/>
        </w:rPr>
        <w:t>1.确定</w:t>
      </w:r>
      <w:bookmarkEnd w:id="90"/>
      <w:bookmarkEnd w:id="91"/>
      <w:r>
        <w:rPr>
          <w:rFonts w:hint="eastAsia" w:ascii="宋体" w:hAnsi="宋体" w:eastAsia="宋体" w:cs="宋体"/>
          <w:color w:val="auto"/>
          <w:sz w:val="28"/>
          <w:szCs w:val="28"/>
          <w:highlight w:val="none"/>
        </w:rPr>
        <w:t>成交单位</w:t>
      </w:r>
    </w:p>
    <w:p w14:paraId="578858F3">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1.1成交候选供应商的选取原则和数量见磋商文件第四部分规定。</w:t>
      </w:r>
    </w:p>
    <w:p w14:paraId="4AF989C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1.2采购人从评审报告提出的成交候选供应商中，按照排序由高到低的原则确定成交供应商。</w:t>
      </w:r>
    </w:p>
    <w:p w14:paraId="0586C06A">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1.3</w:t>
      </w:r>
      <w:r>
        <w:rPr>
          <w:rFonts w:hint="eastAsia" w:ascii="宋体" w:hAnsi="宋体" w:eastAsia="宋体" w:cs="宋体"/>
          <w:color w:val="auto"/>
          <w:sz w:val="28"/>
          <w:szCs w:val="28"/>
          <w:highlight w:val="none"/>
        </w:rPr>
        <w:t>采购人确定成交供应商后，将在江苏政府采购网发布成交结果公告，公告期限为1个工作日。</w:t>
      </w:r>
    </w:p>
    <w:p w14:paraId="69BA94D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1.4若有充分证据证明，成交供应商出现下列情况之一的，一经查实，将被取消成交资格：</w:t>
      </w:r>
    </w:p>
    <w:p w14:paraId="5A6A108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1.4.1提供虚假材料谋取成交的。</w:t>
      </w:r>
    </w:p>
    <w:p w14:paraId="5E40FEA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1.4.2向采购人、代理机构行贿或者评审专家提供其他不正当利益的。</w:t>
      </w:r>
    </w:p>
    <w:p w14:paraId="53734BFD">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1.4.3恶意竞争，最终总报价明显低于其自身合理成本且又无法提供证明的。</w:t>
      </w:r>
    </w:p>
    <w:p w14:paraId="624B77E5">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1.4.4属于本文件规定的无效条件，但在评审过程中又未被磋商小组发现的。</w:t>
      </w:r>
    </w:p>
    <w:p w14:paraId="74FCDF4C">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1.4.5与采购人或者其他供应商恶意串通的。</w:t>
      </w:r>
    </w:p>
    <w:p w14:paraId="438317A1">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1.4.6采取不正当手段诋毁、排挤其他供应商的。</w:t>
      </w:r>
    </w:p>
    <w:p w14:paraId="7F78DF5F">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bookmarkStart w:id="92" w:name="_Toc200451960"/>
      <w:r>
        <w:rPr>
          <w:rFonts w:hint="eastAsia" w:ascii="宋体" w:hAnsi="宋体" w:eastAsia="宋体" w:cs="宋体"/>
          <w:color w:val="auto"/>
          <w:sz w:val="28"/>
          <w:szCs w:val="28"/>
          <w:highlight w:val="none"/>
        </w:rPr>
        <w:t>1.5.有下列情形之一的，视为供应商串通参与磋商，响应无效：</w:t>
      </w:r>
    </w:p>
    <w:p w14:paraId="5D08A68E">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1.5.1不同供应商的响应文件由同一单位或者个人编制；</w:t>
      </w:r>
    </w:p>
    <w:p w14:paraId="4DB8DCB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1.5.2不同供应商委托同一单位或者个人办理磋商事宜；</w:t>
      </w:r>
    </w:p>
    <w:p w14:paraId="2AF204DE">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1.5.3不同供应商的响应文件载明的项目管理成员或者联系人员为同一人；</w:t>
      </w:r>
    </w:p>
    <w:p w14:paraId="54CF653C">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1.5.4不同供应商的响应文件异常一致或者响应报价呈规律性差异。</w:t>
      </w:r>
    </w:p>
    <w:p w14:paraId="54BC1AD4">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2.质疑处理</w:t>
      </w:r>
      <w:bookmarkEnd w:id="92"/>
    </w:p>
    <w:p w14:paraId="2EC8A438">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2.1提出质疑的供应商应当是参与所质疑项目采购活动的供应商。潜在供应商依法获取其可质疑的磋商文件的，可以对磋商文件提出质疑。</w:t>
      </w:r>
    </w:p>
    <w:p w14:paraId="569DA984">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个工作日内，以书面形式向采购人提出质疑。上述应知其权益受到损害之日，是指：</w:t>
      </w:r>
    </w:p>
    <w:p w14:paraId="67390595">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2.2.1对可以质疑的磋商文件提出质疑的，为收到磋商文件之日或者磋商文件公告期限届满之日；</w:t>
      </w:r>
    </w:p>
    <w:p w14:paraId="0A9EAC5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2.2.2对采购过程提出质疑的，为各采购程序环节结束之日；</w:t>
      </w:r>
    </w:p>
    <w:p w14:paraId="4F29F989">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2.2.3对成交结果提出质疑的，为成交结果公告期限届满之日。</w:t>
      </w:r>
    </w:p>
    <w:p w14:paraId="50D6A4DF">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供应商应当在法定质疑期内一次性提出针对同一采购程序环节的质疑。</w:t>
      </w:r>
    </w:p>
    <w:p w14:paraId="5BDC7B1C">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5891E5E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2.4对采购方式、磋商文件中项目需求、供应商资格条件、评审方法和评审标准、资格审查结果等应当由采购人答复的质疑，请向采购人提出，由采购人负责答复。供应商对其他事项的质疑，请向采购人提出，由采购人负责答复。</w:t>
      </w:r>
    </w:p>
    <w:p w14:paraId="12D6FA1B">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供应商于法定期限内提起质疑，向采购人以书面形式提交质疑函。</w:t>
      </w:r>
    </w:p>
    <w:p w14:paraId="652EE8DF">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采购人质疑接收人及联系方式，见磋商文件第一部分。</w:t>
      </w:r>
    </w:p>
    <w:p w14:paraId="0A9D6EB0">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2.5以下情形的质疑不予受理</w:t>
      </w:r>
    </w:p>
    <w:p w14:paraId="60934F27">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2.5.1内容不符合《政府采购质疑和投诉办法》第十二条规定的质疑。</w:t>
      </w:r>
    </w:p>
    <w:p w14:paraId="278AEC40">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2.5.2超出政府采购法定期限的质疑。</w:t>
      </w:r>
    </w:p>
    <w:p w14:paraId="0A2CF2B9">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2.5.3未参加磋商活动的供应商或在磋商活动中自身权益未受到损害的供应商所提出的质疑。</w:t>
      </w:r>
    </w:p>
    <w:p w14:paraId="2FE438AA">
      <w:pPr>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2.5.4供应商组成联合体参加磋商，联合体中任何一方或多方未按要求签字、盖章、加盖公章的质疑。</w:t>
      </w:r>
    </w:p>
    <w:p w14:paraId="32DFCB95">
      <w:pPr>
        <w:pageBreakBefore w:val="0"/>
        <w:widowControl w:val="0"/>
        <w:kinsoku/>
        <w:wordWrap/>
        <w:overflowPunct/>
        <w:topLinePunct w:val="0"/>
        <w:autoSpaceDE/>
        <w:autoSpaceDN/>
        <w:bidi w:val="0"/>
        <w:adjustRightInd/>
        <w:snapToGrid/>
        <w:spacing w:line="500" w:lineRule="exact"/>
        <w:ind w:firstLine="546"/>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50DA571">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3．成交通知书</w:t>
      </w:r>
    </w:p>
    <w:p w14:paraId="60E453A6">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3.l成交结果确定后，采购人将向成交供应商发出成交通知书</w:t>
      </w:r>
      <w:r>
        <w:rPr>
          <w:rFonts w:hint="eastAsia" w:ascii="宋体" w:hAnsi="宋体" w:eastAsia="宋体" w:cs="宋体"/>
          <w:bCs/>
          <w:color w:val="auto"/>
          <w:sz w:val="28"/>
          <w:szCs w:val="28"/>
          <w:highlight w:val="none"/>
        </w:rPr>
        <w:t>（详见磋商文件第四部分）</w:t>
      </w:r>
      <w:r>
        <w:rPr>
          <w:rFonts w:hint="eastAsia" w:ascii="宋体" w:hAnsi="宋体" w:eastAsia="宋体" w:cs="宋体"/>
          <w:color w:val="auto"/>
          <w:sz w:val="28"/>
          <w:szCs w:val="28"/>
          <w:highlight w:val="none"/>
        </w:rPr>
        <w:t>。</w:t>
      </w:r>
    </w:p>
    <w:p w14:paraId="1B3ED982">
      <w:pPr>
        <w:pageBreakBefore w:val="0"/>
        <w:widowControl w:val="0"/>
        <w:kinsoku/>
        <w:wordWrap/>
        <w:overflowPunct/>
        <w:topLinePunct w:val="0"/>
        <w:autoSpaceDE/>
        <w:autoSpaceDN/>
        <w:bidi w:val="0"/>
        <w:adjustRightInd/>
        <w:snapToGrid/>
        <w:spacing w:line="500" w:lineRule="exact"/>
        <w:ind w:firstLine="42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3.2成交通知书将是合同的一个组成部分。对采购人和成交供应商均具有法律效力。成交通知书发出后，采购人改变成交结果的，或者成交供应商放弃磋商项目的，应当依法承担法律责任。</w:t>
      </w:r>
    </w:p>
    <w:p w14:paraId="033F67DA">
      <w:pPr>
        <w:keepNext/>
        <w:keepLines/>
        <w:pageBreakBefore w:val="0"/>
        <w:widowControl w:val="0"/>
        <w:kinsoku/>
        <w:wordWrap/>
        <w:overflowPunct/>
        <w:topLinePunct w:val="0"/>
        <w:autoSpaceDE/>
        <w:autoSpaceDN/>
        <w:bidi w:val="0"/>
        <w:adjustRightInd/>
        <w:snapToGrid/>
        <w:spacing w:line="500" w:lineRule="exact"/>
        <w:textAlignment w:val="auto"/>
        <w:outlineLvl w:val="2"/>
        <w:rPr>
          <w:rFonts w:hint="eastAsia" w:ascii="宋体" w:hAnsi="宋体" w:eastAsia="宋体" w:cs="宋体"/>
          <w:b/>
          <w:bCs/>
          <w:color w:val="auto"/>
          <w:sz w:val="28"/>
          <w:szCs w:val="28"/>
          <w:highlight w:val="none"/>
        </w:rPr>
      </w:pPr>
      <w:bookmarkStart w:id="93" w:name="_Toc120614220"/>
      <w:bookmarkStart w:id="94" w:name="_Toc513029236"/>
      <w:bookmarkStart w:id="95" w:name="_Toc20823308"/>
      <w:bookmarkStart w:id="96" w:name="_Toc16938552"/>
      <w:r>
        <w:rPr>
          <w:rFonts w:hint="eastAsia" w:ascii="宋体" w:hAnsi="宋体" w:eastAsia="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授予合同</w:t>
      </w:r>
      <w:bookmarkEnd w:id="93"/>
    </w:p>
    <w:bookmarkEnd w:id="94"/>
    <w:bookmarkEnd w:id="95"/>
    <w:bookmarkEnd w:id="96"/>
    <w:p w14:paraId="777CF23A">
      <w:pPr>
        <w:keepNext/>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1.签订合同</w:t>
      </w:r>
    </w:p>
    <w:p w14:paraId="19E3A393">
      <w:pPr>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w:t>
      </w:r>
      <w:r>
        <w:rPr>
          <w:rFonts w:hint="eastAsia" w:ascii="宋体" w:hAnsi="宋体" w:eastAsia="宋体" w:cs="宋体"/>
          <w:color w:val="auto"/>
          <w:sz w:val="28"/>
          <w:szCs w:val="28"/>
          <w:highlight w:val="none"/>
        </w:rPr>
        <w:t>.l成交供应商应当在成交通知书发出之日起三十日内，按照磋商文件确定的事项与采购人签订政府采购合同。</w:t>
      </w:r>
    </w:p>
    <w:p w14:paraId="7AD7A0F7">
      <w:pPr>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1.2磋商文件、成交供应商的响应文件及磋商过程中有关澄清、承诺文件均应作为合同附件。</w:t>
      </w:r>
    </w:p>
    <w:p w14:paraId="1D8A0243">
      <w:pPr>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609E4FDC">
      <w:pPr>
        <w:keepNext/>
        <w:keepLines w:val="0"/>
        <w:pageBreakBefore w:val="0"/>
        <w:widowControl w:val="0"/>
        <w:kinsoku/>
        <w:wordWrap/>
        <w:overflowPunct/>
        <w:topLinePunct w:val="0"/>
        <w:autoSpaceDE/>
        <w:autoSpaceDN/>
        <w:bidi w:val="0"/>
        <w:adjustRightInd/>
        <w:snapToGrid/>
        <w:spacing w:line="500" w:lineRule="exact"/>
        <w:textAlignment w:val="auto"/>
        <w:outlineLvl w:val="3"/>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2.货物和服务的追加、减少和添购。</w:t>
      </w:r>
    </w:p>
    <w:p w14:paraId="421697BD">
      <w:pPr>
        <w:keepNext w:val="0"/>
        <w:keepLines w:val="0"/>
        <w:pageBreakBefore w:val="0"/>
        <w:widowControl w:val="0"/>
        <w:kinsoku/>
        <w:wordWrap/>
        <w:overflowPunct/>
        <w:topLinePunct w:val="0"/>
        <w:autoSpaceDE/>
        <w:autoSpaceDN/>
        <w:bidi w:val="0"/>
        <w:adjustRightInd/>
        <w:snapToGrid/>
        <w:spacing w:line="500" w:lineRule="exact"/>
        <w:ind w:firstLine="561"/>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55602B6">
      <w:pPr>
        <w:keepNext w:val="0"/>
        <w:keepLines w:val="0"/>
        <w:pageBreakBefore w:val="0"/>
        <w:widowControl w:val="0"/>
        <w:kinsoku/>
        <w:wordWrap/>
        <w:overflowPunct/>
        <w:topLinePunct w:val="0"/>
        <w:autoSpaceDE/>
        <w:autoSpaceDN/>
        <w:bidi w:val="0"/>
        <w:adjustRightInd/>
        <w:snapToGrid/>
        <w:spacing w:line="500" w:lineRule="exact"/>
        <w:ind w:firstLine="561"/>
        <w:textAlignment w:val="auto"/>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207B227C">
      <w:pPr>
        <w:pStyle w:val="3"/>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3.合同信用融资扶持政策</w:t>
      </w:r>
    </w:p>
    <w:p w14:paraId="0057DB80">
      <w:pPr>
        <w:keepNext/>
        <w:keepLines w:val="0"/>
        <w:pageBreakBefore w:val="0"/>
        <w:widowControl w:val="0"/>
        <w:kinsoku/>
        <w:wordWrap/>
        <w:overflowPunct/>
        <w:topLinePunct w:val="0"/>
        <w:autoSpaceDE/>
        <w:autoSpaceDN/>
        <w:bidi w:val="0"/>
        <w:adjustRightInd/>
        <w:snapToGrid/>
        <w:spacing w:line="500" w:lineRule="exact"/>
        <w:ind w:firstLine="560"/>
        <w:textAlignment w:val="auto"/>
        <w:outlineLvl w:val="3"/>
        <w:rPr>
          <w:rFonts w:asciiTheme="minorEastAsia" w:hAnsiTheme="minorEastAsia" w:eastAsiaTheme="minorEastAsia"/>
          <w:color w:val="auto"/>
          <w:sz w:val="28"/>
          <w:szCs w:val="28"/>
          <w:highlight w:val="none"/>
        </w:rPr>
      </w:pPr>
      <w:r>
        <w:rPr>
          <w:rFonts w:hint="eastAsia" w:ascii="宋体" w:hAnsi="宋体" w:eastAsia="宋体" w:cs="宋体"/>
          <w:color w:val="auto"/>
          <w:sz w:val="28"/>
          <w:szCs w:val="28"/>
          <w:highlight w:val="none"/>
        </w:rPr>
        <w:t>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23721DC4">
      <w:pPr>
        <w:adjustRightInd w:val="0"/>
        <w:snapToGrid w:val="0"/>
        <w:spacing w:line="500" w:lineRule="exact"/>
        <w:ind w:firstLine="562" w:firstLineChars="200"/>
        <w:rPr>
          <w:rFonts w:hint="eastAsia" w:asciiTheme="minorEastAsia" w:hAnsiTheme="minorEastAsia" w:eastAsiaTheme="minorEastAsia" w:cstheme="minorEastAsia"/>
          <w:b/>
          <w:color w:val="auto"/>
          <w:sz w:val="28"/>
          <w:szCs w:val="28"/>
          <w:highlight w:val="none"/>
        </w:rPr>
      </w:pPr>
    </w:p>
    <w:bookmarkEnd w:id="5"/>
    <w:bookmarkEnd w:id="6"/>
    <w:bookmarkEnd w:id="7"/>
    <w:p w14:paraId="4148F0EA">
      <w:pPr>
        <w:autoSpaceDE w:val="0"/>
        <w:autoSpaceDN w:val="0"/>
        <w:adjustRightInd w:val="0"/>
        <w:snapToGrid w:val="0"/>
        <w:spacing w:line="500" w:lineRule="exact"/>
        <w:jc w:val="center"/>
        <w:outlineLvl w:val="0"/>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b/>
          <w:color w:val="auto"/>
          <w:sz w:val="28"/>
          <w:szCs w:val="28"/>
          <w:highlight w:val="none"/>
        </w:rPr>
        <w:br w:type="page"/>
      </w:r>
      <w:r>
        <w:rPr>
          <w:rFonts w:hint="eastAsia" w:asciiTheme="minorEastAsia" w:hAnsiTheme="minorEastAsia" w:eastAsiaTheme="minorEastAsia" w:cstheme="minorEastAsia"/>
          <w:color w:val="auto"/>
          <w:sz w:val="36"/>
          <w:szCs w:val="36"/>
          <w:highlight w:val="none"/>
          <w:lang w:val="zh-CN"/>
        </w:rPr>
        <w:t>第三部分  项目需求</w:t>
      </w:r>
    </w:p>
    <w:p w14:paraId="264F2A22">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46102E1F">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0178F083">
      <w:pPr>
        <w:pStyle w:val="9"/>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500" w:lineRule="exact"/>
        <w:ind w:firstLine="562" w:firstLineChars="200"/>
        <w:textAlignment w:val="auto"/>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服务内容：</w:t>
      </w:r>
    </w:p>
    <w:p w14:paraId="42B9E800">
      <w:pPr>
        <w:pStyle w:val="9"/>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50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一）实施范围：吕四港镇蒿枝港区域、茅家港闸口陆域部分、吕四渔港船闸西侧至启海交界处。服务单位协助吕四港镇指定范围内沿海岸线的巡逻防控、应急处置等维护海岸线公共秩序与安全的综合性工作服务。</w:t>
      </w:r>
    </w:p>
    <w:p w14:paraId="7880F9E5">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（二）服务内容：</w:t>
      </w:r>
    </w:p>
    <w:p w14:paraId="6EC343EA">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1.管理岗工作要求和职责</w:t>
      </w:r>
    </w:p>
    <w:p w14:paraId="0774A657">
      <w:pPr>
        <w:widowControl/>
        <w:numPr>
          <w:ilvl w:val="0"/>
          <w:numId w:val="0"/>
        </w:numPr>
        <w:shd w:val="clear" w:color="auto" w:fill="FFFFFF"/>
        <w:tabs>
          <w:tab w:val="left" w:pos="360"/>
        </w:tabs>
        <w:spacing w:line="460" w:lineRule="exact"/>
        <w:ind w:firstLine="560" w:firstLineChars="200"/>
        <w:jc w:val="left"/>
        <w:rPr>
          <w:rFonts w:hint="default"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中标人需派驻项目经理1人。针对本项目建立服务方案、组织架构、日常管理等内容的规章制度。督导检查各个巡逻岗在岗履职情况及装备是否齐全；传达日常工作任务、注意事项及遇紧急突发况应急处置，确保海岸线安全稳定；完成各岗位人员的工作部署、考勤、绩效考核等工作，积极配合采购人开展各项工作。</w:t>
      </w:r>
    </w:p>
    <w:p w14:paraId="699DA0E6">
      <w:pPr>
        <w:widowControl/>
        <w:numPr>
          <w:ilvl w:val="0"/>
          <w:numId w:val="0"/>
        </w:numPr>
        <w:shd w:val="clear" w:color="auto" w:fill="FFFFFF"/>
        <w:tabs>
          <w:tab w:val="left" w:pos="360"/>
        </w:tabs>
        <w:spacing w:line="460" w:lineRule="exact"/>
        <w:ind w:firstLine="560" w:firstLineChars="200"/>
        <w:jc w:val="left"/>
        <w:rPr>
          <w:rFonts w:hint="default"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2.</w:t>
      </w:r>
      <w:r>
        <w:rPr>
          <w:rFonts w:hint="default" w:asciiTheme="minorEastAsia" w:hAnsiTheme="minorEastAsia" w:eastAsiaTheme="minorEastAsia" w:cstheme="minorEastAsia"/>
          <w:color w:val="auto"/>
          <w:kern w:val="2"/>
          <w:sz w:val="28"/>
          <w:szCs w:val="28"/>
          <w:highlight w:val="none"/>
          <w:lang w:val="en-US" w:eastAsia="zh-CN" w:bidi="ar-SA"/>
        </w:rPr>
        <w:t>巡逻岗工作要求</w:t>
      </w:r>
    </w:p>
    <w:p w14:paraId="73BACBBE">
      <w:pPr>
        <w:widowControl/>
        <w:numPr>
          <w:ilvl w:val="0"/>
          <w:numId w:val="0"/>
        </w:numPr>
        <w:shd w:val="clear" w:color="auto" w:fill="FFFFFF"/>
        <w:tabs>
          <w:tab w:val="left" w:pos="360"/>
        </w:tabs>
        <w:spacing w:line="460" w:lineRule="exact"/>
        <w:ind w:firstLine="560" w:firstLineChars="200"/>
        <w:jc w:val="left"/>
        <w:rPr>
          <w:rFonts w:hint="default" w:asciiTheme="minorEastAsia" w:hAnsiTheme="minorEastAsia" w:eastAsiaTheme="minorEastAsia" w:cstheme="minorEastAsia"/>
          <w:color w:val="auto"/>
          <w:kern w:val="2"/>
          <w:sz w:val="28"/>
          <w:szCs w:val="28"/>
          <w:highlight w:val="none"/>
          <w:lang w:val="en-US" w:eastAsia="zh-CN" w:bidi="ar-SA"/>
        </w:rPr>
      </w:pPr>
      <w:r>
        <w:rPr>
          <w:rFonts w:hint="default" w:asciiTheme="minorEastAsia" w:hAnsiTheme="minorEastAsia" w:eastAsiaTheme="minorEastAsia" w:cstheme="minorEastAsia"/>
          <w:color w:val="auto"/>
          <w:kern w:val="2"/>
          <w:sz w:val="28"/>
          <w:szCs w:val="28"/>
          <w:highlight w:val="none"/>
          <w:lang w:val="en-US" w:eastAsia="zh-CN" w:bidi="ar-SA"/>
        </w:rPr>
        <w:t>每个巡逻岗位不得兼岗，实行24小时不间断全覆盖动态巡逻防控，遇节假日、潮汐时段加强巡防</w:t>
      </w:r>
      <w:r>
        <w:rPr>
          <w:rFonts w:hint="eastAsia" w:asciiTheme="minorEastAsia" w:hAnsiTheme="minorEastAsia" w:eastAsiaTheme="minorEastAsia" w:cstheme="minorEastAsia"/>
          <w:color w:val="auto"/>
          <w:kern w:val="2"/>
          <w:sz w:val="28"/>
          <w:szCs w:val="28"/>
          <w:highlight w:val="none"/>
          <w:lang w:val="en-US" w:eastAsia="zh-CN" w:bidi="ar-SA"/>
        </w:rPr>
        <w:t>频次</w:t>
      </w:r>
      <w:r>
        <w:rPr>
          <w:rFonts w:hint="default" w:asciiTheme="minorEastAsia" w:hAnsiTheme="minorEastAsia" w:eastAsiaTheme="minorEastAsia" w:cstheme="minorEastAsia"/>
          <w:color w:val="auto"/>
          <w:kern w:val="2"/>
          <w:sz w:val="28"/>
          <w:szCs w:val="28"/>
          <w:highlight w:val="none"/>
          <w:lang w:val="en-US" w:eastAsia="zh-CN" w:bidi="ar-SA"/>
        </w:rPr>
        <w:t>，</w:t>
      </w:r>
      <w:r>
        <w:rPr>
          <w:rFonts w:hint="eastAsia" w:asciiTheme="minorEastAsia" w:hAnsiTheme="minorEastAsia" w:eastAsiaTheme="minorEastAsia" w:cstheme="minorEastAsia"/>
          <w:color w:val="auto"/>
          <w:kern w:val="2"/>
          <w:sz w:val="28"/>
          <w:szCs w:val="28"/>
          <w:highlight w:val="none"/>
          <w:lang w:val="en-US" w:eastAsia="zh-CN" w:bidi="ar-SA"/>
        </w:rPr>
        <w:t>及时劝阻</w:t>
      </w:r>
      <w:r>
        <w:rPr>
          <w:rFonts w:hint="default" w:asciiTheme="minorEastAsia" w:hAnsiTheme="minorEastAsia" w:eastAsiaTheme="minorEastAsia" w:cstheme="minorEastAsia"/>
          <w:color w:val="auto"/>
          <w:kern w:val="2"/>
          <w:sz w:val="28"/>
          <w:szCs w:val="28"/>
          <w:highlight w:val="none"/>
          <w:lang w:val="en-US" w:eastAsia="zh-CN" w:bidi="ar-SA"/>
        </w:rPr>
        <w:t>沿线逗留人员、</w:t>
      </w:r>
      <w:r>
        <w:rPr>
          <w:rFonts w:hint="eastAsia" w:asciiTheme="minorEastAsia" w:hAnsiTheme="minorEastAsia" w:eastAsiaTheme="minorEastAsia" w:cstheme="minorEastAsia"/>
          <w:color w:val="auto"/>
          <w:kern w:val="2"/>
          <w:sz w:val="28"/>
          <w:szCs w:val="28"/>
          <w:highlight w:val="none"/>
          <w:lang w:val="en-US" w:eastAsia="zh-CN" w:bidi="ar-SA"/>
        </w:rPr>
        <w:t>“赶小海”人员及</w:t>
      </w:r>
      <w:r>
        <w:rPr>
          <w:rFonts w:hint="default" w:asciiTheme="minorEastAsia" w:hAnsiTheme="minorEastAsia" w:eastAsiaTheme="minorEastAsia" w:cstheme="minorEastAsia"/>
          <w:color w:val="auto"/>
          <w:kern w:val="2"/>
          <w:sz w:val="28"/>
          <w:szCs w:val="28"/>
          <w:highlight w:val="none"/>
          <w:lang w:val="en-US" w:eastAsia="zh-CN" w:bidi="ar-SA"/>
        </w:rPr>
        <w:t>携带</w:t>
      </w:r>
      <w:r>
        <w:rPr>
          <w:rFonts w:hint="eastAsia" w:asciiTheme="minorEastAsia" w:hAnsiTheme="minorEastAsia" w:eastAsiaTheme="minorEastAsia" w:cstheme="minorEastAsia"/>
          <w:color w:val="auto"/>
          <w:kern w:val="2"/>
          <w:sz w:val="28"/>
          <w:szCs w:val="28"/>
          <w:highlight w:val="none"/>
          <w:lang w:val="en-US" w:eastAsia="zh-CN" w:bidi="ar-SA"/>
        </w:rPr>
        <w:t>浮子筏、橡皮艇等“三无船舶”</w:t>
      </w:r>
      <w:r>
        <w:rPr>
          <w:rFonts w:hint="default" w:asciiTheme="minorEastAsia" w:hAnsiTheme="minorEastAsia" w:eastAsiaTheme="minorEastAsia" w:cstheme="minorEastAsia"/>
          <w:color w:val="auto"/>
          <w:kern w:val="2"/>
          <w:sz w:val="28"/>
          <w:szCs w:val="28"/>
          <w:highlight w:val="none"/>
          <w:lang w:val="en-US" w:eastAsia="zh-CN" w:bidi="ar-SA"/>
        </w:rPr>
        <w:t>的人员</w:t>
      </w:r>
      <w:r>
        <w:rPr>
          <w:rFonts w:hint="eastAsia" w:asciiTheme="minorEastAsia" w:hAnsiTheme="minorEastAsia" w:eastAsiaTheme="minorEastAsia" w:cstheme="minorEastAsia"/>
          <w:color w:val="auto"/>
          <w:kern w:val="2"/>
          <w:sz w:val="28"/>
          <w:szCs w:val="28"/>
          <w:highlight w:val="none"/>
          <w:lang w:val="en-US" w:eastAsia="zh-CN" w:bidi="ar-SA"/>
        </w:rPr>
        <w:t>下海</w:t>
      </w:r>
      <w:r>
        <w:rPr>
          <w:rFonts w:hint="default" w:asciiTheme="minorEastAsia" w:hAnsiTheme="minorEastAsia" w:eastAsiaTheme="minorEastAsia" w:cstheme="minorEastAsia"/>
          <w:color w:val="auto"/>
          <w:kern w:val="2"/>
          <w:sz w:val="28"/>
          <w:szCs w:val="28"/>
          <w:highlight w:val="none"/>
          <w:lang w:val="en-US" w:eastAsia="zh-CN" w:bidi="ar-SA"/>
        </w:rPr>
        <w:t>；重点部位、重要潮水时间段、夜间必巡；发生求助、纠纷、突发案事件等必到，确保沿海岸线稳定；工作量随季节转换及治安状况做相应调整。</w:t>
      </w:r>
    </w:p>
    <w:p w14:paraId="295E5DB6">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3.</w:t>
      </w:r>
      <w:r>
        <w:rPr>
          <w:rFonts w:hint="default" w:asciiTheme="minorEastAsia" w:hAnsiTheme="minorEastAsia" w:eastAsiaTheme="minorEastAsia" w:cstheme="minorEastAsia"/>
          <w:color w:val="auto"/>
          <w:kern w:val="2"/>
          <w:sz w:val="28"/>
          <w:szCs w:val="28"/>
          <w:highlight w:val="none"/>
          <w:lang w:val="en-US" w:eastAsia="zh-CN" w:bidi="ar-SA"/>
        </w:rPr>
        <w:t>巡逻岗工作</w:t>
      </w:r>
      <w:r>
        <w:rPr>
          <w:rFonts w:hint="eastAsia" w:asciiTheme="minorEastAsia" w:hAnsiTheme="minorEastAsia" w:eastAsiaTheme="minorEastAsia" w:cstheme="minorEastAsia"/>
          <w:color w:val="auto"/>
          <w:kern w:val="2"/>
          <w:sz w:val="28"/>
          <w:szCs w:val="28"/>
          <w:highlight w:val="none"/>
          <w:lang w:val="en-US" w:eastAsia="zh-CN" w:bidi="ar-SA"/>
        </w:rPr>
        <w:t>职责</w:t>
      </w:r>
    </w:p>
    <w:p w14:paraId="1FC68077">
      <w:pPr>
        <w:widowControl/>
        <w:numPr>
          <w:ilvl w:val="0"/>
          <w:numId w:val="0"/>
        </w:numPr>
        <w:shd w:val="clear" w:color="auto" w:fill="FFFFFF"/>
        <w:tabs>
          <w:tab w:val="left" w:pos="360"/>
        </w:tabs>
        <w:spacing w:line="460" w:lineRule="exact"/>
        <w:ind w:firstLine="560" w:firstLineChars="200"/>
        <w:jc w:val="left"/>
        <w:rPr>
          <w:rFonts w:hint="default"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（1）</w:t>
      </w:r>
      <w:r>
        <w:rPr>
          <w:rFonts w:hint="default" w:asciiTheme="minorEastAsia" w:hAnsiTheme="minorEastAsia" w:eastAsiaTheme="minorEastAsia" w:cstheme="minorEastAsia"/>
          <w:color w:val="auto"/>
          <w:kern w:val="2"/>
          <w:sz w:val="28"/>
          <w:szCs w:val="28"/>
          <w:highlight w:val="none"/>
          <w:lang w:val="en-US" w:eastAsia="zh-CN" w:bidi="ar-SA"/>
        </w:rPr>
        <w:t>协助防范非法活动：在巡逻过程中，发现</w:t>
      </w:r>
      <w:r>
        <w:rPr>
          <w:rFonts w:hint="eastAsia" w:asciiTheme="minorEastAsia" w:hAnsiTheme="minorEastAsia" w:eastAsiaTheme="minorEastAsia" w:cstheme="minorEastAsia"/>
          <w:color w:val="auto"/>
          <w:kern w:val="2"/>
          <w:sz w:val="28"/>
          <w:szCs w:val="28"/>
          <w:highlight w:val="none"/>
          <w:lang w:val="en-US" w:eastAsia="zh-CN" w:bidi="ar-SA"/>
        </w:rPr>
        <w:t>可疑</w:t>
      </w:r>
      <w:r>
        <w:rPr>
          <w:rFonts w:hint="default" w:asciiTheme="minorEastAsia" w:hAnsiTheme="minorEastAsia" w:eastAsiaTheme="minorEastAsia" w:cstheme="minorEastAsia"/>
          <w:color w:val="auto"/>
          <w:kern w:val="2"/>
          <w:sz w:val="28"/>
          <w:szCs w:val="28"/>
          <w:highlight w:val="none"/>
          <w:lang w:val="en-US" w:eastAsia="zh-CN" w:bidi="ar-SA"/>
        </w:rPr>
        <w:t>人员</w:t>
      </w:r>
      <w:r>
        <w:rPr>
          <w:rFonts w:hint="eastAsia" w:asciiTheme="minorEastAsia" w:hAnsiTheme="minorEastAsia" w:eastAsiaTheme="minorEastAsia" w:cstheme="minorEastAsia"/>
          <w:color w:val="auto"/>
          <w:kern w:val="2"/>
          <w:sz w:val="28"/>
          <w:szCs w:val="28"/>
          <w:highlight w:val="none"/>
          <w:lang w:val="en-US" w:eastAsia="zh-CN" w:bidi="ar-SA"/>
        </w:rPr>
        <w:t>、</w:t>
      </w:r>
      <w:r>
        <w:rPr>
          <w:rFonts w:hint="default" w:asciiTheme="minorEastAsia" w:hAnsiTheme="minorEastAsia" w:eastAsiaTheme="minorEastAsia" w:cstheme="minorEastAsia"/>
          <w:color w:val="auto"/>
          <w:kern w:val="2"/>
          <w:sz w:val="28"/>
          <w:szCs w:val="28"/>
          <w:highlight w:val="none"/>
          <w:lang w:val="en-US" w:eastAsia="zh-CN" w:bidi="ar-SA"/>
        </w:rPr>
        <w:t>行为</w:t>
      </w:r>
      <w:r>
        <w:rPr>
          <w:rFonts w:hint="eastAsia" w:asciiTheme="minorEastAsia" w:hAnsiTheme="minorEastAsia" w:eastAsiaTheme="minorEastAsia" w:cstheme="minorEastAsia"/>
          <w:color w:val="auto"/>
          <w:kern w:val="2"/>
          <w:sz w:val="28"/>
          <w:szCs w:val="28"/>
          <w:highlight w:val="none"/>
          <w:lang w:val="en-US" w:eastAsia="zh-CN" w:bidi="ar-SA"/>
        </w:rPr>
        <w:t>或可疑漂浮物</w:t>
      </w:r>
      <w:r>
        <w:rPr>
          <w:rFonts w:hint="default" w:asciiTheme="minorEastAsia" w:hAnsiTheme="minorEastAsia" w:eastAsiaTheme="minorEastAsia" w:cstheme="minorEastAsia"/>
          <w:color w:val="auto"/>
          <w:kern w:val="2"/>
          <w:sz w:val="28"/>
          <w:szCs w:val="28"/>
          <w:highlight w:val="none"/>
          <w:lang w:val="en-US" w:eastAsia="zh-CN" w:bidi="ar-SA"/>
        </w:rPr>
        <w:t>，应立即上报并协助相关部门进行调查处理。</w:t>
      </w:r>
    </w:p>
    <w:p w14:paraId="75BD8E45">
      <w:pPr>
        <w:widowControl/>
        <w:numPr>
          <w:ilvl w:val="0"/>
          <w:numId w:val="0"/>
        </w:numPr>
        <w:shd w:val="clear" w:color="auto" w:fill="FFFFFF"/>
        <w:tabs>
          <w:tab w:val="left" w:pos="360"/>
        </w:tabs>
        <w:spacing w:line="460" w:lineRule="exact"/>
        <w:ind w:firstLine="560" w:firstLineChars="200"/>
        <w:jc w:val="left"/>
        <w:rPr>
          <w:rFonts w:hint="default"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（2）</w:t>
      </w:r>
      <w:r>
        <w:rPr>
          <w:rFonts w:hint="default" w:asciiTheme="minorEastAsia" w:hAnsiTheme="minorEastAsia" w:eastAsiaTheme="minorEastAsia" w:cstheme="minorEastAsia"/>
          <w:color w:val="auto"/>
          <w:kern w:val="2"/>
          <w:sz w:val="28"/>
          <w:szCs w:val="28"/>
          <w:highlight w:val="none"/>
          <w:lang w:val="en-US" w:eastAsia="zh-CN" w:bidi="ar-SA"/>
        </w:rPr>
        <w:t>在突发事件发生时，</w:t>
      </w:r>
      <w:r>
        <w:rPr>
          <w:rFonts w:hint="eastAsia" w:asciiTheme="minorEastAsia" w:hAnsiTheme="minorEastAsia" w:eastAsiaTheme="minorEastAsia" w:cstheme="minorEastAsia"/>
          <w:color w:val="auto"/>
          <w:kern w:val="2"/>
          <w:sz w:val="28"/>
          <w:szCs w:val="28"/>
          <w:highlight w:val="none"/>
          <w:lang w:val="en-US" w:eastAsia="zh-CN" w:bidi="ar-SA"/>
        </w:rPr>
        <w:t>沿海巡防</w:t>
      </w:r>
      <w:r>
        <w:rPr>
          <w:rFonts w:hint="default" w:asciiTheme="minorEastAsia" w:hAnsiTheme="minorEastAsia" w:eastAsiaTheme="minorEastAsia" w:cstheme="minorEastAsia"/>
          <w:color w:val="auto"/>
          <w:kern w:val="2"/>
          <w:sz w:val="28"/>
          <w:szCs w:val="28"/>
          <w:highlight w:val="none"/>
          <w:lang w:val="en-US" w:eastAsia="zh-CN" w:bidi="ar-SA"/>
        </w:rPr>
        <w:t>接到指令后需立即响应，</w:t>
      </w:r>
      <w:r>
        <w:rPr>
          <w:rFonts w:hint="eastAsia" w:asciiTheme="minorEastAsia" w:hAnsiTheme="minorEastAsia" w:eastAsiaTheme="minorEastAsia" w:cstheme="minorEastAsia"/>
          <w:color w:val="auto"/>
          <w:kern w:val="2"/>
          <w:sz w:val="28"/>
          <w:szCs w:val="28"/>
          <w:highlight w:val="none"/>
          <w:lang w:val="en-US" w:eastAsia="zh-CN" w:bidi="ar-SA"/>
        </w:rPr>
        <w:t>30分钟</w:t>
      </w:r>
      <w:r>
        <w:rPr>
          <w:rFonts w:hint="default" w:asciiTheme="minorEastAsia" w:hAnsiTheme="minorEastAsia" w:eastAsiaTheme="minorEastAsia" w:cstheme="minorEastAsia"/>
          <w:color w:val="auto"/>
          <w:kern w:val="2"/>
          <w:sz w:val="28"/>
          <w:szCs w:val="28"/>
          <w:highlight w:val="none"/>
          <w:lang w:val="en-US" w:eastAsia="zh-CN" w:bidi="ar-SA"/>
        </w:rPr>
        <w:t>内（含</w:t>
      </w:r>
      <w:r>
        <w:rPr>
          <w:rFonts w:hint="eastAsia" w:asciiTheme="minorEastAsia" w:hAnsiTheme="minorEastAsia" w:eastAsiaTheme="minorEastAsia" w:cstheme="minorEastAsia"/>
          <w:color w:val="auto"/>
          <w:kern w:val="2"/>
          <w:sz w:val="28"/>
          <w:szCs w:val="28"/>
          <w:highlight w:val="none"/>
          <w:lang w:val="en-US" w:eastAsia="zh-CN" w:bidi="ar-SA"/>
        </w:rPr>
        <w:t>30分钟</w:t>
      </w:r>
      <w:r>
        <w:rPr>
          <w:rFonts w:hint="default" w:asciiTheme="minorEastAsia" w:hAnsiTheme="minorEastAsia" w:eastAsiaTheme="minorEastAsia" w:cstheme="minorEastAsia"/>
          <w:color w:val="auto"/>
          <w:kern w:val="2"/>
          <w:sz w:val="28"/>
          <w:szCs w:val="28"/>
          <w:highlight w:val="none"/>
          <w:lang w:val="en-US" w:eastAsia="zh-CN" w:bidi="ar-SA"/>
        </w:rPr>
        <w:t>）调配应急服务力量到现场，提供有效处理措施。</w:t>
      </w:r>
    </w:p>
    <w:p w14:paraId="38812358">
      <w:pPr>
        <w:widowControl/>
        <w:numPr>
          <w:ilvl w:val="0"/>
          <w:numId w:val="0"/>
        </w:numPr>
        <w:shd w:val="clear" w:color="auto" w:fill="FFFFFF"/>
        <w:tabs>
          <w:tab w:val="left" w:pos="360"/>
        </w:tabs>
        <w:spacing w:line="460" w:lineRule="exact"/>
        <w:ind w:firstLine="560" w:firstLineChars="200"/>
        <w:jc w:val="left"/>
        <w:rPr>
          <w:rFonts w:hint="default"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（3）</w:t>
      </w:r>
      <w:r>
        <w:rPr>
          <w:rFonts w:hint="default" w:asciiTheme="minorEastAsia" w:hAnsiTheme="minorEastAsia" w:eastAsiaTheme="minorEastAsia" w:cstheme="minorEastAsia"/>
          <w:color w:val="auto"/>
          <w:kern w:val="2"/>
          <w:sz w:val="28"/>
          <w:szCs w:val="28"/>
          <w:highlight w:val="none"/>
          <w:lang w:val="en-US" w:eastAsia="zh-CN" w:bidi="ar-SA"/>
        </w:rPr>
        <w:t>协助</w:t>
      </w:r>
      <w:r>
        <w:rPr>
          <w:rFonts w:hint="eastAsia" w:asciiTheme="minorEastAsia" w:hAnsiTheme="minorEastAsia" w:eastAsiaTheme="minorEastAsia" w:cstheme="minorEastAsia"/>
          <w:color w:val="auto"/>
          <w:kern w:val="2"/>
          <w:sz w:val="28"/>
          <w:szCs w:val="28"/>
          <w:highlight w:val="none"/>
          <w:lang w:val="en-US" w:eastAsia="zh-CN" w:bidi="ar-SA"/>
        </w:rPr>
        <w:t>管护</w:t>
      </w:r>
      <w:r>
        <w:rPr>
          <w:rFonts w:hint="default" w:asciiTheme="minorEastAsia" w:hAnsiTheme="minorEastAsia" w:eastAsiaTheme="minorEastAsia" w:cstheme="minorEastAsia"/>
          <w:color w:val="auto"/>
          <w:kern w:val="2"/>
          <w:sz w:val="28"/>
          <w:szCs w:val="28"/>
          <w:highlight w:val="none"/>
          <w:lang w:val="en-US" w:eastAsia="zh-CN" w:bidi="ar-SA"/>
        </w:rPr>
        <w:t>工作：巡逻过程中，如发现有人员落水、失踪等紧急情况，应立即协助相关部门进行</w:t>
      </w:r>
      <w:r>
        <w:rPr>
          <w:rFonts w:hint="eastAsia" w:asciiTheme="minorEastAsia" w:hAnsiTheme="minorEastAsia" w:eastAsiaTheme="minorEastAsia" w:cstheme="minorEastAsia"/>
          <w:color w:val="auto"/>
          <w:kern w:val="2"/>
          <w:sz w:val="28"/>
          <w:szCs w:val="28"/>
          <w:highlight w:val="none"/>
          <w:lang w:val="en-US" w:eastAsia="zh-CN" w:bidi="ar-SA"/>
        </w:rPr>
        <w:t>现场管护</w:t>
      </w:r>
      <w:r>
        <w:rPr>
          <w:rFonts w:hint="default" w:asciiTheme="minorEastAsia" w:hAnsiTheme="minorEastAsia" w:eastAsiaTheme="minorEastAsia" w:cstheme="minorEastAsia"/>
          <w:color w:val="auto"/>
          <w:kern w:val="2"/>
          <w:sz w:val="28"/>
          <w:szCs w:val="28"/>
          <w:highlight w:val="none"/>
          <w:lang w:val="en-US" w:eastAsia="zh-CN" w:bidi="ar-SA"/>
        </w:rPr>
        <w:t>工作</w:t>
      </w:r>
      <w:r>
        <w:rPr>
          <w:rFonts w:hint="eastAsia" w:asciiTheme="minorEastAsia" w:hAnsiTheme="minorEastAsia" w:eastAsiaTheme="minorEastAsia" w:cstheme="minorEastAsia"/>
          <w:color w:val="auto"/>
          <w:kern w:val="2"/>
          <w:sz w:val="28"/>
          <w:szCs w:val="28"/>
          <w:highlight w:val="none"/>
          <w:lang w:val="en-US" w:eastAsia="zh-CN" w:bidi="ar-SA"/>
        </w:rPr>
        <w:t>，</w:t>
      </w:r>
      <w:r>
        <w:rPr>
          <w:rFonts w:hint="default" w:asciiTheme="minorEastAsia" w:hAnsiTheme="minorEastAsia" w:eastAsiaTheme="minorEastAsia" w:cstheme="minorEastAsia"/>
          <w:color w:val="auto"/>
          <w:kern w:val="2"/>
          <w:sz w:val="28"/>
          <w:szCs w:val="28"/>
          <w:highlight w:val="none"/>
          <w:lang w:val="en-US" w:eastAsia="zh-CN" w:bidi="ar-SA"/>
        </w:rPr>
        <w:t>维护秩序与安全</w:t>
      </w:r>
      <w:r>
        <w:rPr>
          <w:rFonts w:hint="eastAsia" w:asciiTheme="minorEastAsia" w:hAnsiTheme="minorEastAsia" w:eastAsiaTheme="minorEastAsia" w:cstheme="minorEastAsia"/>
          <w:color w:val="auto"/>
          <w:kern w:val="2"/>
          <w:sz w:val="28"/>
          <w:szCs w:val="28"/>
          <w:highlight w:val="none"/>
          <w:lang w:val="en-US" w:eastAsia="zh-CN" w:bidi="ar-SA"/>
        </w:rPr>
        <w:t>。</w:t>
      </w:r>
    </w:p>
    <w:p w14:paraId="1D725209">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（4）</w:t>
      </w:r>
      <w:r>
        <w:rPr>
          <w:rFonts w:hint="default" w:asciiTheme="minorEastAsia" w:hAnsiTheme="minorEastAsia" w:eastAsiaTheme="minorEastAsia" w:cstheme="minorEastAsia"/>
          <w:color w:val="auto"/>
          <w:kern w:val="2"/>
          <w:sz w:val="28"/>
          <w:szCs w:val="28"/>
          <w:highlight w:val="none"/>
          <w:lang w:val="en-US" w:eastAsia="zh-CN" w:bidi="ar-SA"/>
        </w:rPr>
        <w:t>异常情况上报：巡逻过程中，如发现海岸线出现异常情况，如污染、破坏等，应及时上报相关部门，并协助进行调查处理。同时，应关注天气、海况等变化，及时上报可能影响海岸线安全的信息。</w:t>
      </w:r>
      <w:r>
        <w:rPr>
          <w:rFonts w:hint="eastAsia" w:asciiTheme="minorEastAsia" w:hAnsiTheme="minorEastAsia" w:eastAsiaTheme="minorEastAsia" w:cstheme="minorEastAsia"/>
          <w:color w:val="auto"/>
          <w:kern w:val="2"/>
          <w:sz w:val="28"/>
          <w:szCs w:val="28"/>
          <w:highlight w:val="none"/>
          <w:lang w:val="en-US" w:eastAsia="zh-CN" w:bidi="ar-SA"/>
        </w:rPr>
        <w:t xml:space="preserve">           </w:t>
      </w:r>
    </w:p>
    <w:p w14:paraId="3EE6555C">
      <w:pPr>
        <w:widowControl/>
        <w:numPr>
          <w:ilvl w:val="0"/>
          <w:numId w:val="0"/>
        </w:numPr>
        <w:shd w:val="clear" w:color="auto" w:fill="FFFFFF"/>
        <w:tabs>
          <w:tab w:val="left" w:pos="360"/>
        </w:tabs>
        <w:spacing w:line="460" w:lineRule="exact"/>
        <w:ind w:firstLine="560" w:firstLineChars="200"/>
        <w:jc w:val="left"/>
        <w:rPr>
          <w:rFonts w:hint="default"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（5）</w:t>
      </w:r>
      <w:r>
        <w:rPr>
          <w:rFonts w:hint="default" w:asciiTheme="minorEastAsia" w:hAnsiTheme="minorEastAsia" w:eastAsiaTheme="minorEastAsia" w:cstheme="minorEastAsia"/>
          <w:color w:val="auto"/>
          <w:kern w:val="2"/>
          <w:sz w:val="28"/>
          <w:szCs w:val="28"/>
          <w:highlight w:val="none"/>
          <w:lang w:val="en-US" w:eastAsia="zh-CN" w:bidi="ar-SA"/>
        </w:rPr>
        <w:t>配合执法部门工作：</w:t>
      </w:r>
      <w:r>
        <w:rPr>
          <w:rFonts w:hint="eastAsia" w:asciiTheme="minorEastAsia" w:hAnsiTheme="minorEastAsia" w:eastAsiaTheme="minorEastAsia" w:cstheme="minorEastAsia"/>
          <w:color w:val="auto"/>
          <w:kern w:val="2"/>
          <w:sz w:val="28"/>
          <w:szCs w:val="28"/>
          <w:highlight w:val="none"/>
          <w:lang w:val="en-US" w:eastAsia="zh-CN" w:bidi="ar-SA"/>
        </w:rPr>
        <w:t>沿海</w:t>
      </w:r>
      <w:r>
        <w:rPr>
          <w:rFonts w:hint="default" w:asciiTheme="minorEastAsia" w:hAnsiTheme="minorEastAsia" w:eastAsiaTheme="minorEastAsia" w:cstheme="minorEastAsia"/>
          <w:color w:val="auto"/>
          <w:kern w:val="2"/>
          <w:sz w:val="28"/>
          <w:szCs w:val="28"/>
          <w:highlight w:val="none"/>
          <w:lang w:val="en-US" w:eastAsia="zh-CN" w:bidi="ar-SA"/>
        </w:rPr>
        <w:t>巡防需积极配合执法部门的工作，如提供线索、</w:t>
      </w:r>
      <w:r>
        <w:rPr>
          <w:rFonts w:hint="eastAsia" w:asciiTheme="minorEastAsia" w:hAnsiTheme="minorEastAsia" w:eastAsiaTheme="minorEastAsia" w:cstheme="minorEastAsia"/>
          <w:color w:val="auto"/>
          <w:kern w:val="2"/>
          <w:sz w:val="28"/>
          <w:szCs w:val="28"/>
          <w:highlight w:val="none"/>
          <w:lang w:val="en-US" w:eastAsia="zh-CN" w:bidi="ar-SA"/>
        </w:rPr>
        <w:t>维护现场秩序</w:t>
      </w:r>
      <w:r>
        <w:rPr>
          <w:rFonts w:hint="default" w:asciiTheme="minorEastAsia" w:hAnsiTheme="minorEastAsia" w:eastAsiaTheme="minorEastAsia" w:cstheme="minorEastAsia"/>
          <w:color w:val="auto"/>
          <w:kern w:val="2"/>
          <w:sz w:val="28"/>
          <w:szCs w:val="28"/>
          <w:highlight w:val="none"/>
          <w:lang w:val="en-US" w:eastAsia="zh-CN" w:bidi="ar-SA"/>
        </w:rPr>
        <w:t>等。在执法过程中，应遵守法律法规，</w:t>
      </w:r>
      <w:r>
        <w:rPr>
          <w:rFonts w:hint="eastAsia" w:asciiTheme="minorEastAsia" w:hAnsiTheme="minorEastAsia" w:eastAsiaTheme="minorEastAsia" w:cstheme="minorEastAsia"/>
          <w:color w:val="auto"/>
          <w:kern w:val="2"/>
          <w:sz w:val="28"/>
          <w:szCs w:val="28"/>
          <w:highlight w:val="none"/>
          <w:lang w:val="en-US" w:eastAsia="zh-CN" w:bidi="ar-SA"/>
        </w:rPr>
        <w:t>配合协助执法部门的行动</w:t>
      </w:r>
      <w:r>
        <w:rPr>
          <w:rFonts w:hint="default" w:asciiTheme="minorEastAsia" w:hAnsiTheme="minorEastAsia" w:eastAsiaTheme="minorEastAsia" w:cstheme="minorEastAsia"/>
          <w:color w:val="auto"/>
          <w:kern w:val="2"/>
          <w:sz w:val="28"/>
          <w:szCs w:val="28"/>
          <w:highlight w:val="none"/>
          <w:lang w:val="en-US" w:eastAsia="zh-CN" w:bidi="ar-SA"/>
        </w:rPr>
        <w:t>，确保执法工作的顺利进行。</w:t>
      </w:r>
    </w:p>
    <w:p w14:paraId="5CE71DD2">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firstLine="560" w:firstLineChars="200"/>
        <w:textAlignment w:val="auto"/>
        <w:rPr>
          <w:rFonts w:hint="default"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（6）沿海巡防</w:t>
      </w:r>
      <w:r>
        <w:rPr>
          <w:rFonts w:hint="default" w:asciiTheme="minorEastAsia" w:hAnsiTheme="minorEastAsia" w:eastAsiaTheme="minorEastAsia" w:cstheme="minorEastAsia"/>
          <w:color w:val="auto"/>
          <w:kern w:val="2"/>
          <w:sz w:val="28"/>
          <w:szCs w:val="28"/>
          <w:highlight w:val="none"/>
          <w:lang w:val="en-US" w:eastAsia="zh-CN" w:bidi="ar-SA"/>
        </w:rPr>
        <w:t>需维护海岸线的公共秩序与安全，确保游客和</w:t>
      </w:r>
      <w:r>
        <w:rPr>
          <w:rFonts w:hint="eastAsia" w:asciiTheme="minorEastAsia" w:hAnsiTheme="minorEastAsia" w:eastAsiaTheme="minorEastAsia" w:cstheme="minorEastAsia"/>
          <w:color w:val="auto"/>
          <w:kern w:val="2"/>
          <w:sz w:val="28"/>
          <w:szCs w:val="28"/>
          <w:highlight w:val="none"/>
          <w:lang w:val="en-US" w:eastAsia="zh-CN" w:bidi="ar-SA"/>
        </w:rPr>
        <w:t>群众</w:t>
      </w:r>
      <w:r>
        <w:rPr>
          <w:rFonts w:hint="default" w:asciiTheme="minorEastAsia" w:hAnsiTheme="minorEastAsia" w:eastAsiaTheme="minorEastAsia" w:cstheme="minorEastAsia"/>
          <w:color w:val="auto"/>
          <w:kern w:val="2"/>
          <w:sz w:val="28"/>
          <w:szCs w:val="28"/>
          <w:highlight w:val="none"/>
          <w:lang w:val="en-US" w:eastAsia="zh-CN" w:bidi="ar-SA"/>
        </w:rPr>
        <w:t>的生命财产安全。在巡逻过程中，如发现扰乱公共秩序、危害公共安全的行为，应及时制止并上报。</w:t>
      </w:r>
    </w:p>
    <w:p w14:paraId="7A29077F">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480" w:lineRule="exact"/>
        <w:ind w:firstLine="562" w:firstLineChars="200"/>
        <w:textAlignment w:val="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二、</w:t>
      </w:r>
      <w:r>
        <w:rPr>
          <w:rFonts w:hint="eastAsia" w:cs="宋体"/>
          <w:b/>
          <w:bCs/>
          <w:color w:val="auto"/>
          <w:sz w:val="28"/>
          <w:szCs w:val="28"/>
          <w:highlight w:val="none"/>
          <w:lang w:val="en-US" w:eastAsia="zh-CN"/>
        </w:rPr>
        <w:t>服务</w:t>
      </w:r>
      <w:r>
        <w:rPr>
          <w:rFonts w:hint="eastAsia" w:ascii="宋体" w:hAnsi="宋体" w:eastAsia="宋体" w:cs="宋体"/>
          <w:b/>
          <w:bCs/>
          <w:color w:val="auto"/>
          <w:sz w:val="28"/>
          <w:szCs w:val="28"/>
          <w:highlight w:val="none"/>
        </w:rPr>
        <w:t>要求：</w:t>
      </w:r>
    </w:p>
    <w:p w14:paraId="275B085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1.按采购人要求对服务范围进行巡逻打卡并通过现场拍照、录像等方式记录现场情况。</w:t>
      </w:r>
    </w:p>
    <w:p w14:paraId="4824881A">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2.投标人为本项目配备的管理岗及巡逻岗人员需具有巡防（查）服务经验。</w:t>
      </w:r>
    </w:p>
    <w:p w14:paraId="13595B0D">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3.投标人针对本项目服务配备巡逻皮卡汽车3辆，巡逻记录仪3台，手持电喇叭3只，强光手电3支，车载扬声器2台、电脑1台（套）、制服、反光背心、救生衣、救生圈等设备设施。上述装备由中标人自行配备，费用包含在报价中，合同期满后归中标人所有。</w:t>
      </w:r>
    </w:p>
    <w:p w14:paraId="4E53EBA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4.中标人须为在岗巡防人员配发统一制式服装，在上岗期间必须规范着装。同时，配备必要的装备。</w:t>
      </w:r>
    </w:p>
    <w:p w14:paraId="23AEFD8F">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5.中标人服务人员没有按照计划排班执行，不得出现脱岗、不在岗现象。</w:t>
      </w:r>
    </w:p>
    <w:p w14:paraId="406172E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6.采购人为中标人协调巡逻休息站点，相关费用由中标人自理。</w:t>
      </w:r>
    </w:p>
    <w:p w14:paraId="7D6878D9">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7.投标人投入本项目的作业人员均为男性，巡防人员原则上须为年满18周岁以上，55周岁以下的中国公民，高中以上学历，身体健康，体貌端正，品行良好，无违法犯罪记录，无其它违反国家政策规定的不良记录，巡防人员配备不得少于7人（不含项目经理），每班在岗在位不少于2人。并持有公安部门颁发的《保安员证》。</w:t>
      </w:r>
    </w:p>
    <w:p w14:paraId="784CCED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8.巡防人员要做到“六不”：不擅离岗位、不睡觉瞌睡、不闲聊戏闹、不下棋打牌、不喝酒聚餐、不干私活、不会私客；</w:t>
      </w:r>
    </w:p>
    <w:p w14:paraId="0E0B3A32">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9.中标人负责对拟派出的巡防人员的岗前培训教育和业务素质的提高，相关岗位应持证上岗，并且合理安排巡防人员培训。</w:t>
      </w:r>
    </w:p>
    <w:p w14:paraId="3B443E65">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10.中标人须为巡防人员缴纳社会保险，并购买人身意外伤害保险。</w:t>
      </w:r>
    </w:p>
    <w:p w14:paraId="5324FD86">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562"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b/>
          <w:bCs/>
          <w:color w:val="auto"/>
          <w:kern w:val="2"/>
          <w:sz w:val="28"/>
          <w:szCs w:val="28"/>
          <w:highlight w:val="none"/>
          <w:lang w:val="en-US" w:eastAsia="zh-CN" w:bidi="ar-SA"/>
        </w:rPr>
        <w:t>三、服务期限：</w:t>
      </w:r>
      <w:r>
        <w:rPr>
          <w:rFonts w:hint="eastAsia" w:asciiTheme="minorEastAsia" w:hAnsiTheme="minorEastAsia" w:eastAsiaTheme="minorEastAsia" w:cstheme="minorEastAsia"/>
          <w:color w:val="auto"/>
          <w:kern w:val="2"/>
          <w:sz w:val="28"/>
          <w:szCs w:val="28"/>
          <w:highlight w:val="none"/>
          <w:lang w:val="en-US" w:eastAsia="zh-CN" w:bidi="ar-SA"/>
        </w:rPr>
        <w:t>一年。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p>
    <w:p w14:paraId="0052B613">
      <w:pPr>
        <w:pStyle w:val="9"/>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562" w:firstLineChars="200"/>
        <w:textAlignment w:val="auto"/>
        <w:rPr>
          <w:rFonts w:hint="eastAsia" w:asciiTheme="minorEastAsia" w:hAnsiTheme="minorEastAsia" w:eastAsiaTheme="minorEastAsia" w:cstheme="minorEastAsia"/>
          <w:b/>
          <w:bCs/>
          <w:color w:val="auto"/>
          <w:kern w:val="2"/>
          <w:sz w:val="28"/>
          <w:szCs w:val="28"/>
          <w:highlight w:val="none"/>
          <w:lang w:val="en-US" w:eastAsia="zh-CN" w:bidi="ar-SA"/>
        </w:rPr>
      </w:pPr>
      <w:r>
        <w:rPr>
          <w:rFonts w:hint="eastAsia" w:asciiTheme="minorEastAsia" w:hAnsiTheme="minorEastAsia" w:eastAsiaTheme="minorEastAsia" w:cstheme="minorEastAsia"/>
          <w:b/>
          <w:bCs/>
          <w:color w:val="auto"/>
          <w:kern w:val="2"/>
          <w:sz w:val="28"/>
          <w:szCs w:val="28"/>
          <w:highlight w:val="none"/>
          <w:lang w:val="en-US" w:eastAsia="zh-CN" w:bidi="ar-SA"/>
        </w:rPr>
        <w:t>四、其他要求：</w:t>
      </w:r>
    </w:p>
    <w:p w14:paraId="782A1CED">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1.中标人拟派出的巡防人员应严格执行采购人的有关规定，但有义务对采购人的不安全隐患提出改进意见和措施。</w:t>
      </w:r>
    </w:p>
    <w:p w14:paraId="5DAB41CB">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2.采购人与巡防人员不存在任何形式的劳动、劳务、雇佣关系，采购人仅与中标人建立巡防服务关系。巡防人员在为采购人提供服务期间发生意外事故，均由中标人负责处理并承担责任。因巡防人员履职造成第三方损害的，由中标人承担赔偿责任。</w:t>
      </w:r>
    </w:p>
    <w:p w14:paraId="6981ECA4">
      <w:pPr>
        <w:keepNext w:val="0"/>
        <w:keepLines w:val="0"/>
        <w:pageBreakBefore w:val="0"/>
        <w:kinsoku/>
        <w:wordWrap/>
        <w:overflowPunct/>
        <w:topLinePunct w:val="0"/>
        <w:autoSpaceDE/>
        <w:autoSpaceDN/>
        <w:bidi w:val="0"/>
        <w:spacing w:line="560" w:lineRule="exact"/>
        <w:ind w:firstLine="562"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五、考核方式：</w:t>
      </w:r>
    </w:p>
    <w:p w14:paraId="61D2A1BF">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1.考核实施：由镇政府相关部门对巡逻服务实施考核。</w:t>
      </w:r>
    </w:p>
    <w:p w14:paraId="1AEE3A05">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2.考核办法（详见附件）：实行</w:t>
      </w:r>
      <w:r>
        <w:rPr>
          <w:rFonts w:hint="default" w:asciiTheme="minorEastAsia" w:hAnsiTheme="minorEastAsia" w:eastAsiaTheme="minorEastAsia" w:cstheme="minorEastAsia"/>
          <w:color w:val="auto"/>
          <w:kern w:val="2"/>
          <w:sz w:val="28"/>
          <w:szCs w:val="28"/>
          <w:highlight w:val="none"/>
          <w:lang w:val="en-US" w:eastAsia="zh-CN" w:bidi="ar-SA"/>
        </w:rPr>
        <w:t>季度考核，季度考核得分作为当季服务费拨付的依据。</w:t>
      </w:r>
      <w:r>
        <w:rPr>
          <w:rFonts w:hint="eastAsia" w:asciiTheme="minorEastAsia" w:hAnsiTheme="minorEastAsia" w:eastAsiaTheme="minorEastAsia" w:cstheme="minorEastAsia"/>
          <w:color w:val="auto"/>
          <w:kern w:val="2"/>
          <w:sz w:val="28"/>
          <w:szCs w:val="28"/>
          <w:highlight w:val="none"/>
          <w:lang w:val="en-US" w:eastAsia="zh-CN" w:bidi="ar-SA"/>
        </w:rPr>
        <w:t>巡逻管理小队应于</w:t>
      </w:r>
      <w:r>
        <w:rPr>
          <w:rFonts w:hint="default" w:asciiTheme="minorEastAsia" w:hAnsiTheme="minorEastAsia" w:eastAsiaTheme="minorEastAsia" w:cstheme="minorEastAsia"/>
          <w:color w:val="auto"/>
          <w:kern w:val="2"/>
          <w:sz w:val="28"/>
          <w:szCs w:val="28"/>
          <w:highlight w:val="none"/>
          <w:lang w:val="en-US" w:eastAsia="zh-CN" w:bidi="ar-SA"/>
        </w:rPr>
        <w:t>每月次月5日前分别向政府相关部门和公司报送当月工作总结，每季季末次月5日前报送当季自查报告；每半年、每年度（合同期第11个月）工作总结和自查自评报告按采购人要求报送</w:t>
      </w:r>
      <w:r>
        <w:rPr>
          <w:rFonts w:hint="eastAsia" w:asciiTheme="minorEastAsia" w:hAnsiTheme="minorEastAsia" w:eastAsiaTheme="minorEastAsia" w:cstheme="minorEastAsia"/>
          <w:color w:val="auto"/>
          <w:kern w:val="2"/>
          <w:sz w:val="28"/>
          <w:szCs w:val="28"/>
          <w:highlight w:val="none"/>
          <w:lang w:val="en-US" w:eastAsia="zh-CN" w:bidi="ar-SA"/>
        </w:rPr>
        <w:t>。</w:t>
      </w:r>
    </w:p>
    <w:p w14:paraId="750D9F70">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政府组建考核小组或指定考核人员，按照考核要求根据服务单位提交的工作总结以及各月工作台账、抽查情况，包括群众的反映等，对管理小队进行综合评分考核。</w:t>
      </w:r>
    </w:p>
    <w:p w14:paraId="34EE4D36">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3.</w:t>
      </w:r>
      <w:r>
        <w:rPr>
          <w:rFonts w:hint="default" w:asciiTheme="minorEastAsia" w:hAnsiTheme="minorEastAsia" w:eastAsiaTheme="minorEastAsia" w:cstheme="minorEastAsia"/>
          <w:color w:val="auto"/>
          <w:kern w:val="2"/>
          <w:sz w:val="28"/>
          <w:szCs w:val="28"/>
          <w:highlight w:val="none"/>
          <w:lang w:val="en-US" w:eastAsia="zh-CN" w:bidi="ar-SA"/>
        </w:rPr>
        <w:t>奖励和处罚：考核实行百分制，基础分100分，加分项累计后考核得分最高按100分计（加分致超过100分的，按100分计）。</w:t>
      </w:r>
    </w:p>
    <w:p w14:paraId="20BB6368">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①发现并协助政府主管部门整治三无船舶等，每次加1分。</w:t>
      </w:r>
    </w:p>
    <w:p w14:paraId="66DDF664">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②海上发现重大隐患，并及时上报政府管理部门的，每次加2分。</w:t>
      </w:r>
    </w:p>
    <w:p w14:paraId="3A5E2103">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③在本年度重大生产安全事故的预防和救援中受国家、省、市表彰的，每次分别加5分、3分、2分。</w:t>
      </w:r>
    </w:p>
    <w:p w14:paraId="6E713721">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④凡每个考核周期内或半年内或合同期内，未发生或通过劝阻、报告后及时阻拦制止了群众下海捕捞、养殖或下小海的，协助清理“三无”船舶、浮子筏、快艇等，对派遣公司分别予以奖励，奖励金额分别为1000元、3000元和6000元。</w:t>
      </w:r>
    </w:p>
    <w:p w14:paraId="5F00ADB9">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⑤凡每个考核周期内或半年内或合同期内，因工作失误导致没有及时发现或没有劝阻、没有及时报告而发生群众下海捕捞、养殖或下小海的，造成一定影响或产生后果的对服务公司予以处罚，每发生一起，处罚金额为1000元；凡因群众下海导致发生死亡事故的，加倍处罚；因下海导致死亡而产生社会和政治影响的，合同到期不再予以续签。</w:t>
      </w:r>
    </w:p>
    <w:p w14:paraId="7F6E1D9B">
      <w:pPr>
        <w:widowControl/>
        <w:numPr>
          <w:ilvl w:val="0"/>
          <w:numId w:val="0"/>
        </w:numPr>
        <w:shd w:val="clear" w:color="auto" w:fill="FFFFFF"/>
        <w:tabs>
          <w:tab w:val="left" w:pos="360"/>
        </w:tabs>
        <w:spacing w:line="460" w:lineRule="exact"/>
        <w:ind w:firstLine="560" w:firstLineChars="200"/>
        <w:jc w:val="left"/>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此区域范围内开展沿海堤岸及滩涂日常巡逻管控服务，劝阻浮子筏、快艇等“三无”船舶出海及“下小海”人员违规下海。</w:t>
      </w:r>
    </w:p>
    <w:p w14:paraId="5EB238B7">
      <w:pPr>
        <w:widowControl/>
        <w:numPr>
          <w:ilvl w:val="0"/>
          <w:numId w:val="0"/>
        </w:numPr>
        <w:shd w:val="clear" w:color="auto" w:fill="FFFFFF"/>
        <w:tabs>
          <w:tab w:val="left" w:pos="360"/>
        </w:tabs>
        <w:spacing w:line="460" w:lineRule="exact"/>
        <w:ind w:firstLine="560" w:firstLineChars="200"/>
        <w:jc w:val="center"/>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en-US" w:eastAsia="zh-CN" w:bidi="ar-SA"/>
        </w:rPr>
        <w:t>《考核办法》</w:t>
      </w:r>
    </w:p>
    <w:tbl>
      <w:tblPr>
        <w:tblStyle w:val="11"/>
        <w:tblW w:w="9732" w:type="dxa"/>
        <w:tblInd w:w="-2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3327"/>
        <w:gridCol w:w="660"/>
        <w:gridCol w:w="3050"/>
        <w:gridCol w:w="651"/>
        <w:gridCol w:w="688"/>
        <w:gridCol w:w="615"/>
      </w:tblGrid>
      <w:tr w14:paraId="02307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41" w:type="dxa"/>
            <w:noWrap w:val="0"/>
            <w:vAlign w:val="center"/>
          </w:tcPr>
          <w:p w14:paraId="3CADFA9F">
            <w:pPr>
              <w:jc w:val="center"/>
              <w:rPr>
                <w:b/>
                <w:sz w:val="21"/>
                <w:szCs w:val="21"/>
              </w:rPr>
            </w:pPr>
            <w:r>
              <w:rPr>
                <w:rFonts w:hint="eastAsia"/>
                <w:b/>
                <w:sz w:val="21"/>
                <w:szCs w:val="21"/>
              </w:rPr>
              <w:t>考核项目</w:t>
            </w:r>
          </w:p>
        </w:tc>
        <w:tc>
          <w:tcPr>
            <w:tcW w:w="3327" w:type="dxa"/>
            <w:noWrap w:val="0"/>
            <w:vAlign w:val="center"/>
          </w:tcPr>
          <w:p w14:paraId="2EB971F5">
            <w:pPr>
              <w:jc w:val="center"/>
              <w:rPr>
                <w:b/>
                <w:sz w:val="21"/>
                <w:szCs w:val="21"/>
              </w:rPr>
            </w:pPr>
            <w:r>
              <w:rPr>
                <w:rFonts w:hint="eastAsia"/>
                <w:b/>
                <w:sz w:val="21"/>
                <w:szCs w:val="21"/>
              </w:rPr>
              <w:t>考核内容</w:t>
            </w:r>
          </w:p>
        </w:tc>
        <w:tc>
          <w:tcPr>
            <w:tcW w:w="660" w:type="dxa"/>
            <w:noWrap w:val="0"/>
            <w:vAlign w:val="top"/>
          </w:tcPr>
          <w:p w14:paraId="024BEDA5">
            <w:pPr>
              <w:jc w:val="center"/>
              <w:rPr>
                <w:b/>
                <w:sz w:val="21"/>
                <w:szCs w:val="21"/>
              </w:rPr>
            </w:pPr>
            <w:r>
              <w:rPr>
                <w:rFonts w:hint="eastAsia"/>
                <w:b/>
                <w:sz w:val="21"/>
                <w:szCs w:val="21"/>
              </w:rPr>
              <w:t>标准</w:t>
            </w:r>
          </w:p>
          <w:p w14:paraId="199EAE0E">
            <w:pPr>
              <w:jc w:val="center"/>
              <w:rPr>
                <w:b/>
                <w:sz w:val="21"/>
                <w:szCs w:val="21"/>
              </w:rPr>
            </w:pPr>
            <w:r>
              <w:rPr>
                <w:rFonts w:hint="eastAsia"/>
                <w:b/>
                <w:sz w:val="21"/>
                <w:szCs w:val="21"/>
              </w:rPr>
              <w:t>分值</w:t>
            </w:r>
          </w:p>
        </w:tc>
        <w:tc>
          <w:tcPr>
            <w:tcW w:w="3050" w:type="dxa"/>
            <w:noWrap w:val="0"/>
            <w:vAlign w:val="center"/>
          </w:tcPr>
          <w:p w14:paraId="436B95EA">
            <w:pPr>
              <w:jc w:val="center"/>
              <w:rPr>
                <w:b/>
                <w:sz w:val="21"/>
                <w:szCs w:val="21"/>
              </w:rPr>
            </w:pPr>
            <w:r>
              <w:rPr>
                <w:rFonts w:hint="eastAsia"/>
                <w:b/>
                <w:sz w:val="21"/>
                <w:szCs w:val="21"/>
              </w:rPr>
              <w:t>评分标准</w:t>
            </w:r>
          </w:p>
        </w:tc>
        <w:tc>
          <w:tcPr>
            <w:tcW w:w="1339" w:type="dxa"/>
            <w:gridSpan w:val="2"/>
            <w:noWrap w:val="0"/>
            <w:vAlign w:val="center"/>
          </w:tcPr>
          <w:p w14:paraId="739D5AD4">
            <w:pPr>
              <w:jc w:val="center"/>
              <w:rPr>
                <w:b/>
              </w:rPr>
            </w:pPr>
            <w:r>
              <w:rPr>
                <w:rFonts w:hint="eastAsia"/>
                <w:b/>
              </w:rPr>
              <w:t>考核得分</w:t>
            </w:r>
          </w:p>
        </w:tc>
        <w:tc>
          <w:tcPr>
            <w:tcW w:w="615" w:type="dxa"/>
            <w:noWrap w:val="0"/>
            <w:vAlign w:val="center"/>
          </w:tcPr>
          <w:p w14:paraId="7B4EA4FC">
            <w:pPr>
              <w:jc w:val="center"/>
              <w:rPr>
                <w:b/>
              </w:rPr>
            </w:pPr>
            <w:r>
              <w:rPr>
                <w:rFonts w:hint="eastAsia"/>
                <w:b/>
              </w:rPr>
              <w:t>备注</w:t>
            </w:r>
          </w:p>
        </w:tc>
      </w:tr>
      <w:tr w14:paraId="64031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41" w:type="dxa"/>
            <w:vMerge w:val="restart"/>
            <w:noWrap w:val="0"/>
            <w:vAlign w:val="center"/>
          </w:tcPr>
          <w:p w14:paraId="2D7A733C">
            <w:pPr>
              <w:jc w:val="center"/>
              <w:rPr>
                <w:sz w:val="21"/>
                <w:szCs w:val="21"/>
              </w:rPr>
            </w:pPr>
            <w:r>
              <w:rPr>
                <w:rFonts w:hint="eastAsia"/>
                <w:sz w:val="21"/>
                <w:szCs w:val="21"/>
              </w:rPr>
              <w:t>组织保证</w:t>
            </w:r>
          </w:p>
          <w:p w14:paraId="652EE6C5">
            <w:pPr>
              <w:jc w:val="center"/>
              <w:rPr>
                <w:rFonts w:hint="default" w:eastAsia="宋体"/>
                <w:sz w:val="21"/>
                <w:szCs w:val="21"/>
                <w:lang w:val="en-US" w:eastAsia="zh-CN"/>
              </w:rPr>
            </w:pPr>
            <w:r>
              <w:rPr>
                <w:rFonts w:hint="eastAsia"/>
                <w:sz w:val="21"/>
                <w:szCs w:val="21"/>
                <w:lang w:val="en-US" w:eastAsia="zh-CN"/>
              </w:rPr>
              <w:t>10</w:t>
            </w:r>
          </w:p>
        </w:tc>
        <w:tc>
          <w:tcPr>
            <w:tcW w:w="3327" w:type="dxa"/>
            <w:noWrap w:val="0"/>
            <w:vAlign w:val="center"/>
          </w:tcPr>
          <w:p w14:paraId="2E06FE7F">
            <w:pPr>
              <w:spacing w:line="320" w:lineRule="exact"/>
              <w:ind w:firstLine="420" w:firstLineChars="200"/>
              <w:rPr>
                <w:sz w:val="21"/>
                <w:szCs w:val="21"/>
              </w:rPr>
            </w:pPr>
            <w:r>
              <w:rPr>
                <w:rFonts w:hint="eastAsia"/>
                <w:sz w:val="21"/>
                <w:szCs w:val="21"/>
              </w:rPr>
              <w:t>把安全管理工作纳入日程，建立内部管理机构，配备沿海安全岗位职责牌，分工明确、责任到人。</w:t>
            </w:r>
          </w:p>
        </w:tc>
        <w:tc>
          <w:tcPr>
            <w:tcW w:w="660" w:type="dxa"/>
            <w:noWrap w:val="0"/>
            <w:vAlign w:val="center"/>
          </w:tcPr>
          <w:p w14:paraId="72579887">
            <w:pPr>
              <w:jc w:val="center"/>
              <w:rPr>
                <w:sz w:val="21"/>
                <w:szCs w:val="21"/>
              </w:rPr>
            </w:pPr>
            <w:r>
              <w:rPr>
                <w:rFonts w:hint="eastAsia"/>
                <w:sz w:val="21"/>
                <w:szCs w:val="21"/>
              </w:rPr>
              <w:t>2</w:t>
            </w:r>
          </w:p>
        </w:tc>
        <w:tc>
          <w:tcPr>
            <w:tcW w:w="3050" w:type="dxa"/>
            <w:noWrap w:val="0"/>
            <w:vAlign w:val="center"/>
          </w:tcPr>
          <w:p w14:paraId="5CF16B45">
            <w:pPr>
              <w:ind w:firstLine="315" w:firstLineChars="150"/>
              <w:rPr>
                <w:sz w:val="21"/>
                <w:szCs w:val="21"/>
              </w:rPr>
            </w:pPr>
            <w:r>
              <w:rPr>
                <w:rFonts w:hint="eastAsia"/>
                <w:sz w:val="21"/>
                <w:szCs w:val="21"/>
              </w:rPr>
              <w:t>查资料。无组织机构、人员分工、岗位职责每项扣1分。</w:t>
            </w:r>
          </w:p>
        </w:tc>
        <w:tc>
          <w:tcPr>
            <w:tcW w:w="651" w:type="dxa"/>
            <w:noWrap w:val="0"/>
            <w:vAlign w:val="top"/>
          </w:tcPr>
          <w:p w14:paraId="2ECE502D"/>
        </w:tc>
        <w:tc>
          <w:tcPr>
            <w:tcW w:w="688" w:type="dxa"/>
            <w:vMerge w:val="restart"/>
            <w:noWrap w:val="0"/>
            <w:vAlign w:val="top"/>
          </w:tcPr>
          <w:p w14:paraId="4DBD446A"/>
        </w:tc>
        <w:tc>
          <w:tcPr>
            <w:tcW w:w="615" w:type="dxa"/>
            <w:vMerge w:val="restart"/>
            <w:noWrap w:val="0"/>
            <w:vAlign w:val="top"/>
          </w:tcPr>
          <w:p w14:paraId="4D3DF660"/>
        </w:tc>
      </w:tr>
      <w:tr w14:paraId="10A1E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41" w:type="dxa"/>
            <w:vMerge w:val="continue"/>
            <w:noWrap w:val="0"/>
            <w:vAlign w:val="center"/>
          </w:tcPr>
          <w:p w14:paraId="687512D2">
            <w:pPr>
              <w:rPr>
                <w:sz w:val="21"/>
                <w:szCs w:val="21"/>
              </w:rPr>
            </w:pPr>
          </w:p>
        </w:tc>
        <w:tc>
          <w:tcPr>
            <w:tcW w:w="3327" w:type="dxa"/>
            <w:noWrap w:val="0"/>
            <w:vAlign w:val="center"/>
          </w:tcPr>
          <w:p w14:paraId="3B0A9636">
            <w:pPr>
              <w:spacing w:line="320" w:lineRule="exact"/>
              <w:ind w:firstLine="315" w:firstLineChars="150"/>
              <w:rPr>
                <w:sz w:val="21"/>
                <w:szCs w:val="21"/>
              </w:rPr>
            </w:pPr>
            <w:r>
              <w:rPr>
                <w:rFonts w:hint="eastAsia"/>
                <w:sz w:val="21"/>
                <w:szCs w:val="21"/>
              </w:rPr>
              <w:t>每日做好工作记录，分析、研究、解决沿海安全巡防工作问题。</w:t>
            </w:r>
          </w:p>
        </w:tc>
        <w:tc>
          <w:tcPr>
            <w:tcW w:w="660" w:type="dxa"/>
            <w:noWrap w:val="0"/>
            <w:vAlign w:val="center"/>
          </w:tcPr>
          <w:p w14:paraId="1D6AC2F4">
            <w:pPr>
              <w:jc w:val="center"/>
              <w:rPr>
                <w:sz w:val="21"/>
                <w:szCs w:val="21"/>
              </w:rPr>
            </w:pPr>
            <w:r>
              <w:rPr>
                <w:rFonts w:hint="eastAsia"/>
                <w:sz w:val="21"/>
                <w:szCs w:val="21"/>
              </w:rPr>
              <w:t>6</w:t>
            </w:r>
          </w:p>
        </w:tc>
        <w:tc>
          <w:tcPr>
            <w:tcW w:w="3050" w:type="dxa"/>
            <w:noWrap w:val="0"/>
            <w:vAlign w:val="center"/>
          </w:tcPr>
          <w:p w14:paraId="0EF38213">
            <w:pPr>
              <w:ind w:firstLine="315" w:firstLineChars="150"/>
              <w:rPr>
                <w:sz w:val="21"/>
                <w:szCs w:val="21"/>
              </w:rPr>
            </w:pPr>
            <w:r>
              <w:rPr>
                <w:rFonts w:hint="eastAsia"/>
                <w:sz w:val="21"/>
                <w:szCs w:val="21"/>
              </w:rPr>
              <w:t>查工作日志，日志记录不规范不完整扣</w:t>
            </w:r>
            <w:r>
              <w:rPr>
                <w:rFonts w:hint="eastAsia"/>
                <w:sz w:val="21"/>
                <w:szCs w:val="21"/>
                <w:lang w:val="en-US" w:eastAsia="zh-CN"/>
              </w:rPr>
              <w:t>1</w:t>
            </w:r>
            <w:r>
              <w:rPr>
                <w:rFonts w:hint="eastAsia"/>
                <w:sz w:val="21"/>
                <w:szCs w:val="21"/>
              </w:rPr>
              <w:t>分，记录不真实的扣</w:t>
            </w:r>
            <w:r>
              <w:rPr>
                <w:rFonts w:hint="eastAsia"/>
                <w:sz w:val="21"/>
                <w:szCs w:val="21"/>
                <w:lang w:val="en-US" w:eastAsia="zh-CN"/>
              </w:rPr>
              <w:t>1</w:t>
            </w:r>
            <w:r>
              <w:rPr>
                <w:rFonts w:hint="eastAsia"/>
                <w:sz w:val="21"/>
                <w:szCs w:val="21"/>
              </w:rPr>
              <w:t>分。</w:t>
            </w:r>
          </w:p>
        </w:tc>
        <w:tc>
          <w:tcPr>
            <w:tcW w:w="651" w:type="dxa"/>
            <w:noWrap w:val="0"/>
            <w:vAlign w:val="top"/>
          </w:tcPr>
          <w:p w14:paraId="65B44EAC"/>
        </w:tc>
        <w:tc>
          <w:tcPr>
            <w:tcW w:w="688" w:type="dxa"/>
            <w:vMerge w:val="continue"/>
            <w:noWrap w:val="0"/>
            <w:vAlign w:val="top"/>
          </w:tcPr>
          <w:p w14:paraId="57D890E2"/>
        </w:tc>
        <w:tc>
          <w:tcPr>
            <w:tcW w:w="615" w:type="dxa"/>
            <w:vMerge w:val="continue"/>
            <w:noWrap w:val="0"/>
            <w:vAlign w:val="top"/>
          </w:tcPr>
          <w:p w14:paraId="316BF958"/>
        </w:tc>
      </w:tr>
      <w:tr w14:paraId="13779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741" w:type="dxa"/>
            <w:vMerge w:val="continue"/>
            <w:noWrap w:val="0"/>
            <w:vAlign w:val="center"/>
          </w:tcPr>
          <w:p w14:paraId="094A30AA">
            <w:pPr>
              <w:rPr>
                <w:sz w:val="21"/>
                <w:szCs w:val="21"/>
              </w:rPr>
            </w:pPr>
          </w:p>
        </w:tc>
        <w:tc>
          <w:tcPr>
            <w:tcW w:w="3327" w:type="dxa"/>
            <w:noWrap w:val="0"/>
            <w:vAlign w:val="center"/>
          </w:tcPr>
          <w:p w14:paraId="02019FA7">
            <w:pPr>
              <w:spacing w:line="320" w:lineRule="exact"/>
              <w:ind w:firstLine="315" w:firstLineChars="150"/>
              <w:rPr>
                <w:sz w:val="21"/>
                <w:szCs w:val="21"/>
              </w:rPr>
            </w:pPr>
            <w:r>
              <w:rPr>
                <w:sz w:val="21"/>
                <w:szCs w:val="21"/>
              </w:rPr>
              <w:t>按上级要求及时参加市、镇两级</w:t>
            </w:r>
            <w:r>
              <w:rPr>
                <w:rFonts w:hint="eastAsia"/>
                <w:sz w:val="21"/>
                <w:szCs w:val="21"/>
              </w:rPr>
              <w:t>沿海</w:t>
            </w:r>
            <w:r>
              <w:rPr>
                <w:sz w:val="21"/>
                <w:szCs w:val="21"/>
              </w:rPr>
              <w:t>安全主管部门召开的</w:t>
            </w:r>
            <w:r>
              <w:rPr>
                <w:rFonts w:hint="eastAsia"/>
                <w:sz w:val="21"/>
                <w:szCs w:val="21"/>
              </w:rPr>
              <w:t>沿海</w:t>
            </w:r>
            <w:r>
              <w:rPr>
                <w:sz w:val="21"/>
                <w:szCs w:val="21"/>
              </w:rPr>
              <w:t>安全工作会议</w:t>
            </w:r>
            <w:r>
              <w:rPr>
                <w:rFonts w:hint="eastAsia"/>
                <w:sz w:val="21"/>
                <w:szCs w:val="21"/>
              </w:rPr>
              <w:t>。</w:t>
            </w:r>
          </w:p>
        </w:tc>
        <w:tc>
          <w:tcPr>
            <w:tcW w:w="660" w:type="dxa"/>
            <w:noWrap w:val="0"/>
            <w:vAlign w:val="center"/>
          </w:tcPr>
          <w:p w14:paraId="23407E3F">
            <w:pPr>
              <w:jc w:val="center"/>
              <w:rPr>
                <w:sz w:val="21"/>
                <w:szCs w:val="21"/>
              </w:rPr>
            </w:pPr>
            <w:r>
              <w:rPr>
                <w:rFonts w:hint="eastAsia"/>
                <w:sz w:val="21"/>
                <w:szCs w:val="21"/>
              </w:rPr>
              <w:t>2</w:t>
            </w:r>
          </w:p>
        </w:tc>
        <w:tc>
          <w:tcPr>
            <w:tcW w:w="3050" w:type="dxa"/>
            <w:noWrap w:val="0"/>
            <w:vAlign w:val="center"/>
          </w:tcPr>
          <w:p w14:paraId="60FC552A">
            <w:pPr>
              <w:spacing w:line="320" w:lineRule="exact"/>
              <w:ind w:firstLine="315" w:firstLineChars="150"/>
              <w:rPr>
                <w:sz w:val="21"/>
                <w:szCs w:val="21"/>
              </w:rPr>
            </w:pPr>
            <w:r>
              <w:rPr>
                <w:sz w:val="21"/>
                <w:szCs w:val="21"/>
              </w:rPr>
              <w:t>每缺席1次扣</w:t>
            </w:r>
            <w:r>
              <w:rPr>
                <w:rFonts w:hint="eastAsia"/>
                <w:sz w:val="21"/>
                <w:szCs w:val="21"/>
                <w:lang w:val="en-US" w:eastAsia="zh-CN"/>
              </w:rPr>
              <w:t>0.5</w:t>
            </w:r>
            <w:r>
              <w:rPr>
                <w:sz w:val="21"/>
                <w:szCs w:val="21"/>
              </w:rPr>
              <w:t>分/人。</w:t>
            </w:r>
          </w:p>
        </w:tc>
        <w:tc>
          <w:tcPr>
            <w:tcW w:w="651" w:type="dxa"/>
            <w:noWrap w:val="0"/>
            <w:vAlign w:val="top"/>
          </w:tcPr>
          <w:p w14:paraId="00A6A107"/>
        </w:tc>
        <w:tc>
          <w:tcPr>
            <w:tcW w:w="688" w:type="dxa"/>
            <w:vMerge w:val="continue"/>
            <w:noWrap w:val="0"/>
            <w:vAlign w:val="top"/>
          </w:tcPr>
          <w:p w14:paraId="70E9E65E"/>
        </w:tc>
        <w:tc>
          <w:tcPr>
            <w:tcW w:w="615" w:type="dxa"/>
            <w:vMerge w:val="continue"/>
            <w:noWrap w:val="0"/>
            <w:vAlign w:val="top"/>
          </w:tcPr>
          <w:p w14:paraId="6BB8E274"/>
        </w:tc>
      </w:tr>
      <w:tr w14:paraId="54354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741" w:type="dxa"/>
            <w:vMerge w:val="restart"/>
            <w:noWrap w:val="0"/>
            <w:vAlign w:val="center"/>
          </w:tcPr>
          <w:p w14:paraId="798AA17C">
            <w:pPr>
              <w:jc w:val="center"/>
              <w:rPr>
                <w:sz w:val="21"/>
                <w:szCs w:val="21"/>
              </w:rPr>
            </w:pPr>
            <w:r>
              <w:rPr>
                <w:rFonts w:hint="eastAsia"/>
                <w:sz w:val="21"/>
                <w:szCs w:val="21"/>
              </w:rPr>
              <w:t>沿海巡防</w:t>
            </w:r>
          </w:p>
          <w:p w14:paraId="3DB90ED0">
            <w:pPr>
              <w:jc w:val="center"/>
              <w:rPr>
                <w:rFonts w:hint="default" w:eastAsia="宋体"/>
                <w:sz w:val="21"/>
                <w:szCs w:val="21"/>
                <w:lang w:val="en-US" w:eastAsia="zh-CN"/>
              </w:rPr>
            </w:pPr>
            <w:r>
              <w:rPr>
                <w:rFonts w:hint="eastAsia"/>
                <w:sz w:val="21"/>
                <w:szCs w:val="21"/>
                <w:lang w:val="en-US" w:eastAsia="zh-CN"/>
              </w:rPr>
              <w:t>58</w:t>
            </w:r>
          </w:p>
        </w:tc>
        <w:tc>
          <w:tcPr>
            <w:tcW w:w="3327" w:type="dxa"/>
            <w:noWrap w:val="0"/>
            <w:vAlign w:val="center"/>
          </w:tcPr>
          <w:p w14:paraId="1D9A1A6E">
            <w:pPr>
              <w:spacing w:line="320" w:lineRule="exact"/>
              <w:ind w:firstLine="315" w:firstLineChars="150"/>
              <w:rPr>
                <w:sz w:val="21"/>
                <w:szCs w:val="21"/>
              </w:rPr>
            </w:pPr>
            <w:r>
              <w:rPr>
                <w:rFonts w:hint="eastAsia"/>
                <w:sz w:val="21"/>
                <w:szCs w:val="21"/>
              </w:rPr>
              <w:t>人员配备到位，</w:t>
            </w:r>
            <w:r>
              <w:rPr>
                <w:rFonts w:hint="eastAsia"/>
                <w:sz w:val="21"/>
                <w:szCs w:val="21"/>
                <w:lang w:val="en-US" w:eastAsia="zh-CN"/>
              </w:rPr>
              <w:t>每班不少于2人</w:t>
            </w:r>
            <w:r>
              <w:rPr>
                <w:rFonts w:hint="eastAsia"/>
                <w:sz w:val="21"/>
                <w:szCs w:val="21"/>
              </w:rPr>
              <w:t>。</w:t>
            </w:r>
          </w:p>
        </w:tc>
        <w:tc>
          <w:tcPr>
            <w:tcW w:w="660" w:type="dxa"/>
            <w:noWrap w:val="0"/>
            <w:vAlign w:val="center"/>
          </w:tcPr>
          <w:p w14:paraId="38D618B7">
            <w:pPr>
              <w:jc w:val="center"/>
              <w:rPr>
                <w:sz w:val="21"/>
                <w:szCs w:val="21"/>
              </w:rPr>
            </w:pPr>
            <w:r>
              <w:rPr>
                <w:rFonts w:hint="eastAsia"/>
                <w:sz w:val="21"/>
                <w:szCs w:val="21"/>
              </w:rPr>
              <w:t>6</w:t>
            </w:r>
          </w:p>
        </w:tc>
        <w:tc>
          <w:tcPr>
            <w:tcW w:w="3050" w:type="dxa"/>
            <w:noWrap w:val="0"/>
            <w:vAlign w:val="center"/>
          </w:tcPr>
          <w:p w14:paraId="5280371B">
            <w:pPr>
              <w:ind w:firstLine="315" w:firstLineChars="150"/>
              <w:rPr>
                <w:rFonts w:hint="default" w:eastAsia="宋体"/>
                <w:sz w:val="21"/>
                <w:szCs w:val="21"/>
                <w:lang w:val="en-US" w:eastAsia="zh-CN"/>
              </w:rPr>
            </w:pPr>
            <w:r>
              <w:rPr>
                <w:rFonts w:hint="eastAsia"/>
                <w:sz w:val="21"/>
                <w:szCs w:val="21"/>
              </w:rPr>
              <w:t>每</w:t>
            </w:r>
            <w:r>
              <w:rPr>
                <w:rFonts w:hint="eastAsia"/>
                <w:sz w:val="21"/>
                <w:szCs w:val="21"/>
                <w:lang w:val="en-US" w:eastAsia="zh-CN"/>
              </w:rPr>
              <w:t>班次</w:t>
            </w:r>
            <w:r>
              <w:rPr>
                <w:rFonts w:hint="eastAsia"/>
                <w:sz w:val="21"/>
                <w:szCs w:val="21"/>
              </w:rPr>
              <w:t>少一人扣2分</w:t>
            </w:r>
            <w:r>
              <w:rPr>
                <w:rFonts w:hint="eastAsia"/>
                <w:sz w:val="21"/>
                <w:szCs w:val="21"/>
                <w:lang w:eastAsia="zh-CN"/>
              </w:rPr>
              <w:t>；</w:t>
            </w:r>
            <w:r>
              <w:rPr>
                <w:rFonts w:hint="eastAsia"/>
                <w:sz w:val="21"/>
                <w:szCs w:val="21"/>
                <w:lang w:val="en-US" w:eastAsia="zh-CN"/>
              </w:rPr>
              <w:t>点验时无人巡查，此项不得分。</w:t>
            </w:r>
          </w:p>
        </w:tc>
        <w:tc>
          <w:tcPr>
            <w:tcW w:w="651" w:type="dxa"/>
            <w:noWrap w:val="0"/>
            <w:vAlign w:val="top"/>
          </w:tcPr>
          <w:p w14:paraId="5D1295B6"/>
        </w:tc>
        <w:tc>
          <w:tcPr>
            <w:tcW w:w="688" w:type="dxa"/>
            <w:vMerge w:val="restart"/>
            <w:noWrap w:val="0"/>
            <w:vAlign w:val="top"/>
          </w:tcPr>
          <w:p w14:paraId="4439DE56"/>
        </w:tc>
        <w:tc>
          <w:tcPr>
            <w:tcW w:w="615" w:type="dxa"/>
            <w:vMerge w:val="restart"/>
            <w:noWrap w:val="0"/>
            <w:vAlign w:val="top"/>
          </w:tcPr>
          <w:p w14:paraId="014C68D1"/>
        </w:tc>
      </w:tr>
      <w:tr w14:paraId="11A8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trPr>
        <w:tc>
          <w:tcPr>
            <w:tcW w:w="741" w:type="dxa"/>
            <w:vMerge w:val="continue"/>
            <w:noWrap w:val="0"/>
            <w:vAlign w:val="center"/>
          </w:tcPr>
          <w:p w14:paraId="60366662">
            <w:pPr>
              <w:rPr>
                <w:sz w:val="21"/>
                <w:szCs w:val="21"/>
              </w:rPr>
            </w:pPr>
          </w:p>
        </w:tc>
        <w:tc>
          <w:tcPr>
            <w:tcW w:w="3327" w:type="dxa"/>
            <w:noWrap w:val="0"/>
            <w:vAlign w:val="center"/>
          </w:tcPr>
          <w:p w14:paraId="62D39EA0">
            <w:pPr>
              <w:spacing w:line="320" w:lineRule="exact"/>
              <w:ind w:firstLine="315" w:firstLineChars="150"/>
              <w:rPr>
                <w:sz w:val="21"/>
                <w:szCs w:val="21"/>
              </w:rPr>
            </w:pPr>
            <w:r>
              <w:rPr>
                <w:rFonts w:hint="eastAsia"/>
                <w:sz w:val="21"/>
                <w:szCs w:val="21"/>
              </w:rPr>
              <w:t>每日实行24小时值班制度，按规定路线进行巡逻按时打卡，及时劝退下海人员，无安全事故发生。</w:t>
            </w:r>
          </w:p>
        </w:tc>
        <w:tc>
          <w:tcPr>
            <w:tcW w:w="660" w:type="dxa"/>
            <w:noWrap w:val="0"/>
            <w:vAlign w:val="center"/>
          </w:tcPr>
          <w:p w14:paraId="3A38C269">
            <w:pPr>
              <w:jc w:val="center"/>
              <w:rPr>
                <w:rFonts w:hint="default" w:eastAsia="宋体"/>
                <w:sz w:val="21"/>
                <w:szCs w:val="21"/>
                <w:lang w:val="en-US" w:eastAsia="zh-CN"/>
              </w:rPr>
            </w:pPr>
            <w:r>
              <w:rPr>
                <w:rFonts w:hint="eastAsia"/>
                <w:sz w:val="21"/>
                <w:szCs w:val="21"/>
                <w:lang w:val="en-US" w:eastAsia="zh-CN"/>
              </w:rPr>
              <w:t>16</w:t>
            </w:r>
          </w:p>
        </w:tc>
        <w:tc>
          <w:tcPr>
            <w:tcW w:w="3050" w:type="dxa"/>
            <w:noWrap w:val="0"/>
            <w:vAlign w:val="center"/>
          </w:tcPr>
          <w:p w14:paraId="4E7E0525">
            <w:pPr>
              <w:ind w:firstLine="315" w:firstLineChars="150"/>
              <w:rPr>
                <w:rFonts w:hint="eastAsia"/>
                <w:sz w:val="21"/>
                <w:szCs w:val="21"/>
              </w:rPr>
            </w:pPr>
            <w:r>
              <w:rPr>
                <w:rFonts w:hint="eastAsia"/>
                <w:sz w:val="21"/>
                <w:szCs w:val="21"/>
              </w:rPr>
              <w:t>查台账、值班表、微信群等，存在无记录或记录不全，扣1分/次；</w:t>
            </w:r>
          </w:p>
          <w:p w14:paraId="2CD8D97A">
            <w:pPr>
              <w:ind w:firstLine="315" w:firstLineChars="150"/>
              <w:rPr>
                <w:sz w:val="21"/>
                <w:szCs w:val="21"/>
              </w:rPr>
            </w:pPr>
            <w:r>
              <w:rPr>
                <w:rFonts w:hint="eastAsia"/>
                <w:sz w:val="21"/>
                <w:szCs w:val="21"/>
              </w:rPr>
              <w:t>巡查不到位，打卡不全，扣</w:t>
            </w:r>
            <w:r>
              <w:rPr>
                <w:rFonts w:hint="eastAsia"/>
                <w:sz w:val="21"/>
                <w:szCs w:val="21"/>
                <w:lang w:val="en-US" w:eastAsia="zh-CN"/>
              </w:rPr>
              <w:t>0.5</w:t>
            </w:r>
            <w:r>
              <w:rPr>
                <w:rFonts w:hint="eastAsia"/>
                <w:sz w:val="21"/>
                <w:szCs w:val="21"/>
              </w:rPr>
              <w:t>分/次；管理</w:t>
            </w:r>
            <w:r>
              <w:rPr>
                <w:rFonts w:hint="eastAsia"/>
                <w:sz w:val="21"/>
                <w:szCs w:val="21"/>
                <w:lang w:val="en-US" w:eastAsia="zh-CN"/>
              </w:rPr>
              <w:t>不到位</w:t>
            </w:r>
            <w:r>
              <w:rPr>
                <w:rFonts w:hint="eastAsia"/>
                <w:sz w:val="21"/>
                <w:szCs w:val="21"/>
              </w:rPr>
              <w:t>，被市、镇主管部门通报的，每一起扣</w:t>
            </w:r>
            <w:r>
              <w:rPr>
                <w:rFonts w:hint="eastAsia"/>
                <w:sz w:val="21"/>
                <w:szCs w:val="21"/>
                <w:lang w:val="en-US" w:eastAsia="zh-CN"/>
              </w:rPr>
              <w:t>1</w:t>
            </w:r>
            <w:r>
              <w:rPr>
                <w:rFonts w:hint="eastAsia"/>
                <w:sz w:val="21"/>
                <w:szCs w:val="21"/>
              </w:rPr>
              <w:t>分、</w:t>
            </w:r>
            <w:r>
              <w:rPr>
                <w:rFonts w:hint="eastAsia"/>
                <w:sz w:val="21"/>
                <w:szCs w:val="21"/>
                <w:lang w:val="en-US" w:eastAsia="zh-CN"/>
              </w:rPr>
              <w:t>0.5</w:t>
            </w:r>
            <w:r>
              <w:rPr>
                <w:rFonts w:hint="eastAsia"/>
                <w:sz w:val="21"/>
                <w:szCs w:val="21"/>
              </w:rPr>
              <w:t>分。</w:t>
            </w:r>
          </w:p>
        </w:tc>
        <w:tc>
          <w:tcPr>
            <w:tcW w:w="651" w:type="dxa"/>
            <w:noWrap w:val="0"/>
            <w:vAlign w:val="top"/>
          </w:tcPr>
          <w:p w14:paraId="6277E712"/>
        </w:tc>
        <w:tc>
          <w:tcPr>
            <w:tcW w:w="688" w:type="dxa"/>
            <w:vMerge w:val="continue"/>
            <w:noWrap w:val="0"/>
            <w:vAlign w:val="top"/>
          </w:tcPr>
          <w:p w14:paraId="31538EDD"/>
        </w:tc>
        <w:tc>
          <w:tcPr>
            <w:tcW w:w="615" w:type="dxa"/>
            <w:vMerge w:val="continue"/>
            <w:noWrap w:val="0"/>
            <w:vAlign w:val="top"/>
          </w:tcPr>
          <w:p w14:paraId="1DA5A908"/>
        </w:tc>
      </w:tr>
      <w:tr w14:paraId="3704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3FB376A9">
            <w:pPr>
              <w:rPr>
                <w:sz w:val="21"/>
                <w:szCs w:val="21"/>
              </w:rPr>
            </w:pPr>
          </w:p>
        </w:tc>
        <w:tc>
          <w:tcPr>
            <w:tcW w:w="3327" w:type="dxa"/>
            <w:noWrap w:val="0"/>
            <w:vAlign w:val="center"/>
          </w:tcPr>
          <w:p w14:paraId="3516329D">
            <w:pPr>
              <w:spacing w:line="320" w:lineRule="exact"/>
              <w:ind w:firstLine="315" w:firstLineChars="150"/>
              <w:rPr>
                <w:sz w:val="21"/>
                <w:szCs w:val="21"/>
              </w:rPr>
            </w:pPr>
            <w:r>
              <w:rPr>
                <w:rFonts w:hint="eastAsia"/>
                <w:sz w:val="21"/>
                <w:szCs w:val="21"/>
              </w:rPr>
              <w:t>配合执法部门进行沿海安全管理，及时制止沿海滩涂及堤岸附近发生的危害环境卫生行为。</w:t>
            </w:r>
          </w:p>
        </w:tc>
        <w:tc>
          <w:tcPr>
            <w:tcW w:w="660" w:type="dxa"/>
            <w:noWrap w:val="0"/>
            <w:vAlign w:val="center"/>
          </w:tcPr>
          <w:p w14:paraId="2918CBD5">
            <w:pPr>
              <w:jc w:val="center"/>
              <w:rPr>
                <w:rFonts w:hint="default" w:eastAsia="宋体"/>
                <w:sz w:val="21"/>
                <w:szCs w:val="21"/>
                <w:lang w:val="en-US" w:eastAsia="zh-CN"/>
              </w:rPr>
            </w:pPr>
            <w:r>
              <w:rPr>
                <w:rFonts w:hint="eastAsia"/>
                <w:sz w:val="21"/>
                <w:szCs w:val="21"/>
                <w:lang w:val="en-US" w:eastAsia="zh-CN"/>
              </w:rPr>
              <w:t>15</w:t>
            </w:r>
          </w:p>
        </w:tc>
        <w:tc>
          <w:tcPr>
            <w:tcW w:w="3050" w:type="dxa"/>
            <w:noWrap w:val="0"/>
            <w:vAlign w:val="center"/>
          </w:tcPr>
          <w:p w14:paraId="7FA661F8">
            <w:pPr>
              <w:ind w:firstLine="315" w:firstLineChars="150"/>
              <w:rPr>
                <w:sz w:val="21"/>
                <w:szCs w:val="21"/>
              </w:rPr>
            </w:pPr>
            <w:r>
              <w:rPr>
                <w:rFonts w:hint="eastAsia"/>
                <w:sz w:val="21"/>
                <w:szCs w:val="21"/>
              </w:rPr>
              <w:t>不积极配合政府部门进行安全辅助管理，扣2分/次；与民众发生肢体冲突，扣5分/次；因环境问题被政府通报，扣2分/起。</w:t>
            </w:r>
          </w:p>
        </w:tc>
        <w:tc>
          <w:tcPr>
            <w:tcW w:w="651" w:type="dxa"/>
            <w:noWrap w:val="0"/>
            <w:vAlign w:val="top"/>
          </w:tcPr>
          <w:p w14:paraId="432E7C79"/>
        </w:tc>
        <w:tc>
          <w:tcPr>
            <w:tcW w:w="688" w:type="dxa"/>
            <w:vMerge w:val="continue"/>
            <w:noWrap w:val="0"/>
            <w:vAlign w:val="top"/>
          </w:tcPr>
          <w:p w14:paraId="477802CA"/>
        </w:tc>
        <w:tc>
          <w:tcPr>
            <w:tcW w:w="615" w:type="dxa"/>
            <w:vMerge w:val="continue"/>
            <w:noWrap w:val="0"/>
            <w:vAlign w:val="top"/>
          </w:tcPr>
          <w:p w14:paraId="56065AFF"/>
        </w:tc>
      </w:tr>
      <w:tr w14:paraId="2FFBF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16700A19">
            <w:pPr>
              <w:rPr>
                <w:sz w:val="21"/>
                <w:szCs w:val="21"/>
              </w:rPr>
            </w:pPr>
          </w:p>
        </w:tc>
        <w:tc>
          <w:tcPr>
            <w:tcW w:w="3327" w:type="dxa"/>
            <w:noWrap w:val="0"/>
            <w:vAlign w:val="center"/>
          </w:tcPr>
          <w:p w14:paraId="40E34419">
            <w:pPr>
              <w:spacing w:line="320" w:lineRule="exact"/>
              <w:ind w:firstLine="315" w:firstLineChars="150"/>
              <w:rPr>
                <w:rFonts w:hint="default" w:eastAsia="宋体"/>
                <w:sz w:val="21"/>
                <w:szCs w:val="21"/>
                <w:lang w:val="en-US" w:eastAsia="zh-CN"/>
              </w:rPr>
            </w:pPr>
            <w:r>
              <w:rPr>
                <w:rFonts w:hint="eastAsia"/>
                <w:sz w:val="21"/>
                <w:szCs w:val="21"/>
                <w:lang w:val="en-US" w:eastAsia="zh-CN"/>
              </w:rPr>
              <w:t>配合政府部门在特殊情况下（反走私工作等）做好沿海岸堤安全巡防工作。</w:t>
            </w:r>
          </w:p>
        </w:tc>
        <w:tc>
          <w:tcPr>
            <w:tcW w:w="660" w:type="dxa"/>
            <w:noWrap w:val="0"/>
            <w:vAlign w:val="center"/>
          </w:tcPr>
          <w:p w14:paraId="183B8374">
            <w:pPr>
              <w:jc w:val="center"/>
              <w:rPr>
                <w:rFonts w:hint="default" w:eastAsia="宋体"/>
                <w:sz w:val="21"/>
                <w:szCs w:val="21"/>
                <w:lang w:val="en-US" w:eastAsia="zh-CN"/>
              </w:rPr>
            </w:pPr>
            <w:r>
              <w:rPr>
                <w:rFonts w:hint="eastAsia"/>
                <w:sz w:val="21"/>
                <w:szCs w:val="21"/>
                <w:lang w:val="en-US" w:eastAsia="zh-CN"/>
              </w:rPr>
              <w:t>15</w:t>
            </w:r>
          </w:p>
        </w:tc>
        <w:tc>
          <w:tcPr>
            <w:tcW w:w="3050" w:type="dxa"/>
            <w:noWrap w:val="0"/>
            <w:vAlign w:val="center"/>
          </w:tcPr>
          <w:p w14:paraId="1579C4F2">
            <w:pPr>
              <w:ind w:firstLine="315" w:firstLineChars="150"/>
              <w:rPr>
                <w:rFonts w:hint="default" w:eastAsia="宋体"/>
                <w:sz w:val="21"/>
                <w:szCs w:val="21"/>
                <w:lang w:val="en-US" w:eastAsia="zh-CN"/>
              </w:rPr>
            </w:pPr>
            <w:r>
              <w:rPr>
                <w:rFonts w:hint="eastAsia"/>
                <w:sz w:val="21"/>
                <w:szCs w:val="21"/>
                <w:lang w:val="en-US" w:eastAsia="zh-CN"/>
              </w:rPr>
              <w:t>发现人员偷渡上岸，隐瞒不报的，扣5分/起；被省、市、镇部门通报的，每一起扣5分、3分、2分。</w:t>
            </w:r>
          </w:p>
        </w:tc>
        <w:tc>
          <w:tcPr>
            <w:tcW w:w="651" w:type="dxa"/>
            <w:noWrap w:val="0"/>
            <w:vAlign w:val="top"/>
          </w:tcPr>
          <w:p w14:paraId="10513DF6"/>
        </w:tc>
        <w:tc>
          <w:tcPr>
            <w:tcW w:w="688" w:type="dxa"/>
            <w:vMerge w:val="continue"/>
            <w:noWrap w:val="0"/>
            <w:vAlign w:val="top"/>
          </w:tcPr>
          <w:p w14:paraId="3D244FEF"/>
        </w:tc>
        <w:tc>
          <w:tcPr>
            <w:tcW w:w="615" w:type="dxa"/>
            <w:vMerge w:val="continue"/>
            <w:noWrap w:val="0"/>
            <w:vAlign w:val="top"/>
          </w:tcPr>
          <w:p w14:paraId="29B74DF7"/>
        </w:tc>
      </w:tr>
      <w:tr w14:paraId="26EA8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2F3744DA">
            <w:pPr>
              <w:rPr>
                <w:sz w:val="21"/>
                <w:szCs w:val="21"/>
              </w:rPr>
            </w:pPr>
          </w:p>
        </w:tc>
        <w:tc>
          <w:tcPr>
            <w:tcW w:w="3327" w:type="dxa"/>
            <w:noWrap w:val="0"/>
            <w:vAlign w:val="center"/>
          </w:tcPr>
          <w:p w14:paraId="32FA5F21">
            <w:pPr>
              <w:spacing w:line="320" w:lineRule="exact"/>
              <w:ind w:firstLine="315" w:firstLineChars="150"/>
              <w:rPr>
                <w:sz w:val="21"/>
                <w:szCs w:val="21"/>
              </w:rPr>
            </w:pPr>
            <w:r>
              <w:rPr>
                <w:rFonts w:hint="eastAsia"/>
                <w:sz w:val="21"/>
                <w:szCs w:val="21"/>
              </w:rPr>
              <w:t>有月度及</w:t>
            </w:r>
            <w:r>
              <w:rPr>
                <w:rFonts w:hint="eastAsia"/>
                <w:sz w:val="21"/>
                <w:szCs w:val="21"/>
                <w:lang w:val="en-US" w:eastAsia="zh-CN"/>
              </w:rPr>
              <w:t>季度</w:t>
            </w:r>
            <w:r>
              <w:rPr>
                <w:rFonts w:hint="eastAsia"/>
                <w:sz w:val="21"/>
                <w:szCs w:val="21"/>
              </w:rPr>
              <w:t>总结，做好各项台账资料。</w:t>
            </w:r>
          </w:p>
        </w:tc>
        <w:tc>
          <w:tcPr>
            <w:tcW w:w="660" w:type="dxa"/>
            <w:noWrap w:val="0"/>
            <w:vAlign w:val="center"/>
          </w:tcPr>
          <w:p w14:paraId="57127B4E">
            <w:pPr>
              <w:jc w:val="center"/>
              <w:rPr>
                <w:rFonts w:hint="eastAsia" w:eastAsia="宋体"/>
                <w:sz w:val="21"/>
                <w:szCs w:val="21"/>
                <w:lang w:eastAsia="zh-CN"/>
              </w:rPr>
            </w:pPr>
            <w:r>
              <w:rPr>
                <w:rFonts w:hint="eastAsia"/>
                <w:sz w:val="21"/>
                <w:szCs w:val="21"/>
                <w:lang w:val="en-US" w:eastAsia="zh-CN"/>
              </w:rPr>
              <w:t>6</w:t>
            </w:r>
          </w:p>
        </w:tc>
        <w:tc>
          <w:tcPr>
            <w:tcW w:w="3050" w:type="dxa"/>
            <w:noWrap w:val="0"/>
            <w:vAlign w:val="center"/>
          </w:tcPr>
          <w:p w14:paraId="47B2A759">
            <w:pPr>
              <w:ind w:firstLine="315" w:firstLineChars="150"/>
              <w:rPr>
                <w:sz w:val="21"/>
                <w:szCs w:val="21"/>
              </w:rPr>
            </w:pPr>
            <w:r>
              <w:rPr>
                <w:rFonts w:hint="eastAsia"/>
                <w:sz w:val="21"/>
                <w:szCs w:val="21"/>
              </w:rPr>
              <w:t>查台账，存在信息有误，每条扣</w:t>
            </w:r>
            <w:r>
              <w:rPr>
                <w:rFonts w:hint="eastAsia"/>
                <w:sz w:val="21"/>
                <w:szCs w:val="21"/>
                <w:lang w:val="en-US" w:eastAsia="zh-CN"/>
              </w:rPr>
              <w:t>0.5</w:t>
            </w:r>
            <w:r>
              <w:rPr>
                <w:rFonts w:hint="eastAsia"/>
                <w:sz w:val="21"/>
                <w:szCs w:val="21"/>
              </w:rPr>
              <w:t>分；缺少总结，每篇扣</w:t>
            </w:r>
            <w:r>
              <w:rPr>
                <w:rFonts w:hint="eastAsia"/>
                <w:sz w:val="21"/>
                <w:szCs w:val="21"/>
                <w:lang w:val="en-US" w:eastAsia="zh-CN"/>
              </w:rPr>
              <w:t>1</w:t>
            </w:r>
            <w:r>
              <w:rPr>
                <w:rFonts w:hint="eastAsia"/>
                <w:sz w:val="21"/>
                <w:szCs w:val="21"/>
              </w:rPr>
              <w:t>分。</w:t>
            </w:r>
          </w:p>
        </w:tc>
        <w:tc>
          <w:tcPr>
            <w:tcW w:w="651" w:type="dxa"/>
            <w:noWrap w:val="0"/>
            <w:vAlign w:val="top"/>
          </w:tcPr>
          <w:p w14:paraId="1B53EEE8"/>
        </w:tc>
        <w:tc>
          <w:tcPr>
            <w:tcW w:w="688" w:type="dxa"/>
            <w:vMerge w:val="continue"/>
            <w:noWrap w:val="0"/>
            <w:vAlign w:val="top"/>
          </w:tcPr>
          <w:p w14:paraId="755B29A0"/>
        </w:tc>
        <w:tc>
          <w:tcPr>
            <w:tcW w:w="615" w:type="dxa"/>
            <w:vMerge w:val="continue"/>
            <w:noWrap w:val="0"/>
            <w:vAlign w:val="top"/>
          </w:tcPr>
          <w:p w14:paraId="1B5751C1"/>
        </w:tc>
      </w:tr>
      <w:tr w14:paraId="48B0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restart"/>
            <w:noWrap w:val="0"/>
            <w:vAlign w:val="center"/>
          </w:tcPr>
          <w:p w14:paraId="44E864FF">
            <w:pPr>
              <w:jc w:val="center"/>
              <w:rPr>
                <w:sz w:val="21"/>
                <w:szCs w:val="21"/>
              </w:rPr>
            </w:pPr>
            <w:r>
              <w:rPr>
                <w:rFonts w:hint="eastAsia"/>
                <w:sz w:val="21"/>
                <w:szCs w:val="21"/>
              </w:rPr>
              <w:t>设施配备</w:t>
            </w:r>
          </w:p>
          <w:p w14:paraId="73499FF9">
            <w:pPr>
              <w:jc w:val="center"/>
              <w:rPr>
                <w:rFonts w:hint="eastAsia" w:eastAsia="宋体"/>
                <w:kern w:val="2"/>
                <w:sz w:val="21"/>
                <w:szCs w:val="21"/>
                <w:lang w:val="en-US" w:eastAsia="zh-CN" w:bidi="ar-SA"/>
              </w:rPr>
            </w:pPr>
            <w:r>
              <w:rPr>
                <w:rFonts w:hint="eastAsia"/>
                <w:sz w:val="21"/>
                <w:szCs w:val="21"/>
                <w:lang w:val="en-US" w:eastAsia="zh-CN"/>
              </w:rPr>
              <w:t>8</w:t>
            </w:r>
          </w:p>
          <w:p w14:paraId="6A64C0FB">
            <w:pPr>
              <w:rPr>
                <w:sz w:val="21"/>
                <w:szCs w:val="21"/>
              </w:rPr>
            </w:pPr>
          </w:p>
        </w:tc>
        <w:tc>
          <w:tcPr>
            <w:tcW w:w="3327" w:type="dxa"/>
            <w:noWrap w:val="0"/>
            <w:vAlign w:val="center"/>
          </w:tcPr>
          <w:p w14:paraId="6289B8B4">
            <w:pPr>
              <w:spacing w:line="320" w:lineRule="exact"/>
              <w:ind w:firstLine="315" w:firstLineChars="150"/>
              <w:rPr>
                <w:rFonts w:hint="eastAsia"/>
                <w:kern w:val="2"/>
                <w:sz w:val="21"/>
                <w:szCs w:val="21"/>
                <w:lang w:val="en-US" w:eastAsia="zh-CN" w:bidi="ar-SA"/>
              </w:rPr>
            </w:pPr>
            <w:r>
              <w:rPr>
                <w:rFonts w:hint="eastAsia"/>
                <w:sz w:val="21"/>
                <w:szCs w:val="21"/>
              </w:rPr>
              <w:t>自备</w:t>
            </w:r>
            <w:r>
              <w:rPr>
                <w:rFonts w:hint="eastAsia"/>
                <w:sz w:val="21"/>
                <w:szCs w:val="21"/>
                <w:lang w:val="en-US" w:eastAsia="zh-CN"/>
              </w:rPr>
              <w:t>3</w:t>
            </w:r>
            <w:r>
              <w:rPr>
                <w:rFonts w:hint="eastAsia"/>
                <w:sz w:val="21"/>
                <w:szCs w:val="21"/>
              </w:rPr>
              <w:t>台巡逻车辆、</w:t>
            </w:r>
            <w:r>
              <w:rPr>
                <w:rFonts w:hint="eastAsia"/>
                <w:sz w:val="21"/>
                <w:szCs w:val="21"/>
                <w:lang w:val="en-US" w:eastAsia="zh-CN"/>
              </w:rPr>
              <w:t>2</w:t>
            </w:r>
            <w:r>
              <w:rPr>
                <w:rFonts w:hint="eastAsia"/>
                <w:sz w:val="21"/>
                <w:szCs w:val="21"/>
              </w:rPr>
              <w:t>台车载扬声器、1台</w:t>
            </w:r>
            <w:r>
              <w:rPr>
                <w:rFonts w:hint="eastAsia"/>
                <w:sz w:val="21"/>
                <w:szCs w:val="21"/>
                <w:lang w:eastAsia="zh-CN"/>
              </w:rPr>
              <w:t>（</w:t>
            </w:r>
            <w:r>
              <w:rPr>
                <w:rFonts w:hint="eastAsia"/>
                <w:sz w:val="21"/>
                <w:szCs w:val="21"/>
                <w:lang w:val="en-US" w:eastAsia="zh-CN"/>
              </w:rPr>
              <w:t>套</w:t>
            </w:r>
            <w:r>
              <w:rPr>
                <w:rFonts w:hint="eastAsia"/>
                <w:sz w:val="21"/>
                <w:szCs w:val="21"/>
                <w:lang w:eastAsia="zh-CN"/>
              </w:rPr>
              <w:t>）</w:t>
            </w:r>
            <w:r>
              <w:rPr>
                <w:rFonts w:hint="eastAsia"/>
                <w:sz w:val="21"/>
                <w:szCs w:val="21"/>
              </w:rPr>
              <w:t>电脑。</w:t>
            </w:r>
          </w:p>
        </w:tc>
        <w:tc>
          <w:tcPr>
            <w:tcW w:w="660" w:type="dxa"/>
            <w:noWrap w:val="0"/>
            <w:vAlign w:val="center"/>
          </w:tcPr>
          <w:p w14:paraId="75210666">
            <w:pPr>
              <w:jc w:val="center"/>
              <w:rPr>
                <w:rFonts w:hint="eastAsia" w:eastAsia="宋体"/>
                <w:kern w:val="2"/>
                <w:sz w:val="21"/>
                <w:szCs w:val="21"/>
                <w:lang w:val="en-US" w:eastAsia="zh-CN" w:bidi="ar-SA"/>
              </w:rPr>
            </w:pPr>
            <w:r>
              <w:rPr>
                <w:rFonts w:hint="eastAsia"/>
                <w:sz w:val="21"/>
                <w:szCs w:val="21"/>
                <w:lang w:val="en-US" w:eastAsia="zh-CN"/>
              </w:rPr>
              <w:t>4</w:t>
            </w:r>
          </w:p>
        </w:tc>
        <w:tc>
          <w:tcPr>
            <w:tcW w:w="3050" w:type="dxa"/>
            <w:noWrap w:val="0"/>
            <w:vAlign w:val="center"/>
          </w:tcPr>
          <w:p w14:paraId="1CAAF0A7">
            <w:pPr>
              <w:ind w:firstLine="315" w:firstLineChars="150"/>
              <w:rPr>
                <w:rFonts w:hint="eastAsia"/>
                <w:kern w:val="2"/>
                <w:sz w:val="21"/>
                <w:szCs w:val="21"/>
                <w:lang w:val="en-US" w:eastAsia="zh-CN" w:bidi="ar-SA"/>
              </w:rPr>
            </w:pPr>
            <w:r>
              <w:rPr>
                <w:rFonts w:hint="eastAsia"/>
                <w:sz w:val="21"/>
                <w:szCs w:val="21"/>
              </w:rPr>
              <w:t>每缺少一台巡逻车辆，扣2分；缺失车载扬声器，扣1分；缺少办公电脑，扣</w:t>
            </w:r>
            <w:r>
              <w:rPr>
                <w:rFonts w:hint="eastAsia"/>
                <w:sz w:val="21"/>
                <w:szCs w:val="21"/>
                <w:lang w:val="en-US" w:eastAsia="zh-CN"/>
              </w:rPr>
              <w:t>1</w:t>
            </w:r>
            <w:r>
              <w:rPr>
                <w:rFonts w:hint="eastAsia"/>
                <w:sz w:val="21"/>
                <w:szCs w:val="21"/>
              </w:rPr>
              <w:t>分。</w:t>
            </w:r>
          </w:p>
        </w:tc>
        <w:tc>
          <w:tcPr>
            <w:tcW w:w="651" w:type="dxa"/>
            <w:noWrap w:val="0"/>
            <w:vAlign w:val="top"/>
          </w:tcPr>
          <w:p w14:paraId="1E462BE4"/>
        </w:tc>
        <w:tc>
          <w:tcPr>
            <w:tcW w:w="688" w:type="dxa"/>
            <w:vMerge w:val="restart"/>
            <w:noWrap w:val="0"/>
            <w:vAlign w:val="top"/>
          </w:tcPr>
          <w:p w14:paraId="5CA90502"/>
        </w:tc>
        <w:tc>
          <w:tcPr>
            <w:tcW w:w="615" w:type="dxa"/>
            <w:vMerge w:val="restart"/>
            <w:noWrap w:val="0"/>
            <w:vAlign w:val="top"/>
          </w:tcPr>
          <w:p w14:paraId="24CA8773"/>
        </w:tc>
      </w:tr>
      <w:tr w14:paraId="3120B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3EA2DD58">
            <w:pPr>
              <w:rPr>
                <w:sz w:val="21"/>
                <w:szCs w:val="21"/>
              </w:rPr>
            </w:pPr>
          </w:p>
        </w:tc>
        <w:tc>
          <w:tcPr>
            <w:tcW w:w="3327" w:type="dxa"/>
            <w:noWrap w:val="0"/>
            <w:vAlign w:val="center"/>
          </w:tcPr>
          <w:p w14:paraId="6F20CFD7">
            <w:pPr>
              <w:spacing w:line="320" w:lineRule="exact"/>
              <w:ind w:firstLine="315" w:firstLineChars="150"/>
              <w:rPr>
                <w:rFonts w:hint="eastAsia"/>
                <w:kern w:val="2"/>
                <w:sz w:val="21"/>
                <w:szCs w:val="21"/>
                <w:lang w:val="en-US" w:eastAsia="zh-CN" w:bidi="ar-SA"/>
              </w:rPr>
            </w:pPr>
            <w:r>
              <w:rPr>
                <w:rFonts w:hint="eastAsia"/>
                <w:sz w:val="21"/>
                <w:szCs w:val="21"/>
              </w:rPr>
              <w:t>工作期间配备有制服反光背心、救生衣、救生圈等；巡逻中配备3台执法记录仪、</w:t>
            </w:r>
            <w:r>
              <w:rPr>
                <w:rFonts w:hint="eastAsia"/>
                <w:sz w:val="21"/>
                <w:szCs w:val="21"/>
                <w:lang w:val="en-US" w:eastAsia="zh-CN"/>
              </w:rPr>
              <w:t>3</w:t>
            </w:r>
            <w:r>
              <w:rPr>
                <w:rFonts w:hint="eastAsia"/>
                <w:sz w:val="21"/>
                <w:szCs w:val="21"/>
              </w:rPr>
              <w:t>只手持电喇叭、3支强光手电。</w:t>
            </w:r>
          </w:p>
        </w:tc>
        <w:tc>
          <w:tcPr>
            <w:tcW w:w="660" w:type="dxa"/>
            <w:noWrap w:val="0"/>
            <w:vAlign w:val="center"/>
          </w:tcPr>
          <w:p w14:paraId="684454D6">
            <w:pPr>
              <w:jc w:val="center"/>
              <w:rPr>
                <w:rFonts w:hint="eastAsia"/>
                <w:kern w:val="2"/>
                <w:sz w:val="21"/>
                <w:szCs w:val="21"/>
                <w:lang w:val="en-US" w:eastAsia="zh-CN" w:bidi="ar-SA"/>
              </w:rPr>
            </w:pPr>
            <w:r>
              <w:rPr>
                <w:rFonts w:hint="eastAsia"/>
                <w:sz w:val="21"/>
                <w:szCs w:val="21"/>
              </w:rPr>
              <w:t>3</w:t>
            </w:r>
          </w:p>
        </w:tc>
        <w:tc>
          <w:tcPr>
            <w:tcW w:w="3050" w:type="dxa"/>
            <w:noWrap w:val="0"/>
            <w:vAlign w:val="center"/>
          </w:tcPr>
          <w:p w14:paraId="3C48AEB9">
            <w:pPr>
              <w:spacing w:line="320" w:lineRule="exact"/>
              <w:ind w:firstLine="315" w:firstLineChars="150"/>
              <w:rPr>
                <w:rFonts w:hint="eastAsia"/>
                <w:kern w:val="2"/>
                <w:sz w:val="21"/>
                <w:szCs w:val="21"/>
                <w:lang w:val="en-US" w:eastAsia="zh-CN" w:bidi="ar-SA"/>
              </w:rPr>
            </w:pPr>
            <w:r>
              <w:rPr>
                <w:rFonts w:hint="eastAsia"/>
                <w:sz w:val="21"/>
                <w:szCs w:val="21"/>
              </w:rPr>
              <w:t>仪装不规范，每次扣1分/人；</w:t>
            </w:r>
            <w:r>
              <w:rPr>
                <w:rFonts w:hint="eastAsia"/>
                <w:sz w:val="21"/>
                <w:szCs w:val="21"/>
                <w:lang w:val="en-US" w:eastAsia="zh-CN"/>
              </w:rPr>
              <w:t>巡逻</w:t>
            </w:r>
            <w:r>
              <w:rPr>
                <w:rFonts w:hint="eastAsia"/>
                <w:sz w:val="21"/>
                <w:szCs w:val="21"/>
              </w:rPr>
              <w:t>记录仪不正常开启的，</w:t>
            </w:r>
            <w:r>
              <w:rPr>
                <w:sz w:val="21"/>
                <w:szCs w:val="21"/>
              </w:rPr>
              <w:t>扣</w:t>
            </w:r>
            <w:r>
              <w:rPr>
                <w:rFonts w:hint="eastAsia"/>
                <w:sz w:val="21"/>
                <w:szCs w:val="21"/>
              </w:rPr>
              <w:t>1分</w:t>
            </w:r>
            <w:r>
              <w:rPr>
                <w:sz w:val="21"/>
                <w:szCs w:val="21"/>
              </w:rPr>
              <w:t>；</w:t>
            </w:r>
            <w:r>
              <w:rPr>
                <w:rFonts w:hint="eastAsia"/>
                <w:sz w:val="21"/>
                <w:szCs w:val="21"/>
              </w:rPr>
              <w:t>每缺少一支手持电喇叭，扣</w:t>
            </w:r>
            <w:r>
              <w:rPr>
                <w:rFonts w:hint="eastAsia"/>
                <w:sz w:val="21"/>
                <w:szCs w:val="21"/>
                <w:lang w:val="en-US" w:eastAsia="zh-CN"/>
              </w:rPr>
              <w:t>1</w:t>
            </w:r>
            <w:r>
              <w:rPr>
                <w:rFonts w:hint="eastAsia"/>
                <w:sz w:val="21"/>
                <w:szCs w:val="21"/>
              </w:rPr>
              <w:t>分；每缺少一支强光手电，扣</w:t>
            </w:r>
            <w:r>
              <w:rPr>
                <w:rFonts w:hint="eastAsia"/>
                <w:sz w:val="21"/>
                <w:szCs w:val="21"/>
                <w:lang w:val="en-US" w:eastAsia="zh-CN"/>
              </w:rPr>
              <w:t>1</w:t>
            </w:r>
            <w:r>
              <w:rPr>
                <w:rFonts w:hint="eastAsia"/>
                <w:sz w:val="21"/>
                <w:szCs w:val="21"/>
              </w:rPr>
              <w:t>分。</w:t>
            </w:r>
          </w:p>
        </w:tc>
        <w:tc>
          <w:tcPr>
            <w:tcW w:w="651" w:type="dxa"/>
            <w:noWrap w:val="0"/>
            <w:vAlign w:val="top"/>
          </w:tcPr>
          <w:p w14:paraId="10B33182"/>
        </w:tc>
        <w:tc>
          <w:tcPr>
            <w:tcW w:w="688" w:type="dxa"/>
            <w:vMerge w:val="continue"/>
            <w:noWrap w:val="0"/>
            <w:vAlign w:val="top"/>
          </w:tcPr>
          <w:p w14:paraId="042E02DB"/>
        </w:tc>
        <w:tc>
          <w:tcPr>
            <w:tcW w:w="615" w:type="dxa"/>
            <w:vMerge w:val="continue"/>
            <w:noWrap w:val="0"/>
            <w:vAlign w:val="top"/>
          </w:tcPr>
          <w:p w14:paraId="780C529F"/>
        </w:tc>
      </w:tr>
      <w:tr w14:paraId="789A2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43C2B6A2">
            <w:pPr>
              <w:rPr>
                <w:sz w:val="21"/>
                <w:szCs w:val="21"/>
              </w:rPr>
            </w:pPr>
          </w:p>
        </w:tc>
        <w:tc>
          <w:tcPr>
            <w:tcW w:w="3327" w:type="dxa"/>
            <w:noWrap w:val="0"/>
            <w:vAlign w:val="center"/>
          </w:tcPr>
          <w:p w14:paraId="4EABF6F0">
            <w:pPr>
              <w:spacing w:line="320" w:lineRule="exact"/>
              <w:ind w:firstLine="315" w:firstLineChars="150"/>
              <w:rPr>
                <w:rFonts w:hint="eastAsia"/>
                <w:kern w:val="2"/>
                <w:sz w:val="21"/>
                <w:szCs w:val="21"/>
                <w:lang w:val="en-US" w:eastAsia="zh-CN" w:bidi="ar-SA"/>
              </w:rPr>
            </w:pPr>
            <w:r>
              <w:rPr>
                <w:rFonts w:hint="eastAsia"/>
                <w:sz w:val="21"/>
                <w:szCs w:val="21"/>
              </w:rPr>
              <w:t>拥有巡防工作站点</w:t>
            </w:r>
            <w:r>
              <w:rPr>
                <w:rFonts w:hint="eastAsia"/>
                <w:sz w:val="21"/>
                <w:szCs w:val="21"/>
                <w:lang w:val="en-US" w:eastAsia="zh-CN"/>
              </w:rPr>
              <w:t>设施</w:t>
            </w:r>
            <w:r>
              <w:rPr>
                <w:rFonts w:hint="eastAsia"/>
                <w:sz w:val="21"/>
                <w:szCs w:val="21"/>
              </w:rPr>
              <w:t>。</w:t>
            </w:r>
          </w:p>
        </w:tc>
        <w:tc>
          <w:tcPr>
            <w:tcW w:w="660" w:type="dxa"/>
            <w:noWrap w:val="0"/>
            <w:vAlign w:val="center"/>
          </w:tcPr>
          <w:p w14:paraId="0DBE6980">
            <w:pPr>
              <w:jc w:val="center"/>
              <w:rPr>
                <w:rFonts w:hint="eastAsia"/>
                <w:kern w:val="2"/>
                <w:sz w:val="21"/>
                <w:szCs w:val="21"/>
                <w:lang w:val="en-US" w:eastAsia="zh-CN" w:bidi="ar-SA"/>
              </w:rPr>
            </w:pPr>
            <w:r>
              <w:rPr>
                <w:rFonts w:hint="eastAsia"/>
                <w:sz w:val="21"/>
                <w:szCs w:val="21"/>
              </w:rPr>
              <w:t>1</w:t>
            </w:r>
          </w:p>
        </w:tc>
        <w:tc>
          <w:tcPr>
            <w:tcW w:w="3050" w:type="dxa"/>
            <w:noWrap w:val="0"/>
            <w:vAlign w:val="center"/>
          </w:tcPr>
          <w:p w14:paraId="27FA472E">
            <w:pPr>
              <w:spacing w:line="320" w:lineRule="exact"/>
              <w:ind w:firstLine="315" w:firstLineChars="150"/>
              <w:rPr>
                <w:rFonts w:hint="eastAsia"/>
                <w:kern w:val="2"/>
                <w:sz w:val="21"/>
                <w:szCs w:val="21"/>
                <w:lang w:val="en-US" w:eastAsia="zh-CN" w:bidi="ar-SA"/>
              </w:rPr>
            </w:pPr>
            <w:r>
              <w:rPr>
                <w:rFonts w:hint="eastAsia"/>
                <w:sz w:val="21"/>
                <w:szCs w:val="21"/>
              </w:rPr>
              <w:t>未拥有巡防工作站点</w:t>
            </w:r>
            <w:r>
              <w:rPr>
                <w:rFonts w:hint="eastAsia"/>
                <w:sz w:val="21"/>
                <w:szCs w:val="21"/>
                <w:lang w:val="en-US" w:eastAsia="zh-CN"/>
              </w:rPr>
              <w:t>设施</w:t>
            </w:r>
            <w:r>
              <w:rPr>
                <w:rFonts w:hint="eastAsia"/>
                <w:sz w:val="21"/>
                <w:szCs w:val="21"/>
              </w:rPr>
              <w:t>，本项不得分。</w:t>
            </w:r>
          </w:p>
        </w:tc>
        <w:tc>
          <w:tcPr>
            <w:tcW w:w="651" w:type="dxa"/>
            <w:noWrap w:val="0"/>
            <w:vAlign w:val="top"/>
          </w:tcPr>
          <w:p w14:paraId="0E9F9F1D"/>
        </w:tc>
        <w:tc>
          <w:tcPr>
            <w:tcW w:w="688" w:type="dxa"/>
            <w:vMerge w:val="continue"/>
            <w:noWrap w:val="0"/>
            <w:vAlign w:val="top"/>
          </w:tcPr>
          <w:p w14:paraId="34C87F3C"/>
        </w:tc>
        <w:tc>
          <w:tcPr>
            <w:tcW w:w="615" w:type="dxa"/>
            <w:vMerge w:val="continue"/>
            <w:noWrap w:val="0"/>
            <w:vAlign w:val="top"/>
          </w:tcPr>
          <w:p w14:paraId="7AB50EC7"/>
        </w:tc>
      </w:tr>
      <w:tr w14:paraId="06F30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restart"/>
            <w:noWrap w:val="0"/>
            <w:vAlign w:val="center"/>
          </w:tcPr>
          <w:p w14:paraId="62ACBC08">
            <w:pPr>
              <w:jc w:val="center"/>
              <w:rPr>
                <w:rFonts w:hint="eastAsia"/>
                <w:sz w:val="21"/>
                <w:szCs w:val="21"/>
              </w:rPr>
            </w:pPr>
            <w:r>
              <w:rPr>
                <w:rFonts w:hint="eastAsia"/>
                <w:sz w:val="21"/>
                <w:szCs w:val="21"/>
              </w:rPr>
              <w:t>安全管理</w:t>
            </w:r>
          </w:p>
          <w:p w14:paraId="7085E1F3">
            <w:pPr>
              <w:jc w:val="center"/>
              <w:rPr>
                <w:rFonts w:hint="default" w:eastAsia="宋体"/>
                <w:kern w:val="2"/>
                <w:sz w:val="21"/>
                <w:szCs w:val="21"/>
                <w:lang w:val="en-US" w:eastAsia="zh-CN" w:bidi="ar-SA"/>
              </w:rPr>
            </w:pPr>
            <w:r>
              <w:rPr>
                <w:rFonts w:hint="eastAsia"/>
                <w:sz w:val="21"/>
                <w:szCs w:val="21"/>
                <w:lang w:val="en-US" w:eastAsia="zh-CN"/>
              </w:rPr>
              <w:t>24</w:t>
            </w:r>
          </w:p>
        </w:tc>
        <w:tc>
          <w:tcPr>
            <w:tcW w:w="3327" w:type="dxa"/>
            <w:noWrap w:val="0"/>
            <w:vAlign w:val="center"/>
          </w:tcPr>
          <w:p w14:paraId="217260EE">
            <w:pPr>
              <w:spacing w:line="320" w:lineRule="exact"/>
              <w:ind w:firstLine="315" w:firstLineChars="150"/>
              <w:rPr>
                <w:rFonts w:hint="eastAsia"/>
                <w:kern w:val="2"/>
                <w:sz w:val="21"/>
                <w:szCs w:val="21"/>
                <w:lang w:val="en-US" w:eastAsia="zh-CN" w:bidi="ar-SA"/>
              </w:rPr>
            </w:pPr>
            <w:r>
              <w:rPr>
                <w:rFonts w:hint="eastAsia"/>
                <w:sz w:val="21"/>
                <w:szCs w:val="21"/>
              </w:rPr>
              <w:t>巡查</w:t>
            </w:r>
            <w:r>
              <w:rPr>
                <w:sz w:val="21"/>
                <w:szCs w:val="21"/>
              </w:rPr>
              <w:t>过程中发</w:t>
            </w:r>
            <w:r>
              <w:rPr>
                <w:rFonts w:hint="eastAsia"/>
                <w:sz w:val="21"/>
                <w:szCs w:val="21"/>
                <w:lang w:val="en-US" w:eastAsia="zh-CN"/>
              </w:rPr>
              <w:t>现</w:t>
            </w:r>
            <w:r>
              <w:rPr>
                <w:rFonts w:hint="eastAsia"/>
                <w:sz w:val="21"/>
                <w:szCs w:val="21"/>
              </w:rPr>
              <w:t>较大、重大安全隐患</w:t>
            </w:r>
            <w:r>
              <w:rPr>
                <w:sz w:val="21"/>
                <w:szCs w:val="21"/>
              </w:rPr>
              <w:t>，第一时间向镇、市上报信息</w:t>
            </w:r>
            <w:r>
              <w:rPr>
                <w:rFonts w:hint="eastAsia"/>
                <w:sz w:val="21"/>
                <w:szCs w:val="21"/>
              </w:rPr>
              <w:t>。</w:t>
            </w:r>
          </w:p>
        </w:tc>
        <w:tc>
          <w:tcPr>
            <w:tcW w:w="660" w:type="dxa"/>
            <w:noWrap w:val="0"/>
            <w:vAlign w:val="center"/>
          </w:tcPr>
          <w:p w14:paraId="0610E0A0">
            <w:pPr>
              <w:jc w:val="center"/>
              <w:rPr>
                <w:rFonts w:hint="eastAsia" w:eastAsia="宋体"/>
                <w:kern w:val="2"/>
                <w:sz w:val="21"/>
                <w:szCs w:val="21"/>
                <w:lang w:val="en-US" w:eastAsia="zh-CN" w:bidi="ar-SA"/>
              </w:rPr>
            </w:pPr>
            <w:r>
              <w:rPr>
                <w:rFonts w:hint="eastAsia"/>
                <w:sz w:val="21"/>
                <w:szCs w:val="21"/>
                <w:lang w:val="en-US" w:eastAsia="zh-CN"/>
              </w:rPr>
              <w:t>8</w:t>
            </w:r>
          </w:p>
        </w:tc>
        <w:tc>
          <w:tcPr>
            <w:tcW w:w="3050" w:type="dxa"/>
            <w:noWrap w:val="0"/>
            <w:vAlign w:val="center"/>
          </w:tcPr>
          <w:p w14:paraId="23EB0461">
            <w:pPr>
              <w:spacing w:line="320" w:lineRule="exact"/>
              <w:ind w:firstLine="315" w:firstLineChars="150"/>
              <w:rPr>
                <w:rFonts w:hint="eastAsia"/>
                <w:kern w:val="2"/>
                <w:sz w:val="21"/>
                <w:szCs w:val="21"/>
                <w:lang w:val="en-US" w:eastAsia="zh-CN" w:bidi="ar-SA"/>
              </w:rPr>
            </w:pPr>
            <w:r>
              <w:rPr>
                <w:rFonts w:hint="eastAsia"/>
                <w:sz w:val="21"/>
                <w:szCs w:val="21"/>
                <w:lang w:val="en-US" w:eastAsia="zh-CN"/>
              </w:rPr>
              <w:t>发现</w:t>
            </w:r>
            <w:r>
              <w:rPr>
                <w:rFonts w:hint="eastAsia"/>
                <w:sz w:val="21"/>
                <w:szCs w:val="21"/>
              </w:rPr>
              <w:t>较大</w:t>
            </w:r>
            <w:r>
              <w:rPr>
                <w:sz w:val="21"/>
                <w:szCs w:val="21"/>
              </w:rPr>
              <w:t>安全隐患未上报</w:t>
            </w:r>
            <w:r>
              <w:rPr>
                <w:rFonts w:hint="eastAsia"/>
                <w:sz w:val="21"/>
                <w:szCs w:val="21"/>
              </w:rPr>
              <w:t>，</w:t>
            </w:r>
            <w:r>
              <w:rPr>
                <w:sz w:val="21"/>
                <w:szCs w:val="21"/>
              </w:rPr>
              <w:t>扣</w:t>
            </w:r>
            <w:r>
              <w:rPr>
                <w:rFonts w:hint="eastAsia"/>
                <w:sz w:val="21"/>
                <w:szCs w:val="21"/>
                <w:lang w:val="en-US" w:eastAsia="zh-CN"/>
              </w:rPr>
              <w:t>1</w:t>
            </w:r>
            <w:r>
              <w:rPr>
                <w:rFonts w:hint="eastAsia"/>
                <w:sz w:val="21"/>
                <w:szCs w:val="21"/>
              </w:rPr>
              <w:t>分/起；重大安全隐患未上报，扣</w:t>
            </w:r>
            <w:r>
              <w:rPr>
                <w:rFonts w:hint="eastAsia"/>
                <w:sz w:val="21"/>
                <w:szCs w:val="21"/>
                <w:lang w:val="en-US" w:eastAsia="zh-CN"/>
              </w:rPr>
              <w:t>2</w:t>
            </w:r>
            <w:r>
              <w:rPr>
                <w:rFonts w:hint="eastAsia"/>
                <w:sz w:val="21"/>
                <w:szCs w:val="21"/>
              </w:rPr>
              <w:t>分/起。</w:t>
            </w:r>
          </w:p>
        </w:tc>
        <w:tc>
          <w:tcPr>
            <w:tcW w:w="651" w:type="dxa"/>
            <w:noWrap w:val="0"/>
            <w:vAlign w:val="top"/>
          </w:tcPr>
          <w:p w14:paraId="69207CE5"/>
        </w:tc>
        <w:tc>
          <w:tcPr>
            <w:tcW w:w="688" w:type="dxa"/>
            <w:vMerge w:val="restart"/>
            <w:noWrap w:val="0"/>
            <w:vAlign w:val="top"/>
          </w:tcPr>
          <w:p w14:paraId="183B87B6"/>
        </w:tc>
        <w:tc>
          <w:tcPr>
            <w:tcW w:w="615" w:type="dxa"/>
            <w:vMerge w:val="restart"/>
            <w:noWrap w:val="0"/>
            <w:vAlign w:val="top"/>
          </w:tcPr>
          <w:p w14:paraId="4E8E81E5"/>
        </w:tc>
      </w:tr>
      <w:tr w14:paraId="33A2A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78F0AE1B">
            <w:pPr>
              <w:rPr>
                <w:sz w:val="21"/>
                <w:szCs w:val="21"/>
              </w:rPr>
            </w:pPr>
          </w:p>
        </w:tc>
        <w:tc>
          <w:tcPr>
            <w:tcW w:w="3327" w:type="dxa"/>
            <w:noWrap w:val="0"/>
            <w:vAlign w:val="center"/>
          </w:tcPr>
          <w:p w14:paraId="587434C1">
            <w:pPr>
              <w:spacing w:line="320" w:lineRule="exact"/>
              <w:ind w:firstLine="315" w:firstLineChars="150"/>
              <w:rPr>
                <w:rFonts w:hint="eastAsia"/>
                <w:kern w:val="2"/>
                <w:sz w:val="21"/>
                <w:szCs w:val="21"/>
                <w:lang w:val="en-US" w:eastAsia="zh-CN" w:bidi="ar-SA"/>
              </w:rPr>
            </w:pPr>
            <w:r>
              <w:rPr>
                <w:rFonts w:hint="eastAsia"/>
                <w:sz w:val="21"/>
                <w:szCs w:val="21"/>
              </w:rPr>
              <w:t>安全巡查到位，</w:t>
            </w:r>
            <w:r>
              <w:rPr>
                <w:rFonts w:hint="eastAsia"/>
                <w:sz w:val="21"/>
                <w:szCs w:val="21"/>
                <w:lang w:val="en-US" w:eastAsia="zh-CN"/>
              </w:rPr>
              <w:t>不发生重大伤亡事故</w:t>
            </w:r>
            <w:r>
              <w:rPr>
                <w:rFonts w:hint="eastAsia"/>
                <w:sz w:val="21"/>
                <w:szCs w:val="21"/>
              </w:rPr>
              <w:t>。</w:t>
            </w:r>
          </w:p>
        </w:tc>
        <w:tc>
          <w:tcPr>
            <w:tcW w:w="660" w:type="dxa"/>
            <w:noWrap w:val="0"/>
            <w:vAlign w:val="center"/>
          </w:tcPr>
          <w:p w14:paraId="4CE6EFC9">
            <w:pPr>
              <w:jc w:val="center"/>
              <w:rPr>
                <w:rFonts w:hint="eastAsia" w:eastAsia="宋体"/>
                <w:kern w:val="2"/>
                <w:sz w:val="21"/>
                <w:szCs w:val="21"/>
                <w:lang w:val="en-US" w:eastAsia="zh-CN" w:bidi="ar-SA"/>
              </w:rPr>
            </w:pPr>
            <w:r>
              <w:rPr>
                <w:rFonts w:hint="eastAsia"/>
                <w:sz w:val="21"/>
                <w:szCs w:val="21"/>
                <w:lang w:val="en-US" w:eastAsia="zh-CN"/>
              </w:rPr>
              <w:t>8</w:t>
            </w:r>
          </w:p>
        </w:tc>
        <w:tc>
          <w:tcPr>
            <w:tcW w:w="3050" w:type="dxa"/>
            <w:noWrap w:val="0"/>
            <w:vAlign w:val="center"/>
          </w:tcPr>
          <w:p w14:paraId="05F12AE2">
            <w:pPr>
              <w:spacing w:line="320" w:lineRule="exact"/>
              <w:ind w:firstLine="315" w:firstLineChars="150"/>
              <w:rPr>
                <w:rFonts w:hint="eastAsia"/>
                <w:kern w:val="2"/>
                <w:sz w:val="21"/>
                <w:szCs w:val="21"/>
                <w:lang w:val="en-US" w:eastAsia="zh-CN" w:bidi="ar-SA"/>
              </w:rPr>
            </w:pPr>
            <w:r>
              <w:rPr>
                <w:rFonts w:hint="eastAsia"/>
                <w:sz w:val="21"/>
                <w:szCs w:val="21"/>
                <w:lang w:val="en-US" w:eastAsia="zh-CN"/>
              </w:rPr>
              <w:t>如</w:t>
            </w:r>
            <w:r>
              <w:rPr>
                <w:sz w:val="21"/>
                <w:szCs w:val="21"/>
              </w:rPr>
              <w:t>发生重大安全事故</w:t>
            </w:r>
            <w:r>
              <w:rPr>
                <w:rFonts w:hint="eastAsia"/>
                <w:sz w:val="21"/>
                <w:szCs w:val="21"/>
              </w:rPr>
              <w:t>，本项不得分。</w:t>
            </w:r>
          </w:p>
        </w:tc>
        <w:tc>
          <w:tcPr>
            <w:tcW w:w="651" w:type="dxa"/>
            <w:noWrap w:val="0"/>
            <w:vAlign w:val="top"/>
          </w:tcPr>
          <w:p w14:paraId="771BCBAE"/>
        </w:tc>
        <w:tc>
          <w:tcPr>
            <w:tcW w:w="688" w:type="dxa"/>
            <w:vMerge w:val="continue"/>
            <w:noWrap w:val="0"/>
            <w:vAlign w:val="top"/>
          </w:tcPr>
          <w:p w14:paraId="7CC96069"/>
        </w:tc>
        <w:tc>
          <w:tcPr>
            <w:tcW w:w="615" w:type="dxa"/>
            <w:vMerge w:val="continue"/>
            <w:noWrap w:val="0"/>
            <w:vAlign w:val="top"/>
          </w:tcPr>
          <w:p w14:paraId="17BB414F"/>
        </w:tc>
      </w:tr>
      <w:tr w14:paraId="3FF36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1BDF8F3F">
            <w:pPr>
              <w:rPr>
                <w:sz w:val="21"/>
                <w:szCs w:val="21"/>
              </w:rPr>
            </w:pPr>
          </w:p>
        </w:tc>
        <w:tc>
          <w:tcPr>
            <w:tcW w:w="3327" w:type="dxa"/>
            <w:noWrap w:val="0"/>
            <w:vAlign w:val="center"/>
          </w:tcPr>
          <w:p w14:paraId="2A23D7FB">
            <w:pPr>
              <w:spacing w:line="320" w:lineRule="exact"/>
              <w:ind w:firstLine="315" w:firstLineChars="150"/>
              <w:rPr>
                <w:rFonts w:hint="eastAsia"/>
                <w:kern w:val="2"/>
                <w:sz w:val="21"/>
                <w:szCs w:val="21"/>
                <w:lang w:val="en-US" w:eastAsia="zh-CN" w:bidi="ar-SA"/>
              </w:rPr>
            </w:pPr>
            <w:r>
              <w:rPr>
                <w:rFonts w:hint="eastAsia"/>
                <w:sz w:val="21"/>
                <w:szCs w:val="21"/>
              </w:rPr>
              <w:t>台风、风潮等恶劣天气</w:t>
            </w:r>
            <w:r>
              <w:rPr>
                <w:rFonts w:hint="eastAsia"/>
                <w:sz w:val="21"/>
                <w:szCs w:val="21"/>
                <w:lang w:val="en-US" w:eastAsia="zh-CN"/>
              </w:rPr>
              <w:t>期间</w:t>
            </w:r>
            <w:r>
              <w:rPr>
                <w:rFonts w:hint="eastAsia"/>
                <w:sz w:val="21"/>
                <w:szCs w:val="21"/>
                <w:lang w:eastAsia="zh-CN"/>
              </w:rPr>
              <w:t>，</w:t>
            </w:r>
            <w:r>
              <w:rPr>
                <w:rFonts w:hint="eastAsia"/>
                <w:sz w:val="21"/>
                <w:szCs w:val="21"/>
              </w:rPr>
              <w:t>及时劝阻</w:t>
            </w:r>
            <w:r>
              <w:rPr>
                <w:rFonts w:hint="eastAsia"/>
                <w:sz w:val="21"/>
                <w:szCs w:val="21"/>
                <w:lang w:val="en-US" w:eastAsia="zh-CN"/>
              </w:rPr>
              <w:t>群众、游客等</w:t>
            </w:r>
            <w:r>
              <w:rPr>
                <w:rFonts w:hint="eastAsia"/>
                <w:sz w:val="21"/>
                <w:szCs w:val="21"/>
              </w:rPr>
              <w:t>下海</w:t>
            </w:r>
            <w:r>
              <w:rPr>
                <w:rFonts w:hint="eastAsia"/>
                <w:sz w:val="21"/>
                <w:szCs w:val="21"/>
                <w:lang w:val="en-US" w:eastAsia="zh-CN"/>
              </w:rPr>
              <w:t>及</w:t>
            </w:r>
            <w:r>
              <w:rPr>
                <w:rFonts w:hint="eastAsia"/>
                <w:sz w:val="21"/>
                <w:szCs w:val="21"/>
              </w:rPr>
              <w:t>远离海堤。</w:t>
            </w:r>
          </w:p>
        </w:tc>
        <w:tc>
          <w:tcPr>
            <w:tcW w:w="660" w:type="dxa"/>
            <w:noWrap w:val="0"/>
            <w:vAlign w:val="center"/>
          </w:tcPr>
          <w:p w14:paraId="6B020D3E">
            <w:pPr>
              <w:jc w:val="center"/>
              <w:rPr>
                <w:rFonts w:hint="eastAsia" w:eastAsia="宋体"/>
                <w:kern w:val="2"/>
                <w:sz w:val="21"/>
                <w:szCs w:val="21"/>
                <w:lang w:val="en-US" w:eastAsia="zh-CN" w:bidi="ar-SA"/>
              </w:rPr>
            </w:pPr>
            <w:r>
              <w:rPr>
                <w:rFonts w:hint="eastAsia"/>
                <w:sz w:val="21"/>
                <w:szCs w:val="21"/>
                <w:lang w:val="en-US" w:eastAsia="zh-CN"/>
              </w:rPr>
              <w:t>8</w:t>
            </w:r>
          </w:p>
        </w:tc>
        <w:tc>
          <w:tcPr>
            <w:tcW w:w="3050" w:type="dxa"/>
            <w:noWrap w:val="0"/>
            <w:vAlign w:val="center"/>
          </w:tcPr>
          <w:p w14:paraId="449CD259">
            <w:pPr>
              <w:spacing w:line="320" w:lineRule="exact"/>
              <w:ind w:firstLine="315" w:firstLineChars="150"/>
              <w:rPr>
                <w:rFonts w:hint="eastAsia"/>
                <w:kern w:val="2"/>
                <w:sz w:val="21"/>
                <w:szCs w:val="21"/>
                <w:lang w:val="en-US" w:eastAsia="zh-CN" w:bidi="ar-SA"/>
              </w:rPr>
            </w:pPr>
            <w:r>
              <w:rPr>
                <w:sz w:val="21"/>
                <w:szCs w:val="21"/>
              </w:rPr>
              <w:t>未及时劝阻下海人员</w:t>
            </w:r>
            <w:r>
              <w:rPr>
                <w:rFonts w:hint="eastAsia"/>
                <w:sz w:val="21"/>
                <w:szCs w:val="21"/>
              </w:rPr>
              <w:t>，</w:t>
            </w:r>
            <w:r>
              <w:rPr>
                <w:rFonts w:hint="eastAsia"/>
                <w:sz w:val="21"/>
                <w:szCs w:val="21"/>
                <w:lang w:val="en-US" w:eastAsia="zh-CN"/>
              </w:rPr>
              <w:t>被市、镇</w:t>
            </w:r>
            <w:r>
              <w:rPr>
                <w:rFonts w:hint="eastAsia"/>
                <w:sz w:val="21"/>
                <w:szCs w:val="21"/>
              </w:rPr>
              <w:t>政府部门通报，</w:t>
            </w:r>
            <w:r>
              <w:rPr>
                <w:rFonts w:hint="eastAsia"/>
                <w:sz w:val="21"/>
                <w:szCs w:val="21"/>
                <w:lang w:val="en-US" w:eastAsia="zh-CN"/>
              </w:rPr>
              <w:t>每一起分别扣2</w:t>
            </w:r>
            <w:r>
              <w:rPr>
                <w:rFonts w:hint="eastAsia"/>
                <w:sz w:val="21"/>
                <w:szCs w:val="21"/>
              </w:rPr>
              <w:t>分</w:t>
            </w:r>
            <w:r>
              <w:rPr>
                <w:rFonts w:hint="eastAsia"/>
                <w:sz w:val="21"/>
                <w:szCs w:val="21"/>
                <w:lang w:eastAsia="zh-CN"/>
              </w:rPr>
              <w:t>、</w:t>
            </w:r>
            <w:r>
              <w:rPr>
                <w:rFonts w:hint="eastAsia"/>
                <w:sz w:val="21"/>
                <w:szCs w:val="21"/>
                <w:lang w:val="en-US" w:eastAsia="zh-CN"/>
              </w:rPr>
              <w:t>1分</w:t>
            </w:r>
            <w:r>
              <w:rPr>
                <w:rFonts w:hint="eastAsia"/>
                <w:sz w:val="21"/>
                <w:szCs w:val="21"/>
              </w:rPr>
              <w:t>。</w:t>
            </w:r>
          </w:p>
        </w:tc>
        <w:tc>
          <w:tcPr>
            <w:tcW w:w="651" w:type="dxa"/>
            <w:noWrap w:val="0"/>
            <w:vAlign w:val="top"/>
          </w:tcPr>
          <w:p w14:paraId="0B94D88F"/>
        </w:tc>
        <w:tc>
          <w:tcPr>
            <w:tcW w:w="688" w:type="dxa"/>
            <w:vMerge w:val="continue"/>
            <w:noWrap w:val="0"/>
            <w:vAlign w:val="top"/>
          </w:tcPr>
          <w:p w14:paraId="55254498"/>
        </w:tc>
        <w:tc>
          <w:tcPr>
            <w:tcW w:w="615" w:type="dxa"/>
            <w:vMerge w:val="continue"/>
            <w:noWrap w:val="0"/>
            <w:vAlign w:val="top"/>
          </w:tcPr>
          <w:p w14:paraId="55C5DF83"/>
        </w:tc>
      </w:tr>
    </w:tbl>
    <w:p w14:paraId="4DB05AA1">
      <w:pPr>
        <w:keepNext w:val="0"/>
        <w:keepLines w:val="0"/>
        <w:pageBreakBefore w:val="0"/>
        <w:kinsoku/>
        <w:wordWrap/>
        <w:overflowPunct/>
        <w:topLinePunct w:val="0"/>
        <w:autoSpaceDE/>
        <w:autoSpaceDN/>
        <w:bidi w:val="0"/>
        <w:spacing w:line="560" w:lineRule="exact"/>
        <w:ind w:firstLine="562" w:firstLineChars="200"/>
        <w:textAlignment w:val="auto"/>
        <w:rPr>
          <w:rFonts w:hint="eastAsia" w:ascii="宋体" w:hAnsi="宋体" w:eastAsia="宋体" w:cs="宋体"/>
          <w:b/>
          <w:bCs/>
          <w:color w:val="auto"/>
          <w:sz w:val="28"/>
          <w:szCs w:val="28"/>
          <w:highlight w:val="none"/>
          <w:lang w:val="zh-CN" w:eastAsia="zh-CN"/>
        </w:rPr>
      </w:pPr>
    </w:p>
    <w:p w14:paraId="10B588D7">
      <w:pPr>
        <w:widowControl/>
        <w:numPr>
          <w:ilvl w:val="0"/>
          <w:numId w:val="0"/>
        </w:numPr>
        <w:shd w:val="clear" w:color="auto" w:fill="FFFFFF"/>
        <w:tabs>
          <w:tab w:val="left" w:pos="360"/>
        </w:tabs>
        <w:spacing w:line="460" w:lineRule="exact"/>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六、</w:t>
      </w:r>
      <w:r>
        <w:rPr>
          <w:rFonts w:hint="default" w:ascii="宋体" w:hAnsi="宋体" w:eastAsia="宋体" w:cs="宋体"/>
          <w:b/>
          <w:bCs/>
          <w:color w:val="auto"/>
          <w:sz w:val="28"/>
          <w:szCs w:val="28"/>
          <w:highlight w:val="none"/>
          <w:lang w:val="en-US" w:eastAsia="zh-CN"/>
        </w:rPr>
        <w:t>合同解除与终止</w:t>
      </w:r>
    </w:p>
    <w:p w14:paraId="4E956C63">
      <w:pPr>
        <w:spacing w:line="500" w:lineRule="exact"/>
        <w:ind w:firstLine="560"/>
        <w:rPr>
          <w:rFonts w:hint="default" w:asciiTheme="minorEastAsia" w:hAnsiTheme="minorEastAsia" w:eastAsiaTheme="minorEastAsia" w:cstheme="minorEastAsia"/>
          <w:color w:val="auto"/>
          <w:sz w:val="28"/>
          <w:szCs w:val="28"/>
          <w:highlight w:val="none"/>
          <w:lang w:val="en-US" w:eastAsia="zh-CN"/>
        </w:rPr>
      </w:pPr>
      <w:r>
        <w:rPr>
          <w:rFonts w:hint="default" w:asciiTheme="minorEastAsia" w:hAnsiTheme="minorEastAsia" w:eastAsiaTheme="minorEastAsia" w:cstheme="minorEastAsia"/>
          <w:color w:val="auto"/>
          <w:sz w:val="28"/>
          <w:szCs w:val="28"/>
          <w:highlight w:val="none"/>
          <w:lang w:val="en-US" w:eastAsia="zh-CN"/>
        </w:rPr>
        <w:t>中标人有下列情形之一的，采购人有权解除合同：</w:t>
      </w:r>
    </w:p>
    <w:p w14:paraId="1371C219">
      <w:pPr>
        <w:spacing w:line="500" w:lineRule="exact"/>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w:t>
      </w:r>
      <w:r>
        <w:rPr>
          <w:rFonts w:hint="default" w:asciiTheme="minorEastAsia" w:hAnsiTheme="minorEastAsia" w:eastAsiaTheme="minorEastAsia" w:cstheme="minorEastAsia"/>
          <w:color w:val="auto"/>
          <w:sz w:val="28"/>
          <w:szCs w:val="28"/>
          <w:highlight w:val="none"/>
          <w:lang w:val="en-US" w:eastAsia="zh-CN"/>
        </w:rPr>
        <w:t>一个合同期内累计被处罚三次</w:t>
      </w:r>
      <w:r>
        <w:rPr>
          <w:rFonts w:hint="eastAsia" w:asciiTheme="minorEastAsia" w:hAnsiTheme="minorEastAsia" w:eastAsiaTheme="minorEastAsia" w:cstheme="minorEastAsia"/>
          <w:color w:val="auto"/>
          <w:sz w:val="28"/>
          <w:szCs w:val="28"/>
          <w:highlight w:val="none"/>
          <w:lang w:val="en-US" w:eastAsia="zh-CN"/>
        </w:rPr>
        <w:t>（含）</w:t>
      </w:r>
      <w:r>
        <w:rPr>
          <w:rFonts w:hint="default" w:asciiTheme="minorEastAsia" w:hAnsiTheme="minorEastAsia" w:eastAsiaTheme="minorEastAsia" w:cstheme="minorEastAsia"/>
          <w:color w:val="auto"/>
          <w:sz w:val="28"/>
          <w:szCs w:val="28"/>
          <w:highlight w:val="none"/>
          <w:lang w:val="en-US" w:eastAsia="zh-CN"/>
        </w:rPr>
        <w:t>以上的；</w:t>
      </w:r>
    </w:p>
    <w:p w14:paraId="5BE200BF">
      <w:pPr>
        <w:spacing w:line="500" w:lineRule="exact"/>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w:t>
      </w:r>
      <w:r>
        <w:rPr>
          <w:rFonts w:hint="default" w:asciiTheme="minorEastAsia" w:hAnsiTheme="minorEastAsia" w:eastAsiaTheme="minorEastAsia" w:cstheme="minorEastAsia"/>
          <w:color w:val="auto"/>
          <w:sz w:val="28"/>
          <w:szCs w:val="28"/>
          <w:highlight w:val="none"/>
          <w:lang w:val="en-US" w:eastAsia="zh-CN"/>
        </w:rPr>
        <w:t>丧失《劳务派遣经营许可证》或营业执照被吊销的；</w:t>
      </w:r>
    </w:p>
    <w:p w14:paraId="7F6E0824">
      <w:pPr>
        <w:spacing w:line="500" w:lineRule="exact"/>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default" w:asciiTheme="minorEastAsia" w:hAnsiTheme="minorEastAsia" w:eastAsiaTheme="minorEastAsia" w:cstheme="minorEastAsia"/>
          <w:color w:val="auto"/>
          <w:sz w:val="28"/>
          <w:szCs w:val="28"/>
          <w:highlight w:val="none"/>
          <w:lang w:val="en-US" w:eastAsia="zh-CN"/>
        </w:rPr>
        <w:t>严重违反采购人管理规定，造成重大影响的；</w:t>
      </w:r>
    </w:p>
    <w:p w14:paraId="60123BEF">
      <w:pPr>
        <w:spacing w:line="500" w:lineRule="exact"/>
        <w:ind w:firstLine="560"/>
        <w:rPr>
          <w:rFonts w:hint="eastAsia" w:asciiTheme="minorEastAsia" w:hAnsiTheme="minorEastAsia" w:eastAsiaTheme="minorEastAsia" w:cstheme="minorEastAsia"/>
          <w:color w:val="auto"/>
          <w:sz w:val="28"/>
          <w:szCs w:val="28"/>
          <w:highlight w:val="none"/>
          <w:lang w:val="zh-CN" w:eastAsia="zh-CN"/>
        </w:rPr>
      </w:pP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val="zh-CN" w:eastAsia="zh-CN"/>
        </w:rPr>
        <w:t>成交供应商理应按照《中华人民共和国劳动合同法》为所有员工按时发放基本工资（不低于国家政策性规定）、</w:t>
      </w:r>
      <w:r>
        <w:rPr>
          <w:rFonts w:hint="eastAsia" w:asciiTheme="minorEastAsia" w:hAnsiTheme="minorEastAsia" w:eastAsiaTheme="minorEastAsia" w:cstheme="minorEastAsia"/>
          <w:color w:val="auto"/>
          <w:sz w:val="28"/>
          <w:szCs w:val="28"/>
          <w:highlight w:val="none"/>
          <w:lang w:val="en-US" w:eastAsia="zh-CN"/>
        </w:rPr>
        <w:t>足</w:t>
      </w:r>
      <w:r>
        <w:rPr>
          <w:rFonts w:hint="eastAsia" w:asciiTheme="minorEastAsia" w:hAnsiTheme="minorEastAsia" w:eastAsiaTheme="minorEastAsia" w:cstheme="minorEastAsia"/>
          <w:color w:val="auto"/>
          <w:sz w:val="28"/>
          <w:szCs w:val="28"/>
          <w:highlight w:val="none"/>
          <w:lang w:val="zh-CN" w:eastAsia="zh-CN"/>
        </w:rPr>
        <w:t>额缴纳相关</w:t>
      </w:r>
      <w:r>
        <w:rPr>
          <w:rFonts w:hint="eastAsia" w:asciiTheme="minorEastAsia" w:hAnsiTheme="minorEastAsia" w:eastAsiaTheme="minorEastAsia" w:cstheme="minorEastAsia"/>
          <w:color w:val="auto"/>
          <w:sz w:val="28"/>
          <w:szCs w:val="28"/>
          <w:highlight w:val="none"/>
          <w:lang w:val="en-US" w:eastAsia="zh-CN"/>
        </w:rPr>
        <w:t>保险</w:t>
      </w:r>
      <w:r>
        <w:rPr>
          <w:rFonts w:hint="eastAsia" w:asciiTheme="minorEastAsia" w:hAnsiTheme="minorEastAsia" w:eastAsiaTheme="minorEastAsia" w:cstheme="minorEastAsia"/>
          <w:color w:val="auto"/>
          <w:sz w:val="28"/>
          <w:szCs w:val="28"/>
          <w:highlight w:val="none"/>
          <w:lang w:val="zh-CN" w:eastAsia="zh-CN"/>
        </w:rPr>
        <w:t>，因产生劳资纠纷且未能妥善整改解决，直接影响服务质量的；</w:t>
      </w:r>
    </w:p>
    <w:p w14:paraId="56C40549">
      <w:pPr>
        <w:spacing w:line="500" w:lineRule="exact"/>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5.</w:t>
      </w:r>
      <w:r>
        <w:rPr>
          <w:rFonts w:hint="eastAsia" w:asciiTheme="minorEastAsia" w:hAnsiTheme="minorEastAsia" w:eastAsiaTheme="minorEastAsia" w:cstheme="minorEastAsia"/>
          <w:color w:val="auto"/>
          <w:sz w:val="28"/>
          <w:szCs w:val="28"/>
          <w:highlight w:val="none"/>
          <w:lang w:val="zh-CN" w:eastAsia="zh-CN"/>
        </w:rPr>
        <w:t>因管控不力导致下海人员死亡而产生社会和政治影响的；</w:t>
      </w:r>
    </w:p>
    <w:p w14:paraId="3B17FCD3">
      <w:pPr>
        <w:spacing w:line="5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6.</w:t>
      </w:r>
      <w:r>
        <w:rPr>
          <w:rFonts w:hint="default" w:asciiTheme="minorEastAsia" w:hAnsiTheme="minorEastAsia" w:eastAsiaTheme="minorEastAsia" w:cstheme="minorEastAsia"/>
          <w:color w:val="auto"/>
          <w:sz w:val="28"/>
          <w:szCs w:val="28"/>
          <w:highlight w:val="none"/>
          <w:lang w:val="en-US" w:eastAsia="zh-CN"/>
        </w:rPr>
        <w:t>其他严重违约情形。</w:t>
      </w:r>
    </w:p>
    <w:p w14:paraId="5B9D43B9">
      <w:pPr>
        <w:spacing w:line="500" w:lineRule="exact"/>
        <w:ind w:firstLine="56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合同期内，季度考核得分不满80分累计出现两次的，采购人有权不予续签下一年度合同；当年度合同期满后合同终止，采购人不承担违约责任。</w:t>
      </w:r>
    </w:p>
    <w:p w14:paraId="0521E808">
      <w:pPr>
        <w:keepNext w:val="0"/>
        <w:keepLines w:val="0"/>
        <w:pageBreakBefore w:val="0"/>
        <w:kinsoku/>
        <w:wordWrap/>
        <w:overflowPunct/>
        <w:topLinePunct w:val="0"/>
        <w:autoSpaceDE/>
        <w:autoSpaceDN/>
        <w:bidi w:val="0"/>
        <w:spacing w:line="560" w:lineRule="exact"/>
        <w:ind w:firstLine="562" w:firstLineChars="200"/>
        <w:textAlignment w:val="auto"/>
        <w:rPr>
          <w:rFonts w:hint="eastAsia" w:ascii="宋体" w:hAnsi="宋体" w:eastAsia="宋体" w:cs="宋体"/>
          <w:b/>
          <w:bCs/>
          <w:color w:val="auto"/>
          <w:sz w:val="28"/>
          <w:szCs w:val="28"/>
          <w:highlight w:val="none"/>
          <w:lang w:val="zh-CN" w:eastAsia="zh-CN"/>
        </w:rPr>
      </w:pPr>
      <w:r>
        <w:rPr>
          <w:rFonts w:hint="eastAsia" w:ascii="宋体" w:hAnsi="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lang w:val="en-US" w:eastAsia="zh-CN"/>
        </w:rPr>
        <w:t>、</w:t>
      </w:r>
      <w:r>
        <w:rPr>
          <w:rFonts w:hint="eastAsia" w:ascii="宋体" w:hAnsi="宋体" w:eastAsia="宋体" w:cs="宋体"/>
          <w:b/>
          <w:bCs/>
          <w:color w:val="auto"/>
          <w:sz w:val="28"/>
          <w:szCs w:val="28"/>
          <w:highlight w:val="none"/>
          <w:lang w:val="zh-CN" w:eastAsia="zh-CN"/>
        </w:rPr>
        <w:t>报价要求</w:t>
      </w:r>
    </w:p>
    <w:p w14:paraId="358A90E3">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heme="minorEastAsia" w:hAnsiTheme="minorEastAsia" w:eastAsiaTheme="minorEastAsia" w:cstheme="minorEastAsia"/>
          <w:color w:val="auto"/>
          <w:kern w:val="2"/>
          <w:sz w:val="28"/>
          <w:szCs w:val="28"/>
          <w:highlight w:val="none"/>
          <w:lang w:val="en-US" w:eastAsia="zh-CN" w:bidi="ar-SA"/>
        </w:rPr>
      </w:pPr>
      <w:r>
        <w:rPr>
          <w:rFonts w:hint="eastAsia" w:asciiTheme="minorEastAsia" w:hAnsiTheme="minorEastAsia" w:eastAsiaTheme="minorEastAsia" w:cstheme="minorEastAsia"/>
          <w:color w:val="auto"/>
          <w:kern w:val="2"/>
          <w:sz w:val="28"/>
          <w:szCs w:val="28"/>
          <w:highlight w:val="none"/>
          <w:lang w:val="zh-CN" w:eastAsia="zh-CN" w:bidi="ar-SA"/>
        </w:rPr>
        <w:t>本项目为固定总价</w:t>
      </w:r>
      <w:r>
        <w:rPr>
          <w:rFonts w:hint="eastAsia" w:asciiTheme="minorEastAsia" w:hAnsiTheme="minorEastAsia" w:eastAsiaTheme="minorEastAsia" w:cstheme="minorEastAsia"/>
          <w:color w:val="auto"/>
          <w:kern w:val="2"/>
          <w:sz w:val="28"/>
          <w:szCs w:val="28"/>
          <w:highlight w:val="none"/>
          <w:lang w:val="en-US" w:eastAsia="zh-CN" w:bidi="ar-SA"/>
        </w:rPr>
        <w:t>报价</w:t>
      </w:r>
      <w:r>
        <w:rPr>
          <w:rFonts w:hint="eastAsia" w:asciiTheme="minorEastAsia" w:hAnsiTheme="minorEastAsia" w:eastAsiaTheme="minorEastAsia" w:cstheme="minorEastAsia"/>
          <w:color w:val="auto"/>
          <w:kern w:val="2"/>
          <w:sz w:val="28"/>
          <w:szCs w:val="28"/>
          <w:highlight w:val="none"/>
          <w:lang w:val="zh-CN" w:eastAsia="zh-CN" w:bidi="ar-SA"/>
        </w:rPr>
        <w:t>。</w:t>
      </w:r>
      <w:r>
        <w:rPr>
          <w:rFonts w:hint="eastAsia" w:asciiTheme="minorEastAsia" w:hAnsiTheme="minorEastAsia" w:eastAsiaTheme="minorEastAsia" w:cstheme="minorEastAsia"/>
          <w:color w:val="auto"/>
          <w:kern w:val="2"/>
          <w:sz w:val="28"/>
          <w:szCs w:val="28"/>
          <w:highlight w:val="none"/>
          <w:lang w:val="en-US" w:eastAsia="zh-CN" w:bidi="ar-SA"/>
        </w:rPr>
        <w:t>报价</w:t>
      </w:r>
      <w:r>
        <w:rPr>
          <w:rFonts w:hint="eastAsia" w:asciiTheme="minorEastAsia" w:hAnsiTheme="minorEastAsia" w:eastAsiaTheme="minorEastAsia" w:cstheme="minorEastAsia"/>
          <w:color w:val="auto"/>
          <w:kern w:val="2"/>
          <w:sz w:val="28"/>
          <w:szCs w:val="28"/>
          <w:highlight w:val="none"/>
          <w:lang w:val="zh-CN" w:eastAsia="zh-CN" w:bidi="ar-SA"/>
        </w:rPr>
        <w:t>应包括在服务期内完成服务内容所需要的一切费用，</w:t>
      </w:r>
      <w:r>
        <w:rPr>
          <w:rFonts w:hint="eastAsia" w:asciiTheme="minorEastAsia" w:hAnsiTheme="minorEastAsia" w:eastAsiaTheme="minorEastAsia" w:cstheme="minorEastAsia"/>
          <w:b/>
          <w:bCs/>
          <w:color w:val="auto"/>
          <w:kern w:val="2"/>
          <w:sz w:val="28"/>
          <w:szCs w:val="28"/>
          <w:highlight w:val="none"/>
          <w:lang w:val="zh-CN" w:eastAsia="zh-CN" w:bidi="ar-SA"/>
        </w:rPr>
        <w:t>包括</w:t>
      </w:r>
      <w:r>
        <w:rPr>
          <w:rFonts w:hint="eastAsia" w:asciiTheme="minorEastAsia" w:hAnsiTheme="minorEastAsia" w:eastAsiaTheme="minorEastAsia" w:cstheme="minorEastAsia"/>
          <w:b/>
          <w:bCs/>
          <w:color w:val="auto"/>
          <w:kern w:val="2"/>
          <w:sz w:val="28"/>
          <w:szCs w:val="28"/>
          <w:highlight w:val="none"/>
          <w:lang w:val="en-US" w:eastAsia="zh-CN" w:bidi="ar-SA"/>
        </w:rPr>
        <w:t>（但不限于）人工</w:t>
      </w:r>
      <w:r>
        <w:rPr>
          <w:rFonts w:hint="eastAsia" w:asciiTheme="minorEastAsia" w:hAnsiTheme="minorEastAsia" w:eastAsiaTheme="minorEastAsia" w:cstheme="minorEastAsia"/>
          <w:b/>
          <w:bCs/>
          <w:color w:val="auto"/>
          <w:kern w:val="2"/>
          <w:sz w:val="28"/>
          <w:szCs w:val="28"/>
          <w:highlight w:val="none"/>
          <w:lang w:val="zh-CN" w:eastAsia="zh-CN" w:bidi="ar-SA"/>
        </w:rPr>
        <w:t>工资</w:t>
      </w:r>
      <w:r>
        <w:rPr>
          <w:rFonts w:hint="eastAsia" w:asciiTheme="minorEastAsia" w:hAnsiTheme="minorEastAsia" w:eastAsiaTheme="minorEastAsia" w:cstheme="minorEastAsia"/>
          <w:b/>
          <w:bCs/>
          <w:color w:val="auto"/>
          <w:kern w:val="2"/>
          <w:sz w:val="28"/>
          <w:szCs w:val="28"/>
          <w:highlight w:val="none"/>
          <w:lang w:val="en-US" w:eastAsia="zh-CN" w:bidi="ar-SA"/>
        </w:rPr>
        <w:t>及社会保险</w:t>
      </w:r>
      <w:r>
        <w:rPr>
          <w:rFonts w:hint="eastAsia" w:asciiTheme="minorEastAsia" w:hAnsiTheme="minorEastAsia" w:eastAsiaTheme="minorEastAsia" w:cstheme="minorEastAsia"/>
          <w:b/>
          <w:bCs/>
          <w:color w:val="auto"/>
          <w:kern w:val="2"/>
          <w:sz w:val="28"/>
          <w:szCs w:val="28"/>
          <w:highlight w:val="none"/>
          <w:lang w:val="zh-CN" w:eastAsia="zh-CN" w:bidi="ar-SA"/>
        </w:rPr>
        <w:t>（不得低于启东市最低工资标准，</w:t>
      </w:r>
      <w:r>
        <w:rPr>
          <w:rFonts w:hint="eastAsia" w:asciiTheme="minorEastAsia" w:hAnsiTheme="minorEastAsia" w:eastAsiaTheme="minorEastAsia" w:cstheme="minorEastAsia"/>
          <w:b/>
          <w:bCs/>
          <w:color w:val="auto"/>
          <w:kern w:val="2"/>
          <w:sz w:val="28"/>
          <w:szCs w:val="28"/>
          <w:highlight w:val="none"/>
          <w:lang w:val="en-US" w:eastAsia="zh-CN" w:bidi="ar-SA"/>
        </w:rPr>
        <w:t>且必须缴纳社会保险</w:t>
      </w:r>
      <w:r>
        <w:rPr>
          <w:rFonts w:hint="eastAsia" w:asciiTheme="minorEastAsia" w:hAnsiTheme="minorEastAsia" w:eastAsiaTheme="minorEastAsia" w:cstheme="minorEastAsia"/>
          <w:b/>
          <w:bCs/>
          <w:color w:val="auto"/>
          <w:kern w:val="2"/>
          <w:sz w:val="28"/>
          <w:szCs w:val="28"/>
          <w:highlight w:val="none"/>
          <w:lang w:val="zh-CN" w:eastAsia="zh-CN" w:bidi="ar-SA"/>
        </w:rPr>
        <w:t>）</w:t>
      </w:r>
      <w:r>
        <w:rPr>
          <w:rFonts w:hint="eastAsia" w:asciiTheme="minorEastAsia" w:hAnsiTheme="minorEastAsia" w:eastAsiaTheme="minorEastAsia" w:cstheme="minorEastAsia"/>
          <w:color w:val="auto"/>
          <w:kern w:val="2"/>
          <w:sz w:val="28"/>
          <w:szCs w:val="28"/>
          <w:highlight w:val="none"/>
          <w:lang w:val="zh-CN" w:eastAsia="zh-CN" w:bidi="ar-SA"/>
        </w:rPr>
        <w:t>、</w:t>
      </w:r>
      <w:r>
        <w:rPr>
          <w:rFonts w:hint="eastAsia" w:asciiTheme="minorEastAsia" w:hAnsiTheme="minorEastAsia" w:eastAsiaTheme="minorEastAsia" w:cstheme="minorEastAsia"/>
          <w:color w:val="auto"/>
          <w:kern w:val="2"/>
          <w:sz w:val="28"/>
          <w:szCs w:val="28"/>
          <w:highlight w:val="none"/>
          <w:lang w:val="en-US" w:eastAsia="zh-CN" w:bidi="ar-SA"/>
        </w:rPr>
        <w:t>耗材、工具、培训费、服装、</w:t>
      </w:r>
      <w:r>
        <w:rPr>
          <w:rFonts w:hint="eastAsia" w:asciiTheme="minorEastAsia" w:hAnsiTheme="minorEastAsia" w:eastAsiaTheme="minorEastAsia" w:cstheme="minorEastAsia"/>
          <w:color w:val="auto"/>
          <w:kern w:val="2"/>
          <w:sz w:val="28"/>
          <w:szCs w:val="28"/>
          <w:highlight w:val="none"/>
          <w:lang w:val="zh-CN" w:eastAsia="zh-CN" w:bidi="ar-SA"/>
        </w:rPr>
        <w:t>高温费、</w:t>
      </w:r>
      <w:r>
        <w:rPr>
          <w:rFonts w:hint="eastAsia" w:asciiTheme="minorEastAsia" w:hAnsiTheme="minorEastAsia" w:eastAsiaTheme="minorEastAsia" w:cstheme="minorEastAsia"/>
          <w:color w:val="auto"/>
          <w:kern w:val="2"/>
          <w:sz w:val="28"/>
          <w:szCs w:val="28"/>
          <w:highlight w:val="none"/>
          <w:lang w:val="en-US" w:eastAsia="zh-CN" w:bidi="ar-SA"/>
        </w:rPr>
        <w:t>加班费、交通费、通讯费、管理费、税金、招标代理费</w:t>
      </w:r>
      <w:r>
        <w:rPr>
          <w:rFonts w:hint="eastAsia" w:asciiTheme="minorEastAsia" w:hAnsiTheme="minorEastAsia" w:eastAsiaTheme="minorEastAsia" w:cstheme="minorEastAsia"/>
          <w:b/>
          <w:bCs/>
          <w:color w:val="auto"/>
          <w:kern w:val="2"/>
          <w:sz w:val="28"/>
          <w:szCs w:val="28"/>
          <w:highlight w:val="none"/>
          <w:lang w:val="en-US" w:eastAsia="zh-CN" w:bidi="ar-SA"/>
        </w:rPr>
        <w:t>（计费标准为：以中标金额为基数，按国家计委《招标代理服务收费管理暂行办法》【计价格（2002）1980号】规定的收费标准×70%计算）</w:t>
      </w:r>
      <w:r>
        <w:rPr>
          <w:rFonts w:hint="eastAsia" w:asciiTheme="minorEastAsia" w:hAnsiTheme="minorEastAsia" w:eastAsiaTheme="minorEastAsia" w:cstheme="minorEastAsia"/>
          <w:color w:val="auto"/>
          <w:kern w:val="2"/>
          <w:sz w:val="28"/>
          <w:szCs w:val="28"/>
          <w:highlight w:val="none"/>
          <w:lang w:val="en-US" w:eastAsia="zh-CN" w:bidi="ar-SA"/>
        </w:rPr>
        <w:t>及相关费用等一切费用，供应商报价时应充分考虑现场环境以及国家政策性调整等风险因素。</w:t>
      </w:r>
    </w:p>
    <w:p w14:paraId="1427A772">
      <w:pPr>
        <w:spacing w:line="500" w:lineRule="exact"/>
        <w:ind w:firstLine="560"/>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本项目的招标代理费及相关费用等一切费用由成交供应商在领取中标通知书前支付，此费用由供应商综合考虑在报价中，不单独立项。</w:t>
      </w:r>
    </w:p>
    <w:p w14:paraId="772FA381">
      <w:pPr>
        <w:adjustRightInd w:val="0"/>
        <w:snapToGrid w:val="0"/>
        <w:spacing w:line="500" w:lineRule="exact"/>
        <w:ind w:firstLine="562"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八</w:t>
      </w:r>
      <w:r>
        <w:rPr>
          <w:rFonts w:hint="eastAsia" w:asciiTheme="minorEastAsia" w:hAnsiTheme="minorEastAsia" w:eastAsiaTheme="minorEastAsia" w:cstheme="minorEastAsia"/>
          <w:b/>
          <w:bCs/>
          <w:color w:val="auto"/>
          <w:sz w:val="28"/>
          <w:szCs w:val="28"/>
          <w:highlight w:val="none"/>
        </w:rPr>
        <w:t>、采购标的的其他技术、服务等要求</w:t>
      </w:r>
    </w:p>
    <w:p w14:paraId="79A0864B">
      <w:pPr>
        <w:spacing w:line="5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1E4CE3F5">
      <w:pPr>
        <w:spacing w:line="500" w:lineRule="exact"/>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品目清单见《关于印发环境标志产品政府采购品目清单的通知》（财库〔2019〕18号）、《关于印发节能产品政府采购品目清单的通知》（财库〔2019〕19号）。</w:t>
      </w:r>
    </w:p>
    <w:p w14:paraId="06D1F976">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需求标准见《商品包装政府采购需求标准（试行）》《快递包装政府采购需求标准（试行）》（财办库〔2020〕123号）、《绿色数据中心政府采购需求标准（试行）》（财库〔2023〕7号）。</w:t>
      </w:r>
    </w:p>
    <w:p w14:paraId="2C33FBE4">
      <w:pPr>
        <w:adjustRightInd w:val="0"/>
        <w:snapToGrid w:val="0"/>
        <w:spacing w:line="500" w:lineRule="exact"/>
        <w:ind w:firstLine="562"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九</w:t>
      </w:r>
      <w:r>
        <w:rPr>
          <w:rFonts w:hint="eastAsia" w:asciiTheme="minorEastAsia" w:hAnsiTheme="minorEastAsia" w:eastAsiaTheme="minorEastAsia" w:cstheme="minorEastAsia"/>
          <w:b/>
          <w:bCs/>
          <w:color w:val="auto"/>
          <w:sz w:val="28"/>
          <w:szCs w:val="28"/>
          <w:highlight w:val="none"/>
        </w:rPr>
        <w:t>、付款方式</w:t>
      </w:r>
    </w:p>
    <w:p w14:paraId="581AD086">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lang w:val="zh-CN" w:eastAsia="zh-CN"/>
        </w:rPr>
      </w:pPr>
      <w:r>
        <w:rPr>
          <w:rFonts w:hint="eastAsia" w:asciiTheme="minorEastAsia" w:hAnsiTheme="minorEastAsia" w:eastAsiaTheme="minorEastAsia" w:cstheme="minorEastAsia"/>
          <w:color w:val="auto"/>
          <w:sz w:val="28"/>
          <w:szCs w:val="28"/>
          <w:highlight w:val="none"/>
          <w:lang w:val="zh-CN" w:eastAsia="zh-CN"/>
        </w:rPr>
        <w:t>政府财政拨款，服务费按季度拨付。政府主管部门按照本办法组织对沿海安全巡逻队伍进行季度考核，考核采取百分制，考核得分与服务费拨付挂钩，具体如下：</w:t>
      </w:r>
    </w:p>
    <w:p w14:paraId="612FDDB4">
      <w:pPr>
        <w:adjustRightInd w:val="0"/>
        <w:snapToGrid w:val="0"/>
        <w:spacing w:line="500" w:lineRule="exact"/>
        <w:ind w:firstLine="560" w:firstLineChars="200"/>
        <w:rPr>
          <w:rFonts w:hint="default" w:asciiTheme="minorEastAsia" w:hAnsiTheme="minorEastAsia" w:eastAsiaTheme="minorEastAsia" w:cstheme="minorEastAsia"/>
          <w:color w:val="auto"/>
          <w:sz w:val="28"/>
          <w:szCs w:val="28"/>
          <w:highlight w:val="none"/>
          <w:lang w:val="zh-CN" w:eastAsia="zh-CN"/>
        </w:rPr>
      </w:pPr>
      <w:r>
        <w:rPr>
          <w:rFonts w:hint="eastAsia" w:asciiTheme="minorEastAsia" w:hAnsiTheme="minorEastAsia" w:eastAsiaTheme="minorEastAsia" w:cstheme="minorEastAsia"/>
          <w:color w:val="auto"/>
          <w:sz w:val="28"/>
          <w:szCs w:val="28"/>
          <w:highlight w:val="none"/>
          <w:lang w:val="zh-CN" w:eastAsia="zh-CN"/>
        </w:rPr>
        <w:t>（</w:t>
      </w:r>
      <w:r>
        <w:rPr>
          <w:rFonts w:hint="eastAsia" w:asciiTheme="minorEastAsia" w:hAnsiTheme="minorEastAsia" w:eastAsiaTheme="minorEastAsia" w:cstheme="minorEastAsia"/>
          <w:color w:val="auto"/>
          <w:sz w:val="28"/>
          <w:szCs w:val="28"/>
          <w:highlight w:val="none"/>
          <w:lang w:val="en-US" w:eastAsia="zh-CN"/>
        </w:rPr>
        <w:t>一</w:t>
      </w:r>
      <w:r>
        <w:rPr>
          <w:rFonts w:hint="eastAsia" w:asciiTheme="minorEastAsia" w:hAnsiTheme="minorEastAsia" w:eastAsiaTheme="minorEastAsia" w:cstheme="minorEastAsia"/>
          <w:color w:val="auto"/>
          <w:sz w:val="28"/>
          <w:szCs w:val="28"/>
          <w:highlight w:val="none"/>
          <w:lang w:val="zh-CN" w:eastAsia="zh-CN"/>
        </w:rPr>
        <w:t>）</w:t>
      </w:r>
      <w:r>
        <w:rPr>
          <w:rFonts w:hint="default" w:asciiTheme="minorEastAsia" w:hAnsiTheme="minorEastAsia" w:eastAsiaTheme="minorEastAsia" w:cstheme="minorEastAsia"/>
          <w:color w:val="auto"/>
          <w:sz w:val="28"/>
          <w:szCs w:val="28"/>
          <w:highlight w:val="none"/>
          <w:lang w:val="zh-CN" w:eastAsia="zh-CN"/>
        </w:rPr>
        <w:t>考核得分90分（不含）以上的，全额支付当季服务费；</w:t>
      </w:r>
    </w:p>
    <w:p w14:paraId="02E797CE">
      <w:pPr>
        <w:adjustRightInd w:val="0"/>
        <w:snapToGrid w:val="0"/>
        <w:spacing w:line="500" w:lineRule="exact"/>
        <w:ind w:firstLine="560" w:firstLineChars="200"/>
        <w:rPr>
          <w:rFonts w:hint="default" w:asciiTheme="minorEastAsia" w:hAnsiTheme="minorEastAsia" w:eastAsiaTheme="minorEastAsia" w:cstheme="minorEastAsia"/>
          <w:color w:val="auto"/>
          <w:sz w:val="28"/>
          <w:szCs w:val="28"/>
          <w:highlight w:val="none"/>
          <w:lang w:val="zh-CN" w:eastAsia="zh-CN"/>
        </w:rPr>
      </w:pPr>
      <w:r>
        <w:rPr>
          <w:rFonts w:hint="eastAsia" w:asciiTheme="minorEastAsia" w:hAnsiTheme="minorEastAsia" w:eastAsiaTheme="minorEastAsia" w:cstheme="minorEastAsia"/>
          <w:color w:val="auto"/>
          <w:sz w:val="28"/>
          <w:szCs w:val="28"/>
          <w:highlight w:val="none"/>
          <w:lang w:val="zh-CN" w:eastAsia="zh-CN"/>
        </w:rPr>
        <w:t>（</w:t>
      </w:r>
      <w:r>
        <w:rPr>
          <w:rFonts w:hint="eastAsia" w:asciiTheme="minorEastAsia" w:hAnsiTheme="minorEastAsia" w:eastAsiaTheme="minorEastAsia" w:cstheme="minorEastAsia"/>
          <w:color w:val="auto"/>
          <w:sz w:val="28"/>
          <w:szCs w:val="28"/>
          <w:highlight w:val="none"/>
          <w:lang w:val="en-US" w:eastAsia="zh-CN"/>
        </w:rPr>
        <w:t>二</w:t>
      </w:r>
      <w:r>
        <w:rPr>
          <w:rFonts w:hint="eastAsia" w:asciiTheme="minorEastAsia" w:hAnsiTheme="minorEastAsia" w:eastAsiaTheme="minorEastAsia" w:cstheme="minorEastAsia"/>
          <w:color w:val="auto"/>
          <w:sz w:val="28"/>
          <w:szCs w:val="28"/>
          <w:highlight w:val="none"/>
          <w:lang w:val="zh-CN" w:eastAsia="zh-CN"/>
        </w:rPr>
        <w:t>）</w:t>
      </w:r>
      <w:r>
        <w:rPr>
          <w:rFonts w:hint="default" w:asciiTheme="minorEastAsia" w:hAnsiTheme="minorEastAsia" w:eastAsiaTheme="minorEastAsia" w:cstheme="minorEastAsia"/>
          <w:color w:val="auto"/>
          <w:sz w:val="28"/>
          <w:szCs w:val="28"/>
          <w:highlight w:val="none"/>
          <w:lang w:val="zh-CN" w:eastAsia="zh-CN"/>
        </w:rPr>
        <w:t>考核得分80分（含）至90分（含）的，当季服务费按季度考核得分率发放，计算公式为：当季实付服务费＝当季服务费×（季度考核得分÷100）；</w:t>
      </w:r>
    </w:p>
    <w:p w14:paraId="5960B3E9">
      <w:pPr>
        <w:adjustRightInd w:val="0"/>
        <w:snapToGrid w:val="0"/>
        <w:spacing w:line="500" w:lineRule="exact"/>
        <w:ind w:firstLine="560" w:firstLineChars="200"/>
        <w:rPr>
          <w:rFonts w:hint="default" w:asciiTheme="minorEastAsia" w:hAnsiTheme="minorEastAsia" w:eastAsiaTheme="minorEastAsia" w:cstheme="minorEastAsia"/>
          <w:color w:val="auto"/>
          <w:sz w:val="28"/>
          <w:szCs w:val="28"/>
          <w:highlight w:val="none"/>
          <w:lang w:val="zh-CN" w:eastAsia="zh-CN"/>
        </w:rPr>
      </w:pPr>
      <w:r>
        <w:rPr>
          <w:rFonts w:hint="eastAsia" w:asciiTheme="minorEastAsia" w:hAnsiTheme="minorEastAsia" w:eastAsiaTheme="minorEastAsia" w:cstheme="minorEastAsia"/>
          <w:color w:val="auto"/>
          <w:sz w:val="28"/>
          <w:szCs w:val="28"/>
          <w:highlight w:val="none"/>
          <w:lang w:val="zh-CN" w:eastAsia="zh-CN"/>
        </w:rPr>
        <w:t>（</w:t>
      </w:r>
      <w:r>
        <w:rPr>
          <w:rFonts w:hint="eastAsia" w:asciiTheme="minorEastAsia" w:hAnsiTheme="minorEastAsia" w:eastAsiaTheme="minorEastAsia" w:cstheme="minorEastAsia"/>
          <w:color w:val="auto"/>
          <w:sz w:val="28"/>
          <w:szCs w:val="28"/>
          <w:highlight w:val="none"/>
          <w:lang w:val="en-US" w:eastAsia="zh-CN"/>
        </w:rPr>
        <w:t>三</w:t>
      </w:r>
      <w:r>
        <w:rPr>
          <w:rFonts w:hint="eastAsia" w:asciiTheme="minorEastAsia" w:hAnsiTheme="minorEastAsia" w:eastAsiaTheme="minorEastAsia" w:cstheme="minorEastAsia"/>
          <w:color w:val="auto"/>
          <w:sz w:val="28"/>
          <w:szCs w:val="28"/>
          <w:highlight w:val="none"/>
          <w:lang w:val="zh-CN" w:eastAsia="zh-CN"/>
        </w:rPr>
        <w:t>）</w:t>
      </w:r>
      <w:r>
        <w:rPr>
          <w:rFonts w:hint="default" w:asciiTheme="minorEastAsia" w:hAnsiTheme="minorEastAsia" w:eastAsiaTheme="minorEastAsia" w:cstheme="minorEastAsia"/>
          <w:color w:val="auto"/>
          <w:sz w:val="28"/>
          <w:szCs w:val="28"/>
          <w:highlight w:val="none"/>
          <w:lang w:val="zh-CN" w:eastAsia="zh-CN"/>
        </w:rPr>
        <w:t>考核得分不满80分的，当季服务费按得分率的50%发放，计算公式为：当季实付服务费＝当季服务费×（季度考核得分÷100×50%）。</w:t>
      </w:r>
    </w:p>
    <w:p w14:paraId="624A9D86">
      <w:pPr>
        <w:adjustRightInd w:val="0"/>
        <w:snapToGrid w:val="0"/>
        <w:spacing w:line="500" w:lineRule="exact"/>
        <w:ind w:firstLine="560" w:firstLineChars="200"/>
        <w:rPr>
          <w:rFonts w:hint="default" w:asciiTheme="minorEastAsia" w:hAnsiTheme="minorEastAsia" w:eastAsiaTheme="minorEastAsia" w:cstheme="minorEastAsia"/>
          <w:color w:val="auto"/>
          <w:sz w:val="28"/>
          <w:szCs w:val="28"/>
          <w:highlight w:val="none"/>
          <w:lang w:val="zh-CN" w:eastAsia="zh-CN"/>
        </w:rPr>
      </w:pPr>
      <w:r>
        <w:rPr>
          <w:rFonts w:hint="eastAsia" w:asciiTheme="minorEastAsia" w:hAnsiTheme="minorEastAsia" w:eastAsiaTheme="minorEastAsia" w:cstheme="minorEastAsia"/>
          <w:color w:val="auto"/>
          <w:sz w:val="28"/>
          <w:szCs w:val="28"/>
          <w:highlight w:val="none"/>
          <w:lang w:val="zh-CN" w:eastAsia="zh-CN"/>
        </w:rPr>
        <w:t>考核办法奖励④的奖金随当季服务费一并支付；处罚⑤的罚款从当季服务费中抵扣，当季服务费不足抵扣的，从履约保证金中扣除，不足部分由成交供应商补足。</w:t>
      </w:r>
    </w:p>
    <w:p w14:paraId="4BADA9F0">
      <w:pPr>
        <w:adjustRightInd w:val="0"/>
        <w:snapToGrid w:val="0"/>
        <w:spacing w:line="500" w:lineRule="exact"/>
        <w:ind w:firstLine="562"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十</w:t>
      </w:r>
      <w:r>
        <w:rPr>
          <w:rFonts w:hint="eastAsia" w:asciiTheme="minorEastAsia" w:hAnsiTheme="minorEastAsia" w:eastAsiaTheme="minorEastAsia" w:cstheme="minorEastAsia"/>
          <w:b/>
          <w:bCs/>
          <w:color w:val="auto"/>
          <w:sz w:val="28"/>
          <w:szCs w:val="28"/>
          <w:highlight w:val="none"/>
        </w:rPr>
        <w:t>、履约保证金</w:t>
      </w:r>
    </w:p>
    <w:p w14:paraId="29B386E6">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一致，则视为自动放弃成交资格。</w:t>
      </w:r>
    </w:p>
    <w:p w14:paraId="299BB3DC">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2.成交供应商全部履约合同义务，经采购单位验收合格无质量、进度等问题的，采购人在验收合格后一次性无息退还履约保证金，采购人若逾期退还履约保证金的，按照逾期部分的每日0.05%支付违约金。</w:t>
      </w:r>
    </w:p>
    <w:p w14:paraId="57794EAF">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3.发生以下情况的，履约保证金不予退还或部分退还：</w:t>
      </w:r>
    </w:p>
    <w:p w14:paraId="6FCA6017">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a.签订合同后，成交供应商不履行合同义务的，采购单位有权全额扣除履约保证金，全额不予退还，同时采购单位亦有权终止合同，成交供应商还须承担相应的法律赔偿责任。</w:t>
      </w:r>
    </w:p>
    <w:p w14:paraId="2FFAA920">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b.成交供应商在履约过程中发生违约行为，给采购单位造成损失的，采购单位有权在成交供应商缴纳的履约保证金中予以扣款，以弥补采购单位经济损失，不足的部分成交供应商另外补齐。</w:t>
      </w:r>
    </w:p>
    <w:p w14:paraId="3E36EA8C">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4E77B2F">
      <w:pPr>
        <w:adjustRightInd w:val="0"/>
        <w:snapToGrid w:val="0"/>
        <w:spacing w:line="500" w:lineRule="exact"/>
        <w:ind w:firstLine="562" w:firstLineChars="200"/>
        <w:rPr>
          <w:rFonts w:hint="eastAsia" w:asciiTheme="minorEastAsia" w:hAnsiTheme="minorEastAsia" w:eastAsiaTheme="minorEastAsia" w:cstheme="minorEastAsia"/>
          <w:b/>
          <w:bCs w:val="0"/>
          <w:color w:val="auto"/>
          <w:sz w:val="28"/>
          <w:szCs w:val="28"/>
          <w:highlight w:val="none"/>
          <w:lang w:eastAsia="zh-CN"/>
        </w:rPr>
      </w:pPr>
      <w:r>
        <w:rPr>
          <w:rFonts w:hint="eastAsia" w:asciiTheme="minorEastAsia" w:hAnsiTheme="minorEastAsia" w:eastAsiaTheme="minorEastAsia" w:cstheme="minorEastAsia"/>
          <w:b/>
          <w:bCs w:val="0"/>
          <w:color w:val="auto"/>
          <w:sz w:val="28"/>
          <w:szCs w:val="28"/>
          <w:highlight w:val="none"/>
          <w:lang w:val="en-US" w:eastAsia="zh-CN"/>
        </w:rPr>
        <w:t>十一</w:t>
      </w:r>
      <w:r>
        <w:rPr>
          <w:rFonts w:hint="eastAsia" w:asciiTheme="minorEastAsia" w:hAnsiTheme="minorEastAsia" w:eastAsiaTheme="minorEastAsia" w:cstheme="minorEastAsia"/>
          <w:b/>
          <w:bCs w:val="0"/>
          <w:color w:val="auto"/>
          <w:sz w:val="28"/>
          <w:szCs w:val="28"/>
          <w:highlight w:val="none"/>
        </w:rPr>
        <w:t>、本项目（不接受）进口产品参与</w:t>
      </w:r>
      <w:r>
        <w:rPr>
          <w:rFonts w:hint="eastAsia" w:asciiTheme="minorEastAsia" w:hAnsiTheme="minorEastAsia" w:eastAsiaTheme="minorEastAsia" w:cstheme="minorEastAsia"/>
          <w:b/>
          <w:bCs w:val="0"/>
          <w:color w:val="auto"/>
          <w:sz w:val="28"/>
          <w:szCs w:val="28"/>
          <w:highlight w:val="none"/>
          <w:lang w:eastAsia="zh-CN"/>
        </w:rPr>
        <w:t>。</w:t>
      </w:r>
    </w:p>
    <w:p w14:paraId="2E8DB1A6">
      <w:pPr>
        <w:adjustRightInd w:val="0"/>
        <w:snapToGrid w:val="0"/>
        <w:spacing w:line="500" w:lineRule="exact"/>
        <w:ind w:firstLine="562" w:firstLineChars="200"/>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val="en-US" w:eastAsia="zh-CN"/>
        </w:rPr>
        <w:t>十二</w:t>
      </w:r>
      <w:r>
        <w:rPr>
          <w:rFonts w:hint="eastAsia" w:asciiTheme="minorEastAsia" w:hAnsiTheme="minorEastAsia" w:eastAsiaTheme="minorEastAsia" w:cstheme="minorEastAsia"/>
          <w:b/>
          <w:bCs w:val="0"/>
          <w:color w:val="auto"/>
          <w:sz w:val="28"/>
          <w:szCs w:val="28"/>
          <w:highlight w:val="none"/>
        </w:rPr>
        <w:t>、合同条款</w:t>
      </w:r>
    </w:p>
    <w:p w14:paraId="7228DC78">
      <w:pPr>
        <w:spacing w:line="480" w:lineRule="exact"/>
        <w:ind w:firstLine="0" w:firstLineChars="0"/>
        <w:rPr>
          <w:rFonts w:ascii="宋体" w:hAnsi="宋体" w:eastAsia="宋体" w:cs="Times New Roman"/>
          <w:b/>
          <w:sz w:val="24"/>
          <w:szCs w:val="24"/>
        </w:rPr>
      </w:pPr>
      <w:r>
        <w:rPr>
          <w:rFonts w:hint="eastAsia" w:ascii="宋体" w:hAnsi="宋体" w:eastAsia="宋体" w:cs="Times New Roman"/>
          <w:b/>
          <w:sz w:val="24"/>
          <w:szCs w:val="24"/>
        </w:rPr>
        <w:t>甲方：</w:t>
      </w:r>
      <w:r>
        <w:rPr>
          <w:rFonts w:hint="eastAsia" w:ascii="宋体" w:hAnsi="宋体" w:eastAsia="宋体" w:cs="Times New Roman"/>
          <w:b/>
          <w:sz w:val="24"/>
          <w:szCs w:val="24"/>
          <w:u w:val="single"/>
        </w:rPr>
        <w:t xml:space="preserve">启东市吕四港镇人民政府   </w:t>
      </w:r>
    </w:p>
    <w:p w14:paraId="18986418">
      <w:pPr>
        <w:spacing w:line="480" w:lineRule="exact"/>
        <w:ind w:firstLine="0" w:firstLineChars="0"/>
        <w:rPr>
          <w:rFonts w:ascii="宋体" w:hAnsi="宋体" w:eastAsia="宋体" w:cs="Times New Roman"/>
          <w:b/>
          <w:sz w:val="24"/>
          <w:szCs w:val="24"/>
          <w:u w:val="single"/>
        </w:rPr>
      </w:pPr>
      <w:r>
        <w:rPr>
          <w:rFonts w:hint="eastAsia" w:ascii="宋体" w:hAnsi="宋体" w:eastAsia="宋体" w:cs="Times New Roman"/>
          <w:b/>
          <w:sz w:val="24"/>
          <w:szCs w:val="24"/>
        </w:rPr>
        <w:t>乙方：</w:t>
      </w:r>
      <w:r>
        <w:rPr>
          <w:rFonts w:hint="eastAsia" w:ascii="宋体" w:hAnsi="宋体" w:eastAsia="宋体" w:cs="Times New Roman"/>
          <w:b/>
          <w:sz w:val="24"/>
          <w:szCs w:val="24"/>
          <w:u w:val="single"/>
        </w:rPr>
        <w:t xml:space="preserve">                         </w:t>
      </w:r>
    </w:p>
    <w:p w14:paraId="238B98D1">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sz w:val="24"/>
          <w:szCs w:val="24"/>
          <w:shd w:val="clear" w:color="auto" w:fill="FFFFFF"/>
        </w:rPr>
        <w:t xml:space="preserve">     </w:t>
      </w:r>
      <w:r>
        <w:rPr>
          <w:rFonts w:hint="eastAsia" w:ascii="宋体" w:hAnsi="宋体" w:eastAsia="宋体" w:cs="宋体"/>
          <w:color w:val="auto"/>
          <w:sz w:val="24"/>
          <w:szCs w:val="24"/>
          <w:highlight w:val="none"/>
          <w:u w:val="none"/>
          <w:lang w:val="en-US" w:eastAsia="zh-CN"/>
        </w:rPr>
        <w:t>依据《中华人民共和国民法典》《中华人民共和国政府采购法》及其他有关法律、行政法规，遵循平等、自愿、公平和诚实信用的原则，对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sz w:val="24"/>
          <w:szCs w:val="24"/>
          <w:u w:val="single"/>
          <w:shd w:val="clear" w:color="auto" w:fill="FFFFFF"/>
          <w:lang w:eastAsia="zh-CN"/>
        </w:rPr>
        <w:t>吕四港镇沿海巡防服务项目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sz w:val="24"/>
          <w:szCs w:val="24"/>
        </w:rPr>
        <w:t>进行</w:t>
      </w:r>
      <w:r>
        <w:rPr>
          <w:rFonts w:hint="eastAsia" w:ascii="宋体" w:hAnsi="宋体" w:cs="宋体"/>
          <w:sz w:val="24"/>
          <w:szCs w:val="24"/>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竞争性磋商 </w:t>
      </w:r>
      <w:r>
        <w:rPr>
          <w:rFonts w:hint="eastAsia" w:ascii="宋体" w:hAnsi="宋体" w:eastAsia="宋体" w:cs="宋体"/>
          <w:color w:val="auto"/>
          <w:sz w:val="24"/>
          <w:szCs w:val="24"/>
          <w:highlight w:val="none"/>
          <w:u w:val="none"/>
          <w:lang w:val="en-US" w:eastAsia="zh-CN"/>
        </w:rPr>
        <w:t>采购，经过评委的严格审核评定，确定乙方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为本次中标乙方。现就本次供货事宜订立如下合同：</w:t>
      </w:r>
    </w:p>
    <w:p w14:paraId="460A3D83">
      <w:pPr>
        <w:spacing w:line="460" w:lineRule="exact"/>
        <w:ind w:firstLine="602" w:firstLineChars="250"/>
        <w:rPr>
          <w:rFonts w:ascii="宋体" w:hAnsi="宋体" w:eastAsia="宋体" w:cs="Times New Roman"/>
          <w:b/>
          <w:sz w:val="24"/>
          <w:szCs w:val="24"/>
        </w:rPr>
      </w:pPr>
      <w:r>
        <w:rPr>
          <w:rFonts w:hint="eastAsia" w:ascii="宋体" w:hAnsi="宋体" w:eastAsia="宋体" w:cs="Times New Roman"/>
          <w:b/>
          <w:sz w:val="24"/>
          <w:szCs w:val="24"/>
        </w:rPr>
        <w:t>一、本合同由合同文本和下列文件组成</w:t>
      </w:r>
    </w:p>
    <w:p w14:paraId="18428181">
      <w:pPr>
        <w:spacing w:line="460" w:lineRule="exact"/>
        <w:rPr>
          <w:rFonts w:ascii="宋体" w:hAnsi="宋体" w:eastAsia="宋体" w:cs="Times New Roman"/>
          <w:sz w:val="24"/>
          <w:szCs w:val="24"/>
        </w:rPr>
      </w:pPr>
      <w:r>
        <w:rPr>
          <w:rFonts w:ascii="宋体" w:hAnsi="宋体" w:eastAsia="宋体" w:cs="Times New Roman"/>
          <w:sz w:val="24"/>
          <w:szCs w:val="24"/>
        </w:rPr>
        <w:t xml:space="preserve">     1</w:t>
      </w:r>
      <w:r>
        <w:rPr>
          <w:rFonts w:hint="eastAsia" w:ascii="宋体" w:hAnsi="宋体" w:eastAsia="宋体" w:cs="Times New Roman"/>
          <w:sz w:val="24"/>
          <w:szCs w:val="24"/>
        </w:rPr>
        <w:t>、磋商文件</w:t>
      </w:r>
    </w:p>
    <w:p w14:paraId="3BAEDADC">
      <w:pPr>
        <w:spacing w:line="460" w:lineRule="exact"/>
        <w:ind w:firstLine="600" w:firstLineChars="250"/>
        <w:rPr>
          <w:rFonts w:ascii="宋体" w:hAnsi="宋体"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、投标文件</w:t>
      </w:r>
    </w:p>
    <w:p w14:paraId="73409AF7">
      <w:pPr>
        <w:spacing w:line="460" w:lineRule="exact"/>
        <w:rPr>
          <w:rFonts w:ascii="宋体" w:hAnsi="宋体" w:eastAsia="宋体" w:cs="Times New Roman"/>
          <w:sz w:val="24"/>
          <w:szCs w:val="24"/>
        </w:rPr>
      </w:pPr>
      <w:r>
        <w:rPr>
          <w:rFonts w:ascii="宋体" w:hAnsi="宋体" w:eastAsia="宋体" w:cs="Times New Roman"/>
          <w:sz w:val="24"/>
          <w:szCs w:val="24"/>
        </w:rPr>
        <w:t xml:space="preserve">     3</w:t>
      </w:r>
      <w:r>
        <w:rPr>
          <w:rFonts w:hint="eastAsia" w:ascii="宋体" w:hAnsi="宋体" w:eastAsia="宋体" w:cs="Times New Roman"/>
          <w:sz w:val="24"/>
          <w:szCs w:val="24"/>
        </w:rPr>
        <w:t>、中标通知书</w:t>
      </w:r>
    </w:p>
    <w:p w14:paraId="1005FAE9">
      <w:pPr>
        <w:spacing w:line="460" w:lineRule="exact"/>
        <w:rPr>
          <w:rFonts w:ascii="宋体" w:hAnsi="宋体" w:eastAsia="宋体" w:cs="Times New Roman"/>
          <w:sz w:val="24"/>
          <w:szCs w:val="24"/>
        </w:rPr>
      </w:pPr>
      <w:r>
        <w:rPr>
          <w:rFonts w:ascii="宋体" w:hAnsi="宋体" w:eastAsia="宋体" w:cs="Times New Roman"/>
          <w:sz w:val="24"/>
          <w:szCs w:val="24"/>
        </w:rPr>
        <w:t xml:space="preserve">     4</w:t>
      </w:r>
      <w:r>
        <w:rPr>
          <w:rFonts w:hint="eastAsia" w:ascii="宋体" w:hAnsi="宋体" w:eastAsia="宋体" w:cs="Times New Roman"/>
          <w:sz w:val="24"/>
          <w:szCs w:val="24"/>
        </w:rPr>
        <w:t>、乙方在评标过程中做出的书面澄清或承诺</w:t>
      </w:r>
    </w:p>
    <w:p w14:paraId="4581D35D">
      <w:pPr>
        <w:spacing w:line="460" w:lineRule="exact"/>
        <w:rPr>
          <w:rFonts w:ascii="宋体" w:hAnsi="宋体" w:eastAsia="宋体" w:cs="Times New Roman"/>
          <w:sz w:val="24"/>
          <w:szCs w:val="24"/>
        </w:rPr>
      </w:pPr>
      <w:r>
        <w:rPr>
          <w:rFonts w:ascii="宋体" w:hAnsi="宋体" w:eastAsia="宋体" w:cs="Times New Roman"/>
          <w:sz w:val="24"/>
          <w:szCs w:val="24"/>
        </w:rPr>
        <w:t xml:space="preserve">     5</w:t>
      </w:r>
      <w:r>
        <w:rPr>
          <w:rFonts w:hint="eastAsia" w:ascii="宋体" w:hAnsi="宋体" w:eastAsia="宋体" w:cs="Times New Roman"/>
          <w:sz w:val="24"/>
          <w:szCs w:val="24"/>
        </w:rPr>
        <w:t>、本合同附件</w:t>
      </w:r>
    </w:p>
    <w:p w14:paraId="44A39634">
      <w:pPr>
        <w:numPr>
          <w:ilvl w:val="0"/>
          <w:numId w:val="0"/>
        </w:numPr>
        <w:spacing w:line="460" w:lineRule="exact"/>
        <w:ind w:firstLine="482" w:firstLineChars="200"/>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Times New Roman"/>
          <w:b/>
          <w:sz w:val="24"/>
          <w:szCs w:val="24"/>
          <w:lang w:val="en-US" w:eastAsia="zh-CN"/>
        </w:rPr>
        <w:t>二、</w:t>
      </w:r>
      <w:r>
        <w:rPr>
          <w:rFonts w:hint="eastAsia" w:ascii="宋体" w:hAnsi="宋体" w:eastAsia="宋体" w:cs="Times New Roman"/>
          <w:b/>
          <w:sz w:val="24"/>
          <w:szCs w:val="24"/>
        </w:rPr>
        <w:t>实施范围：</w:t>
      </w:r>
      <w:r>
        <w:rPr>
          <w:rFonts w:hint="eastAsia" w:ascii="宋体" w:hAnsi="宋体" w:eastAsia="宋体" w:cs="Times New Roman"/>
          <w:sz w:val="24"/>
          <w:szCs w:val="24"/>
          <w:lang w:eastAsia="zh-CN"/>
        </w:rPr>
        <w:t>吕四港镇蒿枝港</w:t>
      </w:r>
      <w:r>
        <w:rPr>
          <w:rFonts w:hint="eastAsia" w:ascii="宋体" w:hAnsi="宋体" w:eastAsia="宋体" w:cs="Times New Roman"/>
          <w:sz w:val="24"/>
          <w:szCs w:val="24"/>
          <w:lang w:val="en-US" w:eastAsia="zh-CN"/>
        </w:rPr>
        <w:t>区域、</w:t>
      </w:r>
      <w:r>
        <w:rPr>
          <w:rFonts w:hint="eastAsia" w:ascii="宋体" w:hAnsi="宋体" w:eastAsia="宋体" w:cs="Times New Roman"/>
          <w:color w:val="auto"/>
          <w:sz w:val="24"/>
          <w:szCs w:val="24"/>
          <w:lang w:val="en-US" w:eastAsia="zh-CN"/>
        </w:rPr>
        <w:t>茅家港闸口陆域部分</w:t>
      </w:r>
      <w:r>
        <w:rPr>
          <w:rFonts w:hint="eastAsia" w:ascii="宋体" w:hAnsi="宋体" w:eastAsia="宋体" w:cs="Times New Roman"/>
          <w:sz w:val="24"/>
          <w:szCs w:val="24"/>
          <w:lang w:val="en-US" w:eastAsia="zh-CN"/>
        </w:rPr>
        <w:t>、吕四渔港船闸西侧</w:t>
      </w:r>
      <w:r>
        <w:rPr>
          <w:rFonts w:hint="eastAsia" w:ascii="宋体" w:hAnsi="宋体" w:eastAsia="宋体" w:cs="Times New Roman"/>
          <w:sz w:val="24"/>
          <w:szCs w:val="24"/>
          <w:lang w:eastAsia="zh-CN"/>
        </w:rPr>
        <w:t>至启海交界处。</w:t>
      </w:r>
      <w:r>
        <w:rPr>
          <w:rFonts w:hint="eastAsia" w:ascii="宋体" w:hAnsi="宋体" w:eastAsia="宋体" w:cs="Times New Roman"/>
          <w:sz w:val="24"/>
          <w:szCs w:val="24"/>
          <w:lang w:val="en-US" w:eastAsia="zh-CN"/>
        </w:rPr>
        <w:t>服务单位</w:t>
      </w:r>
      <w:r>
        <w:rPr>
          <w:rFonts w:hint="eastAsia" w:ascii="宋体" w:hAnsi="宋体" w:eastAsia="宋体" w:cs="Times New Roman"/>
          <w:sz w:val="24"/>
          <w:szCs w:val="24"/>
          <w:lang w:eastAsia="zh-CN"/>
        </w:rPr>
        <w:t>协助</w:t>
      </w:r>
      <w:r>
        <w:rPr>
          <w:rFonts w:hint="eastAsia" w:ascii="宋体" w:hAnsi="宋体" w:eastAsia="宋体" w:cs="Times New Roman"/>
          <w:sz w:val="24"/>
          <w:szCs w:val="24"/>
          <w:lang w:val="en-US" w:eastAsia="zh-CN"/>
        </w:rPr>
        <w:t>吕四港镇</w:t>
      </w:r>
      <w:r>
        <w:rPr>
          <w:rFonts w:hint="eastAsia" w:ascii="宋体" w:hAnsi="宋体" w:eastAsia="宋体" w:cs="Times New Roman"/>
          <w:sz w:val="24"/>
          <w:szCs w:val="24"/>
          <w:lang w:eastAsia="zh-CN"/>
        </w:rPr>
        <w:t>指定范围内沿海岸线的巡逻防控、应急</w:t>
      </w:r>
      <w:r>
        <w:rPr>
          <w:rFonts w:hint="eastAsia" w:ascii="宋体" w:hAnsi="宋体" w:eastAsia="宋体" w:cs="Times New Roman"/>
          <w:sz w:val="24"/>
          <w:szCs w:val="24"/>
          <w:lang w:val="en-US" w:eastAsia="zh-CN"/>
        </w:rPr>
        <w:t>处置</w:t>
      </w:r>
      <w:r>
        <w:rPr>
          <w:rFonts w:hint="eastAsia" w:ascii="宋体" w:hAnsi="宋体" w:eastAsia="宋体" w:cs="Times New Roman"/>
          <w:sz w:val="24"/>
          <w:szCs w:val="24"/>
          <w:lang w:eastAsia="zh-CN"/>
        </w:rPr>
        <w:t>等维护海岸线公共秩序与安全的综合性工作服务。</w:t>
      </w:r>
    </w:p>
    <w:p w14:paraId="4A7CA377">
      <w:pPr>
        <w:keepNext w:val="0"/>
        <w:keepLines w:val="0"/>
        <w:pageBreakBefore w:val="0"/>
        <w:widowControl w:val="0"/>
        <w:wordWrap/>
        <w:overflowPunct w:val="0"/>
        <w:topLinePunct w:val="0"/>
        <w:bidi w:val="0"/>
        <w:adjustRightInd w:val="0"/>
        <w:snapToGrid w:val="0"/>
        <w:spacing w:after="0" w:line="440" w:lineRule="exact"/>
        <w:ind w:firstLine="482" w:firstLineChars="200"/>
        <w:jc w:val="both"/>
        <w:rPr>
          <w:rFonts w:hint="eastAsia" w:ascii="仿宋" w:hAnsi="仿宋" w:eastAsia="仿宋" w:cs="仿宋"/>
          <w:i w:val="0"/>
          <w:iCs w:val="0"/>
          <w:caps w:val="0"/>
          <w:color w:val="333333"/>
          <w:spacing w:val="0"/>
          <w:sz w:val="24"/>
          <w:szCs w:val="24"/>
          <w:shd w:val="clear" w:color="auto" w:fill="FFFFFF"/>
          <w:lang w:val="en-US" w:eastAsia="zh-CN"/>
        </w:rPr>
      </w:pPr>
      <w:r>
        <w:rPr>
          <w:rFonts w:hint="eastAsia" w:ascii="宋体" w:hAnsi="宋体" w:eastAsia="宋体" w:cs="Times New Roman"/>
          <w:b/>
          <w:sz w:val="24"/>
          <w:szCs w:val="24"/>
        </w:rPr>
        <w:t>三、服务期限：</w:t>
      </w:r>
      <w:r>
        <w:rPr>
          <w:rFonts w:hint="eastAsia" w:ascii="宋体" w:hAnsi="宋体" w:eastAsia="宋体" w:cs="Times New Roman"/>
          <w:sz w:val="24"/>
          <w:szCs w:val="24"/>
          <w:lang w:val="en-US" w:eastAsia="zh-CN"/>
        </w:rPr>
        <w:t>一年</w:t>
      </w:r>
      <w:r>
        <w:rPr>
          <w:rFonts w:hint="eastAsia" w:ascii="宋体" w:hAnsi="宋体" w:eastAsia="宋体" w:cs="宋体"/>
          <w:color w:val="auto"/>
          <w:sz w:val="24"/>
          <w:szCs w:val="24"/>
          <w:highlight w:val="none"/>
          <w:u w:val="none"/>
          <w:lang w:val="en-US" w:eastAsia="zh-CN"/>
        </w:rPr>
        <w:t>，具体时间以合同签定之日起算。</w:t>
      </w:r>
    </w:p>
    <w:p w14:paraId="0760B4C8">
      <w:pPr>
        <w:keepNext w:val="0"/>
        <w:keepLines w:val="0"/>
        <w:pageBreakBefore w:val="0"/>
        <w:widowControl w:val="0"/>
        <w:wordWrap/>
        <w:overflowPunct w:val="0"/>
        <w:topLinePunct w:val="0"/>
        <w:bidi w:val="0"/>
        <w:adjustRightInd w:val="0"/>
        <w:snapToGrid w:val="0"/>
        <w:spacing w:after="0" w:line="440" w:lineRule="exact"/>
        <w:ind w:firstLine="480" w:firstLineChars="200"/>
        <w:jc w:val="both"/>
        <w:rPr>
          <w:rFonts w:hint="eastAsia" w:ascii="宋体" w:hAnsi="宋体" w:eastAsia="宋体" w:cs="Times New Roman"/>
          <w:bCs w:val="0"/>
          <w:sz w:val="24"/>
          <w:szCs w:val="24"/>
          <w:lang w:val="en-US" w:eastAsia="zh-CN"/>
        </w:rPr>
      </w:pPr>
      <w:r>
        <w:rPr>
          <w:rFonts w:hint="eastAsia" w:ascii="宋体" w:hAnsi="宋体" w:eastAsia="宋体" w:cs="Times New Roman"/>
          <w:bCs w:val="0"/>
          <w:sz w:val="24"/>
          <w:szCs w:val="24"/>
          <w:lang w:val="en-US" w:eastAsia="zh-CN"/>
        </w:rPr>
        <w:t>本项目预算为一年度的预算，根据《政府购买服务管理办法》第二十四条规定，本项目根据采购结果，采取一次招标三年沿用。服务期自合同签订之日起一年，实行一年一考核一续签合同的办法，一年合同期满后，甲方可自主决定是否续签下一年度合同。如甲方因未获得预算批复或次年预算压减或需求变化等其他原因经书面通知乙方后，合同到期终止不再续签，乙方自行承担相应风险。如果乙方没有达到合同所要求履行条件之一的，则甲方有权在委托期限内随时终止合同。</w:t>
      </w:r>
    </w:p>
    <w:p w14:paraId="7CF86AC3">
      <w:pPr>
        <w:numPr>
          <w:ilvl w:val="0"/>
          <w:numId w:val="0"/>
        </w:numPr>
        <w:spacing w:line="460" w:lineRule="exact"/>
        <w:ind w:firstLine="482" w:firstLineChars="200"/>
        <w:rPr>
          <w:rFonts w:hint="eastAsia" w:ascii="宋体" w:hAnsi="宋体" w:eastAsia="宋体" w:cs="Times New Roman"/>
          <w:b/>
          <w:sz w:val="24"/>
          <w:szCs w:val="24"/>
        </w:rPr>
      </w:pPr>
      <w:r>
        <w:rPr>
          <w:rFonts w:hint="eastAsia" w:ascii="宋体" w:hAnsi="宋体" w:eastAsia="宋体" w:cs="Times New Roman"/>
          <w:b/>
          <w:sz w:val="24"/>
          <w:szCs w:val="24"/>
          <w:lang w:val="en-US" w:eastAsia="zh-CN"/>
        </w:rPr>
        <w:t>四、</w:t>
      </w:r>
      <w:r>
        <w:rPr>
          <w:rFonts w:hint="eastAsia" w:ascii="宋体" w:hAnsi="宋体" w:eastAsia="宋体" w:cs="Times New Roman"/>
          <w:b/>
          <w:sz w:val="24"/>
          <w:szCs w:val="24"/>
        </w:rPr>
        <w:t>合同金额：</w:t>
      </w:r>
    </w:p>
    <w:p w14:paraId="40CF6ACE">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u w:val="none"/>
          <w:lang w:val="zh-CN" w:eastAsia="zh-CN"/>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lang w:val="zh-CN" w:eastAsia="zh-CN"/>
        </w:rPr>
        <w:t>合同</w:t>
      </w:r>
      <w:r>
        <w:rPr>
          <w:rFonts w:hint="eastAsia" w:ascii="宋体" w:hAnsi="宋体" w:eastAsia="宋体" w:cs="宋体"/>
          <w:color w:val="auto"/>
          <w:sz w:val="24"/>
          <w:szCs w:val="24"/>
          <w:highlight w:val="none"/>
          <w:u w:val="none"/>
          <w:lang w:val="en-US" w:eastAsia="zh-CN"/>
        </w:rPr>
        <w:t>总</w:t>
      </w:r>
      <w:r>
        <w:rPr>
          <w:rFonts w:hint="eastAsia" w:ascii="宋体" w:hAnsi="宋体" w:eastAsia="宋体" w:cs="宋体"/>
          <w:color w:val="auto"/>
          <w:sz w:val="24"/>
          <w:szCs w:val="24"/>
          <w:highlight w:val="none"/>
          <w:u w:val="none"/>
          <w:lang w:val="zh-CN" w:eastAsia="zh-CN"/>
        </w:rPr>
        <w:t>金额</w:t>
      </w:r>
      <w:r>
        <w:rPr>
          <w:rFonts w:hint="eastAsia" w:ascii="宋体" w:hAnsi="宋体" w:eastAsia="宋体" w:cs="宋体"/>
          <w:color w:val="auto"/>
          <w:sz w:val="24"/>
          <w:szCs w:val="24"/>
          <w:highlight w:val="none"/>
          <w:u w:val="none"/>
          <w:lang w:val="en-US" w:eastAsia="zh-CN"/>
        </w:rPr>
        <w:t>为</w:t>
      </w:r>
      <w:r>
        <w:rPr>
          <w:rFonts w:hint="eastAsia" w:ascii="宋体" w:hAnsi="宋体" w:eastAsia="宋体" w:cs="宋体"/>
          <w:color w:val="auto"/>
          <w:sz w:val="24"/>
          <w:szCs w:val="24"/>
          <w:highlight w:val="none"/>
          <w:u w:val="none"/>
          <w:lang w:val="zh-CN" w:eastAsia="zh-CN"/>
        </w:rPr>
        <w:t>人民币</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zh-CN"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元</w:t>
      </w:r>
      <w:r>
        <w:rPr>
          <w:rFonts w:hint="eastAsia" w:ascii="宋体" w:hAnsi="宋体" w:eastAsia="宋体" w:cs="宋体"/>
          <w:color w:val="auto"/>
          <w:sz w:val="24"/>
          <w:szCs w:val="24"/>
          <w:highlight w:val="none"/>
          <w:u w:val="none"/>
          <w:lang w:val="zh-CN" w:eastAsia="zh-CN"/>
        </w:rPr>
        <w:t>。</w:t>
      </w:r>
    </w:p>
    <w:p w14:paraId="62068D76">
      <w:pPr>
        <w:spacing w:line="500" w:lineRule="exact"/>
        <w:ind w:firstLine="480" w:firstLineChars="200"/>
        <w:jc w:val="left"/>
        <w:rPr>
          <w:rFonts w:hint="eastAsia" w:ascii="宋体" w:hAnsi="宋体" w:eastAsia="宋体" w:cs="宋体"/>
          <w:sz w:val="24"/>
          <w:lang w:val="zh-CN" w:eastAsia="zh-CN"/>
        </w:rPr>
      </w:pPr>
      <w:r>
        <w:rPr>
          <w:rFonts w:hint="eastAsia" w:ascii="宋体" w:hAnsi="宋体" w:eastAsia="宋体" w:cs="宋体"/>
          <w:sz w:val="24"/>
          <w:lang w:val="en-US" w:eastAsia="zh-CN"/>
        </w:rPr>
        <w:t>2、</w:t>
      </w:r>
      <w:r>
        <w:rPr>
          <w:rFonts w:hint="eastAsia" w:ascii="宋体" w:hAnsi="宋体" w:eastAsia="宋体" w:cs="宋体"/>
          <w:sz w:val="24"/>
          <w:lang w:val="zh-CN" w:eastAsia="zh-CN"/>
        </w:rPr>
        <w:t>本项目为固定总价</w:t>
      </w:r>
      <w:r>
        <w:rPr>
          <w:rFonts w:hint="eastAsia" w:ascii="宋体" w:hAnsi="宋体" w:eastAsia="宋体" w:cs="宋体"/>
          <w:sz w:val="24"/>
          <w:lang w:val="en-US" w:eastAsia="zh-CN"/>
        </w:rPr>
        <w:t>合同</w:t>
      </w:r>
      <w:r>
        <w:rPr>
          <w:rFonts w:hint="eastAsia" w:ascii="宋体" w:hAnsi="宋体" w:eastAsia="宋体" w:cs="宋体"/>
          <w:sz w:val="24"/>
          <w:lang w:val="zh-CN" w:eastAsia="zh-CN"/>
        </w:rPr>
        <w:t>。</w:t>
      </w:r>
      <w:r>
        <w:rPr>
          <w:rFonts w:hint="eastAsia" w:ascii="宋体" w:hAnsi="宋体" w:eastAsia="宋体" w:cs="宋体"/>
          <w:sz w:val="24"/>
          <w:lang w:val="en-US" w:eastAsia="zh-CN"/>
        </w:rPr>
        <w:t>合同总金额</w:t>
      </w:r>
      <w:r>
        <w:rPr>
          <w:rFonts w:hint="eastAsia" w:ascii="宋体" w:hAnsi="宋体" w:eastAsia="宋体" w:cs="宋体"/>
          <w:sz w:val="24"/>
          <w:lang w:val="zh-CN" w:eastAsia="zh-CN"/>
        </w:rPr>
        <w:t>包括在服务期内完成服务内容所需要的一切费用，包括</w:t>
      </w:r>
      <w:r>
        <w:rPr>
          <w:rFonts w:hint="eastAsia" w:ascii="宋体" w:hAnsi="宋体" w:eastAsia="宋体" w:cs="宋体"/>
          <w:sz w:val="24"/>
          <w:lang w:val="en-US" w:eastAsia="zh-CN"/>
        </w:rPr>
        <w:t>（但不限于）人工</w:t>
      </w:r>
      <w:r>
        <w:rPr>
          <w:rFonts w:hint="eastAsia" w:ascii="宋体" w:hAnsi="宋体" w:eastAsia="宋体" w:cs="宋体"/>
          <w:sz w:val="24"/>
          <w:lang w:val="zh-CN" w:eastAsia="zh-CN"/>
        </w:rPr>
        <w:t>工资</w:t>
      </w:r>
      <w:r>
        <w:rPr>
          <w:rFonts w:hint="eastAsia" w:ascii="宋体" w:hAnsi="宋体" w:eastAsia="宋体" w:cs="宋体"/>
          <w:sz w:val="24"/>
          <w:lang w:val="en-US" w:eastAsia="zh-CN"/>
        </w:rPr>
        <w:t>及社会保险</w:t>
      </w:r>
      <w:r>
        <w:rPr>
          <w:rFonts w:hint="eastAsia" w:ascii="宋体" w:hAnsi="宋体" w:eastAsia="宋体" w:cs="宋体"/>
          <w:sz w:val="24"/>
          <w:lang w:val="zh-CN" w:eastAsia="zh-CN"/>
        </w:rPr>
        <w:t>（不得低于启东市最低工资标准，</w:t>
      </w:r>
      <w:r>
        <w:rPr>
          <w:rFonts w:hint="eastAsia" w:ascii="宋体" w:hAnsi="宋体" w:eastAsia="宋体" w:cs="宋体"/>
          <w:sz w:val="24"/>
          <w:lang w:val="en-US" w:eastAsia="zh-CN"/>
        </w:rPr>
        <w:t>且必须缴纳社会保险</w:t>
      </w:r>
      <w:r>
        <w:rPr>
          <w:rFonts w:hint="eastAsia" w:ascii="宋体" w:hAnsi="宋体" w:eastAsia="宋体" w:cs="宋体"/>
          <w:sz w:val="24"/>
          <w:lang w:val="zh-CN" w:eastAsia="zh-CN"/>
        </w:rPr>
        <w:t>）、</w:t>
      </w:r>
      <w:r>
        <w:rPr>
          <w:rFonts w:hint="eastAsia" w:ascii="宋体" w:hAnsi="宋体" w:eastAsia="宋体" w:cs="宋体"/>
          <w:sz w:val="24"/>
          <w:lang w:val="en-US" w:eastAsia="zh-CN"/>
        </w:rPr>
        <w:t>耗材、工具、培训费、服装、</w:t>
      </w:r>
      <w:r>
        <w:rPr>
          <w:rFonts w:hint="eastAsia" w:ascii="宋体" w:hAnsi="宋体" w:eastAsia="宋体" w:cs="宋体"/>
          <w:sz w:val="24"/>
          <w:lang w:val="zh-CN" w:eastAsia="zh-CN"/>
        </w:rPr>
        <w:t>高温费、</w:t>
      </w:r>
      <w:r>
        <w:rPr>
          <w:rFonts w:hint="eastAsia" w:ascii="宋体" w:hAnsi="宋体" w:eastAsia="宋体" w:cs="宋体"/>
          <w:sz w:val="24"/>
          <w:lang w:val="en-US" w:eastAsia="zh-CN"/>
        </w:rPr>
        <w:t>加班费、交通费、通讯费、管理费、税金、招标代理费及相关费用等一切费用。</w:t>
      </w:r>
    </w:p>
    <w:p w14:paraId="7DF1710A">
      <w:pPr>
        <w:spacing w:line="460" w:lineRule="exact"/>
        <w:ind w:firstLine="532" w:firstLineChars="221"/>
        <w:rPr>
          <w:rFonts w:ascii="宋体" w:hAnsi="宋体" w:eastAsia="宋体" w:cs="Times New Roman"/>
          <w:b/>
          <w:sz w:val="24"/>
          <w:szCs w:val="24"/>
        </w:rPr>
      </w:pPr>
      <w:r>
        <w:rPr>
          <w:rFonts w:hint="eastAsia" w:ascii="宋体" w:hAnsi="宋体" w:eastAsia="宋体" w:cs="Times New Roman"/>
          <w:b/>
          <w:sz w:val="24"/>
          <w:szCs w:val="24"/>
        </w:rPr>
        <w:t>五、付款方式：</w:t>
      </w:r>
    </w:p>
    <w:p w14:paraId="14516C81">
      <w:pPr>
        <w:spacing w:line="460" w:lineRule="exact"/>
        <w:ind w:firstLine="585"/>
        <w:textAlignment w:val="baseline"/>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政府财政拨款，服务费按季度拨付。政府主管部门按照本办法组织对沿海安全巡逻队伍进行季度考核，考核采取百分制，考核得分与服务费拨付挂钩，具体如下：</w:t>
      </w:r>
    </w:p>
    <w:p w14:paraId="5F3D3A46">
      <w:pPr>
        <w:spacing w:line="460" w:lineRule="exact"/>
        <w:ind w:firstLine="585"/>
        <w:textAlignment w:val="baseline"/>
        <w:rPr>
          <w:rFonts w:hint="default" w:ascii="宋体" w:hAnsi="宋体" w:eastAsia="宋体" w:cs="Times New Roman"/>
          <w:sz w:val="24"/>
          <w:szCs w:val="24"/>
          <w:lang w:val="zh-CN" w:eastAsia="zh-CN"/>
        </w:rPr>
      </w:pPr>
      <w:r>
        <w:rPr>
          <w:rFonts w:hint="eastAsia" w:ascii="宋体" w:hAnsi="宋体" w:eastAsia="宋体" w:cs="Times New Roman"/>
          <w:sz w:val="24"/>
          <w:szCs w:val="24"/>
          <w:lang w:val="zh-CN" w:eastAsia="zh-CN"/>
        </w:rPr>
        <w:t>（</w:t>
      </w:r>
      <w:r>
        <w:rPr>
          <w:rFonts w:hint="eastAsia" w:ascii="宋体" w:hAnsi="宋体" w:eastAsia="宋体" w:cs="Times New Roman"/>
          <w:sz w:val="24"/>
          <w:szCs w:val="24"/>
          <w:lang w:val="en-US" w:eastAsia="zh-CN"/>
        </w:rPr>
        <w:t>一</w:t>
      </w:r>
      <w:r>
        <w:rPr>
          <w:rFonts w:hint="eastAsia" w:ascii="宋体" w:hAnsi="宋体" w:eastAsia="宋体" w:cs="Times New Roman"/>
          <w:sz w:val="24"/>
          <w:szCs w:val="24"/>
          <w:lang w:val="zh-CN" w:eastAsia="zh-CN"/>
        </w:rPr>
        <w:t>）</w:t>
      </w:r>
      <w:r>
        <w:rPr>
          <w:rFonts w:hint="default" w:ascii="宋体" w:hAnsi="宋体" w:eastAsia="宋体" w:cs="Times New Roman"/>
          <w:sz w:val="24"/>
          <w:szCs w:val="24"/>
          <w:lang w:val="zh-CN" w:eastAsia="zh-CN"/>
        </w:rPr>
        <w:t>考核得分90分（不含）以上的，全额支付当季服务费；</w:t>
      </w:r>
    </w:p>
    <w:p w14:paraId="5E0CA940">
      <w:pPr>
        <w:spacing w:line="460" w:lineRule="exact"/>
        <w:ind w:firstLine="585"/>
        <w:textAlignment w:val="baseline"/>
        <w:rPr>
          <w:rFonts w:hint="default" w:ascii="宋体" w:hAnsi="宋体" w:eastAsia="宋体" w:cs="Times New Roman"/>
          <w:sz w:val="24"/>
          <w:szCs w:val="24"/>
          <w:lang w:val="zh-CN" w:eastAsia="zh-CN"/>
        </w:rPr>
      </w:pPr>
      <w:r>
        <w:rPr>
          <w:rFonts w:hint="eastAsia" w:ascii="宋体" w:hAnsi="宋体" w:eastAsia="宋体" w:cs="Times New Roman"/>
          <w:sz w:val="24"/>
          <w:szCs w:val="24"/>
          <w:lang w:val="zh-CN" w:eastAsia="zh-CN"/>
        </w:rPr>
        <w:t>（</w:t>
      </w:r>
      <w:r>
        <w:rPr>
          <w:rFonts w:hint="eastAsia" w:ascii="宋体" w:hAnsi="宋体" w:eastAsia="宋体" w:cs="Times New Roman"/>
          <w:sz w:val="24"/>
          <w:szCs w:val="24"/>
          <w:lang w:val="en-US" w:eastAsia="zh-CN"/>
        </w:rPr>
        <w:t>二</w:t>
      </w:r>
      <w:r>
        <w:rPr>
          <w:rFonts w:hint="eastAsia" w:ascii="宋体" w:hAnsi="宋体" w:eastAsia="宋体" w:cs="Times New Roman"/>
          <w:sz w:val="24"/>
          <w:szCs w:val="24"/>
          <w:lang w:val="zh-CN" w:eastAsia="zh-CN"/>
        </w:rPr>
        <w:t>）</w:t>
      </w:r>
      <w:r>
        <w:rPr>
          <w:rFonts w:hint="default" w:ascii="宋体" w:hAnsi="宋体" w:eastAsia="宋体" w:cs="Times New Roman"/>
          <w:sz w:val="24"/>
          <w:szCs w:val="24"/>
          <w:lang w:val="zh-CN" w:eastAsia="zh-CN"/>
        </w:rPr>
        <w:t>考核得分80分（含）至90分（含）的，当季服务费按季度考核得分率发放，计算公式为：当季实付服务费＝当季服务费×（季度考核得分÷100）；</w:t>
      </w:r>
    </w:p>
    <w:p w14:paraId="457FDAB7">
      <w:pPr>
        <w:spacing w:line="460" w:lineRule="exact"/>
        <w:ind w:firstLine="585"/>
        <w:textAlignment w:val="baseline"/>
        <w:rPr>
          <w:rFonts w:hint="default" w:ascii="宋体" w:hAnsi="宋体" w:eastAsia="宋体" w:cs="Times New Roman"/>
          <w:sz w:val="24"/>
          <w:szCs w:val="24"/>
          <w:lang w:val="zh-CN" w:eastAsia="zh-CN"/>
        </w:rPr>
      </w:pPr>
      <w:r>
        <w:rPr>
          <w:rFonts w:hint="eastAsia" w:ascii="宋体" w:hAnsi="宋体" w:eastAsia="宋体" w:cs="Times New Roman"/>
          <w:sz w:val="24"/>
          <w:szCs w:val="24"/>
          <w:lang w:val="zh-CN" w:eastAsia="zh-CN"/>
        </w:rPr>
        <w:t>（</w:t>
      </w:r>
      <w:r>
        <w:rPr>
          <w:rFonts w:hint="eastAsia" w:ascii="宋体" w:hAnsi="宋体" w:eastAsia="宋体" w:cs="Times New Roman"/>
          <w:sz w:val="24"/>
          <w:szCs w:val="24"/>
          <w:lang w:val="en-US" w:eastAsia="zh-CN"/>
        </w:rPr>
        <w:t>三</w:t>
      </w:r>
      <w:r>
        <w:rPr>
          <w:rFonts w:hint="eastAsia" w:ascii="宋体" w:hAnsi="宋体" w:eastAsia="宋体" w:cs="Times New Roman"/>
          <w:sz w:val="24"/>
          <w:szCs w:val="24"/>
          <w:lang w:val="zh-CN" w:eastAsia="zh-CN"/>
        </w:rPr>
        <w:t>）</w:t>
      </w:r>
      <w:r>
        <w:rPr>
          <w:rFonts w:hint="default" w:ascii="宋体" w:hAnsi="宋体" w:eastAsia="宋体" w:cs="Times New Roman"/>
          <w:sz w:val="24"/>
          <w:szCs w:val="24"/>
          <w:lang w:val="zh-CN" w:eastAsia="zh-CN"/>
        </w:rPr>
        <w:t>考核得分不满80分的，当季服务费按得分率的50%发放，计算公式为：当季实付服务费＝当季服务费×（季度考核得分÷100×50%）。</w:t>
      </w:r>
    </w:p>
    <w:p w14:paraId="67DA7972">
      <w:pPr>
        <w:spacing w:line="460" w:lineRule="exact"/>
        <w:ind w:firstLine="585"/>
        <w:textAlignment w:val="baseline"/>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考核办法奖励④的奖金随当季服务费一并支付；处罚⑤的罚款从当季服务费中抵扣，当季服务费不足抵扣的，从履约保证金中扣除，不足部分由乙方补足。</w:t>
      </w:r>
    </w:p>
    <w:p w14:paraId="39E04F65">
      <w:pPr>
        <w:widowControl/>
        <w:numPr>
          <w:ilvl w:val="0"/>
          <w:numId w:val="2"/>
        </w:numPr>
        <w:shd w:val="clear" w:color="auto" w:fill="FFFFFF"/>
        <w:spacing w:line="460" w:lineRule="exact"/>
        <w:ind w:firstLine="561"/>
        <w:jc w:val="left"/>
        <w:rPr>
          <w:rFonts w:hint="eastAsia" w:ascii="宋体" w:hAnsi="宋体" w:eastAsia="宋体" w:cs="Times New Roman"/>
          <w:b/>
          <w:sz w:val="24"/>
          <w:szCs w:val="24"/>
        </w:rPr>
      </w:pPr>
      <w:r>
        <w:rPr>
          <w:rFonts w:hint="eastAsia" w:ascii="宋体" w:hAnsi="宋体" w:eastAsia="宋体" w:cs="Times New Roman"/>
          <w:b/>
          <w:sz w:val="24"/>
          <w:szCs w:val="24"/>
        </w:rPr>
        <w:t>履约保证金：</w:t>
      </w:r>
    </w:p>
    <w:p w14:paraId="5EC88B96">
      <w:pPr>
        <w:spacing w:line="500" w:lineRule="exact"/>
        <w:ind w:firstLine="480" w:firstLineChars="200"/>
        <w:jc w:val="left"/>
        <w:rPr>
          <w:rFonts w:ascii="宋体" w:hAnsi="宋体" w:eastAsia="宋体" w:cs="宋体"/>
          <w:sz w:val="24"/>
          <w:lang w:val="zh-CN"/>
        </w:rPr>
      </w:pPr>
      <w:r>
        <w:rPr>
          <w:rFonts w:hint="eastAsia" w:ascii="宋体" w:hAnsi="宋体" w:eastAsia="宋体" w:cs="宋体"/>
          <w:sz w:val="24"/>
          <w:lang w:val="zh-CN"/>
        </w:rPr>
        <w:t>1.履约保证金为项目成交价的10%</w:t>
      </w:r>
      <w:r>
        <w:rPr>
          <w:rFonts w:hint="eastAsia" w:ascii="宋体" w:hAnsi="宋体" w:eastAsia="宋体" w:cs="宋体"/>
          <w:color w:val="auto"/>
          <w:sz w:val="24"/>
          <w:szCs w:val="24"/>
          <w:highlight w:val="none"/>
          <w:u w:val="none"/>
          <w:lang w:val="en-US" w:eastAsia="zh-CN"/>
        </w:rPr>
        <w:t>（人民币：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元）</w:t>
      </w:r>
      <w:r>
        <w:rPr>
          <w:rFonts w:hint="eastAsia" w:ascii="宋体" w:hAnsi="宋体" w:eastAsia="宋体" w:cs="宋体"/>
          <w:sz w:val="24"/>
          <w:lang w:val="zh-CN"/>
        </w:rPr>
        <w:t>，乙方的履约保证金须在成交通知书发出之日起至合同签订前汇入甲方账户（应当以数字人民币、支票、汇票或者金融机构、担保机构出具的保函等非现金形式提交），乙方凭成交通知书与甲方签订合同。超期或未协商一致，则视为自动放弃成交资格。</w:t>
      </w:r>
    </w:p>
    <w:p w14:paraId="529E1B4E">
      <w:pPr>
        <w:spacing w:line="500" w:lineRule="exact"/>
        <w:ind w:firstLine="480" w:firstLineChars="200"/>
        <w:jc w:val="left"/>
        <w:rPr>
          <w:rFonts w:ascii="宋体" w:hAnsi="宋体" w:eastAsia="宋体" w:cs="宋体"/>
          <w:sz w:val="24"/>
          <w:lang w:val="zh-CN"/>
        </w:rPr>
      </w:pPr>
      <w:r>
        <w:rPr>
          <w:rFonts w:hint="eastAsia" w:ascii="宋体" w:hAnsi="宋体" w:eastAsia="宋体" w:cs="宋体"/>
          <w:sz w:val="24"/>
          <w:lang w:val="zh-CN"/>
        </w:rPr>
        <w:t>2.乙方全部履约合同义务，经甲方验收合格无质量、进度等问题的，甲方在验收合格后一次性退还履约保证金，甲方若逾期退还履约保证金的，按照逾期部分的每日0.05%支付违约金。</w:t>
      </w:r>
    </w:p>
    <w:p w14:paraId="10BFBDB0">
      <w:pPr>
        <w:spacing w:line="500" w:lineRule="exact"/>
        <w:ind w:firstLine="480" w:firstLineChars="200"/>
        <w:jc w:val="left"/>
        <w:rPr>
          <w:rFonts w:ascii="宋体" w:hAnsi="宋体" w:eastAsia="宋体" w:cs="宋体"/>
          <w:sz w:val="24"/>
          <w:lang w:val="zh-CN"/>
        </w:rPr>
      </w:pPr>
      <w:r>
        <w:rPr>
          <w:rFonts w:hint="eastAsia" w:ascii="宋体" w:hAnsi="宋体" w:eastAsia="宋体" w:cs="宋体"/>
          <w:sz w:val="24"/>
          <w:lang w:val="zh-CN"/>
        </w:rPr>
        <w:t>3.发生以下情况的，履约保证金不予退还或部分退还：</w:t>
      </w:r>
    </w:p>
    <w:p w14:paraId="58D55A54">
      <w:pPr>
        <w:spacing w:line="500" w:lineRule="exact"/>
        <w:ind w:firstLine="480" w:firstLineChars="200"/>
        <w:jc w:val="left"/>
        <w:rPr>
          <w:rFonts w:ascii="宋体" w:hAnsi="宋体" w:eastAsia="宋体" w:cs="宋体"/>
          <w:sz w:val="24"/>
          <w:lang w:val="zh-CN"/>
        </w:rPr>
      </w:pPr>
      <w:r>
        <w:rPr>
          <w:rFonts w:hint="eastAsia" w:ascii="宋体" w:hAnsi="宋体" w:eastAsia="宋体" w:cs="宋体"/>
          <w:sz w:val="24"/>
          <w:lang w:val="zh-CN"/>
        </w:rPr>
        <w:t>a.签订合同后，乙方不履行合同义务的，甲方有权全额扣除履约保证金，全额不予退还，同时甲方亦有权终止合同，乙方还须承担相应的法律赔偿责任。</w:t>
      </w:r>
    </w:p>
    <w:p w14:paraId="0EC9C450">
      <w:pPr>
        <w:spacing w:line="500" w:lineRule="exact"/>
        <w:ind w:firstLine="480" w:firstLineChars="200"/>
        <w:jc w:val="left"/>
        <w:rPr>
          <w:rFonts w:hint="eastAsia"/>
        </w:rPr>
      </w:pPr>
      <w:r>
        <w:rPr>
          <w:rFonts w:hint="eastAsia" w:ascii="宋体" w:hAnsi="宋体" w:eastAsia="宋体" w:cs="宋体"/>
          <w:sz w:val="24"/>
          <w:lang w:val="zh-CN"/>
        </w:rPr>
        <w:t>b.乙方在履约过程中发生违约行为，给甲方造成损失的，甲方有权在乙方缴纳的履约保证金中予以扣款，以弥补甲方经济损失，不足的部分乙方另外补齐。</w:t>
      </w:r>
    </w:p>
    <w:p w14:paraId="4F36D162">
      <w:pPr>
        <w:spacing w:line="460" w:lineRule="exact"/>
        <w:ind w:left="0" w:firstLine="482" w:firstLineChars="200"/>
        <w:rPr>
          <w:rFonts w:ascii="宋体" w:hAnsi="宋体" w:eastAsia="宋体" w:cs="Times New Roman"/>
          <w:b/>
          <w:sz w:val="24"/>
          <w:szCs w:val="24"/>
        </w:rPr>
      </w:pPr>
      <w:r>
        <w:rPr>
          <w:rFonts w:hint="eastAsia" w:ascii="宋体" w:hAnsi="宋体" w:eastAsia="宋体" w:cs="Times New Roman"/>
          <w:b/>
          <w:sz w:val="24"/>
          <w:szCs w:val="24"/>
        </w:rPr>
        <w:t>七、服务内容要求：</w:t>
      </w:r>
    </w:p>
    <w:p w14:paraId="2D6A5105">
      <w:pPr>
        <w:spacing w:line="460" w:lineRule="exact"/>
        <w:ind w:firstLine="585"/>
        <w:textAlignment w:val="baseline"/>
        <w:rPr>
          <w:rFonts w:hint="eastAsia" w:ascii="宋体" w:hAnsi="宋体" w:eastAsia="宋体" w:cs="Times New Roman"/>
          <w:sz w:val="24"/>
          <w:szCs w:val="24"/>
          <w:lang w:eastAsia="zh-CN"/>
        </w:rPr>
      </w:pPr>
      <w:bookmarkStart w:id="97" w:name="_Hlk37960846"/>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管理岗工作</w:t>
      </w:r>
      <w:r>
        <w:rPr>
          <w:rFonts w:hint="eastAsia" w:ascii="宋体" w:hAnsi="宋体" w:eastAsia="宋体" w:cs="Times New Roman"/>
          <w:sz w:val="24"/>
          <w:szCs w:val="24"/>
          <w:lang w:val="en-US" w:eastAsia="zh-CN"/>
        </w:rPr>
        <w:t>要求和</w:t>
      </w:r>
      <w:r>
        <w:rPr>
          <w:rFonts w:hint="eastAsia" w:ascii="宋体" w:hAnsi="宋体" w:eastAsia="宋体" w:cs="Times New Roman"/>
          <w:sz w:val="24"/>
          <w:szCs w:val="24"/>
          <w:lang w:eastAsia="zh-CN"/>
        </w:rPr>
        <w:t>职责</w:t>
      </w:r>
    </w:p>
    <w:p w14:paraId="25E5931D">
      <w:pPr>
        <w:spacing w:line="460" w:lineRule="exact"/>
        <w:ind w:firstLine="585"/>
        <w:textAlignment w:val="baseline"/>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乙方需派驻项目经理1人。针对本项目建立服务方案、组织架构、日常管理等内容的规章制度。</w:t>
      </w:r>
      <w:r>
        <w:rPr>
          <w:rFonts w:hint="eastAsia" w:ascii="宋体" w:hAnsi="宋体" w:eastAsia="宋体" w:cs="Times New Roman"/>
          <w:sz w:val="24"/>
          <w:szCs w:val="24"/>
          <w:lang w:eastAsia="zh-CN"/>
        </w:rPr>
        <w:t>督导检查各个巡逻岗在岗履职情况及装备是否齐全；传达日常工作任务、注意事项及</w:t>
      </w:r>
      <w:r>
        <w:rPr>
          <w:rFonts w:hint="eastAsia" w:ascii="宋体" w:hAnsi="宋体" w:eastAsia="宋体" w:cs="Times New Roman"/>
          <w:sz w:val="24"/>
          <w:szCs w:val="24"/>
          <w:lang w:val="en-US" w:eastAsia="zh-CN"/>
        </w:rPr>
        <w:t>遇</w:t>
      </w:r>
      <w:r>
        <w:rPr>
          <w:rFonts w:hint="eastAsia" w:ascii="宋体" w:hAnsi="宋体" w:eastAsia="宋体" w:cs="Times New Roman"/>
          <w:sz w:val="24"/>
          <w:szCs w:val="24"/>
          <w:lang w:eastAsia="zh-CN"/>
        </w:rPr>
        <w:t>紧急突发况</w:t>
      </w:r>
      <w:r>
        <w:rPr>
          <w:rFonts w:hint="eastAsia" w:ascii="宋体" w:hAnsi="宋体" w:eastAsia="宋体" w:cs="Times New Roman"/>
          <w:sz w:val="24"/>
          <w:szCs w:val="24"/>
          <w:lang w:val="en-US" w:eastAsia="zh-CN"/>
        </w:rPr>
        <w:t>应急处置，</w:t>
      </w:r>
      <w:r>
        <w:rPr>
          <w:rFonts w:hint="eastAsia" w:ascii="宋体" w:hAnsi="宋体" w:eastAsia="宋体" w:cs="Times New Roman"/>
          <w:sz w:val="24"/>
          <w:szCs w:val="24"/>
          <w:lang w:eastAsia="zh-CN"/>
        </w:rPr>
        <w:t>确保海岸线安全稳定；完成各岗位人员的工作部署、考勤、绩效考核等工作，积极配合甲方开展各项工作。</w:t>
      </w:r>
    </w:p>
    <w:p w14:paraId="56F5F1AA">
      <w:pPr>
        <w:spacing w:line="460" w:lineRule="exact"/>
        <w:ind w:firstLine="585"/>
        <w:textAlignment w:val="baseline"/>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2、</w:t>
      </w:r>
      <w:r>
        <w:rPr>
          <w:rFonts w:hint="default" w:ascii="宋体" w:hAnsi="宋体" w:eastAsia="宋体" w:cs="Times New Roman"/>
          <w:sz w:val="24"/>
          <w:szCs w:val="24"/>
          <w:lang w:val="en-US" w:eastAsia="zh-CN"/>
        </w:rPr>
        <w:t>巡逻岗工作要求</w:t>
      </w:r>
    </w:p>
    <w:p w14:paraId="74F13C27">
      <w:pPr>
        <w:spacing w:line="460" w:lineRule="exact"/>
        <w:ind w:firstLine="585"/>
        <w:textAlignment w:val="baseline"/>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每个巡逻岗位不得兼岗，实行24小时不间断全覆盖动态巡逻防控，遇节假日、潮汐时段加强巡防</w:t>
      </w:r>
      <w:r>
        <w:rPr>
          <w:rFonts w:hint="eastAsia" w:ascii="宋体" w:hAnsi="宋体" w:eastAsia="宋体" w:cs="Times New Roman"/>
          <w:sz w:val="24"/>
          <w:szCs w:val="24"/>
          <w:lang w:val="en-US" w:eastAsia="zh-CN"/>
        </w:rPr>
        <w:t>频次</w:t>
      </w:r>
      <w:r>
        <w:rPr>
          <w:rFonts w:hint="default" w:ascii="宋体" w:hAnsi="宋体" w:eastAsia="宋体" w:cs="Times New Roman"/>
          <w:sz w:val="24"/>
          <w:szCs w:val="24"/>
          <w:lang w:val="en-US" w:eastAsia="zh-CN"/>
        </w:rPr>
        <w:t>，</w:t>
      </w:r>
      <w:r>
        <w:rPr>
          <w:rFonts w:hint="eastAsia" w:ascii="宋体" w:hAnsi="宋体" w:eastAsia="宋体" w:cs="Times New Roman"/>
          <w:sz w:val="24"/>
          <w:szCs w:val="24"/>
          <w:lang w:val="en-US" w:eastAsia="zh-CN"/>
        </w:rPr>
        <w:t>及时劝阻</w:t>
      </w:r>
      <w:r>
        <w:rPr>
          <w:rFonts w:hint="default" w:ascii="宋体" w:hAnsi="宋体" w:eastAsia="宋体" w:cs="Times New Roman"/>
          <w:sz w:val="24"/>
          <w:szCs w:val="24"/>
          <w:lang w:val="en-US" w:eastAsia="zh-CN"/>
        </w:rPr>
        <w:t>沿线逗留人员、</w:t>
      </w:r>
      <w:r>
        <w:rPr>
          <w:rFonts w:hint="eastAsia" w:ascii="宋体" w:hAnsi="宋体" w:eastAsia="宋体" w:cs="Times New Roman"/>
          <w:sz w:val="24"/>
          <w:szCs w:val="24"/>
          <w:lang w:val="en-US" w:eastAsia="zh-CN"/>
        </w:rPr>
        <w:t>“赶小海”人员及</w:t>
      </w:r>
      <w:r>
        <w:rPr>
          <w:rFonts w:hint="default" w:ascii="宋体" w:hAnsi="宋体" w:eastAsia="宋体" w:cs="Times New Roman"/>
          <w:sz w:val="24"/>
          <w:szCs w:val="24"/>
          <w:lang w:val="en-US" w:eastAsia="zh-CN"/>
        </w:rPr>
        <w:t>携带</w:t>
      </w:r>
      <w:r>
        <w:rPr>
          <w:rFonts w:hint="eastAsia" w:ascii="宋体" w:hAnsi="宋体" w:eastAsia="宋体" w:cs="Times New Roman"/>
          <w:sz w:val="24"/>
          <w:szCs w:val="24"/>
          <w:lang w:val="en-US" w:eastAsia="zh-CN"/>
        </w:rPr>
        <w:t>浮子筏、橡皮艇等“三无船舶”</w:t>
      </w:r>
      <w:r>
        <w:rPr>
          <w:rFonts w:hint="default" w:ascii="宋体" w:hAnsi="宋体" w:eastAsia="宋体" w:cs="Times New Roman"/>
          <w:sz w:val="24"/>
          <w:szCs w:val="24"/>
          <w:lang w:val="en-US" w:eastAsia="zh-CN"/>
        </w:rPr>
        <w:t>的人员</w:t>
      </w:r>
      <w:r>
        <w:rPr>
          <w:rFonts w:hint="eastAsia" w:ascii="宋体" w:hAnsi="宋体" w:eastAsia="宋体" w:cs="Times New Roman"/>
          <w:sz w:val="24"/>
          <w:szCs w:val="24"/>
          <w:lang w:val="en-US" w:eastAsia="zh-CN"/>
        </w:rPr>
        <w:t>下海</w:t>
      </w:r>
      <w:r>
        <w:rPr>
          <w:rFonts w:hint="default" w:ascii="宋体" w:hAnsi="宋体" w:eastAsia="宋体" w:cs="Times New Roman"/>
          <w:sz w:val="24"/>
          <w:szCs w:val="24"/>
          <w:lang w:val="en-US" w:eastAsia="zh-CN"/>
        </w:rPr>
        <w:t>；重点部位、重要潮水时间段、夜间必巡；发生求助、纠纷、突发案事件等必到，确保沿海岸线稳定；工作量随季节转换及治安状况做相应调整。</w:t>
      </w:r>
    </w:p>
    <w:p w14:paraId="02539295">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3、</w:t>
      </w:r>
      <w:r>
        <w:rPr>
          <w:rFonts w:hint="default" w:ascii="宋体" w:hAnsi="宋体" w:eastAsia="宋体" w:cs="Times New Roman"/>
          <w:sz w:val="24"/>
          <w:szCs w:val="24"/>
          <w:lang w:val="en-US" w:eastAsia="zh-CN"/>
        </w:rPr>
        <w:t>巡逻岗工作</w:t>
      </w:r>
      <w:r>
        <w:rPr>
          <w:rFonts w:hint="eastAsia" w:ascii="宋体" w:hAnsi="宋体" w:eastAsia="宋体" w:cs="Times New Roman"/>
          <w:sz w:val="24"/>
          <w:szCs w:val="24"/>
          <w:lang w:val="en-US" w:eastAsia="zh-CN"/>
        </w:rPr>
        <w:t>职责</w:t>
      </w:r>
    </w:p>
    <w:p w14:paraId="2DE93AB9">
      <w:pPr>
        <w:spacing w:line="460" w:lineRule="exact"/>
        <w:ind w:firstLine="585"/>
        <w:textAlignment w:val="baseline"/>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（1）</w:t>
      </w:r>
      <w:r>
        <w:rPr>
          <w:rFonts w:hint="default" w:ascii="宋体" w:hAnsi="宋体" w:eastAsia="宋体" w:cs="Times New Roman"/>
          <w:sz w:val="24"/>
          <w:szCs w:val="24"/>
          <w:lang w:val="en-US" w:eastAsia="zh-CN"/>
        </w:rPr>
        <w:t>协助防范非法活动：在巡逻过程中，发现</w:t>
      </w:r>
      <w:r>
        <w:rPr>
          <w:rFonts w:hint="eastAsia" w:ascii="宋体" w:hAnsi="宋体" w:eastAsia="宋体" w:cs="Times New Roman"/>
          <w:sz w:val="24"/>
          <w:szCs w:val="24"/>
          <w:lang w:val="en-US" w:eastAsia="zh-CN"/>
        </w:rPr>
        <w:t>可疑</w:t>
      </w:r>
      <w:r>
        <w:rPr>
          <w:rFonts w:hint="default" w:ascii="宋体" w:hAnsi="宋体" w:eastAsia="宋体" w:cs="Times New Roman"/>
          <w:sz w:val="24"/>
          <w:szCs w:val="24"/>
          <w:lang w:val="en-US" w:eastAsia="zh-CN"/>
        </w:rPr>
        <w:t>人员</w:t>
      </w:r>
      <w:r>
        <w:rPr>
          <w:rFonts w:hint="eastAsia" w:ascii="宋体" w:hAnsi="宋体" w:eastAsia="宋体" w:cs="Times New Roman"/>
          <w:sz w:val="24"/>
          <w:szCs w:val="24"/>
          <w:lang w:val="en-US" w:eastAsia="zh-CN"/>
        </w:rPr>
        <w:t>、</w:t>
      </w:r>
      <w:r>
        <w:rPr>
          <w:rFonts w:hint="default" w:ascii="宋体" w:hAnsi="宋体" w:eastAsia="宋体" w:cs="Times New Roman"/>
          <w:sz w:val="24"/>
          <w:szCs w:val="24"/>
          <w:lang w:val="en-US" w:eastAsia="zh-CN"/>
        </w:rPr>
        <w:t>行为</w:t>
      </w:r>
      <w:r>
        <w:rPr>
          <w:rFonts w:hint="eastAsia" w:ascii="宋体" w:hAnsi="宋体" w:eastAsia="宋体" w:cs="Times New Roman"/>
          <w:sz w:val="24"/>
          <w:szCs w:val="24"/>
          <w:lang w:val="en-US" w:eastAsia="zh-CN"/>
        </w:rPr>
        <w:t>或可疑漂浮物</w:t>
      </w:r>
      <w:r>
        <w:rPr>
          <w:rFonts w:hint="default" w:ascii="宋体" w:hAnsi="宋体" w:eastAsia="宋体" w:cs="Times New Roman"/>
          <w:sz w:val="24"/>
          <w:szCs w:val="24"/>
          <w:lang w:val="en-US" w:eastAsia="zh-CN"/>
        </w:rPr>
        <w:t>，应立即上报并协助相关部门进行调查处理。</w:t>
      </w:r>
    </w:p>
    <w:p w14:paraId="2D407941">
      <w:pPr>
        <w:spacing w:line="460" w:lineRule="exact"/>
        <w:ind w:firstLine="585"/>
        <w:textAlignment w:val="baseline"/>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（2）</w:t>
      </w:r>
      <w:r>
        <w:rPr>
          <w:rFonts w:hint="default" w:ascii="宋体" w:hAnsi="宋体" w:eastAsia="宋体" w:cs="Times New Roman"/>
          <w:sz w:val="24"/>
          <w:szCs w:val="24"/>
          <w:lang w:val="en-US" w:eastAsia="zh-CN"/>
        </w:rPr>
        <w:t>在突发事件发生时，</w:t>
      </w:r>
      <w:r>
        <w:rPr>
          <w:rFonts w:hint="eastAsia" w:ascii="宋体" w:hAnsi="宋体" w:eastAsia="宋体" w:cs="Times New Roman"/>
          <w:sz w:val="24"/>
          <w:szCs w:val="24"/>
          <w:lang w:val="en-US" w:eastAsia="zh-CN"/>
        </w:rPr>
        <w:t>沿海巡防</w:t>
      </w:r>
      <w:r>
        <w:rPr>
          <w:rFonts w:hint="default" w:ascii="宋体" w:hAnsi="宋体" w:eastAsia="宋体" w:cs="Times New Roman"/>
          <w:sz w:val="24"/>
          <w:szCs w:val="24"/>
          <w:lang w:val="en-US" w:eastAsia="zh-CN"/>
        </w:rPr>
        <w:t>接到指令后需立即响应，</w:t>
      </w:r>
      <w:r>
        <w:rPr>
          <w:rFonts w:hint="eastAsia" w:ascii="宋体" w:hAnsi="宋体" w:eastAsia="宋体" w:cs="Times New Roman"/>
          <w:sz w:val="24"/>
          <w:szCs w:val="24"/>
          <w:lang w:val="en-US" w:eastAsia="zh-CN"/>
        </w:rPr>
        <w:t>30分钟</w:t>
      </w:r>
      <w:r>
        <w:rPr>
          <w:rFonts w:hint="default" w:ascii="宋体" w:hAnsi="宋体" w:eastAsia="宋体" w:cs="Times New Roman"/>
          <w:sz w:val="24"/>
          <w:szCs w:val="24"/>
          <w:lang w:val="en-US" w:eastAsia="zh-CN"/>
        </w:rPr>
        <w:t>内（含</w:t>
      </w:r>
      <w:r>
        <w:rPr>
          <w:rFonts w:hint="eastAsia" w:ascii="宋体" w:hAnsi="宋体" w:eastAsia="宋体" w:cs="Times New Roman"/>
          <w:sz w:val="24"/>
          <w:szCs w:val="24"/>
          <w:lang w:val="en-US" w:eastAsia="zh-CN"/>
        </w:rPr>
        <w:t>30分钟</w:t>
      </w:r>
      <w:r>
        <w:rPr>
          <w:rFonts w:hint="default" w:ascii="宋体" w:hAnsi="宋体" w:eastAsia="宋体" w:cs="Times New Roman"/>
          <w:sz w:val="24"/>
          <w:szCs w:val="24"/>
          <w:lang w:val="en-US" w:eastAsia="zh-CN"/>
        </w:rPr>
        <w:t>）调配应急服务力量到现场，提供有效处理措施。</w:t>
      </w:r>
    </w:p>
    <w:p w14:paraId="788A2546">
      <w:pPr>
        <w:spacing w:line="460" w:lineRule="exact"/>
        <w:ind w:firstLine="585"/>
        <w:textAlignment w:val="baseline"/>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（3）</w:t>
      </w:r>
      <w:r>
        <w:rPr>
          <w:rFonts w:hint="default" w:ascii="宋体" w:hAnsi="宋体" w:eastAsia="宋体" w:cs="Times New Roman"/>
          <w:sz w:val="24"/>
          <w:szCs w:val="24"/>
          <w:lang w:val="en-US" w:eastAsia="zh-CN"/>
        </w:rPr>
        <w:t>协助</w:t>
      </w:r>
      <w:r>
        <w:rPr>
          <w:rFonts w:hint="eastAsia" w:ascii="宋体" w:hAnsi="宋体" w:eastAsia="宋体" w:cs="Times New Roman"/>
          <w:sz w:val="24"/>
          <w:szCs w:val="24"/>
          <w:lang w:val="en-US" w:eastAsia="zh-CN"/>
        </w:rPr>
        <w:t>管护</w:t>
      </w:r>
      <w:r>
        <w:rPr>
          <w:rFonts w:hint="default" w:ascii="宋体" w:hAnsi="宋体" w:eastAsia="宋体" w:cs="Times New Roman"/>
          <w:sz w:val="24"/>
          <w:szCs w:val="24"/>
          <w:lang w:val="en-US" w:eastAsia="zh-CN"/>
        </w:rPr>
        <w:t>工作：巡逻过程中，如发现有人员落水、失踪等紧急情况，应立即协助相关部门进行</w:t>
      </w:r>
      <w:r>
        <w:rPr>
          <w:rFonts w:hint="eastAsia" w:ascii="宋体" w:hAnsi="宋体" w:eastAsia="宋体" w:cs="Times New Roman"/>
          <w:sz w:val="24"/>
          <w:szCs w:val="24"/>
          <w:lang w:val="en-US" w:eastAsia="zh-CN"/>
        </w:rPr>
        <w:t>现场管护</w:t>
      </w:r>
      <w:r>
        <w:rPr>
          <w:rFonts w:hint="default" w:ascii="宋体" w:hAnsi="宋体" w:eastAsia="宋体" w:cs="Times New Roman"/>
          <w:sz w:val="24"/>
          <w:szCs w:val="24"/>
          <w:lang w:val="en-US" w:eastAsia="zh-CN"/>
        </w:rPr>
        <w:t>工作</w:t>
      </w:r>
      <w:r>
        <w:rPr>
          <w:rFonts w:hint="eastAsia" w:ascii="宋体" w:hAnsi="宋体" w:eastAsia="宋体" w:cs="Times New Roman"/>
          <w:sz w:val="24"/>
          <w:szCs w:val="24"/>
          <w:lang w:val="en-US" w:eastAsia="zh-CN"/>
        </w:rPr>
        <w:t>，</w:t>
      </w:r>
      <w:r>
        <w:rPr>
          <w:rFonts w:hint="default" w:ascii="宋体" w:hAnsi="宋体" w:eastAsia="宋体" w:cs="Times New Roman"/>
          <w:sz w:val="24"/>
          <w:szCs w:val="24"/>
          <w:lang w:val="en-US" w:eastAsia="zh-CN"/>
        </w:rPr>
        <w:t>维护秩序与安全</w:t>
      </w:r>
      <w:r>
        <w:rPr>
          <w:rFonts w:hint="eastAsia" w:ascii="宋体" w:hAnsi="宋体" w:eastAsia="宋体" w:cs="Times New Roman"/>
          <w:sz w:val="24"/>
          <w:szCs w:val="24"/>
          <w:lang w:val="en-US" w:eastAsia="zh-CN"/>
        </w:rPr>
        <w:t>。</w:t>
      </w:r>
    </w:p>
    <w:p w14:paraId="48995A44">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（4）</w:t>
      </w:r>
      <w:r>
        <w:rPr>
          <w:rFonts w:hint="default" w:ascii="宋体" w:hAnsi="宋体" w:eastAsia="宋体" w:cs="Times New Roman"/>
          <w:sz w:val="24"/>
          <w:szCs w:val="24"/>
          <w:lang w:val="en-US" w:eastAsia="zh-CN"/>
        </w:rPr>
        <w:t>异常情况上报：巡逻过程中，如发现海岸线出现异常情况，如污染、破坏等，应及时上报相关部门，并协助进行调查处理。同时，应关注天气、海况等变化，及时上报可能影响海岸线安全的信息。</w:t>
      </w:r>
      <w:r>
        <w:rPr>
          <w:rFonts w:hint="eastAsia" w:ascii="宋体" w:hAnsi="宋体" w:eastAsia="宋体" w:cs="Times New Roman"/>
          <w:sz w:val="24"/>
          <w:szCs w:val="24"/>
          <w:lang w:val="en-US" w:eastAsia="zh-CN"/>
        </w:rPr>
        <w:t xml:space="preserve">           </w:t>
      </w:r>
    </w:p>
    <w:p w14:paraId="5C3A6D20">
      <w:pPr>
        <w:spacing w:line="460" w:lineRule="exact"/>
        <w:ind w:firstLine="585"/>
        <w:textAlignment w:val="baseline"/>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（5）</w:t>
      </w:r>
      <w:r>
        <w:rPr>
          <w:rFonts w:hint="default" w:ascii="宋体" w:hAnsi="宋体" w:eastAsia="宋体" w:cs="Times New Roman"/>
          <w:sz w:val="24"/>
          <w:szCs w:val="24"/>
          <w:lang w:val="en-US" w:eastAsia="zh-CN"/>
        </w:rPr>
        <w:t>配合执法部门工作：</w:t>
      </w:r>
      <w:r>
        <w:rPr>
          <w:rFonts w:hint="eastAsia" w:ascii="宋体" w:hAnsi="宋体" w:eastAsia="宋体" w:cs="Times New Roman"/>
          <w:sz w:val="24"/>
          <w:szCs w:val="24"/>
          <w:lang w:val="en-US" w:eastAsia="zh-CN"/>
        </w:rPr>
        <w:t>沿海</w:t>
      </w:r>
      <w:r>
        <w:rPr>
          <w:rFonts w:hint="default" w:ascii="宋体" w:hAnsi="宋体" w:eastAsia="宋体" w:cs="Times New Roman"/>
          <w:sz w:val="24"/>
          <w:szCs w:val="24"/>
          <w:lang w:val="en-US" w:eastAsia="zh-CN"/>
        </w:rPr>
        <w:t>巡防需积极配合执法部门的工作，如提供线索、</w:t>
      </w:r>
      <w:r>
        <w:rPr>
          <w:rFonts w:hint="eastAsia" w:ascii="宋体" w:hAnsi="宋体" w:eastAsia="宋体" w:cs="Times New Roman"/>
          <w:sz w:val="24"/>
          <w:szCs w:val="24"/>
          <w:lang w:val="en-US" w:eastAsia="zh-CN"/>
        </w:rPr>
        <w:t>维护现场秩序</w:t>
      </w:r>
      <w:r>
        <w:rPr>
          <w:rFonts w:hint="default" w:ascii="宋体" w:hAnsi="宋体" w:eastAsia="宋体" w:cs="Times New Roman"/>
          <w:sz w:val="24"/>
          <w:szCs w:val="24"/>
          <w:lang w:val="en-US" w:eastAsia="zh-CN"/>
        </w:rPr>
        <w:t>等。在执法过程中，应遵守法律法规，</w:t>
      </w:r>
      <w:r>
        <w:rPr>
          <w:rFonts w:hint="eastAsia" w:ascii="宋体" w:hAnsi="宋体" w:eastAsia="宋体" w:cs="Times New Roman"/>
          <w:sz w:val="24"/>
          <w:szCs w:val="24"/>
          <w:lang w:val="en-US" w:eastAsia="zh-CN"/>
        </w:rPr>
        <w:t>配合协助执法部门的行动</w:t>
      </w:r>
      <w:r>
        <w:rPr>
          <w:rFonts w:hint="default" w:ascii="宋体" w:hAnsi="宋体" w:eastAsia="宋体" w:cs="Times New Roman"/>
          <w:sz w:val="24"/>
          <w:szCs w:val="24"/>
          <w:lang w:val="en-US" w:eastAsia="zh-CN"/>
        </w:rPr>
        <w:t>，确保执法工作的顺利进行。</w:t>
      </w:r>
    </w:p>
    <w:p w14:paraId="0DA47C20">
      <w:pPr>
        <w:spacing w:line="460" w:lineRule="exact"/>
        <w:ind w:firstLine="585"/>
        <w:textAlignment w:val="baseline"/>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（6）沿海巡防</w:t>
      </w:r>
      <w:r>
        <w:rPr>
          <w:rFonts w:hint="default" w:ascii="宋体" w:hAnsi="宋体" w:eastAsia="宋体" w:cs="Times New Roman"/>
          <w:sz w:val="24"/>
          <w:szCs w:val="24"/>
          <w:lang w:val="en-US" w:eastAsia="zh-CN"/>
        </w:rPr>
        <w:t>需维护海岸线的公共秩序与安全，确保游客和</w:t>
      </w:r>
      <w:r>
        <w:rPr>
          <w:rFonts w:hint="eastAsia" w:ascii="宋体" w:hAnsi="宋体" w:eastAsia="宋体" w:cs="Times New Roman"/>
          <w:sz w:val="24"/>
          <w:szCs w:val="24"/>
          <w:lang w:val="en-US" w:eastAsia="zh-CN"/>
        </w:rPr>
        <w:t>群众</w:t>
      </w:r>
      <w:r>
        <w:rPr>
          <w:rFonts w:hint="default" w:ascii="宋体" w:hAnsi="宋体" w:eastAsia="宋体" w:cs="Times New Roman"/>
          <w:sz w:val="24"/>
          <w:szCs w:val="24"/>
          <w:lang w:val="en-US" w:eastAsia="zh-CN"/>
        </w:rPr>
        <w:t>的生命财产安全。在巡逻过程中，如发现扰乱公共秩序、危害公共安全的行为，应及时制止并上报。</w:t>
      </w:r>
    </w:p>
    <w:p w14:paraId="2A067343">
      <w:pPr>
        <w:spacing w:line="46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八、</w:t>
      </w:r>
      <w:r>
        <w:rPr>
          <w:rFonts w:hint="eastAsia" w:ascii="宋体" w:hAnsi="宋体" w:eastAsia="宋体" w:cs="Times New Roman"/>
          <w:b/>
          <w:sz w:val="24"/>
          <w:szCs w:val="24"/>
          <w:lang w:val="en-US" w:eastAsia="zh-CN"/>
        </w:rPr>
        <w:t>服务</w:t>
      </w:r>
      <w:r>
        <w:rPr>
          <w:rFonts w:hint="eastAsia" w:ascii="宋体" w:hAnsi="宋体" w:eastAsia="宋体" w:cs="Times New Roman"/>
          <w:b/>
          <w:sz w:val="24"/>
          <w:szCs w:val="24"/>
        </w:rPr>
        <w:t>要求</w:t>
      </w:r>
    </w:p>
    <w:p w14:paraId="68A13867">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1、按甲方要求对服务范围进行巡逻打卡并通过现场拍照、录像等方式记录现场情况。</w:t>
      </w:r>
    </w:p>
    <w:p w14:paraId="4C0FF1AE">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2、乙方为本项目配备的管理岗及巡逻岗人员需具有巡防（查）服务经验。</w:t>
      </w:r>
    </w:p>
    <w:p w14:paraId="04EDF927">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3、乙方针对本项目服务配备巡逻皮卡汽车3辆，巡逻记录仪3台，手持电喇叭3只，强光手电3支，车载扬声器2台、电脑1台（套）、制服、反光背心、救生衣、救生圈等设备设施。上述装备由乙方自行配备，费用包含在合同价中，合同期满后归乙方所有。</w:t>
      </w:r>
    </w:p>
    <w:p w14:paraId="3A6E7FF5">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4、乙方须为在岗巡防人员配发统一制式服装，在上岗期间必须规范着装。同时，配备必要的装备。</w:t>
      </w:r>
    </w:p>
    <w:p w14:paraId="360D410C">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5、乙方服务人员没有按照计划排班执行，不得出现脱岗、不在岗现象。</w:t>
      </w:r>
    </w:p>
    <w:p w14:paraId="2E7444AF">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6、甲方为乙方协调巡逻休息站点，相关费用由乙方自理。</w:t>
      </w:r>
    </w:p>
    <w:p w14:paraId="4420E859">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7、乙方投入本项目的作业人员均为男性，巡防人员原则上须为年满18周岁以上，55周岁以下的中国公民，高中以上学历，身体健康，体貌端正，品行良好，无违法犯罪记录，无其它违反国家政策规定的不良记录，巡防人员配备不得少于7人（不含项目经理），每班在岗在位不少于2人。并持有公安部门颁发的《保安员证》。</w:t>
      </w:r>
    </w:p>
    <w:p w14:paraId="33B47652">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8、巡防人员要做到“六不”：不擅离岗位、不睡觉瞌睡、不闲聊戏闹、不下棋打牌、不喝酒聚餐、不干私活、不会私客；</w:t>
      </w:r>
    </w:p>
    <w:p w14:paraId="64CD7A44">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9、乙方负责对拟派出的巡防人员的岗前培训教育和业务素质的提高，相关岗位应持证上岗，并且合理安排巡防人员培训。</w:t>
      </w:r>
    </w:p>
    <w:p w14:paraId="736FCFF6">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10、乙方须为巡防人员缴纳社会保险，并购买人身意外伤害保险。</w:t>
      </w:r>
    </w:p>
    <w:p w14:paraId="42C5F01F">
      <w:pPr>
        <w:spacing w:line="460" w:lineRule="exact"/>
        <w:ind w:firstLine="585"/>
        <w:textAlignment w:val="baseline"/>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eastAsia="zh-CN"/>
        </w:rPr>
        <w:t>九、</w:t>
      </w:r>
      <w:r>
        <w:rPr>
          <w:rFonts w:hint="eastAsia" w:ascii="宋体" w:hAnsi="宋体" w:eastAsia="宋体" w:cs="Times New Roman"/>
          <w:b/>
          <w:bCs/>
          <w:sz w:val="24"/>
          <w:szCs w:val="24"/>
          <w:lang w:val="en-US" w:eastAsia="zh-CN"/>
        </w:rPr>
        <w:t>其他</w:t>
      </w:r>
      <w:r>
        <w:rPr>
          <w:rFonts w:hint="eastAsia" w:ascii="宋体" w:hAnsi="宋体" w:eastAsia="宋体" w:cs="Times New Roman"/>
          <w:b/>
          <w:bCs/>
          <w:sz w:val="24"/>
          <w:szCs w:val="24"/>
          <w:lang w:eastAsia="zh-CN"/>
        </w:rPr>
        <w:t>要求</w:t>
      </w:r>
    </w:p>
    <w:bookmarkEnd w:id="97"/>
    <w:p w14:paraId="24371A77">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1、乙方拟派出的巡防人员应严格执行甲方的有关规定，但有义务对甲方的不安全隐患提出改进意见和措施。</w:t>
      </w:r>
    </w:p>
    <w:p w14:paraId="772B803A">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甲方与巡防人员不存在任何形式的劳动、劳务、雇佣关系，甲方仅与乙方建立巡防服务关系。巡防人员在为甲方提供服务期间发生意外事故，均由乙方负责处理并承担责任。因巡防人员履职造成第三方损害的，由乙方承担赔偿责任。</w:t>
      </w:r>
    </w:p>
    <w:p w14:paraId="39E206A1">
      <w:pPr>
        <w:spacing w:line="46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十、考核方式</w:t>
      </w:r>
    </w:p>
    <w:p w14:paraId="574DFFC5">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1、考核实施：由镇政府相关部门对巡逻服务实施考核。</w:t>
      </w:r>
    </w:p>
    <w:p w14:paraId="136BF1C5">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2、考核办法（详见附件）：实行</w:t>
      </w:r>
      <w:r>
        <w:rPr>
          <w:rFonts w:hint="default" w:ascii="宋体" w:hAnsi="宋体" w:eastAsia="宋体" w:cs="Times New Roman"/>
          <w:sz w:val="24"/>
          <w:szCs w:val="24"/>
          <w:lang w:val="en-US" w:eastAsia="zh-CN"/>
        </w:rPr>
        <w:t>季度考核，季度考核得分作为当季服务费拨付的依据。</w:t>
      </w:r>
      <w:r>
        <w:rPr>
          <w:rFonts w:hint="eastAsia" w:ascii="宋体" w:hAnsi="宋体" w:eastAsia="宋体" w:cs="Times New Roman"/>
          <w:sz w:val="24"/>
          <w:szCs w:val="24"/>
          <w:lang w:val="en-US" w:eastAsia="zh-CN"/>
        </w:rPr>
        <w:t>巡逻管理小队应于</w:t>
      </w:r>
      <w:r>
        <w:rPr>
          <w:rFonts w:hint="default" w:ascii="宋体" w:hAnsi="宋体" w:eastAsia="宋体" w:cs="Times New Roman"/>
          <w:sz w:val="24"/>
          <w:szCs w:val="24"/>
          <w:lang w:val="en-US" w:eastAsia="zh-CN"/>
        </w:rPr>
        <w:t>每月次月5日前分别向政府相关部门和公司报送当月工作总结，每季季末次月5日前报送当季自查报告；每半年、每年度（合同期第11个月）工作总结和自查自评报告按</w:t>
      </w:r>
      <w:r>
        <w:rPr>
          <w:rFonts w:hint="eastAsia" w:ascii="宋体" w:hAnsi="宋体" w:eastAsia="宋体" w:cs="Times New Roman"/>
          <w:sz w:val="24"/>
          <w:szCs w:val="24"/>
          <w:lang w:val="en-US" w:eastAsia="zh-CN"/>
        </w:rPr>
        <w:t>甲方</w:t>
      </w:r>
      <w:r>
        <w:rPr>
          <w:rFonts w:hint="default" w:ascii="宋体" w:hAnsi="宋体" w:eastAsia="宋体" w:cs="Times New Roman"/>
          <w:sz w:val="24"/>
          <w:szCs w:val="24"/>
          <w:lang w:val="en-US" w:eastAsia="zh-CN"/>
        </w:rPr>
        <w:t>要求报送</w:t>
      </w:r>
      <w:r>
        <w:rPr>
          <w:rFonts w:hint="eastAsia" w:ascii="宋体" w:hAnsi="宋体" w:eastAsia="宋体" w:cs="Times New Roman"/>
          <w:sz w:val="24"/>
          <w:szCs w:val="24"/>
          <w:lang w:val="en-US" w:eastAsia="zh-CN"/>
        </w:rPr>
        <w:t>。</w:t>
      </w:r>
    </w:p>
    <w:p w14:paraId="5259B372">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政府组建考核小组或指定考核人员，按照考核要求根据乙方提交的工作总结以及各月工作台账、抽查情况，包括群众的反映等，对乙方进行综合评分考核。</w:t>
      </w:r>
    </w:p>
    <w:p w14:paraId="090588EE">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3、</w:t>
      </w:r>
      <w:r>
        <w:rPr>
          <w:rFonts w:hint="default" w:ascii="宋体" w:hAnsi="宋体" w:eastAsia="宋体" w:cs="Times New Roman"/>
          <w:sz w:val="24"/>
          <w:szCs w:val="24"/>
          <w:lang w:val="en-US" w:eastAsia="zh-CN"/>
        </w:rPr>
        <w:t>奖励和处罚：考核实行百分制，基础分100分，加分项累计后考核得分最高按100分计（加分致超过100分的，按100分计）。</w:t>
      </w:r>
    </w:p>
    <w:p w14:paraId="1B6D7DC3">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①发现并协助政府主管部门整治三无船舶等，每次加1分。</w:t>
      </w:r>
    </w:p>
    <w:p w14:paraId="3DF53A90">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②海上发现重大隐患，并及时上报政府管理部门的，每次加2分。</w:t>
      </w:r>
    </w:p>
    <w:p w14:paraId="235E482E">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③在本年度重大生产安全事故的预防和救援中受国家、省、市表彰的，每次分别加5分、3分、2分。</w:t>
      </w:r>
    </w:p>
    <w:p w14:paraId="275B183C">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④凡每个考核周期内或半年内或合同期内，未发生或通过劝阻、报告后及时阻拦制止了群众下海捕捞、养殖或下小海的，协助清理“三无”船舶、浮子筏、快艇等，对派遣公司分别予以奖励，奖励金额分别为1000元、3000元和6000元。</w:t>
      </w:r>
    </w:p>
    <w:p w14:paraId="7190D31A">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⑤凡每个考核周期内或半年内或合同期内，因工作失误导致没有及时发现或没有劝阻、没有及时报告而发生群众下海捕捞、养殖或下小海的，造成一定影响或产生后果的对乙方予以处罚，每发生一起，处罚金额为1000元；凡因群众下海导致发生死亡事故的，加倍处罚；因下海导致死亡而产生社会和政治影响的，合同到期不再予以续签。</w:t>
      </w:r>
    </w:p>
    <w:p w14:paraId="68DD6C6B">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此区域范围内开展沿海堤岸及滩涂日常巡逻管控服务，劝阻浮子筏、快艇等“三无”船舶出海及“下小海”人员违规下海。</w:t>
      </w:r>
    </w:p>
    <w:p w14:paraId="68AE6D30">
      <w:pPr>
        <w:widowControl/>
        <w:shd w:val="clear" w:color="auto" w:fill="FFFFFF"/>
        <w:spacing w:before="100" w:beforeAutospacing="1" w:after="100" w:afterAutospacing="1"/>
        <w:ind w:firstLine="480" w:firstLineChars="200"/>
        <w:jc w:val="center"/>
        <w:rPr>
          <w:rFonts w:hint="eastAsia" w:ascii="仿宋" w:eastAsia="仿宋" w:cs="宋体"/>
          <w:kern w:val="0"/>
          <w:sz w:val="32"/>
          <w:szCs w:val="32"/>
          <w:u w:val="none"/>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《考核办法》</w:t>
      </w:r>
    </w:p>
    <w:tbl>
      <w:tblPr>
        <w:tblStyle w:val="11"/>
        <w:tblW w:w="9732" w:type="dxa"/>
        <w:tblInd w:w="-2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3327"/>
        <w:gridCol w:w="660"/>
        <w:gridCol w:w="3050"/>
        <w:gridCol w:w="651"/>
        <w:gridCol w:w="688"/>
        <w:gridCol w:w="615"/>
      </w:tblGrid>
      <w:tr w14:paraId="112C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41" w:type="dxa"/>
            <w:noWrap w:val="0"/>
            <w:vAlign w:val="center"/>
          </w:tcPr>
          <w:p w14:paraId="272EECE7">
            <w:pPr>
              <w:jc w:val="center"/>
              <w:rPr>
                <w:b/>
                <w:sz w:val="21"/>
                <w:szCs w:val="21"/>
              </w:rPr>
            </w:pPr>
            <w:r>
              <w:rPr>
                <w:rFonts w:hint="eastAsia"/>
                <w:b/>
                <w:sz w:val="21"/>
                <w:szCs w:val="21"/>
              </w:rPr>
              <w:t>考核项目</w:t>
            </w:r>
          </w:p>
        </w:tc>
        <w:tc>
          <w:tcPr>
            <w:tcW w:w="3327" w:type="dxa"/>
            <w:noWrap w:val="0"/>
            <w:vAlign w:val="center"/>
          </w:tcPr>
          <w:p w14:paraId="473C8D05">
            <w:pPr>
              <w:jc w:val="center"/>
              <w:rPr>
                <w:b/>
                <w:sz w:val="21"/>
                <w:szCs w:val="21"/>
              </w:rPr>
            </w:pPr>
            <w:r>
              <w:rPr>
                <w:rFonts w:hint="eastAsia"/>
                <w:b/>
                <w:sz w:val="21"/>
                <w:szCs w:val="21"/>
              </w:rPr>
              <w:t>考核内容</w:t>
            </w:r>
          </w:p>
        </w:tc>
        <w:tc>
          <w:tcPr>
            <w:tcW w:w="660" w:type="dxa"/>
            <w:noWrap w:val="0"/>
            <w:vAlign w:val="top"/>
          </w:tcPr>
          <w:p w14:paraId="2022E04A">
            <w:pPr>
              <w:jc w:val="center"/>
              <w:rPr>
                <w:b/>
                <w:sz w:val="21"/>
                <w:szCs w:val="21"/>
              </w:rPr>
            </w:pPr>
            <w:r>
              <w:rPr>
                <w:rFonts w:hint="eastAsia"/>
                <w:b/>
                <w:sz w:val="21"/>
                <w:szCs w:val="21"/>
              </w:rPr>
              <w:t>标准</w:t>
            </w:r>
          </w:p>
          <w:p w14:paraId="44D9B759">
            <w:pPr>
              <w:jc w:val="center"/>
              <w:rPr>
                <w:b/>
                <w:sz w:val="21"/>
                <w:szCs w:val="21"/>
              </w:rPr>
            </w:pPr>
            <w:r>
              <w:rPr>
                <w:rFonts w:hint="eastAsia"/>
                <w:b/>
                <w:sz w:val="21"/>
                <w:szCs w:val="21"/>
              </w:rPr>
              <w:t>分值</w:t>
            </w:r>
          </w:p>
        </w:tc>
        <w:tc>
          <w:tcPr>
            <w:tcW w:w="3050" w:type="dxa"/>
            <w:noWrap w:val="0"/>
            <w:vAlign w:val="center"/>
          </w:tcPr>
          <w:p w14:paraId="5D4A78E5">
            <w:pPr>
              <w:jc w:val="center"/>
              <w:rPr>
                <w:b/>
                <w:sz w:val="21"/>
                <w:szCs w:val="21"/>
              </w:rPr>
            </w:pPr>
            <w:r>
              <w:rPr>
                <w:rFonts w:hint="eastAsia"/>
                <w:b/>
                <w:sz w:val="21"/>
                <w:szCs w:val="21"/>
              </w:rPr>
              <w:t>评分标准</w:t>
            </w:r>
          </w:p>
        </w:tc>
        <w:tc>
          <w:tcPr>
            <w:tcW w:w="1339" w:type="dxa"/>
            <w:gridSpan w:val="2"/>
            <w:noWrap w:val="0"/>
            <w:vAlign w:val="center"/>
          </w:tcPr>
          <w:p w14:paraId="006CD7F5">
            <w:pPr>
              <w:jc w:val="center"/>
              <w:rPr>
                <w:b/>
              </w:rPr>
            </w:pPr>
            <w:r>
              <w:rPr>
                <w:rFonts w:hint="eastAsia"/>
                <w:b/>
              </w:rPr>
              <w:t>考核得分</w:t>
            </w:r>
          </w:p>
        </w:tc>
        <w:tc>
          <w:tcPr>
            <w:tcW w:w="615" w:type="dxa"/>
            <w:noWrap w:val="0"/>
            <w:vAlign w:val="center"/>
          </w:tcPr>
          <w:p w14:paraId="7E7B0372">
            <w:pPr>
              <w:jc w:val="center"/>
              <w:rPr>
                <w:b/>
              </w:rPr>
            </w:pPr>
            <w:r>
              <w:rPr>
                <w:rFonts w:hint="eastAsia"/>
                <w:b/>
              </w:rPr>
              <w:t>备注</w:t>
            </w:r>
          </w:p>
        </w:tc>
      </w:tr>
      <w:tr w14:paraId="0ACA2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41" w:type="dxa"/>
            <w:vMerge w:val="restart"/>
            <w:noWrap w:val="0"/>
            <w:vAlign w:val="center"/>
          </w:tcPr>
          <w:p w14:paraId="5D6A42D8">
            <w:pPr>
              <w:jc w:val="center"/>
              <w:rPr>
                <w:sz w:val="21"/>
                <w:szCs w:val="21"/>
              </w:rPr>
            </w:pPr>
            <w:r>
              <w:rPr>
                <w:rFonts w:hint="eastAsia"/>
                <w:sz w:val="21"/>
                <w:szCs w:val="21"/>
              </w:rPr>
              <w:t>组织保证</w:t>
            </w:r>
          </w:p>
          <w:p w14:paraId="03C5FD5E">
            <w:pPr>
              <w:jc w:val="center"/>
              <w:rPr>
                <w:rFonts w:hint="default" w:eastAsia="宋体"/>
                <w:sz w:val="21"/>
                <w:szCs w:val="21"/>
                <w:lang w:val="en-US" w:eastAsia="zh-CN"/>
              </w:rPr>
            </w:pPr>
            <w:r>
              <w:rPr>
                <w:rFonts w:hint="eastAsia"/>
                <w:sz w:val="21"/>
                <w:szCs w:val="21"/>
                <w:lang w:val="en-US" w:eastAsia="zh-CN"/>
              </w:rPr>
              <w:t>10</w:t>
            </w:r>
          </w:p>
        </w:tc>
        <w:tc>
          <w:tcPr>
            <w:tcW w:w="3327" w:type="dxa"/>
            <w:noWrap w:val="0"/>
            <w:vAlign w:val="center"/>
          </w:tcPr>
          <w:p w14:paraId="71ADA592">
            <w:pPr>
              <w:spacing w:line="320" w:lineRule="exact"/>
              <w:ind w:firstLine="420" w:firstLineChars="200"/>
              <w:rPr>
                <w:sz w:val="21"/>
                <w:szCs w:val="21"/>
              </w:rPr>
            </w:pPr>
            <w:r>
              <w:rPr>
                <w:rFonts w:hint="eastAsia"/>
                <w:sz w:val="21"/>
                <w:szCs w:val="21"/>
              </w:rPr>
              <w:t>把安全管理工作纳入日程，建立内部管理机构，配备沿海安全岗位职责牌，分工明确、责任到人。</w:t>
            </w:r>
          </w:p>
        </w:tc>
        <w:tc>
          <w:tcPr>
            <w:tcW w:w="660" w:type="dxa"/>
            <w:noWrap w:val="0"/>
            <w:vAlign w:val="center"/>
          </w:tcPr>
          <w:p w14:paraId="2E2951FB">
            <w:pPr>
              <w:jc w:val="center"/>
              <w:rPr>
                <w:sz w:val="21"/>
                <w:szCs w:val="21"/>
              </w:rPr>
            </w:pPr>
            <w:r>
              <w:rPr>
                <w:rFonts w:hint="eastAsia"/>
                <w:sz w:val="21"/>
                <w:szCs w:val="21"/>
              </w:rPr>
              <w:t>2</w:t>
            </w:r>
          </w:p>
        </w:tc>
        <w:tc>
          <w:tcPr>
            <w:tcW w:w="3050" w:type="dxa"/>
            <w:noWrap w:val="0"/>
            <w:vAlign w:val="center"/>
          </w:tcPr>
          <w:p w14:paraId="2BA9C2DC">
            <w:pPr>
              <w:ind w:firstLine="315" w:firstLineChars="150"/>
              <w:rPr>
                <w:sz w:val="21"/>
                <w:szCs w:val="21"/>
              </w:rPr>
            </w:pPr>
            <w:r>
              <w:rPr>
                <w:rFonts w:hint="eastAsia"/>
                <w:sz w:val="21"/>
                <w:szCs w:val="21"/>
              </w:rPr>
              <w:t>查资料。无组织机构、人员分工、岗位职责每项扣1分。</w:t>
            </w:r>
          </w:p>
        </w:tc>
        <w:tc>
          <w:tcPr>
            <w:tcW w:w="651" w:type="dxa"/>
            <w:noWrap w:val="0"/>
            <w:vAlign w:val="top"/>
          </w:tcPr>
          <w:p w14:paraId="0F220D87"/>
        </w:tc>
        <w:tc>
          <w:tcPr>
            <w:tcW w:w="688" w:type="dxa"/>
            <w:vMerge w:val="restart"/>
            <w:noWrap w:val="0"/>
            <w:vAlign w:val="top"/>
          </w:tcPr>
          <w:p w14:paraId="10E2BD95"/>
        </w:tc>
        <w:tc>
          <w:tcPr>
            <w:tcW w:w="615" w:type="dxa"/>
            <w:vMerge w:val="restart"/>
            <w:noWrap w:val="0"/>
            <w:vAlign w:val="top"/>
          </w:tcPr>
          <w:p w14:paraId="13655759"/>
        </w:tc>
      </w:tr>
      <w:tr w14:paraId="5F1B0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41" w:type="dxa"/>
            <w:vMerge w:val="continue"/>
            <w:noWrap w:val="0"/>
            <w:vAlign w:val="center"/>
          </w:tcPr>
          <w:p w14:paraId="4377AE1E">
            <w:pPr>
              <w:rPr>
                <w:sz w:val="21"/>
                <w:szCs w:val="21"/>
              </w:rPr>
            </w:pPr>
          </w:p>
        </w:tc>
        <w:tc>
          <w:tcPr>
            <w:tcW w:w="3327" w:type="dxa"/>
            <w:noWrap w:val="0"/>
            <w:vAlign w:val="center"/>
          </w:tcPr>
          <w:p w14:paraId="2F76F64A">
            <w:pPr>
              <w:spacing w:line="320" w:lineRule="exact"/>
              <w:ind w:firstLine="315" w:firstLineChars="150"/>
              <w:rPr>
                <w:sz w:val="21"/>
                <w:szCs w:val="21"/>
              </w:rPr>
            </w:pPr>
            <w:r>
              <w:rPr>
                <w:rFonts w:hint="eastAsia"/>
                <w:sz w:val="21"/>
                <w:szCs w:val="21"/>
              </w:rPr>
              <w:t>每日做好工作记录，分析、研究、解决沿海安全巡防工作问题。</w:t>
            </w:r>
          </w:p>
        </w:tc>
        <w:tc>
          <w:tcPr>
            <w:tcW w:w="660" w:type="dxa"/>
            <w:noWrap w:val="0"/>
            <w:vAlign w:val="center"/>
          </w:tcPr>
          <w:p w14:paraId="19FA2A11">
            <w:pPr>
              <w:jc w:val="center"/>
              <w:rPr>
                <w:sz w:val="21"/>
                <w:szCs w:val="21"/>
              </w:rPr>
            </w:pPr>
            <w:r>
              <w:rPr>
                <w:rFonts w:hint="eastAsia"/>
                <w:sz w:val="21"/>
                <w:szCs w:val="21"/>
              </w:rPr>
              <w:t>6</w:t>
            </w:r>
          </w:p>
        </w:tc>
        <w:tc>
          <w:tcPr>
            <w:tcW w:w="3050" w:type="dxa"/>
            <w:noWrap w:val="0"/>
            <w:vAlign w:val="center"/>
          </w:tcPr>
          <w:p w14:paraId="5B5D77C2">
            <w:pPr>
              <w:ind w:firstLine="315" w:firstLineChars="150"/>
              <w:rPr>
                <w:sz w:val="21"/>
                <w:szCs w:val="21"/>
              </w:rPr>
            </w:pPr>
            <w:r>
              <w:rPr>
                <w:rFonts w:hint="eastAsia"/>
                <w:sz w:val="21"/>
                <w:szCs w:val="21"/>
              </w:rPr>
              <w:t>查工作日志，日志记录不规范不完整扣</w:t>
            </w:r>
            <w:r>
              <w:rPr>
                <w:rFonts w:hint="eastAsia"/>
                <w:sz w:val="21"/>
                <w:szCs w:val="21"/>
                <w:lang w:val="en-US" w:eastAsia="zh-CN"/>
              </w:rPr>
              <w:t>1</w:t>
            </w:r>
            <w:r>
              <w:rPr>
                <w:rFonts w:hint="eastAsia"/>
                <w:sz w:val="21"/>
                <w:szCs w:val="21"/>
              </w:rPr>
              <w:t>分，记录不真实的扣</w:t>
            </w:r>
            <w:r>
              <w:rPr>
                <w:rFonts w:hint="eastAsia"/>
                <w:sz w:val="21"/>
                <w:szCs w:val="21"/>
                <w:lang w:val="en-US" w:eastAsia="zh-CN"/>
              </w:rPr>
              <w:t>1</w:t>
            </w:r>
            <w:r>
              <w:rPr>
                <w:rFonts w:hint="eastAsia"/>
                <w:sz w:val="21"/>
                <w:szCs w:val="21"/>
              </w:rPr>
              <w:t>分。</w:t>
            </w:r>
          </w:p>
        </w:tc>
        <w:tc>
          <w:tcPr>
            <w:tcW w:w="651" w:type="dxa"/>
            <w:noWrap w:val="0"/>
            <w:vAlign w:val="top"/>
          </w:tcPr>
          <w:p w14:paraId="7343AE48"/>
        </w:tc>
        <w:tc>
          <w:tcPr>
            <w:tcW w:w="688" w:type="dxa"/>
            <w:vMerge w:val="continue"/>
            <w:noWrap w:val="0"/>
            <w:vAlign w:val="top"/>
          </w:tcPr>
          <w:p w14:paraId="19026403"/>
        </w:tc>
        <w:tc>
          <w:tcPr>
            <w:tcW w:w="615" w:type="dxa"/>
            <w:vMerge w:val="continue"/>
            <w:noWrap w:val="0"/>
            <w:vAlign w:val="top"/>
          </w:tcPr>
          <w:p w14:paraId="5F202C31"/>
        </w:tc>
      </w:tr>
      <w:tr w14:paraId="7CDEE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741" w:type="dxa"/>
            <w:vMerge w:val="continue"/>
            <w:noWrap w:val="0"/>
            <w:vAlign w:val="center"/>
          </w:tcPr>
          <w:p w14:paraId="4567A96F">
            <w:pPr>
              <w:rPr>
                <w:sz w:val="21"/>
                <w:szCs w:val="21"/>
              </w:rPr>
            </w:pPr>
          </w:p>
        </w:tc>
        <w:tc>
          <w:tcPr>
            <w:tcW w:w="3327" w:type="dxa"/>
            <w:noWrap w:val="0"/>
            <w:vAlign w:val="center"/>
          </w:tcPr>
          <w:p w14:paraId="3DE86D7F">
            <w:pPr>
              <w:spacing w:line="320" w:lineRule="exact"/>
              <w:ind w:firstLine="315" w:firstLineChars="150"/>
              <w:rPr>
                <w:sz w:val="21"/>
                <w:szCs w:val="21"/>
              </w:rPr>
            </w:pPr>
            <w:r>
              <w:rPr>
                <w:sz w:val="21"/>
                <w:szCs w:val="21"/>
              </w:rPr>
              <w:t>按上级要求及时参加市、镇两级</w:t>
            </w:r>
            <w:r>
              <w:rPr>
                <w:rFonts w:hint="eastAsia"/>
                <w:sz w:val="21"/>
                <w:szCs w:val="21"/>
              </w:rPr>
              <w:t>沿海</w:t>
            </w:r>
            <w:r>
              <w:rPr>
                <w:sz w:val="21"/>
                <w:szCs w:val="21"/>
              </w:rPr>
              <w:t>安全主管部门召开的</w:t>
            </w:r>
            <w:r>
              <w:rPr>
                <w:rFonts w:hint="eastAsia"/>
                <w:sz w:val="21"/>
                <w:szCs w:val="21"/>
              </w:rPr>
              <w:t>沿海</w:t>
            </w:r>
            <w:r>
              <w:rPr>
                <w:sz w:val="21"/>
                <w:szCs w:val="21"/>
              </w:rPr>
              <w:t>安全工作会议</w:t>
            </w:r>
            <w:r>
              <w:rPr>
                <w:rFonts w:hint="eastAsia"/>
                <w:sz w:val="21"/>
                <w:szCs w:val="21"/>
              </w:rPr>
              <w:t>。</w:t>
            </w:r>
          </w:p>
        </w:tc>
        <w:tc>
          <w:tcPr>
            <w:tcW w:w="660" w:type="dxa"/>
            <w:noWrap w:val="0"/>
            <w:vAlign w:val="center"/>
          </w:tcPr>
          <w:p w14:paraId="3AE725FA">
            <w:pPr>
              <w:jc w:val="center"/>
              <w:rPr>
                <w:sz w:val="21"/>
                <w:szCs w:val="21"/>
              </w:rPr>
            </w:pPr>
            <w:r>
              <w:rPr>
                <w:rFonts w:hint="eastAsia"/>
                <w:sz w:val="21"/>
                <w:szCs w:val="21"/>
              </w:rPr>
              <w:t>2</w:t>
            </w:r>
          </w:p>
        </w:tc>
        <w:tc>
          <w:tcPr>
            <w:tcW w:w="3050" w:type="dxa"/>
            <w:noWrap w:val="0"/>
            <w:vAlign w:val="center"/>
          </w:tcPr>
          <w:p w14:paraId="7424EA00">
            <w:pPr>
              <w:spacing w:line="320" w:lineRule="exact"/>
              <w:ind w:firstLine="315" w:firstLineChars="150"/>
              <w:rPr>
                <w:sz w:val="21"/>
                <w:szCs w:val="21"/>
              </w:rPr>
            </w:pPr>
            <w:r>
              <w:rPr>
                <w:sz w:val="21"/>
                <w:szCs w:val="21"/>
              </w:rPr>
              <w:t>每缺席1次扣</w:t>
            </w:r>
            <w:r>
              <w:rPr>
                <w:rFonts w:hint="eastAsia"/>
                <w:sz w:val="21"/>
                <w:szCs w:val="21"/>
                <w:lang w:val="en-US" w:eastAsia="zh-CN"/>
              </w:rPr>
              <w:t>0.5</w:t>
            </w:r>
            <w:r>
              <w:rPr>
                <w:sz w:val="21"/>
                <w:szCs w:val="21"/>
              </w:rPr>
              <w:t>分/人。</w:t>
            </w:r>
          </w:p>
        </w:tc>
        <w:tc>
          <w:tcPr>
            <w:tcW w:w="651" w:type="dxa"/>
            <w:noWrap w:val="0"/>
            <w:vAlign w:val="top"/>
          </w:tcPr>
          <w:p w14:paraId="606DFB57"/>
        </w:tc>
        <w:tc>
          <w:tcPr>
            <w:tcW w:w="688" w:type="dxa"/>
            <w:vMerge w:val="continue"/>
            <w:noWrap w:val="0"/>
            <w:vAlign w:val="top"/>
          </w:tcPr>
          <w:p w14:paraId="09AD3365"/>
        </w:tc>
        <w:tc>
          <w:tcPr>
            <w:tcW w:w="615" w:type="dxa"/>
            <w:vMerge w:val="continue"/>
            <w:noWrap w:val="0"/>
            <w:vAlign w:val="top"/>
          </w:tcPr>
          <w:p w14:paraId="2146121E"/>
        </w:tc>
      </w:tr>
      <w:tr w14:paraId="57915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741" w:type="dxa"/>
            <w:vMerge w:val="restart"/>
            <w:noWrap w:val="0"/>
            <w:vAlign w:val="center"/>
          </w:tcPr>
          <w:p w14:paraId="67C7BB5E">
            <w:pPr>
              <w:jc w:val="center"/>
              <w:rPr>
                <w:sz w:val="21"/>
                <w:szCs w:val="21"/>
              </w:rPr>
            </w:pPr>
            <w:r>
              <w:rPr>
                <w:rFonts w:hint="eastAsia"/>
                <w:sz w:val="21"/>
                <w:szCs w:val="21"/>
              </w:rPr>
              <w:t>沿海巡防</w:t>
            </w:r>
          </w:p>
          <w:p w14:paraId="175315A5">
            <w:pPr>
              <w:jc w:val="center"/>
              <w:rPr>
                <w:rFonts w:hint="default" w:eastAsia="宋体"/>
                <w:sz w:val="21"/>
                <w:szCs w:val="21"/>
                <w:lang w:val="en-US" w:eastAsia="zh-CN"/>
              </w:rPr>
            </w:pPr>
            <w:r>
              <w:rPr>
                <w:rFonts w:hint="eastAsia"/>
                <w:sz w:val="21"/>
                <w:szCs w:val="21"/>
                <w:lang w:val="en-US" w:eastAsia="zh-CN"/>
              </w:rPr>
              <w:t>58</w:t>
            </w:r>
          </w:p>
        </w:tc>
        <w:tc>
          <w:tcPr>
            <w:tcW w:w="3327" w:type="dxa"/>
            <w:noWrap w:val="0"/>
            <w:vAlign w:val="center"/>
          </w:tcPr>
          <w:p w14:paraId="389540C2">
            <w:pPr>
              <w:spacing w:line="320" w:lineRule="exact"/>
              <w:ind w:firstLine="315" w:firstLineChars="150"/>
              <w:rPr>
                <w:sz w:val="21"/>
                <w:szCs w:val="21"/>
              </w:rPr>
            </w:pPr>
            <w:r>
              <w:rPr>
                <w:rFonts w:hint="eastAsia"/>
                <w:sz w:val="21"/>
                <w:szCs w:val="21"/>
              </w:rPr>
              <w:t>人员配备到位，</w:t>
            </w:r>
            <w:r>
              <w:rPr>
                <w:rFonts w:hint="eastAsia"/>
                <w:sz w:val="21"/>
                <w:szCs w:val="21"/>
                <w:lang w:val="en-US" w:eastAsia="zh-CN"/>
              </w:rPr>
              <w:t>每班不少于2人</w:t>
            </w:r>
            <w:r>
              <w:rPr>
                <w:rFonts w:hint="eastAsia"/>
                <w:sz w:val="21"/>
                <w:szCs w:val="21"/>
              </w:rPr>
              <w:t>。</w:t>
            </w:r>
          </w:p>
        </w:tc>
        <w:tc>
          <w:tcPr>
            <w:tcW w:w="660" w:type="dxa"/>
            <w:noWrap w:val="0"/>
            <w:vAlign w:val="center"/>
          </w:tcPr>
          <w:p w14:paraId="49C0A401">
            <w:pPr>
              <w:jc w:val="center"/>
              <w:rPr>
                <w:sz w:val="21"/>
                <w:szCs w:val="21"/>
              </w:rPr>
            </w:pPr>
            <w:r>
              <w:rPr>
                <w:rFonts w:hint="eastAsia"/>
                <w:sz w:val="21"/>
                <w:szCs w:val="21"/>
              </w:rPr>
              <w:t>6</w:t>
            </w:r>
          </w:p>
        </w:tc>
        <w:tc>
          <w:tcPr>
            <w:tcW w:w="3050" w:type="dxa"/>
            <w:noWrap w:val="0"/>
            <w:vAlign w:val="center"/>
          </w:tcPr>
          <w:p w14:paraId="3C0C53F7">
            <w:pPr>
              <w:ind w:firstLine="315" w:firstLineChars="150"/>
              <w:rPr>
                <w:rFonts w:hint="default" w:eastAsia="宋体"/>
                <w:sz w:val="21"/>
                <w:szCs w:val="21"/>
                <w:lang w:val="en-US" w:eastAsia="zh-CN"/>
              </w:rPr>
            </w:pPr>
            <w:r>
              <w:rPr>
                <w:rFonts w:hint="eastAsia"/>
                <w:sz w:val="21"/>
                <w:szCs w:val="21"/>
              </w:rPr>
              <w:t>每</w:t>
            </w:r>
            <w:r>
              <w:rPr>
                <w:rFonts w:hint="eastAsia"/>
                <w:sz w:val="21"/>
                <w:szCs w:val="21"/>
                <w:lang w:val="en-US" w:eastAsia="zh-CN"/>
              </w:rPr>
              <w:t>班次</w:t>
            </w:r>
            <w:r>
              <w:rPr>
                <w:rFonts w:hint="eastAsia"/>
                <w:sz w:val="21"/>
                <w:szCs w:val="21"/>
              </w:rPr>
              <w:t>少一人扣2分</w:t>
            </w:r>
            <w:r>
              <w:rPr>
                <w:rFonts w:hint="eastAsia"/>
                <w:sz w:val="21"/>
                <w:szCs w:val="21"/>
                <w:lang w:eastAsia="zh-CN"/>
              </w:rPr>
              <w:t>；</w:t>
            </w:r>
            <w:r>
              <w:rPr>
                <w:rFonts w:hint="eastAsia"/>
                <w:sz w:val="21"/>
                <w:szCs w:val="21"/>
                <w:lang w:val="en-US" w:eastAsia="zh-CN"/>
              </w:rPr>
              <w:t>点验时无人巡查，此项不得分。</w:t>
            </w:r>
          </w:p>
        </w:tc>
        <w:tc>
          <w:tcPr>
            <w:tcW w:w="651" w:type="dxa"/>
            <w:noWrap w:val="0"/>
            <w:vAlign w:val="top"/>
          </w:tcPr>
          <w:p w14:paraId="79493488"/>
        </w:tc>
        <w:tc>
          <w:tcPr>
            <w:tcW w:w="688" w:type="dxa"/>
            <w:vMerge w:val="restart"/>
            <w:noWrap w:val="0"/>
            <w:vAlign w:val="top"/>
          </w:tcPr>
          <w:p w14:paraId="71DD7F41"/>
        </w:tc>
        <w:tc>
          <w:tcPr>
            <w:tcW w:w="615" w:type="dxa"/>
            <w:vMerge w:val="restart"/>
            <w:noWrap w:val="0"/>
            <w:vAlign w:val="top"/>
          </w:tcPr>
          <w:p w14:paraId="3AB4E2D9"/>
        </w:tc>
      </w:tr>
      <w:tr w14:paraId="5E49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trPr>
        <w:tc>
          <w:tcPr>
            <w:tcW w:w="741" w:type="dxa"/>
            <w:vMerge w:val="continue"/>
            <w:noWrap w:val="0"/>
            <w:vAlign w:val="center"/>
          </w:tcPr>
          <w:p w14:paraId="0716D6D7">
            <w:pPr>
              <w:rPr>
                <w:sz w:val="21"/>
                <w:szCs w:val="21"/>
              </w:rPr>
            </w:pPr>
          </w:p>
        </w:tc>
        <w:tc>
          <w:tcPr>
            <w:tcW w:w="3327" w:type="dxa"/>
            <w:noWrap w:val="0"/>
            <w:vAlign w:val="center"/>
          </w:tcPr>
          <w:p w14:paraId="219392FC">
            <w:pPr>
              <w:spacing w:line="320" w:lineRule="exact"/>
              <w:ind w:firstLine="315" w:firstLineChars="150"/>
              <w:rPr>
                <w:sz w:val="21"/>
                <w:szCs w:val="21"/>
              </w:rPr>
            </w:pPr>
            <w:r>
              <w:rPr>
                <w:rFonts w:hint="eastAsia"/>
                <w:sz w:val="21"/>
                <w:szCs w:val="21"/>
              </w:rPr>
              <w:t>每日实行24小时值班制度，按规定路线进行巡逻按时打卡，及时劝退下海人员，无安全事故发生。</w:t>
            </w:r>
          </w:p>
        </w:tc>
        <w:tc>
          <w:tcPr>
            <w:tcW w:w="660" w:type="dxa"/>
            <w:noWrap w:val="0"/>
            <w:vAlign w:val="center"/>
          </w:tcPr>
          <w:p w14:paraId="03324187">
            <w:pPr>
              <w:jc w:val="center"/>
              <w:rPr>
                <w:rFonts w:hint="default" w:eastAsia="宋体"/>
                <w:sz w:val="21"/>
                <w:szCs w:val="21"/>
                <w:lang w:val="en-US" w:eastAsia="zh-CN"/>
              </w:rPr>
            </w:pPr>
            <w:r>
              <w:rPr>
                <w:rFonts w:hint="eastAsia"/>
                <w:sz w:val="21"/>
                <w:szCs w:val="21"/>
                <w:lang w:val="en-US" w:eastAsia="zh-CN"/>
              </w:rPr>
              <w:t>16</w:t>
            </w:r>
          </w:p>
        </w:tc>
        <w:tc>
          <w:tcPr>
            <w:tcW w:w="3050" w:type="dxa"/>
            <w:noWrap w:val="0"/>
            <w:vAlign w:val="center"/>
          </w:tcPr>
          <w:p w14:paraId="2851F372">
            <w:pPr>
              <w:ind w:firstLine="315" w:firstLineChars="150"/>
              <w:rPr>
                <w:rFonts w:hint="eastAsia"/>
                <w:sz w:val="21"/>
                <w:szCs w:val="21"/>
              </w:rPr>
            </w:pPr>
            <w:r>
              <w:rPr>
                <w:rFonts w:hint="eastAsia"/>
                <w:sz w:val="21"/>
                <w:szCs w:val="21"/>
              </w:rPr>
              <w:t>查台账、值班表、微信群等，存在无记录或记录不全，扣1分/次；</w:t>
            </w:r>
          </w:p>
          <w:p w14:paraId="57DBAEE3">
            <w:pPr>
              <w:ind w:firstLine="315" w:firstLineChars="150"/>
              <w:rPr>
                <w:sz w:val="21"/>
                <w:szCs w:val="21"/>
              </w:rPr>
            </w:pPr>
            <w:r>
              <w:rPr>
                <w:rFonts w:hint="eastAsia"/>
                <w:sz w:val="21"/>
                <w:szCs w:val="21"/>
              </w:rPr>
              <w:t>巡查不到位，打卡不全，扣</w:t>
            </w:r>
            <w:r>
              <w:rPr>
                <w:rFonts w:hint="eastAsia"/>
                <w:sz w:val="21"/>
                <w:szCs w:val="21"/>
                <w:lang w:val="en-US" w:eastAsia="zh-CN"/>
              </w:rPr>
              <w:t>0.5</w:t>
            </w:r>
            <w:r>
              <w:rPr>
                <w:rFonts w:hint="eastAsia"/>
                <w:sz w:val="21"/>
                <w:szCs w:val="21"/>
              </w:rPr>
              <w:t>分/次；管理</w:t>
            </w:r>
            <w:r>
              <w:rPr>
                <w:rFonts w:hint="eastAsia"/>
                <w:sz w:val="21"/>
                <w:szCs w:val="21"/>
                <w:lang w:val="en-US" w:eastAsia="zh-CN"/>
              </w:rPr>
              <w:t>不到位</w:t>
            </w:r>
            <w:r>
              <w:rPr>
                <w:rFonts w:hint="eastAsia"/>
                <w:sz w:val="21"/>
                <w:szCs w:val="21"/>
              </w:rPr>
              <w:t>，被市、镇主管部门通报的，每一起扣</w:t>
            </w:r>
            <w:r>
              <w:rPr>
                <w:rFonts w:hint="eastAsia"/>
                <w:sz w:val="21"/>
                <w:szCs w:val="21"/>
                <w:lang w:val="en-US" w:eastAsia="zh-CN"/>
              </w:rPr>
              <w:t>1</w:t>
            </w:r>
            <w:r>
              <w:rPr>
                <w:rFonts w:hint="eastAsia"/>
                <w:sz w:val="21"/>
                <w:szCs w:val="21"/>
              </w:rPr>
              <w:t>分、</w:t>
            </w:r>
            <w:r>
              <w:rPr>
                <w:rFonts w:hint="eastAsia"/>
                <w:sz w:val="21"/>
                <w:szCs w:val="21"/>
                <w:lang w:val="en-US" w:eastAsia="zh-CN"/>
              </w:rPr>
              <w:t>0.5</w:t>
            </w:r>
            <w:r>
              <w:rPr>
                <w:rFonts w:hint="eastAsia"/>
                <w:sz w:val="21"/>
                <w:szCs w:val="21"/>
              </w:rPr>
              <w:t>分。</w:t>
            </w:r>
          </w:p>
        </w:tc>
        <w:tc>
          <w:tcPr>
            <w:tcW w:w="651" w:type="dxa"/>
            <w:noWrap w:val="0"/>
            <w:vAlign w:val="top"/>
          </w:tcPr>
          <w:p w14:paraId="0F94954F"/>
        </w:tc>
        <w:tc>
          <w:tcPr>
            <w:tcW w:w="688" w:type="dxa"/>
            <w:vMerge w:val="continue"/>
            <w:noWrap w:val="0"/>
            <w:vAlign w:val="top"/>
          </w:tcPr>
          <w:p w14:paraId="735EE408"/>
        </w:tc>
        <w:tc>
          <w:tcPr>
            <w:tcW w:w="615" w:type="dxa"/>
            <w:vMerge w:val="continue"/>
            <w:noWrap w:val="0"/>
            <w:vAlign w:val="top"/>
          </w:tcPr>
          <w:p w14:paraId="6E167C79"/>
        </w:tc>
      </w:tr>
      <w:tr w14:paraId="4B8D2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2B6F45DB">
            <w:pPr>
              <w:rPr>
                <w:sz w:val="21"/>
                <w:szCs w:val="21"/>
              </w:rPr>
            </w:pPr>
          </w:p>
        </w:tc>
        <w:tc>
          <w:tcPr>
            <w:tcW w:w="3327" w:type="dxa"/>
            <w:noWrap w:val="0"/>
            <w:vAlign w:val="center"/>
          </w:tcPr>
          <w:p w14:paraId="080F20B3">
            <w:pPr>
              <w:spacing w:line="320" w:lineRule="exact"/>
              <w:ind w:firstLine="315" w:firstLineChars="150"/>
              <w:rPr>
                <w:sz w:val="21"/>
                <w:szCs w:val="21"/>
              </w:rPr>
            </w:pPr>
            <w:r>
              <w:rPr>
                <w:rFonts w:hint="eastAsia"/>
                <w:sz w:val="21"/>
                <w:szCs w:val="21"/>
              </w:rPr>
              <w:t>配合执法部门进行沿海安全管理，及时制止沿海滩涂及堤岸附近发生的危害环境卫生行为。</w:t>
            </w:r>
          </w:p>
        </w:tc>
        <w:tc>
          <w:tcPr>
            <w:tcW w:w="660" w:type="dxa"/>
            <w:noWrap w:val="0"/>
            <w:vAlign w:val="center"/>
          </w:tcPr>
          <w:p w14:paraId="4C4B1C70">
            <w:pPr>
              <w:jc w:val="center"/>
              <w:rPr>
                <w:rFonts w:hint="default" w:eastAsia="宋体"/>
                <w:sz w:val="21"/>
                <w:szCs w:val="21"/>
                <w:lang w:val="en-US" w:eastAsia="zh-CN"/>
              </w:rPr>
            </w:pPr>
            <w:r>
              <w:rPr>
                <w:rFonts w:hint="eastAsia"/>
                <w:sz w:val="21"/>
                <w:szCs w:val="21"/>
                <w:lang w:val="en-US" w:eastAsia="zh-CN"/>
              </w:rPr>
              <w:t>15</w:t>
            </w:r>
          </w:p>
        </w:tc>
        <w:tc>
          <w:tcPr>
            <w:tcW w:w="3050" w:type="dxa"/>
            <w:noWrap w:val="0"/>
            <w:vAlign w:val="center"/>
          </w:tcPr>
          <w:p w14:paraId="341A4CDB">
            <w:pPr>
              <w:ind w:firstLine="315" w:firstLineChars="150"/>
              <w:rPr>
                <w:sz w:val="21"/>
                <w:szCs w:val="21"/>
              </w:rPr>
            </w:pPr>
            <w:r>
              <w:rPr>
                <w:rFonts w:hint="eastAsia"/>
                <w:sz w:val="21"/>
                <w:szCs w:val="21"/>
              </w:rPr>
              <w:t>不积极配合政府部门进行安全辅助管理，扣2分/次；与民众发生肢体冲突，扣5分/次；因环境问题被政府通报，扣2分/起。</w:t>
            </w:r>
          </w:p>
        </w:tc>
        <w:tc>
          <w:tcPr>
            <w:tcW w:w="651" w:type="dxa"/>
            <w:noWrap w:val="0"/>
            <w:vAlign w:val="top"/>
          </w:tcPr>
          <w:p w14:paraId="6463BB7C"/>
        </w:tc>
        <w:tc>
          <w:tcPr>
            <w:tcW w:w="688" w:type="dxa"/>
            <w:vMerge w:val="continue"/>
            <w:noWrap w:val="0"/>
            <w:vAlign w:val="top"/>
          </w:tcPr>
          <w:p w14:paraId="3B7121EF"/>
        </w:tc>
        <w:tc>
          <w:tcPr>
            <w:tcW w:w="615" w:type="dxa"/>
            <w:vMerge w:val="continue"/>
            <w:noWrap w:val="0"/>
            <w:vAlign w:val="top"/>
          </w:tcPr>
          <w:p w14:paraId="6D881E9D"/>
        </w:tc>
      </w:tr>
      <w:tr w14:paraId="2A00F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7FA1D589">
            <w:pPr>
              <w:rPr>
                <w:sz w:val="21"/>
                <w:szCs w:val="21"/>
              </w:rPr>
            </w:pPr>
          </w:p>
        </w:tc>
        <w:tc>
          <w:tcPr>
            <w:tcW w:w="3327" w:type="dxa"/>
            <w:noWrap w:val="0"/>
            <w:vAlign w:val="center"/>
          </w:tcPr>
          <w:p w14:paraId="0E6E3EF1">
            <w:pPr>
              <w:spacing w:line="320" w:lineRule="exact"/>
              <w:ind w:firstLine="315" w:firstLineChars="150"/>
              <w:rPr>
                <w:rFonts w:hint="default" w:eastAsia="宋体"/>
                <w:sz w:val="21"/>
                <w:szCs w:val="21"/>
                <w:lang w:val="en-US" w:eastAsia="zh-CN"/>
              </w:rPr>
            </w:pPr>
            <w:r>
              <w:rPr>
                <w:rFonts w:hint="eastAsia"/>
                <w:sz w:val="21"/>
                <w:szCs w:val="21"/>
                <w:lang w:val="en-US" w:eastAsia="zh-CN"/>
              </w:rPr>
              <w:t>配合政府部门在特殊情况下（反走私工作等）做好沿海岸堤安全巡防工作。</w:t>
            </w:r>
          </w:p>
        </w:tc>
        <w:tc>
          <w:tcPr>
            <w:tcW w:w="660" w:type="dxa"/>
            <w:noWrap w:val="0"/>
            <w:vAlign w:val="center"/>
          </w:tcPr>
          <w:p w14:paraId="6ABCD17B">
            <w:pPr>
              <w:jc w:val="center"/>
              <w:rPr>
                <w:rFonts w:hint="default" w:eastAsia="宋体"/>
                <w:sz w:val="21"/>
                <w:szCs w:val="21"/>
                <w:lang w:val="en-US" w:eastAsia="zh-CN"/>
              </w:rPr>
            </w:pPr>
            <w:r>
              <w:rPr>
                <w:rFonts w:hint="eastAsia"/>
                <w:sz w:val="21"/>
                <w:szCs w:val="21"/>
                <w:lang w:val="en-US" w:eastAsia="zh-CN"/>
              </w:rPr>
              <w:t>15</w:t>
            </w:r>
          </w:p>
        </w:tc>
        <w:tc>
          <w:tcPr>
            <w:tcW w:w="3050" w:type="dxa"/>
            <w:noWrap w:val="0"/>
            <w:vAlign w:val="center"/>
          </w:tcPr>
          <w:p w14:paraId="4161E7B0">
            <w:pPr>
              <w:ind w:firstLine="315" w:firstLineChars="150"/>
              <w:rPr>
                <w:rFonts w:hint="default" w:eastAsia="宋体"/>
                <w:sz w:val="21"/>
                <w:szCs w:val="21"/>
                <w:lang w:val="en-US" w:eastAsia="zh-CN"/>
              </w:rPr>
            </w:pPr>
            <w:r>
              <w:rPr>
                <w:rFonts w:hint="eastAsia"/>
                <w:sz w:val="21"/>
                <w:szCs w:val="21"/>
                <w:lang w:val="en-US" w:eastAsia="zh-CN"/>
              </w:rPr>
              <w:t>发现人员偷渡上岸，隐瞒不报的，扣5分/起；被省、市、镇部门通报的，每一起扣5分、3分、2分。</w:t>
            </w:r>
          </w:p>
        </w:tc>
        <w:tc>
          <w:tcPr>
            <w:tcW w:w="651" w:type="dxa"/>
            <w:noWrap w:val="0"/>
            <w:vAlign w:val="top"/>
          </w:tcPr>
          <w:p w14:paraId="014D5878"/>
        </w:tc>
        <w:tc>
          <w:tcPr>
            <w:tcW w:w="688" w:type="dxa"/>
            <w:vMerge w:val="continue"/>
            <w:noWrap w:val="0"/>
            <w:vAlign w:val="top"/>
          </w:tcPr>
          <w:p w14:paraId="69CB1010"/>
        </w:tc>
        <w:tc>
          <w:tcPr>
            <w:tcW w:w="615" w:type="dxa"/>
            <w:vMerge w:val="continue"/>
            <w:noWrap w:val="0"/>
            <w:vAlign w:val="top"/>
          </w:tcPr>
          <w:p w14:paraId="4367F64B"/>
        </w:tc>
      </w:tr>
      <w:tr w14:paraId="6AEC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5E6ED887">
            <w:pPr>
              <w:rPr>
                <w:sz w:val="21"/>
                <w:szCs w:val="21"/>
              </w:rPr>
            </w:pPr>
          </w:p>
        </w:tc>
        <w:tc>
          <w:tcPr>
            <w:tcW w:w="3327" w:type="dxa"/>
            <w:noWrap w:val="0"/>
            <w:vAlign w:val="center"/>
          </w:tcPr>
          <w:p w14:paraId="4CF2E83D">
            <w:pPr>
              <w:spacing w:line="320" w:lineRule="exact"/>
              <w:ind w:firstLine="315" w:firstLineChars="150"/>
              <w:rPr>
                <w:sz w:val="21"/>
                <w:szCs w:val="21"/>
              </w:rPr>
            </w:pPr>
            <w:r>
              <w:rPr>
                <w:rFonts w:hint="eastAsia"/>
                <w:sz w:val="21"/>
                <w:szCs w:val="21"/>
              </w:rPr>
              <w:t>有月度及</w:t>
            </w:r>
            <w:r>
              <w:rPr>
                <w:rFonts w:hint="eastAsia"/>
                <w:sz w:val="21"/>
                <w:szCs w:val="21"/>
                <w:lang w:val="en-US" w:eastAsia="zh-CN"/>
              </w:rPr>
              <w:t>季度</w:t>
            </w:r>
            <w:r>
              <w:rPr>
                <w:rFonts w:hint="eastAsia"/>
                <w:sz w:val="21"/>
                <w:szCs w:val="21"/>
              </w:rPr>
              <w:t>总结，做好各项台账资料。</w:t>
            </w:r>
          </w:p>
        </w:tc>
        <w:tc>
          <w:tcPr>
            <w:tcW w:w="660" w:type="dxa"/>
            <w:noWrap w:val="0"/>
            <w:vAlign w:val="center"/>
          </w:tcPr>
          <w:p w14:paraId="5F1A2BD5">
            <w:pPr>
              <w:jc w:val="center"/>
              <w:rPr>
                <w:rFonts w:hint="eastAsia" w:eastAsia="宋体"/>
                <w:sz w:val="21"/>
                <w:szCs w:val="21"/>
                <w:lang w:eastAsia="zh-CN"/>
              </w:rPr>
            </w:pPr>
            <w:r>
              <w:rPr>
                <w:rFonts w:hint="eastAsia"/>
                <w:sz w:val="21"/>
                <w:szCs w:val="21"/>
                <w:lang w:val="en-US" w:eastAsia="zh-CN"/>
              </w:rPr>
              <w:t>6</w:t>
            </w:r>
          </w:p>
        </w:tc>
        <w:tc>
          <w:tcPr>
            <w:tcW w:w="3050" w:type="dxa"/>
            <w:noWrap w:val="0"/>
            <w:vAlign w:val="center"/>
          </w:tcPr>
          <w:p w14:paraId="704CD049">
            <w:pPr>
              <w:ind w:firstLine="315" w:firstLineChars="150"/>
              <w:rPr>
                <w:sz w:val="21"/>
                <w:szCs w:val="21"/>
              </w:rPr>
            </w:pPr>
            <w:r>
              <w:rPr>
                <w:rFonts w:hint="eastAsia"/>
                <w:sz w:val="21"/>
                <w:szCs w:val="21"/>
              </w:rPr>
              <w:t>查台账，存在信息有误，每条扣</w:t>
            </w:r>
            <w:r>
              <w:rPr>
                <w:rFonts w:hint="eastAsia"/>
                <w:sz w:val="21"/>
                <w:szCs w:val="21"/>
                <w:lang w:val="en-US" w:eastAsia="zh-CN"/>
              </w:rPr>
              <w:t>0.5</w:t>
            </w:r>
            <w:r>
              <w:rPr>
                <w:rFonts w:hint="eastAsia"/>
                <w:sz w:val="21"/>
                <w:szCs w:val="21"/>
              </w:rPr>
              <w:t>分；缺少总结，每篇扣</w:t>
            </w:r>
            <w:r>
              <w:rPr>
                <w:rFonts w:hint="eastAsia"/>
                <w:sz w:val="21"/>
                <w:szCs w:val="21"/>
                <w:lang w:val="en-US" w:eastAsia="zh-CN"/>
              </w:rPr>
              <w:t>1</w:t>
            </w:r>
            <w:r>
              <w:rPr>
                <w:rFonts w:hint="eastAsia"/>
                <w:sz w:val="21"/>
                <w:szCs w:val="21"/>
              </w:rPr>
              <w:t>分。</w:t>
            </w:r>
          </w:p>
        </w:tc>
        <w:tc>
          <w:tcPr>
            <w:tcW w:w="651" w:type="dxa"/>
            <w:noWrap w:val="0"/>
            <w:vAlign w:val="top"/>
          </w:tcPr>
          <w:p w14:paraId="44F935B6"/>
        </w:tc>
        <w:tc>
          <w:tcPr>
            <w:tcW w:w="688" w:type="dxa"/>
            <w:vMerge w:val="continue"/>
            <w:noWrap w:val="0"/>
            <w:vAlign w:val="top"/>
          </w:tcPr>
          <w:p w14:paraId="05FC11B1"/>
        </w:tc>
        <w:tc>
          <w:tcPr>
            <w:tcW w:w="615" w:type="dxa"/>
            <w:vMerge w:val="continue"/>
            <w:noWrap w:val="0"/>
            <w:vAlign w:val="top"/>
          </w:tcPr>
          <w:p w14:paraId="213ADD49"/>
        </w:tc>
      </w:tr>
      <w:tr w14:paraId="367E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restart"/>
            <w:noWrap w:val="0"/>
            <w:vAlign w:val="center"/>
          </w:tcPr>
          <w:p w14:paraId="5A24AC1C">
            <w:pPr>
              <w:jc w:val="center"/>
              <w:rPr>
                <w:sz w:val="21"/>
                <w:szCs w:val="21"/>
              </w:rPr>
            </w:pPr>
            <w:r>
              <w:rPr>
                <w:rFonts w:hint="eastAsia"/>
                <w:sz w:val="21"/>
                <w:szCs w:val="21"/>
              </w:rPr>
              <w:t>设施配备</w:t>
            </w:r>
          </w:p>
          <w:p w14:paraId="197E2BE4">
            <w:pPr>
              <w:jc w:val="center"/>
              <w:rPr>
                <w:rFonts w:hint="eastAsia" w:eastAsia="宋体"/>
                <w:kern w:val="2"/>
                <w:sz w:val="21"/>
                <w:szCs w:val="21"/>
                <w:lang w:val="en-US" w:eastAsia="zh-CN" w:bidi="ar-SA"/>
              </w:rPr>
            </w:pPr>
            <w:r>
              <w:rPr>
                <w:rFonts w:hint="eastAsia"/>
                <w:sz w:val="21"/>
                <w:szCs w:val="21"/>
                <w:lang w:val="en-US" w:eastAsia="zh-CN"/>
              </w:rPr>
              <w:t>8</w:t>
            </w:r>
          </w:p>
          <w:p w14:paraId="542115B7">
            <w:pPr>
              <w:rPr>
                <w:sz w:val="21"/>
                <w:szCs w:val="21"/>
              </w:rPr>
            </w:pPr>
          </w:p>
        </w:tc>
        <w:tc>
          <w:tcPr>
            <w:tcW w:w="3327" w:type="dxa"/>
            <w:noWrap w:val="0"/>
            <w:vAlign w:val="center"/>
          </w:tcPr>
          <w:p w14:paraId="7B261532">
            <w:pPr>
              <w:spacing w:line="320" w:lineRule="exact"/>
              <w:ind w:firstLine="315" w:firstLineChars="150"/>
              <w:rPr>
                <w:rFonts w:hint="eastAsia"/>
                <w:kern w:val="2"/>
                <w:sz w:val="21"/>
                <w:szCs w:val="21"/>
                <w:lang w:val="en-US" w:eastAsia="zh-CN" w:bidi="ar-SA"/>
              </w:rPr>
            </w:pPr>
            <w:r>
              <w:rPr>
                <w:rFonts w:hint="eastAsia"/>
                <w:sz w:val="21"/>
                <w:szCs w:val="21"/>
              </w:rPr>
              <w:t>自备</w:t>
            </w:r>
            <w:r>
              <w:rPr>
                <w:rFonts w:hint="eastAsia"/>
                <w:sz w:val="21"/>
                <w:szCs w:val="21"/>
                <w:lang w:val="en-US" w:eastAsia="zh-CN"/>
              </w:rPr>
              <w:t>3</w:t>
            </w:r>
            <w:r>
              <w:rPr>
                <w:rFonts w:hint="eastAsia"/>
                <w:sz w:val="21"/>
                <w:szCs w:val="21"/>
              </w:rPr>
              <w:t>台巡逻车辆、</w:t>
            </w:r>
            <w:r>
              <w:rPr>
                <w:rFonts w:hint="eastAsia"/>
                <w:sz w:val="21"/>
                <w:szCs w:val="21"/>
                <w:lang w:val="en-US" w:eastAsia="zh-CN"/>
              </w:rPr>
              <w:t>2</w:t>
            </w:r>
            <w:r>
              <w:rPr>
                <w:rFonts w:hint="eastAsia"/>
                <w:sz w:val="21"/>
                <w:szCs w:val="21"/>
              </w:rPr>
              <w:t>台车载扬声器、1台</w:t>
            </w:r>
            <w:r>
              <w:rPr>
                <w:rFonts w:hint="eastAsia"/>
                <w:sz w:val="21"/>
                <w:szCs w:val="21"/>
                <w:lang w:eastAsia="zh-CN"/>
              </w:rPr>
              <w:t>（</w:t>
            </w:r>
            <w:r>
              <w:rPr>
                <w:rFonts w:hint="eastAsia"/>
                <w:sz w:val="21"/>
                <w:szCs w:val="21"/>
                <w:lang w:val="en-US" w:eastAsia="zh-CN"/>
              </w:rPr>
              <w:t>套</w:t>
            </w:r>
            <w:r>
              <w:rPr>
                <w:rFonts w:hint="eastAsia"/>
                <w:sz w:val="21"/>
                <w:szCs w:val="21"/>
                <w:lang w:eastAsia="zh-CN"/>
              </w:rPr>
              <w:t>）</w:t>
            </w:r>
            <w:r>
              <w:rPr>
                <w:rFonts w:hint="eastAsia"/>
                <w:sz w:val="21"/>
                <w:szCs w:val="21"/>
              </w:rPr>
              <w:t>电脑。</w:t>
            </w:r>
          </w:p>
        </w:tc>
        <w:tc>
          <w:tcPr>
            <w:tcW w:w="660" w:type="dxa"/>
            <w:noWrap w:val="0"/>
            <w:vAlign w:val="center"/>
          </w:tcPr>
          <w:p w14:paraId="6F897EBC">
            <w:pPr>
              <w:jc w:val="center"/>
              <w:rPr>
                <w:rFonts w:hint="eastAsia" w:eastAsia="宋体"/>
                <w:kern w:val="2"/>
                <w:sz w:val="21"/>
                <w:szCs w:val="21"/>
                <w:lang w:val="en-US" w:eastAsia="zh-CN" w:bidi="ar-SA"/>
              </w:rPr>
            </w:pPr>
            <w:r>
              <w:rPr>
                <w:rFonts w:hint="eastAsia"/>
                <w:sz w:val="21"/>
                <w:szCs w:val="21"/>
                <w:lang w:val="en-US" w:eastAsia="zh-CN"/>
              </w:rPr>
              <w:t>4</w:t>
            </w:r>
          </w:p>
        </w:tc>
        <w:tc>
          <w:tcPr>
            <w:tcW w:w="3050" w:type="dxa"/>
            <w:noWrap w:val="0"/>
            <w:vAlign w:val="center"/>
          </w:tcPr>
          <w:p w14:paraId="349BE311">
            <w:pPr>
              <w:ind w:firstLine="315" w:firstLineChars="150"/>
              <w:rPr>
                <w:rFonts w:hint="eastAsia"/>
                <w:kern w:val="2"/>
                <w:sz w:val="21"/>
                <w:szCs w:val="21"/>
                <w:lang w:val="en-US" w:eastAsia="zh-CN" w:bidi="ar-SA"/>
              </w:rPr>
            </w:pPr>
            <w:r>
              <w:rPr>
                <w:rFonts w:hint="eastAsia"/>
                <w:sz w:val="21"/>
                <w:szCs w:val="21"/>
              </w:rPr>
              <w:t>每缺少一台巡逻车辆，扣2分；缺失车载扬声器，扣1分；缺少办公电脑，扣</w:t>
            </w:r>
            <w:r>
              <w:rPr>
                <w:rFonts w:hint="eastAsia"/>
                <w:sz w:val="21"/>
                <w:szCs w:val="21"/>
                <w:lang w:val="en-US" w:eastAsia="zh-CN"/>
              </w:rPr>
              <w:t>1</w:t>
            </w:r>
            <w:r>
              <w:rPr>
                <w:rFonts w:hint="eastAsia"/>
                <w:sz w:val="21"/>
                <w:szCs w:val="21"/>
              </w:rPr>
              <w:t>分。</w:t>
            </w:r>
          </w:p>
        </w:tc>
        <w:tc>
          <w:tcPr>
            <w:tcW w:w="651" w:type="dxa"/>
            <w:noWrap w:val="0"/>
            <w:vAlign w:val="top"/>
          </w:tcPr>
          <w:p w14:paraId="190335E6"/>
        </w:tc>
        <w:tc>
          <w:tcPr>
            <w:tcW w:w="688" w:type="dxa"/>
            <w:vMerge w:val="restart"/>
            <w:noWrap w:val="0"/>
            <w:vAlign w:val="top"/>
          </w:tcPr>
          <w:p w14:paraId="5EE7F11C"/>
        </w:tc>
        <w:tc>
          <w:tcPr>
            <w:tcW w:w="615" w:type="dxa"/>
            <w:vMerge w:val="restart"/>
            <w:noWrap w:val="0"/>
            <w:vAlign w:val="top"/>
          </w:tcPr>
          <w:p w14:paraId="49E3841E"/>
        </w:tc>
      </w:tr>
      <w:tr w14:paraId="5FFFE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3D898B49">
            <w:pPr>
              <w:rPr>
                <w:sz w:val="21"/>
                <w:szCs w:val="21"/>
              </w:rPr>
            </w:pPr>
          </w:p>
        </w:tc>
        <w:tc>
          <w:tcPr>
            <w:tcW w:w="3327" w:type="dxa"/>
            <w:noWrap w:val="0"/>
            <w:vAlign w:val="center"/>
          </w:tcPr>
          <w:p w14:paraId="64EC47FF">
            <w:pPr>
              <w:spacing w:line="320" w:lineRule="exact"/>
              <w:ind w:firstLine="315" w:firstLineChars="150"/>
              <w:rPr>
                <w:rFonts w:hint="eastAsia"/>
                <w:kern w:val="2"/>
                <w:sz w:val="21"/>
                <w:szCs w:val="21"/>
                <w:lang w:val="en-US" w:eastAsia="zh-CN" w:bidi="ar-SA"/>
              </w:rPr>
            </w:pPr>
            <w:r>
              <w:rPr>
                <w:rFonts w:hint="eastAsia"/>
                <w:sz w:val="21"/>
                <w:szCs w:val="21"/>
              </w:rPr>
              <w:t>工作期间配备有制服反光背心、救生衣、救生圈等；巡逻中配备3台执法记录仪、</w:t>
            </w:r>
            <w:r>
              <w:rPr>
                <w:rFonts w:hint="eastAsia"/>
                <w:sz w:val="21"/>
                <w:szCs w:val="21"/>
                <w:lang w:val="en-US" w:eastAsia="zh-CN"/>
              </w:rPr>
              <w:t>3</w:t>
            </w:r>
            <w:r>
              <w:rPr>
                <w:rFonts w:hint="eastAsia"/>
                <w:sz w:val="21"/>
                <w:szCs w:val="21"/>
              </w:rPr>
              <w:t>只手持电喇叭、3支强光手电。</w:t>
            </w:r>
          </w:p>
        </w:tc>
        <w:tc>
          <w:tcPr>
            <w:tcW w:w="660" w:type="dxa"/>
            <w:noWrap w:val="0"/>
            <w:vAlign w:val="center"/>
          </w:tcPr>
          <w:p w14:paraId="554F1723">
            <w:pPr>
              <w:jc w:val="center"/>
              <w:rPr>
                <w:rFonts w:hint="eastAsia"/>
                <w:kern w:val="2"/>
                <w:sz w:val="21"/>
                <w:szCs w:val="21"/>
                <w:lang w:val="en-US" w:eastAsia="zh-CN" w:bidi="ar-SA"/>
              </w:rPr>
            </w:pPr>
            <w:r>
              <w:rPr>
                <w:rFonts w:hint="eastAsia"/>
                <w:sz w:val="21"/>
                <w:szCs w:val="21"/>
              </w:rPr>
              <w:t>3</w:t>
            </w:r>
          </w:p>
        </w:tc>
        <w:tc>
          <w:tcPr>
            <w:tcW w:w="3050" w:type="dxa"/>
            <w:noWrap w:val="0"/>
            <w:vAlign w:val="center"/>
          </w:tcPr>
          <w:p w14:paraId="7910B09A">
            <w:pPr>
              <w:spacing w:line="320" w:lineRule="exact"/>
              <w:ind w:firstLine="315" w:firstLineChars="150"/>
              <w:rPr>
                <w:rFonts w:hint="eastAsia"/>
                <w:kern w:val="2"/>
                <w:sz w:val="21"/>
                <w:szCs w:val="21"/>
                <w:lang w:val="en-US" w:eastAsia="zh-CN" w:bidi="ar-SA"/>
              </w:rPr>
            </w:pPr>
            <w:r>
              <w:rPr>
                <w:rFonts w:hint="eastAsia"/>
                <w:sz w:val="21"/>
                <w:szCs w:val="21"/>
              </w:rPr>
              <w:t>仪装不规范，每次扣1分/人；</w:t>
            </w:r>
            <w:r>
              <w:rPr>
                <w:rFonts w:hint="eastAsia"/>
                <w:sz w:val="21"/>
                <w:szCs w:val="21"/>
                <w:lang w:val="en-US" w:eastAsia="zh-CN"/>
              </w:rPr>
              <w:t>巡逻</w:t>
            </w:r>
            <w:r>
              <w:rPr>
                <w:rFonts w:hint="eastAsia"/>
                <w:sz w:val="21"/>
                <w:szCs w:val="21"/>
              </w:rPr>
              <w:t>记录仪不正常开启的，</w:t>
            </w:r>
            <w:r>
              <w:rPr>
                <w:sz w:val="21"/>
                <w:szCs w:val="21"/>
              </w:rPr>
              <w:t>扣</w:t>
            </w:r>
            <w:r>
              <w:rPr>
                <w:rFonts w:hint="eastAsia"/>
                <w:sz w:val="21"/>
                <w:szCs w:val="21"/>
              </w:rPr>
              <w:t>1分</w:t>
            </w:r>
            <w:r>
              <w:rPr>
                <w:sz w:val="21"/>
                <w:szCs w:val="21"/>
              </w:rPr>
              <w:t>；</w:t>
            </w:r>
            <w:r>
              <w:rPr>
                <w:rFonts w:hint="eastAsia"/>
                <w:sz w:val="21"/>
                <w:szCs w:val="21"/>
              </w:rPr>
              <w:t>每缺少一支手持电喇叭，扣</w:t>
            </w:r>
            <w:r>
              <w:rPr>
                <w:rFonts w:hint="eastAsia"/>
                <w:sz w:val="21"/>
                <w:szCs w:val="21"/>
                <w:lang w:val="en-US" w:eastAsia="zh-CN"/>
              </w:rPr>
              <w:t>1</w:t>
            </w:r>
            <w:r>
              <w:rPr>
                <w:rFonts w:hint="eastAsia"/>
                <w:sz w:val="21"/>
                <w:szCs w:val="21"/>
              </w:rPr>
              <w:t>分；每缺少一支强光手电，扣</w:t>
            </w:r>
            <w:r>
              <w:rPr>
                <w:rFonts w:hint="eastAsia"/>
                <w:sz w:val="21"/>
                <w:szCs w:val="21"/>
                <w:lang w:val="en-US" w:eastAsia="zh-CN"/>
              </w:rPr>
              <w:t>1</w:t>
            </w:r>
            <w:r>
              <w:rPr>
                <w:rFonts w:hint="eastAsia"/>
                <w:sz w:val="21"/>
                <w:szCs w:val="21"/>
              </w:rPr>
              <w:t>分。</w:t>
            </w:r>
          </w:p>
        </w:tc>
        <w:tc>
          <w:tcPr>
            <w:tcW w:w="651" w:type="dxa"/>
            <w:noWrap w:val="0"/>
            <w:vAlign w:val="top"/>
          </w:tcPr>
          <w:p w14:paraId="7FAD9C65"/>
        </w:tc>
        <w:tc>
          <w:tcPr>
            <w:tcW w:w="688" w:type="dxa"/>
            <w:vMerge w:val="continue"/>
            <w:noWrap w:val="0"/>
            <w:vAlign w:val="top"/>
          </w:tcPr>
          <w:p w14:paraId="4A0670FD"/>
        </w:tc>
        <w:tc>
          <w:tcPr>
            <w:tcW w:w="615" w:type="dxa"/>
            <w:vMerge w:val="continue"/>
            <w:noWrap w:val="0"/>
            <w:vAlign w:val="top"/>
          </w:tcPr>
          <w:p w14:paraId="5F62FEB2"/>
        </w:tc>
      </w:tr>
      <w:tr w14:paraId="70CB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7B1712F9">
            <w:pPr>
              <w:rPr>
                <w:sz w:val="21"/>
                <w:szCs w:val="21"/>
              </w:rPr>
            </w:pPr>
          </w:p>
        </w:tc>
        <w:tc>
          <w:tcPr>
            <w:tcW w:w="3327" w:type="dxa"/>
            <w:noWrap w:val="0"/>
            <w:vAlign w:val="center"/>
          </w:tcPr>
          <w:p w14:paraId="4FCACC08">
            <w:pPr>
              <w:spacing w:line="320" w:lineRule="exact"/>
              <w:ind w:firstLine="315" w:firstLineChars="150"/>
              <w:rPr>
                <w:rFonts w:hint="eastAsia"/>
                <w:kern w:val="2"/>
                <w:sz w:val="21"/>
                <w:szCs w:val="21"/>
                <w:lang w:val="en-US" w:eastAsia="zh-CN" w:bidi="ar-SA"/>
              </w:rPr>
            </w:pPr>
            <w:r>
              <w:rPr>
                <w:rFonts w:hint="eastAsia"/>
                <w:sz w:val="21"/>
                <w:szCs w:val="21"/>
              </w:rPr>
              <w:t>拥有巡防工作站点</w:t>
            </w:r>
            <w:r>
              <w:rPr>
                <w:rFonts w:hint="eastAsia"/>
                <w:sz w:val="21"/>
                <w:szCs w:val="21"/>
                <w:lang w:val="en-US" w:eastAsia="zh-CN"/>
              </w:rPr>
              <w:t>设施</w:t>
            </w:r>
            <w:r>
              <w:rPr>
                <w:rFonts w:hint="eastAsia"/>
                <w:sz w:val="21"/>
                <w:szCs w:val="21"/>
              </w:rPr>
              <w:t>。</w:t>
            </w:r>
          </w:p>
        </w:tc>
        <w:tc>
          <w:tcPr>
            <w:tcW w:w="660" w:type="dxa"/>
            <w:noWrap w:val="0"/>
            <w:vAlign w:val="center"/>
          </w:tcPr>
          <w:p w14:paraId="0810A1A7">
            <w:pPr>
              <w:jc w:val="center"/>
              <w:rPr>
                <w:rFonts w:hint="eastAsia"/>
                <w:kern w:val="2"/>
                <w:sz w:val="21"/>
                <w:szCs w:val="21"/>
                <w:lang w:val="en-US" w:eastAsia="zh-CN" w:bidi="ar-SA"/>
              </w:rPr>
            </w:pPr>
            <w:r>
              <w:rPr>
                <w:rFonts w:hint="eastAsia"/>
                <w:sz w:val="21"/>
                <w:szCs w:val="21"/>
              </w:rPr>
              <w:t>1</w:t>
            </w:r>
          </w:p>
        </w:tc>
        <w:tc>
          <w:tcPr>
            <w:tcW w:w="3050" w:type="dxa"/>
            <w:noWrap w:val="0"/>
            <w:vAlign w:val="center"/>
          </w:tcPr>
          <w:p w14:paraId="53736EFF">
            <w:pPr>
              <w:spacing w:line="320" w:lineRule="exact"/>
              <w:ind w:firstLine="315" w:firstLineChars="150"/>
              <w:rPr>
                <w:rFonts w:hint="eastAsia"/>
                <w:kern w:val="2"/>
                <w:sz w:val="21"/>
                <w:szCs w:val="21"/>
                <w:lang w:val="en-US" w:eastAsia="zh-CN" w:bidi="ar-SA"/>
              </w:rPr>
            </w:pPr>
            <w:r>
              <w:rPr>
                <w:rFonts w:hint="eastAsia"/>
                <w:sz w:val="21"/>
                <w:szCs w:val="21"/>
              </w:rPr>
              <w:t>未拥有巡防工作站点</w:t>
            </w:r>
            <w:r>
              <w:rPr>
                <w:rFonts w:hint="eastAsia"/>
                <w:sz w:val="21"/>
                <w:szCs w:val="21"/>
                <w:lang w:val="en-US" w:eastAsia="zh-CN"/>
              </w:rPr>
              <w:t>设施</w:t>
            </w:r>
            <w:r>
              <w:rPr>
                <w:rFonts w:hint="eastAsia"/>
                <w:sz w:val="21"/>
                <w:szCs w:val="21"/>
              </w:rPr>
              <w:t>，本项不得分。</w:t>
            </w:r>
          </w:p>
        </w:tc>
        <w:tc>
          <w:tcPr>
            <w:tcW w:w="651" w:type="dxa"/>
            <w:noWrap w:val="0"/>
            <w:vAlign w:val="top"/>
          </w:tcPr>
          <w:p w14:paraId="493B6C1F"/>
        </w:tc>
        <w:tc>
          <w:tcPr>
            <w:tcW w:w="688" w:type="dxa"/>
            <w:vMerge w:val="continue"/>
            <w:noWrap w:val="0"/>
            <w:vAlign w:val="top"/>
          </w:tcPr>
          <w:p w14:paraId="42F4D697"/>
        </w:tc>
        <w:tc>
          <w:tcPr>
            <w:tcW w:w="615" w:type="dxa"/>
            <w:vMerge w:val="continue"/>
            <w:noWrap w:val="0"/>
            <w:vAlign w:val="top"/>
          </w:tcPr>
          <w:p w14:paraId="53A064DB"/>
        </w:tc>
      </w:tr>
      <w:tr w14:paraId="6B156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restart"/>
            <w:noWrap w:val="0"/>
            <w:vAlign w:val="center"/>
          </w:tcPr>
          <w:p w14:paraId="2C677771">
            <w:pPr>
              <w:jc w:val="center"/>
              <w:rPr>
                <w:rFonts w:hint="eastAsia"/>
                <w:sz w:val="21"/>
                <w:szCs w:val="21"/>
              </w:rPr>
            </w:pPr>
            <w:r>
              <w:rPr>
                <w:rFonts w:hint="eastAsia"/>
                <w:sz w:val="21"/>
                <w:szCs w:val="21"/>
              </w:rPr>
              <w:t>安全管理</w:t>
            </w:r>
          </w:p>
          <w:p w14:paraId="055A0E09">
            <w:pPr>
              <w:jc w:val="center"/>
              <w:rPr>
                <w:rFonts w:hint="default" w:eastAsia="宋体"/>
                <w:kern w:val="2"/>
                <w:sz w:val="21"/>
                <w:szCs w:val="21"/>
                <w:lang w:val="en-US" w:eastAsia="zh-CN" w:bidi="ar-SA"/>
              </w:rPr>
            </w:pPr>
            <w:r>
              <w:rPr>
                <w:rFonts w:hint="eastAsia"/>
                <w:sz w:val="21"/>
                <w:szCs w:val="21"/>
                <w:lang w:val="en-US" w:eastAsia="zh-CN"/>
              </w:rPr>
              <w:t>24</w:t>
            </w:r>
          </w:p>
        </w:tc>
        <w:tc>
          <w:tcPr>
            <w:tcW w:w="3327" w:type="dxa"/>
            <w:noWrap w:val="0"/>
            <w:vAlign w:val="center"/>
          </w:tcPr>
          <w:p w14:paraId="2D9B157B">
            <w:pPr>
              <w:spacing w:line="320" w:lineRule="exact"/>
              <w:ind w:firstLine="315" w:firstLineChars="150"/>
              <w:rPr>
                <w:rFonts w:hint="eastAsia"/>
                <w:kern w:val="2"/>
                <w:sz w:val="21"/>
                <w:szCs w:val="21"/>
                <w:lang w:val="en-US" w:eastAsia="zh-CN" w:bidi="ar-SA"/>
              </w:rPr>
            </w:pPr>
            <w:r>
              <w:rPr>
                <w:rFonts w:hint="eastAsia"/>
                <w:sz w:val="21"/>
                <w:szCs w:val="21"/>
              </w:rPr>
              <w:t>巡查</w:t>
            </w:r>
            <w:r>
              <w:rPr>
                <w:sz w:val="21"/>
                <w:szCs w:val="21"/>
              </w:rPr>
              <w:t>过程中发</w:t>
            </w:r>
            <w:r>
              <w:rPr>
                <w:rFonts w:hint="eastAsia"/>
                <w:sz w:val="21"/>
                <w:szCs w:val="21"/>
                <w:lang w:val="en-US" w:eastAsia="zh-CN"/>
              </w:rPr>
              <w:t>现</w:t>
            </w:r>
            <w:r>
              <w:rPr>
                <w:rFonts w:hint="eastAsia"/>
                <w:sz w:val="21"/>
                <w:szCs w:val="21"/>
              </w:rPr>
              <w:t>较大、重大安全隐患</w:t>
            </w:r>
            <w:r>
              <w:rPr>
                <w:sz w:val="21"/>
                <w:szCs w:val="21"/>
              </w:rPr>
              <w:t>，第一时间向镇、市上报信息</w:t>
            </w:r>
            <w:r>
              <w:rPr>
                <w:rFonts w:hint="eastAsia"/>
                <w:sz w:val="21"/>
                <w:szCs w:val="21"/>
              </w:rPr>
              <w:t>。</w:t>
            </w:r>
          </w:p>
        </w:tc>
        <w:tc>
          <w:tcPr>
            <w:tcW w:w="660" w:type="dxa"/>
            <w:noWrap w:val="0"/>
            <w:vAlign w:val="center"/>
          </w:tcPr>
          <w:p w14:paraId="50978CB9">
            <w:pPr>
              <w:jc w:val="center"/>
              <w:rPr>
                <w:rFonts w:hint="eastAsia" w:eastAsia="宋体"/>
                <w:kern w:val="2"/>
                <w:sz w:val="21"/>
                <w:szCs w:val="21"/>
                <w:lang w:val="en-US" w:eastAsia="zh-CN" w:bidi="ar-SA"/>
              </w:rPr>
            </w:pPr>
            <w:r>
              <w:rPr>
                <w:rFonts w:hint="eastAsia"/>
                <w:sz w:val="21"/>
                <w:szCs w:val="21"/>
                <w:lang w:val="en-US" w:eastAsia="zh-CN"/>
              </w:rPr>
              <w:t>8</w:t>
            </w:r>
          </w:p>
        </w:tc>
        <w:tc>
          <w:tcPr>
            <w:tcW w:w="3050" w:type="dxa"/>
            <w:noWrap w:val="0"/>
            <w:vAlign w:val="center"/>
          </w:tcPr>
          <w:p w14:paraId="1571691D">
            <w:pPr>
              <w:spacing w:line="320" w:lineRule="exact"/>
              <w:ind w:firstLine="315" w:firstLineChars="150"/>
              <w:rPr>
                <w:rFonts w:hint="eastAsia"/>
                <w:kern w:val="2"/>
                <w:sz w:val="21"/>
                <w:szCs w:val="21"/>
                <w:lang w:val="en-US" w:eastAsia="zh-CN" w:bidi="ar-SA"/>
              </w:rPr>
            </w:pPr>
            <w:r>
              <w:rPr>
                <w:rFonts w:hint="eastAsia"/>
                <w:sz w:val="21"/>
                <w:szCs w:val="21"/>
                <w:lang w:val="en-US" w:eastAsia="zh-CN"/>
              </w:rPr>
              <w:t>发现</w:t>
            </w:r>
            <w:r>
              <w:rPr>
                <w:rFonts w:hint="eastAsia"/>
                <w:sz w:val="21"/>
                <w:szCs w:val="21"/>
              </w:rPr>
              <w:t>较大</w:t>
            </w:r>
            <w:r>
              <w:rPr>
                <w:sz w:val="21"/>
                <w:szCs w:val="21"/>
              </w:rPr>
              <w:t>安全隐患未上报</w:t>
            </w:r>
            <w:r>
              <w:rPr>
                <w:rFonts w:hint="eastAsia"/>
                <w:sz w:val="21"/>
                <w:szCs w:val="21"/>
              </w:rPr>
              <w:t>，</w:t>
            </w:r>
            <w:r>
              <w:rPr>
                <w:sz w:val="21"/>
                <w:szCs w:val="21"/>
              </w:rPr>
              <w:t>扣</w:t>
            </w:r>
            <w:r>
              <w:rPr>
                <w:rFonts w:hint="eastAsia"/>
                <w:sz w:val="21"/>
                <w:szCs w:val="21"/>
                <w:lang w:val="en-US" w:eastAsia="zh-CN"/>
              </w:rPr>
              <w:t>1</w:t>
            </w:r>
            <w:r>
              <w:rPr>
                <w:rFonts w:hint="eastAsia"/>
                <w:sz w:val="21"/>
                <w:szCs w:val="21"/>
              </w:rPr>
              <w:t>分/起；重大安全隐患未上报，扣</w:t>
            </w:r>
            <w:r>
              <w:rPr>
                <w:rFonts w:hint="eastAsia"/>
                <w:sz w:val="21"/>
                <w:szCs w:val="21"/>
                <w:lang w:val="en-US" w:eastAsia="zh-CN"/>
              </w:rPr>
              <w:t>2</w:t>
            </w:r>
            <w:r>
              <w:rPr>
                <w:rFonts w:hint="eastAsia"/>
                <w:sz w:val="21"/>
                <w:szCs w:val="21"/>
              </w:rPr>
              <w:t>分/起。</w:t>
            </w:r>
          </w:p>
        </w:tc>
        <w:tc>
          <w:tcPr>
            <w:tcW w:w="651" w:type="dxa"/>
            <w:noWrap w:val="0"/>
            <w:vAlign w:val="top"/>
          </w:tcPr>
          <w:p w14:paraId="13999958"/>
        </w:tc>
        <w:tc>
          <w:tcPr>
            <w:tcW w:w="688" w:type="dxa"/>
            <w:vMerge w:val="restart"/>
            <w:noWrap w:val="0"/>
            <w:vAlign w:val="top"/>
          </w:tcPr>
          <w:p w14:paraId="17A0ABBA"/>
        </w:tc>
        <w:tc>
          <w:tcPr>
            <w:tcW w:w="615" w:type="dxa"/>
            <w:vMerge w:val="restart"/>
            <w:noWrap w:val="0"/>
            <w:vAlign w:val="top"/>
          </w:tcPr>
          <w:p w14:paraId="6B01C468"/>
        </w:tc>
      </w:tr>
      <w:tr w14:paraId="7D2EA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1DA8ABD6">
            <w:pPr>
              <w:rPr>
                <w:sz w:val="21"/>
                <w:szCs w:val="21"/>
              </w:rPr>
            </w:pPr>
          </w:p>
        </w:tc>
        <w:tc>
          <w:tcPr>
            <w:tcW w:w="3327" w:type="dxa"/>
            <w:noWrap w:val="0"/>
            <w:vAlign w:val="center"/>
          </w:tcPr>
          <w:p w14:paraId="730AC464">
            <w:pPr>
              <w:spacing w:line="320" w:lineRule="exact"/>
              <w:ind w:firstLine="315" w:firstLineChars="150"/>
              <w:rPr>
                <w:rFonts w:hint="eastAsia"/>
                <w:kern w:val="2"/>
                <w:sz w:val="21"/>
                <w:szCs w:val="21"/>
                <w:lang w:val="en-US" w:eastAsia="zh-CN" w:bidi="ar-SA"/>
              </w:rPr>
            </w:pPr>
            <w:r>
              <w:rPr>
                <w:rFonts w:hint="eastAsia"/>
                <w:sz w:val="21"/>
                <w:szCs w:val="21"/>
              </w:rPr>
              <w:t>安全巡查到位，</w:t>
            </w:r>
            <w:r>
              <w:rPr>
                <w:rFonts w:hint="eastAsia"/>
                <w:sz w:val="21"/>
                <w:szCs w:val="21"/>
                <w:lang w:val="en-US" w:eastAsia="zh-CN"/>
              </w:rPr>
              <w:t>不发生重大伤亡事故</w:t>
            </w:r>
            <w:r>
              <w:rPr>
                <w:rFonts w:hint="eastAsia"/>
                <w:sz w:val="21"/>
                <w:szCs w:val="21"/>
              </w:rPr>
              <w:t>。</w:t>
            </w:r>
          </w:p>
        </w:tc>
        <w:tc>
          <w:tcPr>
            <w:tcW w:w="660" w:type="dxa"/>
            <w:noWrap w:val="0"/>
            <w:vAlign w:val="center"/>
          </w:tcPr>
          <w:p w14:paraId="06682374">
            <w:pPr>
              <w:jc w:val="center"/>
              <w:rPr>
                <w:rFonts w:hint="eastAsia" w:eastAsia="宋体"/>
                <w:kern w:val="2"/>
                <w:sz w:val="21"/>
                <w:szCs w:val="21"/>
                <w:lang w:val="en-US" w:eastAsia="zh-CN" w:bidi="ar-SA"/>
              </w:rPr>
            </w:pPr>
            <w:r>
              <w:rPr>
                <w:rFonts w:hint="eastAsia"/>
                <w:sz w:val="21"/>
                <w:szCs w:val="21"/>
                <w:lang w:val="en-US" w:eastAsia="zh-CN"/>
              </w:rPr>
              <w:t>8</w:t>
            </w:r>
          </w:p>
        </w:tc>
        <w:tc>
          <w:tcPr>
            <w:tcW w:w="3050" w:type="dxa"/>
            <w:noWrap w:val="0"/>
            <w:vAlign w:val="center"/>
          </w:tcPr>
          <w:p w14:paraId="500A216A">
            <w:pPr>
              <w:spacing w:line="320" w:lineRule="exact"/>
              <w:ind w:firstLine="315" w:firstLineChars="150"/>
              <w:rPr>
                <w:rFonts w:hint="eastAsia"/>
                <w:kern w:val="2"/>
                <w:sz w:val="21"/>
                <w:szCs w:val="21"/>
                <w:lang w:val="en-US" w:eastAsia="zh-CN" w:bidi="ar-SA"/>
              </w:rPr>
            </w:pPr>
            <w:r>
              <w:rPr>
                <w:rFonts w:hint="eastAsia"/>
                <w:sz w:val="21"/>
                <w:szCs w:val="21"/>
                <w:lang w:val="en-US" w:eastAsia="zh-CN"/>
              </w:rPr>
              <w:t>如</w:t>
            </w:r>
            <w:r>
              <w:rPr>
                <w:sz w:val="21"/>
                <w:szCs w:val="21"/>
              </w:rPr>
              <w:t>发生重大安全事故</w:t>
            </w:r>
            <w:r>
              <w:rPr>
                <w:rFonts w:hint="eastAsia"/>
                <w:sz w:val="21"/>
                <w:szCs w:val="21"/>
              </w:rPr>
              <w:t>，本项不得分。</w:t>
            </w:r>
          </w:p>
        </w:tc>
        <w:tc>
          <w:tcPr>
            <w:tcW w:w="651" w:type="dxa"/>
            <w:noWrap w:val="0"/>
            <w:vAlign w:val="top"/>
          </w:tcPr>
          <w:p w14:paraId="4F1353BF"/>
        </w:tc>
        <w:tc>
          <w:tcPr>
            <w:tcW w:w="688" w:type="dxa"/>
            <w:vMerge w:val="continue"/>
            <w:noWrap w:val="0"/>
            <w:vAlign w:val="top"/>
          </w:tcPr>
          <w:p w14:paraId="27C5872F"/>
        </w:tc>
        <w:tc>
          <w:tcPr>
            <w:tcW w:w="615" w:type="dxa"/>
            <w:vMerge w:val="continue"/>
            <w:noWrap w:val="0"/>
            <w:vAlign w:val="top"/>
          </w:tcPr>
          <w:p w14:paraId="69FDB6FD"/>
        </w:tc>
      </w:tr>
      <w:tr w14:paraId="2ED2D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 w:hRule="atLeast"/>
        </w:trPr>
        <w:tc>
          <w:tcPr>
            <w:tcW w:w="741" w:type="dxa"/>
            <w:vMerge w:val="continue"/>
            <w:noWrap w:val="0"/>
            <w:vAlign w:val="center"/>
          </w:tcPr>
          <w:p w14:paraId="6F2BF36F">
            <w:pPr>
              <w:rPr>
                <w:sz w:val="21"/>
                <w:szCs w:val="21"/>
              </w:rPr>
            </w:pPr>
          </w:p>
        </w:tc>
        <w:tc>
          <w:tcPr>
            <w:tcW w:w="3327" w:type="dxa"/>
            <w:noWrap w:val="0"/>
            <w:vAlign w:val="center"/>
          </w:tcPr>
          <w:p w14:paraId="07A8E476">
            <w:pPr>
              <w:spacing w:line="320" w:lineRule="exact"/>
              <w:ind w:firstLine="315" w:firstLineChars="150"/>
              <w:rPr>
                <w:rFonts w:hint="eastAsia"/>
                <w:kern w:val="2"/>
                <w:sz w:val="21"/>
                <w:szCs w:val="21"/>
                <w:lang w:val="en-US" w:eastAsia="zh-CN" w:bidi="ar-SA"/>
              </w:rPr>
            </w:pPr>
            <w:r>
              <w:rPr>
                <w:rFonts w:hint="eastAsia"/>
                <w:sz w:val="21"/>
                <w:szCs w:val="21"/>
              </w:rPr>
              <w:t>台风、风潮等恶劣天气</w:t>
            </w:r>
            <w:r>
              <w:rPr>
                <w:rFonts w:hint="eastAsia"/>
                <w:sz w:val="21"/>
                <w:szCs w:val="21"/>
                <w:lang w:val="en-US" w:eastAsia="zh-CN"/>
              </w:rPr>
              <w:t>期间</w:t>
            </w:r>
            <w:r>
              <w:rPr>
                <w:rFonts w:hint="eastAsia"/>
                <w:sz w:val="21"/>
                <w:szCs w:val="21"/>
                <w:lang w:eastAsia="zh-CN"/>
              </w:rPr>
              <w:t>，</w:t>
            </w:r>
            <w:r>
              <w:rPr>
                <w:rFonts w:hint="eastAsia"/>
                <w:sz w:val="21"/>
                <w:szCs w:val="21"/>
              </w:rPr>
              <w:t>及时劝阻</w:t>
            </w:r>
            <w:r>
              <w:rPr>
                <w:rFonts w:hint="eastAsia"/>
                <w:sz w:val="21"/>
                <w:szCs w:val="21"/>
                <w:lang w:val="en-US" w:eastAsia="zh-CN"/>
              </w:rPr>
              <w:t>群众、游客等</w:t>
            </w:r>
            <w:r>
              <w:rPr>
                <w:rFonts w:hint="eastAsia"/>
                <w:sz w:val="21"/>
                <w:szCs w:val="21"/>
              </w:rPr>
              <w:t>下海</w:t>
            </w:r>
            <w:r>
              <w:rPr>
                <w:rFonts w:hint="eastAsia"/>
                <w:sz w:val="21"/>
                <w:szCs w:val="21"/>
                <w:lang w:val="en-US" w:eastAsia="zh-CN"/>
              </w:rPr>
              <w:t>及</w:t>
            </w:r>
            <w:r>
              <w:rPr>
                <w:rFonts w:hint="eastAsia"/>
                <w:sz w:val="21"/>
                <w:szCs w:val="21"/>
              </w:rPr>
              <w:t>远离海堤。</w:t>
            </w:r>
          </w:p>
        </w:tc>
        <w:tc>
          <w:tcPr>
            <w:tcW w:w="660" w:type="dxa"/>
            <w:noWrap w:val="0"/>
            <w:vAlign w:val="center"/>
          </w:tcPr>
          <w:p w14:paraId="5F9194FC">
            <w:pPr>
              <w:jc w:val="center"/>
              <w:rPr>
                <w:rFonts w:hint="eastAsia" w:eastAsia="宋体"/>
                <w:kern w:val="2"/>
                <w:sz w:val="21"/>
                <w:szCs w:val="21"/>
                <w:lang w:val="en-US" w:eastAsia="zh-CN" w:bidi="ar-SA"/>
              </w:rPr>
            </w:pPr>
            <w:r>
              <w:rPr>
                <w:rFonts w:hint="eastAsia"/>
                <w:sz w:val="21"/>
                <w:szCs w:val="21"/>
                <w:lang w:val="en-US" w:eastAsia="zh-CN"/>
              </w:rPr>
              <w:t>8</w:t>
            </w:r>
          </w:p>
        </w:tc>
        <w:tc>
          <w:tcPr>
            <w:tcW w:w="3050" w:type="dxa"/>
            <w:noWrap w:val="0"/>
            <w:vAlign w:val="center"/>
          </w:tcPr>
          <w:p w14:paraId="7BFE532A">
            <w:pPr>
              <w:spacing w:line="320" w:lineRule="exact"/>
              <w:ind w:firstLine="315" w:firstLineChars="150"/>
              <w:rPr>
                <w:rFonts w:hint="eastAsia"/>
                <w:kern w:val="2"/>
                <w:sz w:val="21"/>
                <w:szCs w:val="21"/>
                <w:lang w:val="en-US" w:eastAsia="zh-CN" w:bidi="ar-SA"/>
              </w:rPr>
            </w:pPr>
            <w:r>
              <w:rPr>
                <w:sz w:val="21"/>
                <w:szCs w:val="21"/>
              </w:rPr>
              <w:t>未及时劝阻下海人员</w:t>
            </w:r>
            <w:r>
              <w:rPr>
                <w:rFonts w:hint="eastAsia"/>
                <w:sz w:val="21"/>
                <w:szCs w:val="21"/>
              </w:rPr>
              <w:t>，</w:t>
            </w:r>
            <w:r>
              <w:rPr>
                <w:rFonts w:hint="eastAsia"/>
                <w:sz w:val="21"/>
                <w:szCs w:val="21"/>
                <w:lang w:val="en-US" w:eastAsia="zh-CN"/>
              </w:rPr>
              <w:t>被市、镇</w:t>
            </w:r>
            <w:r>
              <w:rPr>
                <w:rFonts w:hint="eastAsia"/>
                <w:sz w:val="21"/>
                <w:szCs w:val="21"/>
              </w:rPr>
              <w:t>政府部门通报，</w:t>
            </w:r>
            <w:r>
              <w:rPr>
                <w:rFonts w:hint="eastAsia"/>
                <w:sz w:val="21"/>
                <w:szCs w:val="21"/>
                <w:lang w:val="en-US" w:eastAsia="zh-CN"/>
              </w:rPr>
              <w:t>每一起分别扣2</w:t>
            </w:r>
            <w:r>
              <w:rPr>
                <w:rFonts w:hint="eastAsia"/>
                <w:sz w:val="21"/>
                <w:szCs w:val="21"/>
              </w:rPr>
              <w:t>分</w:t>
            </w:r>
            <w:r>
              <w:rPr>
                <w:rFonts w:hint="eastAsia"/>
                <w:sz w:val="21"/>
                <w:szCs w:val="21"/>
                <w:lang w:eastAsia="zh-CN"/>
              </w:rPr>
              <w:t>、</w:t>
            </w:r>
            <w:r>
              <w:rPr>
                <w:rFonts w:hint="eastAsia"/>
                <w:sz w:val="21"/>
                <w:szCs w:val="21"/>
                <w:lang w:val="en-US" w:eastAsia="zh-CN"/>
              </w:rPr>
              <w:t>1分</w:t>
            </w:r>
            <w:r>
              <w:rPr>
                <w:rFonts w:hint="eastAsia"/>
                <w:sz w:val="21"/>
                <w:szCs w:val="21"/>
              </w:rPr>
              <w:t>。</w:t>
            </w:r>
          </w:p>
        </w:tc>
        <w:tc>
          <w:tcPr>
            <w:tcW w:w="651" w:type="dxa"/>
            <w:noWrap w:val="0"/>
            <w:vAlign w:val="top"/>
          </w:tcPr>
          <w:p w14:paraId="112DFECA"/>
        </w:tc>
        <w:tc>
          <w:tcPr>
            <w:tcW w:w="688" w:type="dxa"/>
            <w:vMerge w:val="continue"/>
            <w:noWrap w:val="0"/>
            <w:vAlign w:val="top"/>
          </w:tcPr>
          <w:p w14:paraId="00D99690"/>
        </w:tc>
        <w:tc>
          <w:tcPr>
            <w:tcW w:w="615" w:type="dxa"/>
            <w:vMerge w:val="continue"/>
            <w:noWrap w:val="0"/>
            <w:vAlign w:val="top"/>
          </w:tcPr>
          <w:p w14:paraId="41F7C135"/>
        </w:tc>
      </w:tr>
    </w:tbl>
    <w:p w14:paraId="59968E1C">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4、</w:t>
      </w:r>
      <w:r>
        <w:rPr>
          <w:rFonts w:hint="default" w:ascii="宋体" w:hAnsi="宋体" w:eastAsia="宋体" w:cs="Times New Roman"/>
          <w:sz w:val="24"/>
          <w:szCs w:val="24"/>
          <w:lang w:val="en-US" w:eastAsia="zh-CN"/>
        </w:rPr>
        <w:t>合同解除与终止</w:t>
      </w:r>
    </w:p>
    <w:p w14:paraId="222AE46A">
      <w:pPr>
        <w:spacing w:line="460" w:lineRule="exact"/>
        <w:ind w:firstLine="585"/>
        <w:textAlignment w:val="baseline"/>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乙方</w:t>
      </w:r>
      <w:r>
        <w:rPr>
          <w:rFonts w:hint="default" w:ascii="宋体" w:hAnsi="宋体" w:eastAsia="宋体" w:cs="Times New Roman"/>
          <w:sz w:val="24"/>
          <w:szCs w:val="24"/>
          <w:lang w:val="en-US" w:eastAsia="zh-CN"/>
        </w:rPr>
        <w:t>有下列情形之一的，</w:t>
      </w:r>
      <w:r>
        <w:rPr>
          <w:rFonts w:hint="eastAsia" w:ascii="宋体" w:hAnsi="宋体" w:eastAsia="宋体" w:cs="Times New Roman"/>
          <w:sz w:val="24"/>
          <w:szCs w:val="24"/>
          <w:lang w:val="en-US" w:eastAsia="zh-CN"/>
        </w:rPr>
        <w:t>甲方</w:t>
      </w:r>
      <w:r>
        <w:rPr>
          <w:rFonts w:hint="default" w:ascii="宋体" w:hAnsi="宋体" w:eastAsia="宋体" w:cs="Times New Roman"/>
          <w:sz w:val="24"/>
          <w:szCs w:val="24"/>
          <w:lang w:val="en-US" w:eastAsia="zh-CN"/>
        </w:rPr>
        <w:t>有权解除合同：</w:t>
      </w:r>
    </w:p>
    <w:p w14:paraId="79AA9587">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①</w:t>
      </w:r>
      <w:r>
        <w:rPr>
          <w:rFonts w:hint="default" w:ascii="宋体" w:hAnsi="宋体" w:eastAsia="宋体" w:cs="Times New Roman"/>
          <w:sz w:val="24"/>
          <w:szCs w:val="24"/>
          <w:lang w:val="en-US" w:eastAsia="zh-CN"/>
        </w:rPr>
        <w:t>一个合同期内累计被处罚三次</w:t>
      </w:r>
      <w:r>
        <w:rPr>
          <w:rFonts w:hint="eastAsia" w:ascii="宋体" w:hAnsi="宋体" w:eastAsia="宋体" w:cs="Times New Roman"/>
          <w:sz w:val="24"/>
          <w:szCs w:val="24"/>
          <w:lang w:val="en-US" w:eastAsia="zh-CN"/>
        </w:rPr>
        <w:t>（含）</w:t>
      </w:r>
      <w:r>
        <w:rPr>
          <w:rFonts w:hint="default" w:ascii="宋体" w:hAnsi="宋体" w:eastAsia="宋体" w:cs="Times New Roman"/>
          <w:sz w:val="24"/>
          <w:szCs w:val="24"/>
          <w:lang w:val="en-US" w:eastAsia="zh-CN"/>
        </w:rPr>
        <w:t>以上的；</w:t>
      </w:r>
    </w:p>
    <w:p w14:paraId="286E8821">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②</w:t>
      </w:r>
      <w:r>
        <w:rPr>
          <w:rFonts w:hint="default" w:ascii="宋体" w:hAnsi="宋体" w:eastAsia="宋体" w:cs="Times New Roman"/>
          <w:sz w:val="24"/>
          <w:szCs w:val="24"/>
          <w:lang w:val="en-US" w:eastAsia="zh-CN"/>
        </w:rPr>
        <w:t>丧失《劳务派遣经营许可证》或营业执照被吊销的；</w:t>
      </w:r>
    </w:p>
    <w:p w14:paraId="3BF2982C">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③</w:t>
      </w:r>
      <w:r>
        <w:rPr>
          <w:rFonts w:hint="default" w:ascii="宋体" w:hAnsi="宋体" w:eastAsia="宋体" w:cs="Times New Roman"/>
          <w:sz w:val="24"/>
          <w:szCs w:val="24"/>
          <w:lang w:val="en-US" w:eastAsia="zh-CN"/>
        </w:rPr>
        <w:t>严重违反</w:t>
      </w:r>
      <w:r>
        <w:rPr>
          <w:rFonts w:hint="eastAsia" w:ascii="宋体" w:hAnsi="宋体" w:eastAsia="宋体" w:cs="Times New Roman"/>
          <w:sz w:val="24"/>
          <w:szCs w:val="24"/>
          <w:lang w:val="en-US" w:eastAsia="zh-CN"/>
        </w:rPr>
        <w:t>甲方</w:t>
      </w:r>
      <w:r>
        <w:rPr>
          <w:rFonts w:hint="default" w:ascii="宋体" w:hAnsi="宋体" w:eastAsia="宋体" w:cs="Times New Roman"/>
          <w:sz w:val="24"/>
          <w:szCs w:val="24"/>
          <w:lang w:val="en-US" w:eastAsia="zh-CN"/>
        </w:rPr>
        <w:t>管理规定，造成重大影响的；</w:t>
      </w:r>
    </w:p>
    <w:p w14:paraId="2C1FFDBA">
      <w:pPr>
        <w:spacing w:line="460" w:lineRule="exact"/>
        <w:ind w:firstLine="585"/>
        <w:textAlignment w:val="baseline"/>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④</w:t>
      </w:r>
      <w:r>
        <w:rPr>
          <w:rFonts w:hint="eastAsia" w:ascii="宋体" w:hAnsi="宋体" w:eastAsia="宋体" w:cs="Times New Roman"/>
          <w:sz w:val="24"/>
          <w:szCs w:val="24"/>
          <w:lang w:val="zh-CN" w:eastAsia="zh-CN"/>
        </w:rPr>
        <w:t>乙方理应按照《中华人民共和国劳动合同法》为所有员工按时发放基本工资（不低于国家政策性规定）、</w:t>
      </w:r>
      <w:r>
        <w:rPr>
          <w:rFonts w:hint="eastAsia" w:ascii="宋体" w:hAnsi="宋体" w:eastAsia="宋体" w:cs="Times New Roman"/>
          <w:sz w:val="24"/>
          <w:szCs w:val="24"/>
          <w:lang w:val="en-US" w:eastAsia="zh-CN"/>
        </w:rPr>
        <w:t>足</w:t>
      </w:r>
      <w:r>
        <w:rPr>
          <w:rFonts w:hint="eastAsia" w:ascii="宋体" w:hAnsi="宋体" w:eastAsia="宋体" w:cs="Times New Roman"/>
          <w:sz w:val="24"/>
          <w:szCs w:val="24"/>
          <w:lang w:val="zh-CN" w:eastAsia="zh-CN"/>
        </w:rPr>
        <w:t>额缴纳相关</w:t>
      </w:r>
      <w:r>
        <w:rPr>
          <w:rFonts w:hint="eastAsia" w:ascii="宋体" w:hAnsi="宋体" w:eastAsia="宋体" w:cs="Times New Roman"/>
          <w:sz w:val="24"/>
          <w:szCs w:val="24"/>
          <w:lang w:val="en-US" w:eastAsia="zh-CN"/>
        </w:rPr>
        <w:t>保险</w:t>
      </w:r>
      <w:r>
        <w:rPr>
          <w:rFonts w:hint="eastAsia" w:ascii="宋体" w:hAnsi="宋体" w:eastAsia="宋体" w:cs="Times New Roman"/>
          <w:sz w:val="24"/>
          <w:szCs w:val="24"/>
          <w:lang w:val="zh-CN" w:eastAsia="zh-CN"/>
        </w:rPr>
        <w:t>，因产生劳资纠纷且未能妥善整改解决，直接影响服务质量的；</w:t>
      </w:r>
    </w:p>
    <w:p w14:paraId="0C1C1807">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⑤</w:t>
      </w:r>
      <w:r>
        <w:rPr>
          <w:rFonts w:hint="eastAsia" w:ascii="宋体" w:hAnsi="宋体" w:eastAsia="宋体" w:cs="Times New Roman"/>
          <w:sz w:val="24"/>
          <w:szCs w:val="24"/>
          <w:lang w:val="zh-CN" w:eastAsia="zh-CN"/>
        </w:rPr>
        <w:t>因管控不力导致下海人员死亡而产生社会和政治影响的；</w:t>
      </w:r>
    </w:p>
    <w:p w14:paraId="51E9DD2F">
      <w:pPr>
        <w:spacing w:line="460" w:lineRule="exact"/>
        <w:ind w:firstLine="585"/>
        <w:textAlignment w:val="baseline"/>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⑥</w:t>
      </w:r>
      <w:r>
        <w:rPr>
          <w:rFonts w:hint="default" w:ascii="宋体" w:hAnsi="宋体" w:eastAsia="宋体" w:cs="Times New Roman"/>
          <w:sz w:val="24"/>
          <w:szCs w:val="24"/>
          <w:lang w:val="en-US" w:eastAsia="zh-CN"/>
        </w:rPr>
        <w:t>其他严重违约情形。</w:t>
      </w:r>
    </w:p>
    <w:p w14:paraId="024FC46F">
      <w:pPr>
        <w:spacing w:line="460" w:lineRule="exact"/>
        <w:ind w:firstLine="585"/>
        <w:textAlignment w:val="baseline"/>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合同期内，季度考核得分不满80分累计出现两次的，甲方有权不予续签下一年度合同；当年度合同期满后合同终止，甲方不承担违约责任。</w:t>
      </w:r>
    </w:p>
    <w:p w14:paraId="6BB1D1BE">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十一、解决合同争议的方式：</w:t>
      </w:r>
    </w:p>
    <w:p w14:paraId="51D3D64E">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本合同发生争议，甲方、乙方应及时协商解决，协商或调解不成时，可向项目所在地人民法院起诉。</w:t>
      </w:r>
    </w:p>
    <w:p w14:paraId="57D6C9CF">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default"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十二、其他约定:</w:t>
      </w:r>
    </w:p>
    <w:p w14:paraId="55714940">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1.本合同一式陆份，甲乙双方各执叁份。</w:t>
      </w:r>
    </w:p>
    <w:p w14:paraId="6B8786AD">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2.未尽事宜，本合同未尽事宜应按照《中华人民共和国民法典》、《中华人民共和国政府采购法》之规定解释。</w:t>
      </w:r>
    </w:p>
    <w:p w14:paraId="3A4CA6C3">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3.本合同自甲乙双方法定代表人或委托代理人签字并加盖公章之日起生效。</w:t>
      </w:r>
    </w:p>
    <w:p w14:paraId="3D101C46">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4.双方确认本合同履行过程中所有通知、函件、法律文书等文件均须按照本条款约定地址及方式送达：1.甲方送达地址：【启东市吕四港镇人民政府】，联系人：【吕东】，联系电话：【</w:t>
      </w:r>
      <w:r>
        <w:rPr>
          <w:rFonts w:hint="eastAsia" w:ascii="宋体" w:hAnsi="宋体" w:eastAsia="宋体" w:cs="宋体"/>
          <w:color w:val="auto"/>
          <w:kern w:val="2"/>
          <w:sz w:val="24"/>
          <w:szCs w:val="24"/>
          <w:shd w:val="clear" w:color="auto" w:fill="FFFFFF"/>
          <w:lang w:val="en-US" w:eastAsia="zh-CN"/>
        </w:rPr>
        <w:t>15998399602</w:t>
      </w:r>
      <w:r>
        <w:rPr>
          <w:rFonts w:hint="eastAsia" w:ascii="宋体" w:hAnsi="宋体" w:eastAsia="宋体" w:cs="宋体"/>
          <w:color w:val="auto"/>
          <w:sz w:val="24"/>
          <w:szCs w:val="24"/>
          <w:highlight w:val="none"/>
          <w:u w:val="none"/>
          <w:lang w:val="en-US" w:eastAsia="zh-CN"/>
        </w:rPr>
        <w:t>】；2.乙方送达地址：【</w:t>
      </w:r>
      <w:r>
        <w:rPr>
          <w:rFonts w:hint="eastAsia" w:ascii="宋体" w:hAnsi="宋体" w:eastAsia="宋体" w:cs="宋体"/>
          <w:color w:val="auto"/>
          <w:kern w:val="2"/>
          <w:sz w:val="24"/>
          <w:szCs w:val="24"/>
          <w:shd w:val="clear" w:color="auto" w:fill="FFFFFF"/>
          <w:lang w:val="en-US" w:eastAsia="zh-CN"/>
        </w:rPr>
        <w:t xml:space="preserve">        </w:t>
      </w:r>
      <w:r>
        <w:rPr>
          <w:rFonts w:hint="eastAsia" w:ascii="宋体" w:hAnsi="宋体" w:eastAsia="宋体" w:cs="宋体"/>
          <w:color w:val="auto"/>
          <w:sz w:val="24"/>
          <w:szCs w:val="24"/>
          <w:highlight w:val="none"/>
          <w:u w:val="none"/>
          <w:lang w:val="en-US" w:eastAsia="zh-CN"/>
        </w:rPr>
        <w:t>】，联系人：【    】，联系电话：【       】；3.一方变更送达地址须提前3个工作日书面通知对方，否则按原地址送达即视为有效送达；4.邮寄送达的，签收之日为送达之日，邮寄被退回的，退回之日视为送达；电子送达的，发出之日视为送达。</w:t>
      </w:r>
    </w:p>
    <w:p w14:paraId="774F2A5F">
      <w:pPr>
        <w:widowControl/>
        <w:spacing w:line="480" w:lineRule="exact"/>
        <w:jc w:val="left"/>
        <w:rPr>
          <w:rFonts w:ascii="宋体" w:hAnsi="宋体" w:eastAsia="宋体" w:cs="Times New Roman"/>
          <w:sz w:val="28"/>
          <w:szCs w:val="28"/>
        </w:rPr>
      </w:pPr>
    </w:p>
    <w:p w14:paraId="7FE5DF31">
      <w:pPr>
        <w:pStyle w:val="20"/>
        <w:rPr>
          <w:rFonts w:ascii="宋体" w:hAnsi="宋体" w:eastAsia="宋体" w:cs="Times New Roman"/>
          <w:sz w:val="28"/>
          <w:szCs w:val="28"/>
        </w:rPr>
      </w:pPr>
    </w:p>
    <w:p w14:paraId="3399AE8A">
      <w:pPr>
        <w:pStyle w:val="6"/>
      </w:pPr>
    </w:p>
    <w:p w14:paraId="6B27285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甲方（盖章）：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乙方（盖章）：            </w:t>
      </w:r>
    </w:p>
    <w:p w14:paraId="6D33A7D7">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法定代表人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法定代表人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35B3877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或</w:t>
      </w:r>
      <w:r>
        <w:rPr>
          <w:rFonts w:hint="eastAsia" w:ascii="宋体" w:hAnsi="宋体" w:eastAsia="宋体" w:cs="宋体"/>
          <w:sz w:val="24"/>
          <w:szCs w:val="24"/>
        </w:rPr>
        <w:t>委托代理人</w:t>
      </w:r>
      <w:r>
        <w:rPr>
          <w:rFonts w:hint="eastAsia" w:ascii="宋体" w:hAnsi="宋体" w:cs="宋体"/>
          <w:sz w:val="24"/>
          <w:szCs w:val="24"/>
          <w:lang w:eastAsia="zh-CN"/>
        </w:rPr>
        <w:t>（</w:t>
      </w:r>
      <w:r>
        <w:rPr>
          <w:rFonts w:hint="eastAsia" w:ascii="宋体" w:hAnsi="宋体" w:cs="宋体"/>
          <w:sz w:val="24"/>
          <w:szCs w:val="24"/>
          <w:lang w:val="en-US" w:eastAsia="zh-CN"/>
        </w:rPr>
        <w:t>签字或盖章</w:t>
      </w:r>
      <w:r>
        <w:rPr>
          <w:rFonts w:hint="eastAsia" w:ascii="宋体" w:hAnsi="宋体" w:cs="宋体"/>
          <w:sz w:val="24"/>
          <w:szCs w:val="24"/>
          <w:lang w:eastAsia="zh-CN"/>
        </w:rPr>
        <w:t>）</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或</w:t>
      </w:r>
      <w:r>
        <w:rPr>
          <w:rFonts w:hint="eastAsia" w:ascii="宋体" w:hAnsi="宋体" w:eastAsia="宋体" w:cs="宋体"/>
          <w:sz w:val="24"/>
          <w:szCs w:val="24"/>
        </w:rPr>
        <w:t>委托代理人</w:t>
      </w:r>
      <w:r>
        <w:rPr>
          <w:rFonts w:hint="eastAsia" w:ascii="宋体" w:hAnsi="宋体" w:cs="宋体"/>
          <w:sz w:val="24"/>
          <w:szCs w:val="24"/>
          <w:lang w:eastAsia="zh-CN"/>
        </w:rPr>
        <w:t>（</w:t>
      </w:r>
      <w:r>
        <w:rPr>
          <w:rFonts w:hint="eastAsia" w:ascii="宋体" w:hAnsi="宋体" w:cs="宋体"/>
          <w:sz w:val="24"/>
          <w:szCs w:val="24"/>
          <w:lang w:val="en-US" w:eastAsia="zh-CN"/>
        </w:rPr>
        <w:t>签字或盖章</w:t>
      </w:r>
      <w:r>
        <w:rPr>
          <w:rFonts w:hint="eastAsia" w:ascii="宋体" w:hAnsi="宋体" w:cs="宋体"/>
          <w:sz w:val="24"/>
          <w:szCs w:val="24"/>
          <w:lang w:eastAsia="zh-CN"/>
        </w:rPr>
        <w:t>）</w:t>
      </w:r>
      <w:r>
        <w:rPr>
          <w:rFonts w:hint="eastAsia" w:ascii="宋体" w:hAnsi="宋体" w:eastAsia="宋体" w:cs="宋体"/>
          <w:sz w:val="24"/>
          <w:szCs w:val="24"/>
        </w:rPr>
        <w:t xml:space="preserve">：           </w:t>
      </w:r>
    </w:p>
    <w:p w14:paraId="4CE2E27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联系电话：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联系电话：              </w:t>
      </w:r>
    </w:p>
    <w:p w14:paraId="6E926AD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开户银行：                        </w:t>
      </w:r>
      <w:r>
        <w:rPr>
          <w:rFonts w:hint="eastAsia" w:ascii="宋体" w:hAnsi="宋体" w:cs="宋体"/>
          <w:sz w:val="24"/>
          <w:szCs w:val="24"/>
          <w:lang w:val="en-US" w:eastAsia="zh-CN"/>
        </w:rPr>
        <w:t xml:space="preserve">   </w:t>
      </w:r>
      <w:r>
        <w:rPr>
          <w:rFonts w:hint="eastAsia" w:ascii="宋体" w:hAnsi="宋体" w:eastAsia="宋体" w:cs="宋体"/>
          <w:sz w:val="24"/>
          <w:szCs w:val="24"/>
        </w:rPr>
        <w:t>开户银行：</w:t>
      </w:r>
    </w:p>
    <w:p w14:paraId="6BE02226">
      <w:pPr>
        <w:pStyle w:val="6"/>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银行账号：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银行账号：</w:t>
      </w:r>
    </w:p>
    <w:p w14:paraId="2F1D64EF">
      <w:pPr>
        <w:pStyle w:val="5"/>
        <w:spacing w:line="480" w:lineRule="auto"/>
        <w:rPr>
          <w:rFonts w:hint="eastAsia" w:ascii="宋体" w:hAnsi="宋体" w:eastAsia="宋体" w:cs="宋体"/>
          <w:b/>
          <w:sz w:val="28"/>
          <w:szCs w:val="28"/>
        </w:rPr>
      </w:pPr>
      <w:r>
        <w:rPr>
          <w:rFonts w:hint="eastAsia" w:ascii="宋体" w:hAnsi="宋体" w:eastAsia="宋体" w:cs="宋体"/>
          <w:sz w:val="24"/>
          <w:szCs w:val="24"/>
          <w:u w:val="single"/>
          <w:shd w:val="clear" w:color="auto" w:fill="FFFFFF"/>
          <w:lang w:val="en-US" w:eastAsia="zh-CN"/>
        </w:rPr>
        <w:t>2026</w:t>
      </w:r>
      <w:r>
        <w:rPr>
          <w:rFonts w:hint="eastAsia" w:ascii="宋体" w:hAnsi="宋体" w:eastAsia="宋体" w:cs="宋体"/>
          <w:sz w:val="24"/>
          <w:szCs w:val="24"/>
          <w:shd w:val="clear" w:color="auto" w:fill="FFFFFF"/>
          <w:lang w:val="en-US" w:eastAsia="zh-CN"/>
        </w:rPr>
        <w:t xml:space="preserve">年____月____日              </w:t>
      </w:r>
      <w:r>
        <w:rPr>
          <w:rFonts w:hint="eastAsia" w:ascii="宋体" w:hAnsi="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u w:val="single"/>
          <w:shd w:val="clear" w:color="auto" w:fill="FFFFFF"/>
          <w:lang w:val="en-US" w:eastAsia="zh-CN"/>
        </w:rPr>
        <w:t>2026</w:t>
      </w:r>
      <w:r>
        <w:rPr>
          <w:rFonts w:hint="eastAsia" w:ascii="宋体" w:hAnsi="宋体" w:eastAsia="宋体" w:cs="宋体"/>
          <w:sz w:val="24"/>
          <w:szCs w:val="24"/>
          <w:shd w:val="clear" w:color="auto" w:fill="FFFFFF"/>
          <w:lang w:val="en-US" w:eastAsia="zh-CN"/>
        </w:rPr>
        <w:t>年____月___日</w:t>
      </w:r>
    </w:p>
    <w:p w14:paraId="21DEB8D3">
      <w:pPr>
        <w:autoSpaceDE w:val="0"/>
        <w:autoSpaceDN w:val="0"/>
        <w:adjustRightInd w:val="0"/>
        <w:snapToGrid w:val="0"/>
        <w:spacing w:line="500" w:lineRule="exact"/>
        <w:jc w:val="center"/>
        <w:outlineLvl w:val="0"/>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第四部分 评审方法和评审标准</w:t>
      </w:r>
    </w:p>
    <w:p w14:paraId="78653570">
      <w:pPr>
        <w:adjustRightInd w:val="0"/>
        <w:snapToGrid w:val="0"/>
        <w:spacing w:line="500" w:lineRule="exact"/>
        <w:ind w:firstLine="560" w:firstLineChars="200"/>
        <w:jc w:val="left"/>
        <w:textAlignment w:val="baseline"/>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一、磋商方式</w:t>
      </w:r>
    </w:p>
    <w:p w14:paraId="5DC01221">
      <w:pPr>
        <w:tabs>
          <w:tab w:val="left" w:pos="3585"/>
        </w:tabs>
        <w:adjustRightInd w:val="0"/>
        <w:snapToGrid w:val="0"/>
        <w:spacing w:line="500" w:lineRule="exact"/>
        <w:ind w:firstLine="537" w:firstLineChars="19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不见面远程磋商模式：供应商在各自地点通过“苏采云”系统参加磋商活动。</w:t>
      </w:r>
    </w:p>
    <w:p w14:paraId="2C84735A">
      <w:pPr>
        <w:adjustRightInd w:val="0"/>
        <w:snapToGrid w:val="0"/>
        <w:spacing w:line="500" w:lineRule="exact"/>
        <w:ind w:firstLine="560" w:firstLineChars="200"/>
        <w:jc w:val="left"/>
        <w:textAlignment w:val="baseline"/>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二、评审方法和标准</w:t>
      </w:r>
    </w:p>
    <w:p w14:paraId="704A04BB">
      <w:pPr>
        <w:adjustRightInd w:val="0"/>
        <w:snapToGrid w:val="0"/>
        <w:spacing w:line="500" w:lineRule="exact"/>
        <w:ind w:firstLine="691" w:firstLineChars="247"/>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评审方法：综合评分法。</w:t>
      </w:r>
    </w:p>
    <w:p w14:paraId="62A46D3F">
      <w:pPr>
        <w:adjustRightInd w:val="0"/>
        <w:snapToGrid w:val="0"/>
        <w:spacing w:line="500" w:lineRule="exact"/>
        <w:ind w:firstLine="700" w:firstLineChars="25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8FFF8B4">
      <w:pPr>
        <w:adjustRightInd w:val="0"/>
        <w:snapToGrid w:val="0"/>
        <w:spacing w:line="500" w:lineRule="exact"/>
        <w:ind w:firstLine="560" w:firstLineChars="20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最后报价将作为评审价。系统发送最后报价填报通知后，所有的响应供应商须在系统规定的时间内填写并提交最后报价，未在规定时间内提交最后报价的或超过第一轮报价的，视作无效响应处理。</w:t>
      </w:r>
    </w:p>
    <w:p w14:paraId="6EF50407">
      <w:pPr>
        <w:tabs>
          <w:tab w:val="left" w:pos="900"/>
        </w:tabs>
        <w:adjustRightInd w:val="0"/>
        <w:snapToGrid w:val="0"/>
        <w:spacing w:line="500" w:lineRule="exact"/>
        <w:ind w:firstLine="557" w:firstLineChars="199"/>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bCs/>
          <w:color w:val="auto"/>
          <w:sz w:val="28"/>
          <w:szCs w:val="28"/>
          <w:highlight w:val="none"/>
        </w:rPr>
        <w:t>2015</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bCs/>
          <w:color w:val="auto"/>
          <w:sz w:val="28"/>
          <w:szCs w:val="28"/>
          <w:highlight w:val="none"/>
        </w:rPr>
        <w:t>124号）规定情形的，提交最后报价的供应商可以为2家。</w:t>
      </w:r>
    </w:p>
    <w:p w14:paraId="48A87D4C">
      <w:pPr>
        <w:adjustRightInd w:val="0"/>
        <w:snapToGrid w:val="0"/>
        <w:spacing w:line="500" w:lineRule="exact"/>
        <w:ind w:firstLine="555"/>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供应商价格部分和商务、技术部分的合计分值，为该供应商的评审总得分。</w:t>
      </w:r>
    </w:p>
    <w:p w14:paraId="02DBB716">
      <w:pPr>
        <w:adjustRightInd w:val="0"/>
        <w:snapToGrid w:val="0"/>
        <w:spacing w:line="500" w:lineRule="exact"/>
        <w:ind w:firstLine="55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评标结果按评审后总得分由高到低顺序排列，确定成交候选供应商名单并按顺序确定成交供应商。得分相同的，按响应报价由低到高顺序排列，得分且响应报价相同的并列。</w:t>
      </w:r>
    </w:p>
    <w:p w14:paraId="420B7EBD">
      <w:pPr>
        <w:adjustRightInd w:val="0"/>
        <w:snapToGrid w:val="0"/>
        <w:spacing w:line="500" w:lineRule="exact"/>
        <w:ind w:firstLine="555"/>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评委在认真审阅响应文件的基础上，根据各响应文件的响应程度独立评判，不得统一打分。</w:t>
      </w:r>
    </w:p>
    <w:p w14:paraId="4E09F7E5">
      <w:pPr>
        <w:adjustRightInd w:val="0"/>
        <w:snapToGrid w:val="0"/>
        <w:spacing w:line="500" w:lineRule="exact"/>
        <w:ind w:firstLine="562" w:firstLineChars="200"/>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（一）磋商小组对供应商资格进行审查</w:t>
      </w:r>
    </w:p>
    <w:p w14:paraId="6F77F7DC">
      <w:pPr>
        <w:adjustRightInd w:val="0"/>
        <w:snapToGrid w:val="0"/>
        <w:spacing w:line="500" w:lineRule="exact"/>
        <w:ind w:firstLine="576" w:firstLineChars="206"/>
        <w:rPr>
          <w:rFonts w:hint="eastAsia" w:asciiTheme="minorEastAsia" w:hAnsiTheme="minorEastAsia" w:eastAsiaTheme="minorEastAsia" w:cstheme="minorEastAsia"/>
          <w:color w:val="auto"/>
          <w:kern w:val="0"/>
          <w:sz w:val="28"/>
          <w:szCs w:val="28"/>
          <w:highlight w:val="none"/>
        </w:rPr>
      </w:pPr>
      <w:r>
        <w:rPr>
          <w:rFonts w:hint="eastAsia" w:asciiTheme="minorEastAsia" w:hAnsiTheme="minorEastAsia" w:eastAsiaTheme="minorEastAsia" w:cstheme="minorEastAsia"/>
          <w:color w:val="auto"/>
          <w:kern w:val="0"/>
          <w:sz w:val="28"/>
          <w:szCs w:val="28"/>
          <w:highlight w:val="none"/>
        </w:rPr>
        <w:t>供应商资格不合格的，其响应文件判定为无效响应文件。</w:t>
      </w:r>
    </w:p>
    <w:p w14:paraId="686CB3CC">
      <w:pPr>
        <w:adjustRightInd w:val="0"/>
        <w:snapToGrid w:val="0"/>
        <w:spacing w:line="500" w:lineRule="exact"/>
        <w:ind w:firstLine="562" w:firstLineChars="200"/>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（二）磋商小组对符合资格供应商的响应文件进行符合性审查</w:t>
      </w:r>
    </w:p>
    <w:p w14:paraId="2D3A8322">
      <w:pPr>
        <w:adjustRightInd w:val="0"/>
        <w:snapToGrid w:val="0"/>
        <w:spacing w:line="500" w:lineRule="exact"/>
        <w:ind w:firstLine="576" w:firstLineChars="206"/>
        <w:rPr>
          <w:rFonts w:hint="eastAsia" w:asciiTheme="minorEastAsia" w:hAnsiTheme="minorEastAsia" w:eastAsiaTheme="minorEastAsia" w:cstheme="minorEastAsia"/>
          <w:color w:val="auto"/>
          <w:kern w:val="0"/>
          <w:sz w:val="28"/>
          <w:szCs w:val="28"/>
          <w:highlight w:val="none"/>
        </w:rPr>
      </w:pPr>
      <w:r>
        <w:rPr>
          <w:rFonts w:hint="eastAsia" w:asciiTheme="minorEastAsia" w:hAnsiTheme="minorEastAsia" w:eastAsiaTheme="minorEastAsia" w:cstheme="minorEastAsia"/>
          <w:color w:val="auto"/>
          <w:kern w:val="0"/>
          <w:sz w:val="28"/>
          <w:szCs w:val="28"/>
          <w:highlight w:val="none"/>
        </w:rPr>
        <w:t>未通过符合性审查的响应文件，将被判为不满足磋商文件实质性要求。</w:t>
      </w:r>
    </w:p>
    <w:p w14:paraId="38C58A04">
      <w:pPr>
        <w:adjustRightInd w:val="0"/>
        <w:snapToGrid w:val="0"/>
        <w:spacing w:line="500" w:lineRule="exact"/>
        <w:ind w:firstLine="562" w:firstLineChars="200"/>
        <w:jc w:val="left"/>
        <w:rPr>
          <w:rFonts w:hint="eastAsia" w:asciiTheme="minorEastAsia" w:hAnsiTheme="minorEastAsia" w:eastAsiaTheme="minorEastAsia" w:cstheme="minorEastAsia"/>
          <w:b/>
          <w:bCs w:val="0"/>
          <w:color w:val="auto"/>
          <w:sz w:val="28"/>
          <w:szCs w:val="28"/>
          <w:highlight w:val="none"/>
          <w:lang w:val="zh-CN"/>
        </w:rPr>
      </w:pPr>
      <w:r>
        <w:rPr>
          <w:rFonts w:hint="eastAsia" w:asciiTheme="minorEastAsia" w:hAnsiTheme="minorEastAsia" w:eastAsiaTheme="minorEastAsia" w:cstheme="minorEastAsia"/>
          <w:b/>
          <w:bCs w:val="0"/>
          <w:color w:val="auto"/>
          <w:sz w:val="28"/>
          <w:szCs w:val="28"/>
          <w:highlight w:val="none"/>
        </w:rPr>
        <w:t>（三）</w:t>
      </w:r>
      <w:r>
        <w:rPr>
          <w:rFonts w:hint="eastAsia" w:asciiTheme="minorEastAsia" w:hAnsiTheme="minorEastAsia" w:eastAsiaTheme="minorEastAsia" w:cstheme="minorEastAsia"/>
          <w:b/>
          <w:bCs w:val="0"/>
          <w:color w:val="auto"/>
          <w:sz w:val="28"/>
          <w:szCs w:val="28"/>
          <w:highlight w:val="none"/>
          <w:lang w:val="zh-CN"/>
        </w:rPr>
        <w:t>商务技术分：</w:t>
      </w:r>
      <w:r>
        <w:rPr>
          <w:rFonts w:hint="eastAsia" w:asciiTheme="minorEastAsia" w:hAnsiTheme="minorEastAsia" w:eastAsiaTheme="minorEastAsia" w:cstheme="minorEastAsia"/>
          <w:b/>
          <w:bCs w:val="0"/>
          <w:color w:val="auto"/>
          <w:sz w:val="28"/>
          <w:szCs w:val="28"/>
          <w:highlight w:val="none"/>
          <w:lang w:val="en-US" w:eastAsia="zh-CN"/>
        </w:rPr>
        <w:t>70</w:t>
      </w:r>
      <w:r>
        <w:rPr>
          <w:rFonts w:hint="eastAsia" w:asciiTheme="minorEastAsia" w:hAnsiTheme="minorEastAsia" w:eastAsiaTheme="minorEastAsia" w:cstheme="minorEastAsia"/>
          <w:b/>
          <w:bCs w:val="0"/>
          <w:color w:val="auto"/>
          <w:sz w:val="28"/>
          <w:szCs w:val="28"/>
          <w:highlight w:val="none"/>
          <w:lang w:val="zh-CN"/>
        </w:rPr>
        <w:t>分</w:t>
      </w:r>
    </w:p>
    <w:p w14:paraId="0D4C8D0E">
      <w:pPr>
        <w:adjustRightInd w:val="0"/>
        <w:snapToGrid w:val="0"/>
        <w:spacing w:line="500" w:lineRule="exact"/>
        <w:ind w:firstLine="560" w:firstLineChars="200"/>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各供应商得分为磋商小组成员评分的算术平均分，分值保留小数点后两位。</w:t>
      </w:r>
    </w:p>
    <w:tbl>
      <w:tblPr>
        <w:tblStyle w:val="11"/>
        <w:tblpPr w:leftFromText="180" w:rightFromText="180" w:vertAnchor="text" w:horzAnchor="page" w:tblpX="1264" w:tblpY="400"/>
        <w:tblOverlap w:val="never"/>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092"/>
        <w:gridCol w:w="7310"/>
        <w:gridCol w:w="564"/>
      </w:tblGrid>
      <w:tr w14:paraId="374D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trPr>
        <w:tc>
          <w:tcPr>
            <w:tcW w:w="651" w:type="dxa"/>
            <w:noWrap w:val="0"/>
            <w:vAlign w:val="center"/>
          </w:tcPr>
          <w:p w14:paraId="15705000">
            <w:pPr>
              <w:pStyle w:val="5"/>
              <w:keepNext w:val="0"/>
              <w:keepLines w:val="0"/>
              <w:pageBreakBefore w:val="0"/>
              <w:widowControl w:val="0"/>
              <w:kinsoku/>
              <w:wordWrap/>
              <w:overflowPunct/>
              <w:topLinePunct w:val="0"/>
              <w:bidi w:val="0"/>
              <w:adjustRightInd w:val="0"/>
              <w:snapToGrid w:val="0"/>
              <w:spacing w:line="320" w:lineRule="exact"/>
              <w:ind w:firstLine="0"/>
              <w:jc w:val="center"/>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eastAsia="zh-CN"/>
              </w:rPr>
              <w:t>序号</w:t>
            </w:r>
          </w:p>
        </w:tc>
        <w:tc>
          <w:tcPr>
            <w:tcW w:w="1092" w:type="dxa"/>
            <w:noWrap w:val="0"/>
            <w:vAlign w:val="center"/>
          </w:tcPr>
          <w:p w14:paraId="0DB3A927">
            <w:pPr>
              <w:pStyle w:val="5"/>
              <w:keepNext w:val="0"/>
              <w:keepLines w:val="0"/>
              <w:pageBreakBefore w:val="0"/>
              <w:widowControl w:val="0"/>
              <w:kinsoku/>
              <w:wordWrap/>
              <w:overflowPunct/>
              <w:topLinePunct w:val="0"/>
              <w:bidi w:val="0"/>
              <w:adjustRightInd w:val="0"/>
              <w:snapToGrid w:val="0"/>
              <w:spacing w:line="320" w:lineRule="exact"/>
              <w:ind w:firstLine="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评审项目</w:t>
            </w:r>
          </w:p>
        </w:tc>
        <w:tc>
          <w:tcPr>
            <w:tcW w:w="7310" w:type="dxa"/>
            <w:noWrap w:val="0"/>
            <w:vAlign w:val="center"/>
          </w:tcPr>
          <w:p w14:paraId="18566755">
            <w:pPr>
              <w:keepNext w:val="0"/>
              <w:keepLines w:val="0"/>
              <w:pageBreakBefore w:val="0"/>
              <w:widowControl w:val="0"/>
              <w:kinsoku/>
              <w:wordWrap/>
              <w:overflowPunct/>
              <w:topLinePunct w:val="0"/>
              <w:autoSpaceDE w:val="0"/>
              <w:autoSpaceDN w:val="0"/>
              <w:bidi w:val="0"/>
              <w:adjustRightInd w:val="0"/>
              <w:snapToGrid w:val="0"/>
              <w:spacing w:line="320" w:lineRule="exact"/>
              <w:jc w:val="center"/>
              <w:rPr>
                <w:rFonts w:hint="eastAsia" w:ascii="宋体" w:hAnsi="宋体" w:eastAsia="宋体" w:cs="宋体"/>
                <w:b/>
                <w:bCs/>
                <w:sz w:val="24"/>
                <w:szCs w:val="24"/>
                <w:highlight w:val="none"/>
              </w:rPr>
            </w:pPr>
            <w:r>
              <w:rPr>
                <w:rFonts w:hint="eastAsia" w:ascii="宋体" w:hAnsi="宋体" w:eastAsia="宋体" w:cs="宋体"/>
                <w:b/>
                <w:bCs/>
                <w:kern w:val="0"/>
                <w:sz w:val="24"/>
                <w:szCs w:val="24"/>
                <w:highlight w:val="none"/>
                <w:lang w:val="zh-CN"/>
              </w:rPr>
              <w:t>评分要求</w:t>
            </w:r>
          </w:p>
        </w:tc>
        <w:tc>
          <w:tcPr>
            <w:tcW w:w="564" w:type="dxa"/>
            <w:noWrap w:val="0"/>
            <w:vAlign w:val="center"/>
          </w:tcPr>
          <w:p w14:paraId="0FA4F5C0">
            <w:pPr>
              <w:keepNext w:val="0"/>
              <w:keepLines w:val="0"/>
              <w:pageBreakBefore w:val="0"/>
              <w:widowControl w:val="0"/>
              <w:kinsoku/>
              <w:wordWrap/>
              <w:overflowPunct/>
              <w:topLinePunct w:val="0"/>
              <w:autoSpaceDE w:val="0"/>
              <w:autoSpaceDN w:val="0"/>
              <w:bidi w:val="0"/>
              <w:adjustRightInd w:val="0"/>
              <w:snapToGrid w:val="0"/>
              <w:spacing w:line="320" w:lineRule="exact"/>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分值</w:t>
            </w:r>
          </w:p>
        </w:tc>
      </w:tr>
      <w:tr w14:paraId="07088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19ABF5BF">
            <w:pPr>
              <w:pStyle w:val="5"/>
              <w:keepNext w:val="0"/>
              <w:keepLines w:val="0"/>
              <w:pageBreakBefore w:val="0"/>
              <w:widowControl w:val="0"/>
              <w:kinsoku/>
              <w:wordWrap/>
              <w:overflowPunct/>
              <w:topLinePunct w:val="0"/>
              <w:bidi w:val="0"/>
              <w:adjustRightInd w:val="0"/>
              <w:snapToGrid w:val="0"/>
              <w:spacing w:line="320" w:lineRule="exact"/>
              <w:ind w:firstLine="0"/>
              <w:jc w:val="center"/>
              <w:rPr>
                <w:rFonts w:hint="default"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val="en-US" w:eastAsia="zh-CN" w:bidi="ar"/>
              </w:rPr>
              <w:t>1</w:t>
            </w:r>
          </w:p>
        </w:tc>
        <w:tc>
          <w:tcPr>
            <w:tcW w:w="1092" w:type="dxa"/>
            <w:noWrap w:val="0"/>
            <w:vAlign w:val="center"/>
          </w:tcPr>
          <w:p w14:paraId="2D4D4017">
            <w:pPr>
              <w:keepNext w:val="0"/>
              <w:keepLines w:val="0"/>
              <w:pageBreakBefore w:val="0"/>
              <w:widowControl/>
              <w:kinsoku/>
              <w:wordWrap/>
              <w:overflowPunct/>
              <w:topLinePunct w:val="0"/>
              <w:bidi w:val="0"/>
              <w:spacing w:line="320" w:lineRule="exact"/>
              <w:jc w:val="center"/>
              <w:textAlignment w:val="center"/>
              <w:rPr>
                <w:rFonts w:hint="default"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val="en-US" w:eastAsia="zh-CN" w:bidi="ar"/>
              </w:rPr>
              <w:t>总体服务方案</w:t>
            </w:r>
          </w:p>
        </w:tc>
        <w:tc>
          <w:tcPr>
            <w:tcW w:w="7310" w:type="dxa"/>
            <w:noWrap w:val="0"/>
            <w:vAlign w:val="center"/>
          </w:tcPr>
          <w:p w14:paraId="493C3D8E">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根据投标人对本项目的基本思路、服务内容、工作目标、主要措施等的科学性、安全性、可行性和完整性进行综合评审：</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1.能立足本项目实际，基本思路清晰，服务内容完整，工作目标明确，主要措施科学、安全、可行、完整的，得10分；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2.基本思路较为清晰，服务内容较为完整，工作目标较为明确，主要措施较为科学、安全、可行、完整的，得7分；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3.基本思路、服务内容、工作目标、主要措施存在明显缺失，或科学性、安全性、可行性、完整性不足的，得3分；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4.未提供相关内容的，得0分。</w:t>
            </w:r>
          </w:p>
        </w:tc>
        <w:tc>
          <w:tcPr>
            <w:tcW w:w="564" w:type="dxa"/>
            <w:noWrap w:val="0"/>
            <w:vAlign w:val="center"/>
          </w:tcPr>
          <w:p w14:paraId="39863D31">
            <w:pPr>
              <w:keepNext w:val="0"/>
              <w:keepLines w:val="0"/>
              <w:pageBreakBefore w:val="0"/>
              <w:widowControl w:val="0"/>
              <w:kinsoku/>
              <w:wordWrap/>
              <w:overflowPunct/>
              <w:topLinePunct w:val="0"/>
              <w:bidi w:val="0"/>
              <w:adjustRightInd w:val="0"/>
              <w:snapToGrid w:val="0"/>
              <w:spacing w:line="32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r>
      <w:tr w14:paraId="3A3C3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0257BBEA">
            <w:pPr>
              <w:pStyle w:val="5"/>
              <w:keepNext w:val="0"/>
              <w:keepLines w:val="0"/>
              <w:pageBreakBefore w:val="0"/>
              <w:widowControl w:val="0"/>
              <w:kinsoku/>
              <w:wordWrap/>
              <w:overflowPunct/>
              <w:topLinePunct w:val="0"/>
              <w:bidi w:val="0"/>
              <w:adjustRightInd w:val="0"/>
              <w:snapToGrid w:val="0"/>
              <w:spacing w:line="320" w:lineRule="exact"/>
              <w:ind w:firstLine="0"/>
              <w:jc w:val="center"/>
              <w:rPr>
                <w:rFonts w:hint="default"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val="en-US" w:eastAsia="zh-CN" w:bidi="ar"/>
              </w:rPr>
              <w:t>2</w:t>
            </w:r>
          </w:p>
        </w:tc>
        <w:tc>
          <w:tcPr>
            <w:tcW w:w="1092" w:type="dxa"/>
            <w:noWrap w:val="0"/>
            <w:vAlign w:val="center"/>
          </w:tcPr>
          <w:p w14:paraId="3F53226F">
            <w:pPr>
              <w:keepNext w:val="0"/>
              <w:keepLines w:val="0"/>
              <w:pageBreakBefore w:val="0"/>
              <w:widowControl/>
              <w:kinsoku/>
              <w:wordWrap/>
              <w:overflowPunct/>
              <w:topLinePunct w:val="0"/>
              <w:bidi w:val="0"/>
              <w:spacing w:line="320" w:lineRule="exact"/>
              <w:jc w:val="center"/>
              <w:textAlignment w:val="center"/>
              <w:rPr>
                <w:rFonts w:hint="default"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val="en-US" w:eastAsia="zh-CN" w:bidi="ar"/>
              </w:rPr>
              <w:t>管理计划方案</w:t>
            </w:r>
          </w:p>
        </w:tc>
        <w:tc>
          <w:tcPr>
            <w:tcW w:w="7310" w:type="dxa"/>
            <w:noWrap w:val="0"/>
            <w:vAlign w:val="center"/>
          </w:tcPr>
          <w:p w14:paraId="25E2337A">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根据投标人管理计划方案与采购方所提要求和标准的符合程度进行综合评审：</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1.管理计划方案完全符合采购方所提要求和标准，内容完整、针对性强、可操作性强的，得10分；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2.管理计划方案较为符合采购方所提要求和标准，内容较为完整、针对性较强的，得7分；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3.管理计划方案不符合采购方所提要求和标准，或内容缺失、针对性不足的，得3分；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4.未提供相关内容的，得0分。</w:t>
            </w:r>
          </w:p>
        </w:tc>
        <w:tc>
          <w:tcPr>
            <w:tcW w:w="564" w:type="dxa"/>
            <w:noWrap w:val="0"/>
            <w:vAlign w:val="center"/>
          </w:tcPr>
          <w:p w14:paraId="1D055EBE">
            <w:pPr>
              <w:keepNext w:val="0"/>
              <w:keepLines w:val="0"/>
              <w:pageBreakBefore w:val="0"/>
              <w:widowControl w:val="0"/>
              <w:kinsoku/>
              <w:wordWrap/>
              <w:overflowPunct/>
              <w:topLinePunct w:val="0"/>
              <w:bidi w:val="0"/>
              <w:adjustRightInd w:val="0"/>
              <w:snapToGrid w:val="0"/>
              <w:spacing w:line="32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r>
      <w:tr w14:paraId="4BEFF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35A170AB">
            <w:pPr>
              <w:pStyle w:val="5"/>
              <w:keepNext w:val="0"/>
              <w:keepLines w:val="0"/>
              <w:pageBreakBefore w:val="0"/>
              <w:widowControl w:val="0"/>
              <w:kinsoku/>
              <w:wordWrap/>
              <w:overflowPunct/>
              <w:topLinePunct w:val="0"/>
              <w:bidi w:val="0"/>
              <w:adjustRightInd w:val="0"/>
              <w:snapToGrid w:val="0"/>
              <w:spacing w:line="320" w:lineRule="exact"/>
              <w:ind w:firstLine="0"/>
              <w:jc w:val="center"/>
              <w:rPr>
                <w:rFonts w:hint="default"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val="en-US" w:eastAsia="zh-CN" w:bidi="ar"/>
              </w:rPr>
              <w:t>3</w:t>
            </w:r>
          </w:p>
        </w:tc>
        <w:tc>
          <w:tcPr>
            <w:tcW w:w="1092" w:type="dxa"/>
            <w:noWrap w:val="0"/>
            <w:vAlign w:val="center"/>
          </w:tcPr>
          <w:p w14:paraId="04F27E34">
            <w:pPr>
              <w:keepNext w:val="0"/>
              <w:keepLines w:val="0"/>
              <w:pageBreakBefore w:val="0"/>
              <w:widowControl/>
              <w:kinsoku/>
              <w:wordWrap/>
              <w:overflowPunct/>
              <w:topLinePunct w:val="0"/>
              <w:bidi w:val="0"/>
              <w:spacing w:line="320" w:lineRule="exact"/>
              <w:jc w:val="center"/>
              <w:textAlignment w:val="center"/>
              <w:rPr>
                <w:rFonts w:hint="eastAsia"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bidi="ar"/>
              </w:rPr>
              <w:t>管理架构和项目进场预案</w:t>
            </w:r>
          </w:p>
        </w:tc>
        <w:tc>
          <w:tcPr>
            <w:tcW w:w="7310" w:type="dxa"/>
            <w:noWrap w:val="0"/>
            <w:vAlign w:val="center"/>
          </w:tcPr>
          <w:p w14:paraId="509532BB">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根据投标人本项目管理架构、巡逻时间安排、各级管理及巡逻人员岗位责任制度和考核办法，以及项目进场工作预案进行综合评审：</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1.管理架构完整清晰，巡逻时间安排科学合理，岗位责任制度和考核办法健全，项目进场工作预案全面、可行的，得10分；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2.管理架构较为完整，巡逻时间安排较为合理，岗位责任制度和考核办法较为健全，项目进场工作预案较为全面、可行的，得7分；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3.管理架构不完整，巡逻时间安排不合理，岗位责任制度和考核办法不健全，或项目进场工作预案缺失、不可行的，得3分；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4.未提供相关内容的，得0分。</w:t>
            </w:r>
          </w:p>
        </w:tc>
        <w:tc>
          <w:tcPr>
            <w:tcW w:w="564" w:type="dxa"/>
            <w:noWrap w:val="0"/>
            <w:vAlign w:val="center"/>
          </w:tcPr>
          <w:p w14:paraId="4C2E7B1E">
            <w:pPr>
              <w:keepNext w:val="0"/>
              <w:keepLines w:val="0"/>
              <w:pageBreakBefore w:val="0"/>
              <w:widowControl w:val="0"/>
              <w:kinsoku/>
              <w:wordWrap/>
              <w:overflowPunct/>
              <w:topLinePunct w:val="0"/>
              <w:bidi w:val="0"/>
              <w:adjustRightInd w:val="0"/>
              <w:snapToGrid w:val="0"/>
              <w:spacing w:line="32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r>
      <w:tr w14:paraId="32F8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300F22F9">
            <w:pPr>
              <w:pStyle w:val="5"/>
              <w:keepNext w:val="0"/>
              <w:keepLines w:val="0"/>
              <w:pageBreakBefore w:val="0"/>
              <w:widowControl w:val="0"/>
              <w:kinsoku/>
              <w:wordWrap/>
              <w:overflowPunct/>
              <w:topLinePunct w:val="0"/>
              <w:bidi w:val="0"/>
              <w:adjustRightInd w:val="0"/>
              <w:snapToGrid w:val="0"/>
              <w:spacing w:line="320" w:lineRule="exact"/>
              <w:ind w:firstLine="0"/>
              <w:jc w:val="center"/>
              <w:rPr>
                <w:rFonts w:hint="default"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val="en-US" w:eastAsia="zh-CN" w:bidi="ar"/>
              </w:rPr>
              <w:t>4</w:t>
            </w:r>
          </w:p>
        </w:tc>
        <w:tc>
          <w:tcPr>
            <w:tcW w:w="1092" w:type="dxa"/>
            <w:noWrap w:val="0"/>
            <w:vAlign w:val="center"/>
          </w:tcPr>
          <w:p w14:paraId="467D0F9F">
            <w:pPr>
              <w:keepNext w:val="0"/>
              <w:keepLines w:val="0"/>
              <w:pageBreakBefore w:val="0"/>
              <w:widowControl/>
              <w:kinsoku/>
              <w:wordWrap/>
              <w:overflowPunct/>
              <w:topLinePunct w:val="0"/>
              <w:bidi w:val="0"/>
              <w:spacing w:line="320" w:lineRule="exact"/>
              <w:jc w:val="center"/>
              <w:textAlignment w:val="center"/>
              <w:rPr>
                <w:rFonts w:hint="eastAsia"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bidi="ar"/>
              </w:rPr>
              <w:t>项目日常管理方案、服务质量保证体系及应急预案</w:t>
            </w:r>
          </w:p>
        </w:tc>
        <w:tc>
          <w:tcPr>
            <w:tcW w:w="7310" w:type="dxa"/>
            <w:noWrap w:val="0"/>
            <w:vAlign w:val="center"/>
          </w:tcPr>
          <w:p w14:paraId="5498DF50">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根据投标人项目日常管理制度、检查考评奖惩制度、特色管理方案、服务质量保证体系，以及突发事件预案、突击性工作预案进行综合评审：</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1.日常管理制度健全，检查、考评、奖惩制度完善，特色管理方案鲜明，服务质量保证体系完整，突发事件预案和突击性工作预案全面、合理、可操作性强的，得10分；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2.日常管理制度较为健全，检查、考评、奖惩制度较为完善，特色管理方案较为鲜明，服务质量保证体系较为完整，突发事件预案和突击性工作预案较为全面、合理的，得7分；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3.日常管理制度不健全，检查、考评、奖惩制度不完善，特色管理方案不鲜明，服务质量保证体系不完整，或突发事件预案和突击性工作预案缺失、不合理的，得3分；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4.未提供相关内容的，得0分。</w:t>
            </w:r>
          </w:p>
        </w:tc>
        <w:tc>
          <w:tcPr>
            <w:tcW w:w="564" w:type="dxa"/>
            <w:noWrap w:val="0"/>
            <w:vAlign w:val="center"/>
          </w:tcPr>
          <w:p w14:paraId="105A2F2B">
            <w:pPr>
              <w:keepNext w:val="0"/>
              <w:keepLines w:val="0"/>
              <w:pageBreakBefore w:val="0"/>
              <w:widowControl w:val="0"/>
              <w:kinsoku/>
              <w:wordWrap/>
              <w:overflowPunct/>
              <w:topLinePunct w:val="0"/>
              <w:bidi w:val="0"/>
              <w:adjustRightInd w:val="0"/>
              <w:snapToGrid w:val="0"/>
              <w:spacing w:line="32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r>
      <w:tr w14:paraId="3130D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26D824FC">
            <w:pPr>
              <w:pStyle w:val="5"/>
              <w:keepNext w:val="0"/>
              <w:keepLines w:val="0"/>
              <w:pageBreakBefore w:val="0"/>
              <w:widowControl w:val="0"/>
              <w:kinsoku/>
              <w:wordWrap/>
              <w:overflowPunct/>
              <w:topLinePunct w:val="0"/>
              <w:bidi w:val="0"/>
              <w:adjustRightInd w:val="0"/>
              <w:snapToGrid w:val="0"/>
              <w:spacing w:line="320" w:lineRule="exact"/>
              <w:ind w:firstLine="0" w:firstLineChars="0"/>
              <w:jc w:val="center"/>
              <w:rPr>
                <w:rFonts w:hint="eastAsia"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val="en-US" w:eastAsia="zh-CN" w:bidi="ar"/>
              </w:rPr>
              <w:t>5</w:t>
            </w:r>
          </w:p>
        </w:tc>
        <w:tc>
          <w:tcPr>
            <w:tcW w:w="1092" w:type="dxa"/>
            <w:noWrap w:val="0"/>
            <w:vAlign w:val="center"/>
          </w:tcPr>
          <w:p w14:paraId="7C82F5F4">
            <w:pPr>
              <w:keepNext w:val="0"/>
              <w:keepLines w:val="0"/>
              <w:pageBreakBefore w:val="0"/>
              <w:widowControl/>
              <w:kinsoku/>
              <w:wordWrap/>
              <w:overflowPunct/>
              <w:topLinePunct w:val="0"/>
              <w:bidi w:val="0"/>
              <w:spacing w:line="320" w:lineRule="exact"/>
              <w:jc w:val="center"/>
              <w:textAlignment w:val="center"/>
              <w:rPr>
                <w:rFonts w:hint="eastAsia" w:ascii="宋体" w:hAnsi="宋体" w:eastAsia="宋体" w:cs="仿宋"/>
                <w:color w:val="auto"/>
                <w:kern w:val="0"/>
                <w:sz w:val="24"/>
                <w:szCs w:val="24"/>
                <w:highlight w:val="none"/>
                <w:lang w:val="en-US" w:eastAsia="zh-CN" w:bidi="ar"/>
              </w:rPr>
            </w:pPr>
            <w:r>
              <w:rPr>
                <w:rFonts w:ascii="Segoe UI" w:hAnsi="Segoe UI" w:eastAsia="Segoe UI" w:cs="Segoe UI"/>
                <w:i w:val="0"/>
                <w:iCs w:val="0"/>
                <w:caps w:val="0"/>
                <w:color w:val="0F1115"/>
                <w:spacing w:val="0"/>
                <w:sz w:val="24"/>
                <w:szCs w:val="24"/>
                <w:shd w:val="clear" w:color="auto" w:fill="FFFFFF"/>
              </w:rPr>
              <w:t>拟投入本项目的作业人员配备情况</w:t>
            </w:r>
          </w:p>
        </w:tc>
        <w:tc>
          <w:tcPr>
            <w:tcW w:w="7310" w:type="dxa"/>
            <w:noWrap w:val="0"/>
            <w:vAlign w:val="center"/>
          </w:tcPr>
          <w:p w14:paraId="237B0E6C">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投标人拟投入本项目的作业人员配备情况，以及提供由投标人为拟上岗人员缴纳的自投标截止时间前三个月的养老保险缴费证明（投标人如为成立不足三个月的新公司，可以提供最近一个月的养老保险缴费证明；成立不足一个月的新公司，可以不提交养老保险缴费证明)进行综合评审：</w:t>
            </w:r>
            <w:r>
              <w:rPr>
                <w:rFonts w:hint="default" w:ascii="宋体" w:hAnsi="宋体" w:eastAsia="宋体" w:cs="宋体"/>
                <w:sz w:val="24"/>
                <w:szCs w:val="24"/>
                <w:highlight w:val="none"/>
                <w:lang w:val="en-US" w:eastAsia="zh-CN"/>
              </w:rPr>
              <w:br w:type="textWrapping"/>
            </w:r>
            <w:r>
              <w:rPr>
                <w:rFonts w:hint="eastAsia" w:ascii="宋体" w:hAnsi="宋体" w:eastAsia="宋体" w:cs="宋体"/>
                <w:sz w:val="24"/>
                <w:szCs w:val="24"/>
                <w:highlight w:val="none"/>
                <w:lang w:val="en-US" w:eastAsia="zh-CN"/>
              </w:rPr>
              <w:t>1.人员配备完全满足要求，配置科学合理，社保缴费证明完整、清晰的，得7分；</w:t>
            </w:r>
          </w:p>
          <w:p w14:paraId="288A3D24">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default" w:ascii="宋体" w:hAnsi="宋体" w:eastAsia="宋体" w:cs="宋体"/>
                <w:sz w:val="24"/>
                <w:szCs w:val="24"/>
                <w:highlight w:val="none"/>
                <w:lang w:val="en-US" w:eastAsia="zh-CN"/>
              </w:rPr>
              <w:t>人员配备满足要求，配置合理，社保缴费证明基本完整、清晰的，得5分；</w:t>
            </w:r>
          </w:p>
          <w:p w14:paraId="79D01BCF">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default" w:ascii="宋体" w:hAnsi="宋体" w:eastAsia="宋体" w:cs="宋体"/>
                <w:sz w:val="24"/>
                <w:szCs w:val="24"/>
                <w:highlight w:val="none"/>
                <w:lang w:val="en-US" w:eastAsia="zh-CN"/>
              </w:rPr>
              <w:t>人员配备基本满足要求，或社保缴费证明不完整、不清晰的，得3分；</w:t>
            </w:r>
          </w:p>
          <w:p w14:paraId="225727D8">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人员配备不满足要求，或未提供社保缴费证明的，得0分。</w:t>
            </w:r>
          </w:p>
        </w:tc>
        <w:tc>
          <w:tcPr>
            <w:tcW w:w="564" w:type="dxa"/>
            <w:noWrap w:val="0"/>
            <w:vAlign w:val="center"/>
          </w:tcPr>
          <w:p w14:paraId="3A5FE22A">
            <w:pPr>
              <w:keepNext w:val="0"/>
              <w:keepLines w:val="0"/>
              <w:pageBreakBefore w:val="0"/>
              <w:widowControl w:val="0"/>
              <w:kinsoku/>
              <w:wordWrap/>
              <w:overflowPunct/>
              <w:topLinePunct w:val="0"/>
              <w:bidi w:val="0"/>
              <w:adjustRightInd w:val="0"/>
              <w:snapToGrid w:val="0"/>
              <w:spacing w:line="32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7</w:t>
            </w:r>
          </w:p>
        </w:tc>
      </w:tr>
      <w:tr w14:paraId="7E686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2720B773">
            <w:pPr>
              <w:pStyle w:val="5"/>
              <w:keepNext w:val="0"/>
              <w:keepLines w:val="0"/>
              <w:pageBreakBefore w:val="0"/>
              <w:widowControl w:val="0"/>
              <w:kinsoku/>
              <w:wordWrap/>
              <w:overflowPunct/>
              <w:topLinePunct w:val="0"/>
              <w:bidi w:val="0"/>
              <w:adjustRightInd w:val="0"/>
              <w:snapToGrid w:val="0"/>
              <w:spacing w:line="320" w:lineRule="exact"/>
              <w:ind w:firstLine="0"/>
              <w:jc w:val="center"/>
              <w:rPr>
                <w:rFonts w:hint="default"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val="en-US" w:eastAsia="zh-CN" w:bidi="ar"/>
              </w:rPr>
              <w:t>6</w:t>
            </w:r>
          </w:p>
        </w:tc>
        <w:tc>
          <w:tcPr>
            <w:tcW w:w="1092" w:type="dxa"/>
            <w:noWrap w:val="0"/>
            <w:vAlign w:val="center"/>
          </w:tcPr>
          <w:p w14:paraId="1BD0182C">
            <w:pPr>
              <w:keepNext w:val="0"/>
              <w:keepLines w:val="0"/>
              <w:pageBreakBefore w:val="0"/>
              <w:widowControl/>
              <w:kinsoku/>
              <w:wordWrap/>
              <w:overflowPunct/>
              <w:topLinePunct w:val="0"/>
              <w:bidi w:val="0"/>
              <w:spacing w:line="320" w:lineRule="exact"/>
              <w:jc w:val="center"/>
              <w:textAlignment w:val="center"/>
              <w:rPr>
                <w:rFonts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人员培训、队伍组建方案</w:t>
            </w:r>
          </w:p>
        </w:tc>
        <w:tc>
          <w:tcPr>
            <w:tcW w:w="7310" w:type="dxa"/>
            <w:noWrap w:val="0"/>
            <w:vAlign w:val="center"/>
          </w:tcPr>
          <w:p w14:paraId="0F0790CA">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根据投标人提供的作业人员岗前、岗中培训方案和队伍组建方案进行综合评审：</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1.培训方案内容全面、针对性强、可操作性强，队伍组建方案科学合理的，得5分；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2.培训方案内容较为全面、针对性较强，队伍组建方案较为合理的，得3分；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3.培训方案内容一般，队伍组建方案基本可行的，得1分；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4.未提供相关内容的，得0分。</w:t>
            </w:r>
          </w:p>
        </w:tc>
        <w:tc>
          <w:tcPr>
            <w:tcW w:w="564" w:type="dxa"/>
            <w:noWrap w:val="0"/>
            <w:vAlign w:val="center"/>
          </w:tcPr>
          <w:p w14:paraId="690E40D4">
            <w:pPr>
              <w:keepNext w:val="0"/>
              <w:keepLines w:val="0"/>
              <w:pageBreakBefore w:val="0"/>
              <w:widowControl w:val="0"/>
              <w:kinsoku/>
              <w:wordWrap/>
              <w:overflowPunct/>
              <w:topLinePunct w:val="0"/>
              <w:bidi w:val="0"/>
              <w:adjustRightInd w:val="0"/>
              <w:snapToGrid w:val="0"/>
              <w:spacing w:line="32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r>
      <w:tr w14:paraId="076C0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112C93E8">
            <w:pPr>
              <w:pStyle w:val="5"/>
              <w:keepNext w:val="0"/>
              <w:keepLines w:val="0"/>
              <w:pageBreakBefore w:val="0"/>
              <w:widowControl w:val="0"/>
              <w:kinsoku/>
              <w:wordWrap/>
              <w:overflowPunct/>
              <w:topLinePunct w:val="0"/>
              <w:bidi w:val="0"/>
              <w:adjustRightInd w:val="0"/>
              <w:snapToGrid w:val="0"/>
              <w:spacing w:line="320" w:lineRule="exact"/>
              <w:ind w:firstLine="0"/>
              <w:jc w:val="center"/>
              <w:rPr>
                <w:rFonts w:hint="default"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val="en-US" w:eastAsia="zh-CN" w:bidi="ar"/>
              </w:rPr>
              <w:t>7</w:t>
            </w:r>
          </w:p>
        </w:tc>
        <w:tc>
          <w:tcPr>
            <w:tcW w:w="1092" w:type="dxa"/>
            <w:noWrap w:val="0"/>
            <w:vAlign w:val="center"/>
          </w:tcPr>
          <w:p w14:paraId="738EC3B1">
            <w:pPr>
              <w:keepNext w:val="0"/>
              <w:keepLines w:val="0"/>
              <w:pageBreakBefore w:val="0"/>
              <w:widowControl/>
              <w:kinsoku/>
              <w:wordWrap/>
              <w:overflowPunct/>
              <w:topLinePunct w:val="0"/>
              <w:bidi w:val="0"/>
              <w:spacing w:line="320" w:lineRule="exact"/>
              <w:jc w:val="center"/>
              <w:textAlignment w:val="center"/>
              <w:rPr>
                <w:rFonts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设备设施配置情况</w:t>
            </w:r>
          </w:p>
        </w:tc>
        <w:tc>
          <w:tcPr>
            <w:tcW w:w="7310" w:type="dxa"/>
            <w:noWrap w:val="0"/>
            <w:vAlign w:val="center"/>
          </w:tcPr>
          <w:p w14:paraId="65508A6B">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根据投标人提供的车辆设备配置（车辆、执法记录仪）在合同签订后7天内到位的承诺书，以及设备设施配置情况进行综合评审：</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1.按要求提供车辆设备配置在合同签订后7天内到位承诺书，且车辆、执法记录仪配置数量充足、类型齐全、性能满足项目需求的，得3分；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2.按要求提供车辆设备配置在合同签订后7天内到位承诺书，车辆、执法记录仪配置基本满足项目需求的，得2分；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3.提供车辆设备配置在合同签订后7天内到位承诺书，但车辆、执法记录仪配置数量不足或类型不全的，得1分；</w:t>
            </w:r>
            <w:r>
              <w:rPr>
                <w:rFonts w:hint="default" w:ascii="宋体" w:hAnsi="宋体" w:eastAsia="宋体" w:cs="宋体"/>
                <w:sz w:val="24"/>
                <w:szCs w:val="24"/>
                <w:highlight w:val="none"/>
                <w:lang w:val="en-US" w:eastAsia="zh-CN"/>
              </w:rPr>
              <w:br w:type="textWrapping"/>
            </w:r>
            <w:r>
              <w:rPr>
                <w:rFonts w:hint="default" w:ascii="宋体" w:hAnsi="宋体" w:eastAsia="宋体" w:cs="宋体"/>
                <w:sz w:val="24"/>
                <w:szCs w:val="24"/>
                <w:highlight w:val="none"/>
                <w:lang w:val="en-US" w:eastAsia="zh-CN"/>
              </w:rPr>
              <w:t>4.未提供车辆设备配置在合同签订后7天内到位承诺书，或未提供相关内容的，得0分。</w:t>
            </w:r>
          </w:p>
        </w:tc>
        <w:tc>
          <w:tcPr>
            <w:tcW w:w="564" w:type="dxa"/>
            <w:noWrap w:val="0"/>
            <w:vAlign w:val="center"/>
          </w:tcPr>
          <w:p w14:paraId="3E596CFB">
            <w:pPr>
              <w:keepNext w:val="0"/>
              <w:keepLines w:val="0"/>
              <w:pageBreakBefore w:val="0"/>
              <w:widowControl w:val="0"/>
              <w:kinsoku/>
              <w:wordWrap/>
              <w:overflowPunct/>
              <w:topLinePunct w:val="0"/>
              <w:bidi w:val="0"/>
              <w:adjustRightInd w:val="0"/>
              <w:snapToGrid w:val="0"/>
              <w:spacing w:line="32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r>
      <w:tr w14:paraId="4A472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189EACA8">
            <w:pPr>
              <w:pStyle w:val="5"/>
              <w:keepNext w:val="0"/>
              <w:keepLines w:val="0"/>
              <w:pageBreakBefore w:val="0"/>
              <w:widowControl w:val="0"/>
              <w:kinsoku/>
              <w:wordWrap/>
              <w:overflowPunct/>
              <w:topLinePunct w:val="0"/>
              <w:bidi w:val="0"/>
              <w:adjustRightInd w:val="0"/>
              <w:snapToGrid w:val="0"/>
              <w:spacing w:line="320" w:lineRule="exact"/>
              <w:ind w:firstLine="0"/>
              <w:jc w:val="center"/>
              <w:rPr>
                <w:rFonts w:hint="default" w:ascii="宋体" w:hAnsi="宋体" w:eastAsia="宋体" w:cs="仿宋"/>
                <w:color w:val="auto"/>
                <w:kern w:val="0"/>
                <w:sz w:val="24"/>
                <w:szCs w:val="24"/>
                <w:highlight w:val="none"/>
                <w:lang w:val="en-US" w:eastAsia="zh-CN" w:bidi="ar"/>
              </w:rPr>
            </w:pPr>
            <w:r>
              <w:rPr>
                <w:rFonts w:hint="eastAsia" w:ascii="宋体" w:hAnsi="宋体" w:eastAsia="宋体" w:cs="仿宋"/>
                <w:color w:val="auto"/>
                <w:kern w:val="0"/>
                <w:sz w:val="24"/>
                <w:szCs w:val="24"/>
                <w:highlight w:val="none"/>
                <w:lang w:val="en-US" w:eastAsia="zh-CN" w:bidi="ar"/>
              </w:rPr>
              <w:t>8</w:t>
            </w:r>
          </w:p>
        </w:tc>
        <w:tc>
          <w:tcPr>
            <w:tcW w:w="1092" w:type="dxa"/>
            <w:noWrap w:val="0"/>
            <w:vAlign w:val="center"/>
          </w:tcPr>
          <w:p w14:paraId="4CD80F5E">
            <w:pPr>
              <w:keepNext w:val="0"/>
              <w:keepLines w:val="0"/>
              <w:pageBreakBefore w:val="0"/>
              <w:widowControl/>
              <w:kinsoku/>
              <w:wordWrap/>
              <w:overflowPunct/>
              <w:topLinePunct w:val="0"/>
              <w:bidi w:val="0"/>
              <w:spacing w:line="320" w:lineRule="exact"/>
              <w:jc w:val="center"/>
              <w:textAlignment w:val="center"/>
              <w:rPr>
                <w:rFonts w:hint="default"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eastAsia="宋体" w:cs="Segoe UI"/>
                <w:i w:val="0"/>
                <w:iCs w:val="0"/>
                <w:caps w:val="0"/>
                <w:color w:val="0F1115"/>
                <w:spacing w:val="0"/>
                <w:sz w:val="24"/>
                <w:szCs w:val="24"/>
                <w:shd w:val="clear" w:color="auto" w:fill="FFFFFF"/>
                <w:lang w:val="en-US" w:eastAsia="zh-CN"/>
              </w:rPr>
              <w:t>企业综合实力</w:t>
            </w:r>
          </w:p>
        </w:tc>
        <w:tc>
          <w:tcPr>
            <w:tcW w:w="7310" w:type="dxa"/>
            <w:noWrap w:val="0"/>
            <w:vAlign w:val="center"/>
          </w:tcPr>
          <w:p w14:paraId="2ED5581F">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投标人具有有效期内的质量管理体系认证证书、环境管理体系认证证书、职业健康管理体系认证书的，每具备一项得2分，本项最高得6分。</w:t>
            </w:r>
          </w:p>
          <w:p w14:paraId="73C84A2E">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注：本项须提供有效期内以上证书扫描件或资质备案公示截图等相关材料并加盖公章，未提供的不得分。</w:t>
            </w:r>
          </w:p>
        </w:tc>
        <w:tc>
          <w:tcPr>
            <w:tcW w:w="564" w:type="dxa"/>
            <w:noWrap w:val="0"/>
            <w:vAlign w:val="center"/>
          </w:tcPr>
          <w:p w14:paraId="660FEA14">
            <w:pPr>
              <w:keepNext w:val="0"/>
              <w:keepLines w:val="0"/>
              <w:pageBreakBefore w:val="0"/>
              <w:widowControl w:val="0"/>
              <w:kinsoku/>
              <w:wordWrap/>
              <w:overflowPunct/>
              <w:topLinePunct w:val="0"/>
              <w:bidi w:val="0"/>
              <w:adjustRightInd w:val="0"/>
              <w:snapToGrid w:val="0"/>
              <w:spacing w:line="320" w:lineRule="exact"/>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r>
      <w:tr w14:paraId="40960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51" w:type="dxa"/>
            <w:noWrap w:val="0"/>
            <w:vAlign w:val="center"/>
          </w:tcPr>
          <w:p w14:paraId="5618E750">
            <w:pPr>
              <w:keepNext w:val="0"/>
              <w:keepLines w:val="0"/>
              <w:pageBreakBefore w:val="0"/>
              <w:widowControl w:val="0"/>
              <w:kinsoku/>
              <w:wordWrap/>
              <w:overflowPunct/>
              <w:topLinePunct w:val="0"/>
              <w:bidi w:val="0"/>
              <w:adjustRightInd w:val="0"/>
              <w:snapToGrid w:val="0"/>
              <w:spacing w:line="320" w:lineRule="exact"/>
              <w:jc w:val="center"/>
              <w:rPr>
                <w:rFonts w:hint="default"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9</w:t>
            </w:r>
          </w:p>
        </w:tc>
        <w:tc>
          <w:tcPr>
            <w:tcW w:w="1092" w:type="dxa"/>
            <w:noWrap w:val="0"/>
            <w:vAlign w:val="center"/>
          </w:tcPr>
          <w:p w14:paraId="7FACF933">
            <w:pPr>
              <w:keepNext w:val="0"/>
              <w:keepLines w:val="0"/>
              <w:pageBreakBefore w:val="0"/>
              <w:widowControl/>
              <w:kinsoku/>
              <w:wordWrap/>
              <w:overflowPunct/>
              <w:topLinePunct w:val="0"/>
              <w:bidi w:val="0"/>
              <w:spacing w:line="320" w:lineRule="exact"/>
              <w:jc w:val="center"/>
              <w:textAlignment w:val="center"/>
              <w:rPr>
                <w:rFonts w:hint="eastAsia" w:ascii="宋体" w:hAnsi="宋体" w:eastAsia="宋体" w:cs="仿宋"/>
                <w:kern w:val="0"/>
                <w:sz w:val="24"/>
                <w:szCs w:val="24"/>
                <w:highlight w:val="none"/>
                <w:lang w:val="en-US" w:eastAsia="zh-CN" w:bidi="ar"/>
              </w:rPr>
            </w:pPr>
            <w:r>
              <w:rPr>
                <w:rFonts w:hint="eastAsia" w:ascii="宋体" w:hAnsi="宋体" w:eastAsia="宋体" w:cs="仿宋"/>
                <w:kern w:val="0"/>
                <w:sz w:val="24"/>
                <w:szCs w:val="24"/>
                <w:highlight w:val="none"/>
                <w:lang w:bidi="ar"/>
              </w:rPr>
              <w:t>业绩</w:t>
            </w:r>
          </w:p>
        </w:tc>
        <w:tc>
          <w:tcPr>
            <w:tcW w:w="7310" w:type="dxa"/>
            <w:noWrap w:val="0"/>
            <w:vAlign w:val="center"/>
          </w:tcPr>
          <w:p w14:paraId="6C819FC8">
            <w:pPr>
              <w:keepNext w:val="0"/>
              <w:keepLines w:val="0"/>
              <w:pageBreakBefore w:val="0"/>
              <w:widowControl w:val="0"/>
              <w:kinsoku/>
              <w:wordWrap/>
              <w:overflowPunct/>
              <w:topLinePunct w:val="0"/>
              <w:bidi w:val="0"/>
              <w:adjustRightInd w:val="0"/>
              <w:snapToGrid w:val="0"/>
              <w:spacing w:line="32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供应商自2023年1月1日至今（以合同签订日期为准）承担过各类服务外包项目，每提供1个业绩得3分，最高9分。</w:t>
            </w:r>
          </w:p>
          <w:p w14:paraId="2D4680D1">
            <w:pPr>
              <w:keepNext w:val="0"/>
              <w:keepLines w:val="0"/>
              <w:pageBreakBefore w:val="0"/>
              <w:widowControl w:val="0"/>
              <w:kinsoku/>
              <w:wordWrap/>
              <w:overflowPunct/>
              <w:topLinePunct w:val="0"/>
              <w:bidi w:val="0"/>
              <w:adjustRightInd w:val="0"/>
              <w:snapToGrid w:val="0"/>
              <w:spacing w:line="320" w:lineRule="exact"/>
              <w:jc w:val="left"/>
              <w:rPr>
                <w:rFonts w:hint="eastAsia" w:ascii="Segoe UI" w:hAnsi="Segoe UI" w:eastAsia="宋体" w:cs="Segoe UI"/>
                <w:i w:val="0"/>
                <w:iCs w:val="0"/>
                <w:caps w:val="0"/>
                <w:color w:val="0F1115"/>
                <w:spacing w:val="0"/>
                <w:kern w:val="2"/>
                <w:sz w:val="24"/>
                <w:szCs w:val="24"/>
                <w:highlight w:val="none"/>
                <w:shd w:val="clear" w:color="auto" w:fill="FFFFFF"/>
                <w:lang w:val="zh-CN" w:eastAsia="zh-CN" w:bidi="ar-SA"/>
              </w:rPr>
            </w:pPr>
            <w:r>
              <w:rPr>
                <w:rFonts w:hint="eastAsia" w:ascii="宋体" w:hAnsi="宋体" w:eastAsia="宋体" w:cs="宋体"/>
                <w:b/>
                <w:bCs/>
                <w:sz w:val="24"/>
                <w:szCs w:val="24"/>
                <w:highlight w:val="none"/>
                <w:lang w:val="en-US" w:eastAsia="zh-CN"/>
              </w:rPr>
              <w:t>注：须提供有效合同扫描件并加盖公章，未提供的不得分。</w:t>
            </w:r>
          </w:p>
        </w:tc>
        <w:tc>
          <w:tcPr>
            <w:tcW w:w="564" w:type="dxa"/>
            <w:noWrap w:val="0"/>
            <w:vAlign w:val="center"/>
          </w:tcPr>
          <w:p w14:paraId="3256B605">
            <w:pPr>
              <w:keepNext w:val="0"/>
              <w:keepLines w:val="0"/>
              <w:pageBreakBefore w:val="0"/>
              <w:widowControl w:val="0"/>
              <w:kinsoku/>
              <w:wordWrap/>
              <w:overflowPunct/>
              <w:topLinePunct w:val="0"/>
              <w:bidi w:val="0"/>
              <w:adjustRightInd w:val="0"/>
              <w:snapToGrid w:val="0"/>
              <w:spacing w:line="32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r>
    </w:tbl>
    <w:p w14:paraId="24901A1D">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color w:val="auto"/>
          <w:sz w:val="24"/>
          <w:szCs w:val="24"/>
          <w:highlight w:val="none"/>
          <w:lang w:val="zh-CN"/>
        </w:rPr>
      </w:pPr>
    </w:p>
    <w:p w14:paraId="6D5432D4">
      <w:pPr>
        <w:autoSpaceDE w:val="0"/>
        <w:autoSpaceDN w:val="0"/>
        <w:adjustRightInd w:val="0"/>
        <w:snapToGrid w:val="0"/>
        <w:spacing w:line="500" w:lineRule="exact"/>
        <w:ind w:firstLine="562" w:firstLineChars="200"/>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w:t>
      </w:r>
      <w:r>
        <w:rPr>
          <w:rFonts w:hint="eastAsia" w:asciiTheme="minorEastAsia" w:hAnsiTheme="minorEastAsia" w:eastAsiaTheme="minorEastAsia" w:cstheme="minorEastAsia"/>
          <w:b/>
          <w:bCs w:val="0"/>
          <w:color w:val="auto"/>
          <w:sz w:val="28"/>
          <w:szCs w:val="28"/>
          <w:highlight w:val="none"/>
          <w:lang w:val="zh-CN"/>
        </w:rPr>
        <w:t>四</w:t>
      </w:r>
      <w:r>
        <w:rPr>
          <w:rFonts w:hint="eastAsia" w:asciiTheme="minorEastAsia" w:hAnsiTheme="minorEastAsia" w:eastAsiaTheme="minorEastAsia" w:cstheme="minorEastAsia"/>
          <w:b/>
          <w:bCs w:val="0"/>
          <w:color w:val="auto"/>
          <w:sz w:val="28"/>
          <w:szCs w:val="28"/>
          <w:highlight w:val="none"/>
        </w:rPr>
        <w:t>）</w:t>
      </w:r>
      <w:r>
        <w:rPr>
          <w:rFonts w:hint="eastAsia" w:asciiTheme="minorEastAsia" w:hAnsiTheme="minorEastAsia" w:eastAsiaTheme="minorEastAsia" w:cstheme="minorEastAsia"/>
          <w:b/>
          <w:bCs w:val="0"/>
          <w:color w:val="auto"/>
          <w:sz w:val="28"/>
          <w:szCs w:val="28"/>
          <w:highlight w:val="none"/>
          <w:lang w:val="zh-CN"/>
        </w:rPr>
        <w:t>价格分</w:t>
      </w:r>
      <w:r>
        <w:rPr>
          <w:rFonts w:hint="eastAsia" w:asciiTheme="minorEastAsia" w:hAnsiTheme="minorEastAsia" w:eastAsiaTheme="minorEastAsia" w:cstheme="minorEastAsia"/>
          <w:b/>
          <w:bCs w:val="0"/>
          <w:color w:val="auto"/>
          <w:sz w:val="28"/>
          <w:szCs w:val="28"/>
          <w:highlight w:val="none"/>
        </w:rPr>
        <w:t>：</w:t>
      </w:r>
      <w:r>
        <w:rPr>
          <w:rFonts w:hint="eastAsia" w:asciiTheme="minorEastAsia" w:hAnsiTheme="minorEastAsia" w:eastAsiaTheme="minorEastAsia" w:cstheme="minorEastAsia"/>
          <w:b/>
          <w:bCs w:val="0"/>
          <w:color w:val="auto"/>
          <w:sz w:val="28"/>
          <w:szCs w:val="28"/>
          <w:highlight w:val="none"/>
          <w:lang w:val="en-US" w:eastAsia="zh-CN"/>
        </w:rPr>
        <w:t>30</w:t>
      </w:r>
      <w:r>
        <w:rPr>
          <w:rFonts w:hint="eastAsia" w:asciiTheme="minorEastAsia" w:hAnsiTheme="minorEastAsia" w:eastAsiaTheme="minorEastAsia" w:cstheme="minorEastAsia"/>
          <w:b/>
          <w:bCs w:val="0"/>
          <w:color w:val="auto"/>
          <w:sz w:val="28"/>
          <w:szCs w:val="28"/>
          <w:highlight w:val="none"/>
          <w:lang w:val="zh-CN"/>
        </w:rPr>
        <w:t>分</w:t>
      </w:r>
    </w:p>
    <w:p w14:paraId="522EE613">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价格分统一采用低价优先法计算，即满足磋商文件要求且最后报价最低的供应商的价格为磋商基准价，其价格分为满分。其他供应商的价格分统一按照下列公式计算：</w:t>
      </w:r>
    </w:p>
    <w:p w14:paraId="6C3D58DE">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磋商报价得分=（磋商基准价/最后磋商报价）×价格权值×100</w:t>
      </w:r>
    </w:p>
    <w:p w14:paraId="0887210E">
      <w:pPr>
        <w:adjustRightInd w:val="0"/>
        <w:snapToGrid w:val="0"/>
        <w:spacing w:line="500" w:lineRule="exact"/>
        <w:ind w:firstLine="562" w:firstLineChars="200"/>
        <w:textAlignment w:val="baseline"/>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kern w:val="0"/>
          <w:sz w:val="28"/>
          <w:szCs w:val="28"/>
          <w:highlight w:val="none"/>
        </w:rPr>
        <w:t>（</w:t>
      </w:r>
      <w:r>
        <w:rPr>
          <w:rFonts w:hint="eastAsia" w:asciiTheme="minorEastAsia" w:hAnsiTheme="minorEastAsia" w:eastAsiaTheme="minorEastAsia" w:cstheme="minorEastAsia"/>
          <w:b/>
          <w:bCs w:val="0"/>
          <w:color w:val="auto"/>
          <w:sz w:val="28"/>
          <w:szCs w:val="28"/>
          <w:highlight w:val="none"/>
        </w:rPr>
        <w:t>五</w:t>
      </w:r>
      <w:r>
        <w:rPr>
          <w:rFonts w:hint="eastAsia" w:asciiTheme="minorEastAsia" w:hAnsiTheme="minorEastAsia" w:eastAsiaTheme="minorEastAsia" w:cstheme="minorEastAsia"/>
          <w:b/>
          <w:bCs w:val="0"/>
          <w:color w:val="auto"/>
          <w:kern w:val="0"/>
          <w:sz w:val="28"/>
          <w:szCs w:val="28"/>
          <w:highlight w:val="none"/>
        </w:rPr>
        <w:t>）</w:t>
      </w:r>
      <w:r>
        <w:rPr>
          <w:rFonts w:hint="eastAsia" w:asciiTheme="minorEastAsia" w:hAnsiTheme="minorEastAsia" w:eastAsiaTheme="minorEastAsia" w:cstheme="minorEastAsia"/>
          <w:b/>
          <w:bCs w:val="0"/>
          <w:color w:val="auto"/>
          <w:sz w:val="28"/>
          <w:szCs w:val="28"/>
          <w:highlight w:val="none"/>
        </w:rPr>
        <w:t>政府采购政策功能落实</w:t>
      </w:r>
    </w:p>
    <w:p w14:paraId="430BD8D9">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1.专门面向中小企业采购的项目或者采购包，不再执行价格评审优惠的扶持政策。</w:t>
      </w:r>
    </w:p>
    <w:p w14:paraId="388AD09A">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2.非专门面向中小企业采购的项目或者采购包，执行以下价格评审优惠的扶持政策。</w:t>
      </w:r>
    </w:p>
    <w:p w14:paraId="407180A2">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（1）小微型企业价格扣除：</w:t>
      </w:r>
    </w:p>
    <w:p w14:paraId="5D6094C7">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①对小型和微型企业产品给予10%的扣除价格，用扣除后的价格参与评审。</w:t>
      </w:r>
    </w:p>
    <w:p w14:paraId="5D386C89">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②供应商需按照《政府采购促进中小企业发展管理办法》（财库</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bCs/>
          <w:color w:val="auto"/>
          <w:sz w:val="28"/>
          <w:szCs w:val="28"/>
          <w:highlight w:val="none"/>
        </w:rPr>
        <w:t>2020</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bCs/>
          <w:color w:val="auto"/>
          <w:sz w:val="28"/>
          <w:szCs w:val="28"/>
          <w:highlight w:val="none"/>
        </w:rPr>
        <w:t>46号）的规定提供相应的《中小企业声明函》。</w:t>
      </w:r>
    </w:p>
    <w:p w14:paraId="58A8A03B">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③企业标准请参照《关于印发中小企业划型标准规定的通知》（工信部联企业</w:t>
      </w:r>
      <w:r>
        <w:rPr>
          <w:rFonts w:hint="eastAsia" w:asciiTheme="minorEastAsia" w:hAnsiTheme="minorEastAsia" w:eastAsiaTheme="minorEastAsia" w:cstheme="minorEastAsia"/>
          <w:color w:val="auto"/>
          <w:kern w:val="0"/>
          <w:sz w:val="28"/>
          <w:szCs w:val="28"/>
          <w:highlight w:val="none"/>
          <w:lang w:val="zh-CN"/>
        </w:rPr>
        <w:t>〔</w:t>
      </w:r>
      <w:r>
        <w:rPr>
          <w:rFonts w:hint="eastAsia" w:asciiTheme="minorEastAsia" w:hAnsiTheme="minorEastAsia" w:eastAsiaTheme="minorEastAsia" w:cstheme="minorEastAsia"/>
          <w:bCs/>
          <w:color w:val="auto"/>
          <w:sz w:val="28"/>
          <w:szCs w:val="28"/>
          <w:highlight w:val="none"/>
        </w:rPr>
        <w:t>2011</w:t>
      </w:r>
      <w:r>
        <w:rPr>
          <w:rFonts w:hint="eastAsia" w:asciiTheme="minorEastAsia" w:hAnsiTheme="minorEastAsia" w:eastAsiaTheme="minorEastAsia" w:cstheme="minorEastAsia"/>
          <w:color w:val="auto"/>
          <w:kern w:val="0"/>
          <w:sz w:val="28"/>
          <w:szCs w:val="28"/>
          <w:highlight w:val="none"/>
          <w:lang w:val="zh-CN"/>
        </w:rPr>
        <w:t>〕</w:t>
      </w:r>
      <w:r>
        <w:rPr>
          <w:rFonts w:hint="eastAsia" w:asciiTheme="minorEastAsia" w:hAnsiTheme="minorEastAsia" w:eastAsiaTheme="minorEastAsia" w:cstheme="minorEastAsia"/>
          <w:bCs/>
          <w:color w:val="auto"/>
          <w:sz w:val="28"/>
          <w:szCs w:val="28"/>
          <w:highlight w:val="none"/>
        </w:rPr>
        <w:t>300号）文件规定自行填写。</w:t>
      </w:r>
    </w:p>
    <w:p w14:paraId="5817D6D1">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（2）残疾人福利单位价格扣除：</w:t>
      </w:r>
    </w:p>
    <w:p w14:paraId="2598F289">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①对残疾人福利性单位，给予10%的价格扣除，用扣除后的价格参与评审。</w:t>
      </w:r>
    </w:p>
    <w:p w14:paraId="779D26BE">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②残疾人福利单位需按照采购文件的要求提供《残疾人福利性单位声明函》。</w:t>
      </w:r>
    </w:p>
    <w:p w14:paraId="62E430F8">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③残疾人福利单位标准请参照《关于促进残疾人就业政府采购政策的通知》（财库〔2017〕141号）。</w:t>
      </w:r>
    </w:p>
    <w:p w14:paraId="6737944D">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（3）监狱和戒毒企业价格扣除</w:t>
      </w:r>
    </w:p>
    <w:p w14:paraId="5A4131A0">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①对监狱和戒毒企业（简称监狱企业）给予10%的价格扣除，用扣除后的价格参与评审。</w:t>
      </w:r>
    </w:p>
    <w:p w14:paraId="1219B74C">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②监狱企业参加政府采购活动时，需提供由省级以上监狱管理局、戒毒管理局（含新疆生产建设兵团）出具的属于监狱企业的证明文件。供应商如不提供上述证明文件，价格将不做相应扣除。</w:t>
      </w:r>
    </w:p>
    <w:p w14:paraId="7F998EDC">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③监狱企业标准请参照《关于政府采购支持监狱企业发展有关问题的通知》（财库〔2014</w:t>
      </w:r>
      <w:r>
        <w:rPr>
          <w:rFonts w:hint="eastAsia" w:asciiTheme="minorEastAsia" w:hAnsiTheme="minorEastAsia" w:eastAsiaTheme="minorEastAsia" w:cstheme="minorEastAsia"/>
          <w:color w:val="auto"/>
          <w:kern w:val="0"/>
          <w:sz w:val="28"/>
          <w:szCs w:val="28"/>
          <w:highlight w:val="none"/>
          <w:lang w:val="zh-CN"/>
        </w:rPr>
        <w:t>〕</w:t>
      </w:r>
      <w:r>
        <w:rPr>
          <w:rFonts w:hint="eastAsia" w:asciiTheme="minorEastAsia" w:hAnsiTheme="minorEastAsia" w:eastAsiaTheme="minorEastAsia" w:cstheme="minorEastAsia"/>
          <w:bCs/>
          <w:color w:val="auto"/>
          <w:sz w:val="28"/>
          <w:szCs w:val="28"/>
          <w:highlight w:val="none"/>
        </w:rPr>
        <w:t>68号）。</w:t>
      </w:r>
    </w:p>
    <w:p w14:paraId="410A8D3A">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（4）残疾人福利单位、监狱企业属于小型、微型企业的，不重复享受政策。</w:t>
      </w:r>
    </w:p>
    <w:p w14:paraId="4CD8B4EC">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30A1AD2F">
      <w:pPr>
        <w:adjustRightInd w:val="0"/>
        <w:snapToGrid w:val="0"/>
        <w:spacing w:line="500" w:lineRule="exact"/>
        <w:ind w:firstLine="570"/>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（6）联合体各方均为小型、微型企业（残疾人福利单位、监狱企业）的，联合体享受上述同类价格扣除，用扣除后的价格参与评审。</w:t>
      </w:r>
    </w:p>
    <w:p w14:paraId="457DA9AF">
      <w:pPr>
        <w:adjustRightInd w:val="0"/>
        <w:snapToGrid w:val="0"/>
        <w:spacing w:line="500" w:lineRule="exact"/>
        <w:ind w:firstLine="562" w:firstLineChars="200"/>
        <w:textAlignment w:val="baseline"/>
        <w:rPr>
          <w:rFonts w:hint="eastAsia" w:asciiTheme="minorEastAsia" w:hAnsiTheme="minorEastAsia" w:eastAsiaTheme="minorEastAsia" w:cstheme="minorEastAsia"/>
          <w:b/>
          <w:bCs w:val="0"/>
          <w:color w:val="auto"/>
          <w:kern w:val="0"/>
          <w:sz w:val="28"/>
          <w:szCs w:val="28"/>
          <w:highlight w:val="none"/>
        </w:rPr>
      </w:pPr>
      <w:r>
        <w:rPr>
          <w:rFonts w:hint="eastAsia" w:asciiTheme="minorEastAsia" w:hAnsiTheme="minorEastAsia" w:eastAsiaTheme="minorEastAsia" w:cstheme="minorEastAsia"/>
          <w:b/>
          <w:bCs w:val="0"/>
          <w:color w:val="auto"/>
          <w:kern w:val="0"/>
          <w:sz w:val="28"/>
          <w:szCs w:val="28"/>
          <w:highlight w:val="none"/>
        </w:rPr>
        <w:t>（六）成交供应商的确定</w:t>
      </w:r>
    </w:p>
    <w:p w14:paraId="00E36E9A">
      <w:pPr>
        <w:adjustRightInd w:val="0"/>
        <w:snapToGrid w:val="0"/>
        <w:spacing w:line="500" w:lineRule="exact"/>
        <w:ind w:firstLine="57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磋商小组汇总各评委评分后，按照评审得分由高到低顺序推荐3名成交候选供应商，并编写评审报告。符合《政府采购竞争性磋商采购方式管理暂行办法》第二十一条第三款</w:t>
      </w:r>
      <w:r>
        <w:rPr>
          <w:rFonts w:hint="eastAsia" w:asciiTheme="minorEastAsia" w:hAnsiTheme="minorEastAsia" w:eastAsiaTheme="minorEastAsia" w:cstheme="minorEastAsia"/>
          <w:bCs/>
          <w:color w:val="auto"/>
          <w:sz w:val="28"/>
          <w:szCs w:val="28"/>
          <w:highlight w:val="none"/>
        </w:rPr>
        <w:t>或《财政部关于竞争性磋商采购方式管理暂行办法有关问题的补充通知》（财库</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bCs/>
          <w:color w:val="auto"/>
          <w:sz w:val="28"/>
          <w:szCs w:val="28"/>
          <w:highlight w:val="none"/>
        </w:rPr>
        <w:t>2015</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bCs/>
          <w:color w:val="auto"/>
          <w:sz w:val="28"/>
          <w:szCs w:val="28"/>
          <w:highlight w:val="none"/>
        </w:rPr>
        <w:t>124号）规定情形</w:t>
      </w:r>
      <w:r>
        <w:rPr>
          <w:rFonts w:hint="eastAsia" w:asciiTheme="minorEastAsia" w:hAnsiTheme="minorEastAsia" w:eastAsiaTheme="minorEastAsia" w:cstheme="minorEastAsia"/>
          <w:color w:val="auto"/>
          <w:sz w:val="28"/>
          <w:szCs w:val="28"/>
          <w:highlight w:val="none"/>
        </w:rPr>
        <w:t>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3016BD1F">
      <w:pPr>
        <w:adjustRightInd w:val="0"/>
        <w:snapToGrid w:val="0"/>
        <w:spacing w:line="500" w:lineRule="exact"/>
        <w:ind w:firstLine="57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采购人应根据磋商小组推荐的成交候选供应商确定成交供应商。</w:t>
      </w:r>
    </w:p>
    <w:p w14:paraId="73622A6C">
      <w:pPr>
        <w:adjustRightInd w:val="0"/>
        <w:snapToGrid w:val="0"/>
        <w:spacing w:line="500" w:lineRule="exact"/>
        <w:ind w:firstLine="562" w:firstLineChars="200"/>
        <w:textAlignment w:val="baseline"/>
        <w:rPr>
          <w:rFonts w:hint="eastAsia" w:asciiTheme="minorEastAsia" w:hAnsiTheme="minorEastAsia" w:eastAsiaTheme="minorEastAsia" w:cstheme="minorEastAsia"/>
          <w:b/>
          <w:bCs w:val="0"/>
          <w:color w:val="auto"/>
          <w:kern w:val="0"/>
          <w:sz w:val="28"/>
          <w:szCs w:val="28"/>
          <w:highlight w:val="none"/>
        </w:rPr>
      </w:pPr>
      <w:r>
        <w:rPr>
          <w:rFonts w:hint="eastAsia" w:asciiTheme="minorEastAsia" w:hAnsiTheme="minorEastAsia" w:eastAsiaTheme="minorEastAsia" w:cstheme="minorEastAsia"/>
          <w:b/>
          <w:bCs w:val="0"/>
          <w:color w:val="auto"/>
          <w:kern w:val="0"/>
          <w:sz w:val="28"/>
          <w:szCs w:val="28"/>
          <w:highlight w:val="none"/>
        </w:rPr>
        <w:t>（七）公告成交结果</w:t>
      </w:r>
    </w:p>
    <w:p w14:paraId="1802669D">
      <w:pPr>
        <w:adjustRightInd w:val="0"/>
        <w:snapToGrid w:val="0"/>
        <w:spacing w:line="500" w:lineRule="exact"/>
        <w:ind w:firstLine="57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自确定成交供应商之日起2个工作日内，在江苏政府采购网公告成交结果，公告期限为1个工作日。</w:t>
      </w:r>
    </w:p>
    <w:p w14:paraId="2F274A29">
      <w:pPr>
        <w:adjustRightInd w:val="0"/>
        <w:snapToGrid w:val="0"/>
        <w:spacing w:line="500" w:lineRule="exact"/>
        <w:ind w:firstLine="562" w:firstLineChars="200"/>
        <w:textAlignment w:val="baseline"/>
        <w:rPr>
          <w:rFonts w:hint="eastAsia" w:asciiTheme="minorEastAsia" w:hAnsiTheme="minorEastAsia" w:eastAsiaTheme="minorEastAsia" w:cstheme="minorEastAsia"/>
          <w:b/>
          <w:bCs w:val="0"/>
          <w:color w:val="auto"/>
          <w:kern w:val="0"/>
          <w:sz w:val="28"/>
          <w:szCs w:val="28"/>
          <w:highlight w:val="none"/>
        </w:rPr>
      </w:pPr>
      <w:r>
        <w:rPr>
          <w:rFonts w:hint="eastAsia" w:asciiTheme="minorEastAsia" w:hAnsiTheme="minorEastAsia" w:eastAsiaTheme="minorEastAsia" w:cstheme="minorEastAsia"/>
          <w:b/>
          <w:bCs w:val="0"/>
          <w:color w:val="auto"/>
          <w:kern w:val="0"/>
          <w:sz w:val="28"/>
          <w:szCs w:val="28"/>
          <w:highlight w:val="none"/>
        </w:rPr>
        <w:t>（八）发放成交通知书</w:t>
      </w:r>
    </w:p>
    <w:p w14:paraId="0FC936F6">
      <w:pPr>
        <w:keepNext w:val="0"/>
        <w:keepLines w:val="0"/>
        <w:pageBreakBefore w:val="0"/>
        <w:widowControl w:val="0"/>
        <w:kinsoku/>
        <w:wordWrap/>
        <w:overflowPunct/>
        <w:topLinePunct w:val="0"/>
        <w:bidi w:val="0"/>
        <w:spacing w:line="500" w:lineRule="exact"/>
        <w:ind w:firstLine="5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公告成交结果的同时，采购人向成交供应商发放成交通知书。</w:t>
      </w:r>
    </w:p>
    <w:p w14:paraId="7EFF4C52">
      <w:pPr>
        <w:adjustRightInd w:val="0"/>
        <w:snapToGrid w:val="0"/>
        <w:spacing w:line="50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成交通知书发出后，采购人不得违法改变成交结果，成交供应商无正当理由不得放弃成交。</w:t>
      </w:r>
    </w:p>
    <w:p w14:paraId="7D536FE2">
      <w:pPr>
        <w:adjustRightInd w:val="0"/>
        <w:snapToGrid w:val="0"/>
        <w:spacing w:line="500" w:lineRule="exact"/>
        <w:ind w:firstLine="562" w:firstLineChars="200"/>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特别说明：成交供应商在成交结果公告结束后须提供三套（一正二副）加盖红章的系统内打印的纸质响应文件给招标代理机构。</w:t>
      </w:r>
    </w:p>
    <w:p w14:paraId="2C24C658">
      <w:pPr>
        <w:adjustRightInd w:val="0"/>
        <w:snapToGrid w:val="0"/>
        <w:spacing w:line="500" w:lineRule="exact"/>
        <w:jc w:val="center"/>
        <w:outlineLvl w:val="0"/>
        <w:rPr>
          <w:rFonts w:hint="eastAsia" w:asciiTheme="minorEastAsia" w:hAnsiTheme="minorEastAsia" w:eastAsiaTheme="minorEastAsia" w:cstheme="minorEastAsia"/>
          <w:bCs/>
          <w:color w:val="auto"/>
          <w:sz w:val="36"/>
          <w:szCs w:val="36"/>
          <w:highlight w:val="none"/>
        </w:rPr>
      </w:pPr>
    </w:p>
    <w:p w14:paraId="22D3C9F8">
      <w:pPr>
        <w:autoSpaceDE w:val="0"/>
        <w:autoSpaceDN w:val="0"/>
        <w:adjustRightInd w:val="0"/>
        <w:snapToGrid w:val="0"/>
        <w:spacing w:line="500" w:lineRule="exact"/>
        <w:jc w:val="center"/>
        <w:outlineLvl w:val="0"/>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bCs/>
          <w:color w:val="auto"/>
          <w:sz w:val="36"/>
          <w:szCs w:val="36"/>
          <w:highlight w:val="none"/>
        </w:rPr>
        <w:br w:type="page"/>
      </w:r>
      <w:r>
        <w:rPr>
          <w:rFonts w:hint="eastAsia" w:asciiTheme="minorEastAsia" w:hAnsiTheme="minorEastAsia" w:eastAsiaTheme="minorEastAsia" w:cstheme="minorEastAsia"/>
          <w:color w:val="auto"/>
          <w:sz w:val="36"/>
          <w:szCs w:val="36"/>
          <w:highlight w:val="none"/>
          <w:lang w:val="zh-CN"/>
        </w:rPr>
        <w:t>第五部分  响应文件格式</w:t>
      </w:r>
    </w:p>
    <w:p w14:paraId="31F7E438">
      <w:pPr>
        <w:adjustRightInd w:val="0"/>
        <w:snapToGrid w:val="0"/>
        <w:spacing w:line="50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rPr>
        <w:t>1.</w:t>
      </w:r>
      <w:r>
        <w:rPr>
          <w:rFonts w:hint="eastAsia" w:asciiTheme="minorEastAsia" w:hAnsiTheme="minorEastAsia" w:eastAsiaTheme="minorEastAsia" w:cstheme="minorEastAsia"/>
          <w:color w:val="auto"/>
          <w:kern w:val="0"/>
          <w:sz w:val="28"/>
          <w:szCs w:val="28"/>
          <w:highlight w:val="none"/>
        </w:rPr>
        <w:t>响应人符合《中华人民共和国政府采购法》第二十二条规定条件的声明函</w:t>
      </w:r>
      <w:r>
        <w:rPr>
          <w:rFonts w:hint="eastAsia" w:asciiTheme="minorEastAsia" w:hAnsiTheme="minorEastAsia" w:eastAsiaTheme="minorEastAsia" w:cstheme="minorEastAsia"/>
          <w:color w:val="auto"/>
          <w:kern w:val="0"/>
          <w:sz w:val="28"/>
          <w:szCs w:val="28"/>
          <w:highlight w:val="none"/>
          <w:lang w:val="zh-CN"/>
        </w:rPr>
        <w:t>（格式见附件1）（如分公司参加响应的，另需提供总公司的授权证明）；</w:t>
      </w:r>
    </w:p>
    <w:p w14:paraId="0DFB09DE">
      <w:pPr>
        <w:adjustRightInd w:val="0"/>
        <w:snapToGrid w:val="0"/>
        <w:spacing w:line="50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rPr>
        <w:t>2.法人或者其他组织的营业执照等证明文件，自然人参加的提供身份证明；</w:t>
      </w:r>
    </w:p>
    <w:p w14:paraId="72B65519">
      <w:pPr>
        <w:adjustRightInd w:val="0"/>
        <w:snapToGrid w:val="0"/>
        <w:spacing w:line="50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rPr>
        <w:t>3.法定代表人参加响应的提供法定代表人身份证明书（格式见附件2）；非法定代表人参加响应的提供法定代表人授权委托书原件（格式见附件3）；</w:t>
      </w:r>
    </w:p>
    <w:p w14:paraId="57EB9CE9">
      <w:pPr>
        <w:adjustRightInd w:val="0"/>
        <w:snapToGrid w:val="0"/>
        <w:spacing w:line="50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rPr>
        <w:t>4.</w:t>
      </w:r>
      <w:r>
        <w:rPr>
          <w:rFonts w:hint="eastAsia" w:asciiTheme="minorEastAsia" w:hAnsiTheme="minorEastAsia" w:eastAsiaTheme="minorEastAsia" w:cstheme="minorEastAsia"/>
          <w:color w:val="auto"/>
          <w:kern w:val="0"/>
          <w:sz w:val="28"/>
          <w:szCs w:val="28"/>
          <w:highlight w:val="none"/>
          <w:lang w:val="zh-CN"/>
        </w:rPr>
        <w:t>供应商信用承诺书（格式见附件</w:t>
      </w:r>
      <w:r>
        <w:rPr>
          <w:rFonts w:hint="eastAsia" w:asciiTheme="minorEastAsia" w:hAnsiTheme="minorEastAsia" w:eastAsiaTheme="minorEastAsia" w:cstheme="minorEastAsia"/>
          <w:color w:val="auto"/>
          <w:kern w:val="0"/>
          <w:sz w:val="28"/>
          <w:szCs w:val="28"/>
          <w:highlight w:val="none"/>
        </w:rPr>
        <w:t>4</w:t>
      </w:r>
      <w:r>
        <w:rPr>
          <w:rFonts w:hint="eastAsia" w:asciiTheme="minorEastAsia" w:hAnsiTheme="minorEastAsia" w:eastAsiaTheme="minorEastAsia" w:cstheme="minorEastAsia"/>
          <w:color w:val="auto"/>
          <w:kern w:val="0"/>
          <w:sz w:val="28"/>
          <w:szCs w:val="28"/>
          <w:highlight w:val="none"/>
          <w:lang w:val="zh-CN"/>
        </w:rPr>
        <w:t>）；</w:t>
      </w:r>
    </w:p>
    <w:p w14:paraId="04EF882A">
      <w:pPr>
        <w:adjustRightInd w:val="0"/>
        <w:snapToGrid w:val="0"/>
        <w:spacing w:line="50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rPr>
        <w:t>5.</w:t>
      </w:r>
      <w:r>
        <w:rPr>
          <w:rFonts w:hint="eastAsia" w:asciiTheme="minorEastAsia" w:hAnsiTheme="minorEastAsia" w:eastAsiaTheme="minorEastAsia" w:cstheme="minorEastAsia"/>
          <w:color w:val="auto"/>
          <w:kern w:val="0"/>
          <w:sz w:val="28"/>
          <w:szCs w:val="28"/>
          <w:highlight w:val="none"/>
          <w:lang w:val="zh-CN"/>
        </w:rPr>
        <w:t>磋商响应函（格式见附件</w:t>
      </w:r>
      <w:r>
        <w:rPr>
          <w:rFonts w:hint="eastAsia" w:asciiTheme="minorEastAsia" w:hAnsiTheme="minorEastAsia" w:eastAsiaTheme="minorEastAsia" w:cstheme="minorEastAsia"/>
          <w:color w:val="auto"/>
          <w:kern w:val="0"/>
          <w:sz w:val="28"/>
          <w:szCs w:val="28"/>
          <w:highlight w:val="none"/>
        </w:rPr>
        <w:t>5</w:t>
      </w:r>
      <w:r>
        <w:rPr>
          <w:rFonts w:hint="eastAsia" w:asciiTheme="minorEastAsia" w:hAnsiTheme="minorEastAsia" w:eastAsiaTheme="minorEastAsia" w:cstheme="minorEastAsia"/>
          <w:color w:val="auto"/>
          <w:kern w:val="0"/>
          <w:sz w:val="28"/>
          <w:szCs w:val="28"/>
          <w:highlight w:val="none"/>
          <w:lang w:val="zh-CN"/>
        </w:rPr>
        <w:t>）；</w:t>
      </w:r>
    </w:p>
    <w:p w14:paraId="7DC9406B">
      <w:pPr>
        <w:adjustRightInd w:val="0"/>
        <w:snapToGrid w:val="0"/>
        <w:spacing w:line="500" w:lineRule="exact"/>
        <w:ind w:firstLine="560" w:firstLineChars="200"/>
        <w:rPr>
          <w:rFonts w:hint="eastAsia" w:asciiTheme="minorEastAsia" w:hAnsiTheme="minorEastAsia" w:eastAsiaTheme="minorEastAsia" w:cstheme="minorEastAsia"/>
          <w:bCs/>
          <w:color w:val="auto"/>
          <w:kern w:val="0"/>
          <w:sz w:val="28"/>
          <w:szCs w:val="28"/>
          <w:highlight w:val="none"/>
          <w:lang w:val="en-US" w:eastAsia="zh-CN"/>
        </w:rPr>
      </w:pPr>
      <w:r>
        <w:rPr>
          <w:rFonts w:hint="eastAsia" w:asciiTheme="minorEastAsia" w:hAnsiTheme="minorEastAsia" w:eastAsiaTheme="minorEastAsia" w:cstheme="minorEastAsia"/>
          <w:bCs/>
          <w:color w:val="auto"/>
          <w:kern w:val="0"/>
          <w:sz w:val="28"/>
          <w:szCs w:val="28"/>
          <w:highlight w:val="none"/>
          <w:lang w:val="zh-CN"/>
        </w:rPr>
        <w:t>6.</w:t>
      </w:r>
      <w:r>
        <w:rPr>
          <w:rFonts w:hint="eastAsia" w:asciiTheme="minorEastAsia" w:hAnsiTheme="minorEastAsia" w:eastAsiaTheme="minorEastAsia" w:cstheme="minorEastAsia"/>
          <w:bCs/>
          <w:color w:val="auto"/>
          <w:kern w:val="0"/>
          <w:sz w:val="28"/>
          <w:szCs w:val="28"/>
          <w:highlight w:val="none"/>
          <w:lang w:val="en-US" w:eastAsia="zh-CN"/>
        </w:rPr>
        <w:t>供</w:t>
      </w:r>
      <w:r>
        <w:rPr>
          <w:rFonts w:hint="eastAsia" w:asciiTheme="minorEastAsia" w:hAnsiTheme="minorEastAsia" w:eastAsiaTheme="minorEastAsia" w:cstheme="minorEastAsia"/>
          <w:color w:val="auto"/>
          <w:kern w:val="0"/>
          <w:sz w:val="28"/>
          <w:szCs w:val="28"/>
          <w:highlight w:val="none"/>
          <w:lang w:val="en-US" w:eastAsia="zh-CN"/>
        </w:rPr>
        <w:t>应商有效的《劳务派遣经营许可证》；</w:t>
      </w:r>
    </w:p>
    <w:p w14:paraId="74476DD9">
      <w:pPr>
        <w:adjustRightInd w:val="0"/>
        <w:snapToGrid w:val="0"/>
        <w:spacing w:line="500" w:lineRule="exact"/>
        <w:ind w:firstLine="560" w:firstLineChars="200"/>
        <w:rPr>
          <w:rFonts w:hint="eastAsia" w:asciiTheme="minorEastAsia" w:hAnsiTheme="minorEastAsia" w:eastAsiaTheme="minorEastAsia" w:cstheme="minorEastAsia"/>
          <w:bCs/>
          <w:color w:val="auto"/>
          <w:kern w:val="0"/>
          <w:sz w:val="28"/>
          <w:szCs w:val="28"/>
          <w:highlight w:val="none"/>
          <w:lang w:val="zh-CN"/>
        </w:rPr>
      </w:pPr>
      <w:r>
        <w:rPr>
          <w:rFonts w:hint="eastAsia" w:asciiTheme="minorEastAsia" w:hAnsiTheme="minorEastAsia" w:eastAsiaTheme="minorEastAsia" w:cstheme="minorEastAsia"/>
          <w:bCs/>
          <w:color w:val="auto"/>
          <w:kern w:val="0"/>
          <w:sz w:val="28"/>
          <w:szCs w:val="28"/>
          <w:highlight w:val="none"/>
          <w:lang w:val="en-US" w:eastAsia="zh-CN"/>
        </w:rPr>
        <w:t>7.</w:t>
      </w:r>
      <w:r>
        <w:rPr>
          <w:rFonts w:hint="eastAsia" w:asciiTheme="minorEastAsia" w:hAnsiTheme="minorEastAsia" w:eastAsiaTheme="minorEastAsia" w:cstheme="minorEastAsia"/>
          <w:bCs/>
          <w:color w:val="auto"/>
          <w:kern w:val="0"/>
          <w:sz w:val="28"/>
          <w:szCs w:val="28"/>
          <w:highlight w:val="none"/>
          <w:lang w:val="zh-CN"/>
        </w:rPr>
        <w:t>商务部分正负偏离表（格式见附件6）、技术部分正负偏离表（格式见附件7）</w:t>
      </w:r>
      <w:r>
        <w:rPr>
          <w:rFonts w:hint="eastAsia" w:asciiTheme="minorEastAsia" w:hAnsiTheme="minorEastAsia" w:eastAsiaTheme="minorEastAsia" w:cstheme="minorEastAsia"/>
          <w:color w:val="auto"/>
          <w:kern w:val="0"/>
          <w:sz w:val="28"/>
          <w:szCs w:val="28"/>
          <w:highlight w:val="none"/>
          <w:lang w:val="zh-CN"/>
        </w:rPr>
        <w:t>；</w:t>
      </w:r>
    </w:p>
    <w:p w14:paraId="734E1FAE">
      <w:pPr>
        <w:adjustRightInd w:val="0"/>
        <w:snapToGrid w:val="0"/>
        <w:spacing w:line="500" w:lineRule="exact"/>
        <w:ind w:firstLine="560" w:firstLineChars="200"/>
        <w:rPr>
          <w:rFonts w:hint="eastAsia" w:asciiTheme="minorEastAsia" w:hAnsiTheme="minorEastAsia" w:eastAsiaTheme="minorEastAsia" w:cstheme="minorEastAsia"/>
          <w:bCs/>
          <w:color w:val="auto"/>
          <w:kern w:val="0"/>
          <w:sz w:val="28"/>
          <w:szCs w:val="28"/>
          <w:highlight w:val="none"/>
          <w:lang w:val="zh-CN"/>
        </w:rPr>
      </w:pPr>
      <w:r>
        <w:rPr>
          <w:rFonts w:hint="eastAsia" w:asciiTheme="minorEastAsia" w:hAnsiTheme="minorEastAsia" w:eastAsiaTheme="minorEastAsia" w:cstheme="minorEastAsia"/>
          <w:bCs/>
          <w:color w:val="auto"/>
          <w:kern w:val="0"/>
          <w:sz w:val="28"/>
          <w:szCs w:val="28"/>
          <w:highlight w:val="none"/>
          <w:lang w:val="zh-CN"/>
        </w:rPr>
        <w:t>填制正负偏离表，完全响应的，请以空白表列示。不完全响应的，必须在偏离表中列示；列示不全的，视同故意隐瞒。</w:t>
      </w:r>
    </w:p>
    <w:p w14:paraId="17224E2D">
      <w:pPr>
        <w:adjustRightInd w:val="0"/>
        <w:snapToGrid w:val="0"/>
        <w:spacing w:line="500" w:lineRule="exact"/>
        <w:ind w:firstLine="560" w:firstLineChars="200"/>
        <w:rPr>
          <w:rFonts w:hint="eastAsia" w:asciiTheme="minorEastAsia" w:hAnsiTheme="minorEastAsia" w:eastAsiaTheme="minorEastAsia" w:cstheme="minorEastAsia"/>
          <w:bCs/>
          <w:color w:val="auto"/>
          <w:kern w:val="0"/>
          <w:sz w:val="28"/>
          <w:szCs w:val="28"/>
          <w:highlight w:val="none"/>
          <w:lang w:val="zh-CN"/>
        </w:rPr>
      </w:pPr>
      <w:r>
        <w:rPr>
          <w:rFonts w:hint="eastAsia" w:asciiTheme="minorEastAsia" w:hAnsiTheme="minorEastAsia" w:eastAsiaTheme="minorEastAsia" w:cstheme="minorEastAsia"/>
          <w:bCs/>
          <w:color w:val="auto"/>
          <w:kern w:val="0"/>
          <w:sz w:val="28"/>
          <w:szCs w:val="28"/>
          <w:highlight w:val="none"/>
          <w:lang w:val="en-US" w:eastAsia="zh-CN"/>
        </w:rPr>
        <w:t>8</w:t>
      </w:r>
      <w:r>
        <w:rPr>
          <w:rFonts w:hint="eastAsia" w:asciiTheme="minorEastAsia" w:hAnsiTheme="minorEastAsia" w:eastAsiaTheme="minorEastAsia" w:cstheme="minorEastAsia"/>
          <w:bCs/>
          <w:color w:val="auto"/>
          <w:kern w:val="0"/>
          <w:sz w:val="28"/>
          <w:szCs w:val="28"/>
          <w:highlight w:val="none"/>
          <w:lang w:val="zh-CN"/>
        </w:rPr>
        <w:t>.</w:t>
      </w:r>
      <w:r>
        <w:rPr>
          <w:rFonts w:hint="eastAsia" w:asciiTheme="minorEastAsia" w:hAnsiTheme="minorEastAsia" w:eastAsiaTheme="minorEastAsia" w:cstheme="minorEastAsia"/>
          <w:color w:val="auto"/>
          <w:kern w:val="0"/>
          <w:sz w:val="28"/>
          <w:szCs w:val="28"/>
          <w:highlight w:val="none"/>
        </w:rPr>
        <w:t>磋商报价表</w:t>
      </w:r>
      <w:r>
        <w:rPr>
          <w:rFonts w:hint="eastAsia" w:asciiTheme="minorEastAsia" w:hAnsiTheme="minorEastAsia" w:eastAsiaTheme="minorEastAsia" w:cstheme="minorEastAsia"/>
          <w:bCs/>
          <w:color w:val="auto"/>
          <w:kern w:val="0"/>
          <w:sz w:val="28"/>
          <w:szCs w:val="28"/>
          <w:highlight w:val="none"/>
          <w:lang w:val="zh-CN"/>
        </w:rPr>
        <w:t>[</w:t>
      </w:r>
      <w:r>
        <w:rPr>
          <w:rFonts w:hint="eastAsia" w:asciiTheme="minorEastAsia" w:hAnsiTheme="minorEastAsia" w:eastAsiaTheme="minorEastAsia" w:cstheme="minorEastAsia"/>
          <w:color w:val="auto"/>
          <w:kern w:val="0"/>
          <w:sz w:val="28"/>
          <w:szCs w:val="28"/>
          <w:highlight w:val="none"/>
          <w:lang w:val="zh-CN"/>
        </w:rPr>
        <w:t>格式见</w:t>
      </w:r>
      <w:r>
        <w:rPr>
          <w:rFonts w:hint="eastAsia" w:asciiTheme="minorEastAsia" w:hAnsiTheme="minorEastAsia" w:eastAsiaTheme="minorEastAsia" w:cstheme="minorEastAsia"/>
          <w:color w:val="auto"/>
          <w:sz w:val="28"/>
          <w:szCs w:val="28"/>
          <w:highlight w:val="none"/>
        </w:rPr>
        <w:t>“苏采云”</w:t>
      </w:r>
      <w:r>
        <w:rPr>
          <w:rFonts w:hint="eastAsia" w:asciiTheme="minorEastAsia" w:hAnsiTheme="minorEastAsia" w:eastAsiaTheme="minorEastAsia" w:cstheme="minorEastAsia"/>
          <w:color w:val="auto"/>
          <w:kern w:val="0"/>
          <w:sz w:val="28"/>
          <w:szCs w:val="28"/>
          <w:highlight w:val="none"/>
          <w:lang w:val="zh-CN"/>
        </w:rPr>
        <w:t>系统内电子投标（响应）文件中表式</w:t>
      </w:r>
      <w:r>
        <w:rPr>
          <w:rFonts w:hint="eastAsia" w:asciiTheme="minorEastAsia" w:hAnsiTheme="minorEastAsia" w:eastAsiaTheme="minorEastAsia" w:cstheme="minorEastAsia"/>
          <w:bCs/>
          <w:color w:val="auto"/>
          <w:kern w:val="0"/>
          <w:sz w:val="28"/>
          <w:szCs w:val="28"/>
          <w:highlight w:val="none"/>
          <w:lang w:val="zh-CN"/>
        </w:rPr>
        <w:t xml:space="preserve">]； </w:t>
      </w:r>
    </w:p>
    <w:p w14:paraId="6631A724">
      <w:pPr>
        <w:adjustRightInd w:val="0"/>
        <w:snapToGrid w:val="0"/>
        <w:spacing w:line="500" w:lineRule="exact"/>
        <w:ind w:firstLine="560" w:firstLineChars="200"/>
        <w:rPr>
          <w:rFonts w:hint="eastAsia" w:asciiTheme="minorEastAsia" w:hAnsiTheme="minorEastAsia" w:eastAsiaTheme="minorEastAsia" w:cstheme="minorEastAsia"/>
          <w:bCs/>
          <w:color w:val="auto"/>
          <w:kern w:val="0"/>
          <w:sz w:val="28"/>
          <w:szCs w:val="28"/>
          <w:highlight w:val="none"/>
          <w:lang w:val="zh-CN" w:eastAsia="zh-CN"/>
        </w:rPr>
      </w:pPr>
      <w:r>
        <w:rPr>
          <w:rFonts w:hint="eastAsia" w:asciiTheme="minorEastAsia" w:hAnsiTheme="minorEastAsia" w:eastAsiaTheme="minorEastAsia" w:cstheme="minorEastAsia"/>
          <w:bCs/>
          <w:color w:val="auto"/>
          <w:kern w:val="0"/>
          <w:sz w:val="28"/>
          <w:szCs w:val="28"/>
          <w:highlight w:val="none"/>
          <w:lang w:val="en-US" w:eastAsia="zh-CN"/>
        </w:rPr>
        <w:t>9</w:t>
      </w:r>
      <w:r>
        <w:rPr>
          <w:rFonts w:hint="eastAsia" w:asciiTheme="minorEastAsia" w:hAnsiTheme="minorEastAsia" w:eastAsiaTheme="minorEastAsia" w:cstheme="minorEastAsia"/>
          <w:bCs/>
          <w:color w:val="auto"/>
          <w:kern w:val="0"/>
          <w:sz w:val="28"/>
          <w:szCs w:val="28"/>
          <w:highlight w:val="none"/>
          <w:lang w:val="zh-CN"/>
        </w:rPr>
        <w:t>.分项报价明细表</w:t>
      </w:r>
      <w:r>
        <w:rPr>
          <w:rFonts w:hint="eastAsia" w:asciiTheme="minorEastAsia" w:hAnsiTheme="minorEastAsia" w:eastAsiaTheme="minorEastAsia" w:cstheme="minorEastAsia"/>
          <w:bCs/>
          <w:color w:val="auto"/>
          <w:kern w:val="0"/>
          <w:sz w:val="28"/>
          <w:szCs w:val="28"/>
          <w:highlight w:val="none"/>
          <w:lang w:val="zh-CN" w:eastAsia="zh-CN"/>
        </w:rPr>
        <w:t>（</w:t>
      </w:r>
      <w:r>
        <w:rPr>
          <w:rFonts w:hint="eastAsia" w:asciiTheme="minorEastAsia" w:hAnsiTheme="minorEastAsia" w:eastAsiaTheme="minorEastAsia" w:cstheme="minorEastAsia"/>
          <w:bCs/>
          <w:color w:val="auto"/>
          <w:kern w:val="0"/>
          <w:sz w:val="28"/>
          <w:szCs w:val="28"/>
          <w:highlight w:val="none"/>
          <w:lang w:val="en-US" w:eastAsia="zh-CN"/>
        </w:rPr>
        <w:t>格式见附件8</w:t>
      </w:r>
      <w:r>
        <w:rPr>
          <w:rFonts w:hint="eastAsia" w:asciiTheme="minorEastAsia" w:hAnsiTheme="minorEastAsia" w:eastAsiaTheme="minorEastAsia" w:cstheme="minorEastAsia"/>
          <w:bCs/>
          <w:color w:val="auto"/>
          <w:kern w:val="0"/>
          <w:sz w:val="28"/>
          <w:szCs w:val="28"/>
          <w:highlight w:val="none"/>
          <w:lang w:val="zh-CN" w:eastAsia="zh-CN"/>
        </w:rPr>
        <w:t>）；</w:t>
      </w:r>
    </w:p>
    <w:p w14:paraId="026E0801">
      <w:pPr>
        <w:adjustRightInd w:val="0"/>
        <w:snapToGrid w:val="0"/>
        <w:spacing w:line="50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en-US" w:eastAsia="zh-CN"/>
        </w:rPr>
        <w:t>10.</w:t>
      </w:r>
      <w:r>
        <w:rPr>
          <w:rFonts w:hint="eastAsia" w:asciiTheme="minorEastAsia" w:hAnsiTheme="minorEastAsia" w:eastAsiaTheme="minorEastAsia" w:cstheme="minorEastAsia"/>
          <w:color w:val="auto"/>
          <w:kern w:val="0"/>
          <w:sz w:val="28"/>
          <w:szCs w:val="28"/>
          <w:highlight w:val="none"/>
        </w:rPr>
        <w:t>中小企业声明函（</w:t>
      </w:r>
      <w:r>
        <w:rPr>
          <w:rFonts w:hint="eastAsia" w:asciiTheme="minorEastAsia" w:hAnsiTheme="minorEastAsia" w:eastAsiaTheme="minorEastAsia" w:cstheme="minorEastAsia"/>
          <w:color w:val="auto"/>
          <w:kern w:val="0"/>
          <w:sz w:val="28"/>
          <w:szCs w:val="28"/>
          <w:highlight w:val="none"/>
          <w:lang w:val="en-US" w:eastAsia="zh-CN"/>
        </w:rPr>
        <w:t>如有，</w:t>
      </w:r>
      <w:r>
        <w:rPr>
          <w:rFonts w:hint="eastAsia" w:asciiTheme="minorEastAsia" w:hAnsiTheme="minorEastAsia" w:eastAsiaTheme="minorEastAsia" w:cstheme="minorEastAsia"/>
          <w:color w:val="auto"/>
          <w:kern w:val="0"/>
          <w:sz w:val="28"/>
          <w:szCs w:val="28"/>
          <w:highlight w:val="none"/>
        </w:rPr>
        <w:t>格式见附件</w:t>
      </w:r>
      <w:r>
        <w:rPr>
          <w:rFonts w:hint="eastAsia" w:asciiTheme="minorEastAsia" w:hAnsiTheme="minorEastAsia" w:eastAsiaTheme="minorEastAsia" w:cstheme="minorEastAsia"/>
          <w:color w:val="auto"/>
          <w:kern w:val="0"/>
          <w:sz w:val="28"/>
          <w:szCs w:val="28"/>
          <w:highlight w:val="none"/>
          <w:lang w:val="en-US" w:eastAsia="zh-CN"/>
        </w:rPr>
        <w:t>9</w:t>
      </w:r>
      <w:r>
        <w:rPr>
          <w:rFonts w:hint="eastAsia" w:asciiTheme="minorEastAsia" w:hAnsiTheme="minorEastAsia" w:eastAsiaTheme="minorEastAsia" w:cstheme="minorEastAsia"/>
          <w:color w:val="auto"/>
          <w:kern w:val="0"/>
          <w:sz w:val="28"/>
          <w:szCs w:val="28"/>
          <w:highlight w:val="none"/>
        </w:rPr>
        <w:t>）；</w:t>
      </w:r>
    </w:p>
    <w:p w14:paraId="5235AF42">
      <w:pPr>
        <w:adjustRightInd w:val="0"/>
        <w:snapToGrid w:val="0"/>
        <w:spacing w:line="500" w:lineRule="exact"/>
        <w:ind w:firstLine="560" w:firstLineChars="200"/>
        <w:rPr>
          <w:rFonts w:hint="eastAsia" w:asciiTheme="minorEastAsia" w:hAnsiTheme="minorEastAsia" w:eastAsiaTheme="minorEastAsia" w:cstheme="minorEastAsia"/>
          <w:color w:val="auto"/>
          <w:kern w:val="0"/>
          <w:sz w:val="28"/>
          <w:szCs w:val="28"/>
          <w:highlight w:val="none"/>
        </w:rPr>
      </w:pPr>
      <w:r>
        <w:rPr>
          <w:rFonts w:hint="eastAsia" w:asciiTheme="minorEastAsia" w:hAnsiTheme="minorEastAsia" w:eastAsiaTheme="minorEastAsia" w:cstheme="minorEastAsia"/>
          <w:color w:val="auto"/>
          <w:kern w:val="0"/>
          <w:sz w:val="28"/>
          <w:szCs w:val="28"/>
          <w:highlight w:val="none"/>
          <w:lang w:val="en-US" w:eastAsia="zh-CN"/>
        </w:rPr>
        <w:t>11</w:t>
      </w:r>
      <w:r>
        <w:rPr>
          <w:rFonts w:hint="eastAsia" w:asciiTheme="minorEastAsia" w:hAnsiTheme="minorEastAsia" w:eastAsiaTheme="minorEastAsia" w:cstheme="minorEastAsia"/>
          <w:color w:val="auto"/>
          <w:kern w:val="0"/>
          <w:sz w:val="28"/>
          <w:szCs w:val="28"/>
          <w:highlight w:val="none"/>
          <w:lang w:val="zh-CN"/>
        </w:rPr>
        <w:t>.</w:t>
      </w:r>
      <w:r>
        <w:rPr>
          <w:rFonts w:hint="eastAsia" w:asciiTheme="minorEastAsia" w:hAnsiTheme="minorEastAsia" w:eastAsiaTheme="minorEastAsia" w:cstheme="minorEastAsia"/>
          <w:color w:val="auto"/>
          <w:kern w:val="0"/>
          <w:sz w:val="28"/>
          <w:szCs w:val="28"/>
          <w:highlight w:val="none"/>
        </w:rPr>
        <w:t>残疾人福利性单位声明函（</w:t>
      </w:r>
      <w:r>
        <w:rPr>
          <w:rFonts w:hint="eastAsia" w:asciiTheme="minorEastAsia" w:hAnsiTheme="minorEastAsia" w:eastAsiaTheme="minorEastAsia" w:cstheme="minorEastAsia"/>
          <w:color w:val="auto"/>
          <w:kern w:val="0"/>
          <w:sz w:val="28"/>
          <w:szCs w:val="28"/>
          <w:highlight w:val="none"/>
          <w:lang w:val="en-US" w:eastAsia="zh-CN"/>
        </w:rPr>
        <w:t>如有，</w:t>
      </w:r>
      <w:r>
        <w:rPr>
          <w:rFonts w:hint="eastAsia" w:asciiTheme="minorEastAsia" w:hAnsiTheme="minorEastAsia" w:eastAsiaTheme="minorEastAsia" w:cstheme="minorEastAsia"/>
          <w:color w:val="auto"/>
          <w:kern w:val="0"/>
          <w:sz w:val="28"/>
          <w:szCs w:val="28"/>
          <w:highlight w:val="none"/>
        </w:rPr>
        <w:t>格式见附件</w:t>
      </w:r>
      <w:r>
        <w:rPr>
          <w:rFonts w:hint="eastAsia" w:asciiTheme="minorEastAsia" w:hAnsiTheme="minorEastAsia" w:eastAsiaTheme="minorEastAsia" w:cstheme="minorEastAsia"/>
          <w:color w:val="auto"/>
          <w:kern w:val="0"/>
          <w:sz w:val="28"/>
          <w:szCs w:val="28"/>
          <w:highlight w:val="none"/>
          <w:lang w:val="en-US" w:eastAsia="zh-CN"/>
        </w:rPr>
        <w:t>10</w:t>
      </w:r>
      <w:r>
        <w:rPr>
          <w:rFonts w:hint="eastAsia" w:asciiTheme="minorEastAsia" w:hAnsiTheme="minorEastAsia" w:eastAsiaTheme="minorEastAsia" w:cstheme="minorEastAsia"/>
          <w:color w:val="auto"/>
          <w:kern w:val="0"/>
          <w:sz w:val="28"/>
          <w:szCs w:val="28"/>
          <w:highlight w:val="none"/>
        </w:rPr>
        <w:t>）；</w:t>
      </w:r>
    </w:p>
    <w:p w14:paraId="709146DA">
      <w:pPr>
        <w:adjustRightInd w:val="0"/>
        <w:snapToGrid w:val="0"/>
        <w:spacing w:line="50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rPr>
        <w:t>1</w:t>
      </w:r>
      <w:r>
        <w:rPr>
          <w:rFonts w:hint="eastAsia" w:asciiTheme="minorEastAsia" w:hAnsiTheme="minorEastAsia" w:eastAsiaTheme="minorEastAsia" w:cstheme="minorEastAsia"/>
          <w:color w:val="auto"/>
          <w:kern w:val="0"/>
          <w:sz w:val="28"/>
          <w:szCs w:val="28"/>
          <w:highlight w:val="none"/>
          <w:lang w:val="en-US" w:eastAsia="zh-CN"/>
        </w:rPr>
        <w:t>2</w:t>
      </w:r>
      <w:r>
        <w:rPr>
          <w:rFonts w:hint="eastAsia" w:asciiTheme="minorEastAsia" w:hAnsiTheme="minorEastAsia" w:eastAsiaTheme="minorEastAsia" w:cstheme="minorEastAsia"/>
          <w:color w:val="auto"/>
          <w:kern w:val="0"/>
          <w:sz w:val="28"/>
          <w:szCs w:val="28"/>
          <w:highlight w:val="none"/>
        </w:rPr>
        <w:t>.</w:t>
      </w:r>
      <w:r>
        <w:rPr>
          <w:rFonts w:hint="eastAsia" w:asciiTheme="minorEastAsia" w:hAnsiTheme="minorEastAsia" w:eastAsiaTheme="minorEastAsia" w:cstheme="minorEastAsia"/>
          <w:bCs/>
          <w:color w:val="auto"/>
          <w:kern w:val="0"/>
          <w:sz w:val="28"/>
          <w:szCs w:val="28"/>
          <w:highlight w:val="none"/>
        </w:rPr>
        <w:t>监狱和戒毒企业证明材料（</w:t>
      </w:r>
      <w:r>
        <w:rPr>
          <w:rFonts w:hint="eastAsia" w:asciiTheme="minorEastAsia" w:hAnsiTheme="minorEastAsia" w:eastAsiaTheme="minorEastAsia" w:cstheme="minorEastAsia"/>
          <w:color w:val="auto"/>
          <w:kern w:val="0"/>
          <w:sz w:val="28"/>
          <w:szCs w:val="28"/>
          <w:highlight w:val="none"/>
          <w:lang w:val="en-US" w:eastAsia="zh-CN"/>
        </w:rPr>
        <w:t>如有，</w:t>
      </w:r>
      <w:r>
        <w:rPr>
          <w:rFonts w:hint="eastAsia" w:asciiTheme="minorEastAsia" w:hAnsiTheme="minorEastAsia" w:eastAsiaTheme="minorEastAsia" w:cstheme="minorEastAsia"/>
          <w:bCs/>
          <w:color w:val="auto"/>
          <w:kern w:val="0"/>
          <w:sz w:val="28"/>
          <w:szCs w:val="28"/>
          <w:highlight w:val="none"/>
        </w:rPr>
        <w:t>格式见附件1</w:t>
      </w:r>
      <w:r>
        <w:rPr>
          <w:rFonts w:hint="eastAsia" w:asciiTheme="minorEastAsia" w:hAnsiTheme="minorEastAsia" w:eastAsiaTheme="minorEastAsia" w:cstheme="minorEastAsia"/>
          <w:bCs/>
          <w:color w:val="auto"/>
          <w:kern w:val="0"/>
          <w:sz w:val="28"/>
          <w:szCs w:val="28"/>
          <w:highlight w:val="none"/>
          <w:lang w:val="en-US" w:eastAsia="zh-CN"/>
        </w:rPr>
        <w:t>1</w:t>
      </w:r>
      <w:r>
        <w:rPr>
          <w:rFonts w:hint="eastAsia" w:asciiTheme="minorEastAsia" w:hAnsiTheme="minorEastAsia" w:eastAsiaTheme="minorEastAsia" w:cstheme="minorEastAsia"/>
          <w:bCs/>
          <w:color w:val="auto"/>
          <w:kern w:val="0"/>
          <w:sz w:val="28"/>
          <w:szCs w:val="28"/>
          <w:highlight w:val="none"/>
        </w:rPr>
        <w:t>）。</w:t>
      </w:r>
    </w:p>
    <w:p w14:paraId="1057FBCE">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1A63C2D0">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00356927">
      <w:pPr>
        <w:widowControl/>
        <w:jc w:val="left"/>
        <w:rPr>
          <w:rFonts w:hint="eastAsia" w:asciiTheme="minorEastAsia" w:hAnsiTheme="minorEastAsia" w:eastAsiaTheme="minorEastAsia" w:cstheme="minorEastAsia"/>
          <w:color w:val="auto"/>
          <w:kern w:val="0"/>
          <w:sz w:val="32"/>
          <w:szCs w:val="32"/>
          <w:highlight w:val="none"/>
          <w:lang w:val="zh-CN"/>
        </w:rPr>
      </w:pPr>
      <w:r>
        <w:rPr>
          <w:rFonts w:hint="eastAsia" w:asciiTheme="minorEastAsia" w:hAnsiTheme="minorEastAsia" w:eastAsiaTheme="minorEastAsia" w:cstheme="minorEastAsia"/>
          <w:color w:val="auto"/>
          <w:kern w:val="0"/>
          <w:sz w:val="32"/>
          <w:szCs w:val="32"/>
          <w:highlight w:val="none"/>
          <w:lang w:val="zh-CN"/>
        </w:rPr>
        <w:br w:type="page"/>
      </w:r>
      <w:r>
        <w:rPr>
          <w:rFonts w:hint="eastAsia" w:asciiTheme="minorEastAsia" w:hAnsiTheme="minorEastAsia" w:eastAsiaTheme="minorEastAsia" w:cstheme="minorEastAsia"/>
          <w:color w:val="auto"/>
          <w:kern w:val="0"/>
          <w:sz w:val="32"/>
          <w:szCs w:val="32"/>
          <w:highlight w:val="none"/>
          <w:lang w:val="zh-CN"/>
        </w:rPr>
        <w:t>附件1</w:t>
      </w:r>
    </w:p>
    <w:p w14:paraId="1C0FAA81">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响应人符合《中华人民共和国政府采购法》第二十二条规定条件的声明函</w:t>
      </w:r>
    </w:p>
    <w:p w14:paraId="200CC639">
      <w:pPr>
        <w:spacing w:line="520" w:lineRule="exact"/>
        <w:ind w:firstLine="482" w:firstLineChars="200"/>
        <w:rPr>
          <w:rFonts w:hint="eastAsia" w:asciiTheme="minorEastAsia" w:hAnsiTheme="minorEastAsia" w:eastAsiaTheme="minorEastAsia" w:cstheme="minorEastAsia"/>
          <w:b/>
          <w:bCs/>
          <w:color w:val="auto"/>
          <w:sz w:val="24"/>
          <w:szCs w:val="21"/>
          <w:highlight w:val="none"/>
        </w:rPr>
      </w:pPr>
    </w:p>
    <w:p w14:paraId="251D32C7">
      <w:pPr>
        <w:spacing w:line="52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Cs/>
          <w:color w:val="auto"/>
          <w:sz w:val="28"/>
          <w:szCs w:val="28"/>
          <w:highlight w:val="none"/>
        </w:rPr>
        <w:t>我单位参加</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（项目名称）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项目编号：                      </w:t>
      </w:r>
      <w:r>
        <w:rPr>
          <w:rFonts w:hint="eastAsia" w:asciiTheme="minorEastAsia" w:hAnsiTheme="minorEastAsia" w:eastAsiaTheme="minorEastAsia" w:cstheme="minorEastAsia"/>
          <w:color w:val="auto"/>
          <w:sz w:val="28"/>
          <w:szCs w:val="28"/>
          <w:highlight w:val="none"/>
        </w:rPr>
        <w:t>）响应</w:t>
      </w:r>
      <w:r>
        <w:rPr>
          <w:rFonts w:hint="eastAsia" w:asciiTheme="minorEastAsia" w:hAnsiTheme="minorEastAsia" w:eastAsiaTheme="minorEastAsia" w:cstheme="minorEastAsia"/>
          <w:bCs/>
          <w:color w:val="auto"/>
          <w:sz w:val="28"/>
          <w:szCs w:val="28"/>
          <w:highlight w:val="none"/>
        </w:rPr>
        <w:t>活动。针对《中华人民共和国政府采购法》第二十二条规定做出如下声明：</w:t>
      </w:r>
    </w:p>
    <w:p w14:paraId="6C31CD5D">
      <w:pPr>
        <w:spacing w:line="520" w:lineRule="exact"/>
        <w:ind w:firstLine="48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1.我单位具有独立承担民事责任的能力；</w:t>
      </w:r>
    </w:p>
    <w:p w14:paraId="4DA05727">
      <w:pPr>
        <w:spacing w:line="520" w:lineRule="exact"/>
        <w:ind w:firstLine="48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2.我单位具有良好的商业信誉和健全的财务会计制度；</w:t>
      </w:r>
    </w:p>
    <w:p w14:paraId="1B3C6270">
      <w:pPr>
        <w:spacing w:line="520" w:lineRule="exact"/>
        <w:ind w:firstLine="48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3.我单位具有履行合同所必需的设备和专业技术能力；</w:t>
      </w:r>
    </w:p>
    <w:p w14:paraId="76993268">
      <w:pPr>
        <w:spacing w:line="520" w:lineRule="exact"/>
        <w:ind w:firstLine="48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4.我单位有依法缴纳税收和社会保障资金的良好记录；</w:t>
      </w:r>
    </w:p>
    <w:p w14:paraId="6E2FCA2C">
      <w:pPr>
        <w:spacing w:line="520" w:lineRule="exact"/>
        <w:ind w:firstLine="48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我单位参加政府采购活动前三年内，没有因违法经营受到刑事处罚或者责令停产停业、吊销许可证或者执照、较大数额罚款等行政处罚；（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A6BE6B5">
      <w:pPr>
        <w:spacing w:line="520" w:lineRule="exact"/>
        <w:ind w:firstLine="482"/>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6.我单位满足法律、行政法规规定的其他条件。</w:t>
      </w:r>
    </w:p>
    <w:p w14:paraId="587E76CF">
      <w:pPr>
        <w:spacing w:line="500" w:lineRule="exact"/>
        <w:rPr>
          <w:rFonts w:hint="eastAsia" w:asciiTheme="minorEastAsia" w:hAnsiTheme="minorEastAsia" w:eastAsiaTheme="minorEastAsia" w:cstheme="minorEastAsia"/>
          <w:bCs/>
          <w:color w:val="auto"/>
          <w:sz w:val="28"/>
          <w:szCs w:val="28"/>
          <w:highlight w:val="none"/>
        </w:rPr>
      </w:pPr>
    </w:p>
    <w:p w14:paraId="06A0C0DD">
      <w:pPr>
        <w:spacing w:line="500" w:lineRule="exact"/>
        <w:rPr>
          <w:rFonts w:hint="eastAsia" w:asciiTheme="minorEastAsia" w:hAnsiTheme="minorEastAsia" w:eastAsiaTheme="minorEastAsia" w:cstheme="minorEastAsia"/>
          <w:bCs/>
          <w:color w:val="auto"/>
          <w:sz w:val="28"/>
          <w:szCs w:val="28"/>
          <w:highlight w:val="none"/>
        </w:rPr>
      </w:pPr>
    </w:p>
    <w:p w14:paraId="601393B5">
      <w:pPr>
        <w:spacing w:line="460" w:lineRule="exact"/>
        <w:jc w:val="center"/>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承诺人名称（加盖公章）：</w:t>
      </w:r>
      <w:r>
        <w:rPr>
          <w:rFonts w:hint="eastAsia" w:asciiTheme="minorEastAsia" w:hAnsiTheme="minorEastAsia" w:eastAsiaTheme="minorEastAsia" w:cstheme="minorEastAsia"/>
          <w:color w:val="auto"/>
          <w:sz w:val="28"/>
          <w:szCs w:val="28"/>
          <w:highlight w:val="none"/>
          <w:u w:val="single"/>
        </w:rPr>
        <w:t xml:space="preserve">                   </w:t>
      </w:r>
    </w:p>
    <w:p w14:paraId="6A167426">
      <w:pPr>
        <w:spacing w:line="460" w:lineRule="exact"/>
        <w:jc w:val="righ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w:t>
      </w:r>
    </w:p>
    <w:p w14:paraId="7A72B722">
      <w:pPr>
        <w:spacing w:line="460" w:lineRule="exact"/>
        <w:jc w:val="righ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                                日期：</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年</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月</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日</w:t>
      </w:r>
    </w:p>
    <w:p w14:paraId="1DE891AF">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054FF06D">
      <w:pPr>
        <w:snapToGrid w:val="0"/>
        <w:spacing w:line="400" w:lineRule="exact"/>
        <w:contextualSpacing/>
        <w:rPr>
          <w:rFonts w:hint="eastAsia" w:asciiTheme="minorEastAsia" w:hAnsiTheme="minorEastAsia" w:eastAsiaTheme="minorEastAsia" w:cstheme="minorEastAsia"/>
          <w:color w:val="auto"/>
          <w:kern w:val="0"/>
          <w:sz w:val="32"/>
          <w:szCs w:val="32"/>
          <w:highlight w:val="none"/>
          <w:lang w:val="zh-CN"/>
        </w:rPr>
      </w:pPr>
    </w:p>
    <w:p w14:paraId="1E77A5D8">
      <w:pPr>
        <w:snapToGrid w:val="0"/>
        <w:spacing w:line="400" w:lineRule="exact"/>
        <w:contextualSpacing/>
        <w:rPr>
          <w:rFonts w:hint="eastAsia" w:asciiTheme="minorEastAsia" w:hAnsiTheme="minorEastAsia" w:eastAsiaTheme="minorEastAsia" w:cstheme="minorEastAsia"/>
          <w:color w:val="auto"/>
          <w:kern w:val="0"/>
          <w:sz w:val="32"/>
          <w:szCs w:val="32"/>
          <w:highlight w:val="none"/>
          <w:lang w:val="zh-CN"/>
        </w:rPr>
      </w:pPr>
      <w:r>
        <w:rPr>
          <w:rFonts w:hint="eastAsia" w:asciiTheme="minorEastAsia" w:hAnsiTheme="minorEastAsia" w:eastAsiaTheme="minorEastAsia" w:cstheme="minorEastAsia"/>
          <w:color w:val="auto"/>
          <w:kern w:val="0"/>
          <w:sz w:val="32"/>
          <w:szCs w:val="32"/>
          <w:highlight w:val="none"/>
          <w:lang w:val="zh-CN"/>
        </w:rPr>
        <w:t>附件2</w:t>
      </w:r>
    </w:p>
    <w:p w14:paraId="6F220C3C">
      <w:pPr>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30"/>
          <w:szCs w:val="30"/>
          <w:highlight w:val="none"/>
        </w:rPr>
        <w:t>法定代表人身份证明</w:t>
      </w:r>
    </w:p>
    <w:p w14:paraId="083C3F8E">
      <w:pPr>
        <w:spacing w:line="48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先生/女士，身份证号码：</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，现任我单位</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职务，为我单位法定代表人，特此证明。</w:t>
      </w:r>
    </w:p>
    <w:p w14:paraId="0A5ED17A">
      <w:pPr>
        <w:spacing w:line="52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本证明用于参加</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（项目名称）</w:t>
      </w:r>
      <w:r>
        <w:rPr>
          <w:rFonts w:hint="eastAsia" w:asciiTheme="minorEastAsia" w:hAnsiTheme="minorEastAsia" w:eastAsiaTheme="minorEastAsia" w:cstheme="minorEastAsia"/>
          <w:bCs/>
          <w:color w:val="auto"/>
          <w:sz w:val="28"/>
          <w:szCs w:val="28"/>
          <w:highlight w:val="none"/>
          <w:u w:val="single"/>
        </w:rPr>
        <w:t xml:space="preserve"> </w:t>
      </w:r>
      <w:r>
        <w:rPr>
          <w:rFonts w:hint="eastAsia" w:asciiTheme="minorEastAsia" w:hAnsiTheme="minorEastAsia" w:eastAsiaTheme="minorEastAsia" w:cstheme="minorEastAsia"/>
          <w:bCs/>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项目编号：                    </w:t>
      </w:r>
      <w:r>
        <w:rPr>
          <w:rFonts w:hint="eastAsia" w:asciiTheme="minorEastAsia" w:hAnsiTheme="minorEastAsia" w:eastAsiaTheme="minorEastAsia" w:cstheme="minorEastAsia"/>
          <w:bCs/>
          <w:color w:val="auto"/>
          <w:sz w:val="28"/>
          <w:szCs w:val="28"/>
          <w:highlight w:val="none"/>
        </w:rPr>
        <w:t>）投标活动。</w:t>
      </w:r>
    </w:p>
    <w:p w14:paraId="7296F335">
      <w:pPr>
        <w:spacing w:line="480" w:lineRule="exact"/>
        <w:ind w:firstLine="480"/>
        <w:rPr>
          <w:rFonts w:hint="eastAsia" w:asciiTheme="minorEastAsia" w:hAnsiTheme="minorEastAsia" w:eastAsiaTheme="minorEastAsia" w:cstheme="minorEastAsia"/>
          <w:color w:val="auto"/>
          <w:sz w:val="28"/>
          <w:szCs w:val="28"/>
          <w:highlight w:val="none"/>
        </w:rPr>
      </w:pPr>
    </w:p>
    <w:p w14:paraId="23FD39CF">
      <w:pPr>
        <w:spacing w:line="480" w:lineRule="exact"/>
        <w:ind w:firstLine="480"/>
        <w:rPr>
          <w:rFonts w:hint="eastAsia" w:asciiTheme="minorEastAsia" w:hAnsiTheme="minorEastAsia" w:eastAsiaTheme="minorEastAsia" w:cstheme="minorEastAsia"/>
          <w:color w:val="auto"/>
          <w:sz w:val="28"/>
          <w:szCs w:val="28"/>
          <w:highlight w:val="none"/>
        </w:rPr>
      </w:pPr>
    </w:p>
    <w:p w14:paraId="449F6FEC">
      <w:pPr>
        <w:adjustRightInd w:val="0"/>
        <w:spacing w:line="480" w:lineRule="auto"/>
        <w:ind w:left="3255" w:leftChars="1550" w:firstLine="280" w:firstLineChars="100"/>
        <w:rPr>
          <w:rFonts w:hint="eastAsia" w:asciiTheme="minorEastAsia" w:hAnsiTheme="minorEastAsia" w:eastAsiaTheme="minorEastAsia" w:cstheme="minorEastAsia"/>
          <w:color w:val="auto"/>
          <w:sz w:val="28"/>
          <w:szCs w:val="28"/>
          <w:highlight w:val="none"/>
        </w:rPr>
      </w:pPr>
    </w:p>
    <w:p w14:paraId="339593A4">
      <w:pPr>
        <w:adjustRightInd w:val="0"/>
        <w:spacing w:line="480" w:lineRule="auto"/>
        <w:ind w:left="3255" w:leftChars="1550" w:firstLine="280" w:firstLineChars="100"/>
        <w:jc w:val="left"/>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单位名称（</w:t>
      </w:r>
      <w:r>
        <w:rPr>
          <w:rFonts w:hint="eastAsia" w:asciiTheme="minorEastAsia" w:hAnsiTheme="minorEastAsia" w:eastAsiaTheme="minorEastAsia" w:cstheme="minorEastAsia"/>
          <w:bCs/>
          <w:color w:val="auto"/>
          <w:sz w:val="28"/>
          <w:szCs w:val="28"/>
          <w:highlight w:val="none"/>
        </w:rPr>
        <w:t>加盖</w:t>
      </w:r>
      <w:r>
        <w:rPr>
          <w:rFonts w:hint="eastAsia" w:asciiTheme="minorEastAsia" w:hAnsiTheme="minorEastAsia" w:eastAsiaTheme="minorEastAsia" w:cstheme="minorEastAsia"/>
          <w:color w:val="auto"/>
          <w:sz w:val="28"/>
          <w:szCs w:val="28"/>
          <w:highlight w:val="none"/>
        </w:rPr>
        <w:t>公章）：</w:t>
      </w:r>
      <w:r>
        <w:rPr>
          <w:rFonts w:hint="eastAsia" w:asciiTheme="minorEastAsia" w:hAnsiTheme="minorEastAsia" w:eastAsiaTheme="minorEastAsia" w:cstheme="minorEastAsia"/>
          <w:color w:val="auto"/>
          <w:sz w:val="28"/>
          <w:szCs w:val="28"/>
          <w:highlight w:val="none"/>
          <w:u w:val="single"/>
        </w:rPr>
        <w:t xml:space="preserve">                     </w:t>
      </w:r>
    </w:p>
    <w:p w14:paraId="0C4DCB6E">
      <w:pPr>
        <w:adjustRightInd w:val="0"/>
        <w:spacing w:line="480" w:lineRule="auto"/>
        <w:ind w:left="3255" w:leftChars="1550" w:firstLine="280" w:firstLineChars="100"/>
        <w:jc w:val="left"/>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1F81EE10">
      <w:pPr>
        <w:adjustRightInd w:val="0"/>
        <w:spacing w:line="480" w:lineRule="auto"/>
        <w:jc w:val="left"/>
        <w:rPr>
          <w:rFonts w:hint="eastAsia" w:asciiTheme="minorEastAsia" w:hAnsiTheme="minorEastAsia" w:eastAsiaTheme="minorEastAsia" w:cstheme="minorEastAsia"/>
          <w:color w:val="auto"/>
          <w:sz w:val="28"/>
          <w:szCs w:val="28"/>
          <w:highlight w:val="none"/>
        </w:rPr>
      </w:pPr>
    </w:p>
    <w:p w14:paraId="5696B101">
      <w:pPr>
        <w:widowControl/>
        <w:spacing w:line="360" w:lineRule="auto"/>
        <w:rPr>
          <w:rFonts w:hint="eastAsia" w:asciiTheme="minorEastAsia" w:hAnsiTheme="minorEastAsia" w:eastAsiaTheme="minorEastAsia" w:cstheme="minorEastAsia"/>
          <w:b/>
          <w:bCs/>
          <w:color w:val="auto"/>
          <w:kern w:val="0"/>
          <w:sz w:val="28"/>
          <w:szCs w:val="28"/>
          <w:highlight w:val="none"/>
        </w:rPr>
      </w:pPr>
      <w:r>
        <w:rPr>
          <w:rFonts w:hint="eastAsia" w:asciiTheme="minorEastAsia" w:hAnsiTheme="minorEastAsia" w:eastAsiaTheme="minorEastAsia" w:cstheme="minorEastAsia"/>
          <w:b/>
          <w:color w:val="auto"/>
          <w:sz w:val="28"/>
          <w:szCs w:val="28"/>
          <w:highlight w:val="none"/>
        </w:rPr>
        <w:t>附：法定代表人的身份证复印件加盖单位公章</w:t>
      </w:r>
    </w:p>
    <w:p w14:paraId="6E11615B">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2BD0D2C6">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0532D35F">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09E38409">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784CFA4C">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3C2B3C2E">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61B0933D">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4E0D85E4">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77D669E5">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77A96FDF">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3A35BD9E">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3AB816C3">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434E11CE">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lang w:val="zh-CN"/>
        </w:rPr>
      </w:pPr>
    </w:p>
    <w:p w14:paraId="250DD2F2">
      <w:pPr>
        <w:snapToGrid w:val="0"/>
        <w:spacing w:line="400" w:lineRule="exact"/>
        <w:contextualSpacing/>
        <w:rPr>
          <w:rFonts w:hint="eastAsia" w:asciiTheme="minorEastAsia" w:hAnsiTheme="minorEastAsia" w:eastAsiaTheme="minorEastAsia" w:cstheme="minorEastAsia"/>
          <w:color w:val="auto"/>
          <w:kern w:val="0"/>
          <w:sz w:val="32"/>
          <w:szCs w:val="32"/>
          <w:highlight w:val="none"/>
          <w:lang w:val="zh-CN"/>
        </w:rPr>
      </w:pPr>
      <w:r>
        <w:rPr>
          <w:rFonts w:hint="eastAsia" w:asciiTheme="minorEastAsia" w:hAnsiTheme="minorEastAsia" w:eastAsiaTheme="minorEastAsia" w:cstheme="minorEastAsia"/>
          <w:color w:val="auto"/>
          <w:kern w:val="0"/>
          <w:sz w:val="32"/>
          <w:szCs w:val="32"/>
          <w:highlight w:val="none"/>
          <w:lang w:val="zh-CN"/>
        </w:rPr>
        <w:t>附件3</w:t>
      </w:r>
    </w:p>
    <w:p w14:paraId="1E624FDA">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Cs/>
          <w:color w:val="auto"/>
          <w:sz w:val="30"/>
          <w:szCs w:val="30"/>
          <w:highlight w:val="none"/>
        </w:rPr>
        <w:t>法定代表人授权委托书</w:t>
      </w:r>
    </w:p>
    <w:p w14:paraId="3C9E320A">
      <w:pPr>
        <w:spacing w:line="48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（姓名）系</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（授权单位名称）的法定代表人，现委托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（姓名）（身份证号</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，联系电话</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）为我方代理人，以我方名义全权处理与</w:t>
      </w:r>
      <w:r>
        <w:rPr>
          <w:rFonts w:hint="eastAsia" w:asciiTheme="minorEastAsia" w:hAnsiTheme="minorEastAsia" w:eastAsiaTheme="minorEastAsia" w:cstheme="minorEastAsia"/>
          <w:color w:val="auto"/>
          <w:sz w:val="28"/>
          <w:szCs w:val="28"/>
          <w:highlight w:val="none"/>
          <w:u w:val="single"/>
        </w:rPr>
        <w:t xml:space="preserve">                       （项目名称）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项目编号：                    </w:t>
      </w:r>
      <w:r>
        <w:rPr>
          <w:rFonts w:hint="eastAsia" w:asciiTheme="minorEastAsia" w:hAnsiTheme="minorEastAsia" w:eastAsiaTheme="minorEastAsia" w:cstheme="minorEastAsia"/>
          <w:color w:val="auto"/>
          <w:sz w:val="28"/>
          <w:szCs w:val="28"/>
          <w:highlight w:val="none"/>
        </w:rPr>
        <w:t>）有关的一切事务，其法律后果由我方承担。</w:t>
      </w:r>
    </w:p>
    <w:p w14:paraId="1BF28D4A">
      <w:pPr>
        <w:spacing w:line="48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本授权书于</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日起生效。代理人无转委托权。</w:t>
      </w:r>
    </w:p>
    <w:p w14:paraId="432319B0">
      <w:pPr>
        <w:spacing w:line="480" w:lineRule="exact"/>
        <w:ind w:firstLine="420" w:firstLineChars="150"/>
        <w:rPr>
          <w:rFonts w:hint="eastAsia" w:asciiTheme="minorEastAsia" w:hAnsiTheme="minorEastAsia" w:eastAsiaTheme="minorEastAsia" w:cstheme="minorEastAsia"/>
          <w:color w:val="auto"/>
          <w:sz w:val="28"/>
          <w:szCs w:val="28"/>
          <w:highlight w:val="none"/>
        </w:rPr>
      </w:pPr>
    </w:p>
    <w:p w14:paraId="349D4B8E">
      <w:pPr>
        <w:spacing w:line="480" w:lineRule="exact"/>
        <w:ind w:firstLine="420" w:firstLineChars="15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代理人（被授权人）签字：</w:t>
      </w:r>
      <w:r>
        <w:rPr>
          <w:rFonts w:hint="eastAsia" w:asciiTheme="minorEastAsia" w:hAnsiTheme="minorEastAsia" w:eastAsiaTheme="minorEastAsia" w:cstheme="minorEastAsia"/>
          <w:color w:val="auto"/>
          <w:sz w:val="28"/>
          <w:szCs w:val="28"/>
          <w:highlight w:val="none"/>
          <w:u w:val="single"/>
        </w:rPr>
        <w:t xml:space="preserve">                                </w:t>
      </w:r>
    </w:p>
    <w:p w14:paraId="11685F87">
      <w:pPr>
        <w:spacing w:line="480" w:lineRule="exact"/>
        <w:ind w:firstLine="420" w:firstLineChars="15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授权单位名称（</w:t>
      </w:r>
      <w:r>
        <w:rPr>
          <w:rFonts w:hint="eastAsia" w:asciiTheme="minorEastAsia" w:hAnsiTheme="minorEastAsia" w:eastAsiaTheme="minorEastAsia" w:cstheme="minorEastAsia"/>
          <w:bCs/>
          <w:color w:val="auto"/>
          <w:sz w:val="28"/>
          <w:szCs w:val="28"/>
          <w:highlight w:val="none"/>
        </w:rPr>
        <w:t>加盖</w:t>
      </w:r>
      <w:r>
        <w:rPr>
          <w:rFonts w:hint="eastAsia" w:asciiTheme="minorEastAsia" w:hAnsiTheme="minorEastAsia" w:eastAsiaTheme="minorEastAsia" w:cstheme="minorEastAsia"/>
          <w:color w:val="auto"/>
          <w:sz w:val="28"/>
          <w:szCs w:val="28"/>
          <w:highlight w:val="none"/>
        </w:rPr>
        <w:t>公章）：</w:t>
      </w:r>
      <w:r>
        <w:rPr>
          <w:rFonts w:hint="eastAsia" w:asciiTheme="minorEastAsia" w:hAnsiTheme="minorEastAsia" w:eastAsiaTheme="minorEastAsia" w:cstheme="minorEastAsia"/>
          <w:color w:val="auto"/>
          <w:sz w:val="28"/>
          <w:szCs w:val="28"/>
          <w:highlight w:val="none"/>
          <w:u w:val="single"/>
        </w:rPr>
        <w:t xml:space="preserve">                                </w:t>
      </w:r>
    </w:p>
    <w:p w14:paraId="6C2588D2">
      <w:pPr>
        <w:spacing w:line="480" w:lineRule="exact"/>
        <w:ind w:firstLine="420" w:firstLineChars="15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授权单位法定代表人（签字或盖章）：</w:t>
      </w:r>
      <w:r>
        <w:rPr>
          <w:rFonts w:hint="eastAsia" w:asciiTheme="minorEastAsia" w:hAnsiTheme="minorEastAsia" w:eastAsiaTheme="minorEastAsia" w:cstheme="minorEastAsia"/>
          <w:color w:val="auto"/>
          <w:sz w:val="28"/>
          <w:szCs w:val="28"/>
          <w:highlight w:val="none"/>
          <w:u w:val="single"/>
        </w:rPr>
        <w:t xml:space="preserve">                  </w:t>
      </w:r>
    </w:p>
    <w:p w14:paraId="76FEC4C4">
      <w:pPr>
        <w:spacing w:line="480" w:lineRule="exact"/>
        <w:jc w:val="right"/>
        <w:rPr>
          <w:rFonts w:hint="eastAsia" w:asciiTheme="minorEastAsia" w:hAnsiTheme="minorEastAsia" w:eastAsiaTheme="minorEastAsia" w:cstheme="minorEastAsia"/>
          <w:color w:val="auto"/>
          <w:sz w:val="28"/>
          <w:szCs w:val="28"/>
          <w:highlight w:val="none"/>
        </w:rPr>
      </w:pPr>
    </w:p>
    <w:p w14:paraId="26CF835F">
      <w:pPr>
        <w:snapToGrid w:val="0"/>
        <w:spacing w:line="400" w:lineRule="exact"/>
        <w:ind w:firstLine="3897" w:firstLineChars="1392"/>
        <w:contextualSpacing/>
        <w:rPr>
          <w:rFonts w:hint="eastAsia" w:asciiTheme="minorEastAsia" w:hAnsiTheme="minorEastAsia" w:eastAsiaTheme="minorEastAsia" w:cstheme="minorEastAsia"/>
          <w:b/>
          <w:color w:val="auto"/>
          <w:kern w:val="0"/>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01EFAA35">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62616CCC">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r>
        <w:rPr>
          <w:rFonts w:hint="eastAsia" w:asciiTheme="minorEastAsia" w:hAnsiTheme="minorEastAsia" w:eastAsiaTheme="minorEastAsia" w:cstheme="minorEastAsia"/>
          <w:b/>
          <w:color w:val="auto"/>
          <w:kern w:val="0"/>
          <w:sz w:val="28"/>
          <w:szCs w:val="28"/>
          <w:highlight w:val="none"/>
        </w:rPr>
        <w:t>附：代理人（被授权人）身份证复印件加盖单位公章</w:t>
      </w:r>
    </w:p>
    <w:p w14:paraId="4E97BB22">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2DF2DCD9">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590F2DF9">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36638BB0">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23F2BDCC">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3268134D">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5DB942CB">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27444D13">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024D97E4">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75C8ABF7">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2E7A0E08">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0E369F17">
      <w:pPr>
        <w:rPr>
          <w:rFonts w:hint="eastAsia" w:asciiTheme="minorEastAsia" w:hAnsiTheme="minorEastAsia" w:eastAsiaTheme="minorEastAsia" w:cstheme="minorEastAsia"/>
          <w:color w:val="auto"/>
          <w:kern w:val="0"/>
          <w:sz w:val="32"/>
          <w:szCs w:val="32"/>
          <w:highlight w:val="none"/>
        </w:rPr>
      </w:pPr>
      <w:r>
        <w:rPr>
          <w:rFonts w:hint="eastAsia" w:asciiTheme="minorEastAsia" w:hAnsiTheme="minorEastAsia" w:eastAsiaTheme="minorEastAsia" w:cstheme="minorEastAsia"/>
          <w:color w:val="auto"/>
          <w:kern w:val="0"/>
          <w:sz w:val="32"/>
          <w:szCs w:val="32"/>
          <w:highlight w:val="none"/>
        </w:rPr>
        <w:br w:type="page"/>
      </w:r>
    </w:p>
    <w:p w14:paraId="0F8D5E34">
      <w:pPr>
        <w:snapToGrid w:val="0"/>
        <w:spacing w:line="400" w:lineRule="exact"/>
        <w:contextualSpacing/>
        <w:rPr>
          <w:rFonts w:hint="eastAsia" w:asciiTheme="minorEastAsia" w:hAnsiTheme="minorEastAsia" w:eastAsiaTheme="minorEastAsia" w:cstheme="minorEastAsia"/>
          <w:color w:val="auto"/>
          <w:kern w:val="0"/>
          <w:sz w:val="32"/>
          <w:szCs w:val="32"/>
          <w:highlight w:val="none"/>
        </w:rPr>
      </w:pPr>
      <w:r>
        <w:rPr>
          <w:rFonts w:hint="eastAsia" w:asciiTheme="minorEastAsia" w:hAnsiTheme="minorEastAsia" w:eastAsiaTheme="minorEastAsia" w:cstheme="minorEastAsia"/>
          <w:color w:val="auto"/>
          <w:kern w:val="0"/>
          <w:sz w:val="32"/>
          <w:szCs w:val="32"/>
          <w:highlight w:val="none"/>
        </w:rPr>
        <w:t>附件4</w:t>
      </w:r>
    </w:p>
    <w:p w14:paraId="3D63A005">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供应商信用承诺书</w:t>
      </w:r>
    </w:p>
    <w:p w14:paraId="31FEC353">
      <w:pPr>
        <w:spacing w:line="48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bidi="ar"/>
        </w:rPr>
        <w:t>为营造公开、公平、公正的公共资源交易环境，树立诚信守法的投标人形象，本人代表本单位作出以下承诺：</w:t>
      </w:r>
    </w:p>
    <w:p w14:paraId="15980306">
      <w:pPr>
        <w:spacing w:line="48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03B8B5AE">
      <w:pPr>
        <w:spacing w:line="48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bidi="ar"/>
        </w:rPr>
        <w:t>二、严格依照国家和省、市、县关于招标投标等方面的法律、法规、规章、规范性文件，参加公共资源交易招标投标活动；积极履行社会责任，促进廉政建设；</w:t>
      </w:r>
    </w:p>
    <w:p w14:paraId="601E8609">
      <w:pPr>
        <w:spacing w:line="48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bidi="ar"/>
        </w:rPr>
        <w:t>三、严格遵守即时信息公示规定，及时更新公共资源交易中心主体信息库中信息；</w:t>
      </w:r>
    </w:p>
    <w:p w14:paraId="0E08FF75">
      <w:pPr>
        <w:spacing w:line="48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bidi="ar"/>
        </w:rPr>
        <w:t>四、自我约束、自我管理，守合同、重信用，不参与围标串标、弄虚作假、骗取中标、干扰评标、违约毁约、恶意投诉等行为，主动维护公共资源交易招标投标的良好秩序；</w:t>
      </w:r>
    </w:p>
    <w:p w14:paraId="0A3CEC78">
      <w:pPr>
        <w:spacing w:line="48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5E487D93">
      <w:pPr>
        <w:spacing w:line="48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bidi="ar"/>
        </w:rPr>
        <w:t>六、自觉接受政府部门、行业组织、社会公众、新闻舆论等监督；</w:t>
      </w:r>
    </w:p>
    <w:p w14:paraId="1E066345">
      <w:pPr>
        <w:spacing w:line="480" w:lineRule="exact"/>
        <w:ind w:firstLine="560" w:firstLineChars="200"/>
        <w:rPr>
          <w:rFonts w:hint="eastAsia" w:asciiTheme="minorEastAsia" w:hAnsiTheme="minorEastAsia" w:eastAsiaTheme="minorEastAsia" w:cstheme="minorEastAsia"/>
          <w:color w:val="auto"/>
          <w:kern w:val="0"/>
          <w:sz w:val="28"/>
          <w:szCs w:val="28"/>
          <w:highlight w:val="none"/>
          <w:lang w:val="zh-CN"/>
        </w:rPr>
      </w:pPr>
      <w:r>
        <w:rPr>
          <w:rFonts w:hint="eastAsia" w:asciiTheme="minorEastAsia" w:hAnsiTheme="minorEastAsia" w:eastAsiaTheme="minorEastAsia" w:cstheme="minorEastAsia"/>
          <w:color w:val="auto"/>
          <w:kern w:val="0"/>
          <w:sz w:val="28"/>
          <w:szCs w:val="28"/>
          <w:highlight w:val="none"/>
          <w:lang w:val="zh-CN" w:bidi="ar"/>
        </w:rPr>
        <w:t>七、上述承诺已向本单位员工作了宣传教育。</w:t>
      </w:r>
    </w:p>
    <w:p w14:paraId="761B12FF">
      <w:pPr>
        <w:spacing w:line="480" w:lineRule="exact"/>
        <w:ind w:firstLine="562" w:firstLineChars="200"/>
        <w:rPr>
          <w:rFonts w:hint="eastAsia" w:asciiTheme="minorEastAsia" w:hAnsiTheme="minorEastAsia" w:eastAsiaTheme="minorEastAsia" w:cstheme="minorEastAsia"/>
          <w:b/>
          <w:color w:val="auto"/>
          <w:kern w:val="0"/>
          <w:sz w:val="28"/>
          <w:szCs w:val="28"/>
          <w:highlight w:val="none"/>
          <w:lang w:val="zh-CN"/>
        </w:rPr>
      </w:pPr>
      <w:r>
        <w:rPr>
          <w:rFonts w:hint="eastAsia" w:asciiTheme="minorEastAsia" w:hAnsiTheme="minorEastAsia" w:eastAsiaTheme="minorEastAsia" w:cstheme="minorEastAsia"/>
          <w:b/>
          <w:color w:val="auto"/>
          <w:kern w:val="0"/>
          <w:sz w:val="28"/>
          <w:szCs w:val="28"/>
          <w:highlight w:val="none"/>
          <w:lang w:val="zh-CN" w:bidi="ar"/>
        </w:rPr>
        <w:t>如有违反上述承诺的不良行为，本单位同意将其予以上网公示。</w:t>
      </w:r>
    </w:p>
    <w:p w14:paraId="07B4C50A">
      <w:pPr>
        <w:spacing w:line="480" w:lineRule="exact"/>
        <w:rPr>
          <w:rFonts w:hint="eastAsia" w:asciiTheme="minorEastAsia" w:hAnsiTheme="minorEastAsia" w:eastAsiaTheme="minorEastAsia" w:cstheme="minorEastAsia"/>
          <w:color w:val="auto"/>
          <w:kern w:val="0"/>
          <w:sz w:val="28"/>
          <w:szCs w:val="28"/>
          <w:highlight w:val="none"/>
          <w:lang w:val="zh-CN"/>
        </w:rPr>
      </w:pPr>
    </w:p>
    <w:p w14:paraId="3CF7C29C">
      <w:pPr>
        <w:spacing w:line="480" w:lineRule="exact"/>
        <w:ind w:firstLine="2800" w:firstLineChars="1000"/>
        <w:rPr>
          <w:rFonts w:hint="eastAsia" w:asciiTheme="minorEastAsia" w:hAnsiTheme="minorEastAsia" w:eastAsiaTheme="minorEastAsia" w:cstheme="minorEastAsia"/>
          <w:color w:val="auto"/>
          <w:kern w:val="0"/>
          <w:sz w:val="28"/>
          <w:szCs w:val="28"/>
          <w:highlight w:val="none"/>
          <w:lang w:val="zh-CN" w:bidi="ar"/>
        </w:rPr>
      </w:pPr>
      <w:r>
        <w:rPr>
          <w:rFonts w:hint="eastAsia" w:asciiTheme="minorEastAsia" w:hAnsiTheme="minorEastAsia" w:eastAsiaTheme="minorEastAsia" w:cstheme="minorEastAsia"/>
          <w:color w:val="auto"/>
          <w:kern w:val="0"/>
          <w:sz w:val="28"/>
          <w:szCs w:val="28"/>
          <w:highlight w:val="none"/>
          <w:lang w:bidi="ar"/>
        </w:rPr>
        <w:t>响应</w:t>
      </w:r>
      <w:r>
        <w:rPr>
          <w:rFonts w:hint="eastAsia" w:asciiTheme="minorEastAsia" w:hAnsiTheme="minorEastAsia" w:eastAsiaTheme="minorEastAsia" w:cstheme="minorEastAsia"/>
          <w:color w:val="auto"/>
          <w:kern w:val="0"/>
          <w:sz w:val="28"/>
          <w:szCs w:val="28"/>
          <w:highlight w:val="none"/>
          <w:lang w:val="zh-CN" w:bidi="ar"/>
        </w:rPr>
        <w:t>供应商名称（</w:t>
      </w:r>
      <w:r>
        <w:rPr>
          <w:rFonts w:hint="eastAsia" w:asciiTheme="minorEastAsia" w:hAnsiTheme="minorEastAsia" w:eastAsiaTheme="minorEastAsia" w:cstheme="minorEastAsia"/>
          <w:bCs/>
          <w:color w:val="auto"/>
          <w:sz w:val="28"/>
          <w:szCs w:val="28"/>
          <w:highlight w:val="none"/>
        </w:rPr>
        <w:t>加盖</w:t>
      </w:r>
      <w:r>
        <w:rPr>
          <w:rFonts w:hint="eastAsia" w:asciiTheme="minorEastAsia" w:hAnsiTheme="minorEastAsia" w:eastAsiaTheme="minorEastAsia" w:cstheme="minorEastAsia"/>
          <w:color w:val="auto"/>
          <w:kern w:val="0"/>
          <w:sz w:val="28"/>
          <w:szCs w:val="28"/>
          <w:highlight w:val="none"/>
          <w:lang w:val="zh-CN" w:bidi="ar"/>
        </w:rPr>
        <w:t>公章）：</w:t>
      </w:r>
      <w:r>
        <w:rPr>
          <w:rFonts w:hint="eastAsia" w:asciiTheme="minorEastAsia" w:hAnsiTheme="minorEastAsia" w:eastAsiaTheme="minorEastAsia" w:cstheme="minorEastAsia"/>
          <w:color w:val="auto"/>
          <w:sz w:val="28"/>
          <w:szCs w:val="28"/>
          <w:highlight w:val="none"/>
          <w:u w:val="single"/>
        </w:rPr>
        <w:t xml:space="preserve">                </w:t>
      </w:r>
    </w:p>
    <w:p w14:paraId="07F1BA6F">
      <w:pPr>
        <w:spacing w:line="480" w:lineRule="exact"/>
        <w:ind w:firstLine="2800" w:firstLineChars="1000"/>
        <w:rPr>
          <w:rFonts w:hint="eastAsia" w:asciiTheme="minorEastAsia" w:hAnsiTheme="minorEastAsia" w:eastAsiaTheme="minorEastAsia" w:cstheme="minorEastAsia"/>
          <w:color w:val="auto"/>
          <w:kern w:val="0"/>
          <w:sz w:val="28"/>
          <w:szCs w:val="28"/>
          <w:highlight w:val="none"/>
          <w:lang w:val="zh-CN" w:bidi="ar"/>
        </w:rPr>
      </w:pPr>
      <w:r>
        <w:rPr>
          <w:rFonts w:hint="eastAsia" w:asciiTheme="minorEastAsia" w:hAnsiTheme="minorEastAsia" w:eastAsiaTheme="minorEastAsia" w:cstheme="minorEastAsia"/>
          <w:color w:val="auto"/>
          <w:kern w:val="0"/>
          <w:sz w:val="28"/>
          <w:szCs w:val="28"/>
          <w:highlight w:val="none"/>
          <w:lang w:val="zh-CN" w:bidi="ar"/>
        </w:rPr>
        <w:t>法定代表人（签字或盖章）：</w:t>
      </w:r>
      <w:r>
        <w:rPr>
          <w:rFonts w:hint="eastAsia" w:asciiTheme="minorEastAsia" w:hAnsiTheme="minorEastAsia" w:eastAsiaTheme="minorEastAsia" w:cstheme="minorEastAsia"/>
          <w:color w:val="auto"/>
          <w:sz w:val="28"/>
          <w:szCs w:val="28"/>
          <w:highlight w:val="none"/>
          <w:u w:val="single"/>
        </w:rPr>
        <w:t xml:space="preserve">                    </w:t>
      </w:r>
    </w:p>
    <w:p w14:paraId="5F89ED0B">
      <w:pPr>
        <w:spacing w:line="480" w:lineRule="exact"/>
        <w:ind w:firstLine="3080" w:firstLineChars="1100"/>
        <w:rPr>
          <w:rFonts w:hint="eastAsia" w:asciiTheme="minorEastAsia" w:hAnsiTheme="minorEastAsia" w:eastAsiaTheme="minorEastAsia" w:cstheme="minorEastAsia"/>
          <w:color w:val="auto"/>
          <w:kern w:val="0"/>
          <w:sz w:val="28"/>
          <w:szCs w:val="28"/>
          <w:highlight w:val="none"/>
          <w:lang w:val="zh-CN" w:bidi="ar"/>
        </w:rPr>
      </w:pPr>
      <w:r>
        <w:rPr>
          <w:rFonts w:hint="eastAsia" w:asciiTheme="minorEastAsia" w:hAnsiTheme="minorEastAsia" w:eastAsiaTheme="minorEastAsia" w:cstheme="minorEastAsia"/>
          <w:color w:val="auto"/>
          <w:kern w:val="0"/>
          <w:sz w:val="28"/>
          <w:szCs w:val="28"/>
          <w:highlight w:val="none"/>
          <w:lang w:val="zh-CN" w:bidi="ar"/>
        </w:rPr>
        <w:t>时间：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kern w:val="0"/>
          <w:sz w:val="28"/>
          <w:szCs w:val="28"/>
          <w:highlight w:val="none"/>
          <w:lang w:val="zh-CN" w:bidi="ar"/>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kern w:val="0"/>
          <w:sz w:val="28"/>
          <w:szCs w:val="28"/>
          <w:highlight w:val="none"/>
          <w:lang w:val="zh-CN" w:bidi="ar"/>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kern w:val="0"/>
          <w:sz w:val="28"/>
          <w:szCs w:val="28"/>
          <w:highlight w:val="none"/>
          <w:lang w:val="zh-CN" w:bidi="ar"/>
        </w:rPr>
        <w:t>日</w:t>
      </w:r>
    </w:p>
    <w:p w14:paraId="4957AC17">
      <w:pPr>
        <w:snapToGrid w:val="0"/>
        <w:spacing w:line="300" w:lineRule="auto"/>
        <w:contextualSpacing/>
        <w:rPr>
          <w:rFonts w:hint="eastAsia" w:asciiTheme="minorEastAsia" w:hAnsiTheme="minorEastAsia" w:eastAsiaTheme="minorEastAsia" w:cstheme="minorEastAsia"/>
          <w:color w:val="auto"/>
          <w:sz w:val="28"/>
          <w:szCs w:val="28"/>
          <w:highlight w:val="none"/>
        </w:rPr>
      </w:pPr>
    </w:p>
    <w:p w14:paraId="4371DA2D">
      <w:pPr>
        <w:snapToGrid w:val="0"/>
        <w:spacing w:line="400" w:lineRule="exact"/>
        <w:contextualSpacing/>
        <w:rPr>
          <w:rFonts w:hint="eastAsia" w:asciiTheme="minorEastAsia" w:hAnsiTheme="minorEastAsia" w:eastAsiaTheme="minorEastAsia" w:cstheme="minorEastAsia"/>
          <w:color w:val="auto"/>
          <w:kern w:val="0"/>
          <w:sz w:val="32"/>
          <w:szCs w:val="32"/>
          <w:highlight w:val="none"/>
        </w:rPr>
      </w:pPr>
      <w:r>
        <w:rPr>
          <w:rFonts w:hint="eastAsia" w:asciiTheme="minorEastAsia" w:hAnsiTheme="minorEastAsia" w:eastAsiaTheme="minorEastAsia" w:cstheme="minorEastAsia"/>
          <w:color w:val="auto"/>
          <w:kern w:val="0"/>
          <w:sz w:val="32"/>
          <w:szCs w:val="32"/>
          <w:highlight w:val="none"/>
        </w:rPr>
        <w:t>附件5</w:t>
      </w:r>
    </w:p>
    <w:p w14:paraId="01CBD8CD">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磋商响应函</w:t>
      </w:r>
    </w:p>
    <w:p w14:paraId="0448EBE5">
      <w:pPr>
        <w:adjustRightInd w:val="0"/>
        <w:spacing w:line="480" w:lineRule="exact"/>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（采购人名称）</w:t>
      </w:r>
    </w:p>
    <w:p w14:paraId="7C8E653D">
      <w:pPr>
        <w:adjustRightInd w:val="0"/>
        <w:spacing w:line="480" w:lineRule="exact"/>
        <w:ind w:firstLine="560" w:firstLineChars="20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根据贵方项目编号为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的磋商文件，我方正式提交磋商响应函，并宣布同意如下内容：</w:t>
      </w:r>
    </w:p>
    <w:p w14:paraId="7DCEDD11">
      <w:pPr>
        <w:adjustRightInd w:val="0"/>
        <w:spacing w:line="480" w:lineRule="exact"/>
        <w:ind w:firstLine="560" w:firstLineChars="20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1.按磋商文件规定的各项要求，向买方提供所需货物、服务（包含与货物相关的服务及与服务相关的货物）。</w:t>
      </w:r>
    </w:p>
    <w:p w14:paraId="0403D947">
      <w:pPr>
        <w:adjustRightInd w:val="0"/>
        <w:spacing w:line="480" w:lineRule="exact"/>
        <w:ind w:firstLine="560" w:firstLineChars="20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2.我们完全理解贵方不一定将合同授予最低报价的供应商。</w:t>
      </w:r>
    </w:p>
    <w:p w14:paraId="22B33543">
      <w:pPr>
        <w:adjustRightInd w:val="0"/>
        <w:spacing w:line="480" w:lineRule="exact"/>
        <w:ind w:firstLine="560" w:firstLineChars="20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3.我们已详细审核全部磋商文件及其有效补充文件，我们知道必须放弃提出含糊不清或误解问题的权利。</w:t>
      </w:r>
    </w:p>
    <w:p w14:paraId="500F1538">
      <w:pPr>
        <w:adjustRightInd w:val="0"/>
        <w:spacing w:line="480" w:lineRule="exact"/>
        <w:ind w:firstLine="48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4.我们同意从规定的开标日期起遵循本响应文件，并在规定的投标有效期期满之前均具有约束力。</w:t>
      </w:r>
    </w:p>
    <w:p w14:paraId="6DADE2ED">
      <w:pPr>
        <w:adjustRightInd w:val="0"/>
        <w:spacing w:line="480" w:lineRule="exact"/>
        <w:ind w:firstLine="48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5.同意向贵方提供贵方可能另外要求的与磋商有关的任何证据或资料，并保证我方已提供和将要提供的文件是真实的、准确的。</w:t>
      </w:r>
    </w:p>
    <w:p w14:paraId="42E79948">
      <w:pPr>
        <w:adjustRightInd w:val="0"/>
        <w:spacing w:line="480" w:lineRule="exact"/>
        <w:ind w:firstLine="48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6.一旦我方成交，我方将根据磋商文件的规定，严格履行合同的责任和义务，并保证在磋商文件规定的时间内完成项目，交付买方验收、使用。</w:t>
      </w:r>
    </w:p>
    <w:p w14:paraId="49F02A4F">
      <w:pPr>
        <w:adjustRightInd w:val="0"/>
        <w:spacing w:line="480" w:lineRule="exact"/>
        <w:ind w:firstLine="560" w:firstLineChars="20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7.与本次磋商有关的正式通讯地址为：</w:t>
      </w:r>
    </w:p>
    <w:p w14:paraId="1D93F9A9">
      <w:pPr>
        <w:adjustRightInd w:val="0"/>
        <w:spacing w:line="480" w:lineRule="exact"/>
        <w:ind w:left="420" w:leftChars="200" w:firstLine="560" w:firstLineChars="20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地          址：</w:t>
      </w:r>
      <w:r>
        <w:rPr>
          <w:rFonts w:hint="eastAsia" w:asciiTheme="minorEastAsia" w:hAnsiTheme="minorEastAsia" w:eastAsiaTheme="minorEastAsia" w:cstheme="minorEastAsia"/>
          <w:color w:val="auto"/>
          <w:sz w:val="28"/>
          <w:szCs w:val="28"/>
          <w:highlight w:val="none"/>
          <w:u w:val="single"/>
        </w:rPr>
        <w:t xml:space="preserve">                  </w:t>
      </w:r>
    </w:p>
    <w:p w14:paraId="50DD7D85">
      <w:pPr>
        <w:adjustRightInd w:val="0"/>
        <w:spacing w:line="480" w:lineRule="exact"/>
        <w:ind w:left="420" w:leftChars="200" w:firstLine="560" w:firstLineChars="20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邮          编：</w:t>
      </w:r>
      <w:r>
        <w:rPr>
          <w:rFonts w:hint="eastAsia" w:asciiTheme="minorEastAsia" w:hAnsiTheme="minorEastAsia" w:eastAsiaTheme="minorEastAsia" w:cstheme="minorEastAsia"/>
          <w:color w:val="auto"/>
          <w:sz w:val="28"/>
          <w:szCs w:val="28"/>
          <w:highlight w:val="none"/>
          <w:u w:val="single"/>
        </w:rPr>
        <w:t xml:space="preserve">                  </w:t>
      </w:r>
    </w:p>
    <w:p w14:paraId="5C2528D6">
      <w:pPr>
        <w:adjustRightInd w:val="0"/>
        <w:spacing w:line="480" w:lineRule="exact"/>
        <w:ind w:left="420" w:leftChars="200" w:firstLine="560" w:firstLineChars="20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电          话：</w:t>
      </w:r>
      <w:r>
        <w:rPr>
          <w:rFonts w:hint="eastAsia" w:asciiTheme="minorEastAsia" w:hAnsiTheme="minorEastAsia" w:eastAsiaTheme="minorEastAsia" w:cstheme="minorEastAsia"/>
          <w:color w:val="auto"/>
          <w:sz w:val="28"/>
          <w:szCs w:val="28"/>
          <w:highlight w:val="none"/>
          <w:u w:val="single"/>
        </w:rPr>
        <w:t xml:space="preserve">                  </w:t>
      </w:r>
    </w:p>
    <w:p w14:paraId="189C8B90">
      <w:pPr>
        <w:adjustRightInd w:val="0"/>
        <w:spacing w:line="480" w:lineRule="exact"/>
        <w:ind w:left="420" w:leftChars="200" w:firstLine="560" w:firstLineChars="20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电  子  邮  箱：</w:t>
      </w:r>
      <w:r>
        <w:rPr>
          <w:rFonts w:hint="eastAsia" w:asciiTheme="minorEastAsia" w:hAnsiTheme="minorEastAsia" w:eastAsiaTheme="minorEastAsia" w:cstheme="minorEastAsia"/>
          <w:color w:val="auto"/>
          <w:sz w:val="28"/>
          <w:szCs w:val="28"/>
          <w:highlight w:val="none"/>
          <w:u w:val="single"/>
        </w:rPr>
        <w:t xml:space="preserve">                  </w:t>
      </w:r>
    </w:p>
    <w:p w14:paraId="48A2C36B">
      <w:pPr>
        <w:spacing w:line="480" w:lineRule="exact"/>
        <w:rPr>
          <w:rFonts w:hint="eastAsia" w:asciiTheme="minorEastAsia" w:hAnsiTheme="minorEastAsia" w:eastAsiaTheme="minorEastAsia" w:cstheme="minorEastAsia"/>
          <w:color w:val="auto"/>
          <w:sz w:val="28"/>
          <w:szCs w:val="28"/>
          <w:highlight w:val="none"/>
        </w:rPr>
      </w:pPr>
    </w:p>
    <w:p w14:paraId="272FAAE0">
      <w:pPr>
        <w:spacing w:line="480" w:lineRule="exact"/>
        <w:ind w:right="181" w:firstLine="980" w:firstLineChars="35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供应商名称（</w:t>
      </w:r>
      <w:r>
        <w:rPr>
          <w:rFonts w:hint="eastAsia" w:asciiTheme="minorEastAsia" w:hAnsiTheme="minorEastAsia" w:eastAsiaTheme="minorEastAsia" w:cstheme="minorEastAsia"/>
          <w:bCs/>
          <w:color w:val="auto"/>
          <w:sz w:val="28"/>
          <w:szCs w:val="28"/>
          <w:highlight w:val="none"/>
        </w:rPr>
        <w:t>加盖</w:t>
      </w:r>
      <w:r>
        <w:rPr>
          <w:rFonts w:hint="eastAsia" w:asciiTheme="minorEastAsia" w:hAnsiTheme="minorEastAsia" w:eastAsiaTheme="minorEastAsia" w:cstheme="minorEastAsia"/>
          <w:color w:val="auto"/>
          <w:sz w:val="28"/>
          <w:szCs w:val="28"/>
          <w:highlight w:val="none"/>
        </w:rPr>
        <w:t>公章）：</w:t>
      </w:r>
      <w:r>
        <w:rPr>
          <w:rFonts w:hint="eastAsia" w:asciiTheme="minorEastAsia" w:hAnsiTheme="minorEastAsia" w:eastAsiaTheme="minorEastAsia" w:cstheme="minorEastAsia"/>
          <w:color w:val="auto"/>
          <w:sz w:val="28"/>
          <w:szCs w:val="28"/>
          <w:highlight w:val="none"/>
          <w:u w:val="single"/>
        </w:rPr>
        <w:t xml:space="preserve">                  </w:t>
      </w:r>
    </w:p>
    <w:p w14:paraId="6ABB2665">
      <w:pPr>
        <w:adjustRightInd w:val="0"/>
        <w:spacing w:line="480" w:lineRule="exact"/>
        <w:ind w:left="420" w:leftChars="200" w:firstLine="560" w:firstLineChars="200"/>
        <w:jc w:val="left"/>
        <w:textAlignment w:val="baseline"/>
        <w:rPr>
          <w:rFonts w:hint="eastAsia" w:asciiTheme="minorEastAsia" w:hAnsiTheme="minorEastAsia" w:eastAsiaTheme="minorEastAsia" w:cstheme="minorEastAsia"/>
          <w:color w:val="auto"/>
          <w:sz w:val="28"/>
          <w:szCs w:val="28"/>
          <w:highlight w:val="none"/>
        </w:rPr>
      </w:pPr>
    </w:p>
    <w:p w14:paraId="28BCD46C">
      <w:pPr>
        <w:adjustRightInd w:val="0"/>
        <w:spacing w:line="480" w:lineRule="exact"/>
        <w:ind w:left="420" w:leftChars="200" w:firstLine="560" w:firstLineChars="200"/>
        <w:jc w:val="left"/>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79F919F2">
      <w:pPr>
        <w:rPr>
          <w:rFonts w:hint="eastAsia" w:asciiTheme="minorEastAsia" w:hAnsiTheme="minorEastAsia" w:eastAsiaTheme="minorEastAsia" w:cstheme="minorEastAsia"/>
          <w:color w:val="auto"/>
          <w:kern w:val="0"/>
          <w:sz w:val="32"/>
          <w:szCs w:val="32"/>
          <w:highlight w:val="none"/>
        </w:rPr>
      </w:pPr>
      <w:r>
        <w:rPr>
          <w:rFonts w:hint="eastAsia" w:asciiTheme="minorEastAsia" w:hAnsiTheme="minorEastAsia" w:eastAsiaTheme="minorEastAsia" w:cstheme="minorEastAsia"/>
          <w:color w:val="auto"/>
          <w:kern w:val="0"/>
          <w:sz w:val="32"/>
          <w:szCs w:val="32"/>
          <w:highlight w:val="none"/>
        </w:rPr>
        <w:br w:type="page"/>
      </w:r>
    </w:p>
    <w:p w14:paraId="2188CB19">
      <w:pPr>
        <w:snapToGrid w:val="0"/>
        <w:spacing w:line="400" w:lineRule="exact"/>
        <w:contextualSpacing/>
        <w:rPr>
          <w:rFonts w:hint="eastAsia" w:asciiTheme="minorEastAsia" w:hAnsiTheme="minorEastAsia" w:eastAsiaTheme="minorEastAsia" w:cstheme="minorEastAsia"/>
          <w:color w:val="auto"/>
          <w:kern w:val="0"/>
          <w:sz w:val="32"/>
          <w:szCs w:val="32"/>
          <w:highlight w:val="none"/>
        </w:rPr>
      </w:pPr>
      <w:r>
        <w:rPr>
          <w:rFonts w:hint="eastAsia" w:asciiTheme="minorEastAsia" w:hAnsiTheme="minorEastAsia" w:eastAsiaTheme="minorEastAsia" w:cstheme="minorEastAsia"/>
          <w:color w:val="auto"/>
          <w:kern w:val="0"/>
          <w:sz w:val="32"/>
          <w:szCs w:val="32"/>
          <w:highlight w:val="none"/>
        </w:rPr>
        <w:t>附件6</w:t>
      </w:r>
    </w:p>
    <w:p w14:paraId="17E44C4F">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商务部分正负偏离表</w:t>
      </w:r>
    </w:p>
    <w:p w14:paraId="2C503E74">
      <w:pPr>
        <w:spacing w:line="520" w:lineRule="exact"/>
        <w:rPr>
          <w:rFonts w:hint="eastAsia" w:asciiTheme="minorEastAsia" w:hAnsiTheme="minorEastAsia" w:eastAsiaTheme="minorEastAsia" w:cstheme="minorEastAsia"/>
          <w:bCs/>
          <w:color w:val="auto"/>
          <w:sz w:val="28"/>
          <w:szCs w:val="28"/>
          <w:highlight w:val="none"/>
          <w:u w:val="single"/>
        </w:rPr>
      </w:pPr>
      <w:r>
        <w:rPr>
          <w:rFonts w:hint="eastAsia" w:asciiTheme="minorEastAsia" w:hAnsiTheme="minorEastAsia" w:eastAsiaTheme="minorEastAsia" w:cstheme="minorEastAsia"/>
          <w:bCs/>
          <w:color w:val="auto"/>
          <w:sz w:val="28"/>
          <w:szCs w:val="28"/>
          <w:highlight w:val="none"/>
        </w:rPr>
        <w:t>项目编号：</w:t>
      </w:r>
      <w:r>
        <w:rPr>
          <w:rFonts w:hint="eastAsia" w:asciiTheme="minorEastAsia" w:hAnsiTheme="minorEastAsia" w:eastAsiaTheme="minorEastAsia" w:cstheme="minorEastAsia"/>
          <w:bCs/>
          <w:color w:val="auto"/>
          <w:sz w:val="28"/>
          <w:szCs w:val="28"/>
          <w:highlight w:val="none"/>
          <w:u w:val="single"/>
        </w:rPr>
        <w:t xml:space="preserve">                </w:t>
      </w:r>
    </w:p>
    <w:p w14:paraId="1D78B41F">
      <w:pPr>
        <w:spacing w:line="520" w:lineRule="exact"/>
        <w:ind w:firstLine="560" w:firstLineChars="200"/>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（由供应商据实填写，表格不够自行添加）</w:t>
      </w:r>
    </w:p>
    <w:tbl>
      <w:tblPr>
        <w:tblStyle w:val="1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3"/>
        <w:gridCol w:w="2273"/>
        <w:gridCol w:w="1985"/>
        <w:gridCol w:w="2561"/>
        <w:gridCol w:w="1410"/>
      </w:tblGrid>
      <w:tr w14:paraId="7AE095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3AA2C3C8">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13DA42E">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4D027FF">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409B065A">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164F84B0">
            <w:pPr>
              <w:spacing w:line="340" w:lineRule="exact"/>
              <w:jc w:val="center"/>
              <w:rPr>
                <w:rFonts w:hint="eastAsia" w:asciiTheme="minorEastAsia" w:hAnsiTheme="minorEastAsia" w:eastAsiaTheme="minorEastAsia" w:cstheme="minorEastAsia"/>
                <w:color w:val="auto"/>
                <w:sz w:val="24"/>
                <w:highlight w:val="none"/>
              </w:rPr>
            </w:pPr>
          </w:p>
          <w:p w14:paraId="03A20D30">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偏离说明</w:t>
            </w:r>
          </w:p>
        </w:tc>
      </w:tr>
      <w:tr w14:paraId="767D30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14C97AAF">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10745070">
            <w:pPr>
              <w:spacing w:line="340" w:lineRule="exact"/>
              <w:jc w:val="left"/>
              <w:rPr>
                <w:rFonts w:hint="eastAsia" w:asciiTheme="minorEastAsia" w:hAnsiTheme="minorEastAsia" w:eastAsiaTheme="minorEastAsia" w:cstheme="minorEastAsia"/>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93E8964">
            <w:pPr>
              <w:spacing w:line="340" w:lineRule="exact"/>
              <w:jc w:val="left"/>
              <w:rPr>
                <w:rFonts w:hint="eastAsia" w:asciiTheme="minorEastAsia" w:hAnsiTheme="minorEastAsia" w:eastAsiaTheme="minorEastAsia" w:cstheme="minorEastAsia"/>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F299DB7">
            <w:pPr>
              <w:spacing w:line="340" w:lineRule="exact"/>
              <w:jc w:val="left"/>
              <w:rPr>
                <w:rFonts w:hint="eastAsia" w:asciiTheme="minorEastAsia" w:hAnsiTheme="minorEastAsia" w:eastAsiaTheme="minorEastAsia" w:cstheme="minorEastAsia"/>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0A944DE6">
            <w:pPr>
              <w:spacing w:line="340" w:lineRule="exact"/>
              <w:jc w:val="left"/>
              <w:rPr>
                <w:rFonts w:hint="eastAsia" w:asciiTheme="minorEastAsia" w:hAnsiTheme="minorEastAsia" w:eastAsiaTheme="minorEastAsia" w:cstheme="minorEastAsia"/>
                <w:color w:val="auto"/>
                <w:sz w:val="24"/>
                <w:highlight w:val="none"/>
              </w:rPr>
            </w:pPr>
          </w:p>
        </w:tc>
      </w:tr>
      <w:tr w14:paraId="42ACD6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BCA8256">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62F6E47F">
            <w:pPr>
              <w:spacing w:line="340" w:lineRule="exact"/>
              <w:jc w:val="left"/>
              <w:rPr>
                <w:rFonts w:hint="eastAsia" w:asciiTheme="minorEastAsia" w:hAnsiTheme="minorEastAsia" w:eastAsiaTheme="minorEastAsia" w:cstheme="minorEastAsia"/>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34A8D260">
            <w:pPr>
              <w:spacing w:line="340" w:lineRule="exact"/>
              <w:jc w:val="left"/>
              <w:rPr>
                <w:rFonts w:hint="eastAsia" w:asciiTheme="minorEastAsia" w:hAnsiTheme="minorEastAsia" w:eastAsiaTheme="minorEastAsia" w:cstheme="minorEastAsia"/>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B9B787A">
            <w:pPr>
              <w:spacing w:line="340" w:lineRule="exact"/>
              <w:jc w:val="left"/>
              <w:rPr>
                <w:rFonts w:hint="eastAsia" w:asciiTheme="minorEastAsia" w:hAnsiTheme="minorEastAsia" w:eastAsiaTheme="minorEastAsia" w:cstheme="minorEastAsia"/>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2669C4BA">
            <w:pPr>
              <w:spacing w:line="340" w:lineRule="exact"/>
              <w:jc w:val="left"/>
              <w:rPr>
                <w:rFonts w:hint="eastAsia" w:asciiTheme="minorEastAsia" w:hAnsiTheme="minorEastAsia" w:eastAsiaTheme="minorEastAsia" w:cstheme="minorEastAsia"/>
                <w:color w:val="auto"/>
                <w:sz w:val="24"/>
                <w:highlight w:val="none"/>
              </w:rPr>
            </w:pPr>
          </w:p>
        </w:tc>
      </w:tr>
      <w:tr w14:paraId="217DA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7BA74EA5">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5C8112FD">
            <w:pPr>
              <w:spacing w:line="340" w:lineRule="exact"/>
              <w:jc w:val="left"/>
              <w:rPr>
                <w:rFonts w:hint="eastAsia" w:asciiTheme="minorEastAsia" w:hAnsiTheme="minorEastAsia" w:eastAsiaTheme="minorEastAsia" w:cstheme="minorEastAsia"/>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EC26846">
            <w:pPr>
              <w:spacing w:line="340" w:lineRule="exact"/>
              <w:jc w:val="left"/>
              <w:rPr>
                <w:rFonts w:hint="eastAsia" w:asciiTheme="minorEastAsia" w:hAnsiTheme="minorEastAsia" w:eastAsiaTheme="minorEastAsia" w:cstheme="minorEastAsia"/>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32722A3">
            <w:pPr>
              <w:spacing w:line="340" w:lineRule="exact"/>
              <w:jc w:val="left"/>
              <w:rPr>
                <w:rFonts w:hint="eastAsia" w:asciiTheme="minorEastAsia" w:hAnsiTheme="minorEastAsia" w:eastAsiaTheme="minorEastAsia" w:cstheme="minorEastAsia"/>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6F68C5EA">
            <w:pPr>
              <w:spacing w:line="340" w:lineRule="exact"/>
              <w:jc w:val="left"/>
              <w:rPr>
                <w:rFonts w:hint="eastAsia" w:asciiTheme="minorEastAsia" w:hAnsiTheme="minorEastAsia" w:eastAsiaTheme="minorEastAsia" w:cstheme="minorEastAsia"/>
                <w:color w:val="auto"/>
                <w:sz w:val="24"/>
                <w:highlight w:val="none"/>
              </w:rPr>
            </w:pPr>
          </w:p>
        </w:tc>
      </w:tr>
      <w:tr w14:paraId="54049B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6CA7D938">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7E45345F">
            <w:pPr>
              <w:spacing w:line="340" w:lineRule="exact"/>
              <w:jc w:val="left"/>
              <w:rPr>
                <w:rFonts w:hint="eastAsia" w:asciiTheme="minorEastAsia" w:hAnsiTheme="minorEastAsia" w:eastAsiaTheme="minorEastAsia" w:cstheme="minorEastAsia"/>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3FF72A9B">
            <w:pPr>
              <w:spacing w:line="340" w:lineRule="exact"/>
              <w:jc w:val="left"/>
              <w:rPr>
                <w:rFonts w:hint="eastAsia" w:asciiTheme="minorEastAsia" w:hAnsiTheme="minorEastAsia" w:eastAsiaTheme="minorEastAsia" w:cstheme="minorEastAsia"/>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082A4D29">
            <w:pPr>
              <w:spacing w:line="340" w:lineRule="exact"/>
              <w:jc w:val="left"/>
              <w:rPr>
                <w:rFonts w:hint="eastAsia" w:asciiTheme="minorEastAsia" w:hAnsiTheme="minorEastAsia" w:eastAsiaTheme="minorEastAsia" w:cstheme="minorEastAsia"/>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9DED0FF">
            <w:pPr>
              <w:spacing w:line="340" w:lineRule="exact"/>
              <w:jc w:val="left"/>
              <w:rPr>
                <w:rFonts w:hint="eastAsia" w:asciiTheme="minorEastAsia" w:hAnsiTheme="minorEastAsia" w:eastAsiaTheme="minorEastAsia" w:cstheme="minorEastAsia"/>
                <w:color w:val="auto"/>
                <w:sz w:val="24"/>
                <w:highlight w:val="none"/>
              </w:rPr>
            </w:pPr>
          </w:p>
        </w:tc>
      </w:tr>
    </w:tbl>
    <w:p w14:paraId="4FDB0202">
      <w:pPr>
        <w:snapToGrid w:val="0"/>
        <w:spacing w:line="300" w:lineRule="auto"/>
        <w:contextualSpacing/>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注：</w:t>
      </w:r>
    </w:p>
    <w:p w14:paraId="1FE8F972">
      <w:pPr>
        <w:snapToGrid w:val="0"/>
        <w:spacing w:line="300" w:lineRule="auto"/>
        <w:ind w:firstLine="560" w:firstLineChars="200"/>
        <w:contextualSpacing/>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1.未说明偏离的，将被认为响应磋商文件的规定，但该表不作为供应商对所响应内容关于商务部分等详细描述和说明的替代。</w:t>
      </w:r>
    </w:p>
    <w:p w14:paraId="47B64169">
      <w:pPr>
        <w:snapToGrid w:val="0"/>
        <w:spacing w:line="300" w:lineRule="auto"/>
        <w:ind w:firstLine="560" w:firstLineChars="200"/>
        <w:contextualSpacing/>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2.如有偏离的，在“偏离说明”一栏选择“正偏离”“负偏离”进行填写。正偏离、负偏离的确认和负偏离的是否响应磋商文件，由磋商小组认定。</w:t>
      </w:r>
    </w:p>
    <w:p w14:paraId="35F83F6C">
      <w:pPr>
        <w:snapToGrid w:val="0"/>
        <w:spacing w:line="300" w:lineRule="auto"/>
        <w:ind w:firstLine="560" w:firstLineChars="200"/>
        <w:contextualSpacing/>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3.供应商若提供其他增值服务，可以在表中自行据实填写。</w:t>
      </w:r>
    </w:p>
    <w:p w14:paraId="0FA5E9C1">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6B054A95">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450B1C2E">
      <w:pPr>
        <w:snapToGrid w:val="0"/>
        <w:spacing w:line="300" w:lineRule="auto"/>
        <w:ind w:firstLine="560" w:firstLineChars="200"/>
        <w:contextualSpacing/>
        <w:rPr>
          <w:rFonts w:hint="eastAsia" w:asciiTheme="minorEastAsia" w:hAnsiTheme="minorEastAsia" w:eastAsiaTheme="minorEastAsia" w:cstheme="minorEastAsia"/>
          <w:color w:val="auto"/>
          <w:sz w:val="28"/>
          <w:szCs w:val="28"/>
          <w:highlight w:val="none"/>
        </w:rPr>
      </w:pPr>
    </w:p>
    <w:p w14:paraId="5644F9D6">
      <w:pPr>
        <w:snapToGrid w:val="0"/>
        <w:spacing w:line="300" w:lineRule="auto"/>
        <w:ind w:firstLine="3080" w:firstLineChars="1100"/>
        <w:contextualSpacing/>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供应商名称（</w:t>
      </w:r>
      <w:r>
        <w:rPr>
          <w:rFonts w:hint="eastAsia" w:asciiTheme="minorEastAsia" w:hAnsiTheme="minorEastAsia" w:eastAsiaTheme="minorEastAsia" w:cstheme="minorEastAsia"/>
          <w:bCs/>
          <w:color w:val="auto"/>
          <w:sz w:val="28"/>
          <w:szCs w:val="28"/>
          <w:highlight w:val="none"/>
        </w:rPr>
        <w:t>加盖</w:t>
      </w:r>
      <w:r>
        <w:rPr>
          <w:rFonts w:hint="eastAsia" w:asciiTheme="minorEastAsia" w:hAnsiTheme="minorEastAsia" w:eastAsiaTheme="minorEastAsia" w:cstheme="minorEastAsia"/>
          <w:color w:val="auto"/>
          <w:sz w:val="28"/>
          <w:szCs w:val="28"/>
          <w:highlight w:val="none"/>
        </w:rPr>
        <w:t>公章）：</w:t>
      </w:r>
      <w:r>
        <w:rPr>
          <w:rFonts w:hint="eastAsia" w:asciiTheme="minorEastAsia" w:hAnsiTheme="minorEastAsia" w:eastAsiaTheme="minorEastAsia" w:cstheme="minorEastAsia"/>
          <w:color w:val="auto"/>
          <w:sz w:val="28"/>
          <w:szCs w:val="28"/>
          <w:highlight w:val="none"/>
          <w:u w:val="single"/>
        </w:rPr>
        <w:t xml:space="preserve">                  </w:t>
      </w:r>
    </w:p>
    <w:p w14:paraId="2F315A83">
      <w:pPr>
        <w:snapToGrid w:val="0"/>
        <w:spacing w:line="300" w:lineRule="auto"/>
        <w:ind w:firstLine="3080" w:firstLineChars="1100"/>
        <w:contextualSpacing/>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136A3047">
      <w:pPr>
        <w:snapToGrid w:val="0"/>
        <w:spacing w:line="300" w:lineRule="auto"/>
        <w:ind w:firstLine="480" w:firstLineChars="200"/>
        <w:contextualSpacing/>
        <w:rPr>
          <w:rFonts w:hint="eastAsia" w:asciiTheme="minorEastAsia" w:hAnsiTheme="minorEastAsia" w:eastAsiaTheme="minorEastAsia" w:cstheme="minorEastAsia"/>
          <w:color w:val="auto"/>
          <w:sz w:val="24"/>
          <w:highlight w:val="none"/>
        </w:rPr>
      </w:pPr>
    </w:p>
    <w:p w14:paraId="6BCAE1B7">
      <w:pPr>
        <w:snapToGrid w:val="0"/>
        <w:spacing w:line="400" w:lineRule="exact"/>
        <w:contextualSpacing/>
        <w:rPr>
          <w:rFonts w:hint="eastAsia" w:asciiTheme="minorEastAsia" w:hAnsiTheme="minorEastAsia" w:eastAsiaTheme="minorEastAsia" w:cstheme="minorEastAsia"/>
          <w:color w:val="auto"/>
          <w:kern w:val="0"/>
          <w:sz w:val="32"/>
          <w:szCs w:val="32"/>
          <w:highlight w:val="none"/>
        </w:rPr>
      </w:pPr>
    </w:p>
    <w:p w14:paraId="61422616">
      <w:pPr>
        <w:snapToGrid w:val="0"/>
        <w:spacing w:line="400" w:lineRule="exact"/>
        <w:contextualSpacing/>
        <w:rPr>
          <w:rFonts w:hint="eastAsia" w:asciiTheme="minorEastAsia" w:hAnsiTheme="minorEastAsia" w:eastAsiaTheme="minorEastAsia" w:cstheme="minorEastAsia"/>
          <w:color w:val="auto"/>
          <w:kern w:val="0"/>
          <w:sz w:val="32"/>
          <w:szCs w:val="32"/>
          <w:highlight w:val="none"/>
        </w:rPr>
      </w:pPr>
    </w:p>
    <w:p w14:paraId="41BBF687">
      <w:pPr>
        <w:snapToGrid w:val="0"/>
        <w:spacing w:line="400" w:lineRule="exact"/>
        <w:contextualSpacing/>
        <w:rPr>
          <w:rFonts w:hint="eastAsia" w:asciiTheme="minorEastAsia" w:hAnsiTheme="minorEastAsia" w:eastAsiaTheme="minorEastAsia" w:cstheme="minorEastAsia"/>
          <w:color w:val="auto"/>
          <w:kern w:val="0"/>
          <w:sz w:val="32"/>
          <w:szCs w:val="32"/>
          <w:highlight w:val="none"/>
        </w:rPr>
      </w:pPr>
    </w:p>
    <w:p w14:paraId="62ED7F65">
      <w:pPr>
        <w:snapToGrid w:val="0"/>
        <w:spacing w:line="400" w:lineRule="exact"/>
        <w:contextualSpacing/>
        <w:rPr>
          <w:rFonts w:hint="eastAsia" w:asciiTheme="minorEastAsia" w:hAnsiTheme="minorEastAsia" w:eastAsiaTheme="minorEastAsia" w:cstheme="minorEastAsia"/>
          <w:color w:val="auto"/>
          <w:kern w:val="0"/>
          <w:sz w:val="32"/>
          <w:szCs w:val="32"/>
          <w:highlight w:val="none"/>
        </w:rPr>
      </w:pPr>
    </w:p>
    <w:p w14:paraId="4C3D242D">
      <w:pPr>
        <w:snapToGrid w:val="0"/>
        <w:spacing w:line="400" w:lineRule="exact"/>
        <w:contextualSpacing/>
        <w:rPr>
          <w:rFonts w:hint="eastAsia" w:asciiTheme="minorEastAsia" w:hAnsiTheme="minorEastAsia" w:eastAsiaTheme="minorEastAsia" w:cstheme="minorEastAsia"/>
          <w:color w:val="auto"/>
          <w:kern w:val="0"/>
          <w:sz w:val="32"/>
          <w:szCs w:val="32"/>
          <w:highlight w:val="none"/>
        </w:rPr>
      </w:pPr>
    </w:p>
    <w:p w14:paraId="359F5BE1">
      <w:pPr>
        <w:snapToGrid w:val="0"/>
        <w:spacing w:line="400" w:lineRule="exact"/>
        <w:contextualSpacing/>
        <w:rPr>
          <w:rFonts w:hint="eastAsia" w:asciiTheme="minorEastAsia" w:hAnsiTheme="minorEastAsia" w:eastAsiaTheme="minorEastAsia" w:cstheme="minorEastAsia"/>
          <w:color w:val="auto"/>
          <w:kern w:val="0"/>
          <w:sz w:val="32"/>
          <w:szCs w:val="32"/>
          <w:highlight w:val="none"/>
        </w:rPr>
      </w:pPr>
      <w:r>
        <w:rPr>
          <w:rFonts w:hint="eastAsia" w:asciiTheme="minorEastAsia" w:hAnsiTheme="minorEastAsia" w:eastAsiaTheme="minorEastAsia" w:cstheme="minorEastAsia"/>
          <w:color w:val="auto"/>
          <w:kern w:val="0"/>
          <w:sz w:val="32"/>
          <w:szCs w:val="32"/>
          <w:highlight w:val="none"/>
        </w:rPr>
        <w:t>附件7</w:t>
      </w:r>
    </w:p>
    <w:p w14:paraId="3D9485D4">
      <w:pPr>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技术部分正负偏离表</w:t>
      </w:r>
    </w:p>
    <w:p w14:paraId="05DEED9C">
      <w:pPr>
        <w:spacing w:line="52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t>项目编号：</w:t>
      </w:r>
      <w:r>
        <w:rPr>
          <w:rFonts w:hint="eastAsia" w:asciiTheme="minorEastAsia" w:hAnsiTheme="minorEastAsia" w:eastAsiaTheme="minorEastAsia" w:cstheme="minorEastAsia"/>
          <w:color w:val="auto"/>
          <w:sz w:val="28"/>
          <w:szCs w:val="28"/>
          <w:highlight w:val="none"/>
          <w:u w:val="single"/>
        </w:rPr>
        <w:t xml:space="preserve">                    </w:t>
      </w:r>
    </w:p>
    <w:p w14:paraId="544E3A1C">
      <w:pPr>
        <w:spacing w:line="520" w:lineRule="exact"/>
        <w:ind w:firstLine="560" w:firstLineChars="200"/>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（由供应商据实填写，表格不够自行添加）</w:t>
      </w:r>
    </w:p>
    <w:tbl>
      <w:tblPr>
        <w:tblStyle w:val="1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3"/>
        <w:gridCol w:w="2273"/>
        <w:gridCol w:w="1985"/>
        <w:gridCol w:w="2561"/>
        <w:gridCol w:w="1410"/>
      </w:tblGrid>
      <w:tr w14:paraId="46E077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5818261A">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317A9CCC">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47DE006C">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AC2FF8F">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15D2E000">
            <w:pPr>
              <w:spacing w:line="340" w:lineRule="exact"/>
              <w:jc w:val="center"/>
              <w:rPr>
                <w:rFonts w:hint="eastAsia" w:asciiTheme="minorEastAsia" w:hAnsiTheme="minorEastAsia" w:eastAsiaTheme="minorEastAsia" w:cstheme="minorEastAsia"/>
                <w:color w:val="auto"/>
                <w:sz w:val="24"/>
                <w:highlight w:val="none"/>
              </w:rPr>
            </w:pPr>
          </w:p>
          <w:p w14:paraId="55E82BAD">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偏离说明</w:t>
            </w:r>
          </w:p>
        </w:tc>
      </w:tr>
      <w:tr w14:paraId="7FC39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2C4A8459">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41C41E7A">
            <w:pPr>
              <w:spacing w:line="340" w:lineRule="exact"/>
              <w:jc w:val="left"/>
              <w:rPr>
                <w:rFonts w:hint="eastAsia" w:asciiTheme="minorEastAsia" w:hAnsiTheme="minorEastAsia" w:eastAsiaTheme="minorEastAsia" w:cstheme="minorEastAsia"/>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BD2077D">
            <w:pPr>
              <w:spacing w:line="340" w:lineRule="exact"/>
              <w:jc w:val="left"/>
              <w:rPr>
                <w:rFonts w:hint="eastAsia" w:asciiTheme="minorEastAsia" w:hAnsiTheme="minorEastAsia" w:eastAsiaTheme="minorEastAsia" w:cstheme="minorEastAsia"/>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375FFBA">
            <w:pPr>
              <w:spacing w:line="340" w:lineRule="exact"/>
              <w:jc w:val="left"/>
              <w:rPr>
                <w:rFonts w:hint="eastAsia" w:asciiTheme="minorEastAsia" w:hAnsiTheme="minorEastAsia" w:eastAsiaTheme="minorEastAsia" w:cstheme="minorEastAsia"/>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40E0810D">
            <w:pPr>
              <w:spacing w:line="340" w:lineRule="exact"/>
              <w:jc w:val="left"/>
              <w:rPr>
                <w:rFonts w:hint="eastAsia" w:asciiTheme="minorEastAsia" w:hAnsiTheme="minorEastAsia" w:eastAsiaTheme="minorEastAsia" w:cstheme="minorEastAsia"/>
                <w:color w:val="auto"/>
                <w:sz w:val="24"/>
                <w:highlight w:val="none"/>
              </w:rPr>
            </w:pPr>
          </w:p>
        </w:tc>
      </w:tr>
      <w:tr w14:paraId="5C8F27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0E0DE4DA">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61144F4">
            <w:pPr>
              <w:spacing w:line="340" w:lineRule="exact"/>
              <w:jc w:val="left"/>
              <w:rPr>
                <w:rFonts w:hint="eastAsia" w:asciiTheme="minorEastAsia" w:hAnsiTheme="minorEastAsia" w:eastAsiaTheme="minorEastAsia" w:cstheme="minorEastAsia"/>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F8F229A">
            <w:pPr>
              <w:spacing w:line="340" w:lineRule="exact"/>
              <w:jc w:val="left"/>
              <w:rPr>
                <w:rFonts w:hint="eastAsia" w:asciiTheme="minorEastAsia" w:hAnsiTheme="minorEastAsia" w:eastAsiaTheme="minorEastAsia" w:cstheme="minorEastAsia"/>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512F3F3E">
            <w:pPr>
              <w:spacing w:line="340" w:lineRule="exact"/>
              <w:jc w:val="left"/>
              <w:rPr>
                <w:rFonts w:hint="eastAsia" w:asciiTheme="minorEastAsia" w:hAnsiTheme="minorEastAsia" w:eastAsiaTheme="minorEastAsia" w:cstheme="minorEastAsia"/>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1C9A0A70">
            <w:pPr>
              <w:spacing w:line="340" w:lineRule="exact"/>
              <w:jc w:val="left"/>
              <w:rPr>
                <w:rFonts w:hint="eastAsia" w:asciiTheme="minorEastAsia" w:hAnsiTheme="minorEastAsia" w:eastAsiaTheme="minorEastAsia" w:cstheme="minorEastAsia"/>
                <w:color w:val="auto"/>
                <w:sz w:val="24"/>
                <w:highlight w:val="none"/>
              </w:rPr>
            </w:pPr>
          </w:p>
        </w:tc>
      </w:tr>
      <w:tr w14:paraId="57277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7ADDF368">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2FCFE0BB">
            <w:pPr>
              <w:spacing w:line="340" w:lineRule="exact"/>
              <w:jc w:val="left"/>
              <w:rPr>
                <w:rFonts w:hint="eastAsia" w:asciiTheme="minorEastAsia" w:hAnsiTheme="minorEastAsia" w:eastAsiaTheme="minorEastAsia" w:cstheme="minorEastAsia"/>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4ED3AD4">
            <w:pPr>
              <w:spacing w:line="340" w:lineRule="exact"/>
              <w:jc w:val="left"/>
              <w:rPr>
                <w:rFonts w:hint="eastAsia" w:asciiTheme="minorEastAsia" w:hAnsiTheme="minorEastAsia" w:eastAsiaTheme="minorEastAsia" w:cstheme="minorEastAsia"/>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2BF6A923">
            <w:pPr>
              <w:spacing w:line="340" w:lineRule="exact"/>
              <w:jc w:val="left"/>
              <w:rPr>
                <w:rFonts w:hint="eastAsia" w:asciiTheme="minorEastAsia" w:hAnsiTheme="minorEastAsia" w:eastAsiaTheme="minorEastAsia" w:cstheme="minorEastAsia"/>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0C3808D">
            <w:pPr>
              <w:spacing w:line="340" w:lineRule="exact"/>
              <w:jc w:val="left"/>
              <w:rPr>
                <w:rFonts w:hint="eastAsia" w:asciiTheme="minorEastAsia" w:hAnsiTheme="minorEastAsia" w:eastAsiaTheme="minorEastAsia" w:cstheme="minorEastAsia"/>
                <w:color w:val="auto"/>
                <w:sz w:val="24"/>
                <w:highlight w:val="none"/>
              </w:rPr>
            </w:pPr>
          </w:p>
        </w:tc>
      </w:tr>
      <w:tr w14:paraId="6D2B5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20F682FF">
            <w:pPr>
              <w:spacing w:line="3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2C0C277C">
            <w:pPr>
              <w:spacing w:line="340" w:lineRule="exact"/>
              <w:jc w:val="left"/>
              <w:rPr>
                <w:rFonts w:hint="eastAsia" w:asciiTheme="minorEastAsia" w:hAnsiTheme="minorEastAsia" w:eastAsiaTheme="minorEastAsia" w:cstheme="minorEastAsia"/>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69539863">
            <w:pPr>
              <w:spacing w:line="340" w:lineRule="exact"/>
              <w:jc w:val="left"/>
              <w:rPr>
                <w:rFonts w:hint="eastAsia" w:asciiTheme="minorEastAsia" w:hAnsiTheme="minorEastAsia" w:eastAsiaTheme="minorEastAsia" w:cstheme="minorEastAsia"/>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709EDB9">
            <w:pPr>
              <w:spacing w:line="340" w:lineRule="exact"/>
              <w:jc w:val="left"/>
              <w:rPr>
                <w:rFonts w:hint="eastAsia" w:asciiTheme="minorEastAsia" w:hAnsiTheme="minorEastAsia" w:eastAsiaTheme="minorEastAsia" w:cstheme="minorEastAsia"/>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62F1B14A">
            <w:pPr>
              <w:spacing w:line="340" w:lineRule="exact"/>
              <w:jc w:val="left"/>
              <w:rPr>
                <w:rFonts w:hint="eastAsia" w:asciiTheme="minorEastAsia" w:hAnsiTheme="minorEastAsia" w:eastAsiaTheme="minorEastAsia" w:cstheme="minorEastAsia"/>
                <w:color w:val="auto"/>
                <w:sz w:val="24"/>
                <w:highlight w:val="none"/>
              </w:rPr>
            </w:pPr>
          </w:p>
        </w:tc>
      </w:tr>
    </w:tbl>
    <w:p w14:paraId="31CE72A5">
      <w:pPr>
        <w:snapToGrid w:val="0"/>
        <w:spacing w:line="300" w:lineRule="auto"/>
        <w:contextualSpacing/>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注：</w:t>
      </w:r>
    </w:p>
    <w:p w14:paraId="5810E61A">
      <w:pPr>
        <w:snapToGrid w:val="0"/>
        <w:spacing w:line="300" w:lineRule="auto"/>
        <w:ind w:firstLine="560" w:firstLineChars="200"/>
        <w:contextualSpacing/>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1.未说明偏离的，将被认为响应磋商文件的规定，但该表不作为供应商对所响应内容关于技术部分等详细描述和说明的替代。</w:t>
      </w:r>
    </w:p>
    <w:p w14:paraId="1B585C33">
      <w:pPr>
        <w:snapToGrid w:val="0"/>
        <w:spacing w:line="300" w:lineRule="auto"/>
        <w:ind w:firstLine="560" w:firstLineChars="200"/>
        <w:contextualSpacing/>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 如有偏离的，在“偏离说明”一栏选择“正偏离”“负偏离”进行填写。正偏离、负偏离的确认和负偏离的是否响应磋商文件，由磋商小组认定。</w:t>
      </w:r>
    </w:p>
    <w:p w14:paraId="27D5C175">
      <w:pPr>
        <w:snapToGrid w:val="0"/>
        <w:spacing w:line="300" w:lineRule="auto"/>
        <w:ind w:firstLine="560" w:firstLineChars="200"/>
        <w:contextualSpacing/>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3.供应商若提供其他增值服务，可以在表中自行据实填写。</w:t>
      </w:r>
    </w:p>
    <w:p w14:paraId="4E6B706F">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0AC51E61">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472B30BA">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5EF91FF8">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164C431D">
      <w:pPr>
        <w:snapToGrid w:val="0"/>
        <w:spacing w:line="300" w:lineRule="auto"/>
        <w:ind w:firstLine="3080" w:firstLineChars="1100"/>
        <w:contextualSpacing/>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供应商名称（</w:t>
      </w:r>
      <w:r>
        <w:rPr>
          <w:rFonts w:hint="eastAsia" w:asciiTheme="minorEastAsia" w:hAnsiTheme="minorEastAsia" w:eastAsiaTheme="minorEastAsia" w:cstheme="minorEastAsia"/>
          <w:bCs/>
          <w:color w:val="auto"/>
          <w:sz w:val="28"/>
          <w:szCs w:val="28"/>
          <w:highlight w:val="none"/>
        </w:rPr>
        <w:t>加盖</w:t>
      </w:r>
      <w:r>
        <w:rPr>
          <w:rFonts w:hint="eastAsia" w:asciiTheme="minorEastAsia" w:hAnsiTheme="minorEastAsia" w:eastAsiaTheme="minorEastAsia" w:cstheme="minorEastAsia"/>
          <w:color w:val="auto"/>
          <w:sz w:val="28"/>
          <w:szCs w:val="28"/>
          <w:highlight w:val="none"/>
        </w:rPr>
        <w:t>公章）：</w:t>
      </w:r>
      <w:r>
        <w:rPr>
          <w:rFonts w:hint="eastAsia" w:asciiTheme="minorEastAsia" w:hAnsiTheme="minorEastAsia" w:eastAsiaTheme="minorEastAsia" w:cstheme="minorEastAsia"/>
          <w:color w:val="auto"/>
          <w:sz w:val="28"/>
          <w:szCs w:val="28"/>
          <w:highlight w:val="none"/>
          <w:u w:val="single"/>
        </w:rPr>
        <w:t xml:space="preserve">                  </w:t>
      </w:r>
    </w:p>
    <w:p w14:paraId="06B77718">
      <w:pPr>
        <w:snapToGrid w:val="0"/>
        <w:spacing w:line="300" w:lineRule="auto"/>
        <w:ind w:firstLine="3080" w:firstLineChars="1100"/>
        <w:contextualSpacing/>
        <w:rPr>
          <w:rFonts w:hint="eastAsia" w:asciiTheme="minorEastAsia" w:hAnsiTheme="minorEastAsia" w:eastAsiaTheme="minorEastAsia" w:cstheme="minorEastAsia"/>
          <w:color w:val="auto"/>
          <w:kern w:val="0"/>
          <w:sz w:val="32"/>
          <w:szCs w:val="32"/>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4760991A">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5FDE5BED">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707978FF">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7F23D009">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1BF0DDC9">
      <w:pPr>
        <w:snapToGrid w:val="0"/>
        <w:spacing w:line="400" w:lineRule="exact"/>
        <w:ind w:firstLine="540" w:firstLineChars="192"/>
        <w:contextualSpacing/>
        <w:rPr>
          <w:rFonts w:hint="eastAsia" w:asciiTheme="minorEastAsia" w:hAnsiTheme="minorEastAsia" w:eastAsiaTheme="minorEastAsia" w:cstheme="minorEastAsia"/>
          <w:b/>
          <w:color w:val="auto"/>
          <w:kern w:val="0"/>
          <w:sz w:val="28"/>
          <w:szCs w:val="28"/>
          <w:highlight w:val="none"/>
        </w:rPr>
      </w:pPr>
    </w:p>
    <w:p w14:paraId="7DBB8ACD">
      <w:pPr>
        <w:widowControl/>
        <w:jc w:val="left"/>
        <w:rPr>
          <w:rFonts w:hint="eastAsia" w:asciiTheme="minorEastAsia" w:hAnsiTheme="minorEastAsia" w:eastAsiaTheme="minorEastAsia" w:cstheme="minorEastAsia"/>
          <w:color w:val="auto"/>
          <w:kern w:val="0"/>
          <w:sz w:val="32"/>
          <w:szCs w:val="32"/>
          <w:highlight w:val="none"/>
        </w:rPr>
      </w:pPr>
      <w:r>
        <w:rPr>
          <w:rFonts w:hint="eastAsia" w:asciiTheme="minorEastAsia" w:hAnsiTheme="minorEastAsia" w:eastAsiaTheme="minorEastAsia" w:cstheme="minorEastAsia"/>
          <w:color w:val="auto"/>
          <w:kern w:val="0"/>
          <w:sz w:val="32"/>
          <w:szCs w:val="32"/>
          <w:highlight w:val="none"/>
        </w:rPr>
        <w:t>附件8</w:t>
      </w:r>
    </w:p>
    <w:p w14:paraId="44B8F183">
      <w:pPr>
        <w:spacing w:line="400" w:lineRule="exact"/>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分项报价明</w:t>
      </w:r>
      <w:r>
        <w:rPr>
          <w:rFonts w:hint="eastAsia" w:ascii="宋体" w:hAnsi="宋体" w:eastAsia="宋体" w:cs="宋体"/>
          <w:b/>
          <w:bCs/>
          <w:color w:val="000000"/>
          <w:sz w:val="32"/>
          <w:szCs w:val="32"/>
          <w:highlight w:val="none"/>
        </w:rPr>
        <w:t>细表（服务类）</w:t>
      </w:r>
    </w:p>
    <w:p w14:paraId="168F1002">
      <w:pPr>
        <w:snapToGrid w:val="0"/>
        <w:spacing w:line="400" w:lineRule="exact"/>
        <w:rPr>
          <w:rFonts w:eastAsia="仿宋_GB2312"/>
          <w:sz w:val="28"/>
          <w:szCs w:val="28"/>
          <w:highlight w:val="yellow"/>
        </w:rPr>
      </w:pPr>
      <w:r>
        <w:rPr>
          <w:rFonts w:eastAsia="仿宋"/>
          <w:bCs/>
          <w:color w:val="000000"/>
          <w:sz w:val="28"/>
          <w:szCs w:val="28"/>
        </w:rPr>
        <w:t>项目编号：</w:t>
      </w:r>
      <w:r>
        <w:rPr>
          <w:rFonts w:eastAsia="仿宋"/>
          <w:sz w:val="28"/>
          <w:szCs w:val="28"/>
          <w:u w:val="single"/>
        </w:rPr>
        <w:t xml:space="preserve">                      </w:t>
      </w:r>
    </w:p>
    <w:p w14:paraId="426CCED2">
      <w:pPr>
        <w:snapToGrid w:val="0"/>
        <w:spacing w:line="400" w:lineRule="exact"/>
        <w:rPr>
          <w:rFonts w:eastAsia="仿宋_GB2312"/>
          <w:color w:val="000000"/>
          <w:sz w:val="28"/>
          <w:szCs w:val="28"/>
        </w:rPr>
      </w:pPr>
      <w:r>
        <w:rPr>
          <w:rFonts w:hint="eastAsia" w:eastAsia="仿宋_GB2312"/>
          <w:sz w:val="28"/>
          <w:szCs w:val="28"/>
        </w:rPr>
        <w:t>供应商</w:t>
      </w:r>
      <w:r>
        <w:rPr>
          <w:rFonts w:eastAsia="仿宋_GB2312"/>
          <w:sz w:val="28"/>
          <w:szCs w:val="28"/>
        </w:rPr>
        <w:t>名称（</w:t>
      </w:r>
      <w:r>
        <w:rPr>
          <w:rFonts w:hint="eastAsia" w:eastAsia="仿宋"/>
          <w:bCs/>
          <w:color w:val="000000"/>
          <w:sz w:val="28"/>
          <w:szCs w:val="28"/>
        </w:rPr>
        <w:t>加盖公章</w:t>
      </w:r>
      <w:r>
        <w:rPr>
          <w:rFonts w:eastAsia="仿宋_GB2312"/>
          <w:sz w:val="28"/>
          <w:szCs w:val="28"/>
        </w:rPr>
        <w:t>）：                     年  月  日</w:t>
      </w:r>
    </w:p>
    <w:tbl>
      <w:tblPr>
        <w:tblStyle w:val="11"/>
        <w:tblW w:w="10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1162"/>
        <w:gridCol w:w="1404"/>
      </w:tblGrid>
      <w:tr w14:paraId="62A0D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vAlign w:val="center"/>
          </w:tcPr>
          <w:p w14:paraId="621B4C4E">
            <w:pPr>
              <w:snapToGrid w:val="0"/>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序号</w:t>
            </w:r>
          </w:p>
        </w:tc>
        <w:tc>
          <w:tcPr>
            <w:tcW w:w="1321" w:type="dxa"/>
            <w:vAlign w:val="center"/>
          </w:tcPr>
          <w:p w14:paraId="4C4B39CE">
            <w:pPr>
              <w:snapToGrid w:val="0"/>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名称</w:t>
            </w:r>
          </w:p>
        </w:tc>
        <w:tc>
          <w:tcPr>
            <w:tcW w:w="1417" w:type="dxa"/>
            <w:vAlign w:val="center"/>
          </w:tcPr>
          <w:p w14:paraId="7CF57C22">
            <w:pPr>
              <w:snapToGrid w:val="0"/>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服务范围</w:t>
            </w:r>
          </w:p>
        </w:tc>
        <w:tc>
          <w:tcPr>
            <w:tcW w:w="1418" w:type="dxa"/>
            <w:vAlign w:val="center"/>
          </w:tcPr>
          <w:p w14:paraId="70A81E8F">
            <w:pPr>
              <w:snapToGrid w:val="0"/>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服务要求</w:t>
            </w:r>
          </w:p>
        </w:tc>
        <w:tc>
          <w:tcPr>
            <w:tcW w:w="1275" w:type="dxa"/>
            <w:vAlign w:val="center"/>
          </w:tcPr>
          <w:p w14:paraId="7CA937AD">
            <w:pPr>
              <w:snapToGrid w:val="0"/>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服务时间</w:t>
            </w:r>
          </w:p>
        </w:tc>
        <w:tc>
          <w:tcPr>
            <w:tcW w:w="1276" w:type="dxa"/>
            <w:vAlign w:val="center"/>
          </w:tcPr>
          <w:p w14:paraId="02C9DF10">
            <w:pPr>
              <w:snapToGrid w:val="0"/>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服务标准</w:t>
            </w:r>
          </w:p>
        </w:tc>
        <w:tc>
          <w:tcPr>
            <w:tcW w:w="1162" w:type="dxa"/>
            <w:vAlign w:val="center"/>
          </w:tcPr>
          <w:p w14:paraId="157F1BFE">
            <w:pPr>
              <w:snapToGrid w:val="0"/>
              <w:spacing w:line="360" w:lineRule="auto"/>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金额</w:t>
            </w:r>
          </w:p>
        </w:tc>
        <w:tc>
          <w:tcPr>
            <w:tcW w:w="1404" w:type="dxa"/>
            <w:vAlign w:val="center"/>
          </w:tcPr>
          <w:p w14:paraId="48619513">
            <w:pPr>
              <w:snapToGrid w:val="0"/>
              <w:spacing w:line="360" w:lineRule="auto"/>
              <w:ind w:firstLine="105" w:firstLineChars="50"/>
              <w:jc w:val="center"/>
              <w:rPr>
                <w:rFonts w:ascii="黑体" w:hAnsi="黑体" w:eastAsia="黑体" w:cs="黑体"/>
                <w:bCs/>
                <w:color w:val="000000"/>
                <w:szCs w:val="21"/>
                <w:highlight w:val="none"/>
              </w:rPr>
            </w:pPr>
            <w:r>
              <w:rPr>
                <w:rFonts w:hint="eastAsia" w:ascii="黑体" w:hAnsi="黑体" w:eastAsia="黑体" w:cs="黑体"/>
                <w:bCs/>
                <w:color w:val="000000"/>
                <w:szCs w:val="21"/>
                <w:highlight w:val="none"/>
              </w:rPr>
              <w:t>备注</w:t>
            </w:r>
          </w:p>
        </w:tc>
      </w:tr>
      <w:tr w14:paraId="294F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vAlign w:val="center"/>
          </w:tcPr>
          <w:p w14:paraId="4F01D088">
            <w:pPr>
              <w:snapToGrid w:val="0"/>
              <w:spacing w:line="360" w:lineRule="auto"/>
              <w:jc w:val="center"/>
              <w:rPr>
                <w:rFonts w:eastAsia="仿宋_GB2312"/>
                <w:color w:val="000000"/>
                <w:szCs w:val="21"/>
                <w:highlight w:val="none"/>
              </w:rPr>
            </w:pPr>
            <w:r>
              <w:rPr>
                <w:rFonts w:eastAsia="仿宋_GB2312"/>
                <w:color w:val="000000"/>
                <w:szCs w:val="21"/>
                <w:highlight w:val="none"/>
              </w:rPr>
              <w:t>1</w:t>
            </w:r>
          </w:p>
        </w:tc>
        <w:tc>
          <w:tcPr>
            <w:tcW w:w="1321" w:type="dxa"/>
            <w:vAlign w:val="center"/>
          </w:tcPr>
          <w:p w14:paraId="13A9CC13">
            <w:pPr>
              <w:snapToGrid w:val="0"/>
              <w:spacing w:line="360" w:lineRule="auto"/>
              <w:jc w:val="center"/>
              <w:rPr>
                <w:rFonts w:eastAsia="仿宋_GB2312"/>
                <w:color w:val="000000"/>
                <w:sz w:val="24"/>
                <w:highlight w:val="none"/>
              </w:rPr>
            </w:pPr>
          </w:p>
        </w:tc>
        <w:tc>
          <w:tcPr>
            <w:tcW w:w="1417" w:type="dxa"/>
            <w:vAlign w:val="center"/>
          </w:tcPr>
          <w:p w14:paraId="7406A022">
            <w:pPr>
              <w:snapToGrid w:val="0"/>
              <w:spacing w:line="360" w:lineRule="auto"/>
              <w:jc w:val="center"/>
              <w:rPr>
                <w:rFonts w:eastAsia="仿宋_GB2312"/>
                <w:color w:val="000000"/>
                <w:sz w:val="24"/>
                <w:highlight w:val="none"/>
              </w:rPr>
            </w:pPr>
          </w:p>
        </w:tc>
        <w:tc>
          <w:tcPr>
            <w:tcW w:w="1418" w:type="dxa"/>
            <w:vAlign w:val="center"/>
          </w:tcPr>
          <w:p w14:paraId="3D3A3123">
            <w:pPr>
              <w:snapToGrid w:val="0"/>
              <w:spacing w:line="360" w:lineRule="auto"/>
              <w:jc w:val="center"/>
              <w:rPr>
                <w:rFonts w:eastAsia="仿宋_GB2312"/>
                <w:color w:val="000000"/>
                <w:sz w:val="24"/>
                <w:highlight w:val="none"/>
              </w:rPr>
            </w:pPr>
          </w:p>
        </w:tc>
        <w:tc>
          <w:tcPr>
            <w:tcW w:w="1275" w:type="dxa"/>
            <w:vAlign w:val="center"/>
          </w:tcPr>
          <w:p w14:paraId="7C7BDE0F">
            <w:pPr>
              <w:snapToGrid w:val="0"/>
              <w:spacing w:line="360" w:lineRule="auto"/>
              <w:jc w:val="center"/>
              <w:rPr>
                <w:rFonts w:eastAsia="仿宋_GB2312"/>
                <w:color w:val="000000"/>
                <w:sz w:val="24"/>
                <w:highlight w:val="none"/>
              </w:rPr>
            </w:pPr>
          </w:p>
        </w:tc>
        <w:tc>
          <w:tcPr>
            <w:tcW w:w="1276" w:type="dxa"/>
            <w:vAlign w:val="center"/>
          </w:tcPr>
          <w:p w14:paraId="3702D731">
            <w:pPr>
              <w:snapToGrid w:val="0"/>
              <w:spacing w:line="360" w:lineRule="auto"/>
              <w:jc w:val="center"/>
              <w:rPr>
                <w:rFonts w:eastAsia="仿宋_GB2312"/>
                <w:color w:val="000000"/>
                <w:sz w:val="24"/>
                <w:highlight w:val="none"/>
              </w:rPr>
            </w:pPr>
          </w:p>
        </w:tc>
        <w:tc>
          <w:tcPr>
            <w:tcW w:w="1162" w:type="dxa"/>
            <w:vAlign w:val="center"/>
          </w:tcPr>
          <w:p w14:paraId="03064274">
            <w:pPr>
              <w:snapToGrid w:val="0"/>
              <w:spacing w:line="360" w:lineRule="auto"/>
              <w:jc w:val="center"/>
              <w:rPr>
                <w:rFonts w:eastAsia="仿宋_GB2312"/>
                <w:color w:val="000000"/>
                <w:sz w:val="24"/>
                <w:highlight w:val="none"/>
              </w:rPr>
            </w:pPr>
          </w:p>
        </w:tc>
        <w:tc>
          <w:tcPr>
            <w:tcW w:w="1404" w:type="dxa"/>
            <w:vAlign w:val="center"/>
          </w:tcPr>
          <w:p w14:paraId="223012D7">
            <w:pPr>
              <w:snapToGrid w:val="0"/>
              <w:spacing w:line="360" w:lineRule="auto"/>
              <w:jc w:val="center"/>
              <w:rPr>
                <w:rFonts w:eastAsia="仿宋_GB2312"/>
                <w:color w:val="000000"/>
                <w:sz w:val="24"/>
                <w:highlight w:val="none"/>
              </w:rPr>
            </w:pPr>
          </w:p>
        </w:tc>
      </w:tr>
      <w:tr w14:paraId="7C2DB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vAlign w:val="center"/>
          </w:tcPr>
          <w:p w14:paraId="6BCE563A">
            <w:pPr>
              <w:snapToGrid w:val="0"/>
              <w:spacing w:line="360" w:lineRule="auto"/>
              <w:jc w:val="center"/>
              <w:rPr>
                <w:rFonts w:eastAsia="仿宋_GB2312"/>
                <w:color w:val="000000"/>
                <w:szCs w:val="21"/>
                <w:highlight w:val="none"/>
              </w:rPr>
            </w:pPr>
            <w:r>
              <w:rPr>
                <w:rFonts w:eastAsia="仿宋_GB2312"/>
                <w:color w:val="000000"/>
                <w:szCs w:val="21"/>
                <w:highlight w:val="none"/>
              </w:rPr>
              <w:t>2</w:t>
            </w:r>
          </w:p>
        </w:tc>
        <w:tc>
          <w:tcPr>
            <w:tcW w:w="1321" w:type="dxa"/>
            <w:vAlign w:val="center"/>
          </w:tcPr>
          <w:p w14:paraId="65CEEAB3">
            <w:pPr>
              <w:snapToGrid w:val="0"/>
              <w:spacing w:line="360" w:lineRule="auto"/>
              <w:jc w:val="center"/>
              <w:rPr>
                <w:rFonts w:eastAsia="仿宋_GB2312"/>
                <w:color w:val="000000"/>
                <w:sz w:val="24"/>
                <w:highlight w:val="none"/>
              </w:rPr>
            </w:pPr>
          </w:p>
        </w:tc>
        <w:tc>
          <w:tcPr>
            <w:tcW w:w="1417" w:type="dxa"/>
            <w:vAlign w:val="center"/>
          </w:tcPr>
          <w:p w14:paraId="4E0ECA24">
            <w:pPr>
              <w:snapToGrid w:val="0"/>
              <w:spacing w:line="360" w:lineRule="auto"/>
              <w:jc w:val="center"/>
              <w:rPr>
                <w:rFonts w:eastAsia="仿宋_GB2312"/>
                <w:color w:val="000000"/>
                <w:sz w:val="24"/>
                <w:highlight w:val="none"/>
              </w:rPr>
            </w:pPr>
          </w:p>
        </w:tc>
        <w:tc>
          <w:tcPr>
            <w:tcW w:w="1418" w:type="dxa"/>
            <w:vAlign w:val="center"/>
          </w:tcPr>
          <w:p w14:paraId="286D9D3F">
            <w:pPr>
              <w:snapToGrid w:val="0"/>
              <w:spacing w:line="360" w:lineRule="auto"/>
              <w:jc w:val="center"/>
              <w:rPr>
                <w:rFonts w:eastAsia="仿宋_GB2312"/>
                <w:color w:val="000000"/>
                <w:sz w:val="24"/>
                <w:highlight w:val="none"/>
              </w:rPr>
            </w:pPr>
          </w:p>
        </w:tc>
        <w:tc>
          <w:tcPr>
            <w:tcW w:w="1275" w:type="dxa"/>
            <w:vAlign w:val="center"/>
          </w:tcPr>
          <w:p w14:paraId="10364F62">
            <w:pPr>
              <w:snapToGrid w:val="0"/>
              <w:spacing w:line="360" w:lineRule="auto"/>
              <w:jc w:val="center"/>
              <w:rPr>
                <w:rFonts w:eastAsia="仿宋_GB2312"/>
                <w:color w:val="000000"/>
                <w:sz w:val="24"/>
                <w:highlight w:val="none"/>
              </w:rPr>
            </w:pPr>
          </w:p>
        </w:tc>
        <w:tc>
          <w:tcPr>
            <w:tcW w:w="1276" w:type="dxa"/>
            <w:vAlign w:val="center"/>
          </w:tcPr>
          <w:p w14:paraId="0E901FBF">
            <w:pPr>
              <w:snapToGrid w:val="0"/>
              <w:spacing w:line="360" w:lineRule="auto"/>
              <w:jc w:val="center"/>
              <w:rPr>
                <w:rFonts w:eastAsia="仿宋_GB2312"/>
                <w:color w:val="000000"/>
                <w:sz w:val="24"/>
                <w:highlight w:val="none"/>
              </w:rPr>
            </w:pPr>
          </w:p>
        </w:tc>
        <w:tc>
          <w:tcPr>
            <w:tcW w:w="1162" w:type="dxa"/>
            <w:vAlign w:val="center"/>
          </w:tcPr>
          <w:p w14:paraId="4A1E9E41">
            <w:pPr>
              <w:snapToGrid w:val="0"/>
              <w:spacing w:line="360" w:lineRule="auto"/>
              <w:jc w:val="center"/>
              <w:rPr>
                <w:rFonts w:eastAsia="仿宋_GB2312"/>
                <w:color w:val="000000"/>
                <w:sz w:val="24"/>
                <w:highlight w:val="none"/>
              </w:rPr>
            </w:pPr>
          </w:p>
        </w:tc>
        <w:tc>
          <w:tcPr>
            <w:tcW w:w="1404" w:type="dxa"/>
            <w:vAlign w:val="center"/>
          </w:tcPr>
          <w:p w14:paraId="13AA027A">
            <w:pPr>
              <w:snapToGrid w:val="0"/>
              <w:spacing w:line="360" w:lineRule="auto"/>
              <w:jc w:val="center"/>
              <w:rPr>
                <w:rFonts w:eastAsia="仿宋_GB2312"/>
                <w:color w:val="000000"/>
                <w:sz w:val="24"/>
                <w:highlight w:val="none"/>
              </w:rPr>
            </w:pPr>
          </w:p>
        </w:tc>
      </w:tr>
      <w:tr w14:paraId="40F3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0064E7A1">
            <w:pPr>
              <w:snapToGrid w:val="0"/>
              <w:spacing w:line="360" w:lineRule="auto"/>
              <w:jc w:val="center"/>
              <w:rPr>
                <w:rFonts w:eastAsia="仿宋_GB2312"/>
                <w:color w:val="000000"/>
                <w:szCs w:val="21"/>
                <w:highlight w:val="none"/>
              </w:rPr>
            </w:pPr>
            <w:r>
              <w:rPr>
                <w:rFonts w:eastAsia="仿宋_GB2312"/>
                <w:color w:val="000000"/>
                <w:szCs w:val="21"/>
                <w:highlight w:val="none"/>
              </w:rPr>
              <w:t>3</w:t>
            </w:r>
          </w:p>
        </w:tc>
        <w:tc>
          <w:tcPr>
            <w:tcW w:w="1321" w:type="dxa"/>
            <w:vAlign w:val="center"/>
          </w:tcPr>
          <w:p w14:paraId="3A16CC74">
            <w:pPr>
              <w:snapToGrid w:val="0"/>
              <w:spacing w:line="360" w:lineRule="auto"/>
              <w:jc w:val="center"/>
              <w:rPr>
                <w:rFonts w:eastAsia="仿宋_GB2312"/>
                <w:color w:val="000000"/>
                <w:sz w:val="24"/>
                <w:highlight w:val="none"/>
              </w:rPr>
            </w:pPr>
          </w:p>
        </w:tc>
        <w:tc>
          <w:tcPr>
            <w:tcW w:w="1417" w:type="dxa"/>
            <w:vAlign w:val="center"/>
          </w:tcPr>
          <w:p w14:paraId="17AE4421">
            <w:pPr>
              <w:snapToGrid w:val="0"/>
              <w:spacing w:line="360" w:lineRule="auto"/>
              <w:jc w:val="center"/>
              <w:rPr>
                <w:rFonts w:eastAsia="仿宋_GB2312"/>
                <w:color w:val="000000"/>
                <w:sz w:val="24"/>
                <w:highlight w:val="none"/>
              </w:rPr>
            </w:pPr>
          </w:p>
        </w:tc>
        <w:tc>
          <w:tcPr>
            <w:tcW w:w="1418" w:type="dxa"/>
            <w:vAlign w:val="center"/>
          </w:tcPr>
          <w:p w14:paraId="13785A84">
            <w:pPr>
              <w:snapToGrid w:val="0"/>
              <w:spacing w:line="360" w:lineRule="auto"/>
              <w:jc w:val="center"/>
              <w:rPr>
                <w:rFonts w:eastAsia="仿宋_GB2312"/>
                <w:color w:val="000000"/>
                <w:sz w:val="24"/>
                <w:highlight w:val="none"/>
              </w:rPr>
            </w:pPr>
          </w:p>
        </w:tc>
        <w:tc>
          <w:tcPr>
            <w:tcW w:w="1275" w:type="dxa"/>
            <w:vAlign w:val="center"/>
          </w:tcPr>
          <w:p w14:paraId="0B353A18">
            <w:pPr>
              <w:snapToGrid w:val="0"/>
              <w:spacing w:line="360" w:lineRule="auto"/>
              <w:jc w:val="center"/>
              <w:rPr>
                <w:rFonts w:eastAsia="仿宋_GB2312"/>
                <w:color w:val="000000"/>
                <w:sz w:val="24"/>
                <w:highlight w:val="none"/>
              </w:rPr>
            </w:pPr>
          </w:p>
        </w:tc>
        <w:tc>
          <w:tcPr>
            <w:tcW w:w="1276" w:type="dxa"/>
            <w:vAlign w:val="center"/>
          </w:tcPr>
          <w:p w14:paraId="140270C8">
            <w:pPr>
              <w:snapToGrid w:val="0"/>
              <w:spacing w:line="360" w:lineRule="auto"/>
              <w:jc w:val="center"/>
              <w:rPr>
                <w:rFonts w:eastAsia="仿宋_GB2312"/>
                <w:color w:val="000000"/>
                <w:sz w:val="24"/>
                <w:highlight w:val="none"/>
              </w:rPr>
            </w:pPr>
          </w:p>
        </w:tc>
        <w:tc>
          <w:tcPr>
            <w:tcW w:w="1162" w:type="dxa"/>
            <w:vAlign w:val="center"/>
          </w:tcPr>
          <w:p w14:paraId="3CAD55C3">
            <w:pPr>
              <w:snapToGrid w:val="0"/>
              <w:spacing w:line="360" w:lineRule="auto"/>
              <w:jc w:val="center"/>
              <w:rPr>
                <w:rFonts w:eastAsia="仿宋_GB2312"/>
                <w:color w:val="000000"/>
                <w:sz w:val="24"/>
                <w:highlight w:val="none"/>
              </w:rPr>
            </w:pPr>
          </w:p>
        </w:tc>
        <w:tc>
          <w:tcPr>
            <w:tcW w:w="1404" w:type="dxa"/>
            <w:vAlign w:val="center"/>
          </w:tcPr>
          <w:p w14:paraId="60C00104">
            <w:pPr>
              <w:snapToGrid w:val="0"/>
              <w:spacing w:line="360" w:lineRule="auto"/>
              <w:jc w:val="center"/>
              <w:rPr>
                <w:rFonts w:eastAsia="仿宋_GB2312"/>
                <w:color w:val="000000"/>
                <w:sz w:val="24"/>
                <w:highlight w:val="none"/>
              </w:rPr>
            </w:pPr>
          </w:p>
        </w:tc>
      </w:tr>
      <w:tr w14:paraId="5B168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6539F707">
            <w:pPr>
              <w:snapToGrid w:val="0"/>
              <w:spacing w:line="360" w:lineRule="auto"/>
              <w:jc w:val="center"/>
              <w:rPr>
                <w:rFonts w:eastAsia="仿宋_GB2312"/>
                <w:color w:val="000000"/>
                <w:szCs w:val="21"/>
                <w:highlight w:val="none"/>
              </w:rPr>
            </w:pPr>
            <w:r>
              <w:rPr>
                <w:rFonts w:eastAsia="仿宋_GB2312"/>
                <w:color w:val="000000"/>
                <w:szCs w:val="21"/>
                <w:highlight w:val="none"/>
              </w:rPr>
              <w:t>4</w:t>
            </w:r>
          </w:p>
        </w:tc>
        <w:tc>
          <w:tcPr>
            <w:tcW w:w="1321" w:type="dxa"/>
            <w:vAlign w:val="center"/>
          </w:tcPr>
          <w:p w14:paraId="7BC6B216">
            <w:pPr>
              <w:snapToGrid w:val="0"/>
              <w:spacing w:line="360" w:lineRule="auto"/>
              <w:jc w:val="center"/>
              <w:rPr>
                <w:rFonts w:eastAsia="仿宋_GB2312"/>
                <w:color w:val="000000"/>
                <w:sz w:val="24"/>
                <w:highlight w:val="none"/>
              </w:rPr>
            </w:pPr>
          </w:p>
        </w:tc>
        <w:tc>
          <w:tcPr>
            <w:tcW w:w="1417" w:type="dxa"/>
            <w:vAlign w:val="center"/>
          </w:tcPr>
          <w:p w14:paraId="10AB0170">
            <w:pPr>
              <w:snapToGrid w:val="0"/>
              <w:spacing w:line="360" w:lineRule="auto"/>
              <w:jc w:val="center"/>
              <w:rPr>
                <w:rFonts w:eastAsia="仿宋_GB2312"/>
                <w:color w:val="000000"/>
                <w:sz w:val="24"/>
                <w:highlight w:val="none"/>
              </w:rPr>
            </w:pPr>
          </w:p>
        </w:tc>
        <w:tc>
          <w:tcPr>
            <w:tcW w:w="1418" w:type="dxa"/>
            <w:vAlign w:val="center"/>
          </w:tcPr>
          <w:p w14:paraId="0B62DA84">
            <w:pPr>
              <w:snapToGrid w:val="0"/>
              <w:spacing w:line="360" w:lineRule="auto"/>
              <w:jc w:val="center"/>
              <w:rPr>
                <w:rFonts w:eastAsia="仿宋_GB2312"/>
                <w:color w:val="000000"/>
                <w:sz w:val="24"/>
                <w:highlight w:val="none"/>
              </w:rPr>
            </w:pPr>
          </w:p>
        </w:tc>
        <w:tc>
          <w:tcPr>
            <w:tcW w:w="1275" w:type="dxa"/>
            <w:vAlign w:val="center"/>
          </w:tcPr>
          <w:p w14:paraId="6A65AF99">
            <w:pPr>
              <w:snapToGrid w:val="0"/>
              <w:spacing w:line="360" w:lineRule="auto"/>
              <w:jc w:val="center"/>
              <w:rPr>
                <w:rFonts w:eastAsia="仿宋_GB2312"/>
                <w:color w:val="000000"/>
                <w:sz w:val="24"/>
                <w:highlight w:val="none"/>
              </w:rPr>
            </w:pPr>
          </w:p>
        </w:tc>
        <w:tc>
          <w:tcPr>
            <w:tcW w:w="1276" w:type="dxa"/>
            <w:vAlign w:val="center"/>
          </w:tcPr>
          <w:p w14:paraId="5A0E82E2">
            <w:pPr>
              <w:snapToGrid w:val="0"/>
              <w:spacing w:line="360" w:lineRule="auto"/>
              <w:jc w:val="center"/>
              <w:rPr>
                <w:rFonts w:eastAsia="仿宋_GB2312"/>
                <w:color w:val="000000"/>
                <w:sz w:val="24"/>
                <w:highlight w:val="none"/>
              </w:rPr>
            </w:pPr>
          </w:p>
        </w:tc>
        <w:tc>
          <w:tcPr>
            <w:tcW w:w="1162" w:type="dxa"/>
            <w:vAlign w:val="center"/>
          </w:tcPr>
          <w:p w14:paraId="79BFED11">
            <w:pPr>
              <w:snapToGrid w:val="0"/>
              <w:spacing w:line="360" w:lineRule="auto"/>
              <w:jc w:val="center"/>
              <w:rPr>
                <w:rFonts w:eastAsia="仿宋_GB2312"/>
                <w:color w:val="000000"/>
                <w:sz w:val="24"/>
                <w:highlight w:val="none"/>
              </w:rPr>
            </w:pPr>
          </w:p>
        </w:tc>
        <w:tc>
          <w:tcPr>
            <w:tcW w:w="1404" w:type="dxa"/>
            <w:vAlign w:val="center"/>
          </w:tcPr>
          <w:p w14:paraId="52F6A4A1">
            <w:pPr>
              <w:snapToGrid w:val="0"/>
              <w:spacing w:line="360" w:lineRule="auto"/>
              <w:jc w:val="center"/>
              <w:rPr>
                <w:rFonts w:eastAsia="仿宋_GB2312"/>
                <w:color w:val="000000"/>
                <w:sz w:val="24"/>
                <w:highlight w:val="none"/>
              </w:rPr>
            </w:pPr>
          </w:p>
        </w:tc>
      </w:tr>
      <w:tr w14:paraId="273A8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0B36C000">
            <w:pPr>
              <w:snapToGrid w:val="0"/>
              <w:spacing w:line="360" w:lineRule="auto"/>
              <w:jc w:val="center"/>
              <w:rPr>
                <w:rFonts w:eastAsia="仿宋_GB2312"/>
                <w:color w:val="000000"/>
                <w:sz w:val="24"/>
                <w:highlight w:val="none"/>
              </w:rPr>
            </w:pPr>
          </w:p>
        </w:tc>
        <w:tc>
          <w:tcPr>
            <w:tcW w:w="1321" w:type="dxa"/>
            <w:vAlign w:val="center"/>
          </w:tcPr>
          <w:p w14:paraId="4E70865B">
            <w:pPr>
              <w:snapToGrid w:val="0"/>
              <w:spacing w:line="360" w:lineRule="auto"/>
              <w:jc w:val="center"/>
              <w:rPr>
                <w:rFonts w:eastAsia="仿宋_GB2312"/>
                <w:color w:val="000000"/>
                <w:sz w:val="24"/>
                <w:highlight w:val="none"/>
              </w:rPr>
            </w:pPr>
          </w:p>
        </w:tc>
        <w:tc>
          <w:tcPr>
            <w:tcW w:w="1417" w:type="dxa"/>
            <w:vAlign w:val="center"/>
          </w:tcPr>
          <w:p w14:paraId="4DDF4067">
            <w:pPr>
              <w:snapToGrid w:val="0"/>
              <w:spacing w:line="360" w:lineRule="auto"/>
              <w:jc w:val="center"/>
              <w:rPr>
                <w:rFonts w:eastAsia="仿宋_GB2312"/>
                <w:color w:val="000000"/>
                <w:sz w:val="24"/>
                <w:highlight w:val="none"/>
              </w:rPr>
            </w:pPr>
          </w:p>
        </w:tc>
        <w:tc>
          <w:tcPr>
            <w:tcW w:w="1418" w:type="dxa"/>
            <w:vAlign w:val="center"/>
          </w:tcPr>
          <w:p w14:paraId="08B6861D">
            <w:pPr>
              <w:snapToGrid w:val="0"/>
              <w:spacing w:line="360" w:lineRule="auto"/>
              <w:jc w:val="center"/>
              <w:rPr>
                <w:rFonts w:eastAsia="仿宋_GB2312"/>
                <w:color w:val="000000"/>
                <w:sz w:val="24"/>
                <w:highlight w:val="none"/>
              </w:rPr>
            </w:pPr>
          </w:p>
        </w:tc>
        <w:tc>
          <w:tcPr>
            <w:tcW w:w="1275" w:type="dxa"/>
            <w:vAlign w:val="center"/>
          </w:tcPr>
          <w:p w14:paraId="5D43C014">
            <w:pPr>
              <w:snapToGrid w:val="0"/>
              <w:spacing w:line="360" w:lineRule="auto"/>
              <w:jc w:val="center"/>
              <w:rPr>
                <w:rFonts w:eastAsia="仿宋_GB2312"/>
                <w:color w:val="000000"/>
                <w:sz w:val="24"/>
                <w:highlight w:val="none"/>
              </w:rPr>
            </w:pPr>
          </w:p>
        </w:tc>
        <w:tc>
          <w:tcPr>
            <w:tcW w:w="1276" w:type="dxa"/>
            <w:vAlign w:val="center"/>
          </w:tcPr>
          <w:p w14:paraId="0B2CAC4A">
            <w:pPr>
              <w:snapToGrid w:val="0"/>
              <w:spacing w:line="360" w:lineRule="auto"/>
              <w:jc w:val="center"/>
              <w:rPr>
                <w:rFonts w:eastAsia="仿宋_GB2312"/>
                <w:color w:val="000000"/>
                <w:sz w:val="24"/>
                <w:highlight w:val="none"/>
              </w:rPr>
            </w:pPr>
          </w:p>
        </w:tc>
        <w:tc>
          <w:tcPr>
            <w:tcW w:w="1162" w:type="dxa"/>
            <w:vAlign w:val="center"/>
          </w:tcPr>
          <w:p w14:paraId="4BDA515F">
            <w:pPr>
              <w:snapToGrid w:val="0"/>
              <w:spacing w:line="360" w:lineRule="auto"/>
              <w:jc w:val="center"/>
              <w:rPr>
                <w:rFonts w:eastAsia="仿宋_GB2312"/>
                <w:color w:val="000000"/>
                <w:sz w:val="24"/>
                <w:highlight w:val="none"/>
              </w:rPr>
            </w:pPr>
          </w:p>
        </w:tc>
        <w:tc>
          <w:tcPr>
            <w:tcW w:w="1404" w:type="dxa"/>
            <w:vAlign w:val="center"/>
          </w:tcPr>
          <w:p w14:paraId="11709616">
            <w:pPr>
              <w:snapToGrid w:val="0"/>
              <w:spacing w:line="360" w:lineRule="auto"/>
              <w:jc w:val="center"/>
              <w:rPr>
                <w:rFonts w:eastAsia="仿宋_GB2312"/>
                <w:color w:val="000000"/>
                <w:sz w:val="24"/>
                <w:highlight w:val="none"/>
              </w:rPr>
            </w:pPr>
          </w:p>
        </w:tc>
      </w:tr>
      <w:tr w14:paraId="74D0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1574F0C9">
            <w:pPr>
              <w:snapToGrid w:val="0"/>
              <w:spacing w:line="360" w:lineRule="auto"/>
              <w:jc w:val="center"/>
              <w:rPr>
                <w:rFonts w:ascii="仿宋" w:hAnsi="仿宋" w:eastAsia="仿宋" w:cs="仿宋"/>
                <w:color w:val="000000"/>
                <w:sz w:val="24"/>
                <w:highlight w:val="none"/>
              </w:rPr>
            </w:pPr>
            <w:r>
              <w:rPr>
                <w:rFonts w:hint="eastAsia" w:ascii="仿宋" w:hAnsi="仿宋" w:eastAsia="仿宋" w:cs="仿宋"/>
                <w:color w:val="000000"/>
                <w:sz w:val="24"/>
                <w:highlight w:val="none"/>
              </w:rPr>
              <w:t>合计</w:t>
            </w:r>
          </w:p>
        </w:tc>
        <w:tc>
          <w:tcPr>
            <w:tcW w:w="6707" w:type="dxa"/>
            <w:gridSpan w:val="5"/>
            <w:vAlign w:val="center"/>
          </w:tcPr>
          <w:p w14:paraId="7C5568DF">
            <w:pPr>
              <w:snapToGrid w:val="0"/>
              <w:spacing w:line="360" w:lineRule="auto"/>
              <w:rPr>
                <w:rFonts w:ascii="仿宋" w:hAnsi="仿宋" w:eastAsia="仿宋" w:cs="仿宋"/>
                <w:color w:val="000000"/>
                <w:szCs w:val="21"/>
                <w:highlight w:val="none"/>
              </w:rPr>
            </w:pPr>
            <w:r>
              <w:rPr>
                <w:rFonts w:hint="eastAsia" w:ascii="仿宋" w:hAnsi="仿宋" w:eastAsia="仿宋" w:cs="仿宋"/>
                <w:szCs w:val="21"/>
                <w:highlight w:val="none"/>
              </w:rPr>
              <w:t>人民币（大写）：</w:t>
            </w:r>
          </w:p>
        </w:tc>
        <w:tc>
          <w:tcPr>
            <w:tcW w:w="2566" w:type="dxa"/>
            <w:gridSpan w:val="2"/>
            <w:vAlign w:val="center"/>
          </w:tcPr>
          <w:p w14:paraId="54C08A6E">
            <w:pPr>
              <w:snapToGrid w:val="0"/>
              <w:spacing w:line="360" w:lineRule="auto"/>
              <w:rPr>
                <w:rFonts w:ascii="仿宋" w:hAnsi="仿宋" w:eastAsia="仿宋" w:cs="仿宋"/>
                <w:color w:val="000000"/>
                <w:szCs w:val="21"/>
                <w:highlight w:val="none"/>
              </w:rPr>
            </w:pPr>
            <w:r>
              <w:rPr>
                <w:rFonts w:hint="eastAsia" w:ascii="仿宋" w:hAnsi="仿宋" w:eastAsia="仿宋" w:cs="仿宋"/>
                <w:szCs w:val="21"/>
                <w:highlight w:val="none"/>
              </w:rPr>
              <w:t>（小写）：¥</w:t>
            </w:r>
          </w:p>
        </w:tc>
      </w:tr>
    </w:tbl>
    <w:p w14:paraId="49E8C29E">
      <w:pPr>
        <w:spacing w:line="360" w:lineRule="auto"/>
        <w:rPr>
          <w:rFonts w:hint="eastAsia" w:ascii="宋体" w:hAnsi="宋体" w:cs="宋体"/>
          <w:b/>
          <w:color w:val="000000"/>
          <w:sz w:val="24"/>
          <w:highlight w:val="none"/>
          <w:lang w:val="zh-CN"/>
        </w:rPr>
      </w:pPr>
    </w:p>
    <w:p w14:paraId="650298A3">
      <w:pPr>
        <w:snapToGrid w:val="0"/>
        <w:spacing w:line="360" w:lineRule="auto"/>
        <w:rPr>
          <w:rFonts w:eastAsia="仿宋"/>
          <w:b/>
          <w:kern w:val="0"/>
          <w:sz w:val="24"/>
          <w:lang w:val="zh-CN"/>
        </w:rPr>
      </w:pPr>
      <w:r>
        <w:rPr>
          <w:rFonts w:eastAsia="仿宋"/>
          <w:b/>
          <w:kern w:val="0"/>
          <w:sz w:val="24"/>
          <w:lang w:val="zh-CN"/>
        </w:rPr>
        <w:t>注：1.供应商须按实填写</w:t>
      </w:r>
      <w:r>
        <w:rPr>
          <w:rFonts w:hint="eastAsia" w:eastAsia="仿宋"/>
          <w:b/>
          <w:kern w:val="0"/>
          <w:sz w:val="24"/>
          <w:lang w:val="zh-CN"/>
        </w:rPr>
        <w:t>分项报价</w:t>
      </w:r>
      <w:r>
        <w:rPr>
          <w:rFonts w:eastAsia="仿宋"/>
          <w:b/>
          <w:kern w:val="0"/>
          <w:sz w:val="24"/>
          <w:lang w:val="zh-CN"/>
        </w:rPr>
        <w:t>明细表中的各项内容，且本表各分项报价合计应当与磋商报价表报价合计相等</w:t>
      </w:r>
      <w:r>
        <w:rPr>
          <w:rFonts w:hint="eastAsia" w:eastAsia="仿宋"/>
          <w:b/>
          <w:kern w:val="0"/>
          <w:sz w:val="24"/>
          <w:lang w:val="zh-CN"/>
        </w:rPr>
        <w:t>，</w:t>
      </w:r>
      <w:r>
        <w:rPr>
          <w:rFonts w:eastAsia="仿宋"/>
          <w:b/>
          <w:kern w:val="0"/>
          <w:sz w:val="24"/>
          <w:lang w:val="zh-CN"/>
        </w:rPr>
        <w:t>请各供应商务必按照以上要求填报。</w:t>
      </w:r>
    </w:p>
    <w:p w14:paraId="2FA6996E">
      <w:pPr>
        <w:snapToGrid w:val="0"/>
        <w:spacing w:line="360" w:lineRule="auto"/>
        <w:ind w:firstLine="482" w:firstLineChars="200"/>
        <w:rPr>
          <w:rFonts w:eastAsia="仿宋"/>
          <w:b/>
          <w:kern w:val="0"/>
          <w:sz w:val="24"/>
          <w:lang w:val="zh-CN"/>
        </w:rPr>
      </w:pPr>
      <w:r>
        <w:rPr>
          <w:rFonts w:eastAsia="仿宋"/>
          <w:b/>
          <w:kern w:val="0"/>
          <w:sz w:val="24"/>
          <w:lang w:val="zh-CN"/>
        </w:rPr>
        <w:t>2.主要标的信息将随中标（成交）结果公告进行公示。内容不实的，属于提供虚假材料谋取中标、成交，依照《中华人民共和国政府采购法》等国家有关规定追究相应责任。</w:t>
      </w:r>
    </w:p>
    <w:p w14:paraId="55A39C85">
      <w:pPr>
        <w:pStyle w:val="6"/>
        <w:rPr>
          <w:rFonts w:hint="eastAsia"/>
        </w:rPr>
      </w:pPr>
    </w:p>
    <w:p w14:paraId="4B00147F">
      <w:pPr>
        <w:rPr>
          <w:rFonts w:hint="eastAsia"/>
        </w:rPr>
      </w:pPr>
    </w:p>
    <w:p w14:paraId="5B14B8CC">
      <w:pPr>
        <w:rPr>
          <w:rFonts w:hint="eastAsia"/>
        </w:rPr>
      </w:pPr>
    </w:p>
    <w:p w14:paraId="78DE20E5">
      <w:pPr>
        <w:rPr>
          <w:rFonts w:hint="eastAsia"/>
        </w:rPr>
      </w:pPr>
    </w:p>
    <w:p w14:paraId="0FA84B27">
      <w:pPr>
        <w:rPr>
          <w:rFonts w:hint="eastAsia"/>
        </w:rPr>
      </w:pPr>
    </w:p>
    <w:p w14:paraId="47740267">
      <w:pPr>
        <w:rPr>
          <w:rFonts w:hint="eastAsia"/>
        </w:rPr>
      </w:pPr>
    </w:p>
    <w:p w14:paraId="77B464CF">
      <w:pPr>
        <w:rPr>
          <w:rFonts w:hint="eastAsia"/>
        </w:rPr>
      </w:pPr>
    </w:p>
    <w:p w14:paraId="54FDF060">
      <w:pPr>
        <w:rPr>
          <w:rFonts w:hint="eastAsia"/>
        </w:rPr>
      </w:pPr>
    </w:p>
    <w:p w14:paraId="0A91DCD1">
      <w:pPr>
        <w:rPr>
          <w:rFonts w:hint="eastAsia"/>
        </w:rPr>
      </w:pPr>
    </w:p>
    <w:p w14:paraId="02380D8E">
      <w:pPr>
        <w:rPr>
          <w:rFonts w:hint="eastAsia"/>
        </w:rPr>
      </w:pPr>
    </w:p>
    <w:p w14:paraId="3D6B8075">
      <w:pPr>
        <w:rPr>
          <w:rFonts w:hint="eastAsia"/>
        </w:rPr>
      </w:pPr>
    </w:p>
    <w:p w14:paraId="15A45B63">
      <w:pPr>
        <w:rPr>
          <w:rFonts w:hint="eastAsia"/>
        </w:rPr>
      </w:pPr>
    </w:p>
    <w:p w14:paraId="2650AF59">
      <w:pPr>
        <w:rPr>
          <w:rFonts w:hint="eastAsia"/>
        </w:rPr>
      </w:pPr>
    </w:p>
    <w:p w14:paraId="02EE147E">
      <w:pPr>
        <w:rPr>
          <w:rFonts w:hint="eastAsia"/>
        </w:rPr>
      </w:pPr>
    </w:p>
    <w:p w14:paraId="22E64DC7">
      <w:pPr>
        <w:rPr>
          <w:rFonts w:hint="eastAsia"/>
        </w:rPr>
      </w:pPr>
    </w:p>
    <w:p w14:paraId="4664FF59">
      <w:pPr>
        <w:rPr>
          <w:rFonts w:hint="eastAsia"/>
        </w:rPr>
      </w:pPr>
    </w:p>
    <w:p w14:paraId="66EF6832">
      <w:pPr>
        <w:rPr>
          <w:rFonts w:hint="eastAsia"/>
        </w:rPr>
      </w:pPr>
    </w:p>
    <w:p w14:paraId="2E1D36DE">
      <w:pPr>
        <w:widowControl/>
        <w:jc w:val="left"/>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color w:val="auto"/>
          <w:kern w:val="0"/>
          <w:sz w:val="32"/>
          <w:szCs w:val="32"/>
          <w:highlight w:val="none"/>
        </w:rPr>
        <w:t>附件</w:t>
      </w:r>
      <w:r>
        <w:rPr>
          <w:rFonts w:hint="eastAsia" w:asciiTheme="minorEastAsia" w:hAnsiTheme="minorEastAsia" w:eastAsiaTheme="minorEastAsia" w:cstheme="minorEastAsia"/>
          <w:color w:val="auto"/>
          <w:kern w:val="0"/>
          <w:sz w:val="32"/>
          <w:szCs w:val="32"/>
          <w:highlight w:val="none"/>
          <w:lang w:val="en-US" w:eastAsia="zh-CN"/>
        </w:rPr>
        <w:t>9</w:t>
      </w:r>
    </w:p>
    <w:p w14:paraId="511A81AA">
      <w:pPr>
        <w:pStyle w:val="6"/>
        <w:rPr>
          <w:rFonts w:hint="eastAsia"/>
        </w:rPr>
      </w:pPr>
    </w:p>
    <w:p w14:paraId="044C2DB7">
      <w:pPr>
        <w:spacing w:line="400" w:lineRule="exact"/>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中小微企业声明函（服务类项目）（采购包号：**）</w:t>
      </w:r>
    </w:p>
    <w:p w14:paraId="798273B5">
      <w:pPr>
        <w:spacing w:line="380" w:lineRule="exact"/>
        <w:ind w:firstLine="360"/>
        <w:jc w:val="center"/>
        <w:rPr>
          <w:rFonts w:hint="eastAsia" w:asciiTheme="minorEastAsia" w:hAnsiTheme="minorEastAsia" w:eastAsiaTheme="minorEastAsia" w:cstheme="minorEastAsia"/>
          <w:color w:val="auto"/>
          <w:kern w:val="0"/>
          <w:sz w:val="24"/>
          <w:highlight w:val="none"/>
        </w:rPr>
      </w:pPr>
    </w:p>
    <w:p w14:paraId="1C9DE9BB">
      <w:pPr>
        <w:spacing w:line="380" w:lineRule="exact"/>
        <w:ind w:firstLine="36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本公司郑重声明，根据《政府采购促进中小企业发展管理办法》（财库〔2020〕46号）的规定，本公司参加</w:t>
      </w:r>
      <w:r>
        <w:rPr>
          <w:rFonts w:hint="eastAsia" w:asciiTheme="minorEastAsia" w:hAnsiTheme="minorEastAsia" w:eastAsiaTheme="minorEastAsia" w:cstheme="minorEastAsia"/>
          <w:color w:val="auto"/>
          <w:kern w:val="0"/>
          <w:sz w:val="24"/>
          <w:highlight w:val="none"/>
          <w:u w:val="single"/>
        </w:rPr>
        <w:t>（单位名称）</w:t>
      </w:r>
      <w:r>
        <w:rPr>
          <w:rFonts w:hint="eastAsia" w:asciiTheme="minorEastAsia" w:hAnsiTheme="minorEastAsia" w:eastAsiaTheme="minorEastAsia" w:cstheme="minorEastAsia"/>
          <w:color w:val="auto"/>
          <w:kern w:val="0"/>
          <w:sz w:val="24"/>
          <w:highlight w:val="none"/>
        </w:rPr>
        <w:t>采购编号为</w:t>
      </w:r>
      <w:r>
        <w:rPr>
          <w:rFonts w:hint="eastAsia" w:asciiTheme="minorEastAsia" w:hAnsiTheme="minorEastAsia" w:eastAsiaTheme="minorEastAsia" w:cstheme="minorEastAsia"/>
          <w:color w:val="auto"/>
          <w:kern w:val="0"/>
          <w:sz w:val="24"/>
          <w:highlight w:val="none"/>
          <w:u w:val="single"/>
        </w:rPr>
        <w:t>（采购编号）</w:t>
      </w:r>
      <w:r>
        <w:rPr>
          <w:rFonts w:hint="eastAsia" w:asciiTheme="minorEastAsia" w:hAnsiTheme="minorEastAsia" w:eastAsiaTheme="minorEastAsia" w:cstheme="minorEastAsia"/>
          <w:color w:val="auto"/>
          <w:kern w:val="0"/>
          <w:sz w:val="24"/>
          <w:highlight w:val="none"/>
        </w:rPr>
        <w:t>，</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项目（项目名称）（采购包号：**）的采购活动，提供的服务全部由符合政策的中小微企业承接。相关企业的具体情况如下：</w:t>
      </w:r>
    </w:p>
    <w:p w14:paraId="711C71E3">
      <w:pPr>
        <w:spacing w:line="380" w:lineRule="exact"/>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w:t>
      </w:r>
      <w:r>
        <w:rPr>
          <w:rFonts w:hint="eastAsia" w:asciiTheme="minorEastAsia" w:hAnsiTheme="minorEastAsia" w:eastAsiaTheme="minorEastAsia" w:cstheme="minorEastAsia"/>
          <w:color w:val="auto"/>
          <w:kern w:val="0"/>
          <w:sz w:val="24"/>
          <w:highlight w:val="none"/>
          <w:u w:val="single"/>
        </w:rPr>
        <w:t>（标的名称）</w:t>
      </w:r>
      <w:r>
        <w:rPr>
          <w:rFonts w:hint="eastAsia" w:asciiTheme="minorEastAsia" w:hAnsiTheme="minorEastAsia" w:eastAsiaTheme="minorEastAsia" w:cstheme="minorEastAsia"/>
          <w:color w:val="auto"/>
          <w:kern w:val="0"/>
          <w:sz w:val="24"/>
          <w:highlight w:val="none"/>
        </w:rPr>
        <w:t>，属于</w:t>
      </w:r>
      <w:r>
        <w:rPr>
          <w:rFonts w:hint="eastAsia" w:asciiTheme="minorEastAsia" w:hAnsiTheme="minorEastAsia" w:eastAsiaTheme="minorEastAsia" w:cstheme="minorEastAsia"/>
          <w:color w:val="auto"/>
          <w:kern w:val="0"/>
          <w:sz w:val="24"/>
          <w:highlight w:val="none"/>
          <w:u w:val="single"/>
        </w:rPr>
        <w:t>（供应商填写磋商文件中明确的所属行业）</w:t>
      </w:r>
      <w:r>
        <w:rPr>
          <w:rFonts w:hint="eastAsia" w:asciiTheme="minorEastAsia" w:hAnsiTheme="minorEastAsia" w:eastAsiaTheme="minorEastAsia" w:cstheme="minorEastAsia"/>
          <w:color w:val="auto"/>
          <w:kern w:val="0"/>
          <w:sz w:val="24"/>
          <w:highlight w:val="none"/>
        </w:rPr>
        <w:t>行业；承接企业为</w:t>
      </w:r>
      <w:r>
        <w:rPr>
          <w:rFonts w:hint="eastAsia" w:asciiTheme="minorEastAsia" w:hAnsiTheme="minorEastAsia" w:eastAsiaTheme="minorEastAsia" w:cstheme="minorEastAsia"/>
          <w:color w:val="auto"/>
          <w:kern w:val="0"/>
          <w:sz w:val="24"/>
          <w:highlight w:val="none"/>
          <w:u w:val="single"/>
        </w:rPr>
        <w:t>（企业名称）</w:t>
      </w:r>
      <w:r>
        <w:rPr>
          <w:rFonts w:hint="eastAsia" w:asciiTheme="minorEastAsia" w:hAnsiTheme="minorEastAsia" w:eastAsiaTheme="minorEastAsia" w:cstheme="minorEastAsia"/>
          <w:color w:val="auto"/>
          <w:kern w:val="0"/>
          <w:sz w:val="24"/>
          <w:highlight w:val="none"/>
        </w:rPr>
        <w:t>，从业人员</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人，营业收入为</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万元，资产总额为</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万元，属于（□中型企业 □小型企业 □微型企业）；</w:t>
      </w:r>
    </w:p>
    <w:p w14:paraId="6B4A1230">
      <w:pPr>
        <w:spacing w:line="380" w:lineRule="exact"/>
        <w:ind w:firstLine="480" w:firstLineChars="20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w:t>
      </w:r>
      <w:r>
        <w:rPr>
          <w:rFonts w:hint="eastAsia" w:asciiTheme="minorEastAsia" w:hAnsiTheme="minorEastAsia" w:eastAsiaTheme="minorEastAsia" w:cstheme="minorEastAsia"/>
          <w:color w:val="auto"/>
          <w:kern w:val="0"/>
          <w:sz w:val="24"/>
          <w:highlight w:val="none"/>
          <w:u w:val="single"/>
        </w:rPr>
        <w:t>（标的名称）</w:t>
      </w:r>
      <w:r>
        <w:rPr>
          <w:rFonts w:hint="eastAsia" w:asciiTheme="minorEastAsia" w:hAnsiTheme="minorEastAsia" w:eastAsiaTheme="minorEastAsia" w:cstheme="minorEastAsia"/>
          <w:color w:val="auto"/>
          <w:kern w:val="0"/>
          <w:sz w:val="24"/>
          <w:highlight w:val="none"/>
        </w:rPr>
        <w:t>，属于</w:t>
      </w:r>
      <w:r>
        <w:rPr>
          <w:rFonts w:hint="eastAsia" w:asciiTheme="minorEastAsia" w:hAnsiTheme="minorEastAsia" w:eastAsiaTheme="minorEastAsia" w:cstheme="minorEastAsia"/>
          <w:color w:val="auto"/>
          <w:kern w:val="0"/>
          <w:sz w:val="24"/>
          <w:highlight w:val="none"/>
          <w:u w:val="single"/>
        </w:rPr>
        <w:t>（供应商填写磋商文件中明确的所属行业）</w:t>
      </w:r>
      <w:r>
        <w:rPr>
          <w:rFonts w:hint="eastAsia" w:asciiTheme="minorEastAsia" w:hAnsiTheme="minorEastAsia" w:eastAsiaTheme="minorEastAsia" w:cstheme="minorEastAsia"/>
          <w:color w:val="auto"/>
          <w:kern w:val="0"/>
          <w:sz w:val="24"/>
          <w:highlight w:val="none"/>
        </w:rPr>
        <w:t>行业；承接企业为</w:t>
      </w:r>
      <w:r>
        <w:rPr>
          <w:rFonts w:hint="eastAsia" w:asciiTheme="minorEastAsia" w:hAnsiTheme="minorEastAsia" w:eastAsiaTheme="minorEastAsia" w:cstheme="minorEastAsia"/>
          <w:color w:val="auto"/>
          <w:kern w:val="0"/>
          <w:sz w:val="24"/>
          <w:highlight w:val="none"/>
          <w:u w:val="single"/>
        </w:rPr>
        <w:t>（企业名称）</w:t>
      </w:r>
      <w:r>
        <w:rPr>
          <w:rFonts w:hint="eastAsia" w:asciiTheme="minorEastAsia" w:hAnsiTheme="minorEastAsia" w:eastAsiaTheme="minorEastAsia" w:cstheme="minorEastAsia"/>
          <w:color w:val="auto"/>
          <w:kern w:val="0"/>
          <w:sz w:val="24"/>
          <w:highlight w:val="none"/>
        </w:rPr>
        <w:t>，从业人员</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人，营业收入为</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万元，资产总额为</w:t>
      </w:r>
      <w:r>
        <w:rPr>
          <w:rFonts w:hint="eastAsia" w:asciiTheme="minorEastAsia" w:hAnsiTheme="minorEastAsia" w:eastAsiaTheme="minorEastAsia" w:cstheme="minorEastAsia"/>
          <w:color w:val="auto"/>
          <w:kern w:val="0"/>
          <w:sz w:val="24"/>
          <w:highlight w:val="none"/>
          <w:u w:val="single"/>
        </w:rPr>
        <w:t xml:space="preserve">      </w:t>
      </w:r>
      <w:r>
        <w:rPr>
          <w:rFonts w:hint="eastAsia" w:asciiTheme="minorEastAsia" w:hAnsiTheme="minorEastAsia" w:eastAsiaTheme="minorEastAsia" w:cstheme="minorEastAsia"/>
          <w:color w:val="auto"/>
          <w:kern w:val="0"/>
          <w:sz w:val="24"/>
          <w:highlight w:val="none"/>
        </w:rPr>
        <w:t>万元，属于</w:t>
      </w:r>
      <w:r>
        <w:rPr>
          <w:rFonts w:hint="eastAsia" w:asciiTheme="minorEastAsia" w:hAnsiTheme="minorEastAsia" w:eastAsiaTheme="minorEastAsia" w:cstheme="minorEastAsia"/>
          <w:color w:val="auto"/>
          <w:kern w:val="0"/>
          <w:sz w:val="24"/>
          <w:highlight w:val="none"/>
          <w:u w:val="single"/>
        </w:rPr>
        <w:t>（□中型企业 □小型企业 □微型企业）；</w:t>
      </w:r>
    </w:p>
    <w:p w14:paraId="13A8BE0A">
      <w:pPr>
        <w:spacing w:line="380" w:lineRule="exact"/>
        <w:ind w:firstLine="36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w:t>
      </w:r>
    </w:p>
    <w:p w14:paraId="4B8F5030">
      <w:pPr>
        <w:spacing w:line="380" w:lineRule="exact"/>
        <w:ind w:firstLine="36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以上企业，不属于大企业的分支机构，不存在控股股东为大企业的情形，也不存在与大企业的负责人为同一人的情形。</w:t>
      </w:r>
    </w:p>
    <w:p w14:paraId="54041103">
      <w:pPr>
        <w:spacing w:line="380" w:lineRule="exact"/>
        <w:ind w:firstLine="36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本企业对上述声明内容的真实性负责。如有虚假，将依法承担相应责任</w:t>
      </w:r>
    </w:p>
    <w:p w14:paraId="3B0D762F">
      <w:pPr>
        <w:spacing w:line="380" w:lineRule="exact"/>
        <w:ind w:firstLine="36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 </w:t>
      </w:r>
    </w:p>
    <w:p w14:paraId="0E7BB79A">
      <w:pPr>
        <w:pStyle w:val="9"/>
        <w:spacing w:before="0" w:beforeAutospacing="0" w:after="0" w:afterAutospacing="0" w:line="380" w:lineRule="exact"/>
        <w:ind w:right="180" w:firstLine="36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企业名称（加盖CA电子公章）：</w:t>
      </w:r>
    </w:p>
    <w:p w14:paraId="3B3F5035">
      <w:pPr>
        <w:snapToGrid w:val="0"/>
        <w:spacing w:line="300" w:lineRule="auto"/>
        <w:ind w:firstLine="2310" w:firstLineChars="1100"/>
        <w:contextualSpacing/>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            </w:t>
      </w:r>
      <w:r>
        <w:rPr>
          <w:rFonts w:hint="eastAsia" w:asciiTheme="minorEastAsia" w:hAnsiTheme="minorEastAsia" w:eastAsiaTheme="minorEastAsia" w:cstheme="minorEastAsia"/>
          <w:color w:val="auto"/>
          <w:sz w:val="24"/>
          <w:highlight w:val="none"/>
        </w:rPr>
        <w:t>日期：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14:paraId="06F4E31D">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p>
    <w:p w14:paraId="7BB98B8D">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w:t>
      </w:r>
    </w:p>
    <w:p w14:paraId="182B8D05">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1.从业人员、营业收入、资产总额填报上一年度数据，无上一年度数据的新成立企业可不填报。</w:t>
      </w:r>
    </w:p>
    <w:p w14:paraId="59CDC8C3">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2.专门面向中小微型企业采购的项目，供应商如不提供此声明函，则不能通过资格审查；非专门面向中小微型企业采购的项目，供应商如不提供此声明函，价格将不做相应扣除。</w:t>
      </w:r>
    </w:p>
    <w:p w14:paraId="469BD9C6">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p>
    <w:p w14:paraId="4F022EA7">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附：中小企业划型标准规定</w:t>
      </w:r>
    </w:p>
    <w:p w14:paraId="21C49862">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0E16A7AB">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62B0A37">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C339136">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156850F">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F3B4C04">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0E01ECE">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10A8726">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BEF8D20">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006058A">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20F5992">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1EC1918">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98B8CA7">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99FC1D4">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（十四）物业管理。从业人员1000人以下或营业收入5000万元以下的为中小微型企业。其中，从业人员</w:t>
      </w:r>
    </w:p>
    <w:p w14:paraId="70DBAFB7">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300人及以上，且营业收入1000万元及以上的为中型企业；从业人员100人及以上，且营业收入500万元及以上的为小型企业；从业人员100人以下或营业收入500万元以下的为微型企业。</w:t>
      </w:r>
    </w:p>
    <w:p w14:paraId="36F0E72F">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2E1B889">
      <w:pPr>
        <w:pStyle w:val="9"/>
        <w:widowControl w:val="0"/>
        <w:spacing w:before="0" w:beforeAutospacing="0" w:after="0" w:afterAutospacing="0" w:line="380" w:lineRule="exac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（十六）其他未列明行业。从业人员300人以下的为中小微型企业。其中，从业人员100人及以上的为中型企业；从业人员10人及以上的为小型企业；从业人员10人以下的为微型企业。</w:t>
      </w:r>
    </w:p>
    <w:p w14:paraId="69455014">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30E43E1E">
      <w:pPr>
        <w:snapToGrid w:val="0"/>
        <w:spacing w:line="300" w:lineRule="auto"/>
        <w:outlineLvl w:val="0"/>
        <w:rPr>
          <w:rFonts w:hint="default"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rPr>
        <w:t>附件</w:t>
      </w:r>
      <w:r>
        <w:rPr>
          <w:rFonts w:hint="eastAsia" w:asciiTheme="minorEastAsia" w:hAnsiTheme="minorEastAsia" w:eastAsiaTheme="minorEastAsia" w:cstheme="minorEastAsia"/>
          <w:color w:val="auto"/>
          <w:sz w:val="32"/>
          <w:szCs w:val="32"/>
          <w:highlight w:val="none"/>
          <w:lang w:val="en-US" w:eastAsia="zh-CN"/>
        </w:rPr>
        <w:t>10</w:t>
      </w:r>
    </w:p>
    <w:p w14:paraId="3F2FD526">
      <w:pPr>
        <w:spacing w:line="400" w:lineRule="exact"/>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残疾人福利性单位声明函（采购包号：**） （服务类项目）</w:t>
      </w:r>
    </w:p>
    <w:p w14:paraId="2910DAE3">
      <w:pPr>
        <w:pStyle w:val="9"/>
        <w:spacing w:before="0" w:beforeAutospacing="0" w:after="0" w:afterAutospacing="0" w:line="400" w:lineRule="exact"/>
        <w:ind w:firstLine="482"/>
        <w:jc w:val="both"/>
        <w:rPr>
          <w:rFonts w:hint="eastAsia" w:asciiTheme="minorEastAsia" w:hAnsiTheme="minorEastAsia" w:eastAsiaTheme="minorEastAsia" w:cstheme="minorEastAsia"/>
          <w:color w:val="auto"/>
          <w:sz w:val="28"/>
          <w:szCs w:val="28"/>
          <w:highlight w:val="none"/>
        </w:rPr>
      </w:pPr>
    </w:p>
    <w:p w14:paraId="06AA0644">
      <w:pPr>
        <w:pStyle w:val="9"/>
        <w:spacing w:beforeAutospacing="0" w:afterAutospacing="0" w:line="360" w:lineRule="auto"/>
        <w:ind w:firstLine="480"/>
        <w:jc w:val="both"/>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8"/>
          <w:szCs w:val="28"/>
          <w:highlight w:val="none"/>
          <w:u w:val="single"/>
        </w:rPr>
        <w:t>（单位名称）</w:t>
      </w:r>
      <w:r>
        <w:rPr>
          <w:rFonts w:hint="eastAsia" w:asciiTheme="minorEastAsia" w:hAnsiTheme="minorEastAsia" w:eastAsiaTheme="minorEastAsia" w:cstheme="minorEastAsia"/>
          <w:color w:val="auto"/>
          <w:sz w:val="28"/>
          <w:szCs w:val="28"/>
          <w:highlight w:val="none"/>
        </w:rPr>
        <w:t>采购编号为</w:t>
      </w:r>
      <w:r>
        <w:rPr>
          <w:rFonts w:hint="eastAsia" w:asciiTheme="minorEastAsia" w:hAnsiTheme="minorEastAsia" w:eastAsiaTheme="minorEastAsia" w:cstheme="minorEastAsia"/>
          <w:color w:val="auto"/>
          <w:sz w:val="28"/>
          <w:szCs w:val="28"/>
          <w:highlight w:val="none"/>
          <w:u w:val="single"/>
        </w:rPr>
        <w:t>（采购编号）</w:t>
      </w:r>
      <w:r>
        <w:rPr>
          <w:rFonts w:hint="eastAsia" w:asciiTheme="minorEastAsia" w:hAnsiTheme="minorEastAsia" w:eastAsiaTheme="minorEastAsia" w:cstheme="minorEastAsia"/>
          <w:color w:val="auto"/>
          <w:sz w:val="28"/>
          <w:szCs w:val="28"/>
          <w:highlight w:val="none"/>
        </w:rPr>
        <w:t>，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sz w:val="28"/>
          <w:szCs w:val="28"/>
          <w:highlight w:val="none"/>
        </w:rPr>
        <w:t>项目（项目名称）（采购包号：**）采购活动由本单位提供服务。</w:t>
      </w:r>
    </w:p>
    <w:p w14:paraId="43BF2356">
      <w:pPr>
        <w:pStyle w:val="9"/>
        <w:spacing w:beforeAutospacing="0" w:afterAutospacing="0" w:line="360" w:lineRule="auto"/>
        <w:ind w:firstLine="480"/>
        <w:jc w:val="both"/>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本单位对上述声明的真实性负责。如有虚假，将依法承担相应责任。</w:t>
      </w:r>
    </w:p>
    <w:p w14:paraId="16BB82C5">
      <w:pPr>
        <w:pStyle w:val="9"/>
        <w:spacing w:beforeAutospacing="0" w:afterAutospacing="0" w:line="360" w:lineRule="auto"/>
        <w:ind w:firstLine="480"/>
        <w:jc w:val="both"/>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备注：</w:t>
      </w:r>
    </w:p>
    <w:p w14:paraId="329481F4">
      <w:pPr>
        <w:pStyle w:val="9"/>
        <w:spacing w:beforeAutospacing="0" w:afterAutospacing="0" w:line="360" w:lineRule="auto"/>
        <w:ind w:firstLine="480"/>
        <w:jc w:val="both"/>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1.专门面向中小微型企业采购的项目，供应商为残疾人福利性单位并提供服务的必须提供此声明函，否则将不能通过资格审查。</w:t>
      </w:r>
    </w:p>
    <w:p w14:paraId="064A44F0">
      <w:pPr>
        <w:pStyle w:val="9"/>
        <w:spacing w:beforeAutospacing="0" w:afterAutospacing="0" w:line="360" w:lineRule="auto"/>
        <w:ind w:firstLine="480"/>
        <w:jc w:val="both"/>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2.非专门面向中小微型企业采购的项目，供应商如不提供此声明函，价格将不做相应扣除。</w:t>
      </w:r>
    </w:p>
    <w:p w14:paraId="6A434FC0">
      <w:pPr>
        <w:pStyle w:val="9"/>
        <w:spacing w:beforeAutospacing="0" w:afterAutospacing="0" w:line="360" w:lineRule="auto"/>
        <w:ind w:firstLine="480"/>
        <w:jc w:val="both"/>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3.中标/成交供应商为残疾人福利性单位的，此声明函将随中标/成交结果同时公告，接受社会监督。</w:t>
      </w:r>
    </w:p>
    <w:p w14:paraId="33576B2B">
      <w:pPr>
        <w:pStyle w:val="9"/>
        <w:spacing w:beforeAutospacing="0" w:afterAutospacing="0" w:line="360" w:lineRule="auto"/>
        <w:ind w:firstLine="624"/>
        <w:jc w:val="both"/>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w:t>
      </w:r>
    </w:p>
    <w:p w14:paraId="3BB7121C">
      <w:pPr>
        <w:pStyle w:val="9"/>
        <w:tabs>
          <w:tab w:val="left" w:pos="4864"/>
        </w:tabs>
        <w:spacing w:beforeAutospacing="0" w:afterAutospacing="0" w:line="360" w:lineRule="auto"/>
        <w:ind w:right="1559" w:firstLine="624"/>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供应商全称（加盖CA电子公章）：</w:t>
      </w:r>
    </w:p>
    <w:p w14:paraId="793E8C91">
      <w:pPr>
        <w:snapToGrid w:val="0"/>
        <w:spacing w:line="300" w:lineRule="auto"/>
        <w:ind w:firstLine="2240" w:firstLineChars="800"/>
        <w:contextualSpacing/>
        <w:rPr>
          <w:rFonts w:hint="eastAsia" w:asciiTheme="minorEastAsia" w:hAnsiTheme="minorEastAsia" w:eastAsiaTheme="minorEastAsia" w:cstheme="minorEastAsia"/>
          <w:color w:val="auto"/>
          <w:kern w:val="0"/>
          <w:sz w:val="32"/>
          <w:szCs w:val="32"/>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6FA3930E">
      <w:pPr>
        <w:ind w:firstLine="420"/>
        <w:rPr>
          <w:rFonts w:hint="eastAsia" w:asciiTheme="minorEastAsia" w:hAnsiTheme="minorEastAsia" w:eastAsiaTheme="minorEastAsia" w:cstheme="minorEastAsia"/>
          <w:color w:val="auto"/>
          <w:sz w:val="28"/>
          <w:szCs w:val="28"/>
          <w:highlight w:val="none"/>
        </w:rPr>
      </w:pPr>
    </w:p>
    <w:p w14:paraId="714D6E01">
      <w:pPr>
        <w:ind w:firstLine="420"/>
        <w:rPr>
          <w:rFonts w:hint="eastAsia" w:asciiTheme="minorEastAsia" w:hAnsiTheme="minorEastAsia" w:eastAsiaTheme="minorEastAsia" w:cstheme="minorEastAsia"/>
          <w:color w:val="auto"/>
          <w:sz w:val="28"/>
          <w:szCs w:val="28"/>
          <w:highlight w:val="none"/>
        </w:rPr>
      </w:pPr>
    </w:p>
    <w:p w14:paraId="4282082F">
      <w:pPr>
        <w:ind w:firstLine="420"/>
        <w:rPr>
          <w:rFonts w:hint="eastAsia" w:asciiTheme="minorEastAsia" w:hAnsiTheme="minorEastAsia" w:eastAsiaTheme="minorEastAsia" w:cstheme="minorEastAsia"/>
          <w:color w:val="auto"/>
          <w:sz w:val="28"/>
          <w:szCs w:val="28"/>
          <w:highlight w:val="none"/>
        </w:rPr>
      </w:pPr>
    </w:p>
    <w:p w14:paraId="7B802252">
      <w:pPr>
        <w:snapToGrid w:val="0"/>
        <w:spacing w:line="300" w:lineRule="auto"/>
        <w:outlineLvl w:val="0"/>
        <w:rPr>
          <w:rFonts w:hint="eastAsia" w:asciiTheme="minorEastAsia" w:hAnsiTheme="minorEastAsia" w:eastAsiaTheme="minorEastAsia" w:cstheme="minorEastAsia"/>
          <w:color w:val="auto"/>
          <w:sz w:val="32"/>
          <w:szCs w:val="32"/>
          <w:highlight w:val="none"/>
        </w:rPr>
      </w:pPr>
    </w:p>
    <w:p w14:paraId="0DBD452C">
      <w:pPr>
        <w:snapToGrid w:val="0"/>
        <w:spacing w:line="300" w:lineRule="auto"/>
        <w:outlineLvl w:val="0"/>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附件1</w:t>
      </w:r>
      <w:r>
        <w:rPr>
          <w:rFonts w:hint="eastAsia" w:asciiTheme="minorEastAsia" w:hAnsiTheme="minorEastAsia" w:eastAsiaTheme="minorEastAsia" w:cstheme="minorEastAsia"/>
          <w:color w:val="auto"/>
          <w:sz w:val="32"/>
          <w:szCs w:val="32"/>
          <w:highlight w:val="none"/>
          <w:lang w:val="en-US" w:eastAsia="zh-CN"/>
        </w:rPr>
        <w:t>1</w:t>
      </w:r>
    </w:p>
    <w:p w14:paraId="311373EA">
      <w:pPr>
        <w:spacing w:line="400" w:lineRule="exact"/>
        <w:jc w:val="center"/>
        <w:rPr>
          <w:rFonts w:hint="eastAsia" w:asciiTheme="minorEastAsia" w:hAnsiTheme="minorEastAsia" w:eastAsiaTheme="minorEastAsia" w:cstheme="minorEastAsia"/>
          <w:bCs/>
          <w:color w:val="auto"/>
          <w:sz w:val="30"/>
          <w:szCs w:val="30"/>
          <w:highlight w:val="none"/>
        </w:rPr>
      </w:pPr>
      <w:r>
        <w:rPr>
          <w:rFonts w:hint="eastAsia" w:asciiTheme="minorEastAsia" w:hAnsiTheme="minorEastAsia" w:eastAsiaTheme="minorEastAsia" w:cstheme="minorEastAsia"/>
          <w:bCs/>
          <w:color w:val="auto"/>
          <w:sz w:val="30"/>
          <w:szCs w:val="30"/>
          <w:highlight w:val="none"/>
        </w:rPr>
        <w:t>监狱和戒毒企业证明材料</w:t>
      </w:r>
    </w:p>
    <w:p w14:paraId="5252A40F">
      <w:pPr>
        <w:snapToGrid w:val="0"/>
        <w:spacing w:line="420" w:lineRule="exact"/>
        <w:ind w:firstLine="495" w:firstLineChars="177"/>
        <w:rPr>
          <w:rFonts w:hint="eastAsia" w:asciiTheme="minorEastAsia" w:hAnsiTheme="minorEastAsia" w:eastAsiaTheme="minorEastAsia" w:cstheme="minorEastAsia"/>
          <w:color w:val="auto"/>
          <w:sz w:val="28"/>
          <w:szCs w:val="28"/>
          <w:highlight w:val="none"/>
        </w:rPr>
      </w:pPr>
    </w:p>
    <w:p w14:paraId="476CBB4D">
      <w:pPr>
        <w:snapToGrid w:val="0"/>
        <w:spacing w:line="420" w:lineRule="exact"/>
        <w:ind w:firstLine="498" w:firstLineChars="177"/>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（格式自拟）</w:t>
      </w:r>
    </w:p>
    <w:p w14:paraId="315A495F">
      <w:pPr>
        <w:snapToGrid w:val="0"/>
        <w:spacing w:line="420" w:lineRule="exact"/>
        <w:ind w:firstLine="495" w:firstLineChars="177"/>
        <w:rPr>
          <w:rFonts w:hint="eastAsia" w:asciiTheme="minorEastAsia" w:hAnsiTheme="minorEastAsia" w:eastAsiaTheme="minorEastAsia" w:cstheme="minorEastAsia"/>
          <w:color w:val="auto"/>
          <w:sz w:val="28"/>
          <w:szCs w:val="28"/>
          <w:highlight w:val="none"/>
        </w:rPr>
      </w:pPr>
    </w:p>
    <w:p w14:paraId="6FBD9787">
      <w:pPr>
        <w:snapToGrid w:val="0"/>
        <w:spacing w:line="420" w:lineRule="exact"/>
        <w:ind w:firstLine="660" w:firstLineChars="236"/>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76B03F6">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3F83E030">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413C79E3">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481CDB3F">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1613DB4D">
      <w:pPr>
        <w:snapToGrid w:val="0"/>
        <w:spacing w:line="300" w:lineRule="auto"/>
        <w:outlineLvl w:val="0"/>
        <w:rPr>
          <w:rFonts w:hint="eastAsia" w:asciiTheme="minorEastAsia" w:hAnsiTheme="minorEastAsia" w:eastAsiaTheme="minorEastAsia" w:cstheme="minorEastAsia"/>
          <w:color w:val="auto"/>
          <w:sz w:val="28"/>
          <w:szCs w:val="28"/>
          <w:highlight w:val="none"/>
          <w:lang w:bidi="zh-CN"/>
        </w:rPr>
      </w:pPr>
      <w:r>
        <w:rPr>
          <w:rFonts w:hint="eastAsia" w:asciiTheme="minorEastAsia" w:hAnsiTheme="minorEastAsia" w:eastAsiaTheme="minorEastAsia" w:cstheme="minorEastAsia"/>
          <w:color w:val="auto"/>
          <w:sz w:val="28"/>
          <w:szCs w:val="28"/>
          <w:highlight w:val="none"/>
          <w:lang w:bidi="zh-CN"/>
        </w:rPr>
        <w:t>注：1.供应商如不提供此声明函，价格将不做相应扣除。</w:t>
      </w:r>
    </w:p>
    <w:p w14:paraId="12D0E388">
      <w:pPr>
        <w:snapToGrid w:val="0"/>
        <w:spacing w:line="300" w:lineRule="auto"/>
        <w:ind w:firstLine="560" w:firstLineChars="200"/>
        <w:outlineLvl w:val="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72B5819D">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383A607E">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32949060">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08737B1C">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5146988B">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1C56EF41">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4E255386">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09021D64">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312E3369">
      <w:pPr>
        <w:snapToGrid w:val="0"/>
        <w:spacing w:line="300" w:lineRule="auto"/>
        <w:outlineLvl w:val="0"/>
        <w:rPr>
          <w:rFonts w:hint="eastAsia" w:asciiTheme="minorEastAsia" w:hAnsiTheme="minorEastAsia" w:eastAsiaTheme="minorEastAsia" w:cstheme="minorEastAsia"/>
          <w:color w:val="auto"/>
          <w:sz w:val="28"/>
          <w:szCs w:val="28"/>
          <w:highlight w:val="none"/>
        </w:rPr>
      </w:pPr>
    </w:p>
    <w:p w14:paraId="3C129E3A">
      <w:pPr>
        <w:pStyle w:val="6"/>
        <w:rPr>
          <w:rFonts w:hint="eastAsia"/>
          <w:color w:val="auto"/>
          <w:highlight w:val="none"/>
        </w:rPr>
      </w:pPr>
    </w:p>
    <w:p w14:paraId="536EFE4F">
      <w:pPr>
        <w:rPr>
          <w:rFonts w:hint="default" w:asciiTheme="minorEastAsia" w:hAnsiTheme="minorEastAsia" w:eastAsiaTheme="minorEastAsia" w:cstheme="minorEastAsia"/>
          <w:bCs/>
          <w:color w:val="auto"/>
          <w:sz w:val="32"/>
          <w:szCs w:val="32"/>
          <w:highlight w:val="none"/>
          <w:lang w:val="en-US" w:eastAsia="zh-CN" w:bidi="ar"/>
        </w:rPr>
      </w:pPr>
      <w:r>
        <w:rPr>
          <w:rFonts w:hint="eastAsia" w:asciiTheme="minorEastAsia" w:hAnsiTheme="minorEastAsia" w:eastAsiaTheme="minorEastAsia" w:cstheme="minorEastAsia"/>
          <w:bCs/>
          <w:color w:val="auto"/>
          <w:sz w:val="32"/>
          <w:szCs w:val="32"/>
          <w:highlight w:val="none"/>
          <w:lang w:bidi="ar"/>
        </w:rPr>
        <w:t>附件</w:t>
      </w:r>
      <w:r>
        <w:rPr>
          <w:rFonts w:hint="eastAsia" w:asciiTheme="minorEastAsia" w:hAnsiTheme="minorEastAsia" w:eastAsiaTheme="minorEastAsia" w:cstheme="minorEastAsia"/>
          <w:bCs/>
          <w:color w:val="auto"/>
          <w:sz w:val="32"/>
          <w:szCs w:val="32"/>
          <w:highlight w:val="none"/>
          <w:lang w:val="en-US" w:eastAsia="zh-CN" w:bidi="ar"/>
        </w:rPr>
        <w:t>12</w:t>
      </w:r>
      <w:bookmarkStart w:id="98" w:name="_GoBack"/>
      <w:bookmarkEnd w:id="98"/>
    </w:p>
    <w:p w14:paraId="641F0286">
      <w:pPr>
        <w:jc w:val="center"/>
        <w:rPr>
          <w:rFonts w:hint="eastAsia" w:asciiTheme="minorEastAsia" w:hAnsiTheme="minorEastAsia" w:eastAsiaTheme="minorEastAsia" w:cstheme="minorEastAsia"/>
          <w:bCs/>
          <w:color w:val="auto"/>
          <w:sz w:val="44"/>
          <w:szCs w:val="44"/>
          <w:highlight w:val="none"/>
        </w:rPr>
      </w:pPr>
      <w:r>
        <w:rPr>
          <w:rFonts w:hint="eastAsia" w:asciiTheme="minorEastAsia" w:hAnsiTheme="minorEastAsia" w:eastAsiaTheme="minorEastAsia" w:cstheme="minorEastAsia"/>
          <w:bCs/>
          <w:color w:val="auto"/>
          <w:sz w:val="44"/>
          <w:szCs w:val="44"/>
          <w:highlight w:val="none"/>
        </w:rPr>
        <w:t>质疑函范本</w:t>
      </w:r>
    </w:p>
    <w:p w14:paraId="14B0C91E">
      <w:pPr>
        <w:adjustRightInd w:val="0"/>
        <w:snapToGrid w:val="0"/>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一、质疑供应商基本信息</w:t>
      </w:r>
    </w:p>
    <w:p w14:paraId="5D202FBB">
      <w:pPr>
        <w:adjustRightInd w:val="0"/>
        <w:snapToGrid w:val="0"/>
        <w:spacing w:line="560" w:lineRule="exact"/>
        <w:rPr>
          <w:rFonts w:hint="eastAsia" w:asciiTheme="minorEastAsia" w:hAnsiTheme="minorEastAsia" w:eastAsiaTheme="minorEastAsia" w:cstheme="minorEastAsia"/>
          <w:color w:val="auto"/>
          <w:sz w:val="32"/>
          <w:szCs w:val="32"/>
          <w:highlight w:val="none"/>
          <w:u w:val="dotted"/>
        </w:rPr>
      </w:pPr>
      <w:r>
        <w:rPr>
          <w:rFonts w:hint="eastAsia" w:asciiTheme="minorEastAsia" w:hAnsiTheme="minorEastAsia" w:eastAsiaTheme="minorEastAsia" w:cstheme="minorEastAsia"/>
          <w:color w:val="auto"/>
          <w:sz w:val="32"/>
          <w:szCs w:val="32"/>
          <w:highlight w:val="none"/>
        </w:rPr>
        <w:t>质疑供应商：</w:t>
      </w:r>
    </w:p>
    <w:p w14:paraId="36D3FCBD">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地址：邮编：</w:t>
      </w:r>
    </w:p>
    <w:p w14:paraId="7D93B666">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联系人：联系电话：</w:t>
      </w:r>
    </w:p>
    <w:p w14:paraId="26C95BCB">
      <w:pPr>
        <w:adjustRightInd w:val="0"/>
        <w:snapToGrid w:val="0"/>
        <w:spacing w:line="560" w:lineRule="exact"/>
        <w:rPr>
          <w:rFonts w:hint="eastAsia" w:asciiTheme="minorEastAsia" w:hAnsiTheme="minorEastAsia" w:eastAsiaTheme="minorEastAsia" w:cstheme="minorEastAsia"/>
          <w:color w:val="auto"/>
          <w:sz w:val="32"/>
          <w:szCs w:val="32"/>
          <w:highlight w:val="none"/>
          <w:u w:val="dotted"/>
        </w:rPr>
      </w:pPr>
      <w:r>
        <w:rPr>
          <w:rFonts w:hint="eastAsia" w:asciiTheme="minorEastAsia" w:hAnsiTheme="minorEastAsia" w:eastAsiaTheme="minorEastAsia" w:cstheme="minorEastAsia"/>
          <w:color w:val="auto"/>
          <w:sz w:val="32"/>
          <w:szCs w:val="32"/>
          <w:highlight w:val="none"/>
        </w:rPr>
        <w:t>授权代表：</w:t>
      </w:r>
    </w:p>
    <w:p w14:paraId="15D35497">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联系电话：</w:t>
      </w:r>
    </w:p>
    <w:p w14:paraId="6760D029">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地址：邮编：</w:t>
      </w:r>
    </w:p>
    <w:p w14:paraId="081EB4A7">
      <w:pPr>
        <w:adjustRightInd w:val="0"/>
        <w:snapToGrid w:val="0"/>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二、质疑项目基本情况</w:t>
      </w:r>
    </w:p>
    <w:p w14:paraId="1D051288">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质疑项目的名称：</w:t>
      </w:r>
    </w:p>
    <w:p w14:paraId="66A4B728">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质疑项目的编号：包号：</w:t>
      </w:r>
    </w:p>
    <w:p w14:paraId="58136BDF">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采购人名称：</w:t>
      </w:r>
    </w:p>
    <w:p w14:paraId="7C1E2AE4">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采购文件获取日期：</w:t>
      </w:r>
    </w:p>
    <w:p w14:paraId="2C6067B6">
      <w:pPr>
        <w:adjustRightInd w:val="0"/>
        <w:snapToGrid w:val="0"/>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三、质疑事项具体内容</w:t>
      </w:r>
    </w:p>
    <w:p w14:paraId="097786C4">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质疑事项1：</w:t>
      </w:r>
    </w:p>
    <w:p w14:paraId="4979B1EB">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事实依据：</w:t>
      </w:r>
    </w:p>
    <w:p w14:paraId="5CAB5E5C">
      <w:pPr>
        <w:adjustRightInd w:val="0"/>
        <w:snapToGrid w:val="0"/>
        <w:spacing w:line="560" w:lineRule="exact"/>
        <w:rPr>
          <w:rFonts w:hint="eastAsia" w:asciiTheme="minorEastAsia" w:hAnsiTheme="minorEastAsia" w:eastAsiaTheme="minorEastAsia" w:cstheme="minorEastAsia"/>
          <w:color w:val="auto"/>
          <w:sz w:val="32"/>
          <w:szCs w:val="32"/>
          <w:highlight w:val="none"/>
        </w:rPr>
      </w:pPr>
    </w:p>
    <w:p w14:paraId="354FCF08">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法律依据：</w:t>
      </w:r>
    </w:p>
    <w:p w14:paraId="51C6370E">
      <w:pPr>
        <w:adjustRightInd w:val="0"/>
        <w:snapToGrid w:val="0"/>
        <w:spacing w:line="560" w:lineRule="exact"/>
        <w:rPr>
          <w:rFonts w:hint="eastAsia" w:asciiTheme="minorEastAsia" w:hAnsiTheme="minorEastAsia" w:eastAsiaTheme="minorEastAsia" w:cstheme="minorEastAsia"/>
          <w:color w:val="auto"/>
          <w:sz w:val="32"/>
          <w:szCs w:val="32"/>
          <w:highlight w:val="none"/>
        </w:rPr>
      </w:pPr>
    </w:p>
    <w:p w14:paraId="3C3AE310">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质疑事项2</w:t>
      </w:r>
    </w:p>
    <w:p w14:paraId="3A25A186">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w:t>
      </w:r>
    </w:p>
    <w:p w14:paraId="50B25ACF">
      <w:pPr>
        <w:adjustRightInd w:val="0"/>
        <w:snapToGrid w:val="0"/>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四、与质疑事项相关的质疑请求</w:t>
      </w:r>
    </w:p>
    <w:p w14:paraId="65529BD3">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请求：</w:t>
      </w:r>
    </w:p>
    <w:p w14:paraId="2D30EBAF">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签字（签章）：                   公章：                      </w:t>
      </w:r>
    </w:p>
    <w:p w14:paraId="48CE5FFB">
      <w:pPr>
        <w:adjustRightInd w:val="0"/>
        <w:snapToGrid w:val="0"/>
        <w:spacing w:line="560" w:lineRule="exac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日期：</w:t>
      </w:r>
    </w:p>
    <w:p w14:paraId="3044FDFF">
      <w:pPr>
        <w:spacing w:line="560" w:lineRule="exact"/>
        <w:rPr>
          <w:rFonts w:hint="eastAsia" w:asciiTheme="minorEastAsia" w:hAnsiTheme="minorEastAsia" w:eastAsiaTheme="minorEastAsia" w:cstheme="minorEastAsia"/>
          <w:b/>
          <w:color w:val="auto"/>
          <w:sz w:val="32"/>
          <w:szCs w:val="32"/>
          <w:highlight w:val="none"/>
        </w:rPr>
      </w:pPr>
    </w:p>
    <w:p w14:paraId="61D0E2FF">
      <w:pPr>
        <w:spacing w:line="560" w:lineRule="exact"/>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质疑函制作说明：</w:t>
      </w:r>
    </w:p>
    <w:p w14:paraId="25A135CB">
      <w:pPr>
        <w:adjustRightInd w:val="0"/>
        <w:snapToGrid w:val="0"/>
        <w:spacing w:line="560" w:lineRule="exact"/>
        <w:ind w:firstLine="640" w:firstLineChars="20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1.供应商提出质疑时，应提交质疑函和必要的证明材料。</w:t>
      </w:r>
    </w:p>
    <w:p w14:paraId="34996877">
      <w:pPr>
        <w:adjustRightInd w:val="0"/>
        <w:snapToGrid w:val="0"/>
        <w:spacing w:line="560" w:lineRule="exact"/>
        <w:ind w:firstLine="640" w:firstLineChars="20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C496E26">
      <w:pPr>
        <w:adjustRightInd w:val="0"/>
        <w:snapToGrid w:val="0"/>
        <w:spacing w:line="560" w:lineRule="exact"/>
        <w:ind w:firstLine="640" w:firstLineChars="20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3.质疑供应商若对项目的某一分包进行质疑，质疑函中应列明具体分包号。</w:t>
      </w:r>
    </w:p>
    <w:p w14:paraId="2813AE9A">
      <w:pPr>
        <w:adjustRightInd w:val="0"/>
        <w:snapToGrid w:val="0"/>
        <w:spacing w:line="560" w:lineRule="exact"/>
        <w:ind w:firstLine="640" w:firstLineChars="20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4.质疑函的质疑事项应具体、明确，并有必要的事实依据和法律依据。</w:t>
      </w:r>
    </w:p>
    <w:p w14:paraId="161E1B18">
      <w:pPr>
        <w:adjustRightInd w:val="0"/>
        <w:snapToGrid w:val="0"/>
        <w:spacing w:line="560" w:lineRule="exact"/>
        <w:ind w:firstLine="640" w:firstLineChars="20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5.质疑函的质疑请求应与质疑事项相关。</w:t>
      </w:r>
    </w:p>
    <w:p w14:paraId="1C0236B2">
      <w:pPr>
        <w:adjustRightInd w:val="0"/>
        <w:snapToGrid w:val="0"/>
        <w:spacing w:line="560" w:lineRule="exact"/>
        <w:ind w:firstLine="640" w:firstLineChars="20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6.质疑供应商为自然人的，质疑函应由本人签字；质疑供应商为法人或者其他组织的，质疑函应由法定代表人、主要负责人，或者其授权代表签字或者盖章，并加盖公章。</w:t>
      </w:r>
    </w:p>
    <w:p w14:paraId="1BF90F60">
      <w:pPr>
        <w:snapToGrid w:val="0"/>
        <w:spacing w:line="500" w:lineRule="exact"/>
        <w:ind w:firstLine="562" w:firstLineChars="200"/>
        <w:contextualSpacing/>
        <w:outlineLvl w:val="0"/>
        <w:rPr>
          <w:rFonts w:hint="eastAsia" w:asciiTheme="minorEastAsia" w:hAnsiTheme="minorEastAsia" w:eastAsiaTheme="minorEastAsia" w:cstheme="minorEastAsia"/>
          <w:b/>
          <w:color w:val="auto"/>
          <w:sz w:val="28"/>
          <w:szCs w:val="28"/>
          <w:highlight w:val="none"/>
        </w:rPr>
      </w:pPr>
    </w:p>
    <w:p w14:paraId="3CCF9F01">
      <w:pPr>
        <w:snapToGrid w:val="0"/>
        <w:spacing w:line="500" w:lineRule="exact"/>
        <w:ind w:firstLine="562" w:firstLineChars="200"/>
        <w:contextualSpacing/>
        <w:outlineLvl w:val="0"/>
        <w:rPr>
          <w:rFonts w:hint="eastAsia" w:asciiTheme="minorEastAsia" w:hAnsiTheme="minorEastAsia" w:eastAsiaTheme="minorEastAsia" w:cstheme="minorEastAsia"/>
          <w:b/>
          <w:color w:val="auto"/>
          <w:sz w:val="28"/>
          <w:szCs w:val="28"/>
          <w:highlight w:val="none"/>
        </w:rPr>
      </w:pPr>
    </w:p>
    <w:p w14:paraId="5CEF1959">
      <w:pPr>
        <w:rPr>
          <w:rFonts w:hint="eastAsia" w:asciiTheme="minorEastAsia" w:hAnsiTheme="minorEastAsia" w:eastAsiaTheme="minorEastAsia" w:cstheme="minorEastAsia"/>
          <w:color w:val="auto"/>
          <w:highlight w:val="none"/>
        </w:rPr>
      </w:pPr>
    </w:p>
    <w:sectPr>
      <w:headerReference r:id="rId3" w:type="default"/>
      <w:footerReference r:id="rId5" w:type="default"/>
      <w:headerReference r:id="rId4" w:type="even"/>
      <w:footerReference r:id="rId6" w:type="even"/>
      <w:pgSz w:w="11907" w:h="16839"/>
      <w:pgMar w:top="2098" w:right="1474" w:bottom="1984" w:left="1587" w:header="720" w:footer="737"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EDA5A">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57BC73">
                          <w:pPr>
                            <w:pStyle w:val="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657BC73">
                    <w:pPr>
                      <w:pStyle w:val="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AC997">
    <w:pPr>
      <w:pStyle w:val="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76672D">
                          <w:pPr>
                            <w:pStyle w:val="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2</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576672D">
                    <w:pPr>
                      <w:pStyle w:val="7"/>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2</w:t>
                    </w:r>
                    <w:r>
                      <w:rPr>
                        <w:sz w:val="28"/>
                        <w:szCs w:val="28"/>
                      </w:rPr>
                      <w:fldChar w:fldCharType="end"/>
                    </w:r>
                    <w:r>
                      <w:rPr>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7E406">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4B60A">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97721B"/>
    <w:multiLevelType w:val="singleLevel"/>
    <w:tmpl w:val="BB97721B"/>
    <w:lvl w:ilvl="0" w:tentative="0">
      <w:start w:val="1"/>
      <w:numFmt w:val="chineseCounting"/>
      <w:suff w:val="nothing"/>
      <w:lvlText w:val="%1、"/>
      <w:lvlJc w:val="left"/>
      <w:rPr>
        <w:rFonts w:hint="eastAsia"/>
      </w:rPr>
    </w:lvl>
  </w:abstractNum>
  <w:abstractNum w:abstractNumId="1">
    <w:nsid w:val="098B7C8E"/>
    <w:multiLevelType w:val="singleLevel"/>
    <w:tmpl w:val="098B7C8E"/>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73F07"/>
    <w:rsid w:val="053C7612"/>
    <w:rsid w:val="05D47BE4"/>
    <w:rsid w:val="0B445E4D"/>
    <w:rsid w:val="0BBE6BED"/>
    <w:rsid w:val="0EF426FD"/>
    <w:rsid w:val="0FB71F81"/>
    <w:rsid w:val="10F00753"/>
    <w:rsid w:val="13193321"/>
    <w:rsid w:val="143649FD"/>
    <w:rsid w:val="147E4E1C"/>
    <w:rsid w:val="14865D75"/>
    <w:rsid w:val="14B62860"/>
    <w:rsid w:val="16864F84"/>
    <w:rsid w:val="1B372C87"/>
    <w:rsid w:val="1E1E6ADE"/>
    <w:rsid w:val="20F27387"/>
    <w:rsid w:val="22A1545E"/>
    <w:rsid w:val="22A57856"/>
    <w:rsid w:val="242D7CDF"/>
    <w:rsid w:val="25BC68FB"/>
    <w:rsid w:val="26E24888"/>
    <w:rsid w:val="292A2DCA"/>
    <w:rsid w:val="2B2E6BEC"/>
    <w:rsid w:val="2D073942"/>
    <w:rsid w:val="2EB20570"/>
    <w:rsid w:val="30A71AE3"/>
    <w:rsid w:val="30C21E48"/>
    <w:rsid w:val="33E6740D"/>
    <w:rsid w:val="343F4A14"/>
    <w:rsid w:val="396D5E04"/>
    <w:rsid w:val="3CFE5DE7"/>
    <w:rsid w:val="3F6D27F4"/>
    <w:rsid w:val="42521512"/>
    <w:rsid w:val="427B022C"/>
    <w:rsid w:val="439146D6"/>
    <w:rsid w:val="49FE75F8"/>
    <w:rsid w:val="4AC477B5"/>
    <w:rsid w:val="4B053BE4"/>
    <w:rsid w:val="4C6E47E0"/>
    <w:rsid w:val="4CDB3060"/>
    <w:rsid w:val="4E1D237B"/>
    <w:rsid w:val="4E955149"/>
    <w:rsid w:val="4F622668"/>
    <w:rsid w:val="4FB569B7"/>
    <w:rsid w:val="51DF0FAF"/>
    <w:rsid w:val="526E2884"/>
    <w:rsid w:val="53353049"/>
    <w:rsid w:val="538765BC"/>
    <w:rsid w:val="53974751"/>
    <w:rsid w:val="55117A9B"/>
    <w:rsid w:val="5540344C"/>
    <w:rsid w:val="57FE79B9"/>
    <w:rsid w:val="58ED586E"/>
    <w:rsid w:val="5AA64EFB"/>
    <w:rsid w:val="5B09083F"/>
    <w:rsid w:val="5F16620F"/>
    <w:rsid w:val="6013079C"/>
    <w:rsid w:val="60243CC7"/>
    <w:rsid w:val="60971C86"/>
    <w:rsid w:val="62444E6D"/>
    <w:rsid w:val="624D198A"/>
    <w:rsid w:val="626B610F"/>
    <w:rsid w:val="64F4238F"/>
    <w:rsid w:val="64FD4BAB"/>
    <w:rsid w:val="65A40621"/>
    <w:rsid w:val="66AE535D"/>
    <w:rsid w:val="66E630B6"/>
    <w:rsid w:val="69FD5410"/>
    <w:rsid w:val="6A684611"/>
    <w:rsid w:val="6E891350"/>
    <w:rsid w:val="6FAB3319"/>
    <w:rsid w:val="706C1F20"/>
    <w:rsid w:val="711335D5"/>
    <w:rsid w:val="71FE06A7"/>
    <w:rsid w:val="7216247B"/>
    <w:rsid w:val="750C55D1"/>
    <w:rsid w:val="756C3577"/>
    <w:rsid w:val="7682269F"/>
    <w:rsid w:val="77B73F07"/>
    <w:rsid w:val="78516E0E"/>
    <w:rsid w:val="795373DB"/>
    <w:rsid w:val="798C015E"/>
    <w:rsid w:val="79C12E6F"/>
    <w:rsid w:val="7A997699"/>
    <w:rsid w:val="7BB841B2"/>
    <w:rsid w:val="7CE967B1"/>
    <w:rsid w:val="7E1461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4"/>
    <w:basedOn w:val="1"/>
    <w:next w:val="1"/>
    <w:qFormat/>
    <w:uiPriority w:val="0"/>
    <w:pPr>
      <w:keepNext/>
      <w:jc w:val="center"/>
      <w:outlineLvl w:val="3"/>
    </w:pPr>
    <w:rPr>
      <w:rFonts w:eastAsia="新宋体"/>
      <w:sz w:val="30"/>
      <w:szCs w:val="21"/>
    </w:rPr>
  </w:style>
  <w:style w:type="paragraph" w:styleId="4">
    <w:name w:val="heading 6"/>
    <w:basedOn w:val="1"/>
    <w:next w:val="5"/>
    <w:semiHidden/>
    <w:unhideWhenUsed/>
    <w:qFormat/>
    <w:uiPriority w:val="0"/>
    <w:pPr>
      <w:keepNext/>
      <w:keepLines/>
      <w:spacing w:before="240" w:after="64" w:line="320" w:lineRule="auto"/>
      <w:outlineLvl w:val="5"/>
    </w:pPr>
    <w:rPr>
      <w:rFonts w:asciiTheme="majorHAnsi" w:hAnsiTheme="majorHAnsi" w:eastAsiaTheme="majorEastAsia" w:cstheme="majorBidi"/>
      <w:b/>
      <w:bCs/>
      <w:sz w:val="2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Body Text"/>
    <w:basedOn w:val="1"/>
    <w:next w:val="1"/>
    <w:qFormat/>
    <w:uiPriority w:val="0"/>
    <w:pPr>
      <w:spacing w:after="120"/>
    </w:pPr>
    <w:rPr>
      <w:szCs w:val="20"/>
    </w:r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next w:val="10"/>
    <w:unhideWhenUsed/>
    <w:qFormat/>
    <w:uiPriority w:val="0"/>
    <w:pPr>
      <w:widowControl/>
      <w:spacing w:before="100" w:beforeAutospacing="1" w:after="100" w:afterAutospacing="1"/>
      <w:jc w:val="left"/>
    </w:pPr>
    <w:rPr>
      <w:rFonts w:ascii="宋体" w:hAnsi="宋体" w:cs="宋体"/>
      <w:kern w:val="0"/>
      <w:sz w:val="24"/>
    </w:rPr>
  </w:style>
  <w:style w:type="paragraph" w:customStyle="1" w:styleId="10">
    <w:name w:val="*正文"/>
    <w:basedOn w:val="1"/>
    <w:autoRedefine/>
    <w:qFormat/>
    <w:uiPriority w:val="0"/>
    <w:rPr>
      <w:rFonts w:ascii="宋体" w:hAnsi="宋体"/>
      <w:kern w:val="0"/>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4">
    <w:name w:val="普通正文"/>
    <w:basedOn w:val="1"/>
    <w:qFormat/>
    <w:uiPriority w:val="0"/>
    <w:pPr>
      <w:adjustRightInd w:val="0"/>
      <w:spacing w:before="120" w:after="120" w:line="360" w:lineRule="auto"/>
      <w:ind w:left="-2" w:right="120" w:firstLine="480"/>
      <w:jc w:val="center"/>
      <w:textAlignment w:val="baseline"/>
    </w:pPr>
    <w:rPr>
      <w:rFonts w:ascii="Arial" w:hAnsi="Arial"/>
      <w:kern w:val="0"/>
      <w:sz w:val="24"/>
    </w:rPr>
  </w:style>
  <w:style w:type="paragraph" w:customStyle="1" w:styleId="15">
    <w:name w:val="Body text|1"/>
    <w:basedOn w:val="1"/>
    <w:qFormat/>
    <w:uiPriority w:val="0"/>
    <w:pPr>
      <w:widowControl w:val="0"/>
      <w:shd w:val="clear" w:color="auto" w:fill="auto"/>
      <w:spacing w:line="432" w:lineRule="auto"/>
      <w:ind w:firstLine="280"/>
    </w:pPr>
    <w:rPr>
      <w:rFonts w:ascii="宋体" w:hAnsi="宋体" w:eastAsia="宋体" w:cs="宋体"/>
      <w:sz w:val="17"/>
      <w:szCs w:val="17"/>
      <w:u w:val="none"/>
      <w:shd w:val="clear" w:color="auto" w:fill="auto"/>
      <w:lang w:val="zh-CN" w:eastAsia="zh-CN" w:bidi="zh-CN"/>
    </w:rPr>
  </w:style>
  <w:style w:type="paragraph" w:customStyle="1" w:styleId="16">
    <w:name w:val="正文缩进2格"/>
    <w:basedOn w:val="1"/>
    <w:qFormat/>
    <w:uiPriority w:val="0"/>
    <w:pPr>
      <w:spacing w:line="600" w:lineRule="exact"/>
      <w:ind w:firstLine="639"/>
      <w:jc w:val="both"/>
    </w:pPr>
    <w:rPr>
      <w:rFonts w:hint="default" w:ascii="仿宋_GB2312" w:hAnsi="宋体" w:eastAsia="仿宋_GB2312"/>
      <w:sz w:val="31"/>
      <w:szCs w:val="28"/>
    </w:rPr>
  </w:style>
  <w:style w:type="paragraph" w:customStyle="1" w:styleId="17">
    <w:name w:val="Table Text"/>
    <w:basedOn w:val="1"/>
    <w:semiHidden/>
    <w:qFormat/>
    <w:uiPriority w:val="0"/>
    <w:rPr>
      <w:rFonts w:ascii="宋体" w:hAnsi="宋体" w:eastAsia="宋体" w:cs="宋体"/>
      <w:sz w:val="14"/>
      <w:szCs w:val="14"/>
      <w:lang w:val="en-US" w:eastAsia="en-US" w:bidi="ar-SA"/>
    </w:rPr>
  </w:style>
  <w:style w:type="table" w:customStyle="1" w:styleId="18">
    <w:name w:val="Table Normal"/>
    <w:semiHidden/>
    <w:unhideWhenUsed/>
    <w:qFormat/>
    <w:uiPriority w:val="0"/>
    <w:tblPr>
      <w:tblCellMar>
        <w:top w:w="0" w:type="dxa"/>
        <w:left w:w="0" w:type="dxa"/>
        <w:bottom w:w="0" w:type="dxa"/>
        <w:right w:w="0" w:type="dxa"/>
      </w:tblCellMar>
    </w:tblPr>
  </w:style>
  <w:style w:type="character" w:customStyle="1" w:styleId="19">
    <w:name w:val="NormalCharacter"/>
    <w:semiHidden/>
    <w:qFormat/>
    <w:uiPriority w:val="0"/>
  </w:style>
  <w:style w:type="paragraph" w:customStyle="1" w:styleId="20">
    <w:name w:val="表格文字"/>
    <w:basedOn w:val="21"/>
    <w:next w:val="6"/>
    <w:qFormat/>
    <w:uiPriority w:val="0"/>
  </w:style>
  <w:style w:type="paragraph" w:customStyle="1" w:styleId="21">
    <w:name w:val="表格文字（两侧对齐）"/>
    <w:basedOn w:val="1"/>
    <w:qFormat/>
    <w:uiPriority w:val="0"/>
    <w:pPr>
      <w:snapToGrid w:val="0"/>
    </w:pPr>
    <w:rPr>
      <w:sz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31459</Words>
  <Characters>32869</Characters>
  <Lines>0</Lines>
  <Paragraphs>0</Paragraphs>
  <TotalTime>0</TotalTime>
  <ScaleCrop>false</ScaleCrop>
  <LinksUpToDate>false</LinksUpToDate>
  <CharactersWithSpaces>34335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2026-09-17T00:27:00Z</dcterms:created>
  <dc:creator>雪肉蛋</dc:creator>
  <cp:lastModifiedBy>你好</cp:lastModifiedBy>
  <dcterms:modified xsi:type="dcterms:W3CDTF">2026-11-02T05:54:11Z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4D3A4A790EB94B8E966805984EAE3C35_11</vt:lpwstr>
  </property>
  <property fmtid="{D5CDD505-2E9C-101B-9397-08002B2CF9AE}" pid="4" name="KSOTemplateDocerSaveRecord">
    <vt:lpwstr>eyJoZGlkIjoiOTM3MmM5MWJiZjdkNTc1YmVlNzM4NDhiMzJlNjBmOGEiLCJ1c2VySWQiOiIzNDU4MTA4NzYifQ==</vt:lpwstr>
  </property>
</Properties>
</file>