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rPr>
          <w:rFonts w:hint="eastAsia" w:ascii="宋体" w:hAnsi="宋体" w:cs="宋体"/>
          <w:highlight w:val="none"/>
        </w:rPr>
      </w:pPr>
      <w:r>
        <w:rPr>
          <w:rFonts w:hint="eastAsia" w:ascii="宋体" w:hAnsi="宋体" w:cs="宋体"/>
          <w:highlight w:val="none"/>
        </w:rPr>
      </w:r>
      <w:r/>
    </w:p>
    <w:p>
      <w:pPr>
        <w:pStyle w:val="828"/>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eastAsia" w:ascii="宋体" w:hAnsi="宋体" w:cs="宋体"/>
          <w:b/>
          <w:sz w:val="72"/>
          <w:szCs w:val="72"/>
          <w:highlight w:val="none"/>
        </w:rPr>
      </w:pPr>
      <w:r>
        <w:rPr>
          <w:rFonts w:hint="eastAsia" w:ascii="宋体" w:hAnsi="宋体" w:cs="宋体"/>
          <w:b/>
          <w:sz w:val="56"/>
          <w:szCs w:val="56"/>
          <w:highlight w:val="none"/>
          <w:lang w:eastAsia="zh-CN"/>
        </w:rPr>
        <w:t xml:space="preserve">2026-2028年度华侨城红枫片区市政设施养护项目</w:t>
      </w:r>
      <w:r/>
    </w:p>
    <w:p>
      <w:pPr>
        <w:pStyle w:val="764"/>
        <w:rPr>
          <w:highlight w:val="none"/>
        </w:rPr>
      </w:pPr>
      <w:r>
        <w:rPr>
          <w:highlight w:val="none"/>
        </w:rPr>
      </w:r>
      <w:r/>
    </w:p>
    <w:p>
      <w:pPr>
        <w:pStyle w:val="764"/>
        <w:jc w:val="both"/>
        <w:rPr>
          <w:highlight w:val="none"/>
        </w:rPr>
      </w:pPr>
      <w:r>
        <w:rPr>
          <w:highlight w:val="none"/>
        </w:rPr>
      </w:r>
      <w:r/>
    </w:p>
    <w:p>
      <w:pPr>
        <w:rPr>
          <w:highlight w:val="none"/>
        </w:rPr>
      </w:pPr>
      <w:r>
        <w:rPr>
          <w:highlight w:val="none"/>
        </w:rPr>
      </w:r>
      <w:r/>
    </w:p>
    <w:p>
      <w:pPr>
        <w:rPr>
          <w:highlight w:val="none"/>
        </w:rPr>
      </w:pPr>
      <w:r>
        <w:rPr>
          <w:highlight w:val="none"/>
        </w:rPr>
      </w:r>
      <w:r/>
    </w:p>
    <w:p>
      <w:pPr>
        <w:pStyle w:val="786"/>
        <w:rPr>
          <w:rFonts w:hint="eastAsia" w:cs="宋体"/>
          <w:highlight w:val="none"/>
        </w:rPr>
      </w:pPr>
      <w:r>
        <w:rPr>
          <w:rFonts w:hint="eastAsia"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项目编号：JSZC-320113-TXJS-G2026-0029</w:t>
      </w:r>
      <w:r/>
    </w:p>
    <w:p>
      <w:pPr>
        <w:jc w:val="center"/>
        <w:spacing w:line="360" w:lineRule="auto"/>
        <w:widowControl/>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lang w:val="en-US" w:eastAsia="zh-CN"/>
        </w:rPr>
        <w:t xml:space="preserve">服务</w:t>
      </w:r>
      <w:r>
        <w:rPr>
          <w:rFonts w:hint="eastAsia" w:ascii="宋体" w:hAnsi="宋体" w:cs="宋体"/>
          <w:b/>
          <w:color w:val="auto"/>
          <w:sz w:val="36"/>
          <w:szCs w:val="36"/>
          <w:highlight w:val="none"/>
          <w:lang w:eastAsia="zh-CN"/>
        </w:rPr>
        <w:t xml:space="preserve">类项目，</w:t>
      </w:r>
      <w:r>
        <w:rPr>
          <w:rFonts w:hint="eastAsia" w:ascii="宋体" w:hAnsi="宋体" w:cs="宋体"/>
          <w:b/>
          <w:color w:val="auto"/>
          <w:sz w:val="36"/>
          <w:szCs w:val="36"/>
          <w:highlight w:val="none"/>
          <w:lang w:val="en-US" w:eastAsia="zh-CN"/>
        </w:rPr>
        <w:t xml:space="preserve">非</w:t>
      </w:r>
      <w:r>
        <w:rPr>
          <w:rFonts w:hint="eastAsia" w:ascii="宋体" w:hAnsi="宋体" w:cs="宋体"/>
          <w:b/>
          <w:color w:val="auto"/>
          <w:sz w:val="36"/>
          <w:szCs w:val="36"/>
          <w:highlight w:val="none"/>
          <w:lang w:eastAsia="zh-CN"/>
        </w:rPr>
        <w:t xml:space="preserve">专门面向中小企业）</w:t>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764"/>
        <w:rPr>
          <w:highlight w:val="none"/>
        </w:rPr>
      </w:pPr>
      <w:r>
        <w:rPr>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采购人：</w:t>
      </w:r>
      <w:r>
        <w:rPr>
          <w:rFonts w:hint="eastAsia" w:ascii="宋体" w:hAnsi="宋体" w:cs="宋体"/>
          <w:b/>
          <w:sz w:val="36"/>
          <w:szCs w:val="36"/>
          <w:highlight w:val="none"/>
          <w:lang w:eastAsia="zh-CN"/>
        </w:rPr>
        <w:t xml:space="preserve">南京市栖霞区城市管理局</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采购代理机构：</w:t>
      </w:r>
      <w:r>
        <w:rPr>
          <w:rFonts w:hint="eastAsia" w:ascii="宋体" w:hAnsi="宋体" w:cs="宋体"/>
          <w:b/>
          <w:color w:val="000000" w:themeColor="text1"/>
          <w:sz w:val="36"/>
          <w:highlight w:val="none"/>
          <w:lang w:eastAsia="zh-CN"/>
          <w14:textFill>
            <w14:solidFill>
              <w14:schemeClr w14:val="tx1"/>
            </w14:solidFill>
          </w14:textFill>
        </w:rPr>
        <w:t xml:space="preserve">江苏天信建设项目咨询有限公司</w:t>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11</w:t>
      </w:r>
      <w:r>
        <w:rPr>
          <w:rFonts w:hint="eastAsia" w:ascii="宋体" w:hAnsi="宋体" w:cs="宋体"/>
          <w:b/>
          <w:sz w:val="36"/>
          <w:szCs w:val="36"/>
          <w:highlight w:val="none"/>
        </w:rPr>
        <w:t xml:space="preserve">月</w:t>
      </w:r>
      <w:r/>
    </w:p>
    <w:p>
      <w:pPr>
        <w:pStyle w:val="907"/>
        <w:jc w:val="center"/>
        <w:rPr>
          <w:rFonts w:hint="eastAsia" w:ascii="宋体" w:hAnsi="宋体" w:cs="宋体"/>
          <w:color w:val="auto"/>
          <w:sz w:val="36"/>
          <w:szCs w:val="36"/>
          <w:highlight w:val="none"/>
          <w:lang w:val="zh-CN"/>
        </w:rPr>
        <w:sectPr>
          <w:headerReference w:type="default" r:id="rId9"/>
          <w:footerReference w:type="default" r:id="rId11"/>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907"/>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778"/>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778"/>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_Toc14969 </w:instrText>
      </w:r>
      <w:r>
        <w:rPr>
          <w:rFonts w:hint="eastAsia" w:ascii="宋体" w:hAnsi="宋体" w:cs="宋体"/>
          <w:highlight w:val="none"/>
        </w:rPr>
        <w:fldChar w:fldCharType="separate"/>
      </w:r>
      <w:r>
        <w:rPr>
          <w:rFonts w:hint="eastAsia"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_Toc14969 \h </w:instrText>
      </w:r>
      <w:r>
        <w:rPr>
          <w:highlight w:val="none"/>
        </w:rPr>
        <w:fldChar w:fldCharType="separate"/>
      </w:r>
      <w:r>
        <w:rPr>
          <w:highlight w:val="none"/>
        </w:rPr>
        <w:t xml:space="preserve">2</w:t>
      </w:r>
      <w:r>
        <w:rPr>
          <w:highlight w:val="none"/>
        </w:rPr>
        <w:fldChar w:fldCharType="end"/>
      </w:r>
      <w:r>
        <w:rPr>
          <w:rFonts w:hint="eastAsia" w:ascii="宋体" w:hAnsi="宋体" w:cs="宋体"/>
          <w:highlight w:val="none"/>
        </w:rPr>
        <w:fldChar w:fldCharType="end"/>
      </w:r>
      <w:r/>
    </w:p>
    <w:p>
      <w:pPr>
        <w:pStyle w:val="77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_Toc18322 </w:instrText>
      </w:r>
      <w:r>
        <w:rPr>
          <w:rFonts w:hint="eastAsia" w:ascii="宋体" w:hAnsi="宋体" w:cs="宋体"/>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_Toc18322 \h </w:instrText>
      </w:r>
      <w:r>
        <w:rPr>
          <w:highlight w:val="none"/>
        </w:rPr>
        <w:fldChar w:fldCharType="separate"/>
      </w:r>
      <w:r>
        <w:rPr>
          <w:highlight w:val="none"/>
        </w:rPr>
        <w:t xml:space="preserve">6</w:t>
      </w:r>
      <w:r>
        <w:rPr>
          <w:highlight w:val="none"/>
        </w:rPr>
        <w:fldChar w:fldCharType="end"/>
      </w:r>
      <w:r>
        <w:rPr>
          <w:rFonts w:hint="eastAsia" w:ascii="宋体" w:hAnsi="宋体" w:cs="宋体"/>
          <w:highlight w:val="none"/>
        </w:rPr>
        <w:fldChar w:fldCharType="end"/>
      </w:r>
      <w:r/>
    </w:p>
    <w:p>
      <w:pPr>
        <w:pStyle w:val="77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_Toc25919 </w:instrText>
      </w:r>
      <w:r>
        <w:rPr>
          <w:rFonts w:hint="eastAsia" w:ascii="宋体" w:hAnsi="宋体" w:cs="宋体"/>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_Toc25919 \h </w:instrText>
      </w:r>
      <w:r>
        <w:rPr>
          <w:highlight w:val="none"/>
        </w:rPr>
        <w:fldChar w:fldCharType="separate"/>
      </w:r>
      <w:r>
        <w:rPr>
          <w:highlight w:val="none"/>
        </w:rPr>
        <w:t xml:space="preserve">17</w:t>
      </w:r>
      <w:r>
        <w:rPr>
          <w:highlight w:val="none"/>
        </w:rPr>
        <w:fldChar w:fldCharType="end"/>
      </w:r>
      <w:r>
        <w:rPr>
          <w:rFonts w:hint="eastAsia" w:ascii="宋体" w:hAnsi="宋体" w:cs="宋体"/>
          <w:highlight w:val="none"/>
        </w:rPr>
        <w:fldChar w:fldCharType="end"/>
      </w:r>
      <w:r/>
    </w:p>
    <w:p>
      <w:pPr>
        <w:pStyle w:val="77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_Toc8188 </w:instrText>
      </w:r>
      <w:r>
        <w:rPr>
          <w:rFonts w:hint="eastAsia" w:ascii="宋体" w:hAnsi="宋体" w:cs="宋体"/>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_Toc8188 \h </w:instrText>
      </w:r>
      <w:r>
        <w:rPr>
          <w:highlight w:val="none"/>
        </w:rPr>
        <w:fldChar w:fldCharType="separate"/>
      </w:r>
      <w:r>
        <w:rPr>
          <w:highlight w:val="none"/>
        </w:rPr>
        <w:t xml:space="preserve">21</w:t>
      </w:r>
      <w:r>
        <w:rPr>
          <w:highlight w:val="none"/>
        </w:rPr>
        <w:fldChar w:fldCharType="end"/>
      </w:r>
      <w:r>
        <w:rPr>
          <w:rFonts w:hint="eastAsia" w:ascii="宋体" w:hAnsi="宋体" w:cs="宋体"/>
          <w:highlight w:val="none"/>
        </w:rPr>
        <w:fldChar w:fldCharType="end"/>
      </w:r>
      <w:r/>
    </w:p>
    <w:p>
      <w:pPr>
        <w:pStyle w:val="77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_Toc19557 </w:instrText>
      </w:r>
      <w:r>
        <w:rPr>
          <w:rFonts w:hint="eastAsia" w:ascii="宋体" w:hAnsi="宋体" w:cs="宋体"/>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_Toc19557 \h </w:instrText>
      </w:r>
      <w:r>
        <w:rPr>
          <w:highlight w:val="none"/>
        </w:rPr>
        <w:fldChar w:fldCharType="separate"/>
      </w:r>
      <w:r>
        <w:rPr>
          <w:highlight w:val="none"/>
        </w:rPr>
        <w:t xml:space="preserve">32</w:t>
      </w:r>
      <w:r>
        <w:rPr>
          <w:highlight w:val="none"/>
        </w:rPr>
        <w:fldChar w:fldCharType="end"/>
      </w:r>
      <w:r>
        <w:rPr>
          <w:rFonts w:hint="eastAsia" w:ascii="宋体" w:hAnsi="宋体" w:cs="宋体"/>
          <w:highlight w:val="none"/>
        </w:rPr>
        <w:fldChar w:fldCharType="end"/>
      </w:r>
      <w:r/>
    </w:p>
    <w:p>
      <w:pPr>
        <w:pStyle w:val="778"/>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_Toc17086 </w:instrText>
      </w:r>
      <w:r>
        <w:rPr>
          <w:rFonts w:hint="eastAsia" w:ascii="宋体" w:hAnsi="宋体" w:cs="宋体"/>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_Toc17086 \h </w:instrText>
      </w:r>
      <w:r>
        <w:rPr>
          <w:highlight w:val="none"/>
        </w:rPr>
        <w:fldChar w:fldCharType="separate"/>
      </w:r>
      <w:r>
        <w:rPr>
          <w:highlight w:val="none"/>
        </w:rPr>
        <w:t xml:space="preserve">45</w:t>
      </w:r>
      <w:r>
        <w:rPr>
          <w:highlight w:val="none"/>
        </w:rPr>
        <w:fldChar w:fldCharType="end"/>
      </w:r>
      <w:r>
        <w:rPr>
          <w:rFonts w:hint="eastAsia" w:ascii="宋体" w:hAnsi="宋体" w:cs="宋体"/>
          <w:highlight w:val="none"/>
        </w:rPr>
        <w:fldChar w:fldCharType="end"/>
      </w:r>
      <w:r/>
    </w:p>
    <w:p>
      <w:pPr>
        <w:keepLines w:val="0"/>
        <w:keepNext w:val="0"/>
        <w:pageBreakBefore w:val="0"/>
        <w:spacing w:line="360" w:lineRule="auto"/>
        <w:widowControl w:val="off"/>
        <w:rPr>
          <w:rFonts w:hint="eastAsia"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45"/>
        <w:rPr>
          <w:rFonts w:hint="eastAsia" w:ascii="宋体" w:hAnsi="宋体" w:cs="宋体"/>
          <w:szCs w:val="21"/>
          <w:highlight w:val="none"/>
        </w:rPr>
        <w:sectPr>
          <w:footerReference w:type="default" r:id="rId12"/>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45"/>
        <w:spacing w:line="360" w:lineRule="auto"/>
        <w:rPr>
          <w:rFonts w:hint="eastAsia" w:ascii="宋体" w:hAnsi="宋体" w:cs="宋体"/>
          <w:szCs w:val="21"/>
          <w:highlight w:val="none"/>
        </w:rPr>
      </w:pPr>
      <w:r>
        <w:rPr>
          <w:rFonts w:hint="eastAsia" w:ascii="宋体" w:hAnsi="宋体" w:cs="宋体"/>
          <w:highlight w:val="none"/>
          <w:lang w:val="en-US" w:eastAsia="zh-CN"/>
        </w:rPr>
        <w:t xml:space="preserve"> </w:t>
      </w:r>
      <w:bookmarkStart w:id="3" w:name="_Toc14969"/>
      <w:r>
        <w:rPr>
          <w:rFonts w:hint="eastAsia" w:ascii="宋体" w:hAnsi="宋体" w:cs="宋体"/>
          <w:highlight w:val="none"/>
        </w:rPr>
        <w:t xml:space="preserve">招标公告</w:t>
      </w:r>
      <w:bookmarkEnd w:id="0"/>
      <w:r/>
      <w:bookmarkEnd w:id="3"/>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2026-2028年度华侨城红枫片区市政设施养护项目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江苏政府采购网苏采云系统注册登记成功后系统内免费下载</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11</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24</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bookmarkEnd w:id="2"/>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1.1项目编号：JSZC-320113-TXJS-G2026-0029</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2026-2028年度华侨城红枫片区市政设施养护项目</w:t>
      </w:r>
      <w:r/>
    </w:p>
    <w:p>
      <w:pPr>
        <w:ind w:firstLine="42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1.3预算金额：人民币</w:t>
      </w:r>
      <w:r>
        <w:rPr>
          <w:rFonts w:hint="eastAsia" w:ascii="宋体" w:hAnsi="宋体" w:cs="宋体"/>
          <w:b w:val="0"/>
          <w:bCs/>
          <w:szCs w:val="21"/>
          <w:highlight w:val="none"/>
          <w:lang w:eastAsia="zh-CN"/>
        </w:rPr>
        <w:t xml:space="preserve">689.743766</w:t>
      </w:r>
      <w:r>
        <w:rPr>
          <w:rFonts w:hint="eastAsia" w:ascii="宋体" w:hAnsi="宋体" w:cs="宋体"/>
          <w:b w:val="0"/>
          <w:bCs/>
          <w:szCs w:val="21"/>
          <w:highlight w:val="none"/>
        </w:rPr>
        <w:t xml:space="preserve">万元。</w:t>
      </w:r>
      <w:r/>
    </w:p>
    <w:p>
      <w:pPr>
        <w:ind w:firstLine="420"/>
        <w:spacing w:line="360" w:lineRule="auto"/>
        <w:rPr>
          <w:rFonts w:hint="eastAsia" w:ascii="宋体" w:hAnsi="宋体" w:cs="宋体"/>
          <w:bCs/>
          <w:szCs w:val="21"/>
          <w:highlight w:val="none"/>
          <w:lang w:val="en-US"/>
        </w:rPr>
      </w:pPr>
      <w:r>
        <w:rPr>
          <w:rFonts w:hint="eastAsia" w:ascii="宋体" w:hAnsi="宋体" w:cs="宋体"/>
          <w:b w:val="0"/>
          <w:bCs/>
          <w:szCs w:val="21"/>
          <w:highlight w:val="none"/>
        </w:rPr>
        <w:t xml:space="preserve">1.4最高限价：</w:t>
      </w:r>
      <w:r>
        <w:rPr>
          <w:rFonts w:hint="eastAsia" w:ascii="宋体" w:hAnsi="宋体" w:cs="宋体"/>
          <w:b w:val="0"/>
          <w:bCs/>
          <w:szCs w:val="21"/>
          <w:highlight w:val="none"/>
          <w:lang w:val="en-US" w:eastAsia="zh-CN"/>
        </w:rPr>
        <w:t xml:space="preserve">344.871883</w:t>
      </w:r>
      <w:r>
        <w:rPr>
          <w:rFonts w:hint="eastAsia" w:ascii="宋体" w:hAnsi="宋体" w:cs="宋体"/>
          <w:b w:val="0"/>
          <w:bCs/>
          <w:szCs w:val="21"/>
          <w:highlight w:val="none"/>
        </w:rPr>
        <w:t xml:space="preserve">万元</w:t>
      </w:r>
      <w:r>
        <w:rPr>
          <w:rFonts w:hint="eastAsia" w:ascii="宋体" w:hAnsi="宋体" w:cs="宋体"/>
          <w:b w:val="0"/>
          <w:bCs/>
          <w:szCs w:val="21"/>
          <w:highlight w:val="none"/>
          <w:lang w:val="en-US" w:eastAsia="zh-CN"/>
        </w:rPr>
        <w:t xml:space="preserve">/年</w:t>
      </w:r>
      <w:r>
        <w:rPr>
          <w:rFonts w:hint="eastAsia" w:ascii="宋体" w:hAnsi="宋体" w:cs="宋体"/>
          <w:b w:val="0"/>
          <w:bCs/>
          <w:szCs w:val="21"/>
          <w:highlight w:val="none"/>
          <w:lang w:val="en-US" w:eastAsia="zh-CN"/>
        </w:rPr>
        <w:t xml:space="preserve">,</w:t>
      </w:r>
      <w:r>
        <w:rPr>
          <w:rFonts w:hint="eastAsia" w:ascii="宋体" w:hAnsi="宋体" w:cs="宋体"/>
          <w:b w:val="0"/>
          <w:bCs/>
          <w:szCs w:val="21"/>
          <w:highlight w:val="none"/>
          <w:lang w:eastAsia="zh-CN"/>
        </w:rPr>
        <w:t xml:space="preserve">689.743766</w:t>
      </w:r>
      <w:r>
        <w:rPr>
          <w:rFonts w:hint="eastAsia" w:ascii="宋体" w:hAnsi="宋体" w:cs="宋体"/>
          <w:b w:val="0"/>
          <w:bCs/>
          <w:szCs w:val="21"/>
          <w:highlight w:val="none"/>
        </w:rPr>
        <w:t xml:space="preserve">万元</w:t>
      </w:r>
      <w:r>
        <w:rPr>
          <w:rFonts w:hint="eastAsia" w:ascii="宋体" w:hAnsi="宋体" w:cs="宋体"/>
          <w:b w:val="0"/>
          <w:bCs/>
          <w:szCs w:val="21"/>
          <w:highlight w:val="none"/>
          <w:lang w:val="en-US" w:eastAsia="zh-CN"/>
        </w:rPr>
        <w:t xml:space="preserve">/2年</w:t>
      </w:r>
      <w:r>
        <w:rPr>
          <w:rFonts w:hint="eastAsia" w:ascii="宋体" w:hAnsi="宋体" w:cs="宋体"/>
          <w:b w:val="0"/>
          <w:bCs/>
          <w:szCs w:val="21"/>
          <w:highlight w:val="none"/>
          <w:lang w:val="en-US" w:eastAsia="zh-CN"/>
        </w:rPr>
        <w:t xml:space="preserve">。投标报价超过最高限价或单项限价的为无效投标，单项限价详见招标文件。</w:t>
      </w:r>
      <w:r/>
    </w:p>
    <w:p>
      <w:pPr>
        <w:ind w:firstLine="420"/>
        <w:spacing w:line="360" w:lineRule="auto"/>
        <w:rPr>
          <w:rFonts w:hint="eastAsia" w:ascii="宋体" w:hAnsi="宋体" w:cs="宋体"/>
          <w:b w:val="0"/>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采购需求：</w:t>
      </w:r>
      <w:r>
        <w:rPr>
          <w:rFonts w:hint="eastAsia" w:ascii="宋体" w:hAnsi="宋体" w:cs="宋体"/>
          <w:b w:val="0"/>
          <w:bCs/>
          <w:szCs w:val="21"/>
          <w:highlight w:val="none"/>
          <w:lang w:eastAsia="zh-CN"/>
        </w:rPr>
        <w:t xml:space="preserve">2026-2028年度华侨城红枫片区市政设施养护项目</w:t>
      </w:r>
      <w:r>
        <w:rPr>
          <w:rFonts w:hint="eastAsia" w:ascii="宋体" w:hAnsi="宋体" w:cs="宋体"/>
          <w:bCs/>
          <w:szCs w:val="21"/>
          <w:highlight w:val="none"/>
        </w:rPr>
        <w:t xml:space="preserve">。具体内容详见招标文件。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合同履行期限：二年，合同一年一签，经考核合格后可续签下一年度合同</w:t>
      </w:r>
      <w:r>
        <w:rPr>
          <w:rFonts w:hint="eastAsia"/>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行业划分：其他未列明行业</w:t>
      </w:r>
      <w:r>
        <w:rPr>
          <w:rFonts w:hint="eastAsia" w:ascii="宋体" w:hAnsi="宋体" w:cs="宋体"/>
          <w:bCs/>
          <w:szCs w:val="21"/>
          <w:highlight w:val="none"/>
          <w:lang w:eastAsia="zh-CN"/>
        </w:rPr>
        <w:t xml:space="preserve">（</w:t>
      </w:r>
      <w:r>
        <w:rPr>
          <w:rFonts w:hint="eastAsia" w:ascii="宋体" w:hAnsi="宋体" w:cs="Arial"/>
          <w:spacing w:val="8"/>
          <w:highlight w:val="none"/>
        </w:rPr>
        <w:t xml:space="preserve">水利、环境和公共设施管理业</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1.8</w:t>
      </w:r>
      <w:r>
        <w:rPr>
          <w:rFonts w:hint="eastAsia" w:ascii="宋体" w:hAnsi="宋体" w:cs="宋体"/>
          <w:bCs/>
          <w:szCs w:val="21"/>
          <w:highlight w:val="none"/>
        </w:rPr>
        <w:t xml:space="preserve">本项目非专门面向中小企业（或监狱企业或残疾人福利性单位）采购。</w:t>
      </w:r>
      <w:r/>
    </w:p>
    <w:p>
      <w:pPr>
        <w:ind w:firstLine="420"/>
        <w:spacing w:line="360" w:lineRule="auto"/>
        <w:rPr>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本项目</w:t>
      </w:r>
      <w:r>
        <w:rPr>
          <w:rFonts w:hint="eastAsia" w:ascii="宋体" w:hAnsi="宋体" w:cs="宋体"/>
          <w:bCs/>
          <w:szCs w:val="21"/>
          <w:highlight w:val="none"/>
          <w:lang w:val="en-US" w:eastAsia="zh-CN"/>
        </w:rPr>
        <w:t xml:space="preserve">不</w:t>
      </w:r>
      <w:r>
        <w:rPr>
          <w:rFonts w:hint="eastAsia" w:ascii="宋体" w:hAnsi="宋体" w:cs="宋体"/>
          <w:bCs/>
          <w:szCs w:val="21"/>
          <w:highlight w:val="none"/>
        </w:rPr>
        <w:t xml:space="preserve">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w:t>
      </w:r>
      <w:r>
        <w:rPr>
          <w:rFonts w:hint="eastAsia" w:ascii="宋体" w:hAnsi="宋体" w:cs="宋体"/>
          <w:bCs/>
          <w:szCs w:val="21"/>
          <w:highlight w:val="none"/>
          <w:lang w:val="en-US" w:eastAsia="zh-CN"/>
        </w:rPr>
        <w:t xml:space="preserve">2025年度</w:t>
      </w:r>
      <w:r>
        <w:rPr>
          <w:rFonts w:hint="eastAsia" w:ascii="宋体" w:hAnsi="宋体" w:cs="宋体"/>
          <w:bCs/>
          <w:szCs w:val="21"/>
          <w:highlight w:val="none"/>
        </w:rPr>
        <w:t xml:space="preserve">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宋体" w:hAnsi="宋体" w:eastAsia="宋体" w:cs="宋体"/>
          <w:b/>
          <w:spacing w:val="8"/>
          <w:szCs w:val="21"/>
          <w:highlight w:val="none"/>
          <w:lang w:eastAsia="zh-CN"/>
        </w:rPr>
      </w:pPr>
      <w:r>
        <w:rPr>
          <w:rFonts w:hint="eastAsia" w:ascii="宋体" w:hAnsi="宋体" w:cs="宋体"/>
          <w:b/>
          <w:spacing w:val="8"/>
          <w:szCs w:val="21"/>
          <w:highlight w:val="none"/>
        </w:rPr>
        <w:t xml:space="preserve">2.2落实政府采购政策需满足的资格要求：</w:t>
      </w:r>
      <w:r>
        <w:rPr>
          <w:rFonts w:hint="eastAsia" w:ascii="宋体" w:hAnsi="宋体" w:cs="宋体"/>
          <w:b/>
          <w:spacing w:val="8"/>
          <w:szCs w:val="21"/>
          <w:highlight w:val="none"/>
          <w:lang w:val="en-US" w:eastAsia="zh-CN"/>
        </w:rPr>
        <w:t xml:space="preserve">无。</w:t>
      </w:r>
      <w:r/>
    </w:p>
    <w:p>
      <w:pPr>
        <w:ind w:firstLine="458"/>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lang w:val="en-US" w:eastAsia="zh-CN"/>
        </w:rPr>
        <w:t xml:space="preserve">无。</w:t>
      </w:r>
      <w:r/>
    </w:p>
    <w:p>
      <w:pPr>
        <w:ind w:firstLine="426"/>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2.4</w:t>
      </w:r>
      <w:r>
        <w:rPr>
          <w:rFonts w:hint="eastAsia" w:ascii="宋体" w:hAnsi="宋体" w:eastAsia="宋体" w:cs="宋体"/>
          <w:b/>
          <w:bCs/>
          <w:color w:val="auto"/>
          <w:spacing w:val="8"/>
          <w:szCs w:val="21"/>
          <w:highlight w:val="none"/>
        </w:rPr>
        <w:t xml:space="preserve"> </w:t>
      </w:r>
      <w:r>
        <w:rPr>
          <w:rFonts w:ascii="宋体" w:hAnsi="宋体" w:cs="宋体"/>
          <w:b/>
          <w:szCs w:val="21"/>
          <w:highlight w:val="none"/>
        </w:rPr>
        <w:t xml:space="preserve">提供《南京市政府采购供应商信用承诺书》（格式详见附件），法定代表人签字并盖单位公章</w:t>
      </w:r>
      <w:r>
        <w:rPr>
          <w:rFonts w:hint="eastAsia" w:ascii="宋体" w:hAnsi="宋体" w:cs="宋体"/>
          <w:b/>
          <w:szCs w:val="21"/>
          <w:highlight w:val="none"/>
          <w:lang w:eastAsia="zh-CN"/>
        </w:rPr>
        <w:t xml:space="preserve">。</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2.5 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2"/>
        <w:jc w:val="left"/>
        <w:spacing w:line="360" w:lineRule="auto"/>
        <w:shd w:val="clear" w:color="auto" w:fill="ffffff"/>
        <w:widowControl/>
        <w:rPr>
          <w:rFonts w:hint="eastAsia" w:ascii="宋体" w:hAnsi="宋体" w:cs="宋体"/>
          <w:b w:val="0"/>
          <w:bCs w:val="0"/>
          <w:spacing w:val="8"/>
          <w:szCs w:val="21"/>
          <w:highlight w:val="none"/>
        </w:rPr>
      </w:pPr>
      <w:r>
        <w:rPr>
          <w:rFonts w:hint="eastAsia" w:ascii="宋体" w:hAnsi="宋体" w:cs="宋体"/>
          <w:b w:val="0"/>
          <w:bCs w:val="0"/>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3.2地点：江苏政府采购网</w:t>
      </w:r>
      <w:r>
        <w:rPr>
          <w:rFonts w:hint="eastAsia" w:ascii="宋体" w:hAnsi="宋体" w:cs="宋体"/>
          <w:bCs/>
          <w:szCs w:val="21"/>
          <w:highlight w:val="none"/>
        </w:rPr>
        <w:t xml:space="preserve">苏采云系统注册</w:t>
      </w:r>
      <w:bookmarkStart w:id="47" w:name="_GoBack"/>
      <w:r/>
      <w:bookmarkEnd w:id="47"/>
      <w:r>
        <w:rPr>
          <w:rFonts w:hint="eastAsia" w:ascii="宋体" w:hAnsi="宋体" w:cs="宋体"/>
          <w:bCs/>
          <w:szCs w:val="21"/>
          <w:highlight w:val="none"/>
        </w:rPr>
        <w:t xml:space="preserve">登记成功后系统内免费下载 </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w:t>
      </w:r>
      <w:r>
        <w:rPr>
          <w:rFonts w:hint="eastAsia" w:ascii="宋体" w:hAnsi="宋体" w:cs="宋体"/>
          <w:szCs w:val="21"/>
          <w:highlight w:val="none"/>
        </w:rPr>
        <w:t xml:space="preserve">采用网上注册登记方式 </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w:t>
      </w:r>
      <w:r>
        <w:rPr>
          <w:rFonts w:hint="eastAsia" w:ascii="宋体" w:hAnsi="宋体" w:cs="宋体"/>
          <w:spacing w:val="8"/>
          <w:szCs w:val="21"/>
          <w:highlight w:val="none"/>
          <w:lang w:eastAsia="zh-CN"/>
        </w:rPr>
        <w:t xml:space="preserve">：</w:t>
      </w:r>
      <w:r>
        <w:rPr>
          <w:rFonts w:hint="eastAsia" w:ascii="宋体" w:hAnsi="宋体" w:cs="宋体"/>
          <w:spacing w:val="8"/>
          <w:szCs w:val="21"/>
          <w:highlight w:val="none"/>
        </w:rPr>
        <w:t xml:space="preserve">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11</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24</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09</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pacing w:val="8"/>
          <w:szCs w:val="21"/>
          <w:highlight w:val="none"/>
        </w:rPr>
        <w:t xml:space="preserve">（北京时间）</w:t>
      </w:r>
      <w:r/>
    </w:p>
    <w:p>
      <w:pPr>
        <w:pStyle w:val="787"/>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w:t>
      </w:r>
      <w:r/>
    </w:p>
    <w:p>
      <w:pPr>
        <w:pStyle w:val="787"/>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widowControl/>
        <w:rPr>
          <w:rFonts w:hint="eastAsia"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widowControl/>
        <w:rPr>
          <w:rFonts w:hint="eastAsia"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 xml:space="preserve">。</w:t>
      </w:r>
      <w:r/>
    </w:p>
    <w:p>
      <w:pPr>
        <w:ind w:firstLine="363"/>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6.3</w:t>
      </w:r>
      <w:r>
        <w:rPr>
          <w:rFonts w:hint="eastAsia" w:ascii="宋体" w:hAnsi="宋体" w:cs="宋体"/>
          <w:bCs/>
          <w:szCs w:val="21"/>
          <w:highlight w:val="none"/>
          <w:lang w:val="en-US" w:eastAsia="zh-CN"/>
        </w:rPr>
        <w:t xml:space="preserve">供应商</w:t>
      </w:r>
      <w:r>
        <w:rPr>
          <w:rFonts w:hint="eastAsia" w:ascii="宋体" w:hAnsi="宋体" w:cs="宋体"/>
          <w:bCs/>
          <w:szCs w:val="21"/>
          <w:highlight w:val="none"/>
        </w:rPr>
        <w:t xml:space="preserve">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828"/>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828"/>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828"/>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828"/>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after="0" w:line="360" w:lineRule="auto"/>
        <w:widowControl/>
        <w:rPr>
          <w:rFonts w:ascii="宋体" w:hAnsi="宋体" w:cs="宋体"/>
          <w:szCs w:val="21"/>
          <w:highlight w:val="none"/>
        </w:rPr>
      </w:pPr>
      <w:r>
        <w:rPr>
          <w:rFonts w:ascii="宋体" w:hAnsi="宋体" w:cs="宋体"/>
          <w:szCs w:val="21"/>
          <w:highlight w:val="none"/>
          <w:lang w:val="zh-CN"/>
        </w:rPr>
        <w:t xml:space="preserve">根据《关于在政府采购活动中推行信用承诺制的通知》宁财购通〔2021〕5号规定，</w:t>
      </w:r>
      <w:r>
        <w:rPr>
          <w:rFonts w:ascii="宋体" w:hAnsi="宋体" w:cs="宋体"/>
          <w:szCs w:val="21"/>
          <w:highlight w:val="none"/>
        </w:rPr>
        <w:t xml:space="preserve">参加</w:t>
      </w:r>
      <w:r>
        <w:rPr>
          <w:rFonts w:ascii="宋体" w:hAnsi="宋体" w:cs="宋体"/>
          <w:szCs w:val="21"/>
          <w:highlight w:val="none"/>
          <w:lang w:val="zh-CN"/>
        </w:rPr>
        <w:t xml:space="preserve">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 xml:space="preserve">由</w:t>
      </w:r>
      <w:r>
        <w:rPr>
          <w:rFonts w:ascii="宋体" w:hAnsi="宋体" w:cs="宋体"/>
          <w:b/>
          <w:bCs/>
          <w:szCs w:val="21"/>
          <w:highlight w:val="none"/>
        </w:rPr>
        <w:t xml:space="preserve">法定代表人</w:t>
      </w:r>
      <w:r>
        <w:rPr>
          <w:rFonts w:ascii="宋体" w:hAnsi="宋体" w:cs="宋体"/>
          <w:b/>
          <w:bCs/>
          <w:szCs w:val="21"/>
          <w:highlight w:val="none"/>
          <w:lang w:val="zh-CN"/>
        </w:rPr>
        <w:t xml:space="preserve">签字并盖单位公章，</w:t>
      </w:r>
      <w:r>
        <w:rPr>
          <w:rFonts w:ascii="宋体" w:hAnsi="宋体" w:cs="宋体"/>
          <w:b/>
          <w:bCs/>
          <w:szCs w:val="21"/>
          <w:highlight w:val="none"/>
        </w:rPr>
        <w:t xml:space="preserve">随响应文件一并递交。</w:t>
      </w:r>
      <w:r/>
    </w:p>
    <w:p>
      <w:pPr>
        <w:ind w:firstLine="363"/>
        <w:spacing w:after="0" w:line="360" w:lineRule="auto"/>
        <w:widowControl/>
        <w:rPr>
          <w:rFonts w:ascii="宋体" w:hAnsi="宋体" w:cs="宋体"/>
          <w:szCs w:val="21"/>
          <w:highlight w:val="none"/>
          <w:lang w:val="zh-CN"/>
        </w:rPr>
      </w:pPr>
      <w:r>
        <w:rPr>
          <w:rFonts w:ascii="宋体" w:hAnsi="宋体" w:cs="宋体"/>
          <w:szCs w:val="21"/>
          <w:highlight w:val="none"/>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800"/>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南京市栖霞区城市管理局</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联系人：华坤</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联系电话：</w:t>
      </w:r>
      <w:r>
        <w:rPr>
          <w:rFonts w:hint="eastAsia" w:ascii="宋体" w:hAnsi="宋体" w:cs="宋体"/>
          <w:bCs/>
          <w:szCs w:val="21"/>
          <w:highlight w:val="none"/>
          <w:lang w:val="en-US" w:eastAsia="zh-CN"/>
        </w:rPr>
        <w:t xml:space="preserve">025-85328072</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地址：南京市栖霞区仙林大学城文成路1号</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江苏天信建设项目咨询有限公司</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地址：</w:t>
      </w:r>
      <w:r>
        <w:rPr>
          <w:rFonts w:hint="eastAsia" w:ascii="宋体" w:hAnsi="宋体" w:cs="宋体"/>
          <w:bCs/>
          <w:szCs w:val="21"/>
          <w:highlight w:val="none"/>
          <w:lang w:eastAsia="zh-CN"/>
        </w:rPr>
        <w:t xml:space="preserve">南京市建邺区水西门大街272号金基广场502室（5A02室）</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金佳懿、帅堰</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电子邮箱：</w:t>
      </w:r>
      <w:r>
        <w:rPr>
          <w:rFonts w:hint="eastAsia" w:ascii="宋体" w:hAnsi="宋体" w:cs="宋体"/>
          <w:bCs/>
          <w:szCs w:val="21"/>
          <w:highlight w:val="none"/>
          <w:lang w:val="en-US" w:eastAsia="zh-CN"/>
        </w:rPr>
        <w:t xml:space="preserve">843065156@qq.com</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联系方式：</w:t>
      </w:r>
      <w:r>
        <w:rPr>
          <w:rFonts w:hint="eastAsia" w:ascii="宋体" w:hAnsi="宋体" w:cs="宋体"/>
          <w:bCs/>
          <w:szCs w:val="21"/>
          <w:highlight w:val="none"/>
          <w:lang w:eastAsia="zh-CN"/>
        </w:rPr>
        <w:t xml:space="preserve">025-86556245-8011  18551711989</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金佳懿、帅堰</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电话：</w:t>
      </w:r>
      <w:r>
        <w:rPr>
          <w:rFonts w:hint="eastAsia" w:ascii="宋体" w:hAnsi="宋体" w:cs="宋体"/>
          <w:bCs/>
          <w:szCs w:val="21"/>
          <w:highlight w:val="none"/>
          <w:lang w:eastAsia="zh-CN"/>
        </w:rPr>
        <w:t xml:space="preserve">025-86556245-8011  18551711989</w:t>
      </w:r>
      <w:r/>
    </w:p>
    <w:p>
      <w:pPr>
        <w:ind w:firstLine="363"/>
        <w:spacing w:line="360" w:lineRule="auto"/>
        <w:widowControl/>
        <w:rPr>
          <w:rFonts w:hint="eastAsia" w:ascii="宋体" w:hAnsi="宋体" w:cs="宋体"/>
          <w:highlight w:val="none"/>
        </w:rPr>
      </w:pPr>
      <w:r>
        <w:rPr>
          <w:rFonts w:hint="eastAsia" w:ascii="宋体" w:hAnsi="宋体" w:cs="宋体"/>
          <w:highlight w:val="none"/>
        </w:rPr>
        <w:br w:type="page" w:clear="all"/>
      </w:r>
      <w:r/>
    </w:p>
    <w:p>
      <w:pPr>
        <w:pStyle w:val="745"/>
        <w:jc w:val="center"/>
        <w:spacing w:line="360" w:lineRule="auto"/>
        <w:rPr>
          <w:rFonts w:hint="eastAsia" w:ascii="宋体" w:hAnsi="宋体" w:cs="宋体"/>
          <w:highlight w:val="none"/>
        </w:rPr>
      </w:pPr>
      <w:r/>
      <w:bookmarkStart w:id="4" w:name="_Toc452625218"/>
      <w:r/>
      <w:bookmarkStart w:id="5" w:name="_Toc18322"/>
      <w:r>
        <w:rPr>
          <w:rFonts w:hint="eastAsia" w:ascii="宋体" w:hAnsi="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rPr>
          <w:rFonts w:hint="eastAsia" w:ascii="宋体" w:hAnsi="宋体" w:cs="宋体"/>
          <w:szCs w:val="21"/>
          <w:highlight w:val="none"/>
          <w:lang w:val="en-US" w:eastAsia="zh-CN"/>
        </w:rPr>
        <w:t xml:space="preserve">(本项目不适用)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w:t>
      </w:r>
      <w:r>
        <w:rPr>
          <w:rFonts w:hint="eastAsia" w:ascii="宋体" w:hAnsi="宋体" w:cs="宋体"/>
          <w:b w:val="0"/>
          <w:bCs w:val="0"/>
          <w:szCs w:val="21"/>
          <w:highlight w:val="none"/>
        </w:rPr>
        <w:t xml:space="preserve">进口产品的，应提供人民币与外币之间的汇率。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w:t>
      </w:r>
      <w:r>
        <w:rPr>
          <w:rFonts w:hint="eastAsia" w:ascii="宋体" w:hAnsi="宋体" w:cs="宋体"/>
          <w:szCs w:val="21"/>
          <w:highlight w:val="none"/>
          <w:lang w:eastAsia="zh-CN"/>
        </w:rPr>
        <w:t xml:space="preserve">采购需求偏离表</w:t>
      </w:r>
      <w:r>
        <w:rPr>
          <w:rFonts w:hint="eastAsia" w:ascii="宋体" w:hAnsi="宋体" w:cs="宋体"/>
          <w:szCs w:val="21"/>
          <w:highlight w:val="none"/>
        </w:rPr>
        <w:t xml:space="preserve">》等处逐条标明满足与否。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highlight w:val="none"/>
        </w:rPr>
        <w:t xml:space="preserve">★</w:t>
      </w:r>
      <w:r>
        <w:rPr>
          <w:rFonts w:hint="eastAsia" w:ascii="宋体" w:hAnsi="宋体" w:cs="宋体"/>
          <w:b/>
          <w:bCs/>
          <w:szCs w:val="21"/>
          <w:highlight w:val="none"/>
        </w:rPr>
        <w:t xml:space="preserve">”）的技术条款必须在投标文件中提供技术支持资料</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如需要</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具体以采购需求中文件要求为准</w:t>
      </w:r>
      <w:r>
        <w:rPr>
          <w:rFonts w:hint="eastAsia" w:ascii="宋体" w:hAnsi="宋体" w:cs="宋体"/>
          <w:b/>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eastAsia="zh-CN"/>
        </w:rPr>
        <w:t xml:space="preserve">南京市政府采购供应商信用承诺书</w:t>
      </w:r>
      <w:r>
        <w:rPr>
          <w:rFonts w:hint="eastAsia" w:ascii="宋体" w:hAnsi="宋体" w:cs="宋体"/>
          <w:szCs w:val="21"/>
          <w:highlight w:val="none"/>
        </w:rPr>
        <w:t xml:space="preserve">》</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w:t>
      </w:r>
      <w:r>
        <w:rPr>
          <w:rFonts w:hint="eastAsia" w:ascii="宋体" w:hAnsi="宋体" w:cs="宋体"/>
          <w:szCs w:val="21"/>
          <w:highlight w:val="none"/>
          <w:lang w:val="en-US" w:eastAsia="zh-CN"/>
        </w:rPr>
        <w:t xml:space="preserve">装卸</w:t>
      </w:r>
      <w:r>
        <w:rPr>
          <w:rFonts w:hint="eastAsia" w:ascii="宋体" w:hAnsi="宋体" w:cs="宋体"/>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如标书制作工具中格式和内容与“江苏政府采购网、中国政府采购网”发布的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cs="Times New Roman"/>
          <w:szCs w:val="21"/>
          <w:highlight w:val="none"/>
          <w:lang w:val="en-US" w:eastAsia="zh-CN"/>
        </w:rPr>
        <w:t xml:space="preserve">1、</w:t>
      </w:r>
      <w:r>
        <w:rPr>
          <w:rFonts w:hint="eastAsia" w:ascii="Arial" w:hAnsi="Arial"/>
          <w:szCs w:val="21"/>
          <w:highlight w:val="none"/>
          <w:lang w:val="en-US" w:eastAsia="zh-CN"/>
        </w:rPr>
        <w:t xml:space="preserve">（1）本</w:t>
      </w:r>
      <w:r>
        <w:rPr>
          <w:rFonts w:hint="eastAsia" w:ascii="Arial" w:hAnsi="Arial"/>
          <w:szCs w:val="21"/>
          <w:highlight w:val="none"/>
          <w:lang w:val="zh-CN"/>
        </w:rPr>
        <w:t xml:space="preserve">次招</w:t>
      </w:r>
      <w:r>
        <w:rPr>
          <w:rFonts w:hint="eastAsia" w:ascii="宋体" w:hAnsi="宋体" w:cs="宋体"/>
          <w:bCs/>
          <w:szCs w:val="21"/>
          <w:highlight w:val="none"/>
        </w:rPr>
        <w:t xml:space="preserve">标，代理服务费</w:t>
      </w:r>
      <w:r>
        <w:rPr>
          <w:rFonts w:hint="eastAsia" w:ascii="Arial" w:hAnsi="Arial"/>
          <w:szCs w:val="21"/>
          <w:highlight w:val="none"/>
          <w:lang w:val="zh-CN"/>
        </w:rPr>
        <w:t xml:space="preserve">根据中标金额</w:t>
      </w:r>
      <w:r>
        <w:rPr>
          <w:rFonts w:hint="eastAsia" w:ascii="Arial" w:hAnsi="Arial"/>
          <w:szCs w:val="21"/>
          <w:highlight w:val="none"/>
          <w:lang w:val="en-US" w:eastAsia="zh-CN"/>
        </w:rPr>
        <w:t xml:space="preserve">按照《江苏省政府采购代理服务收费指导意见》（苏政采协[2024]20号）收费</w:t>
      </w:r>
      <w:r>
        <w:rPr>
          <w:rFonts w:hint="eastAsia" w:ascii="Arial" w:hAnsi="Arial" w:cs="Times New Roman"/>
          <w:szCs w:val="21"/>
          <w:highlight w:val="none"/>
          <w:lang w:val="en-US" w:eastAsia="zh-CN"/>
        </w:rPr>
        <w:t xml:space="preserve">标准的36.5%取费（</w:t>
      </w:r>
      <w:r>
        <w:rPr>
          <w:rFonts w:hint="eastAsia" w:ascii="Arial" w:hAnsi="Arial"/>
          <w:szCs w:val="21"/>
          <w:highlight w:val="none"/>
          <w:lang w:val="en-US" w:eastAsia="zh-CN"/>
        </w:rPr>
        <w:t xml:space="preserve">不足5000按5000计算）。</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（2）招标代理服务费由中标/成交供应商支付给招标代理。</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（3）支付招标代理服务费的时间：发中标/成交通知书前支付。</w:t>
      </w:r>
      <w:r/>
    </w:p>
    <w:p>
      <w:pPr>
        <w:ind w:firstLine="420"/>
        <w:spacing w:line="360" w:lineRule="auto"/>
        <w:shd w:val="clear" w:color="auto" w:fill="ffffff"/>
        <w:widowControl/>
        <w:rPr>
          <w:rFonts w:hint="eastAsia" w:ascii="Arial" w:hAnsi="Arial"/>
          <w:szCs w:val="21"/>
          <w:highlight w:val="none"/>
          <w:lang w:val="en-US" w:eastAsia="zh-CN"/>
        </w:rPr>
      </w:pPr>
      <w:r>
        <w:rPr>
          <w:rFonts w:hint="eastAsia" w:ascii="Arial" w:hAnsi="Arial"/>
          <w:szCs w:val="21"/>
          <w:highlight w:val="none"/>
          <w:lang w:val="en-US" w:eastAsia="zh-CN"/>
        </w:rPr>
        <w:t xml:space="preserve">2、原因：招标代理相关费用已纳入项目采购预算，供应商应在报价中一并考虑。</w:t>
      </w:r>
      <w:r/>
    </w:p>
    <w:p>
      <w:pPr>
        <w:ind w:firstLine="420"/>
        <w:spacing w:line="360" w:lineRule="auto"/>
        <w:shd w:val="clear" w:color="auto" w:fill="ffffff"/>
        <w:widowControl/>
        <w:rPr>
          <w:rFonts w:hint="eastAsia" w:ascii="宋体" w:hAnsi="宋体" w:cs="宋体"/>
          <w:szCs w:val="21"/>
          <w:highlight w:val="none"/>
        </w:rPr>
      </w:pPr>
      <w:r>
        <w:rPr>
          <w:rFonts w:hint="eastAsia" w:ascii="Arial" w:hAnsi="Arial"/>
          <w:szCs w:val="21"/>
          <w:highlight w:val="none"/>
          <w:lang w:val="en-US" w:eastAsia="zh-CN"/>
        </w:rPr>
        <w:t xml:space="preserve">3、确立标准的依据：根据“南京市栖霞区城市管理局招标及采购代理服务框架协议采购成交结果”确定。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3</w:t>
      </w:r>
      <w:r>
        <w:rPr>
          <w:rFonts w:hint="eastAsia" w:ascii="宋体" w:hAnsi="宋体" w:cs="宋体"/>
          <w:b/>
          <w:szCs w:val="21"/>
          <w:highlight w:val="none"/>
        </w:rPr>
        <w:t xml:space="preserve">）报价超过招标文件中规定的预算金额或者最高限价的；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highlight w:val="none"/>
        </w:rPr>
        <w:t xml:space="preserve">★</w:t>
      </w:r>
      <w:r>
        <w:rPr>
          <w:rFonts w:hint="eastAsia" w:ascii="宋体" w:hAnsi="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（5）因重大变故，采购任务取消的</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w:t>
      </w:r>
      <w:r>
        <w:rPr>
          <w:rFonts w:hint="eastAsia" w:ascii="宋体" w:hAnsi="宋体" w:cs="宋体"/>
          <w:szCs w:val="21"/>
          <w:highlight w:val="none"/>
          <w:lang w:val="en-US" w:eastAsia="zh-CN"/>
        </w:rPr>
        <w:t xml:space="preserve">2</w:t>
      </w:r>
      <w:r>
        <w:rPr>
          <w:rFonts w:ascii="宋体" w:hAnsi="宋体" w:cs="宋体"/>
          <w:szCs w:val="21"/>
          <w:highlight w:val="none"/>
        </w:rPr>
        <w:t xml:space="preserve">.2.3.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22.4.1评标过程中出现下列情形之一的，评标委员会应当启动异常低价投标审查程序：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%的，即投标报价&lt;全部通过符合性审查投标人投标报价平均值×</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%的，即投标报价&lt;通过符合性审查的次低报价投标人投标报价×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%的，即投标报价&lt;本项目最高限价×</w:t>
      </w:r>
      <w:r>
        <w:rPr>
          <w:rFonts w:hint="eastAsia" w:ascii="宋体" w:hAnsi="宋体" w:cs="宋体"/>
          <w:b/>
          <w:bCs/>
          <w:szCs w:val="21"/>
          <w:highlight w:val="none"/>
          <w:lang w:val="en-US" w:eastAsia="zh-CN"/>
        </w:rPr>
        <w:t xml:space="preserve">65</w:t>
      </w:r>
      <w:r>
        <w:rPr>
          <w:rFonts w:hint="eastAsia" w:ascii="宋体" w:hAnsi="宋体" w:cs="宋体"/>
          <w:b/>
          <w:bCs/>
          <w:szCs w:val="21"/>
          <w:highlight w:val="none"/>
        </w:rPr>
        <w:t xml:space="preserve">%；</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highlight w:val="none"/>
          <w:lang w:val="en-US" w:eastAsia="zh-CN"/>
        </w:rPr>
        <w:t xml:space="preserve">以书面形式向</w:t>
      </w:r>
      <w:r>
        <w:rPr>
          <w:rFonts w:hint="eastAsia" w:ascii="宋体" w:hAnsi="宋体" w:cs="宋体"/>
          <w:b/>
          <w:bCs/>
          <w:szCs w:val="21"/>
          <w:highlight w:val="none"/>
        </w:rPr>
        <w:t xml:space="preserve">采购人或采购代理机构</w:t>
      </w:r>
      <w:r>
        <w:rPr>
          <w:rFonts w:hint="eastAsia" w:ascii="宋体" w:hAnsi="宋体" w:cs="宋体"/>
          <w:b/>
          <w:bCs/>
          <w:szCs w:val="21"/>
          <w:highlight w:val="none"/>
          <w:lang w:val="en-US" w:eastAsia="zh-CN"/>
        </w:rPr>
        <w:t xml:space="preserve">提出质疑</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财政部门将依法予以处罚</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hint="eastAsia" w:ascii="宋体" w:hAnsi="宋体" w:cs="宋体"/>
          <w:highlight w:val="none"/>
        </w:rPr>
      </w:pPr>
      <w:r>
        <w:rPr>
          <w:rFonts w:hint="eastAsia" w:ascii="宋体" w:hAnsi="宋体" w:cs="宋体"/>
          <w:highlight w:val="none"/>
        </w:rPr>
        <w:br w:type="page" w:clear="all"/>
      </w:r>
      <w:r/>
    </w:p>
    <w:p>
      <w:pPr>
        <w:pStyle w:val="745"/>
        <w:jc w:val="center"/>
        <w:spacing w:line="360" w:lineRule="auto"/>
        <w:rPr>
          <w:rFonts w:hint="eastAsia" w:ascii="宋体" w:hAnsi="宋体" w:cs="宋体"/>
          <w:highlight w:val="none"/>
        </w:rPr>
      </w:pPr>
      <w:r/>
      <w:bookmarkStart w:id="6" w:name="_Toc481057145"/>
      <w:r>
        <w:rPr>
          <w:rFonts w:hint="eastAsia" w:ascii="宋体" w:hAnsi="宋体" w:cs="宋体"/>
          <w:highlight w:val="none"/>
        </w:rPr>
        <w:t xml:space="preserve"> </w:t>
      </w:r>
      <w:bookmarkStart w:id="7" w:name="_Toc25919"/>
      <w:r>
        <w:rPr>
          <w:rFonts w:hint="eastAsia" w:ascii="宋体" w:hAnsi="宋体" w:cs="宋体"/>
          <w:highlight w:val="none"/>
        </w:rPr>
        <w:t xml:space="preserve">评标标准</w:t>
      </w:r>
      <w:bookmarkEnd w:id="7"/>
      <w:r/>
      <w:bookmarkEnd w:id="6"/>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55"/>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155"/>
        <w:gridCol w:w="7294"/>
        <w:gridCol w:w="709"/>
      </w:tblGrid>
      <w:tr>
        <w:trPr>
          <w:jc w:val="center"/>
          <w:trHeight w:val="562"/>
        </w:trPr>
        <w:tc>
          <w:tcPr>
            <w:tcW w:w="718"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155"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评分因素</w:t>
            </w:r>
            <w:r/>
          </w:p>
        </w:tc>
        <w:tc>
          <w:tcPr>
            <w:tcW w:w="7294"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评审标准</w:t>
            </w:r>
            <w:r/>
          </w:p>
        </w:tc>
        <w:tc>
          <w:tcPr>
            <w:tcW w:w="709"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jc w:val="center"/>
          <w:trHeight w:val="57"/>
        </w:trPr>
        <w:tc>
          <w:tcPr>
            <w:tcW w:w="718"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155"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w:t>
            </w:r>
            <w:r/>
          </w:p>
        </w:tc>
        <w:tc>
          <w:tcPr>
            <w:tcW w:w="7294" w:type="dxa"/>
            <w:vAlign w:val="center"/>
            <w:textDirection w:val="lrTb"/>
            <w:noWrap/>
          </w:tcPr>
          <w:p>
            <w:pPr>
              <w:jc w:val="left"/>
              <w:keepLines w:val="0"/>
              <w:keepNext w:val="0"/>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采用低价优先法计算，即满足招标文件基本要求且投标价格最低的投标报价为评标基准价为满分，即</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分。其他</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的价格分按照下列公式计算（小数点保留二位）；投标报价得分=（评标基准价/投标报价）×</w:t>
            </w:r>
            <w:r>
              <w:rPr>
                <w:rFonts w:hint="eastAsia" w:ascii="宋体" w:hAnsi="宋体" w:eastAsia="宋体" w:cs="宋体"/>
                <w:sz w:val="21"/>
                <w:szCs w:val="21"/>
                <w:highlight w:val="none"/>
                <w:lang w:val="en-US" w:eastAsia="zh-CN"/>
              </w:rPr>
              <w:t xml:space="preserve">15</w:t>
            </w:r>
            <w:r>
              <w:rPr>
                <w:rFonts w:hint="eastAsia" w:ascii="宋体" w:hAnsi="宋体" w:cs="宋体"/>
                <w:sz w:val="21"/>
                <w:szCs w:val="21"/>
                <w:highlight w:val="none"/>
                <w:lang w:val="en-US" w:eastAsia="zh-CN"/>
              </w:rPr>
              <w:t xml:space="preserve">。</w:t>
            </w:r>
            <w:r/>
          </w:p>
        </w:tc>
        <w:tc>
          <w:tcPr>
            <w:tcW w:w="709"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w:t>
            </w:r>
            <w:r/>
          </w:p>
        </w:tc>
      </w:tr>
      <w:tr>
        <w:trPr>
          <w:jc w:val="center"/>
          <w:trHeight w:val="90"/>
        </w:trPr>
        <w:tc>
          <w:tcPr>
            <w:tcW w:w="718"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155" w:type="dxa"/>
            <w:vAlign w:val="center"/>
            <w:textDirection w:val="lrTb"/>
            <w:noWrap/>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企业业绩</w:t>
            </w:r>
            <w:r/>
          </w:p>
        </w:tc>
        <w:tc>
          <w:tcPr>
            <w:tcW w:w="7294" w:type="dxa"/>
            <w:vAlign w:val="center"/>
            <w:textDirection w:val="lrTb"/>
            <w:noWrap/>
          </w:tcPr>
          <w:p>
            <w:pPr>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自2023年1月1日（含）以来承担过</w:t>
            </w:r>
            <w:r>
              <w:rPr>
                <w:rFonts w:hint="eastAsia" w:ascii="宋体" w:hAnsi="宋体" w:cs="宋体"/>
                <w:color w:val="auto"/>
                <w:sz w:val="21"/>
                <w:szCs w:val="21"/>
                <w:highlight w:val="none"/>
                <w:lang w:val="en-US" w:eastAsia="zh-CN"/>
              </w:rPr>
              <w:t xml:space="preserve">道路养护</w:t>
            </w:r>
            <w:r>
              <w:rPr>
                <w:rFonts w:hint="eastAsia" w:ascii="宋体" w:hAnsi="宋体" w:eastAsia="宋体" w:cs="宋体"/>
                <w:sz w:val="21"/>
                <w:szCs w:val="21"/>
                <w:highlight w:val="none"/>
              </w:rPr>
              <w:t xml:space="preserve">项目，每提供一份业绩得3分，满分9分。（须提供合同扫描件加盖公章，时间以合同签订时间为准，合同扫描件须能反映相关信息，否则不得分）。</w:t>
            </w:r>
            <w:r/>
          </w:p>
        </w:tc>
        <w:tc>
          <w:tcPr>
            <w:tcW w:w="709"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r>
      <w:tr>
        <w:trPr>
          <w:jc w:val="center"/>
          <w:trHeight w:val="57"/>
        </w:trPr>
        <w:tc>
          <w:tcPr>
            <w:tcW w:w="718"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155" w:type="dxa"/>
            <w:vAlign w:val="center"/>
            <w:textDirection w:val="lrTb"/>
            <w:noWrap/>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车辆及设备</w:t>
            </w:r>
            <w:r/>
          </w:p>
        </w:tc>
        <w:tc>
          <w:tcPr>
            <w:tcW w:w="729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（1）具有铣刨机得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（2）具有平板夯得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（3）具有装载机得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具有挖掘机得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）具有压路机得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）具有洒水车得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具有</w:t>
            </w:r>
            <w:r>
              <w:rPr>
                <w:rFonts w:hint="eastAsia" w:ascii="宋体" w:hAnsi="宋体" w:cs="宋体"/>
                <w:b w:val="0"/>
                <w:bCs w:val="0"/>
                <w:sz w:val="21"/>
                <w:szCs w:val="21"/>
                <w:highlight w:val="none"/>
              </w:rPr>
              <w:t xml:space="preserve">自卸汽车或五小工程车</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投标人承诺如果中标，须提供自有或租赁或承诺的同等类别和数量的车辆及设备，在服务期限内不挪作他用，承诺书内容完整得1分，不完整或未提供承诺书不得分。</w:t>
            </w:r>
            <w:r>
              <w:rPr>
                <w:rFonts w:hint="eastAsia" w:ascii="宋体" w:hAnsi="宋体" w:eastAsia="宋体" w:cs="宋体"/>
                <w:sz w:val="21"/>
                <w:szCs w:val="21"/>
                <w:highlight w:val="none"/>
              </w:rPr>
              <w:t xml:space="preserve">（提供承诺书</w:t>
            </w:r>
            <w:r>
              <w:rPr>
                <w:rFonts w:hint="eastAsia" w:ascii="宋体" w:hAnsi="宋体" w:cs="宋体"/>
                <w:sz w:val="21"/>
                <w:szCs w:val="21"/>
                <w:highlight w:val="none"/>
                <w:lang w:val="en-US" w:eastAsia="zh-CN"/>
              </w:rPr>
              <w:t xml:space="preserve">加盖公章</w:t>
            </w:r>
            <w:r>
              <w:rPr>
                <w:rFonts w:hint="eastAsia" w:ascii="宋体" w:hAnsi="宋体" w:eastAsia="宋体" w:cs="宋体"/>
                <w:sz w:val="21"/>
                <w:szCs w:val="21"/>
                <w:highlight w:val="none"/>
              </w:rPr>
              <w:t xml:space="preserve">）</w:t>
            </w:r>
            <w:r/>
          </w:p>
          <w:p>
            <w:p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（以上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highlight w:val="none"/>
              </w:rPr>
              <w:t xml:space="preserve">车辆或设备需为</w:t>
            </w:r>
            <w:r>
              <w:rPr>
                <w:rFonts w:hint="eastAsia" w:ascii="宋体" w:hAnsi="宋体" w:eastAsia="宋体" w:cs="宋体"/>
                <w:sz w:val="21"/>
                <w:szCs w:val="21"/>
                <w:highlight w:val="none"/>
                <w:lang w:val="en-US" w:eastAsia="zh-CN"/>
              </w:rPr>
              <w:t xml:space="preserve">供应商</w:t>
            </w:r>
            <w:r>
              <w:rPr>
                <w:rFonts w:hint="eastAsia" w:ascii="宋体" w:hAnsi="宋体"/>
                <w:highlight w:val="none"/>
              </w:rPr>
              <w:t xml:space="preserve">自有或者租赁或承诺</w:t>
            </w:r>
            <w:r>
              <w:rPr>
                <w:rFonts w:hint="eastAsia" w:ascii="宋体" w:hAnsi="宋体"/>
                <w:highlight w:val="none"/>
                <w:lang w:eastAsia="zh-CN"/>
              </w:rPr>
              <w:t xml:space="preserve">，</w:t>
            </w:r>
            <w:r>
              <w:rPr>
                <w:rFonts w:hint="eastAsia" w:ascii="宋体" w:hAnsi="宋体" w:eastAsia="宋体" w:cs="宋体"/>
                <w:sz w:val="21"/>
                <w:szCs w:val="21"/>
                <w:highlight w:val="none"/>
              </w:rPr>
              <w:t xml:space="preserve">车辆及设备自有的需提供自有购置发票扫描件加盖公章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租赁的需提供租赁合同扫描件加盖公章</w:t>
            </w:r>
            <w:r>
              <w:rPr>
                <w:rFonts w:hint="eastAsia" w:ascii="宋体" w:hAnsi="宋体" w:eastAsia="宋体" w:cs="宋体"/>
                <w:sz w:val="21"/>
                <w:szCs w:val="21"/>
                <w:highlight w:val="none"/>
                <w:lang w:eastAsia="zh-CN"/>
              </w:rPr>
              <w:t xml:space="preserve">，租赁期限需要覆盖服务期，如未覆盖服务期需要</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承诺</w:t>
            </w:r>
            <w:r>
              <w:rPr>
                <w:rFonts w:hint="eastAsia" w:ascii="宋体" w:hAnsi="宋体" w:eastAsia="宋体" w:cs="宋体"/>
                <w:sz w:val="21"/>
                <w:szCs w:val="21"/>
                <w:highlight w:val="none"/>
                <w:lang w:val="en-US" w:eastAsia="zh-CN"/>
              </w:rPr>
              <w:t xml:space="preserve">书</w:t>
            </w:r>
            <w:r>
              <w:rPr>
                <w:rFonts w:hint="eastAsia" w:ascii="宋体" w:hAnsi="宋体" w:eastAsia="宋体" w:cs="宋体"/>
                <w:sz w:val="21"/>
                <w:szCs w:val="21"/>
                <w:highlight w:val="none"/>
                <w:lang w:eastAsia="zh-CN"/>
              </w:rPr>
              <w:t xml:space="preserve">到期后续签并覆盖服务期</w:t>
            </w:r>
            <w:r>
              <w:rPr>
                <w:rFonts w:hint="eastAsia" w:ascii="宋体" w:hAnsi="宋体" w:cs="宋体"/>
                <w:sz w:val="21"/>
                <w:szCs w:val="21"/>
                <w:highlight w:val="none"/>
                <w:lang w:val="en-US" w:eastAsia="zh-CN"/>
              </w:rPr>
              <w:t xml:space="preserve">加盖公章</w:t>
            </w:r>
            <w:r>
              <w:rPr>
                <w:rFonts w:hint="eastAsia" w:ascii="宋体" w:hAnsi="宋体" w:cs="宋体"/>
                <w:sz w:val="21"/>
                <w:szCs w:val="21"/>
                <w:highlight w:val="none"/>
                <w:lang w:eastAsia="zh-CN"/>
              </w:rPr>
              <w:t xml:space="preserve">；</w:t>
            </w:r>
            <w:r>
              <w:rPr>
                <w:rFonts w:hint="eastAsia" w:ascii="宋体" w:hAnsi="宋体"/>
                <w:highlight w:val="none"/>
                <w:lang w:val="en-US" w:eastAsia="zh-CN"/>
              </w:rPr>
              <w:t xml:space="preserve">承诺的</w:t>
            </w:r>
            <w:r>
              <w:rPr>
                <w:rFonts w:ascii="宋体" w:hAnsi="宋体"/>
                <w:highlight w:val="none"/>
              </w:rPr>
              <w:t xml:space="preserve">需</w:t>
            </w:r>
            <w:r>
              <w:rPr>
                <w:rFonts w:hint="eastAsia" w:ascii="宋体" w:hAnsi="宋体"/>
                <w:highlight w:val="none"/>
                <w:lang w:val="en-US" w:eastAsia="zh-CN"/>
              </w:rPr>
              <w:t xml:space="preserve">提供承诺书加盖公章：承诺中标后十日内备齐，否则不得分。</w:t>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以上车辆及设备扫描件须清晰可辨，能够反映相关信息，否则不得分。</w:t>
            </w:r>
            <w:r/>
          </w:p>
        </w:tc>
        <w:tc>
          <w:tcPr>
            <w:tcW w:w="709"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8</w:t>
            </w:r>
            <w:r/>
          </w:p>
        </w:tc>
      </w:tr>
      <w:tr>
        <w:trPr>
          <w:jc w:val="center"/>
          <w:trHeight w:val="57"/>
        </w:trPr>
        <w:tc>
          <w:tcPr>
            <w:tcW w:w="718" w:type="dxa"/>
            <w:vAlign w:val="center"/>
            <w:vMerge w:val="restart"/>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4</w:t>
            </w:r>
            <w:r/>
          </w:p>
        </w:tc>
        <w:tc>
          <w:tcPr>
            <w:tcW w:w="1155" w:type="dxa"/>
            <w:vAlign w:val="center"/>
            <w:vMerge w:val="restart"/>
            <w:textDirection w:val="lrTb"/>
            <w:noWrap/>
          </w:tcPr>
          <w:p>
            <w:pPr>
              <w:jc w:val="lef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拟投入人员</w:t>
            </w:r>
            <w:r/>
          </w:p>
        </w:tc>
        <w:tc>
          <w:tcPr>
            <w:tcW w:w="729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项目负责人</w:t>
            </w:r>
            <w:r>
              <w:rPr>
                <w:rFonts w:hint="eastAsia" w:ascii="宋体" w:hAnsi="宋体" w:eastAsia="宋体" w:cs="宋体"/>
                <w:sz w:val="21"/>
                <w:szCs w:val="21"/>
                <w:highlight w:val="none"/>
              </w:rPr>
              <w:t xml:space="preserve">具备工程建设类</w:t>
            </w:r>
            <w:r>
              <w:rPr>
                <w:rFonts w:hint="eastAsia" w:ascii="宋体" w:hAnsi="宋体" w:cs="宋体"/>
                <w:sz w:val="21"/>
                <w:szCs w:val="21"/>
                <w:highlight w:val="none"/>
                <w:lang w:val="en-US" w:eastAsia="zh-CN"/>
              </w:rPr>
              <w:t xml:space="preserve">中级技术职称的得2分，</w:t>
            </w:r>
            <w:r>
              <w:rPr>
                <w:rFonts w:hint="eastAsia" w:ascii="宋体" w:hAnsi="宋体" w:eastAsia="宋体" w:cs="宋体"/>
                <w:sz w:val="21"/>
                <w:szCs w:val="21"/>
                <w:highlight w:val="none"/>
              </w:rPr>
              <w:t xml:space="preserve">高级及以上技术职称的得4分；专业以职称证书为准，如职称证书反映不出专业的，则以毕业证书上专业为准。提供职称证书复印件、毕业证书复印件（若需）及</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近半年任意一个月为其缴纳的养老保险缴费证明材料并加盖社保中心章或社保中心参保缴费证明电子专用章并加盖</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公章。</w:t>
            </w:r>
            <w:r/>
          </w:p>
        </w:tc>
        <w:tc>
          <w:tcPr>
            <w:tcW w:w="709" w:type="dxa"/>
            <w:vAlign w:val="center"/>
            <w:textDirection w:val="lrTb"/>
            <w:noWrap/>
          </w:tcPr>
          <w:p>
            <w:pPr>
              <w:jc w:val="center"/>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r>
      <w:tr>
        <w:trPr>
          <w:jc w:val="center"/>
          <w:trHeight w:val="57"/>
        </w:trPr>
        <w:tc>
          <w:tcPr>
            <w:tcW w:w="718" w:type="dxa"/>
            <w:vAlign w:val="center"/>
            <w:vMerge w:val="continue"/>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155" w:type="dxa"/>
            <w:vAlign w:val="center"/>
            <w:vMerge w:val="continue"/>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94" w:type="dxa"/>
            <w:vAlign w:val="center"/>
            <w:textDirection w:val="lrTb"/>
            <w:noWrap/>
          </w:tcPr>
          <w:p>
            <w:pPr>
              <w:numPr>
                <w:ilvl w:val="-1"/>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项目组成员中具有安全员（C证）得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资料员得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，满分</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（提供有效期内的证书复印件加盖公章，并提供</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近半年任意一个月为其缴纳的养老保险缴费证明材料并加盖社保中心章或社保中心参保缴费证明电子专用章并加盖</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公章。</w:t>
            </w:r>
            <w:r>
              <w:rPr>
                <w:rFonts w:hint="eastAsia" w:ascii="宋体" w:hAnsi="宋体" w:cs="宋体"/>
                <w:sz w:val="21"/>
                <w:szCs w:val="21"/>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w:t>
            </w:r>
            <w:r>
              <w:rPr>
                <w:rFonts w:hint="eastAsia" w:ascii="宋体" w:hAnsi="宋体" w:cs="宋体"/>
                <w:sz w:val="21"/>
                <w:szCs w:val="21"/>
                <w:highlight w:val="none"/>
                <w:lang w:val="en-US" w:eastAsia="zh-CN"/>
              </w:rPr>
              <w:t xml:space="preserve">安全员与资料员</w:t>
            </w:r>
            <w:r>
              <w:rPr>
                <w:rFonts w:hint="eastAsia" w:ascii="宋体" w:hAnsi="宋体" w:eastAsia="宋体" w:cs="宋体"/>
                <w:sz w:val="21"/>
                <w:szCs w:val="21"/>
                <w:highlight w:val="none"/>
                <w:lang w:val="en-US" w:eastAsia="zh-CN"/>
              </w:rPr>
              <w:t xml:space="preserve">不可兼得。</w:t>
            </w:r>
            <w:r/>
          </w:p>
        </w:tc>
        <w:tc>
          <w:tcPr>
            <w:tcW w:w="709"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6</w:t>
            </w:r>
            <w:r/>
          </w:p>
        </w:tc>
      </w:tr>
      <w:tr>
        <w:trPr>
          <w:jc w:val="center"/>
          <w:trHeight w:val="57"/>
        </w:trPr>
        <w:tc>
          <w:tcPr>
            <w:tcW w:w="718" w:type="dxa"/>
            <w:vAlign w:val="center"/>
            <w:vMerge w:val="continue"/>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155" w:type="dxa"/>
            <w:vAlign w:val="center"/>
            <w:vMerge w:val="continue"/>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94" w:type="dxa"/>
            <w:vAlign w:val="center"/>
            <w:textDirection w:val="lrTb"/>
            <w:noWrap/>
          </w:tcPr>
          <w:p>
            <w:pPr>
              <w:numPr>
                <w:ilvl w:val="0"/>
                <w:numId w:val="0"/>
              </w:num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u w:val="none"/>
                <w:lang w:val="en-US" w:eastAsia="zh-CN"/>
              </w:rPr>
              <w:t xml:space="preserve">投入</w:t>
            </w:r>
            <w:r>
              <w:rPr>
                <w:rFonts w:hint="eastAsia" w:ascii="宋体" w:hAnsi="宋体" w:cs="宋体"/>
                <w:sz w:val="21"/>
                <w:szCs w:val="21"/>
                <w:highlight w:val="none"/>
                <w:u w:val="none"/>
                <w:lang w:val="en-US" w:eastAsia="zh-CN"/>
              </w:rPr>
              <w:t xml:space="preserve">项目</w:t>
            </w:r>
            <w:r>
              <w:rPr>
                <w:rFonts w:hint="eastAsia" w:ascii="宋体" w:hAnsi="宋体" w:eastAsia="宋体" w:cs="宋体"/>
                <w:sz w:val="21"/>
                <w:szCs w:val="21"/>
                <w:highlight w:val="none"/>
                <w:u w:val="none"/>
                <w:lang w:val="en-US" w:eastAsia="zh-CN"/>
              </w:rPr>
              <w:t xml:space="preserve">管养人员不少于</w:t>
            </w:r>
            <w:r>
              <w:rPr>
                <w:rFonts w:hint="eastAsia" w:ascii="宋体" w:hAnsi="宋体" w:cs="宋体"/>
                <w:sz w:val="21"/>
                <w:szCs w:val="21"/>
                <w:highlight w:val="none"/>
                <w:u w:val="none"/>
                <w:lang w:val="en-US" w:eastAsia="zh-CN"/>
              </w:rPr>
              <w:t xml:space="preserve">15</w:t>
            </w:r>
            <w:r>
              <w:rPr>
                <w:rFonts w:hint="eastAsia" w:ascii="宋体" w:hAnsi="宋体" w:eastAsia="宋体" w:cs="宋体"/>
                <w:sz w:val="21"/>
                <w:szCs w:val="21"/>
                <w:highlight w:val="none"/>
                <w:u w:val="none"/>
                <w:lang w:val="en-US" w:eastAsia="zh-CN"/>
              </w:rPr>
              <w:t xml:space="preserve">人</w:t>
            </w:r>
            <w:r>
              <w:rPr>
                <w:rFonts w:hint="eastAsia" w:ascii="宋体" w:hAnsi="宋体" w:cs="宋体"/>
                <w:sz w:val="21"/>
                <w:szCs w:val="21"/>
                <w:highlight w:val="none"/>
                <w:u w:val="none"/>
                <w:lang w:val="en-US" w:eastAsia="zh-CN"/>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其中提供</w:t>
            </w:r>
            <w:r>
              <w:rPr>
                <w:rFonts w:hint="eastAsia" w:ascii="宋体" w:hAnsi="宋体" w:eastAsia="宋体" w:cs="宋体"/>
                <w:b/>
                <w:bCs w:val="0"/>
                <w:color w:val="000000" w:themeColor="text1"/>
                <w:sz w:val="21"/>
                <w:szCs w:val="21"/>
                <w:highlight w:val="none"/>
                <w14:textFill>
                  <w14:solidFill>
                    <w14:schemeClr w14:val="tx1"/>
                  </w14:solidFill>
                </w14:textFill>
              </w:rPr>
              <w:t xml:space="preserve">至少</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val="0"/>
                <w:color w:val="000000" w:themeColor="text1"/>
                <w:sz w:val="21"/>
                <w:szCs w:val="21"/>
                <w:highlight w:val="none"/>
                <w14:textFill>
                  <w14:solidFill>
                    <w14:schemeClr w14:val="tx1"/>
                  </w14:solidFill>
                </w14:textFill>
              </w:rPr>
              <w:t xml:space="preserve">名固定巡查人员</w:t>
            </w:r>
            <w:r>
              <w:rPr>
                <w:rFonts w:hint="eastAsia" w:ascii="宋体" w:hAnsi="宋体" w:cs="宋体"/>
                <w:sz w:val="21"/>
                <w:szCs w:val="21"/>
                <w:highlight w:val="none"/>
                <w:u w:val="none"/>
                <w:lang w:val="en-US" w:eastAsia="zh-CN"/>
              </w:rPr>
              <w:t xml:space="preserve">）</w:t>
            </w:r>
            <w:r>
              <w:rPr>
                <w:rFonts w:hint="eastAsia" w:ascii="宋体" w:hAnsi="宋体" w:eastAsia="宋体" w:cs="宋体"/>
                <w:sz w:val="21"/>
                <w:szCs w:val="21"/>
                <w:highlight w:val="none"/>
                <w:u w:val="none"/>
                <w:lang w:val="en-US" w:eastAsia="zh-CN"/>
              </w:rPr>
              <w:t xml:space="preserve">得</w:t>
            </w:r>
            <w:r>
              <w:rPr>
                <w:rFonts w:hint="eastAsia" w:ascii="宋体" w:hAnsi="宋体" w:cs="宋体"/>
                <w:sz w:val="21"/>
                <w:szCs w:val="21"/>
                <w:highlight w:val="none"/>
                <w:u w:val="none"/>
                <w:lang w:val="en-US" w:eastAsia="zh-CN"/>
              </w:rPr>
              <w:t xml:space="preserve">3</w:t>
            </w:r>
            <w:r>
              <w:rPr>
                <w:rFonts w:hint="eastAsia" w:ascii="宋体" w:hAnsi="宋体" w:eastAsia="宋体" w:cs="宋体"/>
                <w:sz w:val="21"/>
                <w:szCs w:val="21"/>
                <w:highlight w:val="none"/>
                <w:u w:val="none"/>
                <w:lang w:val="en-US" w:eastAsia="zh-CN"/>
              </w:rPr>
              <w:t xml:space="preserve">分。（须提供承诺书加盖公章，未提供或提供不全的不得分。）</w:t>
            </w:r>
            <w:r/>
          </w:p>
        </w:tc>
        <w:tc>
          <w:tcPr>
            <w:tcW w:w="709"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r>
      <w:tr>
        <w:trPr>
          <w:jc w:val="center"/>
          <w:trHeight w:val="57"/>
        </w:trPr>
        <w:tc>
          <w:tcPr>
            <w:tcW w:w="718"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5.1</w:t>
            </w:r>
            <w:r/>
          </w:p>
        </w:tc>
        <w:tc>
          <w:tcPr>
            <w:tcW w:w="1155" w:type="dxa"/>
            <w:vAlign w:val="center"/>
            <w:vMerge w:val="restart"/>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w:t>
            </w:r>
            <w:r/>
          </w:p>
        </w:tc>
        <w:tc>
          <w:tcPr>
            <w:tcW w:w="7294" w:type="dxa"/>
            <w:vAlign w:val="center"/>
            <w:textDirection w:val="lrTb"/>
            <w:noWrap/>
          </w:tcPr>
          <w:p>
            <w:pPr>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rPr>
              <w:t xml:space="preserve">项目整体需求方案（包括但不限于</w:t>
            </w:r>
            <w:r>
              <w:rPr>
                <w:rFonts w:hint="eastAsia" w:ascii="宋体" w:hAnsi="宋体" w:eastAsia="宋体" w:cs="宋体"/>
                <w:sz w:val="21"/>
                <w:szCs w:val="21"/>
                <w:highlight w:val="none"/>
                <w:lang w:val="zh-CN"/>
              </w:rPr>
              <w:t xml:space="preserve">项目的认识、服务定位、总体目标及整体设想</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lang w:val="zh-CN"/>
              </w:rPr>
              <w:t xml:space="preserve">，评委</w:t>
            </w: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lang w:val="zh-CN"/>
              </w:rPr>
              <w:t xml:space="preserve">各</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lang w:val="zh-CN"/>
              </w:rPr>
              <w:t xml:space="preserve">提供的项目整体需求方案评分：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方案表述清晰完整，内容详实具体，覆盖采购需求全部要求，部分措施高于采购需求标准，具备落地可行性的，</w:t>
            </w:r>
            <w:r>
              <w:rPr>
                <w:rFonts w:hint="eastAsia" w:ascii="宋体" w:hAnsi="宋体" w:eastAsia="宋体" w:cs="宋体"/>
                <w:sz w:val="21"/>
                <w:szCs w:val="21"/>
                <w:highlight w:val="none"/>
              </w:rPr>
              <w:t xml:space="preserve">得10分；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方案表述较为清晰，内容较为充实，能够全部满足采购需求要求，具备落地可行性的，</w:t>
            </w:r>
            <w:r>
              <w:rPr>
                <w:rFonts w:hint="eastAsia" w:ascii="宋体" w:hAnsi="宋体" w:eastAsia="宋体" w:cs="宋体"/>
                <w:sz w:val="21"/>
                <w:szCs w:val="21"/>
                <w:highlight w:val="none"/>
              </w:rPr>
              <w:t xml:space="preserve">得7分；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方案表述清晰度一般，内容基本完整，基本满足采购需求主要要求，无重大缺项的，</w:t>
            </w:r>
            <w:r>
              <w:rPr>
                <w:rFonts w:hint="eastAsia" w:ascii="宋体" w:hAnsi="宋体" w:eastAsia="宋体" w:cs="宋体"/>
                <w:sz w:val="21"/>
                <w:szCs w:val="21"/>
                <w:highlight w:val="none"/>
              </w:rPr>
              <w:t xml:space="preserve">得4分；</w:t>
            </w:r>
            <w:r/>
          </w:p>
          <w:p>
            <w:pPr>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Times New Roman"/>
                <w:color w:val="auto"/>
                <w:sz w:val="21"/>
                <w:szCs w:val="24"/>
                <w:highlight w:val="none"/>
                <w:lang w:val="en-US" w:eastAsia="zh-CN" w:bidi="ar-SA"/>
              </w:rPr>
              <w:t xml:space="preserve">方案表述模糊，内容存在缺漏，部分不满足采购需求，存在偏差的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未提供相关内容的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不得分。</w:t>
            </w:r>
            <w:r/>
          </w:p>
        </w:tc>
        <w:tc>
          <w:tcPr>
            <w:tcW w:w="709"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10</w:t>
            </w:r>
            <w:r/>
          </w:p>
        </w:tc>
      </w:tr>
      <w:tr>
        <w:trPr>
          <w:jc w:val="center"/>
          <w:trHeight w:val="57"/>
        </w:trPr>
        <w:tc>
          <w:tcPr>
            <w:tcW w:w="718"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w:t>
            </w:r>
            <w:r/>
          </w:p>
        </w:tc>
        <w:tc>
          <w:tcPr>
            <w:tcW w:w="1155" w:type="dxa"/>
            <w:vAlign w:val="center"/>
            <w:vMerge w:val="continue"/>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94" w:type="dxa"/>
            <w:vAlign w:val="center"/>
            <w:textDirection w:val="lrTb"/>
            <w:noWrap/>
          </w:tcPr>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养护方案：（包括但不限于车行道、非机动车道、人行道、路牙沿石、隔离带、挡土墙、护坡</w:t>
            </w:r>
            <w:r>
              <w:rPr>
                <w:rFonts w:hint="eastAsia" w:ascii="宋体" w:hAnsi="宋体" w:cs="宋体"/>
                <w:sz w:val="21"/>
                <w:szCs w:val="21"/>
                <w:highlight w:val="none"/>
                <w:lang w:val="en-US" w:eastAsia="zh-CN"/>
              </w:rPr>
              <w:t xml:space="preserve">等</w:t>
            </w:r>
            <w:r>
              <w:rPr>
                <w:rFonts w:hint="eastAsia" w:ascii="宋体" w:hAnsi="宋体" w:eastAsia="宋体" w:cs="宋体"/>
                <w:sz w:val="21"/>
                <w:szCs w:val="21"/>
                <w:highlight w:val="none"/>
              </w:rPr>
              <w:t xml:space="preserve">），评委</w:t>
            </w: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各</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提供的养护方案评分：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方案表述清晰完整，内容详实具体，养护措施完整覆盖采购需求全部要求，部分措施高于采购需求标准，具备落地可行性的，得10分；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方案表述较为清晰，内容较为充实，养护措施能够全部满足采购需求要求，具备落地可行性的，得7分；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方案表述清晰度一般，内容基本完整，养护措施基本满足采购需求主要要求，无重大缺项的，得4分；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Times New Roman"/>
                <w:color w:val="auto"/>
                <w:sz w:val="21"/>
                <w:szCs w:val="24"/>
                <w:highlight w:val="none"/>
                <w:lang w:val="en-US" w:eastAsia="zh-CN" w:bidi="ar-SA"/>
              </w:rPr>
              <w:t xml:space="preserve">方案表述模糊，内容存在缺漏，养护措施部分不满足采购需求，存在偏差的</w:t>
            </w:r>
            <w:r>
              <w:rPr>
                <w:rFonts w:hint="eastAsia" w:ascii="宋体" w:hAnsi="宋体" w:eastAsia="宋体" w:cs="宋体"/>
                <w:sz w:val="21"/>
                <w:szCs w:val="21"/>
                <w:highlight w:val="none"/>
              </w:rPr>
              <w:t xml:space="preserve">，得1分；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p>
        </w:tc>
        <w:tc>
          <w:tcPr>
            <w:tcW w:w="709"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jc w:val="center"/>
          <w:trHeight w:val="57"/>
        </w:trPr>
        <w:tc>
          <w:tcPr>
            <w:tcW w:w="718"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p>
        </w:tc>
        <w:tc>
          <w:tcPr>
            <w:tcW w:w="1155" w:type="dxa"/>
            <w:vAlign w:val="center"/>
            <w:vMerge w:val="continue"/>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94" w:type="dxa"/>
            <w:vAlign w:val="center"/>
            <w:textDirection w:val="lrTb"/>
            <w:noWrap/>
          </w:tcPr>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应急处置工作方案：（包括但不限于道路积水应急情况处置，扫雪防冻应急处置，防汛防灾应急处置，路面突发情况、迎检保障、重大活动保障</w:t>
            </w:r>
            <w:r>
              <w:rPr>
                <w:rFonts w:hint="eastAsia" w:ascii="宋体" w:hAnsi="宋体" w:cs="宋体"/>
                <w:sz w:val="21"/>
                <w:szCs w:val="21"/>
                <w:highlight w:val="none"/>
                <w:lang w:eastAsia="zh-CN"/>
              </w:rPr>
              <w:t xml:space="preserve">、投诉处置、采购人交办事项</w:t>
            </w:r>
            <w:r>
              <w:rPr>
                <w:rFonts w:hint="eastAsia" w:ascii="宋体" w:hAnsi="宋体" w:eastAsia="宋体" w:cs="宋体"/>
                <w:sz w:val="21"/>
                <w:szCs w:val="21"/>
                <w:highlight w:val="none"/>
              </w:rPr>
              <w:t xml:space="preserve">等），评委</w:t>
            </w: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各</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提供的应急处置工作方案评分：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方案表述清晰完整，内容详实具体，各类处置及保障措施齐全，部分措施高于采购需求标准，职责分工明确，落地可行性强的，得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方案表述较为清晰，内容较为充实，各类处置及保障措施齐全，能够满足采购需求要求，具备落地可行性的，得7分；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方案表述清晰度一般，内容基本完整，覆盖应急、迎检保障、重大活动保障、投诉、采购人交办事项主要处置保障内容，基本满足采购需求主要要求，无重大缺项的，得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方案表述模糊，内容存在缺漏，相关处置及保障措施不全或与采购需求存在偏差的，得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p>
        </w:tc>
        <w:tc>
          <w:tcPr>
            <w:tcW w:w="709" w:type="dxa"/>
            <w:vAlign w:val="center"/>
            <w:textDirection w:val="lrTb"/>
            <w:noWrap/>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jc w:val="center"/>
          <w:trHeight w:val="57"/>
        </w:trPr>
        <w:tc>
          <w:tcPr>
            <w:tcW w:w="718"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4</w:t>
            </w:r>
            <w:r/>
          </w:p>
        </w:tc>
        <w:tc>
          <w:tcPr>
            <w:tcW w:w="1155" w:type="dxa"/>
            <w:vAlign w:val="center"/>
            <w:vMerge w:val="continue"/>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94" w:type="dxa"/>
            <w:vAlign w:val="center"/>
            <w:textDirection w:val="lrTb"/>
            <w:noWrap/>
          </w:tcPr>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巡视管理工作方案：（包括但不限于道路病害、违章挖占情况、污染物巡查监管等），评委</w:t>
            </w: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各</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提供的巡视管理工作方案评分：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方案表述清晰完整，内容详实具体，巡视管理措施</w:t>
            </w:r>
            <w:r>
              <w:rPr>
                <w:rFonts w:hint="eastAsia" w:ascii="宋体" w:hAnsi="宋体" w:eastAsia="宋体" w:cs="Times New Roman"/>
                <w:color w:val="auto"/>
                <w:sz w:val="21"/>
                <w:szCs w:val="24"/>
                <w:highlight w:val="none"/>
                <w:lang w:val="en-US" w:eastAsia="zh-CN" w:bidi="ar-SA"/>
              </w:rPr>
              <w:t xml:space="preserve">覆盖采购需求全部要求</w:t>
            </w:r>
            <w:r>
              <w:rPr>
                <w:rFonts w:hint="eastAsia" w:ascii="宋体" w:hAnsi="宋体" w:eastAsia="宋体" w:cs="宋体"/>
                <w:sz w:val="21"/>
                <w:szCs w:val="21"/>
                <w:highlight w:val="none"/>
              </w:rPr>
              <w:t xml:space="preserve">，部分措施高于采购需求标准，具备落地可行性的，得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方案表述较为清晰，内容较为充实，巡视管理措施能够全部满足采购需求要求，具备落地可行性的，得7分；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方案表述清晰度一般，内容基本完整，巡视管理措施基本满足采购需求主要要求，无重大缺项的，得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方案表述模糊，内容存在缺漏，巡视管理措施部分不满足采购需求，存在偏差的，得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p>
        </w:tc>
        <w:tc>
          <w:tcPr>
            <w:tcW w:w="709" w:type="dxa"/>
            <w:vAlign w:val="center"/>
            <w:textDirection w:val="lrTb"/>
            <w:noWrap/>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jc w:val="center"/>
          <w:trHeight w:val="57"/>
        </w:trPr>
        <w:tc>
          <w:tcPr>
            <w:tcW w:w="718"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5</w:t>
            </w:r>
            <w:r/>
          </w:p>
        </w:tc>
        <w:tc>
          <w:tcPr>
            <w:tcW w:w="1155" w:type="dxa"/>
            <w:vAlign w:val="center"/>
            <w:vMerge w:val="continue"/>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94" w:type="dxa"/>
            <w:vAlign w:val="center"/>
            <w:textDirection w:val="lrTb"/>
            <w:noWrap/>
          </w:tcPr>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管理养护</w:t>
            </w:r>
            <w:r>
              <w:rPr>
                <w:rFonts w:hint="eastAsia" w:ascii="宋体" w:hAnsi="宋体" w:eastAsia="宋体" w:cs="宋体"/>
                <w:sz w:val="21"/>
                <w:szCs w:val="21"/>
                <w:highlight w:val="none"/>
                <w:lang w:val="en-US" w:eastAsia="zh-CN"/>
              </w:rPr>
              <w:t xml:space="preserve">保证</w:t>
            </w:r>
            <w:r>
              <w:rPr>
                <w:rFonts w:hint="eastAsia" w:ascii="宋体" w:hAnsi="宋体" w:eastAsia="宋体" w:cs="宋体"/>
                <w:sz w:val="21"/>
                <w:szCs w:val="21"/>
                <w:highlight w:val="none"/>
              </w:rPr>
              <w:t xml:space="preserve">措施：（包括但不限于质量保证、安全保证、文明服务等），评委</w:t>
            </w: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各</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提供的管理养护保证措施</w:t>
            </w:r>
            <w:r>
              <w:rPr>
                <w:rFonts w:hint="eastAsia" w:ascii="宋体" w:hAnsi="宋体" w:cs="宋体"/>
                <w:sz w:val="21"/>
                <w:szCs w:val="21"/>
                <w:highlight w:val="none"/>
                <w:lang w:val="en-US" w:eastAsia="zh-CN"/>
              </w:rPr>
              <w:t xml:space="preserve">方案</w:t>
            </w:r>
            <w:r>
              <w:rPr>
                <w:rFonts w:hint="eastAsia" w:ascii="宋体" w:hAnsi="宋体" w:eastAsia="宋体" w:cs="宋体"/>
                <w:sz w:val="21"/>
                <w:szCs w:val="21"/>
                <w:highlight w:val="none"/>
              </w:rPr>
              <w:t xml:space="preserve">评分：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方案表述清晰完整，内容详实具体，质量、安全、文明服务三类保障措施齐全，部分措施高于采购需求标准，具备落地可行性的，得10分；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方案表述较为清晰，内容较为充实，质量、安全、文明服务三类保障措施齐全，能够满足采购需求要求，具备落地可行性的，得7分；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方案表述清晰度一般，内容基本完整，覆盖质量、安全、文明服务主要保障内容，基本满足采购需求主要要求，无重大缺项的，得4分；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方案表述模糊，内容存在缺漏，质量、安全、文明服务保障措施不全或与采购需求存在偏差的，得1分；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p>
        </w:tc>
        <w:tc>
          <w:tcPr>
            <w:tcW w:w="709" w:type="dxa"/>
            <w:vAlign w:val="center"/>
            <w:textDirection w:val="lrTb"/>
            <w:noWrap/>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r>
      <w:tr>
        <w:trPr>
          <w:jc w:val="center"/>
          <w:trHeight w:val="57"/>
        </w:trPr>
        <w:tc>
          <w:tcPr>
            <w:tcW w:w="718" w:type="dxa"/>
            <w:vAlign w:val="center"/>
            <w:textDirection w:val="lrTb"/>
            <w:noWrap/>
          </w:tcPr>
          <w:p>
            <w:pPr>
              <w:jc w:val="cente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6</w:t>
            </w:r>
            <w:r/>
          </w:p>
        </w:tc>
        <w:tc>
          <w:tcPr>
            <w:tcW w:w="1155" w:type="dxa"/>
            <w:vAlign w:val="center"/>
            <w:vMerge w:val="continue"/>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94" w:type="dxa"/>
            <w:vAlign w:val="center"/>
            <w:textDirection w:val="lrTb"/>
            <w:noWrap/>
          </w:tcPr>
          <w:p>
            <w:p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养护档案资料管理制度及养护台账管理方案（包括但不限于档案资料管理制度、档案移交流程、养护台账设置及编制措施等）：</w:t>
            </w:r>
            <w:r>
              <w:rPr>
                <w:rFonts w:hint="eastAsia" w:ascii="宋体" w:hAnsi="宋体" w:eastAsia="宋体" w:cs="宋体"/>
                <w:sz w:val="21"/>
                <w:szCs w:val="21"/>
                <w:highlight w:val="none"/>
              </w:rPr>
              <w:t xml:space="preserve">评委</w:t>
            </w:r>
            <w:r>
              <w:rPr>
                <w:rFonts w:hint="eastAsia" w:ascii="宋体" w:hAnsi="宋体" w:eastAsia="宋体" w:cs="宋体"/>
                <w:sz w:val="21"/>
                <w:szCs w:val="21"/>
                <w:highlight w:val="none"/>
                <w:lang w:val="en-US" w:eastAsia="zh-CN"/>
              </w:rPr>
              <w:t xml:space="preserve">根据</w:t>
            </w:r>
            <w:r>
              <w:rPr>
                <w:rFonts w:hint="eastAsia" w:ascii="宋体" w:hAnsi="宋体" w:eastAsia="宋体" w:cs="宋体"/>
                <w:sz w:val="21"/>
                <w:szCs w:val="21"/>
                <w:highlight w:val="none"/>
              </w:rPr>
              <w:t xml:space="preserve">各</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提供的养护档案资料管理制度及养护台账管理</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评分：</w:t>
            </w:r>
            <w:r/>
          </w:p>
          <w:p>
            <w:pPr>
              <w:keepLines w:val="0"/>
              <w:keepNext w:val="0"/>
              <w:pageBreakBefore w:val="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方案表述清晰完整，内容详实具体，档案管理制度、移交流程、台账设置措施齐全规范，部分措施高于采购需求标准，落地可行性强的，得5分；</w:t>
            </w:r>
            <w:r/>
          </w:p>
          <w:p>
            <w:pPr>
              <w:keepLines w:val="0"/>
              <w:keepNext w:val="0"/>
              <w:pageBreakBefore w:val="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方案表述较为清晰，内容较为充实，档案管理制度、移交流程、台账设置措施齐全规范，能够满足采购需求要求，具备落地可行性的，得3分；</w:t>
            </w:r>
            <w:r/>
          </w:p>
          <w:p>
            <w:pPr>
              <w:keepLines w:val="0"/>
              <w:keepNext w:val="0"/>
              <w:pageBreakBefore w:val="0"/>
              <w:spacing w:line="36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方案表述清晰度一般，内容基本完整，覆盖档案管理、档案移交、养护台账主要管理内容，基本满足采购需求主要要求，无重大缺项的，得1分；</w:t>
            </w:r>
            <w:r/>
          </w:p>
          <w:p>
            <w:pPr>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color w:val="auto"/>
                <w:highlight w:val="none"/>
                <w:lang w:val="en-US" w:eastAsia="zh-CN"/>
              </w:rPr>
              <w:t xml:space="preserve">。</w:t>
            </w:r>
            <w:r/>
          </w:p>
        </w:tc>
        <w:tc>
          <w:tcPr>
            <w:tcW w:w="709" w:type="dxa"/>
            <w:vAlign w:val="center"/>
            <w:textDirection w:val="lrTb"/>
            <w:noWrap/>
          </w:tcPr>
          <w:p>
            <w:pPr>
              <w:jc w:val="center"/>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r>
      <w:tr>
        <w:trPr>
          <w:jc w:val="center"/>
          <w:trHeight w:val="407"/>
        </w:trPr>
        <w:tc>
          <w:tcPr>
            <w:gridSpan w:val="3"/>
            <w:tcW w:w="9167"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tcW w:w="709" w:type="dxa"/>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r>
    </w:tbl>
    <w:p>
      <w:pPr>
        <w:pStyle w:val="800"/>
        <w:jc w:val="center"/>
        <w:rPr>
          <w:rFonts w:hint="eastAsia" w:eastAsia="宋体"/>
          <w:highlight w:val="none"/>
          <w:lang w:val="en-US" w:eastAsia="zh-CN"/>
        </w:rPr>
      </w:pPr>
      <w:r>
        <w:rPr>
          <w:rFonts w:hint="eastAsia" w:eastAsia="宋体"/>
          <w:highlight w:val="none"/>
          <w:lang w:val="en-US" w:eastAsia="zh-CN"/>
        </w:rPr>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p>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 xml:space="preserve">1.所有认证、证明和业绩均以有效清晰的证明文件的</w:t>
      </w:r>
      <w:r>
        <w:rPr>
          <w:rFonts w:hint="eastAsia" w:ascii="宋体" w:hAnsi="宋体" w:cs="宋体"/>
          <w:bCs/>
          <w:sz w:val="21"/>
          <w:szCs w:val="21"/>
          <w:highlight w:val="none"/>
          <w:lang w:val="en-US" w:eastAsia="zh-CN"/>
        </w:rPr>
        <w:t xml:space="preserve">扫描件</w:t>
      </w:r>
      <w:r>
        <w:rPr>
          <w:rFonts w:hint="eastAsia" w:ascii="宋体" w:hAnsi="宋体" w:cs="宋体"/>
          <w:bCs/>
          <w:sz w:val="21"/>
          <w:szCs w:val="21"/>
          <w:highlight w:val="none"/>
        </w:rPr>
        <w:t xml:space="preserve">为依据。</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2.小微企业价格扣除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2.1</w:t>
      </w:r>
      <w:r>
        <w:rPr>
          <w:rFonts w:hint="eastAsia" w:ascii="宋体" w:hAnsi="宋体" w:cs="宋体"/>
          <w:bCs/>
          <w:szCs w:val="21"/>
          <w:highlight w:val="none"/>
        </w:rPr>
        <w:t xml:space="preserve">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 w:val="21"/>
          <w:szCs w:val="21"/>
          <w:highlight w:val="none"/>
        </w:rPr>
        <w:t xml:space="preserve">。</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3.监狱和戒毒企业的价格扣除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3.1 本项目对监狱和戒毒企业，给予10%的价格扣除，用扣除后的价格参与评审。</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3.3 监狱企业标准请参照《关于政府采购支持监狱企业发展有关问题的通知》（财库〔2014〕68号）。</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4.残疾人福利性单位的价格扣除</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4.1 本项目对残疾人福利性单位，给予10%的价格扣除，用扣除后的价格参与评审。</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4.2 残疾人福利性单位需提供《残疾人福利性单位声明函》。</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4.3 残疾人福利性单位标准请参照《关于促进残疾人就业政府采购政策的通知》（财库〔2017〕141号）。</w:t>
      </w:r>
      <w:r/>
    </w:p>
    <w:p>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5. 监狱企业、残疾人福利性单位属于小型、微型企业的，不重复享受政策。</w:t>
      </w:r>
      <w:r/>
    </w:p>
    <w:p>
      <w:pPr>
        <w:spacing w:line="360" w:lineRule="auto"/>
        <w:rPr>
          <w:rFonts w:hint="eastAsia" w:ascii="宋体" w:hAnsi="宋体" w:cs="宋体"/>
          <w:b/>
          <w:bCs/>
          <w:sz w:val="21"/>
          <w:szCs w:val="21"/>
          <w:highlight w:val="none"/>
        </w:rPr>
      </w:pPr>
      <w:r>
        <w:rPr>
          <w:rFonts w:hint="eastAsia" w:ascii="宋体" w:hAnsi="宋体" w:cs="宋体"/>
          <w:sz w:val="21"/>
          <w:szCs w:val="21"/>
          <w:highlight w:val="none"/>
        </w:rPr>
        <w:br w:type="page" w:clear="all"/>
      </w:r>
      <w:r/>
    </w:p>
    <w:p>
      <w:pPr>
        <w:pStyle w:val="745"/>
        <w:jc w:val="center"/>
        <w:spacing w:line="360" w:lineRule="auto"/>
        <w:rPr>
          <w:rFonts w:hint="eastAsia" w:ascii="宋体" w:hAnsi="宋体" w:cs="宋体"/>
          <w:highlight w:val="none"/>
        </w:rPr>
      </w:pPr>
      <w:r/>
      <w:bookmarkStart w:id="8" w:name="_Toc31739"/>
      <w:r/>
      <w:bookmarkStart w:id="9" w:name="_Toc481057147"/>
      <w:r/>
      <w:bookmarkStart w:id="10" w:name="_Hlk96071152"/>
      <w:r>
        <w:rPr>
          <w:rFonts w:hint="eastAsia" w:ascii="宋体" w:hAnsi="宋体" w:cs="宋体"/>
          <w:highlight w:val="none"/>
        </w:rPr>
        <w:t xml:space="preserve"> </w:t>
      </w:r>
      <w:bookmarkStart w:id="11" w:name="_Toc8188"/>
      <w:r>
        <w:rPr>
          <w:rFonts w:hint="eastAsia" w:ascii="宋体" w:hAnsi="宋体" w:cs="宋体"/>
          <w:highlight w:val="none"/>
        </w:rPr>
        <w:t xml:space="preserve">采购需求</w:t>
      </w:r>
      <w:bookmarkEnd w:id="8"/>
      <w:r/>
      <w:bookmarkEnd w:id="11"/>
      <w:r/>
      <w:bookmarkEnd w:id="9"/>
      <w:bookmarkEnd w:id="10"/>
      <w:r/>
    </w:p>
    <w:p>
      <w:pPr>
        <w:pStyle w:val="756"/>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一、项目概述</w:t>
      </w:r>
      <w:r/>
    </w:p>
    <w:p>
      <w:pPr>
        <w:ind w:firstLine="420"/>
        <w:spacing w:line="33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1、建设地点及范围：</w:t>
      </w:r>
      <w:r>
        <w:rPr>
          <w:rFonts w:hint="eastAsia" w:ascii="宋体" w:hAnsi="宋体" w:cs="宋体"/>
          <w:sz w:val="21"/>
          <w:szCs w:val="21"/>
          <w:highlight w:val="none"/>
          <w:lang w:eastAsia="zh-CN"/>
        </w:rPr>
        <w:t xml:space="preserve">南京栖霞区华侨城红枫片区</w:t>
      </w:r>
      <w:r/>
    </w:p>
    <w:p>
      <w:pPr>
        <w:ind w:firstLine="420"/>
        <w:jc w:val="left"/>
        <w:spacing w:line="336"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2、建设规模：具体内容详见招标文件实物量清单。（实际管养范围以清单为准）。</w:t>
      </w:r>
      <w:r/>
    </w:p>
    <w:p>
      <w:pPr>
        <w:ind w:firstLine="420"/>
        <w:spacing w:line="33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3、服务期：</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56"/>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二、技术部分</w:t>
      </w:r>
      <w:r/>
    </w:p>
    <w:p>
      <w:pPr>
        <w:pStyle w:val="756"/>
        <w:ind w:left="0" w:firstLine="211"/>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设施量明细表</w:t>
      </w:r>
      <w:r/>
    </w:p>
    <w:p>
      <w:pPr>
        <w:pStyle w:val="756"/>
        <w:ind w:left="0" w:firstLine="211"/>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p>
    <w:tbl>
      <w:tblPr>
        <w:tblStyle w:val="755"/>
        <w:tblW w:w="9761" w:type="dxa"/>
        <w:tblInd w:w="91" w:type="dxa"/>
        <w:tblLayout w:type="autofit"/>
        <w:tblCellMar>
          <w:left w:w="108" w:type="dxa"/>
          <w:top w:w="0" w:type="dxa"/>
          <w:right w:w="108" w:type="dxa"/>
          <w:bottom w:w="0" w:type="dxa"/>
        </w:tblCellMar>
        <w:tblLook w:val="04A0" w:firstRow="1" w:lastRow="0" w:firstColumn="1" w:lastColumn="0" w:noHBand="0" w:noVBand="1"/>
      </w:tblPr>
      <w:tblGrid>
        <w:gridCol w:w="810"/>
        <w:gridCol w:w="2931"/>
        <w:gridCol w:w="2050"/>
        <w:gridCol w:w="1256"/>
        <w:gridCol w:w="2714"/>
      </w:tblGrid>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设施种类</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单项限价（一年）</w:t>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val="false"/>
          </w:tcPr>
          <w:p>
            <w:pPr>
              <w:jc w:val="cente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160783.24</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3.6元/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19534.82</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6.71元/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机动车道</w:t>
            </w:r>
            <w:r/>
          </w:p>
        </w:tc>
        <w:tc>
          <w:tcPr>
            <w:shd w:val="clear" w:color="auto" w:fill="auto"/>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405487.20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6.71元/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3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门坡</w:t>
            </w:r>
            <w:r/>
          </w:p>
        </w:tc>
        <w:tc>
          <w:tcPr>
            <w:shd w:val="clear" w:color="auto" w:fill="auto"/>
            <w:tcBorders>
              <w:top w:val="single" w:color="auto" w:sz="4" w:space="0"/>
              <w:left w:val="single" w:color="000000" w:sz="4" w:space="0"/>
              <w:bottom w:val="single" w:color="auto" w:sz="4" w:space="0"/>
              <w:right w:val="single" w:color="000000" w:sz="4" w:space="0"/>
            </w:tcBorders>
            <w:tcW w:w="205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2523.48</w:t>
            </w:r>
            <w:r/>
          </w:p>
        </w:tc>
        <w:tc>
          <w:tcPr>
            <w:shd w:val="clear" w:color="auto" w:fill="auto"/>
            <w:tcBorders>
              <w:top w:val="single" w:color="auto" w:sz="4" w:space="0"/>
              <w:left w:val="single" w:color="000000" w:sz="4" w:space="0"/>
              <w:bottom w:val="single" w:color="auto" w:sz="4" w:space="0"/>
              <w:right w:val="single" w:color="000000" w:sz="4" w:space="0"/>
            </w:tcBorders>
            <w:tcW w:w="125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6.71元/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r>
    </w:tbl>
    <w:p>
      <w:pPr>
        <w:pStyle w:val="756"/>
        <w:ind w:left="0" w:firstLine="420"/>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sectPr>
          <w:footnotePr/>
          <w:endnotePr/>
          <w:type w:val="nextPage"/>
          <w:pgSz w:w="11906" w:h="16838" w:orient="portrait"/>
          <w:pgMar w:top="1134" w:right="1134" w:bottom="1134" w:left="1134" w:header="567" w:footer="907" w:gutter="0"/>
          <w:cols w:num="1" w:sep="0" w:space="425" w:equalWidth="1"/>
          <w:docGrid w:linePitch="360"/>
        </w:sect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报价要求：</w:t>
      </w:r>
      <w:r>
        <w:rPr>
          <w:rFonts w:hint="eastAsia" w:ascii="宋体" w:hAnsi="宋体" w:eastAsia="宋体" w:cs="宋体"/>
          <w:bCs/>
          <w:color w:val="auto"/>
          <w:sz w:val="21"/>
          <w:szCs w:val="21"/>
          <w:highlight w:val="none"/>
          <w:lang w:val="en-US" w:eastAsia="zh-CN"/>
        </w:rPr>
        <w:t xml:space="preserve">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 xml:space="preserve">保险费</w:t>
      </w:r>
      <w:r>
        <w:rPr>
          <w:rFonts w:hint="eastAsia" w:ascii="宋体" w:hAnsi="宋体" w:eastAsia="宋体" w:cs="宋体"/>
          <w:bCs/>
          <w:color w:val="auto"/>
          <w:sz w:val="21"/>
          <w:szCs w:val="21"/>
          <w:highlight w:val="none"/>
          <w:lang w:val="en-US" w:eastAsia="zh-CN"/>
        </w:rPr>
        <w:t xml:space="preserve">、相关福利待遇、加班费、体检费、服务所用设施设备折旧费、服务所用工具购置及维护费用、服务所用材料消耗费用、燃油费、管理费、利润、税费、招标代理服务费、设施第三者责任险、公众责任险等保险费用以及政策性费用调整），达到招标人养护要求的相关费用，以及供应商认为需要的其他费用等。除合同另有规</w:t>
      </w:r>
      <w:r>
        <w:rPr>
          <w:rFonts w:hint="eastAsia" w:ascii="宋体" w:hAnsi="宋体" w:eastAsia="宋体" w:cs="宋体"/>
          <w:bCs/>
          <w:color w:val="auto"/>
          <w:sz w:val="21"/>
          <w:szCs w:val="21"/>
          <w:highlight w:val="none"/>
          <w:lang w:val="en-US" w:eastAsia="zh-CN"/>
        </w:rPr>
        <w:t xml:space="preserve">定外，应视为供应商不再有报价以外的任何附加费用。未列和没有填写的项目费用，应视为已包括在相关项目的报价中。②供应商报价应充分考虑项目场地障碍条件和现场各种不利条件发生的可能性所带来的风险，应仔细阅读和理解招标文件中有关招标养护范围、设施维修养护内容、技术标准、项目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r/>
    </w:p>
    <w:p>
      <w:pPr>
        <w:pStyle w:val="756"/>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（2）日常养护设施量</w:t>
      </w:r>
      <w:r>
        <w:rPr>
          <w:rFonts w:hint="eastAsia" w:ascii="宋体" w:hAnsi="宋体" w:eastAsia="宋体" w:cs="宋体"/>
          <w:b/>
          <w:bCs w:val="0"/>
          <w:color w:val="000000" w:themeColor="text1"/>
          <w:sz w:val="21"/>
          <w:szCs w:val="21"/>
          <w:highlight w:val="none"/>
          <w14:textFill>
            <w14:solidFill>
              <w14:schemeClr w14:val="tx1"/>
            </w14:solidFill>
          </w14:textFill>
        </w:rPr>
        <w:t xml:space="preserve">（表中为单年预估量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p>
    <w:tbl>
      <w:tblPr>
        <w:tblStyle w:val="755"/>
        <w:tblW w:w="142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8"/>
        <w:gridCol w:w="4046"/>
        <w:gridCol w:w="2791"/>
        <w:gridCol w:w="2130"/>
        <w:gridCol w:w="2510"/>
        <w:gridCol w:w="1783"/>
      </w:tblGrid>
      <w:tr>
        <w:trPr>
          <w:trHeight w:val="780"/>
        </w:trPr>
        <w:tc>
          <w:tcPr>
            <w:shd w:val="clear" w:color="auto" w:fill="8eb4e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8eb4e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道路</w:t>
            </w:r>
            <w:r/>
          </w:p>
        </w:tc>
        <w:tc>
          <w:tcPr>
            <w:shd w:val="clear" w:color="auto" w:fill="8eb4e2"/>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人行道面积</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p>
        </w:tc>
        <w:tc>
          <w:tcPr>
            <w:shd w:val="clear" w:color="auto" w:fill="8eb4e2"/>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非机动车道面积</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p>
        </w:tc>
        <w:tc>
          <w:tcPr>
            <w:shd w:val="clear" w:color="auto" w:fill="8eb4e2"/>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机动车道面积</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p>
        </w:tc>
        <w:tc>
          <w:tcPr>
            <w:shd w:val="clear" w:color="auto" w:fill="8eb4e2"/>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门坡</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润阳路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6960.00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8120.00 </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27840.00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1290.77 </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七乡河大道</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46671.00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515.54 </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润博路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4156.00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5036.82 </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19055.00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287.27 </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欢乐谷南路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8984.00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17968.00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欢乐大道</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10500.00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64316.00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欢乐谷北路</w:t>
            </w:r>
            <w:r/>
          </w:p>
        </w:tc>
        <w:tc>
          <w:tcPr>
            <w:shd w:val="clear" w:color="auto" w:fill="auto"/>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7315.00 </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34000.00 </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华乐路</w:t>
            </w:r>
            <w:r/>
          </w:p>
        </w:tc>
        <w:tc>
          <w:tcPr>
            <w:shd w:val="clear" w:color="auto" w:fill="auto"/>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2076.00 </w:t>
            </w:r>
            <w:r/>
          </w:p>
        </w:tc>
        <w:tc>
          <w:tcPr>
            <w:shd w:val="clear" w:color="auto" w:fill="auto"/>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7142.00 </w:t>
            </w:r>
            <w:r/>
          </w:p>
        </w:tc>
        <w:tc>
          <w:tcPr>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侨欣路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13222.00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19232.00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侨香路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15450.00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21630.00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桥悦路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16394.00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28104.00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悦宁路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3682.00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6312.00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枫谷路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4760.00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14960.00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智芯路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7770.00 </w:t>
            </w:r>
            <w:r/>
          </w:p>
        </w:tc>
        <w:tc>
          <w:tcPr>
            <w:shd w:val="clear" w:color="auto" w:fill="ffffff"/>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16650.00 </w:t>
            </w:r>
            <w:r/>
          </w:p>
        </w:tc>
        <w:tc>
          <w:tcPr>
            <w:shd w:val="clear" w:color="auto" w:fill="ffffff"/>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智联路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6800.00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20400.00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九龙山路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6120.00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19040.00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智林路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7140.00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15300.00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站前路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1064.00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2280.00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云栖路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874.56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733</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2568.00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97.95</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泉栖路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1972.68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1345</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4708.20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112.95</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湛墅路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3366.00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2800</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9795.00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219</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工农路</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2177.00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7516.00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404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华侨城山体公园步道</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30000.00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0.00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0</w:t>
            </w:r>
            <w:r/>
          </w:p>
        </w:tc>
      </w:tr>
      <w:tr>
        <w:trPr>
          <w:trHeight w:val="405"/>
        </w:trPr>
        <w:tc>
          <w:tcPr>
            <w:gridSpan w:val="2"/>
            <w:shd w:val="clear" w:color="auto" w:fill="ffffff"/>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160783.24 </w:t>
            </w:r>
            <w:r/>
          </w:p>
        </w:tc>
        <w:tc>
          <w:tcPr>
            <w:shd w:val="clear" w:color="auto" w:fill="ffffff"/>
            <w:tcBorders>
              <w:top w:val="single" w:color="000000" w:sz="4" w:space="0"/>
              <w:left w:val="single" w:color="000000" w:sz="4" w:space="0"/>
              <w:bottom w:val="single" w:color="000000" w:sz="4" w:space="0"/>
              <w:right w:val="none" w:color="000000" w:sz="4" w:space="0"/>
            </w:tcBorders>
            <w:tcW w:w="21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19534.82 </w:t>
            </w:r>
            <w:r/>
          </w:p>
        </w:tc>
        <w:tc>
          <w:tcPr>
            <w:shd w:val="clear" w:color="auto" w:fill="ffffff"/>
            <w:tcBorders>
              <w:top w:val="single" w:color="000000" w:sz="4" w:space="0"/>
              <w:left w:val="single" w:color="000000" w:sz="4" w:space="0"/>
              <w:bottom w:val="none" w:color="000000" w:sz="4" w:space="0"/>
              <w:right w:val="single" w:color="000000" w:sz="4" w:space="0"/>
            </w:tcBorders>
            <w:tcW w:w="25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405487.20 </w:t>
            </w:r>
            <w:r/>
          </w:p>
        </w:tc>
        <w:tc>
          <w:tcPr>
            <w:shd w:val="clear" w:color="auto" w:fill="ffffff"/>
            <w:tcBorders>
              <w:top w:val="single" w:color="000000" w:sz="4" w:space="0"/>
              <w:left w:val="single" w:color="000000" w:sz="4" w:space="0"/>
              <w:bottom w:val="non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2523.48 </w:t>
            </w:r>
            <w:r/>
          </w:p>
        </w:tc>
      </w:tr>
    </w:tbl>
    <w:p>
      <w:pPr>
        <w:spacing w:line="360" w:lineRule="auto"/>
        <w:rPr>
          <w:highlight w:val="none"/>
        </w:rPr>
        <w:sectPr>
          <w:headerReference w:type="default" r:id="rId10"/>
          <w:footerReference w:type="default" r:id="rId13"/>
          <w:footerReference w:type="first" r:id="rId14"/>
          <w:footnotePr/>
          <w:endnotePr/>
          <w:type w:val="nextPage"/>
          <w:pgSz w:w="16838" w:h="11906" w:orient="landscape"/>
          <w:pgMar w:top="1599" w:right="1134" w:bottom="1797" w:left="1440" w:header="851" w:footer="992" w:gutter="0"/>
          <w:cols w:num="1" w:sep="0" w:space="720" w:equalWidth="1"/>
          <w:docGrid w:linePitch="360"/>
          <w:titlePg/>
        </w:sectPr>
      </w:pPr>
      <w:r>
        <w:rPr>
          <w:highlight w:val="none"/>
        </w:rPr>
        <w:br w:type="page" w:clear="all"/>
      </w:r>
      <w:r/>
    </w:p>
    <w:p>
      <w:pPr>
        <w:pStyle w:val="756"/>
        <w:ind w:left="0" w:firstLine="422"/>
        <w:keepLines w:val="0"/>
        <w:keepNext w:val="0"/>
        <w:pageBreakBefore w:val="0"/>
        <w:spacing w:line="36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养护工作内容</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日常养护：区域内道路车行道、非机动车道、人行道、门坡、路牙沿石、隔离带、挡土墙、护坡、广场、公园等市政设施的巡查、车辙处理及应急抢修施工服务，指令性任务、铲除道路及路沿石、围墙上的违法张贴小广告。</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维护单位（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应及时发现区域内各类市政设施的损坏情况。对存在安全隐患的，第一时间做好安全防护措施，设立相应警示标志；对区域市政管理范围内的违规行为应及时发现，采取有效措施进行劝阻和处理；对无法处理的，与执法部门及时联系并上报</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2、养护维修承包方式：</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在养护期限内包工、包料、包质量、包安全、包文明施工、包维护设施完好及保洁，无缺损，风险自担。养护维修所需材料、成品、设备等，均由</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自行解决，但必须符合原设计、</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及有关养护技术规程、规范要求。</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3、系统掌握区域内市政设施具体情况，建立健全日常巡查养护及管理台账制度，认真做好台账的整理和归档工作，按时报送相关周报、月报、管理养护计划、管理养护工作报表、道路技术状况评定表。配合</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完成上级领导下达的工作任务。</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4、养护维修质量要求：</w:t>
      </w:r>
      <w:r/>
    </w:p>
    <w:p>
      <w:pPr>
        <w:pStyle w:val="756"/>
        <w:ind w:left="0"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（1）《城镇道路养护技术规范》（CJJ36-2016）</w:t>
      </w:r>
      <w:r/>
    </w:p>
    <w:p>
      <w:pPr>
        <w:pStyle w:val="756"/>
        <w:ind w:left="0"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（2）《城市道路养护技术规程》（DB50／T232-20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756"/>
        <w:ind w:left="0"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）《道路作业交通安全标志》（GA182-1998）</w:t>
      </w:r>
      <w:r/>
    </w:p>
    <w:p>
      <w:pPr>
        <w:pStyle w:val="756"/>
        <w:ind w:left="0"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《公路养护技术规范》（JTG H10-2009）</w:t>
      </w:r>
      <w:r/>
    </w:p>
    <w:p>
      <w:pPr>
        <w:pStyle w:val="756"/>
        <w:ind w:left="0"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《城镇道路工程施工与质量验收规范》（CJJ1-2008）</w:t>
      </w:r>
      <w:r/>
    </w:p>
    <w:p>
      <w:pPr>
        <w:pStyle w:val="756"/>
        <w:ind w:left="0"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）《城市道路管理条例》（1996年中华人民共和国国务院令第198号）</w:t>
      </w:r>
      <w:r/>
    </w:p>
    <w:p>
      <w:pPr>
        <w:pStyle w:val="756"/>
        <w:ind w:left="0" w:firstLine="420"/>
        <w:jc w:val="left"/>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）《南京市城市道路设施管理条例》（1994年9月29日南京市第十一届人民代表大会常务委员会第十次会议制定</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、2017年7月21日江苏省第十二届人民代表大会常务委员会第三十一次会议批准的《关于修改〈南京市公路路政管理条例〉等十件地方性法规的决定》第四次修正</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）《南京市建设工程施工现场管理办法》（南京市政府令第 296 号，2017 年修订）</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）《市政府办公厅关于进一步加强城市道路管理工作的若干意见》</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宁政办发〔2019〕39 号</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上述规范及技术条件并非全部，未列入而又相关的仍应采用。如有停用或废止的，应以相应的最新版本为准。</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5、养护必须符合维修质量要求，若不符合其质量要求，由</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无偿返工。若因</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原因不能按时保质完成，则</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有权另外安排单位维修，其相应养护维修费用将从</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养护费用中扣除。</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6、质保期：一年。</w:t>
      </w:r>
      <w:r/>
    </w:p>
    <w:p>
      <w:pPr>
        <w:pStyle w:val="756"/>
        <w:ind w:left="0" w:firstLine="420"/>
        <w:keepLines w:val="0"/>
        <w:keepNext w:val="0"/>
        <w:pageBreakBefore w:val="0"/>
        <w:spacing w:line="36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本项目的</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项目负责人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不得随意变更，如确需变更，应经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书面同意，并同时向</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缴纳违约金2万元/人次。其他用工人员如需变更，需经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许可；每年人员变动不得超过总人数的10%。</w:t>
      </w:r>
      <w:r/>
    </w:p>
    <w:p>
      <w:pPr>
        <w:pStyle w:val="756"/>
        <w:ind w:left="0" w:firstLine="420"/>
        <w:keepLines w:val="0"/>
        <w:keepNext w:val="0"/>
        <w:pageBreakBefore w:val="0"/>
        <w:spacing w:line="360" w:lineRule="auto"/>
        <w:widowControl/>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8、项目</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实施过程中使用的主材（例如：沥青等材料）须提供质检报告记录在台账内供</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检查。</w:t>
      </w:r>
      <w:r/>
    </w:p>
    <w:p>
      <w:pPr>
        <w:pStyle w:val="756"/>
        <w:ind w:left="0" w:firstLine="422"/>
        <w:keepLines w:val="0"/>
        <w:keepNext w:val="0"/>
        <w:pageBreakBefore w:val="0"/>
        <w:spacing w:line="36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1"/>
          <w:szCs w:val="21"/>
          <w:highlight w:val="none"/>
          <w14:textFill>
            <w14:solidFill>
              <w14:schemeClr w14:val="tx1"/>
            </w14:solidFill>
          </w14:textFill>
        </w:rPr>
        <w:t xml:space="preserve">养护要求</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1、养护工程报价应包含养护包干范围内规定的所有修复工作，维修、更换的材料应按照原设计型号、规格、标号、颜色修复更换。</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2、综合报价必须考虑自然的和人为的破坏、被盗等原因和风险。</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3、本招标范围养护工程的报价应综合考虑目前现状（由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自行到现场察看）所有病害的修复和养护期内的所有达到养护标准的费用。</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配合相关单位做好现场抢险、消险等工作。</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5、日常巡视及定期检查要认真巡查路况、路容，做到及时发现及时报告及时处理，确保路况整齐畅顺，设施的完好和安全，如被</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发现养护不及时和设施损失（坏）导致安全事故，或被投诉、被新闻媒体曝光，除按招标文件的有关条款处理外</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可另请施工单位进行紧急处理，费用由</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承担。</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6、工程量清单维修养护项目的报价，应包括进行维护施工时必须配置的文明施工护栏费用。</w:t>
      </w:r>
      <w:r/>
    </w:p>
    <w:p>
      <w:pPr>
        <w:pStyle w:val="756"/>
        <w:ind w:left="0" w:firstLine="422"/>
        <w:keepLines w:val="0"/>
        <w:keepNext w:val="0"/>
        <w:pageBreakBefore w:val="0"/>
        <w:spacing w:line="36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7、市政设施养护维修内容：</w:t>
      </w:r>
      <w:r/>
    </w:p>
    <w:p>
      <w:pPr>
        <w:pStyle w:val="756"/>
        <w:ind w:left="0" w:firstLine="422"/>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 w:val="21"/>
          <w:szCs w:val="21"/>
          <w:highlight w:val="none"/>
          <w14:textFill>
            <w14:solidFill>
              <w14:schemeClr w14:val="tx1"/>
            </w14:solidFill>
          </w14:textFill>
        </w:rPr>
        <w:t xml:space="preserve">）市政设施养护维修具体要求见下表：</w:t>
      </w: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bl>
      <w:tblPr>
        <w:tblStyle w:val="755"/>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2312"/>
        <w:gridCol w:w="3489"/>
        <w:gridCol w:w="2303"/>
      </w:tblGrid>
      <w:tr>
        <w:trPr>
          <w:jc w:val="center"/>
          <w:trHeight w:val="330"/>
        </w:trPr>
        <w:tc>
          <w:tcPr>
            <w:tcW w:w="1270"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主要病害</w:t>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修复时限要求</w:t>
            </w:r>
            <w:r/>
          </w:p>
        </w:tc>
        <w:tc>
          <w:tcPr>
            <w:tcW w:w="2303"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607"/>
        </w:trPr>
        <w:tc>
          <w:tcPr>
            <w:tcW w:w="1270"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养护设施巡视</w:t>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须一天一巡，网格化管理。</w:t>
            </w:r>
            <w:r/>
          </w:p>
        </w:tc>
        <w:tc>
          <w:tcPr>
            <w:tcW w:w="2303"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340"/>
        </w:trPr>
        <w:tc>
          <w:tcPr>
            <w:tcW w:w="1270" w:type="dxa"/>
            <w:vAlign w:val="center"/>
            <w:vMerge w:val="restart"/>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道路</w:t>
            </w:r>
            <w:r/>
          </w:p>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（沥青路面、混凝土路面）</w:t>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沉陷、碎裂、坑槽、</w:t>
            </w:r>
            <w:r/>
          </w:p>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车辙（≤200㎡）（维修坑洞按照规范实施）</w:t>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48小时内</w:t>
            </w:r>
            <w:r/>
          </w:p>
        </w:tc>
        <w:tc>
          <w:tcPr>
            <w:tcW w:w="2303" w:type="dxa"/>
            <w:vAlign w:val="center"/>
            <w:vMerge w:val="restart"/>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按</w:t>
            </w:r>
            <w:r>
              <w:rPr>
                <w:rFonts w:hint="eastAsia" w:ascii="宋体" w:hAnsi="宋体" w:eastAsia="宋体" w:cs="宋体"/>
                <w:bCs/>
                <w:color w:val="000000" w:themeColor="text1"/>
                <w:sz w:val="21"/>
                <w:szCs w:val="21"/>
                <w:highlight w:val="none"/>
                <w14:textFill>
                  <w14:solidFill>
                    <w14:schemeClr w14:val="tx1"/>
                  </w14:solidFill>
                </w14:textFill>
              </w:rPr>
              <w:t xml:space="preserve">《城镇道路养护技术规范》（CJJ36-2016）</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、的要求进行巡视，自巡视发现之日（或按养护主管部门下达指令之日）起，至修复完成止，以作业记录为准。</w:t>
            </w:r>
            <w:r/>
          </w:p>
        </w:tc>
      </w:tr>
      <w:tr>
        <w:trPr>
          <w:cantSplit/>
          <w:jc w:val="center"/>
          <w:trHeight w:val="582"/>
        </w:trPr>
        <w:tc>
          <w:tcPr>
            <w:tcW w:w="1270"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网裂、拥包、搓板、脱皮（维修坑洞按照规范实施）</w:t>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七个工作日内</w:t>
            </w:r>
            <w:r/>
          </w:p>
        </w:tc>
        <w:tc>
          <w:tcPr>
            <w:tcW w:w="2303"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1135"/>
        </w:trPr>
        <w:tc>
          <w:tcPr>
            <w:tcW w:w="1270"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唧泥、缝料散失、错台、板边断裂</w:t>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一个月以内</w:t>
            </w:r>
            <w:r/>
          </w:p>
        </w:tc>
        <w:tc>
          <w:tcPr>
            <w:tcW w:w="2303"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922"/>
        </w:trPr>
        <w:tc>
          <w:tcPr>
            <w:tcW w:w="1270" w:type="dxa"/>
            <w:vAlign w:val="center"/>
            <w:vMerge w:val="restart"/>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人行道（含地下通道）</w:t>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坑洞、错台、拱起、沉陷和缺损（维修坑洞按照规范实施）</w:t>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三个工作日内</w:t>
            </w:r>
            <w:r/>
          </w:p>
        </w:tc>
        <w:tc>
          <w:tcPr>
            <w:tcW w:w="2303"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930"/>
        </w:trPr>
        <w:tc>
          <w:tcPr>
            <w:tcW w:w="1270"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墙体、路牙沿损坏（更换同材质，维修坑洞按照规范实施）</w:t>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三个工作日内</w:t>
            </w:r>
            <w:r/>
          </w:p>
        </w:tc>
        <w:tc>
          <w:tcPr>
            <w:tcW w:w="2303"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99"/>
        </w:trPr>
        <w:tc>
          <w:tcPr>
            <w:tcW w:w="1270"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地下通道照明</w:t>
            </w:r>
            <w:r/>
          </w:p>
        </w:tc>
        <w:tc>
          <w:tcPr>
            <w:tcW w:w="3489"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24小时内</w:t>
            </w:r>
            <w:r/>
          </w:p>
        </w:tc>
        <w:tc>
          <w:tcPr>
            <w:tcW w:w="2303"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705"/>
        </w:trPr>
        <w:tc>
          <w:tcPr>
            <w:tcW w:w="1270" w:type="dxa"/>
            <w:vAlign w:val="center"/>
            <w:vMerge w:val="restart"/>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广场、公园、纪念地、硬质设施</w:t>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广场砖缺失、花岗岩地面破损、台阶破损</w:t>
            </w:r>
            <w:r/>
          </w:p>
        </w:tc>
        <w:tc>
          <w:tcPr>
            <w:tcW w:w="3489" w:type="dxa"/>
            <w:vAlign w:val="center"/>
            <w:textDirection w:val="lrTb"/>
            <w:noWrap w:val="false"/>
          </w:tcPr>
          <w:p>
            <w:pPr>
              <w:ind w:firstLine="42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负责在24小时内完成维修</w:t>
            </w:r>
            <w:r/>
          </w:p>
        </w:tc>
        <w:tc>
          <w:tcPr>
            <w:tcW w:w="2303" w:type="dxa"/>
            <w:vAlign w:val="center"/>
            <w:vMerge w:val="restart"/>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705"/>
        </w:trPr>
        <w:tc>
          <w:tcPr>
            <w:tcW w:w="1270"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花池、树池、路牙沿</w:t>
            </w:r>
            <w:r/>
          </w:p>
        </w:tc>
        <w:tc>
          <w:tcPr>
            <w:tcW w:w="3489" w:type="dxa"/>
            <w:vAlign w:val="center"/>
            <w:textDirection w:val="lrTb"/>
            <w:noWrap w:val="false"/>
          </w:tcPr>
          <w:p>
            <w:pP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负责在24小时内完成维修</w:t>
            </w:r>
            <w:r/>
          </w:p>
        </w:tc>
        <w:tc>
          <w:tcPr>
            <w:tcW w:w="2303"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705"/>
        </w:trPr>
        <w:tc>
          <w:tcPr>
            <w:tcW w:w="1270" w:type="dxa"/>
            <w:vAlign w:val="center"/>
            <w:vMerge w:val="continue"/>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W w:w="2312"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座椅、体育器材、平台、木屋、字体等</w:t>
            </w:r>
            <w:r/>
          </w:p>
        </w:tc>
        <w:tc>
          <w:tcPr>
            <w:tcW w:w="3489" w:type="dxa"/>
            <w:vAlign w:val="center"/>
            <w:textDirection w:val="lrTb"/>
            <w:noWrap w:val="false"/>
          </w:tcPr>
          <w:p>
            <w:pP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负责在24小时内完成维修，</w:t>
            </w:r>
            <w:r/>
          </w:p>
          <w:p>
            <w:pPr>
              <w:pStyle w:val="766"/>
              <w:ind w:left="0" w:right="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木质座椅、平台、木屋、字体等每年清洁、油漆及维修</w:t>
            </w:r>
            <w:r/>
          </w:p>
        </w:tc>
        <w:tc>
          <w:tcPr>
            <w:tcW w:w="2303"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705"/>
        </w:trPr>
        <w:tc>
          <w:tcPr>
            <w:tcW w:w="1270" w:type="dxa"/>
            <w:vAlign w:val="center"/>
            <w:textDirection w:val="lrTb"/>
            <w:noWrap w:val="false"/>
          </w:tcPr>
          <w:p>
            <w:pPr>
              <w:jc w:val="cente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挡土墙、护坡</w:t>
            </w:r>
            <w:r/>
          </w:p>
        </w:tc>
        <w:tc>
          <w:tcPr>
            <w:tcW w:w="2312" w:type="dxa"/>
            <w:vAlign w:val="center"/>
            <w:textDirection w:val="lrTb"/>
            <w:noWrap w:val="false"/>
          </w:tcPr>
          <w:p>
            <w:pP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不均匀沉降、开裂、倒塌、杂草及白色垃圾捡拾</w:t>
            </w:r>
            <w:r/>
          </w:p>
        </w:tc>
        <w:tc>
          <w:tcPr>
            <w:tcW w:w="3489" w:type="dxa"/>
            <w:vAlign w:val="center"/>
            <w:textDirection w:val="lrTb"/>
            <w:noWrap w:val="false"/>
          </w:tcPr>
          <w:p>
            <w:pP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七日内拟出维修方案，经认可后及时修补。重大险情立即通知公安交警部门，配合做好交通管制，同时向上级主管部门报告</w:t>
            </w:r>
            <w:r/>
          </w:p>
        </w:tc>
        <w:tc>
          <w:tcPr>
            <w:tcW w:w="2303" w:type="dxa"/>
            <w:vAlign w:val="center"/>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461"/>
        </w:trPr>
        <w:tc>
          <w:tcPr>
            <w:tcW w:w="1270"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其它设施</w:t>
            </w:r>
            <w:r/>
          </w:p>
        </w:tc>
        <w:tc>
          <w:tcPr>
            <w:tcBorders>
              <w:top w:val="single" w:color="auto" w:sz="4" w:space="0"/>
              <w:left w:val="single" w:color="auto" w:sz="4" w:space="0"/>
              <w:bottom w:val="single" w:color="auto" w:sz="4" w:space="0"/>
              <w:right w:val="single" w:color="auto" w:sz="4" w:space="0"/>
            </w:tcBorders>
            <w:tcW w:w="2312"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木质栏杆（地面）每年刷油漆一次；铁质栏杆、人行天桥须及时除锈并每两年油漆一次</w:t>
            </w:r>
            <w:r/>
          </w:p>
        </w:tc>
        <w:tc>
          <w:tcPr>
            <w:tcBorders>
              <w:top w:val="single" w:color="auto" w:sz="4" w:space="0"/>
              <w:left w:val="single" w:color="auto" w:sz="4" w:space="0"/>
              <w:bottom w:val="single" w:color="auto" w:sz="4" w:space="0"/>
              <w:right w:val="single" w:color="auto" w:sz="4" w:space="0"/>
            </w:tcBorders>
            <w:tcW w:w="3489"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木质需在每年11月30日前完成，铁质须在48小时内除锈并在上次油漆的第二年4月底前完成</w:t>
            </w:r>
            <w:r/>
          </w:p>
        </w:tc>
        <w:tc>
          <w:tcPr>
            <w:tcBorders>
              <w:top w:val="single" w:color="auto" w:sz="4" w:space="0"/>
              <w:left w:val="single" w:color="auto" w:sz="4" w:space="0"/>
              <w:bottom w:val="single" w:color="auto" w:sz="4" w:space="0"/>
              <w:right w:val="single" w:color="auto" w:sz="4" w:space="0"/>
            </w:tcBorders>
            <w:tcW w:w="2303"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461"/>
        </w:trPr>
        <w:tc>
          <w:tcPr>
            <w:tcW w:w="1270"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道路挖掘监管</w:t>
            </w:r>
            <w:r/>
          </w:p>
        </w:tc>
        <w:tc>
          <w:tcPr>
            <w:tcBorders>
              <w:top w:val="single" w:color="auto" w:sz="4" w:space="0"/>
              <w:left w:val="single" w:color="auto" w:sz="4" w:space="0"/>
              <w:bottom w:val="single" w:color="auto" w:sz="4" w:space="0"/>
              <w:right w:val="single" w:color="auto" w:sz="4" w:space="0"/>
            </w:tcBorders>
            <w:tcW w:w="2312"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对业主审批后的道路挖掘项目进行24小时动态监管，对挖掘内容做好电子影像及文字记录，一案一档</w:t>
            </w:r>
            <w:r/>
          </w:p>
        </w:tc>
        <w:tc>
          <w:tcPr>
            <w:tcBorders>
              <w:top w:val="single" w:color="auto" w:sz="4" w:space="0"/>
              <w:left w:val="single" w:color="auto" w:sz="4" w:space="0"/>
              <w:bottom w:val="single" w:color="auto" w:sz="4" w:space="0"/>
              <w:right w:val="single" w:color="auto" w:sz="4" w:space="0"/>
            </w:tcBorders>
            <w:tcW w:w="3489"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负责在4小时内对无手续的违规挖掘项目进行调查拍照并及时通知执法部门及业主单位。</w:t>
            </w:r>
            <w:r/>
          </w:p>
        </w:tc>
        <w:tc>
          <w:tcPr>
            <w:tcBorders>
              <w:top w:val="single" w:color="auto" w:sz="4" w:space="0"/>
              <w:left w:val="single" w:color="auto" w:sz="4" w:space="0"/>
              <w:bottom w:val="single" w:color="auto" w:sz="4" w:space="0"/>
              <w:right w:val="single" w:color="auto" w:sz="4" w:space="0"/>
            </w:tcBorders>
            <w:tcW w:w="2303"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1447"/>
        </w:trPr>
        <w:tc>
          <w:tcPr>
            <w:tcW w:w="1270" w:type="dxa"/>
            <w:vAlign w:val="center"/>
            <w:textDirection w:val="lrTb"/>
            <w:noWrap w:val="false"/>
          </w:tcPr>
          <w:p>
            <w:pPr>
              <w:jc w:val="cente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应急措施服务</w:t>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建立建全应急、抢险突击队，具备充足的人员、机械、材料、设备，服从业主调度。</w:t>
            </w:r>
            <w:r/>
          </w:p>
        </w:tc>
        <w:tc>
          <w:tcPr>
            <w:tcBorders>
              <w:top w:val="single" w:color="auto" w:sz="4" w:space="0"/>
              <w:left w:val="single" w:color="auto" w:sz="4" w:space="0"/>
              <w:bottom w:val="single" w:color="auto" w:sz="4" w:space="0"/>
              <w:right w:val="single" w:color="auto" w:sz="4" w:space="0"/>
            </w:tcBorders>
            <w:tcW w:w="3489" w:type="dxa"/>
            <w:vAlign w:val="center"/>
            <w:textDirection w:val="lrTb"/>
            <w:noWrap w:val="false"/>
          </w:tcPr>
          <w:p>
            <w:pP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配合相关单位做好现场抢险、消险等工作。</w:t>
            </w:r>
            <w:r/>
          </w:p>
        </w:tc>
        <w:tc>
          <w:tcPr>
            <w:tcBorders>
              <w:top w:val="single" w:color="auto" w:sz="4" w:space="0"/>
              <w:left w:val="single" w:color="auto" w:sz="4" w:space="0"/>
              <w:bottom w:val="single" w:color="auto" w:sz="4" w:space="0"/>
              <w:right w:val="single" w:color="auto" w:sz="4" w:space="0"/>
            </w:tcBorders>
            <w:tcW w:w="2303" w:type="dxa"/>
            <w:textDirection w:val="lrTb"/>
            <w:noWrap w:val="false"/>
          </w:tcPr>
          <w:p>
            <w:pPr>
              <w:jc w:val="cente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r>
            <w:r/>
          </w:p>
        </w:tc>
      </w:tr>
      <w:tr>
        <w:trPr>
          <w:cantSplit/>
          <w:jc w:val="center"/>
          <w:trHeight w:val="92"/>
        </w:trPr>
        <w:tc>
          <w:tcPr>
            <w:tcW w:w="1270" w:type="dxa"/>
            <w:vAlign w:val="center"/>
            <w:textDirection w:val="lrTb"/>
            <w:noWrap w:val="false"/>
          </w:tcPr>
          <w:p>
            <w:pPr>
              <w:jc w:val="cente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指令性专项任务</w:t>
            </w:r>
            <w:r/>
          </w:p>
        </w:tc>
        <w:tc>
          <w:tcPr>
            <w:tcBorders>
              <w:top w:val="single" w:color="auto" w:sz="4" w:space="0"/>
              <w:left w:val="single" w:color="auto" w:sz="4" w:space="0"/>
              <w:bottom w:val="single" w:color="auto" w:sz="4" w:space="0"/>
              <w:right w:val="single" w:color="auto" w:sz="4" w:space="0"/>
            </w:tcBorders>
            <w:tcW w:w="2312" w:type="dxa"/>
            <w:vAlign w:val="center"/>
            <w:textDirection w:val="lrTb"/>
            <w:noWrap w:val="false"/>
          </w:tcPr>
          <w:p>
            <w:pP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按上级要求完成指令性任务（如：10条路检测、优质示范路的评比、以及道路平整度专项等）</w:t>
            </w:r>
            <w:r/>
          </w:p>
        </w:tc>
        <w:tc>
          <w:tcPr>
            <w:tcBorders>
              <w:top w:val="single" w:color="auto" w:sz="4" w:space="0"/>
              <w:left w:val="single" w:color="auto" w:sz="4" w:space="0"/>
              <w:bottom w:val="single" w:color="auto" w:sz="4" w:space="0"/>
              <w:right w:val="single" w:color="auto" w:sz="4" w:space="0"/>
            </w:tcBorders>
            <w:tcW w:w="3489" w:type="dxa"/>
            <w:vAlign w:val="center"/>
            <w:textDirection w:val="lrTb"/>
            <w:noWrap w:val="false"/>
          </w:tcPr>
          <w:p>
            <w:pPr>
              <w:tabs>
                <w:tab w:val="left" w:pos="105" w:leader="none"/>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限定期限内完成</w:t>
            </w:r>
            <w:r/>
          </w:p>
        </w:tc>
        <w:tc>
          <w:tcPr>
            <w:tcBorders>
              <w:top w:val="single" w:color="auto" w:sz="4" w:space="0"/>
              <w:left w:val="single" w:color="auto" w:sz="4" w:space="0"/>
              <w:bottom w:val="single" w:color="auto" w:sz="4" w:space="0"/>
              <w:right w:val="single" w:color="auto" w:sz="4" w:space="0"/>
            </w:tcBorders>
            <w:tcW w:w="2303" w:type="dxa"/>
            <w:textDirection w:val="lrTb"/>
            <w:noWrap w:val="false"/>
          </w:tcPr>
          <w:p>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r>
    </w:tbl>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1）纵缝、胀缝、嵌缝、切缝等的清理及重灌填缝料；</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2）唧泥、缝料散失、错台、板边断裂；</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3）已有裂缝但未达到挖除修理前要用沥青玛蹄脂填缝；</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4）砼或沥青路面局部损坏沉陷修补；</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5）路牙沿修理补齐；</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6）人行道块（包括安全岛）修理补齐；</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7）修复局部下沉路面、下沉人行道；</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8）沿线树穴周边砌块修理、补齐；</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9）路上的各类井框与相邻周边路面高差绝对值超过养护标准的要及时调整；</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10）人行道上的各类板块高低之差超过养护标准的要及时调整；</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11）挡土墙沉降缝、泄水管的定期维修、疏通、清理；</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12）按原样材质修理、更换部分栏杆、扶手（包含总工程量15%的构件）及按规定进行一次油漆保养；</w:t>
      </w:r>
      <w:r/>
    </w:p>
    <w:p>
      <w:pPr>
        <w:pStyle w:val="756"/>
        <w:ind w:left="0" w:firstLine="420"/>
        <w:keepLines w:val="0"/>
        <w:keepNext w:val="0"/>
        <w:pageBreakBefore w:val="0"/>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13）养护过程中（包含大型车辙铣刨）导致标线破损、缺失等由供应商自行恢复；</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）每日巡视，网格化管理，定人、定片、定岗。做好巡查记录，发现问题及时处理及上报主管部门及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供应商每年大型车辙铣刨不少于1600㎡，相关费用包含在本次报价中，由供应商自行考虑，后期不再支付</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）本项目突发性事项所需费用包含在本次报价中，由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自行考虑，后期不再支付。</w:t>
      </w:r>
      <w:r/>
    </w:p>
    <w:p>
      <w:pPr>
        <w:pStyle w:val="756"/>
        <w:ind w:left="0" w:firstLine="422"/>
        <w:keepLines w:val="0"/>
        <w:keepNext w:val="0"/>
        <w:pageBreakBefore w:val="0"/>
        <w:spacing w:line="36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val="0"/>
          <w:color w:val="000000" w:themeColor="text1"/>
          <w:sz w:val="21"/>
          <w:szCs w:val="21"/>
          <w:highlight w:val="none"/>
          <w14:textFill>
            <w14:solidFill>
              <w14:schemeClr w14:val="tx1"/>
            </w14:solidFill>
          </w14:textFill>
        </w:rPr>
        <w:t xml:space="preserve">）广场、公园养护维修内容：</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1）确保广场砖、花岗岩地面、台阶完好率在99%以上。</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2）对花池修补、树池修补、路牙沿修补。</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3）休闲座椅、体育器材、木屋、栏杆、字体。</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4）配合城管、园林、亮化等部门做好广场迎查管理工作。</w:t>
      </w:r>
      <w:r/>
    </w:p>
    <w:p>
      <w:pPr>
        <w:pStyle w:val="756"/>
        <w:ind w:left="0" w:firstLine="422"/>
        <w:keepLines w:val="0"/>
        <w:keepNext w:val="0"/>
        <w:pageBreakBefore w:val="0"/>
        <w:spacing w:line="360" w:lineRule="auto"/>
        <w:widowControl/>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1"/>
          <w:szCs w:val="21"/>
          <w:highlight w:val="none"/>
          <w14:textFill>
            <w14:solidFill>
              <w14:schemeClr w14:val="tx1"/>
            </w14:solidFill>
          </w14:textFill>
        </w:rPr>
        <w:t xml:space="preserve">）挡土墙、护坡养护维修内容：</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1）挡土墙、护坡需定期进行沉降观测</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2）及时发现不均匀沉降、开裂、倒塌隐患。</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3）对发现的险情及时拟出维修方案，经认可后及时修补。</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4）重大险情立即通知公安交警部门以及应急管理部门，配合做好交通管制及应急处理，同时向上级主管部门及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报告</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pStyle w:val="756"/>
        <w:ind w:left="0" w:firstLine="420"/>
        <w:keepLines w:val="0"/>
        <w:keepNext w:val="0"/>
        <w:pageBreakBefore w:val="0"/>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8、市政设施养护维修人员要求：</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（1）每年的扫雪防冻及防汛防台等，必须保证人员及时调动。</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负责维护管理进程中的一切安全责任，其中包括万一发生的一切工伤事故及工作人员的作业或非作业性的人身安全等责任。</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必须按时发工资，聘用人员工资待遇不能低于当地政府的最低工资待遇标准（社会保险和意外保险另算），任何劳资纠纷全由</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负责。</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必须按法律、法规及有关政策规定为其服务人员购买社会保险、意外保险等相关保险。</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必须执行国家劳动法的相关规定。</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必须落实好安全生产的措施和配置安全作业的劳保用品。</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的服务人员数量必须满足采购人的实际工作要求，且穿着统一标识、符合安全要求、有明显标志的工作服。</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）所有</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养护、</w:t>
      </w:r>
      <w:r>
        <w:rPr>
          <w:rFonts w:hint="eastAsia" w:ascii="宋体" w:hAnsi="宋体" w:eastAsia="宋体" w:cs="宋体"/>
          <w:bCs/>
          <w:color w:val="000000" w:themeColor="text1"/>
          <w:sz w:val="21"/>
          <w:szCs w:val="21"/>
          <w:highlight w:val="none"/>
          <w14:textFill>
            <w14:solidFill>
              <w14:schemeClr w14:val="tx1"/>
            </w14:solidFill>
          </w14:textFill>
        </w:rPr>
        <w:t xml:space="preserve">管养</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作业人员</w:t>
      </w:r>
      <w:r>
        <w:rPr>
          <w:rFonts w:hint="eastAsia" w:ascii="宋体" w:hAnsi="宋体" w:eastAsia="宋体" w:cs="宋体"/>
          <w:bCs/>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年龄结构合理，男性一线职工配备60岁以下（如专业技能及身体条件较好，可适当放宽至65周岁以下）、女性一线职工配备55岁以下（如专业技能及身体健康，可适当放宽至60周岁以下）。</w:t>
      </w:r>
      <w:r/>
    </w:p>
    <w:p>
      <w:pPr>
        <w:pStyle w:val="756"/>
        <w:ind w:left="0" w:firstLine="422"/>
        <w:keepLines w:val="0"/>
        <w:keepNext w:val="0"/>
        <w:pageBreakBefore w:val="0"/>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1"/>
          <w:szCs w:val="21"/>
          <w:highlight w:val="none"/>
          <w14:textFill>
            <w14:solidFill>
              <w14:schemeClr w14:val="tx1"/>
            </w14:solidFill>
          </w14:textFill>
        </w:rPr>
        <w:t xml:space="preserve">、其他要求</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所用人员必须按照中华人民共和国《劳动法》的规定执行，如遇到工资纠纷问题由</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自行解决。</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本次采购不接受联合报价及分包、转包。</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应对照招标文件要求，说明所提供资料已对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1"/>
          <w:szCs w:val="21"/>
          <w:highlight w:val="none"/>
          <w14:textFill>
            <w14:solidFill>
              <w14:schemeClr w14:val="tx1"/>
            </w14:solidFill>
          </w14:textFill>
        </w:rPr>
        <w:t xml:space="preserve">的需求做出了实质性响应，或申明与需求存在的偏差；</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可以在响应文件中提出不同的服务标准和保障承诺，使评标小组相信替代服务相同于或优于原需求，特别对于具体参数要求的指标，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必须提供具体参数值。</w:t>
      </w:r>
      <w:r/>
    </w:p>
    <w:p>
      <w:pPr>
        <w:pStyle w:val="756"/>
        <w:ind w:left="0"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承包期限内，养护项目量发生减少（如：废弃道路，市政重大项目占用等），停止维修养护，该养护费从合同价款扣除，按天计算。</w:t>
      </w:r>
      <w:r/>
    </w:p>
    <w:p>
      <w:pPr>
        <w:pStyle w:val="756"/>
        <w:ind w:left="0" w:right="109" w:firstLine="422"/>
        <w:keepLines w:val="0"/>
        <w:keepNext w:val="0"/>
        <w:pageBreakBefore w:val="0"/>
        <w:widowControl w:val="off"/>
        <w:rPr>
          <w:rFonts w:hint="eastAsia" w:ascii="宋体" w:hAnsi="宋体" w:eastAsia="宋体" w:cs="宋体"/>
          <w:b/>
          <w:sz w:val="21"/>
          <w:szCs w:val="21"/>
          <w:highlight w:val="none"/>
        </w:rPr>
      </w:pPr>
      <w:r/>
      <w:bookmarkStart w:id="12" w:name="_Toc401304080"/>
      <w:r/>
      <w:bookmarkStart w:id="13" w:name="_Toc417484162"/>
      <w:r/>
      <w:bookmarkStart w:id="14" w:name="_Hlk44908428"/>
      <w:r>
        <w:rPr>
          <w:rFonts w:hint="eastAsia" w:ascii="宋体" w:hAnsi="宋体" w:eastAsia="宋体" w:cs="宋体"/>
          <w:b/>
          <w:sz w:val="21"/>
          <w:szCs w:val="21"/>
          <w:highlight w:val="none"/>
          <w:lang w:val="zh-CN"/>
        </w:rPr>
        <w:t xml:space="preserve">（</w:t>
      </w:r>
      <w:r>
        <w:rPr>
          <w:rFonts w:hint="eastAsia" w:ascii="宋体" w:hAnsi="宋体" w:cs="宋体"/>
          <w:b/>
          <w:sz w:val="21"/>
          <w:szCs w:val="21"/>
          <w:highlight w:val="none"/>
          <w:lang w:val="en-US" w:eastAsia="zh-CN"/>
        </w:rPr>
        <w:t xml:space="preserve">6</w:t>
      </w:r>
      <w:r>
        <w:rPr>
          <w:rFonts w:hint="eastAsia" w:ascii="宋体" w:hAnsi="宋体" w:eastAsia="宋体" w:cs="宋体"/>
          <w:b/>
          <w:sz w:val="21"/>
          <w:szCs w:val="21"/>
          <w:highlight w:val="none"/>
          <w:lang w:val="zh-CN"/>
        </w:rPr>
        <w:t xml:space="preserve">）市场化养护考核办法（暂定）</w:t>
      </w:r>
      <w:bookmarkEnd w:id="12"/>
      <w:r/>
      <w:bookmarkEnd w:id="13"/>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一、考核范围</w:t>
      </w:r>
      <w:r/>
    </w:p>
    <w:p>
      <w:pPr>
        <w:pStyle w:val="766"/>
        <w:ind w:left="0" w:right="109" w:firstLine="420"/>
        <w:keepLines w:val="0"/>
        <w:keepNext w:val="0"/>
        <w:pageBreakBefore w:val="0"/>
        <w:spacing w:line="360" w:lineRule="auto"/>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适用于南京经济技术开发区范围内市政设施管养、绿化养护、交通设施维护</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lang w:val="en-US" w:eastAsia="zh-CN"/>
        </w:rPr>
        <w:t xml:space="preserve">桥梁养护</w:t>
      </w:r>
      <w:r>
        <w:rPr>
          <w:rFonts w:hint="eastAsia" w:ascii="仿宋" w:hAnsi="仿宋" w:eastAsia="仿宋" w:cs="仿宋"/>
          <w:bCs/>
          <w:color w:val="auto"/>
          <w:sz w:val="21"/>
          <w:szCs w:val="21"/>
          <w:highlight w:val="none"/>
        </w:rPr>
        <w:t xml:space="preserve">等。</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二、考核主体</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南京市栖霞区城市管理局</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三、考核方式</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考核分为上级主管部门考核、日常考核、定期考核、资料台账考核四种方式，总分值100分。 </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1、上级主管部门考核（上级考核如有就采用）</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1）有上级业务主管部门考核排名的，如市政管养、绿化养护。以上级业务主管部门月度考评通报为依据。采用加减分方式进行考核。同一考核分组内，第一名加2分，末位名次扣2分，其它名次不计分。（例：郊园区组共五组评比，则第一名加2分，第二名、第三名、第四名不计分，第五名扣2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有上级业务主管部门考核但考核分组内区域小于等于3组或不排名的，如信号灯等设施维护。上级业务主管部门当月提出问题的，百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（3）暂未纳入上级业务主管部门考核的，如交通设施维护、建成区以外的市政设施管养及绿化养护等。不扣分。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eastAsia="zh-CN"/>
        </w:rPr>
        <w:t xml:space="preserve">分管领导</w:t>
      </w:r>
      <w:r>
        <w:rPr>
          <w:rFonts w:hint="eastAsia" w:ascii="仿宋" w:hAnsi="仿宋" w:eastAsia="仿宋" w:cs="仿宋"/>
          <w:bCs/>
          <w:sz w:val="21"/>
          <w:szCs w:val="21"/>
          <w:highlight w:val="none"/>
        </w:rPr>
        <w:t xml:space="preserve">签字同意后，予以调整。</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2、日常考核</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扣分项：各业务科室、考核组人员拍摄的工单，每一条扣0.1分；局领导拍摄（交办）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市级以上部门提出批评的，扣2-5分；区级部门提出批评的，扣1-5分；城管局提出批评的，扣1-2分。扣分分值由考核组汇报至各业务科室，组织相应业务部门确定后，予以扣除。</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各片区管养单位可通过书面汇报的形式，将当月存疑工单向主管业务部门进行申报，业务部门书面上报分管副局长、局长，签字同意后，予以撤销工单，不扣分；各片区管养单位不得直接与考核组及各业务部门沟通工单事宜，不得干扰工单拍摄，一经发现，每次扣除管养单位1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加分项：日常管养中得到区政府部门、城管局表扬的，由养护单位提出申请，分管副局长签字同意后，视情况加1-2分；管养单位自费进行合同约定以外改造的，由该单位提出申请，分管副局长签字同意后，视资金投入情况加1-5分。（每月加分累计不得超过5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GPS（北斗）考核：每月由各业务部门在工作时间段，对每个片区的GPS巡查数据随机抽查4次，考核组核查人数为两人以上，核查完毕后截图、签字确认。工作时间内巡查人员的巡查覆盖率必须达到管养片区的80%以上，不达标的管养单位每次扣2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3、定期考核</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每月上旬由业务科室牵头，相关人员参与，采用随机抽签的方式选定管养区内一条考核道路或区域，集中评分。定期考核发现的问题，根据考核细则进行扣分，形成定期考核评价表，分数计入月度考核评分。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资料台账考核，由业务科室牵头，会同相关人员，每月5-10日之间，对上个月度的台账资料进行检查，包含日常巡查台账、养护维护台账、工作计划台账、安全生产台账等进行检查，形成资料台账考核评价表，分数计入月度考核评分。</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四、考核分值公布</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每日由考核组将当天考核情况汇总上报至考核工单日报群。每月考核分值汇总后，由考核组将分值及扣分点公示给各管养单位，公示申诉期为3天，由管养单位书面申诉，逾期不予接受。公示结束后由考核组形成月报，上报至城管局领导。</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五、考核奖惩</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根据合同约定，考核绩效款项占月度管养费用的20%。考核得分上限为100分（每月得分超过100分的，以100分计分），将1%的月度绩效款项所对应的分值设置为容错分（月度绩效款*%/100），该分值内的扣分仅计分，不扣款。</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扣分超过该分值后，开始扣除考核绩效款。月度考核中，每扣1分，扣除当月绩效款100元，扣完为止，以月度为一个计算周期。根据合同约定，按付款节点进行结算，由考核组提供数据，市政科在支付养护款时直接予以扣除。</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当月考核绩效分数低于80分的管养单位，视为当月考核不合格，由考核组在考核月报中点名批评。年度累计两个月考核不合格的管养单位，由城管局领导进行约谈。年度累计三个月考核不合格的管养单位，由南京市栖霞区城市管理局履行有关手续（程序）后，于次月终止该片区的管养合同，不再续签后续管养合同。</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月度考核绩效占比=（月度考核扣款/月度考核绩效款）*100。</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月度考核绩效分数=100-月度考核绩效占比；年度考核绩效分数取全年均值。</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考核绩效分数为月度、年度排名依据。年度考核系数排名靠前的管养单位，作为下一期养护市场化重点推荐单位。</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 xml:space="preserve">四</w:t>
      </w:r>
      <w:r>
        <w:rPr>
          <w:rFonts w:hint="eastAsia" w:ascii="仿宋" w:hAnsi="仿宋" w:eastAsia="仿宋" w:cs="仿宋"/>
          <w:bCs/>
          <w:sz w:val="21"/>
          <w:szCs w:val="21"/>
          <w:highlight w:val="none"/>
        </w:rPr>
        <w:t xml:space="preserve">、其它说明</w:t>
      </w:r>
      <w:r/>
    </w:p>
    <w:p>
      <w:pPr>
        <w:pStyle w:val="766"/>
        <w:ind w:left="0" w:right="109" w:firstLine="420"/>
        <w:keepLines w:val="0"/>
        <w:keepNext w:val="0"/>
        <w:pageBreakBefore w:val="0"/>
        <w:spacing w:line="360" w:lineRule="auto"/>
        <w:widowControl w:val="off"/>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 xml:space="preserve">南京市栖霞区城市管理局有权根据管养情况的变化，更新或修改本考核办法及考核细则，修改完毕并告知管养单位后，按新的考核办法及考核细则实施</w:t>
      </w:r>
      <w:r>
        <w:rPr>
          <w:rFonts w:hint="eastAsia" w:ascii="仿宋" w:hAnsi="仿宋" w:eastAsia="仿宋" w:cs="仿宋"/>
          <w:bCs/>
          <w:sz w:val="21"/>
          <w:szCs w:val="21"/>
          <w:highlight w:val="none"/>
          <w:lang w:eastAsia="zh-CN"/>
        </w:rPr>
        <w:t xml:space="preserve">。</w:t>
      </w:r>
      <w:r/>
    </w:p>
    <w:p>
      <w:pPr>
        <w:pStyle w:val="766"/>
        <w:ind w:left="426" w:right="109"/>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附件：市政设施考核细则（具体考核细则待合同签订时</w:t>
      </w:r>
      <w:r>
        <w:rPr>
          <w:rFonts w:hint="eastAsia" w:ascii="宋体" w:hAnsi="宋体" w:cs="宋体"/>
          <w:b/>
          <w:bCs/>
          <w:sz w:val="21"/>
          <w:szCs w:val="21"/>
          <w:highlight w:val="none"/>
          <w:lang w:val="en-US" w:eastAsia="zh-CN"/>
        </w:rPr>
        <w:t xml:space="preserve">明确</w:t>
      </w:r>
      <w:r>
        <w:rPr>
          <w:rFonts w:hint="eastAsia" w:ascii="宋体" w:hAnsi="宋体" w:eastAsia="宋体" w:cs="宋体"/>
          <w:b/>
          <w:bCs/>
          <w:sz w:val="21"/>
          <w:szCs w:val="21"/>
          <w:highlight w:val="none"/>
        </w:rPr>
        <w:t xml:space="preserve">。）</w:t>
      </w:r>
      <w:bookmarkEnd w:id="14"/>
      <w:r/>
    </w:p>
    <w:p>
      <w:pPr>
        <w:ind w:firstLine="422"/>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1"/>
          <w:szCs w:val="21"/>
          <w:highlight w:val="none"/>
          <w14:textFill>
            <w14:solidFill>
              <w14:schemeClr w14:val="tx1"/>
            </w14:solidFill>
          </w14:textFill>
        </w:rPr>
        <w:t xml:space="preserve">、付款方式及考核要求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合同签订且养护</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工作实施6个月后，能达到考核标准，支付</w:t>
      </w:r>
      <w:r>
        <w:rPr>
          <w:rFonts w:hint="eastAsia" w:ascii="宋体" w:hAnsi="宋体" w:cs="宋体"/>
          <w:color w:val="auto"/>
          <w:sz w:val="21"/>
          <w:szCs w:val="21"/>
          <w:highlight w:val="none"/>
          <w:lang w:val="en-US" w:eastAsia="zh-CN"/>
        </w:rPr>
        <w:t xml:space="preserve">经审核合格的</w:t>
      </w:r>
      <w:r>
        <w:rPr>
          <w:rFonts w:hint="eastAsia" w:ascii="宋体" w:hAnsi="宋体" w:cs="宋体"/>
          <w:b/>
          <w:bCs/>
          <w:color w:val="auto"/>
          <w:sz w:val="21"/>
          <w:szCs w:val="21"/>
          <w:highlight w:val="none"/>
          <w:lang w:val="en-US" w:eastAsia="zh-CN"/>
        </w:rPr>
        <w:t xml:space="preserve">年度</w:t>
      </w:r>
      <w:r>
        <w:rPr>
          <w:rFonts w:hint="eastAsia" w:ascii="宋体" w:hAnsi="宋体" w:eastAsia="宋体" w:cs="宋体"/>
          <w:color w:val="auto"/>
          <w:sz w:val="21"/>
          <w:szCs w:val="21"/>
          <w:highlight w:val="none"/>
        </w:rPr>
        <w:t xml:space="preserve">养护费用的50%（须扣除当期考核绩效费用</w:t>
      </w:r>
      <w:r>
        <w:rPr>
          <w:rFonts w:hint="eastAsia" w:ascii="宋体" w:hAnsi="宋体" w:cs="宋体"/>
          <w:color w:val="auto"/>
          <w:sz w:val="21"/>
          <w:szCs w:val="21"/>
          <w:highlight w:val="none"/>
          <w:lang w:val="en-US" w:eastAsia="zh-CN"/>
        </w:rPr>
        <w:t xml:space="preserve">以及根据合同约定应当扣除的违约金、赔偿款等（如有）</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lang w:val="en-US" w:eastAsia="zh-CN"/>
        </w:rPr>
        <w:t xml:space="preserve">年度</w:t>
      </w:r>
      <w:r>
        <w:rPr>
          <w:rFonts w:hint="eastAsia" w:ascii="宋体" w:hAnsi="宋体" w:eastAsia="宋体" w:cs="宋体"/>
          <w:color w:val="auto"/>
          <w:sz w:val="21"/>
          <w:szCs w:val="21"/>
          <w:highlight w:val="none"/>
        </w:rPr>
        <w:t xml:space="preserve">养护期满后，完成全年考核任务支付剩余50%（须扣除当期考核绩效费用</w:t>
      </w:r>
      <w:r>
        <w:rPr>
          <w:rFonts w:hint="eastAsia" w:ascii="宋体" w:hAnsi="宋体" w:cs="宋体"/>
          <w:color w:val="auto"/>
          <w:sz w:val="21"/>
          <w:szCs w:val="21"/>
          <w:highlight w:val="none"/>
          <w:lang w:val="en-US" w:eastAsia="zh-CN"/>
        </w:rPr>
        <w:t xml:space="preserve">以及根据合同约定应当扣除的违约金、赔偿款等（如有）</w:t>
      </w:r>
      <w:r>
        <w:rPr>
          <w:rFonts w:hint="eastAsia" w:ascii="宋体" w:hAnsi="宋体" w:eastAsia="宋体" w:cs="宋体"/>
          <w:color w:val="auto"/>
          <w:sz w:val="21"/>
          <w:szCs w:val="21"/>
          <w:highlight w:val="none"/>
        </w:rPr>
        <w:t xml:space="preserve">）养护费用。付款时扣除当期考核罚款</w:t>
      </w:r>
      <w:r>
        <w:rPr>
          <w:rFonts w:hint="eastAsia" w:ascii="宋体" w:hAnsi="宋体" w:cs="宋体"/>
          <w:color w:val="auto"/>
          <w:sz w:val="21"/>
          <w:szCs w:val="21"/>
          <w:highlight w:val="none"/>
          <w:lang w:val="en-US" w:eastAsia="zh-CN"/>
        </w:rPr>
        <w:t xml:space="preserve">以及根据合同约定应当扣除的违约金、赔偿款等（如有）</w:t>
      </w:r>
      <w:r>
        <w:rPr>
          <w:rFonts w:hint="eastAsia" w:ascii="宋体" w:hAnsi="宋体" w:eastAsia="宋体" w:cs="宋体"/>
          <w:color w:val="auto"/>
          <w:sz w:val="21"/>
          <w:szCs w:val="21"/>
          <w:highlight w:val="none"/>
        </w:rPr>
        <w:t xml:space="preserve">。每次付款前，</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应当提交付款申请以及同等金额的增值税专用发票，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复核无误后将在30日内支付。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 xml:space="preserve">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 xml:space="preserve">”进行评分。满分100分，8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分（含80分）以上为合格，80分（不含80分）以下为不合格。</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于次月终止该片区的管养合同，不再续签后续管养合同。或管养合同进行转包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分包的，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有权单方终止承包方的管养合同，本年度剩余的养护经费不予结算，取消其下一轮续签养护合同资格且不得参与我局下一轮的养护投标工作。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14:textFill>
            <w14:solidFill>
              <w14:schemeClr w14:val="tx1"/>
            </w14:solidFill>
          </w14:textFill>
        </w:rPr>
        <w:t xml:space="preserve">年，因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拒签下一年度合同。</w:t>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56"/>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pStyle w:val="745"/>
        <w:numPr>
          <w:ilvl w:val="0"/>
          <w:numId w:val="6"/>
        </w:numPr>
        <w:rPr>
          <w:rFonts w:hint="eastAsia" w:ascii="宋体" w:hAnsi="宋体" w:cs="宋体"/>
          <w:highlight w:val="none"/>
        </w:rPr>
      </w:pPr>
      <w:r>
        <w:rPr>
          <w:rFonts w:hint="eastAsia" w:ascii="宋体" w:hAnsi="宋体" w:cs="宋体"/>
          <w:highlight w:val="none"/>
        </w:rPr>
        <w:t xml:space="preserve"> </w:t>
      </w:r>
      <w:bookmarkStart w:id="15" w:name="_Toc28129"/>
      <w:r/>
      <w:bookmarkStart w:id="16" w:name="_Toc19557"/>
      <w:r/>
      <w:bookmarkStart w:id="17" w:name="_Toc26261"/>
      <w:r>
        <w:rPr>
          <w:rFonts w:hint="eastAsia" w:ascii="宋体" w:hAnsi="宋体" w:cs="宋体"/>
          <w:highlight w:val="none"/>
        </w:rPr>
        <w:t xml:space="preserve">合同主要条款及格式</w:t>
      </w:r>
      <w:bookmarkEnd w:id="15"/>
      <w:r/>
      <w:bookmarkEnd w:id="16"/>
      <w:r/>
      <w:bookmarkEnd w:id="17"/>
      <w:r/>
      <w:r/>
    </w:p>
    <w:p>
      <w:pPr>
        <w:jc w:val="center"/>
        <w:spacing w:line="360" w:lineRule="auto"/>
        <w:rPr>
          <w:rFonts w:ascii="宋体" w:hAnsi="宋体" w:cs="宋体"/>
          <w:b/>
          <w:bCs/>
          <w:sz w:val="52"/>
          <w:szCs w:val="52"/>
          <w:highlight w:val="none"/>
        </w:rPr>
      </w:pPr>
      <w:r>
        <w:rPr>
          <w:rFonts w:hint="eastAsia" w:ascii="宋体" w:hAnsi="宋体" w:cs="宋体"/>
          <w:b/>
          <w:bCs/>
          <w:sz w:val="52"/>
          <w:szCs w:val="52"/>
          <w:highlight w:val="none"/>
        </w:rPr>
        <w:t xml:space="preserve">市政养护合同</w:t>
      </w:r>
      <w:r/>
    </w:p>
    <w:p>
      <w:pPr>
        <w:jc w:val="center"/>
        <w:spacing w:line="360" w:lineRule="auto"/>
        <w:rPr>
          <w:rFonts w:ascii="宋体" w:hAnsi="宋体" w:cs="宋体"/>
          <w:b/>
          <w:bCs/>
          <w:sz w:val="44"/>
          <w:szCs w:val="44"/>
          <w:highlight w:val="none"/>
        </w:rPr>
      </w:pPr>
      <w:r>
        <w:rPr>
          <w:rFonts w:ascii="宋体" w:hAnsi="宋体" w:cs="宋体"/>
          <w:b/>
          <w:bCs/>
          <w:sz w:val="44"/>
          <w:szCs w:val="44"/>
          <w:highlight w:val="none"/>
        </w:rPr>
      </w:r>
      <w:r/>
    </w:p>
    <w:p>
      <w:pPr>
        <w:jc w:val="center"/>
        <w:spacing w:line="360" w:lineRule="auto"/>
        <w:rPr>
          <w:rFonts w:ascii="宋体" w:hAnsi="宋体" w:cs="宋体"/>
          <w:b/>
          <w:bCs/>
          <w:sz w:val="44"/>
          <w:szCs w:val="44"/>
          <w:highlight w:val="none"/>
        </w:rPr>
      </w:pPr>
      <w:r>
        <w:rPr>
          <w:rFonts w:ascii="宋体" w:hAnsi="宋体" w:cs="宋体"/>
          <w:b/>
          <w:bCs/>
          <w:sz w:val="44"/>
          <w:szCs w:val="44"/>
          <w:highlight w:val="none"/>
        </w:rPr>
      </w:r>
      <w:r/>
    </w:p>
    <w:p>
      <w:pPr>
        <w:ind w:left="3236" w:hanging="1789"/>
        <w:rPr>
          <w:rFonts w:ascii="宋体" w:hAnsi="宋体" w:cs="宋体"/>
          <w:b/>
          <w:bCs/>
          <w:sz w:val="36"/>
          <w:highlight w:val="none"/>
        </w:rPr>
      </w:pPr>
      <w:r>
        <w:rPr>
          <w:rFonts w:ascii="宋体" w:hAnsi="宋体" w:cs="宋体"/>
          <w:b/>
          <w:bCs/>
          <w:sz w:val="36"/>
          <w:highlight w:val="none"/>
        </w:rPr>
      </w:r>
      <w:r/>
    </w:p>
    <w:p>
      <w:pPr>
        <w:ind w:left="3037" w:hanging="1590"/>
        <w:rPr>
          <w:rFonts w:hint="default"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u w:val="single"/>
          <w:lang w:val="en-US" w:eastAsia="zh-CN"/>
        </w:rPr>
        <w:t xml:space="preserve">                      </w:t>
      </w:r>
      <w:r/>
    </w:p>
    <w:p>
      <w:pPr>
        <w:rPr>
          <w:rFonts w:ascii="宋体" w:hAnsi="宋体" w:cs="宋体"/>
          <w:b/>
          <w:bCs/>
          <w:sz w:val="32"/>
          <w:szCs w:val="32"/>
          <w:highlight w:val="none"/>
        </w:rPr>
      </w:pPr>
      <w:r>
        <w:rPr>
          <w:rFonts w:hint="eastAsia" w:ascii="宋体" w:hAnsi="宋体" w:cs="宋体"/>
          <w:b/>
          <w:bCs/>
          <w:sz w:val="32"/>
          <w:szCs w:val="32"/>
          <w:highlight w:val="none"/>
        </w:rPr>
        <w:t xml:space="preserve">                  </w:t>
      </w:r>
      <w:r/>
    </w:p>
    <w:p>
      <w:pPr>
        <w:ind w:firstLine="1446"/>
        <w:rPr>
          <w:rFonts w:ascii="宋体" w:hAnsi="宋体" w:cs="宋体"/>
          <w:b/>
          <w:bCs/>
          <w:sz w:val="32"/>
          <w:szCs w:val="32"/>
          <w:highlight w:val="none"/>
          <w:u w:val="single"/>
        </w:rPr>
      </w:pPr>
      <w:r>
        <w:rPr>
          <w:rFonts w:hint="eastAsia" w:ascii="宋体" w:hAnsi="宋体" w:cs="宋体"/>
          <w:b/>
          <w:bCs/>
          <w:sz w:val="32"/>
          <w:szCs w:val="32"/>
          <w:highlight w:val="none"/>
        </w:rPr>
        <w:t xml:space="preserve">合同编号：</w:t>
      </w:r>
      <w:r>
        <w:rPr>
          <w:rFonts w:ascii="宋体" w:hAnsi="宋体" w:cs="宋体"/>
          <w:b/>
          <w:bCs/>
          <w:sz w:val="32"/>
          <w:szCs w:val="32"/>
          <w:highlight w:val="none"/>
          <w:u w:val="single"/>
        </w:rPr>
        <w:t xml:space="preserve">                      </w:t>
      </w:r>
      <w:r/>
    </w:p>
    <w:p>
      <w:pPr>
        <w:rPr>
          <w:rFonts w:ascii="宋体" w:hAnsi="宋体" w:cs="宋体"/>
          <w:b/>
          <w:bCs/>
          <w:sz w:val="32"/>
          <w:highlight w:val="none"/>
          <w:u w:val="single"/>
        </w:rPr>
      </w:pPr>
      <w:r>
        <w:rPr>
          <w:rFonts w:ascii="宋体" w:hAnsi="宋体" w:cs="宋体"/>
          <w:b/>
          <w:bCs/>
          <w:sz w:val="32"/>
          <w:highlight w:val="none"/>
          <w:u w:val="single"/>
        </w:rPr>
      </w:r>
      <w:r/>
    </w:p>
    <w:p>
      <w:pPr>
        <w:rPr>
          <w:rFonts w:ascii="宋体" w:hAnsi="宋体" w:cs="宋体"/>
          <w:b/>
          <w:bCs/>
          <w:sz w:val="32"/>
          <w:highlight w:val="none"/>
        </w:rPr>
      </w:pPr>
      <w:r>
        <w:rPr>
          <w:rFonts w:ascii="宋体" w:hAnsi="宋体" w:cs="宋体"/>
          <w:b/>
          <w:bCs/>
          <w:sz w:val="32"/>
          <w:highlight w:val="none"/>
        </w:rPr>
      </w:r>
      <w:r/>
    </w:p>
    <w:p>
      <w:pPr>
        <w:rPr>
          <w:rFonts w:ascii="宋体" w:hAnsi="宋体" w:cs="宋体"/>
          <w:b/>
          <w:bCs/>
          <w:sz w:val="32"/>
          <w:highlight w:val="none"/>
        </w:rPr>
      </w:pPr>
      <w:r>
        <w:rPr>
          <w:rFonts w:ascii="宋体" w:hAnsi="宋体" w:cs="宋体"/>
          <w:b/>
          <w:bCs/>
          <w:sz w:val="32"/>
          <w:highlight w:val="none"/>
        </w:rPr>
      </w:r>
      <w:r/>
    </w:p>
    <w:p>
      <w:pPr>
        <w:rPr>
          <w:rFonts w:ascii="宋体" w:hAnsi="宋体" w:cs="宋体"/>
          <w:b/>
          <w:bCs/>
          <w:sz w:val="32"/>
          <w:highlight w:val="none"/>
        </w:rPr>
      </w:pPr>
      <w:r>
        <w:rPr>
          <w:rFonts w:ascii="宋体" w:hAnsi="宋体" w:cs="宋体"/>
          <w:b/>
          <w:bCs/>
          <w:sz w:val="32"/>
          <w:highlight w:val="none"/>
        </w:rPr>
      </w:r>
      <w:r/>
    </w:p>
    <w:p>
      <w:pPr>
        <w:ind w:firstLine="1386"/>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 xml:space="preserve">委托方（简称甲方）：</w:t>
      </w:r>
      <w:r>
        <w:rPr>
          <w:rFonts w:hint="eastAsia" w:ascii="宋体" w:hAnsi="宋体" w:cs="宋体"/>
          <w:b/>
          <w:bCs/>
          <w:sz w:val="28"/>
          <w:szCs w:val="28"/>
          <w:highlight w:val="none"/>
          <w:u w:val="single"/>
          <w:lang w:val="en-US" w:eastAsia="zh-CN"/>
        </w:rPr>
        <w:t xml:space="preserve">                        </w:t>
      </w:r>
      <w:r/>
    </w:p>
    <w:p>
      <w:pPr>
        <w:ind w:firstLine="1400"/>
        <w:rPr>
          <w:rFonts w:ascii="宋体" w:hAnsi="宋体" w:cs="宋体"/>
          <w:b/>
          <w:bCs/>
          <w:sz w:val="28"/>
          <w:szCs w:val="28"/>
          <w:highlight w:val="none"/>
          <w:u w:val="single"/>
        </w:rPr>
      </w:pPr>
      <w:r>
        <w:rPr>
          <w:rFonts w:hint="eastAsia" w:ascii="宋体" w:hAnsi="宋体" w:cs="宋体"/>
          <w:b/>
          <w:bCs/>
          <w:sz w:val="28"/>
          <w:szCs w:val="28"/>
          <w:highlight w:val="none"/>
        </w:rPr>
        <w:t xml:space="preserve">服务方（简称乙方）：</w:t>
      </w:r>
      <w:r>
        <w:rPr>
          <w:rFonts w:hint="eastAsia" w:ascii="宋体" w:hAnsi="宋体" w:cs="宋体"/>
          <w:b/>
          <w:bCs/>
          <w:sz w:val="28"/>
          <w:szCs w:val="28"/>
          <w:highlight w:val="none"/>
          <w:u w:val="single"/>
        </w:rPr>
        <w:t xml:space="preserve">                  </w:t>
      </w:r>
      <w:r>
        <w:rPr>
          <w:rFonts w:ascii="宋体" w:hAnsi="宋体" w:cs="宋体"/>
          <w:b/>
          <w:bCs/>
          <w:sz w:val="28"/>
          <w:szCs w:val="28"/>
          <w:highlight w:val="none"/>
          <w:u w:val="single"/>
        </w:rPr>
        <w:t xml:space="preserve">      </w:t>
      </w:r>
      <w:r/>
    </w:p>
    <w:p>
      <w:pPr>
        <w:ind w:firstLine="1400"/>
        <w:rPr>
          <w:rFonts w:ascii="宋体" w:hAnsi="宋体" w:cs="宋体"/>
          <w:b/>
          <w:bCs/>
          <w:sz w:val="28"/>
          <w:szCs w:val="28"/>
          <w:highlight w:val="none"/>
        </w:rPr>
      </w:pPr>
      <w:r>
        <w:rPr>
          <w:rFonts w:hint="eastAsia" w:ascii="宋体" w:hAnsi="宋体" w:cs="宋体"/>
          <w:b/>
          <w:bCs/>
          <w:sz w:val="28"/>
          <w:szCs w:val="28"/>
          <w:highlight w:val="none"/>
        </w:rPr>
        <w:t xml:space="preserve">日期：</w:t>
      </w:r>
      <w:r>
        <w:rPr>
          <w:rFonts w:ascii="宋体" w:hAnsi="宋体" w:cs="宋体"/>
          <w:b/>
          <w:bCs/>
          <w:sz w:val="28"/>
          <w:szCs w:val="28"/>
          <w:highlight w:val="none"/>
          <w:u w:val="single"/>
        </w:rPr>
        <w:t xml:space="preserve">202</w:t>
      </w:r>
      <w:r>
        <w:rPr>
          <w:rFonts w:hint="eastAsia" w:ascii="宋体" w:hAnsi="宋体" w:cs="宋体"/>
          <w:b/>
          <w:bCs/>
          <w:sz w:val="28"/>
          <w:szCs w:val="28"/>
          <w:highlight w:val="none"/>
          <w:u w:val="single"/>
          <w:lang w:val="en-US" w:eastAsia="zh-CN"/>
        </w:rPr>
        <w:t xml:space="preserve">6</w:t>
      </w:r>
      <w:r>
        <w:rPr>
          <w:rFonts w:hint="eastAsia" w:ascii="宋体" w:hAnsi="宋体" w:cs="宋体"/>
          <w:b/>
          <w:bCs/>
          <w:sz w:val="28"/>
          <w:szCs w:val="28"/>
          <w:highlight w:val="none"/>
          <w:u w:val="single"/>
        </w:rPr>
        <w:t xml:space="preserve">年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 xml:space="preserve">月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 xml:space="preserve">日</w:t>
      </w:r>
      <w:r/>
    </w:p>
    <w:p>
      <w:pPr>
        <w:jc w:val="left"/>
        <w:spacing w:line="440" w:lineRule="exact"/>
        <w:rPr>
          <w:rFonts w:ascii="宋体" w:hAnsi="宋体" w:cs="宋体"/>
          <w:sz w:val="24"/>
          <w:highlight w:val="none"/>
          <w:u w:val="single"/>
        </w:rPr>
      </w:pPr>
      <w:r>
        <w:rPr>
          <w:rFonts w:ascii="宋体" w:hAnsi="宋体" w:cs="宋体"/>
          <w:sz w:val="24"/>
          <w:highlight w:val="none"/>
          <w:u w:val="single"/>
        </w:rPr>
      </w:r>
      <w:r/>
    </w:p>
    <w:p>
      <w:pPr>
        <w:ind w:firstLine="480"/>
        <w:jc w:val="left"/>
        <w:spacing w:line="440" w:lineRule="exact"/>
        <w:rPr>
          <w:rFonts w:ascii="宋体" w:hAnsi="宋体" w:cs="宋体"/>
          <w:sz w:val="24"/>
          <w:highlight w:val="none"/>
          <w:u w:val="single"/>
        </w:rPr>
      </w:pPr>
      <w:r>
        <w:rPr>
          <w:rFonts w:ascii="宋体" w:hAnsi="宋体" w:cs="宋体"/>
          <w:sz w:val="24"/>
          <w:highlight w:val="none"/>
          <w:u w:val="single"/>
        </w:rPr>
      </w:r>
      <w:r/>
    </w:p>
    <w:p>
      <w:pPr>
        <w:spacing w:line="560" w:lineRule="exact"/>
        <w:rPr>
          <w:rFonts w:ascii="宋体" w:hAnsi="宋体"/>
          <w:b/>
          <w:sz w:val="44"/>
          <w:highlight w:val="none"/>
        </w:rPr>
      </w:pPr>
      <w:r>
        <w:rPr>
          <w:rFonts w:ascii="宋体" w:hAnsi="宋体"/>
          <w:b/>
          <w:sz w:val="44"/>
          <w:highlight w:val="none"/>
        </w:rPr>
      </w:r>
      <w:r/>
    </w:p>
    <w:p>
      <w:pPr>
        <w:rPr>
          <w:rFonts w:ascii="宋体" w:hAnsi="宋体"/>
          <w:highlight w:val="none"/>
        </w:rPr>
      </w:pPr>
      <w:r/>
      <w:bookmarkStart w:id="18" w:name="_Toc20823315"/>
      <w:r/>
      <w:bookmarkStart w:id="19" w:name="_Toc16938559"/>
      <w:r/>
      <w:bookmarkStart w:id="20" w:name="_Toc513029243"/>
      <w:r/>
      <w:bookmarkEnd w:id="18"/>
      <w:bookmarkEnd w:id="19"/>
      <w:bookmarkEnd w:id="20"/>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bookmarkStart w:id="21" w:name="_Toc16938590"/>
      <w:r/>
      <w:bookmarkStart w:id="22" w:name="_Toc18944_WPSOffice_Level1"/>
      <w:r/>
      <w:bookmarkStart w:id="23" w:name="_Toc28381_WPSOffice_Level1"/>
      <w:r/>
      <w:bookmarkStart w:id="24" w:name="_Hlt16619350"/>
      <w:r/>
      <w:bookmarkStart w:id="25" w:name="_Toc120614244"/>
      <w:r/>
      <w:bookmarkStart w:id="26" w:name="_Toc20823346"/>
      <w:r>
        <w:rPr>
          <w:rFonts w:ascii="宋体" w:hAnsi="宋体"/>
          <w:sz w:val="28"/>
          <w:szCs w:val="28"/>
          <w:highlight w:val="none"/>
        </w:rPr>
        <w:br w:type="page" w:clear="all"/>
      </w:r>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合同编号：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政府采购计划号：</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委托方（简称甲方）：</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住所地：</w:t>
      </w:r>
      <w:r/>
    </w:p>
    <w:p>
      <w:pPr>
        <w:spacing w:line="360" w:lineRule="auto"/>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服务方（简称乙方）：</w:t>
      </w:r>
      <w:r/>
    </w:p>
    <w:p>
      <w:pPr>
        <w:rPr>
          <w:rFonts w:ascii="宋体" w:hAnsi="宋体"/>
          <w:sz w:val="28"/>
          <w:szCs w:val="28"/>
          <w:highlight w:val="none"/>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住所地：</w:t>
      </w:r>
      <w:r/>
    </w:p>
    <w:p>
      <w:pPr>
        <w:ind w:firstLine="480"/>
        <w:rPr>
          <w:rFonts w:ascii="宋体" w:hAnsi="宋体"/>
          <w:bCs/>
          <w:sz w:val="24"/>
          <w:highlight w:val="none"/>
        </w:rPr>
      </w:pPr>
      <w:r>
        <w:rPr>
          <w:rFonts w:ascii="宋体" w:hAnsi="宋体"/>
          <w:bCs/>
          <w:sz w:val="24"/>
          <w:highlight w:val="none"/>
        </w:rPr>
      </w:r>
      <w:r/>
    </w:p>
    <w:p>
      <w:pPr>
        <w:ind w:firstLine="420"/>
        <w:spacing w:line="360" w:lineRule="auto"/>
        <w:rPr>
          <w:rFonts w:ascii="宋体" w:hAnsi="宋体"/>
          <w:highlight w:val="none"/>
        </w:rPr>
      </w:pPr>
      <w:r>
        <w:rPr>
          <w:rFonts w:hint="eastAsia" w:ascii="宋体" w:hAnsi="宋体"/>
          <w:highlight w:val="none"/>
        </w:rPr>
        <w:t xml:space="preserve">根据《中华人民共和国政府采购法》、《中华人民共和国民法典》等法律法规的规定，甲乙双方按照招标结果签订本合同。</w:t>
      </w:r>
      <w:r/>
    </w:p>
    <w:p>
      <w:pPr>
        <w:ind w:firstLine="422"/>
        <w:spacing w:line="360" w:lineRule="auto"/>
        <w:rPr>
          <w:rFonts w:ascii="宋体" w:hAnsi="宋体"/>
          <w:b/>
          <w:highlight w:val="none"/>
        </w:rPr>
      </w:pPr>
      <w:r>
        <w:rPr>
          <w:rFonts w:hint="eastAsia" w:ascii="宋体" w:hAnsi="宋体"/>
          <w:b/>
          <w:highlight w:val="none"/>
        </w:rPr>
        <w:t xml:space="preserve">第一条</w:t>
      </w:r>
      <w:r>
        <w:rPr>
          <w:rFonts w:ascii="宋体" w:hAnsi="宋体"/>
          <w:b/>
          <w:highlight w:val="none"/>
        </w:rPr>
        <w:t xml:space="preserve"> </w:t>
      </w:r>
      <w:r>
        <w:rPr>
          <w:rFonts w:hint="eastAsia" w:ascii="宋体" w:hAnsi="宋体"/>
          <w:b/>
          <w:highlight w:val="none"/>
        </w:rPr>
        <w:t xml:space="preserve">合同标的</w:t>
      </w:r>
      <w:r/>
    </w:p>
    <w:p>
      <w:pPr>
        <w:ind w:firstLine="420"/>
        <w:spacing w:line="360" w:lineRule="auto"/>
        <w:rPr>
          <w:rFonts w:hint="eastAsia" w:ascii="宋体" w:hAnsi="宋体" w:eastAsia="宋体"/>
          <w:b/>
          <w:highlight w:val="none"/>
          <w:lang w:eastAsia="zh-CN"/>
        </w:rPr>
      </w:pPr>
      <w:r>
        <w:rPr>
          <w:rFonts w:hint="eastAsia" w:ascii="宋体" w:hAnsi="宋体"/>
          <w:bCs/>
          <w:highlight w:val="none"/>
          <w:lang w:eastAsia="zh-CN"/>
        </w:rPr>
        <w:t xml:space="preserve">2026-2028年度华侨城红枫片区市政设施养护项目</w:t>
      </w:r>
      <w:r/>
    </w:p>
    <w:p>
      <w:pPr>
        <w:ind w:firstLine="420"/>
        <w:jc w:val="left"/>
        <w:spacing w:line="360" w:lineRule="auto"/>
        <w:rPr>
          <w:rFonts w:ascii="宋体" w:hAnsi="宋体"/>
          <w:highlight w:val="none"/>
          <w:lang w:val="zh-CN"/>
        </w:rPr>
      </w:pPr>
      <w:r/>
      <w:bookmarkStart w:id="27" w:name="_Hlk45577003"/>
      <w:r/>
      <w:bookmarkStart w:id="28" w:name="_Hlk45576590"/>
      <w:r>
        <w:rPr>
          <w:rFonts w:hint="eastAsia" w:ascii="宋体" w:hAnsi="宋体" w:cs="宋体"/>
          <w:bCs/>
          <w:highlight w:val="none"/>
        </w:rPr>
        <w:t xml:space="preserve">本合同第一年服务期暂定为</w:t>
      </w:r>
      <w:r>
        <w:rPr>
          <w:rFonts w:hint="eastAsia" w:ascii="宋体" w:hAnsi="宋体" w:cs="宋体"/>
          <w:bCs/>
          <w:highlight w:val="none"/>
          <w:lang w:val="en-US" w:eastAsia="zh-CN"/>
        </w:rPr>
        <w:t xml:space="preserve">   </w:t>
      </w:r>
      <w:r>
        <w:rPr>
          <w:rFonts w:hint="eastAsia" w:ascii="宋体" w:hAnsi="宋体" w:cs="宋体"/>
          <w:bCs/>
          <w:highlight w:val="none"/>
        </w:rPr>
        <w:t xml:space="preserve">年</w:t>
      </w:r>
      <w:r>
        <w:rPr>
          <w:rFonts w:hint="eastAsia" w:ascii="宋体" w:hAnsi="宋体" w:cs="宋体"/>
          <w:bCs/>
          <w:highlight w:val="none"/>
          <w:lang w:val="en-US" w:eastAsia="zh-CN"/>
        </w:rPr>
        <w:t xml:space="preserve">  </w:t>
      </w:r>
      <w:r>
        <w:rPr>
          <w:rFonts w:hint="eastAsia" w:ascii="宋体" w:hAnsi="宋体" w:cs="宋体"/>
          <w:bCs/>
          <w:highlight w:val="none"/>
        </w:rPr>
        <w:t xml:space="preserve">月</w:t>
      </w:r>
      <w:r>
        <w:rPr>
          <w:rFonts w:hint="eastAsia" w:ascii="宋体" w:hAnsi="宋体" w:cs="宋体"/>
          <w:bCs/>
          <w:highlight w:val="none"/>
          <w:lang w:val="en-US" w:eastAsia="zh-CN"/>
        </w:rPr>
        <w:t xml:space="preserve">  </w:t>
      </w:r>
      <w:r>
        <w:rPr>
          <w:rFonts w:hint="eastAsia" w:ascii="宋体" w:hAnsi="宋体" w:cs="宋体"/>
          <w:bCs/>
          <w:highlight w:val="none"/>
        </w:rPr>
        <w:t xml:space="preserve">日至</w:t>
      </w:r>
      <w:r>
        <w:rPr>
          <w:rFonts w:hint="eastAsia" w:ascii="宋体" w:hAnsi="宋体" w:cs="宋体"/>
          <w:bCs/>
          <w:highlight w:val="none"/>
          <w:lang w:val="en-US" w:eastAsia="zh-CN"/>
        </w:rPr>
        <w:t xml:space="preserve">   </w:t>
      </w:r>
      <w:r>
        <w:rPr>
          <w:rFonts w:hint="eastAsia" w:ascii="宋体" w:hAnsi="宋体" w:cs="宋体"/>
          <w:bCs/>
          <w:highlight w:val="none"/>
        </w:rPr>
        <w:t xml:space="preserve">年</w:t>
      </w:r>
      <w:r>
        <w:rPr>
          <w:rFonts w:hint="eastAsia" w:ascii="宋体" w:hAnsi="宋体" w:cs="宋体"/>
          <w:bCs/>
          <w:highlight w:val="none"/>
          <w:lang w:val="en-US" w:eastAsia="zh-CN"/>
        </w:rPr>
        <w:t xml:space="preserve">  </w:t>
      </w:r>
      <w:r>
        <w:rPr>
          <w:rFonts w:hint="eastAsia" w:ascii="宋体" w:hAnsi="宋体" w:cs="宋体"/>
          <w:bCs/>
          <w:highlight w:val="none"/>
        </w:rPr>
        <w:t xml:space="preserve">月</w:t>
      </w:r>
      <w:r>
        <w:rPr>
          <w:rFonts w:hint="eastAsia" w:ascii="宋体" w:hAnsi="宋体" w:cs="宋体"/>
          <w:bCs/>
          <w:highlight w:val="none"/>
          <w:lang w:val="en-US" w:eastAsia="zh-CN"/>
        </w:rPr>
        <w:t xml:space="preserve">  </w:t>
      </w:r>
      <w:r>
        <w:rPr>
          <w:rFonts w:hint="eastAsia" w:ascii="宋体" w:hAnsi="宋体" w:cs="宋体"/>
          <w:bCs/>
          <w:highlight w:val="none"/>
        </w:rPr>
        <w:t xml:space="preserve">日，第一年合同期满后，甲方有权依据年度考核结果决定是否与乙方签订后续服务合同，续签合同的服务期以此类推。</w:t>
      </w:r>
      <w:bookmarkEnd w:id="27"/>
      <w:r/>
      <w:bookmarkEnd w:id="28"/>
      <w:r/>
      <w:r/>
    </w:p>
    <w:p>
      <w:pPr>
        <w:ind w:firstLine="420"/>
        <w:spacing w:line="360" w:lineRule="auto"/>
        <w:rPr>
          <w:rFonts w:hint="eastAsia" w:ascii="宋体" w:hAnsi="宋体" w:eastAsia="宋体"/>
          <w:bCs/>
          <w:highlight w:val="none"/>
          <w:lang w:eastAsia="zh-CN"/>
        </w:rPr>
      </w:pPr>
      <w:r>
        <w:rPr>
          <w:rFonts w:hint="eastAsia" w:ascii="宋体" w:hAnsi="宋体"/>
          <w:highlight w:val="none"/>
        </w:rPr>
        <w:t xml:space="preserve">一、项目位置：</w:t>
      </w:r>
      <w:r>
        <w:rPr>
          <w:rFonts w:hint="eastAsia" w:ascii="宋体" w:hAnsi="宋体"/>
          <w:highlight w:val="none"/>
          <w:lang w:eastAsia="zh-CN"/>
        </w:rPr>
        <w:t xml:space="preserve">南京栖霞区华侨城红枫片区</w:t>
      </w:r>
      <w:r/>
    </w:p>
    <w:p>
      <w:pPr>
        <w:ind w:firstLine="420"/>
        <w:spacing w:line="360" w:lineRule="auto"/>
        <w:rPr>
          <w:rFonts w:hint="eastAsia" w:ascii="宋体" w:hAnsi="宋体" w:eastAsia="宋体"/>
          <w:highlight w:val="none"/>
          <w:lang w:eastAsia="zh-CN"/>
        </w:rPr>
      </w:pPr>
      <w:r>
        <w:rPr>
          <w:rFonts w:hint="eastAsia" w:ascii="宋体" w:hAnsi="宋体"/>
          <w:highlight w:val="none"/>
        </w:rPr>
        <w:t xml:space="preserve">二、</w:t>
      </w:r>
      <w:r>
        <w:rPr>
          <w:rFonts w:hint="eastAsia" w:ascii="宋体" w:hAnsi="宋体"/>
          <w:highlight w:val="none"/>
          <w:lang w:eastAsia="zh-CN"/>
        </w:rPr>
        <w:t xml:space="preserve">2026-2028年度华侨城红枫片区市政设施养护项目</w:t>
      </w:r>
      <w:r/>
    </w:p>
    <w:p>
      <w:pPr>
        <w:ind w:firstLine="422"/>
        <w:spacing w:line="360" w:lineRule="auto"/>
        <w:rPr>
          <w:rFonts w:ascii="宋体" w:hAnsi="宋体"/>
          <w:b/>
          <w:highlight w:val="none"/>
        </w:rPr>
      </w:pPr>
      <w:r>
        <w:rPr>
          <w:rFonts w:hint="eastAsia" w:ascii="宋体" w:hAnsi="宋体"/>
          <w:b/>
          <w:highlight w:val="none"/>
        </w:rPr>
        <w:t xml:space="preserve">第二条</w:t>
      </w:r>
      <w:r>
        <w:rPr>
          <w:rFonts w:ascii="宋体" w:hAnsi="宋体"/>
          <w:b/>
          <w:highlight w:val="none"/>
        </w:rPr>
        <w:t xml:space="preserve"> </w:t>
      </w:r>
      <w:r>
        <w:rPr>
          <w:rFonts w:hint="eastAsia" w:ascii="宋体" w:hAnsi="宋体"/>
          <w:b/>
          <w:highlight w:val="none"/>
        </w:rPr>
        <w:t xml:space="preserve">委托管理事项</w:t>
      </w:r>
      <w:r/>
    </w:p>
    <w:p>
      <w:pPr>
        <w:ind w:firstLine="420"/>
        <w:spacing w:line="360" w:lineRule="auto"/>
        <w:rPr>
          <w:rFonts w:ascii="宋体" w:hAnsi="宋体"/>
          <w:highlight w:val="none"/>
        </w:rPr>
      </w:pPr>
      <w:r>
        <w:rPr>
          <w:rFonts w:hint="eastAsia" w:ascii="宋体" w:hAnsi="宋体"/>
          <w:highlight w:val="none"/>
        </w:rPr>
        <w:t xml:space="preserve">委托</w:t>
      </w:r>
      <w:r>
        <w:rPr>
          <w:rFonts w:hint="eastAsia" w:ascii="宋体" w:hAnsi="宋体"/>
          <w:bCs/>
          <w:highlight w:val="none"/>
          <w:lang w:eastAsia="zh-CN"/>
        </w:rPr>
        <w:t xml:space="preserve">2026-2028年度华侨城红枫片区市政设施养护项目</w:t>
      </w:r>
      <w:r>
        <w:rPr>
          <w:rFonts w:hint="eastAsia" w:ascii="宋体" w:hAnsi="宋体"/>
          <w:highlight w:val="none"/>
        </w:rPr>
        <w:t xml:space="preserve">事项详见招标文件第四章。</w:t>
      </w:r>
      <w:r/>
    </w:p>
    <w:p>
      <w:pPr>
        <w:ind w:firstLine="422"/>
        <w:spacing w:line="360" w:lineRule="auto"/>
        <w:rPr>
          <w:rFonts w:ascii="宋体" w:hAnsi="宋体"/>
          <w:b/>
          <w:highlight w:val="none"/>
        </w:rPr>
      </w:pPr>
      <w:r>
        <w:rPr>
          <w:rFonts w:hint="eastAsia" w:ascii="宋体" w:hAnsi="宋体"/>
          <w:b/>
          <w:highlight w:val="none"/>
        </w:rPr>
        <w:t xml:space="preserve">第三条</w:t>
      </w:r>
      <w:r>
        <w:rPr>
          <w:rFonts w:ascii="宋体" w:hAnsi="宋体"/>
          <w:b/>
          <w:highlight w:val="none"/>
        </w:rPr>
        <w:t xml:space="preserve"> </w:t>
      </w:r>
      <w:r>
        <w:rPr>
          <w:rFonts w:hint="eastAsia" w:ascii="宋体" w:hAnsi="宋体"/>
          <w:b/>
          <w:highlight w:val="none"/>
        </w:rPr>
        <w:t xml:space="preserve">合同总价款</w:t>
      </w:r>
      <w:r/>
    </w:p>
    <w:p>
      <w:pPr>
        <w:ind w:firstLine="420"/>
        <w:spacing w:line="360" w:lineRule="auto"/>
        <w:rPr>
          <w:rFonts w:ascii="宋体" w:hAnsi="宋体"/>
          <w:highlight w:val="none"/>
        </w:rPr>
      </w:pPr>
      <w:r>
        <w:rPr>
          <w:rFonts w:hint="eastAsia" w:ascii="宋体" w:hAnsi="宋体"/>
          <w:highlight w:val="none"/>
        </w:rPr>
        <w:t xml:space="preserve">一、本合同项下壹年服务费用人民币总价款为人民币</w:t>
      </w:r>
      <w:r>
        <w:rPr>
          <w:rFonts w:ascii="宋体" w:hAnsi="宋体"/>
          <w:b/>
          <w:highlight w:val="none"/>
          <w:u w:val="single"/>
        </w:rPr>
        <w:t xml:space="preserve">         </w:t>
      </w:r>
      <w:r>
        <w:rPr>
          <w:rFonts w:hint="eastAsia" w:ascii="宋体" w:hAnsi="宋体"/>
          <w:highlight w:val="none"/>
        </w:rPr>
        <w:t xml:space="preserve">元（大写）。</w:t>
      </w:r>
      <w:r/>
    </w:p>
    <w:p>
      <w:pPr>
        <w:ind w:firstLine="420"/>
        <w:spacing w:line="360" w:lineRule="auto"/>
        <w:rPr>
          <w:rFonts w:ascii="宋体" w:hAnsi="宋体"/>
          <w:highlight w:val="none"/>
        </w:rPr>
      </w:pPr>
      <w:r>
        <w:rPr>
          <w:rFonts w:hint="eastAsia" w:ascii="宋体" w:hAnsi="宋体"/>
          <w:highlight w:val="none"/>
        </w:rPr>
        <w:t xml:space="preserve">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r/>
    </w:p>
    <w:p>
      <w:pPr>
        <w:ind w:firstLine="422"/>
        <w:spacing w:line="360" w:lineRule="auto"/>
        <w:rPr>
          <w:rFonts w:ascii="宋体" w:hAnsi="宋体"/>
          <w:b/>
          <w:highlight w:val="none"/>
        </w:rPr>
      </w:pPr>
      <w:r>
        <w:rPr>
          <w:rFonts w:hint="eastAsia" w:ascii="宋体" w:hAnsi="宋体"/>
          <w:b/>
          <w:highlight w:val="none"/>
        </w:rPr>
        <w:t xml:space="preserve">第四条</w:t>
      </w:r>
      <w:r>
        <w:rPr>
          <w:rFonts w:ascii="宋体" w:hAnsi="宋体"/>
          <w:b/>
          <w:highlight w:val="none"/>
        </w:rPr>
        <w:t xml:space="preserve"> </w:t>
      </w:r>
      <w:r>
        <w:rPr>
          <w:rFonts w:hint="eastAsia" w:ascii="宋体" w:hAnsi="宋体"/>
          <w:b/>
          <w:highlight w:val="none"/>
        </w:rPr>
        <w:t xml:space="preserve">组成本合同的有关文件</w:t>
      </w:r>
      <w:r/>
    </w:p>
    <w:p>
      <w:pPr>
        <w:ind w:firstLine="420"/>
        <w:jc w:val="left"/>
        <w:spacing w:line="360" w:lineRule="auto"/>
        <w:rPr>
          <w:rFonts w:ascii="宋体" w:hAnsi="宋体"/>
          <w:highlight w:val="none"/>
        </w:rPr>
      </w:pPr>
      <w:r>
        <w:rPr>
          <w:rFonts w:hint="eastAsia" w:ascii="宋体" w:hAnsi="宋体"/>
          <w:highlight w:val="none"/>
        </w:rPr>
        <w:t xml:space="preserve">下列关于招标文件或与本次招标活动方式相适应的文件及有关附件是本合同不可分割的组成部分，与本合同具有同等法律效力，这些文件包括但不限于：</w:t>
      </w:r>
      <w:r/>
    </w:p>
    <w:p>
      <w:pPr>
        <w:ind w:firstLine="420"/>
        <w:jc w:val="left"/>
        <w:spacing w:line="360" w:lineRule="auto"/>
        <w:rPr>
          <w:rFonts w:ascii="宋体" w:hAnsi="宋体"/>
          <w:highlight w:val="none"/>
        </w:rPr>
      </w:pPr>
      <w:r>
        <w:rPr>
          <w:rFonts w:hint="eastAsia" w:ascii="宋体" w:hAnsi="宋体"/>
          <w:highlight w:val="none"/>
        </w:rPr>
        <w:t xml:space="preserve">一、乙方提供的投标文件和报价表；</w:t>
      </w:r>
      <w:r/>
    </w:p>
    <w:p>
      <w:pPr>
        <w:ind w:firstLine="420"/>
        <w:jc w:val="left"/>
        <w:spacing w:line="360" w:lineRule="auto"/>
        <w:rPr>
          <w:rFonts w:ascii="宋体" w:hAnsi="宋体"/>
          <w:highlight w:val="none"/>
        </w:rPr>
      </w:pPr>
      <w:r>
        <w:rPr>
          <w:rFonts w:hint="eastAsia" w:ascii="宋体" w:hAnsi="宋体"/>
          <w:highlight w:val="none"/>
        </w:rPr>
        <w:t xml:space="preserve">二、中标通知书；</w:t>
      </w:r>
      <w:r/>
    </w:p>
    <w:p>
      <w:pPr>
        <w:ind w:firstLine="420"/>
        <w:jc w:val="left"/>
        <w:spacing w:line="360" w:lineRule="auto"/>
        <w:rPr>
          <w:rFonts w:ascii="宋体" w:hAnsi="宋体"/>
          <w:highlight w:val="none"/>
        </w:rPr>
      </w:pPr>
      <w:r>
        <w:rPr>
          <w:rFonts w:hint="eastAsia" w:ascii="宋体" w:hAnsi="宋体"/>
          <w:highlight w:val="none"/>
        </w:rPr>
        <w:t xml:space="preserve">三、甲乙双方商定的其他文件。</w:t>
      </w:r>
      <w:r/>
    </w:p>
    <w:p>
      <w:pPr>
        <w:ind w:firstLine="560"/>
        <w:jc w:val="left"/>
        <w:spacing w:line="360" w:lineRule="auto"/>
        <w:rPr>
          <w:rFonts w:ascii="宋体" w:hAnsi="宋体"/>
          <w:b/>
          <w:highlight w:val="none"/>
        </w:rPr>
      </w:pPr>
      <w:r>
        <w:rPr>
          <w:rFonts w:hint="eastAsia" w:ascii="宋体" w:hAnsi="宋体"/>
          <w:b/>
          <w:highlight w:val="none"/>
        </w:rPr>
        <w:t xml:space="preserve">第五条 双方权利义务</w:t>
      </w:r>
      <w:r/>
    </w:p>
    <w:p>
      <w:pPr>
        <w:ind w:firstLine="420"/>
        <w:jc w:val="left"/>
        <w:spacing w:line="360" w:lineRule="auto"/>
        <w:rPr>
          <w:rFonts w:ascii="宋体" w:hAnsi="宋体"/>
          <w:highlight w:val="none"/>
        </w:rPr>
      </w:pPr>
      <w:r>
        <w:rPr>
          <w:rFonts w:hint="eastAsia" w:ascii="宋体" w:hAnsi="宋体"/>
          <w:highlight w:val="none"/>
        </w:rPr>
        <w:t xml:space="preserve">一、甲方权利和义务</w:t>
      </w:r>
      <w:r/>
    </w:p>
    <w:p>
      <w:pPr>
        <w:ind w:firstLine="420"/>
        <w:spacing w:line="360" w:lineRule="auto"/>
        <w:rPr>
          <w:rFonts w:ascii="宋体" w:hAnsi="宋体"/>
          <w:highlight w:val="none"/>
        </w:rPr>
      </w:pPr>
      <w:r>
        <w:rPr>
          <w:rFonts w:hint="eastAsia" w:ascii="宋体" w:hAnsi="宋体"/>
          <w:highlight w:val="none"/>
        </w:rPr>
        <w:t xml:space="preserve">（1）甲方每月25号之前审核乙方上报的下个月度维修养护计划及月度养护工作量报表，并于每月5日前检查上个月维修养护计划执行情况，并对</w:t>
      </w:r>
      <w:r>
        <w:rPr>
          <w:rFonts w:hint="eastAsia" w:ascii="宋体" w:hAnsi="宋体"/>
          <w:highlight w:val="none"/>
          <w:lang w:val="zh-CN"/>
        </w:rPr>
        <w:t xml:space="preserve">区域内道路车行道、</w:t>
      </w:r>
      <w:r>
        <w:rPr>
          <w:rFonts w:hint="eastAsia" w:hAnsi="宋体"/>
          <w:highlight w:val="none"/>
          <w:lang w:val="zh-CN"/>
        </w:rPr>
        <w:t xml:space="preserve">人行道、路牙沿石、隔离带、挡土墙、护坡、公园等</w:t>
      </w:r>
      <w:r>
        <w:rPr>
          <w:rFonts w:hint="eastAsia" w:ascii="宋体" w:hAnsi="宋体"/>
          <w:highlight w:val="none"/>
        </w:rPr>
        <w:t xml:space="preserve">市政设施完好情况进行月度考核和季度考核；</w:t>
      </w:r>
      <w:r/>
    </w:p>
    <w:p>
      <w:pPr>
        <w:ind w:firstLine="420"/>
        <w:spacing w:line="360" w:lineRule="auto"/>
        <w:rPr>
          <w:rFonts w:ascii="宋体" w:hAnsi="宋体"/>
          <w:highlight w:val="none"/>
        </w:rPr>
      </w:pPr>
      <w:r>
        <w:rPr>
          <w:rFonts w:hint="eastAsia" w:ascii="宋体" w:hAnsi="宋体"/>
          <w:highlight w:val="none"/>
        </w:rPr>
        <w:t xml:space="preserve">（2）对乙方日常维修养护的质量、安全、养护周期和巡视工作进行不定期抽查；</w:t>
      </w:r>
      <w:r/>
    </w:p>
    <w:p>
      <w:pPr>
        <w:ind w:firstLine="420"/>
        <w:spacing w:line="360" w:lineRule="auto"/>
        <w:rPr>
          <w:rFonts w:ascii="宋体" w:hAnsi="宋体"/>
          <w:highlight w:val="none"/>
        </w:rPr>
      </w:pPr>
      <w:r>
        <w:rPr>
          <w:rFonts w:hint="eastAsia" w:ascii="宋体" w:hAnsi="宋体"/>
          <w:highlight w:val="none"/>
        </w:rPr>
        <w:t xml:space="preserve">（3）由于建设需要，甲方对乙方的工作内容及范围有调整的权利，要求乙方服从；</w:t>
      </w:r>
      <w:r/>
    </w:p>
    <w:p>
      <w:pPr>
        <w:ind w:firstLine="420"/>
        <w:spacing w:line="360" w:lineRule="auto"/>
        <w:rPr>
          <w:rFonts w:ascii="宋体" w:hAnsi="宋体"/>
          <w:highlight w:val="none"/>
        </w:rPr>
      </w:pPr>
      <w:r>
        <w:rPr>
          <w:rFonts w:hint="eastAsia" w:ascii="宋体" w:hAnsi="宋体"/>
          <w:highlight w:val="none"/>
        </w:rPr>
        <w:t xml:space="preserve">（4）在乙方不能履行本合同相应责任、义务或未完成履行而造成严重后果时,甲方将书面通知乙方终止合同,并按相关法律、法规对乙方追究责任；</w:t>
      </w:r>
      <w:r/>
    </w:p>
    <w:p>
      <w:pPr>
        <w:ind w:firstLine="420"/>
        <w:spacing w:line="360" w:lineRule="auto"/>
        <w:rPr>
          <w:rFonts w:ascii="宋体" w:hAnsi="宋体"/>
          <w:highlight w:val="none"/>
        </w:rPr>
      </w:pPr>
      <w:r>
        <w:rPr>
          <w:rFonts w:hint="eastAsia" w:ascii="宋体" w:hAnsi="宋体"/>
          <w:highlight w:val="none"/>
        </w:rPr>
        <w:t xml:space="preserve">（5）帮助协调</w:t>
      </w:r>
      <w:r>
        <w:rPr>
          <w:rFonts w:hint="eastAsia" w:ascii="宋体" w:hAnsi="宋体"/>
          <w:highlight w:val="none"/>
          <w:lang w:val="en-US" w:eastAsia="zh-CN"/>
        </w:rPr>
        <w:t xml:space="preserve">乙方</w:t>
      </w:r>
      <w:r>
        <w:rPr>
          <w:rFonts w:hint="eastAsia" w:ascii="宋体" w:hAnsi="宋体"/>
          <w:highlight w:val="none"/>
        </w:rPr>
        <w:t xml:space="preserve">维护作业施工与外部环境的问题；</w:t>
      </w:r>
      <w:r/>
    </w:p>
    <w:p>
      <w:pPr>
        <w:ind w:firstLine="420"/>
        <w:spacing w:line="360" w:lineRule="auto"/>
        <w:rPr>
          <w:rFonts w:ascii="宋体" w:hAnsi="宋体"/>
          <w:highlight w:val="none"/>
        </w:rPr>
      </w:pPr>
      <w:r>
        <w:rPr>
          <w:rFonts w:hint="eastAsia" w:ascii="宋体" w:hAnsi="宋体"/>
          <w:highlight w:val="none"/>
        </w:rPr>
        <w:t xml:space="preserve">（6）按照合同要求及时向乙方支付管养经费；</w:t>
      </w:r>
      <w:r/>
    </w:p>
    <w:p>
      <w:pPr>
        <w:ind w:firstLine="420"/>
        <w:spacing w:line="360" w:lineRule="auto"/>
        <w:rPr>
          <w:rFonts w:ascii="宋体" w:hAnsi="宋体"/>
          <w:highlight w:val="none"/>
        </w:rPr>
      </w:pPr>
      <w:r>
        <w:rPr>
          <w:rFonts w:hint="eastAsia" w:ascii="宋体" w:hAnsi="宋体"/>
          <w:highlight w:val="none"/>
        </w:rPr>
        <w:t xml:space="preserve">（7）对于养护工程，对乙方报送的维修方案进行确认后，乙方方可实施；</w:t>
      </w:r>
      <w:r/>
    </w:p>
    <w:p>
      <w:pPr>
        <w:ind w:firstLine="420"/>
        <w:spacing w:line="360" w:lineRule="auto"/>
        <w:rPr>
          <w:rFonts w:ascii="宋体" w:hAnsi="宋体"/>
          <w:highlight w:val="none"/>
        </w:rPr>
      </w:pPr>
      <w:r>
        <w:rPr>
          <w:rFonts w:hint="eastAsia" w:ascii="宋体" w:hAnsi="宋体"/>
          <w:highlight w:val="none"/>
        </w:rPr>
        <w:t xml:space="preserve">（8）在乙方不能履行本合同相应责任、义务或未完全履行合同而造成严重后果时,甲方人将书面通知乙方终止合同,并按相关法律、法规对中标人追究责任。</w:t>
      </w:r>
      <w:r/>
    </w:p>
    <w:p>
      <w:pPr>
        <w:pStyle w:val="766"/>
        <w:ind w:left="0" w:right="-29" w:firstLine="420"/>
        <w:spacing w:line="360" w:lineRule="auto"/>
        <w:rPr>
          <w:highlight w:val="none"/>
        </w:rPr>
      </w:pPr>
      <w:r/>
      <w:bookmarkStart w:id="29" w:name="_Hlk44861278"/>
      <w:r>
        <w:rPr>
          <w:rFonts w:hint="eastAsia"/>
          <w:highlight w:val="none"/>
        </w:rPr>
        <w:t xml:space="preserve">（9）甲方有权按照项目实际需求变更考核细则，但须提前1</w:t>
      </w:r>
      <w:r>
        <w:rPr>
          <w:highlight w:val="none"/>
        </w:rPr>
        <w:t xml:space="preserve">5</w:t>
      </w:r>
      <w:r>
        <w:rPr>
          <w:rFonts w:hint="eastAsia"/>
          <w:highlight w:val="none"/>
        </w:rPr>
        <w:t xml:space="preserve">日以书面形式告知乙方。</w:t>
      </w:r>
      <w:bookmarkEnd w:id="29"/>
      <w:r/>
    </w:p>
    <w:p>
      <w:pPr>
        <w:ind w:firstLine="420"/>
        <w:spacing w:line="360" w:lineRule="auto"/>
        <w:rPr>
          <w:rFonts w:ascii="宋体" w:hAnsi="宋体"/>
          <w:highlight w:val="none"/>
        </w:rPr>
      </w:pPr>
      <w:r>
        <w:rPr>
          <w:rFonts w:hint="eastAsia" w:ascii="宋体" w:hAnsi="宋体"/>
          <w:highlight w:val="none"/>
        </w:rPr>
        <w:t xml:space="preserve">二、乙方的权利和义务</w:t>
      </w:r>
      <w:r/>
    </w:p>
    <w:p>
      <w:pPr>
        <w:ind w:firstLine="420"/>
        <w:spacing w:line="360" w:lineRule="auto"/>
        <w:rPr>
          <w:rFonts w:ascii="宋体" w:hAnsi="宋体"/>
          <w:highlight w:val="none"/>
        </w:rPr>
      </w:pPr>
      <w:r>
        <w:rPr>
          <w:rFonts w:hint="eastAsia" w:ascii="宋体" w:hAnsi="宋体"/>
          <w:highlight w:val="none"/>
        </w:rPr>
        <w:t xml:space="preserve">（1）按照本合同确定的维修养护设施范围以及招标文件和乙方投标承诺的质量，取得相应的管养经费。</w:t>
      </w:r>
      <w:r/>
    </w:p>
    <w:p>
      <w:pPr>
        <w:ind w:firstLine="420"/>
        <w:spacing w:line="360" w:lineRule="auto"/>
        <w:rPr>
          <w:rFonts w:ascii="宋体" w:hAnsi="宋体"/>
          <w:highlight w:val="none"/>
        </w:rPr>
      </w:pPr>
      <w:r>
        <w:rPr>
          <w:rFonts w:hint="eastAsia" w:ascii="宋体" w:hAnsi="宋体"/>
          <w:highlight w:val="none"/>
        </w:rPr>
        <w:t xml:space="preserve">（2）编制年度管理养护维修预算和月度管养维修计划，乙方应在每月20日前向甲方提交下月的管养维修书面计划，并组织实施经甲方认定的管养维修计划，在本合同确定的设施养护项目内合理使用养护经费，确保设施完好率。</w:t>
      </w:r>
      <w:r/>
    </w:p>
    <w:p>
      <w:pPr>
        <w:ind w:firstLine="420"/>
        <w:spacing w:line="360" w:lineRule="auto"/>
        <w:rPr>
          <w:rFonts w:ascii="宋体" w:hAnsi="宋体"/>
          <w:highlight w:val="none"/>
        </w:rPr>
      </w:pPr>
      <w:r>
        <w:rPr>
          <w:rFonts w:hint="eastAsia" w:ascii="宋体" w:hAnsi="宋体"/>
          <w:highlight w:val="none"/>
        </w:rPr>
        <w:t xml:space="preserve">（3）针对该工程根据有关养护的法律、法规和规范性文件，以及相关的技术规程和检查、考核办法等要求做好养护工作，确保养护质量；乙方应按照甲方要求配合考核并按考核意见及时整改。乙方须委托行业专家对管养人员及甲方工作人员进行业务培训，每年不少于4次。</w:t>
      </w:r>
      <w:r/>
    </w:p>
    <w:p>
      <w:pPr>
        <w:ind w:firstLine="420"/>
        <w:spacing w:line="360" w:lineRule="auto"/>
        <w:rPr>
          <w:rFonts w:ascii="宋体" w:hAnsi="宋体"/>
          <w:highlight w:val="none"/>
        </w:rPr>
      </w:pPr>
      <w:r>
        <w:rPr>
          <w:rFonts w:hint="eastAsia" w:ascii="宋体" w:hAnsi="宋体"/>
          <w:highlight w:val="none"/>
        </w:rPr>
        <w:t xml:space="preserve">（4）按照规定对设施组织每日巡视和经常检查，每月对养护计划执行情况进行自查，每季度组织一次步行路况调查，并将检查情况登记存档，检查记录必须报送甲方一份。</w:t>
      </w:r>
      <w:r/>
    </w:p>
    <w:p>
      <w:pPr>
        <w:ind w:firstLine="420"/>
        <w:spacing w:line="360" w:lineRule="auto"/>
        <w:rPr>
          <w:rFonts w:ascii="宋体" w:hAnsi="宋体"/>
          <w:highlight w:val="none"/>
        </w:rPr>
      </w:pPr>
      <w:r>
        <w:rPr>
          <w:rFonts w:hint="eastAsia" w:ascii="宋体" w:hAnsi="宋体"/>
          <w:highlight w:val="none"/>
        </w:rPr>
        <w:t xml:space="preserve">（5）及时做好养护项目的内、外业资料的记录、收集、整理、保管、上报甲方工作，配合甲方进行设施完好状况检查、考核及日常安全、质量的检查。</w:t>
      </w:r>
      <w:r/>
    </w:p>
    <w:p>
      <w:pPr>
        <w:ind w:firstLine="420"/>
        <w:spacing w:line="360" w:lineRule="auto"/>
        <w:rPr>
          <w:rFonts w:ascii="宋体" w:hAnsi="宋体"/>
          <w:highlight w:val="none"/>
        </w:rPr>
      </w:pPr>
      <w:r>
        <w:rPr>
          <w:rFonts w:hint="eastAsia" w:ascii="宋体" w:hAnsi="宋体"/>
          <w:highlight w:val="none"/>
        </w:rPr>
        <w:t xml:space="preserve">（6）乙方进行维修工程时，必须选用符合设计及甲方要求的材料、设备，如有改变，必须征得甲方代表的签认。工程完工后，必须通知甲方验收。</w:t>
      </w:r>
      <w:r/>
    </w:p>
    <w:p>
      <w:pPr>
        <w:ind w:firstLine="420"/>
        <w:spacing w:line="360" w:lineRule="auto"/>
        <w:rPr>
          <w:rFonts w:ascii="宋体" w:hAnsi="宋体"/>
          <w:highlight w:val="none"/>
        </w:rPr>
      </w:pPr>
      <w:r>
        <w:rPr>
          <w:rFonts w:hint="eastAsia" w:ascii="宋体" w:hAnsi="宋体"/>
          <w:highlight w:val="none"/>
        </w:rPr>
        <w:t xml:space="preserve">（7）做好文明施工及各项现场管理工作，按照文明工地做好施工范围内的交通疏导，若因施工不当或安全措施不足而导致甲方或第三方损失的，乙方应负完全责任，并负经济赔偿责任。</w:t>
      </w:r>
      <w:r/>
    </w:p>
    <w:p>
      <w:pPr>
        <w:ind w:firstLine="420"/>
        <w:spacing w:line="360" w:lineRule="auto"/>
        <w:rPr>
          <w:rFonts w:ascii="宋体" w:hAnsi="宋体"/>
          <w:highlight w:val="none"/>
        </w:rPr>
      </w:pPr>
      <w:r>
        <w:rPr>
          <w:rFonts w:hint="eastAsia" w:ascii="宋体" w:hAnsi="宋体"/>
          <w:highlight w:val="none"/>
        </w:rPr>
        <w:t xml:space="preserve">1）、乙方做好市政工程文明施工管理包括：工程施工现场围蔽设施；交通引导和警示设施、材料堆放；临时设施设置；</w:t>
      </w:r>
      <w:r>
        <w:rPr>
          <w:rFonts w:hint="eastAsia" w:ascii="宋体" w:hAnsi="宋体"/>
          <w:highlight w:val="none"/>
          <w:lang w:eastAsia="zh-CN"/>
        </w:rPr>
        <w:t xml:space="preserve">淤泥清运</w:t>
      </w:r>
      <w:r>
        <w:rPr>
          <w:rFonts w:hint="eastAsia" w:ascii="宋体" w:hAnsi="宋体"/>
          <w:highlight w:val="none"/>
        </w:rPr>
        <w:t xml:space="preserve">；污水排放；施工现场周边环境保护等。保障施工期间周边环境不受污染，确保施工现场的道路平整、排水畅通和交通安全。</w:t>
      </w:r>
      <w:r/>
    </w:p>
    <w:p>
      <w:pPr>
        <w:ind w:firstLine="420"/>
        <w:spacing w:line="360" w:lineRule="auto"/>
        <w:rPr>
          <w:rFonts w:ascii="宋体" w:hAnsi="宋体"/>
          <w:highlight w:val="none"/>
        </w:rPr>
      </w:pPr>
      <w:r>
        <w:rPr>
          <w:rFonts w:hint="eastAsia" w:ascii="宋体" w:hAnsi="宋体"/>
          <w:highlight w:val="none"/>
        </w:rPr>
        <w:t xml:space="preserve">2）、乙方应设专人负责文明施工设施的维护管理，发现围挡设施损坏或路面破损等，要及时更换或维修。主干道车行道施工等对交通影响较大的，应制定详尽的、有可操作性的交通组织疏导方案及应急预案，确保将施工对交通的影响减至最少。在交通繁忙期间，施工单位应设有专人协助公安交通管理部门维护交通秩序。</w:t>
      </w:r>
      <w:r/>
    </w:p>
    <w:p>
      <w:pPr>
        <w:ind w:firstLine="420"/>
        <w:spacing w:line="360" w:lineRule="auto"/>
        <w:rPr>
          <w:rFonts w:ascii="宋体" w:hAnsi="宋体"/>
          <w:highlight w:val="none"/>
        </w:rPr>
      </w:pPr>
      <w:r>
        <w:rPr>
          <w:rFonts w:hint="eastAsia" w:ascii="宋体" w:hAnsi="宋体"/>
          <w:highlight w:val="none"/>
        </w:rPr>
        <w:t xml:space="preserve">3）、乙方对施工可能造成周围建(构)筑物、地上地下管线损坏、堵塞的现场进行勘查，并制订相应的防范措施，确保施工和地上地下管线设施安全。</w:t>
      </w:r>
      <w:r/>
    </w:p>
    <w:p>
      <w:pPr>
        <w:ind w:firstLine="420"/>
        <w:spacing w:line="360" w:lineRule="auto"/>
        <w:rPr>
          <w:rFonts w:ascii="宋体" w:hAnsi="宋体"/>
          <w:highlight w:val="none"/>
        </w:rPr>
      </w:pPr>
      <w:r>
        <w:rPr>
          <w:rFonts w:hint="eastAsia" w:ascii="宋体" w:hAnsi="宋体"/>
          <w:highlight w:val="none"/>
        </w:rPr>
        <w:t xml:space="preserve">4）、为确保市政工程施工的道路交通安全，乙方在施工现场的起止点以及对车辆、行人通行安全有影响的位置，必须设置危险警示灯具。在车行道上施工作业，必须在来车方向提前设置施工标志牌、交通导向牌和危险警示闪灯等，提醒和引导车辆有序、安全通行。</w:t>
      </w:r>
      <w:r/>
    </w:p>
    <w:p>
      <w:pPr>
        <w:ind w:firstLine="420"/>
        <w:spacing w:line="360" w:lineRule="auto"/>
        <w:rPr>
          <w:rFonts w:ascii="宋体" w:hAnsi="宋体"/>
          <w:highlight w:val="none"/>
        </w:rPr>
      </w:pPr>
      <w:r>
        <w:rPr>
          <w:rFonts w:hint="eastAsia" w:ascii="宋体" w:hAnsi="宋体"/>
          <w:highlight w:val="none"/>
        </w:rPr>
        <w:t xml:space="preserve">5）、施工所产生的施工污水必须经过有效沉淀处理后，方可排放。不得直接向路面排放。施工产生的余泥应在24小时内清运完毕。在城市主干道及人流稠密、交通繁忙等特殊路段，淤泥应立即清运。</w:t>
      </w:r>
      <w:r/>
    </w:p>
    <w:p>
      <w:pPr>
        <w:ind w:firstLine="420"/>
        <w:spacing w:line="360" w:lineRule="auto"/>
        <w:rPr>
          <w:rFonts w:ascii="宋体" w:hAnsi="宋体"/>
          <w:highlight w:val="none"/>
        </w:rPr>
      </w:pPr>
      <w:r>
        <w:rPr>
          <w:rFonts w:hint="eastAsia" w:ascii="宋体" w:hAnsi="宋体"/>
          <w:highlight w:val="none"/>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遇大雪、暴雨、台风等恶劣天气,</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bCs/>
          <w:color w:val="000000" w:themeColor="text1"/>
          <w:sz w:val="21"/>
          <w:szCs w:val="21"/>
          <w:highlight w:val="none"/>
          <w14:textFill>
            <w14:solidFill>
              <w14:schemeClr w14:val="tx1"/>
            </w14:solidFill>
          </w14:textFill>
        </w:rPr>
        <w:t xml:space="preserve">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配合相关单位做好现场抢险、消险等工作。</w:t>
      </w:r>
      <w:r/>
    </w:p>
    <w:p>
      <w:pPr>
        <w:ind w:firstLine="420"/>
        <w:spacing w:line="360" w:lineRule="auto"/>
        <w:rPr>
          <w:rFonts w:ascii="宋体" w:hAnsi="宋体"/>
          <w:highlight w:val="none"/>
        </w:rPr>
      </w:pPr>
      <w:r>
        <w:rPr>
          <w:rFonts w:hint="eastAsia" w:ascii="宋体" w:hAnsi="宋体"/>
          <w:highlight w:val="none"/>
        </w:rPr>
        <w:t xml:space="preserve">（9）应文明施工，尽量减少灰尘噪音等，不影响正常活动。</w:t>
      </w:r>
      <w:r/>
    </w:p>
    <w:p>
      <w:pPr>
        <w:ind w:firstLine="420"/>
        <w:spacing w:line="360" w:lineRule="auto"/>
        <w:rPr>
          <w:rFonts w:ascii="宋体" w:hAnsi="宋体"/>
          <w:highlight w:val="none"/>
        </w:rPr>
      </w:pPr>
      <w:r>
        <w:rPr>
          <w:rFonts w:hint="eastAsia" w:ascii="宋体" w:hAnsi="宋体"/>
          <w:highlight w:val="none"/>
        </w:rPr>
        <w:t xml:space="preserve">（1</w:t>
      </w:r>
      <w:r>
        <w:rPr>
          <w:rFonts w:ascii="宋体" w:hAnsi="宋体"/>
          <w:highlight w:val="none"/>
        </w:rPr>
        <w:t xml:space="preserve">0</w:t>
      </w:r>
      <w:r>
        <w:rPr>
          <w:rFonts w:hint="eastAsia" w:ascii="宋体" w:hAnsi="宋体"/>
          <w:highlight w:val="none"/>
        </w:rPr>
        <w:t xml:space="preserve">）乙方对所管养的市政设施包括区域内道路护栏有巡查的义务,如发现人为损坏、非法占用或偷盗等情况时,应予以制止,并及时向甲方报告，因未及时发现造成的损失由乙方承担。</w:t>
      </w:r>
      <w:r/>
    </w:p>
    <w:p>
      <w:pPr>
        <w:ind w:firstLine="420"/>
        <w:spacing w:line="360" w:lineRule="auto"/>
        <w:rPr>
          <w:rFonts w:ascii="宋体" w:hAnsi="宋体"/>
          <w:highlight w:val="none"/>
        </w:rPr>
      </w:pPr>
      <w:r>
        <w:rPr>
          <w:rFonts w:hint="eastAsia" w:ascii="宋体" w:hAnsi="宋体"/>
          <w:highlight w:val="none"/>
        </w:rPr>
        <w:t xml:space="preserve">（1</w:t>
      </w:r>
      <w:r>
        <w:rPr>
          <w:rFonts w:ascii="宋体" w:hAnsi="宋体"/>
          <w:highlight w:val="none"/>
        </w:rPr>
        <w:t xml:space="preserve">1</w:t>
      </w:r>
      <w:r>
        <w:rPr>
          <w:rFonts w:hint="eastAsia" w:ascii="宋体" w:hAnsi="宋体"/>
          <w:highlight w:val="none"/>
        </w:rPr>
        <w:t xml:space="preserve">）乙方须具有绘图能力，对于养护工程，需绘制施工图纸的，按照甲方要求绘制施工图、编制施工组织设计，报甲方确认后，乙方方可实施。</w:t>
      </w:r>
      <w:r/>
    </w:p>
    <w:p>
      <w:pPr>
        <w:ind w:firstLine="420"/>
        <w:spacing w:line="360" w:lineRule="auto"/>
        <w:rPr>
          <w:rFonts w:ascii="宋体" w:hAnsi="宋体"/>
          <w:highlight w:val="none"/>
        </w:rPr>
      </w:pPr>
      <w:r>
        <w:rPr>
          <w:rFonts w:hint="eastAsia" w:ascii="宋体" w:hAnsi="宋体"/>
          <w:highlight w:val="none"/>
        </w:rPr>
        <w:t xml:space="preserve">（1</w:t>
      </w:r>
      <w:r>
        <w:rPr>
          <w:rFonts w:ascii="宋体" w:hAnsi="宋体"/>
          <w:highlight w:val="none"/>
        </w:rPr>
        <w:t xml:space="preserve">2</w:t>
      </w:r>
      <w:r>
        <w:rPr>
          <w:rFonts w:hint="eastAsia" w:ascii="宋体" w:hAnsi="宋体"/>
          <w:highlight w:val="none"/>
        </w:rPr>
        <w:t xml:space="preserve">）在迎接检查、应急等各项活动工作中，服从甲方安排，达到检查及应急要求。</w:t>
      </w:r>
      <w:r/>
    </w:p>
    <w:p>
      <w:pPr>
        <w:ind w:firstLine="420"/>
        <w:spacing w:line="360" w:lineRule="auto"/>
        <w:rPr>
          <w:rFonts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3</w:t>
      </w:r>
      <w:r>
        <w:rPr>
          <w:rFonts w:hint="eastAsia" w:ascii="宋体" w:hAnsi="宋体"/>
          <w:highlight w:val="none"/>
        </w:rPr>
        <w:t xml:space="preserve">）实施过程中与市容、交通、水利、周边小区等外部的协调由</w:t>
      </w:r>
      <w:r>
        <w:rPr>
          <w:rFonts w:hint="eastAsia" w:ascii="宋体" w:hAnsi="宋体"/>
          <w:highlight w:val="none"/>
          <w:lang w:val="en-US" w:eastAsia="zh-CN"/>
        </w:rPr>
        <w:t xml:space="preserve">乙方</w:t>
      </w:r>
      <w:r>
        <w:rPr>
          <w:rFonts w:hint="eastAsia" w:ascii="宋体" w:hAnsi="宋体"/>
          <w:highlight w:val="none"/>
        </w:rPr>
        <w:t xml:space="preserve">自行承担，甲方协助。接水接电由</w:t>
      </w:r>
      <w:r>
        <w:rPr>
          <w:rFonts w:hint="eastAsia" w:ascii="宋体" w:hAnsi="宋体"/>
          <w:highlight w:val="none"/>
          <w:lang w:val="en-US" w:eastAsia="zh-CN"/>
        </w:rPr>
        <w:t xml:space="preserve">乙方</w:t>
      </w:r>
      <w:r>
        <w:rPr>
          <w:rFonts w:hint="eastAsia" w:ascii="宋体" w:hAnsi="宋体"/>
          <w:highlight w:val="none"/>
        </w:rPr>
        <w:t xml:space="preserve">自行承担。以上费用含在投标报价中。</w:t>
      </w:r>
      <w:r/>
    </w:p>
    <w:p>
      <w:pPr>
        <w:ind w:firstLine="420"/>
        <w:spacing w:line="360" w:lineRule="auto"/>
        <w:rPr>
          <w:rFonts w:ascii="宋体" w:hAnsi="宋体"/>
          <w:highlight w:val="none"/>
        </w:rPr>
      </w:pPr>
      <w:r/>
      <w:bookmarkStart w:id="30" w:name="_Hlk44862036"/>
      <w:r>
        <w:rPr>
          <w:rFonts w:hint="eastAsia" w:ascii="宋体" w:hAnsi="宋体"/>
          <w:highlight w:val="none"/>
        </w:rPr>
        <w:t xml:space="preserve">（1</w:t>
      </w:r>
      <w:r>
        <w:rPr>
          <w:rFonts w:hint="eastAsia" w:ascii="宋体" w:hAnsi="宋体"/>
          <w:highlight w:val="none"/>
          <w:lang w:val="en-US" w:eastAsia="zh-CN"/>
        </w:rPr>
        <w:t xml:space="preserve">4</w:t>
      </w:r>
      <w:r>
        <w:rPr>
          <w:rFonts w:hint="eastAsia" w:ascii="宋体" w:hAnsi="宋体"/>
          <w:highlight w:val="none"/>
        </w:rPr>
        <w:t xml:space="preserve">）</w:t>
      </w:r>
      <w:bookmarkStart w:id="31" w:name="_Hlk44920549"/>
      <w:r>
        <w:rPr>
          <w:rFonts w:hint="eastAsia"/>
          <w:highlight w:val="none"/>
        </w:rPr>
        <w:t xml:space="preserve">乙方须按《劳动合同法》和政府有关各部门规定为服务人员交纳所有相关的社会保险及其他相关费用。乙方对此全权负责。在服务期内，乙方所有人员的事故由乙方自行全权负责</w:t>
      </w:r>
      <w:r>
        <w:rPr>
          <w:highlight w:val="none"/>
        </w:rPr>
        <w:t xml:space="preserve">(</w:t>
      </w:r>
      <w:r>
        <w:rPr>
          <w:rFonts w:hint="eastAsia"/>
          <w:highlight w:val="none"/>
        </w:rPr>
        <w:t xml:space="preserve">如乙方应对其员工投保人身意外险</w:t>
      </w:r>
      <w:r>
        <w:rPr>
          <w:highlight w:val="none"/>
        </w:rPr>
        <w:t xml:space="preserve">)</w:t>
      </w:r>
      <w:r>
        <w:rPr>
          <w:rFonts w:hint="eastAsia"/>
          <w:highlight w:val="none"/>
        </w:rPr>
        <w:t xml:space="preserve">，以保证甲方在乙方工作人员索赔时不受任何责任的约束。乙方应对乙方人员以及第三方全权负责</w:t>
      </w:r>
      <w:r>
        <w:rPr>
          <w:highlight w:val="none"/>
        </w:rPr>
        <w:t xml:space="preserve">(</w:t>
      </w:r>
      <w:r>
        <w:rPr>
          <w:rFonts w:hint="eastAsia"/>
          <w:highlight w:val="none"/>
        </w:rPr>
        <w:t xml:space="preserve">如乙方应投保第三者责任险、公众责任险等</w:t>
      </w:r>
      <w:r>
        <w:rPr>
          <w:highlight w:val="none"/>
        </w:rPr>
        <w:t xml:space="preserve">)</w:t>
      </w:r>
      <w:r>
        <w:rPr>
          <w:rFonts w:hint="eastAsia"/>
          <w:highlight w:val="none"/>
        </w:rPr>
        <w:t xml:space="preserve">，在乙方的责任区内由于乙方原因导致自己员工或第三方的事故由乙方负责，甲方不承担任何责任。保险赔付范围之外的相关费用由乙方承担。在乙方养护范围内出现安全隐患时，乙方应及时设置安全警示标志、派专人看</w:t>
      </w:r>
      <w:r>
        <w:rPr>
          <w:rFonts w:hint="eastAsia" w:ascii="宋体" w:hAnsi="宋体"/>
          <w:highlight w:val="none"/>
        </w:rPr>
        <w:t xml:space="preserve">护值守并及时向甲方及有关部门报告，直至安全隐患解除。</w:t>
      </w:r>
      <w:bookmarkEnd w:id="31"/>
      <w:r>
        <w:rPr>
          <w:rFonts w:hint="eastAsia" w:ascii="宋体" w:hAnsi="宋体" w:eastAsia="宋体" w:cs="宋体"/>
          <w:color w:val="auto"/>
          <w:sz w:val="21"/>
          <w:szCs w:val="21"/>
          <w:highlight w:val="none"/>
        </w:rPr>
        <w:t xml:space="preserve">如因乙方发现不及时、报告不及时、看护不当等造成的相关损失及赔偿</w:t>
      </w:r>
      <w:r>
        <w:rPr>
          <w:rFonts w:hint="eastAsia" w:ascii="宋体" w:hAnsi="宋体" w:cs="宋体"/>
          <w:color w:val="auto"/>
          <w:sz w:val="21"/>
          <w:szCs w:val="21"/>
          <w:highlight w:val="none"/>
          <w:lang w:val="en-US" w:eastAsia="zh-CN"/>
        </w:rPr>
        <w:t xml:space="preserve">由乙方承担</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如第三方向甲方主张赔偿的，甲方可要求乙方直接赔偿或向乙方追偿，</w:t>
      </w:r>
      <w:r>
        <w:rPr>
          <w:rFonts w:hint="eastAsia" w:ascii="宋体" w:hAnsi="宋体" w:eastAsia="宋体" w:cs="宋体"/>
          <w:color w:val="auto"/>
          <w:sz w:val="21"/>
          <w:szCs w:val="21"/>
          <w:highlight w:val="none"/>
        </w:rPr>
        <w:t xml:space="preserve">造成重大事故的将追究乙方责任。</w:t>
      </w:r>
      <w:r/>
    </w:p>
    <w:p>
      <w:pPr>
        <w:ind w:firstLine="420"/>
        <w:spacing w:line="360" w:lineRule="auto"/>
        <w:rPr>
          <w:rFonts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5</w:t>
      </w:r>
      <w:r>
        <w:rPr>
          <w:rFonts w:hint="eastAsia" w:ascii="宋体" w:hAnsi="宋体"/>
          <w:highlight w:val="none"/>
        </w:rPr>
        <w:t xml:space="preserve">）乙方须积极处理政府平台相关投诉，包括但不限于12345工单等。</w:t>
      </w:r>
      <w:r/>
    </w:p>
    <w:p>
      <w:pPr>
        <w:ind w:firstLine="420"/>
        <w:spacing w:line="360" w:lineRule="auto"/>
        <w:rPr>
          <w:rFonts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6</w:t>
      </w:r>
      <w:r>
        <w:rPr>
          <w:rFonts w:hint="eastAsia" w:ascii="宋体" w:hAnsi="宋体"/>
          <w:highlight w:val="none"/>
        </w:rPr>
        <w:t xml:space="preserve">）完成甲方交办的道路挖掘行政审批监管及其他临时性工作。</w:t>
      </w:r>
      <w:r/>
    </w:p>
    <w:p>
      <w:pPr>
        <w:ind w:firstLine="420"/>
        <w:spacing w:line="360" w:lineRule="auto"/>
        <w:rPr>
          <w:rFonts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7</w:t>
      </w:r>
      <w:r>
        <w:rPr>
          <w:rFonts w:hint="eastAsia" w:ascii="宋体" w:hAnsi="宋体"/>
          <w:highlight w:val="none"/>
        </w:rPr>
        <w:t xml:space="preserve">）若遇国家省市区域相关政策调整，乙方须无条件解除合同。</w:t>
      </w:r>
      <w:r/>
    </w:p>
    <w:p>
      <w:pPr>
        <w:ind w:firstLine="420"/>
        <w:spacing w:line="360" w:lineRule="auto"/>
        <w:rPr>
          <w:rFonts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8</w:t>
      </w:r>
      <w:r>
        <w:rPr>
          <w:rFonts w:hint="eastAsia" w:ascii="宋体" w:hAnsi="宋体"/>
          <w:highlight w:val="none"/>
        </w:rPr>
        <w:t xml:space="preserve">）不得分包、转包；一旦甲方发现存在分包或转包的行为，有权直接解除合同并追究乙方的违约责任。</w:t>
      </w:r>
      <w:r/>
    </w:p>
    <w:p>
      <w:pPr>
        <w:pStyle w:val="766"/>
        <w:ind w:left="0" w:right="-29" w:firstLine="420"/>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19</w:t>
      </w:r>
      <w:r>
        <w:rPr>
          <w:rFonts w:hint="eastAsia" w:ascii="宋体" w:hAnsi="宋体"/>
          <w:highlight w:val="none"/>
        </w:rPr>
        <w:t xml:space="preserve">）乙方应积极主动接受甲方的考核，并对考核结果予以承认，当考核标准有变动时应予以积极配合并按照最新的考核要求开展养护工作。</w:t>
      </w:r>
      <w:bookmarkEnd w:id="30"/>
      <w:r/>
    </w:p>
    <w:p>
      <w:pPr>
        <w:ind w:firstLine="420"/>
        <w:jc w:val="left"/>
        <w:spacing w:line="360" w:lineRule="auto"/>
        <w:rPr>
          <w:rFonts w:ascii="宋体" w:hAnsi="宋体"/>
          <w:highlight w:val="none"/>
        </w:rPr>
      </w:pPr>
      <w:r>
        <w:rPr>
          <w:rFonts w:hint="eastAsia" w:ascii="宋体" w:hAnsi="宋体"/>
          <w:highlight w:val="none"/>
        </w:rPr>
        <w:t xml:space="preserve">三、在管理过程中，因下列因素所致的损害，不论其为直接或间接，均构成对乙方的免责事由，乙方均不负赔偿之责：</w:t>
      </w:r>
      <w:r/>
    </w:p>
    <w:p>
      <w:pPr>
        <w:ind w:firstLine="420"/>
        <w:spacing w:line="360" w:lineRule="auto"/>
        <w:rPr>
          <w:rFonts w:ascii="宋体" w:hAnsi="宋体"/>
          <w:highlight w:val="none"/>
        </w:rPr>
      </w:pPr>
      <w:r>
        <w:rPr>
          <w:rFonts w:hint="eastAsia" w:ascii="宋体" w:hAnsi="宋体"/>
          <w:highlight w:val="none"/>
        </w:rPr>
        <w:t xml:space="preserve">（一）天灾、地震等不可抗力的事由所致的损害；</w:t>
      </w:r>
      <w:r/>
    </w:p>
    <w:p>
      <w:pPr>
        <w:ind w:firstLine="420"/>
        <w:spacing w:line="360" w:lineRule="auto"/>
        <w:rPr>
          <w:rFonts w:ascii="宋体" w:hAnsi="宋体"/>
          <w:highlight w:val="none"/>
        </w:rPr>
      </w:pPr>
      <w:r>
        <w:rPr>
          <w:rFonts w:hint="eastAsia" w:ascii="宋体" w:hAnsi="宋体"/>
          <w:highlight w:val="none"/>
        </w:rPr>
        <w:t xml:space="preserve">（二）暴动、持械抢劫、破坏、爆炸、火灾、刑事犯罪等违法行为等事由所致的损害，但因乙方故意或过失所致，不在此限；</w:t>
      </w:r>
      <w:r/>
    </w:p>
    <w:p>
      <w:pPr>
        <w:ind w:firstLine="420"/>
        <w:spacing w:line="360" w:lineRule="auto"/>
        <w:rPr>
          <w:rFonts w:ascii="宋体" w:hAnsi="宋体"/>
          <w:highlight w:val="none"/>
        </w:rPr>
      </w:pPr>
      <w:r>
        <w:rPr>
          <w:rFonts w:hint="eastAsia" w:ascii="宋体" w:hAnsi="宋体"/>
          <w:highlight w:val="none"/>
        </w:rPr>
        <w:t xml:space="preserve">（三）因本合同标的物本身固有瑕疵所致的损害；</w:t>
      </w:r>
      <w:r/>
    </w:p>
    <w:p>
      <w:pPr>
        <w:ind w:firstLine="420"/>
        <w:spacing w:line="360" w:lineRule="auto"/>
        <w:rPr>
          <w:rFonts w:ascii="宋体" w:hAnsi="宋体"/>
          <w:highlight w:val="none"/>
        </w:rPr>
      </w:pPr>
      <w:r>
        <w:rPr>
          <w:rFonts w:hint="eastAsia" w:ascii="宋体" w:hAnsi="宋体"/>
          <w:highlight w:val="none"/>
        </w:rPr>
        <w:t xml:space="preserve">（四）因甲方或第三者之故意、过失所致的损害；</w:t>
      </w:r>
      <w:r/>
    </w:p>
    <w:p>
      <w:pPr>
        <w:ind w:firstLine="420"/>
        <w:spacing w:line="360" w:lineRule="auto"/>
        <w:rPr>
          <w:rFonts w:ascii="宋体" w:hAnsi="宋体"/>
          <w:highlight w:val="none"/>
        </w:rPr>
      </w:pPr>
      <w:r>
        <w:rPr>
          <w:rFonts w:hint="eastAsia" w:ascii="宋体" w:hAnsi="宋体"/>
          <w:highlight w:val="none"/>
        </w:rPr>
        <w:t xml:space="preserve">（五）因甲方或使用人专有部分的火灾、盗窃等所致的损害。</w:t>
      </w:r>
      <w:r/>
    </w:p>
    <w:p>
      <w:pPr>
        <w:ind w:firstLine="420"/>
        <w:spacing w:line="360" w:lineRule="auto"/>
        <w:rPr>
          <w:rFonts w:ascii="宋体" w:hAnsi="宋体"/>
          <w:highlight w:val="none"/>
        </w:rPr>
      </w:pPr>
      <w:r>
        <w:rPr>
          <w:rFonts w:hint="eastAsia" w:ascii="宋体" w:hAnsi="宋体"/>
          <w:highlight w:val="none"/>
        </w:rPr>
        <w:t xml:space="preserve">（六）因乙方书面建议甲方改善或改进管理措施，而甲方未采纳所致的损害；</w:t>
      </w:r>
      <w:r/>
    </w:p>
    <w:p>
      <w:pPr>
        <w:ind w:firstLine="420"/>
        <w:spacing w:line="360" w:lineRule="auto"/>
        <w:rPr>
          <w:rFonts w:ascii="宋体" w:hAnsi="宋体"/>
          <w:highlight w:val="none"/>
        </w:rPr>
      </w:pPr>
      <w:r>
        <w:rPr>
          <w:rFonts w:hint="eastAsia" w:ascii="宋体" w:hAnsi="宋体"/>
          <w:highlight w:val="none"/>
        </w:rPr>
        <w:t xml:space="preserve">（七）因甲方或使用人指挥调派乙方工作人员所致的损害；</w:t>
      </w:r>
      <w:r/>
    </w:p>
    <w:p>
      <w:pPr>
        <w:ind w:firstLine="420"/>
        <w:spacing w:line="360" w:lineRule="auto"/>
        <w:rPr>
          <w:rFonts w:ascii="宋体" w:hAnsi="宋体"/>
          <w:highlight w:val="none"/>
        </w:rPr>
      </w:pPr>
      <w:r>
        <w:rPr>
          <w:rFonts w:hint="eastAsia" w:ascii="宋体" w:hAnsi="宋体"/>
          <w:highlight w:val="none"/>
        </w:rPr>
        <w:t xml:space="preserve">（八）本合同标的物之共用部分（含共用部位、共用设备设施）自然或人为的任何损坏。但因乙方故意或重大过失所致的，不在此限；</w:t>
      </w:r>
      <w:r/>
    </w:p>
    <w:p>
      <w:pPr>
        <w:ind w:firstLine="420"/>
        <w:spacing w:line="360" w:lineRule="auto"/>
        <w:rPr>
          <w:rFonts w:ascii="宋体" w:hAnsi="宋体"/>
          <w:highlight w:val="none"/>
        </w:rPr>
      </w:pPr>
      <w:r>
        <w:rPr>
          <w:rFonts w:hint="eastAsia" w:ascii="宋体" w:hAnsi="宋体"/>
          <w:highlight w:val="none"/>
        </w:rPr>
        <w:t xml:space="preserve">（九）除上述各款外，其它不可归责于乙方之事由的。</w:t>
      </w:r>
      <w:r/>
    </w:p>
    <w:p>
      <w:pPr>
        <w:ind w:firstLine="420"/>
        <w:jc w:val="left"/>
        <w:spacing w:line="360" w:lineRule="auto"/>
        <w:rPr>
          <w:rFonts w:ascii="宋体" w:hAnsi="宋体"/>
          <w:highlight w:val="none"/>
        </w:rPr>
      </w:pPr>
      <w:r>
        <w:rPr>
          <w:rFonts w:hint="eastAsia" w:ascii="宋体" w:hAnsi="宋体"/>
          <w:highlight w:val="none"/>
        </w:rPr>
        <w:t xml:space="preserve">四、为维护公众、甲方及使用人的合法利益，在不可预见情况下，如发生煤气泄漏、漏电、火灾、水管破裂、救助人命、协助公安机关执行任务等情况，乙方因采取紧急避险措施造成财产损失的，按有关法律规定处理。</w:t>
      </w:r>
      <w:r/>
    </w:p>
    <w:p>
      <w:pPr>
        <w:ind w:firstLine="413"/>
        <w:jc w:val="left"/>
        <w:spacing w:line="360" w:lineRule="auto"/>
        <w:rPr>
          <w:rFonts w:ascii="宋体" w:hAnsi="宋体"/>
          <w:b/>
          <w:highlight w:val="none"/>
        </w:rPr>
      </w:pPr>
      <w:r>
        <w:rPr>
          <w:rFonts w:hint="eastAsia" w:ascii="宋体" w:hAnsi="宋体"/>
          <w:b/>
          <w:highlight w:val="none"/>
        </w:rPr>
        <w:t xml:space="preserve">第六条 乙方服务的质量保证</w:t>
      </w:r>
      <w:r/>
    </w:p>
    <w:p>
      <w:pPr>
        <w:ind w:firstLine="420"/>
        <w:jc w:val="left"/>
        <w:spacing w:line="360" w:lineRule="auto"/>
        <w:rPr>
          <w:rFonts w:ascii="宋体" w:hAnsi="宋体"/>
          <w:highlight w:val="none"/>
        </w:rPr>
      </w:pPr>
      <w:r>
        <w:rPr>
          <w:rFonts w:hint="eastAsia" w:ascii="宋体" w:hAnsi="宋体"/>
          <w:highlight w:val="none"/>
        </w:rPr>
        <w:t xml:space="preserve">一、建立质量管理体系并有效运行，管理服务能够接受质量审核。</w:t>
      </w:r>
      <w:r/>
    </w:p>
    <w:p>
      <w:pPr>
        <w:ind w:firstLine="420"/>
        <w:jc w:val="left"/>
        <w:spacing w:line="360" w:lineRule="auto"/>
        <w:rPr>
          <w:rFonts w:ascii="宋体" w:hAnsi="宋体"/>
          <w:highlight w:val="none"/>
        </w:rPr>
      </w:pPr>
      <w:r>
        <w:rPr>
          <w:rFonts w:hint="eastAsia" w:ascii="宋体" w:hAnsi="宋体"/>
          <w:highlight w:val="none"/>
        </w:rPr>
        <w:t xml:space="preserve">二、管理服务逐步达到接受创优评审条件。</w:t>
      </w:r>
      <w:r/>
    </w:p>
    <w:p>
      <w:pPr>
        <w:ind w:firstLine="420"/>
        <w:jc w:val="left"/>
        <w:spacing w:line="360" w:lineRule="auto"/>
        <w:rPr>
          <w:rFonts w:ascii="宋体" w:hAnsi="宋体"/>
          <w:highlight w:val="none"/>
        </w:rPr>
      </w:pPr>
      <w:r>
        <w:rPr>
          <w:rFonts w:hint="eastAsia" w:ascii="宋体" w:hAnsi="宋体"/>
          <w:highlight w:val="none"/>
        </w:rPr>
        <w:t xml:space="preserve">三、各项承诺指标及所采取的措施详见“招标文件”和“投标文件”。</w:t>
      </w:r>
      <w:r/>
    </w:p>
    <w:p>
      <w:pPr>
        <w:ind w:firstLine="420"/>
        <w:jc w:val="left"/>
        <w:spacing w:line="360" w:lineRule="auto"/>
        <w:rPr>
          <w:rFonts w:ascii="宋体" w:hAnsi="宋体"/>
          <w:highlight w:val="none"/>
        </w:rPr>
      </w:pPr>
      <w:r>
        <w:rPr>
          <w:rFonts w:hint="eastAsia" w:ascii="宋体" w:hAnsi="宋体"/>
          <w:highlight w:val="none"/>
        </w:rPr>
        <w:t xml:space="preserve">四、其他管理服务质量要求按江苏省或南京市有关标准执行。</w:t>
      </w:r>
      <w:r/>
    </w:p>
    <w:p>
      <w:pPr>
        <w:ind w:firstLine="413"/>
        <w:jc w:val="left"/>
        <w:spacing w:line="360" w:lineRule="auto"/>
        <w:rPr>
          <w:rFonts w:ascii="宋体" w:hAnsi="宋体"/>
          <w:b/>
          <w:highlight w:val="none"/>
        </w:rPr>
      </w:pPr>
      <w:r>
        <w:rPr>
          <w:rFonts w:hint="eastAsia" w:ascii="宋体" w:hAnsi="宋体"/>
          <w:b/>
          <w:highlight w:val="none"/>
        </w:rPr>
        <w:t xml:space="preserve">第七条 质保期</w:t>
      </w:r>
      <w:r/>
    </w:p>
    <w:p>
      <w:pPr>
        <w:ind w:firstLine="422"/>
        <w:jc w:val="left"/>
        <w:spacing w:line="360" w:lineRule="auto"/>
        <w:rPr>
          <w:rFonts w:ascii="宋体" w:hAnsi="宋体"/>
          <w:highlight w:val="none"/>
        </w:rPr>
      </w:pPr>
      <w:r>
        <w:rPr>
          <w:rFonts w:hint="eastAsia" w:ascii="宋体" w:hAnsi="宋体"/>
          <w:b/>
          <w:highlight w:val="none"/>
        </w:rPr>
        <w:t xml:space="preserve">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一年</w:t>
      </w:r>
      <w:r>
        <w:rPr>
          <w:rFonts w:hint="eastAsia" w:ascii="宋体" w:hAnsi="宋体"/>
          <w:highlight w:val="none"/>
        </w:rPr>
        <w:t xml:space="preserve">。</w:t>
      </w:r>
      <w:r/>
    </w:p>
    <w:p>
      <w:pPr>
        <w:ind w:firstLine="413"/>
        <w:jc w:val="left"/>
        <w:spacing w:line="360" w:lineRule="auto"/>
        <w:rPr>
          <w:rFonts w:ascii="宋体" w:hAnsi="宋体"/>
          <w:b/>
          <w:highlight w:val="none"/>
        </w:rPr>
      </w:pPr>
      <w:r>
        <w:rPr>
          <w:rFonts w:hint="eastAsia" w:ascii="宋体" w:hAnsi="宋体"/>
          <w:b/>
          <w:highlight w:val="none"/>
        </w:rPr>
        <w:t xml:space="preserve">第八条 款项支付  （注:具体内容以甲方最终确认的《</w:t>
      </w:r>
      <w:r>
        <w:rPr>
          <w:rFonts w:hint="eastAsia" w:ascii="宋体" w:hAnsi="宋体"/>
          <w:b/>
          <w:highlight w:val="none"/>
          <w:lang w:eastAsia="zh-CN"/>
        </w:rPr>
        <w:t xml:space="preserve">市场化养护考核办法</w:t>
      </w:r>
      <w:r>
        <w:rPr>
          <w:rFonts w:hint="eastAsia" w:ascii="宋体" w:hAnsi="宋体"/>
          <w:b/>
          <w:highlight w:val="none"/>
        </w:rPr>
        <w:t xml:space="preserve">》为准）</w:t>
      </w:r>
      <w:r/>
    </w:p>
    <w:p>
      <w:pPr>
        <w:ind w:firstLine="420"/>
        <w:jc w:val="left"/>
        <w:spacing w:line="360" w:lineRule="auto"/>
        <w:rPr>
          <w:rFonts w:ascii="宋体" w:hAnsi="宋体"/>
          <w:b/>
          <w:highlight w:val="none"/>
        </w:rPr>
      </w:pPr>
      <w:r>
        <w:rPr>
          <w:rFonts w:hint="eastAsia" w:ascii="宋体" w:hAnsi="宋体"/>
          <w:highlight w:val="none"/>
          <w:lang w:val="zh-CN"/>
        </w:rPr>
        <w:t xml:space="preserve">一、本合同项下所有款项均以人民币支付。</w:t>
      </w:r>
      <w:r/>
    </w:p>
    <w:p>
      <w:pPr>
        <w:ind w:firstLine="420"/>
        <w:jc w:val="left"/>
        <w:spacing w:line="360" w:lineRule="auto"/>
        <w:rPr>
          <w:rFonts w:ascii="宋体" w:hAnsi="宋体"/>
          <w:b/>
          <w:highlight w:val="none"/>
        </w:rPr>
      </w:pPr>
      <w:r>
        <w:rPr>
          <w:rFonts w:hint="eastAsia" w:ascii="宋体" w:hAnsi="宋体"/>
          <w:highlight w:val="none"/>
        </w:rPr>
        <w:t xml:space="preserve">二、</w:t>
      </w:r>
      <w:r>
        <w:rPr>
          <w:rFonts w:hint="eastAsia" w:ascii="宋体" w:hAnsi="宋体"/>
          <w:highlight w:val="none"/>
          <w:lang w:val="zh-CN"/>
        </w:rPr>
        <w:t xml:space="preserve">本合同项下的采购资金由甲方自行支付，乙方向甲方开具发票。</w:t>
      </w:r>
      <w:r/>
    </w:p>
    <w:p>
      <w:pPr>
        <w:ind w:firstLine="420"/>
        <w:spacing w:line="360" w:lineRule="auto"/>
        <w:rPr>
          <w:rFonts w:ascii="宋体" w:hAnsi="宋体"/>
          <w:highlight w:val="none"/>
          <w:lang w:val="zh-CN"/>
        </w:rPr>
      </w:pPr>
      <w:r/>
      <w:bookmarkStart w:id="32" w:name="_Hlk142488137"/>
      <w:r>
        <w:rPr>
          <w:rFonts w:hint="eastAsia" w:ascii="宋体" w:hAnsi="宋体"/>
          <w:highlight w:val="none"/>
          <w:lang w:val="zh-CN"/>
        </w:rPr>
        <w:t xml:space="preserve">三、付款方式：</w:t>
      </w:r>
      <w:r/>
    </w:p>
    <w:p>
      <w:pPr>
        <w:ind w:firstLine="420"/>
        <w:spacing w:line="360" w:lineRule="auto"/>
        <w:rPr>
          <w:rFonts w:hint="eastAsia" w:ascii="宋体" w:hAnsi="宋体" w:eastAsia="宋体" w:cs="宋体"/>
          <w:color w:val="auto"/>
          <w:sz w:val="21"/>
          <w:szCs w:val="21"/>
          <w:highlight w:val="none"/>
        </w:rPr>
      </w:pPr>
      <w:r/>
      <w:bookmarkStart w:id="33" w:name="_Hlk142418759"/>
      <w:r>
        <w:rPr>
          <w:rFonts w:hint="eastAsia" w:ascii="宋体" w:hAnsi="宋体"/>
          <w:highlight w:val="none"/>
        </w:rPr>
        <w:t xml:space="preserve">1、</w:t>
      </w:r>
      <w:r>
        <w:rPr>
          <w:rFonts w:hint="eastAsia" w:ascii="宋体" w:hAnsi="宋体" w:eastAsia="宋体" w:cs="宋体"/>
          <w:color w:val="auto"/>
          <w:sz w:val="21"/>
          <w:szCs w:val="21"/>
          <w:highlight w:val="none"/>
        </w:rPr>
        <w:t xml:space="preserve">合同签订且养护</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工作实施6个月后，能达到考核标准，支付</w:t>
      </w:r>
      <w:r>
        <w:rPr>
          <w:rFonts w:hint="eastAsia" w:ascii="宋体" w:hAnsi="宋体" w:cs="宋体"/>
          <w:color w:val="auto"/>
          <w:sz w:val="21"/>
          <w:szCs w:val="21"/>
          <w:highlight w:val="none"/>
          <w:lang w:val="en-US" w:eastAsia="zh-CN"/>
        </w:rPr>
        <w:t xml:space="preserve">经审核合格的</w:t>
      </w:r>
      <w:r>
        <w:rPr>
          <w:rFonts w:hint="eastAsia" w:ascii="宋体" w:hAnsi="宋体" w:cs="宋体"/>
          <w:b/>
          <w:bCs/>
          <w:color w:val="auto"/>
          <w:sz w:val="21"/>
          <w:szCs w:val="21"/>
          <w:highlight w:val="none"/>
          <w:lang w:val="en-US" w:eastAsia="zh-CN"/>
        </w:rPr>
        <w:t xml:space="preserve">年度</w:t>
      </w:r>
      <w:r>
        <w:rPr>
          <w:rFonts w:hint="eastAsia" w:ascii="宋体" w:hAnsi="宋体" w:eastAsia="宋体" w:cs="宋体"/>
          <w:color w:val="auto"/>
          <w:sz w:val="21"/>
          <w:szCs w:val="21"/>
          <w:highlight w:val="none"/>
        </w:rPr>
        <w:t xml:space="preserve">养护费用的50%（须扣除当期考核绩效费用</w:t>
      </w:r>
      <w:r>
        <w:rPr>
          <w:rFonts w:hint="eastAsia" w:ascii="宋体" w:hAnsi="宋体" w:cs="宋体"/>
          <w:color w:val="auto"/>
          <w:sz w:val="21"/>
          <w:szCs w:val="21"/>
          <w:highlight w:val="none"/>
          <w:lang w:val="en-US" w:eastAsia="zh-CN"/>
        </w:rPr>
        <w:t xml:space="preserve">以及根据合同约定应当扣除的违约金、赔偿款等（如有）</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lang w:val="en-US" w:eastAsia="zh-CN"/>
        </w:rPr>
        <w:t xml:space="preserve">年度</w:t>
      </w:r>
      <w:r>
        <w:rPr>
          <w:rFonts w:hint="eastAsia" w:ascii="宋体" w:hAnsi="宋体" w:eastAsia="宋体" w:cs="宋体"/>
          <w:color w:val="auto"/>
          <w:sz w:val="21"/>
          <w:szCs w:val="21"/>
          <w:highlight w:val="none"/>
        </w:rPr>
        <w:t xml:space="preserve">养护期满后，完成全年考核任务支付剩余50%（须扣除当期考核绩效费用</w:t>
      </w:r>
      <w:r>
        <w:rPr>
          <w:rFonts w:hint="eastAsia" w:ascii="宋体" w:hAnsi="宋体" w:cs="宋体"/>
          <w:color w:val="auto"/>
          <w:sz w:val="21"/>
          <w:szCs w:val="21"/>
          <w:highlight w:val="none"/>
          <w:lang w:val="en-US" w:eastAsia="zh-CN"/>
        </w:rPr>
        <w:t xml:space="preserve">以及根据合同约定应当扣除的违约金、赔偿款等（如有）</w:t>
      </w:r>
      <w:r>
        <w:rPr>
          <w:rFonts w:hint="eastAsia" w:ascii="宋体" w:hAnsi="宋体" w:eastAsia="宋体" w:cs="宋体"/>
          <w:color w:val="auto"/>
          <w:sz w:val="21"/>
          <w:szCs w:val="21"/>
          <w:highlight w:val="none"/>
        </w:rPr>
        <w:t xml:space="preserve">）养护费用。付款时扣除当期考核罚款</w:t>
      </w:r>
      <w:r>
        <w:rPr>
          <w:rFonts w:hint="eastAsia" w:ascii="宋体" w:hAnsi="宋体" w:cs="宋体"/>
          <w:color w:val="auto"/>
          <w:sz w:val="21"/>
          <w:szCs w:val="21"/>
          <w:highlight w:val="none"/>
          <w:lang w:val="en-US" w:eastAsia="zh-CN"/>
        </w:rPr>
        <w:t xml:space="preserve">以及根据合同约定应当扣除的违约金、赔偿款等（如有）</w:t>
      </w:r>
      <w:r>
        <w:rPr>
          <w:rFonts w:hint="eastAsia" w:ascii="宋体" w:hAnsi="宋体" w:eastAsia="宋体" w:cs="宋体"/>
          <w:color w:val="auto"/>
          <w:sz w:val="21"/>
          <w:szCs w:val="21"/>
          <w:highlight w:val="none"/>
        </w:rPr>
        <w:t xml:space="preserve">。每次付款前，</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应当提交付款申请以及同等金额的增值税专用发票，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复核无误后将在30日内支付。</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 xml:space="preserve">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 xml:space="preserve">”进行评分。满分100分，8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分（含80分）以上为合格，80分（不含80分）以下为不合格。</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分包的，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有权单方终止</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的管养合同，本年度剩余的养护经费不予结算，取消其下一轮续签养护合同资格且不得参与我局下一轮的养护投标工作。</w:t>
      </w:r>
      <w:r/>
    </w:p>
    <w:p>
      <w:pPr>
        <w:ind w:firstLine="420"/>
        <w:spacing w:line="360" w:lineRule="auto"/>
        <w:rPr>
          <w:rFonts w:ascii="宋体" w:hAnsi="宋体"/>
          <w:highlight w:val="none"/>
        </w:rPr>
      </w:pPr>
      <w:r>
        <w:rPr>
          <w:rFonts w:hint="eastAsia" w:ascii="宋体" w:hAnsi="宋体" w:eastAsia="宋体" w:cs="宋体"/>
          <w:color w:val="000000" w:themeColor="text1"/>
          <w:sz w:val="21"/>
          <w:szCs w:val="21"/>
          <w:highlight w:val="none"/>
          <w14:textFill>
            <w14:solidFill>
              <w14:schemeClr w14:val="tx1"/>
            </w14:solidFill>
          </w14:textFill>
        </w:rPr>
        <w:t xml:space="preserve">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14:textFill>
            <w14:solidFill>
              <w14:schemeClr w14:val="tx1"/>
            </w14:solidFill>
          </w14:textFill>
        </w:rPr>
        <w:t xml:space="preserve">年，因</w:t>
      </w:r>
      <w:r>
        <w:rPr>
          <w:rFonts w:hint="eastAsia" w:ascii="宋体" w:hAnsi="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原因造成安全事故的，</w:t>
      </w:r>
      <w:r>
        <w:rPr>
          <w:rFonts w:hint="eastAsia" w:ascii="宋体" w:hAnsi="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拒签下一年度合同。</w:t>
      </w:r>
      <w:r/>
    </w:p>
    <w:p>
      <w:pPr>
        <w:ind w:firstLine="420"/>
        <w:spacing w:line="360" w:lineRule="auto"/>
        <w:rPr>
          <w:rFonts w:ascii="宋体" w:hAnsi="宋体"/>
          <w:strike/>
          <w:highlight w:val="none"/>
        </w:rPr>
      </w:pPr>
      <w:r>
        <w:rPr>
          <w:rFonts w:ascii="宋体" w:hAnsi="宋体"/>
          <w:highlight w:val="none"/>
        </w:rPr>
        <w:t xml:space="preserve">5</w:t>
      </w:r>
      <w:r>
        <w:rPr>
          <w:rFonts w:hint="eastAsia" w:ascii="宋体" w:hAnsi="宋体"/>
          <w:highlight w:val="none"/>
        </w:rPr>
        <w:t xml:space="preserve">、甲方将以工程任务通知单形式将所辖市政设施维修工作通知乙方，乙方负责及时修复，所有费用由乙方自行考虑，包含在本次投标总价中，不再额外列支。</w:t>
      </w:r>
      <w:r/>
    </w:p>
    <w:p>
      <w:pPr>
        <w:ind w:firstLine="420"/>
        <w:spacing w:line="360" w:lineRule="auto"/>
        <w:rPr>
          <w:rFonts w:ascii="宋体" w:hAnsi="宋体"/>
          <w:highlight w:val="none"/>
        </w:rPr>
      </w:pPr>
      <w:r>
        <w:rPr>
          <w:rFonts w:ascii="宋体" w:hAnsi="宋体"/>
          <w:highlight w:val="none"/>
        </w:rPr>
        <w:t xml:space="preserve">6</w:t>
      </w:r>
      <w:r>
        <w:rPr>
          <w:rFonts w:hint="eastAsia" w:ascii="宋体" w:hAnsi="宋体"/>
          <w:highlight w:val="none"/>
        </w:rPr>
        <w:t xml:space="preserve">、养护必须符合维修质量要求，若不符合其质量要求，由乙方无偿返工。若因乙方原因不能按时保质完成，则甲方有权另外安排单位维修并视情节严重性进行处罚，其相应养护维修费用将从乙方养护费用中扣除。</w:t>
      </w:r>
      <w:bookmarkEnd w:id="32"/>
      <w:bookmarkEnd w:id="33"/>
      <w:r/>
    </w:p>
    <w:p>
      <w:pPr>
        <w:ind w:firstLine="422"/>
        <w:spacing w:line="360" w:lineRule="auto"/>
        <w:rPr>
          <w:rFonts w:ascii="宋体" w:hAnsi="宋体"/>
          <w:b/>
          <w:highlight w:val="none"/>
        </w:rPr>
      </w:pPr>
      <w:r>
        <w:rPr>
          <w:rFonts w:hint="eastAsia" w:ascii="宋体" w:hAnsi="宋体"/>
          <w:b/>
          <w:highlight w:val="none"/>
        </w:rPr>
        <w:t xml:space="preserve">第九条 违约责任</w:t>
      </w:r>
      <w:r/>
    </w:p>
    <w:p>
      <w:pPr>
        <w:ind w:firstLine="420"/>
        <w:jc w:val="left"/>
        <w:spacing w:line="360" w:lineRule="auto"/>
        <w:rPr>
          <w:rFonts w:ascii="宋体" w:hAnsi="宋体"/>
          <w:highlight w:val="none"/>
        </w:rPr>
      </w:pPr>
      <w:r/>
      <w:bookmarkStart w:id="34" w:name="_Hlk142488072"/>
      <w:r>
        <w:rPr>
          <w:rFonts w:hint="eastAsia" w:ascii="宋体" w:hAnsi="宋体"/>
          <w:highlight w:val="none"/>
        </w:rPr>
        <w:t xml:space="preserve">一、乙方无正当理由，违反本合同第五条及第六条的有关规定，未能达到规定管理目标及质量保证的，甲方有权要求乙方限期整改，逾期未整改，造成甲方经济损失的，同时乙方应向甲方支付合同总价</w:t>
      </w:r>
      <w:r>
        <w:rPr>
          <w:rFonts w:hint="eastAsia" w:ascii="宋体" w:hAnsi="宋体"/>
          <w:highlight w:val="none"/>
          <w:lang w:val="en-US" w:eastAsia="zh-CN"/>
        </w:rPr>
        <w:t xml:space="preserve">1</w:t>
      </w:r>
      <w:r>
        <w:rPr>
          <w:rFonts w:hint="eastAsia" w:ascii="宋体" w:hAnsi="宋体"/>
          <w:highlight w:val="none"/>
        </w:rPr>
        <w:t xml:space="preserve">5%的违约金。</w:t>
      </w:r>
      <w:bookmarkEnd w:id="34"/>
      <w:r/>
    </w:p>
    <w:p>
      <w:pPr>
        <w:ind w:firstLine="420"/>
        <w:jc w:val="left"/>
        <w:spacing w:line="360" w:lineRule="auto"/>
        <w:rPr>
          <w:rFonts w:ascii="宋体" w:hAnsi="宋体"/>
          <w:highlight w:val="none"/>
        </w:rPr>
      </w:pPr>
      <w:r>
        <w:rPr>
          <w:rFonts w:hint="eastAsia" w:ascii="宋体" w:hAnsi="宋体"/>
          <w:highlight w:val="none"/>
        </w:rPr>
        <w:t xml:space="preserve">二、乙方无正当理由，违反本合同第三条的有关规定，擅自收费或擅自提高收费标准的，对擅自收费部分或超出标准的部分，甲方有权要求乙方双倍返还；造成甲方经济损失的，乙方应给予甲方经济赔偿。</w:t>
      </w:r>
      <w:r/>
    </w:p>
    <w:p>
      <w:pPr>
        <w:ind w:firstLine="420"/>
        <w:jc w:val="left"/>
        <w:spacing w:line="360" w:lineRule="auto"/>
        <w:rPr>
          <w:rFonts w:ascii="宋体" w:hAnsi="宋体"/>
          <w:highlight w:val="none"/>
        </w:rPr>
      </w:pPr>
      <w:r>
        <w:rPr>
          <w:rFonts w:hint="eastAsia" w:ascii="宋体" w:hAnsi="宋体"/>
          <w:highlight w:val="none"/>
        </w:rPr>
        <w:t xml:space="preserve">三、乙方在承担上述</w:t>
      </w:r>
      <w:r>
        <w:rPr>
          <w:rFonts w:hint="eastAsia" w:ascii="宋体" w:hAnsi="宋体"/>
          <w:highlight w:val="none"/>
          <w:lang w:val="en-US" w:eastAsia="zh-CN"/>
        </w:rPr>
        <w:t xml:space="preserve">1</w:t>
      </w:r>
      <w:r>
        <w:rPr>
          <w:rFonts w:hint="eastAsia" w:ascii="宋体" w:hAnsi="宋体"/>
          <w:highlight w:val="none"/>
        </w:rPr>
        <w:t xml:space="preserve">、</w:t>
      </w:r>
      <w:r>
        <w:rPr>
          <w:rFonts w:hint="eastAsia" w:ascii="宋体" w:hAnsi="宋体"/>
          <w:highlight w:val="none"/>
          <w:lang w:val="en-US" w:eastAsia="zh-CN"/>
        </w:rPr>
        <w:t xml:space="preserve">2</w:t>
      </w:r>
      <w:r>
        <w:rPr>
          <w:rFonts w:hint="eastAsia" w:ascii="宋体" w:hAnsi="宋体"/>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13"/>
        <w:jc w:val="left"/>
        <w:spacing w:line="360" w:lineRule="auto"/>
        <w:rPr>
          <w:rFonts w:ascii="宋体" w:hAnsi="宋体"/>
          <w:b/>
          <w:highlight w:val="none"/>
        </w:rPr>
      </w:pPr>
      <w:r>
        <w:rPr>
          <w:rFonts w:hint="eastAsia" w:ascii="宋体" w:hAnsi="宋体"/>
          <w:b/>
          <w:highlight w:val="none"/>
        </w:rPr>
        <w:t xml:space="preserve">第十条 合同的变更和终止</w:t>
      </w:r>
      <w:r/>
    </w:p>
    <w:p>
      <w:pPr>
        <w:ind w:firstLine="420"/>
        <w:jc w:val="left"/>
        <w:spacing w:line="360" w:lineRule="auto"/>
        <w:rPr>
          <w:rFonts w:ascii="宋体" w:hAnsi="宋体"/>
          <w:highlight w:val="none"/>
        </w:rPr>
      </w:pPr>
      <w:r>
        <w:rPr>
          <w:rFonts w:hint="eastAsia" w:ascii="宋体" w:hAnsi="宋体"/>
          <w:highlight w:val="none"/>
        </w:rPr>
        <w:t xml:space="preserve">一、本合同一经签订，甲乙双方不得擅自变更、中止或终止合同（因政策性原因导致合同变更、中止或终止的除外）。</w:t>
      </w:r>
      <w:r/>
    </w:p>
    <w:p>
      <w:pPr>
        <w:ind w:firstLine="420"/>
        <w:jc w:val="left"/>
        <w:spacing w:line="360" w:lineRule="auto"/>
        <w:rPr>
          <w:rFonts w:ascii="宋体" w:hAnsi="宋体"/>
          <w:highlight w:val="none"/>
        </w:rPr>
      </w:pPr>
      <w:r>
        <w:rPr>
          <w:rFonts w:hint="eastAsia" w:ascii="宋体" w:hAnsi="宋体"/>
          <w:highlight w:val="none"/>
        </w:rPr>
        <w:t xml:space="preserve">二、本合同终止</w:t>
      </w:r>
      <w:r>
        <w:rPr>
          <w:rFonts w:hint="eastAsia" w:ascii="宋体" w:hAnsi="宋体"/>
          <w:color w:val="000000" w:themeColor="text1"/>
          <w:highlight w:val="none"/>
          <w:lang w:val="en-US" w:eastAsia="zh-CN"/>
          <w14:textFill>
            <w14:solidFill>
              <w14:schemeClr w14:val="tx1"/>
            </w14:solidFill>
          </w14:textFill>
        </w:rPr>
        <w:t xml:space="preserve">或解除</w:t>
      </w:r>
      <w:r>
        <w:rPr>
          <w:rFonts w:hint="eastAsia" w:ascii="宋体" w:hAnsi="宋体"/>
          <w:highlight w:val="none"/>
        </w:rPr>
        <w:t xml:space="preserve">时，乙方应移交管理权，撤出本项目，协助甲方作好服务的交接和善后工作</w:t>
      </w:r>
      <w:r>
        <w:rPr>
          <w:rFonts w:hint="eastAsia" w:ascii="宋体" w:hAnsi="宋体"/>
          <w:highlight w:val="none"/>
          <w:lang w:eastAsia="zh-CN"/>
        </w:rPr>
        <w:t xml:space="preserve">及</w:t>
      </w:r>
      <w:r>
        <w:rPr>
          <w:rFonts w:hint="eastAsia" w:ascii="宋体" w:hAnsi="宋体"/>
          <w:highlight w:val="none"/>
        </w:rPr>
        <w:t xml:space="preserve">全部档案资料等。</w:t>
      </w:r>
      <w:r/>
    </w:p>
    <w:p>
      <w:pPr>
        <w:ind w:firstLine="420"/>
        <w:jc w:val="left"/>
        <w:spacing w:line="360" w:lineRule="auto"/>
        <w:rPr>
          <w:rFonts w:ascii="宋体" w:hAnsi="宋体"/>
          <w:highlight w:val="none"/>
        </w:rPr>
      </w:pPr>
      <w:r>
        <w:rPr>
          <w:rFonts w:hint="eastAsia" w:ascii="宋体" w:hAnsi="宋体"/>
          <w:highlight w:val="none"/>
        </w:rPr>
        <w:t xml:space="preserve">三、本管理合同终止后，在新的管理企业接管本项目前，除甲方要求乙方提前撤离外，新老管理公司的交接过渡期最长为1个月。</w:t>
      </w:r>
      <w:r/>
    </w:p>
    <w:p>
      <w:pPr>
        <w:ind w:firstLine="413"/>
        <w:jc w:val="left"/>
        <w:spacing w:line="360" w:lineRule="auto"/>
        <w:rPr>
          <w:rFonts w:ascii="宋体" w:hAnsi="宋体"/>
          <w:b/>
          <w:highlight w:val="none"/>
        </w:rPr>
      </w:pPr>
      <w:r>
        <w:rPr>
          <w:rFonts w:hint="eastAsia" w:ascii="宋体" w:hAnsi="宋体"/>
          <w:b/>
          <w:highlight w:val="none"/>
        </w:rPr>
        <w:t xml:space="preserve">第十一条 合同的转让</w:t>
      </w:r>
      <w:r/>
    </w:p>
    <w:p>
      <w:pPr>
        <w:ind w:firstLine="420"/>
        <w:jc w:val="left"/>
        <w:spacing w:line="360" w:lineRule="auto"/>
        <w:rPr>
          <w:rFonts w:ascii="宋体" w:hAnsi="宋体"/>
          <w:highlight w:val="none"/>
        </w:rPr>
      </w:pPr>
      <w:r>
        <w:rPr>
          <w:rFonts w:hint="eastAsia" w:ascii="宋体" w:hAnsi="宋体"/>
          <w:highlight w:val="none"/>
        </w:rPr>
        <w:t xml:space="preserve">乙方不得擅自部分或全部转让其应履行的合同义务。</w:t>
      </w:r>
      <w:r/>
    </w:p>
    <w:p>
      <w:pPr>
        <w:ind w:firstLine="413"/>
        <w:jc w:val="left"/>
        <w:spacing w:line="360" w:lineRule="auto"/>
        <w:rPr>
          <w:rFonts w:ascii="宋体" w:hAnsi="宋体"/>
          <w:b/>
          <w:highlight w:val="none"/>
        </w:rPr>
      </w:pPr>
      <w:r>
        <w:rPr>
          <w:rFonts w:hint="eastAsia" w:ascii="宋体" w:hAnsi="宋体"/>
          <w:b/>
          <w:highlight w:val="none"/>
        </w:rPr>
        <w:t xml:space="preserve">第十二条 争议的解决</w:t>
      </w:r>
      <w:r/>
    </w:p>
    <w:p>
      <w:pPr>
        <w:ind w:firstLine="420"/>
        <w:jc w:val="left"/>
        <w:spacing w:line="360" w:lineRule="auto"/>
        <w:rPr>
          <w:rFonts w:ascii="宋体" w:hAnsi="宋体"/>
          <w:highlight w:val="none"/>
        </w:rPr>
      </w:pPr>
      <w:r>
        <w:rPr>
          <w:rFonts w:hint="eastAsia" w:ascii="宋体" w:hAnsi="宋体"/>
          <w:highlight w:val="none"/>
        </w:rPr>
        <w:t xml:space="preserve">一、因履行本合同引起的或与本合同有关的争议，甲、乙双方应首先通过友好协商解决，如果协商不能解决争议，则采取以下第</w:t>
      </w:r>
      <w:r>
        <w:rPr>
          <w:rFonts w:hint="eastAsia" w:ascii="宋体" w:hAnsi="宋体"/>
          <w:highlight w:val="none"/>
          <w:lang w:val="en-US" w:eastAsia="zh-CN"/>
        </w:rPr>
        <w:t xml:space="preserve">1</w:t>
      </w:r>
      <w:r>
        <w:rPr>
          <w:rFonts w:hint="eastAsia" w:ascii="宋体" w:hAnsi="宋体"/>
          <w:highlight w:val="none"/>
        </w:rPr>
        <w:t xml:space="preserve">种方式解决争议：</w:t>
      </w:r>
      <w:r/>
    </w:p>
    <w:p>
      <w:pPr>
        <w:ind w:firstLine="420"/>
        <w:jc w:val="left"/>
        <w:spacing w:line="360" w:lineRule="auto"/>
        <w:rPr>
          <w:rFonts w:ascii="宋体" w:hAnsi="宋体"/>
          <w:highlight w:val="none"/>
        </w:rPr>
      </w:pPr>
      <w:r>
        <w:rPr>
          <w:rFonts w:hint="eastAsia" w:ascii="宋体" w:hAnsi="宋体"/>
          <w:highlight w:val="none"/>
        </w:rPr>
        <w:t xml:space="preserve">1、向甲方所在地有管辖权的人民法院提起诉讼；</w:t>
      </w:r>
      <w:r/>
    </w:p>
    <w:p>
      <w:pPr>
        <w:ind w:firstLine="420"/>
        <w:jc w:val="left"/>
        <w:spacing w:line="360" w:lineRule="auto"/>
        <w:rPr>
          <w:rFonts w:ascii="宋体" w:hAnsi="宋体"/>
          <w:highlight w:val="none"/>
        </w:rPr>
      </w:pPr>
      <w:r>
        <w:rPr>
          <w:rFonts w:hint="eastAsia" w:ascii="宋体" w:hAnsi="宋体"/>
          <w:highlight w:val="none"/>
        </w:rPr>
        <w:t xml:space="preserve">2、向南京市仲裁委员会按其仲裁规则申请仲裁。</w:t>
      </w:r>
      <w:r/>
    </w:p>
    <w:p>
      <w:pPr>
        <w:ind w:firstLine="420"/>
        <w:jc w:val="left"/>
        <w:spacing w:line="360" w:lineRule="auto"/>
        <w:rPr>
          <w:rFonts w:ascii="宋体" w:hAnsi="宋体"/>
          <w:highlight w:val="none"/>
        </w:rPr>
      </w:pPr>
      <w:r>
        <w:rPr>
          <w:rFonts w:hint="eastAsia" w:ascii="宋体" w:hAnsi="宋体"/>
          <w:highlight w:val="none"/>
        </w:rPr>
        <w:t xml:space="preserve">二、</w:t>
      </w:r>
      <w:r>
        <w:rPr>
          <w:rFonts w:hint="eastAsia" w:ascii="宋体" w:hAnsi="宋体"/>
          <w:color w:val="000000" w:themeColor="text1"/>
          <w:highlight w:val="none"/>
          <w14:textFill>
            <w14:solidFill>
              <w14:schemeClr w14:val="tx1"/>
            </w14:solidFill>
          </w14:textFill>
        </w:rPr>
        <w:t xml:space="preserve">在仲裁</w:t>
      </w:r>
      <w:r>
        <w:rPr>
          <w:rFonts w:hint="eastAsia" w:ascii="宋体" w:hAnsi="宋体"/>
          <w:color w:val="000000" w:themeColor="text1"/>
          <w:highlight w:val="none"/>
          <w:lang w:val="en-US" w:eastAsia="zh-CN"/>
          <w14:textFill>
            <w14:solidFill>
              <w14:schemeClr w14:val="tx1"/>
            </w14:solidFill>
          </w14:textFill>
        </w:rPr>
        <w:t xml:space="preserve">或诉讼</w:t>
      </w:r>
      <w:r>
        <w:rPr>
          <w:rFonts w:hint="eastAsia" w:ascii="宋体" w:hAnsi="宋体"/>
          <w:color w:val="000000" w:themeColor="text1"/>
          <w:highlight w:val="none"/>
          <w14:textFill>
            <w14:solidFill>
              <w14:schemeClr w14:val="tx1"/>
            </w14:solidFill>
          </w14:textFill>
        </w:rPr>
        <w:t xml:space="preserve">期间</w:t>
      </w:r>
      <w:r>
        <w:rPr>
          <w:rFonts w:hint="eastAsia" w:ascii="宋体" w:hAnsi="宋体"/>
          <w:highlight w:val="none"/>
        </w:rPr>
        <w:t xml:space="preserve">，本合同应继续履行。</w:t>
      </w:r>
      <w:r/>
    </w:p>
    <w:p>
      <w:pPr>
        <w:ind w:firstLine="413"/>
        <w:jc w:val="left"/>
        <w:spacing w:line="360" w:lineRule="auto"/>
        <w:rPr>
          <w:rFonts w:ascii="宋体" w:hAnsi="宋体"/>
          <w:b/>
          <w:highlight w:val="none"/>
        </w:rPr>
      </w:pPr>
      <w:r>
        <w:rPr>
          <w:rFonts w:hint="eastAsia" w:ascii="宋体" w:hAnsi="宋体"/>
          <w:b/>
          <w:highlight w:val="none"/>
        </w:rPr>
        <w:t xml:space="preserve">第十三条 诚实信用</w:t>
      </w:r>
      <w:r/>
    </w:p>
    <w:p>
      <w:pPr>
        <w:ind w:firstLine="420"/>
        <w:jc w:val="left"/>
        <w:spacing w:line="360" w:lineRule="auto"/>
        <w:rPr>
          <w:rFonts w:ascii="宋体" w:hAnsi="宋体"/>
          <w:b/>
          <w:bCs/>
          <w:highlight w:val="none"/>
          <w:lang w:val="zh-CN"/>
        </w:rPr>
      </w:pPr>
      <w:r>
        <w:rPr>
          <w:rFonts w:hint="eastAsia" w:ascii="宋体" w:hAnsi="宋体"/>
          <w:highlight w:val="none"/>
          <w:lang w:val="zh-CN"/>
        </w:rPr>
        <w:t xml:space="preserve">乙方应诚实信用，严格按照</w:t>
      </w:r>
      <w:r>
        <w:rPr>
          <w:rFonts w:hint="eastAsia" w:ascii="宋体" w:hAnsi="宋体"/>
          <w:highlight w:val="none"/>
          <w:lang w:val="en-US" w:eastAsia="zh-CN"/>
        </w:rPr>
        <w:t xml:space="preserve">招标</w:t>
      </w:r>
      <w:r>
        <w:rPr>
          <w:rFonts w:hint="eastAsia" w:ascii="宋体" w:hAnsi="宋体"/>
          <w:highlight w:val="none"/>
          <w:lang w:val="zh-CN"/>
        </w:rPr>
        <w:t xml:space="preserve">文件要求和承诺履行合同，不向甲方进行商业贿赂或者提供不正当利益。</w:t>
      </w:r>
      <w:r>
        <w:rPr>
          <w:rFonts w:hint="eastAsia" w:ascii="宋体" w:hAnsi="宋体"/>
          <w:b/>
          <w:bCs/>
          <w:highlight w:val="none"/>
          <w:lang w:val="zh-CN"/>
        </w:rPr>
        <w:t xml:space="preserve"> </w:t>
      </w:r>
      <w:r/>
    </w:p>
    <w:p>
      <w:pPr>
        <w:ind w:firstLine="413"/>
        <w:jc w:val="left"/>
        <w:spacing w:line="360" w:lineRule="auto"/>
        <w:rPr>
          <w:rFonts w:ascii="宋体" w:hAnsi="宋体"/>
          <w:b/>
          <w:highlight w:val="none"/>
        </w:rPr>
      </w:pPr>
      <w:r>
        <w:rPr>
          <w:rFonts w:hint="eastAsia" w:ascii="宋体" w:hAnsi="宋体"/>
          <w:b/>
          <w:highlight w:val="none"/>
        </w:rPr>
        <w:t xml:space="preserve">第十四条 合同生效及其他</w:t>
      </w:r>
      <w:r/>
    </w:p>
    <w:p>
      <w:pPr>
        <w:ind w:firstLine="420"/>
        <w:jc w:val="left"/>
        <w:spacing w:line="360" w:lineRule="auto"/>
        <w:rPr>
          <w:rFonts w:ascii="宋体" w:hAnsi="宋体"/>
          <w:highlight w:val="none"/>
          <w:lang w:val="zh-CN"/>
        </w:rPr>
      </w:pPr>
      <w:r>
        <w:rPr>
          <w:rFonts w:hint="eastAsia" w:ascii="宋体" w:hAnsi="宋体"/>
          <w:highlight w:val="none"/>
          <w:lang w:val="zh-CN"/>
        </w:rPr>
        <w:t xml:space="preserve">一、本合同应按照中华人民共和国的现行法律进行解释</w:t>
      </w:r>
      <w:r/>
    </w:p>
    <w:p>
      <w:pPr>
        <w:ind w:firstLine="420"/>
        <w:jc w:val="left"/>
        <w:spacing w:line="360" w:lineRule="auto"/>
        <w:rPr>
          <w:rFonts w:ascii="宋体" w:hAnsi="宋体"/>
          <w:highlight w:val="none"/>
          <w:lang w:val="zh-CN"/>
        </w:rPr>
      </w:pPr>
      <w:r>
        <w:rPr>
          <w:rFonts w:hint="eastAsia" w:ascii="宋体" w:hAnsi="宋体"/>
          <w:highlight w:val="none"/>
          <w:lang w:val="zh-CN"/>
        </w:rPr>
        <w:t xml:space="preserve">二、本合同签订后，双方如需要提出修改或增加条款时，需经双方协商一致后，可以签订补充协议，补充协议与本合同具有同等的法律效力。</w:t>
      </w:r>
      <w:r/>
    </w:p>
    <w:p>
      <w:pPr>
        <w:ind w:firstLine="420"/>
        <w:jc w:val="left"/>
        <w:spacing w:line="360" w:lineRule="auto"/>
        <w:rPr>
          <w:rFonts w:ascii="宋体" w:hAnsi="宋体"/>
          <w:highlight w:val="none"/>
          <w:lang w:val="zh-CN"/>
        </w:rPr>
      </w:pPr>
      <w:r>
        <w:rPr>
          <w:rFonts w:hint="eastAsia" w:ascii="宋体" w:hAnsi="宋体"/>
          <w:highlight w:val="none"/>
          <w:lang w:val="zh-CN"/>
        </w:rPr>
        <w:t xml:space="preserve">三、本合同一式陆份。甲方执叁份，乙方执叁份。</w:t>
      </w:r>
      <w:r/>
    </w:p>
    <w:p>
      <w:pPr>
        <w:ind w:firstLine="420"/>
        <w:jc w:val="left"/>
        <w:spacing w:line="360" w:lineRule="auto"/>
        <w:rPr>
          <w:rFonts w:ascii="宋体" w:hAnsi="宋体"/>
          <w:highlight w:val="none"/>
          <w:lang w:val="zh-CN"/>
        </w:rPr>
      </w:pPr>
      <w:r>
        <w:rPr>
          <w:rFonts w:hint="eastAsia" w:ascii="宋体" w:hAnsi="宋体"/>
          <w:highlight w:val="none"/>
          <w:lang w:val="zh-CN"/>
        </w:rPr>
        <w:t xml:space="preserve">四、本合同双方盖骑缝章。</w:t>
      </w:r>
      <w:r/>
    </w:p>
    <w:p>
      <w:pPr>
        <w:ind w:firstLine="420"/>
        <w:jc w:val="left"/>
        <w:spacing w:line="360" w:lineRule="auto"/>
        <w:rPr>
          <w:rFonts w:ascii="宋体" w:hAnsi="宋体"/>
          <w:highlight w:val="none"/>
          <w:lang w:val="zh-CN"/>
        </w:rPr>
      </w:pPr>
      <w:r>
        <w:rPr>
          <w:rFonts w:hint="eastAsia" w:ascii="宋体" w:hAnsi="宋体"/>
          <w:highlight w:val="none"/>
          <w:lang w:val="zh-CN"/>
        </w:rPr>
        <w:t xml:space="preserve">五、本合同自双方签字盖章即生效。</w:t>
      </w:r>
      <w:r/>
    </w:p>
    <w:p>
      <w:pPr>
        <w:ind w:firstLine="420"/>
        <w:jc w:val="left"/>
        <w:spacing w:line="360" w:lineRule="auto"/>
        <w:rPr>
          <w:rFonts w:ascii="宋体" w:hAnsi="宋体"/>
          <w:highlight w:val="none"/>
          <w:lang w:val="zh-CN"/>
        </w:rPr>
      </w:pPr>
      <w:r>
        <w:rPr>
          <w:rFonts w:hint="eastAsia" w:ascii="宋体" w:hAnsi="宋体"/>
          <w:highlight w:val="none"/>
          <w:lang w:val="zh-CN"/>
        </w:rPr>
        <w:t xml:space="preserve">附件：1、日常管养服务标段市政设施明细清单；</w:t>
      </w:r>
      <w:r/>
    </w:p>
    <w:p>
      <w:pPr>
        <w:ind w:firstLine="1050"/>
        <w:jc w:val="left"/>
        <w:spacing w:line="360" w:lineRule="auto"/>
        <w:rPr>
          <w:rFonts w:ascii="宋体" w:hAnsi="宋体"/>
          <w:highlight w:val="none"/>
          <w:lang w:val="zh-CN"/>
        </w:rPr>
      </w:pPr>
      <w:r>
        <w:rPr>
          <w:rFonts w:ascii="宋体" w:hAnsi="宋体"/>
          <w:highlight w:val="none"/>
          <w:lang w:val="zh-CN"/>
        </w:rPr>
        <w:t xml:space="preserve">2</w:t>
      </w:r>
      <w:r>
        <w:rPr>
          <w:rFonts w:hint="eastAsia" w:ascii="宋体" w:hAnsi="宋体"/>
          <w:highlight w:val="none"/>
          <w:lang w:val="zh-CN"/>
        </w:rPr>
        <w:t xml:space="preserve">、市场化养护考核办法；</w:t>
      </w:r>
      <w:r/>
    </w:p>
    <w:p>
      <w:pPr>
        <w:ind w:firstLine="1050"/>
        <w:jc w:val="left"/>
        <w:spacing w:line="360" w:lineRule="auto"/>
        <w:rPr>
          <w:rFonts w:hint="eastAsia" w:ascii="宋体" w:hAnsi="宋体"/>
          <w:highlight w:val="none"/>
          <w:lang w:val="zh-CN"/>
        </w:rPr>
      </w:pPr>
      <w:r>
        <w:rPr>
          <w:rFonts w:ascii="宋体" w:hAnsi="宋体"/>
          <w:highlight w:val="none"/>
          <w:lang w:val="zh-CN"/>
        </w:rPr>
        <w:t xml:space="preserve">3</w:t>
      </w:r>
      <w:r>
        <w:rPr>
          <w:rFonts w:hint="eastAsia" w:ascii="宋体" w:hAnsi="宋体"/>
          <w:highlight w:val="none"/>
          <w:lang w:val="zh-CN"/>
        </w:rPr>
        <w:t xml:space="preserve">、乙方营业执照、人员表、设备表及服务承诺。</w:t>
      </w:r>
      <w:r/>
    </w:p>
    <w:p>
      <w:pPr>
        <w:ind w:firstLine="105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4、安全施工与文明现场协议书</w:t>
      </w:r>
      <w:r/>
    </w:p>
    <w:p>
      <w:pPr>
        <w:ind w:firstLine="1050"/>
        <w:jc w:val="left"/>
        <w:spacing w:line="360" w:lineRule="auto"/>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5、廉政管理协议书</w:t>
      </w:r>
      <w:r/>
    </w:p>
    <w:p>
      <w:pPr>
        <w:ind w:firstLine="1050"/>
        <w:jc w:val="left"/>
        <w:spacing w:line="360" w:lineRule="auto"/>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 xml:space="preserve">6、安全生产责任承诺书</w:t>
      </w:r>
      <w:r/>
    </w:p>
    <w:p>
      <w:pPr>
        <w:rPr>
          <w:highlight w:val="none"/>
          <w:lang w:val="zh-CN"/>
        </w:rPr>
      </w:pPr>
      <w:r>
        <w:rPr>
          <w:highlight w:val="none"/>
          <w:lang w:val="zh-CN"/>
        </w:rPr>
        <w:br w:type="page" w:clear="all"/>
      </w:r>
      <w:r/>
    </w:p>
    <w:p>
      <w:pPr>
        <w:pStyle w:val="756"/>
        <w:rPr>
          <w:highlight w:val="none"/>
          <w:lang w:val="zh-CN"/>
        </w:rPr>
      </w:pPr>
      <w:r>
        <w:rPr>
          <w:highlight w:val="none"/>
          <w:lang w:val="zh-CN"/>
        </w:rPr>
      </w:r>
      <w:r/>
    </w:p>
    <w:p>
      <w:pPr>
        <w:ind w:firstLine="420"/>
        <w:jc w:val="left"/>
        <w:spacing w:line="360" w:lineRule="auto"/>
        <w:rPr>
          <w:rFonts w:ascii="宋体" w:hAnsi="宋体"/>
          <w:highlight w:val="none"/>
          <w:lang w:val="zh-CN"/>
        </w:rPr>
      </w:pPr>
      <w:r>
        <w:rPr>
          <w:rFonts w:hint="eastAsia" w:ascii="宋体" w:hAnsi="宋体"/>
          <w:highlight w:val="none"/>
          <w:lang w:val="zh-CN"/>
        </w:rPr>
        <w:t xml:space="preserve"> </w:t>
      </w:r>
      <w:r>
        <w:rPr>
          <w:rFonts w:ascii="宋体" w:hAnsi="宋体"/>
          <w:highlight w:val="none"/>
          <w:lang w:val="zh-CN"/>
        </w:rPr>
        <w:t xml:space="preserve">        </w:t>
      </w:r>
      <w:r>
        <w:rPr>
          <w:rFonts w:hint="eastAsia" w:ascii="宋体" w:hAnsi="宋体"/>
          <w:highlight w:val="none"/>
          <w:lang w:val="zh-CN"/>
        </w:rPr>
        <w:t xml:space="preserve">（以下无正文）</w:t>
      </w:r>
      <w:r/>
    </w:p>
    <w:p>
      <w:pPr>
        <w:ind w:firstLine="1026"/>
        <w:spacing w:line="360" w:lineRule="auto"/>
        <w:rPr>
          <w:rFonts w:ascii="宋体" w:hAnsi="宋体"/>
          <w:sz w:val="24"/>
          <w:highlight w:val="none"/>
        </w:rPr>
      </w:pPr>
      <w:r>
        <w:rPr>
          <w:rFonts w:hint="eastAsia" w:ascii="宋体" w:hAnsi="宋体"/>
          <w:b/>
          <w:sz w:val="24"/>
          <w:highlight w:val="none"/>
        </w:rPr>
        <w:t xml:space="preserve">甲方</w:t>
      </w:r>
      <w:r>
        <w:rPr>
          <w:rFonts w:hint="eastAsia" w:ascii="宋体" w:hAnsi="宋体"/>
          <w:sz w:val="24"/>
          <w:highlight w:val="none"/>
        </w:rPr>
        <w:t xml:space="preserve">（盖章）                     </w:t>
      </w:r>
      <w:r>
        <w:rPr>
          <w:rFonts w:hint="eastAsia" w:ascii="宋体" w:hAnsi="宋体"/>
          <w:b/>
          <w:sz w:val="24"/>
          <w:highlight w:val="none"/>
        </w:rPr>
        <w:t xml:space="preserve">乙方</w:t>
      </w:r>
      <w:r>
        <w:rPr>
          <w:rFonts w:hint="eastAsia" w:ascii="宋体" w:hAnsi="宋体"/>
          <w:sz w:val="24"/>
          <w:highlight w:val="none"/>
        </w:rPr>
        <w:t xml:space="preserve">（盖章）</w:t>
      </w:r>
      <w:r/>
    </w:p>
    <w:p>
      <w:pPr>
        <w:ind w:firstLine="1026"/>
        <w:spacing w:line="360" w:lineRule="auto"/>
        <w:rPr>
          <w:rFonts w:ascii="宋体" w:hAnsi="宋体"/>
          <w:sz w:val="24"/>
          <w:highlight w:val="none"/>
        </w:rPr>
      </w:pPr>
      <w:r>
        <w:rPr>
          <w:rFonts w:hint="eastAsia" w:ascii="宋体" w:hAnsi="宋体"/>
          <w:b/>
          <w:sz w:val="24"/>
          <w:highlight w:val="none"/>
        </w:rPr>
        <w:t xml:space="preserve">法定代表人</w:t>
      </w:r>
      <w:r>
        <w:rPr>
          <w:rFonts w:hint="eastAsia" w:ascii="宋体" w:hAnsi="宋体"/>
          <w:sz w:val="24"/>
          <w:highlight w:val="none"/>
        </w:rPr>
        <w:t xml:space="preserve">（签字）            </w:t>
      </w:r>
      <w:r>
        <w:rPr>
          <w:rFonts w:hint="eastAsia" w:ascii="宋体" w:hAnsi="宋体"/>
          <w:b/>
          <w:sz w:val="24"/>
          <w:highlight w:val="none"/>
        </w:rPr>
        <w:t xml:space="preserve">   法定代表人</w:t>
      </w:r>
      <w:r>
        <w:rPr>
          <w:rFonts w:hint="eastAsia" w:ascii="宋体" w:hAnsi="宋体"/>
          <w:sz w:val="24"/>
          <w:highlight w:val="none"/>
        </w:rPr>
        <w:t xml:space="preserve">（签字）</w:t>
      </w:r>
      <w:r/>
    </w:p>
    <w:p>
      <w:pPr>
        <w:ind w:firstLine="1026"/>
        <w:spacing w:line="360" w:lineRule="auto"/>
        <w:rPr>
          <w:rFonts w:ascii="宋体" w:hAnsi="宋体"/>
          <w:b/>
          <w:sz w:val="24"/>
          <w:highlight w:val="none"/>
        </w:rPr>
      </w:pPr>
      <w:r>
        <w:rPr>
          <w:rFonts w:hint="eastAsia" w:ascii="宋体" w:hAnsi="宋体"/>
          <w:b/>
          <w:sz w:val="24"/>
          <w:highlight w:val="none"/>
        </w:rPr>
        <w:t xml:space="preserve">地址：</w:t>
      </w:r>
      <w:r>
        <w:rPr>
          <w:rFonts w:hint="eastAsia" w:ascii="宋体" w:hAnsi="宋体"/>
          <w:sz w:val="24"/>
          <w:highlight w:val="none"/>
        </w:rPr>
        <w:t xml:space="preserve">                   </w:t>
      </w:r>
      <w:r>
        <w:rPr>
          <w:rFonts w:hint="eastAsia" w:ascii="宋体" w:hAnsi="宋体"/>
          <w:b/>
          <w:sz w:val="24"/>
          <w:highlight w:val="none"/>
        </w:rPr>
        <w:t xml:space="preserve">        地址：</w:t>
      </w:r>
      <w:r>
        <w:rPr>
          <w:rFonts w:hint="eastAsia" w:ascii="宋体" w:hAnsi="宋体"/>
          <w:sz w:val="24"/>
          <w:highlight w:val="none"/>
        </w:rPr>
        <w:t xml:space="preserve">             </w:t>
      </w:r>
      <w:r/>
    </w:p>
    <w:p>
      <w:pPr>
        <w:ind w:firstLine="1022"/>
        <w:spacing w:line="360" w:lineRule="auto"/>
        <w:rPr>
          <w:rFonts w:ascii="宋体" w:hAnsi="宋体"/>
          <w:b/>
          <w:sz w:val="24"/>
          <w:highlight w:val="none"/>
        </w:rPr>
      </w:pPr>
      <w:r>
        <w:rPr>
          <w:rFonts w:hint="eastAsia" w:ascii="宋体" w:hAnsi="宋体"/>
          <w:sz w:val="24"/>
          <w:highlight w:val="none"/>
        </w:rPr>
        <w:t xml:space="preserve">开户银行：                       开户银行：</w:t>
      </w:r>
      <w:r>
        <w:rPr>
          <w:rFonts w:hint="eastAsia" w:ascii="宋体" w:hAnsi="宋体"/>
          <w:b/>
          <w:sz w:val="24"/>
          <w:highlight w:val="none"/>
        </w:rPr>
        <w:t xml:space="preserve">                     </w:t>
      </w:r>
      <w:r/>
    </w:p>
    <w:p>
      <w:pPr>
        <w:ind w:firstLine="1022"/>
        <w:spacing w:line="360" w:lineRule="auto"/>
        <w:rPr>
          <w:rFonts w:ascii="宋体" w:hAnsi="宋体"/>
          <w:b/>
          <w:sz w:val="24"/>
          <w:highlight w:val="none"/>
        </w:rPr>
      </w:pPr>
      <w:r>
        <w:rPr>
          <w:rFonts w:hint="eastAsia" w:ascii="宋体" w:hAnsi="宋体"/>
          <w:sz w:val="24"/>
          <w:highlight w:val="none"/>
        </w:rPr>
        <w:t xml:space="preserve">账号：</w:t>
      </w:r>
      <w:r>
        <w:rPr>
          <w:rFonts w:hint="eastAsia" w:ascii="宋体" w:hAnsi="宋体"/>
          <w:b/>
          <w:sz w:val="24"/>
          <w:highlight w:val="none"/>
        </w:rPr>
        <w:t xml:space="preserve">                  </w:t>
      </w:r>
      <w:r>
        <w:rPr>
          <w:rFonts w:hint="eastAsia" w:ascii="宋体" w:hAnsi="宋体"/>
          <w:sz w:val="24"/>
          <w:highlight w:val="none"/>
        </w:rPr>
        <w:t xml:space="preserve">　       账号：</w:t>
      </w:r>
      <w:r/>
    </w:p>
    <w:p>
      <w:pPr>
        <w:ind w:firstLine="1022"/>
        <w:spacing w:line="360" w:lineRule="auto"/>
        <w:rPr>
          <w:rFonts w:ascii="宋体" w:hAnsi="宋体"/>
          <w:b/>
          <w:sz w:val="24"/>
          <w:highlight w:val="none"/>
        </w:rPr>
      </w:pPr>
      <w:r>
        <w:rPr>
          <w:rFonts w:hint="eastAsia" w:ascii="宋体" w:hAnsi="宋体"/>
          <w:sz w:val="24"/>
          <w:highlight w:val="none"/>
        </w:rPr>
        <w:t xml:space="preserve">联系电话：</w:t>
      </w:r>
      <w:r>
        <w:rPr>
          <w:rFonts w:hint="eastAsia" w:ascii="宋体" w:hAnsi="宋体"/>
          <w:b/>
          <w:sz w:val="24"/>
          <w:highlight w:val="none"/>
        </w:rPr>
        <w:t xml:space="preserve"> </w:t>
      </w:r>
      <w:r>
        <w:rPr>
          <w:rFonts w:hint="eastAsia" w:ascii="宋体" w:hAnsi="宋体"/>
          <w:sz w:val="24"/>
          <w:highlight w:val="none"/>
        </w:rPr>
        <w:t xml:space="preserve">   </w:t>
      </w:r>
      <w:r>
        <w:rPr>
          <w:rFonts w:hint="eastAsia" w:ascii="宋体" w:hAnsi="宋体"/>
          <w:b/>
          <w:sz w:val="24"/>
          <w:highlight w:val="none"/>
        </w:rPr>
        <w:t xml:space="preserve">                  </w:t>
      </w:r>
      <w:r>
        <w:rPr>
          <w:rFonts w:hint="eastAsia" w:ascii="宋体" w:hAnsi="宋体"/>
          <w:sz w:val="24"/>
          <w:highlight w:val="none"/>
        </w:rPr>
        <w:t xml:space="preserve"> 联系电话：</w:t>
      </w:r>
      <w:r/>
    </w:p>
    <w:p>
      <w:pPr>
        <w:ind w:firstLine="1022"/>
        <w:spacing w:line="360" w:lineRule="auto"/>
        <w:rPr>
          <w:rFonts w:ascii="宋体" w:hAnsi="宋体"/>
          <w:sz w:val="24"/>
          <w:highlight w:val="none"/>
        </w:rPr>
      </w:pPr>
      <w:r>
        <w:rPr>
          <w:rFonts w:hint="eastAsia" w:ascii="宋体" w:hAnsi="宋体"/>
          <w:sz w:val="24"/>
          <w:highlight w:val="none"/>
        </w:rPr>
        <w:t xml:space="preserve">传    真：</w:t>
      </w:r>
      <w:r>
        <w:rPr>
          <w:rFonts w:hint="eastAsia" w:ascii="宋体" w:hAnsi="宋体"/>
          <w:b/>
          <w:sz w:val="24"/>
          <w:highlight w:val="none"/>
        </w:rPr>
        <w:t xml:space="preserve">                       </w:t>
      </w:r>
      <w:r>
        <w:rPr>
          <w:rFonts w:hint="eastAsia" w:ascii="宋体" w:hAnsi="宋体"/>
          <w:sz w:val="24"/>
          <w:highlight w:val="none"/>
        </w:rPr>
        <w:t xml:space="preserve">传    真：</w:t>
      </w:r>
      <w:r/>
    </w:p>
    <w:p>
      <w:pPr>
        <w:ind w:firstLine="1022"/>
        <w:spacing w:line="360" w:lineRule="auto"/>
        <w:rPr>
          <w:rFonts w:ascii="宋体" w:hAnsi="宋体"/>
          <w:b/>
          <w:sz w:val="24"/>
          <w:highlight w:val="none"/>
        </w:rPr>
      </w:pPr>
      <w:r>
        <w:rPr>
          <w:rFonts w:hint="eastAsia" w:ascii="宋体" w:hAnsi="宋体"/>
          <w:sz w:val="24"/>
          <w:highlight w:val="none"/>
        </w:rPr>
        <w:t xml:space="preserve">邮政编码：</w:t>
      </w:r>
      <w:r>
        <w:rPr>
          <w:rFonts w:hint="eastAsia" w:ascii="宋体" w:hAnsi="宋体"/>
          <w:b/>
          <w:sz w:val="24"/>
          <w:highlight w:val="none"/>
        </w:rPr>
        <w:t xml:space="preserve"> 　　</w:t>
      </w:r>
      <w:r>
        <w:rPr>
          <w:rFonts w:hint="eastAsia" w:ascii="宋体" w:hAnsi="宋体"/>
          <w:sz w:val="24"/>
          <w:highlight w:val="none"/>
        </w:rPr>
        <w:t xml:space="preserve">　　　　          邮政编码：</w:t>
      </w:r>
      <w:r/>
    </w:p>
    <w:p>
      <w:pPr>
        <w:ind w:firstLine="1022"/>
        <w:spacing w:line="360" w:lineRule="auto"/>
        <w:rPr>
          <w:rFonts w:ascii="宋体" w:hAnsi="宋体"/>
          <w:b/>
          <w:sz w:val="24"/>
          <w:highlight w:val="none"/>
        </w:rPr>
      </w:pPr>
      <w:r>
        <w:rPr>
          <w:rFonts w:hint="eastAsia" w:ascii="宋体" w:hAnsi="宋体"/>
          <w:sz w:val="24"/>
          <w:highlight w:val="none"/>
        </w:rPr>
        <w:t xml:space="preserve">合同签订地点：                  </w:t>
      </w:r>
      <w:r/>
    </w:p>
    <w:p>
      <w:pPr>
        <w:ind w:firstLine="1022"/>
        <w:spacing w:line="360" w:lineRule="auto"/>
        <w:rPr>
          <w:rFonts w:ascii="宋体" w:hAnsi="宋体"/>
          <w:szCs w:val="32"/>
          <w:highlight w:val="none"/>
        </w:rPr>
      </w:pPr>
      <w:r>
        <w:rPr>
          <w:rFonts w:hint="eastAsia" w:ascii="宋体" w:hAnsi="宋体"/>
          <w:sz w:val="24"/>
          <w:highlight w:val="none"/>
        </w:rPr>
        <w:t xml:space="preserve">合同签订日期：</w:t>
      </w:r>
      <w:r>
        <w:rPr>
          <w:rFonts w:ascii="宋体" w:hAnsi="宋体"/>
          <w:sz w:val="24"/>
          <w:highlight w:val="none"/>
        </w:rPr>
        <w:t xml:space="preserve">  </w:t>
      </w:r>
      <w:r>
        <w:rPr>
          <w:rFonts w:hint="eastAsia" w:ascii="宋体" w:hAnsi="宋体"/>
          <w:sz w:val="24"/>
          <w:highlight w:val="none"/>
        </w:rPr>
        <w:t xml:space="preserve"> 年  月  日　</w:t>
      </w:r>
      <w:r/>
    </w:p>
    <w:p>
      <w:pPr>
        <w:ind w:firstLine="482"/>
        <w:spacing w:line="480" w:lineRule="auto"/>
        <w:rPr>
          <w:rFonts w:ascii="新宋体" w:hAnsi="新宋体" w:eastAsia="新宋体"/>
          <w:b/>
          <w:bCs/>
          <w:sz w:val="24"/>
          <w:highlight w:val="none"/>
        </w:rPr>
      </w:pPr>
      <w:r>
        <w:rPr>
          <w:rFonts w:hint="eastAsia" w:ascii="新宋体" w:hAnsi="新宋体" w:eastAsia="新宋体"/>
          <w:b/>
          <w:bCs/>
          <w:sz w:val="24"/>
          <w:highlight w:val="none"/>
        </w:rPr>
        <w:t xml:space="preserve">附件1：日常市政设施管养服务费用明细</w:t>
      </w:r>
      <w:r/>
    </w:p>
    <w:p>
      <w:pPr>
        <w:ind w:firstLine="480"/>
        <w:spacing w:line="480" w:lineRule="auto"/>
        <w:rPr>
          <w:rFonts w:ascii="新宋体" w:hAnsi="新宋体" w:eastAsia="新宋体"/>
          <w:sz w:val="24"/>
          <w:highlight w:val="none"/>
        </w:rPr>
      </w:pPr>
      <w:r>
        <w:rPr>
          <w:rFonts w:hint="eastAsia" w:ascii="新宋体" w:hAnsi="新宋体" w:eastAsia="新宋体"/>
          <w:sz w:val="24"/>
          <w:highlight w:val="none"/>
        </w:rPr>
        <w:t xml:space="preserve">（截取中标人投标文件中费用明细）</w:t>
      </w:r>
      <w:bookmarkEnd w:id="21"/>
      <w:bookmarkEnd w:id="22"/>
      <w:bookmarkEnd w:id="23"/>
      <w:bookmarkEnd w:id="24"/>
      <w:bookmarkEnd w:id="25"/>
      <w:bookmarkEnd w:id="26"/>
      <w:r/>
    </w:p>
    <w:p>
      <w:pPr>
        <w:ind w:firstLine="482"/>
        <w:spacing w:line="480" w:lineRule="auto"/>
        <w:rPr>
          <w:rFonts w:hint="eastAsia" w:ascii="宋体" w:hAnsi="宋体" w:eastAsia="新宋体"/>
          <w:sz w:val="32"/>
          <w:szCs w:val="32"/>
          <w:highlight w:val="none"/>
          <w:lang w:eastAsia="zh-CN"/>
        </w:rPr>
      </w:pPr>
      <w:r>
        <w:rPr>
          <w:rFonts w:hint="eastAsia" w:ascii="新宋体" w:hAnsi="新宋体" w:eastAsia="新宋体"/>
          <w:b/>
          <w:bCs/>
          <w:sz w:val="24"/>
          <w:highlight w:val="none"/>
        </w:rPr>
        <w:t xml:space="preserve">附件</w:t>
      </w:r>
      <w:r>
        <w:rPr>
          <w:rFonts w:ascii="新宋体" w:hAnsi="新宋体" w:eastAsia="新宋体"/>
          <w:b/>
          <w:bCs/>
          <w:sz w:val="24"/>
          <w:highlight w:val="none"/>
        </w:rPr>
        <w:t xml:space="preserve">2</w:t>
      </w:r>
      <w:r>
        <w:rPr>
          <w:rFonts w:hint="eastAsia" w:ascii="新宋体" w:hAnsi="新宋体" w:eastAsia="新宋体"/>
          <w:b/>
          <w:bCs/>
          <w:sz w:val="24"/>
          <w:highlight w:val="none"/>
        </w:rPr>
        <w:t xml:space="preserve">：</w:t>
      </w:r>
      <w:r>
        <w:rPr>
          <w:rFonts w:hint="eastAsia" w:ascii="新宋体" w:hAnsi="新宋体" w:eastAsia="新宋体"/>
          <w:b/>
          <w:bCs/>
          <w:sz w:val="24"/>
          <w:highlight w:val="none"/>
          <w:lang w:eastAsia="zh-CN"/>
        </w:rPr>
        <w:t xml:space="preserve">市场化养护考核办法</w:t>
      </w:r>
      <w:r/>
    </w:p>
    <w:p>
      <w:pPr>
        <w:ind w:firstLine="480"/>
        <w:spacing w:line="480" w:lineRule="auto"/>
        <w:rPr>
          <w:rFonts w:ascii="新宋体" w:hAnsi="新宋体" w:eastAsia="新宋体"/>
          <w:sz w:val="24"/>
          <w:highlight w:val="none"/>
        </w:rPr>
      </w:pPr>
      <w:r>
        <w:rPr>
          <w:rFonts w:hint="eastAsia" w:ascii="新宋体" w:hAnsi="新宋体" w:eastAsia="新宋体"/>
          <w:sz w:val="24"/>
          <w:highlight w:val="none"/>
        </w:rPr>
        <w:t xml:space="preserve">（截取招标文件“</w:t>
      </w:r>
      <w:r>
        <w:rPr>
          <w:rFonts w:hint="eastAsia" w:ascii="新宋体" w:hAnsi="新宋体" w:eastAsia="新宋体"/>
          <w:sz w:val="24"/>
          <w:highlight w:val="none"/>
          <w:lang w:eastAsia="zh-CN"/>
        </w:rPr>
        <w:t xml:space="preserve">第四章：采购需求</w:t>
      </w:r>
      <w:r>
        <w:rPr>
          <w:rFonts w:hint="eastAsia" w:ascii="新宋体" w:hAnsi="新宋体" w:eastAsia="新宋体"/>
          <w:sz w:val="24"/>
          <w:highlight w:val="none"/>
        </w:rPr>
        <w:t xml:space="preserve">” 中相关内容）</w:t>
      </w:r>
      <w:r/>
    </w:p>
    <w:p>
      <w:pPr>
        <w:ind w:firstLine="482"/>
        <w:spacing w:line="480" w:lineRule="auto"/>
        <w:rPr>
          <w:rFonts w:ascii="新宋体" w:hAnsi="新宋体" w:eastAsia="新宋体"/>
          <w:b/>
          <w:bCs/>
          <w:sz w:val="24"/>
          <w:highlight w:val="none"/>
        </w:rPr>
        <w:outlineLvl w:val="0"/>
      </w:pPr>
      <w:r/>
      <w:bookmarkStart w:id="35" w:name="_Toc10618"/>
      <w:r>
        <w:rPr>
          <w:rFonts w:hint="eastAsia" w:ascii="新宋体" w:hAnsi="新宋体" w:eastAsia="新宋体"/>
          <w:b/>
          <w:bCs/>
          <w:sz w:val="24"/>
          <w:highlight w:val="none"/>
        </w:rPr>
        <w:t xml:space="preserve">附件</w:t>
      </w:r>
      <w:r>
        <w:rPr>
          <w:rFonts w:ascii="新宋体" w:hAnsi="新宋体" w:eastAsia="新宋体"/>
          <w:b/>
          <w:bCs/>
          <w:sz w:val="24"/>
          <w:highlight w:val="none"/>
        </w:rPr>
        <w:t xml:space="preserve">3</w:t>
      </w:r>
      <w:r>
        <w:rPr>
          <w:rFonts w:hint="eastAsia" w:ascii="新宋体" w:hAnsi="新宋体" w:eastAsia="新宋体"/>
          <w:b/>
          <w:bCs/>
          <w:sz w:val="24"/>
          <w:highlight w:val="none"/>
        </w:rPr>
        <w:t xml:space="preserve">：乙方营业执照、人员表、设备表及服务承诺</w:t>
      </w:r>
      <w:bookmarkEnd w:id="35"/>
      <w:r/>
      <w:r/>
    </w:p>
    <w:p>
      <w:pPr>
        <w:ind w:firstLine="480"/>
        <w:spacing w:line="480" w:lineRule="auto"/>
        <w:rPr>
          <w:rFonts w:asciiTheme="minorEastAsia" w:hAnsiTheme="minorEastAsia" w:eastAsiaTheme="minorEastAsia" w:cstheme="minorEastAsia"/>
          <w:b/>
          <w:bCs/>
          <w:sz w:val="32"/>
          <w:szCs w:val="32"/>
          <w:highlight w:val="none"/>
        </w:rPr>
        <w:sectPr>
          <w:footnotePr/>
          <w:endnotePr/>
          <w:type w:val="nextPage"/>
          <w:pgSz w:w="11906" w:h="16838" w:orient="portrait"/>
          <w:pgMar w:top="1134" w:right="1134" w:bottom="1134" w:left="1134" w:header="227" w:footer="397" w:gutter="0"/>
          <w:cols w:num="1" w:sep="0" w:space="720" w:equalWidth="1"/>
          <w:docGrid w:linePitch="360"/>
        </w:sectPr>
      </w:pPr>
      <w:r>
        <w:rPr>
          <w:rFonts w:hint="eastAsia" w:ascii="新宋体" w:hAnsi="新宋体" w:eastAsia="新宋体"/>
          <w:sz w:val="24"/>
          <w:highlight w:val="none"/>
        </w:rPr>
        <w:t xml:space="preserve">（截取中标人投标文件中营业执照、人员表、设备表及服务承诺）</w:t>
      </w:r>
      <w:r/>
    </w:p>
    <w:p>
      <w:pPr>
        <w:jc w:val="left"/>
        <w:spacing w:line="360" w:lineRule="auto"/>
        <w:tabs>
          <w:tab w:val="left" w:pos="5115"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附件4：</w:t>
      </w:r>
      <w:r/>
    </w:p>
    <w:p>
      <w:pPr>
        <w:jc w:val="center"/>
        <w:spacing w:line="360" w:lineRule="auto"/>
        <w:tabs>
          <w:tab w:val="left" w:pos="5115" w:leader="none"/>
        </w:tabs>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安全施工与文明现场协议书</w:t>
      </w:r>
      <w:r/>
    </w:p>
    <w:p>
      <w:pPr>
        <w:spacing w:line="360" w:lineRule="auto"/>
        <w:tabs>
          <w:tab w:val="left" w:pos="5115" w:leader="none"/>
        </w:tabs>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发包人(全称)：</w:t>
      </w:r>
      <w:r>
        <w:rPr>
          <w:rFonts w:hint="eastAsia" w:ascii="宋体" w:hAnsi="宋体"/>
          <w:color w:val="000000" w:themeColor="text1"/>
          <w:highlight w:val="none"/>
          <w:u w:val="single"/>
          <w14:textFill>
            <w14:solidFill>
              <w14:schemeClr w14:val="tx1"/>
            </w14:solidFill>
          </w14:textFill>
        </w:rPr>
        <w:t xml:space="preserve">                             </w:t>
      </w:r>
      <w:r/>
    </w:p>
    <w:p>
      <w:pPr>
        <w:spacing w:line="360" w:lineRule="auto"/>
        <w:tabs>
          <w:tab w:val="left" w:pos="5115" w:leader="none"/>
        </w:tabs>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承包人(全称)：</w:t>
      </w:r>
      <w:r>
        <w:rPr>
          <w:rFonts w:hint="eastAsia" w:ascii="宋体" w:hAnsi="宋体"/>
          <w:color w:val="000000" w:themeColor="text1"/>
          <w:highlight w:val="none"/>
          <w:u w:val="single"/>
          <w14:textFill>
            <w14:solidFill>
              <w14:schemeClr w14:val="tx1"/>
            </w14:solidFill>
          </w14:textFill>
        </w:rPr>
        <w:t xml:space="preserve">                             </w:t>
      </w:r>
      <w:r/>
    </w:p>
    <w:p>
      <w:pPr>
        <w:ind w:firstLine="420"/>
        <w:spacing w:line="360" w:lineRule="auto"/>
        <w:tabs>
          <w:tab w:val="left" w:pos="5115" w:leader="none"/>
        </w:tabs>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根据国家相关法律法规及省市有关文件精</w:t>
      </w:r>
      <w:r>
        <w:rPr>
          <w:rFonts w:hint="eastAsia" w:ascii="宋体" w:hAnsi="宋体" w:cs="Times New Roman"/>
          <w:color w:val="000000" w:themeColor="text1"/>
          <w:highlight w:val="none"/>
          <w14:textFill>
            <w14:solidFill>
              <w14:schemeClr w14:val="tx1"/>
            </w14:solidFill>
          </w14:textFill>
        </w:rPr>
        <w:t xml:space="preserve">神，结合</w:t>
      </w:r>
      <w:r>
        <w:rPr>
          <w:rFonts w:hint="eastAsia" w:ascii="宋体" w:hAnsi="宋体" w:cs="Times New Roman"/>
          <w:color w:val="000000" w:themeColor="text1"/>
          <w:highlight w:val="none"/>
          <w:lang w:val="en-US" w:eastAsia="zh-CN"/>
          <w14:textFill>
            <w14:solidFill>
              <w14:schemeClr w14:val="tx1"/>
            </w14:solidFill>
          </w14:textFill>
        </w:rPr>
        <w:t xml:space="preserve">项目</w:t>
      </w:r>
      <w:r>
        <w:rPr>
          <w:rFonts w:hint="eastAsia" w:ascii="宋体" w:hAnsi="宋体" w:cs="Times New Roman"/>
          <w:color w:val="000000" w:themeColor="text1"/>
          <w:highlight w:val="none"/>
          <w14:textFill>
            <w14:solidFill>
              <w14:schemeClr w14:val="tx1"/>
            </w14:solidFill>
          </w14:textFill>
        </w:rPr>
        <w:t xml:space="preserve">的特</w:t>
      </w:r>
      <w:r>
        <w:rPr>
          <w:rFonts w:hint="eastAsia" w:ascii="宋体" w:hAnsi="宋体"/>
          <w:color w:val="000000" w:themeColor="text1"/>
          <w:highlight w:val="none"/>
          <w14:textFill>
            <w14:solidFill>
              <w14:schemeClr w14:val="tx1"/>
            </w14:solidFill>
          </w14:textFill>
        </w:rPr>
        <w:t xml:space="preserve">点及本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安全施工与文明现场的要求，双方签订本协议。本协议作为甲乙双方合同的附件。</w:t>
      </w:r>
      <w:r/>
    </w:p>
    <w:p>
      <w:pPr>
        <w:ind w:firstLine="420"/>
        <w:spacing w:line="360" w:lineRule="auto"/>
        <w:tabs>
          <w:tab w:val="left" w:pos="5115" w:leader="none"/>
        </w:tabs>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一、</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概况：见合同。</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二、</w:t>
      </w:r>
      <w:r>
        <w:rPr>
          <w:rFonts w:hint="eastAsia" w:ascii="宋体" w:hAnsi="宋体"/>
          <w:color w:val="000000" w:themeColor="text1"/>
          <w:highlight w:val="none"/>
          <w14:textFill>
            <w14:solidFill>
              <w14:schemeClr w14:val="tx1"/>
            </w14:solidFill>
          </w14:textFill>
        </w:rPr>
        <w:t xml:space="preserve">安全生产目标：安全生产无事故。</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三、</w:t>
      </w:r>
      <w:r>
        <w:rPr>
          <w:rFonts w:hint="eastAsia" w:ascii="宋体" w:hAnsi="宋体"/>
          <w:color w:val="000000" w:themeColor="text1"/>
          <w:highlight w:val="none"/>
          <w14:textFill>
            <w14:solidFill>
              <w14:schemeClr w14:val="tx1"/>
            </w14:solidFill>
          </w14:textFill>
        </w:rPr>
        <w:t xml:space="preserve">发包人职责：</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1、按规定检查、指导乙方安全文明施工现场管理。</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2、协调各参与方于</w:t>
      </w:r>
      <w:r>
        <w:rPr>
          <w:rFonts w:hint="eastAsia" w:ascii="宋体" w:hAnsi="宋体"/>
          <w:color w:val="000000" w:themeColor="text1"/>
          <w:highlight w:val="none"/>
          <w:lang w:val="en-US" w:eastAsia="zh-CN"/>
          <w14:textFill>
            <w14:solidFill>
              <w14:schemeClr w14:val="tx1"/>
            </w14:solidFill>
          </w14:textFill>
        </w:rPr>
        <w:t xml:space="preserve">服务</w:t>
      </w:r>
      <w:r>
        <w:rPr>
          <w:rFonts w:hint="eastAsia" w:ascii="宋体" w:hAnsi="宋体"/>
          <w:color w:val="000000" w:themeColor="text1"/>
          <w:highlight w:val="none"/>
          <w14:textFill>
            <w14:solidFill>
              <w14:schemeClr w14:val="tx1"/>
            </w14:solidFill>
          </w14:textFill>
        </w:rPr>
        <w:t xml:space="preserve">单位之间的协作关系。</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四、</w:t>
      </w:r>
      <w:r>
        <w:rPr>
          <w:rFonts w:hint="eastAsia" w:ascii="宋体" w:hAnsi="宋体"/>
          <w:color w:val="000000" w:themeColor="text1"/>
          <w:highlight w:val="none"/>
          <w14:textFill>
            <w14:solidFill>
              <w14:schemeClr w14:val="tx1"/>
            </w14:solidFill>
          </w14:textFill>
        </w:rPr>
        <w:t xml:space="preserve">承包人职责：</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1、项目负责人是安全文明生产责任人，须建立安全文明生产管理小组。</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2、结合本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实际情况及相关规定，具体制定并在</w:t>
      </w:r>
      <w:r>
        <w:rPr>
          <w:rFonts w:hint="eastAsia" w:ascii="宋体" w:hAnsi="宋体"/>
          <w:color w:val="000000" w:themeColor="text1"/>
          <w:highlight w:val="none"/>
          <w:lang w:val="en-US" w:eastAsia="zh-CN"/>
          <w14:textFill>
            <w14:solidFill>
              <w14:schemeClr w14:val="tx1"/>
            </w14:solidFill>
          </w14:textFill>
        </w:rPr>
        <w:t xml:space="preserve">服务期间</w:t>
      </w:r>
      <w:r>
        <w:rPr>
          <w:rFonts w:hint="eastAsia" w:ascii="宋体" w:hAnsi="宋体"/>
          <w:color w:val="000000" w:themeColor="text1"/>
          <w:highlight w:val="none"/>
          <w14:textFill>
            <w14:solidFill>
              <w14:schemeClr w14:val="tx1"/>
            </w14:solidFill>
          </w14:textFill>
        </w:rPr>
        <w:t xml:space="preserve">认真执行安全生产条例及实施细则。内容须包括以下方面；</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①施工现场安全防护工作要按相关规定落实到位；</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②对职工进行安全文明教育；</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③严格遵守安全生产纪律及各项规程；</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④做好场容场貌，如工地围挡、便道、材料堆放、五牌一图等；</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⑤保持绿地卫生状况良好；做好卫生防疫工作；</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⑥做好爱民便民及其它工作，保持良好的施工环境和氛围；</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⑦做好与相关部门和单位的协调与配合；</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⑧落实法律、法规、及相关管理文件要求的各项工作。</w:t>
      </w:r>
      <w:r/>
    </w:p>
    <w:p>
      <w:pPr>
        <w:ind w:firstLine="420"/>
        <w:spacing w:line="360" w:lineRule="auto"/>
        <w:tabs>
          <w:tab w:val="left" w:pos="900" w:leader="none"/>
        </w:tabs>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3、指定专人做好安全管理日志。</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五、</w:t>
      </w:r>
      <w:r>
        <w:rPr>
          <w:rFonts w:hint="eastAsia" w:ascii="宋体" w:hAnsi="宋体"/>
          <w:color w:val="000000" w:themeColor="text1"/>
          <w:highlight w:val="none"/>
          <w14:textFill>
            <w14:solidFill>
              <w14:schemeClr w14:val="tx1"/>
            </w14:solidFill>
          </w14:textFill>
        </w:rPr>
        <w:t xml:space="preserve">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 xml:space="preserve">合同总价</w:t>
      </w:r>
      <w:r>
        <w:rPr>
          <w:rFonts w:hint="eastAsia" w:ascii="宋体" w:hAnsi="宋体"/>
          <w:color w:val="000000" w:themeColor="text1"/>
          <w:highlight w:val="none"/>
          <w14:textFill>
            <w14:solidFill>
              <w14:schemeClr w14:val="tx1"/>
            </w14:solidFill>
          </w14:textFill>
        </w:rPr>
        <w:t xml:space="preserve">款中直接扣除），具体如下：</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1、一般性违章作业每发现一次扣罚违约金人民币500元以上。</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2、重大违章作业每发现一次扣罚违约金人民币1500元以上。造成后果的，将视情节轻重、根据相关规定进行处理和处罚。</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六、</w:t>
      </w:r>
      <w:r>
        <w:rPr>
          <w:rFonts w:hint="eastAsia" w:ascii="宋体" w:hAnsi="宋体"/>
          <w:color w:val="000000" w:themeColor="text1"/>
          <w:highlight w:val="none"/>
          <w14:textFill>
            <w14:solidFill>
              <w14:schemeClr w14:val="tx1"/>
            </w14:solidFill>
          </w14:textFill>
        </w:rPr>
        <w:t xml:space="preserve">考虑本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能顺利、高效地推进，对承包人作如下要求：</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1、承包人及其下属各施工队、组人员在与其他部门、单位、个人或在承包人内部之间发生矛盾时，应采取友好协商的形式予以解决。</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2、承包人须确保自己各</w:t>
      </w:r>
      <w:r>
        <w:rPr>
          <w:rFonts w:hint="eastAsia" w:ascii="宋体" w:hAnsi="宋体"/>
          <w:color w:val="000000" w:themeColor="text1"/>
          <w:highlight w:val="none"/>
          <w:lang w:val="en-US" w:eastAsia="zh-CN"/>
          <w14:textFill>
            <w14:solidFill>
              <w14:schemeClr w14:val="tx1"/>
            </w14:solidFill>
          </w14:textFill>
        </w:rPr>
        <w:t xml:space="preserve">作业人员</w:t>
      </w:r>
      <w:r>
        <w:rPr>
          <w:rFonts w:hint="eastAsia" w:ascii="宋体" w:hAnsi="宋体"/>
          <w:color w:val="000000" w:themeColor="text1"/>
          <w:highlight w:val="none"/>
          <w14:textFill>
            <w14:solidFill>
              <w14:schemeClr w14:val="tx1"/>
            </w14:solidFill>
          </w14:textFill>
        </w:rPr>
        <w:t xml:space="preserve">在本</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范围内不因任何事由发生暴力行为。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 xml:space="preserve">项目</w:t>
      </w:r>
      <w:r>
        <w:rPr>
          <w:rFonts w:hint="eastAsia" w:ascii="宋体" w:hAnsi="宋体"/>
          <w:color w:val="000000" w:themeColor="text1"/>
          <w:highlight w:val="none"/>
          <w14:textFill>
            <w14:solidFill>
              <w14:schemeClr w14:val="tx1"/>
            </w14:solidFill>
          </w14:textFill>
        </w:rPr>
        <w:t xml:space="preserve">现场，同时要扣罚承包人每发生一次不少于1000元人民币（当事人200元以下）的违约金，该违约金将直接从当期的养护款中扣除。</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七</w:t>
      </w:r>
      <w:r>
        <w:rPr>
          <w:rFonts w:hint="eastAsia" w:ascii="宋体" w:hAnsi="宋体"/>
          <w:color w:val="000000" w:themeColor="text1"/>
          <w:highlight w:val="none"/>
          <w14:textFill>
            <w14:solidFill>
              <w14:schemeClr w14:val="tx1"/>
            </w14:solidFill>
          </w14:textFill>
        </w:rPr>
        <w:t xml:space="preserve">、本协议经签字盖章后生效。</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八</w:t>
      </w:r>
      <w:r>
        <w:rPr>
          <w:rFonts w:hint="eastAsia" w:ascii="宋体" w:hAnsi="宋体"/>
          <w:color w:val="000000" w:themeColor="text1"/>
          <w:highlight w:val="none"/>
          <w14:textFill>
            <w14:solidFill>
              <w14:schemeClr w14:val="tx1"/>
            </w14:solidFill>
          </w14:textFill>
        </w:rPr>
        <w:t xml:space="preserve">、本协议书作为合同附件，由合同双方共同签署。</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756"/>
        <w:rPr>
          <w:highlight w:val="none"/>
        </w:rPr>
      </w:pPr>
      <w:r>
        <w:rPr>
          <w:highlight w:val="none"/>
        </w:rPr>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发 包 人：（公章）                     承 包 人：（公章）</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r/>
    </w:p>
    <w:p>
      <w:pPr>
        <w:spacing w:line="360" w:lineRule="auto"/>
        <w:tabs>
          <w:tab w:val="left" w:pos="5115" w:leader="none"/>
        </w:tabs>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highlight w:val="none"/>
        </w:rPr>
      </w:pPr>
      <w:r>
        <w:rPr>
          <w:rFonts w:hint="eastAsia" w:ascii="宋体" w:hAnsi="宋体"/>
          <w:color w:val="000000" w:themeColor="text1"/>
          <w:highlight w:val="none"/>
          <w14:textFill>
            <w14:solidFill>
              <w14:schemeClr w14:val="tx1"/>
            </w14:solidFill>
          </w14:textFill>
        </w:rPr>
        <w:t xml:space="preserve">年   月   日                        年   月   日</w:t>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66"/>
        <w:ind w:left="0" w:right="1470"/>
        <w:rPr>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r>
      <w:r>
        <w:rPr>
          <w:rFonts w:hint="eastAsia"/>
          <w:color w:val="000000" w:themeColor="text1"/>
          <w:highlight w:val="none"/>
          <w14:textFill>
            <w14:solidFill>
              <w14:schemeClr w14:val="tx1"/>
            </w14:solidFill>
          </w14:textFill>
        </w:rPr>
      </w:r>
    </w:p>
    <w:p>
      <w:pPr>
        <w:pStyle w:val="766"/>
        <w:ind w:left="0" w:right="1470"/>
        <w:rPr>
          <w:rFonts w:hint="eastAsia"/>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附件</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p>
    <w:p>
      <w:pPr>
        <w:jc w:val="center"/>
        <w:rPr>
          <w:rFonts w:ascii="黑体" w:hAnsi="黑体" w:eastAsia="黑体" w:cs="宋体"/>
          <w:color w:val="000000" w:themeColor="text1"/>
          <w:sz w:val="36"/>
          <w:szCs w:val="36"/>
          <w:highlight w:val="none"/>
          <w14:textFill>
            <w14:solidFill>
              <w14:schemeClr w14:val="tx1"/>
            </w14:solidFill>
          </w14:textFill>
        </w:rPr>
      </w:pPr>
      <w:r>
        <w:rPr>
          <w:rFonts w:hint="eastAsia" w:ascii="黑体" w:hAnsi="黑体" w:eastAsia="黑体" w:cs="宋体"/>
          <w:color w:val="000000" w:themeColor="text1"/>
          <w:sz w:val="36"/>
          <w:szCs w:val="36"/>
          <w:highlight w:val="none"/>
          <w14:textFill>
            <w14:solidFill>
              <w14:schemeClr w14:val="tx1"/>
            </w14:solidFill>
          </w14:textFill>
        </w:rPr>
        <w:t xml:space="preserve">廉政管理协议书</w:t>
      </w:r>
      <w:r/>
    </w:p>
    <w:p>
      <w:pPr>
        <w:ind w:firstLine="420"/>
        <w:jc w:val="left"/>
        <w:spacing w:line="360" w:lineRule="auto"/>
        <w:rPr>
          <w:rFonts w:ascii="宋体" w:hAnsi="宋体" w:cs="宋体"/>
          <w:b/>
          <w:bCs/>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招标单位（甲方）：</w:t>
      </w:r>
      <w:r>
        <w:rPr>
          <w:rFonts w:hint="eastAsia" w:ascii="宋体" w:hAnsi="宋体"/>
          <w:b/>
          <w:color w:val="000000" w:themeColor="text1"/>
          <w:highlight w:val="none"/>
          <w:u w:val="single"/>
          <w14:textFill>
            <w14:solidFill>
              <w14:schemeClr w14:val="tx1"/>
            </w14:solidFill>
          </w14:textFill>
        </w:rPr>
        <w:t xml:space="preserve">                        </w:t>
      </w:r>
      <w:r/>
    </w:p>
    <w:p>
      <w:pPr>
        <w:ind w:firstLine="420"/>
        <w:jc w:val="left"/>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投标单位（乙方）：</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p>
    <w:p>
      <w:pPr>
        <w:ind w:firstLine="420"/>
        <w:jc w:val="left"/>
        <w:spacing w:line="360" w:lineRule="auto"/>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承包单位服务项目：</w:t>
      </w:r>
      <w:r>
        <w:rPr>
          <w:rFonts w:hint="eastAsia" w:ascii="宋体" w:hAnsi="宋体"/>
          <w:b/>
          <w:bCs/>
          <w:color w:val="000000" w:themeColor="text1"/>
          <w:highlight w:val="none"/>
          <w:u w:val="single"/>
          <w14:textFill>
            <w14:solidFill>
              <w14:schemeClr w14:val="tx1"/>
            </w14:solidFill>
          </w14:textFill>
        </w:rPr>
        <w:t xml:space="preserve">                             </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为了加强服务项目的廉政管理，确保服务项目高效优质，经甲乙双方同意签订廉政管理协议书并作为甲乙双方共同遵守的廉政行为准则。</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招标单位（甲方）廉政管理职责：</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甲方有责任向乙方介绍本单位有关廉政管理的各项制度和规定。</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甲方有责任对单位服务项目人员进行廉政教育。</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甲方有权对乙方在服务项目中执行廉政情况实行监督。</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甲方人员应严格遵守本单位制定的廉政管理制度，如违反此规定除给予当事人批评教育外，视情节轻重、后果大小给予相应的经济或纪律处罚。</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甲方人员参加乙方单位的宴请及各种会议，需经主管领导同意，会议所发的礼品、礼券（现金）均应按所在单位有关规定执行。</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甲方人员在服务项目中发现乙方单位有不廉政的行为，应及时采取措施，终止其不廉政行为的继续发生，并报告主管领导。</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投标单位（乙方）廉政管理职责：</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乙方应了解甲方单位有关廉政管理方面的各项制度和规定，并遵守执行。</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乙方有责任对本单位服务项目人员进行廉政教育（包括甲方单位制定的有关廉政方面的制度和规定），按时出席甲方召集的廉政管理会议。</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highlight w:val="none"/>
          <w14:textFill>
            <w14:solidFill>
              <w14:schemeClr w14:val="tx1"/>
            </w14:solidFill>
          </w14:textFill>
        </w:rPr>
        <w:t xml:space="preserve">200-500</w:t>
      </w:r>
      <w:r>
        <w:rPr>
          <w:rFonts w:hint="eastAsia" w:ascii="宋体" w:hAnsi="宋体" w:cs="宋体"/>
          <w:color w:val="000000" w:themeColor="text1"/>
          <w:highlight w:val="none"/>
          <w14:textFill>
            <w14:solidFill>
              <w14:schemeClr w14:val="tx1"/>
            </w14:solidFill>
          </w14:textFill>
        </w:rPr>
        <w:t xml:space="preserve">元罚款，</w:t>
      </w:r>
      <w:r>
        <w:rPr>
          <w:rFonts w:hint="eastAsia" w:ascii="宋体" w:hAnsi="宋体" w:cs="宋体"/>
          <w:color w:val="000000" w:themeColor="text1"/>
          <w:highlight w:val="none"/>
          <w:lang w:eastAsia="zh-CN"/>
          <w14:textFill>
            <w14:solidFill>
              <w14:schemeClr w14:val="tx1"/>
            </w14:solidFill>
          </w14:textFill>
        </w:rPr>
        <w:t xml:space="preserve">后果严重</w:t>
      </w:r>
      <w:r>
        <w:rPr>
          <w:rFonts w:hint="eastAsia" w:ascii="宋体" w:hAnsi="宋体" w:cs="宋体"/>
          <w:color w:val="000000" w:themeColor="text1"/>
          <w:highlight w:val="none"/>
          <w14:textFill>
            <w14:solidFill>
              <w14:schemeClr w14:val="tx1"/>
            </w14:solidFill>
          </w14:textFill>
        </w:rPr>
        <w:t xml:space="preserve">的扣除乙方单位服务项目造价的</w:t>
      </w: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，直至终止其项目服务合同，由此给甲方单位造成的损失均由乙方单位承担。</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乙方在服务项目中采用不正当的手段拉拢甲方人员，损害甲方利益，根据具体情节和造成的后果扣除乙方单位在服务项目总造价的</w:t>
      </w:r>
      <w:r>
        <w:rPr>
          <w:rFonts w:ascii="宋体" w:hAnsi="宋体" w:cs="宋体"/>
          <w:color w:val="000000" w:themeColor="text1"/>
          <w:highlight w:val="none"/>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直至终止服务项目合同，由此给甲方单位造成的损失均由乙方单位承担。</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如乙方在服务项目中贿赂甲方人员，被检察机关立案查处的，甲方有权取消或终止服务项目合同。由此给甲方单位造成的损失均由乙方单位承担，并向甲方单位承担经济赔偿责任。</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乙方在服务项目中发现甲方人员有不廉政行为，应及时采取措施，积极有效地终止其不廉政行为的连续发生，并及时告知甲方单位主管领导。</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乙方任何人员向甲方人员行贿，无论是甲方索贿，还是乙方主动行贿，一旦此事被确认，乙方均自愿在原合同基础上让利</w:t>
      </w:r>
      <w:r>
        <w:rPr>
          <w:rFonts w:ascii="宋体" w:hAnsi="宋体" w:cs="宋体"/>
          <w:color w:val="000000" w:themeColor="text1"/>
          <w:highlight w:val="none"/>
          <w14:textFill>
            <w14:solidFill>
              <w14:schemeClr w14:val="tx1"/>
            </w14:solidFill>
          </w14:textFill>
        </w:rPr>
        <w:t xml:space="preserve">20</w:t>
      </w:r>
      <w:r>
        <w:rPr>
          <w:rFonts w:hint="eastAsia" w:ascii="宋体" w:hAnsi="宋体" w:cs="宋体"/>
          <w:color w:val="000000" w:themeColor="text1"/>
          <w:highlight w:val="none"/>
          <w14:textFill>
            <w14:solidFill>
              <w14:schemeClr w14:val="tx1"/>
            </w14:solidFill>
          </w14:textFill>
        </w:rPr>
        <w:t xml:space="preserve">万元。</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采购单位：</w:t>
      </w:r>
      <w:r>
        <w:rPr>
          <w:rFonts w:ascii="宋体" w:hAnsi="宋体" w:cs="宋体"/>
          <w:b/>
          <w:bCs/>
          <w:color w:val="000000" w:themeColor="text1"/>
          <w:highlight w:val="none"/>
          <w14:textFill>
            <w14:solidFill>
              <w14:schemeClr w14:val="tx1"/>
            </w14:solidFill>
          </w14:textFill>
        </w:rPr>
        <w:t xml:space="preserve"> </w:t>
      </w:r>
      <w:r>
        <w:rPr>
          <w:rFonts w:ascii="宋体" w:hAnsi="宋体" w:cs="宋体"/>
          <w:b/>
          <w:bCs/>
          <w:color w:val="000000" w:themeColor="text1"/>
          <w:highlight w:val="none"/>
          <w:u w:val="single"/>
          <w14:textFill>
            <w14:solidFill>
              <w14:schemeClr w14:val="tx1"/>
            </w14:solidFill>
          </w14:textFill>
        </w:rPr>
        <w:t xml:space="preserve">               </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服务单位：</w:t>
      </w:r>
      <w:r>
        <w:rPr>
          <w:rFonts w:ascii="宋体" w:hAnsi="宋体" w:cs="宋体"/>
          <w:b/>
          <w:bCs/>
          <w:color w:val="000000" w:themeColor="text1"/>
          <w:highlight w:val="none"/>
          <w:u w:val="single"/>
          <w14:textFill>
            <w14:solidFill>
              <w14:schemeClr w14:val="tx1"/>
            </w14:solidFill>
          </w14:textFill>
        </w:rPr>
        <w:t xml:space="preserve">               </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甲方单位经办人：</w:t>
      </w:r>
      <w:r>
        <w:rPr>
          <w:rFonts w:ascii="宋体" w:hAnsi="宋体" w:cs="宋体"/>
          <w:b/>
          <w:bCs/>
          <w:color w:val="000000" w:themeColor="text1"/>
          <w:highlight w:val="none"/>
          <w:u w:val="single"/>
          <w14:textFill>
            <w14:solidFill>
              <w14:schemeClr w14:val="tx1"/>
            </w14:solidFill>
          </w14:textFill>
        </w:rPr>
        <w:t xml:space="preserve">          </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乙方单位经办人：</w:t>
      </w:r>
      <w:r>
        <w:rPr>
          <w:rFonts w:ascii="宋体" w:hAnsi="宋体" w:cs="宋体"/>
          <w:b/>
          <w:bCs/>
          <w:color w:val="000000" w:themeColor="text1"/>
          <w:highlight w:val="none"/>
          <w:u w:val="single"/>
          <w14:textFill>
            <w14:solidFill>
              <w14:schemeClr w14:val="tx1"/>
            </w14:solidFill>
          </w14:textFill>
        </w:rPr>
        <w:t xml:space="preserve">         </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甲方单位负责人：</w:t>
      </w:r>
      <w:r>
        <w:rPr>
          <w:rFonts w:ascii="宋体" w:hAnsi="宋体" w:cs="宋体"/>
          <w:b/>
          <w:bCs/>
          <w:color w:val="000000" w:themeColor="text1"/>
          <w:highlight w:val="none"/>
          <w:u w:val="single"/>
          <w14:textFill>
            <w14:solidFill>
              <w14:schemeClr w14:val="tx1"/>
            </w14:solidFill>
          </w14:textFill>
        </w:rPr>
        <w:t xml:space="preserve">          </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乙方单位负责人：</w:t>
      </w:r>
      <w:r>
        <w:rPr>
          <w:rFonts w:ascii="宋体" w:hAnsi="宋体" w:cs="宋体"/>
          <w:b/>
          <w:bCs/>
          <w:color w:val="000000" w:themeColor="text1"/>
          <w:highlight w:val="none"/>
          <w:u w:val="single"/>
          <w14:textFill>
            <w14:solidFill>
              <w14:schemeClr w14:val="tx1"/>
            </w14:solidFill>
          </w14:textFill>
        </w:rPr>
        <w:t xml:space="preserve">         </w:t>
      </w:r>
      <w:r/>
    </w:p>
    <w:p>
      <w:pPr>
        <w:jc w:val="lef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时间：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月</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日</w:t>
      </w:r>
      <w:r>
        <w:rPr>
          <w:rFonts w:ascii="宋体" w:hAnsi="宋体" w:cs="宋体"/>
          <w:b/>
          <w:bCs/>
          <w:color w:val="000000" w:themeColor="text1"/>
          <w:highlight w:val="non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时间：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年</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月</w:t>
      </w:r>
      <w:r>
        <w:rPr>
          <w:rFonts w:ascii="宋体" w:hAnsi="宋体" w:cs="宋体"/>
          <w:b/>
          <w:bCs/>
          <w:color w:val="000000" w:themeColor="text1"/>
          <w:highlight w:val="none"/>
          <w:u w:val="single"/>
          <w14:textFill>
            <w14:solidFill>
              <w14:schemeClr w14:val="tx1"/>
            </w14:solidFill>
          </w14:textFill>
        </w:rPr>
        <w:t xml:space="preserve">    </w:t>
      </w:r>
      <w:r>
        <w:rPr>
          <w:rFonts w:hint="eastAsia" w:ascii="宋体" w:hAnsi="宋体" w:cs="宋体"/>
          <w:b/>
          <w:bCs/>
          <w:color w:val="000000" w:themeColor="text1"/>
          <w:highlight w:val="none"/>
          <w14:textFill>
            <w14:solidFill>
              <w14:schemeClr w14:val="tx1"/>
            </w14:solidFill>
          </w14:textFill>
        </w:rPr>
        <w:t xml:space="preserve">日</w:t>
      </w:r>
      <w:r/>
    </w:p>
    <w:p>
      <w:pPr>
        <w:pStyle w:val="766"/>
        <w:ind w:left="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附件</w:t>
      </w: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w:t>
      </w:r>
      <w:r/>
    </w:p>
    <w:p>
      <w:pPr>
        <w:jc w:val="center"/>
        <w:rPr>
          <w:rFonts w:ascii="黑体" w:hAnsi="黑体" w:eastAsia="黑体" w:cs="宋体"/>
          <w:b/>
          <w:bCs/>
          <w:color w:val="000000" w:themeColor="text1"/>
          <w:spacing w:val="15"/>
          <w:sz w:val="36"/>
          <w:szCs w:val="36"/>
          <w:highlight w:val="none"/>
          <w14:textFill>
            <w14:solidFill>
              <w14:schemeClr w14:val="tx1"/>
            </w14:solidFill>
          </w14:textFill>
        </w:rPr>
      </w:pPr>
      <w:r>
        <w:rPr>
          <w:rFonts w:hint="eastAsia" w:ascii="黑体" w:hAnsi="黑体" w:eastAsia="黑体" w:cs="宋体"/>
          <w:b/>
          <w:bCs/>
          <w:color w:val="000000" w:themeColor="text1"/>
          <w:spacing w:val="15"/>
          <w:sz w:val="36"/>
          <w:szCs w:val="36"/>
          <w:highlight w:val="none"/>
          <w14:textFill>
            <w14:solidFill>
              <w14:schemeClr w14:val="tx1"/>
            </w14:solidFill>
          </w14:textFill>
        </w:rPr>
        <w:t xml:space="preserve">安全生产责任承诺书</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spacing w:line="360" w:lineRule="auto"/>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u w:val="single"/>
          <w14:textFill>
            <w14:solidFill>
              <w14:schemeClr w14:val="tx1"/>
            </w14:solidFill>
          </w14:textFill>
        </w:rPr>
        <w:t xml:space="preserve">                     ：</w:t>
      </w:r>
      <w:r/>
    </w:p>
    <w:p>
      <w:pPr>
        <w:ind w:firstLine="480"/>
        <w:jc w:val="left"/>
        <w:spacing w:line="360" w:lineRule="auto"/>
        <w:rPr>
          <w:rFonts w:ascii="宋体" w:hAnsi="宋体" w:cs="宋体"/>
          <w:color w:val="000000" w:themeColor="text1"/>
          <w:spacing w:val="15"/>
          <w:highlight w:val="non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我</w:t>
      </w:r>
      <w:r>
        <w:rPr>
          <w:rFonts w:ascii="宋体" w:hAnsi="宋体" w:cs="宋体"/>
          <w:color w:val="000000" w:themeColor="text1"/>
          <w:spacing w:val="15"/>
          <w:highlight w:val="none"/>
          <w:u w:val="single"/>
          <w14:textFill>
            <w14:solidFill>
              <w14:schemeClr w14:val="tx1"/>
            </w14:solidFill>
          </w14:textFill>
        </w:rPr>
        <w:t xml:space="preserve">                          </w:t>
      </w:r>
      <w:r>
        <w:rPr>
          <w:rFonts w:hint="eastAsia" w:ascii="宋体" w:hAnsi="宋体" w:cs="宋体"/>
          <w:color w:val="000000" w:themeColor="text1"/>
          <w:spacing w:val="15"/>
          <w:highlight w:val="none"/>
          <w14:textFill>
            <w14:solidFill>
              <w14:schemeClr w14:val="tx1"/>
            </w14:solidFill>
          </w14:textFill>
        </w:rPr>
        <w:t xml:space="preserve">公司现向贵公司承诺，我公司在</w:t>
      </w:r>
      <w:r>
        <w:rPr>
          <w:rFonts w:hint="eastAsia" w:ascii="宋体" w:hAnsi="宋体"/>
          <w:b/>
          <w:bCs/>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实施</w:t>
      </w:r>
      <w:r>
        <w:rPr>
          <w:rFonts w:hint="eastAsia" w:ascii="宋体" w:hAnsi="宋体" w:cs="宋体"/>
          <w:color w:val="000000" w:themeColor="text1"/>
          <w:spacing w:val="15"/>
          <w:highlight w:val="none"/>
          <w14:textFill>
            <w14:solidFill>
              <w14:schemeClr w14:val="tx1"/>
            </w14:solidFill>
          </w14:textFill>
        </w:rPr>
        <w:t xml:space="preserve">过程中，保证不发生重大人员伤亡事故，在此服务过程中所发生的一切工伤事故，或安全事故，均由我公司承担一切责任。</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rPr>
          <w:rFonts w:ascii="宋体" w:hAnsi="宋体" w:cs="宋体"/>
          <w:color w:val="000000" w:themeColor="text1"/>
          <w:spacing w:val="15"/>
          <w:highlight w:val="none"/>
          <w14:textFill>
            <w14:solidFill>
              <w14:schemeClr w14:val="tx1"/>
            </w14:solidFill>
          </w14:textFill>
        </w:rPr>
      </w:pPr>
      <w:r>
        <w:rPr>
          <w:rFonts w:ascii="宋体" w:hAnsi="宋体" w:cs="宋体"/>
          <w:color w:val="000000" w:themeColor="text1"/>
          <w:spacing w:val="15"/>
          <w:highlight w:val="none"/>
          <w14:textFill>
            <w14:solidFill>
              <w14:schemeClr w14:val="tx1"/>
            </w14:solidFill>
          </w14:textFill>
        </w:rPr>
        <w:t xml:space="preserve">                   </w:t>
      </w:r>
      <w:r/>
    </w:p>
    <w:p>
      <w:pPr>
        <w:jc w:val="left"/>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承诺单位（公章）</w:t>
      </w:r>
      <w:r>
        <w:rPr>
          <w:rFonts w:ascii="宋体" w:hAnsi="宋体" w:cs="宋体"/>
          <w:color w:val="000000" w:themeColor="text1"/>
          <w:spacing w:val="15"/>
          <w:highlight w:val="none"/>
          <w:u w:val="single"/>
          <w14:textFill>
            <w14:solidFill>
              <w14:schemeClr w14:val="tx1"/>
            </w14:solidFill>
          </w14:textFill>
        </w:rPr>
        <w:t xml:space="preserve">                  </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法定代表人（签字或盖章）</w:t>
      </w:r>
      <w:r>
        <w:rPr>
          <w:rFonts w:ascii="宋体" w:hAnsi="宋体" w:cs="宋体"/>
          <w:color w:val="000000" w:themeColor="text1"/>
          <w:spacing w:val="15"/>
          <w:highlight w:val="none"/>
          <w:u w:val="single"/>
          <w14:textFill>
            <w14:solidFill>
              <w14:schemeClr w14:val="tx1"/>
            </w14:solidFill>
          </w14:textFill>
        </w:rPr>
        <w:t xml:space="preserve">          </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jc w:val="left"/>
        <w:rPr>
          <w:rFonts w:ascii="宋体" w:hAnsi="宋体" w:cs="宋体"/>
          <w:color w:val="000000" w:themeColor="text1"/>
          <w:spacing w:val="15"/>
          <w:highlight w:val="none"/>
          <w:u w:val="single"/>
          <w14:textFill>
            <w14:solidFill>
              <w14:schemeClr w14:val="tx1"/>
            </w14:solidFill>
          </w14:textFill>
        </w:rPr>
      </w:pPr>
      <w:r>
        <w:rPr>
          <w:rFonts w:hint="eastAsia" w:ascii="宋体" w:hAnsi="宋体" w:cs="宋体"/>
          <w:color w:val="000000" w:themeColor="text1"/>
          <w:spacing w:val="15"/>
          <w:highlight w:val="none"/>
          <w14:textFill>
            <w14:solidFill>
              <w14:schemeClr w14:val="tx1"/>
            </w14:solidFill>
          </w14:textFill>
        </w:rPr>
        <w:t xml:space="preserve">代理人（签字或盖章）</w:t>
      </w:r>
      <w:r>
        <w:rPr>
          <w:rFonts w:ascii="宋体" w:hAnsi="宋体" w:cs="宋体"/>
          <w:color w:val="000000" w:themeColor="text1"/>
          <w:spacing w:val="15"/>
          <w:highlight w:val="none"/>
          <w:u w:val="single"/>
          <w14:textFill>
            <w14:solidFill>
              <w14:schemeClr w14:val="tx1"/>
            </w14:solidFill>
          </w14:textFill>
        </w:rPr>
        <w:t xml:space="preserve">                </w:t>
      </w:r>
      <w:r/>
    </w:p>
    <w:p>
      <w:pPr>
        <w:jc w:val="left"/>
        <w:rPr>
          <w:rFonts w:ascii="宋体" w:hAnsi="宋体"/>
          <w:color w:val="000000" w:themeColor="text1"/>
          <w:spacing w:val="15"/>
          <w:highlight w:val="none"/>
          <w14:textFill>
            <w14:solidFill>
              <w14:schemeClr w14:val="tx1"/>
            </w14:solidFill>
          </w14:textFill>
        </w:rPr>
      </w:pPr>
      <w:r>
        <w:rPr>
          <w:rFonts w:ascii="宋体" w:hAnsi="宋体"/>
          <w:color w:val="000000" w:themeColor="text1"/>
          <w:spacing w:val="15"/>
          <w:highlight w:val="none"/>
          <w14:textFill>
            <w14:solidFill>
              <w14:schemeClr w14:val="tx1"/>
            </w14:solidFill>
          </w14:textFill>
        </w:rPr>
      </w:r>
      <w:r/>
    </w:p>
    <w:p>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highlight w:val="none"/>
          <w14:textFill>
            <w14:solidFill>
              <w14:schemeClr w14:val="tx1"/>
            </w14:solidFill>
          </w14:textFill>
        </w:rPr>
        <w:t xml:space="preserve">日期：</w:t>
      </w:r>
      <w:r>
        <w:rPr>
          <w:rFonts w:ascii="宋体" w:hAnsi="宋体" w:cs="宋体"/>
          <w:color w:val="000000" w:themeColor="text1"/>
          <w:spacing w:val="15"/>
          <w:highlight w:val="none"/>
          <w:u w:val="single"/>
          <w14:textFill>
            <w14:solidFill>
              <w14:schemeClr w14:val="tx1"/>
            </w14:solidFill>
          </w14:textFill>
        </w:rPr>
        <w:t xml:space="preserve">                    </w:t>
      </w:r>
      <w:r/>
    </w:p>
    <w:p>
      <w:pPr>
        <w:rPr>
          <w:rFonts w:ascii="宋体" w:hAnsi="宋体" w:cs="宋体"/>
          <w:szCs w:val="21"/>
          <w:highlight w:val="none"/>
        </w:rPr>
      </w:pPr>
      <w:r>
        <w:rPr>
          <w:rFonts w:cs="宋体"/>
          <w:highlight w:val="none"/>
        </w:rPr>
        <w:br w:type="page" w:clear="all"/>
      </w:r>
      <w:r/>
    </w:p>
    <w:p>
      <w:pPr>
        <w:rPr>
          <w:rFonts w:ascii="宋体" w:hAnsi="宋体" w:cs="宋体"/>
          <w:szCs w:val="21"/>
          <w:highlight w:val="none"/>
        </w:rPr>
      </w:pPr>
      <w:r>
        <w:rPr>
          <w:rFonts w:ascii="宋体" w:hAnsi="宋体" w:cs="宋体"/>
          <w:szCs w:val="21"/>
          <w:highlight w:val="none"/>
        </w:rPr>
      </w:r>
      <w:r/>
    </w:p>
    <w:p>
      <w:pPr>
        <w:pStyle w:val="745"/>
        <w:numPr>
          <w:ilvl w:val="0"/>
          <w:numId w:val="6"/>
        </w:numPr>
        <w:rPr>
          <w:rFonts w:ascii="宋体" w:hAnsi="宋体" w:cs="宋体"/>
          <w:highlight w:val="none"/>
        </w:rPr>
      </w:pPr>
      <w:r/>
      <w:bookmarkStart w:id="36" w:name="_Toc17086"/>
      <w:r/>
      <w:bookmarkStart w:id="37" w:name="_Toc15886"/>
      <w:r>
        <w:rPr>
          <w:rFonts w:hint="eastAsia" w:ascii="宋体" w:hAnsi="宋体" w:cs="宋体"/>
          <w:highlight w:val="none"/>
        </w:rPr>
        <w:t xml:space="preserve">投标文件格式及附件</w:t>
      </w:r>
      <w:bookmarkEnd w:id="36"/>
      <w:r/>
      <w:bookmarkEnd w:id="37"/>
      <w:r/>
      <w:r/>
    </w:p>
    <w:p>
      <w:pPr>
        <w:pStyle w:val="800"/>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jc w:val="both"/>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项目名称：</w:t>
      </w:r>
      <w:r/>
    </w:p>
    <w:p>
      <w:pPr>
        <w:ind w:firstLine="72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 xml:space="preserve">招标编号：</w:t>
      </w:r>
      <w:r/>
    </w:p>
    <w:p>
      <w:pPr>
        <w:ind w:firstLine="720"/>
        <w:jc w:val="both"/>
        <w:rPr>
          <w:rFonts w:hint="eastAsia" w:ascii="宋体" w:hAnsi="宋体" w:cs="宋体"/>
          <w:sz w:val="36"/>
          <w:szCs w:val="36"/>
          <w:highlight w:val="none"/>
          <w:u w:val="single"/>
        </w:rPr>
      </w:pPr>
      <w:r>
        <w:rPr>
          <w:rFonts w:hint="eastAsia" w:ascii="宋体" w:hAnsi="宋体" w:cs="宋体"/>
          <w:sz w:val="36"/>
          <w:szCs w:val="36"/>
          <w:highlight w:val="none"/>
        </w:rPr>
        <w:t xml:space="preserve">投标人</w:t>
      </w:r>
      <w:r>
        <w:rPr>
          <w:rFonts w:hint="eastAsia" w:ascii="宋体" w:hAnsi="宋体" w:cs="宋体"/>
          <w:sz w:val="36"/>
          <w:szCs w:val="36"/>
          <w:highlight w:val="none"/>
          <w:lang w:val="en-US" w:eastAsia="zh-CN"/>
        </w:rPr>
        <w:t xml:space="preserve">名称</w:t>
      </w:r>
      <w:r>
        <w:rPr>
          <w:rFonts w:hint="eastAsia" w:ascii="宋体" w:hAnsi="宋体" w:cs="宋体"/>
          <w:sz w:val="36"/>
          <w:szCs w:val="36"/>
          <w:highlight w:val="none"/>
        </w:rPr>
        <w:t xml:space="preserve">：（加盖电子公章）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lang w:val="en-US" w:eastAsia="zh-CN"/>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default" w:ascii="宋体" w:hAnsi="宋体" w:eastAsia="宋体" w:cs="宋体"/>
          <w:szCs w:val="21"/>
          <w:highlight w:val="none"/>
          <w:lang w:val="en-US" w:eastAsia="zh-CN"/>
        </w:rPr>
      </w:pPr>
      <w:r>
        <w:rPr>
          <w:rFonts w:hint="eastAsia" w:ascii="宋体" w:hAnsi="宋体" w:cs="宋体"/>
          <w:szCs w:val="21"/>
          <w:highlight w:val="none"/>
        </w:rPr>
        <w:t xml:space="preserve"> 致：</w:t>
      </w:r>
      <w:r>
        <w:rPr>
          <w:rFonts w:hint="eastAsia" w:ascii="宋体" w:hAnsi="宋体" w:cs="宋体"/>
          <w:szCs w:val="21"/>
          <w:highlight w:val="none"/>
          <w:lang w:val="en-US" w:eastAsia="zh-CN"/>
        </w:rPr>
        <w:t xml:space="preserve">南京市栖霞区城市管理局</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w:t>
      </w:r>
      <w:r>
        <w:rPr>
          <w:rFonts w:hint="eastAsia" w:ascii="宋体" w:hAnsi="宋体" w:cs="宋体"/>
          <w:highlight w:val="none"/>
          <w:lang w:val="en-US" w:eastAsia="zh-CN"/>
        </w:rPr>
        <w:t xml:space="preserve">方式</w:t>
      </w:r>
      <w:r>
        <w:rPr>
          <w:rFonts w:hint="eastAsia" w:ascii="宋体" w:hAnsi="宋体" w:cs="宋体"/>
          <w:highlight w:val="none"/>
        </w:rPr>
        <w:t xml:space="preserve">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38" w:name="_Toc26810"/>
      <w:r>
        <w:rPr>
          <w:rFonts w:hint="eastAsia" w:ascii="宋体" w:hAnsi="宋体" w:cs="宋体"/>
          <w:b/>
          <w:bCs/>
          <w:szCs w:val="21"/>
          <w:highlight w:val="none"/>
          <w:lang w:val="zh-CN"/>
        </w:rPr>
        <w:t xml:space="preserve">附件三、</w:t>
      </w:r>
      <w:bookmarkEnd w:id="38"/>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759"/>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75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2451"/>
        <w:gridCol w:w="4665"/>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2451" w:type="dxa"/>
            <w:vAlign w:val="center"/>
            <w:textDirection w:val="lrTb"/>
            <w:noWrap w:val="false"/>
          </w:tcPr>
          <w:p>
            <w:pPr>
              <w:pStyle w:val="759"/>
              <w:ind w:firstLine="472"/>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 xml:space="preserve">详见苏采云系统</w:t>
            </w:r>
            <w:r/>
          </w:p>
        </w:tc>
        <w:tc>
          <w:tcPr>
            <w:tcW w:w="4665"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val="en-US" w:eastAsia="zh-CN"/>
              </w:rPr>
              <w:t xml:space="preserve">苏采云系统中填报的价格为2年总价</w:t>
            </w:r>
            <w:r/>
          </w:p>
        </w:tc>
      </w:tr>
    </w:tbl>
    <w:p>
      <w:pPr>
        <w:pStyle w:val="759"/>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b/>
          <w:bCs/>
          <w:szCs w:val="21"/>
          <w:highlight w:val="none"/>
          <w:lang w:val="zh-CN"/>
        </w:rPr>
      </w:pPr>
      <w:r/>
      <w:bookmarkStart w:id="39" w:name="_Toc12264"/>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39"/>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r>
      <w:r/>
    </w:p>
    <w:p>
      <w:pPr>
        <w:jc w:val="center"/>
        <w:spacing w:line="360" w:lineRule="auto"/>
        <w:widowControl/>
        <w:rPr>
          <w:rFonts w:hint="eastAsia" w:ascii="宋体" w:hAnsi="宋体"/>
          <w:b/>
          <w:sz w:val="32"/>
          <w:szCs w:val="32"/>
          <w:highlight w:val="none"/>
        </w:rPr>
      </w:pPr>
      <w:r>
        <w:rPr>
          <w:rFonts w:hint="eastAsia" w:ascii="宋体" w:hAnsi="宋体" w:cs="宋体"/>
          <w:b/>
          <w:sz w:val="36"/>
          <w:szCs w:val="36"/>
          <w:highlight w:val="none"/>
        </w:rPr>
        <w:t xml:space="preserve">分项报价表</w:t>
      </w:r>
      <w:r/>
    </w:p>
    <w:tbl>
      <w:tblPr>
        <w:tblStyle w:val="755"/>
        <w:tblW w:w="9556" w:type="dxa"/>
        <w:tblInd w:w="91" w:type="dxa"/>
        <w:tblLayout w:type="autofit"/>
        <w:tblCellMar>
          <w:left w:w="108" w:type="dxa"/>
          <w:top w:w="0" w:type="dxa"/>
          <w:right w:w="108" w:type="dxa"/>
          <w:bottom w:w="0" w:type="dxa"/>
        </w:tblCellMar>
        <w:tblLook w:val="04A0" w:firstRow="1" w:lastRow="0" w:firstColumn="1" w:lastColumn="0" w:noHBand="0" w:noVBand="1"/>
      </w:tblPr>
      <w:tblGrid>
        <w:gridCol w:w="620"/>
        <w:gridCol w:w="2246"/>
        <w:gridCol w:w="1570"/>
        <w:gridCol w:w="1135"/>
        <w:gridCol w:w="1906"/>
        <w:gridCol w:w="2079"/>
      </w:tblGrid>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设施种类</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widowControl/>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小计（元/年）</w:t>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人行道</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160783.24</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非机动车道</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19534.82</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r>
      <w:tr>
        <w:trPr>
          <w:trHeight w:val="558"/>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机动车道</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405487.20</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门坡</w:t>
            </w:r>
            <w:r/>
          </w:p>
        </w:tc>
        <w:tc>
          <w:tcPr>
            <w:shd w:val="clear" w:color="auto" w:fill="auto"/>
            <w:tcBorders>
              <w:top w:val="single" w:color="auto" w:sz="4" w:space="0"/>
              <w:left w:val="single" w:color="000000" w:sz="4" w:space="0"/>
              <w:bottom w:val="single" w:color="auto" w:sz="4" w:space="0"/>
              <w:right w:val="single" w:color="000000" w:sz="4" w:space="0"/>
            </w:tcBorders>
            <w:tcW w:w="1570"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2523.48</w:t>
            </w:r>
            <w:r/>
          </w:p>
        </w:tc>
        <w:tc>
          <w:tcPr>
            <w:shd w:val="clear" w:color="auto" w:fill="auto"/>
            <w:tcBorders>
              <w:top w:val="single" w:color="auto" w:sz="4" w:space="0"/>
              <w:left w:val="single" w:color="000000" w:sz="4" w:space="0"/>
              <w:bottom w:val="single" w:color="auto" w:sz="4" w:space="0"/>
              <w:right w:val="single" w:color="000000" w:sz="4" w:space="0"/>
            </w:tcBorders>
            <w:tcW w:w="1135"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906"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元/</w:t>
            </w:r>
            <w:r>
              <w:rPr>
                <w:rFonts w:hint="eastAsia" w:ascii="宋体" w:hAnsi="宋体" w:eastAsia="宋体" w:cs="宋体"/>
                <w:color w:val="000000" w:themeColor="text1"/>
                <w:sz w:val="21"/>
                <w:szCs w:val="21"/>
                <w:highlight w:val="none"/>
                <w:lang w:bidi="ar"/>
                <w14:textFill>
                  <w14:solidFill>
                    <w14:schemeClr w14:val="tx1"/>
                  </w14:solidFill>
                </w14:textFill>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r>
      <w:tr>
        <w:trPr>
          <w:trHeight w:val="568"/>
        </w:trPr>
        <w:tc>
          <w:tcPr>
            <w:gridSpan w:val="5"/>
            <w:shd w:val="clear" w:color="auto" w:fill="auto"/>
            <w:tcBorders>
              <w:top w:val="single" w:color="000000" w:sz="4" w:space="0"/>
              <w:left w:val="single" w:color="000000" w:sz="4" w:space="0"/>
              <w:bottom w:val="single" w:color="000000" w:sz="4" w:space="0"/>
              <w:right w:val="single" w:color="000000" w:sz="4" w:space="0"/>
            </w:tcBorders>
            <w:tcW w:w="7477"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合计（元/年）序号1+序号2+序号3+序号4之和（一年总价）</w:t>
            </w:r>
            <w:r/>
          </w:p>
        </w:tc>
        <w:tc>
          <w:tcPr>
            <w:shd w:val="clear" w:color="auto" w:fill="auto"/>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r>
            <w:r/>
          </w:p>
        </w:tc>
      </w:tr>
      <w:tr>
        <w:trPr>
          <w:trHeight w:val="568"/>
        </w:trPr>
        <w:tc>
          <w:tcPr>
            <w:gridSpan w:val="6"/>
            <w:shd w:val="clear" w:color="auto" w:fill="auto"/>
            <w:tcBorders>
              <w:top w:val="single" w:color="000000" w:sz="4" w:space="0"/>
              <w:left w:val="single" w:color="000000" w:sz="4" w:space="0"/>
              <w:bottom w:val="single" w:color="000000" w:sz="4" w:space="0"/>
              <w:right w:val="single" w:color="000000" w:sz="4" w:space="0"/>
            </w:tcBorders>
            <w:tcW w:w="9556"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总价（元/二年）：                                         （苏采云开标一览表按此数值填写）</w:t>
            </w:r>
            <w:r/>
          </w:p>
        </w:tc>
      </w:tr>
    </w:tbl>
    <w:p>
      <w:pPr>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pStyle w:val="756"/>
        <w:rPr>
          <w:rFonts w:hint="eastAsia" w:ascii="宋体" w:hAnsi="宋体" w:cs="宋体"/>
          <w:szCs w:val="21"/>
          <w:highlight w:val="none"/>
          <w:u w:val="single"/>
        </w:rPr>
      </w:pPr>
      <w:r>
        <w:rPr>
          <w:rFonts w:hint="eastAsia" w:ascii="宋体" w:hAnsi="宋体" w:cs="宋体"/>
          <w:szCs w:val="21"/>
          <w:highlight w:val="none"/>
          <w:u w:val="single"/>
        </w:rPr>
      </w:r>
      <w:r/>
    </w:p>
    <w:p>
      <w:pPr>
        <w:pStyle w:val="756"/>
        <w:ind w:left="0" w:firstLine="0"/>
        <w:rPr>
          <w:rFonts w:hint="eastAsia" w:ascii="宋体" w:hAnsi="宋体" w:cs="宋体"/>
          <w:szCs w:val="21"/>
          <w:highlight w:val="none"/>
          <w:u w:val="single"/>
        </w:rPr>
      </w:pPr>
      <w:r>
        <w:rPr>
          <w:rFonts w:hint="eastAsia" w:ascii="宋体" w:hAnsi="宋体" w:cs="宋体"/>
          <w:szCs w:val="21"/>
          <w:highlight w:val="none"/>
          <w:u w:val="single"/>
        </w:rPr>
      </w:r>
      <w:r/>
    </w:p>
    <w:p>
      <w:pPr>
        <w:pStyle w:val="756"/>
        <w:ind w:left="0" w:firstLine="0"/>
        <w:rPr>
          <w:rFonts w:hint="eastAsia" w:ascii="宋体" w:hAnsi="宋体" w:cs="宋体"/>
          <w:szCs w:val="21"/>
          <w:highlight w:val="none"/>
          <w:u w:val="single"/>
        </w:rPr>
      </w:pPr>
      <w:r>
        <w:rPr>
          <w:rFonts w:hint="eastAsia" w:ascii="宋体" w:hAnsi="宋体" w:cs="宋体"/>
          <w:szCs w:val="21"/>
          <w:highlight w:val="none"/>
          <w:u w:val="single"/>
        </w:rPr>
      </w:r>
      <w:r/>
    </w:p>
    <w:p>
      <w:pPr>
        <w:jc w:val="left"/>
        <w:spacing w:line="360" w:lineRule="auto"/>
        <w:shd w:val="clear" w:color="auto" w:fill="ffffff"/>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说明：</w:t>
      </w:r>
      <w:r/>
    </w:p>
    <w:p>
      <w:pPr>
        <w:jc w:val="left"/>
        <w:spacing w:line="360" w:lineRule="auto"/>
        <w:shd w:val="clear" w:color="auto" w:fill="ffffff"/>
        <w:widowControl/>
        <w:rPr>
          <w:rFonts w:hint="eastAsia" w:ascii="宋体" w:hAnsi="宋体" w:cs="宋体"/>
          <w:b/>
          <w:bCs/>
          <w:szCs w:val="21"/>
          <w:highlight w:val="yellow"/>
          <w:lang w:val="en-US" w:eastAsia="zh-CN"/>
        </w:rPr>
      </w:pPr>
      <w:r>
        <w:rPr>
          <w:rFonts w:hint="eastAsia" w:ascii="宋体" w:hAnsi="宋体" w:cs="宋体"/>
          <w:b/>
          <w:bCs/>
          <w:szCs w:val="21"/>
          <w:highlight w:val="yellow"/>
          <w:lang w:val="en-US" w:eastAsia="zh-CN"/>
        </w:rPr>
        <w:t xml:space="preserve">1、单价不得超过招标文件规定的单项限价，否则作无效标处理。</w:t>
      </w:r>
      <w:r/>
    </w:p>
    <w:p>
      <w:pPr>
        <w:jc w:val="left"/>
        <w:spacing w:line="360" w:lineRule="auto"/>
        <w:shd w:val="clear" w:color="auto" w:fill="ffffff"/>
        <w:widowControl/>
        <w:rPr>
          <w:rFonts w:hint="eastAsia" w:ascii="宋体" w:hAnsi="宋体" w:cs="宋体"/>
          <w:b/>
          <w:bCs/>
          <w:szCs w:val="21"/>
          <w:highlight w:val="yellow"/>
        </w:rPr>
      </w:pPr>
      <w:r>
        <w:rPr>
          <w:rFonts w:hint="eastAsia" w:ascii="宋体" w:hAnsi="宋体" w:cs="宋体"/>
          <w:b/>
          <w:bCs/>
          <w:szCs w:val="21"/>
          <w:highlight w:val="yellow"/>
          <w:lang w:val="en-US" w:eastAsia="zh-CN"/>
        </w:rPr>
        <w:t xml:space="preserve">2、设施种类、数量、计量单位不得随意更改，否则作无效标处理。</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br w:type="page" w:clear="all"/>
      </w:r>
      <w:r/>
    </w:p>
    <w:p>
      <w:pPr>
        <w:jc w:val="left"/>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w:t>
      </w:r>
      <w:r>
        <w:rPr>
          <w:rFonts w:hint="eastAsia" w:ascii="宋体" w:hAnsi="宋体" w:cs="宋体"/>
          <w:b/>
          <w:bCs/>
          <w:szCs w:val="21"/>
          <w:highlight w:val="none"/>
          <w:lang w:eastAsia="zh-CN"/>
        </w:rPr>
        <w:t xml:space="preserve">采购需求偏离表</w:t>
      </w:r>
      <w:r>
        <w:rPr>
          <w:rFonts w:hint="eastAsia" w:ascii="宋体" w:hAnsi="宋体" w:cs="宋体"/>
          <w:b/>
          <w:bCs/>
          <w:szCs w:val="21"/>
          <w:highlight w:val="none"/>
        </w:rPr>
        <w:t xml:space="preserve">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lang w:eastAsia="zh-CN"/>
        </w:rPr>
      </w:pPr>
      <w:r>
        <w:rPr>
          <w:rFonts w:hint="eastAsia" w:ascii="宋体" w:hAnsi="宋体" w:cs="宋体"/>
          <w:b/>
          <w:sz w:val="36"/>
          <w:szCs w:val="36"/>
          <w:highlight w:val="none"/>
          <w:lang w:eastAsia="zh-CN"/>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5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7"/>
        <w:gridCol w:w="1077"/>
        <w:gridCol w:w="4006"/>
        <w:gridCol w:w="2430"/>
        <w:gridCol w:w="1414"/>
      </w:tblGrid>
      <w:tr>
        <w:trPr>
          <w:jc w:val="center"/>
          <w:trHeight w:val="284"/>
        </w:trPr>
        <w:tc>
          <w:tcPr>
            <w:tcMar>
              <w:left w:w="10" w:type="dxa"/>
              <w:top w:w="0" w:type="dxa"/>
              <w:right w:w="10" w:type="dxa"/>
              <w:bottom w:w="0" w:type="dxa"/>
            </w:tcMar>
            <w:tcW w:w="642" w:type="dxa"/>
            <w:vAlign w:val="center"/>
            <w:textDirection w:val="lrTb"/>
            <w:noWrap w:val="false"/>
          </w:tcPr>
          <w:p>
            <w:pPr>
              <w:pStyle w:val="800"/>
              <w:ind w:firstLine="0"/>
              <w:jc w:val="center"/>
              <w:spacing w:line="360" w:lineRule="auto"/>
              <w:rPr>
                <w:rFonts w:hint="eastAsia" w:ascii="宋体" w:hAnsi="宋体" w:cs="宋体"/>
                <w:b/>
                <w:bCs/>
                <w:szCs w:val="21"/>
                <w:highlight w:val="none"/>
              </w:rPr>
            </w:pPr>
            <w:r>
              <w:rPr>
                <w:rFonts w:hint="eastAsia"/>
                <w:b/>
                <w:bCs/>
                <w:highlight w:val="none"/>
              </w:rPr>
              <w:t xml:space="preserve">序号</w:t>
            </w:r>
            <w:r/>
          </w:p>
        </w:tc>
        <w:tc>
          <w:tcPr>
            <w:tcMar>
              <w:left w:w="10" w:type="dxa"/>
              <w:top w:w="0" w:type="dxa"/>
              <w:right w:w="10" w:type="dxa"/>
              <w:bottom w:w="0" w:type="dxa"/>
            </w:tcMar>
            <w:tcW w:w="951" w:type="dxa"/>
            <w:vAlign w:val="center"/>
            <w:textDirection w:val="lrTb"/>
            <w:noWrap w:val="false"/>
          </w:tcPr>
          <w:p>
            <w:pPr>
              <w:pStyle w:val="800"/>
              <w:ind w:firstLine="0"/>
              <w:jc w:val="center"/>
              <w:spacing w:line="360" w:lineRule="auto"/>
              <w:rPr>
                <w:rFonts w:hint="eastAsia" w:ascii="宋体" w:hAnsi="宋体" w:cs="宋体"/>
                <w:b/>
                <w:bCs/>
                <w:szCs w:val="21"/>
                <w:highlight w:val="none"/>
              </w:rPr>
            </w:pPr>
            <w:r>
              <w:rPr>
                <w:rFonts w:hint="eastAsia"/>
                <w:b/>
                <w:bCs/>
                <w:highlight w:val="none"/>
              </w:rPr>
              <w:t xml:space="preserve">产品名称</w:t>
            </w:r>
            <w:r/>
          </w:p>
        </w:tc>
        <w:tc>
          <w:tcPr>
            <w:tcMar>
              <w:left w:w="10" w:type="dxa"/>
              <w:top w:w="0" w:type="dxa"/>
              <w:right w:w="10" w:type="dxa"/>
              <w:bottom w:w="0" w:type="dxa"/>
            </w:tcMar>
            <w:tcW w:w="3537"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w:t>
            </w:r>
            <w:r>
              <w:rPr>
                <w:rFonts w:hint="eastAsia" w:ascii="宋体" w:hAnsi="宋体" w:cs="宋体"/>
                <w:b/>
                <w:bCs w:val="0"/>
                <w:szCs w:val="21"/>
                <w:highlight w:val="none"/>
              </w:rPr>
              <w:t xml:space="preserve">要求</w:t>
            </w:r>
            <w:r>
              <w:rPr>
                <w:rFonts w:hint="eastAsia"/>
                <w:b/>
                <w:bCs w:val="0"/>
                <w:highlight w:val="none"/>
              </w:rPr>
              <w:t xml:space="preserve">技术参数</w:t>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技术参数</w:t>
            </w:r>
            <w:r>
              <w:rPr>
                <w:rFonts w:hint="eastAsia" w:ascii="宋体" w:hAnsi="宋体" w:cs="宋体"/>
                <w:b/>
                <w:szCs w:val="21"/>
                <w:highlight w:val="none"/>
              </w:rPr>
              <w:t xml:space="preserve">响应</w:t>
            </w:r>
            <w:r>
              <w:rPr>
                <w:rFonts w:hint="eastAsia" w:ascii="宋体" w:hAnsi="宋体" w:cs="宋体"/>
                <w:b/>
                <w:szCs w:val="21"/>
                <w:highlight w:val="none"/>
                <w:lang w:val="en-US" w:eastAsia="zh-CN"/>
              </w:rPr>
              <w:t xml:space="preserve">情况</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lang w:val="en-US" w:eastAsia="zh-CN"/>
              </w:rPr>
              <w:t xml:space="preserve">是否</w:t>
            </w: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2" w:firstLine="0"/>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lang w:val="en-US" w:eastAsia="zh-CN"/>
              </w:rPr>
              <w:t xml:space="preserve">无偏离</w:t>
            </w: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2"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w:t>
            </w:r>
            <w:r/>
          </w:p>
        </w:tc>
        <w:tc>
          <w:tcPr>
            <w:tcMar>
              <w:left w:w="10" w:type="dxa"/>
              <w:top w:w="0" w:type="dxa"/>
              <w:right w:w="10" w:type="dxa"/>
              <w:bottom w:w="0" w:type="dxa"/>
            </w:tcMar>
            <w:tcW w:w="951"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cs="宋体"/>
                <w:szCs w:val="21"/>
                <w:highlight w:val="none"/>
              </w:rPr>
            </w:r>
            <w:r/>
          </w:p>
        </w:tc>
        <w:tc>
          <w:tcPr>
            <w:tcMar>
              <w:left w:w="10" w:type="dxa"/>
              <w:top w:w="0" w:type="dxa"/>
              <w:right w:w="10" w:type="dxa"/>
              <w:bottom w:w="0" w:type="dxa"/>
            </w:tcMar>
            <w:tcW w:w="3537" w:type="dxa"/>
            <w:vAlign w:val="center"/>
            <w:textDirection w:val="lrTb"/>
            <w:noWrap w:val="false"/>
          </w:tcPr>
          <w:p>
            <w:pPr>
              <w:pStyle w:val="800"/>
              <w:numPr>
                <w:ilvl w:val="0"/>
                <w:numId w:val="0"/>
              </w:numPr>
              <w:ind w:left="0" w:firstLine="0"/>
              <w:jc w:val="left"/>
              <w:spacing w:line="360" w:lineRule="auto"/>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投标文件的采购需求部分内容响应存在正偏离或负偏离或无偏离的，请在本表中逐条列出。未列出的，视为响应采购文件要求。</w:t>
      </w:r>
      <w:r>
        <w:rPr>
          <w:rFonts w:ascii="Arial" w:hAnsi="Arial"/>
          <w:szCs w:val="21"/>
          <w:highlight w:val="none"/>
        </w:rPr>
        <w:t xml:space="preserve">如果行数不够，请自行增加。</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r>
      <w:r/>
    </w:p>
    <w:p>
      <w:pPr>
        <w:jc w:val="left"/>
        <w:spacing w:line="360" w:lineRule="auto"/>
        <w:shd w:val="clear" w:color="auto" w:fill="ffffff"/>
        <w:widowControl/>
        <w:rPr>
          <w:rFonts w:hint="eastAsia" w:ascii="宋体" w:hAnsi="宋体" w:cs="宋体"/>
          <w:highlight w:val="none"/>
        </w:rPr>
      </w:pPr>
      <w:r>
        <w:rPr>
          <w:rFonts w:hint="eastAsia" w:ascii="宋体" w:hAnsi="宋体" w:cs="宋体"/>
          <w:b/>
          <w:bCs/>
          <w:szCs w:val="21"/>
          <w:highlight w:val="none"/>
        </w:rPr>
      </w:r>
      <w:r>
        <w:rPr>
          <w:rFonts w:hint="eastAsia" w:ascii="宋体" w:hAnsi="宋体" w:cs="宋体"/>
          <w:b/>
          <w:bCs/>
          <w:szCs w:val="21"/>
          <w:highlight w:val="none"/>
        </w:rPr>
      </w:r>
    </w:p>
    <w:p>
      <w:pPr>
        <w:jc w:val="left"/>
        <w:spacing w:line="360" w:lineRule="auto"/>
        <w:shd w:val="clear" w:color="auto" w:fill="ffffff"/>
        <w:widowControl/>
        <w:rPr>
          <w:rFonts w:hint="eastAsia" w:ascii="宋体" w:hAnsi="宋体" w:cs="宋体"/>
          <w:b/>
          <w:bCs/>
          <w:highlight w:val="none"/>
        </w:rPr>
      </w:pPr>
      <w:r>
        <w:rPr>
          <w:rFonts w:hint="eastAsia" w:ascii="宋体" w:hAnsi="宋体" w:cs="宋体"/>
          <w:b/>
          <w:bCs/>
          <w:szCs w:val="21"/>
          <w:highlight w:val="none"/>
        </w:rPr>
      </w:r>
      <w:r>
        <w:rPr>
          <w:rFonts w:hint="eastAsia" w:ascii="宋体" w:hAnsi="宋体" w:cs="宋体"/>
          <w:b/>
          <w:bCs/>
          <w:szCs w:val="21"/>
          <w:highlight w:val="none"/>
        </w:rPr>
      </w:r>
    </w:p>
    <w:p>
      <w:pPr>
        <w:jc w:val="left"/>
        <w:spacing w:line="360" w:lineRule="auto"/>
        <w:shd w:val="clear" w:color="auto" w:fill="ffffff"/>
        <w:widowControl/>
        <w:rPr>
          <w:rFonts w:hint="eastAsia" w:ascii="宋体" w:hAnsi="宋体" w:cs="宋体"/>
          <w:b/>
          <w:bCs/>
          <w:highlight w:val="none"/>
        </w:rPr>
      </w:pPr>
      <w:r>
        <w:rPr>
          <w:rFonts w:hint="eastAsia" w:ascii="宋体" w:hAnsi="宋体" w:cs="宋体"/>
          <w:b/>
          <w:bCs/>
          <w:szCs w:val="21"/>
          <w:highlight w:val="none"/>
        </w:rPr>
      </w:r>
      <w:r>
        <w:rPr>
          <w:rFonts w:hint="eastAsia" w:ascii="宋体" w:hAnsi="宋体" w:cs="宋体"/>
          <w:b/>
          <w:bCs/>
          <w:szCs w:val="21"/>
          <w:highlight w:val="none"/>
        </w:rPr>
      </w:r>
    </w:p>
    <w:p>
      <w:pPr>
        <w:jc w:val="left"/>
        <w:spacing w:line="360" w:lineRule="auto"/>
        <w:shd w:val="clear" w:color="auto" w:fill="ffffff"/>
        <w:widowControl/>
        <w:rPr>
          <w:rFonts w:hint="eastAsia" w:ascii="宋体" w:hAnsi="宋体" w:cs="宋体"/>
          <w:b/>
          <w:bCs/>
          <w:highlight w:val="none"/>
        </w:rPr>
      </w:pPr>
      <w:r>
        <w:rPr>
          <w:rFonts w:hint="eastAsia" w:ascii="宋体" w:hAnsi="宋体" w:cs="宋体"/>
          <w:b/>
          <w:bCs/>
          <w:szCs w:val="21"/>
          <w:highlight w:val="none"/>
        </w:rPr>
      </w:r>
      <w:r>
        <w:rPr>
          <w:rFonts w:hint="eastAsia" w:ascii="宋体" w:hAnsi="宋体" w:cs="宋体"/>
          <w:b/>
          <w:bCs/>
          <w:szCs w:val="21"/>
          <w:highlight w:val="none"/>
        </w:rPr>
      </w:r>
    </w:p>
    <w:p>
      <w:pPr>
        <w:jc w:val="left"/>
        <w:spacing w:line="360" w:lineRule="auto"/>
        <w:shd w:val="clear" w:color="auto" w:fill="ffffff"/>
        <w:widowControl/>
        <w:rPr>
          <w:rFonts w:hint="eastAsia" w:ascii="宋体" w:hAnsi="宋体" w:cs="宋体"/>
          <w:b/>
          <w:bCs/>
          <w:highlight w:val="none"/>
        </w:rPr>
      </w:pPr>
      <w:r>
        <w:rPr>
          <w:rFonts w:hint="eastAsia" w:ascii="宋体" w:hAnsi="宋体" w:cs="宋体"/>
          <w:b/>
          <w:bCs/>
          <w:szCs w:val="21"/>
          <w:highlight w:val="none"/>
        </w:rPr>
      </w:r>
      <w:r>
        <w:rPr>
          <w:rFonts w:hint="eastAsia" w:ascii="宋体" w:hAnsi="宋体" w:cs="宋体"/>
          <w:b/>
          <w:bCs/>
          <w:szCs w:val="21"/>
          <w:highlight w:val="none"/>
        </w:rPr>
      </w:r>
    </w:p>
    <w:p>
      <w:pPr>
        <w:jc w:val="left"/>
        <w:spacing w:line="360" w:lineRule="auto"/>
        <w:shd w:val="clear" w:color="auto" w:fill="ffffff"/>
        <w:widowControl/>
        <w:rPr>
          <w:rFonts w:hint="eastAsia" w:ascii="宋体" w:hAnsi="宋体" w:cs="宋体"/>
          <w:b/>
          <w:bCs/>
          <w:highlight w:val="none"/>
        </w:rPr>
      </w:pP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5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投标文件的商务部分内容响应存在正偏离或负偏离或无偏离的，请在本表中逐条列出。未列出的，视为响应采购文件要求。</w:t>
      </w:r>
      <w:r>
        <w:rPr>
          <w:rFonts w:ascii="Arial" w:hAnsi="Arial"/>
          <w:szCs w:val="21"/>
          <w:highlight w:val="none"/>
        </w:rPr>
        <w:t xml:space="preserve">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935"/>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75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项目经理</w:t>
            </w:r>
            <w:r/>
          </w:p>
        </w:tc>
      </w:tr>
      <w:tr>
        <w:trPr>
          <w:jc w:val="center"/>
          <w:trHeight w:val="517"/>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1、项目负责人-（姓名：    ）</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 xml:space="preserve">…………</w:t>
      </w:r>
      <w:r/>
    </w:p>
    <w:p>
      <w:pPr>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2、成员-（姓名：    ）</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证书证明材料</w:t>
      </w:r>
      <w:r/>
    </w:p>
    <w:p>
      <w:pPr>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p>
      <w:pPr>
        <w:spacing w:line="360" w:lineRule="auto"/>
        <w:widowControl/>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（2）社保证明材料</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highlight w:val="none"/>
        </w:rPr>
      </w:pPr>
      <w:r>
        <w:rPr>
          <w:rFonts w:hint="eastAsia" w:ascii="宋体" w:hAnsi="宋体" w:cs="宋体"/>
          <w:b/>
          <w:bCs/>
          <w:highlight w:val="none"/>
          <w:lang w:eastAsia="zh-CN"/>
        </w:rPr>
        <w:t xml:space="preserve">…………</w:t>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附件九、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755"/>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796"/>
        <w:gridCol w:w="1821"/>
        <w:gridCol w:w="1655"/>
        <w:gridCol w:w="1157"/>
        <w:gridCol w:w="1770"/>
        <w:gridCol w:w="1324"/>
        <w:gridCol w:w="1325"/>
      </w:tblGrid>
      <w:tr>
        <w:trPr>
          <w:jc w:val="center"/>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924" w:type="pct"/>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40" w:type="pct"/>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587" w:type="pct"/>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项目</w:t>
            </w:r>
            <w:r/>
          </w:p>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签约及服务</w:t>
            </w:r>
            <w:r/>
          </w:p>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400" w:lineRule="atLeast"/>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24"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40"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87"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top"/>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业绩一：</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业绩二：</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业绩三：</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业绩四：</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default" w:ascii="宋体" w:hAnsi="宋体" w:cs="宋体"/>
          <w:b/>
          <w:highlight w:val="none"/>
          <w:lang w:val="en-US" w:eastAsia="zh-CN"/>
        </w:rPr>
      </w:pPr>
      <w:r>
        <w:rPr>
          <w:rFonts w:hint="eastAsia" w:ascii="宋体" w:hAnsi="宋体" w:cs="宋体"/>
          <w:b/>
          <w:highlight w:val="none"/>
          <w:lang w:val="en-US" w:eastAsia="zh-CN"/>
        </w:rPr>
        <w:t xml:space="preserve">……</w:t>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default" w:ascii="宋体" w:hAnsi="宋体" w:eastAsia="宋体" w:cs="宋体"/>
          <w:b/>
          <w:highlight w:val="none"/>
          <w:lang w:val="en-US" w:eastAsia="zh-CN"/>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w:t>
      </w:r>
      <w:r>
        <w:rPr>
          <w:rFonts w:hint="eastAsia" w:ascii="宋体" w:hAnsi="宋体" w:cs="宋体"/>
          <w:b/>
          <w:bCs/>
          <w:highlight w:val="none"/>
        </w:rPr>
        <w:t xml:space="preserve">、</w:t>
      </w:r>
      <w:r>
        <w:rPr>
          <w:rFonts w:hint="eastAsia" w:ascii="宋体" w:hAnsi="宋体" w:cs="宋体"/>
          <w:b/>
          <w:bCs/>
          <w:highlight w:val="none"/>
          <w:lang w:val="en-US" w:eastAsia="zh-CN"/>
        </w:rPr>
        <w:t xml:space="preserve">拟投入设备一览表</w:t>
      </w:r>
      <w:r/>
    </w:p>
    <w:tbl>
      <w:tblPr>
        <w:tblStyle w:val="791"/>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9"/>
        <w:gridCol w:w="1859"/>
        <w:gridCol w:w="1860"/>
        <w:gridCol w:w="1860"/>
        <w:gridCol w:w="1860"/>
      </w:tblGrid>
      <w:tr>
        <w:trPr>
          <w:trHeight w:val="553"/>
        </w:trPr>
        <w:tc>
          <w:tcPr>
            <w:tcW w:w="1859" w:type="dxa"/>
            <w:textDirection w:val="lrTb"/>
            <w:noWrap w:val="false"/>
          </w:tcPr>
          <w:p>
            <w:pPr>
              <w:jc w:val="center"/>
              <w:spacing w:line="360" w:lineRule="auto"/>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序号</w:t>
            </w:r>
            <w:r/>
          </w:p>
        </w:tc>
        <w:tc>
          <w:tcPr>
            <w:tcW w:w="1859"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名称</w:t>
            </w:r>
            <w:r/>
          </w:p>
        </w:tc>
        <w:tc>
          <w:tcPr>
            <w:tcW w:w="1860"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数量</w:t>
            </w:r>
            <w:r/>
          </w:p>
        </w:tc>
        <w:tc>
          <w:tcPr>
            <w:tcW w:w="1860" w:type="dxa"/>
            <w:textDirection w:val="lrTb"/>
            <w:noWrap w:val="false"/>
          </w:tcPr>
          <w:p>
            <w:pPr>
              <w:jc w:val="center"/>
              <w:spacing w:line="360" w:lineRule="auto"/>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租赁/自有/承诺</w:t>
            </w:r>
            <w:r/>
          </w:p>
        </w:tc>
        <w:tc>
          <w:tcPr>
            <w:tcW w:w="1860" w:type="dxa"/>
            <w:textDirection w:val="lrTb"/>
            <w:noWrap w:val="false"/>
          </w:tcPr>
          <w:p>
            <w:pPr>
              <w:jc w:val="center"/>
              <w:spacing w:line="360" w:lineRule="auto"/>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 xml:space="preserve">备注</w:t>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53"/>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r>
        <w:trPr>
          <w:trHeight w:val="564"/>
        </w:trPr>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59"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c>
          <w:tcPr>
            <w:tcW w:w="1860" w:type="dxa"/>
            <w:textDirection w:val="lrTb"/>
            <w:noWrap w:val="false"/>
          </w:tcPr>
          <w:p>
            <w:pPr>
              <w:spacing w:line="360" w:lineRule="auto"/>
              <w:rPr>
                <w:rFonts w:hint="eastAsia" w:ascii="宋体" w:hAnsi="宋体" w:cs="宋体"/>
                <w:b/>
                <w:highlight w:val="none"/>
                <w:vertAlign w:val="baseline"/>
              </w:rPr>
            </w:pPr>
            <w:r>
              <w:rPr>
                <w:rFonts w:hint="eastAsia" w:ascii="宋体" w:hAnsi="宋体" w:cs="宋体"/>
                <w:b/>
                <w:highlight w:val="none"/>
                <w:vertAlign w:val="baseline"/>
              </w:rPr>
            </w:r>
            <w:r/>
          </w:p>
        </w:tc>
      </w:tr>
    </w:tbl>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设备一证明材料（数量：     ）：</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设备二证明材料（数量：     ）：</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设备三证明材料（数量：     ）：</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eastAsia" w:ascii="宋体" w:hAnsi="宋体" w:cs="宋体"/>
          <w:b/>
          <w:highlight w:val="none"/>
          <w:lang w:val="en-US" w:eastAsia="zh-CN"/>
        </w:rPr>
      </w:pPr>
      <w:r>
        <w:rPr>
          <w:rFonts w:hint="eastAsia" w:ascii="宋体" w:hAnsi="宋体" w:cs="宋体"/>
          <w:b/>
          <w:highlight w:val="none"/>
          <w:lang w:val="en-US" w:eastAsia="zh-CN"/>
        </w:rPr>
        <w:t xml:space="preserve">设备四证明材料（数量：     ）：</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default" w:ascii="宋体" w:hAnsi="宋体" w:cs="宋体"/>
          <w:b/>
          <w:highlight w:val="none"/>
          <w:lang w:val="en-US" w:eastAsia="zh-CN"/>
        </w:rPr>
      </w:pPr>
      <w:r>
        <w:rPr>
          <w:rFonts w:hint="eastAsia" w:ascii="宋体" w:hAnsi="宋体" w:cs="宋体"/>
          <w:b/>
          <w:highlight w:val="none"/>
          <w:lang w:val="en-US" w:eastAsia="zh-CN"/>
        </w:rPr>
        <w:t xml:space="preserve">…………</w:t>
      </w:r>
      <w:r/>
    </w:p>
    <w:p>
      <w:pPr>
        <w:rPr>
          <w:rFonts w:hint="default" w:ascii="宋体" w:hAnsi="宋体" w:cs="宋体"/>
          <w:b/>
          <w:highlight w:val="none"/>
          <w:lang w:val="en-US" w:eastAsia="zh-CN"/>
        </w:rPr>
      </w:pPr>
      <w:r>
        <w:rPr>
          <w:rFonts w:hint="default" w:ascii="宋体" w:hAnsi="宋体" w:cs="宋体"/>
          <w:b/>
          <w:highlight w:val="none"/>
          <w:lang w:val="en-US" w:eastAsia="zh-CN"/>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bCs/>
          <w:highlight w:val="none"/>
        </w:rPr>
      </w:pPr>
      <w:r>
        <w:rPr>
          <w:rFonts w:hint="eastAsia" w:ascii="宋体" w:hAnsi="宋体" w:cs="宋体"/>
          <w:b/>
          <w:highlight w:val="none"/>
        </w:rPr>
        <w:t xml:space="preserve">附件</w:t>
      </w:r>
      <w:r>
        <w:rPr>
          <w:rFonts w:hint="eastAsia" w:ascii="宋体" w:hAnsi="宋体" w:cs="宋体"/>
          <w:b/>
          <w:highlight w:val="none"/>
          <w:lang w:val="en-US" w:eastAsia="zh-CN"/>
        </w:rPr>
        <w:t xml:space="preserve">十一</w:t>
      </w:r>
      <w:r>
        <w:rPr>
          <w:rFonts w:hint="eastAsia" w:ascii="宋体" w:hAnsi="宋体" w:cs="宋体"/>
          <w:b/>
          <w:bCs/>
          <w:highlight w:val="none"/>
        </w:rPr>
        <w:t xml:space="preserve">、企业声明函格式</w:t>
      </w:r>
      <w:r/>
    </w:p>
    <w:p>
      <w:pPr>
        <w:jc w:val="center"/>
        <w:spacing w:before="312" w:after="312" w:line="480" w:lineRule="auto"/>
        <w:rPr>
          <w:rFonts w:ascii="宋体" w:hAnsi="宋体" w:cs="宋体"/>
          <w:b/>
          <w:bCs/>
          <w:sz w:val="28"/>
          <w:szCs w:val="28"/>
          <w:highlight w:val="none"/>
        </w:rPr>
      </w:pPr>
      <w:r/>
      <w:bookmarkStart w:id="40" w:name="OLE_LINK13"/>
      <w:r/>
      <w:bookmarkStart w:id="41"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9"/>
      </w:pPr>
      <w:r/>
      <w:bookmarkStart w:id="42" w:name="_Toc10552"/>
      <w:r>
        <w:rPr>
          <w:rFonts w:hint="eastAsia" w:ascii="宋体" w:hAnsi="宋体" w:eastAsia="宋体" w:cs="宋体"/>
          <w:szCs w:val="24"/>
          <w:highlight w:val="none"/>
        </w:rPr>
        <w:t xml:space="preserve">备注：</w:t>
      </w:r>
      <w:bookmarkEnd w:id="42"/>
      <w:r/>
      <w:r/>
    </w:p>
    <w:p>
      <w:pPr>
        <w:ind w:firstLine="630"/>
        <w:keepLines/>
        <w:keepNext/>
        <w:rPr>
          <w:rFonts w:ascii="宋体" w:hAnsi="宋体" w:eastAsia="宋体" w:cs="宋体"/>
          <w:szCs w:val="24"/>
          <w:highlight w:val="none"/>
        </w:rPr>
        <w:outlineLvl w:val="9"/>
      </w:pPr>
      <w:r/>
      <w:bookmarkStart w:id="43" w:name="_Toc12731"/>
      <w:r>
        <w:rPr>
          <w:rFonts w:hint="eastAsia" w:ascii="宋体" w:hAnsi="宋体" w:eastAsia="宋体" w:cs="宋体"/>
          <w:szCs w:val="24"/>
          <w:highlight w:val="none"/>
        </w:rPr>
        <w:t xml:space="preserve">1.从业人员、营业收入、资产总额填报上一年度数据，无上一年度数据的新成立企业可不填报。</w:t>
      </w:r>
      <w:bookmarkEnd w:id="43"/>
      <w:r/>
      <w:r/>
    </w:p>
    <w:p>
      <w:pPr>
        <w:ind w:firstLine="630"/>
        <w:keepLines/>
        <w:keepNext/>
        <w:rPr>
          <w:rFonts w:ascii="宋体" w:hAnsi="宋体" w:eastAsia="宋体" w:cs="宋体"/>
          <w:b/>
          <w:bCs/>
          <w:szCs w:val="24"/>
          <w:highlight w:val="none"/>
        </w:rPr>
        <w:outlineLvl w:val="9"/>
      </w:pPr>
      <w:r/>
      <w:bookmarkStart w:id="44" w:name="_Toc397"/>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44"/>
      <w:r/>
      <w:r/>
    </w:p>
    <w:p>
      <w:pPr>
        <w:ind w:firstLine="630"/>
        <w:keepLines/>
        <w:keepNext/>
        <w:rPr>
          <w:rFonts w:ascii="宋体" w:hAnsi="宋体" w:eastAsia="宋体" w:cs="宋体"/>
          <w:b/>
          <w:bCs/>
          <w:szCs w:val="24"/>
          <w:highlight w:val="none"/>
        </w:rPr>
        <w:outlineLvl w:val="9"/>
      </w:pPr>
      <w:r/>
      <w:bookmarkStart w:id="45" w:name="_Toc16566"/>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45"/>
      <w:r/>
      <w:r/>
    </w:p>
    <w:p>
      <w:pPr>
        <w:ind w:firstLine="632"/>
        <w:keepLines/>
        <w:keepNext/>
        <w:rPr>
          <w:rFonts w:ascii="宋体" w:hAnsi="宋体" w:eastAsia="宋体" w:cs="宋体"/>
          <w:b/>
          <w:bCs/>
          <w:szCs w:val="24"/>
          <w:highlight w:val="none"/>
        </w:rPr>
        <w:outlineLvl w:val="9"/>
      </w:pPr>
      <w:r/>
      <w:bookmarkStart w:id="46" w:name="_Toc30543"/>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46"/>
      <w:r/>
      <w:r/>
    </w:p>
    <w:p>
      <w:pPr>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bookmarkEnd w:id="40"/>
      <w:bookmarkEnd w:id="41"/>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828"/>
        <w:rPr>
          <w:rFonts w:ascii="宋体" w:hAnsi="宋体" w:cs="宋体"/>
          <w:bCs/>
          <w:highlight w:val="none"/>
        </w:rPr>
      </w:pPr>
      <w:r>
        <w:rPr>
          <w:rFonts w:ascii="宋体" w:hAnsi="宋体" w:cs="宋体"/>
          <w:bCs/>
          <w:highlight w:val="none"/>
        </w:rPr>
      </w:r>
      <w:r/>
    </w:p>
    <w:p>
      <w:pPr>
        <w:pStyle w:val="828"/>
        <w:rPr>
          <w:rFonts w:ascii="宋体" w:hAnsi="宋体" w:cs="宋体"/>
          <w:bCs/>
          <w:highlight w:val="none"/>
        </w:rPr>
      </w:pPr>
      <w:r>
        <w:rPr>
          <w:rFonts w:ascii="宋体" w:hAnsi="宋体" w:cs="宋体"/>
          <w:bCs/>
          <w:highlight w:val="none"/>
        </w:rPr>
      </w:r>
      <w:r/>
    </w:p>
    <w:p>
      <w:pPr>
        <w:pStyle w:val="828"/>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jc w:val="left"/>
        <w:spacing w:before="24" w:after="24" w:line="360" w:lineRule="auto"/>
        <w:shd w:val="clear" w:color="auto" w:fill="ffffff"/>
        <w:widowControl/>
        <w:rPr>
          <w:rFonts w:ascii="宋体" w:hAnsi="宋体" w:cs="宋体"/>
          <w:b/>
          <w:bCs/>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二</w:t>
      </w:r>
      <w:r>
        <w:rPr>
          <w:rFonts w:hint="eastAsia" w:ascii="宋体" w:hAnsi="宋体" w:cs="宋体"/>
          <w:b/>
          <w:bCs/>
          <w:highlight w:val="none"/>
        </w:rPr>
        <w:t xml:space="preserve">、关于符合本国产品标准的声明函</w:t>
      </w:r>
      <w:r/>
    </w:p>
    <w:p>
      <w:pPr>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p>
    <w:p>
      <w:pPr>
        <w:pStyle w:val="787"/>
        <w:ind w:firstLine="420"/>
        <w:spacing w:before="0" w:beforeAutospacing="0" w:after="0" w:afterAutospacing="0" w:line="360" w:lineRule="auto"/>
        <w:rPr>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7"/>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1.</w:t>
      </w:r>
      <w:r>
        <w:rPr>
          <w:rStyle w:val="795"/>
          <w:rFonts w:hint="eastAsia"/>
          <w:color w:val="000000"/>
          <w:highlight w:val="none"/>
          <w:u w:val="single"/>
          <w:shd w:val="clear" w:color="auto" w:fill="ffffff"/>
        </w:rPr>
        <w:t xml:space="preserve">（产品名称1）</w:t>
      </w:r>
      <w:r>
        <w:rPr>
          <w:rStyle w:val="795"/>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795"/>
          <w:rFonts w:hint="eastAsia"/>
          <w:color w:val="000000"/>
          <w:highlight w:val="none"/>
          <w:u w:val="single"/>
          <w:shd w:val="clear" w:color="auto" w:fill="ffffff"/>
        </w:rPr>
        <w:t xml:space="preserve">（厂名）</w:t>
      </w:r>
      <w:r>
        <w:rPr>
          <w:rStyle w:val="795"/>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95"/>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Style w:val="795"/>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Style w:val="795"/>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Style w:val="795"/>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p>
    <w:p>
      <w:pPr>
        <w:pStyle w:val="787"/>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2.</w:t>
      </w:r>
      <w:r>
        <w:rPr>
          <w:rStyle w:val="795"/>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95"/>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95"/>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在中国境内完成。</w:t>
      </w:r>
      <w:r/>
    </w:p>
    <w:p>
      <w:pPr>
        <w:pStyle w:val="787"/>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w:t>
      </w:r>
      <w:r/>
    </w:p>
    <w:p>
      <w:pPr>
        <w:pStyle w:val="787"/>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787"/>
        <w:jc w:val="right"/>
        <w:spacing w:before="30" w:beforeAutospacing="0" w:after="30" w:afterAutospacing="0" w:line="360" w:lineRule="auto"/>
        <w:rPr>
          <w:color w:val="000000"/>
          <w:highlight w:val="none"/>
        </w:rPr>
      </w:pPr>
      <w:r>
        <w:rPr>
          <w:rFonts w:hint="eastAsia"/>
          <w:color w:val="000000"/>
          <w:highlight w:val="none"/>
          <w:shd w:val="clear" w:color="auto" w:fill="ffffff"/>
        </w:rPr>
        <w:t xml:space="preserve">   公司（单位）名称（加盖CA电子公章）：　        </w:t>
      </w:r>
      <w:r/>
    </w:p>
    <w:p>
      <w:pPr>
        <w:pStyle w:val="787"/>
        <w:jc w:val="center"/>
        <w:spacing w:before="30" w:beforeAutospacing="0" w:after="30" w:afterAutospacing="0" w:line="360" w:lineRule="auto"/>
        <w:rPr>
          <w:color w:val="000000"/>
          <w:highlight w:val="none"/>
        </w:rPr>
      </w:pPr>
      <w:r>
        <w:rPr>
          <w:rFonts w:hint="eastAsia"/>
          <w:color w:val="000000"/>
          <w:highlight w:val="none"/>
          <w:shd w:val="clear" w:color="auto" w:fill="ffffff"/>
        </w:rPr>
        <w:t xml:space="preserve">           日期：　     年　  月　  日         </w:t>
      </w:r>
      <w:r/>
    </w:p>
    <w:p>
      <w:pPr>
        <w:pStyle w:val="787"/>
        <w:spacing w:before="30" w:beforeAutospacing="0" w:after="30" w:afterAutospacing="0" w:line="0" w:lineRule="atLeast"/>
        <w:rPr>
          <w:color w:val="000000"/>
          <w:highlight w:val="none"/>
        </w:rPr>
      </w:pPr>
      <w:r>
        <w:rPr>
          <w:rFonts w:hint="eastAsia"/>
          <w:color w:val="000000"/>
          <w:highlight w:val="none"/>
          <w:shd w:val="clear" w:color="auto" w:fill="ffffff"/>
        </w:rPr>
        <w:t xml:space="preserve">_________________</w:t>
      </w:r>
      <w:r/>
    </w:p>
    <w:p>
      <w:pPr>
        <w:pStyle w:val="787"/>
        <w:spacing w:before="30" w:beforeAutospacing="0" w:after="30" w:afterAutospacing="0" w:line="360" w:lineRule="auto"/>
        <w:rPr>
          <w:color w:val="000000"/>
          <w:highlight w:val="none"/>
        </w:rPr>
      </w:pPr>
      <w:r>
        <w:rPr>
          <w:rFonts w:hint="eastAsia"/>
          <w:color w:val="000000"/>
          <w:highlight w:val="none"/>
          <w:shd w:val="clear" w:color="auto" w:fill="ffffff"/>
        </w:rPr>
        <w:t xml:space="preserve">1.产品如有型号，请在“产品名称”栏一并填写。</w:t>
      </w:r>
      <w:r/>
    </w:p>
    <w:p>
      <w:pPr>
        <w:pStyle w:val="787"/>
        <w:spacing w:before="30" w:beforeAutospacing="0" w:after="30" w:afterAutospacing="0" w:line="360" w:lineRule="auto"/>
        <w:rPr>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787"/>
        <w:spacing w:before="30" w:beforeAutospacing="0" w:after="30" w:afterAutospacing="0" w:line="360" w:lineRule="auto"/>
        <w:rPr>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787"/>
        <w:spacing w:before="30" w:beforeAutospacing="0" w:after="30" w:afterAutospacing="0" w:line="360" w:lineRule="auto"/>
        <w:rPr>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787"/>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p>
    <w:p>
      <w:pPr>
        <w:pStyle w:val="787"/>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6.《声明函》中标注“</w:t>
      </w:r>
      <w:r>
        <w:rPr>
          <w:rFonts w:hint="eastAsia"/>
          <w:color w:val="000000"/>
          <w:highlight w:val="none"/>
          <w:u w:val="single"/>
          <w:shd w:val="clear" w:color="auto" w:fill="ffffff"/>
        </w:rPr>
        <w:t xml:space="preserve">  </w:t>
      </w:r>
      <w:r>
        <w:rPr>
          <w:rStyle w:val="795"/>
          <w:rFonts w:hint="eastAsia"/>
          <w:color w:val="000000"/>
          <w:highlight w:val="none"/>
          <w:u w:val="single"/>
          <w:shd w:val="clear" w:color="auto" w:fill="ffffff"/>
        </w:rPr>
        <w:t xml:space="preserve">/  </w:t>
      </w:r>
      <w:r>
        <w:rPr>
          <w:rFonts w:hint="eastAsia"/>
          <w:color w:val="000000"/>
          <w:highlight w:val="none"/>
          <w:shd w:val="clear" w:color="auto" w:fill="ffffff"/>
        </w:rPr>
        <w:t xml:space="preserve">”的地方无需填写。</w:t>
      </w:r>
      <w:r/>
    </w:p>
    <w:p>
      <w:pPr>
        <w:rPr>
          <w:rFonts w:hint="eastAsia" w:ascii="宋体" w:hAnsi="宋体" w:cs="宋体"/>
          <w:b/>
          <w:highlight w:val="none"/>
          <w:lang w:val="en-US" w:eastAsia="zh-CN"/>
        </w:rPr>
      </w:pPr>
      <w:r>
        <w:rPr>
          <w:rFonts w:hint="eastAsia" w:ascii="宋体" w:hAnsi="宋体" w:cs="宋体"/>
          <w:b/>
          <w:highlight w:val="none"/>
          <w:lang w:val="en-US" w:eastAsia="zh-CN"/>
        </w:rPr>
      </w:r>
      <w:r/>
    </w:p>
    <w:p>
      <w:pPr>
        <w:rPr>
          <w:rFonts w:hint="eastAsia" w:ascii="宋体" w:hAnsi="宋体" w:cs="宋体"/>
          <w:b/>
          <w:highlight w:val="none"/>
        </w:rPr>
      </w:pPr>
      <w:r>
        <w:rPr>
          <w:rFonts w:hint="eastAsia" w:ascii="宋体" w:hAnsi="宋体" w:cs="宋体"/>
          <w:b/>
          <w:highlight w:val="none"/>
        </w:rPr>
        <w:br w:type="page" w:clear="all"/>
      </w:r>
      <w:r/>
    </w:p>
    <w:p>
      <w:pPr>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三</w:t>
      </w:r>
      <w:r>
        <w:rPr>
          <w:rFonts w:hint="eastAsia" w:ascii="宋体" w:hAnsi="宋体" w:cs="宋体"/>
          <w:b/>
          <w:highlight w:val="none"/>
        </w:rPr>
        <w:t xml:space="preserve">、无重大违法记录声明格式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南京市栖霞区城市管理局</w:t>
      </w:r>
      <w:r>
        <w:rPr>
          <w:rFonts w:hint="eastAsia" w:ascii="宋体" w:hAnsi="宋体" w:cs="宋体"/>
          <w:szCs w:val="21"/>
          <w:highlight w:val="none"/>
        </w:rPr>
        <w:t xml:space="preserve">：</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w:t>
      </w:r>
      <w:r>
        <w:rPr>
          <w:rFonts w:hint="eastAsia" w:ascii="宋体" w:hAnsi="宋体" w:cs="宋体"/>
          <w:b/>
          <w:szCs w:val="21"/>
          <w:highlight w:val="none"/>
          <w:lang w:eastAsia="zh-CN"/>
        </w:rPr>
        <w:t xml:space="preserve">重大税收违法失信主体名单</w:t>
      </w:r>
      <w:r>
        <w:rPr>
          <w:rFonts w:hint="eastAsia" w:ascii="宋体" w:hAnsi="宋体" w:cs="宋体"/>
          <w:b/>
          <w:szCs w:val="21"/>
          <w:highlight w:val="none"/>
        </w:rPr>
        <w:t xml:space="preserve">、政府采购严重违法失信行为记录名单的供应商。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szCs w:val="21"/>
          <w:highlight w:val="none"/>
          <w:lang w:val="en-US" w:eastAsia="zh-CN"/>
        </w:rPr>
        <w:t xml:space="preserve">日</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四</w:t>
      </w:r>
      <w:r>
        <w:rPr>
          <w:rFonts w:hint="eastAsia" w:ascii="宋体" w:hAnsi="宋体" w:cs="宋体"/>
          <w:b/>
          <w:highlight w:val="none"/>
        </w:rPr>
        <w:t xml:space="preserve">、资格资信证明文件</w:t>
      </w:r>
      <w:r/>
    </w:p>
    <w:p>
      <w:pPr>
        <w:spacing w:line="360" w:lineRule="auto"/>
        <w:rPr>
          <w:rFonts w:ascii="宋体" w:hAnsi="宋体" w:cs="宋体"/>
          <w:b/>
          <w:highlight w:val="none"/>
        </w:rPr>
      </w:pPr>
      <w:r>
        <w:rPr>
          <w:rFonts w:ascii="宋体" w:hAnsi="宋体" w:cs="宋体"/>
          <w:b/>
          <w:highlight w:val="none"/>
        </w:rPr>
      </w:r>
      <w:r/>
    </w:p>
    <w:p>
      <w:pPr>
        <w:pStyle w:val="828"/>
        <w:rPr>
          <w:rFonts w:hint="eastAsia"/>
          <w:highlight w:val="none"/>
        </w:rPr>
      </w:pPr>
      <w:r>
        <w:rPr>
          <w:rFonts w:hint="eastAsia"/>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pStyle w:val="828"/>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五</w:t>
      </w:r>
      <w:r>
        <w:rPr>
          <w:rFonts w:hint="eastAsia" w:ascii="宋体" w:hAnsi="宋体" w:cs="宋体"/>
          <w:b/>
          <w:highlight w:val="none"/>
        </w:rPr>
        <w:t xml:space="preserve">、《</w:t>
      </w:r>
      <w:r>
        <w:rPr>
          <w:rFonts w:hint="eastAsia" w:ascii="宋体" w:hAnsi="宋体" w:cs="宋体"/>
          <w:b/>
          <w:highlight w:val="none"/>
          <w:lang w:eastAsia="zh-CN"/>
        </w:rPr>
        <w:t xml:space="preserve">南京市政府采购供应商信用承诺书</w:t>
      </w:r>
      <w:r>
        <w:rPr>
          <w:rFonts w:hint="eastAsia" w:ascii="宋体" w:hAnsi="宋体" w:cs="宋体"/>
          <w:b/>
          <w:highlight w:val="none"/>
        </w:rPr>
        <w:t xml:space="preserve">》</w:t>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tbl>
      <w:tblPr>
        <w:tblStyle w:val="791"/>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sz w:val="24"/>
                <w:szCs w:val="32"/>
                <w:highlight w:val="none"/>
                <w:vertAlign w:val="baseline"/>
                <w:lang w:val="en-US" w:eastAsia="zh-CN"/>
              </w:rPr>
            </w:pPr>
            <w:r>
              <w:rPr>
                <w:rFonts w:hint="eastAsia" w:ascii="Calibri" w:hAnsi="Calibri" w:eastAsia="宋体"/>
                <w:sz w:val="24"/>
                <w:szCs w:val="32"/>
                <w:highlight w:val="none"/>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highlight w:val="none"/>
                <w:vertAlign w:val="baseline"/>
                <w:lang w:val="en-US" w:eastAsia="zh-CN"/>
              </w:rPr>
            </w:pPr>
            <w:r>
              <w:rPr>
                <w:rFonts w:hint="eastAsia" w:ascii="Calibri" w:hAnsi="Calibri" w:eastAsia="宋体"/>
                <w:highlight w:val="none"/>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 xml:space="preserve">我公司自愿参加贵中心</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公司</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 xml:space="preserve">二</w:t>
            </w:r>
            <w:r>
              <w:rPr>
                <w:rFonts w:hint="eastAsia" w:ascii="Calibri" w:hAnsi="Calibri" w:eastAsia="宋体"/>
                <w:highlight w:val="none"/>
                <w:vertAlign w:val="baseline"/>
                <w:lang w:val="en-US" w:eastAsia="zh-CN"/>
              </w:rPr>
              <w:t xml:space="preserve">条规定的条件，包括</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具有独立承担民事责任的能力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具有良好的商业信誉和健全的财务会计制度</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有履行合同所必需的设备和专业技术能力</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有依法缴纳税收和社会保障资金的良好记录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参加政府采购活动前三年内，在经营活动中没有重大违法记录</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符合法律、行政法规和采购文件规定的其他条件</w:t>
            </w:r>
            <w:r>
              <w:rPr>
                <w:rFonts w:hint="eastAsia" w:ascii="Calibri" w:hAnsi="Calibri"/>
                <w:highlight w:val="none"/>
                <w:vertAlign w:val="baseline"/>
                <w:lang w:val="en-US" w:eastAsia="zh-CN"/>
              </w:rPr>
              <w:t xml:space="preserve">。</w:t>
            </w:r>
            <w:r>
              <w:rPr>
                <w:rFonts w:hint="eastAsia" w:ascii="Calibri" w:hAnsi="Calibri" w:eastAsia="宋体"/>
                <w:highlight w:val="none"/>
                <w:vertAlign w:val="baseline"/>
                <w:lang w:val="en-US" w:eastAsia="zh-CN"/>
              </w:rPr>
              <w:t xml:space="preserve">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 xml:space="preserve">。</w:t>
            </w:r>
            <w:r/>
          </w:p>
          <w:p>
            <w:pPr>
              <w:ind w:firstLine="420"/>
              <w:jc w:val="both"/>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 xml:space="preserve">供应商名称（盖章）：</w:t>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 xml:space="preserve">法定代表人（签字）：</w:t>
            </w:r>
            <w:r/>
          </w:p>
          <w:p>
            <w:pPr>
              <w:ind w:firstLine="42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r>
            <w:r/>
          </w:p>
          <w:p>
            <w:pPr>
              <w:ind w:firstLine="42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 xml:space="preserve">XXXX年XX月XX日</w:t>
            </w:r>
            <w:r/>
          </w:p>
        </w:tc>
      </w:tr>
    </w:tbl>
    <w:p>
      <w:pPr>
        <w:jc w:val="center"/>
        <w:rPr>
          <w:rFonts w:hint="eastAsia" w:ascii="Calibri" w:hAnsi="Calibri" w:eastAsia="宋体"/>
          <w:highlight w:val="none"/>
          <w:lang w:val="en-US" w:eastAsia="zh-CN"/>
        </w:rPr>
      </w:pPr>
      <w:r>
        <w:rPr>
          <w:rFonts w:hint="eastAsia" w:ascii="Calibri" w:hAnsi="Calibri" w:eastAsia="宋体"/>
          <w:highlight w:val="none"/>
          <w:lang w:val="en-US" w:eastAsia="zh-CN"/>
        </w:rPr>
      </w:r>
      <w:r/>
    </w:p>
    <w:p>
      <w:pPr>
        <w:pStyle w:val="828"/>
        <w:ind w:firstLine="0"/>
        <w:jc w:val="left"/>
        <w:spacing w:line="360" w:lineRule="auto"/>
        <w:rPr>
          <w:rFonts w:ascii="宋体" w:hAnsi="宋体" w:cs="宋体"/>
          <w:b/>
          <w:highlight w:val="none"/>
        </w:rPr>
      </w:pPr>
      <w:r>
        <w:rPr>
          <w:rFonts w:ascii="宋体" w:hAnsi="宋体" w:cs="宋体"/>
          <w:b/>
          <w:highlight w:val="none"/>
        </w:rPr>
      </w:r>
      <w:r/>
    </w:p>
    <w:p>
      <w:pPr>
        <w:rPr>
          <w:rFonts w:hint="eastAsia" w:ascii="宋体" w:hAnsi="宋体" w:cs="宋体"/>
          <w:b/>
          <w:highlight w:val="none"/>
        </w:rPr>
      </w:pPr>
      <w:r>
        <w:rPr>
          <w:rFonts w:hint="eastAsia" w:ascii="宋体" w:hAnsi="宋体" w:cs="宋体"/>
          <w:b/>
          <w:highlight w:val="none"/>
        </w:rPr>
        <w:br w:type="page" w:clear="all"/>
      </w:r>
      <w:r/>
    </w:p>
    <w:p>
      <w:pPr>
        <w:pStyle w:val="828"/>
        <w:ind w:firstLine="0"/>
        <w:jc w:val="left"/>
        <w:spacing w:line="360" w:lineRule="auto"/>
        <w:rPr>
          <w:rFonts w:hint="eastAsia" w:ascii="宋体" w:hAnsi="宋体" w:cs="宋体"/>
          <w:b/>
          <w:highlight w:val="none"/>
          <w:lang w:val="en-US" w:eastAsia="zh-CN"/>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六</w:t>
      </w:r>
      <w:r>
        <w:rPr>
          <w:rFonts w:hint="eastAsia" w:ascii="宋体" w:hAnsi="宋体" w:cs="宋体"/>
          <w:b/>
          <w:highlight w:val="none"/>
        </w:rPr>
        <w:t xml:space="preserve">、</w:t>
      </w:r>
      <w:r>
        <w:rPr>
          <w:rFonts w:hint="eastAsia" w:ascii="宋体" w:hAnsi="宋体" w:cs="宋体"/>
          <w:b/>
          <w:highlight w:val="none"/>
          <w:lang w:val="en-US" w:eastAsia="zh-CN"/>
        </w:rPr>
        <w:t xml:space="preserve">投标人需要提供的其他材料</w:t>
      </w:r>
      <w:r/>
    </w:p>
    <w:p>
      <w:pPr>
        <w:ind w:firstLine="420"/>
        <w:jc w:val="cente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承诺书</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我单位承诺：</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招标文件要求填写。</w:t>
      </w:r>
      <w:r/>
    </w:p>
    <w:p>
      <w:pPr>
        <w:pStyle w:val="787"/>
        <w:jc w:val="right"/>
        <w:spacing w:before="0" w:beforeAutospacing="0" w:after="0" w:afterAutospacing="0" w:line="360" w:lineRule="auto"/>
        <w:shd w:val="clear" w:color="auto" w:fill="ffff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投标单位（加盖电子公章）：　        </w:t>
      </w:r>
      <w:r/>
    </w:p>
    <w:p>
      <w:pPr>
        <w:jc w:val="righ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日期：　     年　  月　  日  </w:t>
      </w:r>
      <w:r/>
    </w:p>
    <w:p>
      <w:pPr>
        <w:pStyle w:val="762"/>
        <w:numPr>
          <w:ilvl w:val="0"/>
          <w:numId w:val="0"/>
        </w:numPr>
        <w:rPr>
          <w:rFonts w:hint="eastAsia" w:ascii="宋体" w:hAnsi="宋体" w:cs="宋体"/>
          <w:b/>
          <w:highlight w:val="none"/>
          <w:lang w:val="en-US" w:eastAsia="zh-CN"/>
        </w:rPr>
      </w:pPr>
      <w:r>
        <w:rPr>
          <w:rFonts w:hint="eastAsia" w:ascii="宋体" w:hAnsi="宋体" w:cs="宋体"/>
          <w:b/>
          <w:highlight w:val="none"/>
          <w:lang w:val="en-US" w:eastAsia="zh-CN"/>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新宋体">
    <w:panose1 w:val="02010609030101010101"/>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方正书宋_GBK">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45"/>
      <w:isLgl w:val="false"/>
      <w:suff w:val="nothing"/>
      <w:lvlText w:val="第%1章"/>
      <w:lvlJc w:val="left"/>
      <w:pPr>
        <w:ind w:left="0" w:firstLine="0"/>
      </w:pPr>
    </w:lvl>
    <w:lvl w:ilvl="1">
      <w:start w:val="1"/>
      <w:numFmt w:val="none"/>
      <w:pStyle w:val="746"/>
      <w:isLgl w:val="false"/>
      <w:suff w:val="nothing"/>
      <w:lvlText w:val=""/>
      <w:lvlJc w:val="left"/>
      <w:pPr>
        <w:ind w:left="0" w:firstLine="0"/>
      </w:pPr>
    </w:lvl>
    <w:lvl w:ilvl="2">
      <w:start w:val="1"/>
      <w:numFmt w:val="none"/>
      <w:pStyle w:val="747"/>
      <w:isLgl w:val="false"/>
      <w:suff w:val="nothing"/>
      <w:lvlText w:val=""/>
      <w:lvlJc w:val="left"/>
      <w:pPr>
        <w:ind w:left="0" w:firstLine="0"/>
      </w:pPr>
    </w:lvl>
    <w:lvl w:ilvl="3">
      <w:start w:val="1"/>
      <w:numFmt w:val="none"/>
      <w:pStyle w:val="748"/>
      <w:isLgl w:val="false"/>
      <w:suff w:val="nothing"/>
      <w:lvlText w:val=""/>
      <w:lvlJc w:val="left"/>
      <w:pPr>
        <w:ind w:left="0" w:firstLine="0"/>
      </w:pPr>
    </w:lvl>
    <w:lvl w:ilvl="4">
      <w:start w:val="1"/>
      <w:numFmt w:val="none"/>
      <w:pStyle w:val="749"/>
      <w:isLgl w:val="false"/>
      <w:suff w:val="nothing"/>
      <w:lvlText w:val=""/>
      <w:lvlJc w:val="left"/>
      <w:pPr>
        <w:ind w:left="0" w:firstLine="0"/>
      </w:pPr>
    </w:lvl>
    <w:lvl w:ilvl="5">
      <w:start w:val="1"/>
      <w:numFmt w:val="none"/>
      <w:pStyle w:val="750"/>
      <w:isLgl w:val="false"/>
      <w:suff w:val="nothing"/>
      <w:lvlText w:val=""/>
      <w:lvlJc w:val="left"/>
      <w:pPr>
        <w:ind w:left="0" w:firstLine="0"/>
      </w:pPr>
    </w:lvl>
    <w:lvl w:ilvl="6">
      <w:start w:val="1"/>
      <w:numFmt w:val="none"/>
      <w:pStyle w:val="751"/>
      <w:isLgl w:val="false"/>
      <w:suff w:val="nothing"/>
      <w:lvlText w:val=""/>
      <w:lvlJc w:val="left"/>
      <w:pPr>
        <w:ind w:left="0" w:firstLine="0"/>
      </w:pPr>
    </w:lvl>
    <w:lvl w:ilvl="7">
      <w:start w:val="1"/>
      <w:numFmt w:val="none"/>
      <w:pStyle w:val="752"/>
      <w:isLgl w:val="false"/>
      <w:suff w:val="nothing"/>
      <w:lvlText w:val=""/>
      <w:lvlJc w:val="left"/>
      <w:pPr>
        <w:ind w:left="0" w:firstLine="0"/>
      </w:pPr>
    </w:lvl>
    <w:lvl w:ilvl="8">
      <w:start w:val="1"/>
      <w:numFmt w:val="none"/>
      <w:pStyle w:val="753"/>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9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18"/>
      <w:isLgl/>
      <w:suff w:val="tab"/>
      <w:lvlText w:val="%1.%2"/>
      <w:lvlJc w:val="left"/>
      <w:pPr>
        <w:ind w:left="425" w:hanging="425"/>
      </w:pPr>
      <w:rPr>
        <w:rFonts w:hint="eastAsia" w:ascii="Arial Unicode MS" w:hAnsi="Arial Unicode MS" w:eastAsia="微软雅黑"/>
        <w:b/>
        <w:i w:val="0"/>
      </w:rPr>
    </w:lvl>
    <w:lvl w:ilvl="2">
      <w:start w:val="1"/>
      <w:numFmt w:val="decimal"/>
      <w:pStyle w:val="93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89"/>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4"/>
    <w:link w:val="745"/>
    <w:uiPriority w:val="9"/>
    <w:rPr>
      <w:rFonts w:ascii="Arial" w:hAnsi="Arial" w:eastAsia="Arial" w:cs="Arial"/>
      <w:sz w:val="40"/>
      <w:szCs w:val="40"/>
    </w:rPr>
  </w:style>
  <w:style w:type="character" w:styleId="15">
    <w:name w:val="Heading 2 Char"/>
    <w:basedOn w:val="754"/>
    <w:link w:val="746"/>
    <w:uiPriority w:val="9"/>
    <w:rPr>
      <w:rFonts w:ascii="Arial" w:hAnsi="Arial" w:eastAsia="Arial" w:cs="Arial"/>
      <w:sz w:val="34"/>
    </w:rPr>
  </w:style>
  <w:style w:type="character" w:styleId="17">
    <w:name w:val="Heading 3 Char"/>
    <w:basedOn w:val="754"/>
    <w:link w:val="747"/>
    <w:uiPriority w:val="9"/>
    <w:rPr>
      <w:rFonts w:ascii="Arial" w:hAnsi="Arial" w:eastAsia="Arial" w:cs="Arial"/>
      <w:sz w:val="30"/>
      <w:szCs w:val="30"/>
    </w:rPr>
  </w:style>
  <w:style w:type="character" w:styleId="19">
    <w:name w:val="Heading 4 Char"/>
    <w:basedOn w:val="754"/>
    <w:link w:val="748"/>
    <w:uiPriority w:val="9"/>
    <w:rPr>
      <w:rFonts w:ascii="Arial" w:hAnsi="Arial" w:eastAsia="Arial" w:cs="Arial"/>
      <w:b/>
      <w:bCs/>
      <w:sz w:val="26"/>
      <w:szCs w:val="26"/>
    </w:rPr>
  </w:style>
  <w:style w:type="character" w:styleId="21">
    <w:name w:val="Heading 5 Char"/>
    <w:basedOn w:val="754"/>
    <w:link w:val="749"/>
    <w:uiPriority w:val="9"/>
    <w:rPr>
      <w:rFonts w:ascii="Arial" w:hAnsi="Arial" w:eastAsia="Arial" w:cs="Arial"/>
      <w:b/>
      <w:bCs/>
      <w:sz w:val="24"/>
      <w:szCs w:val="24"/>
    </w:rPr>
  </w:style>
  <w:style w:type="character" w:styleId="23">
    <w:name w:val="Heading 6 Char"/>
    <w:basedOn w:val="754"/>
    <w:link w:val="750"/>
    <w:uiPriority w:val="9"/>
    <w:rPr>
      <w:rFonts w:ascii="Arial" w:hAnsi="Arial" w:eastAsia="Arial" w:cs="Arial"/>
      <w:b/>
      <w:bCs/>
      <w:sz w:val="22"/>
      <w:szCs w:val="22"/>
    </w:rPr>
  </w:style>
  <w:style w:type="character" w:styleId="25">
    <w:name w:val="Heading 7 Char"/>
    <w:basedOn w:val="754"/>
    <w:link w:val="751"/>
    <w:uiPriority w:val="9"/>
    <w:rPr>
      <w:rFonts w:ascii="Arial" w:hAnsi="Arial" w:eastAsia="Arial" w:cs="Arial"/>
      <w:b/>
      <w:bCs/>
      <w:i/>
      <w:iCs/>
      <w:sz w:val="22"/>
      <w:szCs w:val="22"/>
    </w:rPr>
  </w:style>
  <w:style w:type="character" w:styleId="27">
    <w:name w:val="Heading 8 Char"/>
    <w:basedOn w:val="754"/>
    <w:link w:val="752"/>
    <w:uiPriority w:val="9"/>
    <w:rPr>
      <w:rFonts w:ascii="Arial" w:hAnsi="Arial" w:eastAsia="Arial" w:cs="Arial"/>
      <w:i/>
      <w:iCs/>
      <w:sz w:val="22"/>
      <w:szCs w:val="22"/>
    </w:rPr>
  </w:style>
  <w:style w:type="character" w:styleId="29">
    <w:name w:val="Heading 9 Char"/>
    <w:basedOn w:val="754"/>
    <w:link w:val="753"/>
    <w:uiPriority w:val="9"/>
    <w:rPr>
      <w:rFonts w:ascii="Arial" w:hAnsi="Arial" w:eastAsia="Arial" w:cs="Arial"/>
      <w:i/>
      <w:iCs/>
      <w:sz w:val="21"/>
      <w:szCs w:val="21"/>
    </w:rPr>
  </w:style>
  <w:style w:type="character" w:styleId="34">
    <w:name w:val="Title Char"/>
    <w:basedOn w:val="754"/>
    <w:link w:val="788"/>
    <w:uiPriority w:val="10"/>
    <w:rPr>
      <w:sz w:val="48"/>
      <w:szCs w:val="48"/>
    </w:rPr>
  </w:style>
  <w:style w:type="character" w:styleId="36">
    <w:name w:val="Subtitle Char"/>
    <w:basedOn w:val="754"/>
    <w:link w:val="782"/>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4"/>
    <w:link w:val="777"/>
    <w:uiPriority w:val="99"/>
  </w:style>
  <w:style w:type="character" w:styleId="44">
    <w:name w:val="Footer Char"/>
    <w:basedOn w:val="754"/>
    <w:link w:val="775"/>
    <w:uiPriority w:val="99"/>
  </w:style>
  <w:style w:type="character" w:styleId="46">
    <w:name w:val="Caption Char"/>
    <w:basedOn w:val="760"/>
    <w:link w:val="775"/>
    <w:uiPriority w:val="99"/>
  </w:style>
  <w:style w:type="table" w:styleId="48">
    <w:name w:val="Table Grid Light"/>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4"/>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4"/>
    <w:uiPriority w:val="99"/>
    <w:semiHidden/>
    <w:unhideWhenUsed/>
    <w:rPr>
      <w:vertAlign w:val="superscript"/>
    </w:r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56"/>
    <w:uiPriority w:val="0"/>
    <w:qFormat/>
    <w:pPr>
      <w:jc w:val="both"/>
      <w:widowControl w:val="off"/>
    </w:pPr>
    <w:rPr>
      <w:rFonts w:ascii="Times New Roman" w:hAnsi="Times New Roman" w:eastAsia="宋体" w:cs="Times New Roman"/>
      <w:sz w:val="21"/>
      <w:szCs w:val="24"/>
      <w:lang w:val="en-US" w:eastAsia="zh-CN" w:bidi="ar-SA"/>
    </w:rPr>
  </w:style>
  <w:style w:type="paragraph" w:styleId="745">
    <w:name w:val="Heading 1"/>
    <w:basedOn w:val="744"/>
    <w:next w:val="744"/>
    <w:link w:val="801"/>
    <w:uiPriority w:val="0"/>
    <w:qFormat/>
    <w:pPr>
      <w:numPr>
        <w:ilvl w:val="0"/>
        <w:numId w:val="1"/>
      </w:numPr>
      <w:jc w:val="center"/>
      <w:keepLines/>
      <w:keepNext/>
      <w:spacing w:before="340" w:after="330" w:line="578" w:lineRule="auto"/>
      <w:outlineLvl w:val="0"/>
    </w:pPr>
    <w:rPr>
      <w:b/>
      <w:bCs/>
      <w:sz w:val="32"/>
      <w:szCs w:val="44"/>
    </w:rPr>
  </w:style>
  <w:style w:type="paragraph" w:styleId="746">
    <w:name w:val="Heading 2"/>
    <w:basedOn w:val="744"/>
    <w:next w:val="744"/>
    <w:link w:val="80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7">
    <w:name w:val="Heading 3"/>
    <w:basedOn w:val="744"/>
    <w:next w:val="744"/>
    <w:link w:val="803"/>
    <w:uiPriority w:val="0"/>
    <w:qFormat/>
    <w:pPr>
      <w:numPr>
        <w:ilvl w:val="2"/>
        <w:numId w:val="1"/>
      </w:numPr>
      <w:keepLines/>
      <w:keepNext/>
      <w:spacing w:before="260" w:after="260" w:line="416" w:lineRule="auto"/>
      <w:outlineLvl w:val="2"/>
    </w:pPr>
    <w:rPr>
      <w:b/>
      <w:bCs/>
      <w:sz w:val="32"/>
      <w:szCs w:val="32"/>
    </w:rPr>
  </w:style>
  <w:style w:type="paragraph" w:styleId="748">
    <w:name w:val="Heading 4"/>
    <w:basedOn w:val="744"/>
    <w:next w:val="744"/>
    <w:link w:val="80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49">
    <w:name w:val="Heading 5"/>
    <w:basedOn w:val="744"/>
    <w:next w:val="744"/>
    <w:link w:val="805"/>
    <w:uiPriority w:val="0"/>
    <w:qFormat/>
    <w:pPr>
      <w:numPr>
        <w:ilvl w:val="4"/>
        <w:numId w:val="1"/>
      </w:numPr>
      <w:keepLines/>
      <w:keepNext/>
      <w:spacing w:before="280" w:after="290" w:line="376" w:lineRule="auto"/>
      <w:outlineLvl w:val="4"/>
    </w:pPr>
    <w:rPr>
      <w:b/>
      <w:bCs/>
      <w:sz w:val="28"/>
      <w:szCs w:val="28"/>
    </w:rPr>
  </w:style>
  <w:style w:type="paragraph" w:styleId="750">
    <w:name w:val="Heading 6"/>
    <w:basedOn w:val="744"/>
    <w:next w:val="744"/>
    <w:link w:val="806"/>
    <w:uiPriority w:val="0"/>
    <w:qFormat/>
    <w:pPr>
      <w:numPr>
        <w:ilvl w:val="5"/>
        <w:numId w:val="1"/>
      </w:numPr>
      <w:keepLines/>
      <w:keepNext/>
      <w:spacing w:before="240" w:after="64" w:line="320" w:lineRule="auto"/>
      <w:outlineLvl w:val="5"/>
    </w:pPr>
    <w:rPr>
      <w:rFonts w:ascii="Cambria" w:hAnsi="Cambria"/>
      <w:b/>
      <w:bCs/>
      <w:sz w:val="24"/>
    </w:rPr>
  </w:style>
  <w:style w:type="paragraph" w:styleId="751">
    <w:name w:val="Heading 7"/>
    <w:basedOn w:val="744"/>
    <w:next w:val="744"/>
    <w:link w:val="807"/>
    <w:uiPriority w:val="0"/>
    <w:qFormat/>
    <w:pPr>
      <w:numPr>
        <w:ilvl w:val="6"/>
        <w:numId w:val="1"/>
      </w:numPr>
      <w:keepLines/>
      <w:keepNext/>
      <w:spacing w:before="240" w:after="64" w:line="320" w:lineRule="auto"/>
      <w:outlineLvl w:val="6"/>
    </w:pPr>
    <w:rPr>
      <w:b/>
      <w:bCs/>
      <w:sz w:val="24"/>
    </w:rPr>
  </w:style>
  <w:style w:type="paragraph" w:styleId="752">
    <w:name w:val="Heading 8"/>
    <w:basedOn w:val="744"/>
    <w:next w:val="744"/>
    <w:link w:val="808"/>
    <w:uiPriority w:val="0"/>
    <w:qFormat/>
    <w:pPr>
      <w:numPr>
        <w:ilvl w:val="7"/>
        <w:numId w:val="1"/>
      </w:numPr>
      <w:keepLines/>
      <w:keepNext/>
      <w:spacing w:before="240" w:after="64" w:line="320" w:lineRule="auto"/>
      <w:outlineLvl w:val="7"/>
    </w:pPr>
    <w:rPr>
      <w:rFonts w:ascii="Cambria" w:hAnsi="Cambria"/>
      <w:sz w:val="24"/>
    </w:rPr>
  </w:style>
  <w:style w:type="paragraph" w:styleId="753">
    <w:name w:val="Heading 9"/>
    <w:basedOn w:val="744"/>
    <w:next w:val="744"/>
    <w:link w:val="809"/>
    <w:uiPriority w:val="0"/>
    <w:qFormat/>
    <w:pPr>
      <w:numPr>
        <w:ilvl w:val="8"/>
        <w:numId w:val="1"/>
      </w:numPr>
      <w:keepLines/>
      <w:keepNext/>
      <w:spacing w:before="240" w:after="64" w:line="320" w:lineRule="auto"/>
      <w:outlineLvl w:val="8"/>
    </w:pPr>
    <w:rPr>
      <w:rFonts w:ascii="Cambria" w:hAnsi="Cambria"/>
      <w:szCs w:val="21"/>
    </w:rPr>
  </w:style>
  <w:style w:type="character" w:styleId="754" w:default="1">
    <w:name w:val="Default Paragraph Font"/>
    <w:uiPriority w:val="1"/>
    <w:unhideWhenUsed/>
    <w:qFormat/>
  </w:style>
  <w:style w:type="table" w:styleId="755" w:default="1">
    <w:name w:val="Normal Table"/>
    <w:uiPriority w:val="99"/>
    <w:unhideWhenUsed/>
    <w:qFormat/>
    <w:tblPr>
      <w:tblCellMar>
        <w:left w:w="108" w:type="dxa"/>
        <w:top w:w="0" w:type="dxa"/>
        <w:right w:w="108" w:type="dxa"/>
        <w:bottom w:w="0" w:type="dxa"/>
      </w:tblCellMar>
    </w:tblPr>
  </w:style>
  <w:style w:type="paragraph" w:styleId="756" w:customStyle="1">
    <w:name w:val="列出段落1"/>
    <w:basedOn w:val="744"/>
    <w:uiPriority w:val="34"/>
    <w:qFormat/>
    <w:pPr>
      <w:contextualSpacing/>
      <w:ind w:left="720"/>
      <w:jc w:val="left"/>
      <w:widowControl/>
    </w:pPr>
    <w:rPr>
      <w:rFonts w:ascii="Arial" w:hAnsi="Arial" w:eastAsia="黑体"/>
      <w:sz w:val="24"/>
      <w:lang w:eastAsia="en-US"/>
    </w:rPr>
  </w:style>
  <w:style w:type="paragraph" w:styleId="757">
    <w:name w:val="List 3"/>
    <w:basedOn w:val="744"/>
    <w:uiPriority w:val="99"/>
    <w:unhideWhenUsed/>
    <w:qFormat/>
    <w:pPr>
      <w:ind w:left="1260" w:hanging="420"/>
      <w:spacing w:before="100" w:beforeAutospacing="1" w:after="100" w:afterAutospacing="1"/>
    </w:pPr>
    <w:rPr>
      <w:szCs w:val="21"/>
    </w:rPr>
  </w:style>
  <w:style w:type="paragraph" w:styleId="758">
    <w:name w:val="toc 7"/>
    <w:basedOn w:val="744"/>
    <w:next w:val="744"/>
    <w:uiPriority w:val="39"/>
    <w:unhideWhenUsed/>
    <w:qFormat/>
    <w:pPr>
      <w:ind w:left="2520"/>
    </w:pPr>
    <w:rPr>
      <w:rFonts w:ascii="Calibri" w:hAnsi="Calibri"/>
      <w:szCs w:val="22"/>
    </w:rPr>
  </w:style>
  <w:style w:type="paragraph" w:styleId="759">
    <w:name w:val="Normal Indent"/>
    <w:basedOn w:val="744"/>
    <w:uiPriority w:val="0"/>
    <w:qFormat/>
    <w:pPr>
      <w:ind w:firstLine="420"/>
    </w:pPr>
    <w:rPr>
      <w:b/>
      <w:sz w:val="24"/>
      <w:szCs w:val="20"/>
    </w:rPr>
  </w:style>
  <w:style w:type="paragraph" w:styleId="760">
    <w:name w:val="Caption"/>
    <w:basedOn w:val="744"/>
    <w:next w:val="744"/>
    <w:uiPriority w:val="0"/>
    <w:qFormat/>
    <w:rPr>
      <w:rFonts w:ascii="Cambria" w:hAnsi="Cambria" w:eastAsia="黑体"/>
      <w:sz w:val="20"/>
      <w:szCs w:val="22"/>
    </w:rPr>
  </w:style>
  <w:style w:type="paragraph" w:styleId="761">
    <w:name w:val="Document Map"/>
    <w:basedOn w:val="744"/>
    <w:link w:val="810"/>
    <w:uiPriority w:val="0"/>
    <w:qFormat/>
    <w:rPr>
      <w:rFonts w:ascii="宋体"/>
      <w:sz w:val="18"/>
      <w:szCs w:val="18"/>
    </w:rPr>
  </w:style>
  <w:style w:type="paragraph" w:styleId="762">
    <w:name w:val="annotation text"/>
    <w:basedOn w:val="744"/>
    <w:link w:val="811"/>
    <w:uiPriority w:val="99"/>
    <w:qFormat/>
    <w:pPr>
      <w:jc w:val="left"/>
    </w:pPr>
  </w:style>
  <w:style w:type="paragraph" w:styleId="763">
    <w:name w:val="Body Text 3"/>
    <w:basedOn w:val="744"/>
    <w:link w:val="812"/>
    <w:uiPriority w:val="0"/>
    <w:qFormat/>
    <w:rPr>
      <w:rFonts w:ascii="宋体"/>
      <w:sz w:val="24"/>
      <w:szCs w:val="20"/>
    </w:rPr>
  </w:style>
  <w:style w:type="paragraph" w:styleId="764">
    <w:name w:val="Body Text"/>
    <w:basedOn w:val="744"/>
    <w:next w:val="744"/>
    <w:link w:val="813"/>
    <w:uiPriority w:val="0"/>
    <w:qFormat/>
    <w:pPr>
      <w:jc w:val="center"/>
    </w:pPr>
    <w:rPr>
      <w:rFonts w:eastAsia="幼圆"/>
      <w:b/>
      <w:bCs/>
      <w:sz w:val="44"/>
    </w:rPr>
  </w:style>
  <w:style w:type="paragraph" w:styleId="765">
    <w:name w:val="Body Text Indent"/>
    <w:basedOn w:val="744"/>
    <w:link w:val="814"/>
    <w:uiPriority w:val="0"/>
    <w:qFormat/>
    <w:pPr>
      <w:ind w:left="420"/>
      <w:spacing w:after="120"/>
    </w:pPr>
  </w:style>
  <w:style w:type="paragraph" w:styleId="766">
    <w:name w:val="Block Text"/>
    <w:basedOn w:val="744"/>
    <w:uiPriority w:val="99"/>
    <w:unhideWhenUsed/>
    <w:qFormat/>
    <w:pPr>
      <w:ind w:left="1440" w:right="1440"/>
      <w:spacing w:after="120"/>
    </w:pPr>
  </w:style>
  <w:style w:type="paragraph" w:styleId="767">
    <w:name w:val="index 4"/>
    <w:basedOn w:val="744"/>
    <w:next w:val="744"/>
    <w:uiPriority w:val="0"/>
    <w:qFormat/>
    <w:pPr>
      <w:ind w:left="600"/>
    </w:pPr>
    <w:rPr>
      <w:rFonts w:ascii="Calibri" w:hAnsi="Calibri"/>
    </w:rPr>
  </w:style>
  <w:style w:type="paragraph" w:styleId="768">
    <w:name w:val="toc 5"/>
    <w:basedOn w:val="744"/>
    <w:next w:val="744"/>
    <w:uiPriority w:val="39"/>
    <w:unhideWhenUsed/>
    <w:qFormat/>
    <w:pPr>
      <w:ind w:left="1680"/>
    </w:pPr>
    <w:rPr>
      <w:rFonts w:ascii="Calibri" w:hAnsi="Calibri"/>
      <w:szCs w:val="22"/>
    </w:rPr>
  </w:style>
  <w:style w:type="paragraph" w:styleId="769">
    <w:name w:val="toc 3"/>
    <w:basedOn w:val="744"/>
    <w:next w:val="744"/>
    <w:uiPriority w:val="39"/>
    <w:qFormat/>
    <w:pPr>
      <w:ind w:left="840"/>
    </w:pPr>
    <w:rPr>
      <w:rFonts w:ascii="Calibri" w:hAnsi="Calibri"/>
      <w:szCs w:val="22"/>
    </w:rPr>
  </w:style>
  <w:style w:type="paragraph" w:styleId="770">
    <w:name w:val="Plain Text"/>
    <w:basedOn w:val="744"/>
    <w:link w:val="815"/>
    <w:uiPriority w:val="0"/>
    <w:qFormat/>
    <w:rPr>
      <w:rFonts w:ascii="Ari"/>
    </w:rPr>
  </w:style>
  <w:style w:type="paragraph" w:styleId="771">
    <w:name w:val="toc 8"/>
    <w:basedOn w:val="744"/>
    <w:next w:val="744"/>
    <w:uiPriority w:val="39"/>
    <w:unhideWhenUsed/>
    <w:qFormat/>
    <w:pPr>
      <w:ind w:left="2940"/>
    </w:pPr>
    <w:rPr>
      <w:rFonts w:ascii="Calibri" w:hAnsi="Calibri"/>
      <w:szCs w:val="22"/>
    </w:rPr>
  </w:style>
  <w:style w:type="paragraph" w:styleId="772">
    <w:name w:val="Date"/>
    <w:basedOn w:val="744"/>
    <w:next w:val="744"/>
    <w:link w:val="816"/>
    <w:uiPriority w:val="0"/>
    <w:unhideWhenUsed/>
    <w:qFormat/>
  </w:style>
  <w:style w:type="paragraph" w:styleId="773">
    <w:name w:val="Body Text Indent 2"/>
    <w:basedOn w:val="744"/>
    <w:link w:val="817"/>
    <w:uiPriority w:val="99"/>
    <w:unhideWhenUsed/>
    <w:qFormat/>
    <w:pPr>
      <w:ind w:firstLine="525"/>
      <w:spacing w:line="420" w:lineRule="exact"/>
    </w:pPr>
    <w:rPr>
      <w:rFonts w:ascii="宋体"/>
      <w:sz w:val="20"/>
      <w:szCs w:val="20"/>
    </w:rPr>
  </w:style>
  <w:style w:type="paragraph" w:styleId="774">
    <w:name w:val="Balloon Text"/>
    <w:basedOn w:val="744"/>
    <w:link w:val="818"/>
    <w:uiPriority w:val="0"/>
    <w:qFormat/>
    <w:rPr>
      <w:sz w:val="18"/>
      <w:szCs w:val="18"/>
    </w:rPr>
  </w:style>
  <w:style w:type="paragraph" w:styleId="775">
    <w:name w:val="Footer"/>
    <w:basedOn w:val="744"/>
    <w:next w:val="776"/>
    <w:link w:val="819"/>
    <w:uiPriority w:val="99"/>
    <w:qFormat/>
    <w:pPr>
      <w:jc w:val="left"/>
      <w:tabs>
        <w:tab w:val="center" w:pos="4153" w:leader="none"/>
        <w:tab w:val="right" w:pos="8306" w:leader="none"/>
      </w:tabs>
    </w:pPr>
    <w:rPr>
      <w:sz w:val="18"/>
      <w:szCs w:val="18"/>
    </w:rPr>
  </w:style>
  <w:style w:type="paragraph" w:styleId="776">
    <w:name w:val="toc 2"/>
    <w:basedOn w:val="744"/>
    <w:next w:val="744"/>
    <w:uiPriority w:val="39"/>
    <w:qFormat/>
    <w:pPr>
      <w:ind w:left="420"/>
    </w:pPr>
    <w:rPr>
      <w:rFonts w:ascii="Calibri" w:hAnsi="Calibri"/>
      <w:szCs w:val="22"/>
    </w:rPr>
  </w:style>
  <w:style w:type="paragraph" w:styleId="777">
    <w:name w:val="Header"/>
    <w:basedOn w:val="744"/>
    <w:link w:val="820"/>
    <w:uiPriority w:val="0"/>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44"/>
    <w:next w:val="744"/>
    <w:uiPriority w:val="39"/>
    <w:qFormat/>
  </w:style>
  <w:style w:type="paragraph" w:styleId="779">
    <w:name w:val="toc 4"/>
    <w:basedOn w:val="744"/>
    <w:next w:val="744"/>
    <w:uiPriority w:val="39"/>
    <w:unhideWhenUsed/>
    <w:qFormat/>
    <w:pPr>
      <w:ind w:left="1260"/>
    </w:pPr>
    <w:rPr>
      <w:rFonts w:ascii="Calibri" w:hAnsi="Calibri"/>
      <w:szCs w:val="22"/>
    </w:rPr>
  </w:style>
  <w:style w:type="paragraph" w:styleId="780">
    <w:name w:val="index heading"/>
    <w:basedOn w:val="744"/>
    <w:next w:val="781"/>
    <w:uiPriority w:val="99"/>
    <w:unhideWhenUsed/>
    <w:qFormat/>
    <w:pPr>
      <w:tabs>
        <w:tab w:val="left" w:pos="240" w:leader="none"/>
      </w:tabs>
    </w:pPr>
  </w:style>
  <w:style w:type="paragraph" w:styleId="781">
    <w:name w:val="index 1"/>
    <w:basedOn w:val="744"/>
    <w:next w:val="744"/>
    <w:uiPriority w:val="0"/>
    <w:qFormat/>
    <w:pPr>
      <w:jc w:val="center"/>
      <w:spacing w:line="220" w:lineRule="exact"/>
    </w:pPr>
    <w:rPr>
      <w:rFonts w:ascii="仿宋_GB2312" w:hAnsi="Calibri" w:eastAsia="仿宋_GB2312"/>
      <w:szCs w:val="22"/>
    </w:rPr>
  </w:style>
  <w:style w:type="paragraph" w:styleId="782">
    <w:name w:val="Subtitle"/>
    <w:basedOn w:val="744"/>
    <w:next w:val="744"/>
    <w:link w:val="821"/>
    <w:uiPriority w:val="0"/>
    <w:qFormat/>
    <w:pPr>
      <w:jc w:val="center"/>
      <w:spacing w:before="240" w:after="60" w:line="312" w:lineRule="auto"/>
      <w:outlineLvl w:val="1"/>
    </w:pPr>
    <w:rPr>
      <w:rFonts w:ascii="Cambria" w:hAnsi="Cambria"/>
      <w:b/>
      <w:bCs/>
      <w:sz w:val="32"/>
      <w:szCs w:val="32"/>
    </w:rPr>
  </w:style>
  <w:style w:type="paragraph" w:styleId="783">
    <w:name w:val="toc 6"/>
    <w:basedOn w:val="744"/>
    <w:next w:val="744"/>
    <w:uiPriority w:val="39"/>
    <w:unhideWhenUsed/>
    <w:qFormat/>
    <w:pPr>
      <w:ind w:left="2100"/>
    </w:pPr>
    <w:rPr>
      <w:rFonts w:ascii="Calibri" w:hAnsi="Calibri"/>
      <w:szCs w:val="22"/>
    </w:rPr>
  </w:style>
  <w:style w:type="paragraph" w:styleId="784">
    <w:name w:val="Body Text Indent 3"/>
    <w:basedOn w:val="744"/>
    <w:link w:val="822"/>
    <w:uiPriority w:val="0"/>
    <w:qFormat/>
    <w:pPr>
      <w:ind w:left="420"/>
      <w:spacing w:after="120"/>
    </w:pPr>
    <w:rPr>
      <w:sz w:val="16"/>
      <w:szCs w:val="20"/>
    </w:rPr>
  </w:style>
  <w:style w:type="paragraph" w:styleId="785">
    <w:name w:val="toc 9"/>
    <w:basedOn w:val="744"/>
    <w:next w:val="744"/>
    <w:uiPriority w:val="39"/>
    <w:unhideWhenUsed/>
    <w:qFormat/>
    <w:pPr>
      <w:ind w:left="3360"/>
    </w:pPr>
    <w:rPr>
      <w:rFonts w:ascii="Calibri" w:hAnsi="Calibri"/>
      <w:szCs w:val="22"/>
    </w:rPr>
  </w:style>
  <w:style w:type="paragraph" w:styleId="786">
    <w:name w:val="HTML Preformatted"/>
    <w:basedOn w:val="74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7">
    <w:name w:val="Normal (Web)"/>
    <w:basedOn w:val="744"/>
    <w:uiPriority w:val="99"/>
    <w:qFormat/>
    <w:pPr>
      <w:jc w:val="left"/>
      <w:spacing w:before="100" w:beforeAutospacing="1" w:after="100" w:afterAutospacing="1"/>
      <w:widowControl/>
    </w:pPr>
    <w:rPr>
      <w:rFonts w:ascii="宋体" w:hAnsi="宋体" w:cs="宋体"/>
      <w:sz w:val="24"/>
    </w:rPr>
  </w:style>
  <w:style w:type="paragraph" w:styleId="788">
    <w:name w:val="Title"/>
    <w:basedOn w:val="744"/>
    <w:next w:val="744"/>
    <w:link w:val="823"/>
    <w:uiPriority w:val="0"/>
    <w:qFormat/>
    <w:pPr>
      <w:jc w:val="center"/>
      <w:spacing w:before="240" w:after="60" w:line="420" w:lineRule="atLeast"/>
      <w:outlineLvl w:val="0"/>
    </w:pPr>
    <w:rPr>
      <w:rFonts w:ascii="Arial" w:hAnsi="Arial"/>
      <w:b/>
      <w:sz w:val="32"/>
      <w:szCs w:val="20"/>
    </w:rPr>
  </w:style>
  <w:style w:type="paragraph" w:styleId="789">
    <w:name w:val="annotation subject"/>
    <w:basedOn w:val="762"/>
    <w:next w:val="762"/>
    <w:link w:val="824"/>
    <w:uiPriority w:val="0"/>
    <w:qFormat/>
    <w:rPr>
      <w:b/>
      <w:bCs/>
    </w:rPr>
  </w:style>
  <w:style w:type="paragraph" w:styleId="790">
    <w:name w:val="Body Text First Indent 2"/>
    <w:basedOn w:val="765"/>
    <w:uiPriority w:val="99"/>
    <w:qFormat/>
    <w:pPr>
      <w:ind w:firstLine="420"/>
    </w:pPr>
  </w:style>
  <w:style w:type="table" w:styleId="791">
    <w:name w:val="Table Grid"/>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54"/>
    <w:uiPriority w:val="0"/>
    <w:qFormat/>
    <w:rPr>
      <w:rFonts w:cs="Times New Roman"/>
      <w:b/>
    </w:rPr>
  </w:style>
  <w:style w:type="character" w:styleId="793">
    <w:name w:val="page number"/>
    <w:basedOn w:val="754"/>
    <w:uiPriority w:val="0"/>
    <w:qFormat/>
    <w:rPr>
      <w:rFonts w:eastAsia="宋体"/>
      <w:b/>
      <w:spacing w:val="0"/>
      <w:sz w:val="24"/>
      <w:szCs w:val="24"/>
      <w:vertAlign w:val="baseline"/>
      <w:lang w:val="en-US" w:eastAsia="zh-CN" w:bidi="ar-SA"/>
    </w:rPr>
  </w:style>
  <w:style w:type="character" w:styleId="794">
    <w:name w:val="FollowedHyperlink"/>
    <w:uiPriority w:val="0"/>
    <w:qFormat/>
    <w:rPr>
      <w:color w:val="800080"/>
      <w:u w:val="single"/>
    </w:rPr>
  </w:style>
  <w:style w:type="character" w:styleId="795">
    <w:name w:val="Emphasis"/>
    <w:basedOn w:val="754"/>
    <w:uiPriority w:val="0"/>
    <w:qFormat/>
    <w:rPr>
      <w:color w:val="cc0000"/>
    </w:rPr>
  </w:style>
  <w:style w:type="character" w:styleId="796">
    <w:name w:val="Hyperlink"/>
    <w:basedOn w:val="754"/>
    <w:uiPriority w:val="99"/>
    <w:qFormat/>
    <w:rPr>
      <w:color w:val="0000ff"/>
      <w:u w:val="single"/>
    </w:rPr>
  </w:style>
  <w:style w:type="character" w:styleId="797">
    <w:name w:val="annotation reference"/>
    <w:uiPriority w:val="99"/>
    <w:qFormat/>
    <w:rPr>
      <w:sz w:val="21"/>
      <w:szCs w:val="21"/>
    </w:rPr>
  </w:style>
  <w:style w:type="character" w:styleId="798">
    <w:name w:val="HTML Cite"/>
    <w:uiPriority w:val="0"/>
    <w:qFormat/>
    <w:rPr>
      <w:color w:val="008000"/>
    </w:rPr>
  </w:style>
  <w:style w:type="paragraph" w:styleId="799" w:customStyle="1">
    <w:name w:val="标题 312"/>
    <w:basedOn w:val="744"/>
    <w:next w:val="744"/>
    <w:uiPriority w:val="9"/>
    <w:qFormat/>
    <w:pPr>
      <w:keepLines/>
      <w:keepNext/>
      <w:spacing w:before="320" w:after="200"/>
      <w:outlineLvl w:val="2"/>
    </w:pPr>
    <w:rPr>
      <w:rFonts w:ascii="Arial" w:hAnsi="Arial" w:eastAsia="Arial" w:cs="Arial"/>
      <w:sz w:val="30"/>
      <w:szCs w:val="30"/>
    </w:rPr>
  </w:style>
  <w:style w:type="paragraph" w:styleId="800">
    <w:name w:val="List Paragraph"/>
    <w:basedOn w:val="744"/>
    <w:uiPriority w:val="34"/>
    <w:qFormat/>
    <w:pPr>
      <w:ind w:firstLine="420"/>
    </w:pPr>
  </w:style>
  <w:style w:type="character" w:styleId="801" w:customStyle="1">
    <w:name w:val="标题 1 字符"/>
    <w:link w:val="745"/>
    <w:uiPriority w:val="0"/>
    <w:qFormat/>
    <w:rPr>
      <w:rFonts w:ascii="Times New Roman" w:hAnsi="Times New Roman" w:eastAsia="宋体" w:cs="Times New Roman"/>
      <w:b/>
      <w:bCs/>
      <w:sz w:val="32"/>
      <w:szCs w:val="44"/>
    </w:rPr>
  </w:style>
  <w:style w:type="character" w:styleId="802" w:customStyle="1">
    <w:name w:val="标题 2 字符"/>
    <w:link w:val="746"/>
    <w:uiPriority w:val="0"/>
    <w:qFormat/>
    <w:rPr>
      <w:rFonts w:ascii="Cambria" w:hAnsi="Cambria"/>
      <w:b/>
      <w:bCs/>
      <w:sz w:val="32"/>
      <w:szCs w:val="32"/>
    </w:rPr>
  </w:style>
  <w:style w:type="character" w:styleId="803" w:customStyle="1">
    <w:name w:val="标题 3 字符"/>
    <w:link w:val="747"/>
    <w:uiPriority w:val="0"/>
    <w:qFormat/>
    <w:rPr>
      <w:b/>
      <w:bCs/>
      <w:sz w:val="32"/>
      <w:szCs w:val="32"/>
    </w:rPr>
  </w:style>
  <w:style w:type="character" w:styleId="804" w:customStyle="1">
    <w:name w:val="标题 4 字符"/>
    <w:link w:val="748"/>
    <w:uiPriority w:val="0"/>
    <w:qFormat/>
    <w:rPr>
      <w:rFonts w:ascii="Cambria" w:hAnsi="Cambria" w:eastAsia="宋体" w:cs="Times New Roman"/>
      <w:b/>
      <w:bCs/>
      <w:sz w:val="28"/>
      <w:szCs w:val="28"/>
    </w:rPr>
  </w:style>
  <w:style w:type="character" w:styleId="805" w:customStyle="1">
    <w:name w:val="标题 5 字符"/>
    <w:link w:val="749"/>
    <w:uiPriority w:val="0"/>
    <w:qFormat/>
    <w:rPr>
      <w:b/>
      <w:bCs/>
      <w:sz w:val="28"/>
      <w:szCs w:val="28"/>
    </w:rPr>
  </w:style>
  <w:style w:type="character" w:styleId="806" w:customStyle="1">
    <w:name w:val="标题 6 字符"/>
    <w:link w:val="750"/>
    <w:uiPriority w:val="0"/>
    <w:qFormat/>
    <w:rPr>
      <w:rFonts w:ascii="Cambria" w:hAnsi="Cambria" w:eastAsia="宋体" w:cs="Times New Roman"/>
      <w:b/>
      <w:bCs/>
      <w:sz w:val="24"/>
      <w:szCs w:val="24"/>
    </w:rPr>
  </w:style>
  <w:style w:type="character" w:styleId="807" w:customStyle="1">
    <w:name w:val="标题 7 字符"/>
    <w:link w:val="751"/>
    <w:uiPriority w:val="0"/>
    <w:qFormat/>
    <w:rPr>
      <w:b/>
      <w:bCs/>
      <w:sz w:val="24"/>
      <w:szCs w:val="24"/>
    </w:rPr>
  </w:style>
  <w:style w:type="character" w:styleId="808" w:customStyle="1">
    <w:name w:val="标题 8 字符"/>
    <w:link w:val="752"/>
    <w:uiPriority w:val="0"/>
    <w:qFormat/>
    <w:rPr>
      <w:rFonts w:ascii="Cambria" w:hAnsi="Cambria" w:eastAsia="宋体" w:cs="Times New Roman"/>
      <w:sz w:val="24"/>
      <w:szCs w:val="24"/>
    </w:rPr>
  </w:style>
  <w:style w:type="character" w:styleId="809" w:customStyle="1">
    <w:name w:val="标题 9 字符"/>
    <w:link w:val="753"/>
    <w:uiPriority w:val="0"/>
    <w:qFormat/>
    <w:rPr>
      <w:rFonts w:ascii="Cambria" w:hAnsi="Cambria" w:eastAsia="宋体" w:cs="Times New Roman"/>
      <w:sz w:val="21"/>
      <w:szCs w:val="21"/>
    </w:rPr>
  </w:style>
  <w:style w:type="character" w:styleId="810" w:customStyle="1">
    <w:name w:val="文档结构图 字符"/>
    <w:link w:val="761"/>
    <w:uiPriority w:val="0"/>
    <w:qFormat/>
    <w:rPr>
      <w:rFonts w:ascii="宋体"/>
      <w:sz w:val="18"/>
      <w:szCs w:val="18"/>
    </w:rPr>
  </w:style>
  <w:style w:type="character" w:styleId="811" w:customStyle="1">
    <w:name w:val="批注文字 字符"/>
    <w:link w:val="762"/>
    <w:uiPriority w:val="99"/>
    <w:qFormat/>
    <w:rPr>
      <w:sz w:val="21"/>
      <w:szCs w:val="24"/>
    </w:rPr>
  </w:style>
  <w:style w:type="character" w:styleId="812" w:customStyle="1">
    <w:name w:val="正文文本 3 字符"/>
    <w:link w:val="763"/>
    <w:uiPriority w:val="0"/>
    <w:qFormat/>
    <w:rPr>
      <w:rFonts w:ascii="宋体"/>
      <w:sz w:val="24"/>
    </w:rPr>
  </w:style>
  <w:style w:type="character" w:styleId="813" w:customStyle="1">
    <w:name w:val="正文文本 字符"/>
    <w:link w:val="764"/>
    <w:uiPriority w:val="0"/>
    <w:qFormat/>
    <w:rPr>
      <w:rFonts w:eastAsia="幼圆"/>
      <w:b/>
      <w:bCs/>
      <w:sz w:val="44"/>
      <w:szCs w:val="24"/>
    </w:rPr>
  </w:style>
  <w:style w:type="character" w:styleId="814" w:customStyle="1">
    <w:name w:val="正文文本缩进 字符"/>
    <w:link w:val="765"/>
    <w:uiPriority w:val="0"/>
    <w:qFormat/>
    <w:rPr>
      <w:sz w:val="21"/>
      <w:szCs w:val="24"/>
    </w:rPr>
  </w:style>
  <w:style w:type="character" w:styleId="815" w:customStyle="1">
    <w:name w:val="纯文本 字符"/>
    <w:link w:val="770"/>
    <w:uiPriority w:val="0"/>
    <w:qFormat/>
    <w:rPr>
      <w:rFonts w:ascii="Ari"/>
      <w:lang w:val="en-US" w:eastAsia="zh-CN" w:bidi="ar-SA"/>
    </w:rPr>
  </w:style>
  <w:style w:type="character" w:styleId="816" w:customStyle="1">
    <w:name w:val="日期 字符"/>
    <w:link w:val="772"/>
    <w:uiPriority w:val="0"/>
    <w:qFormat/>
    <w:rPr>
      <w:sz w:val="21"/>
      <w:szCs w:val="24"/>
    </w:rPr>
  </w:style>
  <w:style w:type="character" w:styleId="817" w:customStyle="1">
    <w:name w:val="正文文本缩进 2 字符"/>
    <w:link w:val="773"/>
    <w:uiPriority w:val="99"/>
    <w:qFormat/>
    <w:rPr>
      <w:rFonts w:ascii="宋体"/>
    </w:rPr>
  </w:style>
  <w:style w:type="character" w:styleId="818" w:customStyle="1">
    <w:name w:val="批注框文本 字符"/>
    <w:link w:val="774"/>
    <w:uiPriority w:val="0"/>
    <w:qFormat/>
    <w:rPr>
      <w:sz w:val="18"/>
      <w:szCs w:val="18"/>
    </w:rPr>
  </w:style>
  <w:style w:type="character" w:styleId="819" w:customStyle="1">
    <w:name w:val="页脚 字符"/>
    <w:link w:val="775"/>
    <w:uiPriority w:val="99"/>
    <w:qFormat/>
    <w:rPr>
      <w:sz w:val="18"/>
      <w:szCs w:val="18"/>
    </w:rPr>
  </w:style>
  <w:style w:type="character" w:styleId="820" w:customStyle="1">
    <w:name w:val="页眉 字符"/>
    <w:link w:val="777"/>
    <w:uiPriority w:val="0"/>
    <w:qFormat/>
    <w:rPr>
      <w:sz w:val="18"/>
      <w:szCs w:val="18"/>
    </w:rPr>
  </w:style>
  <w:style w:type="character" w:styleId="821" w:customStyle="1">
    <w:name w:val="副标题 字符"/>
    <w:link w:val="782"/>
    <w:uiPriority w:val="0"/>
    <w:qFormat/>
    <w:rPr>
      <w:rFonts w:ascii="Cambria" w:hAnsi="Cambria"/>
      <w:b/>
      <w:bCs/>
      <w:sz w:val="32"/>
      <w:szCs w:val="32"/>
    </w:rPr>
  </w:style>
  <w:style w:type="character" w:styleId="822" w:customStyle="1">
    <w:name w:val="正文文本缩进 3 字符"/>
    <w:link w:val="784"/>
    <w:uiPriority w:val="0"/>
    <w:qFormat/>
    <w:rPr>
      <w:sz w:val="16"/>
    </w:rPr>
  </w:style>
  <w:style w:type="character" w:styleId="823" w:customStyle="1">
    <w:name w:val="标题 字符"/>
    <w:link w:val="788"/>
    <w:uiPriority w:val="0"/>
    <w:qFormat/>
    <w:rPr>
      <w:rFonts w:ascii="Arial" w:hAnsi="Arial"/>
      <w:b/>
      <w:sz w:val="32"/>
    </w:rPr>
  </w:style>
  <w:style w:type="character" w:styleId="824" w:customStyle="1">
    <w:name w:val="批注主题 字符"/>
    <w:link w:val="789"/>
    <w:uiPriority w:val="0"/>
    <w:qFormat/>
    <w:rPr>
      <w:b/>
      <w:bCs/>
      <w:sz w:val="21"/>
      <w:szCs w:val="24"/>
    </w:rPr>
  </w:style>
  <w:style w:type="paragraph" w:styleId="825" w:customStyle="1">
    <w:name w:val="一级条标题"/>
    <w:basedOn w:val="826"/>
    <w:next w:val="82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6" w:customStyle="1">
    <w:name w:val="章标题"/>
    <w:basedOn w:val="744"/>
    <w:next w:val="74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27" w:customStyle="1">
    <w:name w:val="段"/>
    <w:basedOn w:val="744"/>
    <w:next w:val="744"/>
    <w:uiPriority w:val="0"/>
    <w:qFormat/>
    <w:pPr>
      <w:ind w:firstLine="200"/>
      <w:widowControl/>
    </w:pPr>
    <w:rPr>
      <w:rFonts w:hint="eastAsia" w:ascii="宋体"/>
      <w:szCs w:val="20"/>
    </w:rPr>
  </w:style>
  <w:style w:type="paragraph" w:styleId="828" w:customStyle="1">
    <w:name w:val="列表段落1"/>
    <w:basedOn w:val="744"/>
    <w:next w:val="762"/>
    <w:uiPriority w:val="99"/>
    <w:qFormat/>
    <w:pPr>
      <w:ind w:firstLine="420"/>
    </w:pPr>
  </w:style>
  <w:style w:type="paragraph" w:styleId="8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0" w:customStyle="1">
    <w:name w:val="正文首行缩进 21"/>
    <w:basedOn w:val="831"/>
    <w:next w:val="744"/>
    <w:uiPriority w:val="0"/>
    <w:qFormat/>
    <w:pPr>
      <w:ind w:firstLine="420"/>
      <w:spacing w:before="100" w:beforeAutospacing="1"/>
    </w:pPr>
    <w:rPr>
      <w:rFonts w:ascii="宋体" w:hAnsi="宋体"/>
      <w:szCs w:val="21"/>
    </w:rPr>
  </w:style>
  <w:style w:type="paragraph" w:styleId="831" w:customStyle="1">
    <w:name w:val="正文文本缩进1"/>
    <w:basedOn w:val="744"/>
    <w:uiPriority w:val="0"/>
    <w:qFormat/>
    <w:pPr>
      <w:ind w:firstLine="880"/>
      <w:spacing w:line="500" w:lineRule="exact"/>
    </w:pPr>
  </w:style>
  <w:style w:type="character" w:styleId="832" w:customStyle="1">
    <w:name w:val="明显强调1"/>
    <w:uiPriority w:val="0"/>
    <w:qFormat/>
    <w:rPr>
      <w:b/>
      <w:bCs/>
      <w:i/>
      <w:iCs/>
      <w:color w:val="4f81bd"/>
    </w:rPr>
  </w:style>
  <w:style w:type="character" w:styleId="833" w:customStyle="1">
    <w:name w:val="批注文字 Char2"/>
    <w:uiPriority w:val="0"/>
    <w:qFormat/>
    <w:rPr>
      <w:sz w:val="21"/>
    </w:rPr>
  </w:style>
  <w:style w:type="character" w:styleId="834" w:customStyle="1">
    <w:name w:val="标题 3 Char_0"/>
    <w:link w:val="835"/>
    <w:uiPriority w:val="0"/>
    <w:qFormat/>
    <w:rPr>
      <w:b/>
      <w:bCs/>
      <w:sz w:val="32"/>
      <w:szCs w:val="32"/>
    </w:rPr>
  </w:style>
  <w:style w:type="paragraph" w:styleId="835" w:customStyle="1">
    <w:name w:val="标题 3_0"/>
    <w:basedOn w:val="836"/>
    <w:next w:val="836"/>
    <w:link w:val="834"/>
    <w:uiPriority w:val="0"/>
    <w:qFormat/>
    <w:pPr>
      <w:keepLines/>
      <w:keepNext/>
      <w:spacing w:before="260" w:after="260" w:line="416" w:lineRule="auto"/>
      <w:outlineLvl w:val="2"/>
    </w:pPr>
    <w:rPr>
      <w:b/>
      <w:bCs/>
      <w:sz w:val="32"/>
      <w:szCs w:val="32"/>
    </w:rPr>
  </w:style>
  <w:style w:type="paragraph" w:styleId="83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837" w:customStyle="1">
    <w:name w:val="正文文本 Char2"/>
    <w:uiPriority w:val="99"/>
    <w:semiHidden/>
    <w:qFormat/>
    <w:rPr>
      <w:rFonts w:ascii="Calibri" w:hAnsi="Calibri" w:eastAsia="宋体" w:cs="Times New Roman"/>
    </w:rPr>
  </w:style>
  <w:style w:type="character" w:styleId="838" w:customStyle="1">
    <w:name w:val="页脚 Char1"/>
    <w:uiPriority w:val="99"/>
    <w:semiHidden/>
    <w:qFormat/>
    <w:rPr>
      <w:rFonts w:ascii="Calibri" w:hAnsi="Calibri" w:eastAsia="宋体" w:cs="Times New Roman"/>
      <w:sz w:val="18"/>
      <w:szCs w:val="18"/>
    </w:rPr>
  </w:style>
  <w:style w:type="character" w:styleId="839" w:customStyle="1">
    <w:name w:val="明显引用 Char2"/>
    <w:uiPriority w:val="99"/>
    <w:qFormat/>
    <w:rPr>
      <w:b/>
      <w:bCs/>
      <w:i/>
      <w:iCs/>
      <w:color w:val="4f81bd"/>
      <w:sz w:val="21"/>
      <w:szCs w:val="24"/>
    </w:rPr>
  </w:style>
  <w:style w:type="character" w:styleId="840" w:customStyle="1">
    <w:name w:val="引用 Char"/>
    <w:link w:val="841"/>
    <w:uiPriority w:val="0"/>
    <w:qFormat/>
    <w:rPr>
      <w:i/>
      <w:iCs/>
      <w:color w:val="000000"/>
    </w:rPr>
  </w:style>
  <w:style w:type="paragraph" w:styleId="841" w:customStyle="1">
    <w:name w:val="引用1"/>
    <w:basedOn w:val="744"/>
    <w:next w:val="744"/>
    <w:link w:val="840"/>
    <w:uiPriority w:val="0"/>
    <w:qFormat/>
    <w:rPr>
      <w:i/>
      <w:iCs/>
      <w:color w:val="000000"/>
      <w:sz w:val="20"/>
      <w:szCs w:val="20"/>
    </w:rPr>
  </w:style>
  <w:style w:type="character" w:styleId="842" w:customStyle="1">
    <w:name w:val="标题 1 Char_0"/>
    <w:link w:val="843"/>
    <w:uiPriority w:val="0"/>
    <w:qFormat/>
    <w:rPr>
      <w:b/>
      <w:bCs/>
      <w:sz w:val="44"/>
      <w:szCs w:val="44"/>
    </w:rPr>
  </w:style>
  <w:style w:type="paragraph" w:styleId="843" w:customStyle="1">
    <w:name w:val="标题 1_0"/>
    <w:basedOn w:val="836"/>
    <w:next w:val="836"/>
    <w:link w:val="842"/>
    <w:uiPriority w:val="0"/>
    <w:qFormat/>
    <w:pPr>
      <w:keepLines/>
      <w:keepNext/>
      <w:spacing w:before="340" w:after="330" w:line="578" w:lineRule="auto"/>
      <w:outlineLvl w:val="0"/>
    </w:pPr>
    <w:rPr>
      <w:b/>
      <w:bCs/>
      <w:sz w:val="44"/>
      <w:szCs w:val="44"/>
    </w:rPr>
  </w:style>
  <w:style w:type="character" w:styleId="844" w:customStyle="1">
    <w:name w:val="正文文本缩进 3 Char1"/>
    <w:uiPriority w:val="99"/>
    <w:semiHidden/>
    <w:qFormat/>
    <w:rPr>
      <w:sz w:val="16"/>
      <w:szCs w:val="16"/>
    </w:rPr>
  </w:style>
  <w:style w:type="character" w:styleId="845" w:customStyle="1">
    <w:name w:val="引用 Char1"/>
    <w:uiPriority w:val="29"/>
    <w:qFormat/>
    <w:rPr>
      <w:i/>
      <w:iCs/>
      <w:color w:val="000000"/>
      <w:sz w:val="21"/>
    </w:rPr>
  </w:style>
  <w:style w:type="character" w:styleId="846" w:customStyle="1">
    <w:name w:val="font161"/>
    <w:basedOn w:val="754"/>
    <w:uiPriority w:val="0"/>
    <w:qFormat/>
    <w:rPr>
      <w:b/>
      <w:sz w:val="32"/>
    </w:rPr>
  </w:style>
  <w:style w:type="character" w:styleId="847" w:customStyle="1">
    <w:name w:val="标题 4 Char_0"/>
    <w:link w:val="848"/>
    <w:uiPriority w:val="0"/>
    <w:qFormat/>
    <w:rPr>
      <w:rFonts w:ascii="Arial" w:hAnsi="Arial" w:eastAsia="黑体"/>
      <w:b/>
      <w:bCs/>
      <w:sz w:val="28"/>
      <w:szCs w:val="28"/>
    </w:rPr>
  </w:style>
  <w:style w:type="paragraph" w:styleId="848" w:customStyle="1">
    <w:name w:val="标题 4_0"/>
    <w:basedOn w:val="836"/>
    <w:next w:val="836"/>
    <w:link w:val="847"/>
    <w:uiPriority w:val="0"/>
    <w:qFormat/>
    <w:pPr>
      <w:keepLines/>
      <w:keepNext/>
      <w:spacing w:before="280" w:after="290" w:line="376" w:lineRule="auto"/>
      <w:outlineLvl w:val="3"/>
    </w:pPr>
    <w:rPr>
      <w:rFonts w:ascii="Arial" w:hAnsi="Arial" w:eastAsia="黑体"/>
      <w:b/>
      <w:bCs/>
      <w:sz w:val="28"/>
      <w:szCs w:val="28"/>
    </w:rPr>
  </w:style>
  <w:style w:type="character" w:styleId="849" w:customStyle="1">
    <w:name w:val="引用 Char2"/>
    <w:uiPriority w:val="99"/>
    <w:qFormat/>
    <w:rPr>
      <w:i/>
      <w:iCs/>
      <w:color w:val="000000"/>
      <w:sz w:val="21"/>
      <w:szCs w:val="24"/>
    </w:rPr>
  </w:style>
  <w:style w:type="character" w:styleId="850" w:customStyle="1">
    <w:name w:val="rvts11"/>
    <w:uiPriority w:val="0"/>
    <w:qFormat/>
    <w:rPr>
      <w:rFonts w:hint="default" w:ascii="KNLe" w:hAnsi="KNLe"/>
      <w:sz w:val="24"/>
      <w:szCs w:val="24"/>
      <w:u w:val="single"/>
    </w:rPr>
  </w:style>
  <w:style w:type="character" w:styleId="851" w:customStyle="1">
    <w:name w:val="标题5 Char Char"/>
    <w:link w:val="852"/>
    <w:uiPriority w:val="0"/>
    <w:qFormat/>
    <w:rPr>
      <w:rFonts w:ascii="Arial" w:hAnsi="Arial"/>
      <w:b/>
      <w:bCs/>
      <w:sz w:val="24"/>
      <w:szCs w:val="32"/>
    </w:rPr>
  </w:style>
  <w:style w:type="paragraph" w:styleId="852" w:customStyle="1">
    <w:name w:val="标题5"/>
    <w:basedOn w:val="747"/>
    <w:link w:val="851"/>
    <w:uiPriority w:val="0"/>
    <w:qFormat/>
    <w:pPr>
      <w:numPr>
        <w:ilvl w:val="0"/>
        <w:numId w:val="0"/>
      </w:numPr>
      <w:spacing w:line="413" w:lineRule="auto"/>
    </w:pPr>
    <w:rPr>
      <w:rFonts w:ascii="Arial" w:hAnsi="Arial"/>
      <w:sz w:val="24"/>
    </w:rPr>
  </w:style>
  <w:style w:type="character" w:styleId="853" w:customStyle="1">
    <w:name w:val="副标题 Char2"/>
    <w:uiPriority w:val="11"/>
    <w:qFormat/>
    <w:rPr>
      <w:rFonts w:ascii="Cambria" w:hAnsi="Cambria" w:cs="Times New Roman"/>
      <w:b/>
      <w:bCs/>
      <w:sz w:val="32"/>
      <w:szCs w:val="32"/>
    </w:rPr>
  </w:style>
  <w:style w:type="character" w:styleId="854" w:customStyle="1">
    <w:name w:val="批注主题 Char1"/>
    <w:uiPriority w:val="0"/>
    <w:qFormat/>
    <w:rPr>
      <w:b/>
      <w:bCs/>
      <w:sz w:val="21"/>
      <w:szCs w:val="22"/>
    </w:rPr>
  </w:style>
  <w:style w:type="character" w:styleId="855" w:customStyle="1">
    <w:name w:val="font31"/>
    <w:basedOn w:val="754"/>
    <w:uiPriority w:val="0"/>
    <w:qFormat/>
    <w:rPr>
      <w:rFonts w:hint="eastAsia" w:ascii="宋体" w:hAnsi="宋体" w:eastAsia="宋体" w:cs="宋体"/>
      <w:color w:val="000000"/>
      <w:sz w:val="20"/>
      <w:szCs w:val="20"/>
      <w:u w:val="none"/>
    </w:rPr>
  </w:style>
  <w:style w:type="character" w:styleId="856" w:customStyle="1">
    <w:name w:val="明显引用 Char"/>
    <w:link w:val="857"/>
    <w:uiPriority w:val="0"/>
    <w:qFormat/>
    <w:rPr>
      <w:b/>
      <w:bCs/>
      <w:i/>
      <w:iCs/>
      <w:color w:val="4f81bd"/>
    </w:rPr>
  </w:style>
  <w:style w:type="paragraph" w:styleId="857" w:customStyle="1">
    <w:name w:val="明显引用1"/>
    <w:basedOn w:val="744"/>
    <w:next w:val="744"/>
    <w:link w:val="856"/>
    <w:uiPriority w:val="0"/>
    <w:qFormat/>
    <w:pPr>
      <w:ind w:left="936" w:right="936"/>
      <w:spacing w:before="200" w:after="280"/>
      <w:pBdr>
        <w:bottom w:val="single" w:color="4F81BD" w:sz="4" w:space="4"/>
      </w:pBdr>
    </w:pPr>
    <w:rPr>
      <w:b/>
      <w:bCs/>
      <w:i/>
      <w:iCs/>
      <w:color w:val="4f81bd"/>
      <w:sz w:val="20"/>
      <w:szCs w:val="20"/>
    </w:rPr>
  </w:style>
  <w:style w:type="character" w:styleId="858" w:customStyle="1">
    <w:name w:val="日期 Char1"/>
    <w:uiPriority w:val="0"/>
    <w:qFormat/>
    <w:rPr>
      <w:rFonts w:ascii="Calibri" w:hAnsi="Calibri" w:eastAsia="宋体" w:cs="Times New Roman"/>
    </w:rPr>
  </w:style>
  <w:style w:type="character" w:styleId="859" w:customStyle="1">
    <w:name w:val="批注框文本 Char1"/>
    <w:uiPriority w:val="0"/>
    <w:qFormat/>
    <w:rPr>
      <w:sz w:val="18"/>
      <w:szCs w:val="18"/>
    </w:rPr>
  </w:style>
  <w:style w:type="character" w:styleId="860" w:customStyle="1">
    <w:name w:val="标题 Char1"/>
    <w:uiPriority w:val="10"/>
    <w:qFormat/>
    <w:rPr>
      <w:rFonts w:ascii="Cambria" w:hAnsi="Cambria" w:eastAsia="宋体" w:cs="Times New Roman"/>
      <w:b/>
      <w:bCs/>
      <w:sz w:val="32"/>
      <w:szCs w:val="32"/>
    </w:rPr>
  </w:style>
  <w:style w:type="character" w:styleId="861" w:customStyle="1">
    <w:name w:val="不明显参考1"/>
    <w:uiPriority w:val="0"/>
    <w:qFormat/>
    <w:rPr>
      <w:smallCaps/>
      <w:color w:val="c0504d"/>
      <w:u w:val="single"/>
    </w:rPr>
  </w:style>
  <w:style w:type="character" w:styleId="862" w:customStyle="1">
    <w:name w:val="批注文字 Char1"/>
    <w:uiPriority w:val="0"/>
    <w:qFormat/>
    <w:rPr>
      <w:rFonts w:ascii="Calibri" w:hAnsi="Calibri" w:eastAsia="宋体" w:cs="Times New Roman"/>
    </w:rPr>
  </w:style>
  <w:style w:type="character" w:styleId="863" w:customStyle="1">
    <w:name w:val="标题 Char2"/>
    <w:uiPriority w:val="10"/>
    <w:qFormat/>
    <w:rPr>
      <w:rFonts w:ascii="Cambria" w:hAnsi="Cambria" w:cs="Times New Roman"/>
      <w:b/>
      <w:bCs/>
      <w:sz w:val="32"/>
      <w:szCs w:val="32"/>
    </w:rPr>
  </w:style>
  <w:style w:type="character" w:styleId="864" w:customStyle="1">
    <w:name w:val="正文文本 3 Char1"/>
    <w:uiPriority w:val="99"/>
    <w:semiHidden/>
    <w:qFormat/>
    <w:rPr>
      <w:sz w:val="16"/>
      <w:szCs w:val="16"/>
    </w:rPr>
  </w:style>
  <w:style w:type="character" w:styleId="865" w:customStyle="1">
    <w:name w:val="批注主题 Char2"/>
    <w:uiPriority w:val="0"/>
    <w:qFormat/>
    <w:rPr>
      <w:b/>
      <w:bCs/>
      <w:sz w:val="21"/>
    </w:rPr>
  </w:style>
  <w:style w:type="character" w:styleId="866" w:customStyle="1">
    <w:name w:val="正文文本 Char_0"/>
    <w:link w:val="867"/>
    <w:uiPriority w:val="0"/>
    <w:qFormat/>
    <w:rPr>
      <w:szCs w:val="24"/>
    </w:rPr>
  </w:style>
  <w:style w:type="paragraph" w:styleId="867" w:customStyle="1">
    <w:name w:val="正文文本_0"/>
    <w:basedOn w:val="836"/>
    <w:link w:val="866"/>
    <w:uiPriority w:val="0"/>
    <w:qFormat/>
    <w:pPr>
      <w:spacing w:after="120"/>
    </w:pPr>
    <w:rPr>
      <w:sz w:val="20"/>
    </w:rPr>
  </w:style>
  <w:style w:type="character" w:styleId="868" w:customStyle="1">
    <w:name w:val="bookmark"/>
    <w:basedOn w:val="754"/>
    <w:uiPriority w:val="0"/>
    <w:qFormat/>
  </w:style>
  <w:style w:type="character" w:styleId="869" w:customStyle="1">
    <w:name w:val="标题 5 Char_0"/>
    <w:link w:val="870"/>
    <w:uiPriority w:val="0"/>
    <w:qFormat/>
    <w:rPr>
      <w:rFonts w:ascii="Calibri" w:hAnsi="Calibri"/>
      <w:b/>
      <w:bCs/>
      <w:sz w:val="28"/>
      <w:szCs w:val="28"/>
    </w:rPr>
  </w:style>
  <w:style w:type="paragraph" w:styleId="870" w:customStyle="1">
    <w:name w:val="标题 5_0"/>
    <w:basedOn w:val="836"/>
    <w:next w:val="836"/>
    <w:link w:val="869"/>
    <w:uiPriority w:val="0"/>
    <w:qFormat/>
    <w:pPr>
      <w:keepLines/>
      <w:keepNext/>
      <w:spacing w:before="280" w:after="290" w:line="372" w:lineRule="auto"/>
      <w:outlineLvl w:val="4"/>
    </w:pPr>
    <w:rPr>
      <w:rFonts w:ascii="Calibri" w:hAnsi="Calibri"/>
      <w:b/>
      <w:bCs/>
      <w:sz w:val="28"/>
      <w:szCs w:val="28"/>
    </w:rPr>
  </w:style>
  <w:style w:type="character" w:styleId="871" w:customStyle="1">
    <w:name w:val="font11"/>
    <w:basedOn w:val="754"/>
    <w:uiPriority w:val="0"/>
    <w:qFormat/>
    <w:rPr>
      <w:rFonts w:hint="eastAsia" w:ascii="宋体" w:hAnsi="宋体" w:eastAsia="宋体" w:cs="宋体"/>
      <w:color w:val="000000"/>
      <w:sz w:val="20"/>
      <w:szCs w:val="20"/>
      <w:u w:val="none"/>
    </w:rPr>
  </w:style>
  <w:style w:type="character" w:styleId="872" w:customStyle="1">
    <w:name w:val="明显参考1"/>
    <w:uiPriority w:val="0"/>
    <w:qFormat/>
    <w:rPr>
      <w:b/>
      <w:bCs/>
      <w:smallCaps/>
      <w:color w:val="c0504d"/>
      <w:spacing w:val="5"/>
      <w:u w:val="single"/>
    </w:rPr>
  </w:style>
  <w:style w:type="character" w:styleId="873" w:customStyle="1">
    <w:name w:val="超链接_0"/>
    <w:uiPriority w:val="99"/>
    <w:qFormat/>
    <w:rPr>
      <w:rFonts w:ascii="Calibri" w:hAnsi="Calibri"/>
      <w:color w:val="0000ff"/>
      <w:u w:val="single"/>
    </w:rPr>
  </w:style>
  <w:style w:type="character" w:styleId="874" w:customStyle="1">
    <w:name w:val="文档结构图 Char2"/>
    <w:uiPriority w:val="99"/>
    <w:semiHidden/>
    <w:qFormat/>
    <w:rPr>
      <w:rFonts w:ascii="宋体" w:hAnsi="Calibri" w:eastAsia="宋体" w:cs="Times New Roman"/>
      <w:sz w:val="18"/>
      <w:szCs w:val="18"/>
    </w:rPr>
  </w:style>
  <w:style w:type="character" w:styleId="875" w:customStyle="1">
    <w:name w:val="textcontents"/>
    <w:uiPriority w:val="0"/>
    <w:qFormat/>
    <w:rPr>
      <w:rFonts w:cs="Times New Roman"/>
    </w:rPr>
  </w:style>
  <w:style w:type="character" w:styleId="876" w:customStyle="1">
    <w:name w:val="标题 1 Char"/>
    <w:uiPriority w:val="0"/>
    <w:qFormat/>
    <w:rPr>
      <w:b/>
      <w:bCs/>
      <w:sz w:val="32"/>
      <w:szCs w:val="44"/>
    </w:rPr>
  </w:style>
  <w:style w:type="character" w:styleId="877" w:customStyle="1">
    <w:name w:val="副标题 Char1"/>
    <w:uiPriority w:val="11"/>
    <w:qFormat/>
    <w:rPr>
      <w:rFonts w:ascii="Cambria" w:hAnsi="Cambria" w:cs="Times New Roman"/>
      <w:b/>
      <w:bCs/>
      <w:sz w:val="32"/>
      <w:szCs w:val="32"/>
    </w:rPr>
  </w:style>
  <w:style w:type="character" w:styleId="878" w:customStyle="1">
    <w:name w:val="书籍标题1"/>
    <w:uiPriority w:val="0"/>
    <w:qFormat/>
    <w:rPr>
      <w:b/>
      <w:bCs/>
      <w:smallCaps/>
      <w:spacing w:val="5"/>
    </w:rPr>
  </w:style>
  <w:style w:type="character" w:styleId="879" w:customStyle="1">
    <w:name w:val="标题4 Char Char"/>
    <w:link w:val="880"/>
    <w:uiPriority w:val="0"/>
    <w:qFormat/>
    <w:rPr>
      <w:rFonts w:ascii="Arial" w:hAnsi="Arial"/>
      <w:b/>
      <w:bCs/>
      <w:sz w:val="24"/>
      <w:szCs w:val="32"/>
    </w:rPr>
  </w:style>
  <w:style w:type="paragraph" w:styleId="880" w:customStyle="1">
    <w:name w:val="标题4"/>
    <w:basedOn w:val="746"/>
    <w:next w:val="767"/>
    <w:link w:val="879"/>
    <w:uiPriority w:val="0"/>
    <w:qFormat/>
    <w:pPr>
      <w:numPr>
        <w:ilvl w:val="0"/>
        <w:numId w:val="0"/>
      </w:numPr>
      <w:spacing w:line="413" w:lineRule="auto"/>
    </w:pPr>
    <w:rPr>
      <w:rFonts w:ascii="Arial" w:hAnsi="Arial"/>
      <w:sz w:val="24"/>
    </w:rPr>
  </w:style>
  <w:style w:type="character" w:styleId="881" w:customStyle="1">
    <w:name w:val="正文文本 Char1"/>
    <w:uiPriority w:val="0"/>
    <w:qFormat/>
    <w:rPr>
      <w:rFonts w:ascii="Calibri" w:hAnsi="Calibri" w:eastAsia="宋体" w:cs="Times New Roman"/>
    </w:rPr>
  </w:style>
  <w:style w:type="character" w:styleId="882" w:customStyle="1">
    <w:name w:val="明显引用 Char1"/>
    <w:uiPriority w:val="30"/>
    <w:qFormat/>
    <w:rPr>
      <w:b/>
      <w:bCs/>
      <w:i/>
      <w:iCs/>
      <w:color w:val="4f81bd"/>
      <w:sz w:val="21"/>
    </w:rPr>
  </w:style>
  <w:style w:type="character" w:styleId="883" w:customStyle="1">
    <w:name w:val="页眉 Char1"/>
    <w:uiPriority w:val="99"/>
    <w:semiHidden/>
    <w:qFormat/>
    <w:rPr>
      <w:rFonts w:ascii="Calibri" w:hAnsi="Calibri" w:eastAsia="宋体" w:cs="Times New Roman"/>
      <w:sz w:val="18"/>
      <w:szCs w:val="18"/>
    </w:rPr>
  </w:style>
  <w:style w:type="character" w:styleId="884" w:customStyle="1">
    <w:name w:val="不明显强调1"/>
    <w:uiPriority w:val="0"/>
    <w:qFormat/>
    <w:rPr>
      <w:i/>
      <w:iCs/>
      <w:color w:val="808080"/>
    </w:rPr>
  </w:style>
  <w:style w:type="character" w:styleId="885" w:customStyle="1">
    <w:name w:val="font21"/>
    <w:uiPriority w:val="0"/>
    <w:qFormat/>
    <w:rPr>
      <w:rFonts w:hint="eastAsia" w:ascii="宋体" w:hAnsi="宋体" w:eastAsia="宋体" w:cs="宋体"/>
      <w:color w:val="000000"/>
      <w:sz w:val="20"/>
      <w:szCs w:val="20"/>
      <w:u w:val="none"/>
    </w:rPr>
  </w:style>
  <w:style w:type="character" w:styleId="886" w:customStyle="1">
    <w:name w:val="文档结构图 Char1"/>
    <w:uiPriority w:val="0"/>
    <w:qFormat/>
    <w:rPr>
      <w:rFonts w:ascii="宋体" w:hAnsi="Calibri" w:eastAsia="宋体" w:cs="Times New Roman"/>
      <w:sz w:val="18"/>
      <w:szCs w:val="18"/>
    </w:rPr>
  </w:style>
  <w:style w:type="character" w:styleId="887" w:customStyle="1">
    <w:name w:val="标题 2 Char_0"/>
    <w:link w:val="888"/>
    <w:uiPriority w:val="0"/>
    <w:qFormat/>
    <w:rPr>
      <w:rFonts w:ascii="Cambria" w:hAnsi="Cambria"/>
      <w:b/>
      <w:bCs/>
      <w:sz w:val="32"/>
      <w:szCs w:val="32"/>
    </w:rPr>
  </w:style>
  <w:style w:type="paragraph" w:styleId="888" w:customStyle="1">
    <w:name w:val="标题 2_0"/>
    <w:basedOn w:val="836"/>
    <w:next w:val="836"/>
    <w:link w:val="887"/>
    <w:uiPriority w:val="0"/>
    <w:unhideWhenUsed/>
    <w:qFormat/>
    <w:pPr>
      <w:keepLines/>
      <w:keepNext/>
      <w:spacing w:before="260" w:after="260" w:line="416" w:lineRule="auto"/>
      <w:outlineLvl w:val="1"/>
    </w:pPr>
    <w:rPr>
      <w:rFonts w:ascii="Cambria" w:hAnsi="Cambria"/>
      <w:b/>
      <w:bCs/>
      <w:sz w:val="32"/>
      <w:szCs w:val="32"/>
    </w:rPr>
  </w:style>
  <w:style w:type="character" w:styleId="889" w:customStyle="1">
    <w:name w:val="日期 Char2"/>
    <w:uiPriority w:val="99"/>
    <w:semiHidden/>
    <w:qFormat/>
    <w:rPr>
      <w:rFonts w:ascii="Calibri" w:hAnsi="Calibri" w:eastAsia="宋体" w:cs="Times New Roman"/>
    </w:rPr>
  </w:style>
  <w:style w:type="character" w:styleId="890" w:customStyle="1">
    <w:name w:val="批注框文本 Char2"/>
    <w:uiPriority w:val="99"/>
    <w:semiHidden/>
    <w:qFormat/>
    <w:rPr>
      <w:rFonts w:ascii="Calibri" w:hAnsi="Calibri" w:eastAsia="宋体" w:cs="Times New Roman"/>
      <w:sz w:val="18"/>
      <w:szCs w:val="18"/>
    </w:rPr>
  </w:style>
  <w:style w:type="character" w:styleId="891" w:customStyle="1">
    <w:name w:val="列出段落 Char"/>
    <w:link w:val="892"/>
    <w:uiPriority w:val="99"/>
    <w:qFormat/>
    <w:rPr>
      <w:sz w:val="21"/>
      <w:szCs w:val="24"/>
    </w:rPr>
  </w:style>
  <w:style w:type="paragraph" w:styleId="892" w:customStyle="1">
    <w:name w:val="List Paragraph1"/>
    <w:basedOn w:val="744"/>
    <w:link w:val="891"/>
    <w:uiPriority w:val="99"/>
    <w:qFormat/>
    <w:pPr>
      <w:ind w:firstLine="420"/>
    </w:pPr>
  </w:style>
  <w:style w:type="paragraph" w:styleId="893" w:customStyle="1">
    <w:name w:val="样式 标题 3 + (中文) 黑体 小四 非加粗 段前: 7.8 磅 段后: 0 磅 行距: 固定值 20 磅"/>
    <w:basedOn w:val="747"/>
    <w:next w:val="744"/>
    <w:uiPriority w:val="0"/>
    <w:qFormat/>
    <w:pPr>
      <w:spacing w:before="0" w:after="0" w:line="400" w:lineRule="exact"/>
    </w:pPr>
    <w:rPr>
      <w:rFonts w:eastAsia="黑体" w:cs="宋体"/>
      <w:b w:val="0"/>
      <w:bCs w:val="0"/>
      <w:sz w:val="24"/>
      <w:szCs w:val="20"/>
    </w:rPr>
  </w:style>
  <w:style w:type="paragraph" w:styleId="894" w:customStyle="1">
    <w:name w:val="_Style 34"/>
    <w:next w:val="744"/>
    <w:uiPriority w:val="0"/>
    <w:qFormat/>
    <w:pPr>
      <w:jc w:val="both"/>
      <w:widowControl w:val="off"/>
    </w:pPr>
    <w:rPr>
      <w:rFonts w:ascii="Times New Roman" w:hAnsi="Times New Roman" w:eastAsia="宋体" w:cs="Times New Roman"/>
      <w:sz w:val="21"/>
      <w:lang w:val="en-US" w:eastAsia="zh-CN" w:bidi="ar-SA"/>
    </w:rPr>
  </w:style>
  <w:style w:type="paragraph" w:styleId="89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96" w:customStyle="1">
    <w:name w:val="_Style 36"/>
    <w:next w:val="744"/>
    <w:uiPriority w:val="0"/>
    <w:qFormat/>
    <w:pPr>
      <w:jc w:val="both"/>
      <w:widowControl w:val="off"/>
    </w:pPr>
    <w:rPr>
      <w:rFonts w:ascii="Times New Roman" w:hAnsi="Times New Roman" w:eastAsia="宋体" w:cs="Times New Roman"/>
      <w:sz w:val="21"/>
      <w:lang w:val="en-US" w:eastAsia="zh-CN" w:bidi="ar-SA"/>
    </w:rPr>
  </w:style>
  <w:style w:type="paragraph" w:styleId="897" w:customStyle="1">
    <w:name w:val="空半行"/>
    <w:basedOn w:val="744"/>
    <w:uiPriority w:val="0"/>
    <w:qFormat/>
    <w:pPr>
      <w:spacing w:line="120" w:lineRule="exact"/>
    </w:pPr>
    <w:rPr>
      <w:rFonts w:ascii="Calibri" w:hAnsi="Calibri" w:eastAsia="仿宋_GB2312"/>
      <w:color w:val="ffffff"/>
      <w:sz w:val="30"/>
      <w:szCs w:val="22"/>
    </w:rPr>
  </w:style>
  <w:style w:type="paragraph" w:styleId="898" w:customStyle="1">
    <w:name w:val="1方案格式1"/>
    <w:basedOn w:val="745"/>
    <w:uiPriority w:val="0"/>
    <w:qFormat/>
    <w:pPr>
      <w:numPr>
        <w:numId w:val="2"/>
      </w:numPr>
      <w:ind w:left="0" w:firstLine="0"/>
      <w:spacing w:line="360" w:lineRule="auto"/>
      <w:tabs>
        <w:tab w:val="left" w:pos="360" w:leader="none"/>
      </w:tabs>
    </w:pPr>
    <w:rPr>
      <w:rFonts w:eastAsia="微软雅黑"/>
      <w:bCs w:val="0"/>
      <w:sz w:val="48"/>
    </w:rPr>
  </w:style>
  <w:style w:type="paragraph" w:styleId="899" w:customStyle="1">
    <w:name w:val="格式３"/>
    <w:basedOn w:val="744"/>
    <w:uiPriority w:val="0"/>
    <w:qFormat/>
    <w:pPr>
      <w:ind w:left="600" w:hanging="600"/>
      <w:spacing w:line="420" w:lineRule="exact"/>
    </w:pPr>
    <w:rPr>
      <w:rFonts w:ascii="宋体" w:hAnsi="宋体"/>
      <w:color w:val="000000"/>
      <w:sz w:val="24"/>
      <w:szCs w:val="20"/>
    </w:rPr>
  </w:style>
  <w:style w:type="paragraph" w:styleId="900" w:customStyle="1">
    <w:name w:val="正文1"/>
    <w:uiPriority w:val="0"/>
    <w:qFormat/>
    <w:pPr>
      <w:jc w:val="both"/>
      <w:widowControl w:val="off"/>
    </w:pPr>
    <w:rPr>
      <w:rFonts w:ascii="Calibri" w:hAnsi="Calibri" w:eastAsia="宋体" w:cs="Times New Roman"/>
      <w:lang w:val="en-US" w:eastAsia="zh-CN" w:bidi="ar-SA"/>
    </w:rPr>
  </w:style>
  <w:style w:type="paragraph" w:styleId="901" w:customStyle="1">
    <w:name w:val="正文空2字"/>
    <w:basedOn w:val="744"/>
    <w:uiPriority w:val="0"/>
    <w:qFormat/>
    <w:pPr>
      <w:ind w:firstLine="200"/>
      <w:spacing w:line="360" w:lineRule="auto"/>
    </w:pPr>
    <w:rPr>
      <w:sz w:val="24"/>
      <w:lang w:bidi="en-US"/>
    </w:rPr>
  </w:style>
  <w:style w:type="paragraph" w:styleId="90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03" w:customStyle="1">
    <w:name w:val="目录 5_0"/>
    <w:basedOn w:val="836"/>
    <w:next w:val="836"/>
    <w:uiPriority w:val="39"/>
    <w:qFormat/>
    <w:pPr>
      <w:ind w:left="1680"/>
    </w:pPr>
    <w:rPr>
      <w:rFonts w:ascii="Calibri" w:hAnsi="Calibri"/>
    </w:rPr>
  </w:style>
  <w:style w:type="paragraph" w:styleId="904" w:customStyle="1">
    <w:name w:val="修订1"/>
    <w:uiPriority w:val="0"/>
    <w:qFormat/>
    <w:rPr>
      <w:rFonts w:ascii="Times New Roman" w:hAnsi="Times New Roman" w:eastAsia="宋体" w:cs="Times New Roman"/>
      <w:sz w:val="21"/>
      <w:szCs w:val="24"/>
      <w:lang w:val="en-US" w:eastAsia="zh-CN" w:bidi="ar-SA"/>
    </w:rPr>
  </w:style>
  <w:style w:type="paragraph" w:styleId="905" w:customStyle="1">
    <w:name w:val="标题 11"/>
    <w:basedOn w:val="900"/>
    <w:next w:val="90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06" w:customStyle="1">
    <w:name w:val="正文 + 行距: 固定值 20 磅"/>
    <w:basedOn w:val="744"/>
    <w:uiPriority w:val="0"/>
    <w:qFormat/>
    <w:pPr>
      <w:ind w:firstLine="716"/>
      <w:spacing w:line="400" w:lineRule="exact"/>
    </w:pPr>
    <w:rPr>
      <w:rFonts w:ascii="Calibri" w:hAnsi="Calibri"/>
      <w:szCs w:val="22"/>
    </w:rPr>
  </w:style>
  <w:style w:type="paragraph" w:styleId="907" w:customStyle="1">
    <w:name w:val="TOC 标题1"/>
    <w:basedOn w:val="745"/>
    <w:next w:val="744"/>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08" w:customStyle="1">
    <w:name w:val="表格文字"/>
    <w:basedOn w:val="744"/>
    <w:link w:val="909"/>
    <w:uiPriority w:val="0"/>
    <w:qFormat/>
    <w:pPr>
      <w:jc w:val="left"/>
      <w:spacing w:line="420" w:lineRule="atLeast"/>
    </w:pPr>
    <w:rPr>
      <w:rFonts w:ascii="Calibri" w:hAnsi="Calibri"/>
      <w:szCs w:val="22"/>
    </w:rPr>
  </w:style>
  <w:style w:type="character" w:styleId="909" w:customStyle="1">
    <w:name w:val="表格文字 字符"/>
    <w:link w:val="908"/>
    <w:uiPriority w:val="0"/>
    <w:qFormat/>
    <w:rPr>
      <w:rFonts w:ascii="Calibri" w:hAnsi="Calibri" w:eastAsia="宋体" w:cs="Times New Roman"/>
      <w:sz w:val="21"/>
      <w:szCs w:val="22"/>
    </w:rPr>
  </w:style>
  <w:style w:type="paragraph" w:styleId="910" w:customStyle="1">
    <w:name w:val="flNote"/>
    <w:basedOn w:val="744"/>
    <w:uiPriority w:val="0"/>
    <w:qFormat/>
    <w:pPr>
      <w:jc w:val="center"/>
      <w:spacing w:before="320" w:after="160" w:line="360" w:lineRule="atLeast"/>
    </w:pPr>
    <w:rPr>
      <w:rFonts w:ascii="Arial" w:hAnsi="Calibri" w:eastAsia="黑体"/>
      <w:sz w:val="30"/>
      <w:szCs w:val="22"/>
    </w:rPr>
  </w:style>
  <w:style w:type="paragraph" w:styleId="911" w:customStyle="1">
    <w:name w:val="文章正文"/>
    <w:basedOn w:val="744"/>
    <w:uiPriority w:val="99"/>
    <w:qFormat/>
    <w:pPr>
      <w:ind w:firstLine="480"/>
      <w:spacing w:line="360" w:lineRule="auto"/>
    </w:pPr>
    <w:rPr>
      <w:rFonts w:ascii="仿宋_GB2312" w:hAnsi="宋体" w:eastAsia="仿宋_GB2312"/>
      <w:color w:val="ff0000"/>
      <w:sz w:val="24"/>
    </w:rPr>
  </w:style>
  <w:style w:type="paragraph" w:styleId="912" w:customStyle="1">
    <w:name w:val="表格"/>
    <w:basedOn w:val="744"/>
    <w:uiPriority w:val="0"/>
    <w:qFormat/>
    <w:pPr>
      <w:jc w:val="center"/>
    </w:pPr>
    <w:rPr>
      <w:rFonts w:ascii="华文细黑" w:hAnsi="华文细黑"/>
      <w:szCs w:val="22"/>
    </w:rPr>
  </w:style>
  <w:style w:type="paragraph" w:styleId="913" w:customStyle="1">
    <w:name w:val="Char"/>
    <w:basedOn w:val="744"/>
    <w:uiPriority w:val="0"/>
    <w:qFormat/>
    <w:pPr>
      <w:jc w:val="left"/>
      <w:spacing w:after="160" w:line="240" w:lineRule="exact"/>
      <w:widowControl/>
    </w:pPr>
    <w:rPr>
      <w:rFonts w:ascii="Verdana" w:hAnsi="Verdana"/>
      <w:sz w:val="20"/>
      <w:szCs w:val="20"/>
      <w:lang w:eastAsia="en-US"/>
    </w:rPr>
  </w:style>
  <w:style w:type="paragraph" w:styleId="91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5" w:customStyle="1">
    <w:name w:val="列出段落2"/>
    <w:basedOn w:val="744"/>
    <w:uiPriority w:val="99"/>
    <w:qFormat/>
    <w:pPr>
      <w:ind w:firstLine="420"/>
    </w:pPr>
  </w:style>
  <w:style w:type="paragraph" w:styleId="916" w:customStyle="1">
    <w:name w:val="6'"/>
    <w:basedOn w:val="744"/>
    <w:uiPriority w:val="0"/>
    <w:qFormat/>
    <w:pPr>
      <w:jc w:val="center"/>
      <w:spacing w:line="320" w:lineRule="exact"/>
    </w:pPr>
    <w:rPr>
      <w:rFonts w:ascii="Calibri" w:hAnsi="Calibri"/>
      <w:spacing w:val="20"/>
      <w:szCs w:val="22"/>
    </w:rPr>
  </w:style>
  <w:style w:type="paragraph" w:styleId="917" w:customStyle="1">
    <w:name w:val="Char Char Char Char Char Char Char"/>
    <w:basedOn w:val="744"/>
    <w:uiPriority w:val="0"/>
    <w:qFormat/>
    <w:pPr>
      <w:spacing w:line="360" w:lineRule="auto"/>
    </w:pPr>
    <w:rPr>
      <w:sz w:val="24"/>
      <w:szCs w:val="20"/>
    </w:rPr>
  </w:style>
  <w:style w:type="paragraph" w:styleId="918" w:customStyle="1">
    <w:name w:val="2方案格式2"/>
    <w:basedOn w:val="898"/>
    <w:uiPriority w:val="0"/>
    <w:qFormat/>
    <w:pPr>
      <w:numPr>
        <w:ilvl w:val="1"/>
      </w:numPr>
      <w:spacing w:before="50" w:after="50" w:line="240" w:lineRule="auto"/>
      <w:outlineLvl w:val="1"/>
    </w:pPr>
    <w:rPr>
      <w:sz w:val="44"/>
    </w:rPr>
  </w:style>
  <w:style w:type="paragraph" w:styleId="91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20" w:customStyle="1">
    <w:name w:val="文档正文"/>
    <w:basedOn w:val="744"/>
    <w:uiPriority w:val="0"/>
    <w:qFormat/>
    <w:pPr>
      <w:ind w:firstLine="567"/>
      <w:spacing w:line="480" w:lineRule="atLeast"/>
    </w:pPr>
    <w:rPr>
      <w:rFonts w:ascii="Ari" w:eastAsia="Ari"/>
      <w:sz w:val="28"/>
      <w:szCs w:val="20"/>
    </w:rPr>
  </w:style>
  <w:style w:type="paragraph" w:styleId="921" w:customStyle="1">
    <w:name w:val="txt"/>
    <w:basedOn w:val="744"/>
    <w:uiPriority w:val="0"/>
    <w:qFormat/>
    <w:pPr>
      <w:jc w:val="left"/>
      <w:spacing w:before="100" w:beforeAutospacing="1" w:after="100" w:afterAutospacing="1"/>
      <w:widowControl/>
    </w:pPr>
    <w:rPr>
      <w:rFonts w:ascii="宋体" w:hAnsi="宋体" w:cs="宋体"/>
      <w:sz w:val="24"/>
    </w:rPr>
  </w:style>
  <w:style w:type="paragraph" w:styleId="922" w:customStyle="1">
    <w:name w:val="目录 4_0"/>
    <w:basedOn w:val="836"/>
    <w:next w:val="836"/>
    <w:uiPriority w:val="39"/>
    <w:qFormat/>
    <w:pPr>
      <w:ind w:left="1260"/>
    </w:pPr>
    <w:rPr>
      <w:rFonts w:ascii="Calibri" w:hAnsi="Calibri"/>
    </w:rPr>
  </w:style>
  <w:style w:type="paragraph" w:styleId="923" w:customStyle="1">
    <w:name w:val="目录 3_0"/>
    <w:basedOn w:val="836"/>
    <w:next w:val="836"/>
    <w:uiPriority w:val="39"/>
    <w:qFormat/>
    <w:pPr>
      <w:ind w:left="840"/>
    </w:pPr>
    <w:rPr>
      <w:rFonts w:ascii="Calibri" w:hAnsi="Calibri"/>
    </w:rPr>
  </w:style>
  <w:style w:type="paragraph" w:styleId="924" w:customStyle="1">
    <w:name w:val="样式 标题 1 + 黑体 三号 非加粗 居中 段前: 6 磅 段后: 6 磅 行距: 固定值 20 磅"/>
    <w:basedOn w:val="745"/>
    <w:uiPriority w:val="0"/>
    <w:qFormat/>
    <w:pPr>
      <w:numPr>
        <w:ilvl w:val="0"/>
        <w:numId w:val="0"/>
      </w:numPr>
      <w:spacing w:before="120" w:after="120" w:line="400" w:lineRule="exact"/>
    </w:pPr>
    <w:rPr>
      <w:rFonts w:ascii="黑体" w:hAnsi="黑体" w:eastAsia="黑体"/>
      <w:b w:val="0"/>
      <w:bCs w:val="0"/>
      <w:szCs w:val="20"/>
    </w:rPr>
  </w:style>
  <w:style w:type="paragraph" w:styleId="925" w:customStyle="1">
    <w:name w:val="1"/>
    <w:basedOn w:val="744"/>
    <w:next w:val="744"/>
    <w:uiPriority w:val="0"/>
    <w:qFormat/>
    <w:rPr>
      <w:rFonts w:ascii="Calibri" w:hAnsi="Calibri"/>
      <w:szCs w:val="22"/>
    </w:rPr>
  </w:style>
  <w:style w:type="paragraph" w:styleId="926" w:customStyle="1">
    <w:name w:val="Blockquote_0"/>
    <w:basedOn w:val="836"/>
    <w:uiPriority w:val="0"/>
    <w:qFormat/>
    <w:pPr>
      <w:ind w:left="360" w:right="360"/>
      <w:jc w:val="left"/>
      <w:spacing w:before="100" w:after="100"/>
    </w:pPr>
    <w:rPr>
      <w:rFonts w:ascii="Calibri" w:hAnsi="Calibri" w:eastAsia="Times New Roman"/>
      <w:sz w:val="24"/>
      <w:szCs w:val="20"/>
    </w:rPr>
  </w:style>
  <w:style w:type="paragraph" w:styleId="927" w:customStyle="1">
    <w:name w:val="列出段落11"/>
    <w:basedOn w:val="744"/>
    <w:uiPriority w:val="0"/>
    <w:qFormat/>
    <w:pPr>
      <w:contextualSpacing/>
      <w:ind w:left="720"/>
      <w:jc w:val="left"/>
      <w:widowControl/>
    </w:pPr>
    <w:rPr>
      <w:rFonts w:ascii="Arial" w:hAnsi="Arial" w:eastAsia="黑体"/>
      <w:sz w:val="24"/>
      <w:lang w:eastAsia="en-US"/>
    </w:rPr>
  </w:style>
  <w:style w:type="paragraph" w:styleId="928" w:customStyle="1">
    <w:name w:val="样式 标题 2 + Times New Roman 四号 非加粗 段前: 5 磅 段后: 0 磅 行距: 固定值 20..._0"/>
    <w:basedOn w:val="744"/>
    <w:uiPriority w:val="0"/>
    <w:qFormat/>
    <w:pPr>
      <w:keepLines/>
      <w:keepNext/>
      <w:spacing w:before="100" w:line="360" w:lineRule="auto"/>
      <w:outlineLvl w:val="1"/>
    </w:pPr>
    <w:rPr>
      <w:rFonts w:eastAsia="Times New Roman" w:cs="宋体"/>
      <w:sz w:val="28"/>
      <w:szCs w:val="20"/>
    </w:rPr>
  </w:style>
  <w:style w:type="paragraph" w:styleId="929" w:customStyle="1">
    <w:name w:val="op_mapdots_left"/>
    <w:basedOn w:val="744"/>
    <w:uiPriority w:val="0"/>
    <w:qFormat/>
    <w:pPr>
      <w:jc w:val="left"/>
      <w:spacing w:before="100" w:beforeAutospacing="1" w:after="100" w:afterAutospacing="1"/>
      <w:widowControl/>
    </w:pPr>
    <w:rPr>
      <w:rFonts w:ascii="宋体" w:hAnsi="宋体" w:cs="宋体"/>
      <w:sz w:val="24"/>
    </w:rPr>
  </w:style>
  <w:style w:type="paragraph" w:styleId="930" w:customStyle="1">
    <w:name w:val="p0"/>
    <w:basedOn w:val="744"/>
    <w:uiPriority w:val="0"/>
    <w:qFormat/>
    <w:pPr>
      <w:widowControl/>
    </w:pPr>
    <w:rPr>
      <w:b/>
      <w:bCs/>
      <w:sz w:val="24"/>
    </w:rPr>
  </w:style>
  <w:style w:type="paragraph" w:styleId="931" w:customStyle="1">
    <w:name w:val="Blockquote"/>
    <w:basedOn w:val="744"/>
    <w:uiPriority w:val="0"/>
    <w:qFormat/>
    <w:pPr>
      <w:ind w:left="360" w:right="360"/>
      <w:jc w:val="left"/>
      <w:spacing w:before="100" w:after="100"/>
    </w:pPr>
    <w:rPr>
      <w:rFonts w:ascii="Calibri" w:hAnsi="Calibri"/>
      <w:sz w:val="24"/>
      <w:szCs w:val="22"/>
    </w:rPr>
  </w:style>
  <w:style w:type="paragraph" w:styleId="932" w:customStyle="1">
    <w:name w:val="3方案格式3"/>
    <w:basedOn w:val="918"/>
    <w:uiPriority w:val="0"/>
    <w:qFormat/>
    <w:pPr>
      <w:numPr>
        <w:ilvl w:val="2"/>
      </w:numPr>
      <w:outlineLvl w:val="2"/>
    </w:pPr>
    <w:rPr>
      <w:sz w:val="32"/>
    </w:rPr>
  </w:style>
  <w:style w:type="paragraph" w:styleId="933" w:customStyle="1">
    <w:name w:val="样式 标题 2 + Times New Roman 四号 非加粗 段前: 5 磅 段后: 0 磅 行距: 固定值 20..."/>
    <w:basedOn w:val="74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34" w:customStyle="1">
    <w:name w:val="标题2"/>
    <w:basedOn w:val="746"/>
    <w:next w:val="764"/>
    <w:uiPriority w:val="0"/>
    <w:qFormat/>
    <w:pPr>
      <w:spacing w:before="156" w:after="156" w:line="360" w:lineRule="auto"/>
    </w:pPr>
    <w:rPr>
      <w:bCs w:val="0"/>
      <w:sz w:val="24"/>
    </w:rPr>
  </w:style>
  <w:style w:type="paragraph" w:styleId="935" w:customStyle="1">
    <w:name w:val="普通正文"/>
    <w:basedOn w:val="744"/>
    <w:uiPriority w:val="0"/>
    <w:qFormat/>
    <w:pPr>
      <w:ind w:firstLine="480"/>
      <w:jc w:val="left"/>
      <w:spacing w:before="120" w:after="120" w:line="360" w:lineRule="auto"/>
    </w:pPr>
    <w:rPr>
      <w:rFonts w:ascii="Arial" w:hAnsi="Arial"/>
      <w:sz w:val="24"/>
    </w:rPr>
  </w:style>
  <w:style w:type="paragraph" w:styleId="936" w:customStyle="1">
    <w:name w:val="正文11"/>
    <w:uiPriority w:val="0"/>
    <w:qFormat/>
    <w:rPr>
      <w:rFonts w:ascii="Calibri" w:hAnsi="Calibri" w:eastAsia="宋体" w:cs="Calibri"/>
      <w:sz w:val="24"/>
      <w:szCs w:val="24"/>
      <w:lang w:val="en-US" w:eastAsia="zh-CN" w:bidi="ar-SA"/>
    </w:rPr>
  </w:style>
  <w:style w:type="paragraph" w:styleId="937" w:customStyle="1">
    <w:name w:val="正文2"/>
    <w:uiPriority w:val="0"/>
    <w:qFormat/>
    <w:rPr>
      <w:rFonts w:ascii="Times New Roman" w:hAnsi="Times New Roman" w:eastAsia="微软雅黑" w:cs="Times New Roman"/>
      <w:sz w:val="24"/>
      <w:szCs w:val="24"/>
      <w:lang w:val="en-US" w:eastAsia="zh-CN" w:bidi="ar-SA"/>
    </w:rPr>
  </w:style>
  <w:style w:type="paragraph" w:styleId="938" w:customStyle="1">
    <w:name w:val="列出段落3"/>
    <w:basedOn w:val="744"/>
    <w:uiPriority w:val="34"/>
    <w:qFormat/>
    <w:pPr>
      <w:ind w:firstLine="420"/>
      <w:jc w:val="left"/>
      <w:spacing w:after="200"/>
      <w:widowControl/>
    </w:pPr>
    <w:rPr>
      <w:rFonts w:ascii="Tahoma" w:hAnsi="Tahoma" w:eastAsia="微软雅黑"/>
      <w:sz w:val="22"/>
      <w:szCs w:val="22"/>
    </w:rPr>
  </w:style>
  <w:style w:type="paragraph" w:styleId="939" w:customStyle="1">
    <w:name w:val="纯文本2"/>
    <w:basedOn w:val="744"/>
    <w:uiPriority w:val="0"/>
    <w:qFormat/>
    <w:pPr>
      <w:jc w:val="left"/>
    </w:pPr>
    <w:rPr>
      <w:rFonts w:hint="eastAsia" w:ascii="宋体" w:hAnsi="宋体" w:cs="Courier New"/>
      <w:sz w:val="24"/>
      <w:szCs w:val="20"/>
      <w:lang w:bidi="hi-IN"/>
    </w:rPr>
  </w:style>
  <w:style w:type="paragraph" w:styleId="940" w:customStyle="1">
    <w:name w:val="trs_editor"/>
    <w:basedOn w:val="744"/>
    <w:uiPriority w:val="0"/>
    <w:qFormat/>
    <w:pPr>
      <w:jc w:val="left"/>
      <w:spacing w:before="100" w:beforeAutospacing="1" w:after="100" w:afterAutospacing="1"/>
      <w:widowControl/>
    </w:pPr>
    <w:rPr>
      <w:rFonts w:ascii="宋体" w:hAnsi="宋体" w:cs="宋体"/>
      <w:sz w:val="24"/>
    </w:rPr>
  </w:style>
  <w:style w:type="paragraph" w:styleId="941" w:customStyle="1">
    <w:name w:val="标题二级"/>
    <w:basedOn w:val="744"/>
    <w:uiPriority w:val="0"/>
    <w:qFormat/>
    <w:pPr>
      <w:ind w:firstLine="412"/>
    </w:pPr>
    <w:rPr>
      <w:rFonts w:ascii="宋体" w:hAnsi="宋体"/>
      <w:szCs w:val="21"/>
    </w:rPr>
  </w:style>
  <w:style w:type="paragraph" w:styleId="942" w:customStyle="1">
    <w:name w:val="修订2"/>
    <w:uiPriority w:val="99"/>
    <w:semiHidden/>
    <w:qFormat/>
    <w:rPr>
      <w:rFonts w:ascii="Times New Roman" w:hAnsi="Times New Roman" w:eastAsia="宋体" w:cs="Times New Roman"/>
      <w:sz w:val="21"/>
      <w:szCs w:val="24"/>
      <w:lang w:val="en-US" w:eastAsia="zh-CN" w:bidi="ar-SA"/>
    </w:rPr>
  </w:style>
  <w:style w:type="paragraph" w:styleId="943" w:customStyle="1">
    <w:name w:val="修订3"/>
    <w:uiPriority w:val="99"/>
    <w:semiHidden/>
    <w:qFormat/>
    <w:rPr>
      <w:rFonts w:ascii="Times New Roman" w:hAnsi="Times New Roman" w:eastAsia="宋体" w:cs="Times New Roman"/>
      <w:sz w:val="21"/>
      <w:szCs w:val="24"/>
      <w:lang w:val="en-US" w:eastAsia="zh-CN" w:bidi="ar-SA"/>
    </w:rPr>
  </w:style>
  <w:style w:type="character" w:styleId="944" w:customStyle="1">
    <w:name w:val="无"/>
    <w:uiPriority w:val="0"/>
    <w:qFormat/>
  </w:style>
  <w:style w:type="paragraph" w:styleId="945" w:customStyle="1">
    <w:name w:val="Heading #2|1"/>
    <w:basedOn w:val="744"/>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946" w:customStyle="1">
    <w:name w:val="Body text|1"/>
    <w:basedOn w:val="744"/>
    <w:uiPriority w:val="0"/>
    <w:qFormat/>
    <w:pPr>
      <w:ind w:firstLine="400"/>
      <w:spacing w:line="401" w:lineRule="auto"/>
    </w:pPr>
    <w:rPr>
      <w:rFonts w:ascii="宋体" w:hAnsi="宋体" w:cs="宋体"/>
      <w:sz w:val="30"/>
      <w:szCs w:val="30"/>
      <w:lang w:val="zh-TW" w:eastAsia="zh-TW" w:bidi="zh-TW"/>
    </w:rPr>
  </w:style>
  <w:style w:type="paragraph" w:styleId="947" w:customStyle="1">
    <w:name w:val="_Style 1931"/>
    <w:basedOn w:val="744"/>
    <w:next w:val="800"/>
    <w:uiPriority w:val="34"/>
    <w:qFormat/>
    <w:pPr>
      <w:ind w:firstLine="420"/>
    </w:pPr>
  </w:style>
  <w:style w:type="paragraph" w:styleId="948" w:customStyle="1">
    <w:name w:val="段落"/>
    <w:basedOn w:val="744"/>
    <w:uiPriority w:val="0"/>
    <w:qFormat/>
    <w:pPr>
      <w:ind w:firstLine="480"/>
      <w:spacing w:line="460" w:lineRule="exact"/>
    </w:pPr>
    <w:rPr>
      <w:rFonts w:ascii="Calibri" w:hAnsi="Calibri"/>
      <w:sz w:val="24"/>
      <w:szCs w:val="20"/>
    </w:rPr>
  </w:style>
  <w:style w:type="paragraph" w:styleId="949" w:customStyle="1">
    <w:name w:val="首行缩进"/>
    <w:basedOn w:val="744"/>
    <w:uiPriority w:val="0"/>
    <w:qFormat/>
    <w:pPr>
      <w:ind w:firstLine="480"/>
      <w:spacing w:line="360" w:lineRule="auto"/>
    </w:pPr>
    <w:rPr>
      <w:rFonts w:ascii="宋体" w:hAnsi="宋体" w:cs="宋体"/>
      <w:sz w:val="24"/>
    </w:rPr>
  </w:style>
  <w:style w:type="paragraph" w:styleId="950" w:customStyle="1">
    <w:name w:val="列出段落4"/>
    <w:basedOn w:val="744"/>
    <w:uiPriority w:val="99"/>
    <w:unhideWhenUsed/>
    <w:qFormat/>
    <w:pPr>
      <w:ind w:firstLine="420"/>
      <w:spacing w:line="360" w:lineRule="auto"/>
    </w:pPr>
    <w:rPr>
      <w:rFonts w:ascii="Calibri" w:hAnsi="Calibri" w:eastAsia="仿宋_GB2312"/>
      <w:sz w:val="32"/>
      <w:szCs w:val="22"/>
    </w:rPr>
  </w:style>
  <w:style w:type="paragraph" w:styleId="951" w:customStyle="1">
    <w:name w:val="修订4"/>
    <w:uiPriority w:val="99"/>
    <w:semiHidden/>
    <w:qFormat/>
    <w:rPr>
      <w:rFonts w:ascii="Times New Roman" w:hAnsi="Times New Roman" w:eastAsia="宋体" w:cs="Times New Roman"/>
      <w:sz w:val="21"/>
      <w:szCs w:val="24"/>
      <w:lang w:val="en-US" w:eastAsia="zh-CN" w:bidi="ar-SA"/>
    </w:rPr>
  </w:style>
  <w:style w:type="paragraph" w:styleId="952" w:customStyle="1">
    <w:name w:val="正文 A"/>
    <w:next w:val="764"/>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953"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954" w:customStyle="1">
    <w:name w:val="*正文"/>
    <w:basedOn w:val="744"/>
    <w:uiPriority w:val="0"/>
    <w:qFormat/>
    <w:pPr>
      <w:spacing w:line="360" w:lineRule="auto"/>
      <w:widowControl/>
    </w:pPr>
    <w:rPr>
      <w:rFonts w:ascii="仿宋_GB2312" w:eastAsia="仿宋_GB2312"/>
      <w:sz w:val="24"/>
      <w:szCs w:val="28"/>
    </w:rPr>
  </w:style>
  <w:style w:type="table" w:styleId="955" w:customStyle="1">
    <w:name w:val="Table Normal"/>
    <w:uiPriority w:val="0"/>
    <w:unhideWhenUsed/>
    <w:qFormat/>
    <w:tblPr>
      <w:tblCellMar>
        <w:left w:w="0" w:type="dxa"/>
        <w:top w:w="0" w:type="dxa"/>
        <w:right w:w="0" w:type="dxa"/>
        <w:bottom w:w="0" w:type="dxa"/>
      </w:tblCellMar>
    </w:tblPr>
  </w:style>
  <w:style w:type="character" w:styleId="956" w:customStyle="1">
    <w:name w:val="form-textarea-print1"/>
    <w:uiPriority w:val="0"/>
    <w:qFormat/>
    <w:rPr>
      <w:rFonts w:hint="default" w:ascii="微软雅黑" w:hAnsi="微软雅黑" w:eastAsia="宋体" w:cs="Times New Roman"/>
      <w:sz w:val="18"/>
      <w:szCs w:val="18"/>
    </w:rPr>
  </w:style>
  <w:style w:type="character" w:styleId="957" w:customStyle="1">
    <w:name w:val="cke_colorbox"/>
    <w:basedOn w:val="754"/>
    <w:uiPriority w:val="0"/>
    <w:qFormat/>
  </w:style>
  <w:style w:type="character" w:styleId="958" w:customStyle="1">
    <w:name w:val="cke_colorbox1"/>
    <w:basedOn w:val="754"/>
    <w:uiPriority w:val="0"/>
    <w:qFormat/>
  </w:style>
  <w:style w:type="character" w:styleId="959" w:customStyle="1">
    <w:name w:val="pwdtips_alert"/>
    <w:basedOn w:val="754"/>
    <w:uiPriority w:val="0"/>
    <w:qFormat/>
    <w:rPr>
      <w:shd w:val="clear" w:color="auto" w:fill="ffeaa6"/>
    </w:rPr>
  </w:style>
  <w:style w:type="character" w:styleId="960" w:customStyle="1">
    <w:name w:val="l-btn-left"/>
    <w:basedOn w:val="754"/>
    <w:uiPriority w:val="0"/>
    <w:qFormat/>
  </w:style>
  <w:style w:type="character" w:styleId="961" w:customStyle="1">
    <w:name w:val="l-btn-left1"/>
    <w:basedOn w:val="754"/>
    <w:uiPriority w:val="0"/>
    <w:qFormat/>
  </w:style>
  <w:style w:type="character" w:styleId="962" w:customStyle="1">
    <w:name w:val="l-btn-left2"/>
    <w:basedOn w:val="754"/>
    <w:uiPriority w:val="0"/>
    <w:qFormat/>
  </w:style>
  <w:style w:type="character" w:styleId="963" w:customStyle="1">
    <w:name w:val="l-btn-left3"/>
    <w:basedOn w:val="754"/>
    <w:uiPriority w:val="0"/>
    <w:qFormat/>
  </w:style>
  <w:style w:type="character" w:styleId="964" w:customStyle="1">
    <w:name w:val="combo2"/>
    <w:basedOn w:val="754"/>
    <w:uiPriority w:val="0"/>
    <w:qFormat/>
  </w:style>
  <w:style w:type="character" w:styleId="965" w:customStyle="1">
    <w:name w:val="l-btn-empty"/>
    <w:basedOn w:val="754"/>
    <w:uiPriority w:val="0"/>
    <w:qFormat/>
  </w:style>
  <w:style w:type="character" w:styleId="966" w:customStyle="1">
    <w:name w:val="red"/>
    <w:basedOn w:val="754"/>
    <w:uiPriority w:val="0"/>
    <w:qFormat/>
    <w:rPr>
      <w:color w:val="ff0000"/>
    </w:rPr>
  </w:style>
  <w:style w:type="character" w:styleId="967" w:customStyle="1">
    <w:name w:val="l-btn-text"/>
    <w:basedOn w:val="754"/>
    <w:uiPriority w:val="0"/>
    <w:qFormat/>
    <w:rPr>
      <w:color w:val="1864ac"/>
      <w:sz w:val="14"/>
      <w:szCs w:val="14"/>
    </w:rPr>
  </w:style>
  <w:style w:type="character" w:styleId="968" w:customStyle="1">
    <w:name w:val="l-btn-text1"/>
    <w:basedOn w:val="754"/>
    <w:uiPriority w:val="0"/>
    <w:qFormat/>
  </w:style>
  <w:style w:type="character" w:styleId="969" w:customStyle="1">
    <w:name w:val="green"/>
    <w:basedOn w:val="754"/>
    <w:uiPriority w:val="0"/>
    <w:qFormat/>
    <w:rPr>
      <w:color w:val="00a521"/>
    </w:rPr>
  </w:style>
  <w:style w:type="character" w:styleId="970" w:customStyle="1">
    <w:name w:val="valueinfo"/>
    <w:basedOn w:val="754"/>
    <w:uiPriority w:val="0"/>
    <w:qFormat/>
    <w:rPr>
      <w:color w:val="666666"/>
    </w:rPr>
  </w:style>
  <w:style w:type="character" w:styleId="971" w:customStyle="1">
    <w:name w:val="tree-file2"/>
    <w:basedOn w:val="754"/>
    <w:uiPriority w:val="0"/>
    <w:qFormat/>
  </w:style>
  <w:style w:type="character" w:styleId="972" w:customStyle="1">
    <w:name w:val="vainfo"/>
    <w:basedOn w:val="754"/>
    <w:uiPriority w:val="0"/>
    <w:qFormat/>
    <w:rPr>
      <w:color w:val="ff0000"/>
      <w:shd w:val="clear" w:color="auto" w:fill="ffe4e4"/>
    </w:rPr>
  </w:style>
  <w:style w:type="character" w:styleId="973" w:customStyle="1">
    <w:name w:val="pwdtips_ok"/>
    <w:basedOn w:val="754"/>
    <w:uiPriority w:val="0"/>
    <w:qFormat/>
    <w:rPr>
      <w:shd w:val="clear" w:color="auto" w:fill="b4ffa6"/>
    </w:rPr>
  </w:style>
  <w:style w:type="character" w:styleId="974" w:customStyle="1">
    <w:name w:val="pwdtips_error"/>
    <w:basedOn w:val="754"/>
    <w:uiPriority w:val="0"/>
    <w:qFormat/>
    <w:rPr>
      <w:shd w:val="clear" w:color="auto" w:fill="ffa6a6"/>
    </w:rPr>
  </w:style>
  <w:style w:type="character" w:styleId="975" w:customStyle="1">
    <w:name w:val="tree-title4"/>
    <w:basedOn w:val="754"/>
    <w:uiPriority w:val="0"/>
    <w:qFormat/>
    <w:rPr>
      <w:color w:val="1864ac"/>
    </w:rPr>
  </w:style>
  <w:style w:type="character" w:styleId="976" w:customStyle="1">
    <w:name w:val="tree-title5"/>
    <w:basedOn w:val="754"/>
    <w:uiPriority w:val="0"/>
    <w:qFormat/>
    <w:rPr>
      <w:color w:val="ffffff"/>
      <w:shd w:val="clear" w:color="auto" w:fill="3366cc"/>
    </w:rPr>
  </w:style>
  <w:style w:type="character" w:styleId="977" w:customStyle="1">
    <w:name w:val="info"/>
    <w:basedOn w:val="754"/>
    <w:uiPriority w:val="0"/>
    <w:qFormat/>
  </w:style>
  <w:style w:type="character" w:styleId="978" w:customStyle="1">
    <w:name w:val="topic"/>
    <w:basedOn w:val="754"/>
    <w:uiPriority w:val="0"/>
    <w:qFormat/>
    <w:rPr>
      <w:color w:val="ff0000"/>
    </w:rPr>
  </w:style>
  <w:style w:type="paragraph" w:styleId="979" w:customStyle="1">
    <w:name w:val="_Style 213"/>
    <w:basedOn w:val="744"/>
    <w:next w:val="800"/>
    <w:uiPriority w:val="34"/>
    <w:qFormat/>
    <w:pPr>
      <w:ind w:firstLine="420"/>
      <w:jc w:val="left"/>
      <w:spacing w:line="360" w:lineRule="atLeast"/>
    </w:pPr>
    <w:rPr>
      <w:rFonts w:ascii="Arial" w:hAnsi="Arial"/>
      <w:sz w:val="24"/>
    </w:rPr>
  </w:style>
  <w:style w:type="paragraph" w:styleId="980" w:customStyle="1">
    <w:name w:val="修订5"/>
    <w:uiPriority w:val="99"/>
    <w:semiHidden/>
    <w:qFormat/>
    <w:rPr>
      <w:rFonts w:ascii="Times New Roman" w:hAnsi="Times New Roman" w:eastAsia="宋体" w:cs="Times New Roman"/>
      <w:sz w:val="21"/>
      <w:szCs w:val="24"/>
      <w:lang w:val="en-US" w:eastAsia="zh-CN" w:bidi="ar-SA"/>
    </w:rPr>
  </w:style>
  <w:style w:type="paragraph" w:styleId="981" w:customStyle="1">
    <w:name w:val="修订6"/>
    <w:uiPriority w:val="99"/>
    <w:semiHidden/>
    <w:qFormat/>
    <w:rPr>
      <w:rFonts w:ascii="Times New Roman" w:hAnsi="Times New Roman" w:eastAsia="宋体" w:cs="Times New Roman"/>
      <w:sz w:val="21"/>
      <w:szCs w:val="24"/>
      <w:lang w:val="en-US" w:eastAsia="zh-CN" w:bidi="ar-SA"/>
    </w:rPr>
  </w:style>
  <w:style w:type="character" w:styleId="982" w:customStyle="1">
    <w:name w:val="NormalCharacter"/>
    <w:uiPriority w:val="0"/>
    <w:semiHidden/>
    <w:qFormat/>
    <w:rPr>
      <w:rFonts w:ascii="Calibri" w:hAnsi="Calibri" w:eastAsia="宋体"/>
      <w:sz w:val="21"/>
      <w:szCs w:val="24"/>
      <w:lang w:val="en-US" w:eastAsia="zh-CN" w:bidi="ar-SA"/>
    </w:rPr>
  </w:style>
  <w:style w:type="paragraph" w:styleId="983">
    <w:name w:val="No Spacing"/>
    <w:uiPriority w:val="1"/>
    <w:qFormat/>
    <w:pPr>
      <w:jc w:val="both"/>
      <w:widowControl w:val="off"/>
    </w:pPr>
    <w:rPr>
      <w:rFonts w:ascii="Times New Roman" w:hAnsi="Times New Roman" w:eastAsia="宋体" w:cs="Times New Roman"/>
      <w:sz w:val="21"/>
      <w:lang w:val="en-US" w:eastAsia="zh-CN" w:bidi="ar-SA"/>
    </w:rPr>
  </w:style>
  <w:style w:type="paragraph" w:styleId="984" w:customStyle="1">
    <w:name w:val="列表段落2"/>
    <w:basedOn w:val="744"/>
    <w:uiPriority w:val="0"/>
    <w:qFormat/>
    <w:pPr>
      <w:ind w:firstLine="420"/>
    </w:pPr>
    <w:rPr>
      <w:szCs w:val="21"/>
    </w:rPr>
  </w:style>
  <w:style w:type="paragraph" w:styleId="985" w:customStyle="1">
    <w:name w:val="正文_9_0"/>
    <w:basedOn w:val="744"/>
    <w:uiPriority w:val="0"/>
    <w:qFormat/>
    <w:rPr>
      <w:szCs w:val="21"/>
    </w:rPr>
  </w:style>
  <w:style w:type="paragraph" w:styleId="986" w:customStyle="1">
    <w:name w:val="p15"/>
    <w:basedOn w:val="744"/>
    <w:uiPriority w:val="0"/>
    <w:qFormat/>
    <w:pPr>
      <w:jc w:val="left"/>
      <w:widowControl/>
    </w:pPr>
    <w:rPr>
      <w:rFonts w:ascii="黑体" w:hAnsi="黑体" w:eastAsia="黑体" w:cs="宋体"/>
      <w:color w:val="000000"/>
      <w:sz w:val="24"/>
    </w:rPr>
  </w:style>
  <w:style w:type="paragraph" w:styleId="987" w:customStyle="1">
    <w:name w:val="Table Text"/>
    <w:basedOn w:val="744"/>
    <w:uiPriority w:val="0"/>
    <w:semiHidden/>
    <w:qFormat/>
    <w:rPr>
      <w:rFonts w:ascii="宋体" w:hAnsi="宋体" w:eastAsia="宋体" w:cs="宋体"/>
      <w:sz w:val="21"/>
      <w:szCs w:val="21"/>
      <w:lang w:val="en-US" w:eastAsia="en-US" w:bidi="ar-SA"/>
    </w:rPr>
  </w:style>
  <w:style w:type="paragraph" w:styleId="988" w:customStyle="1">
    <w:name w:val="TOC 71"/>
    <w:next w:val="744"/>
    <w:uiPriority w:val="0"/>
    <w:qFormat/>
    <w:pPr>
      <w:ind w:left="2550"/>
      <w:jc w:val="both"/>
    </w:pPr>
    <w:rPr>
      <w:rFonts w:ascii="Times New Roman" w:hAnsi="Times New Roman" w:eastAsia="宋体" w:cs="Times New Roman"/>
      <w:sz w:val="21"/>
      <w:szCs w:val="22"/>
      <w:lang w:val="en-US" w:eastAsia="zh-CN" w:bidi="ar-SA"/>
    </w:rPr>
  </w:style>
  <w:style w:type="paragraph" w:styleId="989" w:customStyle="1">
    <w:name w:val="标题 5（有编号）（绿盟科技）"/>
    <w:next w:val="990"/>
    <w:uiPriority w:val="0"/>
    <w:qFormat/>
    <w:pPr>
      <w:numPr>
        <w:ilvl w:val="4"/>
        <w:numId w:val="3"/>
      </w:numPr>
      <w:keepLines/>
      <w:keepNext/>
      <w:spacing w:before="280" w:after="156" w:line="377" w:lineRule="auto"/>
      <w:widowControl w:val="off"/>
      <w:outlineLvl w:val="4"/>
    </w:pPr>
    <w:rPr>
      <w:rFonts w:hint="default" w:ascii="Arial" w:hAnsi="Arial" w:eastAsia="黑体" w:cs="Times New Roman"/>
      <w:b/>
      <w:sz w:val="24"/>
      <w:szCs w:val="28"/>
      <w:lang w:val="en-US" w:eastAsia="zh-CN" w:bidi="ar-SA"/>
    </w:rPr>
  </w:style>
  <w:style w:type="paragraph" w:styleId="990" w:customStyle="1">
    <w:name w:val="正文（绿盟科技）"/>
    <w:uiPriority w:val="0"/>
    <w:qFormat/>
    <w:pPr>
      <w:spacing w:line="300" w:lineRule="auto"/>
    </w:pPr>
    <w:rPr>
      <w:rFonts w:hint="default" w:ascii="Arial" w:hAnsi="Arial" w:eastAsia="宋体" w:cs="黑体"/>
      <w:sz w:val="21"/>
      <w:szCs w:val="21"/>
      <w:lang w:val="en-US" w:eastAsia="zh-CN" w:bidi="ar-SA"/>
    </w:rPr>
  </w:style>
  <w:style w:type="table" w:styleId="991"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992" w:customStyle="1">
    <w:name w:val="font131"/>
    <w:basedOn w:val="754"/>
    <w:uiPriority w:val="0"/>
    <w:qFormat/>
    <w:rPr>
      <w:rFonts w:hint="eastAsia" w:ascii="宋体" w:hAnsi="宋体" w:eastAsia="宋体" w:cs="宋体"/>
      <w:b/>
      <w:bCs/>
      <w:color w:val="000000"/>
      <w:sz w:val="18"/>
      <w:szCs w:val="18"/>
      <w:u w:val="none"/>
    </w:rPr>
  </w:style>
  <w:style w:type="character" w:styleId="993" w:customStyle="1">
    <w:name w:val="font01"/>
    <w:basedOn w:val="754"/>
    <w:uiPriority w:val="0"/>
    <w:qFormat/>
    <w:rPr>
      <w:rFonts w:hint="eastAsia" w:ascii="宋体" w:hAnsi="宋体" w:eastAsia="宋体" w:cs="宋体"/>
      <w:color w:val="000000"/>
      <w:sz w:val="22"/>
      <w:szCs w:val="22"/>
      <w:u w:val="none"/>
    </w:rPr>
  </w:style>
  <w:style w:type="character" w:styleId="994" w:customStyle="1">
    <w:name w:val="font141"/>
    <w:basedOn w:val="754"/>
    <w:uiPriority w:val="0"/>
    <w:qFormat/>
    <w:rPr>
      <w:rFonts w:hint="eastAsia" w:ascii="宋体" w:hAnsi="宋体" w:eastAsia="宋体" w:cs="宋体"/>
      <w:color w:val="000000"/>
      <w:sz w:val="21"/>
      <w:szCs w:val="21"/>
      <w:u w:val="none"/>
    </w:rPr>
  </w:style>
  <w:style w:type="character" w:styleId="995" w:customStyle="1">
    <w:name w:val="font151"/>
    <w:basedOn w:val="754"/>
    <w:uiPriority w:val="0"/>
    <w:qFormat/>
    <w:rPr>
      <w:rFonts w:hint="eastAsia" w:ascii="宋体" w:hAnsi="宋体" w:eastAsia="宋体" w:cs="宋体"/>
      <w:color w:val="ff0000"/>
      <w:sz w:val="22"/>
      <w:szCs w:val="22"/>
      <w:u w:val="none"/>
    </w:rPr>
  </w:style>
  <w:style w:type="character" w:styleId="996" w:customStyle="1">
    <w:name w:val="font51"/>
    <w:basedOn w:val="754"/>
    <w:uiPriority w:val="0"/>
    <w:qFormat/>
    <w:rPr>
      <w:rFonts w:hint="eastAsia" w:ascii="宋体" w:hAnsi="宋体" w:eastAsia="宋体" w:cs="宋体"/>
      <w:color w:val="000000"/>
      <w:sz w:val="22"/>
      <w:szCs w:val="22"/>
      <w:u w:val="none"/>
    </w:rPr>
  </w:style>
  <w:style w:type="character" w:styleId="997" w:customStyle="1">
    <w:name w:val="font171"/>
    <w:basedOn w:val="754"/>
    <w:uiPriority w:val="0"/>
    <w:qFormat/>
    <w:rPr>
      <w:rFonts w:hint="eastAsia" w:ascii="宋体" w:hAnsi="宋体" w:eastAsia="宋体" w:cs="宋体"/>
      <w:color w:val="000000"/>
      <w:sz w:val="24"/>
      <w:szCs w:val="24"/>
      <w:u w:val="none"/>
    </w:rPr>
  </w:style>
  <w:style w:type="character" w:styleId="998" w:customStyle="1">
    <w:name w:val="font41"/>
    <w:basedOn w:val="754"/>
    <w:uiPriority w:val="0"/>
    <w:qFormat/>
    <w:rPr>
      <w:rFonts w:hint="default" w:ascii="Times New Roman" w:hAnsi="Times New Roman" w:cs="Times New Roman"/>
      <w:color w:val="000000"/>
      <w:sz w:val="22"/>
      <w:szCs w:val="22"/>
      <w:u w:val="none"/>
    </w:rPr>
  </w:style>
  <w:style w:type="character" w:styleId="999" w:customStyle="1">
    <w:name w:val="font181"/>
    <w:basedOn w:val="754"/>
    <w:uiPriority w:val="0"/>
    <w:qFormat/>
    <w:rPr>
      <w:rFonts w:hint="eastAsia" w:ascii="宋体" w:hAnsi="宋体" w:eastAsia="宋体" w:cs="宋体"/>
      <w:color w:val="0d0d0d"/>
      <w:sz w:val="24"/>
      <w:szCs w:val="24"/>
      <w:u w:val="none"/>
    </w:rPr>
  </w:style>
  <w:style w:type="character" w:styleId="1000" w:customStyle="1">
    <w:name w:val="font191"/>
    <w:basedOn w:val="754"/>
    <w:uiPriority w:val="0"/>
    <w:qFormat/>
    <w:rPr>
      <w:rFonts w:hint="eastAsia" w:ascii="宋体" w:hAnsi="宋体" w:eastAsia="宋体" w:cs="宋体"/>
      <w:color w:val="000000"/>
      <w:sz w:val="20"/>
      <w:szCs w:val="20"/>
      <w:u w:val="none"/>
    </w:rPr>
  </w:style>
  <w:style w:type="character" w:styleId="1001" w:customStyle="1">
    <w:name w:val="font201"/>
    <w:basedOn w:val="754"/>
    <w:uiPriority w:val="0"/>
    <w:qFormat/>
    <w:rPr>
      <w:rFonts w:ascii="方正书宋_GBK" w:hAnsi="方正书宋_GBK" w:eastAsia="方正书宋_GBK" w:cs="方正书宋_GBK"/>
      <w:color w:val="000000"/>
      <w:sz w:val="21"/>
      <w:szCs w:val="21"/>
      <w:u w:val="none"/>
    </w:rPr>
  </w:style>
  <w:style w:type="numbering" w:styleId="134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（最终可定）南京市南京南站地区社会治安协管服务项目招标文件.dot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sugussss</dc:creator>
  <cp:lastModifiedBy>江苏天信建设项目咨询有限公司</cp:lastModifiedBy>
  <cp:revision>5</cp:revision>
  <dcterms:created xsi:type="dcterms:W3CDTF">2026-06-26T10:22:00Z</dcterms:created>
  <dcterms:modified xsi:type="dcterms:W3CDTF">2026-11-03T00:49:07Z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2BDA06DC5E1747D79B4D6CBE9555E206_13</vt:lpwstr>
  </property>
  <property fmtid="{D5CDD505-2E9C-101B-9397-08002B2CF9AE}" pid="4" name="KSOTemplateDocerSaveRecord">
    <vt:lpwstr>eyJoZGlkIjoiZGIxODlhMzQzODM1NmI3NTg4ZWYyNDE3Y2EzNWMxNTgiLCJ1c2VySWQiOiI3NzkyNTczODAifQ==</vt:lpwstr>
  </property>
</Properties>
</file>