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0"/>
        <w:rPr>
          <w:rFonts w:hint="eastAsia" w:eastAsia="黑体"/>
          <w:b/>
          <w:bCs/>
          <w:sz w:val="84"/>
          <w:highlight w:val="none"/>
        </w:rPr>
      </w:pPr>
      <w:r>
        <w:rPr>
          <w:rFonts w:hint="eastAsia" w:eastAsia="黑体"/>
          <w:b/>
          <w:bCs/>
          <w:sz w:val="84"/>
          <w:highlight w:val="none"/>
        </w:rPr>
      </w:r>
      <w:r/>
    </w:p>
    <w:p>
      <w:pPr>
        <w:pStyle w:val="1026"/>
        <w:ind w:firstLine="0"/>
        <w:jc w:val="center"/>
        <w:rPr>
          <w:rFonts w:hint="eastAsia" w:ascii="方正小标宋_GBK" w:hAnsi="方正小标宋_GBK" w:eastAsia="方正小标宋_GBK" w:cs="方正小标宋_GBK"/>
          <w:sz w:val="28"/>
          <w:szCs w:val="28"/>
          <w:highlight w:val="none"/>
        </w:rPr>
      </w:pPr>
      <w:r>
        <w:rPr>
          <w:rFonts w:hint="eastAsia" w:ascii="方正小标宋_GBK" w:hAnsi="方正小标宋_GBK" w:eastAsia="方正小标宋_GBK" w:cs="方正小标宋_GBK"/>
          <w:sz w:val="44"/>
          <w:szCs w:val="44"/>
          <w:highlight w:val="none"/>
        </w:rPr>
        <w:t xml:space="preserve">招　标　文　件</w:t>
      </w:r>
      <w:r>
        <w:rPr>
          <w:rFonts w:hint="eastAsia" w:ascii="方正小标宋_GBK" w:hAnsi="方正小标宋_GBK" w:eastAsia="方正小标宋_GBK" w:cs="方正小标宋_GBK"/>
          <w:sz w:val="28"/>
          <w:szCs w:val="28"/>
          <w:highlight w:val="none"/>
        </w:rPr>
      </w:r>
      <w:r/>
    </w:p>
    <w:p>
      <w:pPr>
        <w:pStyle w:val="1026"/>
        <w:ind w:firstLine="1968"/>
        <w:spacing w:line="400" w:lineRule="exact"/>
        <w:rPr>
          <w:rFonts w:hint="eastAsia"/>
          <w:b/>
          <w:bCs/>
          <w:sz w:val="28"/>
          <w:szCs w:val="28"/>
          <w:highlight w:val="none"/>
        </w:rPr>
      </w:pPr>
      <w:r>
        <w:rPr>
          <w:rFonts w:hint="eastAsia"/>
          <w:b/>
          <w:bCs/>
          <w:sz w:val="28"/>
          <w:szCs w:val="28"/>
          <w:highlight w:val="none"/>
        </w:rPr>
      </w:r>
      <w:r/>
    </w:p>
    <w:p>
      <w:pPr>
        <w:pStyle w:val="939"/>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项目名称：江苏省政府采购管理交易平台升级改造</w:t>
      </w:r>
      <w:r>
        <w:rPr>
          <w:rFonts w:hint="eastAsia" w:ascii="方正黑体_GBK" w:hAnsi="方正黑体_GBK" w:eastAsia="方正黑体_GBK" w:cs="方正黑体_GBK"/>
          <w:color w:val="000000"/>
          <w:sz w:val="28"/>
          <w:szCs w:val="28"/>
          <w:highlight w:val="none"/>
        </w:rPr>
      </w:r>
      <w:r/>
    </w:p>
    <w:p>
      <w:pPr>
        <w:pStyle w:val="939"/>
        <w:jc w:val="left"/>
        <w:spacing w:before="120" w:after="120" w:line="400" w:lineRule="exact"/>
        <w:rPr>
          <w:rFonts w:hint="eastAsia" w:ascii="方正黑体_GBK" w:hAnsi="方正黑体_GBK" w:eastAsia="方正黑体_GBK" w:cs="方正黑体_GBK"/>
          <w:b/>
          <w:color w:val="ff0000"/>
          <w:sz w:val="28"/>
          <w:szCs w:val="28"/>
          <w:highlight w:val="none"/>
        </w:rPr>
      </w:pPr>
      <w:r>
        <w:rPr>
          <w:rFonts w:hint="eastAsia" w:ascii="方正黑体_GBK" w:hAnsi="方正黑体_GBK" w:eastAsia="方正黑体_GBK" w:cs="方正黑体_GBK"/>
          <w:color w:val="000000"/>
          <w:sz w:val="28"/>
          <w:szCs w:val="28"/>
          <w:highlight w:val="none"/>
        </w:rPr>
        <w:t xml:space="preserve">采购编号：JSZC-320000-SCZX-G2026-0440    </w:t>
      </w:r>
      <w:r>
        <w:rPr>
          <w:rFonts w:hint="eastAsia" w:ascii="方正黑体_GBK" w:hAnsi="方正黑体_GBK" w:eastAsia="方正黑体_GBK" w:cs="方正黑体_GBK"/>
          <w:sz w:val="28"/>
          <w:szCs w:val="28"/>
          <w:highlight w:val="none"/>
        </w:rPr>
        <w:t xml:space="preserve">  </w:t>
      </w:r>
      <w:r>
        <w:rPr>
          <w:rFonts w:hint="eastAsia" w:ascii="方正黑体_GBK" w:hAnsi="方正黑体_GBK" w:eastAsia="方正黑体_GBK" w:cs="方正黑体_GBK"/>
          <w:b/>
          <w:sz w:val="28"/>
          <w:szCs w:val="28"/>
          <w:highlight w:val="none"/>
        </w:rPr>
        <w:t xml:space="preserve">   </w:t>
      </w:r>
      <w:r>
        <w:rPr>
          <w:rFonts w:hint="eastAsia" w:ascii="方正黑体_GBK" w:hAnsi="方正黑体_GBK" w:eastAsia="方正黑体_GBK" w:cs="方正黑体_GBK"/>
          <w:sz w:val="28"/>
          <w:szCs w:val="28"/>
          <w:highlight w:val="none"/>
        </w:rPr>
        <w:t xml:space="preserve">  </w:t>
      </w:r>
      <w:r>
        <w:rPr>
          <w:rFonts w:hint="eastAsia" w:ascii="方正黑体_GBK" w:hAnsi="方正黑体_GBK" w:eastAsia="方正黑体_GBK" w:cs="方正黑体_GBK"/>
          <w:b/>
          <w:sz w:val="28"/>
          <w:szCs w:val="28"/>
          <w:highlight w:val="none"/>
        </w:rPr>
        <w:t xml:space="preserve"> </w:t>
      </w:r>
      <w:r>
        <w:rPr>
          <w:rFonts w:hint="eastAsia" w:ascii="方正黑体_GBK" w:hAnsi="方正黑体_GBK" w:eastAsia="方正黑体_GBK" w:cs="方正黑体_GBK"/>
          <w:b/>
          <w:color w:val="ff0000"/>
          <w:sz w:val="28"/>
          <w:szCs w:val="28"/>
          <w:highlight w:val="none"/>
        </w:rPr>
      </w:r>
      <w:r/>
    </w:p>
    <w:p>
      <w:pPr>
        <w:pStyle w:val="939"/>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39"/>
        <w:jc w:val="center"/>
        <w:rPr>
          <w:rFonts w:hint="eastAsia"/>
          <w:b/>
          <w:color w:val="ff0000"/>
          <w:sz w:val="28"/>
          <w:szCs w:val="28"/>
          <w:highlight w:val="none"/>
        </w:rPr>
      </w:pPr>
      <w:r>
        <w:rPr>
          <w:rFonts w:hint="eastAsia"/>
          <w:b/>
          <w:color w:val="ff0000"/>
          <w:sz w:val="28"/>
          <w:szCs w:val="28"/>
          <w:highlight w:val="none"/>
        </w:rPr>
      </w:r>
      <w:r/>
    </w:p>
    <w:p>
      <w:pPr>
        <w:pStyle w:val="939"/>
        <w:jc w:val="center"/>
        <w:rPr>
          <w:rFonts w:hint="eastAsia"/>
          <w:b/>
          <w:color w:val="ff0000"/>
          <w:sz w:val="28"/>
          <w:szCs w:val="28"/>
          <w:highlight w:val="none"/>
        </w:rPr>
      </w:pPr>
      <w:r>
        <w:rPr>
          <w:rFonts w:hint="eastAsia"/>
          <w:b/>
          <w:color w:val="ff0000"/>
          <w:sz w:val="28"/>
          <w:szCs w:val="28"/>
          <w:highlight w:val="none"/>
        </w:rPr>
      </w:r>
      <w:r/>
    </w:p>
    <w:p>
      <w:pPr>
        <w:pStyle w:val="1026"/>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6"/>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6"/>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6"/>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6"/>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6"/>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1026"/>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39"/>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39"/>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2026年10月</w:t>
      </w:r>
      <w:r>
        <w:rPr>
          <w:rFonts w:hint="eastAsia" w:ascii="方正黑体_GBK" w:hAnsi="方正黑体_GBK" w:eastAsia="方正黑体_GBK" w:cs="方正黑体_GBK"/>
          <w:color w:val="000000"/>
          <w:sz w:val="28"/>
          <w:szCs w:val="28"/>
          <w:highlight w:val="none"/>
        </w:rPr>
      </w:r>
      <w:r/>
    </w:p>
    <w:p>
      <w:pPr>
        <w:pStyle w:val="1026"/>
        <w:ind w:firstLine="0"/>
        <w:rPr>
          <w:rFonts w:hint="eastAsia"/>
          <w:highlight w:val="none"/>
          <w:u w:val="single"/>
        </w:rPr>
      </w:pPr>
      <w:r>
        <w:rPr>
          <w:rFonts w:hint="eastAsia"/>
          <w:highlight w:val="none"/>
        </w:rPr>
        <w:t xml:space="preserve">                        </w:t>
      </w:r>
      <w:r>
        <w:rPr>
          <w:rFonts w:hint="eastAsia"/>
          <w:highlight w:val="none"/>
          <w:u w:val="single"/>
        </w:rPr>
      </w:r>
      <w:r/>
    </w:p>
    <w:p>
      <w:pPr>
        <w:pStyle w:val="1026"/>
        <w:ind w:firstLine="0"/>
        <w:jc w:val="center"/>
        <w:rPr>
          <w:rFonts w:hint="eastAsia"/>
          <w:highlight w:val="none"/>
        </w:rPr>
      </w:pPr>
      <w:r>
        <w:rPr>
          <w:rFonts w:hint="eastAsia"/>
          <w:highlight w:val="none"/>
        </w:rPr>
      </w:r>
      <w:r/>
    </w:p>
    <w:p>
      <w:pPr>
        <w:pStyle w:val="939"/>
        <w:jc w:val="center"/>
        <w:spacing w:line="400" w:lineRule="exact"/>
        <w:rPr>
          <w:rFonts w:hint="eastAsia" w:ascii="方正黑体_GBK" w:hAnsi="方正黑体_GBK" w:eastAsia="方正黑体_GBK" w:cs="方正黑体_GBK"/>
          <w:b/>
          <w:color w:val="000000"/>
          <w:sz w:val="36"/>
          <w:szCs w:val="36"/>
          <w:highlight w:val="none"/>
        </w:rPr>
        <w:outlineLvl w:val="0"/>
      </w:pPr>
      <w:r>
        <w:rPr>
          <w:highlight w:val="none"/>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方正黑体_GBK" w:hAnsi="方正黑体_GBK" w:eastAsia="方正黑体_GBK" w:cs="方正黑体_GBK"/>
          <w:b/>
          <w:color w:val="000000"/>
          <w:sz w:val="36"/>
          <w:szCs w:val="36"/>
          <w:highlight w:val="none"/>
        </w:rPr>
        <w:t xml:space="preserve"> </w:t>
      </w:r>
      <w:r>
        <w:rPr>
          <w:rFonts w:hint="eastAsia" w:ascii="方正黑体_GBK" w:hAnsi="方正黑体_GBK" w:eastAsia="方正黑体_GBK" w:cs="方正黑体_GBK"/>
          <w:b/>
          <w:color w:val="000000"/>
          <w:sz w:val="36"/>
          <w:szCs w:val="36"/>
          <w:highlight w:val="none"/>
        </w:rPr>
      </w:r>
      <w:r/>
    </w:p>
    <w:p>
      <w:pPr>
        <w:pStyle w:val="939"/>
        <w:jc w:val="center"/>
        <w:spacing w:line="400" w:lineRule="exact"/>
        <w:rPr>
          <w:rFonts w:hint="eastAsia" w:ascii="黑体" w:hAnsi="Arial" w:eastAsia="黑体"/>
          <w:b/>
          <w:sz w:val="36"/>
          <w:szCs w:val="36"/>
          <w:highlight w:val="none"/>
        </w:rPr>
        <w:outlineLvl w:val="0"/>
      </w:pPr>
      <w:r>
        <w:rPr>
          <w:rFonts w:hint="eastAsia" w:ascii="方正黑体_GBK" w:hAnsi="方正黑体_GBK" w:eastAsia="方正黑体_GBK" w:cs="方正黑体_GBK"/>
          <w:bCs/>
          <w:color w:val="000000"/>
          <w:sz w:val="36"/>
          <w:szCs w:val="36"/>
          <w:highlight w:val="none"/>
        </w:rPr>
        <w:t xml:space="preserve">总  目  录</w:t>
      </w:r>
      <w:r>
        <w:rPr>
          <w:rFonts w:hint="eastAsia" w:ascii="黑体" w:hAnsi="Arial" w:eastAsia="黑体"/>
          <w:b/>
          <w:sz w:val="36"/>
          <w:szCs w:val="36"/>
          <w:highlight w:val="none"/>
        </w:rPr>
      </w:r>
      <w:r/>
    </w:p>
    <w:p>
      <w:pPr>
        <w:pStyle w:val="939"/>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39"/>
        <w:jc w:val="left"/>
        <w:spacing w:line="360" w:lineRule="auto"/>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第一章 投标邀请……………………………………</w:t>
      </w:r>
      <w:r>
        <w:rPr>
          <w:rFonts w:hint="eastAsia" w:ascii="方正黑体_GBK" w:hAnsi="方正黑体_GBK" w:eastAsia="方正黑体_GBK" w:cs="方正黑体_GBK"/>
          <w:color w:val="000000"/>
          <w:sz w:val="28"/>
          <w:szCs w:val="28"/>
          <w:highlight w:val="none"/>
          <w:lang w:val="en-US" w:eastAsia="zh-CN"/>
        </w:rPr>
        <w:t xml:space="preserve">3</w:t>
      </w:r>
      <w:r>
        <w:rPr>
          <w:rFonts w:hint="eastAsia" w:ascii="方正黑体_GBK" w:hAnsi="方正黑体_GBK" w:eastAsia="方正黑体_GBK" w:cs="方正黑体_GBK"/>
          <w:color w:val="000000"/>
          <w:sz w:val="28"/>
          <w:szCs w:val="28"/>
          <w:highlight w:val="none"/>
          <w:lang w:val="en-US" w:eastAsia="zh-CN"/>
        </w:rPr>
      </w:r>
      <w:r/>
    </w:p>
    <w:p>
      <w:pPr>
        <w:pStyle w:val="939"/>
        <w:jc w:val="left"/>
        <w:spacing w:line="360" w:lineRule="auto"/>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lang w:val="en-US" w:eastAsia="zh-CN"/>
        </w:rPr>
        <w:t xml:space="preserve">6</w:t>
      </w:r>
      <w:r>
        <w:rPr>
          <w:rFonts w:hint="eastAsia" w:ascii="方正黑体_GBK" w:hAnsi="方正黑体_GBK" w:eastAsia="方正黑体_GBK" w:cs="方正黑体_GBK"/>
          <w:color w:val="000000"/>
          <w:sz w:val="28"/>
          <w:szCs w:val="28"/>
          <w:highlight w:val="none"/>
          <w:lang w:val="en-US" w:eastAsia="zh-CN"/>
        </w:rPr>
      </w:r>
      <w:r/>
    </w:p>
    <w:p>
      <w:pPr>
        <w:pStyle w:val="939"/>
        <w:jc w:val="left"/>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第三章 合同文本……………………………………</w:t>
      </w:r>
      <w:r>
        <w:rPr>
          <w:rFonts w:hint="eastAsia" w:ascii="方正黑体_GBK" w:hAnsi="方正黑体_GBK" w:eastAsia="方正黑体_GBK" w:cs="方正黑体_GBK"/>
          <w:color w:val="000000"/>
          <w:sz w:val="28"/>
          <w:szCs w:val="28"/>
          <w:highlight w:val="none"/>
          <w:lang w:val="en-US" w:eastAsia="zh-CN"/>
        </w:rPr>
        <w:t xml:space="preserve">18</w:t>
      </w:r>
      <w:r>
        <w:rPr>
          <w:rFonts w:ascii="方正黑体_GBK" w:hAnsi="方正黑体_GBK" w:eastAsia="方正黑体_GBK" w:cs="方正黑体_GBK"/>
          <w:color w:val="000000"/>
          <w:sz w:val="28"/>
          <w:szCs w:val="28"/>
          <w:highlight w:val="none"/>
          <w:lang w:val="en-US" w:eastAsia="zh-CN"/>
        </w:rPr>
      </w:r>
      <w:r/>
    </w:p>
    <w:p>
      <w:pPr>
        <w:pStyle w:val="939"/>
        <w:jc w:val="left"/>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第四章 采购需求……………………………………</w:t>
      </w:r>
      <w:r>
        <w:rPr>
          <w:rFonts w:hint="eastAsia" w:ascii="方正黑体_GBK" w:hAnsi="方正黑体_GBK" w:eastAsia="方正黑体_GBK" w:cs="方正黑体_GBK"/>
          <w:color w:val="000000"/>
          <w:sz w:val="28"/>
          <w:szCs w:val="28"/>
          <w:highlight w:val="none"/>
          <w:lang w:val="en-US" w:eastAsia="zh-CN"/>
        </w:rPr>
        <w:t xml:space="preserve">22</w:t>
      </w:r>
      <w:r>
        <w:rPr>
          <w:rFonts w:ascii="方正黑体_GBK" w:hAnsi="方正黑体_GBK" w:eastAsia="方正黑体_GBK" w:cs="方正黑体_GBK"/>
          <w:color w:val="000000"/>
          <w:sz w:val="28"/>
          <w:szCs w:val="28"/>
          <w:highlight w:val="none"/>
          <w:lang w:val="en-US" w:eastAsia="zh-CN"/>
        </w:rPr>
      </w:r>
      <w:r/>
    </w:p>
    <w:p>
      <w:pPr>
        <w:pStyle w:val="939"/>
        <w:jc w:val="left"/>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第五章 评标方法与评标标准………………………</w:t>
      </w:r>
      <w:r>
        <w:rPr>
          <w:rFonts w:hint="eastAsia" w:ascii="方正黑体_GBK" w:hAnsi="方正黑体_GBK" w:eastAsia="方正黑体_GBK" w:cs="方正黑体_GBK"/>
          <w:color w:val="000000"/>
          <w:sz w:val="28"/>
          <w:szCs w:val="28"/>
          <w:highlight w:val="none"/>
          <w:lang w:val="en-US" w:eastAsia="zh-CN"/>
        </w:rPr>
        <w:t xml:space="preserve">43</w:t>
      </w:r>
      <w:r>
        <w:rPr>
          <w:rFonts w:ascii="方正黑体_GBK" w:hAnsi="方正黑体_GBK" w:eastAsia="方正黑体_GBK" w:cs="方正黑体_GBK"/>
          <w:color w:val="000000"/>
          <w:sz w:val="28"/>
          <w:szCs w:val="28"/>
          <w:highlight w:val="none"/>
          <w:lang w:val="en-US" w:eastAsia="zh-CN"/>
        </w:rPr>
      </w:r>
      <w:r/>
    </w:p>
    <w:p>
      <w:pPr>
        <w:pStyle w:val="939"/>
        <w:jc w:val="left"/>
        <w:spacing w:line="360" w:lineRule="auto"/>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第六章 投标文件格式………………………………</w:t>
      </w:r>
      <w:r>
        <w:rPr>
          <w:rFonts w:hint="eastAsia" w:ascii="方正黑体_GBK" w:hAnsi="方正黑体_GBK" w:eastAsia="方正黑体_GBK" w:cs="方正黑体_GBK"/>
          <w:color w:val="000000"/>
          <w:sz w:val="28"/>
          <w:szCs w:val="28"/>
          <w:highlight w:val="none"/>
          <w:lang w:val="en-US" w:eastAsia="zh-CN"/>
        </w:rPr>
        <w:t xml:space="preserve">50</w:t>
      </w:r>
      <w:r>
        <w:rPr>
          <w:rFonts w:ascii="方正黑体_GBK" w:hAnsi="方正黑体_GBK" w:eastAsia="方正黑体_GBK" w:cs="方正黑体_GBK"/>
          <w:color w:val="000000"/>
          <w:sz w:val="28"/>
          <w:szCs w:val="28"/>
          <w:highlight w:val="none"/>
          <w:lang w:val="en-US" w:eastAsia="zh-CN"/>
        </w:rPr>
      </w:r>
      <w:r/>
    </w:p>
    <w:p>
      <w:pPr>
        <w:pStyle w:val="939"/>
        <w:spacing w:line="360" w:lineRule="auto"/>
        <w:rPr>
          <w:rFonts w:hint="eastAsia"/>
          <w:highlight w:val="none"/>
        </w:rPr>
      </w:pPr>
      <w:r>
        <w:rPr>
          <w:rFonts w:hint="eastAsia"/>
          <w:highlight w:val="none"/>
        </w:rPr>
      </w:r>
      <w:r/>
    </w:p>
    <w:p>
      <w:pPr>
        <w:pStyle w:val="939"/>
        <w:spacing w:line="360" w:lineRule="auto"/>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pStyle w:val="939"/>
        <w:rPr>
          <w:rFonts w:hint="eastAsia"/>
          <w:highlight w:val="none"/>
        </w:rPr>
      </w:pPr>
      <w:r>
        <w:rPr>
          <w:rFonts w:hint="eastAsia"/>
          <w:highlight w:val="none"/>
        </w:rPr>
      </w:r>
      <w:r/>
    </w:p>
    <w:p>
      <w:pPr>
        <w:shd w:val="nil" w:color="auto"/>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39"/>
        <w:jc w:val="center"/>
        <w:keepNext/>
        <w:spacing w:line="40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t xml:space="preserve">第一章  </w:t>
      </w:r>
      <w:bookmarkEnd w:id="0"/>
      <w:r>
        <w:rPr>
          <w:rFonts w:hint="eastAsia" w:ascii="方正黑体_GBK" w:hAnsi="方正黑体_GBK" w:eastAsia="方正黑体_GBK" w:cs="方正黑体_GBK"/>
          <w:color w:val="000000"/>
          <w:sz w:val="32"/>
          <w:szCs w:val="32"/>
          <w:highlight w:val="none"/>
        </w:rPr>
        <w:t xml:space="preserve">投标邀请</w:t>
      </w:r>
      <w:r>
        <w:rPr>
          <w:rFonts w:hint="eastAsia" w:ascii="方正黑体_GBK" w:hAnsi="方正黑体_GBK" w:eastAsia="方正黑体_GBK" w:cs="方正黑体_GBK"/>
          <w:color w:val="000000"/>
          <w:sz w:val="32"/>
          <w:szCs w:val="32"/>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受江苏省财政厅财政信息管理中心的委托，江苏省政府采购中心就江苏省政府采购管理交易平台升级改造（采购编号：JSZC-320000-SCZX-G2026-0440）项目进行公开招标采购，欢迎符合条件的供应商投标。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rFonts w:hint="eastAsia" w:ascii="方正仿宋_GBK" w:hAnsi="方正仿宋_GBK" w:eastAsia="方正仿宋_GBK" w:cs="方正仿宋_GBK"/>
          <w:sz w:val="28"/>
          <w:szCs w:val="28"/>
          <w:highlight w:val="none"/>
        </w:rPr>
      </w:r>
      <w:r/>
    </w:p>
    <w:p>
      <w:pPr>
        <w:pStyle w:val="939"/>
        <w:ind w:firstLine="560"/>
        <w:spacing w:line="440" w:lineRule="exact"/>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江苏省政府采购管理交易平台升级改造</w:t>
      </w:r>
      <w:r>
        <w:rPr>
          <w:rFonts w:hint="eastAsia" w:ascii="方正仿宋_GBK" w:hAnsi="方正仿宋_GBK" w:eastAsia="方正仿宋_GBK" w:cs="方正仿宋_GBK"/>
          <w:sz w:val="28"/>
          <w:szCs w:val="28"/>
          <w:highlight w:val="none"/>
        </w:rPr>
        <w:t xml:space="preserve"> 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sz w:val="28"/>
          <w:szCs w:val="28"/>
          <w:highlight w:val="none"/>
        </w:rPr>
        <w:t xml:space="preserve">分（北京时间）前递交投标文件</w:t>
      </w:r>
      <w:r>
        <w:rPr>
          <w:rFonts w:hint="eastAsia" w:ascii="方正仿宋_GBK" w:hAnsi="方正仿宋_GBK" w:eastAsia="方正仿宋_GBK" w:cs="方正仿宋_GBK"/>
          <w:sz w:val="28"/>
          <w:szCs w:val="28"/>
          <w:highlight w:val="none"/>
        </w:rPr>
        <w:t xml:space="preserve">。</w:t>
      </w:r>
      <w:r>
        <w:rPr>
          <w:rFonts w:ascii="宋体" w:hAnsi="宋体"/>
          <w:sz w:val="28"/>
          <w:szCs w:val="28"/>
          <w:highlight w:val="none"/>
        </w:rPr>
      </w:r>
      <w:r/>
    </w:p>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：JSZC-320000-SCZX-G2026-0440  </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江苏省政府采购管理交易平台升级改造</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7467"/>
      </w:tblGrid>
      <w:tr>
        <w:trPr/>
        <w:tc>
          <w:tcPr>
            <w:tcW w:w="1653"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7467"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预算金额（人民币：万元）</w:t>
            </w:r>
            <w:r>
              <w:rPr>
                <w:rFonts w:hint="eastAsia" w:ascii="方正仿宋_GBK" w:hAnsi="方正仿宋_GBK" w:eastAsia="方正仿宋_GBK" w:cs="方正仿宋_GBK"/>
                <w:sz w:val="28"/>
                <w:szCs w:val="28"/>
                <w:highlight w:val="none"/>
              </w:rPr>
            </w:r>
            <w:r/>
          </w:p>
        </w:tc>
      </w:tr>
      <w:tr>
        <w:trPr/>
        <w:tc>
          <w:tcPr>
            <w:tcW w:w="1653"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467"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54.66</w:t>
            </w:r>
            <w:r>
              <w:rPr>
                <w:rFonts w:hint="eastAsia" w:ascii="方正仿宋_GBK" w:hAnsi="方正仿宋_GBK" w:eastAsia="方正仿宋_GBK" w:cs="方正仿宋_GBK"/>
                <w:sz w:val="28"/>
                <w:szCs w:val="28"/>
                <w:highlight w:val="none"/>
              </w:rPr>
            </w:r>
            <w:r/>
          </w:p>
        </w:tc>
      </w:tr>
    </w:tbl>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7426"/>
      </w:tblGrid>
      <w:tr>
        <w:trPr/>
        <w:tc>
          <w:tcPr>
            <w:tcW w:w="1709"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7426"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最高限价（人民币：万元）</w:t>
            </w:r>
            <w:r>
              <w:rPr>
                <w:rFonts w:hint="eastAsia" w:ascii="方正仿宋_GBK" w:hAnsi="方正仿宋_GBK" w:eastAsia="方正仿宋_GBK" w:cs="方正仿宋_GBK"/>
                <w:sz w:val="28"/>
                <w:szCs w:val="28"/>
                <w:highlight w:val="none"/>
              </w:rPr>
            </w:r>
            <w:r/>
          </w:p>
        </w:tc>
      </w:tr>
      <w:tr>
        <w:trPr/>
        <w:tc>
          <w:tcPr>
            <w:tcW w:w="1709"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426"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54.66</w:t>
            </w:r>
            <w:r>
              <w:rPr>
                <w:rFonts w:hint="eastAsia" w:ascii="方正仿宋_GBK" w:hAnsi="方正仿宋_GBK" w:eastAsia="方正仿宋_GBK" w:cs="方正仿宋_GBK"/>
                <w:sz w:val="28"/>
                <w:szCs w:val="28"/>
                <w:highlight w:val="none"/>
              </w:rPr>
            </w:r>
            <w:r/>
          </w:p>
        </w:tc>
      </w:tr>
    </w:tbl>
    <w:p>
      <w:pPr>
        <w:pStyle w:val="939"/>
        <w:ind w:firstLine="560"/>
        <w:spacing w:line="440" w:lineRule="exact"/>
        <w:rPr>
          <w:rFonts w:hint="eastAsia" w:ascii="方正仿宋_GBK" w:hAnsi="方正仿宋_GBK" w:eastAsia="方正仿宋_GBK" w:cs="方正仿宋_GBK"/>
          <w:sz w:val="28"/>
          <w:szCs w:val="28"/>
          <w:highlight w:val="none"/>
          <w:u w:val="single"/>
        </w:rPr>
      </w:pPr>
      <w:r/>
      <w:bookmarkStart w:id="12" w:name="_Toc28359080"/>
      <w:r/>
      <w:bookmarkStart w:id="13" w:name="_Toc35393791"/>
      <w:r/>
      <w:bookmarkStart w:id="14" w:name="_Toc35393622"/>
      <w:r/>
      <w:bookmarkStart w:id="15" w:name="_Toc28359003"/>
      <w:r/>
      <w:bookmarkStart w:id="16" w:name="_Toc38985264"/>
      <w:r>
        <w:rPr>
          <w:rFonts w:hint="eastAsia" w:ascii="方正仿宋_GBK" w:hAnsi="方正仿宋_GBK" w:eastAsia="方正仿宋_GBK" w:cs="方正仿宋_GBK"/>
          <w:sz w:val="28"/>
          <w:szCs w:val="28"/>
          <w:highlight w:val="none"/>
        </w:rPr>
        <w:t xml:space="preserve">5.采购需求（简介）：</w:t>
      </w:r>
      <w:r>
        <w:rPr>
          <w:rFonts w:hint="eastAsia" w:eastAsia="方正仿宋_GBK"/>
          <w:color w:val="000000"/>
          <w:sz w:val="28"/>
          <w:szCs w:val="28"/>
          <w:highlight w:val="none"/>
        </w:rPr>
        <w:t xml:space="preserve">为深入推进政府采购数字化转型，精准落实各项采购政策，持续强化全流程监管能力，江苏省财政厅对江苏省政府采购管理交易平台开展流程优化改造与功能升级。本次升级主要涵盖如下重点内容：采购文件标准化功能升级、进口产品备案功能改造、新增本国产品标准实施功能、新增异常低价审查功能、新增合同支付计划调整功能，以及新增暗标评审功能、供应商增加子账号管理体系等功能建设。</w:t>
      </w:r>
      <w:r>
        <w:rPr>
          <w:rFonts w:hint="eastAsia" w:ascii="方正仿宋_GBK" w:hAnsi="方正仿宋_GBK" w:eastAsia="方正仿宋_GBK" w:cs="方正仿宋_GBK"/>
          <w:sz w:val="28"/>
          <w:szCs w:val="28"/>
          <w:highlight w:val="none"/>
          <w:u w:val="single"/>
        </w:rPr>
      </w:r>
      <w:r/>
    </w:p>
    <w:p>
      <w:pPr>
        <w:pStyle w:val="939"/>
        <w:ind w:firstLine="560"/>
        <w:spacing w:line="440" w:lineRule="exact"/>
        <w:rPr>
          <w:rFonts w:hint="eastAsia" w:eastAsia="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eastAsia="方正仿宋_GBK"/>
          <w:color w:val="000000"/>
          <w:sz w:val="28"/>
          <w:szCs w:val="28"/>
          <w:highlight w:val="none"/>
        </w:rPr>
        <w:t xml:space="preserve">项目建设周期，合同签订后两个月内完成系统上线运行。项目建设期内完成全部建设内容的开发、部署、测试、实施、上线、培训等工作。完成系统上线并通过项目验收后，提供一年运维</w:t>
      </w:r>
      <w:r>
        <w:rPr>
          <w:rFonts w:hint="eastAsia" w:eastAsia="方正仿宋_GBK"/>
          <w:color w:val="000000"/>
          <w:sz w:val="28"/>
          <w:szCs w:val="28"/>
          <w:highlight w:val="none"/>
          <w:lang w:val="en-US" w:eastAsia="zh-CN"/>
        </w:rPr>
        <w:t xml:space="preserve">和</w:t>
      </w:r>
      <w:r>
        <w:rPr>
          <w:rFonts w:hint="eastAsia" w:eastAsia="方正仿宋_GBK"/>
          <w:color w:val="000000"/>
          <w:sz w:val="28"/>
          <w:szCs w:val="28"/>
          <w:highlight w:val="none"/>
          <w:lang w:val="en-US" w:eastAsia="zh-CN"/>
        </w:rPr>
        <w:t xml:space="preserve">两年</w:t>
      </w:r>
      <w:r>
        <w:rPr>
          <w:rFonts w:hint="eastAsia" w:eastAsia="方正仿宋_GBK"/>
          <w:color w:val="000000"/>
          <w:sz w:val="28"/>
          <w:szCs w:val="28"/>
          <w:highlight w:val="none"/>
          <w:lang w:val="en-US" w:eastAsia="zh-CN"/>
        </w:rPr>
        <w:t xml:space="preserve">质保</w:t>
      </w:r>
      <w:r>
        <w:rPr>
          <w:rFonts w:hint="eastAsia" w:eastAsia="方正仿宋_GBK"/>
          <w:color w:val="000000"/>
          <w:sz w:val="28"/>
          <w:szCs w:val="28"/>
          <w:highlight w:val="none"/>
        </w:rPr>
        <w:t xml:space="preserve">。</w:t>
      </w:r>
      <w:r>
        <w:rPr>
          <w:rFonts w:hint="eastAsia" w:eastAsia="方正仿宋_GBK"/>
          <w:color w:val="000000"/>
          <w:sz w:val="28"/>
          <w:szCs w:val="28"/>
          <w:highlight w:val="none"/>
          <w:u w:val="single"/>
        </w:rPr>
      </w:r>
      <w:r/>
    </w:p>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楷体_GBK" w:hAnsi="方正楷体_GBK" w:eastAsia="方正楷体_GBK" w:cs="方正楷体_GBK"/>
          <w:color w:val="000000"/>
          <w:sz w:val="28"/>
          <w:szCs w:val="28"/>
          <w:highlight w:val="none"/>
        </w:rPr>
      </w:pPr>
      <w:r/>
      <w:bookmarkStart w:id="17" w:name="_Toc38985265"/>
      <w:r/>
      <w:bookmarkStart w:id="18" w:name="_Toc35393623"/>
      <w:r/>
      <w:bookmarkStart w:id="19" w:name="_Toc28359004"/>
      <w:r/>
      <w:bookmarkStart w:id="20" w:name="_Toc35393792"/>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4"/>
        <w:gridCol w:w="2968"/>
        <w:gridCol w:w="4423"/>
      </w:tblGrid>
      <w:tr>
        <w:trPr/>
        <w:tc>
          <w:tcPr>
            <w:tcW w:w="1684"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968"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4423"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684"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4423"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39"/>
        <w:ind w:firstLine="560"/>
        <w:spacing w:line="44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9"/>
        <w:gridCol w:w="7391"/>
      </w:tblGrid>
      <w:tr>
        <w:trPr/>
        <w:tc>
          <w:tcPr>
            <w:tcW w:w="1669"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7391"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669"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391"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无</w:t>
            </w:r>
            <w:r>
              <w:rPr>
                <w:rFonts w:hint="eastAsia" w:ascii="方正仿宋_GBK" w:hAnsi="方正仿宋_GBK" w:eastAsia="方正仿宋_GBK" w:cs="方正仿宋_GBK"/>
                <w:sz w:val="28"/>
                <w:szCs w:val="28"/>
                <w:highlight w:val="none"/>
              </w:rPr>
            </w:r>
            <w:r/>
          </w:p>
        </w:tc>
      </w:tr>
    </w:tbl>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84"/>
      <w:r/>
      <w:bookmarkStart w:id="23" w:name="_Toc38985267"/>
      <w:r/>
      <w:bookmarkStart w:id="24" w:name="_Toc35393794"/>
      <w:r/>
      <w:bookmarkStart w:id="25" w:name="_Toc35393625"/>
      <w:r/>
      <w:bookmarkStart w:id="26" w:name="_Toc28359007"/>
      <w:r/>
      <w:bookmarkStart w:id="27" w:name="_Toc38985266"/>
      <w:r/>
      <w:bookmarkStart w:id="28" w:name="_Toc35393624"/>
      <w:r/>
      <w:bookmarkStart w:id="29" w:name="_Toc28359082"/>
      <w:r/>
      <w:bookmarkStart w:id="30" w:name="_Toc28359005"/>
      <w:r/>
      <w:bookmarkStart w:id="31" w:name="_Toc35393793"/>
      <w:r>
        <w:rPr>
          <w:rFonts w:hint="eastAsia" w:ascii="方正黑体_GBK" w:hAnsi="方正黑体_GBK" w:eastAsia="方正黑体_GBK" w:cs="方正黑体_GBK"/>
          <w:color w:val="000000"/>
          <w:sz w:val="28"/>
          <w:szCs w:val="28"/>
          <w:highlight w:val="none"/>
        </w:rPr>
        <w:t xml:space="preserve">四、提交投标文件</w:t>
      </w:r>
      <w:bookmarkEnd w:id="29"/>
      <w:r/>
      <w:bookmarkEnd w:id="30"/>
      <w:r>
        <w:rPr>
          <w:rFonts w:hint="eastAsia" w:ascii="方正黑体_GBK" w:hAnsi="方正黑体_GBK" w:eastAsia="方正黑体_GBK" w:cs="方正黑体_GBK"/>
          <w:color w:val="000000"/>
          <w:sz w:val="28"/>
          <w:szCs w:val="28"/>
          <w:highlight w:val="none"/>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ascii="宋体" w:hAnsi="宋体"/>
          <w:bCs/>
          <w:color w:val="000000"/>
          <w:sz w:val="28"/>
          <w:szCs w:val="28"/>
          <w:highlight w:val="none"/>
          <w:u w:val="singl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highlight w:val="none"/>
        </w:rPr>
        <w:t xml:space="preserve">五、公告期限</w:t>
      </w:r>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32"/>
      <w:r/>
      <w:bookmarkEnd w:id="33"/>
      <w:r/>
      <w:bookmarkEnd w:id="34"/>
      <w:r/>
      <w:bookmarkStart w:id="35" w:name="_Toc38985269"/>
      <w:r/>
      <w:bookmarkStart w:id="36" w:name="_Toc35393796"/>
      <w:r/>
      <w:bookmarkStart w:id="37" w:name="_Toc35393627"/>
      <w:r/>
      <w:bookmarkStart w:id="38" w:name="_Toc28359008"/>
      <w:r/>
      <w:bookmarkStart w:id="39" w:name="_Toc28359085"/>
      <w:r>
        <w:rPr>
          <w:rFonts w:hint="eastAsia" w:ascii="方正黑体_GBK" w:hAnsi="方正黑体_GBK" w:eastAsia="方正黑体_GBK" w:cs="方正黑体_GBK"/>
          <w:color w:val="000000"/>
          <w:sz w:val="28"/>
          <w:szCs w:val="28"/>
          <w:highlight w:val="none"/>
        </w:rPr>
        <w:t xml:space="preserve">六、其他补充事宜</w:t>
      </w:r>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rPr>
      </w:r>
      <w:r/>
    </w:p>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t xml:space="preserve">七、本次招标联系方式</w:t>
      </w:r>
      <w:r>
        <w:rPr>
          <w:rFonts w:hint="eastAsia" w:ascii="方正黑体_GBK" w:hAnsi="方正黑体_GBK" w:eastAsia="方正黑体_GBK" w:cs="方正黑体_GBK"/>
          <w:color w:val="000000"/>
          <w:sz w:val="28"/>
          <w:szCs w:val="28"/>
          <w:highlight w:val="none"/>
        </w:rPr>
      </w:r>
      <w:r/>
    </w:p>
    <w:p>
      <w:pPr>
        <w:pStyle w:val="939"/>
        <w:jc w:val="left"/>
        <w:spacing w:line="44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江苏省财政厅财政信息管理中心　</w:t>
      </w:r>
      <w:r>
        <w:rPr>
          <w:rFonts w:hint="eastAsia" w:ascii="方正仿宋_GBK" w:hAnsi="方正仿宋_GBK" w:eastAsia="方正仿宋_GBK" w:cs="方正仿宋_GBK"/>
          <w:color w:val="000000"/>
          <w:sz w:val="28"/>
          <w:szCs w:val="28"/>
          <w:highlight w:val="none"/>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南京市北京西路63号　</w:t>
      </w:r>
      <w:r>
        <w:rPr>
          <w:rFonts w:hint="eastAsia" w:ascii="方正仿宋_GBK" w:hAnsi="方正仿宋_GBK" w:eastAsia="方正仿宋_GBK" w:cs="方正仿宋_GBK"/>
          <w:color w:val="000000"/>
          <w:sz w:val="28"/>
          <w:szCs w:val="28"/>
          <w:highlight w:val="none"/>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殷曼曼  </w:t>
      </w:r>
      <w:r>
        <w:rPr>
          <w:rFonts w:hint="eastAsia" w:ascii="方正仿宋_GBK" w:hAnsi="方正仿宋_GBK" w:eastAsia="方正仿宋_GBK" w:cs="方正仿宋_GBK"/>
          <w:color w:val="000000"/>
          <w:sz w:val="28"/>
          <w:szCs w:val="28"/>
          <w:highlight w:val="none"/>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w:t>
      </w:r>
      <w:r>
        <w:rPr>
          <w:rFonts w:ascii="方正仿宋_GBK" w:hAnsi="方正仿宋_GBK" w:eastAsia="方正仿宋_GBK" w:cs="方正仿宋_GBK"/>
          <w:color w:val="000000"/>
          <w:sz w:val="28"/>
          <w:szCs w:val="28"/>
          <w:highlight w:val="none"/>
          <w:u w:val="single"/>
        </w:rPr>
        <w:t xml:space="preserve">25-83633288</w:t>
      </w:r>
      <w:r>
        <w:rPr>
          <w:rFonts w:hint="eastAsia" w:ascii="方正仿宋_GBK" w:hAnsi="方正仿宋_GBK" w:eastAsia="方正仿宋_GBK" w:cs="方正仿宋_GBK"/>
          <w:color w:val="000000"/>
          <w:sz w:val="28"/>
          <w:szCs w:val="28"/>
          <w:highlight w:val="none"/>
          <w:u w:val="single"/>
        </w:rPr>
        <w:t xml:space="preserve">　　 </w:t>
      </w:r>
      <w:bookmarkStart w:id="40" w:name="_Toc28359009"/>
      <w:r/>
      <w:bookmarkStart w:id="41" w:name="_Toc28359086"/>
      <w:r>
        <w:rPr>
          <w:rFonts w:hint="eastAsia" w:ascii="方正仿宋_GBK" w:hAnsi="方正仿宋_GBK" w:eastAsia="方正仿宋_GBK" w:cs="方正仿宋_GBK"/>
          <w:color w:val="000000"/>
          <w:sz w:val="28"/>
          <w:szCs w:val="28"/>
          <w:highlight w:val="none"/>
          <w:u w:val="single"/>
        </w:rPr>
      </w:r>
      <w:r/>
    </w:p>
    <w:p>
      <w:pPr>
        <w:pStyle w:val="939"/>
        <w:ind w:firstLine="560"/>
        <w:jc w:val="left"/>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39"/>
        <w:ind w:firstLine="560"/>
        <w:jc w:val="left"/>
        <w:keepNext/>
        <w:spacing w:line="440" w:lineRule="exact"/>
        <w:rPr>
          <w:rFonts w:hint="eastAsia" w:ascii="方正仿宋_GBK" w:hAnsi="方正仿宋_GBK" w:eastAsia="方正仿宋_GBK" w:cs="方正仿宋_GBK"/>
          <w:color w:val="000000"/>
          <w:sz w:val="28"/>
          <w:szCs w:val="28"/>
          <w:highlight w:val="none"/>
        </w:rPr>
        <w:outlineLvl w:val="0"/>
      </w:pPr>
      <w:r/>
      <w:bookmarkStart w:id="42" w:name="_Toc28359010"/>
      <w:r/>
      <w:bookmarkStart w:id="43" w:name="_Toc28359087"/>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南京市汉中门大街145号省政务服务中心二期3楼</w:t>
      </w:r>
      <w:r>
        <w:rPr>
          <w:rFonts w:hint="eastAsia" w:ascii="方正仿宋_GBK" w:hAnsi="方正仿宋_GBK" w:eastAsia="方正仿宋_GBK" w:cs="方正仿宋_GBK"/>
          <w:color w:val="000000"/>
          <w:sz w:val="28"/>
          <w:szCs w:val="28"/>
          <w:highlight w:val="none"/>
        </w:rPr>
      </w:r>
      <w:r/>
    </w:p>
    <w:p>
      <w:pPr>
        <w:pStyle w:val="939"/>
        <w:ind w:firstLine="560"/>
        <w:jc w:val="left"/>
        <w:keepNext/>
        <w:spacing w:line="44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highlight w:val="none"/>
        </w:rPr>
        <w:t xml:space="preserve">联系人： </w:t>
      </w:r>
      <w:r>
        <w:rPr>
          <w:rFonts w:hint="eastAsia" w:ascii="方正仿宋_GBK" w:hAnsi="方正仿宋_GBK" w:eastAsia="方正仿宋_GBK" w:cs="方正仿宋_GBK"/>
          <w:color w:val="000000"/>
          <w:sz w:val="28"/>
          <w:szCs w:val="28"/>
          <w:highlight w:val="none"/>
          <w:u w:val="single"/>
        </w:rPr>
        <w:t xml:space="preserve"> 陈瑜、严晓薇 </w:t>
      </w:r>
      <w:r>
        <w:rPr>
          <w:rFonts w:hint="eastAsia" w:ascii="方正仿宋_GBK" w:hAnsi="方正仿宋_GBK" w:eastAsia="方正仿宋_GBK" w:cs="方正仿宋_GBK"/>
          <w:color w:val="000000"/>
          <w:sz w:val="28"/>
          <w:szCs w:val="28"/>
          <w:highlight w:val="none"/>
        </w:rPr>
        <w:t xml:space="preserve"> </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025-83668552、83668537</w:t>
      </w:r>
      <w:r>
        <w:rPr>
          <w:rFonts w:hint="eastAsia" w:ascii="方正仿宋_GBK" w:hAnsi="方正仿宋_GBK" w:eastAsia="方正仿宋_GBK" w:cs="方正仿宋_GBK"/>
          <w:color w:val="000000"/>
          <w:sz w:val="28"/>
          <w:szCs w:val="28"/>
          <w:highlight w:val="none"/>
        </w:rPr>
      </w:r>
      <w:r/>
    </w:p>
    <w:p>
      <w:pPr>
        <w:pStyle w:val="939"/>
        <w:jc w:val="left"/>
        <w:keepNext/>
        <w:spacing w:line="44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939"/>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9"/>
        <w:ind w:right="839"/>
        <w:jc w:val="center"/>
        <w:spacing w:line="400" w:lineRule="exact"/>
        <w:rPr>
          <w:rFonts w:hint="eastAsia" w:ascii="宋体" w:hAnsi="宋体"/>
          <w:sz w:val="28"/>
          <w:szCs w:val="28"/>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32"/>
          <w:szCs w:val="32"/>
          <w:highlight w:val="none"/>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方正黑体_GBK" w:hAnsi="方正黑体_GBK" w:eastAsia="方正黑体_GBK" w:cs="方正黑体_GBK"/>
          <w:color w:val="000000"/>
          <w:sz w:val="32"/>
          <w:szCs w:val="32"/>
          <w:highlight w:val="none"/>
        </w:rPr>
        <w:t xml:space="preserve">投标人须知</w:t>
      </w:r>
      <w:bookmarkEnd w:id="45"/>
      <w:r/>
      <w:bookmarkEnd w:id="46"/>
      <w:r/>
      <w:bookmarkEnd w:id="47"/>
      <w:r/>
      <w:bookmarkEnd w:id="48"/>
      <w:r>
        <w:rPr>
          <w:rFonts w:hint="eastAsia" w:ascii="宋体" w:hAnsi="宋体"/>
          <w:sz w:val="28"/>
          <w:szCs w:val="28"/>
          <w:highlight w:val="none"/>
        </w:rPr>
      </w:r>
      <w:r/>
    </w:p>
    <w:p>
      <w:pPr>
        <w:pStyle w:val="939"/>
        <w:keepNext/>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1.招标方式</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2.合格的投标人</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3.适用法律和标准</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4.投标费用</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5.招标文件的约束力</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宋体" w:hAnsi="宋体"/>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rFonts w:hint="eastAsia" w:ascii="宋体" w:hAnsi="宋体"/>
          <w:sz w:val="28"/>
          <w:szCs w:val="28"/>
          <w:highlight w:val="none"/>
        </w:rPr>
      </w:r>
      <w:r/>
    </w:p>
    <w:p>
      <w:pPr>
        <w:pStyle w:val="939"/>
        <w:keepNext/>
        <w:spacing w:line="44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6.招标文件构成</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7.招标文件的修改</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sz w:val="28"/>
          <w:szCs w:val="28"/>
          <w:highlight w:val="none"/>
        </w:rPr>
      </w:r>
      <w:r/>
    </w:p>
    <w:p>
      <w:pPr>
        <w:pStyle w:val="939"/>
        <w:ind w:firstLine="560"/>
        <w:spacing w:line="44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highlight w:val="none"/>
        </w:rPr>
      </w:r>
      <w:r/>
    </w:p>
    <w:p>
      <w:pPr>
        <w:pStyle w:val="939"/>
        <w:keepNext/>
        <w:spacing w:line="440" w:lineRule="exact"/>
        <w:rPr>
          <w:rFonts w:hint="eastAsia" w:ascii="方正黑体_GBK" w:hAnsi="方正黑体_GBK" w:eastAsia="方正黑体_GBK" w:cs="方正黑体_GBK"/>
          <w:color w:val="000000"/>
          <w:sz w:val="28"/>
          <w:szCs w:val="28"/>
          <w:highlight w:val="none"/>
        </w:rPr>
        <w:outlineLvl w:val="0"/>
      </w:pPr>
      <w:r/>
      <w:bookmarkStart w:id="49" w:name="_Toc20823285"/>
      <w:r/>
      <w:bookmarkStart w:id="50" w:name="_Toc16938529"/>
      <w:r/>
      <w:bookmarkStart w:id="51" w:name="_Toc120614216"/>
      <w:r/>
      <w:bookmarkStart w:id="52" w:name="_Toc462564072"/>
      <w:r/>
      <w:bookmarkStart w:id="53" w:name="_Toc513029213"/>
      <w:r>
        <w:rPr>
          <w:rFonts w:hint="eastAsia" w:ascii="方正黑体_GBK" w:hAnsi="方正黑体_GBK" w:eastAsia="方正黑体_GBK" w:cs="方正黑体_GBK"/>
          <w:color w:val="000000"/>
          <w:sz w:val="28"/>
          <w:szCs w:val="28"/>
          <w:highlight w:val="none"/>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highlight w:val="none"/>
        </w:rPr>
      </w:r>
      <w:r/>
    </w:p>
    <w:p>
      <w:pPr>
        <w:pStyle w:val="943"/>
        <w:ind w:firstLine="560"/>
        <w:spacing w:before="0" w:after="0" w:line="440" w:lineRule="exact"/>
        <w:rPr>
          <w:rFonts w:hint="eastAsia" w:ascii="方正仿宋_GBK" w:hAnsi="方正仿宋_GBK" w:eastAsia="方正仿宋_GBK" w:cs="方正仿宋_GBK"/>
          <w:bCs w:val="0"/>
          <w:highlight w:val="none"/>
        </w:rPr>
      </w:pPr>
      <w:r/>
      <w:bookmarkStart w:id="54" w:name="_Toc462564073"/>
      <w:r/>
      <w:bookmarkStart w:id="55" w:name="_Toc20823286"/>
      <w:r/>
      <w:bookmarkStart w:id="56" w:name="_Toc16938530"/>
      <w:r/>
      <w:bookmarkStart w:id="57" w:name="_Toc513029214"/>
      <w:r>
        <w:rPr>
          <w:rFonts w:hint="eastAsia" w:ascii="方正仿宋_GBK" w:hAnsi="方正仿宋_GBK" w:eastAsia="方正仿宋_GBK" w:cs="方正仿宋_GBK"/>
          <w:b w:val="0"/>
          <w:bCs w:val="0"/>
          <w:highlight w:val="none"/>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bookmarkStart w:id="58" w:name="_Toc16938531"/>
      <w:r/>
      <w:bookmarkStart w:id="59" w:name="_Toc20823287"/>
      <w:r/>
      <w:bookmarkStart w:id="60" w:name="_Toc462564074"/>
      <w:r/>
      <w:bookmarkStart w:id="61" w:name="_Toc513029215"/>
      <w:r>
        <w:rPr>
          <w:rFonts w:hint="eastAsia" w:ascii="方正仿宋_GBK" w:hAnsi="方正仿宋_GBK" w:eastAsia="方正仿宋_GBK" w:cs="方正仿宋_GBK"/>
          <w:b w:val="0"/>
          <w:bCs w:val="0"/>
          <w:highlight w:val="none"/>
        </w:rPr>
        <w:t xml:space="preserve">9.投标文件构成</w:t>
      </w:r>
      <w:bookmarkEnd w:id="58"/>
      <w:r/>
      <w:bookmarkEnd w:id="59"/>
      <w:r/>
      <w:bookmarkEnd w:id="60"/>
      <w:r/>
      <w:bookmarkEnd w:id="61"/>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bookmarkStart w:id="62" w:name="_Hlt26668975"/>
      <w:r/>
      <w:bookmarkEnd w:id="62"/>
      <w:r/>
      <w:bookmarkStart w:id="63" w:name="_Hlt26670360"/>
      <w:r/>
      <w:bookmarkEnd w:id="63"/>
      <w:r/>
      <w:bookmarkStart w:id="64" w:name="_Hlt26954838"/>
      <w:r/>
      <w:bookmarkEnd w:id="64"/>
      <w:r/>
      <w:bookmarkStart w:id="65" w:name="_Toc14577357"/>
      <w:r/>
      <w:bookmarkStart w:id="66" w:name="_Toc49090509"/>
      <w:r/>
      <w:bookmarkStart w:id="67" w:name="_Toc513029219"/>
      <w:r/>
      <w:bookmarkStart w:id="68" w:name="_Toc14577354"/>
      <w:r/>
      <w:bookmarkStart w:id="69" w:name="_Toc513029216"/>
      <w:r/>
      <w:bookmarkStart w:id="70" w:name="_Toc49090507"/>
      <w:r>
        <w:rPr>
          <w:rFonts w:hint="eastAsia" w:ascii="方正仿宋_GBK" w:hAnsi="方正仿宋_GBK" w:eastAsia="方正仿宋_GBK" w:cs="方正仿宋_GBK"/>
          <w:b w:val="0"/>
          <w:bCs w:val="0"/>
          <w:highlight w:val="none"/>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11.投标分项报价</w:t>
      </w:r>
      <w:bookmarkEnd w:id="71"/>
      <w:r/>
      <w:bookmarkStart w:id="73" w:name="_Hlt26670373"/>
      <w:r/>
      <w:bookmarkEnd w:id="73"/>
      <w:r>
        <w:rPr>
          <w:rFonts w:hint="eastAsia" w:ascii="方正仿宋_GBK" w:hAnsi="方正仿宋_GBK" w:eastAsia="方正仿宋_GBK" w:cs="方正仿宋_GBK"/>
          <w:b w:val="0"/>
          <w:bCs w:val="0"/>
          <w:highlight w:val="none"/>
        </w:rPr>
        <w:t xml:space="preserve">表</w:t>
      </w:r>
      <w:bookmarkEnd w:id="72"/>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w:t>
      </w:r>
      <w:bookmarkStart w:id="74" w:name="_Hlt26954840"/>
      <w:r/>
      <w:bookmarkEnd w:id="74"/>
      <w:r>
        <w:rPr>
          <w:rFonts w:hint="eastAsia" w:ascii="方正仿宋_GBK" w:hAnsi="方正仿宋_GBK" w:eastAsia="方正仿宋_GBK" w:cs="方正仿宋_GBK"/>
          <w:sz w:val="28"/>
          <w:szCs w:val="28"/>
          <w:highlight w:val="none"/>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rPr>
          <w:rFonts w:hint="eastAsia" w:ascii="方正仿宋_GBK" w:hAnsi="方正仿宋_GBK" w:eastAsia="方正仿宋_GBK" w:cs="方正仿宋_GBK"/>
          <w:bCs/>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bookmarkStart w:id="76" w:name="_Hlt26954842"/>
      <w:r/>
      <w:bookmarkEnd w:id="76"/>
      <w:r/>
      <w:bookmarkStart w:id="77" w:name="_Hlt26954846"/>
      <w:r/>
      <w:bookmarkEnd w:id="77"/>
      <w:r/>
      <w:bookmarkStart w:id="78" w:name="_Hlt26668983"/>
      <w:r/>
      <w:bookmarkEnd w:id="78"/>
      <w:r/>
      <w:bookmarkStart w:id="79" w:name="_Hlt26670425"/>
      <w:r/>
      <w:bookmarkEnd w:id="79"/>
      <w:r/>
      <w:bookmarkStart w:id="80" w:name="_Hlt26670486"/>
      <w:r/>
      <w:bookmarkEnd w:id="80"/>
      <w:r/>
      <w:bookmarkStart w:id="81" w:name="_Hlt26670482"/>
      <w:r/>
      <w:bookmarkEnd w:id="81"/>
      <w:r/>
      <w:bookmarkStart w:id="82" w:name="_Hlt26954848"/>
      <w:r/>
      <w:bookmarkEnd w:id="82"/>
      <w:r/>
      <w:bookmarkStart w:id="83" w:name="_Hlt26954731"/>
      <w:r/>
      <w:bookmarkEnd w:id="83"/>
      <w:r/>
      <w:bookmarkStart w:id="84" w:name="_Hlt26954844"/>
      <w:r/>
      <w:bookmarkEnd w:id="84"/>
      <w:r/>
      <w:bookmarkStart w:id="85" w:name="_Hlt26670403"/>
      <w:r/>
      <w:bookmarkEnd w:id="85"/>
      <w:r>
        <w:rPr>
          <w:rFonts w:hint="eastAsia" w:ascii="方正仿宋_GBK" w:hAnsi="方正仿宋_GBK" w:eastAsia="方正仿宋_GBK" w:cs="方正仿宋_GBK"/>
          <w:b w:val="0"/>
          <w:bCs w:val="0"/>
          <w:highlight w:val="none"/>
        </w:rPr>
        <w:t xml:space="preserve">12.技术要求响应及偏离表、商务要求响应及偏离表</w:t>
      </w:r>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highlight w:val="none"/>
          <w:lang w:val="zh-CN"/>
        </w:rPr>
      </w:r>
      <w:r/>
    </w:p>
    <w:p>
      <w:pPr>
        <w:pStyle w:val="939"/>
        <w:ind w:firstLine="560"/>
        <w:spacing w:line="440" w:lineRule="exact"/>
        <w:rPr>
          <w:rFonts w:hint="eastAsia" w:ascii="方正仿宋_GBK" w:hAnsi="方正仿宋_GBK" w:eastAsia="方正仿宋_GBK" w:cs="方正仿宋_GBK"/>
          <w:sz w:val="28"/>
          <w:szCs w:val="28"/>
          <w:highlight w:val="none"/>
          <w:lang w:val="zh-CN"/>
        </w:rPr>
      </w:pPr>
      <w:r/>
      <w:bookmarkStart w:id="86" w:name="_Toc14577359"/>
      <w:r/>
      <w:bookmarkStart w:id="87" w:name="_Toc49090510"/>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highlight w:val="none"/>
          <w:lang w:val="zh-CN"/>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13.投标函和开标一览表</w:t>
      </w:r>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highlight w:val="none"/>
        </w:rPr>
        <w:t xml:space="preserve">14.投标有效期</w:t>
      </w:r>
      <w:bookmarkEnd w:id="91"/>
      <w:r/>
      <w:bookmarkEnd w:id="92"/>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rPr>
          <w:rFonts w:hint="eastAsia" w:ascii="方正仿宋_GBK" w:hAnsi="方正仿宋_GBK" w:eastAsia="方正仿宋_GBK" w:cs="方正仿宋_GBK"/>
          <w:bCs/>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15.投标有效期的延长</w:t>
      </w:r>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39"/>
        <w:keepNext/>
        <w:spacing w:line="440" w:lineRule="exact"/>
        <w:rPr>
          <w:rFonts w:hint="eastAsia" w:ascii="方正黑体_GBK" w:hAnsi="方正黑体_GBK" w:eastAsia="方正黑体_GBK" w:cs="方正黑体_GBK"/>
          <w:color w:val="000000"/>
          <w:sz w:val="28"/>
          <w:szCs w:val="28"/>
          <w:highlight w:val="none"/>
        </w:rPr>
        <w:outlineLvl w:val="0"/>
      </w:pPr>
      <w:r/>
      <w:bookmarkStart w:id="93" w:name="_Hlt26954852"/>
      <w:r/>
      <w:bookmarkEnd w:id="93"/>
      <w:r/>
      <w:bookmarkStart w:id="94" w:name="_Hlt26954739"/>
      <w:r/>
      <w:bookmarkEnd w:id="94"/>
      <w:r/>
      <w:bookmarkStart w:id="95" w:name="_Toc513029224"/>
      <w:r/>
      <w:bookmarkStart w:id="96" w:name="_Toc16938540"/>
      <w:r/>
      <w:bookmarkStart w:id="97" w:name="_Toc120614217"/>
      <w:r/>
      <w:bookmarkStart w:id="98" w:name="_Toc20823296"/>
      <w:r>
        <w:rPr>
          <w:rFonts w:hint="eastAsia" w:ascii="方正黑体_GBK" w:hAnsi="方正黑体_GBK" w:eastAsia="方正黑体_GBK" w:cs="方正黑体_GBK"/>
          <w:color w:val="000000"/>
          <w:sz w:val="28"/>
          <w:szCs w:val="28"/>
          <w:highlight w:val="none"/>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bookmarkStart w:id="99" w:name="_Toc16938541"/>
      <w:r/>
      <w:bookmarkStart w:id="100" w:name="_Toc513029225"/>
      <w:r/>
      <w:bookmarkStart w:id="101" w:name="_Toc462564084"/>
      <w:r/>
      <w:bookmarkStart w:id="102" w:name="_Toc20823297"/>
      <w:r>
        <w:rPr>
          <w:rFonts w:hint="eastAsia" w:ascii="方正仿宋_GBK" w:hAnsi="方正仿宋_GBK" w:eastAsia="方正仿宋_GBK" w:cs="方正仿宋_GBK"/>
          <w:b w:val="0"/>
          <w:bCs w:val="0"/>
          <w:highlight w:val="none"/>
        </w:rPr>
        <w:t xml:space="preserve">16.投标文件</w:t>
      </w:r>
      <w:bookmarkEnd w:id="99"/>
      <w:r/>
      <w:bookmarkEnd w:id="100"/>
      <w:r/>
      <w:bookmarkEnd w:id="101"/>
      <w:r/>
      <w:bookmarkEnd w:id="102"/>
      <w:r>
        <w:rPr>
          <w:rFonts w:hint="eastAsia" w:ascii="方正仿宋_GBK" w:hAnsi="方正仿宋_GBK" w:eastAsia="方正仿宋_GBK" w:cs="方正仿宋_GBK"/>
          <w:b w:val="0"/>
          <w:bCs w:val="0"/>
          <w:highlight w:val="none"/>
        </w:rPr>
        <w:t xml:space="preserve">的递交</w:t>
      </w:r>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rPr>
          <w:rFonts w:hint="eastAsia" w:ascii="方正仿宋_GBK" w:hAnsi="方正仿宋_GBK" w:eastAsia="方正仿宋_GBK" w:cs="方正仿宋_GBK"/>
          <w:bCs/>
          <w:sz w:val="28"/>
          <w:szCs w:val="28"/>
          <w:highlight w:val="none"/>
        </w:rPr>
      </w:r>
      <w:r/>
    </w:p>
    <w:p>
      <w:pPr>
        <w:pStyle w:val="1051"/>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bookmarkStart w:id="103" w:name="_Toc16938542"/>
      <w:r/>
      <w:bookmarkStart w:id="104" w:name="_Toc513029226"/>
      <w:r/>
      <w:bookmarkStart w:id="105" w:name="_Toc20823298"/>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17.投标截止</w:t>
      </w:r>
      <w:bookmarkEnd w:id="103"/>
      <w:r/>
      <w:bookmarkEnd w:id="104"/>
      <w:r/>
      <w:bookmarkEnd w:id="105"/>
      <w:r>
        <w:rPr>
          <w:rFonts w:hint="eastAsia" w:ascii="方正仿宋_GBK" w:hAnsi="方正仿宋_GBK" w:eastAsia="方正仿宋_GBK" w:cs="方正仿宋_GBK"/>
          <w:bCs/>
          <w:sz w:val="28"/>
          <w:szCs w:val="28"/>
          <w:highlight w:val="none"/>
        </w:rPr>
        <w:t xml:space="preserve">时间</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highlight w:val="none"/>
        </w:rPr>
        <w:t xml:space="preserve">18.投标文件</w:t>
      </w:r>
      <w:bookmarkEnd w:id="106"/>
      <w:r/>
      <w:bookmarkEnd w:id="107"/>
      <w:r/>
      <w:bookmarkEnd w:id="108"/>
      <w:r>
        <w:rPr>
          <w:rFonts w:hint="eastAsia" w:ascii="方正仿宋_GBK" w:hAnsi="方正仿宋_GBK" w:eastAsia="方正仿宋_GBK" w:cs="方正仿宋_GBK"/>
          <w:b w:val="0"/>
          <w:bCs w:val="0"/>
          <w:highlight w:val="none"/>
        </w:rPr>
        <w:t xml:space="preserve">的拒收</w:t>
      </w:r>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rPr>
          <w:rFonts w:hint="eastAsia" w:ascii="方正仿宋_GBK" w:hAnsi="方正仿宋_GBK" w:eastAsia="方正仿宋_GBK" w:cs="方正仿宋_GBK"/>
          <w:bCs/>
          <w:sz w:val="28"/>
          <w:szCs w:val="28"/>
          <w:highlight w:val="none"/>
        </w:rPr>
      </w:r>
      <w:r/>
    </w:p>
    <w:p>
      <w:pPr>
        <w:pStyle w:val="943"/>
        <w:ind w:firstLine="560"/>
        <w:spacing w:before="0" w:after="0" w:line="440" w:lineRule="exact"/>
        <w:rPr>
          <w:rFonts w:hint="eastAsia" w:ascii="方正仿宋_GBK" w:hAnsi="方正仿宋_GBK" w:eastAsia="方正仿宋_GBK" w:cs="方正仿宋_GBK"/>
          <w:b w:val="0"/>
          <w:bCs w:val="0"/>
          <w:highlight w:val="none"/>
        </w:rPr>
      </w:pPr>
      <w:r/>
      <w:bookmarkStart w:id="109" w:name="_Toc20823300"/>
      <w:r/>
      <w:bookmarkStart w:id="110" w:name="_Toc513029228"/>
      <w:r/>
      <w:bookmarkStart w:id="111" w:name="_Toc16938544"/>
      <w:r>
        <w:rPr>
          <w:rFonts w:hint="eastAsia" w:ascii="方正仿宋_GBK" w:hAnsi="方正仿宋_GBK" w:eastAsia="方正仿宋_GBK" w:cs="方正仿宋_GBK"/>
          <w:b w:val="0"/>
          <w:bCs w:val="0"/>
          <w:highlight w:val="none"/>
        </w:rPr>
        <w:t xml:space="preserve">19.投标文件的撤回和修改</w:t>
      </w:r>
      <w:bookmarkEnd w:id="109"/>
      <w:r/>
      <w:bookmarkEnd w:id="110"/>
      <w:r/>
      <w:bookmarkEnd w:id="111"/>
      <w:r>
        <w:rPr>
          <w:rFonts w:hint="eastAsia" w:ascii="方正仿宋_GBK" w:hAnsi="方正仿宋_GBK" w:eastAsia="方正仿宋_GBK" w:cs="方正仿宋_GBK"/>
          <w:b w:val="0"/>
          <w:bCs w:val="0"/>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highlight w:val="none"/>
        </w:rPr>
      </w:r>
      <w:r/>
    </w:p>
    <w:p>
      <w:pPr>
        <w:pStyle w:val="939"/>
        <w:keepNext/>
        <w:spacing w:line="440" w:lineRule="exact"/>
        <w:rPr>
          <w:rFonts w:hint="eastAsia" w:ascii="方正黑体_GBK" w:hAnsi="方正黑体_GBK" w:eastAsia="方正黑体_GBK" w:cs="方正黑体_GBK"/>
          <w:color w:val="000000"/>
          <w:sz w:val="28"/>
          <w:szCs w:val="28"/>
          <w:highlight w:val="none"/>
        </w:rPr>
        <w:outlineLvl w:val="0"/>
      </w:pPr>
      <w:r/>
      <w:bookmarkStart w:id="112" w:name="_Toc513029229"/>
      <w:r/>
      <w:bookmarkStart w:id="113" w:name="_Toc20823301"/>
      <w:r/>
      <w:bookmarkStart w:id="114" w:name="_Toc120614218"/>
      <w:r/>
      <w:bookmarkStart w:id="115" w:name="_Toc16938545"/>
      <w:r>
        <w:rPr>
          <w:rFonts w:hint="eastAsia" w:ascii="方正黑体_GBK" w:hAnsi="方正黑体_GBK" w:eastAsia="方正黑体_GBK" w:cs="方正黑体_GBK"/>
          <w:color w:val="000000"/>
          <w:sz w:val="28"/>
          <w:szCs w:val="28"/>
          <w:highlight w:val="none"/>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16" w:name="_Toc513029230"/>
      <w:r/>
      <w:bookmarkStart w:id="117" w:name="_Toc16938546"/>
      <w:r/>
      <w:bookmarkStart w:id="118" w:name="_Toc20823302"/>
      <w:r>
        <w:rPr>
          <w:rFonts w:hint="eastAsia" w:ascii="方正仿宋_GBK" w:hAnsi="方正仿宋_GBK" w:eastAsia="方正仿宋_GBK" w:cs="方正仿宋_GBK"/>
          <w:sz w:val="28"/>
          <w:szCs w:val="28"/>
          <w:highlight w:val="none"/>
        </w:rPr>
        <w:t xml:space="preserve">20.开标</w:t>
      </w:r>
      <w:bookmarkEnd w:id="116"/>
      <w:r/>
      <w:bookmarkEnd w:id="117"/>
      <w:r/>
      <w:bookmarkEnd w:id="118"/>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19" w:name="_Toc16938547"/>
      <w:r/>
      <w:bookmarkStart w:id="120" w:name="_Toc513029231"/>
      <w:r/>
      <w:bookmarkStart w:id="121" w:name="_Toc20823303"/>
      <w:r>
        <w:rPr>
          <w:rFonts w:hint="eastAsia" w:ascii="方正仿宋_GBK" w:hAnsi="方正仿宋_GBK" w:eastAsia="方正仿宋_GBK" w:cs="方正仿宋_GBK"/>
          <w:sz w:val="28"/>
          <w:szCs w:val="28"/>
          <w:highlight w:val="none"/>
        </w:rPr>
        <w:t xml:space="preserve">21.评标委员会</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21.3评标委员会独立工作，负责评审所有投标文件并确定中标侯选人。</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22.评标过程的保密与公正</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End w:id="119"/>
      <w:r/>
      <w:bookmarkEnd w:id="120"/>
      <w:r/>
      <w:bookmarkEnd w:id="121"/>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highlight w:val="none"/>
        </w:rPr>
        <w:t xml:space="preserve">23.投标文件的澄清</w:t>
      </w:r>
      <w:bookmarkEnd w:id="122"/>
      <w:r/>
      <w:bookmarkEnd w:id="123"/>
      <w:r/>
      <w:bookmarkEnd w:id="124"/>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25" w:name="_Toc513029233"/>
      <w:r/>
      <w:bookmarkStart w:id="126" w:name="_Toc20823305"/>
      <w:r/>
      <w:bookmarkStart w:id="127" w:name="_Toc16938549"/>
      <w:r>
        <w:rPr>
          <w:rFonts w:hint="eastAsia" w:ascii="方正仿宋_GBK" w:hAnsi="方正仿宋_GBK" w:eastAsia="方正仿宋_GBK" w:cs="方正仿宋_GBK"/>
          <w:sz w:val="28"/>
          <w:szCs w:val="28"/>
          <w:highlight w:val="none"/>
        </w:rPr>
        <w:t xml:space="preserve">24.对投标文件的初审</w:t>
      </w:r>
      <w:bookmarkEnd w:id="125"/>
      <w:r/>
      <w:bookmarkEnd w:id="126"/>
      <w:r/>
      <w:bookmarkEnd w:id="127"/>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24.1投标文件初审分为资格审查和符合性审查。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采购人在进行资格性审查的同时，将在“信用中国”网站（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（2）大写金额和小写金额不一致的，以大写金额为准。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同时出现两种以上错误的，按照前款规定的顺序修正。</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28" w:name="_Toc16938550"/>
      <w:r/>
      <w:bookmarkStart w:id="129" w:name="_Toc513029234"/>
      <w:r/>
      <w:bookmarkStart w:id="130" w:name="_Toc20823306"/>
      <w:r>
        <w:rPr>
          <w:rFonts w:hint="eastAsia" w:ascii="方正仿宋_GBK" w:hAnsi="方正仿宋_GBK" w:eastAsia="方正仿宋_GBK" w:cs="方正仿宋_GBK"/>
          <w:sz w:val="28"/>
          <w:szCs w:val="28"/>
          <w:highlight w:val="none"/>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 异常低价投标审查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（3）投标报价低于采购项目最高限价45%的，即投标报价&lt;采购项目最高限价×45%；</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w:t>
      </w:r>
      <w:bookmarkEnd w:id="128"/>
      <w:r/>
      <w:bookmarkEnd w:id="129"/>
      <w:r/>
      <w:bookmarkEnd w:id="130"/>
      <w:r>
        <w:rPr>
          <w:rFonts w:hint="eastAsia" w:ascii="方正仿宋_GBK" w:hAnsi="方正仿宋_GBK" w:eastAsia="方正仿宋_GBK" w:cs="方正仿宋_GBK"/>
          <w:sz w:val="28"/>
          <w:szCs w:val="28"/>
          <w:highlight w:val="none"/>
        </w:rPr>
        <w:t xml:space="preserve">.无效投标条款和废标条款</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31" w:name="_Toc20823307"/>
      <w:r/>
      <w:bookmarkStart w:id="132" w:name="_Toc513029235"/>
      <w:r/>
      <w:bookmarkStart w:id="133" w:name="_Toc16938551"/>
      <w:r>
        <w:rPr>
          <w:rFonts w:hint="eastAsia" w:ascii="方正仿宋_GBK" w:hAnsi="方正仿宋_GBK" w:eastAsia="方正仿宋_GBK" w:cs="方正仿宋_GBK"/>
          <w:sz w:val="28"/>
          <w:szCs w:val="28"/>
          <w:highlight w:val="none"/>
        </w:rPr>
        <w:t xml:space="preserve">25.1无效投标条款</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 投标人在苏采云系统规定的时间内未成功解密电子投标文件的。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25.1.2 投标人未按照招标文件要求上传电子投标文件的。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25.1.3 投标人同一采购包提交两个（含两个）以上不同的投标报价的。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25.1.4投标人不具备招标文件中规定资格要求的。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25.1.5投标人的报价超过了采购预算或最高限价的。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25.1.6未通过符合性审查的。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Cs/>
          <w:i/>
          <w:sz w:val="28"/>
          <w:szCs w:val="28"/>
          <w:highlight w:val="none"/>
          <w:u w:val="singl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25.1.8 投标人被 “信用中国”网站（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25.1.9 投标文件含有采购人不能接受的附加条件的。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25.1.11 投标文件未按照招标文件要求加盖CA电子公章的。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25.1.12 投标人所提供的服务不符合招标文件中所列国家强制性标准的。</w:t>
      </w:r>
      <w:r>
        <w:rPr>
          <w:rFonts w:hint="eastAsia" w:ascii="方正仿宋_GBK" w:hAnsi="方正仿宋_GBK" w:eastAsia="方正仿宋_GBK" w:cs="方正仿宋_GBK"/>
          <w:sz w:val="28"/>
          <w:szCs w:val="28"/>
          <w:highlight w:val="none"/>
        </w:rPr>
      </w:r>
      <w:r/>
    </w:p>
    <w:p>
      <w:pPr>
        <w:pStyle w:val="939"/>
        <w:ind w:firstLine="560"/>
        <w:spacing w:line="44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25.1.14其他法律、法规及本招标文件规定的属无效投标的情形。</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25.2废标条款</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25.2.1符合专业条件的供应商或者对招标文件作实质响应的供应商不足三家的。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25.2.2出现影响采购公正的违法、违规行为的。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25.2.3因重大变故，采购任务取消的。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25.2.4评标委员会认定招标文件存在歧义、重大缺陷导致评审工作无法进行。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25.2.5 因苏采云系统故障原因造成开标不成功的。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 投标截止时间结束后参加投标的供应商不足三家的处理：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highlight w:val="none"/>
        </w:rPr>
      </w:r>
      <w:r/>
    </w:p>
    <w:p>
      <w:pPr>
        <w:pStyle w:val="939"/>
        <w:keepNext/>
        <w:spacing w:line="440" w:lineRule="exact"/>
        <w:rPr>
          <w:rFonts w:hint="eastAsia" w:ascii="方正黑体_GBK" w:hAnsi="方正黑体_GBK" w:eastAsia="方正黑体_GBK" w:cs="方正黑体_GBK"/>
          <w:color w:val="000000"/>
          <w:sz w:val="28"/>
          <w:szCs w:val="28"/>
          <w:highlight w:val="none"/>
        </w:rPr>
        <w:outlineLvl w:val="0"/>
      </w:pPr>
      <w:r/>
      <w:bookmarkStart w:id="134" w:name="_Toc120614219"/>
      <w:r>
        <w:rPr>
          <w:rFonts w:hint="eastAsia" w:ascii="方正黑体_GBK" w:hAnsi="方正黑体_GBK" w:eastAsia="方正黑体_GBK" w:cs="方正黑体_GBK"/>
          <w:color w:val="000000"/>
          <w:sz w:val="28"/>
          <w:szCs w:val="28"/>
          <w:highlight w:val="none"/>
        </w:rPr>
        <w:t xml:space="preserve">六、</w:t>
      </w:r>
      <w:bookmarkEnd w:id="131"/>
      <w:r/>
      <w:bookmarkEnd w:id="132"/>
      <w:r/>
      <w:bookmarkEnd w:id="133"/>
      <w:r>
        <w:rPr>
          <w:rFonts w:hint="eastAsia" w:ascii="方正黑体_GBK" w:hAnsi="方正黑体_GBK" w:eastAsia="方正黑体_GBK" w:cs="方正黑体_GBK"/>
          <w:color w:val="000000"/>
          <w:sz w:val="28"/>
          <w:szCs w:val="28"/>
          <w:highlight w:val="none"/>
        </w:rPr>
        <w:t xml:space="preserve">定标</w:t>
      </w:r>
      <w:bookmarkEnd w:id="134"/>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highlight w:val="none"/>
        </w:rPr>
        <w:t xml:space="preserve">26</w:t>
      </w:r>
      <w:bookmarkEnd w:id="135"/>
      <w:r>
        <w:rPr>
          <w:rFonts w:hint="eastAsia" w:ascii="方正仿宋_GBK" w:hAnsi="方正仿宋_GBK" w:eastAsia="方正仿宋_GBK" w:cs="方正仿宋_GBK"/>
          <w:sz w:val="28"/>
          <w:szCs w:val="28"/>
          <w:highlight w:val="none"/>
        </w:rPr>
        <w:t xml:space="preserve">.确定</w:t>
      </w:r>
      <w:bookmarkEnd w:id="136"/>
      <w:r/>
      <w:bookmarkEnd w:id="137"/>
      <w:r>
        <w:rPr>
          <w:rFonts w:hint="eastAsia" w:ascii="方正仿宋_GBK" w:hAnsi="方正仿宋_GBK" w:eastAsia="方正仿宋_GBK" w:cs="方正仿宋_GBK"/>
          <w:sz w:val="28"/>
          <w:szCs w:val="28"/>
          <w:highlight w:val="none"/>
        </w:rPr>
        <w:t xml:space="preserve">中标单位</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26.1中标候选人的选取原则和数量见招标文件第五章规定。 </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26.2采购人应根据评标委员会推荐的中标候选人确定中标供应商。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 采购中心将在“江苏政府采购网”发布中标公告，公告期限为1个工作日。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26.4.1提供虚假材料谋取中标的。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26.4.2向采购人、采购中心行贿或者提供其他不正当利益的。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26.4.3属于本文件规定的无效条件，但在评标过程中又未被评标委员会发现的。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26.4.4与采购人或者其他供应商恶意串通的。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26.4.5采取不正当手段诋毁、排挤其他供应商的。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38" w:name="_Toc200451960"/>
      <w:r>
        <w:rPr>
          <w:rFonts w:hint="eastAsia" w:ascii="方正仿宋_GBK" w:hAnsi="方正仿宋_GBK" w:eastAsia="方正仿宋_GBK" w:cs="方正仿宋_GBK"/>
          <w:sz w:val="28"/>
          <w:szCs w:val="28"/>
          <w:highlight w:val="none"/>
        </w:rPr>
        <w:t xml:space="preserve">26.5有下列情形之一的，视为投标人串通投标，投标无效：</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26.5.1不同投标人的投标文件由同一单位或者个人编制。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26.5.2不同投标人委托同一单位或者个人办理投标事宜。</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26.5.3 不同投标人的投标文件载明的项目管理成员或者联系人员为同一人。</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26.5.4不同投标人的投标文件异常一致或者投标报价呈规律性差异。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27.质疑处理</w:t>
      </w:r>
      <w:bookmarkEnd w:id="138"/>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27.2.2对采购过程提出质疑的，为各采购程序环节结束之日；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27.2.3对中标或者成交结果提出质疑的，为中标或者成交结果公告期限届满之日。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采购人质疑接收人及联系方式见招标文件第一章。</w:t>
      </w:r>
      <w:r>
        <w:rPr>
          <w:rFonts w:hint="eastAsia" w:ascii="方正仿宋_GBK" w:hAnsi="方正仿宋_GBK" w:eastAsia="方正仿宋_GBK" w:cs="方正仿宋_GBK"/>
          <w:b/>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 以下情形的质疑不予受理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27.5.1 内容不符合《政府采购质疑和投诉办法》第十二条规定的质疑。</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27.5.2 超出政府采购法定期限的质疑。</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27.5.3 以传真、电子邮件等方式递交的非原件形式的质疑。</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28.中标通知书</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highlight w:val="none"/>
        </w:rPr>
      </w:r>
      <w:r/>
    </w:p>
    <w:p>
      <w:pPr>
        <w:pStyle w:val="939"/>
        <w:keepNext/>
        <w:spacing w:line="440" w:lineRule="exact"/>
        <w:rPr>
          <w:rFonts w:hint="eastAsia" w:ascii="方正黑体_GBK" w:hAnsi="方正黑体_GBK" w:eastAsia="方正黑体_GBK" w:cs="方正黑体_GBK"/>
          <w:color w:val="000000"/>
          <w:sz w:val="28"/>
          <w:szCs w:val="28"/>
          <w:highlight w:val="none"/>
        </w:rPr>
        <w:outlineLvl w:val="0"/>
      </w:pPr>
      <w:r/>
      <w:bookmarkStart w:id="139" w:name="_Toc120614220"/>
      <w:r/>
      <w:bookmarkStart w:id="140" w:name="_Toc16938552"/>
      <w:r/>
      <w:bookmarkStart w:id="141" w:name="_Toc513029236"/>
      <w:r/>
      <w:bookmarkStart w:id="142" w:name="_Toc20823308"/>
      <w:r>
        <w:rPr>
          <w:rFonts w:hint="eastAsia" w:ascii="方正黑体_GBK" w:hAnsi="方正黑体_GBK" w:eastAsia="方正黑体_GBK" w:cs="方正黑体_GBK"/>
          <w:color w:val="000000"/>
          <w:sz w:val="28"/>
          <w:szCs w:val="28"/>
          <w:highlight w:val="none"/>
        </w:rPr>
        <w:t xml:space="preserve">七、授予合同</w:t>
      </w:r>
      <w:bookmarkEnd w:id="139"/>
      <w:r>
        <w:rPr>
          <w:rFonts w:hint="eastAsia" w:ascii="方正黑体_GBK" w:hAnsi="方正黑体_GBK" w:eastAsia="方正黑体_GBK" w:cs="方正黑体_GBK"/>
          <w:color w:val="000000"/>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End w:id="140"/>
      <w:r/>
      <w:bookmarkEnd w:id="141"/>
      <w:r/>
      <w:bookmarkEnd w:id="142"/>
      <w:r/>
      <w:bookmarkStart w:id="143" w:name="_Toc20823309"/>
      <w:r/>
      <w:bookmarkStart w:id="144" w:name="_Toc16938553"/>
      <w:r/>
      <w:bookmarkStart w:id="145" w:name="_Toc513029237"/>
      <w:r>
        <w:rPr>
          <w:rFonts w:hint="eastAsia" w:ascii="方正仿宋_GBK" w:hAnsi="方正仿宋_GBK" w:eastAsia="方正仿宋_GBK" w:cs="方正仿宋_GBK"/>
          <w:sz w:val="28"/>
          <w:szCs w:val="28"/>
          <w:highlight w:val="none"/>
        </w:rPr>
        <w:t xml:space="preserve">29.签订合同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30.服务（包含与服务相关的货物）的追加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End w:id="143"/>
      <w:r/>
      <w:bookmarkEnd w:id="144"/>
      <w:r/>
      <w:bookmarkEnd w:id="145"/>
      <w:r/>
      <w:bookmarkStart w:id="146" w:name="_Toc479757207"/>
      <w:r/>
      <w:bookmarkStart w:id="147" w:name="_Toc16938558"/>
      <w:r/>
      <w:bookmarkStart w:id="148" w:name="_Toc20823314"/>
      <w:r/>
      <w:bookmarkStart w:id="149" w:name="_Toc513029242"/>
      <w:r/>
      <w:bookmarkStart w:id="150" w:name="_Toc120614221"/>
      <w:r>
        <w:rPr>
          <w:rFonts w:hint="eastAsia" w:ascii="方正仿宋_GBK" w:hAnsi="方正仿宋_GBK" w:eastAsia="方正仿宋_GBK" w:cs="方正仿宋_GBK"/>
          <w:sz w:val="28"/>
          <w:szCs w:val="28"/>
          <w:highlight w:val="none"/>
        </w:rPr>
        <w:t xml:space="preserve">31.政府采购履约资金扶持政策</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highlight w:val="none"/>
        </w:rPr>
      </w:r>
      <w:r/>
    </w:p>
    <w:p>
      <w:pPr>
        <w:pStyle w:val="953"/>
        <w:ind w:firstLine="480"/>
        <w:spacing w:line="440" w:lineRule="exact"/>
        <w:rPr>
          <w:rFonts w:hint="eastAsia" w:ascii="宋体" w:hAnsi="宋体"/>
          <w:bCs/>
          <w:sz w:val="24"/>
          <w:highlight w:val="none"/>
        </w:rPr>
      </w:pPr>
      <w:r>
        <w:rPr>
          <w:rFonts w:hint="eastAsia" w:ascii="宋体" w:hAnsi="宋体"/>
          <w:bCs/>
          <w:sz w:val="24"/>
          <w:highlight w:val="none"/>
        </w:rPr>
      </w:r>
      <w:r/>
    </w:p>
    <w:p>
      <w:pPr>
        <w:pStyle w:val="953"/>
        <w:spacing w:line="400" w:lineRule="exact"/>
        <w:rPr>
          <w:rFonts w:hint="eastAsia" w:ascii="宋体" w:hAnsi="宋体"/>
          <w:bCs/>
          <w:sz w:val="24"/>
          <w:highlight w:val="none"/>
        </w:rPr>
      </w:pPr>
      <w:r>
        <w:rPr>
          <w:rFonts w:hint="eastAsia" w:ascii="宋体" w:hAnsi="宋体"/>
          <w:bCs/>
          <w:sz w:val="24"/>
          <w:highlight w:val="none"/>
        </w:rPr>
      </w:r>
      <w:r/>
    </w:p>
    <w:p>
      <w:pPr>
        <w:pStyle w:val="953"/>
        <w:spacing w:line="400" w:lineRule="exact"/>
        <w:rPr>
          <w:rFonts w:hint="eastAsia" w:ascii="宋体" w:hAnsi="宋体"/>
          <w:bCs/>
          <w:sz w:val="24"/>
          <w:highlight w:val="none"/>
        </w:rPr>
      </w:pPr>
      <w:r>
        <w:rPr>
          <w:rFonts w:hint="eastAsia" w:ascii="宋体" w:hAnsi="宋体"/>
          <w:bCs/>
          <w:sz w:val="24"/>
          <w:highlight w:val="none"/>
        </w:rPr>
      </w:r>
      <w:r/>
    </w:p>
    <w:p>
      <w:pPr>
        <w:pStyle w:val="953"/>
        <w:spacing w:line="400" w:lineRule="exact"/>
        <w:rPr>
          <w:rFonts w:hint="eastAsia" w:ascii="宋体" w:hAnsi="宋体"/>
          <w:bCs/>
          <w:sz w:val="24"/>
          <w:highlight w:val="none"/>
        </w:rPr>
      </w:pPr>
      <w:r>
        <w:rPr>
          <w:rFonts w:hint="eastAsia" w:ascii="宋体" w:hAnsi="宋体"/>
          <w:bCs/>
          <w:sz w:val="24"/>
          <w:highlight w:val="none"/>
        </w:rPr>
      </w:r>
      <w:r/>
    </w:p>
    <w:p>
      <w:pPr>
        <w:pStyle w:val="953"/>
        <w:spacing w:line="400" w:lineRule="exact"/>
        <w:rPr>
          <w:rFonts w:hint="eastAsia" w:ascii="宋体" w:hAnsi="宋体"/>
          <w:bCs/>
          <w:sz w:val="24"/>
          <w:highlight w:val="none"/>
        </w:rPr>
      </w:pPr>
      <w:r>
        <w:rPr>
          <w:rFonts w:hint="eastAsia" w:ascii="宋体" w:hAnsi="宋体"/>
          <w:bCs/>
          <w:sz w:val="24"/>
          <w:highlight w:val="none"/>
        </w:rPr>
      </w:r>
      <w:r/>
    </w:p>
    <w:p>
      <w:pPr>
        <w:pStyle w:val="953"/>
        <w:spacing w:line="400" w:lineRule="exact"/>
        <w:rPr>
          <w:rFonts w:hint="eastAsia" w:ascii="宋体" w:hAnsi="宋体"/>
          <w:bCs/>
          <w:sz w:val="24"/>
          <w:highlight w:val="none"/>
        </w:rPr>
      </w:pPr>
      <w:r>
        <w:rPr>
          <w:rFonts w:hint="eastAsia" w:ascii="宋体" w:hAnsi="宋体"/>
          <w:bCs/>
          <w:sz w:val="24"/>
          <w:highlight w:val="none"/>
        </w:rPr>
      </w:r>
      <w:r/>
    </w:p>
    <w:p>
      <w:pPr>
        <w:pStyle w:val="953"/>
        <w:spacing w:line="400" w:lineRule="exact"/>
        <w:rPr>
          <w:rFonts w:hint="eastAsia" w:ascii="宋体" w:hAnsi="宋体"/>
          <w:bCs/>
          <w:sz w:val="32"/>
          <w:szCs w:val="32"/>
          <w:highlight w:val="none"/>
        </w:rPr>
      </w:pPr>
      <w:r>
        <w:rPr>
          <w:rFonts w:hint="eastAsia" w:ascii="宋体" w:hAnsi="宋体"/>
          <w:bCs/>
          <w:sz w:val="32"/>
          <w:szCs w:val="32"/>
          <w:highlight w:val="none"/>
        </w:rPr>
      </w:r>
      <w:r/>
    </w:p>
    <w:p>
      <w:pPr>
        <w:pStyle w:val="939"/>
        <w:ind w:right="839"/>
        <w:jc w:val="center"/>
        <w:spacing w:line="40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highlight w:val="none"/>
        </w:rPr>
        <w:t xml:space="preserve">文本</w:t>
      </w:r>
      <w:r>
        <w:rPr>
          <w:rFonts w:hint="eastAsia" w:ascii="方正黑体_GBK" w:hAnsi="方正黑体_GBK" w:eastAsia="方正黑体_GBK" w:cs="方正黑体_GBK"/>
          <w:color w:val="000000"/>
          <w:sz w:val="32"/>
          <w:szCs w:val="32"/>
          <w:highlight w:val="none"/>
        </w:rPr>
      </w:r>
      <w:r/>
    </w:p>
    <w:p>
      <w:pPr>
        <w:pStyle w:val="939"/>
        <w:ind w:firstLine="560"/>
        <w:spacing w:line="400" w:lineRule="exact"/>
        <w:rPr>
          <w:rFonts w:hint="eastAsia" w:ascii="方正仿宋_GBK" w:hAnsi="方正仿宋_GBK" w:eastAsia="方正仿宋_GBK" w:cs="方正仿宋_GBK"/>
          <w:bCs/>
          <w:sz w:val="28"/>
          <w:szCs w:val="28"/>
          <w:highlight w:val="none"/>
        </w:rPr>
      </w:pPr>
      <w:r/>
      <w:bookmarkStart w:id="151" w:name="_Toc16938559"/>
      <w:r/>
      <w:bookmarkStart w:id="152" w:name="_Toc513029243"/>
      <w:r/>
      <w:bookmarkStart w:id="153" w:name="_Toc20823315"/>
      <w:r>
        <w:rPr>
          <w:rFonts w:hint="eastAsia" w:ascii="方正仿宋_GBK" w:hAnsi="方正仿宋_GBK" w:eastAsia="方正仿宋_GBK" w:cs="方正仿宋_GBK"/>
          <w:bCs/>
          <w:sz w:val="28"/>
          <w:szCs w:val="28"/>
          <w:highlight w:val="none"/>
        </w:rPr>
      </w:r>
      <w:r/>
    </w:p>
    <w:p>
      <w:pPr>
        <w:pStyle w:val="939"/>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970"/>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r>
      <w:r/>
    </w:p>
    <w:p>
      <w:pPr>
        <w:pStyle w:val="970"/>
        <w:jc w:val="center"/>
        <w:spacing w:line="400" w:lineRule="exact"/>
        <w:rPr>
          <w:rFonts w:hint="eastAsia" w:ascii="方正黑体_GBK" w:hAnsi="方正黑体_GBK" w:eastAsia="方正黑体_GBK" w:cs="方正黑体_GBK"/>
          <w:highlight w:val="none"/>
        </w:rPr>
      </w:pPr>
      <w:r>
        <w:rPr>
          <w:rFonts w:hint="eastAsia" w:ascii="方正黑体_GBK" w:hAnsi="方正黑体_GBK" w:eastAsia="方正黑体_GBK" w:cs="方正黑体_GBK"/>
          <w:highlight w:val="none"/>
        </w:rPr>
        <w:t xml:space="preserve">江苏省政府采购合同（服务）（合同编号）</w:t>
      </w:r>
      <w:r>
        <w:rPr>
          <w:rFonts w:hint="eastAsia" w:ascii="方正黑体_GBK" w:hAnsi="方正黑体_GBK" w:eastAsia="方正黑体_GBK" w:cs="方正黑体_GBK"/>
          <w:highlight w:val="none"/>
        </w:rPr>
      </w:r>
      <w:r/>
    </w:p>
    <w:p>
      <w:pPr>
        <w:pStyle w:val="939"/>
        <w:ind w:firstLine="560"/>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olor w:val="000000"/>
          <w:sz w:val="28"/>
          <w:szCs w:val="28"/>
          <w:highlight w:val="none"/>
        </w:rPr>
        <w:t xml:space="preserve">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39"/>
        <w:ind w:firstLine="560"/>
        <w:spacing w:before="120" w:after="120" w:line="400" w:lineRule="exact"/>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rPr>
          <w:rFonts w:hint="eastAsia" w:ascii="方正仿宋_GBK" w:hAnsi="方正仿宋_GBK" w:eastAsia="方正仿宋_GBK" w:cs="方正仿宋_GBK"/>
          <w:color w:val="ff0000"/>
          <w:sz w:val="28"/>
          <w:szCs w:val="28"/>
          <w:highlight w:val="none"/>
        </w:rPr>
      </w:r>
      <w:r/>
    </w:p>
    <w:p>
      <w:pPr>
        <w:pStyle w:val="93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项目公开招标的结果，签署本合同。</w:t>
      </w:r>
      <w:r>
        <w:rPr>
          <w:rFonts w:hint="eastAsia" w:ascii="方正仿宋_GBK" w:hAnsi="方正仿宋_GBK" w:eastAsia="方正仿宋_GBK" w:cs="方正仿宋_GBK"/>
          <w:b/>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一、合同内容</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二、合同金额</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三、技术资料</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四、知识产权</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五、产权担保</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六、履约保证金</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乙方交纳人民币______元作为本合同的履约保证金。（不得超过合同金额的10%）</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6.2.1履约保证金退还方式：</w:t>
      </w:r>
      <w:r>
        <w:rPr>
          <w:rFonts w:hint="eastAsia" w:ascii="Times New Roman" w:hAnsi="Times New Roman" w:eastAsia="方正仿宋_GBK" w:cs="Times New Roman"/>
          <w:color w:val="000000"/>
          <w:sz w:val="28"/>
          <w:szCs w:val="28"/>
          <w:highlight w:val="none"/>
        </w:rPr>
        <w:t xml:space="preserve">XXXX</w:t>
      </w:r>
      <w:r>
        <w:rPr>
          <w:rFonts w:ascii="方正仿宋_GBK" w:hAnsi="方正仿宋_GBK" w:eastAsia="方正仿宋_GBK" w:cs="方正仿宋_GBK"/>
          <w:sz w:val="28"/>
          <w:szCs w:val="28"/>
          <w:highlight w:val="none"/>
        </w:rPr>
      </w:r>
      <w:r/>
    </w:p>
    <w:p>
      <w:pPr>
        <w:pStyle w:val="977"/>
        <w:ind w:firstLine="560"/>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6.2.2履约保证金退还时间：</w:t>
      </w:r>
      <w:r>
        <w:rPr>
          <w:rFonts w:hint="eastAsia" w:ascii="Times New Roman" w:hAnsi="Times New Roman" w:eastAsia="方正仿宋_GBK" w:cs="Times New Roman"/>
          <w:color w:val="000000"/>
          <w:sz w:val="28"/>
          <w:szCs w:val="28"/>
          <w:highlight w:val="none"/>
        </w:rPr>
        <w:t xml:space="preserve">XXXX</w:t>
      </w:r>
      <w:r>
        <w:rPr>
          <w:rFonts w:ascii="方正仿宋_GBK" w:hAnsi="方正仿宋_GBK" w:eastAsia="方正仿宋_GBK" w:cs="方正仿宋_GBK"/>
          <w:sz w:val="28"/>
          <w:szCs w:val="28"/>
          <w:highlight w:val="none"/>
        </w:rPr>
      </w:r>
      <w:r/>
    </w:p>
    <w:p>
      <w:pPr>
        <w:pStyle w:val="977"/>
        <w:ind w:firstLine="560"/>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6.2.3履约保证金退还条件：</w:t>
      </w:r>
      <w:r>
        <w:rPr>
          <w:rFonts w:hint="eastAsia" w:ascii="Times New Roman" w:hAnsi="Times New Roman" w:eastAsia="方正仿宋_GBK" w:cs="Times New Roman"/>
          <w:color w:val="000000"/>
          <w:sz w:val="28"/>
          <w:szCs w:val="28"/>
          <w:highlight w:val="none"/>
        </w:rPr>
        <w:t xml:space="preserve">XXXX</w:t>
      </w:r>
      <w:r>
        <w:rPr>
          <w:rFonts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w:t>
      </w:r>
      <w:r>
        <w:rPr>
          <w:rFonts w:hint="eastAsia" w:ascii="Times New Roman" w:hAnsi="Times New Roman" w:eastAsia="方正仿宋_GBK" w:cs="Times New Roman"/>
          <w:color w:val="000000"/>
          <w:sz w:val="28"/>
          <w:szCs w:val="28"/>
          <w:highlight w:val="none"/>
        </w:rPr>
        <w:t xml:space="preserve">XXXX</w:t>
      </w:r>
      <w:r>
        <w:rPr>
          <w:rFonts w:hint="eastAsia" w:ascii="方正仿宋_GBK" w:hAnsi="方正仿宋_GBK" w:eastAsia="方正仿宋_GBK" w:cs="方正仿宋_GBK"/>
          <w:bCs/>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七、合同转包或分包</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八、合同款项支付</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8.1合同款项的支付方式及进度安排</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8.1.1 预付款支付时间：合同签订后</w:t>
      </w:r>
      <w:r>
        <w:rPr>
          <w:rFonts w:hint="eastAsia" w:ascii="Times New Roman" w:hAnsi="Times New Roman" w:eastAsia="方正仿宋_GBK" w:cs="Times New Roman"/>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工作日内，预付款支付比例：合同金额的</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九、税费</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十、项目验收</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十一、违约责任</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每日向乙方支付违约金。</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十二、不可抗力事件处理</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十三、解决争议的方法</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rPr>
          <w:rFonts w:hint="eastAsia" w:hAnsi="宋体"/>
          <w:sz w:val="28"/>
          <w:szCs w:val="28"/>
          <w:highlight w:val="none"/>
        </w:rPr>
      </w:r>
      <w:r/>
    </w:p>
    <w:p>
      <w:pPr>
        <w:pStyle w:val="977"/>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十四、合同生效及其它</w:t>
      </w:r>
      <w:r>
        <w:rPr>
          <w:rFonts w:hint="eastAsia" w:ascii="方正黑体_GBK" w:hAnsi="方正黑体_GBK" w:eastAsia="方正黑体_GBK" w:cs="方正黑体_GBK"/>
          <w:bCs/>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本合同正本一式两份，具有同等法律效力，甲方、乙方各执一份。</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                        乙方： </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地址： </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rPr>
          <w:rFonts w:hint="eastAsia" w:ascii="方正仿宋_GBK" w:hAnsi="方正仿宋_GBK" w:eastAsia="方正仿宋_GBK" w:cs="方正仿宋_GBK"/>
          <w:sz w:val="28"/>
          <w:szCs w:val="28"/>
          <w:highlight w:val="none"/>
        </w:rPr>
      </w:r>
      <w:r/>
    </w:p>
    <w:p>
      <w:pPr>
        <w:pStyle w:val="977"/>
        <w:ind w:firstLine="560"/>
        <w:spacing w:before="120" w:after="120" w:line="40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                    联系电话：    </w:t>
      </w:r>
      <w:r>
        <w:rPr>
          <w:rFonts w:hint="eastAsia" w:hAnsi="宋体"/>
          <w:sz w:val="28"/>
          <w:szCs w:val="28"/>
          <w:highlight w:val="none"/>
        </w:rPr>
        <w:t xml:space="preserve">      </w:t>
      </w:r>
      <w:r>
        <w:rPr>
          <w:rFonts w:hint="eastAsia"/>
          <w:sz w:val="28"/>
          <w:szCs w:val="28"/>
          <w:highlight w:val="none"/>
        </w:rPr>
      </w:r>
      <w:r/>
    </w:p>
    <w:p>
      <w:pPr>
        <w:pStyle w:val="977"/>
        <w:jc w:val="center"/>
        <w:spacing w:before="120" w:after="120" w:line="400" w:lineRule="exact"/>
        <w:rPr>
          <w:sz w:val="28"/>
          <w:szCs w:val="28"/>
          <w:highlight w:val="none"/>
        </w:rPr>
      </w:pPr>
      <w:r>
        <w:rPr>
          <w:rFonts w:hint="eastAsia"/>
          <w:sz w:val="28"/>
          <w:szCs w:val="28"/>
          <w:highlight w:val="none"/>
        </w:rPr>
        <w:t xml:space="preserve">                                         </w:t>
      </w:r>
      <w:r>
        <w:rPr>
          <w:sz w:val="28"/>
          <w:szCs w:val="28"/>
          <w:highlight w:val="none"/>
        </w:rPr>
      </w:r>
      <w:r/>
    </w:p>
    <w:p>
      <w:pPr>
        <w:pStyle w:val="977"/>
        <w:jc w:val="right"/>
        <w:spacing w:before="120" w:after="120" w:line="400" w:lineRule="exact"/>
        <w:rPr>
          <w:sz w:val="28"/>
          <w:szCs w:val="28"/>
          <w:highlight w:val="none"/>
        </w:rPr>
      </w:pPr>
      <w:r>
        <w:rPr>
          <w:rFonts w:hint="eastAsia"/>
          <w:sz w:val="28"/>
          <w:szCs w:val="28"/>
          <w:highlight w:val="none"/>
        </w:rPr>
        <w:t xml:space="preserve"> </w:t>
      </w:r>
      <w:r>
        <w:rPr>
          <w:sz w:val="28"/>
          <w:szCs w:val="28"/>
          <w:highlight w:val="none"/>
        </w:rPr>
      </w:r>
      <w:r/>
    </w:p>
    <w:p>
      <w:pPr>
        <w:pStyle w:val="977"/>
        <w:jc w:val="center"/>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151"/>
      <w:r/>
      <w:bookmarkEnd w:id="152"/>
      <w:r/>
      <w:bookmarkEnd w:id="153"/>
      <w:r/>
      <w:bookmarkStart w:id="154" w:name="_Hlt16619369"/>
      <w:r/>
      <w:bookmarkEnd w:id="154"/>
      <w:r/>
      <w:bookmarkStart w:id="155" w:name="_Hlt16619350"/>
      <w:r/>
      <w:bookmarkStart w:id="156" w:name="_Toc20823346"/>
      <w:r/>
      <w:bookmarkStart w:id="157" w:name="_Toc120614244"/>
      <w:r/>
      <w:bookmarkStart w:id="158" w:name="_Toc16938590"/>
      <w:r/>
      <w:bookmarkStart w:id="159" w:name="_Toc462564139"/>
      <w:r/>
      <w:bookmarkStart w:id="160" w:name="_Toc479757211"/>
      <w:r>
        <w:rPr>
          <w:rFonts w:ascii="黑体" w:eastAsia="黑体"/>
          <w:bCs/>
          <w:sz w:val="28"/>
          <w:szCs w:val="28"/>
          <w:highlight w:val="none"/>
        </w:rPr>
        <w:br w:type="page" w:clear="all"/>
      </w:r>
      <w:r>
        <w:rPr>
          <w:rFonts w:hint="eastAsia" w:ascii="方正黑体_GBK" w:hAnsi="方正黑体_GBK" w:eastAsia="方正黑体_GBK" w:cs="方正黑体_GBK"/>
          <w:color w:val="000000"/>
          <w:sz w:val="32"/>
          <w:szCs w:val="32"/>
          <w:highlight w:val="none"/>
        </w:rPr>
        <w:t xml:space="preserve">第</w:t>
      </w:r>
      <w:bookmarkEnd w:id="155"/>
      <w:r>
        <w:rPr>
          <w:rFonts w:hint="eastAsia" w:ascii="方正黑体_GBK" w:hAnsi="方正黑体_GBK" w:eastAsia="方正黑体_GBK" w:cs="方正黑体_GBK"/>
          <w:color w:val="000000"/>
          <w:sz w:val="32"/>
          <w:szCs w:val="32"/>
          <w:highlight w:val="none"/>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highlight w:val="none"/>
        </w:rPr>
      </w:r>
      <w:r/>
    </w:p>
    <w:p>
      <w:pPr>
        <w:pStyle w:val="977"/>
        <w:spacing w:before="120" w:after="120" w:line="440" w:lineRule="exact"/>
        <w:rPr>
          <w:rFonts w:hint="eastAsia" w:ascii="方正黑体_GBK" w:hAnsi="方正黑体_GBK" w:eastAsia="方正黑体_GBK" w:cs="方正黑体_GBK"/>
          <w:bCs/>
          <w:sz w:val="28"/>
          <w:szCs w:val="28"/>
          <w:highlight w:val="none"/>
        </w:rPr>
      </w:pPr>
      <w:r/>
      <w:bookmarkStart w:id="161" w:name="_Toc49090575"/>
      <w:r/>
      <w:bookmarkStart w:id="162" w:name="_Toc26554093"/>
      <w:r>
        <w:rPr>
          <w:rFonts w:hint="eastAsia" w:ascii="方正黑体_GBK" w:hAnsi="方正黑体_GBK" w:eastAsia="方正黑体_GBK" w:cs="方正黑体_GBK"/>
          <w:bCs/>
          <w:sz w:val="28"/>
          <w:szCs w:val="28"/>
          <w:highlight w:val="none"/>
        </w:rPr>
        <w:t xml:space="preserve">一、采购标的清单</w:t>
      </w:r>
      <w:r>
        <w:rPr>
          <w:rFonts w:hint="eastAsia" w:ascii="方正黑体_GBK" w:hAnsi="方正黑体_GBK" w:eastAsia="方正黑体_GBK" w:cs="方正黑体_GBK"/>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1035"/>
        <w:gridCol w:w="3376"/>
        <w:gridCol w:w="3232"/>
      </w:tblGrid>
      <w:tr>
        <w:trPr>
          <w:cantSplit/>
          <w:trHeight w:val="701"/>
        </w:trPr>
        <w:tc>
          <w:tcPr>
            <w:tcW w:w="1365"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1035"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376"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3232"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1365"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c>
          <w:tcPr>
            <w:tcW w:w="1035"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1</w:t>
            </w:r>
            <w:r>
              <w:rPr>
                <w:rFonts w:hint="eastAsia" w:ascii="方正仿宋_GBK" w:hAnsi="方正仿宋_GBK" w:eastAsia="方正仿宋_GBK" w:cs="方正仿宋_GBK"/>
                <w:sz w:val="28"/>
                <w:szCs w:val="28"/>
                <w:highlight w:val="none"/>
              </w:rPr>
            </w:r>
            <w:r/>
          </w:p>
        </w:tc>
        <w:tc>
          <w:tcPr>
            <w:tcW w:w="3376" w:type="dxa"/>
            <w:vAlign w:val="center"/>
            <w:textDirection w:val="lrTb"/>
            <w:noWrap w:val="false"/>
          </w:tcPr>
          <w:p>
            <w:pPr>
              <w:pStyle w:val="939"/>
              <w:jc w:val="center"/>
              <w:spacing w:line="440" w:lineRule="exact"/>
              <w:tabs>
                <w:tab w:val="left" w:pos="2020" w:leader="none"/>
              </w:tabs>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江苏省政府采购管理交易平台升级改造</w:t>
            </w:r>
            <w:r>
              <w:rPr>
                <w:rFonts w:hint="eastAsia" w:ascii="方正仿宋_GBK" w:hAnsi="方正仿宋_GBK" w:eastAsia="方正仿宋_GBK" w:cs="方正仿宋_GBK"/>
                <w:sz w:val="28"/>
                <w:szCs w:val="28"/>
                <w:highlight w:val="none"/>
              </w:rPr>
            </w:r>
            <w:r/>
          </w:p>
        </w:tc>
        <w:tc>
          <w:tcPr>
            <w:tcW w:w="3232" w:type="dxa"/>
            <w:vAlign w:val="center"/>
            <w:textDirection w:val="lrTb"/>
            <w:noWrap w:val="false"/>
          </w:tcPr>
          <w:p>
            <w:pPr>
              <w:pStyle w:val="939"/>
              <w:jc w:val="center"/>
              <w:spacing w:line="440" w:lineRule="exact"/>
              <w:tabs>
                <w:tab w:val="left" w:pos="2020" w:leader="none"/>
              </w:tabs>
              <w:rPr>
                <w:rFonts w:hint="eastAsia" w:eastAsia="方正仿宋_GBK"/>
                <w:color w:val="000000"/>
                <w:sz w:val="28"/>
                <w:szCs w:val="28"/>
                <w:highlight w:val="none"/>
              </w:rPr>
            </w:pPr>
            <w:r>
              <w:rPr>
                <w:rFonts w:hint="eastAsia" w:eastAsia="方正仿宋_GBK"/>
                <w:color w:val="000000"/>
                <w:sz w:val="28"/>
                <w:szCs w:val="28"/>
                <w:highlight w:val="none"/>
              </w:rPr>
              <w:t xml:space="preserve">软件和信息技术服务业</w:t>
            </w:r>
            <w:r>
              <w:rPr>
                <w:rFonts w:hint="eastAsia" w:eastAsia="方正仿宋_GBK"/>
                <w:color w:val="000000"/>
                <w:sz w:val="28"/>
                <w:szCs w:val="28"/>
                <w:highlight w:val="none"/>
              </w:rPr>
            </w:r>
            <w:r/>
          </w:p>
        </w:tc>
      </w:tr>
    </w:tbl>
    <w:p>
      <w:pPr>
        <w:pStyle w:val="977"/>
        <w:spacing w:before="120" w:after="120"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二、政府采购中实施本国产品标准及相关政策</w:t>
      </w:r>
      <w:r>
        <w:rPr>
          <w:rFonts w:hint="eastAsia" w:ascii="方正黑体_GBK" w:hAnsi="方正黑体_GBK" w:eastAsia="方正黑体_GBK" w:cs="方正黑体_GBK"/>
          <w:bCs/>
          <w:sz w:val="28"/>
          <w:szCs w:val="28"/>
          <w:highlight w:val="none"/>
        </w:rPr>
      </w:r>
      <w:r/>
    </w:p>
    <w:p>
      <w:pPr>
        <w:pStyle w:val="939"/>
        <w:ind w:firstLine="560"/>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highlight w:val="none"/>
        </w:rPr>
      </w:r>
      <w:r/>
    </w:p>
    <w:p>
      <w:pPr>
        <w:pStyle w:val="939"/>
        <w:ind w:firstLine="560"/>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highlight w:val="none"/>
        </w:rPr>
      </w:r>
      <w:r/>
    </w:p>
    <w:p>
      <w:pPr>
        <w:pStyle w:val="939"/>
        <w:ind w:firstLine="560"/>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本服务项目不涉及货物，投标文件中无需提供《关于符合本国产品标准的声明函》。</w:t>
      </w:r>
      <w:r>
        <w:rPr>
          <w:rFonts w:hint="eastAsia"/>
          <w:highlight w:val="none"/>
        </w:rPr>
      </w:r>
      <w:r/>
    </w:p>
    <w:p>
      <w:pPr>
        <w:pStyle w:val="977"/>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三、技术要求</w:t>
      </w:r>
      <w:r>
        <w:rPr>
          <w:rFonts w:hint="eastAsia" w:ascii="方正黑体_GBK" w:hAnsi="方正黑体_GBK" w:eastAsia="方正黑体_GBK" w:cs="方正黑体_GBK"/>
          <w:bCs/>
          <w:sz w:val="28"/>
          <w:szCs w:val="28"/>
          <w:highlight w:val="none"/>
        </w:rPr>
      </w:r>
      <w:r/>
    </w:p>
    <w:p>
      <w:pPr>
        <w:pStyle w:val="939"/>
        <w:ind w:firstLine="562"/>
        <w:jc w:val="left"/>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（一）业务功能要求</w:t>
      </w:r>
      <w:r>
        <w:rPr>
          <w:rFonts w:hint="eastAsia" w:ascii="方正仿宋_GBK" w:hAnsi="方正仿宋_GBK" w:eastAsia="方正仿宋_GBK" w:cs="方正仿宋_GBK"/>
          <w:b/>
          <w:bCs/>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采购文件标准化功能升级</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Start w:id="163" w:name="OLE_LINK5"/>
      <w:r>
        <w:rPr>
          <w:rFonts w:hint="eastAsia" w:ascii="方正仿宋_GBK" w:hAnsi="方正仿宋_GBK" w:eastAsia="方正仿宋_GBK" w:cs="方正仿宋_GBK"/>
          <w:sz w:val="28"/>
          <w:szCs w:val="28"/>
          <w:highlight w:val="none"/>
        </w:rPr>
        <w:t xml:space="preserve">为提升政府采购需求管理的科学化、规范化与精细化水平，全面落实财政部、</w:t>
      </w:r>
      <w:r>
        <w:rPr>
          <w:rFonts w:hint="eastAsia" w:ascii="方正仿宋_GBK" w:hAnsi="方正仿宋_GBK" w:eastAsia="方正仿宋_GBK" w:cs="方正仿宋_GBK"/>
          <w:sz w:val="28"/>
          <w:szCs w:val="28"/>
          <w:highlight w:val="none"/>
        </w:rPr>
        <w:t xml:space="preserve">工业和信息化部联合印发的七类政府采购需求标准：财库〔2023〕29号、财库〔2023〕30号、财库〔2023〕31号、财库〔2023〕32号、财库〔2023〕33号、财库〔2023〕34号、财库〔2023〕35号（涵盖台式计算机、便携式计算机、一体式计算机、工作站、通用服务器、操作系统、数据库）在实际采购业务中有效落地，推动需求及文件标准从政策文件向可执行、可校验、可追溯的系统功能转化，同时赋能供应商响应文件量化制作、提供项目量化辅助评审支撑，实现采购需求-采购文件-投标响应-量化评审全流程标准化闭环管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bookmarkEnd w:id="163"/>
      <w:r>
        <w:rPr>
          <w:rFonts w:hint="eastAsia" w:ascii="方正仿宋_GBK" w:hAnsi="方正仿宋_GBK" w:eastAsia="方正仿宋_GBK" w:cs="方正仿宋_GBK"/>
          <w:sz w:val="28"/>
          <w:szCs w:val="28"/>
          <w:highlight w:val="none"/>
        </w:rPr>
        <w:t xml:space="preserve">（1）采购需求标准维护</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依据财政部统一发布的政府采购需求标准，实现采购需求标准的创建、发布及常态化管理。功能主要包含采购品目信息、指标信息两大核心模块：一是采购品目信息模块，支持按不同采购品目分类维护对应的法律法规、制度规范等政策依据，实现政策依据的标准化归集管理；二是指标信息模块，可结合各品目采购需求标准，规范化维护指标分类、指标级次、指标要求等核心指标内容，保障各品类采购需求标准统一、规范、可落地。</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（2）采购需求模板维护</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系统支持按地区、代理机构、项目类型自定义维护采购需求模板，支持配置通用采购需求模板，同时可依据采购品目维护专用采购需求模板，支撑采购需求标准化编制。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（3）采购文件模板维护</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支持按代理机构、项目类型、采购方式多维度分类维护采购文件模板。同时，可结合工程建设、货物采购、服务采购等不同项目业务场景，灵活搭建采购文件章节目录架构，标准化配置投标人资格条件、评审评分标准、合同主要条款等核心正文要素，实现采购文件模板的场景化定制、模块化配置，有效提升采购文件编制的规范性与适配性。</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（4）采购需求填报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升级采购需求智能填报功能，支持采购人选择对应采购品目后，系统自动匹配对应标准化采购需求模板，实现采购需求结构化填报。系统可自动抓取采购计划、采购委托等前序业务环节数据并回填至对应字段，采购人仅需补充完善未填报信息。同时，系统需具备采购需求文件完整性校验能力，可自动识别漏填字段，对缺失内容进行提示，并支持漏填字段快速定位，保障采购需求填报完整、规范。</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（5）采购需求及文件在线沟通</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支持采购人、代理机构开展线上协同沟通，可围绕采购需求和采购文件进行线上交互，所有沟通操作都能实时存证留痕。支持在采购需求、采购文件的文本中选定任意段落新增批注，批注意见可与原文精准绑定，相关方可基于批注开展点对点回复交流；全部批注记录、对话信息永久归档，完整留存需求磋商与文件审核全过程痕迹。</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（6）采购文件编制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升级采购文件编制功能，支持代理机构调用系统内标准化模板快速编制采购文件。实现采购文件与采购需求的数据联动，自动提取资格条件、技术商务要求、评分标准等核心内容，自动生成采购文件主体，有效降低人工录入成本，同时需支持对已编制完成的采购文件开展完整性自动校验。</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（7）标书量化制作</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升级标书制作功能，支持供应商按照具体技术参数、商务要求、评审指标进行填写，同时对于供应商填写的响应内容支持与招标文件中的要求进行校验比对，并提示填报遗漏、参数偏离等合规风险，引导供应商规范、精准完成响应文件编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（8）量化辅助评审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升级项目评审功能。针对采用量化评审方式的项目，系统应实现投标响应内容与采购需求的自动一致性校验、量化评审指标精准核算；清晰展示量化指标点及供需双方差异比对结果。通过自动化能力减少评委人工比对、重复计算等事务性工作，降低评审过程中的主观判断偏差，进一步提升评审工作效率与评审结果的客观公正性。</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进口产品备案功能改造</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财政部、工业和信息化部政府采购进口产品审核管理新政，《政府采购进口产品审核指导目录》内产品采购取消专家论证，实行事前备案管理；采购人采购目录内进口产品应在采购活动启动前经主管预算单位层级核准，再向财政监管部门完成线上备案。备案内容包括：政府采购品目名称、进口产品名称、应用场景、采购理由、采购数量及采购金额等。</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（1）进口产品报备</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系统支持采购人填报品目、进口产品名称、使用场景、采购事由、采购数量、预算金额等备案要素，系统按模板自动生成《政府采购进口产品报备申请表》，支持单位在线电子签章后提交审批。</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（2）主管单位审批及核准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采购人进行进口产品报备时，建立分级核准流转机制：三级采购单位申请依次经二级、一级主管单位逐级审核；二级采购单位直接提交一级主管单位审核。主管单位可驳回报备申请并填写退回整改意见。</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增设年度进口额度管控底座：主管单位首次业务办理时录入本单位年度采购总规模、进口产品年度采购限额，系统自动留存作为后续超额校验基准。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（3）监管部门报备确认</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主管单位核准通过后报备单自动流转至财政监管节点：区县采购单位先经区县财政初审确认，再推送市级财政终审备案；省、市级预算单位申请直接提交财政备案。</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财政端实现报备材料全量查阅，包含基础报备信息、进口产品清单、签章申请表及佐证附件；系统自动比对主管单位剩余进口采购额度，超限额实时弹窗预警提示。财政确认备案无误后自动归档，备案状态生效后方可开展采购全流程业务。</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 新增本国产品标准实施功能</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落实国办发〔2025〕34号、财库〔2025〕30号政策规定，全省政府采购全部货物、服务项目统一执行本国产品20%价格扣除评审规则，本国产品扣除后报价作为评审基准价，同时享受其他评审价优惠政策的应当累计享受，中标/成交供应商相关声明文件随中标/成交公告同步公开公示。</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（1）采购文件编制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标准化内置《关于符合本国产品标准的声明函》电子模板，自动嵌入电子投标文件格式。投标供应商需“享受本国产品价格扣除”的，在标书制作时下载《关于符合本国产品标准的声明函》模板填写后上传，作为享受本国产品评审价优惠的佐证材料。</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（2）评审环节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标评审阶段增设本国产品价格评审认定模块，对于上传了《关于符合本国产品标准的声明函》的供应商，系统自动核算扣除20%后的评审价作为计分基数，并由评审委员会最终核实供应商是否享受本国产品评审价优惠；对于评审委员会认定不予享受价格优惠的，系统需支持录入不予认定理由并自动留存至评审报告。</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（3）结果公告编制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结果公告生成环节联动评审认定数据：中标/成交供应商享受本国产品价格扣除的，系统自动抓取中标/成交供应商标书中的《关于符合本国产品标准的声明函》作为公告固定附件一并对外公示；未享受扣除优惠的供应商公告不挂载该附件，保障政策执行全程公开可查。</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 新增异常低价审查功能</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财库〔2026〕2号《关于推动解决政府采购异常低价问题的通知》要求，采购人需在采购文件中围绕项目最高限价、供应商平均报价、供应商次低报价等维度，明确异常低价判定标准，评审阶段支持评审委员会对触发异常低价判定标准的供应商开展价格审查，供应商应提交书面澄清材料，审查过程及结果完整归档。</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（1）采购文件编制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代理机构在编制采购文件时，系统按项目最高限价的45%、供应商报价平均值的50%、次低价的50%预设默认异常低价判定阈值，经办人可按项目实际情况自主提高阈值，但最高不得超过65%；配置结果固化至招标文件，经采购人确认后随采购公告发布。供应商对照采购文件，若投标报价低于预设阈值应上传成本构成、价格合理性说明等佐证材料，作为项目评审时的审查依据。</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（2）评审环节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评审环节系统支持两类价格审查机制：</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报价超限强制拦截：供应商投标总价高于项目最高限价，系统触发预警，自动判定价格审查不通过。</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异常低价专项审查：针对触发低价预警的投标单位，评审委员会一键启动专项审查流程，完整记录审查启动事由、佐证材料核验情况、最终审查结论；所有审查记录、评委意见自动写入评审报告，全程留痕可追溯。</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5. 新增合同支付计划调整功能</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针对合同公示后支付计划填报不准确、合同支付提醒失真等业务痛点，新增已公示合同支付计划变更功能，实现财政监管闭环审核、一体化系统数据同步。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（1）支付计划调整申请</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针对已完成线上公示的合同，搭建标准化合同支付计划调整申请入口，针对资金支付节点、付款比例、支付金额等合同支付计划信息，可线上发起调整申请，描述变更理由，上传经主管预算单位盖章确认的变更材料，提交财政监管审核。</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（2）财政监管确认</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支持监管人员查看原合同支付计划信息，对照核验本次合同支付计划调整内容，查验佐证附件合规性：审核通过的，系统自动更新当前合同支付计划信息；审核不予通过则退回采购人，同步载明修改意见，支持重复提交复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（3）外部系统对接</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支付计划变更审批完成后，系统调用一体化合同支付计划对接接口，将最新支付计划同步推送至预算管理一体化系统预算执行模块，确保后续合同支付计划数据准确一致，实现跨系统数据联动。</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6. 新增暗标评审功能</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（1）管理员规则配置功能</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系统新增暗标评审模式配置功能，支持集采机构、社会代理机构根据项目实际需求，灵活开启或关闭项目暗标评审模式。已启用暗标评审的项目，可在采购文件编制环节为评分办法配置暗标评审项。</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（2）采购文件编制功能改造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采购文件评分办法新增暗标评审配置项。开启暗标评审模式后，支持对技术、商务主观评分项配置为暗标评审项；客观评分项不支持设置暗标评审。系统提供暗标评审项批量设置功能，提升配置效率。</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（3）投标客户端适配优化</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迭代升级投标客户端功能，支持暗标项目投标文件格式的导入与解析。导入暗标项目文件后，系统可自动识别暗标标识并展示对应标记。同时，对暗标对应评分项禁止电子签章功能，杜绝评审过程中泄露供应商信息，保障招投标评审工作的公平公正。</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（4）专家评委权限设置优化</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将综合评审流程拆分优化为暗标评审、明标评审两个独立子流程。可配置专家对应的评审参与范围：如设定专家仅参与明标评审，则关闭其暗标评审操作权限；设定专家仅参与暗标评审，则关闭其明标评审操作权限；未限定评审范围的专家，默认享有全流程评审权限。</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（5）项目评审流程功能改造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系统需适配顺序评审、同时评审两种暗标评审业务模式。暗标评审阶段仅展示暗标专属评分项，所有供应商信息统一匿名展示，严格落实暗标评审要求。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“顺序评审”模式下，需完成暗标评审汇总后，方可启动明标评审流程。</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“同时评审”模式下，暗标评审与明标评审可同步开展、并行推进。</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（6）评标异常处置规则优化</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新增暗标评审异常处置机制，针对供应商投标文件暗标内容泄露企业信息等违规情形，系统支持在暗标评审环节将业务流程退回至符合性审查环节，对涉事供应商依法依规作出废标处理，规范评标流程、规避评审风险。</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7. 供应商增加子账号管理体系</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（1）新增子账号体系基础功能</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新增供应商分级账号管控架构，供应商完成平台注册后的初始账号自动设定为主账号。主账号拥有子账号新建、权限配置、日常管理等全部操作权限，支持供应商结合内部岗位职责，灵活分配子账号操作权限，满足供应商内部多人分工办公需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（2）采购项目参与权限管控</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各主、子账号仅可操作自身已报名采购项目，账号业务权限相互隔离。同一项目仅限供应商单一账号报名，系统识别到同一供应商账号重复报名时弹窗预警；任一账号完成参与项目后，该供应商其余账号仅可查看项目基础信息，无法执行参与、文件上传等操作。</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（3）合同签订与质疑申请权限管控</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项目线上合同签署、采购质疑递交业务，只能由该项目提交参与的账号进行操作；通过绑定操作账号锁定业务经办人，实现全流程操作留痕、责任清晰，便于后续业务核查与问题溯源。</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（4）供应商基本信息变更管控</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供应商基础信息变更权限统一归集至主账号，仅主账号可发起信息变更申请，实现供应商信息修改权限集中管控，确保信息变更权限可控、全程可溯。</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（5）评审结果查询权限区分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实行分级查询权限：子账号仅可查询自身参与项目的评审结果及相关信息（例如：得分、排名、资格审查情况等）；主账号可统一查看本供应商所有子账号参与的全部项目数据，便于企业管理人员统筹掌握项目整体参与情况。</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（6）框架协议业务权限规范</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细化框架协议全流程权限管理，框架协议一阶段的项目报名、协议签订工作统一由主账号操作；临时商品库维护、经销商管理等后台管理功能，仅限主账号使用。框架协议二阶段生成的订单，自动下发至对应授权经销商的主账号处理，实现权限分级、权责清晰，保障框架协议业务流程规范顺畅运行。</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8. 其他需求功能改造</w:t>
      </w:r>
      <w:r>
        <w:rPr>
          <w:rFonts w:hint="eastAsia" w:ascii="方正仿宋_GBK" w:hAnsi="方正仿宋_GBK" w:eastAsia="方正仿宋_GBK" w:cs="方正仿宋_GBK"/>
          <w:b/>
          <w:bCs/>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（1）评审流程灵活配置</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政府采购竞争性磋商采购方式管理暂行办法》第二十三条规定：经磋商确定最终采购需求以及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结合上述政策要求，针对竞争性磋商项目的评审环节，磋商小组可先完成供应商最后报价的【价格评审】，再开展【综合评分】。系统需支持灵活配置以上两道环节的评审顺序，供应商完成最后报价后，磋商小组即可按照预设的评审顺序有序开展评审工作。</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（2）评审环节报价超最高限价判定处理</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1）报价异常处置权限</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竞争性磋商、谈判采购方式的最后报价环节，系统需支持对报价异常供应商开展废除处置操作；当供应商总报价超出项目预算时，系统自动以标红方式发出预警提示；废除处置完成后，也需支持对已废除的供应商进行还原，便于评审过程的灵活调整。</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2）供应商排序规则</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价格评审、价格确认页面供应商排序规则应与资格符合性评审环节保持统一，均按报名时间正序展示，实现各页面排序标准一致，保障评审流程连贯，提升评审操作易用性。</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3）告知函规则优化</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在评委完成最终报价确认之后，系统需根据未通过审查供应商自动生成告知函，由业务经办人下发，定向推送告知对应投标供应商。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针对评审流程重启复审场景，系统自动作废复审节点及其后续流程节点所生成的全部告知函；对于已接收、已查阅原有告知函的供应商，系统自动推送告知函作废通知。</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（3）框架协议签订流程灵活配置</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1）流程节点调整</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对原有框架协议审核业务进行功能改造，将单一审核节点优化拆分为初审和终审两级审批岗位。通过搭建分级审核管控机制，适配差异化的岗位权责设置，满足不同组织机构内部审批管控、风险把控的管理要求。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2）分场景流转规则</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系统需支持经办人签章和内控专岗签章两类业务办理场景，两套流转规则可根据实际业务场景灵活选用。</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经办人签章场景：经办人完成协议受理后，提交初审、复审岗逐级审核，审核通过后由经办人完成签章，流程办结。</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内控专岗签章场景：经办人完成协议受理后，提交初审、复审岗逐级审核，审核通过后流转至内控科专岗签章，再由经办人确认后，流程办结。</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（4）项目全流程看板查询</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1）查询模式</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系统需提供项目多条件检索查询能力，支持按时间范围、操作人员、业务流程节点等维度组合筛选，同时支持关键字模糊查询，实现项目快速定位检索，便于业务人员开展项目查阅、跟踪管理。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2）内容展示</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需实现项目全流程溯源查阅，完整展示业务链路全景。支持用户直接查看文件编制、公告拟制、专家抽取、结果确认等各业务环节原始操作页面，实现关键业务信息直观回溯。系统应建设操作日志留痕能力，完整记录各环节经办人操作轨迹，做到操作行为可追溯，为事后核查及审计监督提供数据支撑。</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（5）采购公告挂载采购文件灵活配置</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1）配置权限要求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系统应将“是否强制将采购文件作为附件随公告发布”设置为按区划配置项，由用户根据当地集采机构实际业务需要自主选择启用或关闭，提升系统灵活性与适用性。</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2）配置场景要求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应针对不同配置状态呈现差异化处理逻辑：当配置为“不强制附带采购文件”时，当地集采机构发布的采购公告附件栏默认为空，系统不自动加载采购文件；当配置为“强制附带采购文件”时，系统自动将采购文件加载为公告附件，且该附件不可删除，确保公告发布内容完整、规范合规。</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（6）单一来源项目供应商准入控制</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1）【已参与项目】模块功能调整</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优化供应商端项目展示架构，将原有【已参与项目】模块拆分为待开标、已开标两个独立分页标签。</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待开标页面展示供应商已报名且未抵达开标节点的项目，项目按开标时间升序排列，并支持供应商直接跳转线上开标大厅。</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已开标页面展示开标工作已完成的项目，项目按开标时间降序排列，同步展示项目评审进度及项目状态，支持供应商对已开标项目开展全流程溯源查询。</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2）采购项目参与页面优化</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列表内所有采购项目按照开标时间或征集期限降序展示；系统通过标签区分公开招标、邀请招标、框架协议、单一来源等项目类型。同时强化单一来源项目的权限隔离管控：线上评审类单一来源项目仅对收到项目邀请的供应商展示，避免对其他供应商形成干扰。</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3）招标流程管控要求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单一来源项目在采购文件编制环节，系统支持经办人选定拟邀请投标人，实现流程权限锁定，保障后续投标环节仅被邀请供应商具备投标参与资格。</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（7）增加公开招标转框架协议方式变更功能</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1）申请基本信息</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增设【申请基本信息】功能模块，模块整体划分基本信息、计划清单、补充信息三大展示区域，用于承载公开招标转为框架协议采购方式变更业务的申报材料；其中，在补充信息区域，支持挂载展示《政府采购方式变更表》《评标委员会对征集文件审查意见表》两类业务表单，实现相关资料的统一归集展示，保障采购方式变更业务材料完整可查、流程合规留痕。</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2）申请信息完善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搭建【申请信息完善】功能模块，支撑业务表单标准化填报，具体表单功能要求如下：</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一是《政府采购方式变更表》，系统支持操作人员选择变更理由、详细阐述变更原因并上传相关佐证附件，预设变更理由包含四类，分别为项目技术复杂或性质特殊、无法确定详细规格；招标周期无法满足项目紧急需求；无法事先核算项目价格总额；其他适用框架协议采购的情形。</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二是《评标委员会对征集文件审查意见表》，支持操作人员填写书面审查意见，并上传审查意见相关截图、佐证附件，完成表单信息完善。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3）申请表单签章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搭建【申请表单签章】功能模块，实现全套业务表单合规签章及线上提交流程。模块需支持《政府采购方式变更表》《关于xxxx项目采取框架协议采购方式的申请》《评标委员会对征集文件审查意见表》三张核心表单的电子签章操作，所有表单完成合规签章后，可统一提交采购申请，完成全流程线上申报。</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（8）批复功能优化适配</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依据监管部门现行审批流程及标准化管理要求，本次对系统批复相关功能进行优化适配。</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针对采购方式变更、进口产品审批、征集方案审批三类批复业务，在完整保留原有全部业务功能的前提下，取消《方式变更批复文件》《进口产品批复文件》《征集方案批复文件》的自动生成及电子签章功能，精简审批操作环节，简化业务办理流程。</w:t>
      </w:r>
      <w:r>
        <w:rPr>
          <w:rFonts w:hint="eastAsia" w:ascii="方正仿宋_GBK" w:hAnsi="方正仿宋_GBK" w:eastAsia="方正仿宋_GBK" w:cs="方正仿宋_GBK"/>
          <w:sz w:val="28"/>
          <w:szCs w:val="28"/>
          <w:highlight w:val="none"/>
        </w:rPr>
      </w:r>
      <w:r/>
    </w:p>
    <w:p>
      <w:pPr>
        <w:pStyle w:val="939"/>
        <w:ind w:firstLine="562"/>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（二）非功能性要求</w:t>
      </w:r>
      <w:r>
        <w:rPr>
          <w:rFonts w:hint="eastAsia"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1.系统性能要求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系统性能应满足用户的要求，稳定、可靠、实用。人机界面友好，输出、输入方便，图表生成美观，检索、查询简单快捷，能够发挥基础数据的辅助决策作用。</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（1）系统总体可用率大于99.8%，数据库应用可用率不小于99.8%，WEB应用可用率不小于99.8%。</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（2）在网络稳定的环境下，系统登录时间在1秒以内；系统查看页面平均响应时间在1秒以内；进行增、删、改业务（不含大对象数据类型）响应时间在1秒以内；复杂查询页面响应时间小于3秒。</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2.可靠性要求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充分考虑系统的可靠性，尽可能保证系统在极端情况下的正常运行，避免由于模块故障或系统升级影响系统的正常运行。系统应满足以下性能要求。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系统提供7*24小时的连续运行保障，平均年故障时间&lt;1天，平均故障修复时间&lt;30分钟。</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3.灵活性要求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系统需具有快速适应业务变化的能力，应采用灵活的架构和技术手段，支持功能模块及系统处理能力的灵活整合和运用。</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4.可维护性要求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系统应支持制定应急、异常快速处理方案，实现系统的统一监控、告警、日志等。同时，实现系统维护权限与业务权限分离，实现系统的可维护性。</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（三）国产化建设/适配要求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本项目涉及的升级改造功能所有新增组件，均适配采购人要求的国产化环境（含服务器、操作系统、数据库、中间件等）。</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（四）安全要求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本项目应按照《信息安全技术网络安全等级保护基本要求》第三级安全要求进行建设。</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（五）应用架构要求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本项目建设应遵循江苏财政信息化顶层设计应用架构。</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（六）技术架构要求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本项目建设应遵循江苏财政信息化顶层设计技术架构，实现应用的分层分级、全面解耦。</w:t>
      </w:r>
      <w:r>
        <w:rPr>
          <w:rFonts w:hint="eastAsia" w:ascii="方正仿宋_GBK" w:hAnsi="方正仿宋_GBK" w:eastAsia="方正仿宋_GBK" w:cs="方正仿宋_GBK"/>
          <w:sz w:val="28"/>
          <w:szCs w:val="28"/>
          <w:highlight w:val="none"/>
        </w:rPr>
      </w:r>
      <w:r/>
    </w:p>
    <w:p>
      <w:pPr>
        <w:pStyle w:val="977"/>
        <w:ind w:firstLine="562"/>
        <w:spacing w:line="44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涉及到原系统的对接扩展，原系统无条件开放接口对接。</w:t>
      </w:r>
      <w:r>
        <w:rPr>
          <w:rFonts w:ascii="方正仿宋_GBK" w:hAnsi="方正仿宋_GBK" w:eastAsia="方正仿宋_GBK" w:cs="方正仿宋_GBK"/>
          <w:b/>
          <w:color w:val="000000"/>
          <w:sz w:val="28"/>
          <w:szCs w:val="28"/>
          <w:highlight w:val="none"/>
        </w:rPr>
      </w:r>
      <w:r/>
    </w:p>
    <w:p>
      <w:pPr>
        <w:pStyle w:val="977"/>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四、商务要求</w:t>
      </w:r>
      <w:r>
        <w:rPr>
          <w:rFonts w:hint="eastAsia" w:ascii="方正黑体_GBK" w:hAnsi="方正黑体_GBK" w:eastAsia="方正黑体_GBK" w:cs="方正黑体_GBK"/>
          <w:bCs/>
          <w:sz w:val="28"/>
          <w:szCs w:val="28"/>
          <w:highlight w:val="none"/>
        </w:rPr>
      </w:r>
      <w:r/>
    </w:p>
    <w:p>
      <w:pPr>
        <w:pStyle w:val="939"/>
        <w:ind w:firstLine="562"/>
        <w:spacing w:line="44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（一）项目交付要求</w:t>
      </w:r>
      <w:r>
        <w:rPr>
          <w:rFonts w:ascii="方正仿宋_GBK" w:hAnsi="方正仿宋_GBK" w:eastAsia="方正仿宋_GBK" w:cs="方正仿宋_GBK"/>
          <w:b/>
          <w:bCs/>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1.交付方式：产品和服务现场交付，并提交相关交付物。</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2.交付地点：南京市鼓楼区北京西路6</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号。</w:t>
      </w:r>
      <w:r>
        <w:rPr>
          <w:rFonts w:hint="eastAsia" w:ascii="方正仿宋_GBK" w:hAnsi="方正仿宋_GBK" w:eastAsia="方正仿宋_GBK" w:cs="方正仿宋_GBK"/>
          <w:sz w:val="28"/>
          <w:szCs w:val="28"/>
          <w:highlight w:val="none"/>
        </w:rPr>
      </w:r>
      <w:r/>
    </w:p>
    <w:p>
      <w:pPr>
        <w:pStyle w:val="939"/>
        <w:ind w:firstLine="562"/>
        <w:spacing w:line="44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（二）项目团队要求</w:t>
      </w:r>
      <w:r>
        <w:rPr>
          <w:rFonts w:ascii="方正仿宋_GBK" w:hAnsi="方正仿宋_GBK" w:eastAsia="方正仿宋_GBK" w:cs="方正仿宋_GBK"/>
          <w:b/>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000000"/>
          <w:sz w:val="28"/>
          <w:szCs w:val="28"/>
          <w:highlight w:val="none"/>
        </w:rPr>
        <w:t xml:space="preserve">在配置项目人员时，应充分考虑项目人员的稳定性因素，在保证项目人员的技术能力、业务水平、项目工作经验满足项目要求的前提下，通过选派</w:t>
      </w:r>
      <w:r>
        <w:rPr>
          <w:rFonts w:hint="eastAsia" w:ascii="方正仿宋_GBK" w:hAnsi="方正仿宋_GBK" w:eastAsia="方正仿宋_GBK" w:cs="方正仿宋_GBK"/>
          <w:bCs/>
          <w:color w:val="000000"/>
          <w:sz w:val="28"/>
          <w:szCs w:val="28"/>
          <w:highlight w:val="none"/>
          <w:lang w:val="en-US" w:eastAsia="zh-CN"/>
        </w:rPr>
        <w:t xml:space="preserve">具备同类软件开发或平台升级项目经验</w:t>
      </w:r>
      <w:r>
        <w:rPr>
          <w:rFonts w:hint="eastAsia" w:ascii="方正仿宋_GBK" w:hAnsi="方正仿宋_GBK" w:eastAsia="方正仿宋_GBK" w:cs="方正仿宋_GBK"/>
          <w:bCs/>
          <w:color w:val="000000"/>
          <w:sz w:val="28"/>
          <w:szCs w:val="28"/>
          <w:highlight w:val="none"/>
        </w:rPr>
        <w:t xml:space="preserve">的技术骨干参与项目实施服务工作。</w:t>
      </w:r>
      <w:r>
        <w:rPr>
          <w:rFonts w:hint="eastAsia" w:ascii="方正仿宋_GBK" w:hAnsi="方正仿宋_GBK" w:eastAsia="方正仿宋_GBK" w:cs="方正仿宋_GBK"/>
          <w:bCs/>
          <w:sz w:val="28"/>
          <w:szCs w:val="28"/>
          <w:highlight w:val="none"/>
        </w:rPr>
        <w:t xml:space="preserve">同时需保证项目团队人员稳定，未经采购人同意，</w:t>
      </w:r>
      <w:r>
        <w:rPr>
          <w:rFonts w:hint="eastAsia" w:ascii="方正仿宋_GBK" w:hAnsi="方正仿宋_GBK" w:eastAsia="方正仿宋_GBK" w:cs="方正仿宋_GBK"/>
          <w:bCs/>
          <w:sz w:val="28"/>
          <w:szCs w:val="28"/>
          <w:highlight w:val="none"/>
          <w:lang w:val="en-US" w:eastAsia="zh-CN"/>
        </w:rPr>
        <w:t xml:space="preserve">不得</w:t>
      </w:r>
      <w:r>
        <w:rPr>
          <w:rFonts w:hint="eastAsia" w:ascii="方正仿宋_GBK" w:hAnsi="方正仿宋_GBK" w:eastAsia="方正仿宋_GBK" w:cs="方正仿宋_GBK"/>
          <w:bCs/>
          <w:sz w:val="28"/>
          <w:szCs w:val="28"/>
          <w:highlight w:val="none"/>
          <w:lang w:val="en-US" w:eastAsia="zh-CN"/>
        </w:rPr>
        <w:t xml:space="preserve">擅自</w:t>
      </w:r>
      <w:r>
        <w:rPr>
          <w:rFonts w:hint="eastAsia" w:ascii="方正仿宋_GBK" w:hAnsi="方正仿宋_GBK" w:eastAsia="方正仿宋_GBK" w:cs="方正仿宋_GBK"/>
          <w:bCs/>
          <w:sz w:val="28"/>
          <w:szCs w:val="28"/>
          <w:highlight w:val="none"/>
        </w:rPr>
        <w:t xml:space="preserve">变更项</w:t>
      </w:r>
      <w:r>
        <w:rPr>
          <w:rFonts w:hint="eastAsia" w:ascii="方正仿宋_GBK" w:hAnsi="方正仿宋_GBK" w:eastAsia="方正仿宋_GBK" w:cs="方正仿宋_GBK"/>
          <w:bCs/>
          <w:sz w:val="28"/>
          <w:szCs w:val="28"/>
          <w:highlight w:val="none"/>
        </w:rPr>
        <w:t xml:space="preserve">目人员。</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1.供应商应根据本项目需求提供相应的服务力量，需要为本项目配置项目经理，负责整体协调、联络和进度把控，确保服务对象能实时联系到服务人员并解决问题。</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2.供应商应提供不少于12人的项目团队负责项目建设与实施。</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3.运维期内，供应商需提供不少于1人的运维服务人员，提供运维服务。</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4.供应商提供的项目团队人员，应具备较强的系统建设、实施、运维等能力，能够及时高效地完成相关建设与服务内容。</w:t>
      </w:r>
      <w:r>
        <w:rPr>
          <w:rFonts w:hint="eastAsia" w:ascii="方正仿宋_GBK" w:hAnsi="方正仿宋_GBK" w:eastAsia="方正仿宋_GBK" w:cs="方正仿宋_GBK"/>
          <w:bCs/>
          <w:sz w:val="28"/>
          <w:szCs w:val="28"/>
          <w:highlight w:val="none"/>
        </w:rPr>
      </w:r>
      <w:r/>
    </w:p>
    <w:p>
      <w:pPr>
        <w:pStyle w:val="939"/>
        <w:ind w:firstLine="560"/>
        <w:jc w:val="left"/>
        <w:spacing w:line="440" w:lineRule="exact"/>
        <w:widowControl/>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5.供应商确保7*24小时电话快速响应处理相关问题；需提供应急服务支持人员电话，在非工作日或非上班时间对紧急事宜响应和处理。接到报修后30分钟内响应，2小时内提供解决方案。</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6.供应商更换项目经理、需求负责人、研发负责人、实施负责人时，需至少提前一个月书面通知采购人，征得采购人书面同意后方可更换，更换前需做好相关工作交接，及时更新项目团队组织架构。</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更换项目团队其他人员（除项目经理、需求负责人、研发负责人、实施负责人）时，项目经理应至少提前20天通知采购人，征得采购人同意后方可更换，更换前需做好相关工作交接，及时更新项目团队组织架构。</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8.如采购人对项目团队人员不满意，供应商应在收到采购人要求更换人员的通知后10个工作日内完成更换，直至采购人满意，更换前需做好相关工作交接，及时更新项目团队组织架构。</w:t>
      </w:r>
      <w:r>
        <w:rPr>
          <w:rFonts w:hint="eastAsia" w:ascii="方正仿宋_GBK" w:hAnsi="方正仿宋_GBK" w:eastAsia="方正仿宋_GBK" w:cs="方正仿宋_GBK"/>
          <w:bCs/>
          <w:sz w:val="28"/>
          <w:szCs w:val="28"/>
          <w:highlight w:val="none"/>
        </w:rPr>
      </w:r>
      <w:r/>
    </w:p>
    <w:p>
      <w:pPr>
        <w:pStyle w:val="939"/>
        <w:ind w:firstLine="562"/>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（三）项目管理与实施要求</w:t>
      </w:r>
      <w:r>
        <w:rPr>
          <w:rFonts w:hint="eastAsia" w:ascii="方正仿宋_GBK" w:hAnsi="方正仿宋_GBK" w:eastAsia="方正仿宋_GBK" w:cs="方正仿宋_GBK"/>
          <w:b/>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1.供应商应建立规范、完整的项目管理体系，规范开展项目实施工作，完整记录项目实施过程和结果。定期与采购人组织会议，沟通阶段实施成果、工作中存在的问题和后续的改进计划。</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2.供应商在项目实施期间必须遵守采购人的规章制度。</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3.供应商应接受工程监理及项目管理要求。</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4.本项目合同不得转让，不得分包。</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5.项目建设周期：合同签订后两个月内完成系统上线运行。项目建设期内完成全部建设内容的开发、部署、测试、实施、上线、培训等工作；完成系统上线并通过项目验收后，提供一年运维</w:t>
      </w:r>
      <w:r>
        <w:rPr>
          <w:rFonts w:hint="eastAsia" w:ascii="方正仿宋_GBK" w:hAnsi="方正仿宋_GBK" w:eastAsia="方正仿宋_GBK" w:cs="方正仿宋_GBK"/>
          <w:bCs/>
          <w:sz w:val="28"/>
          <w:szCs w:val="28"/>
          <w:highlight w:val="none"/>
          <w:lang w:val="en-US" w:eastAsia="zh-CN"/>
        </w:rPr>
        <w:t xml:space="preserve">和</w:t>
      </w:r>
      <w:r>
        <w:rPr>
          <w:rFonts w:hint="eastAsia" w:ascii="方正仿宋_GBK" w:hAnsi="方正仿宋_GBK" w:eastAsia="方正仿宋_GBK" w:cs="方正仿宋_GBK"/>
          <w:bCs/>
          <w:sz w:val="28"/>
          <w:szCs w:val="28"/>
          <w:highlight w:val="none"/>
        </w:rPr>
        <w:t xml:space="preserve">两年</w:t>
      </w:r>
      <w:r>
        <w:rPr>
          <w:rFonts w:hint="eastAsia" w:ascii="方正仿宋_GBK" w:hAnsi="方正仿宋_GBK" w:eastAsia="方正仿宋_GBK" w:cs="方正仿宋_GBK"/>
          <w:bCs/>
          <w:sz w:val="28"/>
          <w:szCs w:val="28"/>
          <w:highlight w:val="none"/>
        </w:rPr>
        <w:t xml:space="preserve">质保。上述相关费用含在本项目投标报价中。</w:t>
      </w:r>
      <w:r>
        <w:rPr>
          <w:rFonts w:ascii="方正仿宋_GBK" w:hAnsi="方正仿宋_GBK" w:eastAsia="方正仿宋_GBK" w:cs="方正仿宋_GBK"/>
          <w:bCs/>
          <w:sz w:val="28"/>
          <w:szCs w:val="28"/>
          <w:highlight w:val="none"/>
        </w:rPr>
      </w:r>
      <w:r/>
    </w:p>
    <w:p>
      <w:pPr>
        <w:pStyle w:val="939"/>
        <w:ind w:firstLine="562"/>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（四）质量要求</w:t>
      </w:r>
      <w:r>
        <w:rPr>
          <w:rFonts w:hint="eastAsia" w:ascii="方正仿宋_GBK" w:hAnsi="方正仿宋_GBK" w:eastAsia="方正仿宋_GBK" w:cs="方正仿宋_GBK"/>
          <w:b/>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ascii="方正仿宋_GBK" w:hAnsi="方正仿宋_GBK" w:eastAsia="方正仿宋_GBK" w:cs="方正仿宋_GBK"/>
          <w:bCs/>
          <w:sz w:val="28"/>
          <w:szCs w:val="28"/>
          <w:highlight w:val="none"/>
        </w:rPr>
        <w:t xml:space="preserve">供应商应根据项目的工作计划，对阶段性实施成果进行审核。通过保证各阶段性成果的质量，最终保证整体服务的质量。如因供应商原因造成项目质量不合格、处理问题不及时等问题，采购人有权依据合同要求供应商承担相应法律责任。</w:t>
      </w:r>
      <w:r>
        <w:rPr>
          <w:rFonts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ascii="方正仿宋_GBK" w:hAnsi="方正仿宋_GBK" w:eastAsia="方正仿宋_GBK" w:cs="方正仿宋_GBK"/>
          <w:bCs/>
          <w:sz w:val="28"/>
          <w:szCs w:val="28"/>
          <w:highlight w:val="none"/>
        </w:rPr>
        <w:t xml:space="preserve">供应商应建立质量保证体系，制定项目实施的质量控制方案和实施措施，并督促完成各环节质量控制内容和目标；保证项目实施满足采购人对质量的要求。</w:t>
      </w:r>
      <w:r>
        <w:rPr>
          <w:rFonts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w:t>
      </w:r>
      <w:r>
        <w:rPr>
          <w:rFonts w:ascii="方正仿宋_GBK" w:hAnsi="方正仿宋_GBK" w:eastAsia="方正仿宋_GBK" w:cs="方正仿宋_GBK"/>
          <w:bCs/>
          <w:sz w:val="28"/>
          <w:szCs w:val="28"/>
          <w:highlight w:val="none"/>
        </w:rPr>
        <w:t xml:space="preserve">供应商需制定明确的质量管理办法，确保团队全体人员了解和遵守，同时设定可测量的质量目标，以便评估和改进绩效，同时需要确保产出文档的准确性和可访问性。</w:t>
      </w:r>
      <w:r>
        <w:rPr>
          <w:rFonts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ascii="方正仿宋_GBK" w:hAnsi="方正仿宋_GBK" w:eastAsia="方正仿宋_GBK" w:cs="方正仿宋_GBK"/>
          <w:bCs/>
          <w:sz w:val="28"/>
          <w:szCs w:val="28"/>
          <w:highlight w:val="none"/>
        </w:rPr>
        <w:t xml:space="preserve">供应商应遵循《江苏省财政厅信息化建设管理办法（试行）》的项目建设质量要求，以及采购人有关服务厂商、信息化项目的服务质量管理要求，并接受采购人定期对服务进行绩效考核。</w:t>
      </w:r>
      <w:r>
        <w:rPr>
          <w:rFonts w:ascii="方正仿宋_GBK" w:hAnsi="方正仿宋_GBK" w:eastAsia="方正仿宋_GBK" w:cs="方正仿宋_GBK"/>
          <w:bCs/>
          <w:sz w:val="28"/>
          <w:szCs w:val="28"/>
          <w:highlight w:val="none"/>
        </w:rPr>
      </w:r>
      <w:r/>
    </w:p>
    <w:p>
      <w:pPr>
        <w:pStyle w:val="939"/>
        <w:ind w:firstLine="562"/>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（五）培训要求</w:t>
      </w:r>
      <w:r>
        <w:rPr>
          <w:rFonts w:hint="eastAsia" w:ascii="方正仿宋_GBK" w:hAnsi="方正仿宋_GBK" w:eastAsia="方正仿宋_GBK" w:cs="方正仿宋_GBK"/>
          <w:b/>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保障业务顺利开展，供应商应配合服务对象做好相关的系统操作培训，培训对象为系统用户。</w:t>
      </w:r>
      <w:r>
        <w:rPr>
          <w:rFonts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培训由供应商负责师资及教材，由财政部门提供场地和培训设备并负责受训人员召集，组织实施。供应商应指派具有相关专业资格和实际工作经验的教师及辅导人员进行培训，主要培训教员应具有三年以上的培训经验。</w:t>
      </w:r>
      <w:r>
        <w:rPr>
          <w:rFonts w:ascii="方正仿宋_GBK" w:hAnsi="方正仿宋_GBK" w:eastAsia="方正仿宋_GBK" w:cs="方正仿宋_GBK"/>
          <w:bCs/>
          <w:sz w:val="28"/>
          <w:szCs w:val="28"/>
          <w:highlight w:val="none"/>
        </w:rPr>
      </w:r>
      <w:r/>
    </w:p>
    <w:p>
      <w:pPr>
        <w:pStyle w:val="939"/>
        <w:ind w:firstLine="562"/>
        <w:spacing w:line="44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（六）</w:t>
      </w:r>
      <w:r>
        <w:rPr>
          <w:rFonts w:ascii="方正仿宋_GBK" w:hAnsi="方正仿宋_GBK" w:eastAsia="方正仿宋_GBK" w:cs="方正仿宋_GBK"/>
          <w:b/>
          <w:sz w:val="28"/>
          <w:szCs w:val="28"/>
          <w:highlight w:val="none"/>
        </w:rPr>
        <w:t xml:space="preserve">知识产权要求</w:t>
      </w:r>
      <w:r>
        <w:rPr>
          <w:rFonts w:ascii="方正仿宋_GBK" w:hAnsi="方正仿宋_GBK" w:eastAsia="方正仿宋_GBK" w:cs="方正仿宋_GBK"/>
          <w:b/>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1.供应商使用或提供的第三方支撑软件要确保为正版合法软件，一切因供应商使用或提供第三方支撑软件引起的经济和法律纠纷由供应商负责，采购人不承担任何责任。</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2.本项目形成的知识产权归采购人所有。</w:t>
      </w:r>
      <w:r>
        <w:rPr>
          <w:rFonts w:hint="eastAsia" w:ascii="方正仿宋_GBK" w:hAnsi="方正仿宋_GBK" w:eastAsia="方正仿宋_GBK" w:cs="方正仿宋_GBK"/>
          <w:bCs/>
          <w:sz w:val="28"/>
          <w:szCs w:val="28"/>
          <w:highlight w:val="none"/>
        </w:rPr>
      </w:r>
      <w:r/>
    </w:p>
    <w:p>
      <w:pPr>
        <w:pStyle w:val="939"/>
        <w:ind w:firstLine="562"/>
        <w:spacing w:line="44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（七）保密要求</w:t>
      </w:r>
      <w:r>
        <w:rPr>
          <w:rFonts w:ascii="方正仿宋_GBK" w:hAnsi="方正仿宋_GBK" w:eastAsia="方正仿宋_GBK" w:cs="方正仿宋_GBK"/>
          <w:b/>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严格遵循国家法律法规规定及政策要求、主管部门及采购人要求。</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1.供应商需与采购人签署保密协议书。供应商对本项目中涉及的所有信息有保密义务，未经采购人及所服务的各级财政部门书面认可，不得向任何第三方提供，不得用于本项目之外的任何其他用途。</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2.供应商服务人员需签署保密承诺后方可上岗工作，并必须遵守保密义务,不得泄露、篡改、私自留存或删除项目相关信息。因供应商（或其员工）原因引起信息泄露，供应商承担相应的法律责任。</w:t>
      </w:r>
      <w:r>
        <w:rPr>
          <w:rFonts w:hint="eastAsia" w:ascii="方正仿宋_GBK" w:hAnsi="方正仿宋_GBK" w:eastAsia="方正仿宋_GBK" w:cs="方正仿宋_GBK"/>
          <w:bCs/>
          <w:sz w:val="28"/>
          <w:szCs w:val="28"/>
          <w:highlight w:val="none"/>
        </w:rPr>
      </w:r>
      <w:r/>
    </w:p>
    <w:p>
      <w:pPr>
        <w:pStyle w:val="939"/>
        <w:ind w:firstLine="562"/>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（八）验收要求</w:t>
      </w:r>
      <w:r>
        <w:rPr>
          <w:rFonts w:hint="eastAsia" w:ascii="方正仿宋_GBK" w:hAnsi="方正仿宋_GBK" w:eastAsia="方正仿宋_GBK" w:cs="方正仿宋_GBK"/>
          <w:b/>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供应商应配合采购人根据国家及江苏省电子政务项目验收有关要求及规范，完成项目验收，将成果资料交付采购人。</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1.启动验收的基本条件：业务应用已完成代码开发及集成测试，系统功能、性能均达设计要求，相关问题均已整改完成。</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2.本项目的成果资料要求如下。</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（1）源代码：供应商应提供本项目软件的全部源代码文件，以光盘的形式提交给采购人。</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文档：供应商应提供本项目的需求规格说明书、概要设计说明书、详细设计说明书、数据库设计说明书、系统测试报告、软件部署手册、系统使用手册、系统运维操作手册、培训手册、项目总结报告、项目验收报告等。</w:t>
      </w:r>
      <w:r>
        <w:rPr>
          <w:rFonts w:hint="eastAsia" w:ascii="方正仿宋_GBK" w:hAnsi="方正仿宋_GBK" w:eastAsia="方正仿宋_GBK" w:cs="方正仿宋_GBK"/>
          <w:bCs/>
          <w:sz w:val="28"/>
          <w:szCs w:val="28"/>
          <w:highlight w:val="none"/>
        </w:rPr>
      </w:r>
      <w:r/>
    </w:p>
    <w:p>
      <w:pPr>
        <w:pStyle w:val="939"/>
        <w:ind w:firstLine="562"/>
        <w:spacing w:line="44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（九）运维服务要求</w:t>
      </w:r>
      <w:r>
        <w:rPr>
          <w:rFonts w:ascii="方正仿宋_GBK" w:hAnsi="方正仿宋_GBK" w:eastAsia="方正仿宋_GBK" w:cs="方正仿宋_GBK"/>
          <w:b/>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运维团队成员应具备财政信息化项目相关工作经验。</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供应商应遵循《江苏财政省级统建信息系统运行维护工作制度（试行）》的运维管理要求，为本项目的实施和运维提供专业化、规范化、高品质的服务，并承诺系统能够正常、稳定、可靠、安全地运行。相关售后服务要求如下：</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1.提供系统巡检服务，并同步输出巡检报告。</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2.提供系统缺陷修复、软件升级、性能优化等服务。</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3.提供系统日常应用操作指导服务。</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4.提供系统操作手册、配置升级手册、培训材料等文档的更新服务。</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5.提供派遣技术服务人员到用户现场支撑的服务，包括软件日常使用咨询、软件异常情况处理、业务数据异常处理等。</w:t>
      </w:r>
      <w:r>
        <w:rPr>
          <w:rFonts w:hint="eastAsia"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6.项目验收合格后，供应商提供对本次升级改造内容的1年运维服务。</w:t>
      </w:r>
      <w:r>
        <w:rPr>
          <w:rFonts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7.本项目已明确的服务内容，供应商不得以任何理由再向系统用户收取任何服务费用。</w:t>
      </w:r>
      <w:r>
        <w:rPr>
          <w:rFonts w:hint="eastAsia" w:ascii="方正仿宋_GBK" w:hAnsi="方正仿宋_GBK" w:eastAsia="方正仿宋_GBK" w:cs="方正仿宋_GBK"/>
          <w:bCs/>
          <w:sz w:val="28"/>
          <w:szCs w:val="28"/>
          <w:highlight w:val="none"/>
        </w:rPr>
      </w:r>
      <w:r/>
    </w:p>
    <w:p>
      <w:pPr>
        <w:pStyle w:val="939"/>
        <w:ind w:firstLine="562"/>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（十）付款方式</w:t>
      </w:r>
      <w:r>
        <w:rPr>
          <w:rFonts w:hint="eastAsia" w:ascii="方正仿宋_GBK" w:hAnsi="方正仿宋_GBK" w:eastAsia="方正仿宋_GBK" w:cs="方正仿宋_GBK"/>
          <w:b/>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下列款项以人民币方式按照以下进度由采购人办理支付。</w:t>
      </w:r>
      <w:r>
        <w:rPr>
          <w:rFonts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按照项目执行进度分</w:t>
      </w:r>
      <w:r>
        <w:rPr>
          <w:rFonts w:hint="eastAsia" w:ascii="方正仿宋_GBK" w:hAnsi="方正仿宋_GBK" w:eastAsia="方正仿宋_GBK" w:cs="方正仿宋_GBK"/>
          <w:bCs/>
          <w:sz w:val="28"/>
          <w:szCs w:val="28"/>
          <w:highlight w:val="none"/>
        </w:rPr>
        <w:t xml:space="preserve">两</w:t>
      </w:r>
      <w:r>
        <w:rPr>
          <w:rFonts w:ascii="方正仿宋_GBK" w:hAnsi="方正仿宋_GBK" w:eastAsia="方正仿宋_GBK" w:cs="方正仿宋_GBK"/>
          <w:bCs/>
          <w:sz w:val="28"/>
          <w:szCs w:val="28"/>
          <w:highlight w:val="none"/>
        </w:rPr>
        <w:t xml:space="preserve">次付款：</w:t>
      </w:r>
      <w:r>
        <w:rPr>
          <w:rFonts w:ascii="方正仿宋_GBK" w:hAnsi="方正仿宋_GBK" w:eastAsia="方正仿宋_GBK" w:cs="方正仿宋_GBK"/>
          <w:bCs/>
          <w:sz w:val="28"/>
          <w:szCs w:val="28"/>
          <w:highlight w:val="none"/>
        </w:rPr>
      </w:r>
      <w:r/>
    </w:p>
    <w:p>
      <w:pPr>
        <w:pStyle w:val="939"/>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rPr>
        <w:t xml:space="preserve">.</w:t>
      </w:r>
      <w:r>
        <w:rPr>
          <w:rFonts w:ascii="方正仿宋_GBK" w:hAnsi="方正仿宋_GBK" w:eastAsia="方正仿宋_GBK" w:cs="方正仿宋_GBK"/>
          <w:bCs/>
          <w:sz w:val="28"/>
          <w:szCs w:val="28"/>
          <w:highlight w:val="none"/>
        </w:rPr>
        <w:t xml:space="preserve">合同签订完成且收到供应商提供的发票后，采购人十个工作日内支付合同总金额的40%；</w:t>
      </w:r>
      <w:r>
        <w:rPr>
          <w:rFonts w:ascii="方正仿宋_GBK" w:hAnsi="方正仿宋_GBK" w:eastAsia="方正仿宋_GBK" w:cs="方正仿宋_GBK"/>
          <w:bCs/>
          <w:sz w:val="28"/>
          <w:szCs w:val="28"/>
          <w:highlight w:val="none"/>
        </w:rPr>
      </w:r>
      <w:r/>
    </w:p>
    <w:p>
      <w:pPr>
        <w:pStyle w:val="939"/>
        <w:ind w:firstLine="560"/>
        <w:spacing w:line="440" w:lineRule="exact"/>
        <w:rPr>
          <w:rFonts w:hint="eastAsia"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rPr>
        <w:t xml:space="preserve">.</w:t>
      </w:r>
      <w:r>
        <w:rPr>
          <w:rFonts w:ascii="方正仿宋_GBK" w:hAnsi="方正仿宋_GBK" w:eastAsia="方正仿宋_GBK" w:cs="方正仿宋_GBK"/>
          <w:bCs/>
          <w:sz w:val="28"/>
          <w:szCs w:val="28"/>
          <w:highlight w:val="none"/>
        </w:rPr>
        <w:t xml:space="preserve">项目验收通过且收到供应商提供的发票后，采购人十个工作日内支付合同总金额的</w:t>
      </w:r>
      <w:r>
        <w:rPr>
          <w:rFonts w:hint="eastAsia" w:ascii="方正仿宋_GBK" w:hAnsi="方正仿宋_GBK" w:eastAsia="方正仿宋_GBK" w:cs="方正仿宋_GBK"/>
          <w:bCs/>
          <w:sz w:val="28"/>
          <w:szCs w:val="28"/>
          <w:highlight w:val="none"/>
        </w:rPr>
        <w:t xml:space="preserve">6</w:t>
      </w:r>
      <w:r>
        <w:rPr>
          <w:rFonts w:ascii="方正仿宋_GBK" w:hAnsi="方正仿宋_GBK" w:eastAsia="方正仿宋_GBK" w:cs="方正仿宋_GBK"/>
          <w:bCs/>
          <w:sz w:val="28"/>
          <w:szCs w:val="28"/>
          <w:highlight w:val="none"/>
        </w:rPr>
        <w:t xml:space="preserve">0%</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977"/>
        <w:spacing w:line="44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五、其他要求</w:t>
      </w:r>
      <w:r>
        <w:rPr>
          <w:rFonts w:hint="eastAsia" w:ascii="方正黑体_GBK" w:hAnsi="方正黑体_GBK" w:eastAsia="方正黑体_GBK" w:cs="方正黑体_GBK"/>
          <w:bCs/>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（一）项目属性：服务类项目。</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（二）投标人服务能力要求</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1.投标人应具有与采购交易管理相关、与不见面交易相关的软件著作权登记证书。</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2.投标人应具有</w:t>
      </w:r>
      <w:r>
        <w:rPr>
          <w:rFonts w:ascii="方正仿宋_GBK" w:hAnsi="方正仿宋_GBK" w:eastAsia="方正仿宋_GBK" w:cs="方正仿宋_GBK"/>
          <w:bCs/>
          <w:color w:val="000000"/>
          <w:sz w:val="28"/>
          <w:szCs w:val="28"/>
          <w:highlight w:val="none"/>
        </w:rPr>
        <w:t xml:space="preserve">自2023年1月1日</w:t>
      </w:r>
      <w:r>
        <w:rPr>
          <w:rFonts w:hint="eastAsia" w:ascii="方正仿宋_GBK" w:hAnsi="方正仿宋_GBK" w:eastAsia="方正仿宋_GBK" w:cs="方正仿宋_GBK"/>
          <w:bCs/>
          <w:color w:val="000000"/>
          <w:sz w:val="28"/>
          <w:szCs w:val="28"/>
          <w:highlight w:val="none"/>
        </w:rPr>
        <w:t xml:space="preserve">以来</w:t>
      </w:r>
      <w:r>
        <w:rPr>
          <w:rFonts w:ascii="方正仿宋_GBK" w:hAnsi="方正仿宋_GBK" w:eastAsia="方正仿宋_GBK" w:cs="方正仿宋_GBK"/>
          <w:bCs/>
          <w:color w:val="000000"/>
          <w:sz w:val="28"/>
          <w:szCs w:val="28"/>
          <w:highlight w:val="none"/>
        </w:rPr>
        <w:t xml:space="preserve">至投标截止时间承接的</w:t>
      </w:r>
      <w:r>
        <w:rPr>
          <w:rFonts w:hint="eastAsia" w:ascii="方正仿宋_GBK" w:hAnsi="方正仿宋_GBK" w:eastAsia="方正仿宋_GBK" w:cs="方正仿宋_GBK"/>
          <w:bCs/>
          <w:color w:val="000000"/>
          <w:sz w:val="28"/>
          <w:szCs w:val="28"/>
          <w:highlight w:val="none"/>
        </w:rPr>
        <w:t xml:space="preserve">类似</w:t>
      </w:r>
      <w:r>
        <w:rPr>
          <w:rFonts w:ascii="方正仿宋_GBK" w:hAnsi="方正仿宋_GBK" w:eastAsia="方正仿宋_GBK" w:cs="方正仿宋_GBK"/>
          <w:bCs/>
          <w:color w:val="000000"/>
          <w:sz w:val="28"/>
          <w:szCs w:val="28"/>
          <w:highlight w:val="none"/>
        </w:rPr>
        <w:t xml:space="preserve">信息化建设或运维相关业绩</w:t>
      </w:r>
      <w:r>
        <w:rPr>
          <w:rFonts w:hint="eastAsia" w:ascii="方正仿宋_GBK" w:hAnsi="方正仿宋_GBK" w:eastAsia="方正仿宋_GBK" w:cs="方正仿宋_GBK"/>
          <w:bCs/>
          <w:color w:val="000000"/>
          <w:sz w:val="28"/>
          <w:szCs w:val="28"/>
          <w:highlight w:val="none"/>
        </w:rPr>
        <w:t xml:space="preserve">。</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（三）投标人服务团队要求</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ascii="方正仿宋_GBK" w:hAnsi="方正仿宋_GBK" w:eastAsia="方正仿宋_GBK" w:cs="方正仿宋_GBK"/>
          <w:bCs/>
          <w:color w:val="000000"/>
          <w:sz w:val="28"/>
          <w:szCs w:val="28"/>
          <w:highlight w:val="none"/>
        </w:rPr>
        <w:t xml:space="preserve">项目经理具有IT服务项目经理</w:t>
      </w:r>
      <w:r>
        <w:rPr>
          <w:rFonts w:hint="eastAsia" w:ascii="方正仿宋_GBK" w:hAnsi="方正仿宋_GBK" w:eastAsia="方正仿宋_GBK" w:cs="方正仿宋_GBK"/>
          <w:bCs/>
          <w:color w:val="000000"/>
          <w:sz w:val="28"/>
          <w:szCs w:val="28"/>
          <w:highlight w:val="none"/>
        </w:rPr>
        <w:t xml:space="preserve">（</w:t>
      </w:r>
      <w:r>
        <w:rPr>
          <w:rFonts w:ascii="方正仿宋_GBK" w:hAnsi="方正仿宋_GBK" w:eastAsia="方正仿宋_GBK" w:cs="方正仿宋_GBK"/>
          <w:bCs/>
          <w:color w:val="000000"/>
          <w:sz w:val="28"/>
          <w:szCs w:val="28"/>
          <w:highlight w:val="none"/>
        </w:rPr>
        <w:t xml:space="preserve">ITSS</w:t>
      </w:r>
      <w:r>
        <w:rPr>
          <w:rFonts w:hint="eastAsia" w:ascii="方正仿宋_GBK" w:hAnsi="方正仿宋_GBK" w:eastAsia="方正仿宋_GBK" w:cs="方正仿宋_GBK"/>
          <w:bCs/>
          <w:color w:val="000000"/>
          <w:sz w:val="28"/>
          <w:szCs w:val="28"/>
          <w:highlight w:val="none"/>
        </w:rPr>
        <w:t xml:space="preserve">）</w:t>
      </w:r>
      <w:r>
        <w:rPr>
          <w:rFonts w:ascii="方正仿宋_GBK" w:hAnsi="方正仿宋_GBK" w:eastAsia="方正仿宋_GBK" w:cs="方正仿宋_GBK"/>
          <w:bCs/>
          <w:color w:val="000000"/>
          <w:sz w:val="28"/>
          <w:szCs w:val="28"/>
          <w:highlight w:val="none"/>
        </w:rPr>
        <w:t xml:space="preserve">证书。</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ascii="方正仿宋_GBK" w:hAnsi="方正仿宋_GBK" w:eastAsia="方正仿宋_GBK" w:cs="方正仿宋_GBK"/>
          <w:bCs/>
          <w:color w:val="000000"/>
          <w:sz w:val="28"/>
          <w:szCs w:val="28"/>
          <w:highlight w:val="none"/>
        </w:rPr>
        <w:t xml:space="preserve">项目团队成员（不含项目经理）</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val="en-US" w:eastAsia="zh-CN"/>
        </w:rPr>
        <w:t xml:space="preserve">关键岗位人员（软件开发设计、软件安全服务等）</w:t>
      </w:r>
      <w:r>
        <w:rPr>
          <w:rFonts w:hint="eastAsia" w:ascii="方正仿宋_GBK" w:hAnsi="方正仿宋_GBK" w:eastAsia="方正仿宋_GBK" w:cs="方正仿宋_GBK"/>
          <w:bCs/>
          <w:color w:val="000000"/>
          <w:sz w:val="28"/>
          <w:szCs w:val="28"/>
          <w:highlight w:val="none"/>
        </w:rPr>
        <w:t xml:space="preserve">具有中华人民共和国人力资源和社会保障部、工业和信息化部联合颁发的系统集成项目管理工程师证书</w:t>
      </w:r>
      <w:r>
        <w:rPr>
          <w:rFonts w:hint="eastAsia" w:ascii="方正仿宋_GBK" w:hAnsi="方正仿宋_GBK" w:eastAsia="方正仿宋_GBK" w:cs="方正仿宋_GBK"/>
          <w:bCs/>
          <w:color w:val="000000"/>
          <w:sz w:val="28"/>
          <w:szCs w:val="28"/>
          <w:highlight w:val="none"/>
          <w:lang w:val="en-US" w:eastAsia="zh-CN"/>
        </w:rPr>
        <w:t xml:space="preserve">或</w:t>
      </w:r>
      <w:r>
        <w:rPr>
          <w:rFonts w:hint="eastAsia" w:ascii="方正仿宋_GBK" w:hAnsi="方正仿宋_GBK" w:eastAsia="方正仿宋_GBK" w:cs="方正仿宋_GBK"/>
          <w:bCs/>
          <w:color w:val="000000"/>
          <w:sz w:val="28"/>
          <w:szCs w:val="28"/>
          <w:highlight w:val="none"/>
        </w:rPr>
        <w:t xml:space="preserve">软件设计师证书</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或</w:t>
      </w:r>
      <w:r>
        <w:rPr>
          <w:rFonts w:hint="eastAsia" w:ascii="方正仿宋_GBK" w:hAnsi="方正仿宋_GBK" w:eastAsia="方正仿宋_GBK" w:cs="方正仿宋_GBK"/>
          <w:bCs/>
          <w:color w:val="000000"/>
          <w:sz w:val="28"/>
          <w:szCs w:val="28"/>
          <w:highlight w:val="none"/>
          <w:lang w:val="en-US" w:eastAsia="zh-CN"/>
        </w:rPr>
        <w:t xml:space="preserve">具有</w:t>
      </w:r>
      <w:r>
        <w:rPr>
          <w:rFonts w:hint="eastAsia" w:ascii="方正仿宋_GBK" w:hAnsi="方正仿宋_GBK" w:eastAsia="方正仿宋_GBK" w:cs="方正仿宋_GBK"/>
          <w:bCs/>
          <w:color w:val="000000"/>
          <w:sz w:val="28"/>
          <w:szCs w:val="28"/>
          <w:highlight w:val="none"/>
        </w:rPr>
        <w:t xml:space="preserve">注册信息安全专业人员（CISP）证书。</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团队</w:t>
      </w:r>
      <w:r>
        <w:rPr>
          <w:rFonts w:hint="eastAsia" w:ascii="方正仿宋_GBK" w:hAnsi="方正仿宋_GBK" w:eastAsia="方正仿宋_GBK" w:cs="方正仿宋_GBK"/>
          <w:sz w:val="28"/>
          <w:szCs w:val="28"/>
          <w:highlight w:val="none"/>
          <w:lang w:val="en-US" w:eastAsia="zh-CN"/>
        </w:rPr>
        <w:t xml:space="preserve">成</w:t>
      </w:r>
      <w:r>
        <w:rPr>
          <w:rFonts w:hint="eastAsia" w:ascii="方正仿宋_GBK" w:hAnsi="方正仿宋_GBK" w:eastAsia="方正仿宋_GBK" w:cs="方正仿宋_GBK"/>
          <w:sz w:val="28"/>
          <w:szCs w:val="28"/>
          <w:highlight w:val="none"/>
        </w:rPr>
        <w:t xml:space="preserve">员具有“采购交易管理”类似建设或运维项目经验</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（四）服务方案要求</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1.重难点分析方案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结合江苏省实际业务需求，对本项目“八项业务功能要求</w:t>
      </w:r>
      <w:r>
        <w:rPr>
          <w:rFonts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建设过程中的重点、难点进行全面梳理分析，提供分析方案。方案内容包括但不限于重点、难点梳理分析、具体的应对措施、具体的解决方案等。要求方案结构清晰，描述准确、全面、完整，内容科学合理有针对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重点、难点梳理分析：需结合江苏省政府采购管理交易平台实际业务需求，围绕本项目“八项业务功能要求”梳理建设过程中的重点与难点，充分考虑但不限于分析政策要求落地、业务规则复杂性、系统改造关联度、存量业务兼容等方面，形成重点、难点清单，明确其影响范围和优先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具体的应对措施：需针对梳理出的重点、难点逐项提出应对措施，明确技术路径、组织分工、资源投入和完成时限；对涉及政策口径理解的内容，应主动与采购人沟通确认，避免理解偏差；对存在不确定性的技术环节，应制定备选方案，保障项目实施不受影响。</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具体的解决方案：需在应对措施基础上形成可执行的解决方案，说明业务流程设计、系统改造范围、接口对接方式、数据兼容处理办法以及上线切换与回退安排，确保方案科学合理、可落地、可验证，能够切实解决本项目建设的重点难点问题。</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2.采购文件标准化功能升级、进口产品备案功能改造、新增本国产品标准实施功能、新增异常低价审查功能、新增合同支付计划调整功能、新增暗标评审功能的功能设计方案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根据项目需求，进行功能设计，提供采购文件标准化功能升级、进口产品备案功能改造、新增本国产品标准实施功能、新增异常低价审查功能、新增合同支付计划调整功能、新增暗标评审功能的功能设计方案。方案内容包括但不限于业务功能设计、业务流程图、功能界面等。要求方案结构清晰，描述准确、全面、完整，内容科学合理有针对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业务功能设计：需针对采购文件标准化功能升级、进口产品备案功能改造、新增本国产品标准实施功能、新增异常低价审查功能、新增合同支付计划调整功能、新增暗标评审功能六项建设内容，逐项明确业务规则、参与角色、功能边界及功能间的关联关系，说明改造前后业务差异以及与现有功能的衔接方式，确保功能设计完整覆盖采购需求。</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业务流程图：需针对上述六项功能分别绘制完整的业务流程图，覆盖业务发起、流转审批等关键节点，明确各环节责任主体、数据流向和流转条件，并标注与第三方系统的交互节点，保证流程描述准确、清晰。</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功能界面：需提供关键功能页面的界面设计说明（原型图或界面示意图），明确页面布局、字段设置、操作入口及提示规则，体现权限控制、数据校验和异常预警等交互要求，界面设计应简洁易用，符合政府采购业务人员操作习惯。</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3.供应商增加子账号管理体系和其他需求功能改造的功能设计方案</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根据项目需求，进行功能设计，提供供应商增加子账号管理体系和其他需求功能改造的功能设计方案。方案内容包括但不限于业务功能设计、业务流程图、功能界面等。要求方案结构清晰，描述准确、全面、完整，内容科学合理有针对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业务功能设计：需针对供应商增加子账号管理体系和其他需求功能改造两项建设内容，明确主账号与子账号的权限架构、业务操作隔离规则、操作留痕要求，以及评审流程灵活配置、报价异常处置、框架协议签订流程调整等改造要点，逐项说明功能设计逻辑与改造前后差异。</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（2）业务流程图：需分别绘制供应商子账号管理体系和各项其他需求功能改造的业务流程图，完整展示账号注册与权限分配、项目报名、业务办理、评审报价处置、协议审批签章等环节的流转过程与校验节点。</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（3）功能界面：需提供账号管理、权限配置、评审流程配置等关键功能页面的界面设计说明，明确数据展示规则、操作按钮与状态标识，界面操作便捷。</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4.应急处理方案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根据项目需求，提供应急处理方案。方案内容包括但不限于应急处理机制、应急处理思路、应急处理组织、应急响应预案、具体应急响应方案、应急保障措施和工作流程。要求方案结构清晰，描述准确、全面、完整，内容科学合理有针对性。</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投标人确保7*24小时电话快速响应处理相关问题；需提供应急服务支持人员电话，在非工作日或非上班时间对紧急事宜30分钟内响应。</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（1）应急处理机制：需建立覆盖系统运行、业务办理的应急处理机制，明确应急事件的分类分级标准，规范事件的发现、报告、响应、处置和恢复流程，形成闭环管理，保障系统稳定运行和业务连续开展。</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（2）应急处理思路：应遵循预防为主、快速响应、分级处置、影响最小的原则，先控制事态、再定位原因、及时恢复业务；对可能影响政府采购业务正常开展的事件，应优先保障项目开评标等关键业务不中断。</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（3）应急处理组织：需成立应急处理工作组，明确总负责人以及技术处置、业务协调、信息通报等岗位的职责分工和联系方式，落实7*24小时值班安排，确保应急指令传递畅通、处置责任到人。</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（4）应急响应预案：需针对各类异常、故障场景编制应急响应预案，明确判定条件、响应时限、处置步骤和恢复标准，并按要求落实安全事件的处置与上报。</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（5）具体应急响应方案：需结合本项目实际给出可操作的应急处置步骤，包括故障定位、服务切换、数据恢复等，明确各步骤的执行主体、操作方法和验证方式，确保问题能够快速有效解决。</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应急保障措施和工作流程：需建立应急处置工作流程和保障措施，包括应急资源准备、系统和数据定期备份、应急演练计划、问题升级机制以及事后复盘整改要求，配合前述7*24小时电话快速响应机制，保障在非工作日或非上班时间对紧急事宜30分钟内响应。</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5.项目实施方案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根据项目需求，提供项目实施方案。方案内容包括但不限于项目团队组建、进度管理、风险管理、沟通管理等。要求方案结构清晰，描述准确、全面、完整，内容科学合理有针对性。</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其中：</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团队组建：按照采购需求中“项目实施要求-项目团队要求”组建专业、分工明确的项目团队，确保项目实施连续性和高效性，保障项目整体推进质量。在配置项目人员时，应充分考虑项目人员的稳定性因素，在保证项目人员的技术能力、业务水平、项目工作经验满足项目要求的前提下，通过选派</w:t>
      </w:r>
      <w:r>
        <w:rPr>
          <w:rFonts w:hint="eastAsia" w:ascii="方正仿宋_GBK" w:hAnsi="方正仿宋_GBK" w:eastAsia="方正仿宋_GBK" w:cs="方正仿宋_GBK"/>
          <w:bCs/>
          <w:color w:val="000000"/>
          <w:sz w:val="28"/>
          <w:szCs w:val="28"/>
          <w:highlight w:val="none"/>
          <w:lang w:val="en-US" w:eastAsia="zh-CN"/>
        </w:rPr>
        <w:t xml:space="preserve">具备同类软件开发或平台升级项目经验</w:t>
      </w:r>
      <w:r>
        <w:rPr>
          <w:rFonts w:hint="eastAsia" w:ascii="方正仿宋_GBK" w:hAnsi="方正仿宋_GBK" w:eastAsia="方正仿宋_GBK" w:cs="方正仿宋_GBK"/>
          <w:bCs/>
          <w:color w:val="000000"/>
          <w:sz w:val="28"/>
          <w:szCs w:val="28"/>
          <w:highlight w:val="none"/>
        </w:rPr>
        <w:t xml:space="preserve">的技术骨干参与项目实施服务工作。</w:t>
      </w:r>
      <w:r>
        <w:rPr>
          <w:rFonts w:hint="eastAsia" w:ascii="方正仿宋_GBK" w:hAnsi="方正仿宋_GBK" w:eastAsia="方正仿宋_GBK" w:cs="方正仿宋_GBK"/>
          <w:bCs/>
          <w:color w:val="000000"/>
          <w:sz w:val="28"/>
          <w:szCs w:val="28"/>
          <w:highlight w:val="none"/>
        </w:rPr>
      </w:r>
      <w:r/>
    </w:p>
    <w:p>
      <w:pPr>
        <w:pStyle w:val="939"/>
        <w:ind w:firstLine="570"/>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（2）进度管理：需要结合本项目的实际情况，制定科学合理的项目实施进度计划，通过对每个环节的精准把控，确保项目可以平稳有序地推进、按期保质完成整体交付。</w:t>
      </w:r>
      <w:r>
        <w:rPr>
          <w:rFonts w:ascii="方正仿宋_GBK" w:hAnsi="方正仿宋_GBK" w:eastAsia="方正仿宋_GBK" w:cs="方正仿宋_GBK"/>
          <w:color w:val="000000"/>
          <w:sz w:val="28"/>
          <w:szCs w:val="28"/>
          <w:highlight w:val="none"/>
        </w:rPr>
      </w:r>
      <w:r/>
    </w:p>
    <w:p>
      <w:pPr>
        <w:pStyle w:val="939"/>
        <w:ind w:firstLine="563"/>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（3）风险管理：需建立项目全周期风险预判与处置机制，提前识别实施、技术、兼容、运维等各类潜在风险，制定对应防控措施，保障项目实施平稳可控。</w:t>
      </w:r>
      <w:r>
        <w:rPr>
          <w:rFonts w:ascii="方正仿宋_GBK" w:hAnsi="方正仿宋_GBK" w:eastAsia="方正仿宋_GBK" w:cs="方正仿宋_GBK"/>
          <w:color w:val="000000"/>
          <w:sz w:val="28"/>
          <w:szCs w:val="28"/>
          <w:highlight w:val="none"/>
        </w:rPr>
      </w:r>
      <w:r/>
    </w:p>
    <w:p>
      <w:pPr>
        <w:pStyle w:val="939"/>
        <w:ind w:firstLine="563"/>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（4）沟通管理：需建立常态化双向沟通机制，定期向采购人汇报项目进展、问题整改及阶段成果，确保信息传递及时、准确、高效，保障项目协同推进顺畅有序。</w:t>
      </w:r>
      <w:r>
        <w:rPr>
          <w:rFonts w:ascii="方正仿宋_GBK" w:hAnsi="方正仿宋_GBK" w:eastAsia="方正仿宋_GBK" w:cs="方正仿宋_GBK"/>
          <w:color w:val="000000"/>
          <w:sz w:val="28"/>
          <w:szCs w:val="28"/>
          <w:highlight w:val="none"/>
        </w:rPr>
      </w:r>
      <w:r/>
    </w:p>
    <w:p>
      <w:pPr>
        <w:pStyle w:val="939"/>
        <w:ind w:firstLine="563"/>
        <w:spacing w:line="44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6.项目质量管理方案</w:t>
      </w:r>
      <w:r>
        <w:rPr>
          <w:rFonts w:ascii="方正仿宋_GBK" w:hAnsi="方正仿宋_GBK" w:eastAsia="方正仿宋_GBK" w:cs="方正仿宋_GBK"/>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根据项目需求，提供项目质量管理方案。方案内容包括但不限于质量保证体系、质量保证规则、质量保证方案、质量保证措施等，</w:t>
      </w:r>
      <w:r>
        <w:rPr>
          <w:rFonts w:hint="eastAsia" w:ascii="方正仿宋_GBK" w:hAnsi="方正仿宋_GBK" w:eastAsia="方正仿宋_GBK" w:cs="方正仿宋_GBK"/>
          <w:color w:val="000000"/>
          <w:sz w:val="28"/>
          <w:szCs w:val="28"/>
          <w:highlight w:val="none"/>
        </w:rPr>
        <w:t xml:space="preserve">全面把控项目实施成果质量，确保项目交付内容合规、可用、达标，满足采购人实际业务需求。</w:t>
      </w:r>
      <w:r>
        <w:rPr>
          <w:rFonts w:hint="eastAsia" w:ascii="方正仿宋_GBK" w:hAnsi="方正仿宋_GBK" w:eastAsia="方正仿宋_GBK" w:cs="方正仿宋_GBK"/>
          <w:bCs/>
          <w:color w:val="000000"/>
          <w:sz w:val="28"/>
          <w:szCs w:val="28"/>
          <w:highlight w:val="none"/>
        </w:rPr>
        <w:t xml:space="preserve">要求方案结构清晰，描述准确、全面、完整，内容科学合理有针对性。</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（1）质量保证体系：需建立覆盖项目全生命周期的质量保证体系，明确质量方针、组织架构与职责分工，落实各阶段的质量控制要求。</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（2）质量保证规则：需制定明确的质量管理办法和质量控制规则，包括但不限于需求与设计评审规则、测试与缺陷分级处理规则、文档编制与评审规则等，做到过程可控、结果可查。</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（3）质量保证方案：需制定质量保证方案，对阶段性实施成果逐项审核，通过保证各阶段性成果的质量最终保证整体交付质量，明确各阶段质量目标、检查方式和责任人。</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（4）质量保证措施：需落实具体质量保证措施，包括需求与设计评审、单元测试与集成测试、上线前功能与性能验证，以及产出文档准确性、完整性；确保交付成果满足实际业务需求。</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7.培训方案</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根据项目需求，提供培训方案。方案内容包括但不限于培训目的、培训计划、培训课程（含教材编写）、培训师资、培训方式等。要求方案结构清晰，描述准确、全面、完整，内容科学合理有针对性。</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培训由投标人负责师资及教材，由财政部门提供场地和培训设备并负责受训人员召集，组织实施。投标人需指派具有相关专业资格和实际工作经验的教师及辅导人员进行培训，主要培训教员应具有三年以上的培训经验。</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（1）培训目的：需通过培训使系统用户掌握本次升级改造功能的业务规则和操作方法，能够独立完成相关业务办理，保障各项功能上线后顺利推广应用，提升系统应用水平。</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培训计划：需制定明确的培训计划，说明培训对象、培训批次、人数、次数、时间安排和实施地点，并结合项目上线节点合理排期，确保在系统上线前后完成关键用户的培训覆盖，培训计划安排合理、衔接顺畅。</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培训课程（含教材编写）：需按功能模块和用户角色分别设计培训课程，课程内容涵盖业务规则、操作流程和常见问题处理；同步编写培训教材（含操作手册、演示文档等）并做好版本更新，培训材料应清晰易懂、便于查阅。</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（4）培训师资：需配备满足要求的培训师资，指派具有相关专业资格和实际工作经验的教师及辅导人员承担培训工作，主要培训教员应具有三年以上的培训经验，并合理安排师资投入与授课质量。</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（5）培训方式：需采用灵活多样的培训方式，包括集中授课、线上视频培训、实操演示、一对一辅导等，并结合受训人员实际需求灵活组合；培训结束后应提供答疑和后续技术支持，确保培训效果落地。</w:t>
      </w:r>
      <w:r>
        <w:rPr>
          <w:rFonts w:hint="eastAsia" w:ascii="方正仿宋_GBK" w:hAnsi="方正仿宋_GBK" w:eastAsia="方正仿宋_GBK" w:cs="方正仿宋_GBK"/>
          <w:bCs/>
          <w:color w:val="000000"/>
          <w:sz w:val="28"/>
          <w:szCs w:val="28"/>
          <w:highlight w:val="none"/>
        </w:rPr>
      </w:r>
      <w:r/>
    </w:p>
    <w:p>
      <w:pPr>
        <w:pStyle w:val="939"/>
        <w:ind w:firstLine="560"/>
        <w:spacing w:line="44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（五）投标人应配合采购人完成数据安全风险评估工作，对系统存在数据安全风险的内容进行整改。</w:t>
      </w:r>
      <w:r>
        <w:rPr>
          <w:rFonts w:ascii="方正仿宋_GBK" w:hAnsi="方正仿宋_GBK" w:eastAsia="方正仿宋_GBK" w:cs="方正仿宋_GBK"/>
          <w:bCs/>
          <w:color w:val="000000"/>
          <w:sz w:val="28"/>
          <w:szCs w:val="28"/>
          <w:highlight w:val="none"/>
        </w:rPr>
      </w:r>
      <w:r/>
    </w:p>
    <w:p>
      <w:pPr>
        <w:pStyle w:val="939"/>
        <w:ind w:firstLine="560"/>
        <w:spacing w:line="440" w:lineRule="exact"/>
        <w:rPr>
          <w:rFonts w:hint="eastAsia" w:ascii="方正仿宋_GBK" w:hAnsi="方正仿宋_GBK" w:eastAsia="方正仿宋_GBK" w:cs="方正仿宋_GBK"/>
          <w:bCs/>
          <w:strike/>
          <w:color w:val="000000"/>
          <w:sz w:val="28"/>
          <w:szCs w:val="28"/>
          <w:highlight w:val="none"/>
        </w:rPr>
      </w:pPr>
      <w:r>
        <w:rPr>
          <w:rFonts w:hint="eastAsia" w:ascii="方正仿宋_GBK" w:hAnsi="方正仿宋_GBK" w:eastAsia="方正仿宋_GBK" w:cs="方正仿宋_GBK"/>
          <w:bCs/>
          <w:strike/>
          <w:color w:val="000000"/>
          <w:sz w:val="28"/>
          <w:szCs w:val="28"/>
          <w:highlight w:val="none"/>
        </w:rPr>
      </w:r>
      <w:r/>
    </w:p>
    <w:p>
      <w:pPr>
        <w:pStyle w:val="941"/>
        <w:spacing w:line="400" w:lineRule="exact"/>
        <w:rPr>
          <w:rFonts w:hint="eastAsia" w:ascii="黑体" w:hAnsi="黑体" w:eastAsia="黑体"/>
          <w:b w:val="0"/>
          <w:bCs w:val="0"/>
          <w:sz w:val="32"/>
          <w:szCs w:val="32"/>
          <w:highlight w:val="none"/>
        </w:rPr>
      </w:pPr>
      <w:r/>
      <w:bookmarkStart w:id="164" w:name="_Toc120614281"/>
      <w:r>
        <w:rPr>
          <w:rFonts w:hint="eastAsia" w:ascii="黑体" w:hAnsi="黑体" w:eastAsia="黑体"/>
          <w:b w:val="0"/>
          <w:bCs w:val="0"/>
          <w:sz w:val="32"/>
          <w:szCs w:val="32"/>
          <w:highlight w:val="none"/>
        </w:rPr>
      </w:r>
      <w:r/>
    </w:p>
    <w:p>
      <w:pPr>
        <w:pStyle w:val="941"/>
        <w:spacing w:line="40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br w:type="page" w:clear="all"/>
      </w:r>
      <w:r>
        <w:rPr>
          <w:rFonts w:hint="eastAsia" w:ascii="黑体" w:hAnsi="黑体" w:eastAsia="黑体"/>
          <w:b w:val="0"/>
          <w:bCs w:val="0"/>
          <w:sz w:val="32"/>
          <w:szCs w:val="32"/>
          <w:highlight w:val="none"/>
        </w:rPr>
        <w:t xml:space="preserve">第五章  评标方法与评标标准</w:t>
      </w:r>
      <w:r>
        <w:rPr>
          <w:rFonts w:hint="eastAsia" w:ascii="黑体" w:hAnsi="黑体" w:eastAsia="黑体"/>
          <w:b w:val="0"/>
          <w:bCs w:val="0"/>
          <w:sz w:val="32"/>
          <w:szCs w:val="32"/>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rPr>
          <w:rFonts w:hint="eastAsia" w:ascii="方正仿宋_GBK" w:hAnsi="方正仿宋_GBK" w:eastAsia="方正仿宋_GBK" w:cs="方正仿宋_GBK"/>
          <w:sz w:val="28"/>
          <w:szCs w:val="28"/>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08"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center"/>
            <w:textDirection w:val="lrTb"/>
            <w:noWrap w:val="false"/>
          </w:tcPr>
          <w:p>
            <w:pPr>
              <w:pStyle w:val="939"/>
              <w:jc w:val="center"/>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939"/>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tc>
      </w:tr>
    </w:tbl>
    <w:p>
      <w:pPr>
        <w:pStyle w:val="1026"/>
        <w:ind w:firstLine="562"/>
        <w:spacing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r>
      <w:r/>
    </w:p>
    <w:p>
      <w:pPr>
        <w:pStyle w:val="1026"/>
        <w:ind w:firstLine="562"/>
        <w:jc w:val="both"/>
        <w:spacing w:before="0" w:after="0" w:line="44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b/>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rFonts w:hint="eastAsia" w:ascii="宋体" w:hAnsi="宋体"/>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1026"/>
        <w:ind w:firstLine="562"/>
        <w:jc w:val="both"/>
        <w:spacing w:before="0" w:after="0"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宋体" w:hAnsi="宋体"/>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1026"/>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highlight w:val="none"/>
        </w:rPr>
      </w:r>
      <w:r/>
    </w:p>
    <w:p>
      <w:pPr>
        <w:pStyle w:val="1026"/>
        <w:ind w:firstLine="560"/>
        <w:jc w:val="both"/>
        <w:spacing w:before="0" w:after="0" w:line="44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7.采购本国产品的支持政策</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highlight w:val="none"/>
          <w:u w:val="single"/>
        </w:rPr>
        <w:t xml:space="preserve">20%</w:t>
      </w:r>
      <w:r>
        <w:rPr>
          <w:rFonts w:hint="eastAsia" w:ascii="方正仿宋_GBK" w:hAnsi="方正仿宋_GBK" w:eastAsia="方正仿宋_GBK" w:cs="方正仿宋_GBK"/>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highlight w:val="none"/>
          <w:u w:val="single"/>
        </w:rPr>
        <w:t xml:space="preserve">“  /  ”</w:t>
      </w:r>
      <w:r>
        <w:rPr>
          <w:rFonts w:hint="eastAsia" w:ascii="方正仿宋_GBK" w:hAnsi="方正仿宋_GBK" w:eastAsia="方正仿宋_GBK" w:cs="方正仿宋_GBK"/>
          <w:sz w:val="28"/>
          <w:szCs w:val="28"/>
          <w:highlight w:val="none"/>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highlight w:val="none"/>
        </w:rPr>
      </w:r>
      <w:r/>
    </w:p>
    <w:p>
      <w:pPr>
        <w:pStyle w:val="1026"/>
        <w:ind w:firstLine="562"/>
        <w:jc w:val="both"/>
        <w:spacing w:before="0" w:after="0" w:line="400" w:lineRule="exact"/>
        <w:rPr>
          <w:rFonts w:hint="eastAsia" w:ascii="宋体" w:hAnsi="宋体"/>
          <w:b/>
          <w:sz w:val="28"/>
          <w:szCs w:val="28"/>
          <w:highlight w:val="none"/>
        </w:rPr>
      </w:pPr>
      <w:r>
        <w:rPr>
          <w:rFonts w:hint="eastAsia" w:ascii="宋体" w:hAnsi="宋体"/>
          <w:b/>
          <w:sz w:val="28"/>
          <w:szCs w:val="28"/>
          <w:highlight w:val="none"/>
        </w:rPr>
      </w:r>
      <w:r/>
    </w:p>
    <w:p>
      <w:pPr>
        <w:pStyle w:val="939"/>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939"/>
        <w:ind w:firstLine="562"/>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8"/>
          <w:szCs w:val="28"/>
          <w:highlight w:val="none"/>
        </w:rPr>
        <w:t xml:space="preserve"> </w:t>
      </w:r>
      <w:r>
        <w:rPr>
          <w:rFonts w:hint="eastAsia" w:ascii="方正仿宋_GBK" w:hAnsi="方正仿宋_GBK" w:eastAsia="方正仿宋_GBK" w:cs="方正仿宋_GBK"/>
          <w:sz w:val="28"/>
          <w:szCs w:val="28"/>
          <w:highlight w:val="none"/>
        </w:rPr>
        <w:t xml:space="preserve">（一）投标报价（10分）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1.1价格分采用低价优先法计算，即满足招标文件要求且报价最低的供应商报价为评标基准价，其价格分为满分10分，其他投标人的价格分统一按照以下公式计算：报价得分=（评标基准价/该供应商的投标报价）×10分。（保留小数点后两位）。</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（二）企业综合实力（13分）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2.1 企业能力（3分）。投标人具有与采购交易管理相关的软件著作权登记证书，得1.5分；投标人具有与不见面交易相关的软件著作权登记证书，得1.5分。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需提供证书扫描件或复印件并加盖投标人公章。如投标文件中提供的著作权名称表述与招标文件描述的关键字样不一致，而该投标文件中能提供相关材料证明投标人拥有著作权的软件具有相同或相似功能和效果，且评标委员会认可的，视同符合要求。</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2.2类似业绩（10分）。投标人具有自2023年1月1日以来至投标截止时间承接的类似信息化建设或运维相关业绩，每提供一个业绩得2分，最多得10分。同一个采购人的合同只作为一个案例。</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投标人需提供相关业绩的合同扫描件或复印件并加盖投标人公章（合同应当清晰体现合同双方主体、合同内容、签订时间等关键信息），否则不得分。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（三）技术功能要求响应情况（20分）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3.1评委根据投标人对招标文件第四章采购需求“三、技术要求”中“（一）业务功能要求”的响应情况进行评分：八大块功能扩展建设内容（采购文件标准化功能升级、进口产品备案功能改造、新增本国产品标准实施功能、新增异常低价审查功能、新增合同支付计划调整功能、新增暗标评审功能、供应商增加子账号管理体系、其他需求功能改造）对应40项下一级业务功能要求的响应情况进行评审。投标文件对上述40项需求全部满足或优于采购需求的，得满分20分，每存在一项负偏离扣0.5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（四）技术方案（35分）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4.1重难点分析方案（5分）。评委根据投标文件对招标文件第四章“采购需求”中的八项业务功能要求的“重难点分析方案”响应情况进行评审：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（1）投标文件未符合“重难点分析方案”中全部条款要求的，视为不符合招标文件，本项得0分。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（2）投标文件符合“重难点分析方案”中全部条款要求的，视为符合招标文件，本项得3分。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经评委认定，投标文件对“重难点分析方案”中“合同支付计划调整”、“暗标评审功能”两项要求的响应内容全部优于招标文件要求的（投标文件对“重难点分析方案”中除“合同支付计划调整”、“暗标评审功能”外其他要求响应内容符合招标文件要求），本项得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4.2采购文件标准化功能升级、进口产品备案功能改造、新增本国产品标准实施功能、新增异常低价审查功能、新增合同支付计划调整功能、新增暗标评审功能的功能设计方案（5分）。评委根据投标文件对招标文件第四章“采购需求”中“采购文件标准化功能升级、进口产品备案功能改造、新增本国产品标准实施功能、新增异常低价审查功能、新增合同支付计划调整功能、新增暗标评审功能的功能设计方案”响应情况进行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投标文件未符合“采购文件标准化功能升级、进口产品备案功能改造、新增本国产品标准实施功能、新增异常低价审查功能、新增合同支付计划调整功能、新增暗标评审功能的功能设计方案”中全部条款要求的，视为不符合招标文件，本项得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投标文件符合“采购文件标准化功能升级、进口产品备案功能改造、新增本国产品标准实施功能、新增异常低价审查功能、新增合同支付计划调整功能、新增暗标评审功能的功能设计方案”中全部条款要求的，视为符合招标文件，本项得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（3）经评委认定，投</w:t>
      </w:r>
      <w:r>
        <w:rPr>
          <w:rFonts w:hint="eastAsia" w:ascii="方正仿宋_GBK" w:hAnsi="方正仿宋_GBK" w:eastAsia="方正仿宋_GBK" w:cs="方正仿宋_GBK"/>
          <w:sz w:val="28"/>
          <w:szCs w:val="28"/>
          <w:highlight w:val="none"/>
        </w:rPr>
        <w:t xml:space="preserve">标文件对“采购文件标准化功能升级、进口产品备案功能改造、新增本国产品标准实施功能、新增异常低价审查功能、新增合同支付计划调整功能、新增暗标评审功能的功能设计方案”中“采购文件标准化功能升级”、“暗标评审功能”两项要求的响应内容全部优于招标文件要求的（投标文件对“采购文件标准化功能升级、进口产品备案功能改造、新增本国产品标准实施功能、新增异常低价审查功能、新增合同支付计划调整功能、新增暗标评审功能的功能设计方案”中除“采购文件标准化功能升级”、“暗标评审功能”外其他要求响应内容符合招标文件要求），本项得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4.3供应商增加子账号管理体系和其他需求功能改造的功能设计方案（5分）。评委根据投标文件对招标文件第四章“采购需求”中“供应商增加子账号管理体系和其他需求功能改造的功能设计方案”响应情况进行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（1）投标文件未符合“供应商增加子账号管理体系和其他需求功能改造的功能设计方案”中全部条款要求的，视为不符合招标文件，本项得0分。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（2）投标文件符合“供应商增加子账号管理体系和其他需求功能改造的功能设计方案”中全部条款要求的，视为符合招标文件，本项得3分。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经评委认定，投标文件对“供应商增加子账号管理体系和其他需求功能改造的功能设计方案”中“供应商增加子账号管理体系”、“增加公开招标转框架协议方式变更功能”两项要求的响应内容全部优于招标文件要求的（投标文件对“供应商增加子账号管理体系和其他需求功能改造的功能设计方案”中除“供应商增加子账号管理体系”、“增加公开招标转框架协议方式变更功能”外其他要求响应内容符合招标文件要求），本项得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4.4应急处理方案（5分）。评委根据投标文件对招标文件第四章“采购需求”中“应急处理方案”响应情况进行评审：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（1）投标文件未符合“应急处理方案”中全部条款要求的，视为不符合招标文件，本项得0分。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（2）投标文件符合“应急处理方案”中全部条款要求的，视为符合招标文件，本项得3分。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经评委认定，投标文件对“应急处理方案”中“具体应急响应方案”、“应急保障措施和工作流程”两项要求的响应内容全部优于招标文件要求的（投标文件对“应急处理方案”中除“具体应急响应方案”、“应急保障措施和工作流程”外其他要求响应内容符合招标文件要求），本项得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4.5项目实施方案（5分）。评委根据投标文件对招标文件第四章“采购需求”中“项目实施方案”响应情况进行评审：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（1）投标文件未符合“项目实施方案”中全部条款要求的，视为不符合招标文件，本项得0分。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（2）投标文件符合“项目实施方案”中全部条款要求的，视为符合招标文件，本项得3分。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经评委认定，投标文件对“项目实施方案”中“项目团队组建”、“进度管理”两项要求的响应内容全部优于招标文件要求的（投标文件对“项目实施方案”中除“项目团队组建”、“进度管理”外其他要求响应内容符合招标文件要求），本项得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4.6项目质量管理方案（5分）。评委根据投标文件对招标文件第四章“采购需求”中“项目质量管理方案”响应情况进行评审：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（1）投标文件未符合“项目质量管理方案”中全部条款要求的，视为不符合招标文件，本项得0分。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（2）投标文件符合“项目质量管理方案”中全部条款要求的，视为符合招标文件，本项得3分。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经评委认定，投标文件对“项目质量管理方案”中“质量保证方案”、“质量保证措施”两项要求的响应内容全部优于招标文件要求的（投标文件对“项目质量管理方案”中除“质量保证方案”、“质量保证措施”外其他要求响应内容符合招标文件要求），本项得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4.7培训方案（5分）。评委根据投标文件对招标文件第四章“采购需求”中“培训方案”进行评审：</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（1）投标文件未符合“培训方案”中全部条款要求的，视为不符合招标文件，本项得0分。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（2）投标文件符合“培训方案”中全部条款要求的，视为符合招标文件，本项得3分。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3）经评委认定，投标文件对“培训方案”中“培训计划”、“培训课程”两项要求的响应内容全部优于招标文件要求的（投标文件对“培训方案”中除“培训计划”、“培训课程”外其他要求响应内容符合招标文件要求），本项得5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（五）项目团队人员（22分）</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trike/>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5.1项目经理（3分）。投标人针对本项目派出的项目经理具有IT服务项目经理(ITSS)证书，得3分。投标人提供相关证书复印件或扫描件，以及近3个月内任意1个月为其缴纳社保的证明材料。</w:t>
      </w:r>
      <w:r>
        <w:rPr>
          <w:rFonts w:hint="eastAsia" w:ascii="方正仿宋_GBK" w:hAnsi="方正仿宋_GBK" w:eastAsia="方正仿宋_GBK" w:cs="方正仿宋_GBK"/>
          <w:strike/>
          <w:sz w:val="28"/>
          <w:szCs w:val="28"/>
          <w:highlight w:val="none"/>
        </w:rPr>
      </w:r>
      <w:r/>
    </w:p>
    <w:p>
      <w:pPr>
        <w:pStyle w:val="939"/>
        <w:ind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5.2 投标人拟投入的</w:t>
      </w:r>
      <w:r>
        <w:rPr>
          <w:rFonts w:hint="eastAsia" w:ascii="方正仿宋_GBK" w:hAnsi="方正仿宋_GBK" w:eastAsia="方正仿宋_GBK" w:cs="方正仿宋_GBK"/>
          <w:sz w:val="28"/>
          <w:szCs w:val="28"/>
          <w:highlight w:val="none"/>
          <w:lang w:val="en-US" w:eastAsia="zh-CN"/>
        </w:rPr>
        <w:t xml:space="preserve">其他</w:t>
      </w:r>
      <w:r>
        <w:rPr>
          <w:rFonts w:hint="eastAsia" w:ascii="方正仿宋_GBK" w:hAnsi="方正仿宋_GBK" w:eastAsia="方正仿宋_GBK" w:cs="方正仿宋_GBK"/>
          <w:bCs/>
          <w:color w:val="000000"/>
          <w:sz w:val="28"/>
          <w:szCs w:val="28"/>
          <w:highlight w:val="none"/>
          <w:lang w:val="en-US" w:eastAsia="zh-CN"/>
        </w:rPr>
        <w:t xml:space="preserve">关键岗位（软件开发设计、软件安全服务等）</w:t>
      </w:r>
      <w:r>
        <w:rPr>
          <w:rFonts w:hint="eastAsia" w:ascii="方正仿宋_GBK" w:hAnsi="方正仿宋_GBK" w:eastAsia="方正仿宋_GBK" w:cs="方正仿宋_GBK"/>
          <w:sz w:val="28"/>
          <w:szCs w:val="28"/>
          <w:highlight w:val="none"/>
          <w:lang w:val="en-US" w:eastAsia="zh-CN"/>
        </w:rPr>
        <w:t xml:space="preserve">团队</w:t>
      </w:r>
      <w:r>
        <w:rPr>
          <w:rFonts w:hint="eastAsia" w:ascii="方正仿宋_GBK" w:hAnsi="方正仿宋_GBK" w:eastAsia="方正仿宋_GBK" w:cs="方正仿宋_GBK"/>
          <w:sz w:val="28"/>
          <w:szCs w:val="28"/>
          <w:highlight w:val="none"/>
        </w:rPr>
        <w:t xml:space="preserve">成员（除项目经理外）具有中华人民共和国人力资源和社会保障部、工业和信息化部联合颁发的系统集成项目管理工程师证书</w:t>
      </w:r>
      <w:r>
        <w:rPr>
          <w:rFonts w:hint="eastAsia" w:ascii="方正仿宋_GBK" w:hAnsi="方正仿宋_GBK" w:eastAsia="方正仿宋_GBK" w:cs="方正仿宋_GBK"/>
          <w:sz w:val="28"/>
          <w:szCs w:val="28"/>
          <w:highlight w:val="none"/>
          <w:lang w:val="en-US" w:eastAsia="zh-CN"/>
        </w:rPr>
        <w:t xml:space="preserve">或</w:t>
      </w:r>
      <w:r>
        <w:rPr>
          <w:rFonts w:hint="eastAsia" w:ascii="方正仿宋_GBK" w:hAnsi="方正仿宋_GBK" w:eastAsia="方正仿宋_GBK" w:cs="方正仿宋_GBK"/>
          <w:sz w:val="28"/>
          <w:szCs w:val="28"/>
          <w:highlight w:val="none"/>
        </w:rPr>
        <w:t xml:space="preserve">软件设计师证书</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或具有</w:t>
      </w:r>
      <w:r>
        <w:rPr>
          <w:rFonts w:hint="eastAsia" w:ascii="方正仿宋_GBK" w:hAnsi="方正仿宋_GBK" w:eastAsia="方正仿宋_GBK" w:cs="方正仿宋_GBK"/>
          <w:sz w:val="28"/>
          <w:szCs w:val="28"/>
          <w:highlight w:val="none"/>
        </w:rPr>
        <w:t xml:space="preserve">注册信息安全专业人员（CISP）证书</w:t>
      </w:r>
      <w:r>
        <w:rPr>
          <w:rFonts w:hint="eastAsia" w:ascii="方正仿宋_GBK" w:hAnsi="方正仿宋_GBK" w:eastAsia="方正仿宋_GBK" w:cs="方正仿宋_GBK"/>
          <w:sz w:val="28"/>
          <w:szCs w:val="28"/>
          <w:highlight w:val="none"/>
        </w:rPr>
        <w:t xml:space="preserve">，每具有一</w:t>
      </w:r>
      <w:r>
        <w:rPr>
          <w:rFonts w:hint="eastAsia" w:ascii="方正仿宋_GBK" w:hAnsi="方正仿宋_GBK" w:eastAsia="方正仿宋_GBK" w:cs="方正仿宋_GBK"/>
          <w:sz w:val="28"/>
          <w:szCs w:val="28"/>
          <w:highlight w:val="none"/>
          <w:lang w:val="en-US" w:eastAsia="zh-CN"/>
        </w:rPr>
        <w:t xml:space="preserve">类</w:t>
      </w:r>
      <w:r>
        <w:rPr>
          <w:rFonts w:hint="eastAsia" w:ascii="方正仿宋_GBK" w:hAnsi="方正仿宋_GBK" w:eastAsia="方正仿宋_GBK" w:cs="方正仿宋_GBK"/>
          <w:sz w:val="28"/>
          <w:szCs w:val="28"/>
          <w:highlight w:val="none"/>
        </w:rPr>
        <w:t xml:space="preserve">证书得3分，</w:t>
      </w:r>
      <w:r>
        <w:rPr>
          <w:rFonts w:hint="eastAsia" w:ascii="方正仿宋_GBK" w:hAnsi="方正仿宋_GBK" w:eastAsia="方正仿宋_GBK" w:cs="方正仿宋_GBK"/>
          <w:sz w:val="28"/>
          <w:szCs w:val="28"/>
          <w:highlight w:val="none"/>
          <w:lang w:val="en-US" w:eastAsia="zh-CN"/>
        </w:rPr>
        <w:t xml:space="preserve">本项</w:t>
      </w:r>
      <w:r>
        <w:rPr>
          <w:rFonts w:hint="eastAsia" w:ascii="方正仿宋_GBK" w:hAnsi="方正仿宋_GBK" w:eastAsia="方正仿宋_GBK" w:cs="方正仿宋_GBK"/>
          <w:sz w:val="28"/>
          <w:szCs w:val="28"/>
          <w:highlight w:val="none"/>
        </w:rPr>
        <w:t xml:space="preserve">最高得</w:t>
      </w:r>
      <w:r>
        <w:rPr>
          <w:rFonts w:hint="eastAsia" w:ascii="方正仿宋_GBK" w:hAnsi="方正仿宋_GBK" w:eastAsia="方正仿宋_GBK" w:cs="方正仿宋_GBK"/>
          <w:sz w:val="28"/>
          <w:szCs w:val="28"/>
          <w:highlight w:val="none"/>
          <w:lang w:val="en-US" w:eastAsia="zh-CN"/>
        </w:rPr>
        <w:t xml:space="preserve">9</w:t>
      </w:r>
      <w:r>
        <w:rPr>
          <w:rFonts w:hint="eastAsia" w:ascii="方正仿宋_GBK" w:hAnsi="方正仿宋_GBK" w:eastAsia="方正仿宋_GBK" w:cs="方正仿宋_GBK"/>
          <w:sz w:val="28"/>
          <w:szCs w:val="28"/>
          <w:highlight w:val="none"/>
        </w:rPr>
        <w:t xml:space="preserve">分。同一证书不重复计分，且同一个人具有多个证书的按1个证书计算。</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需提供证书复印件或扫描件，以及投标人近3个月内任意1个月为相关人员缴纳社保的证明材料，上述材料加盖投标人公章。</w:t>
      </w:r>
      <w:r>
        <w:rPr>
          <w:rFonts w:hint="eastAsia" w:ascii="方正仿宋_GBK" w:hAnsi="方正仿宋_GBK" w:eastAsia="方正仿宋_GBK" w:cs="方正仿宋_GBK"/>
          <w:sz w:val="28"/>
          <w:szCs w:val="28"/>
          <w:highlight w:val="none"/>
        </w:rPr>
      </w:r>
      <w:r/>
    </w:p>
    <w:p>
      <w:pPr>
        <w:pStyle w:val="939"/>
        <w:ind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5.3团队</w:t>
      </w:r>
      <w:r>
        <w:rPr>
          <w:rFonts w:hint="eastAsia" w:ascii="方正仿宋_GBK" w:hAnsi="方正仿宋_GBK" w:eastAsia="方正仿宋_GBK" w:cs="方正仿宋_GBK"/>
          <w:sz w:val="28"/>
          <w:szCs w:val="28"/>
          <w:highlight w:val="none"/>
          <w:lang w:val="en-US" w:eastAsia="zh-CN"/>
        </w:rPr>
        <w:t xml:space="preserve">成</w:t>
      </w:r>
      <w:r>
        <w:rPr>
          <w:rFonts w:hint="eastAsia" w:ascii="方正仿宋_GBK" w:hAnsi="方正仿宋_GBK" w:eastAsia="方正仿宋_GBK" w:cs="方正仿宋_GBK"/>
          <w:sz w:val="28"/>
          <w:szCs w:val="28"/>
          <w:highlight w:val="none"/>
        </w:rPr>
        <w:t xml:space="preserve">员具有“采购交易管理”类似建设或运维项目经验，每提供一个得2分，最多得</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分，未提供不得分。</w:t>
      </w:r>
      <w:r>
        <w:rPr>
          <w:rFonts w:hint="eastAsia" w:ascii="方正仿宋_GBK" w:hAnsi="方正仿宋_GBK" w:eastAsia="方正仿宋_GBK" w:cs="方正仿宋_GBK"/>
          <w:sz w:val="28"/>
          <w:szCs w:val="28"/>
          <w:highlight w:val="none"/>
        </w:rPr>
        <w:t xml:space="preserve">同一个人具有多个</w:t>
      </w:r>
      <w:r>
        <w:rPr>
          <w:rFonts w:hint="eastAsia" w:ascii="方正仿宋_GBK" w:hAnsi="方正仿宋_GBK" w:eastAsia="方正仿宋_GBK" w:cs="方正仿宋_GBK"/>
          <w:sz w:val="28"/>
          <w:szCs w:val="28"/>
          <w:highlight w:val="none"/>
          <w:lang w:val="en-US" w:eastAsia="zh-CN"/>
        </w:rPr>
        <w:t xml:space="preserve">项目经验</w:t>
      </w:r>
      <w:r>
        <w:rPr>
          <w:rFonts w:hint="eastAsia" w:ascii="方正仿宋_GBK" w:hAnsi="方正仿宋_GBK" w:eastAsia="方正仿宋_GBK" w:cs="方正仿宋_GBK"/>
          <w:sz w:val="28"/>
          <w:szCs w:val="28"/>
          <w:highlight w:val="none"/>
        </w:rPr>
        <w:t xml:space="preserve">的按1个计算。</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投标人需提供能证明团队人员具备相关项目经验的材料(合同关键页、项目验收报告或业主出具的项目参与证明等)，加盖投标人公章，同时提交近3个月内任意1个月为其缴纳社保的证明材料。</w:t>
      </w: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firstLine="560"/>
        <w:spacing w:line="440" w:lineRule="exact"/>
        <w:rPr>
          <w:rFonts w:hint="eastAsia"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r>
      <w:r/>
    </w:p>
    <w:p>
      <w:pPr>
        <w:pStyle w:val="939"/>
        <w:ind w:right="839"/>
        <w:jc w:val="center"/>
        <w:spacing w:line="66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t xml:space="preserve">第六章  投标</w:t>
      </w:r>
      <w:bookmarkEnd w:id="161"/>
      <w:r/>
      <w:bookmarkEnd w:id="162"/>
      <w:r/>
      <w:bookmarkEnd w:id="164"/>
      <w:r>
        <w:rPr>
          <w:rFonts w:hint="eastAsia" w:ascii="方正黑体_GBK" w:hAnsi="方正黑体_GBK" w:eastAsia="方正黑体_GBK" w:cs="方正黑体_GBK"/>
          <w:color w:val="000000"/>
          <w:sz w:val="32"/>
          <w:szCs w:val="32"/>
          <w:highlight w:val="none"/>
        </w:rPr>
        <w:t xml:space="preserve">文件格式 </w:t>
      </w:r>
      <w:r>
        <w:rPr>
          <w:rFonts w:hint="eastAsia" w:ascii="方正黑体_GBK" w:hAnsi="方正黑体_GBK" w:eastAsia="方正黑体_GBK" w:cs="方正黑体_GBK"/>
          <w:color w:val="000000"/>
          <w:sz w:val="32"/>
          <w:szCs w:val="32"/>
          <w:highlight w:val="none"/>
        </w:rPr>
      </w:r>
      <w:r/>
    </w:p>
    <w:p>
      <w:pPr>
        <w:pStyle w:val="939"/>
        <w:jc w:val="center"/>
        <w:rPr>
          <w:rFonts w:hint="eastAsia" w:ascii="宋体" w:hAnsi="宋体"/>
          <w:b/>
          <w:sz w:val="28"/>
          <w:szCs w:val="28"/>
          <w:highlight w:val="none"/>
        </w:rPr>
      </w:pPr>
      <w:r/>
      <w:bookmarkStart w:id="165" w:name="_Hlt26671244"/>
      <w:r/>
      <w:bookmarkEnd w:id="165"/>
      <w:r/>
      <w:bookmarkStart w:id="166" w:name="_Hlt26955039"/>
      <w:r/>
      <w:bookmarkEnd w:id="166"/>
      <w:r/>
      <w:bookmarkStart w:id="167" w:name="_Toc49090576"/>
      <w:r/>
      <w:bookmarkStart w:id="168" w:name="_Toc26554094"/>
      <w:r/>
      <w:bookmarkStart w:id="169" w:name="_Toc120614282"/>
      <w:r>
        <w:rPr>
          <w:rFonts w:hint="eastAsia" w:ascii="宋体" w:hAnsi="宋体"/>
          <w:b/>
          <w:sz w:val="28"/>
          <w:szCs w:val="28"/>
          <w:highlight w:val="none"/>
        </w:rPr>
      </w:r>
      <w:r/>
    </w:p>
    <w:p>
      <w:pPr>
        <w:pStyle w:val="939"/>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r>
      <w:r/>
    </w:p>
    <w:p>
      <w:pPr>
        <w:pStyle w:val="939"/>
        <w:jc w:val="center"/>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投  标  文  件</w:t>
      </w:r>
      <w:r>
        <w:rPr>
          <w:rFonts w:hint="eastAsia" w:ascii="方正小标宋_GBK" w:hAnsi="方正小标宋_GBK" w:eastAsia="方正小标宋_GBK" w:cs="方正小标宋_GBK"/>
          <w:bCs/>
          <w:sz w:val="32"/>
          <w:szCs w:val="32"/>
          <w:highlight w:val="none"/>
        </w:rPr>
      </w:r>
      <w:r/>
    </w:p>
    <w:p>
      <w:pPr>
        <w:pStyle w:val="939"/>
        <w:jc w:val="center"/>
        <w:rPr>
          <w:rFonts w:hint="eastAsia" w:ascii="宋体" w:hAnsi="宋体"/>
          <w:b/>
          <w:sz w:val="28"/>
          <w:szCs w:val="28"/>
          <w:highlight w:val="none"/>
        </w:rPr>
      </w:pPr>
      <w:r>
        <w:rPr>
          <w:rFonts w:hint="eastAsia" w:ascii="宋体" w:hAnsi="宋体"/>
          <w:b/>
          <w:sz w:val="28"/>
          <w:szCs w:val="28"/>
          <w:highlight w:val="none"/>
        </w:rPr>
      </w:r>
      <w:r/>
    </w:p>
    <w:p>
      <w:pPr>
        <w:pStyle w:val="939"/>
        <w:jc w:val="center"/>
        <w:rPr>
          <w:rFonts w:hint="eastAsia" w:ascii="宋体" w:hAnsi="宋体"/>
          <w:b/>
          <w:sz w:val="28"/>
          <w:szCs w:val="28"/>
          <w:highlight w:val="none"/>
        </w:rPr>
      </w:pPr>
      <w:r>
        <w:rPr>
          <w:rFonts w:hint="eastAsia" w:ascii="宋体" w:hAnsi="宋体"/>
          <w:b/>
          <w:sz w:val="28"/>
          <w:szCs w:val="28"/>
          <w:highlight w:val="none"/>
        </w:rPr>
      </w:r>
      <w:r/>
    </w:p>
    <w:p>
      <w:pPr>
        <w:pStyle w:val="939"/>
        <w:jc w:val="center"/>
        <w:rPr>
          <w:rFonts w:hint="eastAsia" w:ascii="宋体" w:hAnsi="宋体"/>
          <w:b/>
          <w:sz w:val="28"/>
          <w:szCs w:val="28"/>
          <w:highlight w:val="none"/>
        </w:rPr>
      </w:pPr>
      <w:r>
        <w:rPr>
          <w:rFonts w:hint="eastAsia" w:ascii="宋体" w:hAnsi="宋体"/>
          <w:b/>
          <w:sz w:val="28"/>
          <w:szCs w:val="28"/>
          <w:highlight w:val="none"/>
        </w:rPr>
      </w:r>
      <w:r/>
    </w:p>
    <w:p>
      <w:pPr>
        <w:pStyle w:val="939"/>
        <w:jc w:val="center"/>
        <w:rPr>
          <w:rFonts w:hint="eastAsia" w:ascii="宋体" w:hAnsi="宋体"/>
          <w:b/>
          <w:sz w:val="28"/>
          <w:szCs w:val="28"/>
          <w:highlight w:val="none"/>
        </w:rPr>
      </w:pPr>
      <w:r>
        <w:rPr>
          <w:rFonts w:hint="eastAsia" w:ascii="宋体" w:hAnsi="宋体"/>
          <w:b/>
          <w:sz w:val="28"/>
          <w:szCs w:val="28"/>
          <w:highlight w:val="none"/>
        </w:rPr>
      </w:r>
      <w:r/>
    </w:p>
    <w:p>
      <w:pPr>
        <w:pStyle w:val="939"/>
        <w:jc w:val="center"/>
        <w:rPr>
          <w:rFonts w:hint="eastAsia" w:ascii="宋体" w:hAnsi="宋体"/>
          <w:b/>
          <w:sz w:val="28"/>
          <w:szCs w:val="28"/>
          <w:highlight w:val="none"/>
        </w:rPr>
      </w:pPr>
      <w:r>
        <w:rPr>
          <w:rFonts w:hint="eastAsia" w:ascii="宋体" w:hAnsi="宋体"/>
          <w:b/>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 目 名 称：</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采 购 编 号：</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939"/>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投标人名称 ：</w:t>
      </w:r>
      <w:r>
        <w:rPr>
          <w:rFonts w:hint="eastAsia" w:ascii="方正黑体_GBK" w:hAnsi="方正黑体_GBK" w:eastAsia="方正黑体_GBK" w:cs="方正黑体_GBK"/>
          <w:bCs/>
          <w:sz w:val="28"/>
          <w:szCs w:val="28"/>
          <w:highlight w:val="none"/>
          <w:u w:val="single"/>
        </w:rPr>
        <w:t xml:space="preserve">（加盖CA电子公章）</w:t>
      </w:r>
      <w:r>
        <w:rPr>
          <w:rFonts w:hint="eastAsia" w:ascii="方正黑体_GBK" w:hAnsi="方正黑体_GBK" w:eastAsia="方正黑体_GBK" w:cs="方正黑体_GBK"/>
          <w:bCs/>
          <w:sz w:val="28"/>
          <w:szCs w:val="28"/>
          <w:highlight w:val="none"/>
          <w:u w:val="single"/>
        </w:rPr>
      </w:r>
      <w:r/>
    </w:p>
    <w:p>
      <w:pPr>
        <w:pStyle w:val="939"/>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日      期 ：</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93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39"/>
        <w:spacing w:line="440" w:lineRule="exact"/>
        <w:rPr>
          <w:rFonts w:ascii="宋体" w:hAnsi="宋体"/>
          <w:highlight w:val="none"/>
        </w:rPr>
      </w:pPr>
      <w:r>
        <w:rPr>
          <w:rFonts w:ascii="宋体" w:hAnsi="宋体"/>
          <w:highlight w:val="none"/>
        </w:rPr>
      </w:r>
      <w:r/>
    </w:p>
    <w:p>
      <w:pPr>
        <w:pStyle w:val="939"/>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939"/>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939"/>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39"/>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39"/>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highlight w:val="none"/>
        </w:rPr>
      </w:r>
      <w:r/>
    </w:p>
    <w:p>
      <w:pPr>
        <w:pStyle w:val="939"/>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highlight w:val="none"/>
        </w:rPr>
      </w:r>
      <w:r/>
    </w:p>
    <w:p>
      <w:pPr>
        <w:pStyle w:val="939"/>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rPr>
          <w:rFonts w:hint="eastAsia" w:ascii="方正仿宋_GBK" w:hAnsi="方正仿宋_GBK" w:eastAsia="方正仿宋_GBK" w:cs="方正仿宋_GBK"/>
          <w:sz w:val="28"/>
          <w:szCs w:val="28"/>
          <w:highlight w:val="none"/>
        </w:rPr>
      </w:r>
      <w:r/>
    </w:p>
    <w:p>
      <w:pPr>
        <w:pStyle w:val="939"/>
        <w:spacing w:line="400" w:lineRule="exact"/>
        <w:rPr>
          <w:rFonts w:ascii="宋体" w:hAnsi="宋体"/>
          <w:sz w:val="28"/>
          <w:szCs w:val="28"/>
          <w:highlight w:val="none"/>
        </w:rPr>
      </w:pPr>
      <w:r>
        <w:rPr>
          <w:rFonts w:ascii="宋体" w:hAnsi="宋体"/>
          <w:sz w:val="28"/>
          <w:szCs w:val="28"/>
          <w:highlight w:val="none"/>
        </w:rPr>
      </w:r>
      <w:r/>
    </w:p>
    <w:p>
      <w:pPr>
        <w:pStyle w:val="939"/>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39"/>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939"/>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sz w:val="28"/>
          <w:szCs w:val="28"/>
          <w:highlight w:val="none"/>
        </w:rPr>
      </w:r>
      <w:r/>
    </w:p>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939"/>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color w:val="000000"/>
          <w:sz w:val="28"/>
          <w:szCs w:val="28"/>
          <w:highlight w:val="none"/>
        </w:rPr>
        <w:t xml:space="preserve">XXXX</w:t>
      </w:r>
      <w:r>
        <w:rPr>
          <w:rFonts w:ascii="方正仿宋_GBK" w:hAnsi="方正仿宋_GBK" w:eastAsia="方正仿宋_GBK" w:cs="方正仿宋_GBK"/>
          <w:sz w:val="28"/>
          <w:szCs w:val="28"/>
          <w:highlight w:val="none"/>
        </w:rPr>
      </w:r>
      <w:r/>
    </w:p>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39"/>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39"/>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rFonts w:hint="eastAsia" w:ascii="方正仿宋_GBK" w:hAnsi="方正仿宋_GBK" w:eastAsia="方正仿宋_GBK" w:cs="方正仿宋_GBK"/>
                <w:sz w:val="28"/>
                <w:szCs w:val="28"/>
                <w:highlight w:val="none"/>
              </w:rPr>
            </w:r>
            <w:r/>
          </w:p>
        </w:tc>
      </w:tr>
      <w:tr>
        <w:trPr>
          <w:cantSplit/>
          <w:trHeight w:val="612"/>
        </w:trPr>
        <w:tc>
          <w:tcPr>
            <w:tcW w:w="8934" w:type="dxa"/>
            <w:vAlign w:val="center"/>
            <w:textDirection w:val="lrTb"/>
            <w:noWrap w:val="false"/>
          </w:tcPr>
          <w:p>
            <w:pPr>
              <w:pStyle w:val="1026"/>
              <w:ind w:firstLine="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bl>
    <w:p>
      <w:pPr>
        <w:pStyle w:val="939"/>
        <w:ind w:firstLine="480"/>
        <w:spacing w:line="400" w:lineRule="exact"/>
        <w:rPr>
          <w:rFonts w:hint="eastAsia" w:ascii="宋体" w:hAnsi="宋体"/>
          <w:sz w:val="28"/>
          <w:szCs w:val="28"/>
          <w:highlight w:val="none"/>
        </w:rPr>
      </w:pPr>
      <w:r>
        <w:rPr>
          <w:rFonts w:hint="eastAsia" w:ascii="宋体" w:hAnsi="宋体"/>
          <w:sz w:val="28"/>
          <w:szCs w:val="28"/>
          <w:highlight w:val="none"/>
        </w:rPr>
      </w:r>
      <w:r/>
    </w:p>
    <w:p>
      <w:pPr>
        <w:pStyle w:val="939"/>
        <w:spacing w:line="400" w:lineRule="exact"/>
        <w:rPr>
          <w:rFonts w:ascii="宋体" w:hAnsi="宋体"/>
          <w:sz w:val="28"/>
          <w:szCs w:val="28"/>
          <w:highlight w:val="none"/>
        </w:rPr>
      </w:pPr>
      <w:r>
        <w:rPr>
          <w:rFonts w:ascii="宋体" w:hAnsi="宋体"/>
          <w:sz w:val="28"/>
          <w:szCs w:val="28"/>
          <w:highlight w:val="none"/>
        </w:rPr>
      </w:r>
      <w:r/>
    </w:p>
    <w:p>
      <w:pPr>
        <w:pStyle w:val="939"/>
        <w:spacing w:line="400" w:lineRule="exact"/>
        <w:rPr>
          <w:rFonts w:ascii="宋体" w:hAnsi="宋体"/>
          <w:sz w:val="28"/>
          <w:szCs w:val="28"/>
          <w:highlight w:val="none"/>
        </w:rPr>
      </w:pPr>
      <w:r>
        <w:rPr>
          <w:rFonts w:ascii="宋体" w:hAnsi="宋体"/>
          <w:sz w:val="28"/>
          <w:szCs w:val="28"/>
          <w:highlight w:val="none"/>
        </w:rPr>
      </w:r>
      <w:r/>
    </w:p>
    <w:p>
      <w:pPr>
        <w:pStyle w:val="939"/>
        <w:spacing w:line="400" w:lineRule="exact"/>
        <w:rPr>
          <w:rFonts w:ascii="宋体" w:hAnsi="宋体"/>
          <w:sz w:val="28"/>
          <w:szCs w:val="28"/>
          <w:highlight w:val="none"/>
        </w:rPr>
      </w:pPr>
      <w:r>
        <w:rPr>
          <w:rFonts w:ascii="宋体" w:hAnsi="宋体"/>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04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r>
      <w:tr>
        <w:trPr>
          <w:cantSplit/>
          <w:trHeight w:val="294"/>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39"/>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分项服务名称/货物名称</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rFonts w:hint="eastAsia" w:ascii="方正仿宋_GBK" w:hAnsi="方正仿宋_GBK" w:eastAsia="方正仿宋_GBK" w:cs="方正仿宋_GBK"/>
                <w:sz w:val="28"/>
                <w:szCs w:val="28"/>
                <w:highlight w:val="none"/>
              </w:rPr>
            </w:r>
            <w:r/>
          </w:p>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rFonts w:hint="eastAsia" w:ascii="方正仿宋_GBK" w:hAnsi="方正仿宋_GBK" w:eastAsia="方正仿宋_GBK" w:cs="方正仿宋_GBK"/>
                <w:sz w:val="28"/>
                <w:szCs w:val="28"/>
                <w:highlight w:val="none"/>
              </w:rPr>
            </w:r>
            <w:r/>
          </w:p>
        </w:tc>
        <w:tc>
          <w:tcPr>
            <w:tcW w:w="104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交付期/服务期</w:t>
            </w: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rFonts w:hint="eastAsia" w:ascii="方正仿宋_GBK" w:hAnsi="方正仿宋_GBK" w:eastAsia="方正仿宋_GBK" w:cs="方正仿宋_GBK"/>
                <w:sz w:val="28"/>
                <w:szCs w:val="28"/>
                <w:highlight w:val="none"/>
              </w:rPr>
            </w:r>
            <w:r/>
          </w:p>
        </w:tc>
      </w:tr>
      <w:tr>
        <w:trPr>
          <w:cantSplit/>
          <w:trHeight w:val="696"/>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u w:val="singl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7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1064"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40"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25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0"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6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861" w:type="dxa"/>
            <w:vAlign w:val="top"/>
            <w:textDirection w:val="lrTb"/>
            <w:noWrap w:val="false"/>
          </w:tcPr>
          <w:p>
            <w:pPr>
              <w:pStyle w:val="939"/>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tc>
      </w:tr>
      <w:tr>
        <w:trPr>
          <w:cantSplit/>
          <w:trHeight w:val="757"/>
        </w:trPr>
        <w:tc>
          <w:tcPr>
            <w:gridSpan w:val="10"/>
            <w:tcW w:w="9861" w:type="dxa"/>
            <w:vAlign w:val="top"/>
            <w:textDirection w:val="lrTb"/>
            <w:noWrap w:val="false"/>
          </w:tcPr>
          <w:p>
            <w:pPr>
              <w:pStyle w:val="1001"/>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highlight w:val="none"/>
        </w:rPr>
      </w:r>
      <w:r/>
    </w:p>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3.分项服务不需填写品牌、规格型号、制造商、产地。</w:t>
      </w:r>
      <w:r>
        <w:rPr>
          <w:rFonts w:hint="eastAsia" w:ascii="方正仿宋_GBK" w:hAnsi="方正仿宋_GBK" w:eastAsia="方正仿宋_GBK" w:cs="方正仿宋_GBK"/>
          <w:sz w:val="28"/>
          <w:szCs w:val="28"/>
          <w:highlight w:val="none"/>
        </w:rPr>
      </w:r>
      <w:r/>
    </w:p>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939"/>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5.项目经办人可以根据项目实际需要对表格结构进行调整。</w:t>
      </w:r>
      <w:r>
        <w:rPr>
          <w:rFonts w:hint="eastAsia" w:ascii="方正仿宋_GBK" w:hAnsi="方正仿宋_GBK" w:eastAsia="方正仿宋_GBK" w:cs="方正仿宋_GBK"/>
          <w:sz w:val="28"/>
          <w:szCs w:val="28"/>
          <w:highlight w:val="none"/>
        </w:rPr>
      </w:r>
      <w:r/>
    </w:p>
    <w:p>
      <w:pPr>
        <w:pStyle w:val="939"/>
        <w:spacing w:line="400" w:lineRule="exact"/>
        <w:rPr>
          <w:rFonts w:hint="eastAsia" w:ascii="方正魏碑_GBK" w:hAnsi="方正魏碑_GBK" w:eastAsia="方正魏碑_GBK" w:cs="方正魏碑_GBK"/>
          <w:b/>
          <w:bCs/>
          <w:color w:val="ff0000"/>
          <w:sz w:val="28"/>
          <w:szCs w:val="28"/>
          <w:highlight w:val="none"/>
        </w:rPr>
      </w:pPr>
      <w:r>
        <w:rPr>
          <w:rFonts w:hint="eastAsia" w:ascii="方正魏碑_GBK" w:hAnsi="方正魏碑_GBK" w:eastAsia="方正魏碑_GBK" w:cs="方正魏碑_GBK"/>
          <w:b/>
          <w:bCs/>
          <w:color w:val="ff0000"/>
          <w:sz w:val="28"/>
          <w:szCs w:val="28"/>
          <w:highlight w:val="none"/>
        </w:rPr>
      </w:r>
      <w:r/>
    </w:p>
    <w:p>
      <w:pPr>
        <w:pStyle w:val="939"/>
        <w:spacing w:line="400" w:lineRule="exact"/>
        <w:rPr>
          <w:rFonts w:ascii="宋体" w:hAnsi="宋体"/>
          <w:sz w:val="28"/>
          <w:szCs w:val="28"/>
          <w:highlight w:val="none"/>
        </w:rPr>
      </w:pPr>
      <w:r>
        <w:rPr>
          <w:rFonts w:hint="eastAsia" w:ascii="宋体" w:hAnsi="宋体"/>
          <w:sz w:val="28"/>
          <w:szCs w:val="28"/>
          <w:highlight w:val="none"/>
        </w:rPr>
        <w:t xml:space="preserve">                         </w:t>
      </w:r>
      <w:r>
        <w:rPr>
          <w:rFonts w:ascii="宋体" w:hAnsi="宋体"/>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39"/>
        <w:jc w:val="left"/>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ascii="宋体" w:hAnsi="宋体"/>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296"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39"/>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hint="eastAsia" w:ascii="方正仿宋_GBK" w:hAnsi="方正仿宋_GBK" w:eastAsia="方正仿宋_GBK" w:cs="方正仿宋_GBK"/>
          <w:sz w:val="28"/>
          <w:szCs w:val="28"/>
          <w:highlight w:val="none"/>
        </w:rPr>
      </w:r>
      <w:r/>
    </w:p>
    <w:p>
      <w:pPr>
        <w:pStyle w:val="939"/>
        <w:spacing w:line="400" w:lineRule="exact"/>
        <w:rPr>
          <w:rFonts w:ascii="宋体" w:hAnsi="宋体"/>
          <w:sz w:val="28"/>
          <w:szCs w:val="28"/>
          <w:highlight w:val="none"/>
        </w:rPr>
      </w:pPr>
      <w:r>
        <w:rPr>
          <w:rFonts w:ascii="宋体" w:hAnsi="宋体"/>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宋体" w:hAnsi="宋体"/>
          <w:b/>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90"/>
        <w:tabs>
          <w:tab w:val="right" w:pos="8720" w:leader="dot"/>
        </w:tabs>
        <w:rPr>
          <w:rFonts w:hint="eastAsia"/>
          <w:highlight w:val="none"/>
        </w:rPr>
      </w:pPr>
      <w:r>
        <w:rPr>
          <w:rFonts w:hint="eastAsia"/>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39"/>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rFonts w:ascii="宋体" w:hAnsi="宋体"/>
          <w:b/>
          <w:color w:val="000000"/>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39"/>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ascii="宋体" w:hAnsi="宋体"/>
          <w:bCs/>
          <w:color w:val="000000"/>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rPr>
          <w:rFonts w:hint="eastAsia" w:ascii="方正仿宋_GBK" w:hAnsi="方正仿宋_GBK" w:eastAsia="方正仿宋_GBK" w:cs="方正仿宋_GBK"/>
          <w:sz w:val="28"/>
          <w:szCs w:val="28"/>
          <w:highlight w:val="none"/>
        </w:rPr>
      </w:r>
      <w:r/>
    </w:p>
    <w:p>
      <w:pPr>
        <w:pStyle w:val="939"/>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39"/>
        <w:jc w:val="center"/>
        <w:spacing w:line="400" w:lineRule="exact"/>
        <w:rPr>
          <w:rFonts w:ascii="黑体" w:hAnsi="黑体" w:eastAsia="黑体"/>
          <w:b/>
          <w:i/>
          <w:color w:val="000000"/>
          <w:sz w:val="28"/>
          <w:szCs w:val="28"/>
          <w:highlight w:val="none"/>
          <w:u w:val="single"/>
        </w:rPr>
      </w:pP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939"/>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sz w:val="28"/>
          <w:szCs w:val="28"/>
          <w:highlight w:val="none"/>
        </w:rPr>
        <w:t xml:space="preserve">，</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签字人兹宣布同意如下：</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highlight w:val="none"/>
        </w:rPr>
      </w:r>
      <w:r/>
    </w:p>
    <w:p>
      <w:pPr>
        <w:pStyle w:val="1026"/>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rPr>
          <w:rFonts w:hint="eastAsia" w:ascii="方正仿宋_GBK" w:hAnsi="方正仿宋_GBK" w:eastAsia="方正仿宋_GBK" w:cs="方正仿宋_GBK"/>
          <w:sz w:val="28"/>
          <w:szCs w:val="28"/>
          <w:highlight w:val="none"/>
        </w:rPr>
      </w:r>
      <w:r/>
    </w:p>
    <w:p>
      <w:pPr>
        <w:pStyle w:val="1026"/>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rPr>
      </w:r>
      <w:r/>
    </w:p>
    <w:p>
      <w:pPr>
        <w:pStyle w:val="1026"/>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rFonts w:hint="eastAsia" w:ascii="方正仿宋_GBK" w:hAnsi="方正仿宋_GBK" w:eastAsia="方正仿宋_GBK" w:cs="方正仿宋_GBK"/>
          <w:sz w:val="28"/>
          <w:szCs w:val="28"/>
          <w:highlight w:val="none"/>
        </w:rPr>
      </w:r>
      <w:r/>
    </w:p>
    <w:p>
      <w:pPr>
        <w:pStyle w:val="1026"/>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rFonts w:hint="eastAsia" w:ascii="方正仿宋_GBK" w:hAnsi="方正仿宋_GBK" w:eastAsia="方正仿宋_GBK" w:cs="方正仿宋_GBK"/>
          <w:sz w:val="28"/>
          <w:szCs w:val="28"/>
          <w:highlight w:val="none"/>
        </w:rPr>
      </w:r>
      <w:r/>
    </w:p>
    <w:p>
      <w:pPr>
        <w:pStyle w:val="1026"/>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rFonts w:hint="eastAsia" w:ascii="方正仿宋_GBK" w:hAnsi="方正仿宋_GBK" w:eastAsia="方正仿宋_GBK" w:cs="方正仿宋_GBK"/>
          <w:sz w:val="28"/>
          <w:szCs w:val="28"/>
          <w:highlight w:val="none"/>
        </w:rPr>
      </w:r>
      <w:r/>
    </w:p>
    <w:p>
      <w:pPr>
        <w:pStyle w:val="1026"/>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rPr>
          <w:rFonts w:hint="eastAsia" w:ascii="方正仿宋_GBK" w:hAnsi="方正仿宋_GBK" w:eastAsia="方正仿宋_GBK" w:cs="方正仿宋_GBK"/>
          <w:sz w:val="28"/>
          <w:szCs w:val="28"/>
          <w:highlight w:val="none"/>
        </w:rPr>
      </w:r>
      <w:r/>
    </w:p>
    <w:p>
      <w:pPr>
        <w:pStyle w:val="1026"/>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rFonts w:hint="eastAsia" w:ascii="方正仿宋_GBK" w:hAnsi="方正仿宋_GBK" w:eastAsia="方正仿宋_GBK" w:cs="方正仿宋_GBK"/>
          <w:sz w:val="28"/>
          <w:szCs w:val="28"/>
          <w:highlight w:val="none"/>
        </w:rPr>
      </w:r>
      <w:r/>
    </w:p>
    <w:p>
      <w:pPr>
        <w:pStyle w:val="1026"/>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26"/>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26"/>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1026"/>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39"/>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1026"/>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rPr>
        <w:t xml:space="preserve">                            日      期：___年____月____日</w:t>
      </w:r>
      <w:r>
        <w:rPr>
          <w:rFonts w:hint="eastAsia" w:ascii="方正仿宋_GBK" w:hAnsi="方正仿宋_GBK" w:eastAsia="方正仿宋_GBK" w:cs="方正仿宋_GBK"/>
          <w:bCs/>
          <w:color w:val="000000"/>
          <w:sz w:val="28"/>
          <w:szCs w:val="28"/>
          <w:highlight w:val="none"/>
        </w:rPr>
      </w:r>
      <w:r/>
    </w:p>
    <w:p>
      <w:pPr>
        <w:pStyle w:val="939"/>
        <w:ind w:firstLine="560"/>
        <w:spacing w:line="400" w:lineRule="exact"/>
        <w:rPr>
          <w:rFonts w:ascii="宋体" w:hAnsi="宋体"/>
          <w:sz w:val="28"/>
          <w:szCs w:val="28"/>
          <w:highlight w:val="none"/>
        </w:rPr>
      </w:pPr>
      <w:r>
        <w:rPr>
          <w:rFonts w:ascii="宋体" w:hAnsi="宋体"/>
          <w:sz w:val="28"/>
          <w:szCs w:val="28"/>
          <w:highlight w:val="none"/>
        </w:rPr>
      </w:r>
      <w:r/>
    </w:p>
    <w:p>
      <w:pPr>
        <w:pStyle w:val="939"/>
        <w:ind w:firstLine="560"/>
        <w:spacing w:line="400" w:lineRule="exact"/>
        <w:rPr>
          <w:rFonts w:ascii="宋体" w:hAnsi="宋体"/>
          <w:sz w:val="28"/>
          <w:szCs w:val="28"/>
          <w:highlight w:val="none"/>
        </w:rPr>
      </w:pPr>
      <w:r>
        <w:rPr>
          <w:rFonts w:ascii="宋体" w:hAnsi="宋体"/>
          <w:sz w:val="28"/>
          <w:szCs w:val="28"/>
          <w:highlight w:val="none"/>
        </w:rPr>
      </w:r>
      <w:r/>
    </w:p>
    <w:p>
      <w:pPr>
        <w:pStyle w:val="990"/>
        <w:tabs>
          <w:tab w:val="right" w:pos="8720" w:leader="dot"/>
        </w:tabs>
        <w:rPr>
          <w:highlight w:val="none"/>
        </w:rPr>
      </w:pPr>
      <w:r>
        <w:rPr>
          <w:highlight w:val="none"/>
        </w:rPr>
      </w:r>
      <w:r/>
    </w:p>
    <w:p>
      <w:pPr>
        <w:pStyle w:val="939"/>
        <w:rPr>
          <w:highlight w:val="none"/>
        </w:rPr>
      </w:pPr>
      <w:r>
        <w:rPr>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bookmarkEnd w:id="167"/>
      <w:r/>
      <w:bookmarkEnd w:id="168"/>
      <w:r/>
      <w:bookmarkEnd w:id="169"/>
      <w:r/>
      <w:bookmarkStart w:id="170" w:name="_Toc120614284"/>
      <w:r>
        <w:rPr>
          <w:rFonts w:hint="eastAsia" w:ascii="方正黑体_GBK" w:hAnsi="方正黑体_GBK" w:eastAsia="方正黑体_GBK" w:cs="方正黑体_GBK"/>
          <w:bCs/>
          <w:sz w:val="28"/>
          <w:szCs w:val="28"/>
          <w:highlight w:val="none"/>
        </w:rPr>
        <w:t xml:space="preserve">附件9 中小微企业声明函（服务类项目）（采购包号：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（单位名称）采购编号为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39"/>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939"/>
        <w:ind w:right="720"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企业名称（加盖CA电子公章）：</w:t>
      </w:r>
      <w:r>
        <w:rPr>
          <w:rFonts w:hint="eastAsia" w:ascii="方正仿宋_GBK" w:hAnsi="方正仿宋_GBK" w:eastAsia="方正仿宋_GBK" w:cs="方正仿宋_GBK"/>
          <w:sz w:val="28"/>
          <w:szCs w:val="28"/>
          <w:highlight w:val="none"/>
        </w:rPr>
      </w:r>
      <w:r/>
    </w:p>
    <w:p>
      <w:pPr>
        <w:pStyle w:val="939"/>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     期：___年___月___日 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 残疾人福利性单位声明函（服务类项目）（采购包号：</w:t>
      </w:r>
      <w:r>
        <w:rPr>
          <w:rFonts w:hint="eastAsia"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黑体_GBK"/>
          <w:bCs/>
          <w:sz w:val="28"/>
          <w:szCs w:val="28"/>
          <w:highlight w:val="none"/>
        </w:rPr>
        <w:t xml:space="preserve">XX</w:t>
      </w:r>
      <w:r>
        <w:rPr>
          <w:rFonts w:hint="eastAsia" w:ascii="方正仿宋_GBK" w:hAnsi="方正仿宋_GBK" w:eastAsia="方正仿宋_GBK" w:cs="方正仿宋_GBK"/>
          <w:sz w:val="28"/>
          <w:szCs w:val="28"/>
          <w:highlight w:val="none"/>
        </w:rPr>
        <w:t xml:space="preserve">）采购活动由本单位提供服务。</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939"/>
        <w:ind w:firstLine="584"/>
        <w:spacing w:line="400" w:lineRule="exact"/>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pStyle w:val="939"/>
        <w:ind w:right="1559" w:firstLine="584"/>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39"/>
        <w:ind w:right="1559" w:firstLine="560"/>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     期：___年____月____日   </w:t>
      </w:r>
      <w:r>
        <w:rPr>
          <w:rFonts w:hint="eastAsia" w:ascii="方正仿宋_GBK" w:hAnsi="方正仿宋_GBK" w:eastAsia="方正仿宋_GBK" w:cs="方正仿宋_GBK"/>
          <w:sz w:val="28"/>
          <w:szCs w:val="28"/>
          <w:highlight w:val="none"/>
        </w:rPr>
      </w:r>
      <w:r/>
    </w:p>
    <w:p>
      <w:pPr>
        <w:pStyle w:val="939"/>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39"/>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39"/>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rPr>
          <w:rFonts w:hint="eastAsia" w:ascii="方正黑体_GBK" w:hAnsi="方正黑体_GBK" w:eastAsia="方正黑体_GBK" w:cs="方正黑体_GBK"/>
          <w:bCs/>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项目（项目名称）（采购包号：XX）的政府采购活动，我联合体指定</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39"/>
        <w:ind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日期：___年____月____日     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sz w:val="28"/>
          <w:szCs w:val="28"/>
          <w:highlight w:val="none"/>
        </w:rPr>
      </w:r>
      <w:r/>
    </w:p>
    <w:p>
      <w:pPr>
        <w:pStyle w:val="939"/>
        <w:ind w:firstLine="645"/>
        <w:spacing w:line="400" w:lineRule="exact"/>
        <w:rPr>
          <w:rFonts w:hint="eastAsia" w:ascii="宋体" w:hAnsi="宋体"/>
          <w:sz w:val="28"/>
          <w:szCs w:val="28"/>
          <w:highlight w:val="none"/>
        </w:rPr>
      </w:pPr>
      <w:r>
        <w:rPr>
          <w:rFonts w:hint="eastAsia" w:ascii="宋体" w:hAnsi="宋体"/>
          <w:sz w:val="28"/>
          <w:szCs w:val="28"/>
          <w:highlight w:val="none"/>
        </w:rPr>
      </w:r>
      <w:r/>
    </w:p>
    <w:p>
      <w:pPr>
        <w:pStyle w:val="939"/>
        <w:spacing w:line="400" w:lineRule="exact"/>
        <w:rPr>
          <w:rFonts w:hint="eastAsia" w:ascii="宋体" w:hAnsi="宋体"/>
          <w:sz w:val="28"/>
          <w:szCs w:val="28"/>
          <w:highlight w:val="none"/>
        </w:rPr>
      </w:pPr>
      <w:r>
        <w:rPr>
          <w:rFonts w:hint="eastAsia" w:ascii="宋体" w:hAnsi="宋体"/>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附件12 实质性要求响应及偏离表（采购包号：XX）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39"/>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939"/>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sz w:val="28"/>
          <w:szCs w:val="28"/>
          <w:highlight w:val="none"/>
        </w:rPr>
        <w:t xml:space="preserve">逐条做出明确响应，否则作无效投标处理。</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939"/>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pStyle w:val="939"/>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关于符合本国产品标准的声明函（采购包号：XX）</w:t>
      </w:r>
      <w:r>
        <w:rPr>
          <w:rFonts w:hint="eastAsia" w:ascii="方正黑体_GBK" w:hAnsi="方正黑体_GBK" w:eastAsia="方正黑体_GBK" w:cs="方正黑体_GBK"/>
          <w:bCs/>
          <w:sz w:val="28"/>
          <w:szCs w:val="28"/>
          <w:highlight w:val="none"/>
        </w:rPr>
      </w:r>
      <w:r/>
    </w:p>
    <w:p>
      <w:pPr>
        <w:pStyle w:val="1001"/>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13"/>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13"/>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13"/>
          <w:rFonts w:hint="eastAsia" w:ascii="方正仿宋_GBK" w:hAnsi="方正仿宋_GBK" w:eastAsia="方正仿宋_GBK" w:cs="方正仿宋_GBK"/>
          <w:i w:val="0"/>
          <w:sz w:val="28"/>
          <w:szCs w:val="28"/>
          <w:highlight w:val="none"/>
          <w:u w:val="single"/>
          <w:shd w:val="clear" w:color="auto" w:fill="ffffff"/>
        </w:rPr>
        <w:t xml:space="preserve">（厂名）</w:t>
      </w:r>
      <w:r>
        <w:rPr>
          <w:rStyle w:val="1013"/>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13"/>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13"/>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13"/>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13"/>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1001"/>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公司（单位）名称（加盖CA电子公章）：　        </w:t>
      </w:r>
      <w:r>
        <w:rPr>
          <w:rFonts w:hint="eastAsia" w:ascii="方正仿宋_GBK" w:hAnsi="方正仿宋_GBK" w:eastAsia="方正仿宋_GBK" w:cs="方正仿宋_GBK"/>
          <w:sz w:val="28"/>
          <w:szCs w:val="28"/>
          <w:highlight w:val="none"/>
        </w:rPr>
      </w:r>
      <w:r/>
    </w:p>
    <w:p>
      <w:pPr>
        <w:pStyle w:val="1001"/>
        <w:ind w:firstLine="560"/>
        <w:jc w:val="center"/>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__________________</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1001"/>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13"/>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939"/>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pStyle w:val="939"/>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39"/>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附件14   提供服务的人员均为订立劳动合同的从业人员的书面声明</w:t>
      </w:r>
      <w:r>
        <w:rPr>
          <w:rFonts w:hint="eastAsia" w:ascii="方正黑体_GBK" w:hAnsi="方正黑体_GBK" w:eastAsia="方正黑体_GBK" w:cs="方正黑体_GBK"/>
          <w:bCs/>
          <w:sz w:val="28"/>
          <w:szCs w:val="28"/>
          <w:highlight w:val="none"/>
        </w:rPr>
      </w:r>
      <w:r/>
    </w:p>
    <w:p>
      <w:pPr>
        <w:pStyle w:val="939"/>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（采购包号：XX）</w:t>
      </w:r>
      <w:r>
        <w:rPr>
          <w:rFonts w:hint="eastAsia" w:ascii="方正黑体_GBK" w:hAnsi="方正黑体_GBK" w:eastAsia="方正黑体_GBK" w:cs="方正黑体_GBK"/>
          <w:bCs/>
          <w:sz w:val="28"/>
          <w:szCs w:val="28"/>
          <w:highlight w:val="none"/>
        </w:rPr>
      </w:r>
      <w:r/>
    </w:p>
    <w:p>
      <w:pPr>
        <w:pStyle w:val="1001"/>
        <w:ind w:firstLine="560"/>
        <w:spacing w:before="30" w:beforeAutospacing="0" w:after="30" w:afterAutospacing="0" w:line="400" w:lineRule="exact"/>
        <w:rPr>
          <w:rFonts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rPr>
        <w:t xml:space="preserve">参加江苏省政府采购中心组织的项目编号为JSZC-320000-SCZX-</w:t>
      </w:r>
      <w:r>
        <w:rPr>
          <w:rFonts w:hint="eastAsia" w:ascii="方正仿宋_GBK" w:hAnsi="方正仿宋_GBK" w:eastAsia="方正仿宋_GBK" w:cs="方正仿宋_GBK"/>
          <w:sz w:val="28"/>
          <w:szCs w:val="28"/>
          <w:highlight w:val="none"/>
          <w:shd w:val="clear" w:color="auto" w:fill="ffffff"/>
        </w:rPr>
        <w:t xml:space="preserve">G（C、T、K）</w:t>
      </w:r>
      <w:r>
        <w:rPr>
          <w:rFonts w:ascii="方正仿宋_GBK" w:hAnsi="方正仿宋_GBK" w:eastAsia="方正仿宋_GBK" w:cs="方正仿宋_GBK"/>
          <w:sz w:val="28"/>
          <w:szCs w:val="28"/>
          <w:highlight w:val="none"/>
          <w:shd w:val="clear" w:color="auto" w:fill="ffffff"/>
        </w:rPr>
        <w:t xml:space="preserve">20XX-XXXX，XXXX（项目名称）（采购包号：XX）项目采购活动</w:t>
      </w:r>
      <w:r>
        <w:rPr>
          <w:rFonts w:hint="eastAsia" w:ascii="方正仿宋_GBK" w:hAnsi="方正仿宋_GBK" w:eastAsia="方正仿宋_GBK" w:cs="方正仿宋_GBK"/>
          <w:sz w:val="28"/>
          <w:szCs w:val="28"/>
          <w:highlight w:val="none"/>
          <w:shd w:val="clear" w:color="auto" w:fill="ffffff"/>
        </w:rPr>
        <w:t xml:space="preserve">，根据</w:t>
      </w:r>
      <w:r>
        <w:rPr>
          <w:rFonts w:ascii="方正仿宋_GBK" w:hAnsi="方正仿宋_GBK" w:eastAsia="方正仿宋_GBK" w:cs="方正仿宋_GBK"/>
          <w:sz w:val="28"/>
          <w:szCs w:val="28"/>
          <w:highlight w:val="none"/>
          <w:shd w:val="clear" w:color="auto" w:fill="ffffff"/>
        </w:rPr>
        <w:t xml:space="preserve">《政府采购促进中小企业发展管理办法》</w:t>
      </w:r>
      <w:r>
        <w:rPr>
          <w:rFonts w:hint="eastAsia" w:ascii="方正仿宋_GBK" w:hAnsi="方正仿宋_GBK" w:eastAsia="方正仿宋_GBK" w:cs="方正仿宋_GBK"/>
          <w:sz w:val="28"/>
          <w:szCs w:val="28"/>
          <w:highlight w:val="none"/>
          <w:shd w:val="clear" w:color="auto" w:fill="ffffff"/>
        </w:rPr>
        <w:t xml:space="preserve">第四条规定</w:t>
      </w:r>
      <w:r>
        <w:rPr>
          <w:rFonts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shd w:val="clear" w:color="auto" w:fill="ffffff"/>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rPr>
        <w:t xml:space="preserve">郑重声明</w:t>
      </w:r>
      <w:r>
        <w:rPr>
          <w:rFonts w:hint="eastAsia" w:ascii="方正仿宋_GBK" w:hAnsi="方正仿宋_GBK" w:eastAsia="方正仿宋_GBK" w:cs="方正仿宋_GBK"/>
          <w:sz w:val="28"/>
          <w:szCs w:val="28"/>
          <w:highlight w:val="none"/>
          <w:shd w:val="clear" w:color="auto" w:fill="ffffff"/>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sz w:val="28"/>
          <w:szCs w:val="28"/>
          <w:highlight w:val="none"/>
          <w:shd w:val="clear" w:color="auto" w:fill="ffffff"/>
        </w:rPr>
      </w:r>
      <w:r/>
    </w:p>
    <w:p>
      <w:pPr>
        <w:pStyle w:val="1001"/>
        <w:ind w:firstLine="560"/>
        <w:spacing w:before="30" w:beforeAutospacing="0" w:after="30" w:afterAutospacing="0" w:line="400" w:lineRule="exact"/>
        <w:rPr>
          <w:highlight w:val="none"/>
        </w:rPr>
      </w:pPr>
      <w:r>
        <w:rPr>
          <w:rFonts w:ascii="方正仿宋_GBK" w:hAnsi="方正仿宋_GBK" w:eastAsia="方正仿宋_GBK" w:cs="方正仿宋_GBK"/>
          <w:sz w:val="28"/>
          <w:szCs w:val="28"/>
          <w:highlight w:val="none"/>
          <w:shd w:val="clear" w:color="auto" w:fill="ffffff"/>
        </w:rPr>
        <w:t xml:space="preserve">本</w:t>
      </w:r>
      <w:r>
        <w:rPr>
          <w:rFonts w:hint="eastAsia" w:ascii="方正仿宋_GBK" w:hAnsi="方正仿宋_GBK" w:eastAsia="方正仿宋_GBK" w:cs="方正仿宋_GBK"/>
          <w:sz w:val="28"/>
          <w:szCs w:val="28"/>
          <w:highlight w:val="none"/>
          <w:shd w:val="clear" w:color="auto" w:fill="ffffff"/>
        </w:rPr>
        <w:t xml:space="preserve">企业（联合体）</w:t>
      </w:r>
      <w:r>
        <w:rPr>
          <w:rFonts w:ascii="方正仿宋_GBK" w:hAnsi="方正仿宋_GBK" w:eastAsia="方正仿宋_GBK" w:cs="方正仿宋_GBK"/>
          <w:sz w:val="28"/>
          <w:szCs w:val="28"/>
          <w:highlight w:val="none"/>
          <w:shd w:val="clear" w:color="auto" w:fill="ffffff"/>
        </w:rPr>
        <w:t xml:space="preserve">对上述声明的真实性负责。如有虚假，将依法承担相应责任。</w:t>
      </w:r>
      <w:r>
        <w:rPr>
          <w:highlight w:val="none"/>
        </w:rPr>
      </w:r>
      <w:r/>
    </w:p>
    <w:p>
      <w:pPr>
        <w:pStyle w:val="939"/>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color w:val="333333"/>
          <w:sz w:val="28"/>
          <w:szCs w:val="28"/>
          <w:highlight w:val="none"/>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sz w:val="28"/>
          <w:szCs w:val="28"/>
          <w:highlight w:val="none"/>
        </w:rPr>
      </w:r>
      <w:r/>
    </w:p>
    <w:p>
      <w:pPr>
        <w:pStyle w:val="939"/>
        <w:spacing w:line="400" w:lineRule="exact"/>
        <w:rPr>
          <w:rFonts w:ascii="宋体" w:hAnsi="宋体"/>
          <w:bCs/>
          <w:sz w:val="28"/>
          <w:szCs w:val="28"/>
          <w:highlight w:val="none"/>
        </w:rPr>
      </w:pPr>
      <w:r>
        <w:rPr>
          <w:rFonts w:ascii="宋体" w:hAnsi="宋体"/>
          <w:bCs/>
          <w:sz w:val="28"/>
          <w:szCs w:val="28"/>
          <w:highlight w:val="none"/>
        </w:rPr>
      </w:r>
      <w:r/>
    </w:p>
    <w:p>
      <w:pPr>
        <w:pStyle w:val="939"/>
        <w:spacing w:line="400" w:lineRule="exact"/>
        <w:rPr>
          <w:rFonts w:hint="eastAsia" w:ascii="宋体" w:hAnsi="宋体"/>
          <w:bCs/>
          <w:sz w:val="28"/>
          <w:szCs w:val="28"/>
          <w:highlight w:val="none"/>
        </w:rPr>
      </w:pPr>
      <w:r>
        <w:rPr>
          <w:rFonts w:hint="eastAsia" w:ascii="宋体" w:hAnsi="宋体"/>
          <w:bCs/>
          <w:sz w:val="28"/>
          <w:szCs w:val="28"/>
          <w:highlight w:val="none"/>
        </w:rPr>
      </w:r>
      <w:r/>
    </w:p>
    <w:p>
      <w:pPr>
        <w:pStyle w:val="939"/>
        <w:spacing w:line="400" w:lineRule="exact"/>
        <w:rPr>
          <w:rFonts w:hint="eastAsia"/>
          <w:sz w:val="28"/>
          <w:szCs w:val="28"/>
          <w:highlight w:val="none"/>
        </w:rPr>
      </w:pPr>
      <w:r>
        <w:rPr>
          <w:rFonts w:hint="eastAsia"/>
          <w:sz w:val="28"/>
          <w:szCs w:val="28"/>
          <w:highlight w:val="none"/>
        </w:rPr>
      </w:r>
      <w:r/>
    </w:p>
    <w:p>
      <w:pPr>
        <w:pStyle w:val="939"/>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39"/>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39"/>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39"/>
        <w:jc w:val="center"/>
        <w:spacing w:line="400" w:lineRule="exact"/>
        <w:rPr>
          <w:rFonts w:hint="eastAsia" w:ascii="方正黑体_GBK" w:hAnsi="方正黑体_GBK" w:eastAsia="方正黑体_GBK" w:cs="方正黑体_GBK"/>
          <w:bCs/>
          <w:sz w:val="28"/>
          <w:szCs w:val="28"/>
          <w:highlight w:val="none"/>
        </w:rPr>
      </w:pPr>
      <w:r/>
      <w:bookmarkEnd w:id="159"/>
      <w:r/>
      <w:bookmarkEnd w:id="160"/>
      <w:r/>
      <w:bookmarkEnd w:id="170"/>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939"/>
        <w:ind w:firstLine="56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rFonts w:hint="eastAsia" w:ascii="方正仿宋_GBK" w:hAnsi="方正仿宋_GBK" w:eastAsia="方正仿宋_GBK" w:cs="方正仿宋_GBK"/>
          <w:bCs/>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rFonts w:hint="eastAsia" w:ascii="方正仿宋_GBK" w:hAnsi="方正仿宋_GBK" w:eastAsia="方正仿宋_GBK" w:cs="方正仿宋_GBK"/>
          <w:bCs/>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rFonts w:hint="eastAsia" w:ascii="方正仿宋_GBK" w:hAnsi="方正仿宋_GBK" w:eastAsia="方正仿宋_GBK" w:cs="方正仿宋_GBK"/>
          <w:bCs/>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rFonts w:hint="eastAsia" w:ascii="方正仿宋_GBK" w:hAnsi="方正仿宋_GBK" w:eastAsia="方正仿宋_GBK" w:cs="方正仿宋_GBK"/>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rFonts w:hint="eastAsia" w:ascii="方正仿宋_GBK" w:hAnsi="方正仿宋_GBK" w:eastAsia="方正仿宋_GBK" w:cs="方正仿宋_GBK"/>
          <w:bCs/>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rFonts w:hint="eastAsia" w:ascii="方正仿宋_GBK" w:hAnsi="方正仿宋_GBK" w:eastAsia="方正仿宋_GBK" w:cs="方正仿宋_GBK"/>
          <w:sz w:val="28"/>
          <w:szCs w:val="28"/>
          <w:highlight w:val="none"/>
        </w:rPr>
      </w:r>
      <w:r/>
    </w:p>
    <w:p>
      <w:pPr>
        <w:pStyle w:val="93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rFonts w:hint="eastAsia" w:ascii="方正仿宋_GBK" w:hAnsi="方正仿宋_GBK" w:eastAsia="方正仿宋_GBK" w:cs="方正仿宋_GBK"/>
          <w:sz w:val="28"/>
          <w:szCs w:val="28"/>
          <w:highlight w:val="none"/>
        </w:rPr>
      </w:r>
      <w:r/>
    </w:p>
    <w:p>
      <w:pPr>
        <w:pStyle w:val="939"/>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rFonts w:hint="eastAsia" w:ascii="方正仿宋_GBK" w:hAnsi="方正仿宋_GBK" w:eastAsia="方正仿宋_GBK" w:cs="方正仿宋_GBK"/>
          <w:b/>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rFonts w:hint="eastAsia" w:ascii="方正仿宋_GBK" w:hAnsi="方正仿宋_GBK" w:eastAsia="方正仿宋_GBK" w:cs="方正仿宋_GBK"/>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rFonts w:hint="eastAsia" w:ascii="方正仿宋_GBK" w:hAnsi="方正仿宋_GBK" w:eastAsia="方正仿宋_GBK" w:cs="方正仿宋_GBK"/>
          <w:sz w:val="28"/>
          <w:szCs w:val="28"/>
          <w:highlight w:val="none"/>
        </w:rPr>
      </w:r>
      <w:r/>
    </w:p>
    <w:p>
      <w:pPr>
        <w:pStyle w:val="939"/>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highlight w:val="none"/>
        </w:rPr>
      </w:r>
      <w:r/>
    </w:p>
    <w:p>
      <w:pPr>
        <w:pStyle w:val="953"/>
        <w:spacing w:line="400" w:lineRule="exact"/>
        <w:rPr>
          <w:rFonts w:hint="eastAsia"/>
          <w:sz w:val="28"/>
          <w:szCs w:val="28"/>
          <w:highlight w:val="none"/>
        </w:rPr>
      </w:pPr>
      <w:r>
        <w:rPr>
          <w:rFonts w:hint="eastAsia"/>
          <w:sz w:val="28"/>
          <w:szCs w:val="28"/>
          <w:highlight w:val="none"/>
        </w:rPr>
      </w:r>
      <w:r/>
    </w:p>
    <w:p>
      <w:pPr>
        <w:pStyle w:val="953"/>
        <w:rPr>
          <w:sz w:val="24"/>
          <w:szCs w:val="24"/>
          <w:highlight w:val="none"/>
        </w:rPr>
      </w:pPr>
      <w:r>
        <w:rPr>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魏碑_GBK">
    <w:panose1 w:val="020B0503020202020204"/>
  </w:font>
  <w:font w:name="Calibri Light">
    <w:panose1 w:val="020F030202020403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44</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44</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rPr>
        <w:rStyle w:val="1011"/>
      </w:rPr>
    </w:r>
    <w:r/>
  </w:p>
  <w:p>
    <w:pPr>
      <w:pStyle w:val="98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39"/>
                    </w:pPr>
                    <w:r/>
                    <w:r/>
                  </w:p>
                </w:txbxContent>
              </v:textbox>
            </v:shape>
          </w:pict>
        </mc:Fallback>
      </mc:AlternateContent>
    </w:r>
    <w:r/>
  </w:p>
  <w:p>
    <w:pPr>
      <w:pStyle w:val="9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8"/>
      <w:isLgl w:val="false"/>
      <w:suff w:val="tab"/>
      <w:lvlText w:val="附录%1."/>
      <w:lvlJc w:val="left"/>
      <w:pPr>
        <w:pStyle w:val="93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5"/>
      <w:isLgl w:val="false"/>
      <w:suff w:val="tab"/>
      <w:lvlText w:val="%1."/>
      <w:lvlJc w:val="left"/>
      <w:pPr>
        <w:pStyle w:val="939"/>
        <w:ind w:left="709" w:hanging="709"/>
        <w:tabs>
          <w:tab w:val="num" w:pos="709" w:leader="none"/>
        </w:tabs>
      </w:pPr>
      <w:rPr>
        <w:rFonts w:hint="eastAsia"/>
      </w:rPr>
    </w:lvl>
    <w:lvl w:ilvl="1">
      <w:start w:val="1"/>
      <w:numFmt w:val="decimal"/>
      <w:isLgl w:val="false"/>
      <w:suff w:val="tab"/>
      <w:lvlText w:val="%1.%2"/>
      <w:lvlJc w:val="left"/>
      <w:pPr>
        <w:pStyle w:val="939"/>
        <w:ind w:left="709" w:hanging="709"/>
        <w:tabs>
          <w:tab w:val="num" w:pos="709" w:leader="none"/>
        </w:tabs>
      </w:pPr>
      <w:rPr>
        <w:rFonts w:hint="eastAsia"/>
      </w:rPr>
    </w:lvl>
    <w:lvl w:ilvl="2">
      <w:start w:val="1"/>
      <w:numFmt w:val="decimal"/>
      <w:isLgl w:val="false"/>
      <w:suff w:val="tab"/>
      <w:lvlText w:val="%1.%2.%3."/>
      <w:lvlJc w:val="left"/>
      <w:pPr>
        <w:pStyle w:val="939"/>
        <w:ind w:left="425" w:hanging="425"/>
        <w:tabs>
          <w:tab w:val="num" w:pos="425" w:leader="none"/>
        </w:tabs>
      </w:pPr>
      <w:rPr>
        <w:rFonts w:hint="eastAsia"/>
      </w:rPr>
    </w:lvl>
    <w:lvl w:ilvl="3">
      <w:start w:val="1"/>
      <w:numFmt w:val="decimal"/>
      <w:isLgl w:val="false"/>
      <w:suff w:val="tab"/>
      <w:lvlText w:val="%1.%2.%3.%4."/>
      <w:lvlJc w:val="left"/>
      <w:pPr>
        <w:pStyle w:val="939"/>
        <w:ind w:left="851" w:hanging="851"/>
        <w:tabs>
          <w:tab w:val="num" w:pos="851" w:leader="none"/>
        </w:tabs>
      </w:pPr>
      <w:rPr>
        <w:rFonts w:hint="eastAsia"/>
      </w:rPr>
    </w:lvl>
    <w:lvl w:ilvl="4">
      <w:start w:val="1"/>
      <w:numFmt w:val="decimal"/>
      <w:isLgl w:val="false"/>
      <w:suff w:val="tab"/>
      <w:lvlText w:val="%1.%2.%3.%4.%5."/>
      <w:lvlJc w:val="left"/>
      <w:pPr>
        <w:pStyle w:val="939"/>
        <w:ind w:left="992" w:hanging="992"/>
        <w:tabs>
          <w:tab w:val="num" w:pos="992" w:leader="none"/>
        </w:tabs>
      </w:pPr>
      <w:rPr>
        <w:rFonts w:hint="eastAsia"/>
      </w:rPr>
    </w:lvl>
    <w:lvl w:ilvl="5">
      <w:start w:val="1"/>
      <w:numFmt w:val="decimal"/>
      <w:isLgl w:val="false"/>
      <w:suff w:val="tab"/>
      <w:lvlText w:val="%1.%2.%3.%4.%5.%6."/>
      <w:lvlJc w:val="left"/>
      <w:pPr>
        <w:pStyle w:val="939"/>
        <w:ind w:left="1134" w:hanging="1134"/>
        <w:tabs>
          <w:tab w:val="num" w:pos="1134" w:leader="none"/>
        </w:tabs>
      </w:pPr>
      <w:rPr>
        <w:rFonts w:hint="eastAsia"/>
      </w:rPr>
    </w:lvl>
    <w:lvl w:ilvl="6">
      <w:start w:val="1"/>
      <w:numFmt w:val="decimal"/>
      <w:isLgl w:val="false"/>
      <w:suff w:val="tab"/>
      <w:lvlText w:val="%1.%2.%3.%4.%5.%6.%7."/>
      <w:lvlJc w:val="left"/>
      <w:pPr>
        <w:pStyle w:val="939"/>
        <w:ind w:left="1276" w:hanging="1276"/>
        <w:tabs>
          <w:tab w:val="num" w:pos="1276" w:leader="none"/>
        </w:tabs>
      </w:pPr>
      <w:rPr>
        <w:rFonts w:hint="eastAsia"/>
      </w:rPr>
    </w:lvl>
    <w:lvl w:ilvl="7">
      <w:start w:val="1"/>
      <w:numFmt w:val="decimal"/>
      <w:isLgl w:val="false"/>
      <w:suff w:val="tab"/>
      <w:lvlText w:val="%1.%2.%3.%4.%5.%6.%7.%8."/>
      <w:lvlJc w:val="left"/>
      <w:pPr>
        <w:pStyle w:val="939"/>
        <w:ind w:left="1418" w:hanging="1418"/>
        <w:tabs>
          <w:tab w:val="num" w:pos="1418" w:leader="none"/>
        </w:tabs>
      </w:pPr>
      <w:rPr>
        <w:rFonts w:hint="eastAsia"/>
      </w:rPr>
    </w:lvl>
    <w:lvl w:ilvl="8">
      <w:start w:val="1"/>
      <w:numFmt w:val="decimal"/>
      <w:isLgl w:val="false"/>
      <w:suff w:val="tab"/>
      <w:lvlText w:val="%1.%2.%3.%4.%5.%6.%7.%8.%9."/>
      <w:lvlJc w:val="left"/>
      <w:pPr>
        <w:pStyle w:val="93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39"/>
        <w:ind w:left="0" w:firstLine="0"/>
      </w:pPr>
      <w:rPr>
        <w:rFonts w:hint="eastAsia"/>
      </w:rPr>
    </w:lvl>
    <w:lvl w:ilvl="1">
      <w:start w:val="1"/>
      <w:numFmt w:val="decimal"/>
      <w:isLgl w:val="false"/>
      <w:suff w:val="nothing"/>
      <w:lvlText w:val="%2、"/>
      <w:lvlJc w:val="left"/>
      <w:pPr>
        <w:pStyle w:val="939"/>
        <w:ind w:left="0" w:firstLine="0"/>
      </w:pPr>
      <w:rPr>
        <w:rFonts w:hint="eastAsia"/>
      </w:rPr>
    </w:lvl>
    <w:lvl w:ilvl="2">
      <w:start w:val="1"/>
      <w:numFmt w:val="decimal"/>
      <w:isLgl w:val="false"/>
      <w:suff w:val="nothing"/>
      <w:lvlText w:val="%2.%3 "/>
      <w:lvlJc w:val="left"/>
      <w:pPr>
        <w:pStyle w:val="939"/>
        <w:ind w:left="0" w:firstLine="0"/>
      </w:pPr>
      <w:rPr>
        <w:rFonts w:hint="eastAsia"/>
      </w:rPr>
    </w:lvl>
    <w:lvl w:ilvl="3">
      <w:start w:val="1"/>
      <w:numFmt w:val="decimal"/>
      <w:isLgl w:val="false"/>
      <w:suff w:val="nothing"/>
      <w:lvlText w:val="%2.%3.%4 "/>
      <w:lvlJc w:val="left"/>
      <w:pPr>
        <w:pStyle w:val="939"/>
        <w:ind w:left="0" w:firstLine="0"/>
      </w:pPr>
      <w:rPr>
        <w:rFonts w:hint="eastAsia"/>
      </w:rPr>
    </w:lvl>
    <w:lvl w:ilvl="4">
      <w:start w:val="1"/>
      <w:numFmt w:val="decimal"/>
      <w:isLgl w:val="false"/>
      <w:suff w:val="nothing"/>
      <w:lvlText w:val="%2.%3.%4.%5 "/>
      <w:lvlJc w:val="left"/>
      <w:pPr>
        <w:pStyle w:val="939"/>
        <w:ind w:left="0" w:firstLine="0"/>
      </w:pPr>
      <w:rPr>
        <w:rFonts w:hint="eastAsia"/>
      </w:rPr>
    </w:lvl>
    <w:lvl w:ilvl="5">
      <w:start w:val="1"/>
      <w:numFmt w:val="decimal"/>
      <w:pStyle w:val="945"/>
      <w:isLgl w:val="false"/>
      <w:suff w:val="nothing"/>
      <w:lvlText w:val=""/>
      <w:lvlJc w:val="left"/>
      <w:pPr>
        <w:pStyle w:val="939"/>
        <w:ind w:left="0" w:firstLine="0"/>
      </w:pPr>
      <w:rPr>
        <w:rFonts w:hint="eastAsia"/>
      </w:rPr>
    </w:lvl>
    <w:lvl w:ilvl="6">
      <w:start w:val="1"/>
      <w:numFmt w:val="decimal"/>
      <w:pStyle w:val="946"/>
      <w:isLgl w:val="false"/>
      <w:suff w:val="nothing"/>
      <w:lvlText w:val=""/>
      <w:lvlJc w:val="left"/>
      <w:pPr>
        <w:pStyle w:val="939"/>
        <w:ind w:left="0" w:firstLine="0"/>
      </w:pPr>
      <w:rPr>
        <w:rFonts w:hint="eastAsia"/>
      </w:rPr>
    </w:lvl>
    <w:lvl w:ilvl="7">
      <w:start w:val="1"/>
      <w:numFmt w:val="decimal"/>
      <w:pStyle w:val="947"/>
      <w:isLgl w:val="false"/>
      <w:suff w:val="nothing"/>
      <w:lvlText w:val=""/>
      <w:lvlJc w:val="left"/>
      <w:pPr>
        <w:pStyle w:val="939"/>
        <w:ind w:left="0" w:firstLine="0"/>
      </w:pPr>
      <w:rPr>
        <w:rFonts w:hint="eastAsia"/>
      </w:rPr>
    </w:lvl>
    <w:lvl w:ilvl="8">
      <w:start w:val="1"/>
      <w:numFmt w:val="decimal"/>
      <w:pStyle w:val="948"/>
      <w:isLgl w:val="false"/>
      <w:suff w:val="nothing"/>
      <w:lvlText w:val=""/>
      <w:lvlJc w:val="left"/>
      <w:pPr>
        <w:pStyle w:val="93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9"/>
    <w:next w:val="939"/>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9"/>
    <w:next w:val="939"/>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9"/>
    <w:next w:val="939"/>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9"/>
    <w:next w:val="939"/>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9"/>
    <w:next w:val="939"/>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9"/>
    <w:next w:val="939"/>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9"/>
    <w:next w:val="939"/>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9"/>
    <w:next w:val="939"/>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9"/>
    <w:next w:val="939"/>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List Paragraph"/>
    <w:basedOn w:val="939"/>
    <w:uiPriority w:val="34"/>
    <w:qFormat/>
    <w:pPr>
      <w:contextualSpacing/>
      <w:ind w:left="720"/>
    </w:pPr>
  </w:style>
  <w:style w:type="paragraph" w:styleId="780">
    <w:name w:val="No Spacing"/>
    <w:uiPriority w:val="1"/>
    <w:qFormat/>
    <w:pPr>
      <w:spacing w:before="0" w:after="0" w:line="240" w:lineRule="auto"/>
    </w:pPr>
  </w:style>
  <w:style w:type="paragraph" w:styleId="781">
    <w:name w:val="Title"/>
    <w:basedOn w:val="939"/>
    <w:next w:val="93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9"/>
    <w:next w:val="93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9"/>
    <w:next w:val="939"/>
    <w:link w:val="786"/>
    <w:uiPriority w:val="29"/>
    <w:qFormat/>
    <w:pPr>
      <w:ind w:left="720" w:right="720"/>
    </w:pPr>
    <w:rPr>
      <w:i/>
    </w:rPr>
  </w:style>
  <w:style w:type="character" w:styleId="786">
    <w:name w:val="Quote Char"/>
    <w:link w:val="785"/>
    <w:uiPriority w:val="29"/>
    <w:rPr>
      <w:i/>
    </w:rPr>
  </w:style>
  <w:style w:type="paragraph" w:styleId="787">
    <w:name w:val="Intense Quote"/>
    <w:basedOn w:val="939"/>
    <w:next w:val="93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3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39"/>
    <w:link w:val="939"/>
    <w:qFormat/>
    <w:pPr>
      <w:jc w:val="both"/>
      <w:widowControl w:val="off"/>
    </w:pPr>
    <w:rPr>
      <w:sz w:val="21"/>
      <w:szCs w:val="21"/>
      <w:lang w:val="en-US" w:eastAsia="zh-CN" w:bidi="ar-SA"/>
    </w:rPr>
  </w:style>
  <w:style w:type="paragraph" w:styleId="940">
    <w:name w:val="标题 1"/>
    <w:basedOn w:val="939"/>
    <w:next w:val="939"/>
    <w:link w:val="951"/>
    <w:qFormat/>
    <w:pPr>
      <w:jc w:val="center"/>
      <w:keepNext/>
      <w:outlineLvl w:val="0"/>
    </w:pPr>
    <w:rPr>
      <w:rFonts w:ascii="楷体_GB2312" w:eastAsia="楷体_GB2312"/>
      <w:sz w:val="28"/>
      <w:szCs w:val="28"/>
    </w:rPr>
  </w:style>
  <w:style w:type="paragraph" w:styleId="941">
    <w:name w:val="标题 2"/>
    <w:basedOn w:val="939"/>
    <w:next w:val="953"/>
    <w:link w:val="952"/>
    <w:qFormat/>
    <w:pPr>
      <w:jc w:val="center"/>
      <w:keepLines/>
      <w:keepNext/>
      <w:spacing w:before="260" w:after="260" w:line="416" w:lineRule="auto"/>
      <w:outlineLvl w:val="1"/>
    </w:pPr>
    <w:rPr>
      <w:rFonts w:ascii="Arial" w:hAnsi="Arial" w:eastAsia="幼圆" w:cs="Arial"/>
      <w:b/>
      <w:bCs/>
      <w:sz w:val="44"/>
      <w:szCs w:val="44"/>
    </w:rPr>
  </w:style>
  <w:style w:type="paragraph" w:styleId="942">
    <w:name w:val="标题 3"/>
    <w:basedOn w:val="939"/>
    <w:next w:val="953"/>
    <w:link w:val="955"/>
    <w:qFormat/>
    <w:pPr>
      <w:keepLines/>
      <w:keepNext/>
      <w:spacing w:before="260" w:after="260" w:line="416" w:lineRule="auto"/>
      <w:outlineLvl w:val="2"/>
    </w:pPr>
    <w:rPr>
      <w:b/>
      <w:bCs/>
      <w:sz w:val="32"/>
      <w:szCs w:val="32"/>
    </w:rPr>
  </w:style>
  <w:style w:type="paragraph" w:styleId="943">
    <w:name w:val="标题 4"/>
    <w:basedOn w:val="939"/>
    <w:next w:val="953"/>
    <w:link w:val="956"/>
    <w:qFormat/>
    <w:pPr>
      <w:keepLines/>
      <w:keepNext/>
      <w:spacing w:before="280" w:after="290" w:line="376" w:lineRule="auto"/>
      <w:outlineLvl w:val="3"/>
    </w:pPr>
    <w:rPr>
      <w:rFonts w:ascii="Arial" w:hAnsi="Arial" w:eastAsia="黑体" w:cs="Arial"/>
      <w:b/>
      <w:bCs/>
      <w:sz w:val="28"/>
      <w:szCs w:val="28"/>
    </w:rPr>
  </w:style>
  <w:style w:type="paragraph" w:styleId="944">
    <w:name w:val="标题 5"/>
    <w:basedOn w:val="939"/>
    <w:next w:val="953"/>
    <w:link w:val="957"/>
    <w:qFormat/>
    <w:pPr>
      <w:keepNext/>
      <w:outlineLvl w:val="4"/>
    </w:pPr>
    <w:rPr>
      <w:rFonts w:ascii="宋体"/>
      <w:color w:val="000000"/>
      <w:sz w:val="28"/>
      <w:szCs w:val="28"/>
    </w:rPr>
  </w:style>
  <w:style w:type="paragraph" w:styleId="945">
    <w:name w:val="标题 6"/>
    <w:basedOn w:val="939"/>
    <w:next w:val="939"/>
    <w:link w:val="958"/>
    <w:qFormat/>
    <w:pPr>
      <w:numPr>
        <w:ilvl w:val="5"/>
        <w:numId w:val="1"/>
      </w:numPr>
      <w:keepLines/>
      <w:keepNext/>
      <w:spacing w:before="240" w:after="64" w:line="320" w:lineRule="auto"/>
      <w:outlineLvl w:val="5"/>
    </w:pPr>
    <w:rPr>
      <w:rFonts w:ascii="Arial" w:hAnsi="Arial" w:eastAsia="黑体"/>
      <w:b/>
      <w:bCs/>
      <w:sz w:val="24"/>
      <w:szCs w:val="24"/>
    </w:rPr>
  </w:style>
  <w:style w:type="paragraph" w:styleId="946">
    <w:name w:val="标题 7"/>
    <w:basedOn w:val="939"/>
    <w:next w:val="939"/>
    <w:link w:val="959"/>
    <w:qFormat/>
    <w:pPr>
      <w:numPr>
        <w:ilvl w:val="6"/>
        <w:numId w:val="1"/>
      </w:numPr>
      <w:keepLines/>
      <w:keepNext/>
      <w:spacing w:before="240" w:after="64" w:line="320" w:lineRule="auto"/>
      <w:outlineLvl w:val="6"/>
    </w:pPr>
    <w:rPr>
      <w:b/>
      <w:bCs/>
      <w:sz w:val="24"/>
      <w:szCs w:val="24"/>
    </w:rPr>
  </w:style>
  <w:style w:type="paragraph" w:styleId="947">
    <w:name w:val="标题 8"/>
    <w:basedOn w:val="939"/>
    <w:next w:val="939"/>
    <w:link w:val="960"/>
    <w:qFormat/>
    <w:pPr>
      <w:numPr>
        <w:ilvl w:val="7"/>
        <w:numId w:val="1"/>
      </w:numPr>
      <w:keepLines/>
      <w:keepNext/>
      <w:spacing w:before="240" w:after="64" w:line="320" w:lineRule="auto"/>
      <w:outlineLvl w:val="7"/>
    </w:pPr>
    <w:rPr>
      <w:rFonts w:ascii="Arial" w:hAnsi="Arial" w:eastAsia="黑体"/>
      <w:sz w:val="24"/>
      <w:szCs w:val="24"/>
    </w:rPr>
  </w:style>
  <w:style w:type="paragraph" w:styleId="948">
    <w:name w:val="标题 9"/>
    <w:basedOn w:val="939"/>
    <w:next w:val="939"/>
    <w:link w:val="961"/>
    <w:qFormat/>
    <w:pPr>
      <w:numPr>
        <w:ilvl w:val="8"/>
        <w:numId w:val="1"/>
      </w:numPr>
      <w:keepLines/>
      <w:keepNext/>
      <w:spacing w:before="240" w:after="64" w:line="320" w:lineRule="auto"/>
      <w:outlineLvl w:val="8"/>
    </w:pPr>
    <w:rPr>
      <w:rFonts w:ascii="Arial" w:hAnsi="Arial" w:eastAsia="黑体"/>
    </w:rPr>
  </w:style>
  <w:style w:type="character" w:styleId="949">
    <w:name w:val="默认段落字体"/>
    <w:next w:val="949"/>
    <w:link w:val="939"/>
    <w:uiPriority w:val="1"/>
    <w:unhideWhenUsed/>
  </w:style>
  <w:style w:type="table" w:styleId="950">
    <w:name w:val="普通表格"/>
    <w:next w:val="950"/>
    <w:link w:val="939"/>
    <w:uiPriority w:val="99"/>
    <w:unhideWhenUsed/>
    <w:tblPr/>
  </w:style>
  <w:style w:type="character" w:styleId="951">
    <w:name w:val="标题 1 字符"/>
    <w:next w:val="951"/>
    <w:link w:val="940"/>
    <w:rPr>
      <w:rFonts w:ascii="楷体_GB2312" w:hAnsi="Times New Roman" w:eastAsia="楷体_GB2312" w:cs="Times New Roman"/>
      <w:sz w:val="28"/>
      <w:szCs w:val="28"/>
    </w:rPr>
  </w:style>
  <w:style w:type="character" w:styleId="952">
    <w:name w:val="标题 2 字符"/>
    <w:next w:val="952"/>
    <w:link w:val="941"/>
    <w:rPr>
      <w:rFonts w:ascii="Arial" w:hAnsi="Arial" w:eastAsia="幼圆" w:cs="Arial"/>
      <w:b/>
      <w:bCs/>
      <w:sz w:val="44"/>
      <w:szCs w:val="44"/>
    </w:rPr>
  </w:style>
  <w:style w:type="paragraph" w:styleId="953">
    <w:name w:val="正文缩进"/>
    <w:basedOn w:val="939"/>
    <w:next w:val="953"/>
    <w:link w:val="954"/>
    <w:pPr>
      <w:ind w:firstLine="420"/>
    </w:pPr>
  </w:style>
  <w:style w:type="character" w:styleId="954">
    <w:name w:val="正文缩进 字符"/>
    <w:next w:val="954"/>
    <w:link w:val="953"/>
    <w:rPr>
      <w:rFonts w:ascii="Times New Roman" w:hAnsi="Times New Roman" w:eastAsia="宋体" w:cs="Times New Roman"/>
      <w:szCs w:val="21"/>
    </w:rPr>
  </w:style>
  <w:style w:type="character" w:styleId="955">
    <w:name w:val="标题 3 字符"/>
    <w:next w:val="955"/>
    <w:link w:val="942"/>
    <w:rPr>
      <w:rFonts w:ascii="Times New Roman" w:hAnsi="Times New Roman" w:eastAsia="宋体" w:cs="Times New Roman"/>
      <w:b/>
      <w:bCs/>
      <w:sz w:val="32"/>
      <w:szCs w:val="32"/>
    </w:rPr>
  </w:style>
  <w:style w:type="character" w:styleId="956">
    <w:name w:val="标题 4 字符"/>
    <w:next w:val="956"/>
    <w:link w:val="943"/>
    <w:rPr>
      <w:rFonts w:ascii="Arial" w:hAnsi="Arial" w:eastAsia="黑体" w:cs="Arial"/>
      <w:b/>
      <w:bCs/>
      <w:sz w:val="28"/>
      <w:szCs w:val="28"/>
    </w:rPr>
  </w:style>
  <w:style w:type="character" w:styleId="957">
    <w:name w:val="标题 5 字符"/>
    <w:next w:val="957"/>
    <w:link w:val="944"/>
    <w:rPr>
      <w:rFonts w:ascii="宋体" w:hAnsi="Times New Roman" w:eastAsia="宋体" w:cs="Times New Roman"/>
      <w:color w:val="000000"/>
      <w:sz w:val="28"/>
      <w:szCs w:val="28"/>
    </w:rPr>
  </w:style>
  <w:style w:type="character" w:styleId="958">
    <w:name w:val="标题 6 字符"/>
    <w:next w:val="958"/>
    <w:link w:val="945"/>
    <w:rPr>
      <w:rFonts w:ascii="Arial" w:hAnsi="Arial" w:eastAsia="黑体" w:cs="Times New Roman"/>
      <w:b/>
      <w:bCs/>
      <w:sz w:val="24"/>
      <w:szCs w:val="24"/>
    </w:rPr>
  </w:style>
  <w:style w:type="character" w:styleId="959">
    <w:name w:val="标题 7 字符"/>
    <w:next w:val="959"/>
    <w:link w:val="946"/>
    <w:rPr>
      <w:rFonts w:ascii="Times New Roman" w:hAnsi="Times New Roman" w:eastAsia="宋体" w:cs="Times New Roman"/>
      <w:b/>
      <w:bCs/>
      <w:sz w:val="24"/>
      <w:szCs w:val="24"/>
    </w:rPr>
  </w:style>
  <w:style w:type="character" w:styleId="960">
    <w:name w:val="标题 8 字符"/>
    <w:next w:val="960"/>
    <w:link w:val="947"/>
    <w:rPr>
      <w:rFonts w:ascii="Arial" w:hAnsi="Arial" w:eastAsia="黑体" w:cs="Times New Roman"/>
      <w:sz w:val="24"/>
      <w:szCs w:val="24"/>
    </w:rPr>
  </w:style>
  <w:style w:type="character" w:styleId="961">
    <w:name w:val="标题 9 字符"/>
    <w:next w:val="961"/>
    <w:link w:val="948"/>
    <w:rPr>
      <w:rFonts w:ascii="Arial" w:hAnsi="Arial" w:eastAsia="黑体" w:cs="Times New Roman"/>
      <w:szCs w:val="21"/>
    </w:rPr>
  </w:style>
  <w:style w:type="paragraph" w:styleId="962">
    <w:name w:val="列表 3"/>
    <w:basedOn w:val="939"/>
    <w:next w:val="962"/>
    <w:link w:val="939"/>
    <w:pPr>
      <w:ind w:left="100" w:hanging="200"/>
    </w:pPr>
  </w:style>
  <w:style w:type="paragraph" w:styleId="963">
    <w:name w:val="目录 7"/>
    <w:basedOn w:val="939"/>
    <w:next w:val="939"/>
    <w:link w:val="939"/>
    <w:semiHidden/>
    <w:pPr>
      <w:ind w:left="1260"/>
      <w:jc w:val="left"/>
    </w:pPr>
  </w:style>
  <w:style w:type="paragraph" w:styleId="964">
    <w:name w:val="文档结构图"/>
    <w:basedOn w:val="939"/>
    <w:next w:val="964"/>
    <w:link w:val="965"/>
    <w:semiHidden/>
    <w:pPr>
      <w:shd w:val="clear" w:color="auto" w:fill="000080"/>
    </w:pPr>
  </w:style>
  <w:style w:type="character" w:styleId="965">
    <w:name w:val="文档结构图 字符"/>
    <w:next w:val="965"/>
    <w:link w:val="964"/>
    <w:semiHidden/>
    <w:rPr>
      <w:rFonts w:ascii="Times New Roman" w:hAnsi="Times New Roman" w:eastAsia="宋体" w:cs="Times New Roman"/>
      <w:szCs w:val="21"/>
      <w:shd w:val="clear" w:color="auto" w:fill="000080"/>
    </w:rPr>
  </w:style>
  <w:style w:type="paragraph" w:styleId="966">
    <w:name w:val="批注文字"/>
    <w:basedOn w:val="939"/>
    <w:next w:val="966"/>
    <w:link w:val="967"/>
    <w:semiHidden/>
    <w:pPr>
      <w:jc w:val="left"/>
    </w:pPr>
  </w:style>
  <w:style w:type="character" w:styleId="967">
    <w:name w:val="批注文字 字符"/>
    <w:next w:val="967"/>
    <w:link w:val="966"/>
    <w:semiHidden/>
    <w:rPr>
      <w:rFonts w:ascii="Times New Roman" w:hAnsi="Times New Roman" w:eastAsia="宋体" w:cs="Times New Roman"/>
      <w:szCs w:val="21"/>
    </w:rPr>
  </w:style>
  <w:style w:type="paragraph" w:styleId="968">
    <w:name w:val="正文文本 3"/>
    <w:basedOn w:val="939"/>
    <w:next w:val="968"/>
    <w:link w:val="969"/>
    <w:rPr>
      <w:rFonts w:ascii="仿宋_GB2312" w:hAnsi="Arial" w:eastAsia="仿宋_GB2312"/>
      <w:sz w:val="32"/>
      <w:szCs w:val="32"/>
    </w:rPr>
  </w:style>
  <w:style w:type="character" w:styleId="969">
    <w:name w:val="正文文本 3 字符"/>
    <w:next w:val="969"/>
    <w:link w:val="968"/>
    <w:rPr>
      <w:rFonts w:ascii="仿宋_GB2312" w:hAnsi="Arial" w:eastAsia="仿宋_GB2312" w:cs="Times New Roman"/>
      <w:sz w:val="32"/>
      <w:szCs w:val="32"/>
    </w:rPr>
  </w:style>
  <w:style w:type="paragraph" w:styleId="970">
    <w:name w:val="正文文本"/>
    <w:basedOn w:val="939"/>
    <w:next w:val="970"/>
    <w:link w:val="971"/>
    <w:rPr>
      <w:rFonts w:ascii="楷体_GB2312" w:hAnsi="Arial" w:eastAsia="楷体_GB2312"/>
      <w:sz w:val="28"/>
      <w:szCs w:val="28"/>
    </w:rPr>
  </w:style>
  <w:style w:type="character" w:styleId="971">
    <w:name w:val="正文文本 字符"/>
    <w:next w:val="971"/>
    <w:link w:val="970"/>
    <w:rPr>
      <w:rFonts w:ascii="楷体_GB2312" w:hAnsi="Arial" w:eastAsia="楷体_GB2312" w:cs="Times New Roman"/>
      <w:sz w:val="28"/>
      <w:szCs w:val="28"/>
    </w:rPr>
  </w:style>
  <w:style w:type="paragraph" w:styleId="972">
    <w:name w:val="正文文本缩进"/>
    <w:basedOn w:val="939"/>
    <w:next w:val="972"/>
    <w:link w:val="973"/>
    <w:pPr>
      <w:ind w:firstLine="645"/>
    </w:pPr>
    <w:rPr>
      <w:rFonts w:ascii="楷体_GB2312" w:eastAsia="楷体_GB2312"/>
      <w:sz w:val="32"/>
      <w:szCs w:val="32"/>
    </w:rPr>
  </w:style>
  <w:style w:type="character" w:styleId="973">
    <w:name w:val="正文文本缩进 字符"/>
    <w:next w:val="973"/>
    <w:link w:val="972"/>
    <w:rPr>
      <w:rFonts w:ascii="楷体_GB2312" w:hAnsi="Times New Roman" w:eastAsia="楷体_GB2312" w:cs="Times New Roman"/>
      <w:sz w:val="32"/>
      <w:szCs w:val="32"/>
    </w:rPr>
  </w:style>
  <w:style w:type="paragraph" w:styleId="974">
    <w:name w:val="列表 2"/>
    <w:basedOn w:val="939"/>
    <w:next w:val="974"/>
    <w:link w:val="939"/>
    <w:pPr>
      <w:ind w:left="100" w:hanging="200"/>
    </w:pPr>
  </w:style>
  <w:style w:type="paragraph" w:styleId="975">
    <w:name w:val="目录 5"/>
    <w:basedOn w:val="939"/>
    <w:next w:val="939"/>
    <w:link w:val="939"/>
    <w:semiHidden/>
    <w:pPr>
      <w:ind w:left="840"/>
      <w:jc w:val="left"/>
    </w:pPr>
  </w:style>
  <w:style w:type="paragraph" w:styleId="976">
    <w:name w:val="目录 3"/>
    <w:basedOn w:val="939"/>
    <w:next w:val="939"/>
    <w:link w:val="939"/>
    <w:semiHidden/>
    <w:pPr>
      <w:ind w:left="420"/>
      <w:jc w:val="left"/>
    </w:pPr>
    <w:rPr>
      <w:i/>
      <w:iCs/>
      <w:szCs w:val="24"/>
    </w:rPr>
  </w:style>
  <w:style w:type="paragraph" w:styleId="977">
    <w:name w:val="纯文本"/>
    <w:basedOn w:val="939"/>
    <w:next w:val="977"/>
    <w:link w:val="978"/>
    <w:rPr>
      <w:rFonts w:ascii="宋体" w:hAnsi="Courier New" w:cs="Courier New"/>
    </w:rPr>
  </w:style>
  <w:style w:type="character" w:styleId="978">
    <w:name w:val="纯文本 字符"/>
    <w:next w:val="978"/>
    <w:link w:val="977"/>
    <w:rPr>
      <w:rFonts w:ascii="宋体" w:hAnsi="Courier New" w:eastAsia="宋体" w:cs="Courier New"/>
      <w:szCs w:val="21"/>
    </w:rPr>
  </w:style>
  <w:style w:type="paragraph" w:styleId="979">
    <w:name w:val="目录 8"/>
    <w:basedOn w:val="939"/>
    <w:next w:val="939"/>
    <w:link w:val="939"/>
    <w:semiHidden/>
    <w:pPr>
      <w:ind w:left="1470"/>
      <w:jc w:val="left"/>
    </w:pPr>
  </w:style>
  <w:style w:type="paragraph" w:styleId="980">
    <w:name w:val="日期"/>
    <w:basedOn w:val="939"/>
    <w:next w:val="939"/>
    <w:link w:val="981"/>
    <w:rPr>
      <w:sz w:val="24"/>
      <w:szCs w:val="24"/>
    </w:rPr>
  </w:style>
  <w:style w:type="character" w:styleId="981">
    <w:name w:val="日期 字符"/>
    <w:next w:val="981"/>
    <w:link w:val="980"/>
    <w:rPr>
      <w:rFonts w:ascii="Times New Roman" w:hAnsi="Times New Roman" w:eastAsia="宋体" w:cs="Times New Roman"/>
      <w:sz w:val="24"/>
      <w:szCs w:val="24"/>
    </w:rPr>
  </w:style>
  <w:style w:type="paragraph" w:styleId="982">
    <w:name w:val="正文文本缩进 2"/>
    <w:basedOn w:val="939"/>
    <w:next w:val="982"/>
    <w:link w:val="983"/>
    <w:pPr>
      <w:ind w:left="630" w:firstLine="645"/>
    </w:pPr>
    <w:rPr>
      <w:rFonts w:ascii="Arial" w:hAnsi="Arial" w:eastAsia="仿宋_GB2312" w:cs="Arial"/>
      <w:sz w:val="32"/>
      <w:szCs w:val="32"/>
    </w:rPr>
  </w:style>
  <w:style w:type="character" w:styleId="983">
    <w:name w:val="正文文本缩进 2 字符"/>
    <w:next w:val="983"/>
    <w:link w:val="982"/>
    <w:rPr>
      <w:rFonts w:ascii="Arial" w:hAnsi="Arial" w:eastAsia="仿宋_GB2312" w:cs="Arial"/>
      <w:sz w:val="32"/>
      <w:szCs w:val="32"/>
    </w:rPr>
  </w:style>
  <w:style w:type="paragraph" w:styleId="984">
    <w:name w:val="批注框文本"/>
    <w:basedOn w:val="939"/>
    <w:next w:val="984"/>
    <w:link w:val="985"/>
    <w:semiHidden/>
    <w:rPr>
      <w:sz w:val="18"/>
      <w:szCs w:val="18"/>
    </w:rPr>
  </w:style>
  <w:style w:type="character" w:styleId="985">
    <w:name w:val="批注框文本 字符"/>
    <w:next w:val="985"/>
    <w:link w:val="984"/>
    <w:semiHidden/>
    <w:rPr>
      <w:rFonts w:ascii="Times New Roman" w:hAnsi="Times New Roman" w:eastAsia="宋体" w:cs="Times New Roman"/>
      <w:sz w:val="18"/>
      <w:szCs w:val="18"/>
    </w:rPr>
  </w:style>
  <w:style w:type="paragraph" w:styleId="986">
    <w:name w:val="页脚"/>
    <w:basedOn w:val="939"/>
    <w:next w:val="986"/>
    <w:link w:val="987"/>
    <w:uiPriority w:val="99"/>
    <w:pPr>
      <w:jc w:val="left"/>
      <w:tabs>
        <w:tab w:val="center" w:pos="4153" w:leader="none"/>
        <w:tab w:val="right" w:pos="8306" w:leader="none"/>
      </w:tabs>
    </w:pPr>
    <w:rPr>
      <w:sz w:val="18"/>
      <w:szCs w:val="18"/>
    </w:rPr>
  </w:style>
  <w:style w:type="character" w:styleId="987">
    <w:name w:val="页脚 字符"/>
    <w:next w:val="987"/>
    <w:link w:val="986"/>
    <w:uiPriority w:val="99"/>
    <w:rPr>
      <w:rFonts w:ascii="Times New Roman" w:hAnsi="Times New Roman" w:eastAsia="宋体" w:cs="Times New Roman"/>
      <w:sz w:val="18"/>
      <w:szCs w:val="18"/>
    </w:rPr>
  </w:style>
  <w:style w:type="paragraph" w:styleId="988">
    <w:name w:val="页眉"/>
    <w:basedOn w:val="939"/>
    <w:next w:val="988"/>
    <w:link w:val="989"/>
    <w:pPr>
      <w:jc w:val="center"/>
      <w:tabs>
        <w:tab w:val="center" w:pos="4153" w:leader="none"/>
        <w:tab w:val="right" w:pos="8306" w:leader="none"/>
      </w:tabs>
      <w:pBdr>
        <w:bottom w:val="single" w:color="000000" w:sz="6" w:space="1"/>
      </w:pBdr>
    </w:pPr>
    <w:rPr>
      <w:sz w:val="18"/>
      <w:szCs w:val="18"/>
    </w:rPr>
  </w:style>
  <w:style w:type="character" w:styleId="989">
    <w:name w:val="页眉 字符"/>
    <w:next w:val="989"/>
    <w:link w:val="988"/>
    <w:rPr>
      <w:rFonts w:ascii="Times New Roman" w:hAnsi="Times New Roman" w:eastAsia="宋体" w:cs="Times New Roman"/>
      <w:sz w:val="18"/>
      <w:szCs w:val="18"/>
    </w:rPr>
  </w:style>
  <w:style w:type="paragraph" w:styleId="990">
    <w:name w:val="目录 1"/>
    <w:basedOn w:val="939"/>
    <w:next w:val="939"/>
    <w:link w:val="939"/>
    <w:semiHidden/>
    <w:pPr>
      <w:jc w:val="left"/>
      <w:spacing w:before="120" w:after="120" w:line="400" w:lineRule="exact"/>
      <w:tabs>
        <w:tab w:val="right" w:pos="8720" w:leader="dot"/>
      </w:tabs>
    </w:pPr>
    <w:rPr>
      <w:rFonts w:ascii="宋体" w:hAnsi="宋体"/>
      <w:caps/>
      <w:sz w:val="24"/>
      <w:szCs w:val="24"/>
    </w:rPr>
  </w:style>
  <w:style w:type="paragraph" w:styleId="991">
    <w:name w:val="目录 4"/>
    <w:basedOn w:val="939"/>
    <w:next w:val="939"/>
    <w:link w:val="939"/>
    <w:semiHidden/>
    <w:pPr>
      <w:ind w:left="630"/>
      <w:jc w:val="left"/>
    </w:pPr>
  </w:style>
  <w:style w:type="paragraph" w:styleId="992">
    <w:name w:val="列表"/>
    <w:basedOn w:val="939"/>
    <w:next w:val="992"/>
    <w:link w:val="939"/>
    <w:pPr>
      <w:ind w:left="200" w:hanging="200"/>
    </w:pPr>
  </w:style>
  <w:style w:type="paragraph" w:styleId="993">
    <w:name w:val="目录 6"/>
    <w:basedOn w:val="939"/>
    <w:next w:val="939"/>
    <w:link w:val="939"/>
    <w:semiHidden/>
    <w:pPr>
      <w:ind w:left="1050"/>
      <w:jc w:val="left"/>
    </w:pPr>
  </w:style>
  <w:style w:type="paragraph" w:styleId="994">
    <w:name w:val="正文文本缩进 3"/>
    <w:basedOn w:val="939"/>
    <w:next w:val="994"/>
    <w:link w:val="995"/>
    <w:pPr>
      <w:ind w:left="645" w:firstLine="645"/>
    </w:pPr>
    <w:rPr>
      <w:rFonts w:ascii="Arial" w:hAnsi="Arial" w:eastAsia="仿宋_GB2312" w:cs="Arial"/>
      <w:color w:val="ffff00"/>
      <w:sz w:val="32"/>
      <w:szCs w:val="32"/>
    </w:rPr>
  </w:style>
  <w:style w:type="character" w:styleId="995">
    <w:name w:val="正文文本缩进 3 字符"/>
    <w:next w:val="995"/>
    <w:link w:val="994"/>
    <w:rPr>
      <w:rFonts w:ascii="Arial" w:hAnsi="Arial" w:eastAsia="仿宋_GB2312" w:cs="Arial"/>
      <w:color w:val="ffff00"/>
      <w:sz w:val="32"/>
      <w:szCs w:val="32"/>
    </w:rPr>
  </w:style>
  <w:style w:type="paragraph" w:styleId="996">
    <w:name w:val="图表目录"/>
    <w:basedOn w:val="939"/>
    <w:next w:val="939"/>
    <w:link w:val="939"/>
    <w:semiHidden/>
    <w:pPr>
      <w:ind w:left="840" w:hanging="420"/>
    </w:pPr>
  </w:style>
  <w:style w:type="paragraph" w:styleId="997">
    <w:name w:val="目录 2"/>
    <w:basedOn w:val="939"/>
    <w:next w:val="939"/>
    <w:link w:val="939"/>
    <w:semiHidden/>
    <w:pPr>
      <w:ind w:left="210"/>
      <w:jc w:val="left"/>
    </w:pPr>
    <w:rPr>
      <w:smallCaps/>
      <w:szCs w:val="24"/>
    </w:rPr>
  </w:style>
  <w:style w:type="paragraph" w:styleId="998">
    <w:name w:val="目录 9"/>
    <w:basedOn w:val="939"/>
    <w:next w:val="939"/>
    <w:link w:val="939"/>
    <w:semiHidden/>
    <w:pPr>
      <w:ind w:left="1680"/>
      <w:jc w:val="left"/>
    </w:pPr>
  </w:style>
  <w:style w:type="paragraph" w:styleId="999">
    <w:name w:val="正文文本 2"/>
    <w:basedOn w:val="939"/>
    <w:next w:val="999"/>
    <w:link w:val="1000"/>
    <w:pPr>
      <w:jc w:val="center"/>
      <w:widowControl/>
    </w:pPr>
    <w:rPr>
      <w:rFonts w:ascii="楷体_GB2312" w:eastAsia="楷体_GB2312"/>
      <w:sz w:val="28"/>
      <w:szCs w:val="28"/>
    </w:rPr>
  </w:style>
  <w:style w:type="character" w:styleId="1000">
    <w:name w:val="正文文本 2 字符"/>
    <w:next w:val="1000"/>
    <w:link w:val="999"/>
    <w:rPr>
      <w:rFonts w:ascii="楷体_GB2312" w:hAnsi="Times New Roman" w:eastAsia="楷体_GB2312" w:cs="Times New Roman"/>
      <w:sz w:val="28"/>
      <w:szCs w:val="28"/>
    </w:rPr>
  </w:style>
  <w:style w:type="paragraph" w:styleId="1001">
    <w:name w:val="普通(网站)"/>
    <w:basedOn w:val="939"/>
    <w:next w:val="1001"/>
    <w:link w:val="939"/>
    <w:uiPriority w:val="99"/>
    <w:pPr>
      <w:jc w:val="left"/>
      <w:spacing w:before="100" w:beforeAutospacing="1" w:after="100" w:afterAutospacing="1"/>
      <w:widowControl/>
    </w:pPr>
    <w:rPr>
      <w:rFonts w:ascii="宋体" w:hAnsi="宋体" w:cs="宋体"/>
      <w:sz w:val="24"/>
      <w:szCs w:val="24"/>
    </w:rPr>
  </w:style>
  <w:style w:type="paragraph" w:styleId="1002">
    <w:name w:val="索引 1"/>
    <w:basedOn w:val="939"/>
    <w:next w:val="939"/>
    <w:link w:val="939"/>
    <w:semiHidden/>
    <w:pPr>
      <w:spacing w:line="240" w:lineRule="atLeast"/>
    </w:pPr>
    <w:rPr>
      <w:b/>
      <w:bCs/>
    </w:rPr>
  </w:style>
  <w:style w:type="paragraph" w:styleId="1003">
    <w:name w:val="批注主题"/>
    <w:basedOn w:val="966"/>
    <w:next w:val="966"/>
    <w:link w:val="1004"/>
    <w:semiHidden/>
    <w:rPr>
      <w:b/>
      <w:bCs/>
    </w:rPr>
  </w:style>
  <w:style w:type="character" w:styleId="1004">
    <w:name w:val="批注主题 字符"/>
    <w:next w:val="1004"/>
    <w:link w:val="1003"/>
    <w:semiHidden/>
    <w:rPr>
      <w:rFonts w:ascii="Times New Roman" w:hAnsi="Times New Roman" w:eastAsia="宋体" w:cs="Times New Roman"/>
      <w:b/>
      <w:bCs/>
      <w:szCs w:val="21"/>
    </w:rPr>
  </w:style>
  <w:style w:type="paragraph" w:styleId="1005">
    <w:name w:val="正文首行缩进"/>
    <w:basedOn w:val="939"/>
    <w:next w:val="1005"/>
    <w:link w:val="1006"/>
    <w:pPr>
      <w:ind w:firstLine="200"/>
      <w:spacing w:line="360" w:lineRule="auto"/>
    </w:pPr>
    <w:rPr>
      <w:rFonts w:ascii="仿宋_GB2312" w:eastAsia="仿宋_GB2312"/>
      <w:sz w:val="30"/>
      <w:szCs w:val="30"/>
    </w:rPr>
  </w:style>
  <w:style w:type="character" w:styleId="1006">
    <w:name w:val="正文文本首行缩进 字符"/>
    <w:next w:val="1006"/>
    <w:link w:val="1005"/>
    <w:rPr>
      <w:rFonts w:ascii="仿宋_GB2312" w:hAnsi="Times New Roman" w:eastAsia="仿宋_GB2312" w:cs="Times New Roman"/>
      <w:sz w:val="30"/>
      <w:szCs w:val="30"/>
    </w:rPr>
  </w:style>
  <w:style w:type="paragraph" w:styleId="1007">
    <w:name w:val="正文首行缩进 2"/>
    <w:basedOn w:val="972"/>
    <w:next w:val="1007"/>
    <w:link w:val="1008"/>
    <w:pPr>
      <w:ind w:firstLine="420"/>
      <w:spacing w:line="360" w:lineRule="auto"/>
    </w:pPr>
    <w:rPr>
      <w:rFonts w:ascii="宋体" w:hAnsi="宋体" w:eastAsia="宋体"/>
      <w:sz w:val="21"/>
      <w:szCs w:val="20"/>
    </w:rPr>
  </w:style>
  <w:style w:type="character" w:styleId="1008">
    <w:name w:val="正文文本首行缩进 2 字符"/>
    <w:next w:val="1008"/>
    <w:link w:val="1007"/>
    <w:rPr>
      <w:rFonts w:ascii="宋体" w:hAnsi="宋体" w:eastAsia="宋体" w:cs="Times New Roman"/>
      <w:sz w:val="32"/>
      <w:szCs w:val="20"/>
    </w:rPr>
  </w:style>
  <w:style w:type="table" w:styleId="1009">
    <w:name w:val="网格型"/>
    <w:basedOn w:val="950"/>
    <w:next w:val="1009"/>
    <w:link w:val="939"/>
    <w:pPr>
      <w:jc w:val="both"/>
      <w:widowControl w:val="off"/>
    </w:pPr>
    <w:rPr>
      <w:rFonts w:ascii="Times New Roman" w:hAnsi="Times New Roman" w:eastAsia="宋体" w:cs="Times New Roman"/>
      <w:sz w:val="20"/>
      <w:szCs w:val="20"/>
    </w:rPr>
    <w:tblPr/>
  </w:style>
  <w:style w:type="character" w:styleId="1010">
    <w:name w:val="要点"/>
    <w:next w:val="1010"/>
    <w:link w:val="939"/>
    <w:qFormat/>
    <w:rPr>
      <w:b/>
      <w:bCs/>
    </w:rPr>
  </w:style>
  <w:style w:type="character" w:styleId="1011">
    <w:name w:val="页码"/>
    <w:next w:val="1011"/>
    <w:link w:val="939"/>
  </w:style>
  <w:style w:type="character" w:styleId="1012">
    <w:name w:val="已访问的超链接"/>
    <w:next w:val="1012"/>
    <w:link w:val="939"/>
    <w:rPr>
      <w:color w:val="800080"/>
      <w:u w:val="single"/>
    </w:rPr>
  </w:style>
  <w:style w:type="character" w:styleId="1013">
    <w:name w:val="强调"/>
    <w:next w:val="1013"/>
    <w:link w:val="939"/>
    <w:qFormat/>
    <w:rPr>
      <w:i/>
    </w:rPr>
  </w:style>
  <w:style w:type="character" w:styleId="1014">
    <w:name w:val="超链接"/>
    <w:next w:val="1014"/>
    <w:link w:val="939"/>
    <w:rPr>
      <w:color w:val="0000ff"/>
      <w:u w:val="single"/>
    </w:rPr>
  </w:style>
  <w:style w:type="character" w:styleId="1015">
    <w:name w:val="批注引用"/>
    <w:next w:val="1015"/>
    <w:link w:val="939"/>
    <w:semiHidden/>
    <w:rPr>
      <w:sz w:val="21"/>
      <w:szCs w:val="21"/>
    </w:rPr>
  </w:style>
  <w:style w:type="character" w:styleId="1016">
    <w:name w:val="font5 Char"/>
    <w:next w:val="1016"/>
    <w:link w:val="939"/>
    <w:rPr>
      <w:rFonts w:ascii="宋体" w:hAnsi="宋体" w:eastAsia="宋体"/>
      <w:sz w:val="28"/>
      <w:szCs w:val="28"/>
      <w:lang w:val="en-US" w:eastAsia="zh-CN" w:bidi="ar-SA"/>
    </w:rPr>
  </w:style>
  <w:style w:type="character" w:styleId="1017">
    <w:name w:val="二级目录 Char"/>
    <w:next w:val="1017"/>
    <w:link w:val="1018"/>
    <w:rPr>
      <w:b/>
      <w:sz w:val="30"/>
      <w:szCs w:val="28"/>
    </w:rPr>
  </w:style>
  <w:style w:type="paragraph" w:styleId="1018">
    <w:name w:val="二级目录"/>
    <w:next w:val="939"/>
    <w:link w:val="1017"/>
    <w:pPr>
      <w:numPr>
        <w:ilvl w:val="0"/>
        <w:numId w:val="2"/>
      </w:numPr>
      <w:tabs>
        <w:tab w:val="left" w:pos="907" w:leader="none"/>
        <w:tab w:val="left" w:pos="1145" w:leader="none"/>
      </w:tabs>
      <w:outlineLvl w:val="1"/>
    </w:pPr>
    <w:rPr>
      <w:b/>
      <w:sz w:val="30"/>
      <w:szCs w:val="28"/>
      <w:lang w:val="en-US" w:eastAsia="zh-CN" w:bidi="ar-SA"/>
    </w:rPr>
  </w:style>
  <w:style w:type="character" w:styleId="1019">
    <w:name w:val="列出段落 Char,Bullet List Char,numbered Char,FooterText Char,List Paragraph1 Char,Paragraphe de liste1 Char"/>
    <w:next w:val="1019"/>
    <w:link w:val="1020"/>
    <w:rPr>
      <w:rFonts w:ascii="Calibri" w:hAnsi="Calibri"/>
      <w:sz w:val="24"/>
      <w:szCs w:val="24"/>
      <w:lang w:eastAsia="en-US" w:bidi="en-US"/>
    </w:rPr>
  </w:style>
  <w:style w:type="paragraph" w:styleId="1020">
    <w:name w:val="列出段落1"/>
    <w:basedOn w:val="939"/>
    <w:next w:val="1020"/>
    <w:link w:val="1019"/>
    <w:qFormat/>
    <w:pPr>
      <w:contextualSpacing/>
      <w:ind w:left="720"/>
      <w:jc w:val="left"/>
      <w:widowControl/>
    </w:pPr>
    <w:rPr>
      <w:rFonts w:ascii="Calibri" w:hAnsi="Calibri" w:eastAsia="宋体" w:cs="Times New Roman"/>
      <w:sz w:val="24"/>
      <w:szCs w:val="24"/>
      <w:lang w:eastAsia="en-US" w:bidi="en-US"/>
    </w:rPr>
  </w:style>
  <w:style w:type="paragraph" w:styleId="1021">
    <w:name w:val="Body Text(ch)"/>
    <w:basedOn w:val="939"/>
    <w:next w:val="970"/>
    <w:link w:val="939"/>
    <w:pPr>
      <w:spacing w:after="120"/>
    </w:pPr>
    <w:rPr>
      <w:rFonts w:ascii="宋体" w:hAnsi="Arial"/>
      <w:bCs/>
      <w:iCs/>
      <w:szCs w:val="24"/>
    </w:rPr>
  </w:style>
  <w:style w:type="paragraph" w:styleId="1022">
    <w:name w:val="xl27"/>
    <w:basedOn w:val="939"/>
    <w:next w:val="1022"/>
    <w:link w:val="9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6"/>
    <w:basedOn w:val="939"/>
    <w:next w:val="1023"/>
    <w:link w:val="9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name w:val="Char"/>
    <w:basedOn w:val="939"/>
    <w:next w:val="1024"/>
    <w:link w:val="939"/>
    <w:pPr>
      <w:ind w:firstLine="200"/>
      <w:tabs>
        <w:tab w:val="left" w:pos="360" w:leader="none"/>
      </w:tabs>
    </w:pPr>
    <w:rPr>
      <w:sz w:val="28"/>
      <w:szCs w:val="30"/>
    </w:rPr>
  </w:style>
  <w:style w:type="paragraph" w:styleId="1025">
    <w:name w:val=" Char"/>
    <w:basedOn w:val="964"/>
    <w:next w:val="1025"/>
    <w:link w:val="939"/>
    <w:rPr>
      <w:rFonts w:ascii="Tahoma" w:hAnsi="Tahoma"/>
      <w:sz w:val="24"/>
      <w:szCs w:val="24"/>
    </w:rPr>
  </w:style>
  <w:style w:type="paragraph" w:styleId="1026">
    <w:name w:val="普通正文"/>
    <w:basedOn w:val="939"/>
    <w:next w:val="1026"/>
    <w:link w:val="939"/>
    <w:pPr>
      <w:ind w:firstLine="480"/>
      <w:jc w:val="left"/>
      <w:spacing w:before="120" w:after="120" w:line="360" w:lineRule="auto"/>
    </w:pPr>
    <w:rPr>
      <w:rFonts w:ascii="Arial" w:hAnsi="Arial"/>
      <w:sz w:val="24"/>
      <w:szCs w:val="24"/>
    </w:rPr>
  </w:style>
  <w:style w:type="paragraph" w:styleId="1027">
    <w:name w:val="table_lines"/>
    <w:basedOn w:val="939"/>
    <w:next w:val="1027"/>
    <w:link w:val="939"/>
    <w:pPr>
      <w:jc w:val="left"/>
      <w:widowControl/>
    </w:pPr>
    <w:rPr>
      <w:sz w:val="20"/>
      <w:szCs w:val="20"/>
      <w:lang w:val="de-DE" w:eastAsia="de-DE"/>
    </w:rPr>
  </w:style>
  <w:style w:type="paragraph" w:styleId="1028">
    <w:name w:val="附录1"/>
    <w:next w:val="1028"/>
    <w:link w:val="939"/>
    <w:pPr>
      <w:numPr>
        <w:ilvl w:val="0"/>
        <w:numId w:val="2"/>
      </w:numPr>
      <w:spacing w:before="240" w:line="600" w:lineRule="atLeast"/>
      <w:tabs>
        <w:tab w:val="left" w:pos="907" w:leader="none"/>
      </w:tabs>
    </w:pPr>
    <w:rPr>
      <w:b/>
      <w:i/>
      <w:sz w:val="28"/>
      <w:lang w:val="en-US" w:eastAsia="zh-CN" w:bidi="ar-SA"/>
    </w:rPr>
  </w:style>
  <w:style w:type="paragraph" w:styleId="1029">
    <w:name w:val="font7"/>
    <w:basedOn w:val="939"/>
    <w:next w:val="1029"/>
    <w:link w:val="939"/>
    <w:pPr>
      <w:jc w:val="left"/>
      <w:spacing w:before="100" w:beforeAutospacing="1" w:after="100" w:afterAutospacing="1"/>
      <w:widowControl/>
    </w:pPr>
    <w:rPr>
      <w:rFonts w:hint="eastAsia" w:ascii="宋体" w:hAnsi="宋体"/>
      <w:sz w:val="18"/>
      <w:szCs w:val="18"/>
    </w:rPr>
  </w:style>
  <w:style w:type="paragraph" w:styleId="1030">
    <w:name w:val=" Char Char Char Char"/>
    <w:basedOn w:val="964"/>
    <w:next w:val="1030"/>
    <w:link w:val="939"/>
    <w:pPr>
      <w:spacing w:line="360" w:lineRule="auto"/>
    </w:pPr>
    <w:rPr>
      <w:rFonts w:ascii="Tahoma" w:hAnsi="Tahoma"/>
      <w:sz w:val="24"/>
      <w:szCs w:val="24"/>
    </w:rPr>
  </w:style>
  <w:style w:type="paragraph" w:styleId="1031">
    <w:name w:val="列表段落"/>
    <w:basedOn w:val="939"/>
    <w:next w:val="1031"/>
    <w:link w:val="939"/>
    <w:qFormat/>
    <w:pPr>
      <w:contextualSpacing/>
      <w:ind w:left="720"/>
      <w:jc w:val="left"/>
      <w:widowControl/>
    </w:pPr>
    <w:rPr>
      <w:rFonts w:ascii="Calibri" w:hAnsi="Calibri"/>
      <w:sz w:val="24"/>
      <w:szCs w:val="24"/>
      <w:lang w:eastAsia="en-US" w:bidi="en-US"/>
    </w:rPr>
  </w:style>
  <w:style w:type="paragraph" w:styleId="1032">
    <w:name w:val="4"/>
    <w:basedOn w:val="939"/>
    <w:next w:val="994"/>
    <w:link w:val="939"/>
    <w:pPr>
      <w:ind w:firstLine="420"/>
      <w:spacing w:line="360" w:lineRule="auto"/>
    </w:pPr>
    <w:rPr>
      <w:color w:val="ff0000"/>
      <w:sz w:val="24"/>
      <w:szCs w:val="24"/>
    </w:rPr>
  </w:style>
  <w:style w:type="paragraph" w:styleId="1033">
    <w:name w:val="普通 (Web)"/>
    <w:basedOn w:val="939"/>
    <w:next w:val="1033"/>
    <w:link w:val="939"/>
    <w:pPr>
      <w:jc w:val="left"/>
      <w:spacing w:before="100" w:beforeAutospacing="1" w:after="100" w:afterAutospacing="1"/>
      <w:widowControl/>
    </w:pPr>
    <w:rPr>
      <w:rFonts w:ascii="宋体" w:hAnsi="宋体"/>
      <w:sz w:val="24"/>
      <w:szCs w:val="24"/>
    </w:rPr>
  </w:style>
  <w:style w:type="paragraph" w:styleId="1034">
    <w:name w:val=" Char Char Char Char Char Char Char Char Char Char"/>
    <w:basedOn w:val="939"/>
    <w:next w:val="1034"/>
    <w:link w:val="939"/>
    <w:pPr>
      <w:spacing w:line="360" w:lineRule="auto"/>
    </w:pPr>
    <w:rPr>
      <w:sz w:val="24"/>
      <w:szCs w:val="20"/>
    </w:rPr>
  </w:style>
  <w:style w:type="paragraph" w:styleId="1035">
    <w:name w:val="样式1"/>
    <w:basedOn w:val="939"/>
    <w:next w:val="1035"/>
    <w:link w:val="939"/>
    <w:pPr>
      <w:numPr>
        <w:ilvl w:val="0"/>
        <w:numId w:val="3"/>
      </w:numPr>
      <w:tabs>
        <w:tab w:val="left" w:pos="709" w:leader="none"/>
      </w:tabs>
    </w:pPr>
    <w:rPr>
      <w:rFonts w:ascii="宋体" w:hAnsi="宋体"/>
    </w:rPr>
  </w:style>
  <w:style w:type="paragraph" w:styleId="1036">
    <w:name w:val="font6"/>
    <w:basedOn w:val="939"/>
    <w:next w:val="1036"/>
    <w:link w:val="939"/>
    <w:pPr>
      <w:jc w:val="left"/>
      <w:spacing w:before="100" w:beforeAutospacing="1" w:after="100" w:afterAutospacing="1"/>
      <w:widowControl/>
    </w:pPr>
    <w:rPr>
      <w:rFonts w:hint="eastAsia" w:ascii="宋体" w:hAnsi="宋体"/>
      <w:sz w:val="28"/>
      <w:szCs w:val="28"/>
      <w:u w:val="single"/>
    </w:rPr>
  </w:style>
  <w:style w:type="paragraph" w:styleId="1037">
    <w:name w:val="xl25"/>
    <w:basedOn w:val="939"/>
    <w:next w:val="1037"/>
    <w:link w:val="93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939"/>
    <w:next w:val="939"/>
    <w:link w:val="93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标题3"/>
    <w:basedOn w:val="939"/>
    <w:next w:val="939"/>
    <w:link w:val="939"/>
    <w:pPr>
      <w:ind w:firstLine="624"/>
      <w:spacing w:line="590" w:lineRule="atLeast"/>
    </w:pPr>
    <w:rPr>
      <w:rFonts w:ascii="方正黑体_GBK" w:eastAsia="方正黑体_GBK"/>
      <w:sz w:val="32"/>
      <w:szCs w:val="32"/>
    </w:rPr>
  </w:style>
  <w:style w:type="paragraph" w:styleId="1040">
    <w:name w:val="xl24"/>
    <w:basedOn w:val="939"/>
    <w:next w:val="1040"/>
    <w:link w:val="9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name w:val="xl29"/>
    <w:basedOn w:val="939"/>
    <w:next w:val="1041"/>
    <w:link w:val="93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2">
    <w:name w:val="Char Char Char Char Char Char Char Char"/>
    <w:basedOn w:val="939"/>
    <w:next w:val="1042"/>
    <w:link w:val="939"/>
    <w:pPr>
      <w:jc w:val="left"/>
      <w:spacing w:after="160" w:line="240" w:lineRule="exact"/>
      <w:widowControl/>
    </w:pPr>
    <w:rPr>
      <w:rFonts w:ascii="Verdana" w:hAnsi="Verdana"/>
      <w:sz w:val="20"/>
      <w:szCs w:val="20"/>
      <w:lang w:eastAsia="en-US"/>
    </w:rPr>
  </w:style>
  <w:style w:type="paragraph" w:styleId="1043">
    <w:name w:val="xl28"/>
    <w:basedOn w:val="939"/>
    <w:next w:val="1043"/>
    <w:link w:val="93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name w:val=" Char Char Char Char Char Char Char Char"/>
    <w:basedOn w:val="939"/>
    <w:next w:val="1044"/>
    <w:link w:val="939"/>
    <w:pPr>
      <w:jc w:val="left"/>
      <w:spacing w:after="160" w:line="240" w:lineRule="exact"/>
      <w:widowControl/>
    </w:pPr>
    <w:rPr>
      <w:rFonts w:ascii="Verdana" w:hAnsi="Verdana"/>
      <w:sz w:val="20"/>
      <w:szCs w:val="20"/>
      <w:lang w:eastAsia="en-US"/>
    </w:rPr>
  </w:style>
  <w:style w:type="paragraph" w:styleId="1045">
    <w:name w:val="xl30"/>
    <w:basedOn w:val="939"/>
    <w:next w:val="1045"/>
    <w:link w:val="939"/>
    <w:pPr>
      <w:jc w:val="center"/>
      <w:spacing w:before="100" w:beforeAutospacing="1" w:after="100" w:afterAutospacing="1"/>
      <w:widowControl/>
    </w:pPr>
    <w:rPr>
      <w:rFonts w:ascii="宋体" w:hAnsi="宋体"/>
      <w:b/>
      <w:bCs/>
      <w:sz w:val="36"/>
      <w:szCs w:val="36"/>
    </w:rPr>
  </w:style>
  <w:style w:type="paragraph" w:styleId="1046">
    <w:name w:val="Char Char Char Char"/>
    <w:basedOn w:val="964"/>
    <w:next w:val="1046"/>
    <w:link w:val="939"/>
    <w:pPr>
      <w:spacing w:line="360" w:lineRule="auto"/>
    </w:pPr>
    <w:rPr>
      <w:rFonts w:ascii="Tahoma" w:hAnsi="Tahoma"/>
      <w:sz w:val="24"/>
      <w:szCs w:val="24"/>
    </w:rPr>
  </w:style>
  <w:style w:type="paragraph" w:styleId="1047">
    <w:name w:val="table_1stline"/>
    <w:basedOn w:val="939"/>
    <w:next w:val="1047"/>
    <w:link w:val="939"/>
    <w:pPr>
      <w:jc w:val="left"/>
      <w:spacing w:before="120"/>
      <w:widowControl/>
    </w:pPr>
    <w:rPr>
      <w:bCs/>
      <w:sz w:val="20"/>
      <w:szCs w:val="20"/>
      <w:lang w:val="de-DE" w:eastAsia="de-DE"/>
    </w:rPr>
  </w:style>
  <w:style w:type="paragraph" w:styleId="1048">
    <w:name w:val="font5"/>
    <w:basedOn w:val="939"/>
    <w:next w:val="1048"/>
    <w:link w:val="939"/>
    <w:pPr>
      <w:jc w:val="left"/>
      <w:spacing w:before="100" w:beforeAutospacing="1" w:after="100" w:afterAutospacing="1"/>
      <w:widowControl/>
    </w:pPr>
    <w:rPr>
      <w:rFonts w:hint="eastAsia" w:ascii="宋体" w:hAnsi="宋体"/>
      <w:sz w:val="28"/>
      <w:szCs w:val="28"/>
    </w:rPr>
  </w:style>
  <w:style w:type="paragraph" w:styleId="1049">
    <w:name w:val="标题1"/>
    <w:basedOn w:val="939"/>
    <w:next w:val="939"/>
    <w:link w:val="93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name w:val="修订"/>
    <w:next w:val="1050"/>
    <w:link w:val="939"/>
    <w:uiPriority w:val="99"/>
    <w:semiHidden/>
    <w:rPr>
      <w:sz w:val="21"/>
      <w:szCs w:val="21"/>
      <w:lang w:val="en-US" w:eastAsia="zh-CN" w:bidi="ar-SA"/>
    </w:rPr>
  </w:style>
  <w:style w:type="paragraph" w:styleId="1051">
    <w:name w:val="无间隔"/>
    <w:next w:val="1051"/>
    <w:link w:val="939"/>
    <w:uiPriority w:val="99"/>
    <w:qFormat/>
    <w:pPr>
      <w:jc w:val="both"/>
      <w:widowControl w:val="off"/>
    </w:pPr>
    <w:rPr>
      <w:sz w:val="21"/>
      <w:szCs w:val="21"/>
      <w:lang w:val="en-US" w:eastAsia="zh-CN" w:bidi="ar-SA"/>
    </w:rPr>
  </w:style>
  <w:style w:type="paragraph" w:styleId="1052">
    <w:name w:val="（一）"/>
    <w:basedOn w:val="939"/>
    <w:next w:val="1052"/>
    <w:link w:val="939"/>
    <w:qFormat/>
    <w:pPr>
      <w:keepLines/>
      <w:keepNext/>
      <w:spacing w:line="360" w:lineRule="auto"/>
      <w:outlineLvl w:val="1"/>
    </w:pPr>
    <w:rPr>
      <w:rFonts w:ascii="Calibri Light" w:hAnsi="Calibri Light" w:eastAsia="黑体"/>
      <w:b/>
      <w:bCs/>
      <w:sz w:val="32"/>
      <w:szCs w:val="32"/>
    </w:rPr>
  </w:style>
  <w:style w:type="paragraph" w:styleId="1053">
    <w:name w:val="说明"/>
    <w:basedOn w:val="939"/>
    <w:next w:val="1053"/>
    <w:link w:val="939"/>
    <w:qFormat/>
    <w:pPr>
      <w:ind w:firstLine="200"/>
      <w:spacing w:line="360" w:lineRule="auto"/>
    </w:pPr>
    <w:rPr>
      <w:i/>
      <w:iCs/>
      <w:color w:val="ff0000"/>
      <w:sz w:val="24"/>
      <w:szCs w:val="24"/>
    </w:rPr>
  </w:style>
  <w:style w:type="paragraph" w:styleId="1054">
    <w:name w:val="正文1"/>
    <w:basedOn w:val="939"/>
    <w:next w:val="1054"/>
    <w:link w:val="939"/>
    <w:qFormat/>
    <w:pPr>
      <w:ind w:firstLine="480"/>
      <w:spacing w:line="360" w:lineRule="auto"/>
    </w:pPr>
    <w:rPr>
      <w:rFonts w:ascii="Calibri" w:hAnsi="Calibri"/>
      <w:sz w:val="24"/>
      <w:szCs w:val="22"/>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4</cp:revision>
  <dcterms:created xsi:type="dcterms:W3CDTF">2023-03-16T02:16:00Z</dcterms:created>
  <dcterms:modified xsi:type="dcterms:W3CDTF">2026-11-02T06:44:27Z</dcterms:modified>
</cp:coreProperties>
</file>