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JSZC-320282-WXJR-G2026-0018</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无锡高新技术产业开发区环保科技工业园管理办公室</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宜兴环科园2026-2027年度科技创新集成服务采购项目</w:t>
      </w:r>
      <w:r/>
    </w:p>
    <w:p>
      <w:pPr>
        <w:jc w:val="center"/>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bookmarkStart w:id="279" w:name="_GoBack"/>
      <w:r/>
      <w:bookmarkEnd w:id="279"/>
      <w:r/>
      <w:r/>
    </w:p>
    <w:p>
      <w:pPr>
        <w:ind w:firstLine="3200"/>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十</w:t>
      </w:r>
      <w:r>
        <w:rPr>
          <w:rFonts w:hint="eastAsia" w:ascii="宋体"/>
          <w:color w:val="auto"/>
          <w:sz w:val="32"/>
          <w:highlight w:val="none"/>
        </w:rPr>
        <w:t xml:space="preserve">月</w:t>
      </w:r>
      <w:r/>
    </w:p>
    <w:p>
      <w:pPr>
        <w:jc w:val="center"/>
        <w:rPr>
          <w:rStyle w:val="919"/>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19"/>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19"/>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05"/>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color w:val="auto"/>
          <w:highlight w:val="none"/>
        </w:rPr>
        <w:fldChar w:fldCharType="begin"/>
      </w:r>
      <w:r>
        <w:rPr>
          <w:color w:val="auto"/>
          <w:highlight w:val="none"/>
        </w:rPr>
        <w:instrText xml:space="preserve"> HYPERLINK \l "_Toc28023" </w:instrText>
      </w:r>
      <w:r>
        <w:rPr>
          <w:color w:val="auto"/>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color w:val="auto"/>
          <w:sz w:val="32"/>
          <w:szCs w:val="28"/>
          <w:highlight w:val="none"/>
        </w:rPr>
        <w:fldChar w:fldCharType="end"/>
      </w:r>
      <w:r/>
    </w:p>
    <w:p>
      <w:pPr>
        <w:pStyle w:val="905"/>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"_Toc25671" </w:instrText>
      </w:r>
      <w:r>
        <w:rPr>
          <w:color w:val="auto"/>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6</w:t>
      </w:r>
      <w:r>
        <w:rPr>
          <w:color w:val="auto"/>
          <w:sz w:val="32"/>
          <w:szCs w:val="28"/>
          <w:highlight w:val="none"/>
        </w:rPr>
        <w:fldChar w:fldCharType="end"/>
      </w:r>
      <w:r>
        <w:rPr>
          <w:color w:val="auto"/>
          <w:sz w:val="32"/>
          <w:szCs w:val="28"/>
          <w:highlight w:val="none"/>
        </w:rPr>
        <w:fldChar w:fldCharType="end"/>
      </w:r>
      <w:r/>
    </w:p>
    <w:p>
      <w:pPr>
        <w:pStyle w:val="905"/>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"_Toc19166" </w:instrText>
      </w:r>
      <w:r>
        <w:rPr>
          <w:color w:val="auto"/>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26</w:t>
      </w:r>
      <w:r>
        <w:rPr>
          <w:color w:val="auto"/>
          <w:sz w:val="32"/>
          <w:szCs w:val="28"/>
          <w:highlight w:val="none"/>
        </w:rPr>
        <w:fldChar w:fldCharType="end"/>
      </w:r>
      <w:r>
        <w:rPr>
          <w:color w:val="auto"/>
          <w:sz w:val="32"/>
          <w:szCs w:val="28"/>
          <w:highlight w:val="none"/>
        </w:rPr>
        <w:fldChar w:fldCharType="end"/>
      </w:r>
      <w:r/>
    </w:p>
    <w:p>
      <w:pPr>
        <w:pStyle w:val="905"/>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"_Toc25978" </w:instrText>
      </w:r>
      <w:r>
        <w:rPr>
          <w:color w:val="auto"/>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33</w:t>
      </w:r>
      <w:r>
        <w:rPr>
          <w:color w:val="auto"/>
          <w:sz w:val="32"/>
          <w:szCs w:val="28"/>
          <w:highlight w:val="none"/>
        </w:rPr>
        <w:fldChar w:fldCharType="end"/>
      </w:r>
      <w:r>
        <w:rPr>
          <w:color w:val="auto"/>
          <w:sz w:val="32"/>
          <w:szCs w:val="28"/>
          <w:highlight w:val="none"/>
        </w:rPr>
        <w:fldChar w:fldCharType="end"/>
      </w:r>
      <w:r/>
    </w:p>
    <w:p>
      <w:pPr>
        <w:pStyle w:val="905"/>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"_Toc23604" </w:instrText>
      </w:r>
      <w:r>
        <w:rPr>
          <w:color w:val="auto"/>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37</w:t>
      </w:r>
      <w:r>
        <w:rPr>
          <w:color w:val="auto"/>
          <w:sz w:val="32"/>
          <w:szCs w:val="28"/>
          <w:highlight w:val="none"/>
        </w:rPr>
        <w:fldChar w:fldCharType="end"/>
      </w:r>
      <w:r>
        <w:rPr>
          <w:color w:val="auto"/>
          <w:sz w:val="32"/>
          <w:szCs w:val="28"/>
          <w:highlight w:val="none"/>
        </w:rPr>
        <w:fldChar w:fldCharType="end"/>
      </w:r>
      <w:r/>
    </w:p>
    <w:p>
      <w:pPr>
        <w:pStyle w:val="905"/>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"_Toc20299" </w:instrText>
      </w:r>
      <w:r>
        <w:rPr>
          <w:color w:val="auto"/>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47</w:t>
      </w:r>
      <w:r>
        <w:rPr>
          <w:color w:val="auto"/>
          <w:sz w:val="32"/>
          <w:szCs w:val="28"/>
          <w:highlight w:val="none"/>
        </w:rPr>
        <w:fldChar w:fldCharType="end"/>
      </w:r>
      <w:r>
        <w:rPr>
          <w:color w:val="auto"/>
          <w:sz w:val="32"/>
          <w:szCs w:val="28"/>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28023"/>
      <w:r/>
      <w:bookmarkStart w:id="2" w:name="_Toc56599574"/>
      <w:r/>
      <w:bookmarkStart w:id="3" w:name="_Toc56600390"/>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无锡高新技术产业开发区环保科技工业园管理办公室</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宜兴环科园2026-2027年度科技创新集成服务采购项目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893"/>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360"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360"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无锡高新技术产业开发区环保科技工业园管理办公室</w:t>
            </w:r>
            <w:r/>
          </w:p>
          <w:p>
            <w:pPr>
              <w:jc w:val="left"/>
              <w:spacing w:line="360" w:lineRule="auto"/>
              <w:rPr>
                <w:rFonts w:hint="eastAsia" w:ascii="宋体"/>
                <w:bCs/>
                <w:color w:val="auto"/>
                <w:sz w:val="24"/>
                <w:szCs w:val="24"/>
                <w:highlight w:val="none"/>
              </w:rPr>
            </w:pPr>
            <w:r>
              <w:rPr>
                <w:rFonts w:hint="eastAsia" w:ascii="宋体" w:hAnsi="宋体"/>
                <w:bCs/>
                <w:color w:val="auto"/>
                <w:sz w:val="24"/>
                <w:szCs w:val="24"/>
                <w:highlight w:val="none"/>
              </w:rPr>
              <w:t xml:space="preserve">采购代理机构：无锡君瑞祥泰招标有限公司 </w:t>
            </w:r>
            <w:r/>
          </w:p>
          <w:p>
            <w:pPr>
              <w:jc w:val="left"/>
              <w:spacing w:line="360" w:lineRule="auto"/>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宜兴环科园2026-2027年度科技创新集成服务采购项目</w:t>
            </w:r>
            <w:r/>
          </w:p>
          <w:p>
            <w:pPr>
              <w:jc w:val="left"/>
              <w:spacing w:line="360" w:lineRule="auto"/>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JSZC-320282-WXJR-G2026-0018</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360" w:lineRule="auto"/>
              <w:rPr>
                <w:rFonts w:ascii="宋体"/>
                <w:color w:val="auto"/>
                <w:sz w:val="24"/>
                <w:szCs w:val="28"/>
                <w:highlight w:val="none"/>
              </w:rPr>
            </w:pPr>
            <w:r>
              <w:rPr>
                <w:rFonts w:hint="eastAsia" w:ascii="宋体" w:hAnsi="宋体"/>
                <w:bCs/>
                <w:color w:val="auto"/>
                <w:sz w:val="24"/>
                <w:szCs w:val="24"/>
                <w:highlight w:val="none"/>
              </w:rPr>
              <w:t xml:space="preserve">本项目标的所属行业：其他未列明行业</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采购方式：公开招标</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评标方法：综合评分法</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color w:val="auto"/>
                <w:sz w:val="24"/>
                <w:szCs w:val="28"/>
                <w:highlight w:val="none"/>
                <w:lang w:eastAsia="zh-CN"/>
              </w:rPr>
              <w:t xml:space="preserve">：</w:t>
            </w:r>
            <w:r>
              <w:rPr>
                <w:rFonts w:hint="eastAsia" w:ascii="宋体"/>
                <w:color w:val="auto"/>
                <w:sz w:val="24"/>
                <w:szCs w:val="28"/>
                <w:highlight w:val="none"/>
                <w:lang w:val="en-US" w:eastAsia="zh-CN"/>
              </w:rPr>
              <w:t xml:space="preserve">259.22万</w:t>
            </w:r>
            <w:r>
              <w:rPr>
                <w:rFonts w:hint="eastAsia" w:ascii="宋体"/>
                <w:b w:val="0"/>
                <w:bCs w:val="0"/>
                <w:color w:val="auto"/>
                <w:sz w:val="24"/>
                <w:szCs w:val="28"/>
                <w:highlight w:val="none"/>
              </w:rPr>
              <w:t xml:space="preserve">元</w:t>
            </w:r>
            <w:r>
              <w:rPr>
                <w:rFonts w:hint="eastAsia" w:ascii="宋体"/>
                <w:color w:val="auto"/>
                <w:sz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最高限价：同预算金额</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不接受中标后分包</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资格</w:t>
            </w:r>
            <w:r/>
          </w:p>
          <w:p>
            <w:pPr>
              <w:jc w:val="center"/>
              <w:spacing w:line="360" w:lineRule="auto"/>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4"/>
              <w:spacing w:line="360" w:lineRule="auto"/>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360" w:lineRule="auto"/>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本项目专门面向中小企业采购；</w:t>
            </w:r>
            <w:r/>
          </w:p>
          <w:p>
            <w:pPr>
              <w:spacing w:line="360" w:lineRule="auto"/>
              <w:rPr>
                <w:rFonts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招标</w:t>
            </w:r>
            <w:r/>
          </w:p>
          <w:p>
            <w:pPr>
              <w:jc w:val="center"/>
              <w:spacing w:line="360" w:lineRule="auto"/>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4"/>
              <w:spacing w:line="360" w:lineRule="auto"/>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4"/>
              <w:spacing w:line="360" w:lineRule="auto"/>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4"/>
              <w:spacing w:line="360" w:lineRule="auto"/>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CA锁办理方式、“苏采云”系统投标人操作手册及政府采购客户端工具详见江苏政府采购网“办事指南”中的资料下载专栏中的《江苏省政府采购管理交易系统（苏采云）投标人操作指南》。</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360" w:lineRule="auto"/>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4"/>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4"/>
              <w:jc w:val="center"/>
              <w:spacing w:line="360" w:lineRule="auto"/>
              <w:rPr>
                <w:b/>
                <w:bCs/>
                <w:color w:val="auto"/>
                <w:highlight w:val="none"/>
                <w:lang w:val="zh-CN"/>
              </w:rPr>
            </w:pPr>
            <w:r>
              <w:rPr>
                <w:rFonts w:hint="eastAsia"/>
                <w:b/>
                <w:bCs/>
                <w:color w:val="auto"/>
                <w:highlight w:val="none"/>
                <w:lang w:val="zh-CN"/>
              </w:rPr>
              <w:t xml:space="preserve">其他</w:t>
            </w:r>
            <w:r/>
          </w:p>
          <w:p>
            <w:pPr>
              <w:pStyle w:val="964"/>
              <w:jc w:val="center"/>
              <w:spacing w:line="360"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，不得参加同一合同项下的政府采购活动，否则均以无效投标处理。</w:t>
            </w:r>
            <w:r/>
          </w:p>
          <w:p>
            <w:pPr>
              <w:spacing w:line="360" w:lineRule="auto"/>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，不得再参加本采购项目的采购活动。</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4"/>
              <w:spacing w:line="360" w:lineRule="auto"/>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4"/>
              <w:spacing w:line="360" w:lineRule="auto"/>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4"/>
              <w:spacing w:line="360" w:lineRule="auto"/>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spacing w:line="360" w:lineRule="auto"/>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hAnsi="宋体"/>
                <w:bCs/>
                <w:color w:val="auto"/>
                <w:sz w:val="24"/>
                <w:szCs w:val="24"/>
                <w:highlight w:val="none"/>
              </w:rPr>
              <w:t xml:space="preserve">许女士</w:t>
            </w:r>
            <w:r>
              <w:rPr>
                <w:rFonts w:hint="eastAsia" w:ascii="宋体" w:hAnsi="宋体"/>
                <w:bCs/>
                <w:color w:val="auto"/>
                <w:sz w:val="24"/>
                <w:szCs w:val="24"/>
                <w:highlight w:val="none"/>
                <w:lang w:val="en-US" w:eastAsia="zh-CN"/>
              </w:rPr>
              <w:t xml:space="preserve">  </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bCs/>
                <w:color w:val="auto"/>
                <w:sz w:val="24"/>
                <w:szCs w:val="24"/>
                <w:highlight w:val="none"/>
              </w:rPr>
              <w:t xml:space="preserve">许女士 </w:t>
            </w:r>
            <w:r>
              <w:rPr>
                <w:rFonts w:hint="eastAsia" w:ascii="宋体" w:hAnsi="宋体"/>
                <w:bCs/>
                <w:color w:val="auto"/>
                <w:sz w:val="24"/>
                <w:szCs w:val="24"/>
                <w:highlight w:val="none"/>
                <w:lang w:val="en-US" w:eastAsia="zh-CN"/>
              </w:rPr>
              <w:t xml:space="preserve">  </w:t>
            </w:r>
            <w:r/>
          </w:p>
          <w:p>
            <w:pPr>
              <w:jc w:val="left"/>
              <w:spacing w:line="360" w:lineRule="auto"/>
              <w:rPr>
                <w:rFonts w:hint="eastAsia" w:ascii="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w:t>
            </w:r>
            <w:r>
              <w:rPr>
                <w:rFonts w:hint="eastAsia" w:ascii="宋体" w:hAnsi="宋体"/>
                <w:bCs/>
                <w:color w:val="auto"/>
                <w:sz w:val="24"/>
                <w:szCs w:val="24"/>
                <w:highlight w:val="none"/>
              </w:rPr>
              <w:t xml:space="preserve">87077937</w:t>
            </w:r>
            <w:r/>
          </w:p>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联系地址：宜兴环科园绿园路501号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联系人：黄女士</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联系电话：0510-85699999</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联系地址：宜兴市宜城街道东虹路399号</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599575"/>
      <w:r/>
      <w:bookmarkStart w:id="6" w:name="_Toc25671"/>
      <w:r/>
      <w:bookmarkStart w:id="7" w:name="_Toc5660039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人；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以下简称《声明函》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4.</w:t>
      </w:r>
      <w:r>
        <w:rPr>
          <w:rFonts w:hint="eastAsia" w:ascii="宋体"/>
          <w:b/>
          <w:color w:val="auto"/>
          <w:sz w:val="24"/>
          <w:szCs w:val="24"/>
          <w:highlight w:val="none"/>
        </w:rPr>
        <w:t xml:space="preserve">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79"/>
        <w:ind w:left="0" w:firstLine="480"/>
        <w:spacing w:line="360" w:lineRule="auto"/>
        <w:rPr>
          <w:rFonts w:hint="eastAsia" w:ascii="宋体" w:eastAsia="宋体"/>
          <w:bCs/>
          <w:color w:val="auto"/>
          <w:sz w:val="24"/>
          <w:szCs w:val="24"/>
          <w:highlight w:val="none"/>
          <w:lang w:eastAsia="zh-CN"/>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lang w:val="en-US" w:eastAsia="zh-CN"/>
        </w:rPr>
        <w:t xml:space="preserve">采购人</w:t>
      </w:r>
      <w:r>
        <w:rPr>
          <w:rFonts w:hint="eastAsia" w:ascii="宋体" w:hAnsi="宋体"/>
          <w:b/>
          <w:bCs/>
          <w:color w:val="auto"/>
          <w:sz w:val="24"/>
          <w:szCs w:val="24"/>
          <w:highlight w:val="none"/>
        </w:rPr>
        <w:t xml:space="preserve">支付，本次采购代理费用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》按差额定率累进法</w:t>
      </w:r>
      <w:r>
        <w:rPr>
          <w:rFonts w:hint="eastAsia" w:ascii="宋体"/>
          <w:b/>
          <w:bCs/>
          <w:color w:val="auto"/>
          <w:sz w:val="24"/>
          <w:szCs w:val="24"/>
          <w:highlight w:val="none"/>
          <w:lang w:val="en-US" w:eastAsia="zh-CN"/>
        </w:rPr>
        <w:t xml:space="preserve">的</w:t>
      </w:r>
      <w:r>
        <w:rPr>
          <w:rFonts w:hint="eastAsia" w:ascii="宋体"/>
          <w:b/>
          <w:bCs/>
          <w:color w:val="auto"/>
          <w:sz w:val="24"/>
          <w:szCs w:val="24"/>
          <w:highlight w:val="none"/>
          <w:u w:val="single"/>
          <w:lang w:val="en-US" w:eastAsia="zh-CN"/>
        </w:rPr>
        <w:t xml:space="preserve">53%</w:t>
      </w:r>
      <w:r>
        <w:rPr>
          <w:rFonts w:hint="eastAsia" w:ascii="宋体"/>
          <w:b/>
          <w:bCs/>
          <w:color w:val="auto"/>
          <w:sz w:val="24"/>
          <w:szCs w:val="24"/>
          <w:highlight w:val="none"/>
        </w:rPr>
        <w:t xml:space="preserve">计算收取</w:t>
      </w:r>
      <w:r>
        <w:rPr>
          <w:rFonts w:hint="eastAsia" w:ascii="宋体" w:hAnsi="宋体"/>
          <w:b/>
          <w:bCs/>
          <w:color w:val="auto"/>
          <w:sz w:val="24"/>
          <w:szCs w:val="24"/>
          <w:highlight w:val="none"/>
          <w:lang w:eastAsia="zh-CN"/>
        </w:rPr>
        <w:t xml:space="preserve">。</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5.</w:t>
      </w:r>
      <w:r>
        <w:rPr>
          <w:rFonts w:hint="eastAsia" w:ascii="宋体"/>
          <w:b/>
          <w:color w:val="auto"/>
          <w:sz w:val="24"/>
          <w:szCs w:val="24"/>
          <w:highlight w:val="none"/>
        </w:rPr>
        <w:t xml:space="preserve">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9.</w:t>
      </w:r>
      <w:r>
        <w:rPr>
          <w:rFonts w:hint="eastAsia" w:ascii="宋体"/>
          <w:b/>
          <w:color w:val="auto"/>
          <w:sz w:val="24"/>
          <w:szCs w:val="24"/>
          <w:highlight w:val="none"/>
        </w:rPr>
        <w:t xml:space="preserve">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zh-CN"/>
        </w:rPr>
        <w:t xml:space="preserve">⑨中小企业声明：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bookmarkEnd w:id="27"/>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numPr>
          <w:ilvl w:val="0"/>
          <w:numId w:val="0"/>
        </w:numPr>
        <w:ind w:left="42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color w:val="auto"/>
          <w:sz w:val="24"/>
          <w:szCs w:val="21"/>
          <w:highlight w:val="none"/>
          <w:lang w:val="zh-CN"/>
        </w:rPr>
        <w:t xml:space="preserve">②</w:t>
      </w:r>
      <w:r>
        <w:rPr>
          <w:rFonts w:hint="eastAsia" w:ascii="宋体" w:hAnsi="宋体" w:eastAsia="宋体" w:cs="Times New Roman"/>
          <w:color w:val="auto"/>
          <w:sz w:val="24"/>
          <w:szCs w:val="24"/>
          <w:highlight w:val="none"/>
          <w:lang w:val="zh-CN" w:eastAsia="zh-CN"/>
        </w:rPr>
        <w:t xml:space="preserve">报价符合性审查</w:t>
      </w:r>
      <w:r/>
    </w:p>
    <w:p>
      <w:pPr>
        <w:numPr>
          <w:ilvl w:val="0"/>
          <w:numId w:val="0"/>
        </w:numPr>
        <w:ind w:left="420"/>
        <w:spacing w:line="360" w:lineRule="auto"/>
        <w:tabs>
          <w:tab w:val="left" w:pos="0" w:leader="none"/>
          <w:tab w:val="left" w:pos="255" w:leader="none"/>
        </w:tabs>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1"/>
          <w:highlight w:val="none"/>
          <w:lang w:val="en-US" w:eastAsia="zh-CN"/>
        </w:rPr>
        <w:t xml:space="preserve">③</w:t>
      </w:r>
      <w:r>
        <w:rPr>
          <w:rFonts w:hint="eastAsia" w:ascii="宋体" w:hAnsi="宋体" w:cs="Times New Roman"/>
          <w:color w:val="auto"/>
          <w:sz w:val="24"/>
          <w:szCs w:val="24"/>
          <w:highlight w:val="none"/>
          <w:lang w:val="en-US" w:eastAsia="zh-CN"/>
        </w:rPr>
        <w:t xml:space="preserve">明细报价表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④</w:t>
      </w:r>
      <w:r>
        <w:rPr>
          <w:rFonts w:hint="eastAsia" w:ascii="宋体" w:hAnsi="宋体"/>
          <w:color w:val="auto"/>
          <w:sz w:val="24"/>
          <w:szCs w:val="21"/>
          <w:highlight w:val="none"/>
          <w:lang w:val="zh-CN"/>
        </w:rPr>
        <w:t xml:space="preserve">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⑤</w:t>
      </w:r>
      <w:r>
        <w:rPr>
          <w:rFonts w:hint="eastAsia" w:ascii="宋体" w:hAnsi="宋体"/>
          <w:color w:val="auto"/>
          <w:sz w:val="24"/>
          <w:szCs w:val="21"/>
          <w:highlight w:val="none"/>
          <w:lang w:val="zh-CN"/>
        </w:rPr>
        <w:t xml:space="preserve">项目人员配置清单</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具有良好的商业信誉和健全的财务会计制度仅针对投标人为非自然人。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10.</w:t>
      </w:r>
      <w:r>
        <w:rPr>
          <w:rFonts w:hint="eastAsia" w:ascii="宋体"/>
          <w:b/>
          <w:color w:val="auto"/>
          <w:sz w:val="24"/>
          <w:szCs w:val="24"/>
          <w:highlight w:val="none"/>
        </w:rPr>
        <w:t xml:space="preserve">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11.</w:t>
      </w:r>
      <w:r>
        <w:rPr>
          <w:rFonts w:hint="eastAsia" w:ascii="宋体"/>
          <w:b/>
          <w:color w:val="auto"/>
          <w:sz w:val="24"/>
          <w:szCs w:val="24"/>
          <w:highlight w:val="none"/>
        </w:rPr>
        <w:t xml:space="preserve">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12.电子投标文件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--通过“苏采云”系统上传投标文件。（详见《江苏省政府采购交易系统（苏采云）投标人操作手册》）。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14.投标文件的真实性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）提供投标文件中某材料的原件、其他相关证明性资料等材料，投标人（含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）应按照规定的时间、内容、数量等相关要求，予以提供原件、相关证明性资料等材料。如投标人（含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）未能按照以上要求予以提供的，将视同该投标人（含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）无该材料的原件、相关证明性资料等材料，则投标人（含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lang w:eastAsia="zh-CN"/>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b/>
          <w:bCs/>
          <w:color w:val="auto"/>
          <w:sz w:val="24"/>
          <w:szCs w:val="24"/>
          <w:highlight w:val="none"/>
          <w:lang w:val="zh-CN" w:eastAsia="zh-CN"/>
        </w:rPr>
        <w:t xml:space="preserve">投标人</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的合理时间一般不少于30分钟。其中，属于第3项情形，投标人已随投标（响应）文件一并提交相关书面说明及必要的证明材料的，在评审现场可不再重复提交。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20.</w:t>
      </w:r>
      <w:r>
        <w:rPr>
          <w:rFonts w:hint="eastAsia" w:ascii="宋体"/>
          <w:b/>
          <w:color w:val="auto"/>
          <w:sz w:val="24"/>
          <w:szCs w:val="24"/>
          <w:highlight w:val="none"/>
        </w:rPr>
        <w:t xml:space="preserve">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21.</w:t>
      </w:r>
      <w:r>
        <w:rPr>
          <w:rFonts w:hint="eastAsia" w:ascii="宋体"/>
          <w:b/>
          <w:color w:val="auto"/>
          <w:sz w:val="24"/>
          <w:szCs w:val="24"/>
          <w:highlight w:val="none"/>
        </w:rPr>
        <w:t xml:space="preserve">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22.</w:t>
      </w:r>
      <w:r>
        <w:rPr>
          <w:rFonts w:hint="eastAsia" w:ascii="宋体" w:hAnsi="宋体"/>
          <w:b/>
          <w:color w:val="auto"/>
          <w:sz w:val="24"/>
          <w:szCs w:val="24"/>
          <w:highlight w:val="none"/>
        </w:rPr>
        <w:t xml:space="preserve">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63"/>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23.</w:t>
      </w:r>
      <w:r>
        <w:rPr>
          <w:rFonts w:hint="eastAsia" w:ascii="宋体" w:hAnsi="宋体"/>
          <w:b/>
          <w:color w:val="auto"/>
          <w:sz w:val="24"/>
          <w:szCs w:val="24"/>
          <w:highlight w:val="none"/>
        </w:rPr>
        <w:t xml:space="preserve">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24.</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25.</w:t>
      </w:r>
      <w:r>
        <w:rPr>
          <w:rFonts w:hint="eastAsia" w:ascii="宋体" w:hAnsi="宋体"/>
          <w:b/>
          <w:color w:val="auto"/>
          <w:sz w:val="24"/>
          <w:szCs w:val="24"/>
          <w:highlight w:val="none"/>
        </w:rPr>
        <w:t xml:space="preserve">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3"/>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lang w:eastAsia="zh-CN"/>
        </w:rPr>
        <w:t xml:space="preserve">26.</w:t>
      </w:r>
      <w:r>
        <w:rPr>
          <w:rFonts w:hint="eastAsia" w:ascii="宋体" w:hAnsi="宋体"/>
          <w:b/>
          <w:color w:val="auto"/>
          <w:sz w:val="24"/>
          <w:szCs w:val="24"/>
          <w:highlight w:val="none"/>
        </w:rPr>
        <w:t xml:space="preserve">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27.</w:t>
      </w:r>
      <w:r>
        <w:rPr>
          <w:rFonts w:hint="eastAsia" w:ascii="宋体" w:hAnsi="宋体"/>
          <w:bCs/>
          <w:color w:val="auto"/>
          <w:sz w:val="24"/>
          <w:szCs w:val="24"/>
          <w:highlight w:val="none"/>
        </w:rPr>
        <w:t xml:space="preserve">签订合同</w:t>
      </w:r>
      <w:r/>
    </w:p>
    <w:p>
      <w:pPr>
        <w:pStyle w:val="953"/>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Cs/>
          <w:color w:val="auto"/>
          <w:sz w:val="24"/>
          <w:szCs w:val="24"/>
          <w:highlight w:val="none"/>
          <w:lang w:val="en-US" w:eastAsia="zh-CN"/>
        </w:rPr>
        <w:t xml:space="preserve">本项目不收取履约保证金</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或者自身原因不能履行政府采购合同的，需要有明确的意思表示，并向采购人书面声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28.</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，凭借中标、中标通知书或政府采购合同向金融机构申请融资，金融机构以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3"/>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29.</w:t>
      </w:r>
      <w:r>
        <w:rPr>
          <w:rFonts w:hint="eastAsia" w:ascii="宋体" w:hAnsi="宋体"/>
          <w:bCs/>
          <w:color w:val="auto"/>
          <w:sz w:val="24"/>
          <w:szCs w:val="24"/>
          <w:highlight w:val="none"/>
        </w:rPr>
        <w:t xml:space="preserve">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lang w:eastAsia="zh-CN"/>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74" w:name="OLE_LINK100"/>
      <w:r>
        <w:rPr>
          <w:rFonts w:hint="eastAsia" w:ascii="宋体" w:hAnsi="宋体"/>
          <w:bCs/>
          <w:color w:val="auto"/>
          <w:sz w:val="24"/>
          <w:szCs w:val="24"/>
          <w:highlight w:val="none"/>
          <w:lang w:eastAsia="zh-CN"/>
        </w:rPr>
        <w:t xml:space="preserve">31.</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32.</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_Hlk131935115"/>
      <w:r/>
      <w:bookmarkStart w:id="77" w:name="OLE_LINK139"/>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政府采购投标人质疑函范本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33.</w:t>
      </w:r>
      <w:r>
        <w:rPr>
          <w:rFonts w:hint="eastAsia" w:ascii="宋体" w:hAnsi="宋体"/>
          <w:bCs/>
          <w:color w:val="auto"/>
          <w:sz w:val="24"/>
          <w:szCs w:val="24"/>
          <w:highlight w:val="none"/>
        </w:rPr>
        <w:t xml:space="preserve">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r/>
    </w:p>
    <w:p>
      <w:pPr>
        <w:ind w:left="3032"/>
        <w:spacing w:before="91" w:line="219" w:lineRule="auto"/>
        <w:rPr>
          <w:rFonts w:ascii="黑体" w:hAnsi="黑体" w:eastAsia="黑体" w:cs="黑体"/>
          <w:color w:val="auto"/>
          <w:spacing w:val="-1"/>
          <w:sz w:val="28"/>
          <w:szCs w:val="28"/>
          <w:highlight w:val="none"/>
        </w:rPr>
        <w:outlineLvl w:val="0"/>
      </w:pPr>
      <w:r/>
      <w:bookmarkStart w:id="83" w:name="_Toc27627"/>
      <w:r/>
      <w:bookmarkStart w:id="84" w:name="_Toc526779129"/>
      <w:r/>
      <w:bookmarkStart w:id="85" w:name="_Toc56599577"/>
      <w:r/>
      <w:bookmarkStart w:id="86" w:name="_Toc56600393"/>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19166"/>
      <w:r>
        <w:rPr>
          <w:rFonts w:ascii="黑体" w:hAnsi="黑体" w:eastAsia="黑体" w:cs="黑体"/>
          <w:color w:val="auto"/>
          <w:spacing w:val="-1"/>
          <w:sz w:val="28"/>
          <w:szCs w:val="28"/>
          <w:highlight w:val="none"/>
        </w:rPr>
        <w:t xml:space="preserve">项目技术要求和有关说明</w:t>
      </w:r>
      <w:bookmarkEnd w:id="88"/>
      <w:r/>
      <w:r/>
    </w:p>
    <w:p>
      <w:pPr>
        <w:pStyle w:val="922"/>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无锡高新技术产业开发区环保科技工业园管理办公室</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宜兴环科园2026-2027年度科技创新集成服务采购项目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须提供满足以下要求的服务，不得有负偏离。</w:t>
      </w:r>
      <w:r/>
    </w:p>
    <w:p>
      <w:p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本次采购主要内容为环科园科技创新集成服务，针对</w:t>
      </w:r>
      <w:r>
        <w:rPr>
          <w:rFonts w:hint="eastAsia" w:ascii="宋体" w:hAnsi="宋体" w:eastAsia="宋体" w:cs="宋体"/>
          <w:color w:val="auto"/>
          <w:sz w:val="24"/>
          <w:szCs w:val="24"/>
          <w:highlight w:val="none"/>
          <w:u w:val="none"/>
          <w:lang w:eastAsia="zh-CN"/>
        </w:rPr>
        <w:t xml:space="preserve">技术转移转化</w:t>
      </w:r>
      <w:r>
        <w:rPr>
          <w:rFonts w:hint="eastAsia" w:ascii="宋体" w:hAnsi="宋体" w:eastAsia="宋体" w:cs="宋体"/>
          <w:color w:val="auto"/>
          <w:sz w:val="24"/>
          <w:szCs w:val="24"/>
          <w:highlight w:val="none"/>
          <w:lang w:eastAsia="zh-CN"/>
        </w:rPr>
        <w:t xml:space="preserve">、产业高质量发展重点指标监测等13个方面提供专项服务。服务内容包括挖掘企业创新需求，编制《产业高质量发展重点指标监</w:t>
      </w:r>
      <w:r>
        <w:rPr>
          <w:rFonts w:hint="eastAsia" w:ascii="宋体" w:hAnsi="宋体" w:eastAsia="宋体" w:cs="宋体"/>
          <w:color w:val="auto"/>
          <w:sz w:val="24"/>
          <w:szCs w:val="24"/>
          <w:highlight w:val="none"/>
          <w:lang w:eastAsia="zh-CN"/>
        </w:rPr>
        <w:t xml:space="preserve">测和诊断报告》，宣传报道园区科技创新典型案例，开展园区及周边地区产业新赛道调研，并开展“产企创新赛道”专场活动，完成《宜兴环科园创新发展路径研究报告》，开展西安创新飞地资源对接，开展园区重点创新平台载体开展绩效评价，制定《宜兴环科园科技平台载体高质量发展运营实施办法》，推动与4个分中心资源对接交流，做好园区自立项目管理服务，协助园区科技局开展科技前沿资讯、科技项目管理、科技成果转化、技术合同登记等专题培训服务，举办“杰青荟”人才对接活动，围绕未来产业和新兴产业集群组织研学，组织园区参加科技招引全国行等活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val="en-US" w:eastAsia="zh-CN"/>
        </w:rPr>
        <w:t xml:space="preserve">服务内容</w:t>
      </w:r>
      <w:r/>
    </w:p>
    <w:tbl>
      <w:tblPr>
        <w:tblStyle w:val="916"/>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843"/>
        <w:gridCol w:w="7159"/>
      </w:tblGrid>
      <w:tr>
        <w:trPr>
          <w:trHeight w:val="713"/>
          <w:tblHeader/>
        </w:trPr>
        <w:tc>
          <w:tcPr>
            <w:tcW w:w="417"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序号</w:t>
            </w:r>
            <w:r/>
          </w:p>
        </w:tc>
        <w:tc>
          <w:tcPr>
            <w:tcW w:w="938"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服务项目</w:t>
            </w:r>
            <w:r/>
          </w:p>
        </w:tc>
        <w:tc>
          <w:tcPr>
            <w:tcW w:w="3643"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具体服务内容和验收指标</w:t>
            </w:r>
            <w:r/>
          </w:p>
        </w:tc>
      </w:tr>
      <w:tr>
        <w:trPr>
          <w:trHeight w:val="1953"/>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8"/>
                <w:highlight w:val="none"/>
              </w:rPr>
              <w:t xml:space="preserve">1</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技术转移转化服务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走访园区企业，梳理产业关键核心共性技术需求和企业创新需求，研究匹配成果或人才创新资源，开展路演等供需对接活动，撮合供需双方合作，推动一批成果、人才落地转化。挖掘企业创新需求50条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，围绕需求组织高层次专家园区行或园区企业走进实验室活动3场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2</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产业高质量发展重点指标监测服务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根据园区需求，对园区主导产业、新兴产业和未来产业制定产业高质量发展重点指标体系，对标周边区域同类型产业集群发展质态，获</w:t>
            </w:r>
            <w:r>
              <w:rPr>
                <w:rFonts w:hint="eastAsia" w:asciiTheme="minorEastAsia" w:hAnsiTheme="minorEastAsia" w:cstheme="minorEastAsia"/>
                <w:color w:val="auto"/>
                <w:sz w:val="24"/>
                <w:highlight w:val="none"/>
                <w:lang w:eastAsia="zh-CN"/>
              </w:rPr>
              <w:t xml:space="preserve">取</w:t>
            </w:r>
            <w:r>
              <w:rPr>
                <w:rFonts w:hint="eastAsia" w:asciiTheme="minorEastAsia" w:hAnsiTheme="minorEastAsia" w:cstheme="minorEastAsia"/>
                <w:color w:val="auto"/>
                <w:sz w:val="24"/>
                <w:highlight w:val="none"/>
              </w:rPr>
              <w:t xml:space="preserve">园区产业高质量发展重点监测指标数据，诊断并给出下阶段产业创新发展工作建议。按季度编制《产业高质量发展重点指标监测和诊断报告》</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共计</w:t>
            </w:r>
            <w:r>
              <w:rPr>
                <w:rFonts w:hint="eastAsia" w:asciiTheme="minorEastAsia" w:hAnsiTheme="minorEastAsia" w:cstheme="minorEastAsia"/>
                <w:color w:val="auto"/>
                <w:sz w:val="24"/>
                <w:highlight w:val="none"/>
              </w:rPr>
              <w:t xml:space="preserve">4份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并</w:t>
            </w:r>
            <w:r>
              <w:rPr>
                <w:rFonts w:hint="eastAsia" w:asciiTheme="minorEastAsia" w:hAnsiTheme="minorEastAsia" w:cstheme="minorEastAsia"/>
                <w:color w:val="auto"/>
                <w:sz w:val="24"/>
                <w:highlight w:val="none"/>
              </w:rPr>
              <w:t xml:space="preserve">组织专家</w:t>
            </w:r>
            <w:r>
              <w:rPr>
                <w:rFonts w:hint="eastAsia" w:asciiTheme="minorEastAsia" w:hAnsiTheme="minorEastAsia" w:cstheme="minorEastAsia"/>
                <w:color w:val="auto"/>
                <w:sz w:val="24"/>
                <w:highlight w:val="none"/>
                <w:lang w:eastAsia="zh-CN"/>
              </w:rPr>
              <w:t xml:space="preserve">（每次邀请5名专家）</w:t>
            </w:r>
            <w:r>
              <w:rPr>
                <w:rFonts w:hint="eastAsia" w:asciiTheme="minorEastAsia" w:hAnsiTheme="minorEastAsia" w:cstheme="minorEastAsia"/>
                <w:color w:val="auto"/>
                <w:sz w:val="24"/>
                <w:highlight w:val="none"/>
              </w:rPr>
              <w:t xml:space="preserve">对产业数据研判，为下阶段产业创新工作提供决策参考。</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3</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科技创新亮点工作推广服务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围绕加快产业集聚、提升产业竞争力、构建技术创新体系、打造运营服务平台、完善政策体制机制等方面提供专业咨询，积极推动区域创新示范。做好园区科技创新典型案例凝练，完成案例宣传报道2次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，扩大园区创新影响力。</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4</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“产企创新赛道”服务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聚焦园区现有产业基础，统筹提出宜兴环科园产业新赛道目标方向，强化区域协同和错位发展，通过开展“产企创新赛道”专场活动，提升产业集群创新能力，加快高成长企业引育，赋能创新赛道发展。重点聚焦人工智能、储能、生物医药等领域，开展园区及周边地区产业新赛道调研报告3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，并开展“产企创新赛道”专场活动3场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（每次活动邀请</w:t>
            </w:r>
            <w:r>
              <w:rPr>
                <w:rFonts w:hint="eastAsia" w:asciiTheme="minorEastAsia" w:hAnsiTheme="minorEastAsia" w:cstheme="minorEastAsia"/>
                <w:color w:val="auto"/>
                <w:sz w:val="24"/>
                <w:highlight w:val="none"/>
                <w:lang w:val="en-US" w:eastAsia="zh-CN"/>
              </w:rPr>
              <w:t xml:space="preserve">至少</w:t>
            </w:r>
            <w:r>
              <w:rPr>
                <w:rFonts w:hint="eastAsia" w:asciiTheme="minorEastAsia" w:hAnsiTheme="minorEastAsia" w:cstheme="minorEastAsia"/>
                <w:color w:val="auto"/>
                <w:sz w:val="24"/>
                <w:highlight w:val="none"/>
                <w:lang w:eastAsia="zh-CN"/>
              </w:rPr>
              <w:t xml:space="preserve">3名专家）</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5</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园区创新发展路径研究服务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聚焦园区产业创新发展路径设计</w:t>
            </w:r>
            <w:r>
              <w:rPr>
                <w:rFonts w:hint="eastAsia" w:asciiTheme="minorEastAsia" w:hAnsiTheme="minorEastAsia" w:cstheme="minorEastAsia"/>
                <w:color w:val="auto"/>
                <w:sz w:val="24"/>
                <w:highlight w:val="none"/>
                <w:lang w:eastAsia="zh-CN"/>
              </w:rPr>
              <w:t xml:space="preserve">，以及</w:t>
            </w:r>
            <w:r>
              <w:rPr>
                <w:rFonts w:hint="eastAsia" w:asciiTheme="minorEastAsia" w:hAnsiTheme="minorEastAsia" w:cstheme="minorEastAsia"/>
                <w:color w:val="auto"/>
                <w:sz w:val="24"/>
                <w:highlight w:val="none"/>
              </w:rPr>
              <w:t xml:space="preserve">区域协同创新、科技成果转化、科技创新平台建设、科技人才数、知识产权培育等重点指标提升，开展园区创新发展路径研究服务，有针对性地部署重点任务，助力园区推进传统产业升级、新兴产业壮大、未来产业培育，前瞻布局新质生产力培育。组织专家研讨论证，完成《宜兴环科园创新发展路径研究报告》1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rHeight w:val="1326"/>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6</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西安创新飞地建设服务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协助园区在西安市开展创新飞地建设，拓宽园区在西安各高校创新资源、人才团队、科技项目招引、园区平台载体推荐、运营团队对接等渠道，提供有效科技招商讯息20条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，开展资源对接活动3场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7</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“平台汇”服务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面向园区自建创新平台和产业发展需求，开展园区现有重点创新平台载体绩效评价，全面掌握园区平台载体运营质态，制定《宜兴环科园科技平台载体高质量发展运营实施办法》，为园区创新平台载体管理提供决策支撑。开展园区重点创新平台载体开展绩效评价，采用平台载体自评和组织专家评审结合的方式，</w:t>
            </w:r>
            <w:r>
              <w:rPr>
                <w:rFonts w:hint="eastAsia" w:asciiTheme="minorEastAsia" w:hAnsiTheme="minorEastAsia" w:cstheme="minorEastAsia"/>
                <w:color w:val="auto"/>
                <w:sz w:val="24"/>
                <w:highlight w:val="none"/>
                <w:lang w:val="en-US" w:eastAsia="zh-CN"/>
              </w:rPr>
              <w:t xml:space="preserve">每年为10家平台提供服务，出具</w:t>
            </w:r>
            <w:r>
              <w:rPr>
                <w:rFonts w:hint="eastAsia" w:asciiTheme="minorEastAsia" w:hAnsiTheme="minorEastAsia" w:cstheme="minorEastAsia"/>
                <w:color w:val="auto"/>
                <w:sz w:val="24"/>
                <w:highlight w:val="none"/>
              </w:rPr>
              <w:t xml:space="preserve">绩效评价</w:t>
            </w:r>
            <w:r>
              <w:rPr>
                <w:rFonts w:hint="eastAsia" w:asciiTheme="minorEastAsia" w:hAnsiTheme="minorEastAsia" w:cstheme="minorEastAsia"/>
                <w:color w:val="auto"/>
                <w:sz w:val="24"/>
                <w:highlight w:val="none"/>
                <w:lang w:val="en-US" w:eastAsia="zh-CN"/>
              </w:rPr>
              <w:t xml:space="preserve">证明</w:t>
            </w:r>
            <w:r>
              <w:rPr>
                <w:rFonts w:hint="eastAsia" w:asciiTheme="minorEastAsia" w:hAnsiTheme="minorEastAsia" w:cstheme="minorEastAsia"/>
                <w:color w:val="auto"/>
                <w:sz w:val="24"/>
                <w:highlight w:val="none"/>
              </w:rPr>
              <w:t xml:space="preserve">；制定《宜兴环科园科技平台载体高质量发展运营实施办法》1份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8</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创新平台技术弹射服务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基于全国高校区域技术转移转化中心（江苏分中心）建设，筛选现有生物医药、人工智能、新能源等相关创新技术成果，加快向宜兴环科园导入，推动园区技术、需求、金融等要素对接，加快高校科技成果向园区转化落地。全年推动与4个分中心资源对接交流2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，经园区筛选后</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提供10条技术成果在园区路演，撮合优秀成果在园落地。</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9</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园区自立项目过程管理服务</w:t>
            </w:r>
            <w:r/>
          </w:p>
        </w:tc>
        <w:tc>
          <w:tcPr>
            <w:tcW w:w="3643" w:type="pct"/>
            <w:vAlign w:val="center"/>
            <w:textDirection w:val="lrTb"/>
            <w:noWrap w:val="false"/>
          </w:tcPr>
          <w:p>
            <w:pPr>
              <w:ind w:left="0" w:right="0" w:firstLine="0"/>
              <w:spacing w:line="360" w:lineRule="auto"/>
              <w:rPr>
                <w:rFonts w:hint="eastAsia" w:eastAsia="宋体"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rPr>
              <w:t xml:space="preserve">协助宜兴环科园做好“宜兴市科技计划项目”“陶都英才项目”等自立项目过程管理服务（含中期检查及验收），优化项目管理办法和流程。从省专家库遴选行业专家和财务专家组成验收团队，验收评审工作，确保验收过程公正、规范</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做好园区自立项目管理服务，5项</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该服务需匹配专家，每年累计使用专家投入服务工作量12人*日</w:t>
            </w:r>
            <w:r>
              <w:rPr>
                <w:rFonts w:hint="eastAsia" w:asciiTheme="minorEastAsia" w:hAnsiTheme="minorEastAsia" w:cstheme="minorEastAsia"/>
                <w:color w:val="auto"/>
                <w:sz w:val="24"/>
                <w:highlight w:val="none"/>
                <w:lang w:eastAsia="zh-CN"/>
              </w:rPr>
              <w:t xml:space="preserve">）</w:t>
            </w:r>
            <w:r/>
          </w:p>
        </w:tc>
      </w:tr>
      <w:tr>
        <w:trPr>
          <w:trHeight w:val="973"/>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10</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科技管理能力提升服务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协助园区科技局开展科技前沿资讯、科技项目管理、科技成果转化、技术合同登记等专题培训服务，培训活动全年4次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11</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杰青荟</w:t>
            </w:r>
            <w:r/>
          </w:p>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根据园区产业需求，常态化推送省杰青人才赴园区“人才驿站”系列活动，推动杰青专家与园区企业的产学研合作，对接青年专家在环科园创业项目落地等相关服务。举办“杰青荟”人才对接活动4场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向园区推送杰青专家技术成果50项，</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推动10名省杰青人才园交流对接。</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12</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创新标杆研学服务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重点围绕未来产业和新兴产业集群组织研学，提供2次赴省内外相关产业园区研学交流，</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提供10人次研学名额，助力区域高质量发展</w:t>
            </w:r>
            <w:r>
              <w:rPr>
                <w:rFonts w:hint="eastAsia" w:asciiTheme="minorEastAsia" w:hAnsiTheme="minorEastAsia" w:cstheme="minorEastAsia"/>
                <w:color w:val="auto"/>
                <w:sz w:val="22"/>
                <w:szCs w:val="22"/>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13</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科技招商服务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通过科技招引全国行等活动形式，推动环科园与外省在产业项目、关键核心技术成果、高端科技人才、科技服务平台等优质资源的经验分享、合作交流与整合发展，提供科技招引讯息，并组织现场对接交流。提供有效科技招商讯息30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，组织园区参加科技招引全国行等活动3次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，现场对接优质项目团队10个</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bl>
    <w:p>
      <w:pPr>
        <w:ind w:firstLine="480"/>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2.人员要求：投标人为本项目配备专业服务团队，其中包括项目负责人1人，项目组成员（除项目负责人外）至少5人。</w:t>
      </w:r>
      <w:r>
        <w:rPr>
          <w:rFonts w:hint="eastAsia" w:ascii="宋体" w:hAnsi="宋体" w:cs="Times New Roman"/>
          <w:b/>
          <w:bCs/>
          <w:color w:val="auto"/>
          <w:sz w:val="24"/>
          <w:szCs w:val="24"/>
          <w:highlight w:val="none"/>
          <w:lang w:val="en-US" w:eastAsia="zh-CN"/>
        </w:rPr>
        <w:t xml:space="preserve">（《项目人员配置清单》中填写以上人员的信息，并提供投标人为其缴纳的投标截止时间前近十二个月中任一个月社保证明的原件扫描件）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三、商务要求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服务期限：</w:t>
      </w:r>
      <w:r>
        <w:rPr>
          <w:rFonts w:hint="eastAsia" w:ascii="宋体" w:hAnsi="宋体"/>
          <w:b w:val="0"/>
          <w:bCs w:val="0"/>
          <w:color w:val="auto"/>
          <w:sz w:val="24"/>
          <w:szCs w:val="24"/>
          <w:highlight w:val="none"/>
          <w:lang w:val="en-US" w:eastAsia="zh-CN"/>
        </w:rPr>
        <w:t xml:space="preserve">自合同签订之日起2年，应按采购人要求完成上述13条服务内容</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服务地点：采购人指定地点</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验收标准：</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w:t>
      </w:r>
      <w:r>
        <w:rPr>
          <w:rFonts w:hint="eastAsia" w:ascii="宋体" w:hAnsi="宋体" w:cs="宋体"/>
          <w:color w:val="auto"/>
          <w:sz w:val="24"/>
          <w:highlight w:val="none"/>
          <w:lang w:val="en-US" w:eastAsia="zh-CN"/>
        </w:rPr>
        <w:t xml:space="preserve">附件1 及</w:t>
      </w:r>
      <w:r>
        <w:rPr>
          <w:rFonts w:ascii="宋体" w:hAnsi="宋体" w:cs="宋体"/>
          <w:color w:val="auto"/>
          <w:sz w:val="24"/>
          <w:highlight w:val="none"/>
        </w:rPr>
        <w:t xml:space="preserve">《转发江苏省财政厅关于印发《江苏省政府采购履约验收管理办法》的通知》宜财采〔2025〕1号</w:t>
      </w:r>
      <w:r>
        <w:rPr>
          <w:rFonts w:hint="eastAsia" w:ascii="宋体" w:hAnsi="宋体" w:eastAsia="宋体" w:cs="Times New Roman"/>
          <w:color w:val="auto"/>
          <w:sz w:val="24"/>
          <w:szCs w:val="24"/>
          <w:highlight w:val="none"/>
        </w:rPr>
        <w:t xml:space="preserve">验收。</w:t>
      </w:r>
      <w:r/>
    </w:p>
    <w:p>
      <w:pPr>
        <w:ind w:firstLine="48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付款方式：</w:t>
      </w:r>
      <w:r>
        <w:rPr>
          <w:rFonts w:hint="eastAsia" w:ascii="宋体" w:hAnsi="宋体" w:cs="Times New Roman"/>
          <w:color w:val="auto"/>
          <w:sz w:val="24"/>
          <w:szCs w:val="24"/>
          <w:highlight w:val="none"/>
          <w:lang w:val="en-US" w:eastAsia="zh-CN"/>
        </w:rPr>
        <w:t xml:space="preserve">根据实际工作量计算，按照考核结果，每半年结款一次</w:t>
      </w:r>
      <w:r>
        <w:rPr>
          <w:rFonts w:hint="eastAsia" w:ascii="宋体" w:hAnsi="宋体" w:cs="Times New Roman"/>
          <w:color w:val="auto"/>
          <w:sz w:val="24"/>
          <w:szCs w:val="24"/>
          <w:highlight w:val="none"/>
          <w:lang w:eastAsia="zh-CN"/>
        </w:rPr>
        <w:t xml:space="preserve">。</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不能完全符合此基准要求，可高于此基准要求进行报价，采购人将不接受低于该基准要求（负偏离）的报价，</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需对此基</w:t>
      </w:r>
      <w:r>
        <w:rPr>
          <w:rFonts w:hint="eastAsia" w:ascii="宋体" w:hAnsi="宋体"/>
          <w:color w:val="auto"/>
          <w:sz w:val="24"/>
          <w:highlight w:val="none"/>
        </w:rPr>
        <w:t xml:space="preserve">准要求作实质性响应。</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附件1 ：</w:t>
      </w:r>
      <w:r/>
    </w:p>
    <w:p>
      <w:pPr>
        <w:ind w:firstLine="144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宜兴环科园2026-2027年度科技创新集成服务采购项目验收标准</w:t>
      </w:r>
      <w:r/>
    </w:p>
    <w:tbl>
      <w:tblPr>
        <w:tblStyle w:val="9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578"/>
        <w:gridCol w:w="7317"/>
      </w:tblGrid>
      <w:tr>
        <w:trPr>
          <w:trHeight w:val="714"/>
        </w:trPr>
        <w:tc>
          <w:tcPr>
            <w:tcW w:w="495"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bookmarkStart w:id="89" w:name="_Toc25978"/>
            <w:r>
              <w:rPr>
                <w:rFonts w:hint="eastAsia" w:asciiTheme="minorEastAsia" w:hAnsiTheme="minorEastAsia" w:cstheme="minorEastAsia"/>
                <w:b/>
                <w:bCs/>
                <w:color w:val="auto"/>
                <w:sz w:val="28"/>
                <w:highlight w:val="none"/>
              </w:rPr>
              <w:t xml:space="preserve">序号</w:t>
            </w:r>
            <w:r/>
          </w:p>
        </w:tc>
        <w:tc>
          <w:tcPr>
            <w:tcW w:w="799"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服务项目</w:t>
            </w:r>
            <w:r/>
          </w:p>
        </w:tc>
        <w:tc>
          <w:tcPr>
            <w:tcW w:w="3705" w:type="pct"/>
            <w:vAlign w:val="center"/>
            <w:textDirection w:val="lrTb"/>
            <w:noWrap w:val="false"/>
          </w:tcPr>
          <w:p>
            <w:pPr>
              <w:ind w:left="0" w:right="0" w:firstLine="0"/>
              <w:jc w:val="center"/>
              <w:spacing w:line="240" w:lineRule="auto"/>
              <w:rPr>
                <w:rFonts w:hint="default" w:eastAsia="宋体" w:asciiTheme="minorEastAsia" w:hAnsiTheme="minorEastAsia" w:cstheme="minorEastAsia"/>
                <w:b/>
                <w:bCs/>
                <w:color w:val="auto"/>
                <w:sz w:val="28"/>
                <w:highlight w:val="none"/>
                <w:lang w:val="en-US" w:eastAsia="zh-CN"/>
              </w:rPr>
            </w:pPr>
            <w:r>
              <w:rPr>
                <w:rFonts w:hint="eastAsia" w:asciiTheme="minorEastAsia" w:hAnsiTheme="minorEastAsia" w:cstheme="minorEastAsia"/>
                <w:b/>
                <w:bCs/>
                <w:color w:val="auto"/>
                <w:sz w:val="28"/>
                <w:highlight w:val="none"/>
                <w:lang w:val="en-US" w:eastAsia="zh-CN"/>
              </w:rPr>
              <w:t xml:space="preserve">验收扣款比例</w:t>
            </w:r>
            <w:r/>
          </w:p>
        </w:tc>
      </w:tr>
      <w:tr>
        <w:trPr>
          <w:trHeight w:val="1953"/>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8"/>
                <w:highlight w:val="none"/>
              </w:rPr>
              <w:t xml:space="preserve">1</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技术转移转化服务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挖掘企业创新需求50条</w:t>
            </w:r>
            <w:r>
              <w:rPr>
                <w:rFonts w:hint="eastAsia" w:asciiTheme="minorEastAsia" w:hAnsiTheme="minorEastAsia" w:cstheme="minorEastAsia"/>
                <w:color w:val="auto"/>
                <w:sz w:val="24"/>
                <w:highlight w:val="none"/>
                <w:lang w:val="en-US" w:eastAsia="zh-CN"/>
              </w:rPr>
              <w:t xml:space="preserve">/年，占本服务项目报价占比的52%。如有缺少按比例扣除；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组织高层次专家园区行或园区企业走进实验室活动3场</w:t>
            </w:r>
            <w:r>
              <w:rPr>
                <w:rFonts w:hint="eastAsia" w:asciiTheme="minorEastAsia" w:hAnsiTheme="minorEastAsia" w:cstheme="minorEastAsia"/>
                <w:color w:val="auto"/>
                <w:sz w:val="24"/>
                <w:highlight w:val="none"/>
                <w:lang w:val="en-US" w:eastAsia="zh-CN"/>
              </w:rPr>
              <w:t xml:space="preserve">/年，占本服务项目报价占比的48%。如有缺少按比例扣除本项服务费用。</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2</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产业高质量发展重点指标监测服务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按季度编制《产业高质量发展重点指标监测和诊断报告》</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共计</w:t>
            </w:r>
            <w:r>
              <w:rPr>
                <w:rFonts w:hint="eastAsia" w:asciiTheme="minorEastAsia" w:hAnsiTheme="minorEastAsia" w:cstheme="minorEastAsia"/>
                <w:color w:val="auto"/>
                <w:sz w:val="24"/>
                <w:highlight w:val="none"/>
              </w:rPr>
              <w:t xml:space="preserve">4份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占本服务项目报价占比的80%。如有缺少按比例扣除；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lang w:eastAsia="zh-CN"/>
              </w:rPr>
              <w:t xml:space="preserve">每次邀请5名专家</w:t>
            </w:r>
            <w:r>
              <w:rPr>
                <w:rFonts w:hint="eastAsia" w:asciiTheme="minorEastAsia" w:hAnsiTheme="minorEastAsia" w:cstheme="minorEastAsia"/>
                <w:color w:val="auto"/>
                <w:sz w:val="24"/>
                <w:highlight w:val="none"/>
              </w:rPr>
              <w:t xml:space="preserve">对产业数据研判，</w:t>
            </w:r>
            <w:r>
              <w:rPr>
                <w:rFonts w:hint="eastAsia" w:asciiTheme="minorEastAsia" w:hAnsiTheme="minorEastAsia" w:cstheme="minorEastAsia"/>
                <w:color w:val="auto"/>
                <w:sz w:val="24"/>
                <w:highlight w:val="none"/>
                <w:lang w:val="en-US" w:eastAsia="zh-CN"/>
              </w:rPr>
              <w:t xml:space="preserve">占本服务项目报价占比的20%。如有缺少按比例扣除</w:t>
            </w:r>
            <w:r>
              <w:rPr>
                <w:rFonts w:hint="eastAsia" w:asciiTheme="minorEastAsia" w:hAnsiTheme="minorEastAsia" w:cstheme="minorEastAsia"/>
                <w:color w:val="auto"/>
                <w:sz w:val="24"/>
                <w:highlight w:val="none"/>
              </w:rPr>
              <w:t xml:space="preserve">。</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3</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科技创新亮点工作推广服务</w:t>
            </w:r>
            <w:r/>
          </w:p>
        </w:tc>
        <w:tc>
          <w:tcPr>
            <w:tcW w:w="3705"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完成</w:t>
            </w:r>
            <w:r>
              <w:rPr>
                <w:rFonts w:hint="eastAsia" w:asciiTheme="minorEastAsia" w:hAnsiTheme="minorEastAsia" w:cstheme="minorEastAsia"/>
                <w:color w:val="auto"/>
                <w:sz w:val="24"/>
                <w:highlight w:val="none"/>
                <w:lang w:val="en-US" w:eastAsia="zh-CN"/>
              </w:rPr>
              <w:t xml:space="preserve">园区</w:t>
            </w:r>
            <w:r>
              <w:rPr>
                <w:rFonts w:hint="eastAsia" w:asciiTheme="minorEastAsia" w:hAnsiTheme="minorEastAsia" w:cstheme="minorEastAsia"/>
                <w:color w:val="auto"/>
                <w:sz w:val="24"/>
                <w:highlight w:val="none"/>
              </w:rPr>
              <w:t xml:space="preserve">科技创新案例宣传报道2次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4</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“产企创新赛道”服务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开展园区及周边地区产业新赛道调研报告3份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开展“产企创新赛道”专场活动3场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（每次活动邀请</w:t>
            </w:r>
            <w:r>
              <w:rPr>
                <w:rFonts w:hint="eastAsia" w:asciiTheme="minorEastAsia" w:hAnsiTheme="minorEastAsia" w:cstheme="minorEastAsia"/>
                <w:color w:val="auto"/>
                <w:sz w:val="24"/>
                <w:highlight w:val="none"/>
                <w:lang w:val="en-US" w:eastAsia="zh-CN"/>
              </w:rPr>
              <w:t xml:space="preserve">至少</w:t>
            </w:r>
            <w:r>
              <w:rPr>
                <w:rFonts w:hint="eastAsia" w:asciiTheme="minorEastAsia" w:hAnsiTheme="minorEastAsia" w:cstheme="minorEastAsia"/>
                <w:color w:val="auto"/>
                <w:sz w:val="24"/>
                <w:highlight w:val="none"/>
                <w:lang w:eastAsia="zh-CN"/>
              </w:rPr>
              <w:t xml:space="preserve">3名专家），</w:t>
            </w:r>
            <w:r>
              <w:rPr>
                <w:rFonts w:hint="eastAsia" w:asciiTheme="minorEastAsia" w:hAnsiTheme="minorEastAsia" w:cstheme="minorEastAsia"/>
                <w:color w:val="auto"/>
                <w:sz w:val="24"/>
                <w:highlight w:val="none"/>
                <w:lang w:val="en-US" w:eastAsia="zh-CN"/>
              </w:rPr>
              <w:t xml:space="preserve">占本服务项目报价占比的40%，如有缺少按比例扣除。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5</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园区创新发展路径研究服务</w:t>
            </w:r>
            <w:r/>
          </w:p>
        </w:tc>
        <w:tc>
          <w:tcPr>
            <w:tcW w:w="3705" w:type="pct"/>
            <w:vAlign w:val="center"/>
            <w:textDirection w:val="lrTb"/>
            <w:noWrap w:val="false"/>
          </w:tcPr>
          <w:p>
            <w:pPr>
              <w:ind w:left="0" w:right="0" w:firstLine="0"/>
              <w:spacing w:line="360" w:lineRule="auto"/>
              <w:rPr>
                <w:rFonts w:hint="eastAsia" w:eastAsia="宋体" w:asciiTheme="minorEastAsia" w:hAnsiTheme="minorEastAsia" w:cstheme="minorEastAsia"/>
                <w:b/>
                <w:bCs/>
                <w:color w:val="auto"/>
                <w:sz w:val="28"/>
                <w:highlight w:val="none"/>
                <w:lang w:eastAsia="zh-CN"/>
              </w:rPr>
            </w:pPr>
            <w:r>
              <w:rPr>
                <w:rFonts w:hint="eastAsia" w:asciiTheme="minorEastAsia" w:hAnsiTheme="minorEastAsia" w:cstheme="minorEastAsia"/>
                <w:color w:val="auto"/>
                <w:sz w:val="24"/>
                <w:highlight w:val="none"/>
              </w:rPr>
              <w:t xml:space="preserve">组织专家研讨论证，</w:t>
            </w:r>
            <w:r>
              <w:rPr>
                <w:rFonts w:hint="eastAsia" w:asciiTheme="minorEastAsia" w:hAnsiTheme="minorEastAsia" w:cstheme="minorEastAsia"/>
                <w:color w:val="auto"/>
                <w:sz w:val="24"/>
                <w:highlight w:val="none"/>
                <w:lang w:val="en-US" w:eastAsia="zh-CN"/>
              </w:rPr>
              <w:t xml:space="preserve">并</w:t>
            </w:r>
            <w:r>
              <w:rPr>
                <w:rFonts w:hint="eastAsia" w:asciiTheme="minorEastAsia" w:hAnsiTheme="minorEastAsia" w:cstheme="minorEastAsia"/>
                <w:color w:val="auto"/>
                <w:sz w:val="24"/>
                <w:highlight w:val="none"/>
              </w:rPr>
              <w:t xml:space="preserve">完成《宜兴环科园创新发展路径研究报告》1份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rHeight w:val="1326"/>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6</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西安创新飞地建设服务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提供有效科技招商讯息20条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占本服务项目报价占比的40%，如有缺少按比例扣除；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开展资源对接活动3场</w:t>
            </w:r>
            <w:r>
              <w:rPr>
                <w:rFonts w:hint="eastAsia" w:asciiTheme="minorEastAsia" w:hAnsiTheme="minorEastAsia" w:cstheme="minorEastAsia"/>
                <w:color w:val="auto"/>
                <w:sz w:val="24"/>
                <w:highlight w:val="none"/>
                <w:lang w:val="en-US" w:eastAsia="zh-CN"/>
              </w:rPr>
              <w:t xml:space="preserve">/年，占本服务项目报价占比的60%，如有缺少按比例扣除。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7</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“平台汇”服务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每年为10家平台提供服务，出具</w:t>
            </w:r>
            <w:r>
              <w:rPr>
                <w:rFonts w:hint="eastAsia" w:asciiTheme="minorEastAsia" w:hAnsiTheme="minorEastAsia" w:cstheme="minorEastAsia"/>
                <w:color w:val="auto"/>
                <w:sz w:val="24"/>
                <w:highlight w:val="none"/>
              </w:rPr>
              <w:t xml:space="preserve">绩效评价</w:t>
            </w:r>
            <w:r>
              <w:rPr>
                <w:rFonts w:hint="eastAsia" w:asciiTheme="minorEastAsia" w:hAnsiTheme="minorEastAsia" w:cstheme="minorEastAsia"/>
                <w:color w:val="auto"/>
                <w:sz w:val="24"/>
                <w:highlight w:val="none"/>
                <w:lang w:val="en-US" w:eastAsia="zh-CN"/>
              </w:rPr>
              <w:t xml:space="preserve">证明，占本服务项目报价占比的40%，如有缺少按比例扣除</w:t>
            </w:r>
            <w:r>
              <w:rPr>
                <w:rFonts w:hint="eastAsia" w:asciiTheme="minorEastAsia" w:hAnsiTheme="minorEastAsia" w:cstheme="minorEastAsia"/>
                <w:color w:val="auto"/>
                <w:sz w:val="24"/>
                <w:highlight w:val="none"/>
              </w:rPr>
              <w:t xml:space="preserve">；</w:t>
            </w:r>
            <w:r/>
          </w:p>
          <w:p>
            <w:pPr>
              <w:ind w:left="0" w:right="0" w:firstLine="0"/>
              <w:spacing w:line="360" w:lineRule="auto"/>
              <w:rPr>
                <w:rFonts w:hint="eastAsia" w:eastAsia="宋体" w:asciiTheme="minorEastAsia" w:hAnsiTheme="minorEastAsia" w:cstheme="minorEastAsia"/>
                <w:b/>
                <w:bCs/>
                <w:color w:val="auto"/>
                <w:sz w:val="28"/>
                <w:highlight w:val="none"/>
                <w:lang w:val="en-US" w:eastAsia="zh-CN"/>
              </w:rPr>
            </w:pPr>
            <w:r>
              <w:rPr>
                <w:rFonts w:hint="eastAsia" w:asciiTheme="minorEastAsia" w:hAnsiTheme="minorEastAsia" w:cstheme="minorEastAsia"/>
                <w:color w:val="auto"/>
                <w:sz w:val="24"/>
                <w:highlight w:val="none"/>
              </w:rPr>
              <w:t xml:space="preserve">制定《宜兴环科园科技平台载体高质量发展运营实施办法》1份</w:t>
            </w:r>
            <w:r>
              <w:rPr>
                <w:rFonts w:hint="eastAsia" w:asciiTheme="minorEastAsia" w:hAnsiTheme="minorEastAsia" w:cstheme="minorEastAsia"/>
                <w:color w:val="auto"/>
                <w:sz w:val="24"/>
                <w:highlight w:val="none"/>
                <w:lang w:val="en-US" w:eastAsia="zh-CN"/>
              </w:rPr>
              <w:t xml:space="preserve">/年，占本服务项目报价占比的60%，如有缺少按比例扣除</w:t>
            </w:r>
            <w:r>
              <w:rPr>
                <w:rFonts w:hint="eastAsia" w:asciiTheme="minorEastAsia" w:hAnsiTheme="minorEastAsia" w:cstheme="minorEastAsia"/>
                <w:color w:val="auto"/>
                <w:sz w:val="24"/>
                <w:highlight w:val="none"/>
                <w:lang w:eastAsia="zh-CN"/>
              </w:rPr>
              <w:t xml:space="preserve">。</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8</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创新平台技术弹射服务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全年推动与4个分中心资源对接交流2场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rPr>
                <w:rFonts w:hint="eastAsia" w:asciiTheme="minorEastAsia" w:hAnsiTheme="minorEastAsia" w:cstheme="minorEastAsia"/>
                <w:color w:val="auto"/>
                <w:sz w:val="24"/>
                <w:highlight w:val="none"/>
              </w:rPr>
              <w:t xml:space="preserve">；</w:t>
            </w:r>
            <w:r/>
          </w:p>
          <w:p>
            <w:pPr>
              <w:ind w:left="0" w:right="0" w:firstLine="0"/>
              <w:spacing w:line="360" w:lineRule="auto"/>
              <w:rPr>
                <w:rFonts w:hint="default" w:eastAsia="宋体"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经园区筛选后</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提供10条技术成果在园区路演，</w:t>
            </w:r>
            <w:r>
              <w:rPr>
                <w:rFonts w:hint="eastAsia" w:asciiTheme="minorEastAsia" w:hAnsiTheme="minorEastAsia" w:cstheme="minorEastAsia"/>
                <w:color w:val="auto"/>
                <w:sz w:val="24"/>
                <w:highlight w:val="none"/>
                <w:lang w:val="en-US" w:eastAsia="zh-CN"/>
              </w:rPr>
              <w:t xml:space="preserve">占本服务项目报价占比的40%，如有缺少按比例扣除。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9</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园区自立项目过程管理服务</w:t>
            </w:r>
            <w:r/>
          </w:p>
        </w:tc>
        <w:tc>
          <w:tcPr>
            <w:tcW w:w="3705" w:type="pct"/>
            <w:vAlign w:val="center"/>
            <w:textDirection w:val="lrTb"/>
            <w:noWrap w:val="false"/>
          </w:tcPr>
          <w:p>
            <w:pPr>
              <w:ind w:left="0" w:right="0" w:firstLine="0"/>
              <w:spacing w:line="360" w:lineRule="auto"/>
              <w:rPr>
                <w:rFonts w:hint="eastAsia" w:eastAsia="宋体"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rPr>
              <w:t xml:space="preserve">做好园区自立项目管理服务5项</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该服务需匹配专家，每年累计使用专家投入服务工作量12人*日</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rHeight w:val="973"/>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10</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科技管理能力提升服务</w:t>
            </w:r>
            <w:r/>
          </w:p>
        </w:tc>
        <w:tc>
          <w:tcPr>
            <w:tcW w:w="3705"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提供科技管理能力提升</w:t>
            </w:r>
            <w:r>
              <w:rPr>
                <w:rFonts w:hint="eastAsia" w:asciiTheme="minorEastAsia" w:hAnsiTheme="minorEastAsia" w:cstheme="minorEastAsia"/>
                <w:color w:val="auto"/>
                <w:sz w:val="24"/>
                <w:highlight w:val="none"/>
              </w:rPr>
              <w:t xml:space="preserve">培训活动4次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rPr>
                <w:rFonts w:hint="eastAsia" w:asciiTheme="minorEastAsia" w:hAnsiTheme="minorEastAsia" w:cstheme="minorEastAsia"/>
                <w:color w:val="auto"/>
                <w:sz w:val="24"/>
                <w:highlight w:val="none"/>
              </w:rPr>
              <w:t xml:space="preserve">。</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11</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杰青荟</w:t>
            </w:r>
            <w:r/>
          </w:p>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rPr>
              <w:t xml:space="preserve">举办“杰青荟”人才对接活动4场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rPr>
                <w:rFonts w:hint="eastAsia" w:asciiTheme="minorEastAsia" w:hAnsiTheme="minorEastAsia" w:cstheme="minorEastAsia"/>
                <w:color w:val="auto"/>
                <w:sz w:val="24"/>
                <w:highlight w:val="none"/>
                <w:lang w:eastAsia="zh-CN"/>
              </w:rPr>
              <w:t xml:space="preserve">；</w:t>
            </w:r>
            <w:r/>
          </w:p>
          <w:p>
            <w:pPr>
              <w:ind w:left="0" w:right="0" w:firstLine="0"/>
              <w:spacing w:line="360" w:lineRule="auto"/>
              <w:rPr>
                <w:rFonts w:hint="eastAsia"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向园区推送杰青专家技术成果50项，</w:t>
            </w:r>
            <w:r>
              <w:rPr>
                <w:rFonts w:hint="eastAsia" w:asciiTheme="minorEastAsia" w:hAnsiTheme="minorEastAsia" w:cstheme="minorEastAsia"/>
                <w:color w:val="auto"/>
                <w:sz w:val="24"/>
                <w:highlight w:val="none"/>
                <w:lang w:val="en-US" w:eastAsia="zh-CN"/>
              </w:rPr>
              <w:t xml:space="preserve">占本服务项目报价占比的20%，如有缺少按比例扣除</w:t>
            </w:r>
            <w:r>
              <w:rPr>
                <w:rFonts w:hint="eastAsia" w:asciiTheme="minorEastAsia" w:hAnsiTheme="minorEastAsia" w:cstheme="minorEastAsia"/>
                <w:color w:val="auto"/>
                <w:sz w:val="24"/>
                <w:highlight w:val="none"/>
                <w:lang w:eastAsia="zh-CN"/>
              </w:rPr>
              <w:t xml:space="preserve">；</w:t>
            </w:r>
            <w:r/>
          </w:p>
          <w:p>
            <w:pPr>
              <w:ind w:left="0" w:right="0" w:firstLine="0"/>
              <w:spacing w:line="360" w:lineRule="auto"/>
              <w:rPr>
                <w:rFonts w:hint="eastAsia" w:eastAsia="宋体"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推动10名省杰青人才园交流对接</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占本服务项目报价占比的20%，如有缺少按比例扣除。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12</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创新标杆研学服务</w:t>
            </w:r>
            <w:r/>
          </w:p>
        </w:tc>
        <w:tc>
          <w:tcPr>
            <w:tcW w:w="3705"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提供2次赴省内外相关产业园区研学交流，</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提供10人次研学名额</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13</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科技招商服务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提供有效科技招商讯息30条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占本服务项目报价占比的30%，如有缺少按比例扣除；</w:t>
            </w:r>
            <w:r/>
          </w:p>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组织园区参加科技招引全国行等活动3次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p>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现场对接优质项目团队10个</w:t>
            </w:r>
            <w:r>
              <w:rPr>
                <w:rFonts w:hint="eastAsia" w:asciiTheme="minorEastAsia" w:hAnsiTheme="minorEastAsia" w:cstheme="minorEastAsia"/>
                <w:color w:val="auto"/>
                <w:sz w:val="24"/>
                <w:highlight w:val="none"/>
                <w:lang w:val="en-US" w:eastAsia="zh-CN"/>
              </w:rPr>
              <w:t xml:space="preserve">/年，占本服务项目报价占比的10%，如有缺少按比例扣除</w:t>
            </w:r>
            <w:r>
              <w:rPr>
                <w:rFonts w:hint="eastAsia" w:asciiTheme="minorEastAsia" w:hAnsiTheme="minorEastAsia" w:cstheme="minorEastAsia"/>
                <w:color w:val="auto"/>
                <w:sz w:val="24"/>
                <w:highlight w:val="none"/>
              </w:rPr>
              <w:t xml:space="preserve">。</w:t>
            </w:r>
            <w:r/>
          </w:p>
        </w:tc>
      </w:tr>
    </w:tbl>
    <w:p>
      <w:pPr>
        <w:jc w:val="both"/>
        <w:rPr>
          <w:rFonts w:hint="eastAsia" w:ascii="黑体" w:eastAsia="黑体"/>
          <w:color w:val="auto"/>
          <w:sz w:val="28"/>
          <w:highlight w:val="none"/>
        </w:rPr>
        <w:outlineLvl w:val="0"/>
      </w:pPr>
      <w:r>
        <w:rPr>
          <w:rFonts w:hint="eastAsia" w:ascii="黑体" w:eastAsia="黑体"/>
          <w:color w:val="auto"/>
          <w:sz w:val="28"/>
          <w:highlight w:val="none"/>
        </w:rPr>
      </w:r>
      <w:r/>
    </w:p>
    <w:p>
      <w:pPr>
        <w:jc w:val="center"/>
        <w:keepLines w:val="0"/>
        <w:keepNext w:val="0"/>
        <w:pageBreakBefore/>
        <w:widowControl w:val="off"/>
        <w:rPr>
          <w:rFonts w:ascii="黑体" w:eastAsia="黑体"/>
          <w:color w:val="auto"/>
          <w:sz w:val="28"/>
          <w:highlight w:val="none"/>
        </w:rPr>
        <w:outlineLvl w:val="0"/>
      </w:pPr>
      <w:r>
        <w:rPr>
          <w:rFonts w:hint="eastAsia" w:ascii="黑体" w:eastAsia="黑体"/>
          <w:color w:val="auto"/>
          <w:sz w:val="28"/>
          <w:highlight w:val="none"/>
        </w:rPr>
        <w:t xml:space="preserve">第四章 评标方法和标准</w:t>
      </w:r>
      <w:bookmarkEnd w:id="89"/>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8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7537"/>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44</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技术部分</w:t>
      </w:r>
      <w:r/>
    </w:p>
    <w:tbl>
      <w:tblPr>
        <w:tblStyle w:val="893"/>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528"/>
        <w:gridCol w:w="940"/>
        <w:gridCol w:w="576"/>
        <w:gridCol w:w="6150"/>
        <w:gridCol w:w="907"/>
      </w:tblGrid>
      <w:tr>
        <w:trPr>
          <w:jc w:val="center"/>
          <w:trHeight w:val="510"/>
        </w:trPr>
        <w:tc>
          <w:tcPr>
            <w:tcBorders>
              <w:top w:val="single" w:color="auto" w:sz="4" w:space="0"/>
              <w:left w:val="single" w:color="auto" w:sz="4" w:space="0"/>
              <w:right w:val="single" w:color="auto" w:sz="4" w:space="0"/>
            </w:tcBorders>
            <w:tcW w:w="38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6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47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537"/>
        </w:trPr>
        <w:tc>
          <w:tcPr>
            <w:tcBorders>
              <w:top w:val="single" w:color="auto" w:sz="4" w:space="0"/>
              <w:left w:val="single" w:color="auto" w:sz="4" w:space="0"/>
              <w:right w:val="single" w:color="auto" w:sz="4" w:space="0"/>
            </w:tcBorders>
            <w:tcW w:w="380" w:type="pct"/>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技术部分</w:t>
            </w:r>
            <w:r/>
          </w:p>
        </w:tc>
        <w:tc>
          <w:tcPr>
            <w:tcBorders>
              <w:top w:val="single" w:color="auto" w:sz="4" w:space="0"/>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477"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需求理解</w:t>
            </w:r>
            <w:r/>
          </w:p>
        </w:tc>
        <w:tc>
          <w:tcPr>
            <w:tcBorders>
              <w:top w:val="single" w:color="auto" w:sz="4" w:space="0"/>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评标委员会根据投标人</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的需求理解方案，就方案中</w:t>
            </w:r>
            <w:r>
              <w:rPr>
                <w:rFonts w:hint="eastAsia" w:ascii="宋体" w:hAnsi="宋体" w:eastAsia="宋体" w:cs="宋体"/>
                <w:color w:val="auto"/>
                <w:sz w:val="24"/>
                <w:highlight w:val="none"/>
              </w:rPr>
              <w:t xml:space="preserve">对本项目的项目背景、项目必要性、工作内容、预期目标成果的理解和认识</w:t>
            </w:r>
            <w:r>
              <w:rPr>
                <w:rFonts w:hint="eastAsia" w:ascii="宋体" w:hAnsi="宋体" w:eastAsia="宋体" w:cs="宋体"/>
                <w:color w:val="auto"/>
                <w:sz w:val="24"/>
                <w:highlight w:val="none"/>
                <w:lang w:val="en-US" w:eastAsia="zh-CN"/>
              </w:rPr>
              <w:t xml:space="preserve">等方面，进行评审：</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内容全面</w:t>
            </w:r>
            <w:r>
              <w:rPr>
                <w:rFonts w:hint="eastAsia" w:ascii="宋体" w:hAnsi="宋体" w:eastAsia="宋体" w:cs="宋体"/>
                <w:color w:val="auto"/>
                <w:sz w:val="24"/>
                <w:highlight w:val="none"/>
              </w:rPr>
              <w:t xml:space="preserve">完整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val="en-US" w:eastAsia="zh-CN"/>
              </w:rPr>
              <w:t xml:space="preserve">，切合项目实际</w:t>
            </w:r>
            <w:r>
              <w:rPr>
                <w:rFonts w:hint="eastAsia" w:ascii="宋体" w:hAnsi="宋体" w:eastAsia="宋体" w:cs="宋体"/>
                <w:color w:val="auto"/>
                <w:sz w:val="24"/>
                <w:highlight w:val="none"/>
              </w:rPr>
              <w:t xml:space="preserve">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内容较为完整，科学性及合理性良好，符合本项目实际的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内容粗糙，科学性及合理性一般，不太符合本项目实际的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其余不得分，本项最高得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298"/>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服务方案</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评标委员会根据投标人</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的13项</w:t>
            </w:r>
            <w:r>
              <w:rPr>
                <w:rFonts w:hint="eastAsia" w:ascii="宋体" w:hAnsi="宋体" w:cs="宋体"/>
                <w:color w:val="auto"/>
                <w:sz w:val="24"/>
                <w:highlight w:val="none"/>
                <w:lang w:val="en-US" w:eastAsia="zh-CN"/>
              </w:rPr>
              <w:t xml:space="preserve">服务项目</w:t>
            </w:r>
            <w:r>
              <w:rPr>
                <w:rFonts w:hint="eastAsia" w:ascii="宋体" w:hAnsi="宋体" w:eastAsia="宋体" w:cs="宋体"/>
                <w:color w:val="auto"/>
                <w:sz w:val="24"/>
                <w:highlight w:val="none"/>
                <w:lang w:val="en-US" w:eastAsia="zh-CN"/>
              </w:rPr>
              <w:t xml:space="preserve">的服务方案，就方案中结合以往经验对</w:t>
            </w:r>
            <w:r>
              <w:rPr>
                <w:rFonts w:hint="eastAsia" w:ascii="宋体" w:hAnsi="宋体" w:cs="宋体"/>
                <w:color w:val="auto"/>
                <w:sz w:val="24"/>
                <w:highlight w:val="none"/>
                <w:lang w:val="en-US" w:eastAsia="zh-CN"/>
              </w:rPr>
              <w:t xml:space="preserve">本项目的</w:t>
            </w:r>
            <w:r>
              <w:rPr>
                <w:rFonts w:hint="eastAsia" w:ascii="宋体" w:hAnsi="宋体" w:eastAsia="宋体" w:cs="宋体"/>
                <w:color w:val="auto"/>
                <w:sz w:val="24"/>
                <w:highlight w:val="none"/>
                <w:lang w:val="en-US" w:eastAsia="zh-CN"/>
              </w:rPr>
              <w:t xml:space="preserve">各项服务</w:t>
            </w:r>
            <w:r>
              <w:rPr>
                <w:rFonts w:hint="eastAsia" w:ascii="宋体" w:hAnsi="宋体" w:cs="宋体"/>
                <w:color w:val="auto"/>
                <w:sz w:val="24"/>
                <w:highlight w:val="none"/>
                <w:lang w:val="en-US" w:eastAsia="zh-CN"/>
              </w:rPr>
              <w:t xml:space="preserve">提出</w:t>
            </w:r>
            <w:r>
              <w:rPr>
                <w:rFonts w:hint="eastAsia" w:ascii="宋体" w:hAnsi="宋体" w:eastAsia="宋体" w:cs="宋体"/>
                <w:color w:val="auto"/>
                <w:sz w:val="24"/>
                <w:highlight w:val="none"/>
                <w:lang w:val="en-US" w:eastAsia="zh-CN"/>
              </w:rPr>
              <w:t xml:space="preserve">总体思路、具体实施方案、服务流程、人员及物料的安排</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val="en-US" w:eastAsia="zh-CN"/>
              </w:rPr>
              <w:t xml:space="preserve">方面</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进行评审：</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内容全面</w:t>
            </w:r>
            <w:r>
              <w:rPr>
                <w:rFonts w:hint="eastAsia" w:ascii="宋体" w:hAnsi="宋体" w:eastAsia="宋体" w:cs="宋体"/>
                <w:color w:val="auto"/>
                <w:sz w:val="24"/>
                <w:highlight w:val="none"/>
              </w:rPr>
              <w:t xml:space="preserve">完整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val="en-US" w:eastAsia="zh-CN"/>
              </w:rPr>
              <w:t xml:space="preserve">，切合项目实际，可行性强</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内容较为完整，科学性及合理性良好，符合本项目实际，可行性较强的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内容粗糙，科学性及合理性一般，不太符合本项目实际，可行性一般的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其余不得分，本项最高得13分。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261"/>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重难点分析和解决方案</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评标委员会根据投标人提供的难</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重点分析及解决措施方案，就方案中结合以往经验对本项目13项服务内容实施过程中的难</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重点进行分析，并提出相应的解决方案进行评审：</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内容全面</w:t>
            </w:r>
            <w:r>
              <w:rPr>
                <w:rFonts w:hint="eastAsia" w:ascii="宋体" w:hAnsi="宋体" w:eastAsia="宋体" w:cs="宋体"/>
                <w:color w:val="auto"/>
                <w:sz w:val="24"/>
                <w:highlight w:val="none"/>
              </w:rPr>
              <w:t xml:space="preserve">完整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val="en-US" w:eastAsia="zh-CN"/>
              </w:rPr>
              <w:t xml:space="preserve">，切合项目实际，可行性强</w:t>
            </w:r>
            <w:r>
              <w:rPr>
                <w:rFonts w:hint="eastAsia" w:ascii="宋体" w:hAnsi="宋体" w:eastAsia="宋体" w:cs="宋体"/>
                <w:color w:val="auto"/>
                <w:sz w:val="24"/>
                <w:highlight w:val="none"/>
              </w:rPr>
              <w:t xml:space="preserve">的得</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内容较为完整，科学性及合理性良好，符合本项目实际，可行性较强的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内容粗糙，科学性及合理性一般，不太符合本项目实际，可行性一般的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其余不得分，本项最高得1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项目进度计划</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评标委员会根据投标人提供的项目进度计划，就方案中项目进度安排、人员及物料的调配、进度保障措施等方面，进行评审：</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1.进度计划内容详实，表述清晰，保障措施切实可行</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lang w:val="en-US" w:eastAsia="zh-CN"/>
              </w:rPr>
              <w:t xml:space="preserve">利于项目实施，可行性强的得5分；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2.进度计划较为完整，表述清晰，保障措施与本项目实际要求匹配的，可行性较强的，得3分；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3.进度计划内容粗糙，不太符合本项目实际，可行性一般的得1分；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其余不得分，本项最高得5分。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质量保证措施</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评标委员会根据投标人提供的质量保证措施，就方案中的质量管理、保障体系、廉政措施、保密管理、服务响应等</w:t>
            </w:r>
            <w:r>
              <w:rPr>
                <w:rFonts w:hint="eastAsia" w:ascii="宋体" w:hAnsi="宋体" w:cs="宋体"/>
                <w:color w:val="auto"/>
                <w:sz w:val="24"/>
                <w:highlight w:val="none"/>
                <w:lang w:val="en-US" w:eastAsia="zh-CN"/>
              </w:rPr>
              <w:t xml:space="preserve">，</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1.进度计划内容详实，表述清晰，保障措施切实可行</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lang w:val="en-US" w:eastAsia="zh-CN"/>
              </w:rPr>
              <w:t xml:space="preserve">利于项目实施，可行性强的得7分；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2.进度计划较为完整，表述清晰，保障措施与本项目实际要求匹配的，可行性较强的，得4分；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3.进度计划内容粗糙，不太符合本项目实际，可行性一般的得1分；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其余不得分，本项最高得7分。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pStyle w:val="897"/>
        <w:spacing w:line="360" w:lineRule="auto"/>
        <w:rPr>
          <w:color w:val="auto"/>
          <w:highlight w:val="none"/>
        </w:rPr>
      </w:pPr>
      <w:r>
        <w:rPr>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商务部分</w:t>
      </w:r>
      <w:r/>
    </w:p>
    <w:tbl>
      <w:tblPr>
        <w:tblStyle w:val="893"/>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536"/>
        <w:gridCol w:w="801"/>
        <w:gridCol w:w="614"/>
        <w:gridCol w:w="6166"/>
        <w:gridCol w:w="972"/>
      </w:tblGrid>
      <w:tr>
        <w:trPr>
          <w:jc w:val="center"/>
          <w:trHeight w:val="510"/>
        </w:trPr>
        <w:tc>
          <w:tcPr>
            <w:tcBorders>
              <w:top w:val="single" w:color="auto" w:sz="4" w:space="0"/>
              <w:left w:val="single" w:color="auto" w:sz="4" w:space="0"/>
              <w:right w:val="single" w:color="auto" w:sz="4" w:space="0"/>
            </w:tcBorders>
            <w:tcW w:w="384"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72"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406"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3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4171"/>
        </w:trPr>
        <w:tc>
          <w:tcPr>
            <w:tcBorders>
              <w:top w:val="single" w:color="auto" w:sz="4" w:space="0"/>
              <w:left w:val="single" w:color="auto" w:sz="4" w:space="0"/>
              <w:right w:val="single" w:color="auto" w:sz="4" w:space="0"/>
            </w:tcBorders>
            <w:tcW w:w="384" w:type="pct"/>
            <w:vAlign w:val="center"/>
            <w:vMerge w:val="restart"/>
            <w:textDirection w:val="lrTb"/>
            <w:noWrap w:val="false"/>
          </w:tcPr>
          <w:p>
            <w:pPr>
              <w:jc w:val="center"/>
              <w:spacing w:line="420" w:lineRule="exact"/>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商务部分</w:t>
            </w:r>
            <w:r/>
          </w:p>
        </w:tc>
        <w:tc>
          <w:tcPr>
            <w:tcBorders>
              <w:top w:val="single" w:color="auto" w:sz="4" w:space="0"/>
              <w:left w:val="single" w:color="auto" w:sz="4" w:space="0"/>
              <w:right w:val="single" w:color="auto" w:sz="4" w:space="0"/>
            </w:tcBorders>
            <w:tcW w:w="272" w:type="pct"/>
            <w:vAlign w:val="center"/>
            <w:textDirection w:val="lrTb"/>
            <w:noWrap w:val="false"/>
          </w:tcPr>
          <w:p>
            <w:pPr>
              <w:jc w:val="center"/>
              <w:spacing w:line="4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406" w:type="pct"/>
            <w:vAlign w:val="center"/>
            <w:textDirection w:val="lrTb"/>
            <w:noWrap w:val="false"/>
          </w:tcPr>
          <w:p>
            <w:pPr>
              <w:ind w:left="0" w:right="0"/>
              <w:jc w:val="center"/>
              <w:keepLines w:val="0"/>
              <w:keepNext w:val="0"/>
              <w:spacing w:before="0" w:beforeAutospacing="0" w:after="0" w:afterAutospacing="0" w:line="276" w:lineRule="auto"/>
              <w:rPr>
                <w:rFonts w:ascii="宋体" w:hAnsi="宋体" w:cs="宋体"/>
                <w:bCs/>
                <w:color w:val="auto"/>
                <w:sz w:val="24"/>
                <w:highlight w:val="none"/>
              </w:rPr>
              <w:suppressLineNumbers w:val="0"/>
            </w:pPr>
            <w:r>
              <w:rPr>
                <w:rFonts w:hint="eastAsia" w:ascii="宋体" w:hAnsi="宋体"/>
                <w:color w:val="auto"/>
                <w:sz w:val="24"/>
                <w:szCs w:val="24"/>
                <w:highlight w:val="none"/>
              </w:rPr>
              <w:t xml:space="preserve">人员配备</w:t>
            </w:r>
            <w:r/>
          </w:p>
        </w:tc>
        <w:tc>
          <w:tcPr>
            <w:tcBorders>
              <w:top w:val="single" w:color="auto" w:sz="4" w:space="0"/>
              <w:left w:val="single" w:color="auto" w:sz="4" w:space="0"/>
              <w:right w:val="single" w:color="auto" w:sz="4" w:space="0"/>
            </w:tcBorders>
            <w:tcW w:w="311" w:type="pct"/>
            <w:vAlign w:val="center"/>
            <w:textDirection w:val="lrTb"/>
            <w:noWrap w:val="false"/>
          </w:tcPr>
          <w:p>
            <w:pPr>
              <w:ind w:left="0" w:right="0"/>
              <w:jc w:val="both"/>
              <w:keepLines w:val="0"/>
              <w:keepNext w:val="0"/>
              <w:spacing w:before="0" w:beforeAutospacing="0" w:after="0" w:afterAutospacing="0" w:line="276" w:lineRule="auto"/>
              <w:rPr>
                <w:rFonts w:hint="default" w:ascii="宋体" w:hAnsi="宋体" w:eastAsia="宋体" w:cs="宋体"/>
                <w:bCs/>
                <w:color w:val="auto"/>
                <w:sz w:val="24"/>
                <w:highlight w:val="none"/>
                <w:lang w:val="en-US" w:eastAsia="zh-CN"/>
              </w:rPr>
              <w:suppressLineNumbers w:val="0"/>
            </w:pP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分</w:t>
            </w:r>
            <w:r/>
          </w:p>
        </w:tc>
        <w:tc>
          <w:tcPr>
            <w:tcBorders>
              <w:top w:val="single" w:color="auto" w:sz="4" w:space="0"/>
              <w:left w:val="single" w:color="auto" w:sz="4" w:space="0"/>
              <w:right w:val="single" w:color="auto" w:sz="4" w:space="0"/>
            </w:tcBorders>
            <w:tcW w:w="3131" w:type="pct"/>
            <w:vAlign w:val="center"/>
            <w:textDirection w:val="lrTb"/>
            <w:noWrap w:val="false"/>
          </w:tcPr>
          <w:p>
            <w:pPr>
              <w:pStyle w:val="990"/>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投标人为本项目配备专业的</w:t>
            </w:r>
            <w:r>
              <w:rPr>
                <w:rFonts w:hint="eastAsia"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负责人1名</w:t>
            </w:r>
            <w:r>
              <w:rPr>
                <w:rFonts w:hint="eastAsia" w:cs="宋体"/>
                <w:color w:val="auto"/>
                <w:sz w:val="24"/>
                <w:szCs w:val="24"/>
                <w:highlight w:val="none"/>
                <w:lang w:val="en-US" w:eastAsia="zh-CN"/>
              </w:rPr>
              <w:t xml:space="preserve">项目负责人具备正高级及以上职称的得3分；高级的得2分；中级的得1分，本项最高得3分</w:t>
            </w:r>
            <w:r>
              <w:rPr>
                <w:rFonts w:hint="eastAsia" w:ascii="宋体" w:hAnsi="宋体" w:eastAsia="宋体" w:cs="宋体"/>
                <w:color w:val="auto"/>
                <w:sz w:val="24"/>
                <w:szCs w:val="24"/>
                <w:highlight w:val="none"/>
              </w:rPr>
              <w:t xml:space="preserve">。</w:t>
            </w:r>
            <w:r/>
          </w:p>
          <w:p>
            <w:pPr>
              <w:pStyle w:val="990"/>
              <w:numPr>
                <w:ilvl w:val="0"/>
                <w:numId w:val="0"/>
              </w:numPr>
              <w:ind w:left="0" w:right="0" w:firstLine="0"/>
              <w:jc w:val="both"/>
              <w:keepLines w:val="0"/>
              <w:keepNext w:val="0"/>
              <w:spacing w:before="0" w:beforeAutospacing="0" w:after="0" w:afterAutospacing="0" w:line="360" w:lineRule="auto"/>
              <w:widowControl w:val="off"/>
              <w:rPr>
                <w:rFonts w:hint="eastAsia"/>
                <w:b w:val="0"/>
                <w:bCs w:val="0"/>
                <w:color w:val="auto"/>
                <w:sz w:val="24"/>
                <w:highlight w:val="none"/>
                <w:lang w:val="en-US" w:eastAsia="zh-CN"/>
              </w:rPr>
              <w:suppressLineNumbers w:val="0"/>
            </w:pPr>
            <w:r>
              <w:rPr>
                <w:rFonts w:hint="eastAsia" w:ascii="宋体" w:hAnsi="宋体" w:eastAsia="宋体" w:cs="宋体"/>
                <w:b w:val="0"/>
                <w:bCs w:val="0"/>
                <w:color w:val="auto"/>
                <w:sz w:val="24"/>
                <w:szCs w:val="24"/>
                <w:lang w:val="en-US" w:eastAsia="zh-CN" w:bidi="ar-SA"/>
              </w:rPr>
              <w:t xml:space="preserve">2</w:t>
            </w:r>
            <w:r>
              <w:rPr>
                <w:rFonts w:hint="eastAsia" w:cs="宋体"/>
                <w:b w:val="0"/>
                <w:bCs w:val="0"/>
                <w:color w:val="auto"/>
                <w:sz w:val="24"/>
                <w:szCs w:val="24"/>
                <w:lang w:val="en-US" w:eastAsia="zh-CN" w:bidi="ar-SA"/>
              </w:rPr>
              <w:t xml:space="preserve">.</w:t>
            </w:r>
            <w:r>
              <w:rPr>
                <w:rFonts w:hint="eastAsia"/>
                <w:b w:val="0"/>
                <w:bCs w:val="0"/>
                <w:color w:val="auto"/>
                <w:sz w:val="24"/>
                <w:highlight w:val="none"/>
                <w:lang w:val="en-US" w:eastAsia="zh-CN"/>
              </w:rPr>
              <w:t xml:space="preserve">投标人为本项目配备的专业的项目组成员（项目负责人除外），</w:t>
            </w:r>
            <w:r>
              <w:rPr>
                <w:rFonts w:hint="eastAsia" w:cs="宋体"/>
                <w:color w:val="auto"/>
                <w:sz w:val="24"/>
                <w:szCs w:val="24"/>
                <w:highlight w:val="none"/>
                <w:lang w:val="en-US" w:eastAsia="zh-CN"/>
              </w:rPr>
              <w:t xml:space="preserve">具备正高级及以上职称的得3分/人；高级的得2分/人；中级的得1分/人，本项最高得15分</w:t>
            </w:r>
            <w:r/>
          </w:p>
          <w:p>
            <w:pPr>
              <w:pStyle w:val="990"/>
              <w:numPr>
                <w:ilvl w:val="0"/>
                <w:numId w:val="0"/>
              </w:numPr>
              <w:ind w:left="0" w:right="0" w:firstLine="0"/>
              <w:jc w:val="both"/>
              <w:keepLines w:val="0"/>
              <w:keepNext w:val="0"/>
              <w:spacing w:before="0" w:beforeAutospacing="0" w:after="0" w:afterAutospacing="0" w:line="360" w:lineRule="auto"/>
              <w:widowControl w:val="off"/>
              <w:rPr>
                <w:color w:val="auto"/>
                <w:highlight w:val="none"/>
                <w:lang w:val="en-US"/>
              </w:rPr>
              <w:suppressLineNumbers w:val="0"/>
            </w:pPr>
            <w:r>
              <w:rPr>
                <w:rFonts w:hint="eastAsia"/>
                <w:b/>
                <w:bCs/>
                <w:color w:val="auto"/>
                <w:sz w:val="24"/>
                <w:highlight w:val="none"/>
              </w:rPr>
              <w:t xml:space="preserve">（投标文件中提供投标人为其缴纳的投标截止时间前近十二个月中</w:t>
            </w:r>
            <w:r>
              <w:rPr>
                <w:rFonts w:hint="eastAsia"/>
                <w:b/>
                <w:bCs/>
                <w:color w:val="auto"/>
                <w:sz w:val="24"/>
                <w:highlight w:val="none"/>
                <w:lang w:val="en-US" w:eastAsia="zh-CN"/>
              </w:rPr>
              <w:t xml:space="preserve">任一个</w:t>
            </w:r>
            <w:r>
              <w:rPr>
                <w:rFonts w:hint="eastAsia"/>
                <w:b/>
                <w:bCs/>
                <w:color w:val="auto"/>
                <w:sz w:val="24"/>
                <w:highlight w:val="none"/>
              </w:rPr>
              <w:t xml:space="preserve">月社保证明及相关证书</w:t>
            </w:r>
            <w:r>
              <w:rPr>
                <w:rFonts w:hint="eastAsia"/>
                <w:b/>
                <w:bCs/>
                <w:color w:val="auto"/>
                <w:sz w:val="24"/>
                <w:highlight w:val="none"/>
                <w:lang w:val="en-US" w:eastAsia="zh-CN"/>
              </w:rPr>
              <w:t xml:space="preserve">的</w:t>
            </w:r>
            <w:r>
              <w:rPr>
                <w:rStyle w:val="991"/>
                <w:rFonts w:hint="eastAsia"/>
                <w:color w:val="auto"/>
                <w:highlight w:val="none"/>
                <w:lang w:val="en-US" w:eastAsia="zh-CN" w:bidi="ar"/>
              </w:rPr>
              <w:t xml:space="preserve">原件扫描件</w:t>
            </w:r>
            <w:r>
              <w:rPr>
                <w:rFonts w:hint="eastAsia"/>
                <w:b/>
                <w:bCs/>
                <w:color w:val="auto"/>
                <w:sz w:val="24"/>
                <w:highlight w:val="none"/>
              </w:rPr>
              <w:t xml:space="preserve">并加盖投标人公章</w:t>
            </w:r>
            <w:r>
              <w:rPr>
                <w:rFonts w:hint="eastAsia"/>
                <w:b/>
                <w:bCs/>
                <w:color w:val="auto"/>
                <w:sz w:val="24"/>
                <w:highlight w:val="none"/>
                <w:lang w:eastAsia="zh-CN"/>
              </w:rPr>
              <w:t xml:space="preserve">，</w:t>
            </w:r>
            <w:r>
              <w:rPr>
                <w:rFonts w:hint="eastAsia"/>
                <w:b/>
                <w:bCs/>
                <w:color w:val="auto"/>
                <w:sz w:val="24"/>
                <w:highlight w:val="none"/>
                <w:lang w:val="en-US" w:eastAsia="zh-CN"/>
              </w:rPr>
              <w:t xml:space="preserve">否则不得分</w:t>
            </w:r>
            <w:r>
              <w:rPr>
                <w:rFonts w:hint="eastAsia"/>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r>
      <w:tr>
        <w:trPr>
          <w:jc w:val="center"/>
          <w:trHeight w:val="680"/>
        </w:trPr>
        <w:tc>
          <w:tcPr>
            <w:tcBorders>
              <w:left w:val="single" w:color="auto" w:sz="4" w:space="0"/>
              <w:right w:val="single" w:color="auto" w:sz="4" w:space="0"/>
            </w:tcBorders>
            <w:tcW w:w="384" w:type="pct"/>
            <w:vAlign w:val="center"/>
            <w:vMerge w:val="continue"/>
            <w:textDirection w:val="lrTb"/>
            <w:noWrap w:val="false"/>
          </w:tcPr>
          <w:p>
            <w:pPr>
              <w:jc w:val="center"/>
              <w:spacing w:line="42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left="0" w:right="0"/>
              <w:jc w:val="left"/>
              <w:keepLines w:val="0"/>
              <w:keepNext w:val="0"/>
              <w:spacing w:before="0" w:beforeAutospacing="0" w:after="0" w:afterAutospacing="0"/>
              <w:rPr>
                <w:rFonts w:ascii="宋体" w:hAnsi="宋体" w:cs="宋体"/>
                <w:bCs/>
                <w:color w:val="auto"/>
                <w:sz w:val="24"/>
                <w:highlight w:val="none"/>
              </w:rPr>
              <w:suppressLineNumbers w:val="0"/>
            </w:pPr>
            <w:r>
              <w:rPr>
                <w:rFonts w:hint="eastAsia" w:ascii="宋体" w:hAnsi="宋体" w:cs="宋体"/>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lang w:eastAsia="zh-CN"/>
              </w:rPr>
              <w:suppressLineNumbers w:val="0"/>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131"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2023年1月1日以来，承担过与本项目类似</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业绩</w:t>
            </w:r>
            <w:r>
              <w:rPr>
                <w:rFonts w:hint="eastAsia" w:ascii="宋体" w:hAnsi="宋体" w:eastAsia="宋体" w:cs="宋体"/>
                <w:i w:val="0"/>
                <w:iCs w:val="0"/>
                <w:color w:val="auto"/>
                <w:sz w:val="24"/>
                <w:szCs w:val="24"/>
                <w:highlight w:val="none"/>
                <w:u w:val="none"/>
                <w:lang w:val="en-US" w:eastAsia="zh-CN" w:bidi="ar"/>
              </w:rPr>
              <w:t xml:space="preserve">的，有一个得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p>
            <w:pPr>
              <w:ind w:left="0" w:right="0"/>
              <w:jc w:val="left"/>
              <w:keepLines w:val="0"/>
              <w:keepNext w:val="0"/>
              <w:spacing w:before="0" w:beforeAutospacing="0" w:after="0" w:afterAutospacing="0" w:line="360" w:lineRule="auto"/>
              <w:widowControl/>
              <w:rPr>
                <w:bCs/>
                <w:color w:val="auto"/>
                <w:highlight w:val="none"/>
              </w:rPr>
              <w:suppressLineNumbers w:val="0"/>
            </w:pPr>
            <w:r>
              <w:rPr>
                <w:rStyle w:val="991"/>
                <w:color w:val="auto"/>
                <w:highlight w:val="none"/>
                <w:lang w:val="en-US" w:eastAsia="zh-CN" w:bidi="ar"/>
              </w:rPr>
              <w:t xml:space="preserve">（投标文件中须提供合同</w:t>
            </w:r>
            <w:r>
              <w:rPr>
                <w:rStyle w:val="991"/>
                <w:rFonts w:hint="eastAsia"/>
                <w:color w:val="auto"/>
                <w:highlight w:val="none"/>
                <w:lang w:val="en-US" w:eastAsia="zh-CN" w:bidi="ar"/>
              </w:rPr>
              <w:t xml:space="preserve">原件扫描件</w:t>
            </w:r>
            <w:r>
              <w:rPr>
                <w:rStyle w:val="991"/>
                <w:color w:val="auto"/>
                <w:highlight w:val="none"/>
                <w:lang w:val="en-US" w:eastAsia="zh-CN" w:bidi="ar"/>
              </w:rPr>
              <w:t xml:space="preserve">并加盖</w:t>
            </w:r>
            <w:r>
              <w:rPr>
                <w:rStyle w:val="991"/>
                <w:rFonts w:hint="eastAsia"/>
                <w:color w:val="auto"/>
                <w:highlight w:val="none"/>
                <w:lang w:val="en-US" w:eastAsia="zh-CN" w:bidi="ar"/>
              </w:rPr>
              <w:t xml:space="preserve">投标人</w:t>
            </w:r>
            <w:r>
              <w:rPr>
                <w:rStyle w:val="991"/>
                <w:color w:val="auto"/>
                <w:highlight w:val="none"/>
                <w:lang w:val="en-US" w:eastAsia="zh-CN" w:bidi="ar"/>
              </w:rPr>
              <w:t xml:space="preserve">公章，以合同签订时间为准，未提供不得分）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contextualSpacing/>
              <w:spacing w:line="360" w:lineRule="auto"/>
              <w:widowControl/>
              <w:rPr>
                <w:rFonts w:hint="eastAsia" w:ascii="宋体" w:hAnsi="宋体"/>
                <w:color w:val="auto"/>
                <w:sz w:val="24"/>
                <w:szCs w:val="24"/>
                <w:highlight w:val="none"/>
                <w:lang w:bidi="en-US"/>
              </w:rPr>
            </w:pPr>
            <w:r>
              <w:rPr>
                <w:rFonts w:hint="eastAsia" w:ascii="宋体" w:hAnsi="宋体"/>
                <w:color w:val="auto"/>
                <w:sz w:val="24"/>
                <w:szCs w:val="24"/>
                <w:highlight w:val="none"/>
                <w:lang w:bidi="en-US"/>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价格部分</w:t>
      </w:r>
      <w:r/>
    </w:p>
    <w:tbl>
      <w:tblPr>
        <w:tblStyle w:val="893"/>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default" w:ascii="宋体" w:hAnsi="宋体" w:eastAsia="宋体" w:cs="Arial"/>
                <w:color w:val="auto"/>
                <w:sz w:val="22"/>
                <w:szCs w:val="22"/>
                <w:highlight w:val="none"/>
                <w:lang w:val="en-US" w:eastAsia="zh-CN"/>
              </w:rPr>
            </w:pPr>
            <w:r>
              <w:rPr>
                <w:rFonts w:hint="eastAsia" w:ascii="宋体" w:hAnsi="宋体" w:cs="Arial"/>
                <w:color w:val="auto"/>
                <w:sz w:val="22"/>
                <w:szCs w:val="22"/>
                <w:highlight w:val="none"/>
                <w:lang w:val="en-US" w:eastAsia="zh-CN"/>
              </w:rPr>
              <w:t xml:space="preserve">30</w:t>
            </w:r>
            <w:r>
              <w:rPr>
                <w:rFonts w:hint="eastAsia" w:ascii="宋体" w:hAnsi="宋体" w:cs="Arial"/>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价格分采用低价优先法，即满足招标文件要求且投标价格最低的投标报价为评标基准价，其价格分为满分。其他投标人的价格分统一按照下列公式计算：投标报价得分=（评标基准价/投标报价）×</w:t>
            </w:r>
            <w:r>
              <w:rPr>
                <w:rFonts w:hint="eastAsia" w:ascii="宋体" w:hAnsi="宋体" w:cs="Arial"/>
                <w:color w:val="auto"/>
                <w:sz w:val="22"/>
                <w:szCs w:val="22"/>
                <w:highlight w:val="none"/>
                <w:lang w:val="en-US" w:eastAsia="zh-CN"/>
              </w:rPr>
              <w:t xml:space="preserve">30</w:t>
            </w:r>
            <w:r>
              <w:rPr>
                <w:rFonts w:hint="eastAsia" w:ascii="宋体" w:hAnsi="宋体" w:cs="Arial"/>
                <w:color w:val="auto"/>
                <w:sz w:val="22"/>
                <w:szCs w:val="22"/>
                <w:highlight w:val="none"/>
              </w:rPr>
              <w:t xml:space="preserve">分。（以四舍五入法，保留两位小数）</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评分过程中如出现小数点后三位，采用四舍五入法，最终保留两位小数；</w:t>
      </w:r>
      <w:r/>
    </w:p>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所有提供的证明材料必须保证清晰，内容模糊无法确认的后果由</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90" w:name="_Toc23604"/>
      <w:r>
        <w:rPr>
          <w:rFonts w:hint="eastAsia" w:ascii="黑体" w:eastAsia="黑体"/>
          <w:color w:val="auto"/>
          <w:sz w:val="28"/>
          <w:highlight w:val="none"/>
        </w:rPr>
        <w:t xml:space="preserve">第五章 政府采购合同（格式）</w:t>
      </w:r>
      <w:bookmarkEnd w:id="83"/>
      <w:r/>
      <w:bookmarkEnd w:id="84"/>
      <w:r/>
      <w:bookmarkEnd w:id="85"/>
      <w:r/>
      <w:bookmarkEnd w:id="86"/>
      <w:r/>
      <w:bookmarkEnd w:id="90"/>
      <w:r/>
      <w:r/>
    </w:p>
    <w:p>
      <w:pPr>
        <w:pStyle w:val="962"/>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2"/>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2"/>
        <w:ind w:firstLine="0"/>
        <w:jc w:val="center"/>
        <w:rPr>
          <w:rFonts w:hAnsi="宋体" w:cs="宋体"/>
          <w:b/>
          <w:color w:val="auto"/>
          <w:szCs w:val="24"/>
          <w:highlight w:val="none"/>
        </w:rPr>
      </w:pPr>
      <w:r/>
      <w:bookmarkStart w:id="91" w:name="_Hlk190695075"/>
      <w:r/>
      <w:r/>
    </w:p>
    <w:p>
      <w:pPr>
        <w:pStyle w:val="962"/>
        <w:ind w:firstLine="0"/>
        <w:jc w:val="center"/>
        <w:rPr>
          <w:rFonts w:hAnsi="宋体" w:cs="宋体"/>
          <w:b/>
          <w:color w:val="auto"/>
          <w:szCs w:val="24"/>
          <w:highlight w:val="none"/>
        </w:rPr>
      </w:pPr>
      <w:r/>
      <w:bookmarkStart w:id="92" w:name="_Hlk190698770"/>
      <w:r>
        <w:rPr>
          <w:rFonts w:hint="eastAsia" w:hAnsi="宋体" w:cs="宋体"/>
          <w:b/>
          <w:color w:val="auto"/>
          <w:szCs w:val="24"/>
          <w:highlight w:val="none"/>
        </w:rPr>
        <w:t xml:space="preserve">第一部分 合同书</w:t>
      </w:r>
      <w:r/>
    </w:p>
    <w:p>
      <w:pPr>
        <w:pStyle w:val="962"/>
        <w:ind w:firstLine="0"/>
        <w:rPr>
          <w:rFonts w:hAnsi="宋体" w:cs="宋体"/>
          <w:color w:val="auto"/>
          <w:szCs w:val="24"/>
          <w:highlight w:val="none"/>
        </w:rPr>
      </w:pPr>
      <w:r>
        <w:rPr>
          <w:rFonts w:hAnsi="宋体" w:cs="宋体"/>
          <w:color w:val="auto"/>
          <w:szCs w:val="24"/>
          <w:highlight w:val="none"/>
        </w:rPr>
      </w:r>
      <w:r/>
    </w:p>
    <w:p>
      <w:pPr>
        <w:pStyle w:val="962"/>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jc w:val="center"/>
        <w:spacing w:line="22" w:lineRule="atLeas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 xml:space="preserve"> </w:t>
      </w:r>
      <w:r/>
    </w:p>
    <w:p>
      <w:pPr>
        <w:ind w:left="960"/>
        <w:spacing w:line="22" w:lineRule="atLeast"/>
        <w:rPr>
          <w:rFonts w:hint="eastAsia" w:ascii="宋体" w:cs="宋体"/>
          <w:color w:val="auto"/>
          <w:sz w:val="24"/>
          <w:highlight w:val="none"/>
        </w:rPr>
      </w:pPr>
      <w:r/>
      <w:bookmarkStart w:id="93" w:name="_Hlk190867350"/>
      <w:r>
        <w:rPr>
          <w:rFonts w:hint="eastAsia" w:ascii="宋体" w:cs="宋体"/>
          <w:color w:val="auto"/>
          <w:sz w:val="24"/>
          <w:highlight w:val="none"/>
        </w:rPr>
        <w:t xml:space="preserve">项目名称：</w:t>
      </w:r>
      <w:r>
        <w:rPr>
          <w:rFonts w:hint="eastAsia" w:ascii="宋体" w:cs="宋体"/>
          <w:color w:val="auto"/>
          <w:sz w:val="24"/>
          <w:highlight w:val="none"/>
          <w:u w:val="single"/>
        </w:rPr>
        <w:t xml:space="preserve">                                   </w:t>
      </w:r>
      <w:r/>
    </w:p>
    <w:p>
      <w:pPr>
        <w:pStyle w:val="956"/>
        <w:spacing w:line="22" w:lineRule="atLeast"/>
        <w:rPr>
          <w:rFonts w:hint="eastAsia" w:ascii="宋体" w:eastAsia="宋体" w:cs="宋体"/>
          <w:color w:val="auto"/>
          <w:szCs w:val="24"/>
          <w:highlight w:val="none"/>
        </w:rPr>
      </w:pPr>
      <w:r>
        <w:rPr>
          <w:rFonts w:hint="eastAsia" w:ascii="宋体" w:eastAsia="宋体" w:cs="宋体"/>
          <w:color w:val="auto"/>
          <w:szCs w:val="24"/>
          <w:highlight w:val="none"/>
        </w:rPr>
      </w:r>
      <w:r/>
    </w:p>
    <w:p>
      <w:pPr>
        <w:pStyle w:val="956"/>
        <w:spacing w:line="22" w:lineRule="atLeast"/>
        <w:rPr>
          <w:rFonts w:hint="eastAsia" w:ascii="宋体" w:eastAsia="宋体" w:cs="宋体"/>
          <w:color w:val="auto"/>
          <w:szCs w:val="24"/>
          <w:highlight w:val="none"/>
        </w:rPr>
      </w:pPr>
      <w:r>
        <w:rPr>
          <w:rFonts w:hint="eastAsia" w:ascii="宋体" w:eastAsia="宋体" w:cs="宋体"/>
          <w:bCs/>
          <w:color w:val="auto"/>
          <w:highlight w:val="none"/>
        </w:rPr>
        <w:t xml:space="preserve">        项目编号：</w:t>
      </w:r>
      <w:r>
        <w:rPr>
          <w:rFonts w:hint="eastAsia" w:asci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eastAsia="宋体" w:cs="宋体"/>
          <w:bCs/>
          <w:color w:val="auto"/>
          <w:highlight w:val="none"/>
          <w:u w:val="single"/>
        </w:rPr>
        <w:t xml:space="preserve">    </w:t>
      </w:r>
      <w:r>
        <w:rPr>
          <w:rFonts w:hint="eastAsia" w:ascii="宋体" w:eastAsia="宋体" w:cs="宋体"/>
          <w:bCs/>
          <w:color w:val="auto"/>
          <w:highlight w:val="none"/>
        </w:rPr>
        <w:t xml:space="preserve">       </w:t>
      </w:r>
      <w:r/>
    </w:p>
    <w:p>
      <w:pPr>
        <w:rPr>
          <w:rFonts w:hint="eastAsia" w:ascii="宋体" w:cs="宋体"/>
          <w:color w:val="auto"/>
          <w:highlight w:val="none"/>
        </w:rPr>
      </w:pPr>
      <w:r>
        <w:rPr>
          <w:rFonts w:hint="eastAsia" w:ascii="宋体" w:cs="宋体"/>
          <w:color w:val="auto"/>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甲方：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乙方：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签订地：</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480"/>
        <w:spacing w:line="560" w:lineRule="exact"/>
        <w:rPr>
          <w:rFonts w:hint="eastAsia" w:ascii="宋体" w:cs="宋体"/>
          <w:color w:val="auto"/>
          <w:sz w:val="24"/>
          <w:highlight w:val="none"/>
        </w:rPr>
      </w:pPr>
      <w:r>
        <w:rPr>
          <w:rFonts w:hint="eastAsia" w:ascii="宋体" w:cs="宋体"/>
          <w:color w:val="auto"/>
          <w:sz w:val="24"/>
          <w:highlight w:val="none"/>
        </w:rPr>
        <w:t xml:space="preserve">    签订日期：</w:t>
      </w:r>
      <w:r>
        <w:rPr>
          <w:rFonts w:hint="eastAsia" w:ascii="宋体" w:cs="宋体"/>
          <w:color w:val="auto"/>
          <w:sz w:val="24"/>
          <w:highlight w:val="none"/>
          <w:u w:val="single"/>
        </w:rPr>
        <w:t xml:space="preserve">               </w:t>
      </w:r>
      <w:r>
        <w:rPr>
          <w:rFonts w:hint="eastAsia" w:ascii="宋体" w:cs="宋体"/>
          <w:color w:val="auto"/>
          <w:sz w:val="24"/>
          <w:highlight w:val="none"/>
        </w:rPr>
        <w:t xml:space="preserve">年</w:t>
      </w:r>
      <w:r>
        <w:rPr>
          <w:rFonts w:hint="eastAsia" w:ascii="宋体" w:cs="宋体"/>
          <w:color w:val="auto"/>
          <w:sz w:val="24"/>
          <w:highlight w:val="none"/>
          <w:u w:val="single"/>
        </w:rPr>
        <w:t xml:space="preserve">       </w:t>
      </w:r>
      <w:r>
        <w:rPr>
          <w:rFonts w:hint="eastAsia" w:ascii="宋体" w:cs="宋体"/>
          <w:color w:val="auto"/>
          <w:sz w:val="24"/>
          <w:highlight w:val="none"/>
        </w:rPr>
        <w:t xml:space="preserve">月</w:t>
      </w:r>
      <w:r>
        <w:rPr>
          <w:rFonts w:hint="eastAsia" w:ascii="宋体" w:cs="宋体"/>
          <w:color w:val="auto"/>
          <w:sz w:val="24"/>
          <w:highlight w:val="none"/>
          <w:u w:val="single"/>
        </w:rPr>
        <w:t xml:space="preserve">       </w:t>
      </w:r>
      <w:r>
        <w:rPr>
          <w:rFonts w:hint="eastAsia" w:ascii="宋体" w:cs="宋体"/>
          <w:color w:val="auto"/>
          <w:sz w:val="24"/>
          <w:highlight w:val="none"/>
        </w:rPr>
        <w:t xml:space="preserve">日</w:t>
      </w:r>
      <w:r/>
    </w:p>
    <w:p>
      <w:pPr>
        <w:ind w:firstLine="960"/>
        <w:keepLines w:val="0"/>
        <w:keepNext w:val="0"/>
        <w:pageBreakBefore/>
        <w:spacing w:line="560" w:lineRule="exact"/>
        <w:widowControl w:val="off"/>
        <w:rPr>
          <w:rFonts w:ascii="宋体" w:hAnsi="宋体" w:cs="宋体"/>
          <w:color w:val="auto"/>
          <w:sz w:val="24"/>
          <w:szCs w:val="24"/>
          <w:highlight w:val="none"/>
        </w:rPr>
      </w:pP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年</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月</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无锡高新技术产业开发区环保科技工业园管理办公室</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宜兴环科园2026-2027年度科技创新集成服务采购项目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无锡高新技术产业开发区环保科技工业园管理办公室</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无锡高新技术产业开发区环保科技工业园管理办公室</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94" w:name="_Toc15367"/>
      <w:r/>
      <w:bookmarkStart w:id="95" w:name="_Toc19273"/>
      <w:r/>
      <w:bookmarkStart w:id="96" w:name="_Toc20421"/>
      <w:r/>
      <w:bookmarkStart w:id="97" w:name="_Toc22967"/>
      <w:r/>
      <w:bookmarkStart w:id="98" w:name="_Toc28855"/>
      <w:r>
        <w:rPr>
          <w:rFonts w:hint="eastAsia" w:ascii="宋体" w:hAnsi="宋体" w:cs="宋体"/>
          <w:b/>
          <w:color w:val="auto"/>
          <w:sz w:val="24"/>
          <w:szCs w:val="24"/>
          <w:highlight w:val="none"/>
        </w:rPr>
        <w:t xml:space="preserve">1.1 合同组成部分</w:t>
      </w:r>
      <w:bookmarkEnd w:id="94"/>
      <w:r/>
      <w:bookmarkEnd w:id="95"/>
      <w:r/>
      <w:bookmarkEnd w:id="96"/>
      <w:r/>
      <w:bookmarkEnd w:id="97"/>
      <w:r/>
      <w:bookmarkEnd w:id="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99" w:name="_Toc2918"/>
      <w:r/>
      <w:bookmarkStart w:id="100" w:name="_Toc6311"/>
      <w:r/>
      <w:bookmarkStart w:id="101" w:name="_Toc6773"/>
      <w:r/>
      <w:bookmarkStart w:id="102" w:name="_Toc22185"/>
      <w:r/>
      <w:bookmarkStart w:id="103" w:name="_Toc18585"/>
      <w:r>
        <w:rPr>
          <w:rFonts w:hint="eastAsia" w:ascii="宋体" w:hAnsi="宋体" w:cs="宋体"/>
          <w:b/>
          <w:color w:val="auto"/>
          <w:sz w:val="24"/>
          <w:szCs w:val="24"/>
          <w:highlight w:val="none"/>
        </w:rPr>
        <w:t xml:space="preserve">1.2 标的</w:t>
      </w:r>
      <w:bookmarkEnd w:id="99"/>
      <w:r/>
      <w:bookmarkEnd w:id="100"/>
      <w:r/>
      <w:bookmarkEnd w:id="101"/>
      <w:r/>
      <w:bookmarkEnd w:id="102"/>
      <w:r/>
      <w:bookmarkEnd w:id="103"/>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4" w:name="_Toc1386"/>
      <w:r/>
      <w:bookmarkStart w:id="105" w:name="_Toc21124"/>
      <w:r/>
      <w:bookmarkStart w:id="106" w:name="_Toc5635"/>
      <w:r/>
      <w:bookmarkStart w:id="107" w:name="_Toc13918"/>
      <w:r/>
      <w:bookmarkStart w:id="108" w:name="_Toc4929"/>
      <w:r>
        <w:rPr>
          <w:rFonts w:hint="eastAsia" w:ascii="宋体" w:hAnsi="宋体" w:cs="宋体"/>
          <w:b/>
          <w:color w:val="auto"/>
          <w:sz w:val="24"/>
          <w:szCs w:val="24"/>
          <w:highlight w:val="none"/>
        </w:rPr>
        <w:t xml:space="preserve">1.3 价款</w:t>
      </w:r>
      <w:bookmarkEnd w:id="104"/>
      <w:r/>
      <w:bookmarkEnd w:id="105"/>
      <w:r/>
      <w:bookmarkEnd w:id="106"/>
      <w:r/>
      <w:bookmarkEnd w:id="107"/>
      <w:r/>
      <w:bookmarkEnd w:id="10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default" w:ascii="Arial" w:hAnsi="Arial" w:cs="Arial"/>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893"/>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57"/>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57"/>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5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09" w:name="_Toc30506"/>
      <w:r/>
      <w:bookmarkStart w:id="110" w:name="_Toc3654"/>
      <w:r/>
      <w:bookmarkStart w:id="111" w:name="_Toc30158"/>
      <w:r/>
      <w:bookmarkStart w:id="112" w:name="_Toc14993"/>
      <w:r/>
      <w:bookmarkStart w:id="113" w:name="_Toc26916"/>
      <w:r>
        <w:rPr>
          <w:rFonts w:hint="eastAsia" w:ascii="宋体" w:hAnsi="宋体" w:cs="宋体"/>
          <w:b/>
          <w:color w:val="auto"/>
          <w:sz w:val="24"/>
          <w:szCs w:val="24"/>
          <w:highlight w:val="none"/>
        </w:rPr>
        <w:t xml:space="preserve">1.4 付款方式和发票开具方式</w:t>
      </w:r>
      <w:bookmarkEnd w:id="109"/>
      <w:r/>
      <w:bookmarkEnd w:id="110"/>
      <w:r/>
      <w:bookmarkEnd w:id="111"/>
      <w:r/>
      <w:bookmarkEnd w:id="112"/>
      <w:r/>
      <w:bookmarkEnd w:id="11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4" w:name="_Toc3625"/>
      <w:r/>
      <w:bookmarkStart w:id="115" w:name="_Toc11108"/>
      <w:r/>
      <w:bookmarkStart w:id="116" w:name="_Toc4760"/>
      <w:r/>
      <w:bookmarkStart w:id="117" w:name="_Toc31421"/>
      <w:r/>
      <w:bookmarkStart w:id="118" w:name="_Toc8772"/>
      <w:r>
        <w:rPr>
          <w:rFonts w:hint="eastAsia" w:ascii="宋体" w:hAnsi="宋体" w:cs="宋体"/>
          <w:b/>
          <w:color w:val="auto"/>
          <w:sz w:val="24"/>
          <w:szCs w:val="24"/>
          <w:highlight w:val="none"/>
        </w:rPr>
        <w:t xml:space="preserve">1.5 履行期限、地点和方式</w:t>
      </w:r>
      <w:bookmarkEnd w:id="114"/>
      <w:r/>
      <w:bookmarkEnd w:id="115"/>
      <w:r/>
      <w:bookmarkEnd w:id="116"/>
      <w:r/>
      <w:bookmarkEnd w:id="117"/>
      <w:r/>
      <w:bookmarkEnd w:id="118"/>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19" w:name="_Toc2375"/>
      <w:r/>
      <w:bookmarkStart w:id="120" w:name="_Toc3079"/>
      <w:r/>
      <w:bookmarkStart w:id="121" w:name="_Toc24662"/>
      <w:r/>
      <w:bookmarkStart w:id="122" w:name="_Toc5698"/>
      <w:r/>
      <w:bookmarkStart w:id="123" w:name="_Toc8586"/>
      <w:r>
        <w:rPr>
          <w:rFonts w:hint="eastAsia" w:ascii="宋体" w:hAnsi="宋体" w:cs="宋体"/>
          <w:b/>
          <w:color w:val="auto"/>
          <w:sz w:val="24"/>
          <w:szCs w:val="24"/>
          <w:highlight w:val="none"/>
        </w:rPr>
        <w:t xml:space="preserve">1.6 违约责任</w:t>
      </w:r>
      <w:bookmarkEnd w:id="119"/>
      <w:r/>
      <w:bookmarkEnd w:id="120"/>
      <w:r/>
      <w:bookmarkEnd w:id="121"/>
      <w:r/>
      <w:bookmarkEnd w:id="122"/>
      <w:r/>
      <w:bookmarkEnd w:id="12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24" w:name="_Toc32454"/>
      <w:r/>
      <w:bookmarkStart w:id="125" w:name="_Toc9497"/>
      <w:r/>
      <w:bookmarkStart w:id="126" w:name="_Toc18683"/>
      <w:r/>
      <w:bookmarkStart w:id="127" w:name="_Toc26807"/>
      <w:r/>
      <w:bookmarkStart w:id="128" w:name="_Toc30329"/>
      <w:r>
        <w:rPr>
          <w:rFonts w:hint="eastAsia" w:ascii="宋体" w:hAnsi="宋体" w:cs="宋体"/>
          <w:b/>
          <w:color w:val="auto"/>
          <w:sz w:val="24"/>
          <w:szCs w:val="24"/>
          <w:highlight w:val="none"/>
        </w:rPr>
        <w:t xml:space="preserve">1.7 合同争议的解决</w:t>
      </w:r>
      <w:bookmarkEnd w:id="124"/>
      <w:r/>
      <w:bookmarkEnd w:id="125"/>
      <w:r/>
      <w:bookmarkEnd w:id="126"/>
      <w:r/>
      <w:bookmarkEnd w:id="127"/>
      <w:r/>
      <w:bookmarkEnd w:id="128"/>
      <w:r/>
      <w:r/>
    </w:p>
    <w:p>
      <w:pPr>
        <w:ind w:firstLine="480"/>
        <w:spacing w:line="560" w:lineRule="exact"/>
        <w:rPr>
          <w:rFonts w:ascii="宋体" w:hAnsi="宋体" w:cs="宋体"/>
          <w:color w:val="auto"/>
          <w:sz w:val="24"/>
          <w:szCs w:val="24"/>
          <w:highlight w:val="none"/>
        </w:rPr>
      </w:pPr>
      <w:r/>
      <w:bookmarkStart w:id="129" w:name="_Toc15827"/>
      <w:r/>
      <w:bookmarkStart w:id="130" w:name="_Toc23784"/>
      <w:r/>
      <w:bookmarkStart w:id="131" w:name="_Toc12273"/>
      <w:r/>
      <w:bookmarkStart w:id="132" w:name="_Toc26227"/>
      <w:r/>
      <w:bookmarkStart w:id="133" w:name="_Toc1641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29"/>
      <w:r/>
      <w:bookmarkEnd w:id="130"/>
      <w:r/>
      <w:bookmarkEnd w:id="131"/>
      <w:r/>
      <w:bookmarkEnd w:id="132"/>
      <w:r/>
      <w:bookmarkEnd w:id="13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34"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62"/>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34"/>
      <w:r/>
      <w:bookmarkStart w:id="135" w:name="_Toc16752"/>
      <w:r/>
      <w:bookmarkStart w:id="136" w:name="_Toc279701241"/>
      <w:r/>
      <w:bookmarkStart w:id="137" w:name="_Toc23289"/>
      <w:r/>
      <w:bookmarkStart w:id="138" w:name="_Toc19539"/>
      <w:r/>
      <w:bookmarkStart w:id="139" w:name="_Toc487900350"/>
      <w:r/>
      <w:bookmarkStart w:id="140" w:name="_Toc3769"/>
      <w:r/>
      <w:bookmarkStart w:id="141" w:name="_Toc259093670"/>
      <w:r/>
      <w:bookmarkStart w:id="142" w:name="_Toc31402"/>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43" w:name="_Ref467378463"/>
      <w:r/>
      <w:bookmarkStart w:id="144" w:name="_Ref467379214"/>
      <w:r/>
      <w:bookmarkStart w:id="145" w:name="_Ref467379101"/>
      <w:r/>
      <w:bookmarkStart w:id="146" w:name="_Ref467378404"/>
      <w:r/>
      <w:bookmarkStart w:id="147" w:name="_Ref467378499"/>
      <w:r/>
      <w:bookmarkStart w:id="148" w:name="_Toc31297"/>
      <w:r/>
      <w:bookmarkStart w:id="149" w:name="_Toc487900349"/>
      <w:r/>
      <w:bookmarkStart w:id="150" w:name="_Toc25079"/>
      <w:r/>
      <w:bookmarkStart w:id="151" w:name="_Ref467379109"/>
      <w:r/>
      <w:bookmarkStart w:id="152" w:name="_Toc259093669"/>
      <w:r/>
      <w:bookmarkStart w:id="153" w:name="_Toc279701240"/>
      <w:r/>
      <w:bookmarkStart w:id="154" w:name="_Ref467379195"/>
      <w:r/>
      <w:bookmarkStart w:id="155" w:name="_Toc19680"/>
      <w:r/>
      <w:bookmarkStart w:id="156" w:name="_Ref467379094"/>
      <w:r/>
      <w:bookmarkStart w:id="157" w:name="_Toc14021"/>
      <w:r/>
      <w:bookmarkStart w:id="158" w:name="_Toc5228"/>
      <w:r/>
      <w:bookmarkStart w:id="159" w:name="_Ref467379225"/>
      <w:r/>
      <w:bookmarkStart w:id="160" w:name="_Ref467379205"/>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w:t>
      </w:r>
      <w:bookmarkEnd w:id="162"/>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bookmarkEnd w:id="135"/>
      <w:r/>
      <w:bookmarkEnd w:id="136"/>
      <w:r/>
      <w:bookmarkEnd w:id="137"/>
      <w:r/>
      <w:bookmarkEnd w:id="138"/>
      <w:r/>
      <w:bookmarkEnd w:id="139"/>
      <w:r/>
      <w:bookmarkEnd w:id="140"/>
      <w:r/>
      <w:bookmarkEnd w:id="141"/>
      <w:r/>
      <w:bookmarkEnd w:id="142"/>
      <w:r/>
      <w:r/>
    </w:p>
    <w:p>
      <w:pPr>
        <w:ind w:firstLine="482"/>
        <w:spacing w:line="560" w:lineRule="exact"/>
        <w:rPr>
          <w:rFonts w:ascii="宋体" w:hAnsi="宋体" w:cs="宋体"/>
          <w:b/>
          <w:color w:val="auto"/>
          <w:sz w:val="24"/>
          <w:szCs w:val="24"/>
          <w:highlight w:val="none"/>
        </w:rPr>
      </w:pPr>
      <w:r/>
      <w:bookmarkStart w:id="164" w:name="_Toc279701242"/>
      <w:r/>
      <w:bookmarkStart w:id="165" w:name="_Toc9161"/>
      <w:r/>
      <w:bookmarkStart w:id="166" w:name="_Toc487900351"/>
      <w:r/>
      <w:bookmarkStart w:id="167" w:name="_Toc27945"/>
      <w:r/>
      <w:bookmarkStart w:id="168" w:name="_Toc13673"/>
      <w:r/>
      <w:bookmarkStart w:id="169" w:name="_Toc4133"/>
      <w:r/>
      <w:bookmarkStart w:id="170" w:name="_Toc12412"/>
      <w:r/>
      <w:bookmarkStart w:id="171" w:name="_Toc259093671"/>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4"/>
      <w:r/>
      <w:bookmarkEnd w:id="165"/>
      <w:r/>
      <w:bookmarkEnd w:id="166"/>
      <w:r/>
      <w:bookmarkEnd w:id="167"/>
      <w:r/>
      <w:bookmarkEnd w:id="168"/>
      <w:r/>
      <w:bookmarkEnd w:id="169"/>
      <w:r/>
      <w:bookmarkEnd w:id="170"/>
      <w:r/>
      <w:bookmarkEnd w:id="171"/>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72" w:name="_Ref467379852"/>
      <w:r/>
      <w:bookmarkStart w:id="173" w:name="_Toc259093677"/>
      <w:r/>
      <w:bookmarkStart w:id="174" w:name="_Ref467379863"/>
      <w:r/>
      <w:bookmarkStart w:id="175" w:name="_Toc18990"/>
      <w:r/>
      <w:bookmarkStart w:id="176" w:name="_Toc30507"/>
      <w:r/>
      <w:bookmarkStart w:id="177" w:name="_Toc279701248"/>
      <w:r/>
      <w:bookmarkStart w:id="178" w:name="_Toc16163"/>
      <w:r/>
      <w:bookmarkStart w:id="179" w:name="_Toc13154"/>
      <w:r/>
      <w:bookmarkStart w:id="180" w:name="_Ref467379923"/>
      <w:r/>
      <w:bookmarkStart w:id="181" w:name="_Toc487900358"/>
      <w:r/>
      <w:bookmarkStart w:id="182" w:name="_Toc13467"/>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3" w:name="_Ref467379657"/>
      <w:r>
        <w:rPr>
          <w:rFonts w:hint="eastAsia" w:ascii="宋体" w:hAnsi="宋体" w:cs="宋体"/>
          <w:color w:val="auto"/>
          <w:sz w:val="24"/>
          <w:szCs w:val="24"/>
          <w:highlight w:val="none"/>
        </w:rPr>
        <w:t xml:space="preserve">2.4.1</w:t>
      </w:r>
      <w:bookmarkEnd w:id="183"/>
      <w:r/>
      <w:bookmarkStart w:id="184" w:name="_Toc186431854"/>
      <w:r/>
      <w:bookmarkStart w:id="185" w:name="_Toc259093676"/>
      <w:r/>
      <w:bookmarkStart w:id="186" w:name="_Ref467379807"/>
      <w:r/>
      <w:bookmarkStart w:id="187" w:name="_Ref467379793"/>
      <w:r/>
      <w:bookmarkStart w:id="188" w:name="_Toc279701247"/>
      <w:r/>
      <w:bookmarkStart w:id="189"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4"/>
      <w:r/>
      <w:bookmarkStart w:id="190" w:name="_Toc186431855"/>
      <w:r>
        <w:rPr>
          <w:rFonts w:hint="eastAsia" w:ascii="宋体" w:hAnsi="宋体" w:cs="宋体"/>
          <w:color w:val="auto"/>
          <w:sz w:val="24"/>
          <w:szCs w:val="24"/>
          <w:highlight w:val="none"/>
        </w:rPr>
        <w:t xml:space="preserve">。</w:t>
      </w:r>
      <w:bookmarkEnd w:id="172"/>
      <w:r/>
      <w:bookmarkEnd w:id="173"/>
      <w:r/>
      <w:bookmarkEnd w:id="174"/>
      <w:r/>
      <w:bookmarkEnd w:id="175"/>
      <w:r/>
      <w:bookmarkEnd w:id="176"/>
      <w:r/>
      <w:bookmarkEnd w:id="177"/>
      <w:r/>
      <w:bookmarkEnd w:id="178"/>
      <w:r/>
      <w:bookmarkEnd w:id="179"/>
      <w:r/>
      <w:bookmarkEnd w:id="180"/>
      <w:r/>
      <w:bookmarkEnd w:id="181"/>
      <w:r/>
      <w:bookmarkEnd w:id="182"/>
      <w:r/>
      <w:bookmarkEnd w:id="185"/>
      <w:r/>
      <w:bookmarkEnd w:id="186"/>
      <w:r/>
      <w:bookmarkEnd w:id="187"/>
      <w:r/>
      <w:bookmarkEnd w:id="188"/>
      <w:r/>
      <w:bookmarkEnd w:id="189"/>
      <w:r/>
      <w:bookmarkEnd w:id="190"/>
      <w:r/>
      <w:r/>
    </w:p>
    <w:p>
      <w:pPr>
        <w:ind w:firstLine="482"/>
        <w:spacing w:line="560" w:lineRule="exact"/>
        <w:rPr>
          <w:rFonts w:ascii="宋体" w:hAnsi="宋体" w:cs="宋体"/>
          <w:b/>
          <w:color w:val="auto"/>
          <w:sz w:val="24"/>
          <w:szCs w:val="24"/>
          <w:highlight w:val="none"/>
        </w:rPr>
      </w:pPr>
      <w:r/>
      <w:bookmarkStart w:id="191" w:name="_Toc19069"/>
      <w:r/>
      <w:bookmarkStart w:id="192" w:name="_Toc487900362"/>
      <w:r/>
      <w:bookmarkStart w:id="193" w:name="_Toc279701252"/>
      <w:r/>
      <w:bookmarkStart w:id="194" w:name="_Toc259093681"/>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95" w:name="_Toc22267"/>
      <w:r>
        <w:rPr>
          <w:rFonts w:hint="eastAsia" w:ascii="宋体" w:hAnsi="宋体" w:cs="宋体"/>
          <w:b/>
          <w:color w:val="auto"/>
          <w:sz w:val="24"/>
          <w:szCs w:val="24"/>
          <w:highlight w:val="none"/>
        </w:rPr>
        <w:t xml:space="preserve">2.7 延迟</w:t>
      </w:r>
      <w:bookmarkEnd w:id="192"/>
      <w:r/>
      <w:bookmarkEnd w:id="193"/>
      <w:r/>
      <w:bookmarkEnd w:id="194"/>
      <w:r>
        <w:rPr>
          <w:rFonts w:hint="eastAsia" w:ascii="宋体" w:hAnsi="宋体" w:cs="宋体"/>
          <w:b/>
          <w:color w:val="auto"/>
          <w:sz w:val="24"/>
          <w:szCs w:val="24"/>
          <w:highlight w:val="none"/>
        </w:rPr>
        <w:t xml:space="preserve">履行</w:t>
      </w:r>
      <w:bookmarkEnd w:id="19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6" w:name="_Toc10611"/>
      <w:r/>
      <w:bookmarkStart w:id="197" w:name="_Toc10663"/>
      <w:r/>
      <w:bookmarkStart w:id="198" w:name="_Toc279701259"/>
      <w:r/>
      <w:bookmarkStart w:id="199" w:name="_Toc23368"/>
      <w:r/>
      <w:bookmarkStart w:id="200" w:name="_Toc21830"/>
      <w:r/>
      <w:bookmarkStart w:id="201" w:name="_Toc42"/>
      <w:r/>
      <w:bookmarkStart w:id="202" w:name="_Toc259093688"/>
      <w:r/>
      <w:bookmarkStart w:id="203" w:name="_Toc487900369"/>
      <w:r/>
      <w:bookmarkStart w:id="204" w:name="_Toc26689"/>
      <w:r/>
      <w:bookmarkStart w:id="205" w:name="_Toc259093683"/>
      <w:r/>
      <w:bookmarkStart w:id="206" w:name="_Toc487900364"/>
      <w:r/>
      <w:bookmarkStart w:id="207" w:name="_Ref467378121"/>
      <w:r/>
      <w:bookmarkStart w:id="208" w:name="_Toc279701254"/>
      <w:r>
        <w:rPr>
          <w:rFonts w:hint="eastAsia" w:ascii="宋体" w:hAnsi="宋体" w:cs="宋体"/>
          <w:b/>
          <w:color w:val="auto"/>
          <w:sz w:val="24"/>
          <w:szCs w:val="24"/>
          <w:highlight w:val="none"/>
        </w:rPr>
        <w:t xml:space="preserve">2.8 合同变更</w:t>
      </w:r>
      <w:bookmarkEnd w:id="19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7"/>
      <w:r/>
      <w:bookmarkEnd w:id="198"/>
      <w:r/>
      <w:bookmarkEnd w:id="199"/>
      <w:r/>
      <w:bookmarkEnd w:id="200"/>
      <w:r/>
      <w:bookmarkEnd w:id="201"/>
      <w:r/>
      <w:bookmarkEnd w:id="202"/>
      <w:r/>
      <w:bookmarkEnd w:id="203"/>
      <w:r/>
      <w:bookmarkEnd w:id="204"/>
      <w:r/>
      <w:r/>
    </w:p>
    <w:p>
      <w:pPr>
        <w:ind w:firstLine="482"/>
        <w:spacing w:line="560" w:lineRule="exact"/>
        <w:rPr>
          <w:rFonts w:ascii="宋体" w:hAnsi="宋体" w:cs="宋体"/>
          <w:b/>
          <w:color w:val="auto"/>
          <w:sz w:val="24"/>
          <w:szCs w:val="24"/>
          <w:highlight w:val="none"/>
        </w:rPr>
      </w:pPr>
      <w:r/>
      <w:bookmarkStart w:id="209" w:name="_Toc25571"/>
      <w:r/>
      <w:bookmarkStart w:id="210" w:name="_Toc14371"/>
      <w:r/>
      <w:bookmarkStart w:id="211" w:name="_Toc26633"/>
      <w:r/>
      <w:bookmarkStart w:id="212" w:name="_Toc32494"/>
      <w:r/>
      <w:bookmarkStart w:id="213" w:name="_Toc4720"/>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bookmarkEnd w:id="209"/>
      <w:r/>
      <w:bookmarkEnd w:id="210"/>
      <w:r/>
      <w:bookmarkEnd w:id="211"/>
      <w:r/>
      <w:bookmarkEnd w:id="212"/>
      <w:r/>
      <w:bookmarkEnd w:id="213"/>
      <w:r/>
      <w:r/>
    </w:p>
    <w:p>
      <w:pPr>
        <w:ind w:firstLine="482"/>
        <w:spacing w:line="560" w:lineRule="exact"/>
        <w:rPr>
          <w:rFonts w:ascii="宋体" w:hAnsi="宋体" w:cs="宋体"/>
          <w:b/>
          <w:color w:val="auto"/>
          <w:sz w:val="24"/>
          <w:szCs w:val="24"/>
          <w:highlight w:val="none"/>
        </w:rPr>
      </w:pPr>
      <w:r/>
      <w:bookmarkStart w:id="214" w:name="_Toc487900365"/>
      <w:r/>
      <w:bookmarkStart w:id="215" w:name="_Toc3638"/>
      <w:r/>
      <w:bookmarkStart w:id="216" w:name="_Toc279701255"/>
      <w:r/>
      <w:bookmarkStart w:id="217" w:name="_Toc23854"/>
      <w:r/>
      <w:bookmarkStart w:id="218" w:name="_Toc14115"/>
      <w:r/>
      <w:bookmarkStart w:id="219" w:name="_Toc24465"/>
      <w:r/>
      <w:bookmarkStart w:id="220" w:name="_Toc25783"/>
      <w:r/>
      <w:bookmarkStart w:id="221" w:name="_Toc259093684"/>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4"/>
      <w:r/>
      <w:bookmarkEnd w:id="215"/>
      <w:r/>
      <w:bookmarkEnd w:id="216"/>
      <w:r/>
      <w:bookmarkEnd w:id="217"/>
      <w:r/>
      <w:bookmarkEnd w:id="218"/>
      <w:r/>
      <w:bookmarkEnd w:id="219"/>
      <w:r/>
      <w:bookmarkEnd w:id="220"/>
      <w:r/>
      <w:bookmarkEnd w:id="221"/>
      <w:r/>
      <w:r/>
    </w:p>
    <w:p>
      <w:pPr>
        <w:ind w:firstLine="482"/>
        <w:spacing w:line="560" w:lineRule="exact"/>
        <w:rPr>
          <w:rFonts w:ascii="宋体" w:hAnsi="宋体" w:cs="宋体"/>
          <w:b/>
          <w:color w:val="auto"/>
          <w:sz w:val="24"/>
          <w:szCs w:val="24"/>
          <w:highlight w:val="none"/>
        </w:rPr>
      </w:pPr>
      <w:r/>
      <w:bookmarkStart w:id="222" w:name="_Toc2016"/>
      <w:r/>
      <w:bookmarkStart w:id="223" w:name="_Toc23323"/>
      <w:r/>
      <w:bookmarkStart w:id="224" w:name="_Toc1123"/>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25" w:name="_Toc279701258"/>
      <w:r/>
      <w:bookmarkStart w:id="226" w:name="_Toc30105"/>
      <w:r/>
      <w:bookmarkStart w:id="227" w:name="_Toc7315"/>
      <w:r/>
      <w:bookmarkStart w:id="228" w:name="_Toc487900368"/>
      <w:r/>
      <w:bookmarkStart w:id="229" w:name="_Toc25525"/>
      <w:r/>
      <w:bookmarkStart w:id="230" w:name="_Toc259093687"/>
      <w:r/>
      <w:bookmarkStart w:id="231" w:name="_Toc14814"/>
      <w:r/>
      <w:bookmarkStart w:id="232" w:name="_Toc26883"/>
      <w:r>
        <w:rPr>
          <w:rFonts w:hint="eastAsia" w:ascii="宋体" w:hAnsi="宋体" w:cs="宋体"/>
          <w:b/>
          <w:color w:val="auto"/>
          <w:sz w:val="24"/>
          <w:szCs w:val="24"/>
          <w:highlight w:val="none"/>
        </w:rPr>
        <w:t xml:space="preserve">2.12 乙方破产</w:t>
      </w:r>
      <w:bookmarkEnd w:id="225"/>
      <w:r/>
      <w:bookmarkEnd w:id="226"/>
      <w:r/>
      <w:bookmarkEnd w:id="227"/>
      <w:r/>
      <w:bookmarkEnd w:id="228"/>
      <w:r/>
      <w:bookmarkEnd w:id="229"/>
      <w:r/>
      <w:bookmarkEnd w:id="230"/>
      <w:r/>
      <w:bookmarkEnd w:id="231"/>
      <w:r/>
      <w:bookmarkEnd w:id="23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2"/>
      <w:r/>
      <w:bookmarkEnd w:id="223"/>
      <w:r/>
      <w:bookmarkEnd w:id="224"/>
      <w:r/>
      <w:r/>
    </w:p>
    <w:p>
      <w:pPr>
        <w:ind w:firstLine="482"/>
        <w:spacing w:line="560" w:lineRule="exact"/>
        <w:rPr>
          <w:rFonts w:ascii="宋体" w:hAnsi="宋体" w:cs="宋体"/>
          <w:b/>
          <w:color w:val="auto"/>
          <w:sz w:val="24"/>
          <w:szCs w:val="24"/>
          <w:highlight w:val="none"/>
        </w:rPr>
      </w:pPr>
      <w:r/>
      <w:bookmarkStart w:id="233" w:name="_Toc14525"/>
      <w:r/>
      <w:bookmarkStart w:id="234" w:name="_Toc17363"/>
      <w:r/>
      <w:bookmarkStart w:id="235" w:name="_Toc1969"/>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5"/>
      <w:r/>
      <w:bookmarkEnd w:id="206"/>
      <w:r/>
      <w:bookmarkEnd w:id="207"/>
      <w:r/>
      <w:bookmarkEnd w:id="208"/>
      <w:r/>
      <w:bookmarkEnd w:id="233"/>
      <w:r/>
      <w:bookmarkEnd w:id="234"/>
      <w:r/>
      <w:bookmarkEnd w:id="235"/>
      <w:r/>
      <w:r/>
    </w:p>
    <w:p>
      <w:pPr>
        <w:ind w:firstLine="482"/>
        <w:spacing w:line="560" w:lineRule="exact"/>
        <w:rPr>
          <w:rFonts w:ascii="宋体" w:hAnsi="宋体" w:cs="宋体"/>
          <w:b/>
          <w:color w:val="auto"/>
          <w:sz w:val="24"/>
          <w:szCs w:val="24"/>
          <w:highlight w:val="none"/>
        </w:rPr>
      </w:pPr>
      <w:r/>
      <w:bookmarkStart w:id="236" w:name="_Toc259093690"/>
      <w:r/>
      <w:bookmarkStart w:id="237" w:name="_Toc279701261"/>
      <w:r/>
      <w:bookmarkStart w:id="238" w:name="_Toc31892"/>
      <w:r/>
      <w:bookmarkStart w:id="239" w:name="_Toc9808"/>
      <w:r/>
      <w:bookmarkStart w:id="240" w:name="_Toc487900371"/>
      <w:r/>
      <w:bookmarkStart w:id="241" w:name="_Toc25198"/>
      <w:r/>
      <w:bookmarkStart w:id="242" w:name="_Toc12666"/>
      <w:r/>
      <w:bookmarkStart w:id="243" w:name="_Toc2308"/>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6"/>
      <w:r/>
      <w:bookmarkEnd w:id="237"/>
      <w:r/>
      <w:bookmarkEnd w:id="238"/>
      <w:r/>
      <w:bookmarkEnd w:id="239"/>
      <w:r/>
      <w:bookmarkEnd w:id="240"/>
      <w:r/>
      <w:bookmarkEnd w:id="241"/>
      <w:r/>
      <w:bookmarkEnd w:id="242"/>
      <w:r/>
      <w:bookmarkEnd w:id="243"/>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44" w:name="_Toc7073"/>
      <w:r/>
      <w:bookmarkStart w:id="245" w:name="_Toc29220"/>
      <w:r/>
      <w:bookmarkStart w:id="246" w:name="_Toc487900372"/>
      <w:r/>
      <w:bookmarkStart w:id="247" w:name="_Toc259093691"/>
      <w:r/>
      <w:bookmarkStart w:id="248"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4"/>
      <w:r/>
      <w:bookmarkEnd w:id="245"/>
      <w:r/>
      <w:r/>
    </w:p>
    <w:p>
      <w:pPr>
        <w:ind w:firstLine="480"/>
        <w:spacing w:line="560" w:lineRule="exact"/>
        <w:rPr>
          <w:rFonts w:ascii="宋体" w:hAnsi="宋体" w:cs="宋体"/>
          <w:color w:val="auto"/>
          <w:sz w:val="24"/>
          <w:szCs w:val="24"/>
          <w:highlight w:val="none"/>
        </w:rPr>
      </w:pPr>
      <w:r/>
      <w:bookmarkStart w:id="249" w:name="_Toc18401"/>
      <w:r/>
      <w:bookmarkStart w:id="250"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r/>
      <w:bookmarkEnd w:id="250"/>
      <w:r/>
      <w:bookmarkEnd w:id="246"/>
      <w:r/>
      <w:bookmarkEnd w:id="247"/>
      <w:r/>
      <w:bookmarkEnd w:id="248"/>
      <w:r/>
      <w:r/>
    </w:p>
    <w:p>
      <w:pPr>
        <w:ind w:firstLine="482"/>
        <w:spacing w:line="560" w:lineRule="exact"/>
        <w:rPr>
          <w:rFonts w:ascii="宋体" w:hAnsi="宋体" w:cs="宋体"/>
          <w:b/>
          <w:color w:val="auto"/>
          <w:sz w:val="24"/>
          <w:szCs w:val="24"/>
          <w:highlight w:val="none"/>
        </w:rPr>
      </w:pPr>
      <w:r/>
      <w:bookmarkStart w:id="251" w:name="_Toc28906"/>
      <w:r/>
      <w:bookmarkStart w:id="252" w:name="_Toc279701263"/>
      <w:r/>
      <w:bookmarkStart w:id="253" w:name="_Toc20808"/>
      <w:r/>
      <w:bookmarkStart w:id="254" w:name="_Toc5063"/>
      <w:r/>
      <w:bookmarkStart w:id="255" w:name="_Toc12254"/>
      <w:r/>
      <w:bookmarkStart w:id="256" w:name="_Toc487900373"/>
      <w:r/>
      <w:bookmarkStart w:id="257" w:name="_Toc259093692"/>
      <w:r/>
      <w:bookmarkStart w:id="258" w:name="_Toc27644"/>
      <w:r>
        <w:rPr>
          <w:rFonts w:hint="eastAsia" w:ascii="宋体" w:hAnsi="宋体" w:cs="宋体"/>
          <w:b/>
          <w:color w:val="auto"/>
          <w:sz w:val="24"/>
          <w:szCs w:val="24"/>
          <w:highlight w:val="none"/>
        </w:rPr>
        <w:t xml:space="preserve">2.16 合同使用的文字和适用的法律</w:t>
      </w:r>
      <w:bookmarkEnd w:id="251"/>
      <w:r/>
      <w:bookmarkEnd w:id="252"/>
      <w:r/>
      <w:bookmarkEnd w:id="253"/>
      <w:r/>
      <w:bookmarkEnd w:id="254"/>
      <w:r/>
      <w:bookmarkEnd w:id="255"/>
      <w:r/>
      <w:bookmarkEnd w:id="256"/>
      <w:r/>
      <w:bookmarkEnd w:id="257"/>
      <w:r/>
      <w:bookmarkEnd w:id="25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85"/>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91"/>
      <w:r/>
      <w:bookmarkEnd w:id="92"/>
      <w:r/>
      <w:bookmarkEnd w:id="93"/>
      <w:r/>
      <w:r/>
    </w:p>
    <w:p>
      <w:pPr>
        <w:jc w:val="center"/>
        <w:keepLines w:val="0"/>
        <w:keepNext w:val="0"/>
        <w:pageBreakBefore/>
        <w:widowControl w:val="off"/>
        <w:rPr>
          <w:rFonts w:ascii="黑体" w:eastAsia="黑体"/>
          <w:color w:val="auto"/>
          <w:sz w:val="28"/>
          <w:highlight w:val="none"/>
        </w:rPr>
        <w:outlineLvl w:val="0"/>
      </w:pPr>
      <w:r/>
      <w:bookmarkStart w:id="259" w:name="_Toc20299"/>
      <w:r>
        <w:rPr>
          <w:rFonts w:hint="eastAsia" w:ascii="黑体" w:eastAsia="黑体"/>
          <w:color w:val="auto"/>
          <w:sz w:val="28"/>
          <w:highlight w:val="none"/>
        </w:rPr>
        <w:t xml:space="preserve">第六章 投标文件（格式）</w:t>
      </w:r>
      <w:bookmarkEnd w:id="87"/>
      <w:r/>
      <w:bookmarkEnd w:id="259"/>
      <w:r/>
      <w:r/>
    </w:p>
    <w:p>
      <w:pPr>
        <w:pStyle w:val="962"/>
        <w:ind w:firstLine="0"/>
        <w:jc w:val="center"/>
        <w:rPr>
          <w:rFonts w:ascii="黑体" w:eastAsia="黑体"/>
          <w:color w:val="auto"/>
          <w:sz w:val="28"/>
          <w:highlight w:val="none"/>
        </w:rPr>
      </w:pPr>
      <w:r>
        <w:rPr>
          <w:rFonts w:ascii="黑体" w:eastAsia="黑体"/>
          <w:color w:val="auto"/>
          <w:sz w:val="28"/>
          <w:highlight w:val="none"/>
        </w:rPr>
      </w:r>
      <w:r/>
    </w:p>
    <w:p>
      <w:pPr>
        <w:pStyle w:val="962"/>
        <w:ind w:firstLine="0"/>
        <w:jc w:val="center"/>
        <w:rPr>
          <w:rFonts w:ascii="黑体" w:eastAsia="黑体"/>
          <w:color w:val="auto"/>
          <w:sz w:val="28"/>
          <w:highlight w:val="none"/>
        </w:rPr>
      </w:pPr>
      <w:r>
        <w:rPr>
          <w:rFonts w:ascii="黑体" w:eastAsia="黑体"/>
          <w:color w:val="auto"/>
          <w:sz w:val="28"/>
          <w:highlight w:val="none"/>
        </w:rPr>
      </w:r>
      <w:r/>
    </w:p>
    <w:p>
      <w:pPr>
        <w:pStyle w:val="962"/>
        <w:ind w:firstLine="0"/>
        <w:jc w:val="center"/>
        <w:rPr>
          <w:rFonts w:ascii="黑体" w:eastAsia="黑体"/>
          <w:color w:val="auto"/>
          <w:sz w:val="28"/>
          <w:highlight w:val="none"/>
        </w:rPr>
      </w:pPr>
      <w:r>
        <w:rPr>
          <w:rFonts w:ascii="黑体" w:eastAsia="黑体"/>
          <w:color w:val="auto"/>
          <w:sz w:val="28"/>
          <w:highlight w:val="none"/>
        </w:rPr>
      </w:r>
      <w:r/>
    </w:p>
    <w:p>
      <w:pPr>
        <w:pStyle w:val="962"/>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60" w:name="_Toc10010"/>
      <w:r/>
      <w:bookmarkStart w:id="261" w:name="_Toc24371"/>
      <w:r/>
      <w:bookmarkStart w:id="262" w:name="_Toc24602"/>
      <w:r>
        <w:rPr>
          <w:rFonts w:hint="eastAsia" w:ascii="宋体" w:hAnsi="宋体"/>
          <w:b/>
          <w:color w:val="auto"/>
          <w:sz w:val="36"/>
          <w:szCs w:val="36"/>
          <w:highlight w:val="none"/>
        </w:rPr>
        <w:t xml:space="preserve">项目名称：</w:t>
      </w:r>
      <w:bookmarkEnd w:id="260"/>
      <w:r>
        <w:rPr>
          <w:rFonts w:hint="eastAsia" w:ascii="宋体" w:hAnsi="宋体" w:cs="宋体"/>
          <w:color w:val="auto"/>
          <w:sz w:val="24"/>
          <w:szCs w:val="24"/>
          <w:highlight w:val="none"/>
          <w:u w:val="single"/>
          <w:lang w:val="en-US" w:eastAsia="zh-CN"/>
        </w:rPr>
        <w:t xml:space="preserve">                           </w:t>
      </w:r>
      <w:r/>
    </w:p>
    <w:p>
      <w:pPr>
        <w:ind w:firstLine="2168"/>
        <w:rPr>
          <w:rFonts w:ascii="宋体" w:hAnsi="宋体"/>
          <w:b/>
          <w:color w:val="auto"/>
          <w:sz w:val="36"/>
          <w:szCs w:val="36"/>
          <w:highlight w:val="none"/>
        </w:rPr>
      </w:pPr>
      <w:r/>
      <w:bookmarkStart w:id="263" w:name="_Toc2400"/>
      <w:r>
        <w:rPr>
          <w:rFonts w:hint="eastAsia" w:ascii="宋体" w:hAnsi="宋体"/>
          <w:b/>
          <w:color w:val="auto"/>
          <w:sz w:val="36"/>
          <w:szCs w:val="36"/>
          <w:highlight w:val="none"/>
        </w:rPr>
        <w:t xml:space="preserve">项目编号：</w:t>
      </w:r>
      <w:bookmarkEnd w:id="263"/>
      <w:r>
        <w:rPr>
          <w:rFonts w:hint="eastAsia" w:ascii="宋体" w:hAnsi="宋体" w:cs="宋体"/>
          <w:color w:val="auto"/>
          <w:sz w:val="24"/>
          <w:szCs w:val="24"/>
          <w:highlight w:val="none"/>
          <w:u w:val="single"/>
          <w:lang w:val="en-US" w:eastAsia="zh-CN"/>
        </w:rPr>
        <w:t xml:space="preserve">                          </w:t>
      </w:r>
      <w:r/>
    </w:p>
    <w:p>
      <w:pPr>
        <w:ind w:firstLine="2168"/>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投标人：</w:t>
      </w:r>
      <w:bookmarkEnd w:id="261"/>
      <w:r/>
      <w:bookmarkStart w:id="264" w:name="_Hlk183790070"/>
      <w:r>
        <w:rPr>
          <w:rFonts w:hint="eastAsia" w:ascii="宋体" w:hAnsi="宋体" w:cs="宋体"/>
          <w:color w:val="auto"/>
          <w:sz w:val="24"/>
          <w:szCs w:val="24"/>
          <w:highlight w:val="none"/>
          <w:u w:val="single"/>
          <w:lang w:val="en-US" w:eastAsia="zh-CN"/>
        </w:rPr>
        <w:t xml:space="preserve">       </w:t>
      </w:r>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4"/>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rPr>
          <w:rFonts w:hint="eastAsia" w:ascii="宋体" w:hAnsi="宋体" w:cs="宋体"/>
          <w:color w:val="auto"/>
          <w:sz w:val="24"/>
          <w:szCs w:val="24"/>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65" w:name="_Toc32423"/>
      <w:r>
        <w:rPr>
          <w:rFonts w:hint="eastAsia" w:ascii="黑体" w:eastAsia="黑体"/>
          <w:bCs/>
          <w:color w:val="auto"/>
          <w:sz w:val="28"/>
          <w:szCs w:val="28"/>
          <w:highlight w:val="none"/>
        </w:rPr>
        <w:t xml:space="preserve">开标一览表</w:t>
      </w:r>
      <w:bookmarkEnd w:id="265"/>
      <w:r/>
      <w:r/>
    </w:p>
    <w:p>
      <w:pPr>
        <w:pStyle w:val="911"/>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9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1436"/>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11"/>
        <w:spacing w:before="0" w:beforeAutospacing="0" w:after="0" w:afterAutospacing="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911"/>
        <w:spacing w:before="0" w:beforeAutospacing="0" w:after="0" w:afterAutospacing="0"/>
        <w:rPr>
          <w:color w:val="auto"/>
          <w:highlight w:val="none"/>
        </w:rPr>
      </w:pPr>
      <w:r>
        <w:rPr>
          <w:rFonts w:hint="eastAsia"/>
          <w:color w:val="auto"/>
          <w:highlight w:val="none"/>
          <w:lang w:eastAsia="zh-CN"/>
        </w:rPr>
        <w:t xml:space="preserve">2.</w:t>
      </w:r>
      <w:r>
        <w:rPr>
          <w:color w:val="auto"/>
          <w:highlight w:val="none"/>
        </w:rPr>
        <w:t xml:space="preserve">报价以总价为准，大小写不一致以大写为准</w:t>
      </w:r>
      <w:r>
        <w:rPr>
          <w:rFonts w:hint="eastAsia"/>
          <w:color w:val="auto"/>
          <w:highlight w:val="none"/>
        </w:rPr>
        <w:t xml:space="preserve">。</w:t>
      </w:r>
      <w:r/>
    </w:p>
    <w:p>
      <w:pPr>
        <w:pStyle w:val="911"/>
        <w:spacing w:before="0" w:beforeAutospacing="0" w:after="0" w:afterAutospacing="0"/>
        <w:rPr>
          <w:color w:val="auto"/>
          <w:highlight w:val="none"/>
        </w:rPr>
      </w:pPr>
      <w:r>
        <w:rPr>
          <w:rFonts w:hint="eastAsia"/>
          <w:color w:val="auto"/>
          <w:highlight w:val="none"/>
          <w:lang w:eastAsia="zh-CN"/>
        </w:rPr>
        <w:t xml:space="preserve">3.</w:t>
      </w:r>
      <w:r>
        <w:rPr>
          <w:color w:val="auto"/>
          <w:highlight w:val="none"/>
        </w:rPr>
        <w:t xml:space="preserve">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11"/>
        <w:jc w:val="right"/>
        <w:rPr>
          <w:color w:val="auto"/>
          <w:highlight w:val="none"/>
        </w:rPr>
      </w:pPr>
      <w:r>
        <w:rPr>
          <w:color w:val="auto"/>
          <w:highlight w:val="none"/>
        </w:rPr>
      </w:r>
      <w:r/>
    </w:p>
    <w:p>
      <w:pPr>
        <w:pStyle w:val="911"/>
        <w:jc w:val="right"/>
        <w:rPr>
          <w:color w:val="auto"/>
          <w:highlight w:val="none"/>
        </w:rPr>
      </w:pPr>
      <w:r>
        <w:rPr>
          <w:color w:val="auto"/>
          <w:highlight w:val="none"/>
        </w:rPr>
      </w:r>
      <w:r/>
    </w:p>
    <w:p>
      <w:pPr>
        <w:pStyle w:val="911"/>
        <w:ind w:right="480"/>
        <w:jc w:val="right"/>
        <w:rPr>
          <w:rFonts w:hAnsi="宋体"/>
          <w:color w:val="auto"/>
          <w:highlight w:val="none"/>
        </w:rPr>
      </w:pPr>
      <w:r>
        <w:rPr>
          <w:rFonts w:hAnsi="宋体"/>
          <w:color w:val="auto"/>
          <w:highlight w:val="none"/>
        </w:rPr>
      </w:r>
      <w:r/>
    </w:p>
    <w:p>
      <w:pPr>
        <w:pStyle w:val="911"/>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无锡高新技术产业开发区环保科技工业园管理办公室</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参加本次项目（项目编号：</w:t>
      </w:r>
      <w:r>
        <w:rPr>
          <w:rFonts w:hint="eastAsia" w:ascii="宋体"/>
          <w:color w:val="auto"/>
          <w:sz w:val="24"/>
          <w:szCs w:val="24"/>
          <w:highlight w:val="none"/>
          <w:lang w:eastAsia="zh-CN"/>
        </w:rPr>
        <w:t xml:space="preserve">JSZC-320282-WXJR-G2026-0018</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JSZC-320282-WXJR-G2026-0018</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2"/>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pStyle w:val="985"/>
        <w:rPr>
          <w:color w:val="auto"/>
          <w:highlight w:val="none"/>
        </w:rPr>
      </w:pPr>
      <w:r>
        <w:rPr>
          <w:color w:val="auto"/>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lang w:eastAsia="zh-CN"/>
        </w:rPr>
        <w:t xml:space="preserve">2.</w:t>
      </w:r>
      <w:r>
        <w:rPr>
          <w:rFonts w:hint="eastAsia" w:ascii="黑体" w:eastAsia="黑体"/>
          <w:bCs/>
          <w:color w:val="auto"/>
          <w:sz w:val="24"/>
          <w:szCs w:val="24"/>
          <w:highlight w:val="none"/>
        </w:rPr>
        <w:t xml:space="preserve">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无锡高新技术产业开发区环保科技工业园管理办公室</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宜兴环科园2026-2027年度科技创新集成服务采购项目（项目编号：JSZC-320282-WXJR-G2026-0018）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                                   </w:t>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投标人</w:t>
      </w:r>
      <w:r>
        <w:rPr>
          <w:color w:val="auto"/>
          <w:sz w:val="24"/>
          <w:szCs w:val="24"/>
          <w:highlight w:val="none"/>
        </w:rPr>
        <w:t xml:space="preserve">（电子签章）：</w:t>
      </w:r>
      <w:r/>
    </w:p>
    <w:p>
      <w:pPr>
        <w:ind w:firstLine="504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日期：_______年_____月______日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lang w:eastAsia="zh-CN"/>
        </w:rPr>
        <w:t xml:space="preserve">3.</w:t>
      </w:r>
      <w:r>
        <w:rPr>
          <w:rFonts w:hint="eastAsia" w:ascii="黑体" w:hAnsi="宋体" w:eastAsia="黑体"/>
          <w:bCs/>
          <w:color w:val="auto"/>
          <w:sz w:val="24"/>
          <w:szCs w:val="24"/>
          <w:highlight w:val="none"/>
        </w:rPr>
        <w:t xml:space="preserve">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4.</w:t>
      </w:r>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6.</w:t>
      </w:r>
      <w:r>
        <w:rPr>
          <w:rFonts w:hint="eastAsia" w:ascii="黑体" w:hAnsi="宋体" w:eastAsia="黑体"/>
          <w:bCs/>
          <w:color w:val="auto"/>
          <w:sz w:val="24"/>
          <w:szCs w:val="24"/>
          <w:highlight w:val="none"/>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7.</w:t>
      </w:r>
      <w:r>
        <w:rPr>
          <w:rFonts w:hint="eastAsia" w:ascii="黑体" w:hAnsi="宋体" w:eastAsia="黑体"/>
          <w:bCs/>
          <w:color w:val="auto"/>
          <w:sz w:val="24"/>
          <w:szCs w:val="24"/>
          <w:highlight w:val="none"/>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8.</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9.</w:t>
      </w:r>
      <w:r>
        <w:rPr>
          <w:rFonts w:hint="eastAsia" w:ascii="宋体" w:hAnsi="宋体"/>
          <w:b/>
          <w:color w:val="auto"/>
          <w:sz w:val="24"/>
          <w:szCs w:val="24"/>
          <w:highlight w:val="none"/>
          <w:lang w:val="zh-CN"/>
        </w:rPr>
        <w:t xml:space="preserve">中小企业声明：</w:t>
      </w:r>
      <w:r>
        <w:rPr>
          <w:rFonts w:hint="eastAsia" w:ascii="宋体" w:hAnsi="宋体"/>
          <w:color w:val="auto"/>
          <w:sz w:val="24"/>
          <w:szCs w:val="21"/>
          <w:highlight w:val="none"/>
          <w:lang w:val="zh-CN"/>
        </w:rPr>
        <w:t xml:space="preserve">详见第二章投标人须知相关要求</w:t>
      </w:r>
      <w:r/>
    </w:p>
    <w:p>
      <w:pPr>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致无锡高新技术产业开发区环保科技工业园管理办公室、无锡君瑞祥泰招标有限公司：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JSZC-320282-WXJR-G2026-0018</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8"/>
        </w:numPr>
        <w:ind w:firstLine="480"/>
        <w:spacing w:line="360" w:lineRule="auto"/>
        <w:tabs>
          <w:tab w:val="clear" w:pos="0" w:leader="none"/>
        </w:tabs>
        <w:rPr>
          <w:rFonts w:ascii="宋体" w:hAnsi="宋体"/>
          <w:bCs/>
          <w:color w:val="auto"/>
          <w:sz w:val="24"/>
          <w:highlight w:val="none"/>
          <w:lang w:val="zh-CN"/>
        </w:rPr>
      </w:pPr>
      <w:r/>
      <w:bookmarkStart w:id="266" w:name="OLE_LINK233"/>
      <w:r/>
      <w:bookmarkStart w:id="267" w:name="OLE_LINK115"/>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68" w:name="_Hlk131935611"/>
      <w:r>
        <w:rPr>
          <w:rFonts w:hint="eastAsia" w:ascii="宋体" w:hAnsi="宋体"/>
          <w:bCs/>
          <w:color w:val="auto"/>
          <w:sz w:val="24"/>
          <w:highlight w:val="none"/>
          <w:lang w:val="zh-CN"/>
        </w:rPr>
        <w:t xml:space="preserve">《项目技术要求偏离表》</w:t>
      </w:r>
      <w:bookmarkEnd w:id="268"/>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bookmarkStart w:id="269" w:name="_Hlk160091472"/>
      <w:r/>
      <w:bookmarkStart w:id="270"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69"/>
      <w:r>
        <w:rPr>
          <w:rFonts w:hint="eastAsia" w:ascii="宋体" w:hAnsi="宋体"/>
          <w:bCs/>
          <w:color w:val="auto"/>
          <w:sz w:val="24"/>
          <w:highlight w:val="none"/>
          <w:lang w:val="zh-CN"/>
        </w:rPr>
        <w:t xml:space="preserve">。</w:t>
      </w:r>
      <w:bookmarkEnd w:id="270"/>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1"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1"/>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93"/>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8"/>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893"/>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72"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266"/>
            <w:r/>
            <w:bookmarkEnd w:id="267"/>
            <w:r/>
            <w:bookmarkEnd w:id="272"/>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69"/>
        <w:ind w:left="480" w:hanging="480"/>
        <w:keepLines w:val="0"/>
        <w:keepNext w:val="0"/>
        <w:pageBreakBefore/>
        <w:widowControl w:val="off"/>
        <w:rPr>
          <w:rFonts w:hint="eastAsia" w:ascii="黑体" w:hAnsi="黑体" w:eastAsia="黑体" w:cs="Times New Roman"/>
          <w:color w:val="auto"/>
          <w:sz w:val="28"/>
          <w:szCs w:val="21"/>
          <w:highlight w:val="none"/>
          <w:lang w:val="zh-CN" w:eastAsia="zh-CN" w:bidi="ar-SA"/>
        </w:rPr>
      </w:pPr>
      <w:r>
        <w:rPr>
          <w:rFonts w:hint="eastAsia" w:ascii="黑体" w:hAnsi="宋体" w:eastAsia="黑体" w:cs="Times New Roman"/>
          <w:bCs/>
          <w:color w:val="auto"/>
          <w:sz w:val="24"/>
          <w:szCs w:val="24"/>
          <w:highlight w:val="none"/>
          <w:lang w:val="en-US" w:eastAsia="zh-CN" w:bidi="ar-SA"/>
        </w:rPr>
        <w:t xml:space="preserve">2.报价符合性审查</w:t>
      </w:r>
      <w:r>
        <w:rPr>
          <w:rFonts w:hint="eastAsia" w:ascii="黑体" w:hAnsi="宋体" w:eastAsia="黑体" w:cs="Times New Roman"/>
          <w:bCs/>
          <w:color w:val="auto"/>
          <w:sz w:val="24"/>
          <w:szCs w:val="24"/>
          <w:highlight w:val="none"/>
          <w:lang w:val="en-US" w:eastAsia="zh-CN" w:bidi="ar-SA"/>
        </w:rPr>
        <w:br/>
      </w:r>
      <w:r>
        <w:rPr>
          <w:rFonts w:hint="eastAsia" w:ascii="黑体" w:hAnsi="黑体" w:eastAsia="黑体" w:cs="Times New Roman"/>
          <w:color w:val="auto"/>
          <w:sz w:val="28"/>
          <w:szCs w:val="21"/>
          <w:highlight w:val="none"/>
          <w:lang w:val="zh-CN" w:eastAsia="zh-CN" w:bidi="ar-SA"/>
        </w:rPr>
        <w:t xml:space="preserve">属于投标（响应）报价低于采购项目最高限价采购文件规定比例的，即投标（响应）报价＜采购项目最高限价 × 采购文件预设比例，投标人可随投标（响应）文件一并提交相关书面说明及必要的证明材料。</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left="420"/>
        <w:jc w:val="left"/>
        <w:pageBreakBefore/>
        <w:rPr>
          <w:rFonts w:ascii="宋体" w:hAnsi="宋体"/>
          <w:color w:val="auto"/>
          <w:sz w:val="28"/>
          <w:szCs w:val="28"/>
          <w:highlight w:val="none"/>
        </w:rPr>
      </w:pPr>
      <w:r>
        <w:rPr>
          <w:rFonts w:hint="eastAsia" w:ascii="黑体" w:eastAsia="黑体"/>
          <w:bCs/>
          <w:color w:val="auto"/>
          <w:sz w:val="28"/>
          <w:szCs w:val="28"/>
          <w:highlight w:val="none"/>
          <w:lang w:val="en-US" w:eastAsia="zh-CN"/>
        </w:rPr>
        <w:t xml:space="preserve">3.</w:t>
      </w:r>
      <w:r>
        <w:rPr>
          <w:rFonts w:hint="eastAsia" w:ascii="宋体" w:hAnsi="宋体"/>
          <w:bCs/>
          <w:color w:val="auto"/>
          <w:sz w:val="24"/>
          <w:szCs w:val="24"/>
          <w:highlight w:val="none"/>
        </w:rPr>
        <w:t xml:space="preserve">明细报价表（格式）：</w:t>
      </w:r>
      <w:r/>
    </w:p>
    <w:p>
      <w:pPr>
        <w:ind w:firstLine="3975"/>
        <w:jc w:val="both"/>
        <w:spacing w:before="156"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明细报价表 </w:t>
      </w:r>
      <w:r/>
    </w:p>
    <w:p>
      <w:pPr>
        <w:ind w:firstLine="480"/>
        <w:jc w:val="center"/>
        <w:spacing w:before="156" w:line="360" w:lineRule="auto"/>
        <w:rPr>
          <w:rFonts w:hint="eastAsia" w:ascii="宋体" w:hAnsi="宋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w:t>
      </w:r>
      <w:r>
        <w:rPr>
          <w:rFonts w:hint="eastAsia" w:ascii="宋体"/>
          <w:bCs/>
          <w:color w:val="auto"/>
          <w:sz w:val="24"/>
          <w:highlight w:val="none"/>
          <w:lang w:val="zh-CN"/>
        </w:rPr>
        <w:t xml:space="preserve">JSZC-320282-WXJR-G2026-0018</w:t>
      </w:r>
      <w:r/>
    </w:p>
    <w:p>
      <w:pPr>
        <w:jc w:val="center"/>
        <w:spacing w:before="156"/>
        <w:rPr>
          <w:rFonts w:ascii="黑体" w:hAnsi="黑体" w:eastAsia="黑体"/>
          <w:color w:val="auto"/>
          <w:sz w:val="28"/>
          <w:szCs w:val="28"/>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rPr>
          <w:rFonts w:hint="eastAsia" w:ascii="宋体" w:hAnsi="宋体"/>
          <w:color w:val="auto"/>
          <w:sz w:val="24"/>
          <w:szCs w:val="24"/>
          <w:highlight w:val="none"/>
        </w:rPr>
        <w:t xml:space="preserve">：                                               单位：元 </w:t>
      </w:r>
      <w:r/>
    </w:p>
    <w:tbl>
      <w:tblPr>
        <w:tblStyle w:val="893"/>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2644"/>
        <w:gridCol w:w="1110"/>
        <w:gridCol w:w="885"/>
        <w:gridCol w:w="1606"/>
        <w:gridCol w:w="1402"/>
        <w:gridCol w:w="1358"/>
      </w:tblGrid>
      <w:tr>
        <w:trPr>
          <w:jc w:val="center"/>
          <w:trHeight w:val="771"/>
        </w:trPr>
        <w:tc>
          <w:tcPr>
            <w:tcW w:w="357"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bookmarkStart w:id="273" w:name="_Toc14859"/>
            <w:r/>
            <w:bookmarkStart w:id="274" w:name="OLE_LINK27"/>
            <w:r>
              <w:rPr>
                <w:rFonts w:hint="eastAsia" w:ascii="楷体_GB2312" w:eastAsia="楷体_GB2312"/>
                <w:color w:val="auto"/>
                <w:szCs w:val="21"/>
                <w:highlight w:val="none"/>
              </w:rPr>
              <w:t xml:space="preserve">序号</w:t>
            </w:r>
            <w:r/>
          </w:p>
        </w:tc>
        <w:tc>
          <w:tcPr>
            <w:tcW w:w="1362"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项目名称</w:t>
            </w:r>
            <w:r/>
          </w:p>
        </w:tc>
        <w:tc>
          <w:tcPr>
            <w:tcW w:w="572"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数量</w:t>
            </w:r>
            <w:r/>
          </w:p>
        </w:tc>
        <w:tc>
          <w:tcPr>
            <w:tcW w:w="456"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单位</w:t>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单价</w:t>
            </w:r>
            <w:r/>
          </w:p>
        </w:tc>
        <w:tc>
          <w:tcPr>
            <w:tcW w:w="723" w:type="pct"/>
            <w:vAlign w:val="center"/>
            <w:textDirection w:val="lrTb"/>
            <w:noWrap w:val="false"/>
          </w:tcPr>
          <w:p>
            <w:pPr>
              <w:ind w:left="0" w:right="0"/>
              <w:jc w:val="center"/>
              <w:keepLines w:val="0"/>
              <w:keepNext w:val="0"/>
              <w:spacing w:before="0" w:beforeAutospacing="0" w:after="0" w:afterAutospacing="0"/>
              <w:rPr>
                <w:rFonts w:hint="eastAsia"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分项总报价</w:t>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备注</w:t>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1</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2</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3</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4</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5</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6</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eastAsia" w:ascii="楷体_GB2312" w:eastAsia="楷体_GB2312"/>
                <w:color w:val="auto"/>
                <w:szCs w:val="21"/>
                <w:highlight w:val="none"/>
                <w:lang w:val="en-US" w:eastAsia="zh-CN"/>
              </w:rPr>
              <w:suppressLineNumbers w:val="0"/>
            </w:pPr>
            <w:r>
              <w:rPr>
                <w:rFonts w:hint="eastAsia" w:ascii="楷体_GB2312" w:eastAsia="楷体_GB2312"/>
                <w:color w:val="auto"/>
                <w:szCs w:val="21"/>
                <w:highlight w:val="none"/>
                <w:lang w:val="en-US" w:eastAsia="zh-CN"/>
              </w:rPr>
              <w:t xml:space="preserve">7</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gridSpan w:val="2"/>
            <w:tcW w:w="1720" w:type="pct"/>
            <w:vAlign w:val="center"/>
            <w:vMerge w:val="restart"/>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lang w:eastAsia="zh-CN"/>
              </w:rPr>
              <w:suppressLineNumbers w:val="0"/>
            </w:pPr>
            <w:r>
              <w:rPr>
                <w:rFonts w:hint="eastAsia" w:ascii="楷体_GB2312" w:eastAsia="楷体_GB2312"/>
                <w:color w:val="auto"/>
                <w:szCs w:val="21"/>
                <w:highlight w:val="none"/>
              </w:rPr>
              <w:t xml:space="preserve">合计</w:t>
            </w:r>
            <w:r/>
          </w:p>
        </w:tc>
        <w:tc>
          <w:tcPr>
            <w:gridSpan w:val="5"/>
            <w:tcW w:w="3279" w:type="pct"/>
            <w:vAlign w:val="center"/>
            <w:textDirection w:val="lrTb"/>
            <w:noWrap w:val="false"/>
          </w:tcPr>
          <w:p>
            <w:pPr>
              <w:ind w:left="0" w:right="0"/>
              <w:jc w:val="left"/>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（小写）</w:t>
            </w:r>
            <w:r/>
          </w:p>
        </w:tc>
      </w:tr>
      <w:tr>
        <w:trPr>
          <w:jc w:val="center"/>
          <w:trHeight w:val="755"/>
        </w:trPr>
        <w:tc>
          <w:tcPr>
            <w:gridSpan w:val="2"/>
            <w:tcW w:w="1720" w:type="pct"/>
            <w:vAlign w:val="center"/>
            <w:vMerge w:val="continue"/>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gridSpan w:val="5"/>
            <w:tcW w:w="3279" w:type="pct"/>
            <w:vAlign w:val="center"/>
            <w:textDirection w:val="lrTb"/>
            <w:noWrap w:val="false"/>
          </w:tcPr>
          <w:p>
            <w:pPr>
              <w:ind w:left="0" w:right="0"/>
              <w:jc w:val="left"/>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（大写）</w:t>
            </w:r>
            <w:r/>
          </w:p>
        </w:tc>
      </w:tr>
    </w:tbl>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lang w:val="zh-CN"/>
        </w:rPr>
        <w:t xml:space="preserve">投标人签名：</w:t>
      </w:r>
      <w:r>
        <w:rPr>
          <w:rFonts w:hint="eastAsia" w:ascii="宋体" w:hAnsi="宋体"/>
          <w:bCs/>
          <w:color w:val="auto"/>
          <w:sz w:val="24"/>
          <w:highlight w:val="none"/>
        </w:rPr>
        <w:t xml:space="preserve">                                             </w:t>
      </w:r>
      <w:r>
        <w:rPr>
          <w:rFonts w:hint="eastAsia" w:ascii="宋体" w:hAnsi="宋体"/>
          <w:color w:val="auto"/>
          <w:sz w:val="24"/>
          <w:szCs w:val="24"/>
          <w:highlight w:val="none"/>
        </w:rPr>
        <w:t xml:space="preserve">日期：</w:t>
      </w:r>
      <w:r/>
    </w:p>
    <w:p>
      <w:pPr>
        <w:spacing w:line="360" w:lineRule="auto"/>
        <w:rPr>
          <w:rFonts w:ascii="宋体" w:hAnsi="宋体"/>
          <w:b/>
          <w:color w:val="auto"/>
          <w:szCs w:val="21"/>
          <w:highlight w:val="none"/>
        </w:rPr>
      </w:pPr>
      <w:r>
        <w:rPr>
          <w:rFonts w:ascii="宋体" w:hAnsi="宋体"/>
          <w:b/>
          <w:color w:val="auto"/>
          <w:szCs w:val="21"/>
          <w:highlight w:val="none"/>
        </w:rPr>
      </w:r>
      <w:bookmarkEnd w:id="273"/>
      <w:r/>
      <w:r/>
    </w:p>
    <w:p>
      <w:pPr>
        <w:ind w:firstLine="480"/>
        <w:spacing w:line="360" w:lineRule="auto"/>
        <w:rPr>
          <w:rFonts w:ascii="宋体" w:hAnsi="宋体"/>
          <w:color w:val="auto"/>
          <w:sz w:val="24"/>
          <w:szCs w:val="24"/>
          <w:highlight w:val="none"/>
          <w:lang w:val="zh-CN"/>
        </w:rPr>
      </w:pPr>
      <w:r/>
      <w:bookmarkStart w:id="275" w:name="OLE_LINK149"/>
      <w:r>
        <w:rPr>
          <w:rFonts w:hint="eastAsia" w:ascii="宋体" w:hAnsi="宋体"/>
          <w:color w:val="auto"/>
          <w:sz w:val="24"/>
          <w:szCs w:val="24"/>
          <w:highlight w:val="none"/>
          <w:lang w:val="zh-CN"/>
        </w:rPr>
        <w:t xml:space="preserve">注：</w:t>
      </w:r>
      <w:bookmarkEnd w:id="274"/>
      <w:r/>
      <w:bookmarkEnd w:id="275"/>
      <w:r/>
      <w:r/>
    </w:p>
    <w:p>
      <w:pPr>
        <w:numPr>
          <w:ilvl w:val="0"/>
          <w:numId w:val="9"/>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“项目名称”由投标人自行组织编写</w:t>
      </w:r>
      <w:r/>
    </w:p>
    <w:p>
      <w:pPr>
        <w:numPr>
          <w:ilvl w:val="0"/>
          <w:numId w:val="9"/>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“明细报价表”合计需与“报价一览表”合计一致。</w:t>
      </w:r>
      <w:r/>
    </w:p>
    <w:p>
      <w:pPr>
        <w:numPr>
          <w:ilvl w:val="0"/>
          <w:numId w:val="9"/>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表格不够可自行延长。</w:t>
      </w:r>
      <w:r/>
    </w:p>
    <w:p>
      <w:pPr>
        <w:jc w:val="both"/>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5370" w:hanging="4740"/>
        <w:jc w:val="left"/>
        <w:keepLines w:val="0"/>
        <w:keepNext w:val="0"/>
        <w:pageBreakBefore/>
        <w:spacing w:line="360" w:lineRule="auto"/>
        <w:widowControl w:val="off"/>
        <w:rPr>
          <w:rFonts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auto"/>
          <w:sz w:val="24"/>
          <w:szCs w:val="24"/>
          <w:highlight w:val="none"/>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89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893"/>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6" w:name="_Hlk164083408"/>
      <w:r>
        <w:rPr>
          <w:rFonts w:hint="eastAsia" w:ascii="宋体" w:hAnsi="宋体"/>
          <w:b/>
          <w:bCs/>
          <w:color w:val="auto"/>
          <w:highlight w:val="none"/>
        </w:rPr>
        <w:t xml:space="preserve">应按招标文件要求配备项目人员及提供相关证明材料，以满足项目的</w:t>
      </w:r>
      <w:bookmarkEnd w:id="276"/>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宋体" w:hAnsi="宋体"/>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before="156" w:after="156" w:line="360" w:lineRule="auto"/>
        <w:rPr>
          <w:rFonts w:hint="eastAsia" w:ascii="宋体" w:hAnsi="宋体"/>
          <w:color w:val="auto"/>
          <w:sz w:val="24"/>
          <w:szCs w:val="24"/>
          <w:highlight w:val="none"/>
        </w:rPr>
      </w:pPr>
      <w:r>
        <w:rPr>
          <w:rFonts w:hint="eastAsia" w:ascii="黑体" w:hAnsi="宋体" w:eastAsia="黑体"/>
          <w:bCs/>
          <w:color w:val="auto"/>
          <w:sz w:val="28"/>
          <w:szCs w:val="28"/>
          <w:highlight w:val="none"/>
        </w:rPr>
        <w:t xml:space="preserve">价格折扣文件</w:t>
      </w:r>
      <w:r/>
    </w:p>
    <w:p>
      <w:pPr>
        <w:jc w:val="left"/>
        <w:spacing w:before="156" w:after="156"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spacing w:before="156" w:after="156" w:line="360" w:lineRule="auto"/>
        <w:rPr>
          <w:rFonts w:hint="eastAsia" w:ascii="黑体" w:hAnsi="宋体" w:eastAsia="黑体"/>
          <w:bCs/>
          <w:color w:val="auto"/>
          <w:sz w:val="28"/>
          <w:szCs w:val="28"/>
          <w:highlight w:val="none"/>
          <w:lang w:val="zh-CN"/>
        </w:rPr>
      </w:pPr>
      <w:r>
        <w:rPr>
          <w:rFonts w:hint="eastAsia" w:ascii="宋体" w:hAnsi="宋体"/>
          <w:color w:val="auto"/>
          <w:sz w:val="24"/>
          <w:szCs w:val="24"/>
          <w:highlight w:val="none"/>
        </w:rPr>
        <w:t xml:space="preserve">项目编号：</w:t>
      </w:r>
      <w:r/>
    </w:p>
    <w:tbl>
      <w:tblPr>
        <w:tblStyle w:val="8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（产品）类型声明</w:t>
            </w:r>
            <w:r/>
          </w:p>
        </w:tc>
      </w:tr>
      <w:tr>
        <w:trPr>
          <w:jc w:val="center"/>
          <w:trHeight w:val="135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小微企业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45"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82"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3478" w:type="dxa"/>
            <w:vAlign w:val="center"/>
            <w:vMerge w:val="continue"/>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277" w:name="OLE_LINK264"/>
      <w:r>
        <w:rPr>
          <w:rFonts w:hint="eastAsia" w:ascii="宋体" w:hAnsi="宋体" w:cs="宋体"/>
          <w:color w:val="auto"/>
          <w:szCs w:val="21"/>
          <w:highlight w:val="none"/>
          <w:lang w:val="zh-CN"/>
        </w:rPr>
        <w:t xml:space="preserve">注：如本项目给予报价扣除优惠，投标人根据招标文件要求提供相关证明材料（如有），以提供的有效证明材料为准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277"/>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11"/>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中小微企业声明函（服务类项目）</w:t>
      </w:r>
      <w:r/>
    </w:p>
    <w:p>
      <w:pPr>
        <w:pStyle w:val="911"/>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1"/>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911"/>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1"/>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1"/>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11"/>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11"/>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1"/>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1"/>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如不提供此声明函，则不能通过资格审查；非专门面向中小微型企业采购的项目，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1"/>
        <w:ind w:left="0" w:firstLine="480"/>
        <w:jc w:val="both"/>
        <w:keepLines w:val="0"/>
        <w:keepNext w:val="0"/>
        <w:spacing w:before="0" w:beforeAutospacing="0" w:after="0" w:afterAutospacing="0" w:line="360" w:lineRule="auto"/>
        <w:widowControl w:val="off"/>
        <w:rPr>
          <w:rFonts w:ascii="黑体" w:hAnsi="宋体" w:eastAsia="黑体"/>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应对照《工业和信息化部、国家统计局、国家发展和改革委员会、财政部关于印发中小企业划型标准规定的通知》</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《国家统计局关于印发〈统计上大中小微型企业划分办法（2017）〉的通知》（国统字〔2017〕213号）的规定，自行勾选承接企业的企业规模类型。</w:t>
      </w:r>
      <w:r/>
    </w:p>
    <w:p>
      <w:pPr>
        <w:ind w:firstLine="480"/>
        <w:jc w:val="left"/>
        <w:keepLines w:val="0"/>
        <w:keepNext w:val="0"/>
        <w:pageBreakBefore/>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11"/>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残疾人福利性单位声明函（服务类项目）</w:t>
      </w:r>
      <w:r/>
    </w:p>
    <w:p>
      <w:pPr>
        <w:pStyle w:val="911"/>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hAnsi="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为残疾人福利性单位并提供服务的必须提供此声明函，否则将不能通过资格审查。</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1"/>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为残疾人福利性单位的，此声明函将随中标/成交结果同时公告，接受社会监督</w:t>
      </w:r>
      <w:r/>
    </w:p>
    <w:p>
      <w:pPr>
        <w:pStyle w:val="911"/>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278"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11"/>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11"/>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1"/>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1"/>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11"/>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11"/>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11"/>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11"/>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eastAsia="宋体" w:cs="宋体"/>
          <w:color w:val="auto"/>
          <w:sz w:val="24"/>
          <w:szCs w:val="24"/>
          <w:highlight w:val="none"/>
          <w:shd w:val="clear" w:color="auto" w:fill="ffffff"/>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1"/>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rPr>
          <w:rFonts w:hint="eastAsia"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年   月   日</w:t>
      </w:r>
      <w:r/>
    </w:p>
    <w:p>
      <w:pPr>
        <w:pStyle w:val="911"/>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1"/>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1"/>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11"/>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11"/>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11"/>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11"/>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11"/>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rPr>
          <w:rFonts w:hint="eastAsia" w:ascii="黑体" w:hAnsi="宋体" w:eastAsia="黑体"/>
          <w:bCs/>
          <w:color w:val="auto"/>
          <w:sz w:val="28"/>
          <w:szCs w:val="28"/>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278"/>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pStyle w:val="897"/>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framePr w:wrap="around" w:vAnchor="text" w:hAnchor="margin" w:xAlign="center" w:yAlign="top"/>
    </w:pPr>
    <w:r>
      <w:fldChar w:fldCharType="begin"/>
    </w:r>
    <w:r>
      <w:rPr>
        <w:rStyle w:val="918"/>
      </w:rPr>
      <w:instrText xml:space="preserve"> PAGE  </w:instrText>
    </w:r>
    <w:r>
      <w:fldChar w:fldCharType="separate"/>
    </w:r>
    <w:r>
      <w:rPr>
        <w:rStyle w:val="918"/>
      </w:rPr>
      <w:t xml:space="preserve">- 2 -</w:t>
    </w:r>
    <w:r>
      <w:fldChar w:fldCharType="end"/>
    </w:r>
    <w:r/>
  </w:p>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92"/>
    <w:link w:val="883"/>
    <w:uiPriority w:val="9"/>
    <w:rPr>
      <w:rFonts w:ascii="Arial" w:hAnsi="Arial" w:eastAsia="Arial" w:cs="Arial"/>
      <w:sz w:val="40"/>
      <w:szCs w:val="40"/>
    </w:rPr>
  </w:style>
  <w:style w:type="character" w:styleId="725">
    <w:name w:val="Heading 2 Char"/>
    <w:basedOn w:val="892"/>
    <w:link w:val="884"/>
    <w:uiPriority w:val="9"/>
    <w:rPr>
      <w:rFonts w:ascii="Arial" w:hAnsi="Arial" w:eastAsia="Arial" w:cs="Arial"/>
      <w:sz w:val="34"/>
    </w:rPr>
  </w:style>
  <w:style w:type="character" w:styleId="726">
    <w:name w:val="Heading 3 Char"/>
    <w:basedOn w:val="892"/>
    <w:link w:val="885"/>
    <w:uiPriority w:val="9"/>
    <w:rPr>
      <w:rFonts w:ascii="Arial" w:hAnsi="Arial" w:eastAsia="Arial" w:cs="Arial"/>
      <w:sz w:val="30"/>
      <w:szCs w:val="30"/>
    </w:rPr>
  </w:style>
  <w:style w:type="character" w:styleId="727">
    <w:name w:val="Heading 4 Char"/>
    <w:basedOn w:val="892"/>
    <w:link w:val="886"/>
    <w:uiPriority w:val="9"/>
    <w:rPr>
      <w:rFonts w:ascii="Arial" w:hAnsi="Arial" w:eastAsia="Arial" w:cs="Arial"/>
      <w:b/>
      <w:bCs/>
      <w:sz w:val="26"/>
      <w:szCs w:val="26"/>
    </w:rPr>
  </w:style>
  <w:style w:type="character" w:styleId="728">
    <w:name w:val="Heading 5 Char"/>
    <w:basedOn w:val="892"/>
    <w:link w:val="887"/>
    <w:uiPriority w:val="9"/>
    <w:rPr>
      <w:rFonts w:ascii="Arial" w:hAnsi="Arial" w:eastAsia="Arial" w:cs="Arial"/>
      <w:b/>
      <w:bCs/>
      <w:sz w:val="24"/>
      <w:szCs w:val="24"/>
    </w:rPr>
  </w:style>
  <w:style w:type="character" w:styleId="729">
    <w:name w:val="Heading 6 Char"/>
    <w:basedOn w:val="892"/>
    <w:link w:val="888"/>
    <w:uiPriority w:val="9"/>
    <w:rPr>
      <w:rFonts w:ascii="Arial" w:hAnsi="Arial" w:eastAsia="Arial" w:cs="Arial"/>
      <w:b/>
      <w:bCs/>
      <w:sz w:val="22"/>
      <w:szCs w:val="22"/>
    </w:rPr>
  </w:style>
  <w:style w:type="character" w:styleId="730">
    <w:name w:val="Heading 7 Char"/>
    <w:basedOn w:val="892"/>
    <w:link w:val="889"/>
    <w:uiPriority w:val="9"/>
    <w:rPr>
      <w:rFonts w:ascii="Arial" w:hAnsi="Arial" w:eastAsia="Arial" w:cs="Arial"/>
      <w:b/>
      <w:bCs/>
      <w:i/>
      <w:iCs/>
      <w:sz w:val="22"/>
      <w:szCs w:val="22"/>
    </w:rPr>
  </w:style>
  <w:style w:type="character" w:styleId="731">
    <w:name w:val="Heading 8 Char"/>
    <w:basedOn w:val="892"/>
    <w:link w:val="890"/>
    <w:uiPriority w:val="9"/>
    <w:rPr>
      <w:rFonts w:ascii="Arial" w:hAnsi="Arial" w:eastAsia="Arial" w:cs="Arial"/>
      <w:i/>
      <w:iCs/>
      <w:sz w:val="22"/>
      <w:szCs w:val="22"/>
    </w:rPr>
  </w:style>
  <w:style w:type="character" w:styleId="732">
    <w:name w:val="Heading 9 Char"/>
    <w:basedOn w:val="892"/>
    <w:link w:val="891"/>
    <w:uiPriority w:val="9"/>
    <w:rPr>
      <w:rFonts w:ascii="Arial" w:hAnsi="Arial" w:eastAsia="Arial" w:cs="Arial"/>
      <w:i/>
      <w:iCs/>
      <w:sz w:val="21"/>
      <w:szCs w:val="21"/>
    </w:rPr>
  </w:style>
  <w:style w:type="character" w:styleId="733">
    <w:name w:val="Title Char"/>
    <w:basedOn w:val="892"/>
    <w:link w:val="912"/>
    <w:uiPriority w:val="10"/>
    <w:rPr>
      <w:sz w:val="48"/>
      <w:szCs w:val="48"/>
    </w:rPr>
  </w:style>
  <w:style w:type="character" w:styleId="734">
    <w:name w:val="Subtitle Char"/>
    <w:basedOn w:val="892"/>
    <w:link w:val="906"/>
    <w:uiPriority w:val="11"/>
    <w:rPr>
      <w:sz w:val="24"/>
      <w:szCs w:val="24"/>
    </w:rPr>
  </w:style>
  <w:style w:type="paragraph" w:styleId="735">
    <w:name w:val="Quote"/>
    <w:basedOn w:val="882"/>
    <w:next w:val="882"/>
    <w:link w:val="736"/>
    <w:uiPriority w:val="29"/>
    <w:qFormat/>
    <w:pPr>
      <w:ind w:left="720" w:right="720"/>
    </w:pPr>
    <w:rPr>
      <w:i/>
    </w:rPr>
  </w:style>
  <w:style w:type="character" w:styleId="736">
    <w:name w:val="Quote Char"/>
    <w:link w:val="735"/>
    <w:uiPriority w:val="29"/>
    <w:rPr>
      <w:i/>
    </w:rPr>
  </w:style>
  <w:style w:type="paragraph" w:styleId="737">
    <w:name w:val="Intense Quote"/>
    <w:basedOn w:val="882"/>
    <w:next w:val="882"/>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92"/>
    <w:link w:val="904"/>
    <w:uiPriority w:val="99"/>
  </w:style>
  <w:style w:type="character" w:styleId="740">
    <w:name w:val="Footer Char"/>
    <w:basedOn w:val="892"/>
    <w:link w:val="902"/>
    <w:uiPriority w:val="99"/>
  </w:style>
  <w:style w:type="paragraph" w:styleId="741">
    <w:name w:val="Caption"/>
    <w:basedOn w:val="882"/>
    <w:next w:val="882"/>
    <w:uiPriority w:val="35"/>
    <w:semiHidden/>
    <w:unhideWhenUsed/>
    <w:qFormat/>
    <w:pPr>
      <w:spacing w:line="276" w:lineRule="auto"/>
    </w:pPr>
    <w:rPr>
      <w:b/>
      <w:bCs/>
      <w:color w:val="4f81bd" w:themeColor="accent1"/>
      <w:sz w:val="18"/>
      <w:szCs w:val="18"/>
    </w:rPr>
  </w:style>
  <w:style w:type="character" w:styleId="742">
    <w:name w:val="Caption Char"/>
    <w:basedOn w:val="741"/>
    <w:link w:val="902"/>
    <w:uiPriority w:val="99"/>
  </w:style>
  <w:style w:type="table" w:styleId="743">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7">
    <w:name w:val="footnote text"/>
    <w:basedOn w:val="882"/>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92"/>
    <w:uiPriority w:val="99"/>
    <w:unhideWhenUsed/>
    <w:rPr>
      <w:vertAlign w:val="superscript"/>
    </w:rPr>
  </w:style>
  <w:style w:type="paragraph" w:styleId="870">
    <w:name w:val="endnote text"/>
    <w:basedOn w:val="882"/>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92"/>
    <w:uiPriority w:val="99"/>
    <w:semiHidden/>
    <w:unhideWhenUsed/>
    <w:rPr>
      <w:vertAlign w:val="superscript"/>
    </w:r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uiPriority w:val="0"/>
    <w:qFormat/>
    <w:pPr>
      <w:jc w:val="both"/>
      <w:widowControl w:val="off"/>
    </w:pPr>
    <w:rPr>
      <w:rFonts w:ascii="Calibri" w:hAnsi="Calibri" w:eastAsia="宋体" w:cs="Times New Roman"/>
      <w:sz w:val="21"/>
      <w:lang w:val="en-US" w:eastAsia="zh-CN" w:bidi="ar-SA"/>
    </w:rPr>
  </w:style>
  <w:style w:type="paragraph" w:styleId="883">
    <w:name w:val="Heading 1"/>
    <w:basedOn w:val="882"/>
    <w:next w:val="882"/>
    <w:link w:val="925"/>
    <w:uiPriority w:val="0"/>
    <w:qFormat/>
    <w:pPr>
      <w:keepLines/>
      <w:keepNext/>
      <w:spacing w:before="340" w:after="330" w:line="576" w:lineRule="auto"/>
      <w:outlineLvl w:val="0"/>
    </w:pPr>
    <w:rPr>
      <w:b/>
      <w:sz w:val="44"/>
    </w:rPr>
  </w:style>
  <w:style w:type="paragraph" w:styleId="884">
    <w:name w:val="Heading 2"/>
    <w:basedOn w:val="882"/>
    <w:next w:val="882"/>
    <w:link w:val="926"/>
    <w:uiPriority w:val="0"/>
    <w:qFormat/>
    <w:pPr>
      <w:keepLines/>
      <w:keepNext/>
      <w:spacing w:before="260" w:after="260" w:line="412" w:lineRule="auto"/>
      <w:outlineLvl w:val="1"/>
    </w:pPr>
    <w:rPr>
      <w:rFonts w:ascii="Arial" w:hAnsi="Arial" w:eastAsia="黑体"/>
      <w:b/>
      <w:sz w:val="32"/>
    </w:rPr>
  </w:style>
  <w:style w:type="paragraph" w:styleId="885">
    <w:name w:val="Heading 3"/>
    <w:basedOn w:val="882"/>
    <w:next w:val="882"/>
    <w:link w:val="927"/>
    <w:uiPriority w:val="0"/>
    <w:qFormat/>
    <w:pPr>
      <w:keepLines/>
      <w:keepNext/>
      <w:spacing w:before="260" w:after="260" w:line="412" w:lineRule="auto"/>
      <w:outlineLvl w:val="2"/>
    </w:pPr>
    <w:rPr>
      <w:b/>
      <w:sz w:val="32"/>
    </w:rPr>
  </w:style>
  <w:style w:type="paragraph" w:styleId="886">
    <w:name w:val="Heading 4"/>
    <w:basedOn w:val="882"/>
    <w:next w:val="882"/>
    <w:link w:val="928"/>
    <w:uiPriority w:val="0"/>
    <w:qFormat/>
    <w:pPr>
      <w:keepLines/>
      <w:keepNext/>
      <w:spacing w:before="280" w:after="290" w:line="372" w:lineRule="auto"/>
      <w:outlineLvl w:val="3"/>
    </w:pPr>
    <w:rPr>
      <w:rFonts w:ascii="Arial" w:hAnsi="Arial" w:eastAsia="黑体"/>
      <w:b/>
      <w:sz w:val="28"/>
    </w:rPr>
  </w:style>
  <w:style w:type="paragraph" w:styleId="887">
    <w:name w:val="Heading 5"/>
    <w:basedOn w:val="882"/>
    <w:next w:val="882"/>
    <w:link w:val="929"/>
    <w:uiPriority w:val="0"/>
    <w:qFormat/>
    <w:pPr>
      <w:keepLines/>
      <w:keepNext/>
      <w:spacing w:before="280" w:after="290" w:line="372" w:lineRule="auto"/>
      <w:outlineLvl w:val="4"/>
    </w:pPr>
    <w:rPr>
      <w:b/>
      <w:sz w:val="28"/>
    </w:rPr>
  </w:style>
  <w:style w:type="paragraph" w:styleId="888">
    <w:name w:val="Heading 6"/>
    <w:basedOn w:val="882"/>
    <w:next w:val="882"/>
    <w:link w:val="930"/>
    <w:uiPriority w:val="0"/>
    <w:qFormat/>
    <w:pPr>
      <w:keepLines/>
      <w:keepNext/>
      <w:spacing w:before="240" w:after="64" w:line="316" w:lineRule="auto"/>
      <w:outlineLvl w:val="5"/>
    </w:pPr>
    <w:rPr>
      <w:rFonts w:ascii="Arial" w:hAnsi="Arial" w:eastAsia="黑体"/>
      <w:b/>
      <w:sz w:val="24"/>
    </w:rPr>
  </w:style>
  <w:style w:type="paragraph" w:styleId="889">
    <w:name w:val="Heading 7"/>
    <w:basedOn w:val="882"/>
    <w:next w:val="882"/>
    <w:link w:val="931"/>
    <w:uiPriority w:val="0"/>
    <w:qFormat/>
    <w:pPr>
      <w:keepLines/>
      <w:keepNext/>
      <w:spacing w:before="240" w:after="64" w:line="316" w:lineRule="auto"/>
      <w:outlineLvl w:val="6"/>
    </w:pPr>
    <w:rPr>
      <w:b/>
      <w:sz w:val="24"/>
    </w:rPr>
  </w:style>
  <w:style w:type="paragraph" w:styleId="890">
    <w:name w:val="Heading 8"/>
    <w:basedOn w:val="882"/>
    <w:next w:val="882"/>
    <w:link w:val="932"/>
    <w:uiPriority w:val="0"/>
    <w:qFormat/>
    <w:pPr>
      <w:keepLines/>
      <w:keepNext/>
      <w:spacing w:before="240" w:after="64" w:line="316" w:lineRule="auto"/>
      <w:outlineLvl w:val="7"/>
    </w:pPr>
    <w:rPr>
      <w:rFonts w:ascii="Arial" w:hAnsi="Arial" w:eastAsia="黑体"/>
      <w:sz w:val="24"/>
    </w:rPr>
  </w:style>
  <w:style w:type="paragraph" w:styleId="891">
    <w:name w:val="Heading 9"/>
    <w:basedOn w:val="882"/>
    <w:next w:val="882"/>
    <w:link w:val="933"/>
    <w:uiPriority w:val="0"/>
    <w:qFormat/>
    <w:pPr>
      <w:keepLines/>
      <w:keepNext/>
      <w:spacing w:before="240" w:after="64" w:line="316" w:lineRule="auto"/>
      <w:outlineLvl w:val="8"/>
    </w:pPr>
    <w:rPr>
      <w:rFonts w:ascii="Arial" w:hAnsi="Arial" w:eastAsia="黑体"/>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Normal Indent"/>
    <w:basedOn w:val="882"/>
    <w:next w:val="882"/>
    <w:uiPriority w:val="99"/>
    <w:qFormat/>
    <w:pPr>
      <w:ind w:firstLine="420"/>
      <w:jc w:val="left"/>
      <w:widowControl/>
    </w:pPr>
    <w:rPr>
      <w:sz w:val="24"/>
    </w:rPr>
  </w:style>
  <w:style w:type="paragraph" w:styleId="895">
    <w:name w:val="Document Map"/>
    <w:basedOn w:val="882"/>
    <w:link w:val="966"/>
    <w:uiPriority w:val="99"/>
    <w:unhideWhenUsed/>
    <w:qFormat/>
    <w:rPr>
      <w:rFonts w:ascii="Microsoft YaHei UI" w:eastAsia="Microsoft YaHei UI"/>
      <w:sz w:val="18"/>
      <w:szCs w:val="18"/>
    </w:rPr>
  </w:style>
  <w:style w:type="paragraph" w:styleId="896">
    <w:name w:val="annotation text"/>
    <w:basedOn w:val="882"/>
    <w:link w:val="934"/>
    <w:uiPriority w:val="0"/>
    <w:qFormat/>
    <w:pPr>
      <w:jc w:val="left"/>
    </w:pPr>
  </w:style>
  <w:style w:type="paragraph" w:styleId="897">
    <w:name w:val="Body Text"/>
    <w:basedOn w:val="882"/>
    <w:link w:val="935"/>
    <w:uiPriority w:val="0"/>
    <w:qFormat/>
    <w:rPr>
      <w:sz w:val="20"/>
    </w:rPr>
  </w:style>
  <w:style w:type="paragraph" w:styleId="898">
    <w:name w:val="Body Text Indent"/>
    <w:basedOn w:val="882"/>
    <w:link w:val="936"/>
    <w:uiPriority w:val="0"/>
    <w:qFormat/>
    <w:pPr>
      <w:ind w:left="200"/>
      <w:spacing w:after="120"/>
    </w:pPr>
  </w:style>
  <w:style w:type="paragraph" w:styleId="899">
    <w:name w:val="index 4"/>
    <w:basedOn w:val="882"/>
    <w:next w:val="882"/>
    <w:uiPriority w:val="0"/>
    <w:qFormat/>
    <w:pPr>
      <w:ind w:left="600"/>
    </w:pPr>
    <w:rPr>
      <w:rFonts w:ascii="Times New Roman" w:hAnsi="Times New Roman" w:eastAsia="宋体" w:cs="Times New Roman"/>
    </w:rPr>
  </w:style>
  <w:style w:type="paragraph" w:styleId="900">
    <w:name w:val="Date"/>
    <w:basedOn w:val="882"/>
    <w:next w:val="882"/>
    <w:link w:val="972"/>
    <w:uiPriority w:val="99"/>
    <w:semiHidden/>
    <w:unhideWhenUsed/>
    <w:qFormat/>
    <w:pPr>
      <w:ind w:left="100"/>
    </w:pPr>
  </w:style>
  <w:style w:type="paragraph" w:styleId="901">
    <w:name w:val="Balloon Text"/>
    <w:basedOn w:val="882"/>
    <w:link w:val="937"/>
    <w:uiPriority w:val="0"/>
    <w:qFormat/>
    <w:rPr>
      <w:sz w:val="18"/>
      <w:szCs w:val="18"/>
    </w:rPr>
  </w:style>
  <w:style w:type="paragraph" w:styleId="902">
    <w:name w:val="Footer"/>
    <w:basedOn w:val="882"/>
    <w:link w:val="924"/>
    <w:uiPriority w:val="99"/>
    <w:unhideWhenUsed/>
    <w:qFormat/>
    <w:pPr>
      <w:jc w:val="left"/>
      <w:tabs>
        <w:tab w:val="center" w:pos="4153" w:leader="none"/>
        <w:tab w:val="right" w:pos="8306" w:leader="none"/>
      </w:tabs>
    </w:pPr>
    <w:rPr>
      <w:sz w:val="18"/>
      <w:szCs w:val="18"/>
    </w:rPr>
  </w:style>
  <w:style w:type="paragraph" w:styleId="903">
    <w:name w:val="envelope return"/>
    <w:basedOn w:val="882"/>
    <w:uiPriority w:val="0"/>
    <w:qFormat/>
    <w:pPr>
      <w:ind w:firstLine="200"/>
      <w:spacing w:line="360" w:lineRule="auto"/>
    </w:pPr>
    <w:rPr>
      <w:rFonts w:ascii="Arial" w:hAnsi="Arial" w:eastAsia="仿宋_GB2312" w:cs="Arial"/>
      <w:sz w:val="24"/>
      <w:szCs w:val="21"/>
    </w:rPr>
  </w:style>
  <w:style w:type="paragraph" w:styleId="904">
    <w:name w:val="Header"/>
    <w:basedOn w:val="882"/>
    <w:link w:val="9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5">
    <w:name w:val="toc 1"/>
    <w:basedOn w:val="882"/>
    <w:next w:val="882"/>
    <w:uiPriority w:val="39"/>
    <w:qFormat/>
  </w:style>
  <w:style w:type="paragraph" w:styleId="906">
    <w:name w:val="Subtitle"/>
    <w:basedOn w:val="882"/>
    <w:next w:val="882"/>
    <w:link w:val="938"/>
    <w:uiPriority w:val="0"/>
    <w:qFormat/>
    <w:pPr>
      <w:jc w:val="center"/>
      <w:spacing w:before="240" w:after="60" w:line="312" w:lineRule="auto"/>
      <w:widowControl/>
      <w:outlineLvl w:val="1"/>
    </w:pPr>
    <w:rPr>
      <w:rFonts w:ascii="Calibri Light" w:hAnsi="Calibri Light"/>
      <w:b/>
      <w:bCs/>
      <w:sz w:val="32"/>
      <w:szCs w:val="32"/>
    </w:rPr>
  </w:style>
  <w:style w:type="paragraph" w:styleId="907">
    <w:name w:val="Body Text Indent 3"/>
    <w:basedOn w:val="882"/>
    <w:link w:val="939"/>
    <w:uiPriority w:val="0"/>
    <w:qFormat/>
    <w:pPr>
      <w:ind w:left="200"/>
      <w:jc w:val="left"/>
      <w:spacing w:after="120"/>
      <w:widowControl/>
    </w:pPr>
    <w:rPr>
      <w:sz w:val="16"/>
      <w:szCs w:val="16"/>
    </w:rPr>
  </w:style>
  <w:style w:type="paragraph" w:styleId="908">
    <w:name w:val="toc 2"/>
    <w:basedOn w:val="882"/>
    <w:next w:val="882"/>
    <w:uiPriority w:val="0"/>
    <w:qFormat/>
    <w:pPr>
      <w:ind w:left="200"/>
    </w:pPr>
  </w:style>
  <w:style w:type="paragraph" w:styleId="909">
    <w:name w:val="Body Text 2"/>
    <w:basedOn w:val="882"/>
    <w:link w:val="940"/>
    <w:uiPriority w:val="0"/>
    <w:qFormat/>
    <w:pPr>
      <w:spacing w:after="120" w:line="480" w:lineRule="auto"/>
    </w:pPr>
    <w:rPr>
      <w:sz w:val="20"/>
    </w:rPr>
  </w:style>
  <w:style w:type="paragraph" w:styleId="910">
    <w:name w:val="HTML Preformatted"/>
    <w:basedOn w:val="882"/>
    <w:link w:val="9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11">
    <w:name w:val="Normal (Web)"/>
    <w:basedOn w:val="882"/>
    <w:uiPriority w:val="99"/>
    <w:qFormat/>
    <w:pPr>
      <w:jc w:val="left"/>
      <w:spacing w:before="100" w:beforeAutospacing="1" w:after="100" w:afterAutospacing="1"/>
      <w:widowControl/>
    </w:pPr>
    <w:rPr>
      <w:rFonts w:ascii="宋体" w:cs="宋体"/>
      <w:sz w:val="24"/>
      <w:szCs w:val="24"/>
    </w:rPr>
  </w:style>
  <w:style w:type="paragraph" w:styleId="912">
    <w:name w:val="Title"/>
    <w:basedOn w:val="882"/>
    <w:next w:val="882"/>
    <w:link w:val="942"/>
    <w:uiPriority w:val="0"/>
    <w:qFormat/>
    <w:pPr>
      <w:jc w:val="center"/>
      <w:spacing w:before="60" w:after="60"/>
      <w:widowControl/>
      <w:outlineLvl w:val="0"/>
    </w:pPr>
    <w:rPr>
      <w:rFonts w:ascii="Cambria" w:hAnsi="Cambria"/>
      <w:b/>
      <w:bCs/>
      <w:sz w:val="24"/>
      <w:szCs w:val="32"/>
    </w:rPr>
  </w:style>
  <w:style w:type="paragraph" w:styleId="913">
    <w:name w:val="annotation subject"/>
    <w:basedOn w:val="896"/>
    <w:next w:val="896"/>
    <w:link w:val="943"/>
    <w:uiPriority w:val="0"/>
    <w:qFormat/>
    <w:rPr>
      <w:b/>
      <w:bCs/>
    </w:rPr>
  </w:style>
  <w:style w:type="paragraph" w:styleId="914">
    <w:name w:val="Body Text First Indent"/>
    <w:basedOn w:val="897"/>
    <w:uiPriority w:val="0"/>
    <w:qFormat/>
    <w:pPr>
      <w:ind w:firstLine="420"/>
      <w:spacing w:after="120"/>
    </w:pPr>
    <w:rPr>
      <w:rFonts w:ascii="宋体" w:hAnsi="宋体"/>
      <w:sz w:val="24"/>
    </w:rPr>
  </w:style>
  <w:style w:type="paragraph" w:styleId="915">
    <w:name w:val="Body Text First Indent 2"/>
    <w:basedOn w:val="898"/>
    <w:next w:val="914"/>
    <w:link w:val="944"/>
    <w:uiPriority w:val="0"/>
    <w:qFormat/>
    <w:pPr>
      <w:ind w:left="0" w:firstLine="200"/>
      <w:spacing w:after="0"/>
    </w:pPr>
    <w:rPr>
      <w:rFonts w:ascii="仿宋_GB2312" w:eastAsia="仿宋_GB2312"/>
      <w:sz w:val="24"/>
      <w:szCs w:val="24"/>
    </w:rPr>
  </w:style>
  <w:style w:type="table" w:styleId="916">
    <w:name w:val="Table Grid"/>
    <w:basedOn w:val="8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2"/>
    <w:uiPriority w:val="22"/>
    <w:qFormat/>
    <w:rPr>
      <w:b/>
    </w:rPr>
  </w:style>
  <w:style w:type="character" w:styleId="918">
    <w:name w:val="page number"/>
    <w:basedOn w:val="892"/>
    <w:uiPriority w:val="0"/>
    <w:qFormat/>
  </w:style>
  <w:style w:type="character" w:styleId="919">
    <w:name w:val="FollowedHyperlink"/>
    <w:uiPriority w:val="0"/>
    <w:qFormat/>
    <w:rPr>
      <w:color w:val="auto"/>
      <w:u w:val="none"/>
    </w:rPr>
  </w:style>
  <w:style w:type="character" w:styleId="920">
    <w:name w:val="Hyperlink"/>
    <w:uiPriority w:val="99"/>
    <w:qFormat/>
    <w:rPr>
      <w:color w:val="0000ff"/>
      <w:u w:val="single"/>
    </w:rPr>
  </w:style>
  <w:style w:type="character" w:styleId="921">
    <w:name w:val="annotation reference"/>
    <w:uiPriority w:val="0"/>
    <w:qFormat/>
    <w:rPr>
      <w:sz w:val="21"/>
      <w:szCs w:val="21"/>
    </w:rPr>
  </w:style>
  <w:style w:type="paragraph" w:styleId="922" w:customStyle="1">
    <w:name w:val="段"/>
    <w:next w:val="882"/>
    <w:uiPriority w:val="0"/>
    <w:qFormat/>
    <w:pPr>
      <w:ind w:firstLine="200"/>
      <w:jc w:val="both"/>
    </w:pPr>
    <w:rPr>
      <w:rFonts w:ascii="宋体" w:hAnsi="Times New Roman" w:eastAsia="宋体" w:cs="Times New Roman"/>
      <w:sz w:val="21"/>
      <w:szCs w:val="22"/>
      <w:lang w:val="en-US" w:eastAsia="zh-CN" w:bidi="ar-SA"/>
    </w:rPr>
  </w:style>
  <w:style w:type="character" w:styleId="923" w:customStyle="1">
    <w:name w:val="页眉 Char"/>
    <w:basedOn w:val="892"/>
    <w:link w:val="904"/>
    <w:uiPriority w:val="99"/>
    <w:qFormat/>
    <w:rPr>
      <w:sz w:val="18"/>
      <w:szCs w:val="18"/>
    </w:rPr>
  </w:style>
  <w:style w:type="character" w:styleId="924" w:customStyle="1">
    <w:name w:val="页脚 Char"/>
    <w:basedOn w:val="892"/>
    <w:link w:val="902"/>
    <w:uiPriority w:val="99"/>
    <w:qFormat/>
    <w:rPr>
      <w:sz w:val="18"/>
      <w:szCs w:val="18"/>
    </w:rPr>
  </w:style>
  <w:style w:type="character" w:styleId="925" w:customStyle="1">
    <w:name w:val="标题 1 Char"/>
    <w:basedOn w:val="892"/>
    <w:link w:val="883"/>
    <w:uiPriority w:val="0"/>
    <w:qFormat/>
    <w:rPr>
      <w:rFonts w:ascii="Calibri" w:hAnsi="Calibri" w:eastAsia="宋体" w:cs="Times New Roman"/>
      <w:b/>
      <w:sz w:val="44"/>
      <w:szCs w:val="20"/>
    </w:rPr>
  </w:style>
  <w:style w:type="character" w:styleId="926" w:customStyle="1">
    <w:name w:val="标题 2 Char"/>
    <w:basedOn w:val="892"/>
    <w:link w:val="884"/>
    <w:uiPriority w:val="0"/>
    <w:qFormat/>
    <w:rPr>
      <w:rFonts w:ascii="Arial" w:hAnsi="Arial" w:eastAsia="黑体" w:cs="Times New Roman"/>
      <w:b/>
      <w:sz w:val="32"/>
      <w:szCs w:val="20"/>
    </w:rPr>
  </w:style>
  <w:style w:type="character" w:styleId="927" w:customStyle="1">
    <w:name w:val="标题 3 Char"/>
    <w:basedOn w:val="892"/>
    <w:link w:val="885"/>
    <w:uiPriority w:val="0"/>
    <w:qFormat/>
    <w:rPr>
      <w:rFonts w:ascii="Calibri" w:hAnsi="Calibri" w:eastAsia="宋体" w:cs="Times New Roman"/>
      <w:b/>
      <w:sz w:val="32"/>
      <w:szCs w:val="20"/>
    </w:rPr>
  </w:style>
  <w:style w:type="character" w:styleId="928" w:customStyle="1">
    <w:name w:val="标题 4 Char"/>
    <w:basedOn w:val="892"/>
    <w:link w:val="886"/>
    <w:uiPriority w:val="0"/>
    <w:qFormat/>
    <w:rPr>
      <w:rFonts w:ascii="Arial" w:hAnsi="Arial" w:eastAsia="黑体" w:cs="Times New Roman"/>
      <w:b/>
      <w:sz w:val="28"/>
      <w:szCs w:val="20"/>
    </w:rPr>
  </w:style>
  <w:style w:type="character" w:styleId="929" w:customStyle="1">
    <w:name w:val="标题 5 Char"/>
    <w:basedOn w:val="892"/>
    <w:link w:val="887"/>
    <w:uiPriority w:val="0"/>
    <w:qFormat/>
    <w:rPr>
      <w:rFonts w:ascii="Calibri" w:hAnsi="Calibri" w:eastAsia="宋体" w:cs="Times New Roman"/>
      <w:b/>
      <w:sz w:val="28"/>
      <w:szCs w:val="20"/>
    </w:rPr>
  </w:style>
  <w:style w:type="character" w:styleId="930" w:customStyle="1">
    <w:name w:val="标题 6 Char"/>
    <w:basedOn w:val="892"/>
    <w:link w:val="888"/>
    <w:uiPriority w:val="0"/>
    <w:qFormat/>
    <w:rPr>
      <w:rFonts w:ascii="Arial" w:hAnsi="Arial" w:eastAsia="黑体" w:cs="Times New Roman"/>
      <w:b/>
      <w:sz w:val="24"/>
      <w:szCs w:val="20"/>
    </w:rPr>
  </w:style>
  <w:style w:type="character" w:styleId="931" w:customStyle="1">
    <w:name w:val="标题 7 Char"/>
    <w:basedOn w:val="892"/>
    <w:link w:val="889"/>
    <w:uiPriority w:val="0"/>
    <w:qFormat/>
    <w:rPr>
      <w:rFonts w:ascii="Calibri" w:hAnsi="Calibri" w:eastAsia="宋体" w:cs="Times New Roman"/>
      <w:b/>
      <w:sz w:val="24"/>
      <w:szCs w:val="20"/>
    </w:rPr>
  </w:style>
  <w:style w:type="character" w:styleId="932" w:customStyle="1">
    <w:name w:val="标题 8 Char"/>
    <w:basedOn w:val="892"/>
    <w:link w:val="890"/>
    <w:uiPriority w:val="0"/>
    <w:qFormat/>
    <w:rPr>
      <w:rFonts w:ascii="Arial" w:hAnsi="Arial" w:eastAsia="黑体" w:cs="Times New Roman"/>
      <w:sz w:val="24"/>
      <w:szCs w:val="20"/>
    </w:rPr>
  </w:style>
  <w:style w:type="character" w:styleId="933" w:customStyle="1">
    <w:name w:val="标题 9 Char"/>
    <w:basedOn w:val="892"/>
    <w:link w:val="891"/>
    <w:uiPriority w:val="0"/>
    <w:qFormat/>
    <w:rPr>
      <w:rFonts w:ascii="Arial" w:hAnsi="Arial" w:eastAsia="黑体" w:cs="Times New Roman"/>
      <w:szCs w:val="20"/>
    </w:rPr>
  </w:style>
  <w:style w:type="character" w:styleId="934" w:customStyle="1">
    <w:name w:val="批注文字 Char"/>
    <w:basedOn w:val="892"/>
    <w:link w:val="896"/>
    <w:uiPriority w:val="0"/>
    <w:qFormat/>
    <w:rPr>
      <w:rFonts w:ascii="Calibri" w:hAnsi="Calibri" w:eastAsia="宋体" w:cs="Times New Roman"/>
      <w:szCs w:val="20"/>
    </w:rPr>
  </w:style>
  <w:style w:type="character" w:styleId="935" w:customStyle="1">
    <w:name w:val="正文文本 Char"/>
    <w:basedOn w:val="892"/>
    <w:link w:val="897"/>
    <w:uiPriority w:val="0"/>
    <w:qFormat/>
    <w:rPr>
      <w:rFonts w:ascii="Calibri" w:hAnsi="Calibri" w:eastAsia="宋体" w:cs="Times New Roman"/>
      <w:sz w:val="20"/>
      <w:szCs w:val="20"/>
    </w:rPr>
  </w:style>
  <w:style w:type="character" w:styleId="936" w:customStyle="1">
    <w:name w:val="正文文本缩进 Char"/>
    <w:basedOn w:val="892"/>
    <w:link w:val="898"/>
    <w:uiPriority w:val="0"/>
    <w:qFormat/>
    <w:rPr>
      <w:rFonts w:ascii="Calibri" w:hAnsi="Calibri" w:eastAsia="宋体" w:cs="Times New Roman"/>
      <w:szCs w:val="20"/>
    </w:rPr>
  </w:style>
  <w:style w:type="character" w:styleId="937" w:customStyle="1">
    <w:name w:val="批注框文本 Char"/>
    <w:basedOn w:val="892"/>
    <w:link w:val="901"/>
    <w:uiPriority w:val="0"/>
    <w:qFormat/>
    <w:rPr>
      <w:rFonts w:ascii="Calibri" w:hAnsi="Calibri" w:eastAsia="宋体" w:cs="Times New Roman"/>
      <w:sz w:val="18"/>
      <w:szCs w:val="18"/>
    </w:rPr>
  </w:style>
  <w:style w:type="character" w:styleId="938" w:customStyle="1">
    <w:name w:val="副标题 Char"/>
    <w:basedOn w:val="892"/>
    <w:link w:val="906"/>
    <w:uiPriority w:val="0"/>
    <w:qFormat/>
    <w:rPr>
      <w:rFonts w:ascii="Calibri Light" w:hAnsi="Calibri Light" w:eastAsia="宋体" w:cs="Times New Roman"/>
      <w:b/>
      <w:bCs/>
      <w:sz w:val="32"/>
      <w:szCs w:val="32"/>
    </w:rPr>
  </w:style>
  <w:style w:type="character" w:styleId="939" w:customStyle="1">
    <w:name w:val="正文文本缩进 3 Char"/>
    <w:basedOn w:val="892"/>
    <w:link w:val="907"/>
    <w:uiPriority w:val="0"/>
    <w:qFormat/>
    <w:rPr>
      <w:rFonts w:ascii="Calibri" w:hAnsi="Calibri" w:eastAsia="宋体" w:cs="Times New Roman"/>
      <w:sz w:val="16"/>
      <w:szCs w:val="16"/>
    </w:rPr>
  </w:style>
  <w:style w:type="character" w:styleId="940" w:customStyle="1">
    <w:name w:val="正文文本 2 Char"/>
    <w:basedOn w:val="892"/>
    <w:link w:val="909"/>
    <w:uiPriority w:val="0"/>
    <w:qFormat/>
    <w:rPr>
      <w:rFonts w:ascii="Calibri" w:hAnsi="Calibri" w:eastAsia="宋体" w:cs="Times New Roman"/>
      <w:sz w:val="20"/>
      <w:szCs w:val="20"/>
    </w:rPr>
  </w:style>
  <w:style w:type="character" w:styleId="941" w:customStyle="1">
    <w:name w:val="HTML 预设格式 Char"/>
    <w:basedOn w:val="892"/>
    <w:link w:val="910"/>
    <w:uiPriority w:val="0"/>
    <w:qFormat/>
    <w:rPr>
      <w:rFonts w:ascii="宋体" w:hAnsi="宋体" w:eastAsia="Times New Roman" w:cs="Times New Roman"/>
      <w:sz w:val="24"/>
      <w:szCs w:val="24"/>
      <w:lang w:val="en-US" w:eastAsia="zh-CN"/>
    </w:rPr>
  </w:style>
  <w:style w:type="character" w:styleId="942" w:customStyle="1">
    <w:name w:val="标题 Char"/>
    <w:basedOn w:val="892"/>
    <w:link w:val="912"/>
    <w:uiPriority w:val="0"/>
    <w:qFormat/>
    <w:rPr>
      <w:rFonts w:ascii="Cambria" w:hAnsi="Cambria" w:eastAsia="宋体" w:cs="Times New Roman"/>
      <w:b/>
      <w:bCs/>
      <w:sz w:val="24"/>
      <w:szCs w:val="32"/>
    </w:rPr>
  </w:style>
  <w:style w:type="character" w:styleId="943" w:customStyle="1">
    <w:name w:val="批注主题 Char"/>
    <w:basedOn w:val="934"/>
    <w:link w:val="913"/>
    <w:uiPriority w:val="0"/>
    <w:qFormat/>
    <w:rPr>
      <w:rFonts w:ascii="Calibri" w:hAnsi="Calibri" w:eastAsia="宋体" w:cs="Times New Roman"/>
      <w:b/>
      <w:bCs/>
      <w:szCs w:val="20"/>
    </w:rPr>
  </w:style>
  <w:style w:type="character" w:styleId="944" w:customStyle="1">
    <w:name w:val="正文首行缩进 2 Char"/>
    <w:basedOn w:val="936"/>
    <w:link w:val="915"/>
    <w:uiPriority w:val="0"/>
    <w:qFormat/>
    <w:rPr>
      <w:rFonts w:ascii="仿宋_GB2312" w:hAnsi="Calibri" w:eastAsia="仿宋_GB2312" w:cs="Times New Roman"/>
      <w:sz w:val="24"/>
      <w:szCs w:val="24"/>
    </w:rPr>
  </w:style>
  <w:style w:type="character" w:styleId="945" w:customStyle="1">
    <w:name w:val="正文首行缩进 2 Char1"/>
    <w:uiPriority w:val="0"/>
    <w:qFormat/>
  </w:style>
  <w:style w:type="character" w:styleId="946" w:customStyle="1">
    <w:name w:val="标题 Char1"/>
    <w:uiPriority w:val="0"/>
    <w:qFormat/>
    <w:rPr>
      <w:rFonts w:ascii="Cambria" w:hAnsi="Cambria" w:cs="Times New Roman"/>
      <w:b/>
      <w:bCs/>
      <w:sz w:val="32"/>
      <w:szCs w:val="32"/>
      <w:lang w:bidi="ar-SA"/>
    </w:rPr>
  </w:style>
  <w:style w:type="character" w:styleId="947" w:customStyle="1">
    <w:name w:val="副标题 Char1"/>
    <w:uiPriority w:val="0"/>
    <w:qFormat/>
    <w:rPr>
      <w:rFonts w:ascii="Cambria" w:hAnsi="Cambria" w:cs="Times New Roman"/>
      <w:b/>
      <w:bCs/>
      <w:sz w:val="32"/>
      <w:szCs w:val="32"/>
      <w:lang w:bidi="ar-SA"/>
    </w:rPr>
  </w:style>
  <w:style w:type="character" w:styleId="948" w:customStyle="1">
    <w:name w:val="fr"/>
    <w:basedOn w:val="892"/>
    <w:uiPriority w:val="0"/>
    <w:qFormat/>
  </w:style>
  <w:style w:type="character" w:styleId="949" w:customStyle="1">
    <w:name w:val="15"/>
    <w:uiPriority w:val="0"/>
    <w:qFormat/>
    <w:rPr>
      <w:rFonts w:ascii="Times New Roman" w:hAnsi="Times New Roman" w:cs="Times New Roman"/>
      <w:color w:val="464445"/>
      <w:u w:val="none"/>
      <w:lang w:bidi="ar-SA"/>
    </w:rPr>
  </w:style>
  <w:style w:type="character" w:styleId="950" w:customStyle="1">
    <w:name w:val="标题1"/>
    <w:basedOn w:val="892"/>
    <w:uiPriority w:val="0"/>
    <w:qFormat/>
  </w:style>
  <w:style w:type="character" w:styleId="951" w:customStyle="1">
    <w:name w:val="apple-converted-space"/>
    <w:basedOn w:val="892"/>
    <w:uiPriority w:val="0"/>
    <w:qFormat/>
  </w:style>
  <w:style w:type="paragraph" w:styleId="952" w:customStyle="1">
    <w:name w:val="zhang"/>
    <w:basedOn w:val="882"/>
    <w:uiPriority w:val="0"/>
    <w:qFormat/>
    <w:pPr>
      <w:jc w:val="left"/>
      <w:spacing w:before="100" w:beforeAutospacing="1" w:after="100" w:afterAutospacing="1"/>
      <w:widowControl/>
    </w:pPr>
    <w:rPr>
      <w:rFonts w:ascii="宋体" w:cs="宋体"/>
      <w:b/>
      <w:bCs/>
      <w:smallCaps/>
      <w:color w:val="000000"/>
      <w:sz w:val="20"/>
    </w:rPr>
  </w:style>
  <w:style w:type="paragraph" w:styleId="953">
    <w:name w:val="List Paragraph"/>
    <w:basedOn w:val="882"/>
    <w:uiPriority w:val="0"/>
    <w:qFormat/>
    <w:pPr>
      <w:ind w:firstLine="200"/>
    </w:pPr>
  </w:style>
  <w:style w:type="paragraph" w:styleId="954" w:customStyle="1">
    <w:name w:val="p0"/>
    <w:basedOn w:val="882"/>
    <w:uiPriority w:val="0"/>
    <w:qFormat/>
    <w:pPr>
      <w:widowControl/>
    </w:pPr>
    <w:rPr>
      <w:szCs w:val="21"/>
    </w:rPr>
  </w:style>
  <w:style w:type="paragraph" w:styleId="955" w:customStyle="1">
    <w:name w:val="Default Paragraph Font Para Char"/>
    <w:basedOn w:val="882"/>
    <w:uiPriority w:val="0"/>
    <w:qFormat/>
    <w:pPr>
      <w:jc w:val="left"/>
      <w:spacing w:after="160" w:line="240" w:lineRule="exact"/>
      <w:widowControl/>
    </w:pPr>
  </w:style>
  <w:style w:type="paragraph" w:styleId="956" w:customStyle="1">
    <w:name w:val="索引 11"/>
    <w:basedOn w:val="882"/>
    <w:next w:val="882"/>
    <w:uiPriority w:val="0"/>
    <w:qFormat/>
    <w:pPr>
      <w:spacing w:line="360" w:lineRule="auto"/>
    </w:pPr>
    <w:rPr>
      <w:rFonts w:ascii="仿宋_GB2312" w:eastAsia="仿宋_GB2312"/>
      <w:sz w:val="24"/>
    </w:rPr>
  </w:style>
  <w:style w:type="paragraph" w:styleId="957" w:customStyle="1">
    <w:name w:val="纯文本1"/>
    <w:basedOn w:val="882"/>
    <w:uiPriority w:val="0"/>
    <w:qFormat/>
    <w:rPr>
      <w:rFonts w:ascii="宋体"/>
      <w:szCs w:val="22"/>
    </w:rPr>
  </w:style>
  <w:style w:type="paragraph" w:styleId="958"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59" w:customStyle="1">
    <w:name w:val="_Style 34"/>
    <w:basedOn w:val="882"/>
    <w:uiPriority w:val="0"/>
    <w:qFormat/>
    <w:pPr>
      <w:ind w:firstLine="200"/>
    </w:pPr>
    <w:rPr>
      <w:rFonts w:ascii="Times New Roman" w:hAnsi="Times New Roman"/>
    </w:rPr>
  </w:style>
  <w:style w:type="paragraph" w:styleId="960" w:customStyle="1">
    <w:name w:val="_Style 5"/>
    <w:uiPriority w:val="0"/>
    <w:qFormat/>
    <w:rPr>
      <w:rFonts w:ascii="Calibri" w:hAnsi="Calibri" w:eastAsia="宋体" w:cs="Times New Roman"/>
      <w:sz w:val="21"/>
      <w:lang w:val="en-US" w:eastAsia="zh-CN" w:bidi="ar-SA"/>
    </w:rPr>
  </w:style>
  <w:style w:type="paragraph" w:styleId="961" w:customStyle="1">
    <w:name w:val="TOC 标题1"/>
    <w:basedOn w:val="883"/>
    <w:next w:val="882"/>
    <w:uiPriority w:val="0"/>
    <w:qFormat/>
    <w:pPr>
      <w:spacing w:line="578" w:lineRule="auto"/>
      <w:outlineLvl w:val="9"/>
    </w:pPr>
    <w:rPr>
      <w:bCs/>
      <w:szCs w:val="44"/>
    </w:rPr>
  </w:style>
  <w:style w:type="paragraph" w:styleId="962" w:customStyle="1">
    <w:name w:val="正文缩进1"/>
    <w:basedOn w:val="882"/>
    <w:uiPriority w:val="0"/>
    <w:qFormat/>
    <w:pPr>
      <w:ind w:firstLine="420"/>
      <w:jc w:val="left"/>
    </w:pPr>
    <w:rPr>
      <w:rFonts w:ascii="宋体"/>
      <w:sz w:val="24"/>
      <w:szCs w:val="22"/>
    </w:rPr>
  </w:style>
  <w:style w:type="paragraph" w:styleId="963" w:customStyle="1">
    <w:name w:val="正文_1_0"/>
    <w:basedOn w:val="882"/>
    <w:uiPriority w:val="0"/>
    <w:qFormat/>
    <w:rPr>
      <w:szCs w:val="24"/>
    </w:rPr>
  </w:style>
  <w:style w:type="paragraph" w:styleId="964" w:customStyle="1">
    <w:name w:val="普通文字"/>
    <w:basedOn w:val="882"/>
    <w:next w:val="882"/>
    <w:uiPriority w:val="0"/>
    <w:qFormat/>
    <w:rPr>
      <w:rFonts w:ascii="宋体"/>
      <w:sz w:val="24"/>
    </w:rPr>
  </w:style>
  <w:style w:type="paragraph" w:styleId="965"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66" w:customStyle="1">
    <w:name w:val="文档结构图 Char"/>
    <w:basedOn w:val="892"/>
    <w:link w:val="895"/>
    <w:uiPriority w:val="99"/>
    <w:qFormat/>
    <w:rPr>
      <w:rFonts w:ascii="Microsoft YaHei UI" w:hAnsi="Calibri" w:eastAsia="Microsoft YaHei UI" w:cs="Times New Roman"/>
      <w:sz w:val="18"/>
      <w:szCs w:val="18"/>
    </w:rPr>
  </w:style>
  <w:style w:type="paragraph" w:styleId="967" w:customStyle="1">
    <w:name w:val="xc正文"/>
    <w:basedOn w:val="882"/>
    <w:uiPriority w:val="0"/>
    <w:qFormat/>
    <w:pPr>
      <w:ind w:firstLine="200"/>
      <w:spacing w:line="360" w:lineRule="auto"/>
    </w:pPr>
    <w:rPr>
      <w:sz w:val="24"/>
      <w:szCs w:val="22"/>
    </w:rPr>
  </w:style>
  <w:style w:type="table" w:styleId="968" w:customStyle="1">
    <w:name w:val="网格型1"/>
    <w:basedOn w:val="8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9" w:customStyle="1">
    <w:name w:val="Default"/>
    <w:basedOn w:val="882"/>
    <w:uiPriority w:val="0"/>
    <w:qFormat/>
    <w:pPr>
      <w:jc w:val="left"/>
    </w:pPr>
    <w:rPr>
      <w:rFonts w:ascii="Arial" w:hAnsi="Arial" w:eastAsia="PMingLiU"/>
      <w:sz w:val="20"/>
    </w:rPr>
  </w:style>
  <w:style w:type="character" w:styleId="970" w:customStyle="1">
    <w:name w:val="Unresolved Mention"/>
    <w:basedOn w:val="892"/>
    <w:uiPriority w:val="99"/>
    <w:semiHidden/>
    <w:unhideWhenUsed/>
    <w:qFormat/>
    <w:rPr>
      <w:color w:val="605e5c"/>
      <w:shd w:val="clear" w:color="auto" w:fill="e1dfdd"/>
    </w:rPr>
  </w:style>
  <w:style w:type="table" w:styleId="971" w:customStyle="1">
    <w:name w:val="Grid Table 5 Dark- Accent 4"/>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2" w:customStyle="1">
    <w:name w:val="日期 Char"/>
    <w:basedOn w:val="892"/>
    <w:link w:val="900"/>
    <w:uiPriority w:val="99"/>
    <w:semiHidden/>
    <w:qFormat/>
    <w:rPr>
      <w:rFonts w:ascii="Calibri" w:hAnsi="Calibri" w:eastAsia="宋体" w:cs="Times New Roman"/>
      <w:szCs w:val="20"/>
    </w:rPr>
  </w:style>
  <w:style w:type="table" w:styleId="973"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4" w:customStyle="1">
    <w:name w:val="Table Paragraph"/>
    <w:basedOn w:val="882"/>
    <w:uiPriority w:val="1"/>
    <w:qFormat/>
    <w:pPr>
      <w:jc w:val="left"/>
    </w:pPr>
    <w:rPr>
      <w:rFonts w:ascii="宋体" w:hAnsi="宋体" w:cs="宋体"/>
      <w:sz w:val="22"/>
      <w:szCs w:val="22"/>
    </w:rPr>
  </w:style>
  <w:style w:type="character" w:styleId="975">
    <w:name w:val="Placeholder Text"/>
    <w:basedOn w:val="892"/>
    <w:uiPriority w:val="99"/>
    <w:semiHidden/>
    <w:qFormat/>
    <w:rPr>
      <w:color w:val="666666"/>
    </w:rPr>
  </w:style>
  <w:style w:type="paragraph" w:styleId="976" w:customStyle="1">
    <w:name w:val="Table Text"/>
    <w:basedOn w:val="882"/>
    <w:uiPriority w:val="0"/>
    <w:semiHidden/>
    <w:qFormat/>
    <w:rPr>
      <w:rFonts w:ascii="宋体" w:hAnsi="宋体" w:cs="宋体"/>
      <w:sz w:val="24"/>
      <w:szCs w:val="24"/>
      <w:lang w:eastAsia="en-US"/>
    </w:rPr>
  </w:style>
  <w:style w:type="paragraph" w:styleId="977" w:customStyle="1">
    <w:name w:val="*正文"/>
    <w:basedOn w:val="882"/>
    <w:uiPriority w:val="0"/>
    <w:qFormat/>
    <w:pPr>
      <w:ind w:firstLine="200"/>
      <w:jc w:val="left"/>
      <w:spacing w:line="360" w:lineRule="auto"/>
    </w:pPr>
    <w:rPr>
      <w:rFonts w:ascii="宋体" w:hAnsi="宋体"/>
      <w:sz w:val="24"/>
    </w:rPr>
  </w:style>
  <w:style w:type="paragraph" w:styleId="978" w:customStyle="1">
    <w:name w:val="列出段落2"/>
    <w:basedOn w:val="882"/>
    <w:uiPriority w:val="0"/>
    <w:qFormat/>
    <w:pPr>
      <w:ind w:firstLine="420"/>
    </w:pPr>
    <w:rPr>
      <w:sz w:val="22"/>
    </w:rPr>
  </w:style>
  <w:style w:type="paragraph" w:styleId="979" w:customStyle="1">
    <w:name w:val="BodyText1I2"/>
    <w:basedOn w:val="980"/>
    <w:next w:val="982"/>
    <w:uiPriority w:val="0"/>
    <w:qFormat/>
    <w:pPr>
      <w:ind w:left="420" w:firstLine="420"/>
      <w:spacing w:after="120"/>
    </w:pPr>
  </w:style>
  <w:style w:type="paragraph" w:styleId="980" w:customStyle="1">
    <w:name w:val="BodyTextIndent"/>
    <w:basedOn w:val="882"/>
    <w:next w:val="981"/>
    <w:uiPriority w:val="0"/>
    <w:qFormat/>
    <w:pPr>
      <w:ind w:firstLine="900"/>
    </w:pPr>
    <w:rPr>
      <w:sz w:val="28"/>
    </w:rPr>
  </w:style>
  <w:style w:type="paragraph" w:styleId="981" w:customStyle="1">
    <w:name w:val="NormalIndent"/>
    <w:basedOn w:val="882"/>
    <w:next w:val="980"/>
    <w:uiPriority w:val="0"/>
    <w:qFormat/>
    <w:pPr>
      <w:ind w:firstLine="420"/>
    </w:pPr>
  </w:style>
  <w:style w:type="paragraph" w:styleId="982" w:customStyle="1">
    <w:name w:val="UserStyle_14"/>
    <w:basedOn w:val="882"/>
    <w:next w:val="882"/>
    <w:uiPriority w:val="0"/>
    <w:qFormat/>
    <w:pPr>
      <w:jc w:val="center"/>
      <w:spacing w:before="280" w:after="280" w:line="100" w:lineRule="exact"/>
    </w:pPr>
    <w:rPr>
      <w:b/>
      <w:sz w:val="20"/>
    </w:rPr>
  </w:style>
  <w:style w:type="paragraph" w:styleId="983">
    <w:name w:val="No Spacing"/>
    <w:uiPriority w:val="1"/>
    <w:qFormat/>
    <w:pPr>
      <w:jc w:val="both"/>
      <w:widowControl w:val="off"/>
    </w:pPr>
    <w:rPr>
      <w:rFonts w:ascii="宋体" w:hAnsi="宋体" w:eastAsia="宋体" w:cs="Times New Roman"/>
      <w:sz w:val="24"/>
      <w:szCs w:val="24"/>
      <w:lang w:val="en-US" w:eastAsia="zh-CN" w:bidi="ar-SA"/>
    </w:rPr>
  </w:style>
  <w:style w:type="paragraph" w:styleId="984" w:customStyle="1">
    <w:name w:val="首行缩进"/>
    <w:basedOn w:val="882"/>
    <w:uiPriority w:val="0"/>
    <w:qFormat/>
    <w:pPr>
      <w:ind w:firstLine="480"/>
    </w:pPr>
    <w:rPr>
      <w:lang w:val="zh-CN"/>
    </w:rPr>
  </w:style>
  <w:style w:type="paragraph" w:styleId="985" w:customStyle="1">
    <w:name w:val="正文首行缩进 21"/>
    <w:basedOn w:val="986"/>
    <w:next w:val="987"/>
    <w:uiPriority w:val="99"/>
    <w:qFormat/>
    <w:pPr>
      <w:ind w:left="156" w:firstLine="420"/>
      <w:spacing w:after="0" w:line="360" w:lineRule="auto"/>
      <w:widowControl/>
    </w:pPr>
    <w:rPr>
      <w:rFonts w:ascii="宋体" w:hAnsi="宋体"/>
    </w:rPr>
  </w:style>
  <w:style w:type="paragraph" w:styleId="986" w:customStyle="1">
    <w:name w:val="正文文本缩进1"/>
    <w:basedOn w:val="882"/>
    <w:uiPriority w:val="99"/>
    <w:unhideWhenUsed/>
    <w:qFormat/>
    <w:pPr>
      <w:ind w:left="420"/>
      <w:spacing w:after="120"/>
    </w:pPr>
  </w:style>
  <w:style w:type="paragraph" w:styleId="987" w:customStyle="1">
    <w:name w:val="正文首行缩进1"/>
    <w:basedOn w:val="988"/>
    <w:uiPriority w:val="99"/>
    <w:unhideWhenUsed/>
    <w:qFormat/>
    <w:pPr>
      <w:ind w:firstLine="420"/>
      <w:spacing w:after="120"/>
    </w:pPr>
    <w:rPr>
      <w:sz w:val="21"/>
    </w:rPr>
  </w:style>
  <w:style w:type="paragraph" w:styleId="988" w:customStyle="1">
    <w:name w:val="正文文本1"/>
    <w:basedOn w:val="882"/>
    <w:next w:val="882"/>
    <w:uiPriority w:val="0"/>
    <w:qFormat/>
    <w:rPr>
      <w:sz w:val="20"/>
    </w:rPr>
  </w:style>
  <w:style w:type="paragraph" w:styleId="989" w:customStyle="1">
    <w:name w:val="纯文本11"/>
    <w:basedOn w:val="882"/>
    <w:uiPriority w:val="0"/>
    <w:qFormat/>
    <w:rPr>
      <w:rFonts w:ascii="宋体" w:hAnsi="Courier New"/>
    </w:rPr>
  </w:style>
  <w:style w:type="paragraph" w:styleId="990" w:customStyle="1">
    <w:name w:val="无间隔1"/>
    <w:basedOn w:val="882"/>
    <w:uiPriority w:val="99"/>
    <w:qFormat/>
    <w:pPr>
      <w:jc w:val="center"/>
    </w:pPr>
    <w:rPr>
      <w:rFonts w:ascii="宋体" w:hAnsi="宋体" w:cs="宋体"/>
      <w:szCs w:val="24"/>
    </w:rPr>
  </w:style>
  <w:style w:type="character" w:styleId="991" w:customStyle="1">
    <w:name w:val="font01"/>
    <w:basedOn w:val="892"/>
    <w:uiPriority w:val="0"/>
    <w:qFormat/>
    <w:rPr>
      <w:rFonts w:hint="eastAsia" w:ascii="宋体" w:hAnsi="宋体" w:eastAsia="宋体" w:cs="宋体"/>
      <w:b/>
      <w:bCs/>
      <w:color w:val="000000"/>
      <w:sz w:val="24"/>
      <w:szCs w:val="24"/>
      <w:u w:val="none"/>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cce02c9b-3e39-4c5b-8f59-6a50b57468e0</errorID>
      <errorWord>“.</errorWord>
      <group>L1_Punc</group>
      <groupName>标点问题</groupName>
      <ability>L2_Punc_CN</ability>
      <abilityName>标点符号问题</abilityName>
      <candidateList>
        <item>“</item>
      </candidateList>
      <explain/>
      <paraID>18477F96</paraID>
      <start>71</start>
      <end>73</end>
      <status>ignored</status>
      <modifiedWord/>
      <trackRevisions>false</trackRevisions>
    </reviewItem>
    <reviewItem>
      <errorID>cfedefe3-9f17-4b84-877b-ea3a27388b34</errorID>
      <errorWord>“.</errorWord>
      <group>L1_Punc</group>
      <groupName>标点问题</groupName>
      <ability>L2_Punc_CN</ability>
      <abilityName>标点符号问题</abilityName>
      <candidateList>
        <item>“</item>
      </candidateList>
      <explain/>
      <paraID> 6C96C1D</paraID>
      <start>19</start>
      <end>21</end>
      <status>ignored</status>
      <modifiedWord/>
      <trackRevisions>false</trackRevisions>
    </reviewItem>
    <reviewItem>
      <errorID>0d1f6e2a-3c90-49f0-b590-af6e09b26273</errorID>
      <errorWord>（</errorWord>
      <group>L1_Punc</group>
      <groupName>标点问题</groupName>
      <ability>L2_Punc_CN</ability>
      <abilityName>标点符号问题</abilityName>
      <candidateList/>
      <explain>同一形式括号套用。</explain>
      <paraID>6623E1B1</paraID>
      <start>308</start>
      <end>309</end>
      <status>ignored</status>
      <modifiedWord/>
      <trackRevisions>false</trackRevisions>
    </reviewItem>
    <reviewItem>
      <errorID>9328b049-a4c7-4b17-a331-e9a09412a911</errorID>
      <errorWord>）</errorWord>
      <group>L1_Punc</group>
      <groupName>标点问题</groupName>
      <ability>L2_Punc_CN</ability>
      <abilityName>标点符号问题</abilityName>
      <candidateList/>
      <explain>同一形式括号套用。</explain>
      <paraID>6623E1B1</paraID>
      <start>314</start>
      <end>315</end>
      <status>ignored</status>
      <modifiedWord/>
      <trackRevisions>false</trackRevisions>
    </reviewItem>
    <reviewItem>
      <errorID>dc7f8007-cc39-46ff-8422-7511c2b16077</errorID>
      <errorWord>“.</errorWord>
      <group>L1_Punc</group>
      <groupName>标点问题</groupName>
      <ability>L2_Punc_CN</ability>
      <abilityName>标点符号问题</abilityName>
      <candidateList>
        <item>“</item>
      </candidateList>
      <explain/>
      <paraID>64DD44DF</paraID>
      <start>30</start>
      <end>32</end>
      <status>ignored</status>
      <modifiedWord/>
      <trackRevisions>false</trackRevisions>
    </reviewItem>
    <reviewItem>
      <errorID>c73cb3fe-9ba7-4ae1-83e8-13b006d14523</errorID>
      <errorWord>“.</errorWord>
      <group>L1_Punc</group>
      <groupName>标点问题</groupName>
      <ability>L2_Punc_CN</ability>
      <abilityName>标点符号问题</abilityName>
      <candidateList>
        <item>“</item>
      </candidateList>
      <explain/>
      <paraID>519B8249</paraID>
      <start>157</start>
      <end>159</end>
      <status>ignored</status>
      <modifiedWord/>
      <trackRevisions>false</trackRevisions>
    </reviewItem>
    <reviewItem>
      <errorID>4e32a2e5-c01b-406e-bfd6-3b1172206962</errorID>
      <errorWord>（</errorWord>
      <group>L1_Punc</group>
      <groupName>标点问题</groupName>
      <ability>L2_Punc_CN</ability>
      <abilityName>标点符号问题</abilityName>
      <candidateList/>
      <explain>同一形式括号套用。</explain>
      <paraID>519B8249</paraID>
      <start>242</start>
      <end>243</end>
      <status>ignored</status>
      <modifiedWord/>
      <trackRevisions>false</trackRevisions>
    </reviewItem>
    <reviewItem>
      <errorID>26fff0ad-d7fb-42c3-91ff-91e4e6fd94eb</errorID>
      <errorWord>）</errorWord>
      <group>L1_Punc</group>
      <groupName>标点问题</groupName>
      <ability>L2_Punc_CN</ability>
      <abilityName>标点符号问题</abilityName>
      <candidateList/>
      <explain>同一形式括号套用。</explain>
      <paraID>519B8249</paraID>
      <start>246</start>
      <end>247</end>
      <status>ignored</status>
      <modifiedWord/>
      <trackRevisions>false</trackRevisions>
    </reviewItem>
    <reviewItem>
      <errorID>e0844f9a-ce7b-42f6-b775-f7e8d29793f9</errorID>
      <errorWord>（</errorWord>
      <group>L1_Punc</group>
      <groupName>标点问题</groupName>
      <ability>L2_Punc_CN</ability>
      <abilityName>标点符号问题</abilityName>
      <candidateList/>
      <explain>同一形式括号套用。</explain>
      <paraID>55F48479</paraID>
      <start>89</start>
      <end>90</end>
      <status>ignored</status>
      <modifiedWord/>
      <trackRevisions>false</trackRevisions>
    </reviewItem>
    <reviewItem>
      <errorID>edba3dc9-6689-44e6-aed5-df382ebd75d7</errorID>
      <errorWord>）</errorWord>
      <group>L1_Punc</group>
      <groupName>标点问题</groupName>
      <ability>L2_Punc_CN</ability>
      <abilityName>标点符号问题</abilityName>
      <candidateList/>
      <explain>同一形式括号套用。</explain>
      <paraID>55F48479</paraID>
      <start>95</start>
      <end>96</end>
      <status>ignored</status>
      <modifiedWord/>
      <trackRevisions>false</trackRevisions>
    </reviewItem>
    <reviewItem>
      <errorID>b74034fb-7085-4f05-b49a-5182d142b216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58</start>
      <end>62</end>
      <status>ignored</status>
      <modifiedWord/>
      <trackRevisions>false</trackRevisions>
    </reviewItem>
    <reviewItem>
      <errorID>4c2e9d93-963a-42d8-a6f1-e8d3ab6c2d24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278</start>
      <end>282</end>
      <status>ignored</status>
      <modifiedWord/>
      <trackRevisions>false</trackRevisions>
    </reviewItem>
    <reviewItem>
      <errorID>ac9e67bb-5ea6-45d7-80fb-91e58c6374e6</errorID>
      <errorWord>取取</errorWord>
      <group>L1_Word</group>
      <groupName>字词问题</groupName>
      <ability>L2_Typo</ability>
      <abilityName>字词错误</abilityName>
      <candidateList>
        <item>取</item>
      </candidateList>
      <explain/>
      <paraID>37E15AAE</paraID>
      <start>59</start>
      <end>60</end>
      <status>modified</status>
      <modifiedWord>取</modifiedWord>
      <trackRevisions>false</trackRevisions>
    </reviewItem>
    <reviewItem>
      <errorID>12b6d763-bc41-4970-89d2-14ea7e922895</errorID>
      <errorWord>、以及</errorWord>
      <group>L1_Punc</group>
      <groupName>标点问题</groupName>
      <ability>L2_Punc_CN</ability>
      <abilityName>标点符号问题</abilityName>
      <candidateList>
        <item>，以及</item>
      </candidateList>
      <explain>连接词前后不宜使用顿号，建议使用逗号。</explain>
      <paraID>60855A8B</paraID>
      <start>14</start>
      <end>17</end>
      <status>modified</status>
      <modifiedWord>，以及</modifiedWord>
      <trackRevisions>false</trackRevisions>
    </reviewItem>
    <reviewItem>
      <errorID>5249527d-9916-4741-adb1-c3c3885f3c1b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2E4BC25B</paraID>
      <start>0</start>
      <end>2</end>
      <status>modified</status>
      <modifiedWord>2.</modifiedWord>
      <trackRevisions>false</trackRevisions>
    </reviewItem>
    <reviewItem>
      <errorID>b2105da3-a1d5-4683-8630-d77e8d56ebf9</errorID>
      <errorWord>《</errorWord>
      <group>L1_Punc</group>
      <groupName>标点问题</groupName>
      <ability>L2_Punc_CN</ability>
      <abilityName>标点符号问题</abilityName>
      <candidateList/>
      <explain>同一形式括号套用。</explain>
      <paraID>4F4CE0DC</paraID>
      <start>68</start>
      <end>69</end>
      <status>ignored</status>
      <modifiedWord/>
      <trackRevisions>false</trackRevisions>
    </reviewItem>
    <reviewItem>
      <errorID>98a069e8-989c-4498-97ba-51240836d9e3</errorID>
      <errorWord>》</errorWord>
      <group>L1_Punc</group>
      <groupName>标点问题</groupName>
      <ability>L2_Punc_CN</ability>
      <abilityName>标点符号问题</abilityName>
      <candidateList/>
      <explain>同一形式括号套用。</explain>
      <paraID>4F4CE0DC</paraID>
      <start>84</start>
      <end>85</end>
      <status>ignored</status>
      <modifiedWord/>
      <trackRevisions>false</trackRevisions>
    </reviewItem>
    <reviewItem>
      <errorID>827133c6-7aab-49e1-8c9e-0d7d1924a407</errorID>
      <errorWord>详实</errorWord>
      <group>L1_Word</group>
      <groupName>字词问题</groupName>
      <ability>L2_Typo</ability>
      <abilityName>字词错误</abilityName>
      <candidateList>
        <item>翔实</item>
      </candidateList>
      <explain/>
      <paraID>70D116EE</paraID>
      <start>8</start>
      <end>10</end>
      <status>ignored</status>
      <modifiedWord/>
      <trackRevisions>false</trackRevisions>
    </reviewItem>
    <reviewItem>
      <errorID>e870384a-1ce3-4b5e-9bf2-440ba7d1b508</errorID>
      <errorWord>，</errorWord>
      <group>L1_Word</group>
      <groupName>字词问题</groupName>
      <ability>L2_Typo</ability>
      <abilityName>字词错误</abilityName>
      <candidateList>
        <item>，有</item>
      </candidateList>
      <explain/>
      <paraID>70D116EE</paraID>
      <start>24</start>
      <end>26</end>
      <status>modified</status>
      <modifiedWord>，有</modifiedWord>
      <trackRevisions>false</trackRevisions>
    </reviewItem>
    <reviewItem>
      <errorID>e30f6d65-1d05-458e-bfd9-1e222754941a</errorID>
      <errorWord>，。</errorWord>
      <group>L1_Punc</group>
      <groupName>标点问题</groupName>
      <ability>L2_Punc_CN</ability>
      <abilityName>标点符号问题</abilityName>
      <candidateList>
        <item>，</item>
      </candidateList>
      <explain/>
      <paraID>1A1F67A2</paraID>
      <start>50</start>
      <end>51</end>
      <status>modified</status>
      <modifiedWord>，</modifiedWord>
      <trackRevisions>false</trackRevisions>
    </reviewItem>
    <reviewItem>
      <errorID>784861a8-9148-415a-8f09-2f589c364c2c</errorID>
      <errorWord>详实</errorWord>
      <group>L1_Word</group>
      <groupName>字词问题</groupName>
      <ability>L2_Typo</ability>
      <abilityName>字词错误</abilityName>
      <candidateList>
        <item>翔实</item>
      </candidateList>
      <explain/>
      <paraID>215A3EE6</paraID>
      <start>8</start>
      <end>10</end>
      <status>ignored</status>
      <modifiedWord/>
      <trackRevisions>false</trackRevisions>
    </reviewItem>
    <reviewItem>
      <errorID>4b9f1e7e-eb10-49b9-b515-47c97bb25006</errorID>
      <errorWord>，</errorWord>
      <group>L1_Word</group>
      <groupName>字词问题</groupName>
      <ability>L2_Typo</ability>
      <abilityName>字词错误</abilityName>
      <candidateList>
        <item>，有</item>
      </candidateList>
      <explain/>
      <paraID>215A3EE6</paraID>
      <start>24</start>
      <end>26</end>
      <status>modified</status>
      <modifiedWord>，有</modifiedWord>
      <trackRevisions>false</trackRevisions>
    </reviewItem>
    <reviewItem>
      <errorID>ff0e1f24-1f42-4073-b16b-811323304f4b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37CD253D</paraID>
      <start>12</start>
      <end>13</end>
      <status>ignored</status>
      <modifiedWord/>
      <trackRevisions>false</trackRevisions>
    </reviewItem>
    <reviewItem>
      <errorID>6b93f4bf-c4ff-476d-ae16-1dfedaca5fc1</errorID>
      <errorWord>)</errorWord>
      <group>L1_Format</group>
      <groupName>格式问题</groupName>
      <ability>L2_HalfPunc_CN</ability>
      <abilityName>全半角问题</abilityName>
      <candidateList>
        <item>）</item>
      </candidateList>
      <explain>文本全半角错误。</explain>
      <paraID>532C85FD</paraID>
      <start>72</start>
      <end>73</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3A53FD-2AE8-4D0D-A3B7-B0A62B3A79F8}"/>
</file>

<file path=customXml/itemProps3.xml><?xml version="1.0" encoding="utf-8"?>
<ds:datastoreItem xmlns:ds="http://schemas.openxmlformats.org/officeDocument/2006/customXml" ds:itemID="{B85CB073-7993-40AA-B2F1-A2DD7641A69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9</cp:revision>
  <dcterms:created xsi:type="dcterms:W3CDTF">2026-04-15T05:56:00Z</dcterms:created>
  <dcterms:modified xsi:type="dcterms:W3CDTF">2026-10-10T01:58:49Z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eyJoZGlkIjoiYzY1NjhjNTIzZDNlYWNhZmE2MDI3ODllMTY3MDFmMTciLCJ1c2VySWQiOiIzOTM5ODE4NTgifQ==</vt:lpwstr>
  </property>
  <property fmtid="{D5CDD505-2E9C-101B-9397-08002B2CF9AE}" pid="3" name="KSOProductBuildVer">
    <vt:lpwstr>2052-12.1.0.28505</vt:lpwstr>
  </property>
  <property fmtid="{D5CDD505-2E9C-101B-9397-08002B2CF9AE}" pid="4" name="ICV">
    <vt:lpwstr>A1924A3DF3374C7782827D777D1D5B01_13</vt:lpwstr>
  </property>
</Properties>
</file>