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pacing w:val="20"/>
          <w:sz w:val="52"/>
          <w:szCs w:val="52"/>
          <w:highlight w:val="none"/>
        </w:rPr>
        <w:t xml:space="preserve">政府采购</w:t>
      </w:r>
      <w:r/>
    </w:p>
    <w:p>
      <w:pPr>
        <w:jc w:val="center"/>
        <w:spacing w:line="360" w:lineRule="auto"/>
        <w:rPr>
          <w:rFonts w:hint="eastAsia" w:ascii="宋体" w:hAnsi="宋体" w:cs="宋体"/>
          <w:b/>
          <w:color w:val="auto"/>
          <w:spacing w:val="20"/>
          <w:sz w:val="52"/>
          <w:szCs w:val="52"/>
          <w:highlight w:val="none"/>
        </w:rPr>
      </w:pPr>
      <w:r>
        <w:rPr>
          <w:rFonts w:hint="eastAsia" w:ascii="宋体" w:hAnsi="宋体" w:cs="宋体"/>
          <w:b/>
          <w:color w:val="auto"/>
          <w:spacing w:val="20"/>
          <w:sz w:val="52"/>
          <w:szCs w:val="52"/>
          <w:highlight w:val="none"/>
        </w:rPr>
        <w:t xml:space="preserve">公开招标文件</w:t>
      </w:r>
      <w:r/>
    </w:p>
    <w:p>
      <w:pPr>
        <w:jc w:val="center"/>
        <w:spacing w:line="360" w:lineRule="auto"/>
        <w:rPr>
          <w:rFonts w:hint="eastAsia" w:ascii="宋体" w:hAnsi="宋体" w:cs="宋体"/>
          <w:color w:val="auto"/>
          <w:highlight w:val="none"/>
        </w:rPr>
      </w:pPr>
      <w:r>
        <w:rPr>
          <w:rFonts w:hint="eastAsia" w:ascii="宋体" w:hAnsi="宋体"/>
          <w:b/>
          <w:color w:val="auto"/>
          <w:sz w:val="32"/>
          <w:szCs w:val="32"/>
          <w:highlight w:val="none"/>
        </w:rPr>
        <w:t xml:space="preserve">（全流程电子化）</w:t>
      </w:r>
      <w:r/>
    </w:p>
    <w:p>
      <w:pP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20"/>
        <w:spacing w:line="48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采购项目编号：JSZC-320000-JSWD-G2026-0042</w:t>
      </w:r>
      <w:r/>
    </w:p>
    <w:p>
      <w:pPr>
        <w:ind w:firstLine="420"/>
        <w:spacing w:line="48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过程控制实验室装置采购项目</w:t>
      </w:r>
      <w:r/>
    </w:p>
    <w:p>
      <w:pPr>
        <w:ind w:firstLine="420"/>
        <w:spacing w:line="48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 购 人：无锡职业技术大学</w:t>
      </w:r>
      <w:r/>
    </w:p>
    <w:p>
      <w:pPr>
        <w:ind w:firstLine="420"/>
        <w:jc w:val="left"/>
        <w:spacing w:line="48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采购代理机构：江苏万达工程造价事务所有限公司</w:t>
      </w:r>
      <w:r/>
    </w:p>
    <w:p>
      <w:pPr>
        <w:jc w:val="center"/>
        <w:spacing w:line="48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8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二○二六年</w:t>
      </w:r>
      <w:r>
        <w:rPr>
          <w:rFonts w:hint="eastAsia" w:ascii="宋体" w:hAnsi="宋体" w:cs="宋体"/>
          <w:b/>
          <w:color w:val="auto"/>
          <w:sz w:val="32"/>
          <w:szCs w:val="32"/>
          <w:highlight w:val="none"/>
          <w:lang w:val="en-US" w:eastAsia="zh-CN"/>
        </w:rPr>
        <w:t xml:space="preserve">九</w:t>
      </w:r>
      <w:r>
        <w:rPr>
          <w:rFonts w:hint="eastAsia" w:ascii="宋体" w:hAnsi="宋体" w:cs="宋体"/>
          <w:b/>
          <w:color w:val="auto"/>
          <w:sz w:val="32"/>
          <w:szCs w:val="32"/>
          <w:highlight w:val="none"/>
        </w:rPr>
        <w:t xml:space="preserve">月</w:t>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1000" w:lineRule="exact"/>
        <w:tabs>
          <w:tab w:val="left" w:pos="8000" w:leader="none"/>
        </w:tabs>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第一部分    投标邀请</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第二部分    投标供应商须知</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w:t>
      </w:r>
      <w:r/>
    </w:p>
    <w:p>
      <w:pPr>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合同书（格式文本）</w:t>
      </w:r>
      <w:r/>
    </w:p>
    <w:p>
      <w:pPr>
        <w:spacing w:line="1000" w:lineRule="exact"/>
        <w:rPr>
          <w:rFonts w:hint="eastAsia" w:ascii="宋体" w:hAnsi="宋体" w:cs="宋体"/>
          <w:b/>
          <w:color w:val="auto"/>
          <w:sz w:val="24"/>
          <w:highlight w:val="none"/>
        </w:rPr>
      </w:pPr>
      <w:r>
        <w:rPr>
          <w:rFonts w:hint="eastAsia" w:ascii="宋体" w:hAnsi="宋体" w:cs="宋体"/>
          <w:b/>
          <w:color w:val="auto"/>
          <w:sz w:val="30"/>
          <w:szCs w:val="30"/>
          <w:highlight w:val="none"/>
        </w:rPr>
        <w:t xml:space="preserve">第五部分    附件（投标文件格式）</w:t>
      </w:r>
      <w:r/>
    </w:p>
    <w:p>
      <w:pPr>
        <w:pStyle w:val="669"/>
        <w:jc w:val="center"/>
        <w:keepLines/>
        <w:keepNext/>
        <w:pageBreakBefore w:val="0"/>
        <w:spacing w:before="240" w:after="240"/>
        <w:widowControl w:val="off"/>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2"/>
        <w:spacing w:line="360" w:lineRule="auto"/>
        <w:widowControl/>
        <w:rPr>
          <w:rFonts w:hint="eastAsia" w:ascii="宋体" w:hAnsi="宋体" w:cs="宋体"/>
          <w:b/>
          <w:color w:val="auto"/>
          <w:sz w:val="44"/>
          <w:szCs w:val="44"/>
          <w:highlight w:val="none"/>
        </w:rPr>
      </w:pPr>
      <w:r>
        <w:rPr>
          <w:rFonts w:hint="eastAsia" w:ascii="宋体" w:hAnsi="宋体" w:cs="宋体"/>
          <w:b/>
          <w:bCs/>
          <w:color w:val="auto"/>
          <w:sz w:val="24"/>
          <w:highlight w:val="none"/>
        </w:rPr>
        <w:t xml:space="preserve">江苏万达工程造价事务所有限公司</w:t>
      </w:r>
      <w:r>
        <w:rPr>
          <w:rFonts w:hint="eastAsia" w:ascii="宋体" w:hAnsi="宋体" w:cs="宋体"/>
          <w:color w:val="auto"/>
          <w:sz w:val="24"/>
          <w:highlight w:val="none"/>
        </w:rPr>
        <w:t xml:space="preserve">受</w:t>
      </w:r>
      <w:r>
        <w:rPr>
          <w:rFonts w:hint="eastAsia" w:ascii="宋体" w:hAnsi="宋体" w:cs="宋体"/>
          <w:b/>
          <w:bCs/>
          <w:color w:val="auto"/>
          <w:sz w:val="24"/>
          <w:highlight w:val="none"/>
        </w:rPr>
        <w:t xml:space="preserve">无锡职业技术大学</w:t>
      </w:r>
      <w:r>
        <w:rPr>
          <w:rFonts w:hint="eastAsia" w:ascii="宋体" w:hAnsi="宋体" w:cs="宋体"/>
          <w:color w:val="auto"/>
          <w:sz w:val="24"/>
          <w:highlight w:val="none"/>
        </w:rPr>
        <w:t xml:space="preserve">委托，就其</w:t>
      </w:r>
      <w:r>
        <w:rPr>
          <w:rFonts w:hint="eastAsia" w:ascii="宋体" w:hAnsi="宋体" w:cs="宋体"/>
          <w:b/>
          <w:bCs/>
          <w:color w:val="auto"/>
          <w:sz w:val="24"/>
          <w:highlight w:val="none"/>
          <w:lang w:eastAsia="zh-CN"/>
        </w:rPr>
        <w:t xml:space="preserve">过程控制实验室装置采购项目</w:t>
      </w:r>
      <w:r>
        <w:rPr>
          <w:rFonts w:hint="eastAsia" w:ascii="宋体" w:hAnsi="宋体" w:cs="宋体"/>
          <w:color w:val="auto"/>
          <w:sz w:val="24"/>
          <w:highlight w:val="none"/>
        </w:rPr>
        <w:t xml:space="preserve">进行公开招标。现欢迎符合相关条件的供应商参加投标，投标邀请如下：</w:t>
      </w:r>
      <w:r/>
    </w:p>
    <w:tbl>
      <w:tblPr>
        <w:tblStyle w:val="679"/>
        <w:tblW w:w="50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8694"/>
      </w:tblGrid>
      <w:tr>
        <w:trPr>
          <w:jc w:val="center"/>
          <w:trHeight w:val="435"/>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869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Height w:val="90"/>
        </w:trPr>
        <w:tc>
          <w:tcPr>
            <w:tcW w:w="774"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8695" w:type="dxa"/>
            <w:vAlign w:val="center"/>
            <w:textDirection w:val="lrTb"/>
            <w:noWrap w:val="false"/>
          </w:tcPr>
          <w:p>
            <w:pPr>
              <w:spacing w:line="324"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采购项目名称：</w:t>
            </w:r>
            <w:r>
              <w:rPr>
                <w:rFonts w:hint="eastAsia" w:ascii="宋体" w:hAnsi="宋体" w:cs="宋体"/>
                <w:color w:val="auto"/>
                <w:sz w:val="24"/>
                <w:highlight w:val="none"/>
                <w:lang w:eastAsia="zh-CN"/>
              </w:rPr>
              <w:t xml:space="preserve">过程控制实验室装置采购项目</w:t>
            </w:r>
            <w:r/>
          </w:p>
          <w:p>
            <w:pPr>
              <w:spacing w:line="324"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采购项目编号：JSZC-320000-JSWD-G2026-0042</w:t>
            </w:r>
            <w:r/>
          </w:p>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采购方式：公开招标</w:t>
            </w:r>
            <w:r/>
          </w:p>
        </w:tc>
      </w:tr>
      <w:tr>
        <w:trPr>
          <w:jc w:val="center"/>
          <w:trHeight w:val="1443"/>
        </w:trPr>
        <w:tc>
          <w:tcPr>
            <w:tcW w:w="774"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8695" w:type="dxa"/>
            <w:vAlign w:val="center"/>
            <w:textDirection w:val="lrTb"/>
            <w:noWrap w:val="false"/>
          </w:tcPr>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采购人：无锡职业技术大学</w:t>
            </w:r>
            <w:r/>
          </w:p>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采购人地址：无锡市大学城高浪西路1600号</w:t>
            </w:r>
            <w:r/>
          </w:p>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采购代理机构：江苏万达工程造价事务所有限公司</w:t>
            </w:r>
            <w:r/>
          </w:p>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采购代理机构地址：无锡市滨湖区滴翠路100号B幢1005室</w:t>
            </w:r>
            <w:r/>
          </w:p>
        </w:tc>
      </w:tr>
      <w:tr>
        <w:trPr>
          <w:jc w:val="center"/>
          <w:trHeight w:val="442"/>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8695" w:type="dxa"/>
            <w:vAlign w:val="center"/>
            <w:textDirection w:val="lrTb"/>
            <w:noWrap w:val="false"/>
          </w:tcPr>
          <w:p>
            <w:pPr>
              <w:spacing w:line="324" w:lineRule="auto"/>
              <w:rPr>
                <w:rFonts w:hint="eastAsia"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numPr>
                <w:ilvl w:val="0"/>
                <w:numId w:val="6"/>
              </w:numPr>
              <w:jc w:val="left"/>
              <w:spacing w:line="324" w:lineRule="auto"/>
              <w:widowControl/>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项目概况：</w:t>
            </w:r>
            <w:r>
              <w:rPr>
                <w:rFonts w:hint="eastAsia" w:ascii="宋体" w:hAnsi="宋体" w:eastAsia="宋体" w:cs="宋体"/>
                <w:color w:val="auto"/>
                <w:sz w:val="24"/>
                <w:highlight w:val="none"/>
                <w:lang w:val="en-US" w:eastAsia="zh-CN"/>
              </w:rPr>
              <w:t xml:space="preserve">本采购项目为过程控制实验室装置设备采购</w:t>
            </w:r>
            <w:r>
              <w:rPr>
                <w:rFonts w:hint="eastAsia" w:ascii="宋体" w:hAnsi="宋体" w:cs="宋体"/>
                <w:color w:val="auto"/>
                <w:sz w:val="24"/>
                <w:highlight w:val="none"/>
                <w:lang w:val="en-US" w:eastAsia="zh-CN"/>
              </w:rPr>
              <w:t xml:space="preserve">，主要包括</w:t>
            </w:r>
            <w:r>
              <w:rPr>
                <w:rFonts w:hint="eastAsia" w:ascii="宋体" w:hAnsi="宋体" w:eastAsia="宋体" w:cs="宋体"/>
                <w:color w:val="auto"/>
                <w:sz w:val="24"/>
                <w:highlight w:val="none"/>
                <w:lang w:val="en-US" w:eastAsia="zh-CN"/>
              </w:rPr>
              <w:t xml:space="preserve">过程控制系统教学实验装置</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lang w:val="en-US" w:eastAsia="zh-CN"/>
              </w:rPr>
              <w:t xml:space="preserve">DCS型过程控制系统教学实验装置设备采购。</w:t>
            </w:r>
            <w:r/>
          </w:p>
          <w:p>
            <w:pPr>
              <w:spacing w:line="324" w:lineRule="auto"/>
              <w:rPr>
                <w:rFonts w:hint="eastAsia" w:ascii="宋体" w:hAnsi="宋体" w:cs="宋体"/>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en-US" w:eastAsia="zh-CN"/>
              </w:rPr>
              <w:t xml:space="preserve">采购</w:t>
            </w:r>
            <w:r>
              <w:rPr>
                <w:rFonts w:hint="eastAsia" w:ascii="宋体" w:hAnsi="宋体" w:cs="宋体"/>
                <w:bCs/>
                <w:color w:val="auto"/>
                <w:sz w:val="24"/>
                <w:highlight w:val="none"/>
              </w:rPr>
              <w:t xml:space="preserve">内容：</w:t>
            </w:r>
            <w:r>
              <w:rPr>
                <w:rFonts w:hint="eastAsia" w:ascii="宋体" w:hAnsi="宋体"/>
                <w:color w:val="auto"/>
                <w:sz w:val="24"/>
                <w:highlight w:val="none"/>
              </w:rPr>
              <w:t xml:space="preserve">本采购项目为</w:t>
            </w:r>
            <w:r>
              <w:rPr>
                <w:rFonts w:hint="eastAsia" w:ascii="宋体" w:hAnsi="宋体"/>
                <w:color w:val="auto"/>
                <w:sz w:val="24"/>
                <w:highlight w:val="none"/>
                <w:lang w:eastAsia="zh-CN"/>
              </w:rPr>
              <w:t xml:space="preserve">过程控制实验室装置</w:t>
            </w:r>
            <w:r>
              <w:rPr>
                <w:rFonts w:hint="eastAsia" w:ascii="宋体" w:hAnsi="宋体"/>
                <w:color w:val="auto"/>
                <w:sz w:val="24"/>
                <w:highlight w:val="none"/>
              </w:rPr>
              <w:t xml:space="preserve">设备采购</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具体要求详见招标文件第三部分“采购需求”。</w:t>
            </w:r>
            <w:r/>
          </w:p>
          <w:p>
            <w:pPr>
              <w:spacing w:line="324" w:lineRule="auto"/>
              <w:rPr>
                <w:rFonts w:hint="eastAsia" w:ascii="宋体" w:hAnsi="宋体"/>
                <w:color w:val="auto"/>
                <w:sz w:val="24"/>
                <w:highlight w:val="none"/>
              </w:rPr>
            </w:pPr>
            <w:r>
              <w:rPr>
                <w:rFonts w:hint="eastAsia" w:ascii="宋体" w:hAnsi="宋体" w:cs="宋体"/>
                <w:color w:val="auto"/>
                <w:sz w:val="24"/>
                <w:highlight w:val="none"/>
              </w:rPr>
              <w:t xml:space="preserve">（3）</w:t>
            </w:r>
            <w:r>
              <w:rPr>
                <w:rFonts w:ascii="宋体" w:hAnsi="宋体"/>
                <w:color w:val="auto"/>
                <w:sz w:val="24"/>
                <w:highlight w:val="none"/>
              </w:rPr>
              <w:t xml:space="preserve">交货期：</w:t>
            </w:r>
            <w:r>
              <w:rPr>
                <w:rFonts w:hint="eastAsia" w:ascii="宋体" w:hAnsi="宋体"/>
                <w:color w:val="auto"/>
                <w:sz w:val="24"/>
                <w:highlight w:val="none"/>
              </w:rPr>
              <w:t xml:space="preserve">自合同签订之日起40日内完成供货安装调试及终验收工作</w:t>
            </w:r>
            <w:r>
              <w:rPr>
                <w:rFonts w:hint="eastAsia" w:ascii="宋体" w:hAnsi="宋体" w:cs="仿宋_GB2312"/>
                <w:color w:val="auto"/>
                <w:sz w:val="24"/>
                <w:highlight w:val="none"/>
              </w:rPr>
              <w:t xml:space="preserve">。</w:t>
            </w:r>
            <w:r/>
          </w:p>
          <w:p>
            <w:pPr>
              <w:spacing w:line="324" w:lineRule="auto"/>
              <w:rPr>
                <w:rFonts w:hint="eastAsia" w:ascii="宋体" w:hAnsi="宋体"/>
                <w:color w:val="auto"/>
                <w:sz w:val="24"/>
                <w:highlight w:val="none"/>
              </w:rPr>
            </w:pPr>
            <w:r/>
            <w:bookmarkStart w:id="0" w:name="_Hlk42028919"/>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bookmarkEnd w:id="0"/>
            <w:r>
              <w:rPr>
                <w:rFonts w:hint="eastAsia" w:ascii="宋体" w:hAnsi="宋体" w:cs="宋体"/>
                <w:color w:val="auto"/>
                <w:sz w:val="24"/>
                <w:highlight w:val="none"/>
              </w:rPr>
              <w:t xml:space="preserve">质保期：</w:t>
            </w:r>
            <w:r>
              <w:rPr>
                <w:rFonts w:hint="eastAsia" w:ascii="宋体" w:hAnsi="宋体" w:cs="宋体"/>
                <w:color w:val="auto"/>
                <w:sz w:val="24"/>
                <w:highlight w:val="none"/>
                <w:lang w:val="en-US" w:eastAsia="zh-CN"/>
              </w:rPr>
              <w:t xml:space="preserve">两年</w:t>
            </w:r>
            <w:r>
              <w:rPr>
                <w:rFonts w:hint="eastAsia" w:ascii="宋体" w:hAnsi="宋体" w:cs="宋体"/>
                <w:color w:val="auto"/>
                <w:sz w:val="24"/>
                <w:highlight w:val="none"/>
              </w:rPr>
              <w:t xml:space="preserve">。</w:t>
            </w:r>
            <w:r/>
          </w:p>
          <w:p>
            <w:pPr>
              <w:spacing w:line="324"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）售后服务要求：实验设备整体质保要求</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年，每年提供二次定期（具体时间与用户沟通）设备检测及维护，收到学校报修需求，1小时内响应。2小时内提供解决方案，24小时内赶到现场。</w:t>
            </w:r>
            <w:r/>
          </w:p>
          <w:p>
            <w:pPr>
              <w:spacing w:line="324" w:lineRule="auto"/>
              <w:rPr>
                <w:rFonts w:hint="eastAsia" w:ascii="宋体" w:hAnsi="宋体"/>
                <w:bCs/>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）预算金额及最高限价：</w:t>
            </w: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万元</w:t>
            </w:r>
            <w:r>
              <w:rPr>
                <w:rFonts w:hint="eastAsia" w:ascii="宋体" w:hAnsi="宋体" w:cs="宋体"/>
                <w:color w:val="auto"/>
                <w:sz w:val="24"/>
                <w:highlight w:val="none"/>
              </w:rPr>
              <w:t xml:space="preserve">；</w:t>
            </w:r>
            <w:r/>
          </w:p>
          <w:p>
            <w:pPr>
              <w:spacing w:line="324"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w:t>
            </w:r>
            <w:r>
              <w:rPr>
                <w:rFonts w:hint="eastAsia" w:ascii="宋体" w:hAnsi="宋体"/>
                <w:b/>
                <w:color w:val="auto"/>
                <w:sz w:val="24"/>
                <w:highlight w:val="none"/>
                <w:lang w:val="zh-CN"/>
              </w:rPr>
              <w:t xml:space="preserve">本项目是否专门面向中小</w:t>
            </w:r>
            <w:r>
              <w:rPr>
                <w:rFonts w:hint="eastAsia" w:ascii="宋体" w:hAnsi="宋体"/>
                <w:b/>
                <w:color w:val="auto"/>
                <w:sz w:val="24"/>
                <w:highlight w:val="none"/>
                <w:lang w:val="en-US" w:eastAsia="zh-CN"/>
              </w:rPr>
              <w:t xml:space="preserve">微</w:t>
            </w:r>
            <w:r>
              <w:rPr>
                <w:rFonts w:hint="eastAsia" w:ascii="宋体" w:hAnsi="宋体"/>
                <w:b/>
                <w:color w:val="auto"/>
                <w:sz w:val="24"/>
                <w:highlight w:val="none"/>
                <w:lang w:val="zh-CN"/>
              </w:rPr>
              <w:t xml:space="preserve">企业采购：</w:t>
            </w:r>
            <w:r>
              <w:rPr>
                <w:rFonts w:hint="eastAsia" w:ascii="宋体" w:hAnsi="宋体"/>
                <w:b/>
                <w:color w:val="auto"/>
                <w:sz w:val="24"/>
                <w:highlight w:val="none"/>
              </w:rPr>
              <w:t xml:space="preserve">否；</w:t>
            </w:r>
            <w:r/>
          </w:p>
          <w:p>
            <w:pPr>
              <w:spacing w:line="324" w:lineRule="auto"/>
              <w:rPr>
                <w:rFonts w:hint="eastAsia" w:ascii="宋体" w:hAnsi="宋体" w:cs="宋体"/>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zh-CN"/>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3974"/>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W w:w="8695" w:type="dxa"/>
            <w:vAlign w:val="center"/>
            <w:textDirection w:val="lrTb"/>
            <w:noWrap w:val="false"/>
          </w:tcPr>
          <w:p>
            <w:pPr>
              <w:spacing w:line="324" w:lineRule="auto"/>
              <w:widowControl/>
              <w:rPr>
                <w:rFonts w:hint="eastAsia" w:ascii="宋体" w:hAnsi="宋体" w:cs="宋体"/>
                <w:color w:val="auto"/>
                <w:sz w:val="24"/>
                <w:highlight w:val="none"/>
                <w:lang w:val="en-US"/>
              </w:rPr>
            </w:pPr>
            <w:r>
              <w:rPr>
                <w:rFonts w:hint="eastAsia" w:ascii="宋体" w:hAnsi="宋体" w:cs="宋体"/>
                <w:color w:val="auto"/>
                <w:sz w:val="24"/>
                <w:highlight w:val="none"/>
                <w:lang w:val="zh-CN"/>
              </w:rPr>
              <w:t xml:space="preserve">投标供应商资格要求</w:t>
            </w:r>
            <w:r>
              <w:rPr>
                <w:rFonts w:hint="eastAsia" w:ascii="宋体" w:hAnsi="宋体" w:cs="宋体"/>
                <w:color w:val="auto"/>
                <w:sz w:val="24"/>
                <w:highlight w:val="none"/>
                <w:lang w:val="en-US"/>
              </w:rPr>
              <w:t xml:space="preserve">：</w:t>
            </w:r>
            <w:r/>
          </w:p>
          <w:p>
            <w:pPr>
              <w:spacing w:line="324"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rPr>
              <w:t xml:space="preserve">）</w:t>
            </w:r>
            <w:r>
              <w:rPr>
                <w:rFonts w:hint="eastAsia" w:ascii="宋体" w:hAnsi="宋体" w:cs="宋体"/>
                <w:color w:val="auto"/>
                <w:sz w:val="24"/>
                <w:highlight w:val="none"/>
                <w:lang w:val="zh-CN"/>
              </w:rPr>
              <w:t xml:space="preserve">未被</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信用中国</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网站</w:t>
            </w:r>
            <w:r>
              <w:rPr>
                <w:rFonts w:hint="eastAsia" w:ascii="宋体" w:hAnsi="宋体" w:cs="宋体"/>
                <w:color w:val="auto"/>
                <w:sz w:val="24"/>
                <w:highlight w:val="none"/>
              </w:rPr>
              <w:t xml:space="preserve">（www.creditchina.go</w:t>
            </w:r>
            <w:r>
              <w:rPr>
                <w:rFonts w:hint="eastAsia" w:ascii="宋体" w:hAnsi="宋体" w:cs="宋体"/>
                <w:color w:val="auto"/>
                <w:sz w:val="24"/>
                <w:highlight w:val="none"/>
                <w:lang w:val="en-US"/>
              </w:rPr>
              <w:t xml:space="preserve">v.cn）</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rPr>
              <w:t xml:space="preserve">“</w:t>
            </w:r>
            <w:r>
              <w:rPr>
                <w:rFonts w:hint="eastAsia" w:ascii="宋体" w:hAnsi="宋体" w:cs="宋体"/>
                <w:color w:val="auto"/>
                <w:sz w:val="24"/>
                <w:highlight w:val="none"/>
                <w:lang w:val="zh-CN"/>
              </w:rPr>
              <w:t xml:space="preserve">中国政府采购网</w:t>
            </w:r>
            <w:r>
              <w:rPr>
                <w:rFonts w:hint="eastAsia" w:ascii="宋体" w:hAnsi="宋体" w:cs="宋体"/>
                <w:color w:val="auto"/>
                <w:sz w:val="24"/>
                <w:highlight w:val="none"/>
                <w:lang w:val="en-US"/>
              </w:rPr>
              <w:t xml:space="preserve">”(www.ccgp.gov.cn)</w:t>
            </w:r>
            <w:r>
              <w:rPr>
                <w:rFonts w:hint="eastAsia" w:ascii="宋体" w:hAnsi="宋体" w:cs="宋体"/>
                <w:color w:val="auto"/>
                <w:sz w:val="24"/>
                <w:highlight w:val="none"/>
                <w:lang w:val="zh-CN"/>
              </w:rPr>
              <w:t xml:space="preserve">列入失信被执行人、重大税收违法案件当事人名单、政府采购严重失信行为记录名单</w:t>
            </w:r>
            <w:r>
              <w:rPr>
                <w:rFonts w:hint="eastAsia" w:ascii="宋体" w:hAnsi="宋体" w:cs="宋体"/>
                <w:color w:val="auto"/>
                <w:sz w:val="24"/>
                <w:highlight w:val="none"/>
                <w:lang w:val="en-US"/>
              </w:rPr>
              <w:t xml:space="preserve">；</w:t>
            </w:r>
            <w:r/>
          </w:p>
          <w:p>
            <w:pPr>
              <w:spacing w:line="324"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（2）满足</w:t>
            </w:r>
            <w:r>
              <w:rPr>
                <w:rFonts w:hint="eastAsia" w:ascii="宋体" w:hAnsi="宋体" w:cs="宋体"/>
                <w:color w:val="auto"/>
                <w:sz w:val="24"/>
                <w:highlight w:val="none"/>
                <w:lang w:val="zh-CN"/>
              </w:rPr>
              <w:t xml:space="preserve">《中华人民共和国政府采购法》第二十二条的规定；</w:t>
            </w:r>
            <w:r/>
          </w:p>
          <w:p>
            <w:pPr>
              <w:spacing w:line="324"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）授权代表</w:t>
            </w:r>
            <w:r>
              <w:rPr>
                <w:rFonts w:hint="eastAsia" w:ascii="宋体" w:hAnsi="宋体" w:cs="宋体"/>
                <w:color w:val="auto"/>
                <w:sz w:val="24"/>
                <w:highlight w:val="none"/>
              </w:rPr>
              <w:t xml:space="preserve">须</w:t>
            </w:r>
            <w:r>
              <w:rPr>
                <w:rFonts w:hint="eastAsia" w:ascii="宋体" w:hAnsi="宋体" w:cs="宋体"/>
                <w:color w:val="auto"/>
                <w:sz w:val="24"/>
                <w:highlight w:val="none"/>
                <w:lang w:val="zh-CN"/>
              </w:rPr>
              <w:t xml:space="preserve">为</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供应商本单位在职员工；</w:t>
            </w:r>
            <w:r/>
          </w:p>
          <w:p>
            <w:pPr>
              <w:spacing w:line="324"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本项目不接受联合体投标。</w:t>
            </w:r>
            <w:r/>
          </w:p>
          <w:p>
            <w:pPr>
              <w:spacing w:line="324" w:lineRule="auto"/>
              <w:widowControl/>
              <w:rPr>
                <w:color w:val="auto"/>
                <w:sz w:val="24"/>
                <w:highlight w:val="none"/>
                <w:lang w:val="zh-CN"/>
              </w:rPr>
            </w:pPr>
            <w:r>
              <w:rPr>
                <w:rFonts w:hint="eastAsia" w:ascii="宋体" w:hAnsi="宋体" w:cs="宋体"/>
                <w:color w:val="auto"/>
                <w:sz w:val="24"/>
                <w:highlight w:val="none"/>
              </w:rPr>
              <w:t xml:space="preserve">注：采购人及采购代理机构有权对以上资格条件进行核查，如供应商有弄虚作假行为或不具备以上条件的将取消报价资格。</w:t>
            </w:r>
            <w:r/>
          </w:p>
        </w:tc>
      </w:tr>
      <w:tr>
        <w:trPr>
          <w:jc w:val="center"/>
          <w:trHeight w:val="1530"/>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W w:w="8695" w:type="dxa"/>
            <w:vAlign w:val="center"/>
            <w:textDirection w:val="lrTb"/>
            <w:noWrap w:val="false"/>
          </w:tcPr>
          <w:p>
            <w:pPr>
              <w:spacing w:line="324"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招标</w:t>
            </w:r>
            <w:r>
              <w:rPr>
                <w:rFonts w:hint="eastAsia" w:ascii="宋体" w:hAnsi="宋体" w:cs="宋体"/>
                <w:color w:val="auto"/>
                <w:sz w:val="24"/>
                <w:highlight w:val="none"/>
                <w:lang w:val="zh-CN"/>
              </w:rPr>
              <w:t xml:space="preserve">文件</w:t>
            </w:r>
            <w:r>
              <w:rPr>
                <w:rFonts w:hint="eastAsia" w:ascii="宋体" w:hAnsi="宋体" w:cs="宋体"/>
                <w:color w:val="auto"/>
                <w:sz w:val="24"/>
                <w:highlight w:val="none"/>
              </w:rPr>
              <w:t xml:space="preserve">获取</w:t>
            </w:r>
            <w:r>
              <w:rPr>
                <w:rFonts w:hint="eastAsia" w:ascii="宋体" w:hAnsi="宋体" w:cs="宋体"/>
                <w:color w:val="auto"/>
                <w:sz w:val="24"/>
                <w:highlight w:val="none"/>
                <w:lang w:val="zh-CN"/>
              </w:rPr>
              <w:t xml:space="preserve">期限：本项目公告发布之日起五个工作日内</w:t>
            </w:r>
            <w:r/>
          </w:p>
          <w:p>
            <w:pPr>
              <w:spacing w:line="324"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招标</w:t>
            </w:r>
            <w:r>
              <w:rPr>
                <w:rFonts w:hint="eastAsia" w:ascii="宋体" w:hAnsi="宋体" w:cs="宋体"/>
                <w:color w:val="auto"/>
                <w:sz w:val="24"/>
                <w:highlight w:val="none"/>
                <w:lang w:val="zh-CN"/>
              </w:rPr>
              <w:t xml:space="preserve">文件提供地点：</w:t>
            </w:r>
            <w:r>
              <w:rPr>
                <w:rFonts w:ascii="宋体" w:hAnsi="宋体" w:eastAsia="宋体" w:cs="宋体"/>
                <w:color w:val="auto"/>
                <w:sz w:val="24"/>
                <w:highlight w:val="none"/>
              </w:rPr>
              <w:t xml:space="preserve">江苏政府采购（苏采云）平台</w:t>
            </w:r>
            <w:r/>
          </w:p>
          <w:p>
            <w:pPr>
              <w:spacing w:line="324"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注：投标供应商应承担其编制投标文件以及递交投标文件所涉及的一切费用。无论投标结果如何，采购人对上述费用不负任何责任。</w:t>
            </w:r>
            <w:r/>
          </w:p>
        </w:tc>
      </w:tr>
      <w:tr>
        <w:trPr>
          <w:jc w:val="center"/>
          <w:trHeight w:val="849"/>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8695" w:type="dxa"/>
            <w:vAlign w:val="center"/>
            <w:textDirection w:val="lrTb"/>
            <w:noWrap w:val="false"/>
          </w:tcPr>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踏勘现场：由投标供应商自行踏勘现场。</w:t>
            </w:r>
            <w:r/>
          </w:p>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投标供应商要求澄清采购文件的截止时间：2026年</w:t>
            </w:r>
            <w:r>
              <w:rPr>
                <w:rFonts w:hint="eastAsia" w:ascii="宋体" w:hAnsi="宋体" w:cs="宋体"/>
                <w:color w:val="auto"/>
                <w:sz w:val="24"/>
                <w:highlight w:val="none"/>
                <w:lang w:val="en-US" w:eastAsia="zh-CN"/>
              </w:rPr>
              <w:t xml:space="preserve">10月15</w:t>
            </w:r>
            <w:r>
              <w:rPr>
                <w:rFonts w:hint="eastAsia" w:ascii="宋体" w:hAnsi="宋体" w:cs="宋体"/>
                <w:color w:val="auto"/>
                <w:sz w:val="24"/>
                <w:highlight w:val="none"/>
              </w:rPr>
              <w:t xml:space="preserve">日11时，以书面（或电子稿）形式和电子邮件形式发送给采购代理机构。</w:t>
            </w:r>
            <w:r/>
          </w:p>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采购人对采购文件澄清、修改时间：投标截止时间15天前，以书面（或电子稿）形式发送给各报名投标供应商。</w:t>
            </w:r>
            <w:r/>
          </w:p>
        </w:tc>
      </w:tr>
      <w:tr>
        <w:trPr>
          <w:jc w:val="center"/>
          <w:trHeight w:val="517"/>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8695" w:type="dxa"/>
            <w:vAlign w:val="center"/>
            <w:textDirection w:val="lrTb"/>
            <w:noWrap w:val="false"/>
          </w:tcPr>
          <w:p>
            <w:pPr>
              <w:spacing w:line="324"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本项目无需递交投标保证金。</w:t>
            </w:r>
            <w:r/>
          </w:p>
        </w:tc>
      </w:tr>
      <w:tr>
        <w:trPr>
          <w:jc w:val="center"/>
          <w:trHeight w:val="459"/>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8695" w:type="dxa"/>
            <w:vAlign w:val="center"/>
            <w:textDirection w:val="lrTb"/>
            <w:noWrap w:val="false"/>
          </w:tcPr>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投标有效期：投标截止时间起90天。</w:t>
            </w:r>
            <w:r/>
          </w:p>
        </w:tc>
      </w:tr>
      <w:tr>
        <w:trPr>
          <w:jc w:val="center"/>
          <w:trHeight w:val="467"/>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8695" w:type="dxa"/>
            <w:vAlign w:val="center"/>
            <w:textDirection w:val="lrTb"/>
            <w:noWrap w:val="false"/>
          </w:tcPr>
          <w:p>
            <w:pPr>
              <w:spacing w:line="324"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）网上投标截止时间：</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11月2</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val="zh-CN"/>
              </w:rPr>
              <w:t xml:space="preserve">:30</w:t>
            </w:r>
            <w:r>
              <w:rPr>
                <w:rFonts w:hint="eastAsia" w:ascii="宋体" w:hAnsi="宋体" w:cs="宋体"/>
                <w:color w:val="auto"/>
                <w:sz w:val="24"/>
                <w:highlight w:val="none"/>
              </w:rPr>
              <w:t xml:space="preserve">，投标截止时间后的投标文件恕不接受。</w:t>
            </w:r>
            <w:r/>
          </w:p>
          <w:p>
            <w:pPr>
              <w:spacing w:line="324" w:lineRule="auto"/>
              <w:tabs>
                <w:tab w:val="left" w:pos="36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）网上投标解密时间：</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11月2</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val="zh-CN"/>
              </w:rPr>
              <w:t xml:space="preserve">:30；解密时限：开启解密后30分钟。</w:t>
            </w:r>
            <w:r/>
          </w:p>
          <w:p>
            <w:pPr>
              <w:jc w:val="left"/>
              <w:spacing w:line="324" w:lineRule="auto"/>
              <w:tabs>
                <w:tab w:val="left" w:pos="36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）投标文件提交地点：苏采云平台（http://jszfcg.jscz.gov.cn/jszc/login），线上不见面开标。</w:t>
            </w:r>
            <w:r/>
          </w:p>
          <w:p>
            <w:pPr>
              <w:spacing w:line="324" w:lineRule="auto"/>
              <w:tabs>
                <w:tab w:val="left" w:pos="360" w:leader="none"/>
              </w:tabs>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特别提醒：</w:t>
            </w:r>
            <w:r/>
          </w:p>
          <w:p>
            <w:pPr>
              <w:spacing w:line="324" w:lineRule="auto"/>
              <w:tabs>
                <w:tab w:val="left" w:pos="360" w:leader="none"/>
              </w:tabs>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hint="eastAsia" w:ascii="宋体" w:hAnsi="宋体" w:cs="宋体"/>
                <w:color w:val="auto"/>
                <w:sz w:val="24"/>
                <w:highlight w:val="none"/>
                <w:lang w:val="zh-CN"/>
              </w:rPr>
            </w:pPr>
            <w:r>
              <w:rPr>
                <w:rFonts w:hint="eastAsia" w:ascii="宋体" w:hAnsi="宋体" w:cs="宋体"/>
                <w:b/>
                <w:bCs/>
                <w:color w:val="auto"/>
                <w:sz w:val="24"/>
                <w:highlight w:val="none"/>
                <w:lang w:val="zh-CN"/>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8695" w:type="dxa"/>
            <w:vAlign w:val="center"/>
            <w:textDirection w:val="lrTb"/>
            <w:noWrap w:val="false"/>
          </w:tcPr>
          <w:p>
            <w:pPr>
              <w:spacing w:line="324"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开标时间：2026年</w:t>
            </w:r>
            <w:r>
              <w:rPr>
                <w:rFonts w:hint="eastAsia" w:ascii="宋体" w:hAnsi="宋体" w:cs="宋体"/>
                <w:color w:val="auto"/>
                <w:sz w:val="24"/>
                <w:highlight w:val="none"/>
                <w:lang w:val="en-US" w:eastAsia="zh-CN"/>
              </w:rPr>
              <w:t xml:space="preserve">11月2</w:t>
            </w:r>
            <w:bookmarkStart w:id="5" w:name="_GoBack"/>
            <w:r/>
            <w:bookmarkEnd w:id="5"/>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w:t>
            </w:r>
            <w:r/>
          </w:p>
          <w:p>
            <w:pPr>
              <w:spacing w:line="324"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开标地点：苏采云平台（http://jszfcg.jscz.gov.cn/jszc/login）</w:t>
            </w:r>
            <w:r/>
          </w:p>
        </w:tc>
      </w:tr>
      <w:tr>
        <w:trPr>
          <w:jc w:val="center"/>
          <w:trHeight w:val="394"/>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8695" w:type="dxa"/>
            <w:vAlign w:val="center"/>
            <w:textDirection w:val="lrTb"/>
            <w:noWrap w:val="false"/>
          </w:tcPr>
          <w:p>
            <w:pPr>
              <w:spacing w:line="324"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确定中标单位时间：评审结束后</w:t>
            </w:r>
            <w:r/>
          </w:p>
        </w:tc>
      </w:tr>
      <w:tr>
        <w:trPr>
          <w:jc w:val="center"/>
          <w:trHeight w:val="1530"/>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8695" w:type="dxa"/>
            <w:vAlign w:val="center"/>
            <w:textDirection w:val="lrTb"/>
            <w:noWrap w:val="false"/>
          </w:tcPr>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评标和中标结果发布全程电子化。</w:t>
            </w:r>
            <w:r/>
          </w:p>
          <w:p>
            <w:pPr>
              <w:spacing w:line="324"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8695" w:type="dxa"/>
            <w:vAlign w:val="center"/>
            <w:textDirection w:val="lrTb"/>
            <w:noWrap w:val="false"/>
          </w:tcPr>
          <w:p>
            <w:pPr>
              <w:spacing w:line="324"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采购人：无锡职业技术大学</w:t>
            </w:r>
            <w:r/>
          </w:p>
          <w:p>
            <w:pPr>
              <w:spacing w:line="324"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联系地址：无锡市大学城高浪西路1600号</w:t>
            </w:r>
            <w:r/>
          </w:p>
          <w:p>
            <w:pPr>
              <w:spacing w:line="324" w:lineRule="auto"/>
              <w:tabs>
                <w:tab w:val="left" w:pos="36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联系人：吴</w:t>
            </w:r>
            <w:r>
              <w:rPr>
                <w:rFonts w:hint="eastAsia" w:ascii="宋体" w:hAnsi="宋体" w:cs="宋体"/>
                <w:color w:val="auto"/>
                <w:sz w:val="24"/>
                <w:highlight w:val="none"/>
                <w:lang w:val="en-US" w:eastAsia="zh-CN"/>
              </w:rPr>
              <w:t xml:space="preserve">老师</w:t>
            </w:r>
            <w:r/>
          </w:p>
          <w:p>
            <w:pPr>
              <w:spacing w:line="324"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联系方式：0510-81838723     </w:t>
            </w:r>
            <w:r/>
          </w:p>
          <w:p>
            <w:pPr>
              <w:spacing w:line="324" w:lineRule="auto"/>
              <w:tabs>
                <w:tab w:val="left" w:pos="3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采购代理机构：江苏万达工程造价事务所有限公司</w:t>
            </w:r>
            <w:r/>
          </w:p>
          <w:p>
            <w:pPr>
              <w:ind w:right="-334"/>
              <w:jc w:val="left"/>
              <w:spacing w:line="324"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宗继红、王黎明</w:t>
            </w:r>
            <w:r/>
          </w:p>
          <w:p>
            <w:pPr>
              <w:ind w:right="-334"/>
              <w:jc w:val="left"/>
              <w:spacing w:line="324"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联系电话：0510-85133566、18036003880</w:t>
            </w:r>
            <w:r/>
          </w:p>
          <w:p>
            <w:pPr>
              <w:ind w:right="-334"/>
              <w:jc w:val="left"/>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联系地址：无锡市滨湖区滴翠路100号B幢1005室</w:t>
            </w:r>
            <w:r/>
          </w:p>
          <w:p>
            <w:pPr>
              <w:ind w:right="-334"/>
              <w:jc w:val="left"/>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邮政编码：214000</w:t>
            </w:r>
            <w:r/>
          </w:p>
          <w:p>
            <w:pPr>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电子邮件地址：</w:t>
            </w:r>
            <w:r>
              <w:rPr>
                <w:rFonts w:hint="eastAsia" w:ascii="宋体" w:hAnsi="宋体" w:cs="宋体"/>
                <w:color w:val="auto"/>
                <w:sz w:val="24"/>
                <w:highlight w:val="none"/>
                <w:lang w:val="en-US" w:eastAsia="zh-CN"/>
              </w:rPr>
              <w:t xml:space="preserve">759968450</w:t>
            </w:r>
            <w:r>
              <w:rPr>
                <w:rFonts w:hint="eastAsia" w:ascii="宋体" w:hAnsi="宋体" w:cs="宋体"/>
                <w:color w:val="auto"/>
                <w:sz w:val="24"/>
                <w:highlight w:val="none"/>
              </w:rPr>
              <w:t xml:space="preserve">@qq.com</w:t>
            </w:r>
            <w:r/>
          </w:p>
          <w:p>
            <w:pPr>
              <w:ind w:right="-334"/>
              <w:jc w:val="left"/>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有关本次采购活动程序方面的问题，可来人、来函（传真）或电话联系。</w:t>
            </w:r>
            <w:r/>
          </w:p>
        </w:tc>
      </w:tr>
      <w:tr>
        <w:trPr>
          <w:jc w:val="center"/>
          <w:trHeight w:val="4215"/>
        </w:trPr>
        <w:tc>
          <w:tcP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8695" w:type="dxa"/>
            <w:vAlign w:val="center"/>
            <w:textDirection w:val="lrTb"/>
            <w:noWrap w:val="false"/>
          </w:tcPr>
          <w:p>
            <w:pPr>
              <w:spacing w:line="324"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1.潜在投标供应商访问江苏省政府采购（苏采云）平台的网络地址和方法：</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供应商访问江苏省政府采购（苏采云）平台的方法：</w:t>
            </w:r>
            <w:r>
              <w:rPr>
                <w:rFonts w:hint="eastAsia" w:ascii="宋体" w:hAnsi="宋体" w:cs="宋体"/>
                <w:bCs/>
                <w:color w:val="auto"/>
                <w:sz w:val="24"/>
                <w:highlight w:val="none"/>
              </w:rPr>
              <w:t xml:space="preserve">“苏采云”系统用户注册－－获取“CA数字证书”--CA绑定与登录--网上获取--下载采购文件-－将采购文件导入政府采购客户端工具－－制作</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文件－－导出加密的</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文件（后缀名为zip）--通过“苏采云”系统上传</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cs="宋体"/>
                <w:bCs/>
                <w:color w:val="auto"/>
                <w:sz w:val="24"/>
                <w:highlight w:val="none"/>
              </w:rPr>
              <w:t xml:space="preserve">》。</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highlight w:val="none"/>
              </w:rPr>
              <w:t xml:space="preserve">苏采云 （http://jszfcg.jsczt.cn/）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进入注册界面。</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highlight w:val="none"/>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（8）“苏采云”系统应使用谷歌浏览器参与不见面开标。</w:t>
            </w:r>
            <w:r/>
          </w:p>
          <w:p>
            <w:pPr>
              <w:spacing w:line="324"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2.有关本次招标的事项若存在变动或修改，敬请及时关注“江苏政府采购网”发布的信息。</w:t>
            </w:r>
            <w:r/>
          </w:p>
        </w:tc>
      </w:tr>
    </w:tbl>
    <w:p>
      <w:pPr>
        <w:pStyle w:val="669"/>
        <w:jc w:val="center"/>
        <w:keepLines/>
        <w:keepNext/>
        <w:pageBreakBefore w:val="0"/>
        <w:spacing w:before="240" w:after="240"/>
        <w:widowControl w:val="off"/>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第二部分. 投标供应商须知</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（一）遵循原则：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（二）采购文件：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4.采购文件一经售出、一律不退，且仅作为本次投标使用。</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（三）采购文件的解释：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（四）采购文件的补充或修正：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1.投标截止时间15日前江苏万达工程造价事务所有限公司可对采购文件进行必要的澄清或者修改，并视具体情况，延长投标截止时间。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rFonts w:hint="eastAsia"/>
          <w:color w:val="auto"/>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江苏万达工程造价事务所有限公司</w:t>
      </w:r>
      <w:r>
        <w:rPr>
          <w:rFonts w:hint="eastAsia" w:ascii="宋体" w:hAnsi="宋体"/>
          <w:bCs/>
          <w:color w:val="auto"/>
          <w:sz w:val="24"/>
          <w:szCs w:val="24"/>
          <w:highlight w:val="none"/>
        </w:rPr>
        <w:t xml:space="preserve">将在收到符合上述要求的书面质疑后七个工作日内，对质疑内容作出答复。</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江苏万达工程造价事务所有限公司</w:t>
      </w:r>
      <w:r>
        <w:rPr>
          <w:rFonts w:hint="eastAsia" w:ascii="宋体" w:hAnsi="宋体"/>
          <w:bCs/>
          <w:color w:val="auto"/>
          <w:sz w:val="24"/>
          <w:szCs w:val="24"/>
          <w:highlight w:val="none"/>
        </w:rPr>
        <w:t xml:space="preserve">对无效质疑不予受理。</w:t>
      </w:r>
      <w:r/>
    </w:p>
    <w:p>
      <w:pPr>
        <w:ind w:firstLine="482"/>
        <w:spacing w:line="360" w:lineRule="auto"/>
        <w:rPr>
          <w:rFonts w:hint="eastAsia" w:ascii="宋体" w:hAnsi="宋体" w:cs="宋体"/>
          <w:b/>
          <w:bCs/>
          <w:color w:val="auto"/>
          <w:sz w:val="30"/>
          <w:szCs w:val="30"/>
          <w:highlight w:val="none"/>
        </w:rPr>
        <w:outlineLvl w:val="0"/>
      </w:pPr>
      <w:r>
        <w:rPr>
          <w:rFonts w:hint="eastAsia" w:ascii="宋体" w:hAnsi="宋体" w:cs="宋体"/>
          <w:b/>
          <w:bCs/>
          <w:color w:val="auto"/>
          <w:sz w:val="24"/>
          <w:highlight w:val="none"/>
        </w:rPr>
        <w:t xml:space="preserve">（五）投标文件的组成：</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1.投标函（格式见附件）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.1资格、资信证明文件</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关于资格的声明函（格式见附件）；</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bCs/>
          <w:color w:val="auto"/>
          <w:sz w:val="24"/>
          <w:highlight w:val="none"/>
        </w:rPr>
      </w:pPr>
      <w:r>
        <w:rPr>
          <w:rFonts w:ascii="宋体" w:hAnsi="宋体" w:eastAsia="宋体" w:cs="宋体"/>
          <w:color w:val="auto"/>
          <w:sz w:val="24"/>
          <w:szCs w:val="24"/>
          <w:highlight w:val="none"/>
        </w:rPr>
        <w:t xml:space="preserve">投标供应商具有独立承担民事责任的能力，提供营业执照或相关行政主管部门出具的登记证明文件扫描件</w:t>
      </w:r>
      <w:r>
        <w:rPr>
          <w:rFonts w:hint="eastAsia" w:ascii="宋体" w:hAnsi="宋体"/>
          <w:bCs/>
          <w:color w:val="auto"/>
          <w:sz w:val="24"/>
          <w:szCs w:val="24"/>
          <w:highlight w:val="none"/>
        </w:rPr>
        <w:t xml:space="preserve">并加盖公章</w:t>
      </w:r>
      <w:r>
        <w:rPr>
          <w:rFonts w:hint="eastAsia" w:ascii="宋体" w:hAnsi="宋体" w:cs="宋体"/>
          <w:color w:val="auto"/>
          <w:sz w:val="24"/>
          <w:highlight w:val="none"/>
        </w:rPr>
        <w:t xml:space="preserve">；</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投标供应商法定代表人授权委托书（格式见附件，法定代表人亲自参加的除外）；</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投标供应商法定代表人、法定代表人授权代表身份证扫描件</w:t>
      </w:r>
      <w:r>
        <w:rPr>
          <w:rFonts w:hint="eastAsia" w:ascii="宋体" w:hAnsi="宋体"/>
          <w:bCs/>
          <w:color w:val="auto"/>
          <w:sz w:val="24"/>
          <w:szCs w:val="24"/>
          <w:highlight w:val="none"/>
        </w:rPr>
        <w:t xml:space="preserve">并加盖公章</w:t>
      </w:r>
      <w:r>
        <w:rPr>
          <w:rFonts w:hint="eastAsia" w:ascii="宋体" w:hAnsi="宋体" w:cs="宋体"/>
          <w:bCs/>
          <w:color w:val="auto"/>
          <w:sz w:val="24"/>
          <w:highlight w:val="none"/>
        </w:rPr>
        <w:t xml:space="preserve">（身份证应为正面、反面）；</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投标供应商提供近一年中任意一个月份（不含投标当月）的财务状况报告（资产负债表和利润表）或由会计师事务所出具的近两年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2024年或2025年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中任意一个年度的财务审计报告扫描件</w:t>
      </w:r>
      <w:r>
        <w:rPr>
          <w:rFonts w:hint="eastAsia" w:ascii="宋体" w:hAnsi="宋体"/>
          <w:bCs/>
          <w:color w:val="auto"/>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投标供应商拟派的授权代理人、项目负责人由法定的社保收缴部门出具近一年中任意一个月份（不含投标当月）的投标供应商依法为其缴纳社会保险证明扫描件</w:t>
      </w:r>
      <w:r>
        <w:rPr>
          <w:rFonts w:hint="eastAsia" w:ascii="宋体" w:hAnsi="宋体"/>
          <w:bCs/>
          <w:color w:val="auto"/>
          <w:sz w:val="24"/>
          <w:szCs w:val="24"/>
          <w:highlight w:val="none"/>
        </w:rPr>
        <w:t xml:space="preserve">并加盖公章</w:t>
      </w:r>
      <w:r>
        <w:rPr>
          <w:rFonts w:hint="eastAsia" w:ascii="宋体" w:hAnsi="宋体" w:cs="宋体"/>
          <w:bCs/>
          <w:color w:val="auto"/>
          <w:sz w:val="24"/>
          <w:highlight w:val="none"/>
        </w:rPr>
        <w:t xml:space="preserve">；（由相关主管部门出具，</w:t>
      </w:r>
      <w:r>
        <w:rPr>
          <w:rFonts w:hint="eastAsia" w:ascii="宋体" w:hAnsi="宋体" w:cs="宋体"/>
          <w:bCs/>
          <w:color w:val="auto"/>
          <w:sz w:val="24"/>
          <w:highlight w:val="none"/>
          <w:lang w:val="en-US" w:eastAsia="zh-CN"/>
        </w:rPr>
        <w:t xml:space="preserve">新成立的单位除外</w:t>
      </w:r>
      <w:r>
        <w:rPr>
          <w:rFonts w:hint="eastAsia" w:ascii="宋体" w:hAnsi="宋体" w:cs="宋体"/>
          <w:bCs/>
          <w:color w:val="auto"/>
          <w:sz w:val="24"/>
          <w:highlight w:val="none"/>
        </w:rPr>
        <w:t xml:space="preserve">；法定代表人亲自参加投标或担任本项目的项目负责人的除外；社保缴费证明必须提交带有社保部门</w:t>
      </w:r>
      <w:r>
        <w:rPr>
          <w:rFonts w:hint="eastAsia" w:ascii="宋体" w:hAnsi="宋体" w:cs="宋体"/>
          <w:bCs/>
          <w:color w:val="auto"/>
          <w:sz w:val="24"/>
          <w:highlight w:val="none"/>
          <w:lang w:eastAsia="zh-CN"/>
        </w:rPr>
        <w:t xml:space="preserve">公章</w:t>
      </w:r>
      <w:r>
        <w:rPr>
          <w:rFonts w:hint="eastAsia" w:ascii="宋体" w:hAnsi="宋体" w:cs="宋体"/>
          <w:bCs/>
          <w:color w:val="auto"/>
          <w:sz w:val="24"/>
          <w:highlight w:val="none"/>
        </w:rPr>
        <w:t xml:space="preserve">的或含有县</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区）级及以上社保部门电子签章或带二维码验证的扫描件）</w:t>
      </w:r>
      <w:r>
        <w:rPr>
          <w:rFonts w:hint="eastAsia" w:ascii="宋体" w:hAnsi="宋体" w:cs="宋体"/>
          <w:color w:val="auto"/>
          <w:sz w:val="24"/>
          <w:highlight w:val="none"/>
        </w:rPr>
        <w:t xml:space="preserve">；</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en-US" w:eastAsia="zh-CN"/>
        </w:rPr>
        <w:t xml:space="preserve">提供</w:t>
      </w:r>
      <w:r>
        <w:rPr>
          <w:rFonts w:hint="eastAsia" w:ascii="宋体" w:hAnsi="宋体" w:cs="宋体"/>
          <w:bCs/>
          <w:color w:val="auto"/>
          <w:sz w:val="24"/>
          <w:highlight w:val="none"/>
        </w:rPr>
        <w:t xml:space="preserve">近一年中任意一个月份（不含投标当月）的依法缴纳税收的相关材料（相关主管部门证明或银行代扣证明，或者提供依法免税的主管部门出具的相应证明材料）扫描件</w:t>
      </w:r>
      <w:r>
        <w:rPr>
          <w:rFonts w:hint="eastAsia" w:ascii="宋体" w:hAnsi="宋体"/>
          <w:bCs/>
          <w:color w:val="auto"/>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en-US" w:eastAsia="zh-CN"/>
        </w:rPr>
        <w:t xml:space="preserve">提供</w:t>
      </w:r>
      <w:r>
        <w:rPr>
          <w:rFonts w:hint="eastAsia" w:ascii="宋体" w:hAnsi="宋体" w:cs="宋体"/>
          <w:bCs/>
          <w:color w:val="auto"/>
          <w:sz w:val="24"/>
          <w:highlight w:val="none"/>
        </w:rPr>
        <w:t xml:space="preserve">近一年中任意一个月份（不含投标当月）的依法缴纳社会保障资金的相关材料（相关主管部门证明或银行代扣证明，或者依法不需要缴纳社会保障资金的主管部门出具的证明材料）扫描件</w:t>
      </w:r>
      <w:r>
        <w:rPr>
          <w:rFonts w:hint="eastAsia" w:ascii="宋体" w:hAnsi="宋体"/>
          <w:bCs/>
          <w:color w:val="auto"/>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7"/>
        </w:numPr>
        <w:ind w:left="-4" w:firstLine="424"/>
        <w:spacing w:line="360" w:lineRule="auto"/>
        <w:tabs>
          <w:tab w:val="left" w:pos="0" w:leader="none"/>
          <w:tab w:val="clear" w:pos="1129" w:leader="none"/>
          <w:tab w:val="left" w:pos="1130" w:leader="none"/>
        </w:tabs>
        <w:rPr>
          <w:rFonts w:hint="eastAsia" w:ascii="宋体" w:hAnsi="宋体" w:cs="宋体"/>
          <w:color w:val="auto"/>
          <w:sz w:val="24"/>
          <w:highlight w:val="none"/>
        </w:rPr>
      </w:pPr>
      <w:r>
        <w:rPr>
          <w:rFonts w:hint="eastAsia" w:ascii="宋体" w:hAnsi="宋体" w:cs="宋体"/>
          <w:color w:val="auto"/>
          <w:sz w:val="24"/>
          <w:highlight w:val="none"/>
        </w:rPr>
        <w:t xml:space="preserve">承诺书(格式见附件）</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cs="宋体"/>
          <w:b/>
          <w:color w:val="auto"/>
          <w:sz w:val="24"/>
          <w:highlight w:val="none"/>
        </w:rPr>
        <w:t xml:space="preserve">注：</w:t>
      </w:r>
      <w:r>
        <w:rPr>
          <w:rFonts w:hint="eastAsia" w:ascii="宋体" w:hAnsi="宋体" w:eastAsia="宋体" w:cs="宋体"/>
          <w:b/>
          <w:bCs/>
          <w:color w:val="auto"/>
          <w:sz w:val="24"/>
          <w:highlight w:val="none"/>
        </w:rPr>
        <w:t xml:space="preserve">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。如上述资格证明文件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（8）三</w:t>
      </w:r>
      <w:r>
        <w:rPr>
          <w:rFonts w:hint="eastAsia" w:ascii="宋体" w:hAnsi="宋体" w:eastAsia="宋体" w:cs="宋体"/>
          <w:b/>
          <w:bCs/>
          <w:color w:val="auto"/>
          <w:sz w:val="24"/>
          <w:highlight w:val="none"/>
        </w:rPr>
        <w:t xml:space="preserve">项遇有国家相关政策规定可不具备的，必须提供相关政策规定或相关单位出具的有效证明或情况说明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.2补充</w:t>
      </w:r>
      <w:r>
        <w:rPr>
          <w:rFonts w:hint="eastAsia" w:ascii="宋体" w:hAnsi="宋体" w:cs="宋体"/>
          <w:b/>
          <w:color w:val="auto"/>
          <w:sz w:val="24"/>
          <w:highlight w:val="none"/>
          <w:lang w:val="en-US" w:eastAsia="zh-CN"/>
        </w:rPr>
        <w:t xml:space="preserve">性</w:t>
      </w:r>
      <w:r>
        <w:rPr>
          <w:rFonts w:hint="eastAsia" w:ascii="宋体" w:hAnsi="宋体" w:cs="宋体"/>
          <w:b/>
          <w:color w:val="auto"/>
          <w:sz w:val="24"/>
          <w:highlight w:val="none"/>
        </w:rPr>
        <w:t xml:space="preserve">文件</w:t>
      </w:r>
      <w:r/>
    </w:p>
    <w:p>
      <w:pPr>
        <w:numPr>
          <w:ilvl w:val="0"/>
          <w:numId w:val="8"/>
        </w:num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供应商简介和经营情况说明（格式见附件）</w:t>
      </w:r>
      <w:r>
        <w:rPr>
          <w:rFonts w:hint="eastAsia" w:ascii="宋体" w:hAnsi="宋体" w:eastAsia="宋体" w:cs="宋体"/>
          <w:color w:val="auto"/>
          <w:sz w:val="24"/>
          <w:szCs w:val="24"/>
          <w:highlight w:val="none"/>
          <w:lang w:eastAsia="zh-CN"/>
        </w:rPr>
        <w:t xml:space="preserve">；</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项目人员配备表（格式见附件）</w:t>
      </w:r>
      <w:r>
        <w:rPr>
          <w:rFonts w:hint="eastAsia" w:ascii="宋体" w:hAnsi="宋体" w:eastAsia="宋体" w:cs="宋体"/>
          <w:color w:val="auto"/>
          <w:sz w:val="24"/>
          <w:szCs w:val="24"/>
          <w:highlight w:val="none"/>
          <w:lang w:eastAsia="zh-CN"/>
        </w:rPr>
        <w:t xml:space="preserve">；</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类似业绩一览表（格式见附件）</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中小企业声明函（格式见附件）或由省级以上监狱管理局、戒毒管理局(含新疆生产建设兵团)出具的属于监狱企业的证明文件</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或残疾人福利单位声明函；（如是）</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关于符合本国产品标准的声明函</w:t>
      </w:r>
      <w:r>
        <w:rPr>
          <w:rFonts w:hint="eastAsia" w:ascii="宋体" w:hAnsi="宋体" w:eastAsia="宋体" w:cs="宋体"/>
          <w:b w:val="0"/>
          <w:bCs/>
          <w:color w:val="auto"/>
          <w:sz w:val="24"/>
          <w:szCs w:val="24"/>
          <w:highlight w:val="none"/>
        </w:rPr>
        <w:t xml:space="preserve">（格式见附件）</w:t>
      </w:r>
      <w:r>
        <w:rPr>
          <w:rFonts w:hint="eastAsia" w:ascii="宋体" w:hAnsi="宋体" w:eastAsia="宋体" w:cs="宋体"/>
          <w:b w:val="0"/>
          <w:bCs/>
          <w:color w:val="auto"/>
          <w:sz w:val="24"/>
          <w:szCs w:val="24"/>
          <w:highlight w:val="none"/>
          <w:lang w:eastAsia="zh-CN"/>
        </w:rPr>
        <w:t xml:space="preserve">；</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技术偏离表</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评分标准中对应的其它所需证明材料（如有自拟并自行添加）</w:t>
      </w:r>
      <w:r>
        <w:rPr>
          <w:rFonts w:hint="eastAsia" w:ascii="宋体" w:hAnsi="宋体" w:eastAsia="宋体" w:cs="宋体"/>
          <w:color w:val="auto"/>
          <w:sz w:val="24"/>
          <w:szCs w:val="24"/>
          <w:highlight w:val="none"/>
          <w:lang w:eastAsia="zh-CN"/>
        </w:rPr>
        <w:t xml:space="preserve">；</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要求采购人提供的配合（如有自拟并自行添加）</w:t>
      </w:r>
      <w:r>
        <w:rPr>
          <w:rFonts w:hint="eastAsia" w:ascii="宋体" w:hAnsi="宋体" w:eastAsia="宋体" w:cs="宋体"/>
          <w:color w:val="auto"/>
          <w:sz w:val="24"/>
          <w:szCs w:val="24"/>
          <w:highlight w:val="none"/>
          <w:lang w:eastAsia="zh-CN"/>
        </w:rPr>
        <w:t xml:space="preserve">；</w:t>
      </w:r>
      <w:r/>
    </w:p>
    <w:p>
      <w:pPr>
        <w:numPr>
          <w:ilvl w:val="0"/>
          <w:numId w:val="8"/>
        </w:numPr>
        <w:ind w:left="0"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供应商认为有必要提供的声明和文件，如有自拟并自行添加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3.报价文件</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）开标一览表（格式见附件）</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）明细报价表（格式自拟）</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（按照项目需求及评分标准编制，格式自拟）</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（六）投标文件的要求：</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5.</w:t>
      </w:r>
      <w:r>
        <w:rPr>
          <w:rFonts w:hint="eastAsia" w:ascii="宋体" w:hAnsi="宋体" w:cs="宋体"/>
          <w:bCs/>
          <w:color w:val="auto"/>
          <w:sz w:val="24"/>
          <w:highlight w:val="none"/>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6.</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7.</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供应商按采购文件规定的网上解密时间进行解密，如未按时解密后果自负</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8.</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应当对</w:t>
      </w:r>
      <w:r>
        <w:rPr>
          <w:rFonts w:hint="eastAsia" w:ascii="宋体" w:hAnsi="宋体" w:cs="宋体"/>
          <w:bCs/>
          <w:color w:val="auto"/>
          <w:sz w:val="24"/>
          <w:highlight w:val="none"/>
        </w:rPr>
        <w:t xml:space="preserve">采购文件</w:t>
      </w:r>
      <w:r>
        <w:rPr>
          <w:rFonts w:hint="eastAsia" w:ascii="宋体" w:hAnsi="宋体" w:cs="宋体"/>
          <w:color w:val="auto"/>
          <w:sz w:val="24"/>
          <w:highlight w:val="none"/>
        </w:rPr>
        <w:t xml:space="preserve">提出的要求和条件作出实质性响应，并在电子投标系统逐条应答</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bCs/>
          <w:color w:val="auto"/>
          <w:sz w:val="24"/>
          <w:highlight w:val="none"/>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10.投标费用自理。</w:t>
      </w:r>
      <w:r/>
    </w:p>
    <w:p>
      <w:pPr>
        <w:ind w:firstLine="480"/>
        <w:spacing w:line="360" w:lineRule="auto"/>
        <w:tabs>
          <w:tab w:val="left" w:pos="0" w:leader="none"/>
          <w:tab w:val="left" w:pos="588"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11.</w:t>
      </w:r>
      <w:r>
        <w:rPr>
          <w:rFonts w:hint="eastAsia" w:ascii="宋体" w:hAnsi="宋体" w:cs="宋体"/>
          <w:bCs/>
          <w:color w:val="auto"/>
          <w:sz w:val="24"/>
          <w:highlight w:val="none"/>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（七）无效投标文件的确认：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19.同一投标供应商提交两种（含两种）以上不同的投标报价的</w:t>
      </w:r>
      <w:r>
        <w:rPr>
          <w:rFonts w:hint="eastAsia" w:ascii="宋体" w:hAnsi="宋体" w:cs="宋体"/>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bCs/>
          <w:color w:val="auto"/>
          <w:sz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32.电子投标文件未按采购文件规定的格式编制；</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33.其他法律法规及本采购文件规定的属于无效投标的情形；</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34.同一投标供应商提交两种（含两种）以上不同的投标报价的。</w:t>
      </w:r>
      <w:r/>
    </w:p>
    <w:p>
      <w:pPr>
        <w:numPr>
          <w:ilvl w:val="0"/>
          <w:numId w:val="0"/>
        </w:numPr>
        <w:ind w:firstLine="480"/>
        <w:jc w:val="left"/>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cs="宋体"/>
          <w:bCs/>
          <w:color w:val="auto"/>
          <w:sz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技术参数响应表中标注“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”的参数有负偏离或未标注“★”项负偏离超过5项。</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（八）开标、评标：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2.解密时，供应商须自行准备设备（包括但不限于笔记本电脑、</w:t>
      </w:r>
      <w:r>
        <w:rPr>
          <w:rStyle w:val="1195"/>
          <w:rFonts w:hint="eastAsia" w:ascii="宋体" w:hAnsi="宋体" w:cs="宋体"/>
          <w:color w:val="auto"/>
          <w:sz w:val="24"/>
          <w:highlight w:val="none"/>
        </w:rPr>
        <w:t xml:space="preserve">CA锁、</w:t>
      </w:r>
      <w:r>
        <w:rPr>
          <w:rFonts w:hint="eastAsia" w:ascii="宋体" w:hAnsi="宋体" w:cs="宋体"/>
          <w:color w:val="auto"/>
          <w:sz w:val="24"/>
          <w:highlight w:val="none"/>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5.投标文件的审查</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（1）投标文件报价出现前后不一致的，按照下列规定修正：</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①投标文件中开标一览表（报价表）内容与投标文件中相应内容不一致的，以开标一览表（报价表）为准；</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②大写金额和小写金额不一致的，以大写金额为准；</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③单价金额小数点或者百分比有明显错位的，以开标一览表的总价为准，并修改单价；</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④总价金额与按单价汇总金额不一致的，以单价金额计算结果为准。</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auto"/>
          <w:sz w:val="24"/>
          <w:szCs w:val="20"/>
          <w:highlight w:val="none"/>
        </w:rPr>
      </w:pPr>
      <w:r>
        <w:rPr>
          <w:rFonts w:hint="eastAsia" w:ascii="宋体" w:hAnsi="宋体" w:cs="宋体"/>
          <w:color w:val="auto"/>
          <w:sz w:val="24"/>
          <w:highlight w:val="none"/>
        </w:rPr>
        <w:t xml:space="preserve">（3）投标供应商未参加开标的，视同认可开标结果。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评标工作由江苏万达工程造价事务所有限公司负责组织，具体评标事务由依法组建的评标委员会负责。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（1）投标文件初审。初审分为资格性审查和符合性审查。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（2）澄清有关问题。对投标文件中含义不明确、同类问题表述不一致或者有明显文字和计算错误的内容，评</w:t>
      </w:r>
      <w:r>
        <w:rPr>
          <w:rFonts w:hint="eastAsia" w:ascii="宋体" w:hAnsi="宋体" w:cs="宋体"/>
          <w:color w:val="auto"/>
          <w:sz w:val="24"/>
          <w:highlight w:val="none"/>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根据《关于推动解决政府采购异常低价问题的通知》（财库〔2026〕2号）中相关内容：</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zh-CN"/>
        </w:rPr>
        <w:t xml:space="preserve">）评审中出现下列情形之一的，评审委员会应当启动异常低价投标（响应）审查程序： </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①</w:t>
      </w:r>
      <w:r>
        <w:rPr>
          <w:rFonts w:hint="eastAsia" w:ascii="宋体" w:hAnsi="宋体" w:cs="宋体"/>
          <w:b/>
          <w:bCs/>
          <w:color w:val="auto"/>
          <w:sz w:val="24"/>
          <w:highlight w:val="none"/>
          <w:lang w:val="zh-CN"/>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②</w:t>
      </w:r>
      <w:r>
        <w:rPr>
          <w:rFonts w:hint="eastAsia" w:ascii="宋体" w:hAnsi="宋体" w:cs="宋体"/>
          <w:b/>
          <w:bCs/>
          <w:color w:val="auto"/>
          <w:sz w:val="24"/>
          <w:highlight w:val="none"/>
          <w:lang w:val="zh-CN"/>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③</w:t>
      </w:r>
      <w:r>
        <w:rPr>
          <w:rFonts w:hint="eastAsia" w:ascii="宋体" w:hAnsi="宋体" w:cs="宋体"/>
          <w:b/>
          <w:bCs/>
          <w:color w:val="auto"/>
          <w:sz w:val="24"/>
          <w:highlight w:val="none"/>
          <w:lang w:val="zh-CN"/>
        </w:rPr>
        <w:t xml:space="preserve">投标（响应）报价低于采购项目最高限价45%的，即投标（响应）报价&lt;采购项目最高限价×45%； </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④</w:t>
      </w:r>
      <w:r>
        <w:rPr>
          <w:rFonts w:hint="eastAsia" w:ascii="宋体" w:hAnsi="宋体" w:cs="宋体"/>
          <w:b/>
          <w:bCs/>
          <w:color w:val="auto"/>
          <w:sz w:val="24"/>
          <w:highlight w:val="none"/>
          <w:lang w:val="zh-CN"/>
        </w:rPr>
        <w:t xml:space="preserve">评审委员会基于专业判断，认为供应商报价过低，有可能影响产品质量或者不能诚信履约的其他情形。</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）评审委员会启动异常低价投标（响应）审查后，属于前述第</w:t>
      </w:r>
      <w:r>
        <w:rPr>
          <w:rFonts w:hint="eastAsia" w:ascii="宋体" w:hAnsi="宋体" w:cs="宋体"/>
          <w:b/>
          <w:bCs/>
          <w:color w:val="auto"/>
          <w:sz w:val="24"/>
          <w:highlight w:val="none"/>
        </w:rPr>
        <w:t xml:space="preserve">①</w:t>
      </w:r>
      <w:r>
        <w:rPr>
          <w:rFonts w:hint="eastAsia" w:ascii="宋体" w:hAnsi="宋体" w:cs="宋体"/>
          <w:b/>
          <w:bCs/>
          <w:color w:val="auto"/>
          <w:sz w:val="24"/>
          <w:highlight w:val="none"/>
          <w:lang w:val="zh-CN"/>
        </w:rPr>
        <w:t xml:space="preserve">项至第</w:t>
      </w:r>
      <w:r>
        <w:rPr>
          <w:rFonts w:hint="eastAsia" w:ascii="宋体" w:hAnsi="宋体" w:cs="宋体"/>
          <w:b/>
          <w:bCs/>
          <w:color w:val="auto"/>
          <w:sz w:val="24"/>
          <w:highlight w:val="none"/>
        </w:rPr>
        <w:t xml:space="preserve">④</w:t>
      </w:r>
      <w:r>
        <w:rPr>
          <w:rFonts w:hint="eastAsia" w:ascii="宋体" w:hAnsi="宋体" w:cs="宋体"/>
          <w:b/>
          <w:bCs/>
          <w:color w:val="auto"/>
          <w:sz w:val="24"/>
          <w:highlight w:val="none"/>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auto"/>
          <w:sz w:val="24"/>
          <w:highlight w:val="none"/>
        </w:rPr>
        <w:t xml:space="preserve">③</w:t>
      </w:r>
      <w:r>
        <w:rPr>
          <w:rFonts w:hint="eastAsia" w:ascii="宋体" w:hAnsi="宋体" w:cs="宋体"/>
          <w:b/>
          <w:bCs/>
          <w:color w:val="auto"/>
          <w:sz w:val="24"/>
          <w:highlight w:val="none"/>
          <w:lang w:val="zh-CN"/>
        </w:rPr>
        <w:t xml:space="preserve">项情形，供应商已随投标（响应）文件一并提交相关书面说明及必要的证明材料的，在评审现场可不再重复提交。 </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7.评标方法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投标供应商通过初审的，方可进入比较与评价程序。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比较与评价采用综合评分法（计分均保留2位小数）。</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hint="eastAsia" w:ascii="宋体" w:hAnsi="宋体"/>
          <w:b/>
          <w:bCs/>
          <w:color w:val="auto"/>
          <w:sz w:val="24"/>
          <w:highlight w:val="none"/>
        </w:rPr>
      </w:pPr>
      <w:r>
        <w:rPr>
          <w:rFonts w:hint="eastAsia" w:ascii="宋体" w:hAnsi="宋体"/>
          <w:b/>
          <w:bCs/>
          <w:color w:val="auto"/>
          <w:sz w:val="24"/>
          <w:highlight w:val="none"/>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9"/>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评分细则</w:t>
      </w:r>
      <w:r/>
    </w:p>
    <w:p>
      <w:pPr>
        <w:pStyle w:val="1204"/>
        <w:jc w:val="both"/>
        <w:spacing w:before="0" w:after="0"/>
        <w:rPr>
          <w:rFonts w:hint="eastAsia" w:ascii="宋体" w:hAnsi="宋体" w:cs="宋体"/>
          <w:b/>
          <w:color w:val="auto"/>
          <w:highlight w:val="none"/>
        </w:rPr>
      </w:pPr>
      <w:r>
        <w:rPr>
          <w:rFonts w:hint="eastAsia" w:ascii="宋体" w:hAnsi="宋体" w:cs="宋体"/>
          <w:color w:val="auto"/>
          <w:highlight w:val="none"/>
        </w:rPr>
        <w:t xml:space="preserve">8.1 </w:t>
      </w:r>
      <w:r>
        <w:rPr>
          <w:rFonts w:hint="eastAsia" w:ascii="宋体" w:hAnsi="宋体" w:cs="宋体"/>
          <w:b/>
          <w:color w:val="auto"/>
          <w:highlight w:val="none"/>
        </w:rPr>
        <w:t xml:space="preserve">落实政府采购政策的价格调整</w:t>
      </w:r>
      <w:r/>
    </w:p>
    <w:p>
      <w:pPr>
        <w:ind w:firstLine="482"/>
        <w:spacing w:line="360" w:lineRule="auto"/>
        <w:tabs>
          <w:tab w:val="left" w:pos="136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价格扣除：专门面向中小/小微企业的项目除外。</w:t>
      </w:r>
      <w:r/>
    </w:p>
    <w:p>
      <w:pPr>
        <w:ind w:firstLine="480"/>
        <w:spacing w:line="360" w:lineRule="auto"/>
        <w:tabs>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w:t>
      </w:r>
      <w:r/>
    </w:p>
    <w:p>
      <w:pPr>
        <w:ind w:firstLine="480"/>
        <w:spacing w:line="360" w:lineRule="auto"/>
        <w:tabs>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注：同一投标供应商，上述三项价格扣除优惠不得重复享受。</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2.1本国产品价格扣除政策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auto"/>
          <w:sz w:val="24"/>
          <w:highlight w:val="none"/>
          <w:u w:val="single"/>
        </w:rPr>
        <w:t xml:space="preserve">对于仅有本国产品参与竞争的政府采购项目或采购包，本国产品不享受价格扣除评审优惠。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2.2注意事项</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（1）提供本国产品进行投标（报价）的供应商需在其投标（响应）文件中提供《关于符合本国产品标准的声明函》（格式见第</w:t>
      </w:r>
      <w:r>
        <w:rPr>
          <w:rFonts w:hint="eastAsia" w:ascii="宋体" w:hAnsi="宋体" w:cs="宋体"/>
          <w:bCs/>
          <w:color w:val="auto"/>
          <w:sz w:val="24"/>
          <w:highlight w:val="none"/>
          <w:lang w:val="en-US" w:eastAsia="zh-CN"/>
        </w:rPr>
        <w:t xml:space="preserve">五部分</w:t>
      </w:r>
      <w:r>
        <w:rPr>
          <w:rFonts w:hint="eastAsia" w:ascii="宋体" w:hAnsi="宋体" w:cs="宋体"/>
          <w:bCs/>
          <w:color w:val="auto"/>
          <w:sz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（2）当采购项目或者采购包中含有多种产品，除按上述要求提供《关于符合本国产品标准的声明函》外，供应商还应在《分项报价表》中进行承诺（格式见第</w:t>
      </w:r>
      <w:r>
        <w:rPr>
          <w:rFonts w:hint="eastAsia" w:ascii="宋体" w:hAnsi="宋体" w:cs="宋体"/>
          <w:bCs/>
          <w:color w:val="auto"/>
          <w:sz w:val="24"/>
          <w:highlight w:val="none"/>
          <w:lang w:val="en-US" w:eastAsia="zh-CN"/>
        </w:rPr>
        <w:t xml:space="preserve">五部分</w:t>
      </w:r>
      <w:r>
        <w:rPr>
          <w:rFonts w:hint="eastAsia" w:ascii="宋体" w:hAnsi="宋体" w:cs="宋体"/>
          <w:bCs/>
          <w:color w:val="auto"/>
          <w:sz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其中，“符合本国产品标准的产品成本之和”是指本项目或采购包中符合本国产品标准的</w:t>
      </w:r>
      <w:r>
        <w:rPr>
          <w:rFonts w:hint="eastAsia" w:ascii="宋体" w:hAnsi="宋体" w:cs="宋体"/>
          <w:b/>
          <w:bCs/>
          <w:color w:val="auto"/>
          <w:sz w:val="24"/>
          <w:highlight w:val="none"/>
        </w:rPr>
        <w:t xml:space="preserve">货物成本之和</w:t>
      </w:r>
      <w:r>
        <w:rPr>
          <w:rFonts w:hint="eastAsia" w:ascii="宋体" w:hAnsi="宋体" w:cs="宋体"/>
          <w:bCs/>
          <w:color w:val="auto"/>
          <w:sz w:val="24"/>
          <w:highlight w:val="none"/>
        </w:rPr>
        <w:t xml:space="preserve">；“全部产品成本之和”是指货物或服务项目（或者采购包）中包含的</w:t>
      </w:r>
      <w:r>
        <w:rPr>
          <w:rFonts w:hint="eastAsia" w:ascii="宋体" w:hAnsi="宋体" w:cs="宋体"/>
          <w:b/>
          <w:bCs/>
          <w:color w:val="auto"/>
          <w:sz w:val="24"/>
          <w:highlight w:val="none"/>
        </w:rPr>
        <w:t xml:space="preserve">全部货物、服务产品的成本之和</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即，当小微型企业价格扣除政策和本国产品价格扣除政策同时享受时，按以下计算方式进行计算：</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供应商参与评审的报价=供应商投标总报价×[1-（小微型企业价格扣除+本国产品价格扣除）]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1000000×[1-（10%+20%）]=700000元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 评分项目及总分（总分100分）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投标报价</w:t>
      </w:r>
      <w:r>
        <w:rPr>
          <w:rFonts w:hint="eastAsia" w:ascii="宋体" w:hAnsi="宋体" w:cs="宋体"/>
          <w:b/>
          <w:bCs/>
          <w:color w:val="auto"/>
          <w:sz w:val="24"/>
          <w:highlight w:val="none"/>
        </w:rPr>
        <w:t xml:space="preserve">                         30分</w:t>
      </w:r>
      <w:r/>
    </w:p>
    <w:p>
      <w:pPr>
        <w:ind w:firstLine="482"/>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（2）投标供应商综合实力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ind w:firstLine="482"/>
        <w:spacing w:line="360" w:lineRule="auto"/>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）技术参数响应</w:t>
      </w:r>
      <w:r>
        <w:rPr>
          <w:rFonts w:hint="eastAsia" w:ascii="宋体" w:hAnsi="宋体" w:cs="宋体"/>
          <w:b/>
          <w:bCs/>
          <w:color w:val="auto"/>
          <w:sz w:val="24"/>
          <w:highlight w:val="none"/>
          <w:lang w:val="en-US" w:eastAsia="zh-CN"/>
        </w:rPr>
        <w:t xml:space="preserve">                     40</w:t>
      </w:r>
      <w:r>
        <w:rPr>
          <w:rFonts w:hint="eastAsia" w:ascii="宋体" w:hAnsi="宋体" w:cs="宋体"/>
          <w:b/>
          <w:bCs/>
          <w:color w:val="auto"/>
          <w:sz w:val="24"/>
          <w:highlight w:val="none"/>
        </w:rPr>
        <w:t xml:space="preserve">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）技术方案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分</w:t>
      </w:r>
      <w:r/>
    </w:p>
    <w:p>
      <w:pPr>
        <w:ind w:firstLine="480"/>
        <w:spacing w:line="360" w:lineRule="auto"/>
        <w:rPr>
          <w:color w:val="auto"/>
          <w:highlight w:val="none"/>
        </w:rPr>
      </w:pPr>
      <w:r>
        <w:rPr>
          <w:rFonts w:hint="eastAsia" w:ascii="宋体" w:hAnsi="宋体" w:cs="宋体"/>
          <w:color w:val="auto"/>
          <w:sz w:val="24"/>
          <w:highlight w:val="none"/>
        </w:rPr>
        <w:t xml:space="preserve">8.3各项目评分标准</w:t>
      </w:r>
      <w:r/>
    </w:p>
    <w:tbl>
      <w:tblPr>
        <w:tblStyle w:val="679"/>
        <w:tblW w:w="9935"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28"/>
        <w:gridCol w:w="1488"/>
        <w:gridCol w:w="6291"/>
        <w:gridCol w:w="828"/>
      </w:tblGrid>
      <w:tr>
        <w:trPr>
          <w:jc w:val="center"/>
          <w:trHeight w:val="329"/>
        </w:trPr>
        <w:tc>
          <w:tcPr>
            <w:tcW w:w="1328" w:type="dxa"/>
            <w:vAlign w:val="center"/>
            <w:textDirection w:val="lrTb"/>
            <w:noWrap w:val="false"/>
          </w:tcPr>
          <w:p>
            <w:pPr>
              <w:jc w:val="center"/>
              <w:rPr>
                <w:b/>
                <w:bCs/>
                <w:color w:val="auto"/>
                <w:sz w:val="20"/>
                <w:szCs w:val="20"/>
                <w:highlight w:val="none"/>
              </w:rPr>
            </w:pPr>
            <w:r>
              <w:rPr>
                <w:b/>
                <w:bCs/>
                <w:color w:val="auto"/>
                <w:sz w:val="20"/>
                <w:szCs w:val="20"/>
                <w:highlight w:val="none"/>
              </w:rPr>
              <w:t xml:space="preserve">评分因素</w:t>
            </w:r>
            <w:r/>
          </w:p>
        </w:tc>
        <w:tc>
          <w:tcPr>
            <w:gridSpan w:val="2"/>
            <w:tcW w:w="7779" w:type="dxa"/>
            <w:vAlign w:val="center"/>
            <w:textDirection w:val="lrTb"/>
            <w:noWrap w:val="false"/>
          </w:tcPr>
          <w:p>
            <w:pPr>
              <w:jc w:val="center"/>
              <w:rPr>
                <w:b/>
                <w:bCs/>
                <w:color w:val="auto"/>
                <w:sz w:val="20"/>
                <w:szCs w:val="20"/>
                <w:highlight w:val="none"/>
              </w:rPr>
            </w:pPr>
            <w:r>
              <w:rPr>
                <w:b/>
                <w:bCs/>
                <w:color w:val="auto"/>
                <w:sz w:val="20"/>
                <w:szCs w:val="20"/>
                <w:highlight w:val="none"/>
              </w:rPr>
              <w:t xml:space="preserve">评审标准</w:t>
            </w:r>
            <w:r/>
          </w:p>
        </w:tc>
        <w:tc>
          <w:tcPr>
            <w:tcW w:w="828" w:type="dxa"/>
            <w:vAlign w:val="center"/>
            <w:textDirection w:val="lrTb"/>
            <w:noWrap w:val="false"/>
          </w:tcPr>
          <w:p>
            <w:pPr>
              <w:jc w:val="center"/>
              <w:rPr>
                <w:b/>
                <w:bCs/>
                <w:color w:val="auto"/>
                <w:sz w:val="20"/>
                <w:szCs w:val="20"/>
                <w:highlight w:val="none"/>
              </w:rPr>
            </w:pPr>
            <w:r>
              <w:rPr>
                <w:b/>
                <w:bCs/>
                <w:color w:val="auto"/>
                <w:sz w:val="20"/>
                <w:szCs w:val="20"/>
                <w:highlight w:val="none"/>
              </w:rPr>
              <w:t xml:space="preserve">分值</w:t>
            </w:r>
            <w:r/>
          </w:p>
        </w:tc>
      </w:tr>
      <w:tr>
        <w:trPr>
          <w:jc w:val="center"/>
          <w:trHeight w:val="1077"/>
        </w:trPr>
        <w:tc>
          <w:tcPr>
            <w:tcW w:w="1328" w:type="dxa"/>
            <w:vAlign w:val="center"/>
            <w:textDirection w:val="lrTb"/>
            <w:noWrap w:val="false"/>
          </w:tcPr>
          <w:p>
            <w:pPr>
              <w:jc w:val="center"/>
              <w:rPr>
                <w:color w:val="auto"/>
                <w:sz w:val="20"/>
                <w:szCs w:val="20"/>
                <w:highlight w:val="none"/>
              </w:rPr>
            </w:pPr>
            <w:r>
              <w:rPr>
                <w:rFonts w:hint="eastAsia"/>
                <w:color w:val="auto"/>
                <w:sz w:val="20"/>
                <w:szCs w:val="20"/>
                <w:highlight w:val="none"/>
              </w:rPr>
              <w:t xml:space="preserve">投标报价</w:t>
            </w:r>
            <w:r/>
          </w:p>
          <w:p>
            <w:pPr>
              <w:jc w:val="center"/>
              <w:rPr>
                <w:color w:val="auto"/>
                <w:sz w:val="20"/>
                <w:szCs w:val="20"/>
                <w:highlight w:val="none"/>
              </w:rPr>
            </w:pPr>
            <w:r>
              <w:rPr>
                <w:color w:val="auto"/>
                <w:sz w:val="20"/>
                <w:szCs w:val="20"/>
                <w:highlight w:val="none"/>
              </w:rPr>
              <w:t xml:space="preserve">（30分）</w:t>
            </w:r>
            <w:r/>
          </w:p>
        </w:tc>
        <w:tc>
          <w:tcPr>
            <w:gridSpan w:val="2"/>
            <w:tcW w:w="7779" w:type="dxa"/>
            <w:vAlign w:val="center"/>
            <w:textDirection w:val="lrTb"/>
            <w:noWrap w:val="false"/>
          </w:tcPr>
          <w:p>
            <w:pPr>
              <w:jc w:val="left"/>
              <w:rPr>
                <w:rFonts w:hint="eastAsia"/>
                <w:color w:val="auto"/>
                <w:sz w:val="20"/>
                <w:szCs w:val="20"/>
                <w:highlight w:val="none"/>
              </w:rPr>
            </w:pPr>
            <w:r>
              <w:rPr>
                <w:color w:val="auto"/>
                <w:sz w:val="20"/>
                <w:szCs w:val="20"/>
                <w:highlight w:val="none"/>
              </w:rPr>
              <w:t xml:space="preserve">各投标供应商的有效投标报价，在满足招标文件实质性要求且经评审后的有效最低投标报价为评标基准价，其价格分为满分30分。其他投标供应商的价格分统一按照下列公式计算：投标报价得分=（评标基准价/有效投标报价) ×30</w:t>
            </w:r>
            <w:r>
              <w:rPr>
                <w:rFonts w:hint="eastAsia"/>
                <w:color w:val="auto"/>
                <w:sz w:val="20"/>
                <w:szCs w:val="20"/>
                <w:highlight w:val="none"/>
              </w:rPr>
              <w:t xml:space="preserve">，</w:t>
            </w:r>
            <w:r>
              <w:rPr>
                <w:rFonts w:hint="eastAsia" w:ascii="宋体" w:hAnsi="宋体" w:cs="Arial"/>
                <w:color w:val="auto"/>
                <w:sz w:val="20"/>
                <w:szCs w:val="20"/>
                <w:highlight w:val="none"/>
              </w:rPr>
              <w:t xml:space="preserve">分值保留小数点后2位。</w:t>
            </w:r>
            <w:r/>
          </w:p>
        </w:tc>
        <w:tc>
          <w:tcPr>
            <w:tcW w:w="828" w:type="dxa"/>
            <w:vAlign w:val="center"/>
            <w:textDirection w:val="lrTb"/>
            <w:noWrap w:val="false"/>
          </w:tcPr>
          <w:p>
            <w:pPr>
              <w:jc w:val="center"/>
              <w:rPr>
                <w:color w:val="auto"/>
                <w:sz w:val="20"/>
                <w:szCs w:val="20"/>
                <w:highlight w:val="none"/>
              </w:rPr>
            </w:pPr>
            <w:r>
              <w:rPr>
                <w:color w:val="auto"/>
                <w:sz w:val="20"/>
                <w:szCs w:val="20"/>
                <w:highlight w:val="none"/>
              </w:rPr>
              <w:t xml:space="preserve">30</w:t>
            </w:r>
            <w:r/>
          </w:p>
        </w:tc>
      </w:tr>
      <w:tr>
        <w:trPr>
          <w:jc w:val="center"/>
          <w:trHeight w:val="283"/>
        </w:trPr>
        <w:tc>
          <w:tcPr>
            <w:tcW w:w="1328" w:type="dxa"/>
            <w:vAlign w:val="center"/>
            <w:vMerge w:val="restart"/>
            <w:textDirection w:val="lrTb"/>
            <w:noWrap w:val="false"/>
          </w:tcPr>
          <w:p>
            <w:pPr>
              <w:jc w:val="center"/>
              <w:rPr>
                <w:color w:val="auto"/>
                <w:sz w:val="20"/>
                <w:szCs w:val="20"/>
                <w:highlight w:val="none"/>
              </w:rPr>
            </w:pPr>
            <w:r>
              <w:rPr>
                <w:color w:val="auto"/>
                <w:sz w:val="20"/>
                <w:szCs w:val="20"/>
                <w:highlight w:val="none"/>
              </w:rPr>
              <w:t xml:space="preserve">投标供应商综合实力</w:t>
            </w:r>
            <w:r/>
          </w:p>
          <w:p>
            <w:pPr>
              <w:jc w:val="center"/>
              <w:rPr>
                <w:color w:val="auto"/>
                <w:sz w:val="20"/>
                <w:szCs w:val="20"/>
                <w:highlight w:val="none"/>
              </w:rPr>
            </w:pPr>
            <w:r>
              <w:rPr>
                <w:color w:val="auto"/>
                <w:sz w:val="20"/>
                <w:szCs w:val="20"/>
                <w:highlight w:val="none"/>
              </w:rPr>
              <w:t xml:space="preserve">（</w:t>
            </w:r>
            <w:r>
              <w:rPr>
                <w:rFonts w:hint="eastAsia"/>
                <w:color w:val="auto"/>
                <w:sz w:val="20"/>
                <w:szCs w:val="20"/>
                <w:highlight w:val="none"/>
                <w:lang w:val="en-US" w:eastAsia="zh-CN"/>
              </w:rPr>
              <w:t xml:space="preserve">10</w:t>
            </w:r>
            <w:r>
              <w:rPr>
                <w:color w:val="auto"/>
                <w:sz w:val="20"/>
                <w:szCs w:val="20"/>
                <w:highlight w:val="none"/>
              </w:rPr>
              <w:t xml:space="preserve">分）</w:t>
            </w:r>
            <w:r/>
          </w:p>
        </w:tc>
        <w:tc>
          <w:tcPr>
            <w:tcW w:w="1488" w:type="dxa"/>
            <w:vAlign w:val="center"/>
            <w:textDirection w:val="lrTb"/>
            <w:noWrap w:val="false"/>
          </w:tcPr>
          <w:p>
            <w:pPr>
              <w:jc w:val="center"/>
              <w:rPr>
                <w:rFonts w:hint="eastAsia"/>
                <w:color w:val="auto"/>
                <w:sz w:val="20"/>
                <w:szCs w:val="20"/>
                <w:highlight w:val="none"/>
              </w:rPr>
            </w:pPr>
            <w:r>
              <w:rPr>
                <w:color w:val="auto"/>
                <w:sz w:val="20"/>
                <w:szCs w:val="20"/>
                <w:highlight w:val="none"/>
              </w:rPr>
              <w:t xml:space="preserve">体系证书</w:t>
            </w:r>
            <w:r/>
          </w:p>
        </w:tc>
        <w:tc>
          <w:tcPr>
            <w:tcW w:w="6291" w:type="dxa"/>
            <w:vAlign w:val="center"/>
            <w:textDirection w:val="lrTb"/>
            <w:noWrap w:val="false"/>
          </w:tcPr>
          <w:p>
            <w:pPr>
              <w:jc w:val="left"/>
              <w:rPr>
                <w:rFonts w:ascii="宋体" w:hAnsi="宋体" w:cs="宋体"/>
                <w:color w:val="auto"/>
                <w:sz w:val="20"/>
                <w:szCs w:val="20"/>
                <w:highlight w:val="none"/>
              </w:rPr>
            </w:pPr>
            <w:r>
              <w:rPr>
                <w:rFonts w:hint="eastAsia"/>
                <w:color w:val="auto"/>
                <w:sz w:val="20"/>
                <w:szCs w:val="20"/>
                <w:highlight w:val="none"/>
              </w:rPr>
              <w:t xml:space="preserve">投标供应商</w:t>
            </w:r>
            <w:r>
              <w:rPr>
                <w:rFonts w:hint="eastAsia" w:ascii="宋体" w:hAnsi="宋体" w:cs="宋体"/>
                <w:color w:val="auto"/>
                <w:sz w:val="20"/>
                <w:szCs w:val="20"/>
                <w:highlight w:val="none"/>
              </w:rPr>
              <w:t xml:space="preserve">具有有效期内的“质量管理体系认证证书”，提供证书得</w:t>
            </w:r>
            <w:r>
              <w:rPr>
                <w:rFonts w:ascii="宋体" w:hAnsi="宋体" w:cs="宋体"/>
                <w:color w:val="auto"/>
                <w:sz w:val="20"/>
                <w:szCs w:val="20"/>
                <w:highlight w:val="none"/>
              </w:rPr>
              <w:t xml:space="preserve">2</w:t>
            </w:r>
            <w:r>
              <w:rPr>
                <w:rFonts w:hint="eastAsia" w:ascii="宋体" w:hAnsi="宋体" w:cs="宋体"/>
                <w:color w:val="auto"/>
                <w:sz w:val="20"/>
                <w:szCs w:val="20"/>
                <w:highlight w:val="none"/>
              </w:rPr>
              <w:t xml:space="preserve">分，本项最高得2分。</w:t>
            </w:r>
            <w:r/>
          </w:p>
          <w:p>
            <w:pPr>
              <w:jc w:val="left"/>
              <w:rPr>
                <w:color w:val="auto"/>
                <w:sz w:val="20"/>
                <w:szCs w:val="20"/>
                <w:highlight w:val="none"/>
              </w:rPr>
            </w:pPr>
            <w:r>
              <w:rPr>
                <w:rFonts w:hint="eastAsia" w:ascii="宋体" w:hAnsi="宋体" w:cs="宋体"/>
                <w:b/>
                <w:bCs/>
                <w:color w:val="auto"/>
                <w:sz w:val="20"/>
                <w:szCs w:val="20"/>
                <w:highlight w:val="none"/>
              </w:rPr>
              <w:t xml:space="preserve">注：</w:t>
            </w:r>
            <w:r>
              <w:rPr>
                <w:rFonts w:hint="eastAsia" w:ascii="宋体" w:hAnsi="宋体" w:cs="宋体"/>
                <w:color w:val="auto"/>
                <w:sz w:val="20"/>
                <w:szCs w:val="20"/>
                <w:highlight w:val="none"/>
              </w:rPr>
              <w:t xml:space="preserve">投标时提供认证证书及全</w:t>
            </w:r>
            <w:r>
              <w:rPr>
                <w:color w:val="auto"/>
                <w:sz w:val="20"/>
                <w:szCs w:val="20"/>
                <w:highlight w:val="none"/>
              </w:rPr>
              <w:t xml:space="preserve">国认证认可信息公共服务平台网站查询截图彩色复印件加盖公章</w:t>
            </w:r>
            <w:r>
              <w:rPr>
                <w:rFonts w:hint="eastAsia"/>
                <w:color w:val="auto"/>
                <w:sz w:val="20"/>
                <w:szCs w:val="20"/>
                <w:highlight w:val="none"/>
              </w:rPr>
              <w:t xml:space="preserve">。</w:t>
            </w:r>
            <w:r/>
          </w:p>
        </w:tc>
        <w:tc>
          <w:tcPr>
            <w:tcW w:w="828" w:type="dxa"/>
            <w:vAlign w:val="center"/>
            <w:textDirection w:val="lrTb"/>
            <w:noWrap w:val="false"/>
          </w:tcPr>
          <w:p>
            <w:pPr>
              <w:jc w:val="center"/>
              <w:rPr>
                <w:color w:val="auto"/>
                <w:sz w:val="20"/>
                <w:szCs w:val="20"/>
                <w:highlight w:val="none"/>
              </w:rPr>
            </w:pPr>
            <w:r>
              <w:rPr>
                <w:rFonts w:hint="eastAsia"/>
                <w:color w:val="auto"/>
                <w:sz w:val="20"/>
                <w:szCs w:val="20"/>
                <w:highlight w:val="none"/>
              </w:rPr>
              <w:t xml:space="preserve">2</w:t>
            </w:r>
            <w:r/>
          </w:p>
        </w:tc>
      </w:tr>
      <w:tr>
        <w:trPr>
          <w:jc w:val="center"/>
          <w:trHeight w:val="283"/>
        </w:trPr>
        <w:tc>
          <w:tcPr>
            <w:tcW w:w="1328"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W w:w="1488" w:type="dxa"/>
            <w:vAlign w:val="center"/>
            <w:textDirection w:val="lrTb"/>
            <w:noWrap w:val="false"/>
          </w:tcPr>
          <w:p>
            <w:pPr>
              <w:jc w:val="center"/>
              <w:rPr>
                <w:rFonts w:hint="eastAsia" w:ascii="Times New Roman" w:hAnsi="Times New Roman" w:eastAsia="宋体"/>
                <w:color w:val="auto"/>
                <w:sz w:val="20"/>
                <w:highlight w:val="none"/>
              </w:rPr>
            </w:pPr>
            <w:r>
              <w:rPr>
                <w:rFonts w:eastAsia="宋体"/>
                <w:color w:val="auto"/>
                <w:sz w:val="20"/>
                <w:szCs w:val="20"/>
                <w:highlight w:val="none"/>
              </w:rPr>
              <w:t xml:space="preserve">供应商业绩</w:t>
            </w:r>
            <w:r/>
          </w:p>
        </w:tc>
        <w:tc>
          <w:tcPr>
            <w:tcW w:w="6291" w:type="dxa"/>
            <w:vAlign w:val="center"/>
            <w:textDirection w:val="lrTb"/>
            <w:noWrap w:val="false"/>
          </w:tcPr>
          <w:p>
            <w:pPr>
              <w:jc w:val="left"/>
              <w:rPr>
                <w:rFonts w:hint="eastAsia"/>
                <w:color w:val="auto"/>
                <w:sz w:val="20"/>
                <w:szCs w:val="20"/>
                <w:highlight w:val="none"/>
              </w:rPr>
            </w:pPr>
            <w:r>
              <w:rPr>
                <w:color w:val="auto"/>
                <w:sz w:val="20"/>
                <w:szCs w:val="20"/>
                <w:highlight w:val="none"/>
              </w:rPr>
              <w:t xml:space="preserve">投标供应商自202</w:t>
            </w:r>
            <w:r>
              <w:rPr>
                <w:rFonts w:hint="eastAsia"/>
                <w:color w:val="auto"/>
                <w:sz w:val="20"/>
                <w:szCs w:val="20"/>
                <w:highlight w:val="none"/>
              </w:rPr>
              <w:t xml:space="preserve">3</w:t>
            </w:r>
            <w:r>
              <w:rPr>
                <w:color w:val="auto"/>
                <w:sz w:val="20"/>
                <w:szCs w:val="20"/>
                <w:highlight w:val="none"/>
              </w:rPr>
              <w:t xml:space="preserve">年1月1日以来具有同类项目业绩的，每</w:t>
            </w:r>
            <w:r>
              <w:rPr>
                <w:rFonts w:hint="eastAsia"/>
                <w:color w:val="auto"/>
                <w:sz w:val="20"/>
                <w:szCs w:val="20"/>
                <w:highlight w:val="none"/>
              </w:rPr>
              <w:t xml:space="preserve">提供</w:t>
            </w:r>
            <w:r>
              <w:rPr>
                <w:color w:val="auto"/>
                <w:sz w:val="20"/>
                <w:szCs w:val="20"/>
                <w:highlight w:val="none"/>
              </w:rPr>
              <w:t xml:space="preserve">一个</w:t>
            </w:r>
            <w:r>
              <w:rPr>
                <w:rFonts w:hint="eastAsia"/>
                <w:color w:val="auto"/>
                <w:sz w:val="20"/>
                <w:szCs w:val="20"/>
                <w:highlight w:val="none"/>
              </w:rPr>
              <w:t xml:space="preserve">业绩</w:t>
            </w:r>
            <w:r>
              <w:rPr>
                <w:color w:val="auto"/>
                <w:sz w:val="20"/>
                <w:szCs w:val="20"/>
                <w:highlight w:val="none"/>
              </w:rPr>
              <w:t xml:space="preserve">得</w:t>
            </w:r>
            <w:r>
              <w:rPr>
                <w:rFonts w:hint="eastAsia"/>
                <w:color w:val="auto"/>
                <w:sz w:val="20"/>
                <w:szCs w:val="20"/>
                <w:highlight w:val="none"/>
                <w:lang w:val="en-US" w:eastAsia="zh-CN"/>
              </w:rPr>
              <w:t xml:space="preserve">2</w:t>
            </w:r>
            <w:r>
              <w:rPr>
                <w:color w:val="auto"/>
                <w:sz w:val="20"/>
                <w:szCs w:val="20"/>
                <w:highlight w:val="none"/>
              </w:rPr>
              <w:t xml:space="preserve">分，</w:t>
            </w:r>
            <w:r>
              <w:rPr>
                <w:rFonts w:hint="eastAsia"/>
                <w:color w:val="auto"/>
                <w:sz w:val="20"/>
                <w:szCs w:val="20"/>
                <w:highlight w:val="none"/>
              </w:rPr>
              <w:t xml:space="preserve">本项最高得</w:t>
            </w:r>
            <w:r>
              <w:rPr>
                <w:rFonts w:hint="eastAsia"/>
                <w:color w:val="auto"/>
                <w:sz w:val="20"/>
                <w:szCs w:val="20"/>
                <w:highlight w:val="none"/>
                <w:lang w:val="en-US" w:eastAsia="zh-CN"/>
              </w:rPr>
              <w:t xml:space="preserve">6</w:t>
            </w:r>
            <w:r>
              <w:rPr>
                <w:rFonts w:hint="eastAsia"/>
                <w:color w:val="auto"/>
                <w:sz w:val="20"/>
                <w:szCs w:val="20"/>
                <w:highlight w:val="none"/>
              </w:rPr>
              <w:t xml:space="preserve">分。</w:t>
            </w:r>
            <w:r/>
          </w:p>
          <w:p>
            <w:pPr>
              <w:jc w:val="left"/>
              <w:rPr>
                <w:rFonts w:hint="eastAsia"/>
                <w:color w:val="auto"/>
                <w:sz w:val="20"/>
                <w:szCs w:val="20"/>
                <w:highlight w:val="none"/>
              </w:rPr>
            </w:pPr>
            <w:r>
              <w:rPr>
                <w:rFonts w:hint="eastAsia"/>
                <w:b/>
                <w:bCs/>
                <w:color w:val="auto"/>
                <w:sz w:val="20"/>
                <w:szCs w:val="20"/>
                <w:highlight w:val="none"/>
              </w:rPr>
              <w:t xml:space="preserve">注：</w:t>
            </w:r>
            <w:r>
              <w:rPr>
                <w:color w:val="auto"/>
                <w:sz w:val="20"/>
                <w:szCs w:val="20"/>
                <w:highlight w:val="none"/>
              </w:rPr>
              <w:t xml:space="preserve">业绩时间以合同签订时间为准，提供合同协议书复印件并加盖投标供应商公章。</w:t>
            </w:r>
            <w:r/>
          </w:p>
        </w:tc>
        <w:tc>
          <w:tcPr>
            <w:tcW w:w="828" w:type="dxa"/>
            <w:vAlign w:val="center"/>
            <w:textDirection w:val="lrTb"/>
            <w:noWrap w:val="false"/>
          </w:tcPr>
          <w:p>
            <w:pPr>
              <w:jc w:val="center"/>
              <w:rPr>
                <w:rFonts w:hint="eastAsia" w:eastAsia="宋体"/>
                <w:color w:val="auto"/>
                <w:sz w:val="20"/>
                <w:szCs w:val="20"/>
                <w:highlight w:val="none"/>
                <w:lang w:eastAsia="zh-CN"/>
              </w:rPr>
            </w:pPr>
            <w:r>
              <w:rPr>
                <w:rFonts w:hint="eastAsia"/>
                <w:color w:val="auto"/>
                <w:sz w:val="20"/>
                <w:szCs w:val="20"/>
                <w:highlight w:val="none"/>
                <w:lang w:val="en-US" w:eastAsia="zh-CN"/>
              </w:rPr>
              <w:t xml:space="preserve">6</w:t>
            </w:r>
            <w:r/>
          </w:p>
        </w:tc>
      </w:tr>
      <w:tr>
        <w:trPr>
          <w:jc w:val="center"/>
          <w:trHeight w:val="283"/>
        </w:trPr>
        <w:tc>
          <w:tcPr>
            <w:tcW w:w="1328" w:type="dxa"/>
            <w:vAlign w:val="center"/>
            <w:vMerge w:val="continue"/>
            <w:textDirection w:val="lrTb"/>
            <w:noWrap w:val="false"/>
          </w:tcPr>
          <w:p>
            <w:pPr>
              <w:jc w:val="left"/>
              <w:rPr>
                <w:color w:val="auto"/>
                <w:sz w:val="20"/>
                <w:szCs w:val="20"/>
                <w:highlight w:val="none"/>
              </w:rPr>
            </w:pPr>
            <w:r>
              <w:rPr>
                <w:color w:val="auto"/>
                <w:sz w:val="20"/>
                <w:szCs w:val="20"/>
                <w:highlight w:val="none"/>
              </w:rPr>
            </w:r>
            <w:r/>
          </w:p>
        </w:tc>
        <w:tc>
          <w:tcPr>
            <w:tcW w:w="1488"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质保承诺</w:t>
            </w:r>
            <w:r/>
          </w:p>
        </w:tc>
        <w:tc>
          <w:tcPr>
            <w:tcW w:w="6291" w:type="dxa"/>
            <w:vAlign w:val="center"/>
            <w:textDirection w:val="lrTb"/>
            <w:noWrap w:val="false"/>
          </w:tcPr>
          <w:p>
            <w:pPr>
              <w:jc w:val="left"/>
              <w:rPr>
                <w:color w:val="auto"/>
                <w:sz w:val="20"/>
                <w:szCs w:val="20"/>
                <w:highlight w:val="none"/>
              </w:rPr>
            </w:pPr>
            <w:r>
              <w:rPr>
                <w:color w:val="auto"/>
                <w:sz w:val="20"/>
                <w:szCs w:val="20"/>
                <w:highlight w:val="none"/>
              </w:rPr>
              <w:t xml:space="preserve">投标</w:t>
            </w:r>
            <w:r>
              <w:rPr>
                <w:rFonts w:hint="eastAsia"/>
                <w:color w:val="auto"/>
                <w:sz w:val="20"/>
                <w:szCs w:val="20"/>
                <w:highlight w:val="none"/>
              </w:rPr>
              <w:t xml:space="preserve">供应商</w:t>
            </w:r>
            <w:r>
              <w:rPr>
                <w:color w:val="auto"/>
                <w:sz w:val="20"/>
                <w:szCs w:val="20"/>
                <w:highlight w:val="none"/>
              </w:rPr>
              <w:t xml:space="preserve">承诺免费质保期满足招标文件最低要求基础上，每额外延长</w:t>
            </w:r>
            <w:r>
              <w:rPr>
                <w:rFonts w:hint="eastAsia"/>
                <w:color w:val="auto"/>
                <w:sz w:val="20"/>
                <w:szCs w:val="20"/>
                <w:highlight w:val="none"/>
              </w:rPr>
              <w:t xml:space="preserve">1</w:t>
            </w:r>
            <w:r>
              <w:rPr>
                <w:color w:val="auto"/>
                <w:sz w:val="20"/>
                <w:szCs w:val="20"/>
                <w:highlight w:val="none"/>
              </w:rPr>
              <w:t xml:space="preserve">年免费质保得</w:t>
            </w:r>
            <w:r>
              <w:rPr>
                <w:rFonts w:hint="eastAsia"/>
                <w:color w:val="auto"/>
                <w:sz w:val="20"/>
                <w:szCs w:val="20"/>
                <w:highlight w:val="none"/>
              </w:rPr>
              <w:t xml:space="preserve">1</w:t>
            </w:r>
            <w:r>
              <w:rPr>
                <w:color w:val="auto"/>
                <w:sz w:val="20"/>
                <w:szCs w:val="20"/>
                <w:highlight w:val="none"/>
              </w:rPr>
              <w:t xml:space="preserve">分，延长不足</w:t>
            </w:r>
            <w:r>
              <w:rPr>
                <w:rFonts w:hint="eastAsia"/>
                <w:color w:val="auto"/>
                <w:sz w:val="20"/>
                <w:szCs w:val="20"/>
                <w:highlight w:val="none"/>
              </w:rPr>
              <w:t xml:space="preserve">1</w:t>
            </w:r>
            <w:r>
              <w:rPr>
                <w:color w:val="auto"/>
                <w:sz w:val="20"/>
                <w:szCs w:val="20"/>
                <w:highlight w:val="none"/>
              </w:rPr>
              <w:t xml:space="preserve">年不计分；本项最高得</w:t>
            </w:r>
            <w:r>
              <w:rPr>
                <w:rFonts w:hint="eastAsia"/>
                <w:color w:val="auto"/>
                <w:sz w:val="20"/>
                <w:szCs w:val="20"/>
                <w:highlight w:val="none"/>
              </w:rPr>
              <w:t xml:space="preserve">2</w:t>
            </w:r>
            <w:r>
              <w:rPr>
                <w:color w:val="auto"/>
                <w:sz w:val="20"/>
                <w:szCs w:val="20"/>
                <w:highlight w:val="none"/>
              </w:rPr>
              <w:t xml:space="preserve">分。</w:t>
            </w:r>
            <w:r/>
          </w:p>
          <w:p>
            <w:pPr>
              <w:jc w:val="left"/>
              <w:rPr>
                <w:color w:val="auto"/>
                <w:sz w:val="20"/>
                <w:szCs w:val="20"/>
                <w:highlight w:val="none"/>
              </w:rPr>
            </w:pPr>
            <w:r>
              <w:rPr>
                <w:b/>
                <w:bCs/>
                <w:color w:val="auto"/>
                <w:sz w:val="20"/>
                <w:szCs w:val="20"/>
                <w:highlight w:val="none"/>
              </w:rPr>
              <w:t xml:space="preserve">注：</w:t>
            </w:r>
            <w:r>
              <w:rPr>
                <w:color w:val="auto"/>
                <w:sz w:val="20"/>
                <w:szCs w:val="20"/>
                <w:highlight w:val="none"/>
              </w:rPr>
              <w:t xml:space="preserve">质保期自项目最终验收合格之日起计算；仅满足招标文件最低质保要求不得分；须提供加盖投标人公章的书面承诺；中标后承诺的质保期限纳入合同条款严格执行</w:t>
            </w:r>
            <w:r>
              <w:rPr>
                <w:rFonts w:hint="eastAsia"/>
                <w:color w:val="auto"/>
                <w:sz w:val="20"/>
                <w:szCs w:val="20"/>
                <w:highlight w:val="none"/>
              </w:rPr>
              <w:t xml:space="preserve">。</w:t>
            </w:r>
            <w:r/>
          </w:p>
        </w:tc>
        <w:tc>
          <w:tcPr>
            <w:tcW w:w="828" w:type="dxa"/>
            <w:vAlign w:val="center"/>
            <w:textDirection w:val="lrTb"/>
            <w:noWrap w:val="false"/>
          </w:tcPr>
          <w:p>
            <w:pPr>
              <w:jc w:val="center"/>
              <w:rPr>
                <w:color w:val="auto"/>
                <w:sz w:val="20"/>
                <w:szCs w:val="20"/>
                <w:highlight w:val="none"/>
              </w:rPr>
            </w:pPr>
            <w:r>
              <w:rPr>
                <w:rFonts w:hint="eastAsia"/>
                <w:color w:val="auto"/>
                <w:sz w:val="20"/>
                <w:szCs w:val="20"/>
                <w:highlight w:val="none"/>
              </w:rPr>
              <w:t xml:space="preserve">2</w:t>
            </w:r>
            <w:r/>
          </w:p>
        </w:tc>
      </w:tr>
      <w:tr>
        <w:trPr>
          <w:jc w:val="center"/>
          <w:trHeight w:val="90"/>
        </w:trPr>
        <w:tc>
          <w:tcPr>
            <w:tcW w:w="1328" w:type="dxa"/>
            <w:vAlign w:val="center"/>
            <w:textDirection w:val="lrTb"/>
            <w:noWrap w:val="false"/>
          </w:tcPr>
          <w:p>
            <w:pPr>
              <w:jc w:val="center"/>
              <w:rPr>
                <w:color w:val="auto"/>
                <w:sz w:val="20"/>
                <w:szCs w:val="20"/>
                <w:highlight w:val="none"/>
              </w:rPr>
            </w:pPr>
            <w:r>
              <w:rPr>
                <w:color w:val="auto"/>
                <w:sz w:val="20"/>
                <w:szCs w:val="20"/>
                <w:highlight w:val="none"/>
              </w:rPr>
              <w:t xml:space="preserve">技术参数响应（</w:t>
            </w:r>
            <w:r>
              <w:rPr>
                <w:rFonts w:hint="eastAsia"/>
                <w:color w:val="auto"/>
                <w:sz w:val="20"/>
                <w:szCs w:val="20"/>
                <w:highlight w:val="none"/>
                <w:lang w:val="en-US" w:eastAsia="zh-CN"/>
              </w:rPr>
              <w:t xml:space="preserve">40</w:t>
            </w:r>
            <w:r>
              <w:rPr>
                <w:color w:val="auto"/>
                <w:sz w:val="20"/>
                <w:szCs w:val="20"/>
                <w:highlight w:val="none"/>
              </w:rPr>
              <w:t xml:space="preserve">分）</w:t>
            </w:r>
            <w:r/>
          </w:p>
        </w:tc>
        <w:tc>
          <w:tcPr>
            <w:gridSpan w:val="2"/>
            <w:tcW w:w="7779" w:type="dxa"/>
            <w:vAlign w:val="center"/>
            <w:textDirection w:val="lrTb"/>
            <w:noWrap w:val="false"/>
          </w:tcPr>
          <w:p>
            <w:pPr>
              <w:jc w:val="left"/>
              <w:rPr>
                <w:color w:val="auto"/>
                <w:sz w:val="20"/>
                <w:szCs w:val="20"/>
                <w:highlight w:val="none"/>
              </w:rPr>
            </w:pPr>
            <w:r>
              <w:rPr>
                <w:rFonts w:hint="eastAsia"/>
                <w:color w:val="auto"/>
                <w:sz w:val="20"/>
                <w:szCs w:val="20"/>
                <w:highlight w:val="none"/>
              </w:rPr>
              <w:t xml:space="preserve">投标供应商须</w:t>
            </w:r>
            <w:r>
              <w:rPr>
                <w:color w:val="auto"/>
                <w:sz w:val="20"/>
                <w:szCs w:val="20"/>
                <w:highlight w:val="none"/>
              </w:rPr>
              <w:t xml:space="preserve">提供所投产品</w:t>
            </w:r>
            <w:r>
              <w:rPr>
                <w:rFonts w:hint="eastAsia"/>
                <w:color w:val="auto"/>
                <w:sz w:val="20"/>
                <w:szCs w:val="20"/>
                <w:highlight w:val="none"/>
              </w:rPr>
              <w:t xml:space="preserve">“</w:t>
            </w:r>
            <w:r>
              <w:rPr>
                <w:color w:val="auto"/>
                <w:sz w:val="20"/>
                <w:szCs w:val="20"/>
                <w:highlight w:val="none"/>
              </w:rPr>
              <w:t xml:space="preserve">技术参数偏离表</w:t>
            </w:r>
            <w:r>
              <w:rPr>
                <w:rFonts w:hint="eastAsia"/>
                <w:color w:val="auto"/>
                <w:sz w:val="20"/>
                <w:szCs w:val="20"/>
                <w:highlight w:val="none"/>
              </w:rPr>
              <w:t xml:space="preserve">”</w:t>
            </w:r>
            <w:r>
              <w:rPr>
                <w:color w:val="auto"/>
                <w:sz w:val="20"/>
                <w:szCs w:val="20"/>
                <w:highlight w:val="none"/>
              </w:rPr>
              <w:t xml:space="preserve">，完全满足或优于招标文件技术参数要求得基准分</w:t>
            </w:r>
            <w:r>
              <w:rPr>
                <w:rFonts w:hint="eastAsia"/>
                <w:color w:val="auto"/>
                <w:sz w:val="20"/>
                <w:szCs w:val="20"/>
                <w:highlight w:val="none"/>
              </w:rPr>
              <w:t xml:space="preserve">40</w:t>
            </w:r>
            <w:r>
              <w:rPr>
                <w:color w:val="auto"/>
                <w:sz w:val="20"/>
                <w:szCs w:val="20"/>
                <w:highlight w:val="none"/>
              </w:rPr>
              <w:t xml:space="preserve">分</w:t>
            </w:r>
            <w:r>
              <w:rPr>
                <w:rFonts w:hint="eastAsia"/>
                <w:color w:val="auto"/>
                <w:sz w:val="20"/>
                <w:szCs w:val="20"/>
                <w:highlight w:val="none"/>
              </w:rPr>
              <w:t xml:space="preserve">。</w:t>
            </w:r>
            <w:r/>
          </w:p>
          <w:p>
            <w:pPr>
              <w:jc w:val="left"/>
              <w:rPr>
                <w:rFonts w:hint="eastAsia"/>
                <w:color w:val="auto"/>
                <w:sz w:val="20"/>
                <w:szCs w:val="20"/>
                <w:highlight w:val="none"/>
              </w:rPr>
            </w:pPr>
            <w:r>
              <w:rPr>
                <w:rFonts w:hint="eastAsia"/>
                <w:color w:val="auto"/>
                <w:sz w:val="20"/>
                <w:szCs w:val="20"/>
                <w:highlight w:val="none"/>
              </w:rPr>
              <w:t xml:space="preserve">（1）采购需求中标注</w:t>
            </w:r>
            <w:r>
              <w:rPr>
                <w:color w:val="auto"/>
                <w:sz w:val="20"/>
                <w:szCs w:val="20"/>
                <w:highlight w:val="none"/>
              </w:rPr>
              <w:t xml:space="preserve">“</w:t>
            </w:r>
            <w:r>
              <w:rPr>
                <w:rFonts w:hint="eastAsia"/>
                <w:color w:val="auto"/>
                <w:sz w:val="20"/>
                <w:szCs w:val="20"/>
                <w:highlight w:val="none"/>
              </w:rPr>
              <w:t xml:space="preserve">★</w:t>
            </w:r>
            <w:r>
              <w:rPr>
                <w:color w:val="auto"/>
                <w:sz w:val="20"/>
                <w:szCs w:val="20"/>
                <w:highlight w:val="none"/>
              </w:rPr>
              <w:t xml:space="preserve">”项参数和功能要求不满足或者负偏离作无效投标处理</w:t>
            </w:r>
            <w:r>
              <w:rPr>
                <w:rFonts w:hint="eastAsia"/>
                <w:color w:val="auto"/>
                <w:sz w:val="20"/>
                <w:szCs w:val="20"/>
                <w:highlight w:val="none"/>
              </w:rPr>
              <w:t xml:space="preserve">；</w:t>
            </w:r>
            <w:r/>
          </w:p>
          <w:p>
            <w:pPr>
              <w:jc w:val="left"/>
              <w:rPr>
                <w:color w:val="auto"/>
                <w:sz w:val="20"/>
                <w:szCs w:val="20"/>
                <w:highlight w:val="none"/>
              </w:rPr>
            </w:pPr>
            <w:r>
              <w:rPr>
                <w:rFonts w:hint="eastAsia"/>
                <w:color w:val="auto"/>
                <w:sz w:val="20"/>
                <w:szCs w:val="20"/>
                <w:highlight w:val="none"/>
              </w:rPr>
              <w:t xml:space="preserve">（2）采购需求中未标注</w:t>
            </w:r>
            <w:r>
              <w:rPr>
                <w:color w:val="auto"/>
                <w:sz w:val="20"/>
                <w:szCs w:val="20"/>
                <w:highlight w:val="none"/>
              </w:rPr>
              <w:t xml:space="preserve">“</w:t>
            </w:r>
            <w:r>
              <w:rPr>
                <w:rFonts w:hint="eastAsia"/>
                <w:color w:val="auto"/>
                <w:sz w:val="20"/>
                <w:szCs w:val="20"/>
                <w:highlight w:val="none"/>
              </w:rPr>
              <w:t xml:space="preserve">★</w:t>
            </w:r>
            <w:r>
              <w:rPr>
                <w:color w:val="auto"/>
                <w:sz w:val="20"/>
                <w:szCs w:val="20"/>
                <w:highlight w:val="none"/>
              </w:rPr>
              <w:t xml:space="preserve">”项参数和功能要求不满足或者负偏离，有一项扣2分，最多扣10分。</w:t>
            </w:r>
            <w:r/>
          </w:p>
          <w:p>
            <w:pPr>
              <w:jc w:val="left"/>
              <w:rPr>
                <w:color w:val="auto"/>
                <w:sz w:val="20"/>
                <w:szCs w:val="20"/>
                <w:highlight w:val="none"/>
              </w:rPr>
            </w:pPr>
            <w:r>
              <w:rPr>
                <w:rFonts w:hint="eastAsia"/>
                <w:color w:val="auto"/>
                <w:sz w:val="20"/>
                <w:szCs w:val="20"/>
                <w:highlight w:val="none"/>
              </w:rPr>
              <w:t xml:space="preserve">注：</w:t>
            </w:r>
            <w:r>
              <w:rPr>
                <w:rFonts w:ascii="Calibri" w:hAnsi="Calibri" w:cs="Calibri"/>
                <w:color w:val="auto"/>
                <w:sz w:val="20"/>
                <w:szCs w:val="20"/>
                <w:highlight w:val="none"/>
              </w:rPr>
              <w:t xml:space="preserve">①</w:t>
            </w:r>
            <w:r>
              <w:rPr>
                <w:rFonts w:hint="eastAsia"/>
                <w:color w:val="auto"/>
                <w:sz w:val="20"/>
                <w:szCs w:val="20"/>
                <w:highlight w:val="none"/>
              </w:rPr>
              <w:t xml:space="preserve">标注</w:t>
            </w:r>
            <w:r>
              <w:rPr>
                <w:color w:val="auto"/>
                <w:sz w:val="20"/>
                <w:szCs w:val="20"/>
                <w:highlight w:val="none"/>
              </w:rPr>
              <w:t xml:space="preserve">“</w:t>
            </w:r>
            <w:r>
              <w:rPr>
                <w:rFonts w:hint="eastAsia"/>
                <w:color w:val="auto"/>
                <w:sz w:val="20"/>
                <w:szCs w:val="20"/>
                <w:highlight w:val="none"/>
              </w:rPr>
              <w:t xml:space="preserve">★</w:t>
            </w:r>
            <w:r>
              <w:rPr>
                <w:color w:val="auto"/>
                <w:sz w:val="20"/>
                <w:szCs w:val="20"/>
                <w:highlight w:val="none"/>
              </w:rPr>
              <w:t xml:space="preserve">”</w:t>
            </w:r>
            <w:r>
              <w:rPr>
                <w:rFonts w:hint="eastAsia"/>
                <w:color w:val="auto"/>
                <w:sz w:val="20"/>
                <w:szCs w:val="20"/>
                <w:highlight w:val="none"/>
              </w:rPr>
              <w:t xml:space="preserve">须在投标文件中提供</w:t>
            </w:r>
            <w:r>
              <w:rPr>
                <w:color w:val="auto"/>
                <w:sz w:val="20"/>
                <w:szCs w:val="20"/>
                <w:highlight w:val="none"/>
              </w:rPr>
              <w:t xml:space="preserve">提供功能界面截图或生产厂家技术参数确认表或产品彩页或相关其他技术支持等，偏离项</w:t>
            </w:r>
            <w:r>
              <w:rPr>
                <w:rFonts w:hint="eastAsia"/>
                <w:color w:val="auto"/>
                <w:sz w:val="20"/>
                <w:szCs w:val="20"/>
                <w:highlight w:val="none"/>
              </w:rPr>
              <w:t xml:space="preserve">须</w:t>
            </w:r>
            <w:r>
              <w:rPr>
                <w:color w:val="auto"/>
                <w:sz w:val="20"/>
                <w:szCs w:val="20"/>
                <w:highlight w:val="none"/>
              </w:rPr>
              <w:t xml:space="preserve">提供相关证明材料并在投标偏离表中详细注明页码，否则视为负偏离作无效投标处理。</w:t>
            </w:r>
            <w:r/>
          </w:p>
          <w:p>
            <w:pPr>
              <w:jc w:val="left"/>
              <w:rPr>
                <w:color w:val="auto"/>
                <w:sz w:val="20"/>
                <w:szCs w:val="20"/>
                <w:highlight w:val="none"/>
              </w:rPr>
            </w:pPr>
            <w:r>
              <w:rPr>
                <w:rFonts w:ascii="Calibri" w:hAnsi="Calibri" w:cs="Calibri"/>
                <w:color w:val="auto"/>
                <w:sz w:val="20"/>
                <w:szCs w:val="20"/>
                <w:highlight w:val="none"/>
              </w:rPr>
              <w:t xml:space="preserve">②</w:t>
            </w:r>
            <w:r>
              <w:rPr>
                <w:rFonts w:hint="eastAsia"/>
                <w:color w:val="auto"/>
                <w:sz w:val="20"/>
                <w:szCs w:val="20"/>
                <w:highlight w:val="none"/>
              </w:rPr>
              <w:t xml:space="preserve">未标注</w:t>
            </w:r>
            <w:r>
              <w:rPr>
                <w:color w:val="auto"/>
                <w:sz w:val="20"/>
                <w:szCs w:val="20"/>
                <w:highlight w:val="none"/>
              </w:rPr>
              <w:t xml:space="preserve">“</w:t>
            </w:r>
            <w:r>
              <w:rPr>
                <w:rFonts w:hint="eastAsia"/>
                <w:color w:val="auto"/>
                <w:sz w:val="20"/>
                <w:szCs w:val="20"/>
                <w:highlight w:val="none"/>
              </w:rPr>
              <w:t xml:space="preserve">★</w:t>
            </w:r>
            <w:r>
              <w:rPr>
                <w:color w:val="auto"/>
                <w:sz w:val="20"/>
                <w:szCs w:val="20"/>
                <w:highlight w:val="none"/>
              </w:rPr>
              <w:t xml:space="preserve">”项须在投标偏离表中对采购要求作出实质性响应并填写，负偏离超过5项作无效投标处理。</w:t>
            </w:r>
            <w:r/>
          </w:p>
        </w:tc>
        <w:tc>
          <w:tcPr>
            <w:tcW w:w="828" w:type="dxa"/>
            <w:vAlign w:val="center"/>
            <w:textDirection w:val="lrTb"/>
            <w:noWrap w:val="false"/>
          </w:tcPr>
          <w:p>
            <w:pPr>
              <w:jc w:val="center"/>
              <w:rPr>
                <w:rFonts w:hint="default" w:eastAsia="宋体"/>
                <w:color w:val="auto"/>
                <w:sz w:val="20"/>
                <w:szCs w:val="20"/>
                <w:highlight w:val="none"/>
                <w:lang w:val="en-US" w:eastAsia="zh-CN"/>
              </w:rPr>
            </w:pPr>
            <w:r>
              <w:rPr>
                <w:rFonts w:hint="eastAsia"/>
                <w:color w:val="auto"/>
                <w:sz w:val="20"/>
                <w:szCs w:val="20"/>
                <w:highlight w:val="none"/>
                <w:lang w:val="en-US" w:eastAsia="zh-CN"/>
              </w:rPr>
              <w:t xml:space="preserve">40</w:t>
            </w:r>
            <w:r/>
          </w:p>
        </w:tc>
      </w:tr>
      <w:tr>
        <w:trPr>
          <w:jc w:val="center"/>
          <w:trHeight w:val="397"/>
        </w:trPr>
        <w:tc>
          <w:tcPr>
            <w:tcW w:w="1328" w:type="dxa"/>
            <w:vAlign w:val="center"/>
            <w:vMerge w:val="restart"/>
            <w:textDirection w:val="lrTb"/>
            <w:noWrap w:val="false"/>
          </w:tcPr>
          <w:p>
            <w:pPr>
              <w:jc w:val="center"/>
              <w:rPr>
                <w:rFonts w:hint="eastAsia"/>
                <w:color w:val="auto"/>
                <w:sz w:val="20"/>
                <w:szCs w:val="20"/>
                <w:highlight w:val="none"/>
              </w:rPr>
            </w:pPr>
            <w:r>
              <w:rPr>
                <w:color w:val="auto"/>
                <w:sz w:val="20"/>
                <w:szCs w:val="20"/>
                <w:highlight w:val="none"/>
              </w:rPr>
              <w:t xml:space="preserve">技术</w:t>
            </w:r>
            <w:r>
              <w:rPr>
                <w:rFonts w:hint="eastAsia"/>
                <w:color w:val="auto"/>
                <w:sz w:val="20"/>
                <w:szCs w:val="20"/>
                <w:highlight w:val="none"/>
              </w:rPr>
              <w:t xml:space="preserve">方案</w:t>
            </w:r>
            <w:r/>
          </w:p>
          <w:p>
            <w:pPr>
              <w:jc w:val="center"/>
              <w:rPr>
                <w:color w:val="auto"/>
                <w:sz w:val="20"/>
                <w:szCs w:val="20"/>
                <w:highlight w:val="none"/>
              </w:rPr>
            </w:pPr>
            <w:r>
              <w:rPr>
                <w:color w:val="auto"/>
                <w:sz w:val="20"/>
                <w:szCs w:val="20"/>
                <w:highlight w:val="none"/>
              </w:rPr>
              <w:t xml:space="preserve">（</w:t>
            </w:r>
            <w:r>
              <w:rPr>
                <w:rFonts w:hint="eastAsia"/>
                <w:color w:val="auto"/>
                <w:sz w:val="20"/>
                <w:szCs w:val="20"/>
                <w:highlight w:val="none"/>
              </w:rPr>
              <w:t xml:space="preserve">20</w:t>
            </w:r>
            <w:r>
              <w:rPr>
                <w:color w:val="auto"/>
                <w:sz w:val="20"/>
                <w:szCs w:val="20"/>
                <w:highlight w:val="none"/>
              </w:rPr>
              <w:t xml:space="preserve">分）</w:t>
            </w:r>
            <w:r/>
          </w:p>
        </w:tc>
        <w:tc>
          <w:tcPr>
            <w:tcW w:w="1488" w:type="dxa"/>
            <w:vAlign w:val="center"/>
            <w:textDirection w:val="lrTb"/>
            <w:noWrap w:val="false"/>
          </w:tcPr>
          <w:p>
            <w:pPr>
              <w:jc w:val="center"/>
              <w:rPr>
                <w:color w:val="auto"/>
                <w:sz w:val="20"/>
                <w:szCs w:val="20"/>
                <w:highlight w:val="none"/>
              </w:rPr>
            </w:pPr>
            <w:r>
              <w:rPr>
                <w:rFonts w:hint="eastAsia" w:ascii="Calibri" w:hAnsi="Calibri" w:eastAsia="宋体" w:cs="Calibri"/>
                <w:color w:val="auto"/>
                <w:sz w:val="20"/>
                <w:szCs w:val="20"/>
                <w:highlight w:val="none"/>
                <w:lang w:val="en-US" w:eastAsia="zh-CN"/>
              </w:rPr>
              <w:t xml:space="preserve">项目组织实施方案</w:t>
            </w:r>
            <w:r/>
          </w:p>
        </w:tc>
        <w:tc>
          <w:tcPr>
            <w:tcW w:w="6291" w:type="dxa"/>
            <w:vAlign w:val="center"/>
            <w:textDirection w:val="lrTb"/>
            <w:noWrap w:val="false"/>
          </w:tcPr>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投标供应商针对本项目的特点和采购需求进行项目实施方案设计，内容主要包括以下四个方面：</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（1）项目组织与工期管控</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包括但不限于</w:t>
            </w:r>
            <w:r>
              <w:rPr>
                <w:rFonts w:hint="default" w:ascii="宋体" w:hAnsi="宋体" w:eastAsia="宋体" w:cs="宋体"/>
                <w:b w:val="0"/>
                <w:bCs w:val="0"/>
                <w:color w:val="auto"/>
                <w:sz w:val="20"/>
                <w:szCs w:val="20"/>
                <w:highlight w:val="none"/>
                <w:lang w:val="en-US" w:eastAsia="zh-CN" w:bidi="ar"/>
              </w:rPr>
              <w:t xml:space="preserve">①</w:t>
            </w:r>
            <w:r>
              <w:rPr>
                <w:rFonts w:hint="eastAsia" w:ascii="宋体" w:hAnsi="宋体" w:cs="宋体"/>
                <w:color w:val="auto"/>
                <w:sz w:val="20"/>
                <w:szCs w:val="20"/>
                <w:highlight w:val="none"/>
                <w:lang w:bidi="ar"/>
              </w:rPr>
              <w:t xml:space="preserve">项目实施团队架构，人员岗位职责；</w:t>
            </w:r>
            <w:r>
              <w:rPr>
                <w:rFonts w:hint="eastAsia" w:ascii="宋体" w:hAnsi="宋体" w:eastAsia="宋体" w:cs="宋体"/>
                <w:b w:val="0"/>
                <w:bCs w:val="0"/>
                <w:color w:val="auto"/>
                <w:sz w:val="20"/>
                <w:szCs w:val="20"/>
                <w:highlight w:val="none"/>
                <w:lang w:val="en-US" w:eastAsia="zh-CN" w:bidi="ar"/>
              </w:rPr>
              <w:t xml:space="preserve">②</w:t>
            </w:r>
            <w:r>
              <w:rPr>
                <w:rFonts w:hint="eastAsia" w:ascii="宋体" w:hAnsi="宋体" w:cs="宋体"/>
                <w:color w:val="auto"/>
                <w:sz w:val="20"/>
                <w:szCs w:val="20"/>
                <w:highlight w:val="none"/>
                <w:lang w:bidi="ar"/>
              </w:rPr>
              <w:t xml:space="preserve">项目进度计划，细化到货、安装、部署、调试、试运行、验收等关键节点；③施工风险预判、故障应急响应及工期保障预案；</w:t>
            </w:r>
            <w:r/>
          </w:p>
          <w:p>
            <w:pPr>
              <w:numPr>
                <w:ilvl w:val="0"/>
                <w:numId w:val="0"/>
              </w:numPr>
              <w:jc w:val="left"/>
              <w:keepLines w:val="0"/>
              <w:keepNext w:val="0"/>
              <w:widowControl/>
              <w:rPr>
                <w:rFonts w:hint="eastAsia" w:ascii="宋体" w:hAnsi="宋体" w:eastAsia="宋体" w:cs="宋体"/>
                <w:b w:val="0"/>
                <w:bCs w:val="0"/>
                <w:color w:val="auto"/>
                <w:sz w:val="20"/>
                <w:szCs w:val="20"/>
                <w:highlight w:val="none"/>
                <w:lang w:val="en-US" w:eastAsia="zh-CN" w:bidi="ar"/>
              </w:rPr>
              <w:suppressLineNumbers w:val="0"/>
            </w:pPr>
            <w:r>
              <w:rPr>
                <w:rFonts w:hint="eastAsia" w:ascii="宋体" w:hAnsi="宋体" w:eastAsia="宋体" w:cs="宋体"/>
                <w:b w:val="0"/>
                <w:bCs w:val="0"/>
                <w:color w:val="auto"/>
                <w:sz w:val="20"/>
                <w:szCs w:val="20"/>
                <w:highlight w:val="none"/>
                <w:lang w:val="en-US" w:eastAsia="zh-CN" w:bidi="ar"/>
              </w:rPr>
              <w:t xml:space="preserve">（2）硬件设备安装与现场保障</w:t>
            </w:r>
            <w:r>
              <w:rPr>
                <w:rFonts w:hint="eastAsia" w:ascii="宋体" w:hAnsi="宋体" w:cs="宋体"/>
                <w:b w:val="0"/>
                <w:bCs w:val="0"/>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包括但不限于</w:t>
            </w:r>
            <w:r>
              <w:rPr>
                <w:rFonts w:hint="default" w:ascii="宋体" w:hAnsi="宋体" w:eastAsia="宋体" w:cs="宋体"/>
                <w:b w:val="0"/>
                <w:bCs w:val="0"/>
                <w:color w:val="auto"/>
                <w:sz w:val="20"/>
                <w:szCs w:val="20"/>
                <w:highlight w:val="none"/>
                <w:lang w:val="en-US" w:eastAsia="zh-CN" w:bidi="ar"/>
              </w:rPr>
              <w:t xml:space="preserve">①</w:t>
            </w:r>
            <w:r>
              <w:rPr>
                <w:rFonts w:hint="eastAsia" w:ascii="宋体" w:hAnsi="宋体" w:eastAsia="宋体" w:cs="宋体"/>
                <w:b w:val="0"/>
                <w:bCs w:val="0"/>
                <w:color w:val="auto"/>
                <w:sz w:val="20"/>
                <w:szCs w:val="20"/>
                <w:highlight w:val="none"/>
                <w:lang w:val="en-US" w:eastAsia="zh-CN" w:bidi="ar"/>
              </w:rPr>
              <w:t xml:space="preserve">硬件设备进场核验、安装布设、线路规整全流程作业，落实施工安全防护、成品保护、现场保洁复原等标准化措施；②配套施工降噪、防尘、安全管控举措，建立设备运行保障机制，保障硬件设备长期稳定、安全运行。</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软件部署与软硬件联调</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包括但不限于</w:t>
            </w:r>
            <w:r>
              <w:rPr>
                <w:rFonts w:hint="default" w:ascii="宋体" w:hAnsi="宋体" w:eastAsia="宋体" w:cs="宋体"/>
                <w:b w:val="0"/>
                <w:bCs w:val="0"/>
                <w:color w:val="auto"/>
                <w:sz w:val="20"/>
                <w:szCs w:val="20"/>
                <w:highlight w:val="none"/>
                <w:lang w:val="en-US" w:eastAsia="zh-CN" w:bidi="ar"/>
              </w:rPr>
              <w:t xml:space="preserve">①</w:t>
            </w:r>
            <w:r>
              <w:rPr>
                <w:rFonts w:hint="eastAsia" w:ascii="宋体" w:hAnsi="宋体" w:cs="宋体"/>
                <w:color w:val="auto"/>
                <w:sz w:val="20"/>
                <w:szCs w:val="20"/>
                <w:highlight w:val="none"/>
                <w:lang w:bidi="ar"/>
              </w:rPr>
              <w:t xml:space="preserve">涵盖系统环境搭建、软件安装授权、权限配置、数据初始化等完整部署工作；</w:t>
            </w:r>
            <w:r>
              <w:rPr>
                <w:rFonts w:hint="eastAsia" w:ascii="宋体" w:hAnsi="宋体" w:eastAsia="宋体" w:cs="宋体"/>
                <w:b w:val="0"/>
                <w:bCs w:val="0"/>
                <w:color w:val="auto"/>
                <w:sz w:val="20"/>
                <w:szCs w:val="20"/>
                <w:highlight w:val="none"/>
                <w:lang w:val="en-US" w:eastAsia="zh-CN" w:bidi="ar"/>
              </w:rPr>
              <w:t xml:space="preserve">②</w:t>
            </w:r>
            <w:r>
              <w:rPr>
                <w:rFonts w:hint="eastAsia" w:ascii="宋体" w:hAnsi="宋体" w:cs="宋体"/>
                <w:color w:val="auto"/>
                <w:sz w:val="20"/>
                <w:szCs w:val="20"/>
                <w:highlight w:val="none"/>
                <w:lang w:bidi="ar"/>
              </w:rPr>
              <w:t xml:space="preserve">制定硬件兼容性测试、软件适配调试、软硬件联动联调及故障排查优化方案；</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cs="宋体"/>
                <w:b w:val="0"/>
                <w:bCs w:val="0"/>
                <w:color w:val="auto"/>
                <w:sz w:val="20"/>
                <w:szCs w:val="20"/>
                <w:highlight w:val="none"/>
                <w:lang w:bidi="ar"/>
              </w:rPr>
              <w:t xml:space="preserve">（</w:t>
            </w:r>
            <w:r>
              <w:rPr>
                <w:rFonts w:hint="eastAsia" w:ascii="宋体" w:hAnsi="宋体" w:cs="宋体"/>
                <w:b w:val="0"/>
                <w:bCs w:val="0"/>
                <w:color w:val="auto"/>
                <w:sz w:val="20"/>
                <w:szCs w:val="20"/>
                <w:highlight w:val="none"/>
                <w:lang w:val="en-US" w:eastAsia="zh-CN" w:bidi="ar"/>
              </w:rPr>
              <w:t xml:space="preserve">4</w:t>
            </w:r>
            <w:r>
              <w:rPr>
                <w:rFonts w:hint="eastAsia" w:ascii="宋体" w:hAnsi="宋体" w:cs="宋体"/>
                <w:b w:val="0"/>
                <w:bCs w:val="0"/>
                <w:color w:val="auto"/>
                <w:sz w:val="20"/>
                <w:szCs w:val="20"/>
                <w:highlight w:val="none"/>
                <w:lang w:bidi="ar"/>
              </w:rPr>
              <w:t xml:space="preserve">）</w:t>
            </w:r>
            <w:r>
              <w:rPr>
                <w:rFonts w:hint="eastAsia" w:ascii="宋体" w:hAnsi="宋体" w:cs="宋体"/>
                <w:color w:val="auto"/>
                <w:sz w:val="20"/>
                <w:szCs w:val="20"/>
                <w:highlight w:val="none"/>
                <w:lang w:bidi="ar"/>
              </w:rPr>
              <w:t xml:space="preserve">项目竣工交付</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包括但不限于提供完整的竣工交付方案，包括软件授权书、操作手册、部署文档、联调验收报告等全套资料，明确资产移交、台账对接及项目验收规范</w:t>
            </w:r>
            <w:r>
              <w:rPr>
                <w:rFonts w:hint="eastAsia" w:ascii="宋体" w:hAnsi="宋体" w:cs="宋体"/>
                <w:color w:val="auto"/>
                <w:sz w:val="20"/>
                <w:szCs w:val="20"/>
                <w:highlight w:val="none"/>
                <w:lang w:eastAsia="zh-CN" w:bidi="ar"/>
              </w:rPr>
              <w:t xml:space="preserve">。</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针对上述4项内容，投标供应商结合本项目的特点和技术服务要求在投标响应文件中分别进行阐述，评标委员会根据阐述内容对每项分别进行打分：</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（1）内容针对性强、详细完善，可操作性强，得2分；</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（2）内容针对性较差、基本完善，具有一定的可操作性，得1分；</w:t>
            </w:r>
            <w:r/>
          </w:p>
          <w:p>
            <w:pPr>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（3）内容简单、针对性差，可操作性差，得0.5分；</w:t>
            </w:r>
            <w:r/>
          </w:p>
          <w:p>
            <w:pPr>
              <w:jc w:val="left"/>
              <w:widowControl/>
              <w:rPr>
                <w:color w:val="auto"/>
                <w:sz w:val="20"/>
                <w:szCs w:val="20"/>
                <w:highlight w:val="none"/>
              </w:rPr>
            </w:pPr>
            <w:r>
              <w:rPr>
                <w:rFonts w:hint="eastAsia" w:ascii="宋体" w:hAnsi="宋体" w:cs="宋体"/>
                <w:color w:val="auto"/>
                <w:sz w:val="20"/>
                <w:szCs w:val="20"/>
                <w:highlight w:val="none"/>
                <w:lang w:bidi="ar"/>
              </w:rPr>
              <w:t xml:space="preserve">（4）内容偏差大、不满足项目需求或未进行内容阐述，得0分。</w:t>
            </w:r>
            <w:r/>
          </w:p>
        </w:tc>
        <w:tc>
          <w:tcPr>
            <w:tcW w:w="828" w:type="dxa"/>
            <w:vAlign w:val="center"/>
            <w:textDirection w:val="lrTb"/>
            <w:noWrap w:val="false"/>
          </w:tcPr>
          <w:p>
            <w:pPr>
              <w:jc w:val="center"/>
              <w:rPr>
                <w:color w:val="auto"/>
                <w:sz w:val="20"/>
                <w:szCs w:val="20"/>
                <w:highlight w:val="none"/>
              </w:rPr>
            </w:pPr>
            <w:r>
              <w:rPr>
                <w:rFonts w:hint="eastAsia"/>
                <w:color w:val="auto"/>
                <w:sz w:val="20"/>
                <w:szCs w:val="20"/>
                <w:highlight w:val="none"/>
              </w:rPr>
              <w:t xml:space="preserve">8</w:t>
            </w:r>
            <w:r/>
          </w:p>
        </w:tc>
      </w:tr>
      <w:tr>
        <w:trPr>
          <w:jc w:val="center"/>
          <w:trHeight w:val="1961"/>
        </w:trPr>
        <w:tc>
          <w:tcPr>
            <w:tcW w:w="1328" w:type="dxa"/>
            <w:vAlign w:val="center"/>
            <w:vMerge w:val="continue"/>
            <w:textDirection w:val="lrTb"/>
            <w:noWrap w:val="false"/>
          </w:tcPr>
          <w:p>
            <w:pPr>
              <w:jc w:val="center"/>
              <w:rPr>
                <w:color w:val="auto"/>
                <w:sz w:val="20"/>
                <w:szCs w:val="20"/>
                <w:highlight w:val="none"/>
              </w:rPr>
            </w:pPr>
            <w:r>
              <w:rPr>
                <w:color w:val="auto"/>
                <w:sz w:val="20"/>
                <w:szCs w:val="20"/>
                <w:highlight w:val="none"/>
              </w:rPr>
            </w:r>
            <w:r/>
          </w:p>
        </w:tc>
        <w:tc>
          <w:tcPr>
            <w:tcW w:w="1488" w:type="dxa"/>
            <w:vAlign w:val="center"/>
            <w:textDirection w:val="lrTb"/>
            <w:noWrap w:val="false"/>
          </w:tcPr>
          <w:p>
            <w:pPr>
              <w:jc w:val="center"/>
              <w:rPr>
                <w:color w:val="auto"/>
                <w:sz w:val="20"/>
                <w:szCs w:val="20"/>
                <w:highlight w:val="none"/>
              </w:rPr>
            </w:pPr>
            <w:r>
              <w:rPr>
                <w:color w:val="auto"/>
                <w:sz w:val="20"/>
                <w:szCs w:val="20"/>
                <w:highlight w:val="none"/>
              </w:rPr>
              <w:t xml:space="preserve">培训方案</w:t>
            </w:r>
            <w:r/>
          </w:p>
        </w:tc>
        <w:tc>
          <w:tcPr>
            <w:tcW w:w="6291" w:type="dxa"/>
            <w:vAlign w:val="center"/>
            <w:textDirection w:val="lrTb"/>
            <w:noWrap w:val="false"/>
          </w:tcPr>
          <w:p>
            <w:pPr>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 xml:space="preserve">投标人基于对本项目需求的理解制定详细的项目培训方案，包括但不限于对使用人员、管理人员、运维人员制定分层培训，保障软硬件熟练操作、日常管理及基础运维。</w:t>
            </w:r>
            <w:r>
              <w:rPr>
                <w:rFonts w:hint="eastAsia" w:ascii="宋体" w:hAnsi="宋体" w:eastAsia="宋体" w:cs="宋体"/>
                <w:color w:val="auto"/>
                <w:sz w:val="20"/>
                <w:szCs w:val="20"/>
                <w:highlight w:val="none"/>
                <w:lang w:bidi="ar"/>
              </w:rPr>
              <w:t xml:space="preserve">针对上述内容，投标供应商结合本项目的特点和技术服务要求在投标响应文件中进行阐述，评标委员会根据阐述内容进行打分：</w:t>
            </w:r>
            <w:r/>
          </w:p>
          <w:p>
            <w:pPr>
              <w:jc w:val="lef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（1）内容针对性强、详细完善，</w:t>
            </w:r>
            <w:r>
              <w:rPr>
                <w:rFonts w:hint="eastAsia" w:ascii="宋体" w:hAnsi="宋体" w:eastAsia="宋体" w:cs="宋体"/>
                <w:color w:val="auto"/>
                <w:sz w:val="20"/>
                <w:szCs w:val="20"/>
                <w:highlight w:val="none"/>
                <w:lang w:bidi="ar"/>
              </w:rPr>
              <w:t xml:space="preserve">可操作性强</w:t>
            </w:r>
            <w:r>
              <w:rPr>
                <w:rFonts w:hint="eastAsia" w:ascii="宋体" w:hAnsi="宋体" w:eastAsia="宋体" w:cs="宋体"/>
                <w:bCs/>
                <w:color w:val="auto"/>
                <w:sz w:val="20"/>
                <w:szCs w:val="20"/>
                <w:highlight w:val="none"/>
              </w:rPr>
              <w:t xml:space="preserve">，得</w:t>
            </w:r>
            <w:r>
              <w:rPr>
                <w:rFonts w:hint="eastAsia" w:ascii="宋体" w:hAnsi="宋体" w:cs="宋体"/>
                <w:bCs/>
                <w:color w:val="auto"/>
                <w:sz w:val="20"/>
                <w:szCs w:val="20"/>
                <w:highlight w:val="none"/>
                <w:lang w:val="en-US" w:eastAsia="zh-CN"/>
              </w:rPr>
              <w:t xml:space="preserve">6</w:t>
            </w:r>
            <w:r>
              <w:rPr>
                <w:rFonts w:hint="eastAsia" w:ascii="宋体" w:hAnsi="宋体" w:eastAsia="宋体" w:cs="宋体"/>
                <w:bCs/>
                <w:color w:val="auto"/>
                <w:sz w:val="20"/>
                <w:szCs w:val="20"/>
                <w:highlight w:val="none"/>
              </w:rPr>
              <w:t xml:space="preserve">分；</w:t>
            </w:r>
            <w:r/>
          </w:p>
          <w:p>
            <w:pPr>
              <w:jc w:val="left"/>
              <w:rPr>
                <w:rFonts w:hint="eastAsia" w:ascii="宋体" w:hAnsi="宋体" w:eastAsia="宋体" w:cs="宋体"/>
                <w:bCs/>
                <w:color w:val="auto"/>
                <w:sz w:val="20"/>
                <w:szCs w:val="20"/>
                <w:highlight w:val="none"/>
                <w:lang w:eastAsia="zh-CN"/>
              </w:rPr>
            </w:pPr>
            <w:r>
              <w:rPr>
                <w:rFonts w:hint="eastAsia" w:ascii="宋体" w:hAnsi="宋体" w:eastAsia="宋体" w:cs="宋体"/>
                <w:bCs/>
                <w:color w:val="auto"/>
                <w:sz w:val="20"/>
                <w:szCs w:val="20"/>
                <w:highlight w:val="none"/>
              </w:rPr>
              <w:t xml:space="preserve">（2）内容针对性较差、基本完善，</w:t>
            </w:r>
            <w:r>
              <w:rPr>
                <w:rFonts w:hint="eastAsia" w:ascii="宋体" w:hAnsi="宋体" w:eastAsia="宋体" w:cs="宋体"/>
                <w:color w:val="auto"/>
                <w:sz w:val="20"/>
                <w:szCs w:val="20"/>
                <w:highlight w:val="none"/>
                <w:lang w:bidi="ar"/>
              </w:rPr>
              <w:t xml:space="preserve">具有一定的可操作性，</w:t>
            </w:r>
            <w:r>
              <w:rPr>
                <w:rFonts w:hint="eastAsia" w:ascii="宋体" w:hAnsi="宋体" w:eastAsia="宋体" w:cs="宋体"/>
                <w:bCs/>
                <w:color w:val="auto"/>
                <w:sz w:val="20"/>
                <w:szCs w:val="20"/>
                <w:highlight w:val="none"/>
              </w:rPr>
              <w:t xml:space="preserve">得</w:t>
            </w:r>
            <w:r>
              <w:rPr>
                <w:rFonts w:hint="eastAsia" w:ascii="宋体" w:hAnsi="宋体" w:cs="宋体"/>
                <w:bCs/>
                <w:color w:val="auto"/>
                <w:sz w:val="20"/>
                <w:szCs w:val="20"/>
                <w:highlight w:val="none"/>
                <w:lang w:val="en-US" w:eastAsia="zh-CN"/>
              </w:rPr>
              <w:t xml:space="preserve">4</w:t>
            </w:r>
            <w:r>
              <w:rPr>
                <w:rFonts w:hint="eastAsia" w:ascii="宋体" w:hAnsi="宋体" w:eastAsia="宋体" w:cs="宋体"/>
                <w:bCs/>
                <w:color w:val="auto"/>
                <w:sz w:val="20"/>
                <w:szCs w:val="20"/>
                <w:highlight w:val="none"/>
              </w:rPr>
              <w:t xml:space="preserve">分</w:t>
            </w:r>
            <w:r>
              <w:rPr>
                <w:rFonts w:hint="eastAsia" w:ascii="宋体" w:hAnsi="宋体" w:cs="宋体"/>
                <w:bCs/>
                <w:color w:val="auto"/>
                <w:sz w:val="20"/>
                <w:szCs w:val="20"/>
                <w:highlight w:val="none"/>
                <w:lang w:eastAsia="zh-CN"/>
              </w:rPr>
              <w:t xml:space="preserve">；</w:t>
            </w:r>
            <w:r/>
          </w:p>
          <w:p>
            <w:pPr>
              <w:jc w:val="lef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（3）内容简单、针对性差，</w:t>
            </w:r>
            <w:r>
              <w:rPr>
                <w:rFonts w:hint="eastAsia" w:ascii="宋体" w:hAnsi="宋体" w:eastAsia="宋体" w:cs="宋体"/>
                <w:color w:val="auto"/>
                <w:sz w:val="20"/>
                <w:szCs w:val="20"/>
                <w:highlight w:val="none"/>
                <w:lang w:bidi="ar"/>
              </w:rPr>
              <w:t xml:space="preserve">可操作性差，</w:t>
            </w:r>
            <w:r>
              <w:rPr>
                <w:rFonts w:hint="eastAsia" w:ascii="宋体" w:hAnsi="宋体" w:eastAsia="宋体" w:cs="宋体"/>
                <w:bCs/>
                <w:color w:val="auto"/>
                <w:sz w:val="20"/>
                <w:szCs w:val="20"/>
                <w:highlight w:val="none"/>
              </w:rPr>
              <w:t xml:space="preserve">得</w:t>
            </w:r>
            <w:r>
              <w:rPr>
                <w:rFonts w:hint="eastAsia" w:ascii="宋体" w:hAnsi="宋体" w:cs="宋体"/>
                <w:bCs/>
                <w:color w:val="auto"/>
                <w:sz w:val="20"/>
                <w:szCs w:val="20"/>
                <w:highlight w:val="none"/>
                <w:lang w:val="en-US" w:eastAsia="zh-CN"/>
              </w:rPr>
              <w:t xml:space="preserve">2</w:t>
            </w:r>
            <w:r>
              <w:rPr>
                <w:rFonts w:hint="eastAsia" w:ascii="宋体" w:hAnsi="宋体" w:eastAsia="宋体" w:cs="宋体"/>
                <w:bCs/>
                <w:color w:val="auto"/>
                <w:sz w:val="20"/>
                <w:szCs w:val="20"/>
                <w:highlight w:val="none"/>
              </w:rPr>
              <w:t xml:space="preserve">分；</w:t>
            </w:r>
            <w:r/>
          </w:p>
          <w:p>
            <w:pPr>
              <w:jc w:val="left"/>
              <w:rPr>
                <w:rFonts w:hint="default" w:ascii="Calibri" w:hAnsi="Calibri" w:eastAsia="宋体" w:cs="Calibri"/>
                <w:color w:val="auto"/>
                <w:sz w:val="20"/>
                <w:szCs w:val="20"/>
                <w:highlight w:val="none"/>
                <w:lang w:val="en-US" w:eastAsia="zh-CN"/>
              </w:rPr>
            </w:pPr>
            <w:r>
              <w:rPr>
                <w:rFonts w:hint="eastAsia" w:ascii="宋体" w:hAnsi="宋体" w:eastAsia="宋体" w:cs="宋体"/>
                <w:bCs/>
                <w:color w:val="auto"/>
                <w:sz w:val="20"/>
                <w:szCs w:val="20"/>
                <w:highlight w:val="none"/>
              </w:rPr>
              <w:t xml:space="preserve">（4）内容偏差大、不满足项目需求或未进行内容阐述</w:t>
            </w:r>
            <w:r>
              <w:rPr>
                <w:rFonts w:hint="eastAsia" w:ascii="宋体" w:hAnsi="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得0分。</w:t>
            </w:r>
            <w:r/>
          </w:p>
        </w:tc>
        <w:tc>
          <w:tcPr>
            <w:tcW w:w="828" w:type="dxa"/>
            <w:vAlign w:val="center"/>
            <w:textDirection w:val="lrTb"/>
            <w:noWrap w:val="false"/>
          </w:tcPr>
          <w:p>
            <w:pPr>
              <w:jc w:val="center"/>
              <w:rPr>
                <w:color w:val="auto"/>
                <w:sz w:val="20"/>
                <w:szCs w:val="20"/>
                <w:highlight w:val="none"/>
              </w:rPr>
            </w:pPr>
            <w:r>
              <w:rPr>
                <w:rFonts w:hint="eastAsia"/>
                <w:color w:val="auto"/>
                <w:sz w:val="20"/>
                <w:szCs w:val="20"/>
                <w:highlight w:val="none"/>
              </w:rPr>
              <w:t xml:space="preserve">6</w:t>
            </w:r>
            <w:r/>
          </w:p>
        </w:tc>
      </w:tr>
      <w:tr>
        <w:trPr>
          <w:jc w:val="center"/>
          <w:trHeight w:val="1379"/>
        </w:trPr>
        <w:tc>
          <w:tcPr>
            <w:tcW w:w="1328" w:type="dxa"/>
            <w:vAlign w:val="center"/>
            <w:vMerge w:val="continue"/>
            <w:textDirection w:val="lrTb"/>
            <w:noWrap w:val="false"/>
          </w:tcPr>
          <w:p>
            <w:pPr>
              <w:jc w:val="left"/>
              <w:rPr>
                <w:color w:val="auto"/>
                <w:sz w:val="20"/>
                <w:szCs w:val="20"/>
                <w:highlight w:val="none"/>
              </w:rPr>
            </w:pPr>
            <w:r>
              <w:rPr>
                <w:color w:val="auto"/>
                <w:sz w:val="20"/>
                <w:szCs w:val="20"/>
                <w:highlight w:val="none"/>
              </w:rPr>
            </w:r>
            <w:r/>
          </w:p>
        </w:tc>
        <w:tc>
          <w:tcPr>
            <w:tcW w:w="1488" w:type="dxa"/>
            <w:vAlign w:val="center"/>
            <w:textDirection w:val="lrTb"/>
            <w:noWrap w:val="false"/>
          </w:tcPr>
          <w:p>
            <w:pPr>
              <w:jc w:val="center"/>
              <w:rPr>
                <w:rFonts w:hint="eastAsia"/>
                <w:color w:val="auto"/>
                <w:sz w:val="20"/>
                <w:szCs w:val="20"/>
                <w:highlight w:val="none"/>
              </w:rPr>
            </w:pPr>
            <w:r>
              <w:rPr>
                <w:color w:val="auto"/>
                <w:sz w:val="20"/>
                <w:szCs w:val="20"/>
                <w:highlight w:val="none"/>
              </w:rPr>
              <w:t xml:space="preserve">售后服务</w:t>
            </w:r>
            <w:r>
              <w:rPr>
                <w:rFonts w:hint="eastAsia"/>
                <w:color w:val="auto"/>
                <w:sz w:val="20"/>
                <w:szCs w:val="20"/>
                <w:highlight w:val="none"/>
              </w:rPr>
              <w:t xml:space="preserve">方案</w:t>
            </w:r>
            <w:r/>
          </w:p>
        </w:tc>
        <w:tc>
          <w:tcPr>
            <w:tcW w:w="6291" w:type="dxa"/>
            <w:vAlign w:val="center"/>
            <w:textDirection w:val="lrTb"/>
            <w:noWrap w:val="false"/>
          </w:tcPr>
          <w:p>
            <w:pPr>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 xml:space="preserve">投标人基于对本项目需求的理解制定详细的项目售后方案，包括但不限于故障响应、巡检运维、备件保障、系统升级、长效服务等软硬件全周期保障能力。</w:t>
            </w:r>
            <w:r>
              <w:rPr>
                <w:rFonts w:hint="eastAsia" w:ascii="宋体" w:hAnsi="宋体" w:eastAsia="宋体" w:cs="宋体"/>
                <w:color w:val="auto"/>
                <w:sz w:val="20"/>
                <w:szCs w:val="20"/>
                <w:highlight w:val="none"/>
                <w:lang w:bidi="ar"/>
              </w:rPr>
              <w:t xml:space="preserve">针对上述内容，投标供应商结合本项目的特点和技术服务要求在投标响应文件中进行阐述，评标委员会根据阐述内容进行打分：</w:t>
            </w:r>
            <w:r/>
          </w:p>
          <w:p>
            <w:pPr>
              <w:jc w:val="lef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（1）内容针对性强、详细完善，</w:t>
            </w:r>
            <w:r>
              <w:rPr>
                <w:rFonts w:hint="eastAsia" w:ascii="宋体" w:hAnsi="宋体" w:eastAsia="宋体" w:cs="宋体"/>
                <w:color w:val="auto"/>
                <w:sz w:val="20"/>
                <w:szCs w:val="20"/>
                <w:highlight w:val="none"/>
                <w:lang w:bidi="ar"/>
              </w:rPr>
              <w:t xml:space="preserve">可操作性强</w:t>
            </w:r>
            <w:r>
              <w:rPr>
                <w:rFonts w:hint="eastAsia" w:ascii="宋体" w:hAnsi="宋体" w:eastAsia="宋体" w:cs="宋体"/>
                <w:bCs/>
                <w:color w:val="auto"/>
                <w:sz w:val="20"/>
                <w:szCs w:val="20"/>
                <w:highlight w:val="none"/>
              </w:rPr>
              <w:t xml:space="preserve">，得</w:t>
            </w:r>
            <w:r>
              <w:rPr>
                <w:rFonts w:hint="eastAsia" w:ascii="宋体" w:hAnsi="宋体" w:cs="宋体"/>
                <w:bCs/>
                <w:color w:val="auto"/>
                <w:sz w:val="20"/>
                <w:szCs w:val="20"/>
                <w:highlight w:val="none"/>
                <w:lang w:val="en-US" w:eastAsia="zh-CN"/>
              </w:rPr>
              <w:t xml:space="preserve">6</w:t>
            </w:r>
            <w:r>
              <w:rPr>
                <w:rFonts w:hint="eastAsia" w:ascii="宋体" w:hAnsi="宋体" w:eastAsia="宋体" w:cs="宋体"/>
                <w:bCs/>
                <w:color w:val="auto"/>
                <w:sz w:val="20"/>
                <w:szCs w:val="20"/>
                <w:highlight w:val="none"/>
              </w:rPr>
              <w:t xml:space="preserve">分；</w:t>
            </w:r>
            <w:r/>
          </w:p>
          <w:p>
            <w:pPr>
              <w:jc w:val="left"/>
              <w:rPr>
                <w:rFonts w:hint="eastAsia" w:ascii="宋体" w:hAnsi="宋体" w:eastAsia="宋体" w:cs="宋体"/>
                <w:bCs/>
                <w:color w:val="auto"/>
                <w:sz w:val="20"/>
                <w:szCs w:val="20"/>
                <w:highlight w:val="none"/>
                <w:lang w:eastAsia="zh-CN"/>
              </w:rPr>
            </w:pPr>
            <w:r>
              <w:rPr>
                <w:rFonts w:hint="eastAsia" w:ascii="宋体" w:hAnsi="宋体" w:eastAsia="宋体" w:cs="宋体"/>
                <w:bCs/>
                <w:color w:val="auto"/>
                <w:sz w:val="20"/>
                <w:szCs w:val="20"/>
                <w:highlight w:val="none"/>
              </w:rPr>
              <w:t xml:space="preserve">（2）内容针对性较差、基本完善，</w:t>
            </w:r>
            <w:r>
              <w:rPr>
                <w:rFonts w:hint="eastAsia" w:ascii="宋体" w:hAnsi="宋体" w:eastAsia="宋体" w:cs="宋体"/>
                <w:color w:val="auto"/>
                <w:sz w:val="20"/>
                <w:szCs w:val="20"/>
                <w:highlight w:val="none"/>
                <w:lang w:bidi="ar"/>
              </w:rPr>
              <w:t xml:space="preserve">具有一定的可操作性，</w:t>
            </w:r>
            <w:r>
              <w:rPr>
                <w:rFonts w:hint="eastAsia" w:ascii="宋体" w:hAnsi="宋体" w:eastAsia="宋体" w:cs="宋体"/>
                <w:bCs/>
                <w:color w:val="auto"/>
                <w:sz w:val="20"/>
                <w:szCs w:val="20"/>
                <w:highlight w:val="none"/>
              </w:rPr>
              <w:t xml:space="preserve">得</w:t>
            </w:r>
            <w:r>
              <w:rPr>
                <w:rFonts w:hint="eastAsia" w:ascii="宋体" w:hAnsi="宋体" w:cs="宋体"/>
                <w:bCs/>
                <w:color w:val="auto"/>
                <w:sz w:val="20"/>
                <w:szCs w:val="20"/>
                <w:highlight w:val="none"/>
                <w:lang w:val="en-US" w:eastAsia="zh-CN"/>
              </w:rPr>
              <w:t xml:space="preserve">4</w:t>
            </w:r>
            <w:r>
              <w:rPr>
                <w:rFonts w:hint="eastAsia" w:ascii="宋体" w:hAnsi="宋体" w:eastAsia="宋体" w:cs="宋体"/>
                <w:bCs/>
                <w:color w:val="auto"/>
                <w:sz w:val="20"/>
                <w:szCs w:val="20"/>
                <w:highlight w:val="none"/>
              </w:rPr>
              <w:t xml:space="preserve">分</w:t>
            </w:r>
            <w:r>
              <w:rPr>
                <w:rFonts w:hint="eastAsia" w:ascii="宋体" w:hAnsi="宋体" w:cs="宋体"/>
                <w:bCs/>
                <w:color w:val="auto"/>
                <w:sz w:val="20"/>
                <w:szCs w:val="20"/>
                <w:highlight w:val="none"/>
                <w:lang w:eastAsia="zh-CN"/>
              </w:rPr>
              <w:t xml:space="preserve">；</w:t>
            </w:r>
            <w:r/>
          </w:p>
          <w:p>
            <w:pPr>
              <w:jc w:val="lef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（3）内容简单、针对性差，</w:t>
            </w:r>
            <w:r>
              <w:rPr>
                <w:rFonts w:hint="eastAsia" w:ascii="宋体" w:hAnsi="宋体" w:eastAsia="宋体" w:cs="宋体"/>
                <w:color w:val="auto"/>
                <w:sz w:val="20"/>
                <w:szCs w:val="20"/>
                <w:highlight w:val="none"/>
                <w:lang w:bidi="ar"/>
              </w:rPr>
              <w:t xml:space="preserve">可操作性差，</w:t>
            </w:r>
            <w:r>
              <w:rPr>
                <w:rFonts w:hint="eastAsia" w:ascii="宋体" w:hAnsi="宋体" w:eastAsia="宋体" w:cs="宋体"/>
                <w:bCs/>
                <w:color w:val="auto"/>
                <w:sz w:val="20"/>
                <w:szCs w:val="20"/>
                <w:highlight w:val="none"/>
              </w:rPr>
              <w:t xml:space="preserve">得</w:t>
            </w:r>
            <w:r>
              <w:rPr>
                <w:rFonts w:hint="eastAsia" w:ascii="宋体" w:hAnsi="宋体" w:cs="宋体"/>
                <w:bCs/>
                <w:color w:val="auto"/>
                <w:sz w:val="20"/>
                <w:szCs w:val="20"/>
                <w:highlight w:val="none"/>
                <w:lang w:val="en-US" w:eastAsia="zh-CN"/>
              </w:rPr>
              <w:t xml:space="preserve">2</w:t>
            </w:r>
            <w:r>
              <w:rPr>
                <w:rFonts w:hint="eastAsia" w:ascii="宋体" w:hAnsi="宋体" w:eastAsia="宋体" w:cs="宋体"/>
                <w:bCs/>
                <w:color w:val="auto"/>
                <w:sz w:val="20"/>
                <w:szCs w:val="20"/>
                <w:highlight w:val="none"/>
              </w:rPr>
              <w:t xml:space="preserve">分；</w:t>
            </w:r>
            <w:r/>
          </w:p>
          <w:p>
            <w:pPr>
              <w:jc w:val="left"/>
              <w:rPr>
                <w:color w:val="auto"/>
                <w:sz w:val="20"/>
                <w:szCs w:val="20"/>
                <w:highlight w:val="none"/>
              </w:rPr>
            </w:pPr>
            <w:r>
              <w:rPr>
                <w:rFonts w:hint="eastAsia" w:ascii="宋体" w:hAnsi="宋体" w:eastAsia="宋体" w:cs="宋体"/>
                <w:bCs/>
                <w:color w:val="auto"/>
                <w:sz w:val="20"/>
                <w:szCs w:val="20"/>
                <w:highlight w:val="none"/>
              </w:rPr>
              <w:t xml:space="preserve">（4）内容偏差大、不满足项目需求或未进行内容阐述</w:t>
            </w:r>
            <w:r>
              <w:rPr>
                <w:rFonts w:hint="eastAsia" w:ascii="宋体" w:hAnsi="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得0分。</w:t>
            </w:r>
            <w:r/>
          </w:p>
        </w:tc>
        <w:tc>
          <w:tcPr>
            <w:tcW w:w="828" w:type="dxa"/>
            <w:vAlign w:val="center"/>
            <w:textDirection w:val="lrTb"/>
            <w:noWrap w:val="false"/>
          </w:tcPr>
          <w:p>
            <w:pPr>
              <w:jc w:val="center"/>
              <w:rPr>
                <w:rFonts w:hint="eastAsia"/>
                <w:color w:val="auto"/>
                <w:sz w:val="20"/>
                <w:szCs w:val="20"/>
                <w:highlight w:val="none"/>
              </w:rPr>
            </w:pPr>
            <w:r>
              <w:rPr>
                <w:rFonts w:hint="eastAsia"/>
                <w:color w:val="auto"/>
                <w:sz w:val="20"/>
                <w:szCs w:val="20"/>
                <w:highlight w:val="none"/>
              </w:rPr>
              <w:t xml:space="preserve">6</w:t>
            </w:r>
            <w:r/>
          </w:p>
        </w:tc>
      </w:tr>
      <w:tr>
        <w:trPr>
          <w:jc w:val="center"/>
          <w:trHeight w:val="336"/>
        </w:trPr>
        <w:tc>
          <w:tcPr>
            <w:gridSpan w:val="3"/>
            <w:tcW w:w="9107" w:type="dxa"/>
            <w:vAlign w:val="center"/>
            <w:textDirection w:val="lrTb"/>
            <w:noWrap w:val="false"/>
          </w:tcPr>
          <w:p>
            <w:pPr>
              <w:jc w:val="center"/>
              <w:rPr>
                <w:color w:val="auto"/>
                <w:sz w:val="20"/>
                <w:szCs w:val="20"/>
                <w:highlight w:val="none"/>
              </w:rPr>
            </w:pPr>
            <w:r>
              <w:rPr>
                <w:color w:val="auto"/>
                <w:sz w:val="20"/>
                <w:szCs w:val="20"/>
                <w:highlight w:val="none"/>
              </w:rPr>
              <w:t xml:space="preserve">合计</w:t>
            </w:r>
            <w:r/>
          </w:p>
        </w:tc>
        <w:tc>
          <w:tcPr>
            <w:tcW w:w="828" w:type="dxa"/>
            <w:vAlign w:val="center"/>
            <w:textDirection w:val="lrTb"/>
            <w:noWrap/>
          </w:tcPr>
          <w:p>
            <w:pPr>
              <w:jc w:val="center"/>
              <w:rPr>
                <w:color w:val="auto"/>
                <w:sz w:val="20"/>
                <w:szCs w:val="20"/>
                <w:highlight w:val="none"/>
              </w:rPr>
            </w:pPr>
            <w:r>
              <w:rPr>
                <w:color w:val="auto"/>
                <w:sz w:val="20"/>
                <w:szCs w:val="20"/>
                <w:highlight w:val="none"/>
              </w:rPr>
              <w:t xml:space="preserve">100</w:t>
            </w:r>
            <w:r/>
          </w:p>
        </w:tc>
      </w:tr>
    </w:tbl>
    <w:p>
      <w:pPr>
        <w:ind w:firstLine="480"/>
        <w:spacing w:line="360" w:lineRule="auto"/>
        <w:rPr>
          <w:rFonts w:hint="eastAsia" w:ascii="宋体" w:hAnsi="宋体" w:cs="宋体"/>
          <w:b/>
          <w:bCs/>
          <w:color w:val="auto"/>
          <w:sz w:val="24"/>
          <w:highlight w:val="none"/>
        </w:rPr>
      </w:pPr>
      <w:r>
        <w:rPr>
          <w:rFonts w:hint="eastAsia" w:ascii="宋体" w:hAnsi="宋体" w:eastAsia="宋体" w:cs="宋体"/>
          <w:color w:val="auto"/>
          <w:sz w:val="24"/>
          <w:highlight w:val="none"/>
        </w:rPr>
        <w:t xml:space="preserve">评委为5人以上的单数（含5人）时，计算分项得分时取平均值为投标单位的得分，各分项得分合计即为投标单位的总得分。投标文件无相应评分内容时，该项目为零分，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（九）确定中标供应商：</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评标委</w:t>
      </w:r>
      <w:r>
        <w:rPr>
          <w:rFonts w:hint="eastAsia" w:ascii="宋体" w:hAnsi="宋体" w:cs="宋体"/>
          <w:bCs/>
          <w:color w:val="auto"/>
          <w:sz w:val="24"/>
          <w:highlight w:val="none"/>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（十）废标的确认：</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5.评标委员会认定招标文件存在歧义、重大缺陷导致评审工作无法进行；</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6.因“苏采云”系统故障原因造成开标不成功的。</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（十一）投标保证金：</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本项目无需递交投标保证金。</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（十二）签订、履行合同：</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（十三）代理服务费：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w:t>
      </w:r>
      <w:r>
        <w:rPr>
          <w:rFonts w:hint="eastAsia" w:ascii="宋体" w:hAnsi="宋体"/>
          <w:color w:val="auto"/>
          <w:sz w:val="24"/>
          <w:highlight w:val="none"/>
          <w:lang w:val="en-US" w:eastAsia="zh-CN"/>
        </w:rPr>
        <w:t xml:space="preserve">预算</w:t>
      </w:r>
      <w:r>
        <w:rPr>
          <w:rFonts w:hint="eastAsia" w:ascii="宋体" w:hAnsi="宋体"/>
          <w:color w:val="auto"/>
          <w:sz w:val="24"/>
          <w:highlight w:val="none"/>
        </w:rPr>
        <w:t xml:space="preserve">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05</w:t>
      </w:r>
      <w:r>
        <w:rPr>
          <w:rFonts w:ascii="宋体" w:hAnsi="宋体"/>
          <w:color w:val="auto"/>
          <w:sz w:val="24"/>
          <w:highlight w:val="none"/>
        </w:rPr>
        <w:t xml:space="preserve">%</w:t>
      </w:r>
      <w:r>
        <w:rPr>
          <w:rFonts w:hint="eastAsia" w:ascii="宋体" w:hAnsi="宋体" w:cs="宋体"/>
          <w:bCs/>
          <w:color w:val="auto"/>
          <w:sz w:val="24"/>
          <w:highlight w:val="none"/>
        </w:rPr>
        <w:t xml:space="preserve">；</w:t>
      </w:r>
      <w:r>
        <w:rPr>
          <w:rFonts w:ascii="宋体" w:hAnsi="宋体"/>
          <w:color w:val="auto"/>
          <w:sz w:val="24"/>
          <w:highlight w:val="none"/>
        </w:rPr>
        <w:t xml:space="preserve">100</w:t>
      </w:r>
      <w:r>
        <w:rPr>
          <w:rFonts w:hint="eastAsia" w:ascii="宋体" w:hAnsi="宋体"/>
          <w:color w:val="auto"/>
          <w:sz w:val="24"/>
          <w:highlight w:val="none"/>
        </w:rPr>
        <w:t xml:space="preserve">万</w:t>
      </w:r>
      <w:r>
        <w:rPr>
          <w:rFonts w:ascii="宋体" w:hAnsi="宋体"/>
          <w:color w:val="auto"/>
          <w:sz w:val="24"/>
          <w:highlight w:val="none"/>
        </w:rPr>
        <w:t xml:space="preserve">－500万费率为</w:t>
      </w:r>
      <w:r>
        <w:rPr>
          <w:rFonts w:hint="eastAsia" w:ascii="宋体" w:hAnsi="宋体"/>
          <w:color w:val="auto"/>
          <w:sz w:val="24"/>
          <w:highlight w:val="none"/>
        </w:rPr>
        <w:t xml:space="preserve">0.</w:t>
      </w:r>
      <w:r>
        <w:rPr>
          <w:rFonts w:hint="eastAsia" w:ascii="宋体" w:hAnsi="宋体"/>
          <w:color w:val="auto"/>
          <w:sz w:val="24"/>
          <w:highlight w:val="none"/>
          <w:lang w:val="en-US" w:eastAsia="zh-CN"/>
        </w:rPr>
        <w:t xml:space="preserve">77</w:t>
      </w:r>
      <w:r>
        <w:rPr>
          <w:rFonts w:ascii="宋体" w:hAnsi="宋体"/>
          <w:color w:val="auto"/>
          <w:sz w:val="24"/>
          <w:highlight w:val="none"/>
        </w:rPr>
        <w:t xml:space="preserve">%</w:t>
      </w:r>
      <w:r>
        <w:rPr>
          <w:rFonts w:hint="eastAsia" w:ascii="宋体" w:hAnsi="宋体"/>
          <w:bCs/>
          <w:color w:val="auto"/>
          <w:sz w:val="24"/>
          <w:highlight w:val="none"/>
        </w:rPr>
        <w:t xml:space="preserve">。</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有关中小企业政策，如</w:t>
      </w:r>
      <w:r>
        <w:rPr>
          <w:rFonts w:hint="eastAsia" w:ascii="宋体" w:hAnsi="宋体" w:cs="宋体"/>
          <w:color w:val="auto"/>
          <w:sz w:val="24"/>
          <w:highlight w:val="none"/>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5.</w:t>
      </w:r>
      <w:r>
        <w:rPr>
          <w:rFonts w:hint="eastAsia" w:ascii="宋体" w:hAnsi="宋体" w:cs="宋体"/>
          <w:bCs/>
          <w:color w:val="auto"/>
          <w:sz w:val="24"/>
          <w:highlight w:val="none"/>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hAnsi="宋体" w:cs="宋体"/>
          <w:bCs/>
          <w:color w:val="auto"/>
          <w:sz w:val="24"/>
          <w:highlight w:val="none"/>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lang w:val="en"/>
        </w:rPr>
      </w:pPr>
      <w:r>
        <w:rPr>
          <w:rFonts w:hint="eastAsia" w:ascii="宋体" w:hAnsi="宋体" w:cs="宋体"/>
          <w:bCs/>
          <w:color w:val="auto"/>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hAnsi="宋体" w:cs="宋体"/>
          <w:bCs/>
          <w:color w:val="auto"/>
          <w:sz w:val="24"/>
          <w:highlight w:val="none"/>
        </w:rPr>
        <w:t xml:space="preserve">8.</w:t>
      </w:r>
      <w:r>
        <w:rPr>
          <w:rFonts w:hint="eastAsia" w:ascii="宋体"/>
          <w:bCs/>
          <w:color w:val="auto"/>
          <w:sz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auto"/>
          <w:sz w:val="24"/>
          <w:highlight w:val="none"/>
        </w:rPr>
        <w:t xml:space="preserve">评分标准</w:t>
      </w:r>
      <w:r>
        <w:rPr>
          <w:rFonts w:hint="eastAsia" w:ascii="宋体"/>
          <w:bCs/>
          <w:color w:val="auto"/>
          <w:sz w:val="24"/>
          <w:highlight w:val="none"/>
          <w:lang w:val="en"/>
        </w:rPr>
        <w:t xml:space="preserve">，如采购项目或者采购包中仅有服务的，则该采购项目或者采购包将不涉及本国产品的支持政策。</w:t>
      </w:r>
      <w:r/>
    </w:p>
    <w:p>
      <w:pPr>
        <w:pStyle w:val="689"/>
        <w:ind w:left="1260"/>
        <w:rPr>
          <w:color w:val="auto"/>
          <w:highlight w:val="none"/>
        </w:rPr>
      </w:pPr>
      <w:r>
        <w:rPr>
          <w:color w:val="auto"/>
          <w:highlight w:val="none"/>
        </w:rPr>
      </w:r>
      <w:r/>
    </w:p>
    <w:p>
      <w:pPr>
        <w:jc w:val="left"/>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pStyle w:val="669"/>
        <w:jc w:val="center"/>
        <w:keepLines/>
        <w:keepNext/>
        <w:pageBreakBefore w:val="0"/>
        <w:spacing w:before="240" w:after="240"/>
        <w:widowControl w:val="off"/>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第三部分．采购需求</w:t>
      </w:r>
      <w:r/>
    </w:p>
    <w:p>
      <w:pPr>
        <w:pStyle w:val="706"/>
        <w:numPr>
          <w:ilvl w:val="0"/>
          <w:numId w:val="10"/>
        </w:numPr>
        <w:keepLines w:val="0"/>
        <w:keepNext w:val="0"/>
        <w:pageBreakBefore w:val="0"/>
        <w:spacing w:before="0" w:beforeAutospacing="0" w:after="0" w:afterAutospacing="0" w:line="360" w:lineRule="auto"/>
        <w:widowControl/>
        <w:rPr>
          <w:rFonts w:hint="eastAsia" w:ascii="宋体" w:hAnsi="宋体" w:cs="宋体"/>
          <w:b/>
          <w:bCs/>
          <w:color w:val="auto"/>
          <w:sz w:val="22"/>
          <w:szCs w:val="22"/>
          <w:highlight w:val="none"/>
          <w:shd w:val="clear" w:color="auto" w:fill="ffffff"/>
        </w:rPr>
      </w:pPr>
      <w:r/>
      <w:bookmarkStart w:id="1" w:name="五．合同条款"/>
      <w:r/>
      <w:bookmarkEnd w:id="1"/>
      <w:r>
        <w:rPr>
          <w:rFonts w:hint="eastAsia" w:ascii="宋体" w:hAnsi="宋体" w:cs="宋体"/>
          <w:b/>
          <w:bCs/>
          <w:color w:val="auto"/>
          <w:sz w:val="22"/>
          <w:szCs w:val="22"/>
          <w:highlight w:val="none"/>
          <w:shd w:val="clear" w:color="auto" w:fill="ffffff"/>
        </w:rPr>
        <w:t xml:space="preserve">采购标的需实现的功能或者目标，以及为落实政府采购政策需满足的要求</w:t>
      </w:r>
      <w:r>
        <w:rPr>
          <w:rFonts w:hint="eastAsia" w:cs="宋体"/>
          <w:b/>
          <w:bCs/>
          <w:color w:val="auto"/>
          <w:sz w:val="22"/>
          <w:szCs w:val="22"/>
          <w:highlight w:val="none"/>
          <w:shd w:val="clear" w:color="auto" w:fill="ffffff"/>
          <w:lang w:eastAsia="zh-CN"/>
        </w:rPr>
        <w:t xml:space="preserve">。</w:t>
      </w:r>
      <w:r/>
    </w:p>
    <w:p>
      <w:pPr>
        <w:ind w:left="0" w:right="0" w:firstLine="44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2"/>
          <w:szCs w:val="22"/>
          <w:highlight w:val="none"/>
          <w:shd w:val="clear" w:color="auto" w:fill="ffffff"/>
          <w:lang w:val="en-US" w:eastAsia="zh-CN" w:bidi="ar-SA"/>
        </w:rPr>
        <w:suppressLineNumbers w:val="0"/>
      </w:pPr>
      <w:r>
        <w:rPr>
          <w:rFonts w:hint="eastAsia" w:ascii="宋体" w:hAnsi="宋体" w:eastAsia="宋体" w:cs="宋体"/>
          <w:color w:val="auto"/>
          <w:sz w:val="22"/>
          <w:szCs w:val="22"/>
          <w:highlight w:val="none"/>
          <w:shd w:val="clear" w:color="auto" w:fill="ffffff"/>
          <w:lang w:val="en-US" w:eastAsia="zh-CN" w:bidi="ar-SA"/>
        </w:rPr>
        <w:t xml:space="preserve">过程控制系统教学实验装置设备采购：主要满足《过程控制工程》、《过程自动化仪表》等课程实验，支持自动化工程项目及仪表选型训练，涵盖流量、温度、压力、液位等典型工业过程控制实验。</w:t>
      </w:r>
      <w:r/>
    </w:p>
    <w:p>
      <w:pPr>
        <w:pStyle w:val="706"/>
        <w:numPr>
          <w:ilvl w:val="0"/>
          <w:numId w:val="0"/>
        </w:numPr>
        <w:ind w:firstLine="440"/>
        <w:keepLines w:val="0"/>
        <w:keepNext w:val="0"/>
        <w:pageBreakBefore w:val="0"/>
        <w:spacing w:before="0" w:beforeAutospacing="0" w:after="0" w:afterAutospacing="0" w:line="360" w:lineRule="auto"/>
        <w:widowControl/>
        <w:rPr>
          <w:rFonts w:hint="eastAsia" w:ascii="宋体" w:hAnsi="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lang w:val="en-US" w:eastAsia="zh-CN" w:bidi="ar-SA"/>
        </w:rPr>
        <w:t xml:space="preserve">DCS型过程控制系统教学实验装置设备采购：主要满足从基础控制理论到复杂工业对象综合控制的阶梯式教学需求，配置工业DCS级控制系统，用于高阶综合控制、复杂控制策略及全流程自动化实训。</w:t>
      </w:r>
      <w:r/>
    </w:p>
    <w:p>
      <w:pPr>
        <w:pStyle w:val="706"/>
        <w:numPr>
          <w:ilvl w:val="0"/>
          <w:numId w:val="10"/>
        </w:numPr>
        <w:ind w:left="0" w:firstLine="0"/>
        <w:keepLines w:val="0"/>
        <w:keepNext w:val="0"/>
        <w:pageBreakBefore w:val="0"/>
        <w:spacing w:before="0" w:beforeAutospacing="0" w:after="0" w:afterAutospacing="0" w:line="360" w:lineRule="auto"/>
        <w:widowControl/>
        <w:rPr>
          <w:rFonts w:hint="eastAsia"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采购标的需执行的国家相关标准、行业标准、地方标准或者其他标准、规范</w:t>
      </w:r>
      <w:r>
        <w:rPr>
          <w:rFonts w:hint="eastAsia" w:cs="宋体"/>
          <w:b/>
          <w:bCs/>
          <w:color w:val="auto"/>
          <w:sz w:val="22"/>
          <w:szCs w:val="22"/>
          <w:highlight w:val="none"/>
          <w:shd w:val="clear" w:color="auto" w:fill="ffffff"/>
          <w:lang w:eastAsia="zh-CN"/>
        </w:rPr>
        <w:t xml:space="preserve">。</w:t>
      </w:r>
      <w:r/>
    </w:p>
    <w:p>
      <w:pPr>
        <w:pStyle w:val="706"/>
        <w:numPr>
          <w:ilvl w:val="0"/>
          <w:numId w:val="0"/>
        </w:numPr>
        <w:ind w:firstLine="440"/>
        <w:keepLines w:val="0"/>
        <w:keepNext w:val="0"/>
        <w:pageBreakBefore w:val="0"/>
        <w:spacing w:before="0" w:beforeAutospacing="0" w:after="0" w:afterAutospacing="0" w:line="360" w:lineRule="auto"/>
        <w:widowControl/>
        <w:rPr>
          <w:rFonts w:hint="eastAsia" w:ascii="宋体" w:hAnsi="宋体" w:eastAsia="宋体" w:cs="宋体"/>
          <w:color w:val="auto"/>
          <w:sz w:val="22"/>
          <w:szCs w:val="22"/>
          <w:highlight w:val="none"/>
          <w:shd w:val="clear" w:color="auto" w:fill="ffffff"/>
          <w:lang w:eastAsia="zh-CN"/>
        </w:rPr>
      </w:pPr>
      <w:r>
        <w:rPr>
          <w:rFonts w:hint="eastAsia" w:ascii="宋体" w:hAnsi="宋体" w:cs="宋体"/>
          <w:color w:val="auto"/>
          <w:sz w:val="22"/>
          <w:szCs w:val="22"/>
          <w:highlight w:val="none"/>
          <w:shd w:val="clear" w:color="auto" w:fill="ffffff"/>
          <w:lang w:eastAsia="zh-CN"/>
        </w:rPr>
        <w:t xml:space="preserve">设备应符合国家电气安全、电磁兼容及工业自动化相关标准，确保实验过程的安全性与稳定性。</w:t>
      </w:r>
      <w:r/>
    </w:p>
    <w:p>
      <w:pPr>
        <w:pStyle w:val="706"/>
        <w:numPr>
          <w:ilvl w:val="0"/>
          <w:numId w:val="10"/>
        </w:numPr>
        <w:ind w:left="0" w:firstLine="0"/>
        <w:keepLines w:val="0"/>
        <w:keepNext w:val="0"/>
        <w:pageBreakBefore w:val="0"/>
        <w:spacing w:before="0" w:beforeAutospacing="0" w:after="0" w:afterAutospacing="0" w:line="360" w:lineRule="auto"/>
        <w:widowControl/>
        <w:rPr>
          <w:rFonts w:hint="eastAsia"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采购标的需满足的质量、安全、技术规格、物理特性等要求</w:t>
      </w:r>
      <w:r>
        <w:rPr>
          <w:rFonts w:hint="eastAsia" w:cs="宋体"/>
          <w:b/>
          <w:bCs/>
          <w:color w:val="auto"/>
          <w:sz w:val="22"/>
          <w:szCs w:val="22"/>
          <w:highlight w:val="none"/>
          <w:shd w:val="clear" w:color="auto" w:fill="ffffff"/>
          <w:lang w:eastAsia="zh-CN"/>
        </w:rPr>
        <w:t xml:space="preserve">。</w:t>
      </w:r>
      <w:r/>
    </w:p>
    <w:tbl>
      <w:tblPr>
        <w:tblStyle w:val="679"/>
        <w:tblW w:w="9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9"/>
        <w:gridCol w:w="733"/>
        <w:gridCol w:w="8081"/>
      </w:tblGrid>
      <w:tr>
        <w:trPr>
          <w:jc w:val="center"/>
        </w:trPr>
        <w:tc>
          <w:tcPr>
            <w:tcMar>
              <w:left w:w="15" w:type="dxa"/>
              <w:top w:w="15" w:type="dxa"/>
              <w:right w:w="15" w:type="dxa"/>
            </w:tcMar>
            <w:tcW w:w="509" w:type="dxa"/>
            <w:vAlign w:val="center"/>
            <w:textDirection w:val="lrTb"/>
            <w:noWrap/>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Mar>
              <w:left w:w="15" w:type="dxa"/>
              <w:top w:w="15" w:type="dxa"/>
              <w:right w:w="15" w:type="dxa"/>
            </w:tcMar>
            <w:tcW w:w="733" w:type="dxa"/>
            <w:vAlign w:val="center"/>
            <w:textDirection w:val="lrTb"/>
            <w:noWrap/>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Mar>
              <w:left w:w="15" w:type="dxa"/>
              <w:top w:w="15" w:type="dxa"/>
              <w:right w:w="15" w:type="dxa"/>
            </w:tcMar>
            <w:tcW w:w="8081"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技术参数要求</w:t>
            </w:r>
            <w:r/>
          </w:p>
        </w:tc>
      </w:tr>
      <w:tr>
        <w:trPr>
          <w:jc w:val="center"/>
          <w:trHeight w:val="792"/>
        </w:trPr>
        <w:tc>
          <w:tcPr>
            <w:tcMar>
              <w:left w:w="15" w:type="dxa"/>
              <w:top w:w="15" w:type="dxa"/>
              <w:right w:w="15" w:type="dxa"/>
            </w:tcMar>
            <w:tcW w:w="509" w:type="dxa"/>
            <w:vAlign w:val="center"/>
            <w:textDirection w:val="lrTb"/>
            <w:noWrap/>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Mar>
              <w:left w:w="15" w:type="dxa"/>
              <w:top w:w="15" w:type="dxa"/>
              <w:right w:w="15" w:type="dxa"/>
            </w:tcMar>
            <w:tcW w:w="733" w:type="dxa"/>
            <w:vAlign w:val="center"/>
            <w:textDirection w:val="lrTb"/>
            <w:noWrap/>
          </w:tcPr>
          <w:p>
            <w:pPr>
              <w:jc w:val="center"/>
              <w:widowControl/>
              <w:rPr>
                <w:rFonts w:hint="eastAsia" w:ascii="宋体" w:hAnsi="宋体" w:cs="宋体"/>
                <w:b/>
                <w:bCs/>
                <w:color w:val="auto"/>
                <w:szCs w:val="21"/>
                <w:highlight w:val="none"/>
                <w:lang w:bidi="ar"/>
              </w:rPr>
            </w:pPr>
            <w:r>
              <w:rPr>
                <w:rFonts w:hint="eastAsia" w:ascii="宋体" w:hAnsi="宋体"/>
                <w:b/>
                <w:bCs/>
                <w:color w:val="auto"/>
                <w:szCs w:val="21"/>
                <w:highlight w:val="none"/>
                <w:lang w:val="en-US" w:eastAsia="zh-CN"/>
              </w:rPr>
              <w:t xml:space="preserve">过程控制系统教学实验装置</w:t>
            </w:r>
            <w:r/>
          </w:p>
        </w:tc>
        <w:tc>
          <w:tcPr>
            <w:tcMar>
              <w:left w:w="15" w:type="dxa"/>
              <w:top w:w="15" w:type="dxa"/>
              <w:right w:w="15" w:type="dxa"/>
            </w:tcMar>
            <w:tcW w:w="8081" w:type="dxa"/>
            <w:vAlign w:val="center"/>
            <w:textDirection w:val="lrTb"/>
            <w:noWrap w:val="false"/>
          </w:tcPr>
          <w:p>
            <w:pPr>
              <w:pStyle w:val="1066"/>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auto"/>
                <w:sz w:val="20"/>
                <w:szCs w:val="20"/>
                <w:highlight w:val="none"/>
              </w:rPr>
              <w:outlineLvl w:val="0"/>
              <w:suppressLineNumbers w:val="0"/>
            </w:pPr>
            <w:r>
              <w:rPr>
                <w:rFonts w:hint="eastAsia" w:ascii="宋体" w:hAnsi="宋体" w:eastAsia="宋体" w:cs="宋体"/>
                <w:b/>
                <w:bCs/>
                <w:color w:val="auto"/>
                <w:sz w:val="20"/>
                <w:szCs w:val="20"/>
                <w:highlight w:val="none"/>
              </w:rPr>
              <w:t xml:space="preserve">1.1</w:t>
            </w:r>
            <w:r>
              <w:rPr>
                <w:rFonts w:hint="eastAsia" w:ascii="宋体" w:hAnsi="宋体" w:eastAsia="宋体" w:cs="宋体"/>
                <w:b/>
                <w:bCs/>
                <w:color w:val="auto"/>
                <w:sz w:val="20"/>
                <w:szCs w:val="20"/>
                <w:highlight w:val="none"/>
                <w:lang w:val="en-US" w:eastAsia="zh-CN" w:bidi="ar-SA"/>
              </w:rPr>
              <w:t xml:space="preserve">实验装置</w:t>
            </w:r>
            <w:r>
              <w:rPr>
                <w:rFonts w:hint="eastAsia" w:ascii="宋体" w:hAnsi="宋体" w:eastAsia="宋体" w:cs="宋体"/>
                <w:b/>
                <w:bCs/>
                <w:color w:val="auto"/>
                <w:sz w:val="20"/>
                <w:szCs w:val="20"/>
                <w:highlight w:val="none"/>
              </w:rPr>
              <w:t xml:space="preserve">要求</w:t>
            </w:r>
            <w:r/>
          </w:p>
          <w:p>
            <w:p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（1）教学与实训功能：满足《过程控制工程》、《过程自动化仪表》等课程实验，支持自动化工程项目及仪表选型训练，涵盖流量、温度、压力、液位等典型工业过程控制实验。</w:t>
            </w:r>
            <w:r/>
          </w:p>
          <w:p>
            <w:p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（2）系统组成：由控制对象和电气控制系统两大部分构成。</w:t>
            </w:r>
            <w:r/>
          </w:p>
          <w:p>
            <w:pPr>
              <w:pStyle w:val="1066"/>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auto"/>
                <w:sz w:val="20"/>
                <w:szCs w:val="20"/>
                <w:highlight w:val="none"/>
              </w:rPr>
              <w:outlineLvl w:val="0"/>
              <w:suppressLineNumbers w:val="0"/>
            </w:pPr>
            <w:r>
              <w:rPr>
                <w:rFonts w:hint="eastAsia" w:ascii="宋体" w:hAnsi="宋体" w:eastAsia="宋体" w:cs="宋体"/>
                <w:b/>
                <w:bCs/>
                <w:color w:val="auto"/>
                <w:sz w:val="20"/>
                <w:szCs w:val="20"/>
                <w:highlight w:val="none"/>
              </w:rPr>
              <w:t xml:space="preserve">1.2电源配置及管理要求</w:t>
            </w:r>
            <w:r/>
          </w:p>
          <w:p>
            <w:pPr>
              <w:pStyle w:val="1066"/>
              <w:ind w:left="0" w:right="0" w:firstLine="400"/>
              <w:jc w:val="left"/>
              <w:keepLines w:val="0"/>
              <w:keepNext w:val="0"/>
              <w:pageBreakBefore w:val="0"/>
              <w:spacing w:before="0" w:beforeAutospacing="0" w:after="0" w:afterAutospacing="0" w:line="240" w:lineRule="auto"/>
              <w:rPr>
                <w:rFonts w:hint="eastAsia" w:ascii="宋体" w:hAnsi="宋体" w:eastAsia="宋体" w:cs="宋体"/>
                <w:b/>
                <w:bCs/>
                <w:color w:val="auto"/>
                <w:sz w:val="20"/>
                <w:szCs w:val="20"/>
                <w:highlight w:val="none"/>
              </w:rPr>
              <w:outlineLvl w:val="0"/>
              <w:suppressLineNumbers w:val="0"/>
            </w:pPr>
            <w:r>
              <w:rPr>
                <w:rFonts w:hint="eastAsia" w:ascii="宋体" w:hAnsi="宋体" w:eastAsia="宋体" w:cs="宋体"/>
                <w:color w:val="auto"/>
                <w:sz w:val="20"/>
                <w:szCs w:val="20"/>
                <w:highlight w:val="none"/>
              </w:rPr>
              <w:t xml:space="preserve">电源安全管理系统要求</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bidi="ar"/>
              </w:rPr>
              <w:t xml:space="preserve">可完成接通、分断、定时、延时及分配电能。要求能在线路和设备发生过载、短路的情况下对线路和用电设备进行的保护。</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0"/>
                <w:szCs w:val="20"/>
                <w:highlight w:val="none"/>
              </w:rPr>
              <w:suppressLineNumbers w:val="0"/>
            </w:pPr>
            <w:r>
              <w:rPr>
                <w:rFonts w:hint="eastAsia" w:ascii="宋体" w:hAnsi="宋体" w:eastAsia="宋体" w:cs="宋体"/>
                <w:b/>
                <w:bCs/>
                <w:color w:val="auto"/>
                <w:sz w:val="20"/>
                <w:szCs w:val="20"/>
                <w:highlight w:val="none"/>
              </w:rPr>
              <w:t xml:space="preserve">1.3</w:t>
            </w:r>
            <w:r>
              <w:rPr>
                <w:rFonts w:hint="eastAsia" w:ascii="宋体" w:hAnsi="宋体" w:eastAsia="宋体" w:cs="宋体"/>
                <w:b/>
                <w:bCs/>
                <w:color w:val="auto"/>
                <w:sz w:val="20"/>
                <w:szCs w:val="20"/>
                <w:highlight w:val="none"/>
                <w:lang w:val="en-US" w:eastAsia="zh-CN" w:bidi="ar"/>
              </w:rPr>
              <w:t xml:space="preserve">控制对象配置</w:t>
            </w:r>
            <w:r/>
          </w:p>
          <w:p>
            <w:pPr>
              <w:contextualSpacing/>
              <w:ind w:left="0" w:right="0" w:firstLine="40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实验装置的核心部件包括水箱、储水槽、隔套加温圆筒，以及水泵、电动调节阀、电磁流量计、液位变送器、温度变送器、变频器等。上述组件均按照设计规范，科学、紧凑地集成安装于实验对象控制屏上。</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（1）储水槽</w:t>
            </w:r>
            <w:r>
              <w:rPr>
                <w:rFonts w:hint="eastAsia" w:ascii="宋体" w:hAnsi="宋体" w:eastAsia="宋体" w:cs="宋体"/>
                <w:color w:val="auto"/>
                <w:sz w:val="20"/>
                <w:szCs w:val="20"/>
                <w:highlight w:val="none"/>
                <w:lang w:val="en-US" w:eastAsia="zh-CN" w:bidi="ar"/>
              </w:rPr>
              <w:t xml:space="preserve">要求采用不锈钢，要求安装在实验屏下方，要求设有液位报警系统，要求在储水箱上方设有不锈钢网罩且留有进水口位置。</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（2）水箱采用</w:t>
            </w:r>
            <w:r>
              <w:rPr>
                <w:rFonts w:hint="eastAsia" w:ascii="宋体" w:hAnsi="宋体" w:eastAsia="宋体" w:cs="宋体"/>
                <w:color w:val="auto"/>
                <w:sz w:val="20"/>
                <w:szCs w:val="20"/>
                <w:highlight w:val="none"/>
                <w:lang w:val="en-US" w:eastAsia="zh-CN" w:bidi="ar"/>
              </w:rPr>
              <w:t xml:space="preserve">有机玻璃制成，</w:t>
            </w:r>
            <w:r>
              <w:rPr>
                <w:rFonts w:hint="eastAsia" w:ascii="宋体" w:hAnsi="宋体" w:eastAsia="宋体" w:cs="宋体"/>
                <w:color w:val="auto"/>
                <w:sz w:val="20"/>
                <w:szCs w:val="20"/>
                <w:highlight w:val="none"/>
                <w:lang w:val="en-US" w:eastAsia="zh-CN" w:bidi="ar"/>
              </w:rPr>
              <w:t xml:space="preserve">要求每个水箱有刻度线。</w:t>
            </w:r>
            <w:r/>
          </w:p>
          <w:p>
            <w:pPr>
              <w:contextualSpacing/>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（3）隔套加温圆筒</w:t>
            </w:r>
            <w:r>
              <w:rPr>
                <w:rFonts w:hint="eastAsia" w:ascii="宋体" w:hAnsi="宋体" w:eastAsia="宋体" w:cs="宋体"/>
                <w:color w:val="auto"/>
                <w:sz w:val="20"/>
                <w:szCs w:val="20"/>
                <w:highlight w:val="none"/>
                <w:lang w:val="en-US" w:eastAsia="zh-CN" w:bidi="ar"/>
              </w:rPr>
              <w:t xml:space="preserve">要求采用不锈钢圆筒</w:t>
            </w:r>
            <w:r>
              <w:rPr>
                <w:rFonts w:hint="eastAsia" w:ascii="宋体" w:hAnsi="宋体" w:eastAsia="宋体" w:cs="宋体"/>
                <w:color w:val="auto"/>
                <w:sz w:val="20"/>
                <w:szCs w:val="20"/>
                <w:highlight w:val="none"/>
                <w:lang w:val="en-US" w:eastAsia="zh-CN" w:bidi="ar"/>
              </w:rPr>
              <w:t xml:space="preserve">。</w:t>
            </w:r>
            <w:r/>
          </w:p>
          <w:p>
            <w:p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（4）采用</w:t>
            </w:r>
            <w:r>
              <w:rPr>
                <w:rFonts w:hint="eastAsia" w:ascii="宋体" w:hAnsi="宋体" w:eastAsia="宋体" w:cs="宋体"/>
                <w:color w:val="auto"/>
                <w:sz w:val="20"/>
                <w:szCs w:val="20"/>
                <w:highlight w:val="none"/>
                <w:lang w:val="en-US" w:eastAsia="zh-CN" w:bidi="ar"/>
              </w:rPr>
              <w:t xml:space="preserve">离心式三相磁力水泵，</w:t>
            </w:r>
            <w:r>
              <w:rPr>
                <w:rFonts w:hint="eastAsia" w:ascii="宋体" w:hAnsi="宋体" w:eastAsia="宋体" w:cs="宋体"/>
                <w:color w:val="auto"/>
                <w:sz w:val="20"/>
                <w:szCs w:val="20"/>
                <w:highlight w:val="none"/>
                <w:lang w:val="en-US" w:eastAsia="zh-CN" w:bidi="ar"/>
              </w:rPr>
              <w:t xml:space="preserve">要求泵接触液体部分选用耐腐蚀、高强度的工程塑料、刚玉陶瓷、不锈钢等抗化学材料制造，要求具有良好的抗腐蚀性和防锈性。</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（5）电动调节阀：</w:t>
            </w:r>
            <w:r>
              <w:rPr>
                <w:rFonts w:hint="eastAsia" w:ascii="宋体" w:hAnsi="宋体" w:eastAsia="宋体" w:cs="宋体"/>
                <w:bCs/>
                <w:color w:val="auto"/>
                <w:sz w:val="20"/>
                <w:szCs w:val="20"/>
                <w:highlight w:val="none"/>
                <w:lang w:val="en-US" w:eastAsia="zh-CN" w:bidi="ar"/>
              </w:rPr>
              <w:t xml:space="preserve">阀门采用柔性弹簧连接，保证阀门的可靠关断，≤0.05％低泄漏率</w:t>
            </w:r>
            <w:r>
              <w:rPr>
                <w:rFonts w:hint="eastAsia" w:ascii="宋体" w:hAnsi="宋体" w:eastAsia="宋体" w:cs="宋体"/>
                <w:color w:val="auto"/>
                <w:sz w:val="20"/>
                <w:szCs w:val="20"/>
                <w:highlight w:val="none"/>
                <w:lang w:val="en-US" w:eastAsia="zh-CN" w:bidi="ar"/>
              </w:rPr>
              <w:t xml:space="preserve">。</w:t>
            </w:r>
            <w:r/>
          </w:p>
          <w:p>
            <w:p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（6）电磁流量计用于测量封闭管道中导电流体的体积流量，基于微处理器的变送器，带有数字显示，可连接多种传感器，具有通讯功能。</w:t>
            </w:r>
            <w:r/>
          </w:p>
          <w:p>
            <w:p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（7）液位变送器用来检测实验水箱的液位，</w:t>
            </w:r>
            <w:r>
              <w:rPr>
                <w:rFonts w:hint="eastAsia" w:ascii="宋体" w:hAnsi="宋体" w:eastAsia="宋体" w:cs="宋体"/>
                <w:color w:val="auto"/>
                <w:sz w:val="20"/>
                <w:szCs w:val="20"/>
                <w:highlight w:val="none"/>
                <w:lang w:val="en-US" w:eastAsia="zh-CN" w:bidi="ar"/>
              </w:rPr>
              <w:t xml:space="preserve">4-20mA 输出。</w:t>
            </w:r>
            <w:r/>
          </w:p>
          <w:p>
            <w:p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（8）温度变送器：</w:t>
            </w:r>
            <w:r>
              <w:rPr>
                <w:rFonts w:hint="eastAsia" w:ascii="宋体" w:hAnsi="宋体" w:eastAsia="宋体" w:cs="宋体"/>
                <w:color w:val="auto"/>
                <w:sz w:val="20"/>
                <w:szCs w:val="20"/>
                <w:highlight w:val="none"/>
                <w:lang w:val="en-US" w:eastAsia="zh-CN" w:bidi="ar"/>
              </w:rPr>
              <w:t xml:space="preserve">4-20mA 输出。</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（9）变频器采用功率不低于0.3kw，</w:t>
            </w:r>
            <w:r>
              <w:rPr>
                <w:rFonts w:hint="eastAsia" w:ascii="宋体" w:hAnsi="宋体" w:eastAsia="宋体" w:cs="宋体"/>
                <w:color w:val="auto"/>
                <w:sz w:val="20"/>
                <w:szCs w:val="20"/>
                <w:highlight w:val="none"/>
                <w:vertAlign w:val="baseline"/>
                <w:lang w:val="en-US" w:eastAsia="zh-CN"/>
              </w:rPr>
              <w:t xml:space="preserve">带操作面板</w:t>
            </w:r>
            <w:r>
              <w:rPr>
                <w:rFonts w:hint="eastAsia" w:ascii="宋体" w:hAnsi="宋体" w:eastAsia="宋体" w:cs="宋体"/>
                <w:color w:val="auto"/>
                <w:sz w:val="20"/>
                <w:szCs w:val="20"/>
                <w:highlight w:val="none"/>
                <w:lang w:val="en-US" w:eastAsia="zh-CN" w:bidi="ar"/>
              </w:rPr>
              <w:t xml:space="preserve">。</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（10）实验对象控制屏</w:t>
            </w:r>
            <w:r>
              <w:rPr>
                <w:rFonts w:hint="eastAsia" w:ascii="宋体" w:hAnsi="宋体" w:eastAsia="宋体" w:cs="宋体"/>
                <w:color w:val="auto"/>
                <w:sz w:val="20"/>
                <w:szCs w:val="20"/>
                <w:highlight w:val="none"/>
                <w:lang w:val="en-US" w:eastAsia="zh-CN" w:bidi="ar"/>
              </w:rPr>
              <w:t xml:space="preserve">要求为敞开式结构，实验时便于学生观察对象。</w:t>
            </w:r>
            <w:r/>
          </w:p>
          <w:p>
            <w:pPr>
              <w:pStyle w:val="1066"/>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auto"/>
                <w:sz w:val="20"/>
                <w:szCs w:val="20"/>
                <w:highlight w:val="none"/>
                <w:lang w:val="en-US" w:eastAsia="zh-CN"/>
              </w:rPr>
              <w:outlineLvl w:val="0"/>
              <w:suppressLineNumbers w:val="0"/>
            </w:pPr>
            <w:r>
              <w:rPr>
                <w:rFonts w:hint="eastAsia" w:ascii="宋体" w:hAnsi="宋体" w:eastAsia="宋体" w:cs="宋体"/>
                <w:b/>
                <w:bCs/>
                <w:color w:val="auto"/>
                <w:sz w:val="20"/>
                <w:szCs w:val="20"/>
                <w:highlight w:val="none"/>
                <w:lang w:val="en-US" w:eastAsia="zh-CN"/>
              </w:rPr>
              <w:t xml:space="preserve">1.4电气控制系统配置</w:t>
            </w:r>
            <w:r/>
          </w:p>
          <w:p>
            <w:pPr>
              <w:ind w:left="0" w:right="0" w:firstLine="400"/>
              <w:keepLines w:val="0"/>
              <w:keepNext w:val="0"/>
              <w:pageBreakBefore w:val="0"/>
              <w:spacing w:before="0" w:beforeAutospacing="0" w:after="0" w:afterAutospacing="0" w:line="240" w:lineRule="auto"/>
              <w:rPr>
                <w:rFonts w:hint="eastAsia" w:ascii="宋体" w:hAnsi="宋体" w:eastAsia="宋体" w:cs="宋体"/>
                <w:b/>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过程控制实验装置控制系统核心部分主要是，实验桌、对象模拟板、可编程主机、</w:t>
            </w:r>
            <w:r>
              <w:rPr>
                <w:rFonts w:hint="eastAsia" w:ascii="宋体" w:hAnsi="宋体" w:eastAsia="宋体" w:cs="宋体"/>
                <w:b w:val="0"/>
                <w:bCs/>
                <w:color w:val="auto"/>
                <w:sz w:val="20"/>
                <w:szCs w:val="20"/>
                <w:highlight w:val="none"/>
              </w:rPr>
              <w:t xml:space="preserve">实时控制系统</w:t>
            </w:r>
            <w:r>
              <w:rPr>
                <w:rFonts w:hint="eastAsia" w:ascii="宋体" w:hAnsi="宋体" w:eastAsia="宋体" w:cs="宋体"/>
                <w:b w:val="0"/>
                <w:bCs/>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远程数据采集单元、智能调节器、</w:t>
            </w:r>
            <w:r>
              <w:rPr>
                <w:rFonts w:hint="eastAsia" w:ascii="宋体" w:hAnsi="宋体" w:eastAsia="宋体" w:cs="宋体"/>
                <w:b w:val="0"/>
                <w:bCs/>
                <w:color w:val="auto"/>
                <w:sz w:val="20"/>
                <w:szCs w:val="20"/>
                <w:highlight w:val="none"/>
                <w:lang w:val="en-US" w:eastAsia="zh-CN"/>
              </w:rPr>
              <w:t xml:space="preserve">工控软件、</w:t>
            </w:r>
            <w:r>
              <w:rPr>
                <w:rFonts w:hint="eastAsia" w:ascii="宋体" w:hAnsi="宋体" w:eastAsia="宋体" w:cs="宋体"/>
                <w:b w:val="0"/>
                <w:bCs w:val="0"/>
                <w:color w:val="auto"/>
                <w:sz w:val="20"/>
                <w:szCs w:val="20"/>
                <w:highlight w:val="none"/>
              </w:rPr>
              <w:t xml:space="preserve">操作终端</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rPr>
              <w:t xml:space="preserve">（1）实验桌</w:t>
            </w:r>
            <w:r>
              <w:rPr>
                <w:rFonts w:hint="eastAsia" w:ascii="宋体" w:hAnsi="宋体" w:eastAsia="宋体" w:cs="宋体"/>
                <w:b w:val="0"/>
                <w:bCs w:val="0"/>
                <w:color w:val="auto"/>
                <w:sz w:val="20"/>
                <w:szCs w:val="20"/>
                <w:highlight w:val="none"/>
                <w:lang w:val="en-US" w:eastAsia="zh-CN"/>
              </w:rPr>
              <w:t xml:space="preserve">台</w:t>
            </w:r>
            <w:r>
              <w:rPr>
                <w:rFonts w:hint="eastAsia" w:ascii="宋体" w:hAnsi="宋体" w:eastAsia="宋体" w:cs="宋体"/>
                <w:b w:val="0"/>
                <w:bCs w:val="0"/>
                <w:color w:val="auto"/>
                <w:sz w:val="20"/>
                <w:szCs w:val="20"/>
                <w:highlight w:val="none"/>
                <w:lang w:val="en-US" w:eastAsia="zh-CN" w:bidi="ar"/>
              </w:rPr>
              <w:t xml:space="preserve">底部安装可调高支脚</w:t>
            </w:r>
            <w:r>
              <w:rPr>
                <w:rFonts w:hint="eastAsia" w:ascii="宋体" w:hAnsi="宋体" w:eastAsia="宋体" w:cs="宋体"/>
                <w:b w:val="0"/>
                <w:bCs w:val="0"/>
                <w:color w:val="auto"/>
                <w:sz w:val="20"/>
                <w:szCs w:val="20"/>
                <w:highlight w:val="none"/>
                <w:lang w:val="en-US" w:eastAsia="zh-CN"/>
              </w:rPr>
              <w:t xml:space="preserve">，台面下方配置操作终端托架，实验桌配置储物柜。</w:t>
            </w:r>
            <w:r/>
          </w:p>
          <w:p>
            <w:pPr>
              <w:pStyle w:val="1066"/>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auto"/>
                <w:sz w:val="20"/>
                <w:szCs w:val="20"/>
                <w:highlight w:val="none"/>
                <w:lang w:val="en-US" w:eastAsia="zh-CN"/>
              </w:rPr>
              <w:outlineLvl w:val="0"/>
              <w:suppressLineNumbers w:val="0"/>
            </w:pPr>
            <w:r>
              <w:rPr>
                <w:rFonts w:hint="eastAsia" w:ascii="宋体" w:hAnsi="宋体" w:eastAsia="宋体" w:cs="宋体"/>
                <w:color w:val="auto"/>
                <w:sz w:val="20"/>
                <w:szCs w:val="20"/>
                <w:highlight w:val="none"/>
                <w:lang w:val="en-US" w:eastAsia="zh-CN"/>
              </w:rPr>
              <w:t xml:space="preserve">（2）对象模拟板</w:t>
            </w:r>
            <w:r>
              <w:rPr>
                <w:rFonts w:hint="eastAsia" w:ascii="宋体" w:hAnsi="宋体" w:eastAsia="宋体" w:cs="宋体"/>
                <w:bCs/>
                <w:color w:val="auto"/>
                <w:sz w:val="20"/>
                <w:szCs w:val="20"/>
                <w:highlight w:val="none"/>
                <w:lang w:val="en-US" w:eastAsia="zh-CN" w:bidi="ar"/>
              </w:rPr>
              <w:t xml:space="preserve">设计有直观的实验系统总体流程图，包含模拟对象、各传感器及执行器检测信号端口</w:t>
            </w:r>
            <w:r>
              <w:rPr>
                <w:rFonts w:hint="eastAsia" w:ascii="宋体" w:hAnsi="宋体" w:eastAsia="宋体" w:cs="宋体"/>
                <w:color w:val="auto"/>
                <w:sz w:val="20"/>
                <w:szCs w:val="20"/>
                <w:highlight w:val="none"/>
              </w:rPr>
              <w:t xml:space="preserve">，图上元器件的布置与实际被控对象的元器件分布相对应</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各元器件接线均经端子引至</w:t>
            </w:r>
            <w:r>
              <w:rPr>
                <w:rFonts w:hint="eastAsia" w:ascii="宋体" w:hAnsi="宋体" w:eastAsia="宋体" w:cs="宋体"/>
                <w:color w:val="auto"/>
                <w:sz w:val="20"/>
                <w:szCs w:val="20"/>
                <w:highlight w:val="none"/>
                <w:lang w:val="en-US" w:eastAsia="zh-CN"/>
              </w:rPr>
              <w:t xml:space="preserve">对象模拟</w:t>
            </w:r>
            <w:r>
              <w:rPr>
                <w:rFonts w:hint="eastAsia" w:ascii="宋体" w:hAnsi="宋体" w:eastAsia="宋体" w:cs="宋体"/>
                <w:color w:val="auto"/>
                <w:sz w:val="20"/>
                <w:szCs w:val="20"/>
                <w:highlight w:val="none"/>
              </w:rPr>
              <w:t xml:space="preserve">板</w:t>
            </w:r>
            <w:r>
              <w:rPr>
                <w:rFonts w:hint="eastAsia" w:ascii="宋体" w:hAnsi="宋体" w:eastAsia="宋体" w:cs="宋体"/>
                <w:color w:val="auto"/>
                <w:sz w:val="20"/>
                <w:szCs w:val="20"/>
                <w:highlight w:val="none"/>
                <w:lang w:val="en-US" w:eastAsia="zh-CN"/>
              </w:rPr>
              <w:t xml:space="preserve">上</w:t>
            </w: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val="en-US" w:eastAsia="zh-CN"/>
              </w:rPr>
              <w:t xml:space="preserve">方便学生实验接线</w:t>
            </w:r>
            <w:r>
              <w:rPr>
                <w:rFonts w:hint="eastAsia" w:ascii="宋体" w:hAnsi="宋体" w:eastAsia="宋体" w:cs="宋体"/>
                <w:color w:val="auto"/>
                <w:sz w:val="20"/>
                <w:szCs w:val="20"/>
                <w:highlight w:val="none"/>
              </w:rPr>
              <w:t xml:space="preserve">来完成不同的实验。</w:t>
            </w:r>
            <w:r/>
          </w:p>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0"/>
                <w:szCs w:val="20"/>
                <w:highlight w:val="none"/>
                <w:lang w:val="en-US" w:eastAsia="zh-CN"/>
              </w:rPr>
              <w:suppressLineNumbers w:val="0"/>
            </w:pPr>
            <w:r>
              <w:rPr>
                <w:rFonts w:hint="eastAsia" w:ascii="宋体" w:hAnsi="宋体" w:eastAsia="宋体" w:cs="宋体"/>
                <w:bCs/>
                <w:color w:val="auto"/>
                <w:sz w:val="20"/>
                <w:szCs w:val="20"/>
                <w:highlight w:val="none"/>
              </w:rPr>
              <w:t xml:space="preserve">★</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lang w:val="en-US" w:eastAsia="zh-CN"/>
              </w:rPr>
              <w:t xml:space="preserve">3</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可编程主机</w:t>
            </w:r>
            <w:r>
              <w:rPr>
                <w:rFonts w:hint="eastAsia" w:ascii="宋体" w:hAnsi="宋体" w:eastAsia="宋体" w:cs="宋体"/>
                <w:color w:val="auto"/>
                <w:sz w:val="20"/>
                <w:szCs w:val="20"/>
                <w:highlight w:val="none"/>
                <w:vertAlign w:val="baseline"/>
                <w:lang w:val="en-US" w:eastAsia="zh-CN"/>
              </w:rPr>
              <w:t xml:space="preserve">自带数字量接口≥14DI/10DO，模拟量接口≥2DI/2DO，≥2个以太网通信接口；需配置模拟量输入输出模块≥4DI/2DO；</w:t>
            </w:r>
            <w:r/>
          </w:p>
          <w:p>
            <w:p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0"/>
                <w:szCs w:val="20"/>
                <w:highlight w:val="none"/>
                <w:lang w:val="en-US"/>
              </w:rPr>
              <w:suppressLineNumbers w:val="0"/>
            </w:pP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4</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rPr>
              <w:t xml:space="preserve">实时控制</w:t>
            </w:r>
            <w:r>
              <w:rPr>
                <w:rFonts w:hint="eastAsia" w:ascii="宋体" w:hAnsi="宋体" w:eastAsia="宋体" w:cs="宋体"/>
                <w:b w:val="0"/>
                <w:bCs w:val="0"/>
                <w:color w:val="auto"/>
                <w:sz w:val="20"/>
                <w:szCs w:val="20"/>
                <w:highlight w:val="none"/>
                <w:lang w:val="en-US" w:eastAsia="zh-CN"/>
              </w:rPr>
              <w:t xml:space="preserve">系统</w:t>
            </w:r>
            <w:r>
              <w:rPr>
                <w:rFonts w:hint="eastAsia" w:ascii="宋体" w:hAnsi="宋体" w:eastAsia="宋体" w:cs="宋体"/>
                <w:color w:val="auto"/>
                <w:sz w:val="20"/>
                <w:szCs w:val="20"/>
                <w:highlight w:val="none"/>
                <w:lang w:val="en-US" w:eastAsia="zh-CN" w:bidi="ar"/>
              </w:rPr>
              <w:t xml:space="preserve">采用软硬结合的方式，硬件采用多功能采集卡，支持即插即用，≥8路模拟量输入，≥4路模拟量输出，面板设置输入输出信号接口单元，软件基于Windows环境进行数据采集、算法设计、仿真、执行和测试。</w:t>
            </w:r>
            <w:r>
              <w:rPr>
                <w:rFonts w:hint="eastAsia" w:ascii="宋体" w:hAnsi="宋体" w:eastAsia="宋体" w:cs="宋体"/>
                <w:b/>
                <w:bCs/>
                <w:color w:val="auto"/>
                <w:sz w:val="20"/>
                <w:szCs w:val="20"/>
                <w:highlight w:val="none"/>
                <w:vertAlign w:val="baseline"/>
                <w:lang w:val="en-US" w:eastAsia="zh-CN"/>
              </w:rPr>
              <w:t xml:space="preserve">（投标书需提供硬件实物图片1张，软件运行功能截图1张进行佐证）</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eastAsia="zh-CN"/>
              </w:rPr>
              <w:t xml:space="preserve">（</w:t>
            </w:r>
            <w:r>
              <w:rPr>
                <w:rFonts w:hint="eastAsia" w:ascii="宋体" w:hAnsi="宋体" w:eastAsia="宋体" w:cs="宋体"/>
                <w:b w:val="0"/>
                <w:bCs/>
                <w:color w:val="auto"/>
                <w:sz w:val="20"/>
                <w:szCs w:val="20"/>
                <w:highlight w:val="none"/>
                <w:lang w:val="en-US" w:eastAsia="zh-CN"/>
              </w:rPr>
              <w:t xml:space="preserve">5</w:t>
            </w:r>
            <w:r>
              <w:rPr>
                <w:rFonts w:hint="eastAsia" w:ascii="宋体" w:hAnsi="宋体" w:eastAsia="宋体" w:cs="宋体"/>
                <w:b w:val="0"/>
                <w:bCs/>
                <w:color w:val="auto"/>
                <w:sz w:val="20"/>
                <w:szCs w:val="20"/>
                <w:highlight w:val="none"/>
                <w:lang w:eastAsia="zh-CN"/>
              </w:rPr>
              <w:t xml:space="preserve">）</w:t>
            </w:r>
            <w:r>
              <w:rPr>
                <w:rFonts w:hint="eastAsia" w:ascii="宋体" w:hAnsi="宋体" w:eastAsia="宋体" w:cs="宋体"/>
                <w:b w:val="0"/>
                <w:bCs/>
                <w:color w:val="auto"/>
                <w:sz w:val="20"/>
                <w:szCs w:val="20"/>
                <w:highlight w:val="none"/>
              </w:rPr>
              <w:t xml:space="preserve">远程数据</w:t>
            </w:r>
            <w:r>
              <w:rPr>
                <w:rFonts w:hint="eastAsia" w:ascii="宋体" w:hAnsi="宋体" w:eastAsia="宋体" w:cs="宋体"/>
                <w:color w:val="auto"/>
                <w:sz w:val="20"/>
                <w:szCs w:val="20"/>
                <w:highlight w:val="none"/>
                <w:lang w:val="en-US" w:eastAsia="zh-CN" w:bidi="ar"/>
              </w:rPr>
              <w:t xml:space="preserve">采集单元设有通讯端口，要求装有≥3 块远程数据采集模块，其中至少 2 块≥8 通道模拟量输入模块；1 块为≥4 通道模拟量输出模块；要求上位机采用工业组态软件进行监控。可进行直接数字控制。</w:t>
            </w:r>
            <w:r/>
          </w:p>
          <w:p>
            <w:pPr>
              <w:ind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val="en-US" w:eastAsia="zh-CN" w:bidi="ar"/>
              </w:rPr>
              <w:t xml:space="preserve">（6）要求提供≥3 块</w:t>
            </w:r>
            <w:r>
              <w:rPr>
                <w:rFonts w:hint="eastAsia" w:ascii="宋体" w:hAnsi="宋体" w:eastAsia="宋体" w:cs="宋体"/>
                <w:color w:val="auto"/>
                <w:sz w:val="20"/>
                <w:szCs w:val="20"/>
                <w:highlight w:val="none"/>
                <w:lang w:val="en-US" w:eastAsia="zh-CN"/>
              </w:rPr>
              <w:t xml:space="preserve">智能调节器</w:t>
            </w:r>
            <w:r>
              <w:rPr>
                <w:rFonts w:hint="eastAsia" w:ascii="宋体" w:hAnsi="宋体" w:eastAsia="宋体" w:cs="宋体"/>
                <w:color w:val="auto"/>
                <w:sz w:val="20"/>
                <w:szCs w:val="20"/>
                <w:highlight w:val="none"/>
                <w:lang w:val="en-US" w:eastAsia="zh-CN" w:bidi="ar"/>
              </w:rPr>
              <w:t xml:space="preserve">，输出信号4－20mA；可自主选择输入信号类型，自主设定参数，有通讯功能，配合上位机软件进行监控实验过程，进行曲线分析。</w:t>
            </w:r>
            <w:r/>
          </w:p>
          <w:p>
            <w:pPr>
              <w:pStyle w:val="1066"/>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lang w:val="en-US" w:eastAsia="zh-CN"/>
              </w:rPr>
              <w:outlineLvl w:val="0"/>
              <w:suppressLineNumbers w:val="0"/>
            </w:pPr>
            <w:r>
              <w:rPr>
                <w:rFonts w:hint="eastAsia" w:ascii="宋体" w:hAnsi="宋体" w:eastAsia="宋体" w:cs="宋体"/>
                <w:b w:val="0"/>
                <w:bCs w:val="0"/>
                <w:color w:val="auto"/>
                <w:sz w:val="20"/>
                <w:szCs w:val="20"/>
                <w:highlight w:val="none"/>
                <w:lang w:val="en-US" w:eastAsia="zh-CN"/>
              </w:rPr>
              <w:t xml:space="preserve">（7）工控软件</w:t>
            </w:r>
            <w:r>
              <w:rPr>
                <w:rFonts w:hint="eastAsia" w:ascii="宋体" w:hAnsi="宋体" w:eastAsia="宋体" w:cs="宋体"/>
                <w:b w:val="0"/>
                <w:bCs w:val="0"/>
                <w:iCs/>
                <w:color w:val="auto"/>
                <w:sz w:val="20"/>
                <w:szCs w:val="20"/>
                <w:highlight w:val="none"/>
              </w:rPr>
              <w:t xml:space="preserve">用于快速构成和生成上位机监控系统</w:t>
            </w:r>
            <w:r>
              <w:rPr>
                <w:rFonts w:hint="eastAsia" w:ascii="宋体" w:hAnsi="宋体" w:eastAsia="宋体" w:cs="宋体"/>
                <w:b w:val="0"/>
                <w:bCs w:val="0"/>
                <w:iCs/>
                <w:color w:val="auto"/>
                <w:sz w:val="20"/>
                <w:szCs w:val="20"/>
                <w:highlight w:val="none"/>
                <w:lang w:eastAsia="zh-CN"/>
              </w:rPr>
              <w:t xml:space="preserve">，</w:t>
            </w:r>
            <w:r>
              <w:rPr>
                <w:rFonts w:hint="eastAsia" w:ascii="宋体" w:hAnsi="宋体" w:eastAsia="宋体" w:cs="宋体"/>
                <w:b w:val="0"/>
                <w:bCs w:val="0"/>
                <w:iCs/>
                <w:color w:val="auto"/>
                <w:sz w:val="20"/>
                <w:szCs w:val="20"/>
                <w:highlight w:val="none"/>
              </w:rPr>
              <w:t xml:space="preserve">能够完成现场数据采集，流程控制、动画显示、报表输出、实时和历史数据的处理，报警和安全机制、趋势曲线</w:t>
            </w:r>
            <w:r>
              <w:rPr>
                <w:rFonts w:hint="eastAsia" w:ascii="宋体" w:hAnsi="宋体" w:eastAsia="宋体" w:cs="宋体"/>
                <w:b w:val="0"/>
                <w:bCs w:val="0"/>
                <w:iCs/>
                <w:color w:val="auto"/>
                <w:sz w:val="20"/>
                <w:szCs w:val="20"/>
                <w:highlight w:val="none"/>
                <w:lang w:val="en-US" w:eastAsia="zh-CN"/>
              </w:rPr>
              <w:t xml:space="preserve">及</w:t>
            </w:r>
            <w:r>
              <w:rPr>
                <w:rFonts w:hint="eastAsia" w:ascii="宋体" w:hAnsi="宋体" w:eastAsia="宋体" w:cs="宋体"/>
                <w:b w:val="0"/>
                <w:bCs w:val="0"/>
                <w:color w:val="auto"/>
                <w:sz w:val="20"/>
                <w:szCs w:val="20"/>
                <w:highlight w:val="none"/>
                <w:lang w:val="en-US" w:eastAsia="zh-CN"/>
              </w:rPr>
              <w:t xml:space="preserve">excel实验数据导出功能。</w:t>
            </w:r>
            <w:r/>
          </w:p>
          <w:p>
            <w:pPr>
              <w:pStyle w:val="1066"/>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0"/>
                <w:szCs w:val="20"/>
                <w:highlight w:val="none"/>
                <w:lang w:val="en-US" w:eastAsia="zh-CN"/>
              </w:rPr>
              <w:outlineLvl w:val="0"/>
              <w:suppressLineNumbers w:val="0"/>
            </w:pP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8</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rPr>
              <w:t xml:space="preserve">操作终端</w:t>
            </w:r>
            <w:r>
              <w:rPr>
                <w:rFonts w:hint="eastAsia" w:ascii="宋体" w:hAnsi="宋体" w:eastAsia="宋体" w:cs="宋体"/>
                <w:color w:val="auto"/>
                <w:sz w:val="20"/>
                <w:szCs w:val="20"/>
                <w:highlight w:val="none"/>
                <w:lang w:val="en-US" w:eastAsia="zh-CN"/>
              </w:rPr>
              <w:t xml:space="preserve">搭载高性能异构计算处理器，配置 32GB 工业级高频内存及 1TB 高速固态硬盘，主板预留标准 PCI-E 扩展插槽，支持后续加装运动控制卡、数据采集卡或工业通讯模块，具备高度的硬件开放性与扩展性。配套 23.8英寸工业级高清显示终端，满足组态画面及复杂工程图纸的高清可视化需求。</w:t>
            </w:r>
            <w:r/>
          </w:p>
          <w:p>
            <w:pPr>
              <w:contextualSpacing/>
              <w:ind w:left="0" w:right="0"/>
              <w:keepLines w:val="0"/>
              <w:keepNext w:val="0"/>
              <w:pageBreakBefore w:val="0"/>
              <w:spacing w:before="0" w:beforeAutospacing="0" w:after="0" w:afterAutospacing="0" w:line="240" w:lineRule="auto"/>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b/>
                <w:bCs/>
                <w:color w:val="auto"/>
                <w:sz w:val="20"/>
                <w:szCs w:val="20"/>
                <w:highlight w:val="none"/>
                <w:lang w:val="en-US" w:eastAsia="zh-CN"/>
              </w:rPr>
              <w:t xml:space="preserve">可完成实验项目</w:t>
            </w:r>
            <w:r/>
          </w:p>
          <w:p>
            <w:pPr>
              <w:contextualSpacing/>
              <w:ind w:right="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1</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rPr>
              <w:t xml:space="preserve">过程控制仪器仪表的认识和校验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①</w:t>
            </w:r>
            <w:r>
              <w:rPr>
                <w:rFonts w:hint="eastAsia" w:ascii="宋体" w:hAnsi="宋体" w:eastAsia="宋体" w:cs="宋体"/>
                <w:b w:val="0"/>
                <w:bCs w:val="0"/>
                <w:color w:val="auto"/>
                <w:sz w:val="20"/>
                <w:szCs w:val="20"/>
                <w:highlight w:val="none"/>
              </w:rPr>
              <w:t xml:space="preserve">压力变送器的认识和校验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②调节器的认识实验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③热电阻及温度变送的认识和校验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④电动调节阀的认识和校验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⑤电磁流量计的认识和校验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⑥变频器的认识实验</w:t>
            </w:r>
            <w:r/>
          </w:p>
          <w:p>
            <w:pPr>
              <w:contextualSpacing/>
              <w:ind w:right="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2</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rPr>
              <w:t xml:space="preserve">对象特性测试</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①上位水箱特性测试实验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②下位水箱特性测试实验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③二阶液位对象特性测试实验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④温度锅炉对象特性测试实验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⑤调节阀流量特性测试实验</w:t>
            </w:r>
            <w:r/>
          </w:p>
          <w:p>
            <w:pPr>
              <w:contextualSpacing/>
              <w:ind w:right="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3</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rPr>
              <w:t xml:space="preserve">单回路控制系统</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①压力单闭环实验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②温度单闭环实验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③液位单闭环实验</w:t>
            </w:r>
            <w:r/>
          </w:p>
          <w:p>
            <w:pPr>
              <w:contextualSpacing/>
              <w:ind w:left="0" w:right="0" w:firstLine="40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rPr>
              <w:t xml:space="preserve">④流量单闭环实验</w:t>
            </w:r>
            <w:r/>
          </w:p>
          <w:p>
            <w:pPr>
              <w:contextualSpacing/>
              <w:ind w:right="0"/>
              <w:keepLines w:val="0"/>
              <w:keepNext w:val="0"/>
              <w:pageBreakBefore w:val="0"/>
              <w:spacing w:before="0" w:beforeAutospacing="0" w:after="0" w:afterAutospacing="0" w:line="240" w:lineRule="auto"/>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4</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rPr>
              <w:t xml:space="preserve">串级控制系统</w:t>
            </w:r>
            <w:r/>
          </w:p>
          <w:p>
            <w:pPr>
              <w:contextualSpacing/>
              <w:ind w:right="0"/>
              <w:keepLines w:val="0"/>
              <w:keepNext w:val="0"/>
              <w:pageBreakBefore w:val="0"/>
              <w:spacing w:before="0" w:beforeAutospacing="0" w:after="0" w:afterAutospacing="0" w:line="240" w:lineRule="auto"/>
              <w:rPr>
                <w:rFonts w:hint="eastAsia" w:ascii="宋体" w:hAnsi="宋体" w:cs="宋体"/>
                <w:color w:val="auto"/>
                <w:sz w:val="20"/>
                <w:szCs w:val="20"/>
                <w:highlight w:val="none"/>
              </w:rPr>
              <w:suppressLineNumbers w:val="0"/>
            </w:pP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lang w:val="en-US" w:eastAsia="zh-CN"/>
              </w:rPr>
              <w:t xml:space="preserve">5</w:t>
            </w:r>
            <w:r>
              <w:rPr>
                <w:rFonts w:hint="eastAsia" w:ascii="宋体" w:hAnsi="宋体" w:eastAsia="宋体" w:cs="宋体"/>
                <w:b w:val="0"/>
                <w:bCs w:val="0"/>
                <w:color w:val="auto"/>
                <w:sz w:val="20"/>
                <w:szCs w:val="20"/>
                <w:highlight w:val="none"/>
                <w:lang w:eastAsia="zh-CN"/>
              </w:rPr>
              <w:t xml:space="preserve">）</w:t>
            </w:r>
            <w:r>
              <w:rPr>
                <w:rFonts w:hint="eastAsia" w:ascii="宋体" w:hAnsi="宋体" w:eastAsia="宋体" w:cs="宋体"/>
                <w:b w:val="0"/>
                <w:bCs w:val="0"/>
                <w:color w:val="auto"/>
                <w:sz w:val="20"/>
                <w:szCs w:val="20"/>
                <w:highlight w:val="none"/>
              </w:rPr>
              <w:t xml:space="preserve">前馈-反馈控制系统</w:t>
            </w:r>
            <w:r/>
          </w:p>
        </w:tc>
      </w:tr>
      <w:tr>
        <w:trPr>
          <w:jc w:val="center"/>
          <w:trHeight w:val="687"/>
        </w:trPr>
        <w:tc>
          <w:tcPr>
            <w:tcW w:w="509"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733"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default" w:ascii="宋体" w:hAnsi="宋体" w:eastAsia="宋体" w:cs="宋体"/>
                <w:b/>
                <w:bCs/>
                <w:color w:val="auto"/>
                <w:szCs w:val="21"/>
                <w:highlight w:val="none"/>
                <w:lang w:val="en-US" w:eastAsia="zh-CN" w:bidi="ar"/>
              </w:rPr>
              <w:t xml:space="preserve">DCS型过程控制系统教学实验装置</w:t>
            </w:r>
            <w:r/>
          </w:p>
        </w:tc>
        <w:tc>
          <w:tcPr>
            <w:tcW w:w="8081" w:type="dxa"/>
            <w:vAlign w:val="center"/>
            <w:textDirection w:val="lrTb"/>
            <w:noWrap w:val="false"/>
          </w:tcPr>
          <w:p>
            <w:pPr>
              <w:pStyle w:val="1066"/>
              <w:ind w:left="0" w:right="0" w:firstLine="0"/>
              <w:jc w:val="left"/>
              <w:keepLines w:val="0"/>
              <w:keepNext w:val="0"/>
              <w:pageBreakBefore w:val="0"/>
              <w:spacing w:before="0" w:beforeAutospacing="0" w:after="0" w:afterAutospacing="0" w:line="240" w:lineRule="auto"/>
              <w:rPr>
                <w:rFonts w:hint="eastAsia" w:ascii="宋体" w:hAnsi="宋体" w:eastAsia="宋体" w:cs="宋体"/>
                <w:b/>
                <w:bCs/>
                <w:color w:val="auto"/>
                <w:sz w:val="20"/>
                <w:szCs w:val="20"/>
                <w:highlight w:val="none"/>
              </w:rPr>
              <w:outlineLvl w:val="0"/>
              <w:suppressLineNumbers w:val="0"/>
            </w:pPr>
            <w:r>
              <w:rPr>
                <w:rFonts w:hint="eastAsia" w:ascii="宋体" w:hAnsi="宋体" w:eastAsia="宋体" w:cs="宋体"/>
                <w:b/>
                <w:bCs/>
                <w:color w:val="auto"/>
                <w:sz w:val="20"/>
                <w:szCs w:val="20"/>
                <w:highlight w:val="none"/>
              </w:rPr>
              <w:t xml:space="preserve">1.1</w:t>
            </w:r>
            <w:r>
              <w:rPr>
                <w:rFonts w:hint="eastAsia" w:ascii="宋体" w:hAnsi="宋体" w:eastAsia="宋体" w:cs="宋体"/>
                <w:b/>
                <w:bCs/>
                <w:color w:val="auto"/>
                <w:sz w:val="20"/>
                <w:szCs w:val="20"/>
                <w:highlight w:val="none"/>
                <w:lang w:val="en-US" w:eastAsia="zh-CN" w:bidi="ar-SA"/>
              </w:rPr>
              <w:t xml:space="preserve">实验装置</w:t>
            </w:r>
            <w:r>
              <w:rPr>
                <w:rFonts w:hint="eastAsia" w:ascii="宋体" w:hAnsi="宋体" w:eastAsia="宋体" w:cs="宋体"/>
                <w:b/>
                <w:bCs/>
                <w:color w:val="auto"/>
                <w:sz w:val="20"/>
                <w:szCs w:val="20"/>
                <w:highlight w:val="none"/>
              </w:rPr>
              <w:t xml:space="preserve">要求</w:t>
            </w:r>
            <w:r/>
          </w:p>
          <w:p>
            <w:pPr>
              <w:keepLines w:val="0"/>
              <w:keepNext w:val="0"/>
              <w:pageBreakBefore w:val="0"/>
              <w:spacing w:line="240" w:lineRule="auto"/>
              <w:widowControl/>
              <w:rPr>
                <w:rFonts w:hint="eastAsia" w:ascii="宋体" w:hAnsi="宋体" w:eastAsia="宋体"/>
                <w:b w:val="0"/>
                <w:bCs w:val="0"/>
                <w:color w:val="auto"/>
                <w:sz w:val="20"/>
                <w:szCs w:val="20"/>
                <w:highlight w:val="none"/>
                <w:lang w:val="en-US" w:eastAsia="zh-CN"/>
              </w:rPr>
            </w:pPr>
            <w:r>
              <w:rPr>
                <w:rFonts w:hint="eastAsia" w:ascii="宋体" w:hAnsi="宋体" w:eastAsia="宋体" w:cs="宋体"/>
                <w:bCs/>
                <w:color w:val="auto"/>
                <w:sz w:val="20"/>
                <w:szCs w:val="20"/>
                <w:highlight w:val="none"/>
              </w:rPr>
              <w:t xml:space="preserve">★</w:t>
            </w:r>
            <w:r>
              <w:rPr>
                <w:rFonts w:hint="eastAsia" w:ascii="宋体" w:hAnsi="宋体"/>
                <w:b w:val="0"/>
                <w:bCs w:val="0"/>
                <w:color w:val="auto"/>
                <w:sz w:val="20"/>
                <w:szCs w:val="20"/>
                <w:highlight w:val="none"/>
                <w:lang w:val="en-US" w:eastAsia="zh-CN"/>
              </w:rPr>
              <w:t xml:space="preserve">（1）该实验装置</w:t>
            </w:r>
            <w:r>
              <w:rPr>
                <w:rFonts w:hint="eastAsia" w:ascii="宋体" w:hAnsi="宋体"/>
                <w:b w:val="0"/>
                <w:bCs w:val="0"/>
                <w:color w:val="auto"/>
                <w:sz w:val="20"/>
                <w:szCs w:val="20"/>
                <w:highlight w:val="none"/>
              </w:rPr>
              <w:t xml:space="preserve">对应不同的工业对象与控制难度，满足从基础控制理论到复杂工业对象综合控制的阶梯式教学需求。</w:t>
            </w:r>
            <w:r>
              <w:rPr>
                <w:rFonts w:hint="eastAsia" w:ascii="宋体" w:hAnsi="宋体"/>
                <w:b w:val="0"/>
                <w:bCs w:val="0"/>
                <w:color w:val="auto"/>
                <w:sz w:val="20"/>
                <w:szCs w:val="20"/>
                <w:highlight w:val="none"/>
                <w:lang w:eastAsia="zh-CN"/>
              </w:rPr>
              <w:t xml:space="preserve">（</w:t>
            </w:r>
            <w:r>
              <w:rPr>
                <w:rFonts w:hint="eastAsia" w:ascii="宋体" w:hAnsi="宋体"/>
                <w:b/>
                <w:bCs/>
                <w:color w:val="auto"/>
                <w:sz w:val="20"/>
                <w:szCs w:val="20"/>
                <w:highlight w:val="none"/>
              </w:rPr>
              <w:t xml:space="preserve">投标</w:t>
            </w:r>
            <w:r>
              <w:rPr>
                <w:rFonts w:hint="eastAsia" w:ascii="宋体" w:hAnsi="宋体"/>
                <w:b/>
                <w:bCs/>
                <w:color w:val="auto"/>
                <w:sz w:val="20"/>
                <w:szCs w:val="20"/>
                <w:highlight w:val="none"/>
                <w:lang w:val="en-US" w:eastAsia="zh-CN"/>
              </w:rPr>
              <w:t xml:space="preserve">书需</w:t>
            </w:r>
            <w:r>
              <w:rPr>
                <w:rFonts w:hint="eastAsia" w:ascii="宋体" w:hAnsi="宋体"/>
                <w:b/>
                <w:bCs/>
                <w:color w:val="auto"/>
                <w:sz w:val="20"/>
                <w:szCs w:val="20"/>
                <w:highlight w:val="none"/>
              </w:rPr>
              <w:t xml:space="preserve">提供</w:t>
            </w:r>
            <w:r>
              <w:rPr>
                <w:rFonts w:hint="eastAsia" w:ascii="宋体" w:hAnsi="宋体" w:eastAsia="宋体" w:cs="宋体"/>
                <w:b/>
                <w:bCs/>
                <w:color w:val="auto"/>
                <w:sz w:val="20"/>
                <w:szCs w:val="20"/>
                <w:highlight w:val="none"/>
                <w:lang w:val="en-US" w:eastAsia="zh-CN" w:bidi="ar-SA"/>
              </w:rPr>
              <w:t xml:space="preserve">实验装置</w:t>
            </w:r>
            <w:r>
              <w:rPr>
                <w:rFonts w:hint="eastAsia" w:ascii="宋体" w:hAnsi="宋体"/>
                <w:b/>
                <w:bCs/>
                <w:color w:val="auto"/>
                <w:sz w:val="20"/>
                <w:szCs w:val="20"/>
                <w:highlight w:val="none"/>
              </w:rPr>
              <w:t xml:space="preserve">的实物照片</w:t>
            </w:r>
            <w:r>
              <w:rPr>
                <w:rFonts w:hint="eastAsia" w:ascii="宋体" w:hAnsi="宋体"/>
                <w:b/>
                <w:bCs/>
                <w:color w:val="auto"/>
                <w:sz w:val="20"/>
                <w:szCs w:val="20"/>
                <w:highlight w:val="none"/>
                <w:lang w:val="en-US" w:eastAsia="zh-CN"/>
              </w:rPr>
              <w:t xml:space="preserve">。）</w:t>
            </w:r>
            <w:r/>
          </w:p>
          <w:p>
            <w:pPr>
              <w:keepLines w:val="0"/>
              <w:keepNext w:val="0"/>
              <w:pageBreakBefore w:val="0"/>
              <w:spacing w:line="240" w:lineRule="auto"/>
              <w:widowControl/>
              <w:rPr>
                <w:rFonts w:ascii="宋体" w:hAnsi="宋体"/>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（2）需</w:t>
            </w:r>
            <w:r>
              <w:rPr>
                <w:rFonts w:hint="eastAsia" w:ascii="宋体" w:hAnsi="宋体"/>
                <w:b w:val="0"/>
                <w:bCs w:val="0"/>
                <w:color w:val="auto"/>
                <w:sz w:val="20"/>
                <w:szCs w:val="20"/>
                <w:highlight w:val="none"/>
              </w:rPr>
              <w:t xml:space="preserve">提供典型工艺对象，如储罐、除氧器、换热器、加热炉和蒸发器</w:t>
            </w:r>
            <w:r>
              <w:rPr>
                <w:rFonts w:ascii="宋体" w:hAnsi="宋体"/>
                <w:b w:val="0"/>
                <w:bCs w:val="0"/>
                <w:color w:val="auto"/>
                <w:sz w:val="20"/>
                <w:szCs w:val="20"/>
                <w:highlight w:val="none"/>
              </w:rPr>
              <w:t xml:space="preserve">对象，用于基础控制理论验证，包括单回路、串级、比值等控制实验。</w:t>
            </w:r>
            <w:r/>
          </w:p>
          <w:p>
            <w:pPr>
              <w:keepLines w:val="0"/>
              <w:keepNext w:val="0"/>
              <w:pageBreakBefore w:val="0"/>
              <w:spacing w:line="240" w:lineRule="auto"/>
              <w:widowControl/>
              <w:rPr>
                <w:rFonts w:hint="eastAsia" w:ascii="宋体" w:hAnsi="宋体" w:eastAsia="宋体" w:cs="宋体"/>
                <w:b/>
                <w:bCs/>
                <w:color w:val="auto"/>
                <w:sz w:val="20"/>
                <w:szCs w:val="20"/>
                <w:highlight w:val="none"/>
              </w:rPr>
            </w:pPr>
            <w:r>
              <w:rPr>
                <w:rFonts w:hint="eastAsia" w:ascii="宋体" w:hAnsi="宋体"/>
                <w:b w:val="0"/>
                <w:bCs w:val="0"/>
                <w:color w:val="auto"/>
                <w:sz w:val="20"/>
                <w:szCs w:val="20"/>
                <w:highlight w:val="none"/>
                <w:lang w:val="en-US" w:eastAsia="zh-CN"/>
              </w:rPr>
              <w:t xml:space="preserve">（3）需</w:t>
            </w:r>
            <w:r>
              <w:rPr>
                <w:rFonts w:hint="eastAsia" w:ascii="宋体" w:hAnsi="宋体"/>
                <w:b w:val="0"/>
                <w:bCs w:val="0"/>
                <w:color w:val="auto"/>
                <w:sz w:val="20"/>
                <w:szCs w:val="20"/>
                <w:highlight w:val="none"/>
              </w:rPr>
              <w:t xml:space="preserve">提供较复杂的工艺对象，如</w:t>
            </w:r>
            <w:r>
              <w:rPr>
                <w:rFonts w:ascii="宋体" w:hAnsi="宋体"/>
                <w:b w:val="0"/>
                <w:bCs w:val="0"/>
                <w:color w:val="auto"/>
                <w:sz w:val="20"/>
                <w:szCs w:val="20"/>
                <w:highlight w:val="none"/>
              </w:rPr>
              <w:t xml:space="preserve">工业锅炉和放热反应器，配置工业DCS级控制系统，用于高阶综合控制、复杂控制策略（串级、前馈、比值、分程等）及全流程自动化实训。</w:t>
            </w:r>
            <w:r/>
          </w:p>
          <w:p>
            <w:pPr>
              <w:ind w:left="0" w:right="0"/>
              <w:jc w:val="left"/>
              <w:keepLines w:val="0"/>
              <w:keepNext w:val="0"/>
              <w:pageBreakBefore w:val="0"/>
              <w:spacing w:before="0" w:beforeAutospacing="0" w:after="0" w:afterAutospacing="0" w:line="240" w:lineRule="auto"/>
              <w:widowControl w:val="off"/>
              <w:rPr>
                <w:rFonts w:hint="eastAsia" w:ascii="宋体" w:hAnsi="宋体" w:cs="宋体"/>
                <w:b/>
                <w:bCs/>
                <w:color w:val="auto"/>
                <w:sz w:val="20"/>
                <w:szCs w:val="20"/>
                <w:highlight w:val="none"/>
                <w:lang w:val="en-US" w:eastAsia="zh-CN" w:bidi="ar"/>
              </w:rPr>
              <w:suppressLineNumbers w:val="0"/>
            </w:pPr>
            <w:r>
              <w:rPr>
                <w:rFonts w:hint="eastAsia" w:ascii="宋体" w:hAnsi="宋体" w:eastAsia="宋体" w:cs="宋体"/>
                <w:b/>
                <w:bCs/>
                <w:color w:val="auto"/>
                <w:sz w:val="20"/>
                <w:szCs w:val="20"/>
                <w:highlight w:val="none"/>
              </w:rPr>
              <w:t xml:space="preserve">1.</w:t>
            </w:r>
            <w:r>
              <w:rPr>
                <w:rFonts w:hint="eastAsia" w:ascii="宋体" w:hAnsi="宋体" w:cs="宋体"/>
                <w:b/>
                <w:bCs/>
                <w:color w:val="auto"/>
                <w:sz w:val="20"/>
                <w:szCs w:val="20"/>
                <w:highlight w:val="none"/>
                <w:lang w:val="en-US" w:eastAsia="zh-CN"/>
              </w:rPr>
              <w:t xml:space="preserve">2</w:t>
            </w:r>
            <w:r>
              <w:rPr>
                <w:rFonts w:hint="eastAsia" w:ascii="宋体" w:hAnsi="宋体" w:cs="宋体"/>
                <w:b/>
                <w:bCs/>
                <w:color w:val="auto"/>
                <w:sz w:val="20"/>
                <w:szCs w:val="20"/>
                <w:highlight w:val="none"/>
                <w:lang w:val="en-US" w:eastAsia="zh-CN" w:bidi="ar"/>
              </w:rPr>
              <w:t xml:space="preserve">实验装置生产平台</w:t>
            </w:r>
            <w:r/>
          </w:p>
          <w:p>
            <w:pPr>
              <w:keepLines w:val="0"/>
              <w:keepNext w:val="0"/>
              <w:pageBreakBefore w:val="0"/>
              <w:spacing w:line="240" w:lineRule="auto"/>
              <w:rPr>
                <w:rFonts w:hint="eastAsia" w:ascii="宋体" w:hAnsi="宋体" w:eastAsia="宋体"/>
                <w:b w:val="0"/>
                <w:bCs w:val="0"/>
                <w:color w:val="auto"/>
                <w:sz w:val="20"/>
                <w:szCs w:val="20"/>
                <w:highlight w:val="none"/>
                <w:lang w:eastAsia="zh-CN"/>
              </w:rPr>
            </w:pPr>
            <w:r>
              <w:rPr>
                <w:rFonts w:hint="eastAsia" w:ascii="宋体" w:hAnsi="宋体" w:eastAsia="宋体" w:cs="宋体"/>
                <w:bCs/>
                <w:color w:val="auto"/>
                <w:sz w:val="20"/>
                <w:szCs w:val="20"/>
                <w:highlight w:val="none"/>
              </w:rPr>
              <w:t xml:space="preserve">★</w:t>
            </w:r>
            <w:r>
              <w:rPr>
                <w:rFonts w:hint="eastAsia" w:ascii="宋体" w:hAnsi="宋体"/>
                <w:b w:val="0"/>
                <w:bCs w:val="0"/>
                <w:color w:val="auto"/>
                <w:sz w:val="20"/>
                <w:szCs w:val="20"/>
                <w:highlight w:val="none"/>
                <w:lang w:eastAsia="zh-CN"/>
              </w:rPr>
              <w:t xml:space="preserve">（</w:t>
            </w:r>
            <w:r>
              <w:rPr>
                <w:rFonts w:hint="eastAsia" w:ascii="宋体" w:hAnsi="宋体"/>
                <w:b w:val="0"/>
                <w:bCs w:val="0"/>
                <w:color w:val="auto"/>
                <w:sz w:val="20"/>
                <w:szCs w:val="20"/>
                <w:highlight w:val="none"/>
                <w:lang w:val="en-US" w:eastAsia="zh-CN"/>
              </w:rPr>
              <w:t xml:space="preserve">1</w:t>
            </w:r>
            <w:r>
              <w:rPr>
                <w:rFonts w:hint="eastAsia" w:ascii="宋体" w:hAnsi="宋体"/>
                <w:b w:val="0"/>
                <w:bCs w:val="0"/>
                <w:color w:val="auto"/>
                <w:sz w:val="20"/>
                <w:szCs w:val="20"/>
                <w:highlight w:val="none"/>
                <w:lang w:eastAsia="zh-CN"/>
              </w:rPr>
              <w:t xml:space="preserve">）</w:t>
            </w:r>
            <w:r>
              <w:rPr>
                <w:rFonts w:hint="eastAsia" w:ascii="宋体" w:hAnsi="宋体"/>
                <w:b w:val="0"/>
                <w:bCs w:val="0"/>
                <w:color w:val="auto"/>
                <w:sz w:val="20"/>
                <w:szCs w:val="20"/>
                <w:highlight w:val="none"/>
              </w:rPr>
              <w:t xml:space="preserve">系统工艺</w:t>
            </w:r>
            <w:r>
              <w:rPr>
                <w:rFonts w:ascii="宋体" w:hAnsi="宋体"/>
                <w:b w:val="0"/>
                <w:bCs w:val="0"/>
                <w:color w:val="auto"/>
                <w:sz w:val="20"/>
                <w:szCs w:val="20"/>
                <w:highlight w:val="none"/>
              </w:rPr>
              <w:t xml:space="preserve">平台需包含一套缩小版的不锈钢工业流程仿真模型，</w:t>
            </w:r>
            <w:r>
              <w:rPr>
                <w:rFonts w:hint="eastAsia" w:ascii="宋体" w:hAnsi="宋体"/>
                <w:b w:val="0"/>
                <w:bCs w:val="0"/>
                <w:color w:val="auto"/>
                <w:sz w:val="20"/>
                <w:szCs w:val="20"/>
                <w:highlight w:val="none"/>
              </w:rPr>
              <w:t xml:space="preserve">能够</w:t>
            </w:r>
            <w:r>
              <w:rPr>
                <w:rFonts w:ascii="宋体" w:hAnsi="宋体"/>
                <w:b w:val="0"/>
                <w:bCs w:val="0"/>
                <w:color w:val="auto"/>
                <w:sz w:val="20"/>
                <w:szCs w:val="20"/>
                <w:highlight w:val="none"/>
              </w:rPr>
              <w:t xml:space="preserve">真实反映</w:t>
            </w:r>
            <w:r>
              <w:rPr>
                <w:rFonts w:hint="eastAsia" w:ascii="宋体" w:hAnsi="宋体"/>
                <w:b w:val="0"/>
                <w:bCs w:val="0"/>
                <w:color w:val="auto"/>
                <w:sz w:val="20"/>
                <w:szCs w:val="20"/>
                <w:highlight w:val="none"/>
              </w:rPr>
              <w:t xml:space="preserve">流程</w:t>
            </w:r>
            <w:r>
              <w:rPr>
                <w:rFonts w:ascii="宋体" w:hAnsi="宋体"/>
                <w:b w:val="0"/>
                <w:bCs w:val="0"/>
                <w:color w:val="auto"/>
                <w:sz w:val="20"/>
                <w:szCs w:val="20"/>
                <w:highlight w:val="none"/>
              </w:rPr>
              <w:t xml:space="preserve">工业常见</w:t>
            </w:r>
            <w:r>
              <w:rPr>
                <w:rFonts w:hint="eastAsia" w:ascii="宋体" w:hAnsi="宋体"/>
                <w:b w:val="0"/>
                <w:bCs w:val="0"/>
                <w:color w:val="auto"/>
                <w:sz w:val="20"/>
                <w:szCs w:val="20"/>
                <w:highlight w:val="none"/>
              </w:rPr>
              <w:t xml:space="preserve">工艺</w:t>
            </w:r>
            <w:r>
              <w:rPr>
                <w:rFonts w:ascii="宋体" w:hAnsi="宋体"/>
                <w:b w:val="0"/>
                <w:bCs w:val="0"/>
                <w:color w:val="auto"/>
                <w:sz w:val="20"/>
                <w:szCs w:val="20"/>
                <w:highlight w:val="none"/>
              </w:rPr>
              <w:t xml:space="preserve">系统，至少包含加热炉、省煤器、蒸发器、除氧器、换热器、汽包等核心设备模型，并配有清晰可见的管路、阀门和仪表接口。</w:t>
            </w:r>
            <w:r>
              <w:rPr>
                <w:rFonts w:hint="eastAsia" w:ascii="宋体" w:hAnsi="宋体"/>
                <w:b/>
                <w:bCs/>
                <w:color w:val="auto"/>
                <w:sz w:val="20"/>
                <w:szCs w:val="20"/>
                <w:highlight w:val="none"/>
              </w:rPr>
              <w:t xml:space="preserve">（投标</w:t>
            </w:r>
            <w:r>
              <w:rPr>
                <w:rFonts w:hint="eastAsia" w:ascii="宋体" w:hAnsi="宋体"/>
                <w:b/>
                <w:bCs/>
                <w:color w:val="auto"/>
                <w:sz w:val="20"/>
                <w:szCs w:val="20"/>
                <w:highlight w:val="none"/>
                <w:lang w:val="en-US" w:eastAsia="zh-CN"/>
              </w:rPr>
              <w:t xml:space="preserve">书</w:t>
            </w:r>
            <w:r>
              <w:rPr>
                <w:rFonts w:hint="eastAsia" w:ascii="宋体" w:hAnsi="宋体"/>
                <w:b/>
                <w:bCs/>
                <w:color w:val="auto"/>
                <w:sz w:val="20"/>
                <w:szCs w:val="20"/>
                <w:highlight w:val="none"/>
              </w:rPr>
              <w:t xml:space="preserve">需提供满足</w:t>
            </w:r>
            <w:r>
              <w:rPr>
                <w:rFonts w:ascii="宋体" w:hAnsi="宋体"/>
                <w:b/>
                <w:bCs/>
                <w:color w:val="auto"/>
                <w:sz w:val="20"/>
                <w:szCs w:val="20"/>
                <w:highlight w:val="none"/>
              </w:rPr>
              <w:t xml:space="preserve">工业流程仿真模型</w:t>
            </w:r>
            <w:r>
              <w:rPr>
                <w:rFonts w:hint="eastAsia" w:ascii="宋体" w:hAnsi="宋体"/>
                <w:b/>
                <w:bCs/>
                <w:color w:val="auto"/>
                <w:sz w:val="20"/>
                <w:szCs w:val="20"/>
                <w:highlight w:val="none"/>
              </w:rPr>
              <w:t xml:space="preserve">要求的截图，包括但不限于</w:t>
            </w:r>
            <w:r>
              <w:rPr>
                <w:rFonts w:ascii="宋体" w:hAnsi="宋体"/>
                <w:b/>
                <w:bCs/>
                <w:color w:val="auto"/>
                <w:sz w:val="20"/>
                <w:szCs w:val="20"/>
                <w:highlight w:val="none"/>
              </w:rPr>
              <w:t xml:space="preserve">生产厂家官方网站截图或产品白皮书或其他相关证明材料</w:t>
            </w:r>
            <w:r>
              <w:rPr>
                <w:rFonts w:hint="eastAsia" w:ascii="宋体" w:hAnsi="宋体"/>
                <w:b/>
                <w:bCs/>
                <w:color w:val="auto"/>
                <w:sz w:val="20"/>
                <w:szCs w:val="20"/>
                <w:highlight w:val="none"/>
              </w:rPr>
              <w:t xml:space="preserve">）</w:t>
            </w:r>
            <w:r>
              <w:rPr>
                <w:rFonts w:hint="eastAsia" w:ascii="宋体" w:hAnsi="宋体"/>
                <w:b/>
                <w:bCs/>
                <w:color w:val="auto"/>
                <w:sz w:val="20"/>
                <w:szCs w:val="20"/>
                <w:highlight w:val="none"/>
                <w:lang w:eastAsia="zh-CN"/>
              </w:rPr>
              <w:t xml:space="preserve">。</w:t>
            </w:r>
            <w:r/>
          </w:p>
          <w:p>
            <w:pPr>
              <w:keepLines w:val="0"/>
              <w:keepNext w:val="0"/>
              <w:pageBreakBefore w:val="0"/>
              <w:spacing w:line="240" w:lineRule="auto"/>
              <w:rPr>
                <w:rFonts w:ascii="宋体" w:hAnsi="宋体"/>
                <w:b w:val="0"/>
                <w:bCs w:val="0"/>
                <w:color w:val="auto"/>
                <w:sz w:val="20"/>
                <w:szCs w:val="20"/>
                <w:highlight w:val="none"/>
              </w:rPr>
            </w:pPr>
            <w:r>
              <w:rPr>
                <w:rFonts w:hint="eastAsia" w:ascii="宋体" w:hAnsi="宋体"/>
                <w:b w:val="0"/>
                <w:bCs w:val="0"/>
                <w:color w:val="auto"/>
                <w:sz w:val="20"/>
                <w:szCs w:val="20"/>
                <w:highlight w:val="none"/>
                <w:lang w:eastAsia="zh-CN"/>
              </w:rPr>
              <w:t xml:space="preserve">（</w:t>
            </w:r>
            <w:r>
              <w:rPr>
                <w:rFonts w:hint="eastAsia" w:ascii="宋体" w:hAnsi="宋体"/>
                <w:b w:val="0"/>
                <w:bCs w:val="0"/>
                <w:color w:val="auto"/>
                <w:sz w:val="20"/>
                <w:szCs w:val="20"/>
                <w:highlight w:val="none"/>
                <w:lang w:val="en-US" w:eastAsia="zh-CN"/>
              </w:rPr>
              <w:t xml:space="preserve">2</w:t>
            </w:r>
            <w:r>
              <w:rPr>
                <w:rFonts w:hint="eastAsia" w:ascii="宋体" w:hAnsi="宋体"/>
                <w:b w:val="0"/>
                <w:bCs w:val="0"/>
                <w:color w:val="auto"/>
                <w:sz w:val="20"/>
                <w:szCs w:val="20"/>
                <w:highlight w:val="none"/>
                <w:lang w:eastAsia="zh-CN"/>
              </w:rPr>
              <w:t xml:space="preserve">）</w:t>
            </w:r>
            <w:r>
              <w:rPr>
                <w:rFonts w:ascii="宋体" w:hAnsi="宋体"/>
                <w:b w:val="0"/>
                <w:bCs w:val="0"/>
                <w:color w:val="auto"/>
                <w:sz w:val="20"/>
                <w:szCs w:val="20"/>
                <w:highlight w:val="none"/>
              </w:rPr>
              <w:t xml:space="preserve">模型上需配备现场仪表</w:t>
            </w:r>
            <w:r>
              <w:rPr>
                <w:rFonts w:hint="eastAsia" w:ascii="宋体" w:hAnsi="宋体"/>
                <w:b w:val="0"/>
                <w:bCs w:val="0"/>
                <w:color w:val="auto"/>
                <w:sz w:val="20"/>
                <w:szCs w:val="20"/>
                <w:highlight w:val="none"/>
              </w:rPr>
              <w:t xml:space="preserve">和</w:t>
            </w:r>
            <w:r>
              <w:rPr>
                <w:rFonts w:ascii="宋体" w:hAnsi="宋体"/>
                <w:b w:val="0"/>
                <w:bCs w:val="0"/>
                <w:color w:val="auto"/>
                <w:sz w:val="20"/>
                <w:szCs w:val="20"/>
                <w:highlight w:val="none"/>
              </w:rPr>
              <w:t xml:space="preserve">可操作的执行机构，包括但不限于：液位、流量、压力、温度变送显示仪表，以及离心泵、调节阀、开关阀、风机等执行器。其数量需满足复杂</w:t>
            </w:r>
            <w:r>
              <w:rPr>
                <w:rFonts w:hint="eastAsia" w:ascii="宋体" w:hAnsi="宋体"/>
                <w:b w:val="0"/>
                <w:bCs w:val="0"/>
                <w:color w:val="auto"/>
                <w:sz w:val="20"/>
                <w:szCs w:val="20"/>
                <w:highlight w:val="none"/>
              </w:rPr>
              <w:t xml:space="preserve">工艺对象控制系统分析设计和</w:t>
            </w:r>
            <w:r>
              <w:rPr>
                <w:rFonts w:ascii="宋体" w:hAnsi="宋体"/>
                <w:b w:val="0"/>
                <w:bCs w:val="0"/>
                <w:color w:val="auto"/>
                <w:sz w:val="20"/>
                <w:szCs w:val="20"/>
                <w:highlight w:val="none"/>
              </w:rPr>
              <w:t xml:space="preserve">实施</w:t>
            </w:r>
            <w:r>
              <w:rPr>
                <w:rFonts w:hint="eastAsia" w:ascii="宋体" w:hAnsi="宋体"/>
                <w:b w:val="0"/>
                <w:bCs w:val="0"/>
                <w:color w:val="auto"/>
                <w:sz w:val="20"/>
                <w:szCs w:val="20"/>
                <w:highlight w:val="none"/>
              </w:rPr>
              <w:t xml:space="preserve">的</w:t>
            </w:r>
            <w:r>
              <w:rPr>
                <w:rFonts w:ascii="宋体" w:hAnsi="宋体"/>
                <w:b w:val="0"/>
                <w:bCs w:val="0"/>
                <w:color w:val="auto"/>
                <w:sz w:val="20"/>
                <w:szCs w:val="20"/>
                <w:highlight w:val="none"/>
              </w:rPr>
              <w:t xml:space="preserve">要求（</w:t>
            </w:r>
            <w:r>
              <w:rPr>
                <w:rFonts w:hint="eastAsia" w:ascii="宋体" w:hAnsi="宋体"/>
                <w:b w:val="0"/>
                <w:bCs w:val="0"/>
                <w:color w:val="auto"/>
                <w:sz w:val="20"/>
                <w:szCs w:val="20"/>
                <w:highlight w:val="none"/>
              </w:rPr>
              <w:t xml:space="preserve">仪表</w:t>
            </w:r>
            <w:r>
              <w:rPr>
                <w:rFonts w:ascii="宋体" w:hAnsi="宋体"/>
                <w:b w:val="0"/>
                <w:bCs w:val="0"/>
                <w:color w:val="auto"/>
                <w:sz w:val="20"/>
                <w:szCs w:val="20"/>
                <w:highlight w:val="none"/>
              </w:rPr>
              <w:t xml:space="preserve">≥</w:t>
            </w:r>
            <w:r>
              <w:rPr>
                <w:rFonts w:hint="eastAsia" w:ascii="宋体" w:hAnsi="宋体"/>
                <w:b w:val="0"/>
                <w:bCs w:val="0"/>
                <w:color w:val="auto"/>
                <w:sz w:val="20"/>
                <w:szCs w:val="20"/>
                <w:highlight w:val="none"/>
              </w:rPr>
              <w:t xml:space="preserve">12个，</w:t>
            </w:r>
            <w:r>
              <w:rPr>
                <w:rFonts w:ascii="宋体" w:hAnsi="宋体"/>
                <w:b w:val="0"/>
                <w:bCs w:val="0"/>
                <w:color w:val="auto"/>
                <w:sz w:val="20"/>
                <w:szCs w:val="20"/>
                <w:highlight w:val="none"/>
              </w:rPr>
              <w:t xml:space="preserve">调节阀≥8个，开关阀≥5个）。</w:t>
            </w:r>
            <w:r/>
          </w:p>
          <w:p>
            <w:pPr>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eastAsia="zh-CN"/>
              </w:rPr>
              <w:t xml:space="preserve">（</w:t>
            </w:r>
            <w:r>
              <w:rPr>
                <w:rFonts w:hint="eastAsia" w:ascii="宋体" w:hAnsi="宋体"/>
                <w:b w:val="0"/>
                <w:bCs w:val="0"/>
                <w:color w:val="auto"/>
                <w:sz w:val="20"/>
                <w:szCs w:val="20"/>
                <w:highlight w:val="none"/>
                <w:lang w:val="en-US" w:eastAsia="zh-CN"/>
              </w:rPr>
              <w:t xml:space="preserve">3</w:t>
            </w:r>
            <w:r>
              <w:rPr>
                <w:rFonts w:hint="eastAsia" w:ascii="宋体" w:hAnsi="宋体"/>
                <w:b w:val="0"/>
                <w:bCs w:val="0"/>
                <w:color w:val="auto"/>
                <w:sz w:val="20"/>
                <w:szCs w:val="20"/>
                <w:highlight w:val="none"/>
                <w:lang w:eastAsia="zh-CN"/>
              </w:rPr>
              <w:t xml:space="preserve">）</w:t>
            </w:r>
            <w:r>
              <w:rPr>
                <w:rFonts w:hint="eastAsia" w:ascii="宋体" w:hAnsi="宋体"/>
                <w:b w:val="0"/>
                <w:bCs w:val="0"/>
                <w:color w:val="auto"/>
                <w:sz w:val="20"/>
                <w:szCs w:val="20"/>
                <w:highlight w:val="none"/>
              </w:rPr>
              <w:t xml:space="preserve">为方便教学，以及学生学习，系统</w:t>
            </w:r>
            <w:r>
              <w:rPr>
                <w:rFonts w:ascii="宋体" w:hAnsi="宋体"/>
                <w:b w:val="0"/>
                <w:bCs w:val="0"/>
                <w:color w:val="auto"/>
                <w:sz w:val="20"/>
                <w:szCs w:val="20"/>
                <w:highlight w:val="none"/>
              </w:rPr>
              <w:t xml:space="preserve">需提供一个独立的辅助操作台，集成物理开关、按钮和指示灯，用于模拟真实工业现场操作。至少包括：电机启停开关、联锁投切开关、报警确认按钮、紧急停车按钮、关键状态指示灯等，总操作点位不少于15个。</w:t>
            </w:r>
            <w:r/>
          </w:p>
          <w:p>
            <w:pPr>
              <w:keepLines w:val="0"/>
              <w:keepNext w:val="0"/>
              <w:pageBreakBefore w:val="0"/>
              <w:spacing w:line="240" w:lineRule="auto"/>
              <w:rPr>
                <w:rFonts w:ascii="宋体" w:hAnsi="宋体"/>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（4）平台</w:t>
            </w:r>
            <w:r>
              <w:rPr>
                <w:rFonts w:ascii="宋体" w:hAnsi="宋体"/>
                <w:b w:val="0"/>
                <w:bCs w:val="0"/>
                <w:color w:val="auto"/>
                <w:sz w:val="20"/>
                <w:szCs w:val="20"/>
                <w:highlight w:val="none"/>
              </w:rPr>
              <w:t xml:space="preserve">提供统一的硬件接口转换与处理单元，能将物理模型上各类仪表、执行机构的4-20mA模拟量信号及开关量信号进行统一采集、调理，并通过多种工业通讯协议（如PROFIBUS DP、TCP/IP</w:t>
            </w:r>
            <w:r>
              <w:rPr>
                <w:rFonts w:hint="eastAsia" w:ascii="宋体" w:hAnsi="宋体"/>
                <w:b w:val="0"/>
                <w:bCs w:val="0"/>
                <w:color w:val="auto"/>
                <w:sz w:val="20"/>
                <w:szCs w:val="20"/>
                <w:highlight w:val="none"/>
              </w:rPr>
              <w:t xml:space="preserve">等</w:t>
            </w:r>
            <w:r>
              <w:rPr>
                <w:rFonts w:ascii="宋体" w:hAnsi="宋体"/>
                <w:b w:val="0"/>
                <w:bCs w:val="0"/>
                <w:color w:val="auto"/>
                <w:sz w:val="20"/>
                <w:szCs w:val="20"/>
                <w:highlight w:val="none"/>
              </w:rPr>
              <w:t xml:space="preserve">）与控制器进行数据交换。</w:t>
            </w:r>
            <w:r/>
          </w:p>
          <w:p>
            <w:pPr>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（5）平台</w:t>
            </w:r>
            <w:r>
              <w:rPr>
                <w:rFonts w:ascii="宋体" w:hAnsi="宋体"/>
                <w:b w:val="0"/>
                <w:bCs w:val="0"/>
                <w:color w:val="auto"/>
                <w:sz w:val="20"/>
                <w:szCs w:val="20"/>
                <w:highlight w:val="none"/>
              </w:rPr>
              <w:t xml:space="preserve">内置一个高性能工业级嵌入式终端，用于运行核心过程仿真软件。其性能应满足复杂动态模型实时解算要求：CPU不低于四核2.0GHz，内存≥4GB，存储≥500GB，</w:t>
            </w:r>
            <w:r>
              <w:rPr>
                <w:rFonts w:hint="eastAsia" w:ascii="宋体" w:hAnsi="宋体"/>
                <w:b w:val="0"/>
                <w:bCs w:val="0"/>
                <w:color w:val="auto"/>
                <w:sz w:val="20"/>
                <w:szCs w:val="20"/>
                <w:highlight w:val="none"/>
              </w:rPr>
              <w:t xml:space="preserve">USB端口≥4个，</w:t>
            </w:r>
            <w:r>
              <w:rPr>
                <w:rFonts w:ascii="宋体" w:hAnsi="宋体"/>
                <w:b w:val="0"/>
                <w:bCs w:val="0"/>
                <w:color w:val="auto"/>
                <w:sz w:val="20"/>
                <w:szCs w:val="20"/>
                <w:highlight w:val="none"/>
              </w:rPr>
              <w:t xml:space="preserve">并提供不少</w:t>
            </w:r>
            <w:r>
              <w:rPr>
                <w:rFonts w:hint="eastAsia" w:ascii="宋体" w:hAnsi="宋体"/>
                <w:b w:val="0"/>
                <w:bCs w:val="0"/>
                <w:color w:val="auto"/>
                <w:sz w:val="20"/>
                <w:szCs w:val="20"/>
                <w:highlight w:val="none"/>
                <w:lang w:val="en-US" w:eastAsia="zh-CN"/>
              </w:rPr>
              <w:t xml:space="preserve">于2个千兆以太网口。</w:t>
            </w:r>
            <w:r/>
          </w:p>
          <w:p>
            <w:pPr>
              <w:ind w:left="0" w:right="0"/>
              <w:jc w:val="left"/>
              <w:keepLines w:val="0"/>
              <w:keepNext w:val="0"/>
              <w:pageBreakBefore w:val="0"/>
              <w:spacing w:before="0" w:beforeAutospacing="0" w:after="0" w:afterAutospacing="0" w:line="240" w:lineRule="auto"/>
              <w:widowControl w:val="off"/>
              <w:rPr>
                <w:rFonts w:hint="eastAsia" w:ascii="宋体" w:hAnsi="宋体" w:cs="宋体"/>
                <w:b/>
                <w:bCs/>
                <w:color w:val="auto"/>
                <w:sz w:val="20"/>
                <w:szCs w:val="20"/>
                <w:highlight w:val="none"/>
                <w:lang w:val="en-US" w:eastAsia="zh-CN" w:bidi="ar"/>
              </w:rPr>
              <w:suppressLineNumbers w:val="0"/>
            </w:pPr>
            <w:r>
              <w:rPr>
                <w:rFonts w:hint="eastAsia" w:ascii="宋体" w:hAnsi="宋体" w:eastAsia="宋体" w:cs="宋体"/>
                <w:b/>
                <w:bCs/>
                <w:color w:val="auto"/>
                <w:sz w:val="20"/>
                <w:szCs w:val="20"/>
                <w:highlight w:val="none"/>
              </w:rPr>
              <w:t xml:space="preserve">1.</w:t>
            </w:r>
            <w:r>
              <w:rPr>
                <w:rFonts w:hint="eastAsia" w:ascii="宋体" w:hAnsi="宋体" w:cs="宋体"/>
                <w:b/>
                <w:bCs/>
                <w:color w:val="auto"/>
                <w:sz w:val="20"/>
                <w:szCs w:val="20"/>
                <w:highlight w:val="none"/>
                <w:lang w:val="en-US" w:eastAsia="zh-CN"/>
              </w:rPr>
              <w:t xml:space="preserve">3</w:t>
            </w:r>
            <w:r>
              <w:rPr>
                <w:rFonts w:hint="eastAsia" w:ascii="宋体" w:hAnsi="宋体" w:cs="宋体"/>
                <w:b/>
                <w:bCs/>
                <w:color w:val="auto"/>
                <w:sz w:val="20"/>
                <w:szCs w:val="20"/>
                <w:highlight w:val="none"/>
                <w:lang w:val="en-US" w:eastAsia="zh-CN" w:bidi="ar"/>
              </w:rPr>
              <w:t xml:space="preserve">实验装置控制系统</w:t>
            </w:r>
            <w:r/>
          </w:p>
          <w:p>
            <w:pPr>
              <w:keepLines w:val="0"/>
              <w:keepNext w:val="0"/>
              <w:pageBreakBefore w:val="0"/>
              <w:spacing w:line="240" w:lineRule="auto"/>
              <w:rPr>
                <w:rFonts w:hint="default"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（1）高性能可编程系统</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① 冗余型CPU，配备通用的工业通信接口，≥2个同步模块接口，≥512KB数据存储器，≥512KB程序存储器。</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② 以太网通讯模块，用以连接到系统总线，≥2个RJ45以太网接口10/100Mbit/s；至少自带ISO、TCP、UDP；支持开放式通信（发送/接收）、支持通过DHCP模块配置IP、IP访问控制列表。</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③ 电源模块，输入AC120/230V，输出DC5V，≥10A；24V，≥1A，具有短路保护功能。</w:t>
            </w:r>
            <w:r/>
          </w:p>
          <w:p>
            <w:pPr>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（2）远程I/O系统</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① ≥8路模拟量输入模块，≥12bit，支持±5/10V，1-5V，±20mA，0/4-20mA。</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② ≥4路模拟量输出模块，≥12bit，支持电压/电流方式，带自诊断。</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③ ≥16路数字量输入模块，DC24V，光隔离。</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④ ≥8路数字量输出模块，DC24V，0.5A，光隔离。</w:t>
            </w:r>
            <w:r/>
          </w:p>
          <w:p>
            <w:pPr>
              <w:ind w:firstLine="400"/>
              <w:keepLines w:val="0"/>
              <w:keepNext w:val="0"/>
              <w:pageBreakBefore w:val="0"/>
              <w:spacing w:line="240" w:lineRule="auto"/>
              <w:rPr>
                <w:rFonts w:hint="eastAsia" w:ascii="宋体" w:hAnsi="宋体"/>
                <w:b w:val="0"/>
                <w:bCs w:val="0"/>
                <w:color w:val="auto"/>
                <w:sz w:val="20"/>
                <w:szCs w:val="20"/>
                <w:highlight w:val="none"/>
                <w:lang w:val="en-US" w:eastAsia="zh-CN"/>
              </w:rPr>
            </w:pPr>
            <w:r>
              <w:rPr>
                <w:rFonts w:hint="eastAsia" w:ascii="宋体" w:hAnsi="宋体"/>
                <w:b w:val="0"/>
                <w:bCs w:val="0"/>
                <w:color w:val="auto"/>
                <w:sz w:val="20"/>
                <w:szCs w:val="20"/>
                <w:highlight w:val="none"/>
                <w:lang w:val="en-US" w:eastAsia="zh-CN"/>
              </w:rPr>
              <w:t xml:space="preserve">⑤ ProfiBus现场总线电缆，包括1根Profibus Fast Connect标准2芯电缆，带屏蔽；配有2个Profibus Fast Connect总线连接器，带绝缘刺破接口，最大数据传输速率≥12Mbit/s。</w:t>
            </w:r>
            <w:r/>
          </w:p>
          <w:p>
            <w:pPr>
              <w:keepLines w:val="0"/>
              <w:keepNext w:val="0"/>
              <w:pageBreakBefore w:val="0"/>
              <w:spacing w:line="240" w:lineRule="auto"/>
              <w:rPr>
                <w:rFonts w:hint="eastAsia"/>
                <w:b w:val="0"/>
                <w:bCs w:val="0"/>
                <w:color w:val="auto"/>
                <w:sz w:val="20"/>
                <w:szCs w:val="20"/>
                <w:highlight w:val="none"/>
                <w:vertAlign w:val="baseline"/>
                <w:lang w:val="en-US" w:eastAsia="zh-CN"/>
              </w:rPr>
            </w:pPr>
            <w:r>
              <w:rPr>
                <w:rFonts w:hint="eastAsia" w:ascii="宋体" w:hAnsi="宋体"/>
                <w:b w:val="0"/>
                <w:bCs w:val="0"/>
                <w:color w:val="auto"/>
                <w:sz w:val="20"/>
                <w:szCs w:val="20"/>
                <w:highlight w:val="none"/>
                <w:lang w:val="en-US" w:eastAsia="zh-CN"/>
              </w:rPr>
              <w:t xml:space="preserve">（3）动态仿真引擎：为教学方便以及安全，系统需提供一套高精度动态仿真引擎，能真实反映变量间的耦合关系和非线性特性。应支持≥5种典型工艺过程的快速切换；允许用户自定义设备主要尺寸及特性（如卧式罐的长度和半径、换热面积等）；调节阀类型（线性、等百分比、快开等）及流通能力（Cv值范围1-100）可修改，并实时影响仿真动态特性</w:t>
            </w:r>
            <w:r>
              <w:rPr>
                <w:rFonts w:ascii="宋体" w:hAnsi="宋体" w:cs="宋体"/>
                <w:b w:val="0"/>
                <w:bCs w:val="0"/>
                <w:color w:val="auto"/>
                <w:sz w:val="20"/>
                <w:szCs w:val="20"/>
                <w:highlight w:val="none"/>
              </w:rPr>
              <w:t xml:space="preserve">。</w:t>
            </w:r>
            <w:r/>
          </w:p>
          <w:p>
            <w:pPr>
              <w:jc w:val="left"/>
              <w:keepLines w:val="0"/>
              <w:keepNext w:val="0"/>
              <w:pageBreakBefore w:val="0"/>
              <w:spacing w:line="240" w:lineRule="auto"/>
              <w:widowControl/>
              <w:rPr>
                <w:rFonts w:hint="eastAsia" w:ascii="宋体" w:hAnsi="宋体" w:eastAsia="宋体"/>
                <w:b w:val="0"/>
                <w:bCs w:val="0"/>
                <w:color w:val="auto"/>
                <w:sz w:val="20"/>
                <w:szCs w:val="20"/>
                <w:highlight w:val="none"/>
                <w:lang w:eastAsia="zh-CN"/>
              </w:rPr>
            </w:pPr>
            <w:r>
              <w:rPr>
                <w:rFonts w:hint="eastAsia" w:ascii="宋体" w:hAnsi="宋体"/>
                <w:b w:val="0"/>
                <w:bCs w:val="0"/>
                <w:color w:val="auto"/>
                <w:sz w:val="20"/>
                <w:szCs w:val="20"/>
                <w:highlight w:val="none"/>
                <w:lang w:eastAsia="zh-CN"/>
              </w:rPr>
              <w:t xml:space="preserve">（</w:t>
            </w:r>
            <w:r>
              <w:rPr>
                <w:rFonts w:hint="eastAsia" w:ascii="宋体" w:hAnsi="宋体"/>
                <w:b w:val="0"/>
                <w:bCs w:val="0"/>
                <w:color w:val="auto"/>
                <w:sz w:val="20"/>
                <w:szCs w:val="20"/>
                <w:highlight w:val="none"/>
                <w:lang w:val="en-US" w:eastAsia="zh-CN"/>
              </w:rPr>
              <w:t xml:space="preserve">4</w:t>
            </w:r>
            <w:r>
              <w:rPr>
                <w:rFonts w:hint="eastAsia" w:ascii="宋体" w:hAnsi="宋体"/>
                <w:b w:val="0"/>
                <w:bCs w:val="0"/>
                <w:color w:val="auto"/>
                <w:sz w:val="20"/>
                <w:szCs w:val="20"/>
                <w:highlight w:val="none"/>
                <w:lang w:eastAsia="zh-CN"/>
              </w:rPr>
              <w:t xml:space="preserve">）</w:t>
            </w:r>
            <w:r>
              <w:rPr>
                <w:rFonts w:hint="eastAsia" w:ascii="宋体" w:hAnsi="宋体"/>
                <w:b w:val="0"/>
                <w:bCs w:val="0"/>
                <w:color w:val="auto"/>
                <w:sz w:val="20"/>
                <w:szCs w:val="20"/>
                <w:highlight w:val="none"/>
              </w:rPr>
              <w:t xml:space="preserve">智能监控和评估管理系统</w:t>
            </w:r>
            <w:r>
              <w:rPr>
                <w:rFonts w:hint="eastAsia" w:ascii="宋体" w:hAnsi="宋体"/>
                <w:b/>
                <w:bCs/>
                <w:color w:val="auto"/>
                <w:sz w:val="20"/>
                <w:szCs w:val="20"/>
                <w:highlight w:val="none"/>
              </w:rPr>
              <w:t xml:space="preserve">（投标</w:t>
            </w:r>
            <w:r>
              <w:rPr>
                <w:rFonts w:hint="eastAsia" w:ascii="宋体" w:hAnsi="宋体"/>
                <w:b/>
                <w:bCs/>
                <w:color w:val="auto"/>
                <w:sz w:val="20"/>
                <w:szCs w:val="20"/>
                <w:highlight w:val="none"/>
                <w:lang w:val="en-US" w:eastAsia="zh-CN"/>
              </w:rPr>
              <w:t xml:space="preserve">书需</w:t>
            </w:r>
            <w:r>
              <w:rPr>
                <w:rFonts w:hint="eastAsia" w:ascii="宋体" w:hAnsi="宋体"/>
                <w:b/>
                <w:bCs/>
                <w:color w:val="auto"/>
                <w:sz w:val="20"/>
                <w:szCs w:val="20"/>
                <w:highlight w:val="none"/>
              </w:rPr>
              <w:t xml:space="preserve">提供满足包括但不限于</w:t>
            </w:r>
            <w:r>
              <w:rPr>
                <w:rFonts w:ascii="宋体" w:hAnsi="宋体"/>
                <w:b/>
                <w:bCs/>
                <w:color w:val="auto"/>
                <w:sz w:val="20"/>
                <w:szCs w:val="20"/>
                <w:highlight w:val="none"/>
              </w:rPr>
              <w:t xml:space="preserve">智能监控和评估管理系统</w:t>
            </w:r>
            <w:r>
              <w:rPr>
                <w:rFonts w:hint="eastAsia" w:ascii="宋体" w:hAnsi="宋体"/>
                <w:b/>
                <w:bCs/>
                <w:color w:val="auto"/>
                <w:sz w:val="20"/>
                <w:szCs w:val="20"/>
                <w:highlight w:val="none"/>
              </w:rPr>
              <w:t xml:space="preserve">软件功能的截图或其他证明材料）</w:t>
            </w:r>
            <w:r>
              <w:rPr>
                <w:rFonts w:hint="eastAsia" w:ascii="宋体" w:hAnsi="宋体"/>
                <w:b/>
                <w:bCs/>
                <w:color w:val="auto"/>
                <w:sz w:val="20"/>
                <w:szCs w:val="20"/>
                <w:highlight w:val="none"/>
                <w:lang w:eastAsia="zh-CN"/>
              </w:rPr>
              <w:t xml:space="preserve">：</w:t>
            </w:r>
            <w:r/>
          </w:p>
          <w:p>
            <w:pPr>
              <w:ind w:firstLine="400"/>
              <w:jc w:val="left"/>
              <w:keepLines w:val="0"/>
              <w:keepNext w:val="0"/>
              <w:pageBreakBefore w:val="0"/>
              <w:spacing w:line="240" w:lineRule="auto"/>
              <w:widowControl/>
              <w:rPr>
                <w:rFonts w:ascii="宋体" w:hAnsi="宋体"/>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①</w:t>
            </w:r>
            <w:r>
              <w:rPr>
                <w:rFonts w:ascii="宋体" w:hAnsi="宋体"/>
                <w:b w:val="0"/>
                <w:bCs w:val="0"/>
                <w:color w:val="auto"/>
                <w:sz w:val="20"/>
                <w:szCs w:val="20"/>
                <w:highlight w:val="none"/>
              </w:rPr>
              <w:t xml:space="preserve">流程图画面：实时显示工艺流程图，动态刷新仪表示数、阀门开度、设备状态，刷新周期≤1秒，支持≥20个变量同步显示。</w:t>
            </w:r>
            <w:r/>
          </w:p>
          <w:p>
            <w:pPr>
              <w:ind w:firstLine="400"/>
              <w:jc w:val="left"/>
              <w:keepLines w:val="0"/>
              <w:keepNext w:val="0"/>
              <w:pageBreakBefore w:val="0"/>
              <w:spacing w:line="240" w:lineRule="auto"/>
              <w:widowControl/>
              <w:rPr>
                <w:rFonts w:ascii="宋体" w:hAnsi="宋体"/>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②</w:t>
            </w:r>
            <w:r>
              <w:rPr>
                <w:rFonts w:ascii="宋体" w:hAnsi="宋体"/>
                <w:b w:val="0"/>
                <w:bCs w:val="0"/>
                <w:color w:val="auto"/>
                <w:sz w:val="20"/>
                <w:szCs w:val="20"/>
                <w:highlight w:val="none"/>
              </w:rPr>
              <w:t xml:space="preserve">内置控制系统图形组态：支持拖拽模块（PID控制器、加法器、</w:t>
            </w:r>
            <w:r>
              <w:rPr>
                <w:rFonts w:hint="eastAsia" w:ascii="宋体" w:hAnsi="宋体"/>
                <w:b w:val="0"/>
                <w:bCs w:val="0"/>
                <w:color w:val="auto"/>
                <w:sz w:val="20"/>
                <w:szCs w:val="20"/>
                <w:highlight w:val="none"/>
              </w:rPr>
              <w:t xml:space="preserve">乘法器</w:t>
            </w:r>
            <w:r>
              <w:rPr>
                <w:rFonts w:ascii="宋体" w:hAnsi="宋体"/>
                <w:b w:val="0"/>
                <w:bCs w:val="0"/>
                <w:color w:val="auto"/>
                <w:sz w:val="20"/>
                <w:szCs w:val="20"/>
                <w:highlight w:val="none"/>
              </w:rPr>
              <w:t xml:space="preserve">、</w:t>
            </w:r>
            <w:r>
              <w:rPr>
                <w:rFonts w:hint="eastAsia" w:ascii="宋体" w:hAnsi="宋体"/>
                <w:b w:val="0"/>
                <w:bCs w:val="0"/>
                <w:color w:val="auto"/>
                <w:sz w:val="20"/>
                <w:szCs w:val="20"/>
                <w:highlight w:val="none"/>
              </w:rPr>
              <w:t xml:space="preserve">开关</w:t>
            </w:r>
            <w:r>
              <w:rPr>
                <w:rFonts w:ascii="宋体" w:hAnsi="宋体"/>
                <w:b w:val="0"/>
                <w:bCs w:val="0"/>
                <w:color w:val="auto"/>
                <w:sz w:val="20"/>
                <w:szCs w:val="20"/>
                <w:highlight w:val="none"/>
              </w:rPr>
              <w:t xml:space="preserve">、</w:t>
            </w:r>
            <w:r>
              <w:rPr>
                <w:rFonts w:hint="eastAsia" w:ascii="宋体" w:hAnsi="宋体"/>
                <w:b w:val="0"/>
                <w:bCs w:val="0"/>
                <w:color w:val="auto"/>
                <w:sz w:val="20"/>
                <w:szCs w:val="20"/>
                <w:highlight w:val="none"/>
              </w:rPr>
              <w:t xml:space="preserve">限幅模块</w:t>
            </w:r>
            <w:r>
              <w:rPr>
                <w:rFonts w:ascii="宋体" w:hAnsi="宋体"/>
                <w:b w:val="0"/>
                <w:bCs w:val="0"/>
                <w:color w:val="auto"/>
                <w:sz w:val="20"/>
                <w:szCs w:val="20"/>
                <w:highlight w:val="none"/>
              </w:rPr>
              <w:t xml:space="preserve">等）搭接控制方案，至少实现串级、前馈、比值、分程、选择控制等结构。支持PID参数（P、I、D、限幅）在线整定。</w:t>
            </w:r>
            <w:r/>
          </w:p>
          <w:p>
            <w:pPr>
              <w:ind w:firstLine="400"/>
              <w:jc w:val="left"/>
              <w:keepLines w:val="0"/>
              <w:keepNext w:val="0"/>
              <w:pageBreakBefore w:val="0"/>
              <w:spacing w:line="240" w:lineRule="auto"/>
              <w:widowControl/>
              <w:rPr>
                <w:rFonts w:ascii="宋体" w:hAnsi="宋体" w:cs="Times New Roman"/>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③</w:t>
            </w:r>
            <w:r>
              <w:rPr>
                <w:rFonts w:ascii="宋体" w:hAnsi="宋体"/>
                <w:b w:val="0"/>
                <w:bCs w:val="0"/>
                <w:color w:val="auto"/>
                <w:sz w:val="20"/>
                <w:szCs w:val="20"/>
                <w:highlight w:val="none"/>
              </w:rPr>
              <w:t xml:space="preserve">智能评分系统：对操作步骤规范性、控制性能（超调量、调节时间、稳态误差）、生产安全（超限报警）自动评估，教师可自定义评分策略（≥10条），评分结果导出为结构化报告。</w:t>
            </w:r>
            <w:r/>
          </w:p>
          <w:p>
            <w:pPr>
              <w:jc w:val="left"/>
              <w:keepLines w:val="0"/>
              <w:keepNext w:val="0"/>
              <w:pageBreakBefore w:val="0"/>
              <w:spacing w:line="240" w:lineRule="auto"/>
              <w:widowControl/>
              <w:rPr>
                <w:rFonts w:ascii="宋体" w:hAnsi="宋体" w:cs="Times New Roman"/>
                <w:b w:val="0"/>
                <w:bCs w:val="0"/>
                <w:color w:val="auto"/>
                <w:sz w:val="20"/>
                <w:szCs w:val="20"/>
                <w:highlight w:val="none"/>
              </w:rPr>
            </w:pPr>
            <w:r>
              <w:rPr>
                <w:rFonts w:hint="eastAsia" w:ascii="宋体" w:hAnsi="宋体" w:cs="Times New Roman"/>
                <w:b w:val="0"/>
                <w:bCs w:val="0"/>
                <w:color w:val="auto"/>
                <w:sz w:val="20"/>
                <w:szCs w:val="20"/>
                <w:highlight w:val="none"/>
                <w:lang w:eastAsia="zh-CN"/>
              </w:rPr>
              <w:t xml:space="preserve">（</w:t>
            </w:r>
            <w:r>
              <w:rPr>
                <w:rFonts w:hint="eastAsia" w:ascii="宋体" w:hAnsi="宋体" w:cs="Times New Roman"/>
                <w:b w:val="0"/>
                <w:bCs w:val="0"/>
                <w:color w:val="auto"/>
                <w:sz w:val="20"/>
                <w:szCs w:val="20"/>
                <w:highlight w:val="none"/>
                <w:lang w:val="en-US" w:eastAsia="zh-CN"/>
              </w:rPr>
              <w:t xml:space="preserve">5</w:t>
            </w:r>
            <w:r>
              <w:rPr>
                <w:rFonts w:hint="eastAsia" w:ascii="宋体" w:hAnsi="宋体" w:cs="Times New Roman"/>
                <w:b w:val="0"/>
                <w:bCs w:val="0"/>
                <w:color w:val="auto"/>
                <w:sz w:val="20"/>
                <w:szCs w:val="20"/>
                <w:highlight w:val="none"/>
                <w:lang w:eastAsia="zh-CN"/>
              </w:rPr>
              <w:t xml:space="preserve">）</w:t>
            </w:r>
            <w:r>
              <w:rPr>
                <w:rFonts w:ascii="宋体" w:hAnsi="宋体" w:cs="Times New Roman"/>
                <w:b w:val="0"/>
                <w:bCs w:val="0"/>
                <w:color w:val="auto"/>
                <w:sz w:val="20"/>
                <w:szCs w:val="20"/>
                <w:highlight w:val="none"/>
              </w:rPr>
              <w:t xml:space="preserve">数据通讯接口</w:t>
            </w:r>
            <w:r/>
          </w:p>
          <w:p>
            <w:pPr>
              <w:ind w:firstLine="400"/>
              <w:jc w:val="left"/>
              <w:keepLines w:val="0"/>
              <w:keepNext w:val="0"/>
              <w:pageBreakBefore w:val="0"/>
              <w:spacing w:line="240" w:lineRule="auto"/>
              <w:widowControl/>
              <w:rPr>
                <w:rFonts w:ascii="宋体" w:hAnsi="宋体" w:cs="Times New Roman"/>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①</w:t>
            </w:r>
            <w:r>
              <w:rPr>
                <w:rFonts w:ascii="宋体" w:hAnsi="宋体" w:cs="Times New Roman"/>
                <w:b w:val="0"/>
                <w:bCs w:val="0"/>
                <w:color w:val="auto"/>
                <w:sz w:val="20"/>
                <w:szCs w:val="20"/>
                <w:highlight w:val="none"/>
              </w:rPr>
              <w:t xml:space="preserve">提供OPC服务器（符合OPC DA 2.1标准），≥20个实时数据点，刷新≤1s。</w:t>
            </w:r>
            <w:r/>
          </w:p>
          <w:p>
            <w:pPr>
              <w:ind w:firstLine="400"/>
              <w:jc w:val="left"/>
              <w:keepLines w:val="0"/>
              <w:keepNext w:val="0"/>
              <w:pageBreakBefore w:val="0"/>
              <w:spacing w:line="240" w:lineRule="auto"/>
              <w:widowControl/>
              <w:rPr>
                <w:rFonts w:ascii="宋体" w:hAnsi="宋体" w:cs="Times New Roman"/>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②</w:t>
            </w:r>
            <w:r>
              <w:rPr>
                <w:rFonts w:hint="eastAsia" w:ascii="宋体" w:hAnsi="宋体" w:cs="Times New Roman"/>
                <w:b w:val="0"/>
                <w:bCs w:val="0"/>
                <w:color w:val="auto"/>
                <w:sz w:val="20"/>
                <w:szCs w:val="20"/>
                <w:highlight w:val="none"/>
              </w:rPr>
              <w:t xml:space="preserve">支持</w:t>
            </w:r>
            <w:r>
              <w:rPr>
                <w:rFonts w:ascii="宋体" w:hAnsi="宋体" w:cs="Times New Roman"/>
                <w:b w:val="0"/>
                <w:bCs w:val="0"/>
                <w:color w:val="auto"/>
                <w:sz w:val="20"/>
                <w:szCs w:val="20"/>
                <w:highlight w:val="none"/>
              </w:rPr>
              <w:t xml:space="preserve">Profibus DP</w:t>
            </w:r>
            <w:r>
              <w:rPr>
                <w:rFonts w:hint="eastAsia" w:ascii="宋体" w:hAnsi="宋体" w:cs="Times New Roman"/>
                <w:b w:val="0"/>
                <w:bCs w:val="0"/>
                <w:color w:val="auto"/>
                <w:sz w:val="20"/>
                <w:szCs w:val="20"/>
                <w:highlight w:val="none"/>
              </w:rPr>
              <w:t xml:space="preserve">通讯</w:t>
            </w:r>
            <w:r>
              <w:rPr>
                <w:rFonts w:ascii="宋体" w:hAnsi="宋体" w:cs="Times New Roman"/>
                <w:b w:val="0"/>
                <w:bCs w:val="0"/>
                <w:color w:val="auto"/>
                <w:sz w:val="20"/>
                <w:szCs w:val="20"/>
                <w:highlight w:val="none"/>
              </w:rPr>
              <w:t xml:space="preserve">，应实现控制对象以DP从站形式接入Profibus DP网络，支持波特率自适应（9.6Kbps-12Mbps），最大支持输入/输出数据各不少于128字节；提供GSD文件，并支持与主流PLC的DP主站模块进行稳定通讯。</w:t>
            </w:r>
            <w:r/>
          </w:p>
          <w:p>
            <w:pPr>
              <w:ind w:firstLine="400"/>
              <w:jc w:val="left"/>
              <w:keepLines w:val="0"/>
              <w:keepNext w:val="0"/>
              <w:pageBreakBefore w:val="0"/>
              <w:spacing w:line="240" w:lineRule="auto"/>
              <w:widowControl/>
              <w:rPr>
                <w:rFonts w:ascii="宋体" w:hAnsi="宋体" w:cs="Times New Roman"/>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③</w:t>
            </w:r>
            <w:r>
              <w:rPr>
                <w:rFonts w:ascii="宋体" w:hAnsi="宋体" w:cs="Times New Roman"/>
                <w:b w:val="0"/>
                <w:bCs w:val="0"/>
                <w:color w:val="auto"/>
                <w:sz w:val="20"/>
                <w:szCs w:val="20"/>
                <w:highlight w:val="none"/>
              </w:rPr>
              <w:t xml:space="preserve">支持以太网通讯（Modbus TCP、Profinet、EtherNet/IP至少一种），刷新≤1s。</w:t>
            </w:r>
            <w:r>
              <w:rPr>
                <w:rFonts w:ascii="宋体" w:hAnsi="宋体" w:cs="宋体"/>
                <w:b w:val="0"/>
                <w:bCs w:val="0"/>
                <w:color w:val="auto"/>
                <w:sz w:val="20"/>
                <w:szCs w:val="20"/>
                <w:highlight w:val="none"/>
              </w:rPr>
              <w:t xml:space="preserve">需提供协议配置界面及通讯诊断功能。</w:t>
            </w:r>
            <w:r/>
          </w:p>
          <w:p>
            <w:pPr>
              <w:ind w:firstLine="400"/>
              <w:jc w:val="left"/>
              <w:keepLines w:val="0"/>
              <w:keepNext w:val="0"/>
              <w:pageBreakBefore w:val="0"/>
              <w:spacing w:line="240" w:lineRule="auto"/>
              <w:widowControl/>
              <w:rPr>
                <w:rFonts w:ascii="宋体" w:hAnsi="宋体" w:cs="Times New Roman"/>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④</w:t>
            </w:r>
            <w:r>
              <w:rPr>
                <w:rFonts w:ascii="宋体" w:hAnsi="宋体" w:cs="Times New Roman"/>
                <w:b w:val="0"/>
                <w:bCs w:val="0"/>
                <w:color w:val="auto"/>
                <w:sz w:val="20"/>
                <w:szCs w:val="20"/>
                <w:highlight w:val="none"/>
              </w:rPr>
              <w:t xml:space="preserve">趋势曲线：同时显示≥6条变量曲线，可调颜色/线型/坐标范围，支持数据存储、历史回放、导出为CSV。</w:t>
            </w:r>
            <w:r/>
          </w:p>
          <w:p>
            <w:pPr>
              <w:ind w:firstLine="400"/>
              <w:jc w:val="left"/>
              <w:keepLines w:val="0"/>
              <w:keepNext w:val="0"/>
              <w:pageBreakBefore w:val="0"/>
              <w:spacing w:line="240" w:lineRule="auto"/>
              <w:widowControl/>
              <w:rPr>
                <w:rFonts w:ascii="宋体" w:hAnsi="宋体" w:cs="Times New Roman"/>
                <w:b w:val="0"/>
                <w:bCs w:val="0"/>
                <w:color w:val="auto"/>
                <w:sz w:val="20"/>
                <w:szCs w:val="20"/>
                <w:highlight w:val="none"/>
              </w:rPr>
            </w:pPr>
            <w:r>
              <w:rPr>
                <w:rFonts w:hint="eastAsia" w:ascii="宋体" w:hAnsi="宋体"/>
                <w:b w:val="0"/>
                <w:bCs w:val="0"/>
                <w:color w:val="auto"/>
                <w:sz w:val="20"/>
                <w:szCs w:val="20"/>
                <w:highlight w:val="none"/>
                <w:lang w:val="en-US" w:eastAsia="zh-CN"/>
              </w:rPr>
              <w:t xml:space="preserve">⑤</w:t>
            </w:r>
            <w:r>
              <w:rPr>
                <w:rFonts w:ascii="宋体" w:hAnsi="宋体" w:cs="Times New Roman"/>
                <w:b w:val="0"/>
                <w:bCs w:val="0"/>
                <w:color w:val="auto"/>
                <w:sz w:val="20"/>
                <w:szCs w:val="20"/>
                <w:highlight w:val="none"/>
              </w:rPr>
              <w:t xml:space="preserve">二次开发接口：提供</w:t>
            </w:r>
            <w:r>
              <w:rPr>
                <w:rFonts w:hint="eastAsia" w:ascii="宋体" w:hAnsi="宋体" w:cs="Times New Roman"/>
                <w:b w:val="0"/>
                <w:bCs w:val="0"/>
                <w:color w:val="auto"/>
                <w:sz w:val="20"/>
                <w:szCs w:val="20"/>
                <w:highlight w:val="none"/>
                <w:lang w:val="en-US" w:eastAsia="zh-CN"/>
              </w:rPr>
              <w:t xml:space="preserve">标准的二次开发</w:t>
            </w:r>
            <w:r>
              <w:rPr>
                <w:rFonts w:ascii="宋体" w:hAnsi="宋体" w:cs="Times New Roman"/>
                <w:b w:val="0"/>
                <w:bCs w:val="0"/>
                <w:color w:val="auto"/>
                <w:sz w:val="20"/>
                <w:szCs w:val="20"/>
                <w:highlight w:val="none"/>
              </w:rPr>
              <w:t xml:space="preserve">接口，支持读写实时数据、控制仿真启停，提供完整文档和示例代码。</w:t>
            </w:r>
            <w:r/>
          </w:p>
          <w:p>
            <w:pPr>
              <w:ind w:right="0"/>
              <w:jc w:val="left"/>
              <w:keepLines w:val="0"/>
              <w:keepNext w:val="0"/>
              <w:pageBreakBefore w:val="0"/>
              <w:spacing w:before="0" w:beforeAutospacing="0" w:after="0" w:afterAutospacing="0" w:line="240" w:lineRule="auto"/>
              <w:widowControl w:val="off"/>
              <w:rPr>
                <w:rFonts w:hint="default" w:ascii="宋体" w:hAnsi="宋体" w:cs="宋体"/>
                <w:b/>
                <w:bCs/>
                <w:color w:val="auto"/>
                <w:sz w:val="20"/>
                <w:szCs w:val="20"/>
                <w:highlight w:val="none"/>
                <w:lang w:val="en-US" w:eastAsia="zh-CN" w:bidi="ar"/>
              </w:rPr>
              <w:suppressLineNumbers w:val="0"/>
            </w:pPr>
            <w:r>
              <w:rPr>
                <w:rFonts w:hint="eastAsia" w:ascii="宋体" w:hAnsi="宋体" w:cs="Times New Roman"/>
                <w:b w:val="0"/>
                <w:bCs w:val="0"/>
                <w:color w:val="auto"/>
                <w:sz w:val="20"/>
                <w:szCs w:val="20"/>
                <w:highlight w:val="none"/>
                <w:lang w:val="en-US" w:eastAsia="zh-CN"/>
              </w:rPr>
              <w:t xml:space="preserve">（6）电能质量</w:t>
            </w:r>
            <w:r>
              <w:rPr>
                <w:rFonts w:hint="default" w:ascii="宋体" w:hAnsi="宋体" w:cs="Times New Roman"/>
                <w:b w:val="0"/>
                <w:bCs w:val="0"/>
                <w:color w:val="auto"/>
                <w:sz w:val="20"/>
                <w:szCs w:val="20"/>
                <w:highlight w:val="none"/>
                <w:lang w:val="en-US" w:eastAsia="zh-CN"/>
              </w:rPr>
              <w:t xml:space="preserve">分析仪：可测量系统电源输出功率，每次测量可保存数据、随时读取，屏幕上可显示多个数值；需直显功率以及功率因数等数据，能测试交流电压、电流、功率、功率因数等参数，精度≥0.5级，功率因数显示精度0.001，配彩色≥3.5寸液晶屏可显示电压电流波形及矢量图（波形采用24位AD精细显示，64K速率），具有多功能按键可选择，显示电压-电流-相位关系，自动识别负载性质；带通信接口及协议；需符合工业标准及专用连接线，需具备485等标准通讯接口，需采用工业模具独立封装。</w:t>
            </w:r>
            <w:r/>
          </w:p>
          <w:p>
            <w:pPr>
              <w:jc w:val="left"/>
              <w:keepLines w:val="0"/>
              <w:keepNext w:val="0"/>
              <w:pageBreakBefore w:val="0"/>
              <w:spacing w:line="240" w:lineRule="auto"/>
              <w:widowControl/>
              <w:rPr>
                <w:rFonts w:hint="default"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（7）实验要求</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实验1、储罐液位动态特性测试</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实验2、储罐液位单回路控制（比例控制）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实验3、储罐出口流量单回路控制（比例积分控制）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实验4、换热器温度单回路控制（比例积分微分控制）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实验5、换热器温度串级控制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实验6、储罐液位及流量均匀控制</w:t>
            </w:r>
            <w:r/>
          </w:p>
          <w:p>
            <w:pPr>
              <w:ind w:firstLine="400"/>
              <w:jc w:val="left"/>
              <w:keepLines w:val="0"/>
              <w:keepNext w:val="0"/>
              <w:pageBreakBefore w:val="0"/>
              <w:spacing w:line="240" w:lineRule="auto"/>
              <w:widowControl/>
              <w:rPr>
                <w:rFonts w:hint="eastAsia" w:ascii="宋体" w:hAnsi="宋体" w:cs="Times New Roman"/>
                <w:b/>
                <w:bCs/>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实验7、加热炉燃烧过程-燃料风量比值控制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实验8、除氧过程的液位、流量与压力综合控制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实验9、加热炉控制系统的投运和整定</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实验10、果汁浓缩工艺控制系统的投运和整定</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实验11、锅炉汽包水位前馈-反馈控制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实验12、锅炉汽包水位前馈-串级控制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实验13、锅炉过热蒸汽温度分程控制</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实验14、认识DCS集散控制系统</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实验15、实现DCS和现场设备之间的数据通讯</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实验16、基于连续控制回路图建立小型工艺对象的控制系统</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实验17、基于人机监控画面创建与运行小型工艺对象的监控系统</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实验18、使用顺序控制系统实现小型工艺对象的冷态开车</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实验19、基于P&amp;ID图的锅炉水除氧控制系统实施</w:t>
            </w:r>
            <w:r/>
          </w:p>
          <w:p>
            <w:pPr>
              <w:ind w:firstLine="400"/>
              <w:jc w:val="left"/>
              <w:keepLines w:val="0"/>
              <w:keepNext w:val="0"/>
              <w:pageBreakBefore w:val="0"/>
              <w:spacing w:line="240" w:lineRule="auto"/>
              <w:widowControl/>
              <w:rPr>
                <w:rFonts w:hint="eastAsia" w:ascii="宋体" w:hAnsi="宋体" w:cs="Times New Roman"/>
                <w:b w:val="0"/>
                <w:bCs w:val="0"/>
                <w:color w:val="auto"/>
                <w:sz w:val="20"/>
                <w:szCs w:val="20"/>
                <w:highlight w:val="none"/>
                <w:lang w:val="en-US" w:eastAsia="zh-CN"/>
              </w:rPr>
            </w:pPr>
            <w:r>
              <w:rPr>
                <w:rFonts w:hint="eastAsia" w:ascii="宋体" w:hAnsi="宋体" w:cs="Times New Roman"/>
                <w:b w:val="0"/>
                <w:bCs w:val="0"/>
                <w:color w:val="auto"/>
                <w:sz w:val="20"/>
                <w:szCs w:val="20"/>
                <w:highlight w:val="none"/>
                <w:lang w:val="en-US" w:eastAsia="zh-CN"/>
              </w:rPr>
              <w:t xml:space="preserve">实验20、基于P&amp;ID图的果汁浓缩控制系统实施</w:t>
            </w:r>
            <w:r/>
          </w:p>
          <w:p>
            <w:pPr>
              <w:pStyle w:val="1066"/>
              <w:ind w:left="0" w:firstLine="0"/>
              <w:jc w:val="left"/>
              <w:keepLines w:val="0"/>
              <w:keepNext w:val="0"/>
              <w:pageBreakBefore w:val="0"/>
              <w:spacing w:line="240" w:lineRule="auto"/>
              <w:rPr>
                <w:color w:val="auto"/>
                <w:sz w:val="20"/>
                <w:szCs w:val="20"/>
                <w:highlight w:val="none"/>
              </w:rPr>
              <w:outlineLvl w:val="0"/>
            </w:pPr>
            <w:r>
              <w:rPr>
                <w:rFonts w:hint="eastAsia" w:ascii="宋体" w:hAnsi="宋体" w:cs="Times New Roman"/>
                <w:b w:val="0"/>
                <w:bCs w:val="0"/>
                <w:color w:val="auto"/>
                <w:sz w:val="20"/>
                <w:szCs w:val="20"/>
                <w:highlight w:val="none"/>
                <w:lang w:val="en-US" w:eastAsia="zh-CN"/>
              </w:rPr>
              <w:t xml:space="preserve">（8）配套教学资料：配备相应的课程学习资源，包含课程视频、PPT讲稿、电子版实验指导书、纸质版实验指导。</w:t>
            </w:r>
            <w:r/>
          </w:p>
        </w:tc>
      </w:tr>
    </w:tbl>
    <w:p>
      <w:pPr>
        <w:pStyle w:val="706"/>
        <w:numPr>
          <w:ilvl w:val="0"/>
          <w:numId w:val="10"/>
        </w:numPr>
        <w:ind w:left="0" w:firstLine="0"/>
        <w:spacing w:before="0" w:beforeAutospacing="0" w:after="0" w:afterAutospacing="0" w:line="300" w:lineRule="auto"/>
        <w:widowControl/>
        <w:rPr>
          <w:rFonts w:hint="eastAsia"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采购标的的数量、采购项目交付或者实施的时间和地点</w:t>
      </w:r>
      <w:r>
        <w:rPr>
          <w:rFonts w:hint="eastAsia" w:cs="宋体"/>
          <w:b/>
          <w:bCs/>
          <w:color w:val="auto"/>
          <w:sz w:val="22"/>
          <w:szCs w:val="22"/>
          <w:highlight w:val="none"/>
          <w:shd w:val="clear" w:color="auto" w:fill="ffffff"/>
          <w:lang w:eastAsia="zh-CN"/>
        </w:rPr>
        <w:t xml:space="preserve">。</w:t>
      </w:r>
      <w:r/>
    </w:p>
    <w:p>
      <w:pPr>
        <w:pStyle w:val="706"/>
        <w:numPr>
          <w:ilvl w:val="0"/>
          <w:numId w:val="0"/>
        </w:numPr>
        <w:spacing w:before="0" w:beforeAutospacing="0" w:after="0" w:afterAutospacing="0" w:line="300" w:lineRule="auto"/>
        <w:widowControl/>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cs="宋体"/>
          <w:color w:val="auto"/>
          <w:sz w:val="22"/>
          <w:szCs w:val="22"/>
          <w:highlight w:val="none"/>
          <w:shd w:val="clear" w:color="auto" w:fill="ffffff"/>
          <w:lang w:val="en-US" w:eastAsia="zh-CN"/>
        </w:rPr>
        <w:t xml:space="preserve">1、</w:t>
      </w:r>
      <w:r>
        <w:rPr>
          <w:rFonts w:hint="eastAsia" w:ascii="宋体" w:hAnsi="宋体" w:cs="宋体"/>
          <w:color w:val="auto"/>
          <w:sz w:val="22"/>
          <w:szCs w:val="22"/>
          <w:highlight w:val="none"/>
          <w:shd w:val="clear" w:color="auto" w:fill="ffffff"/>
        </w:rPr>
        <w:t xml:space="preserve">采购标的的数量</w:t>
      </w:r>
      <w:r/>
    </w:p>
    <w:tbl>
      <w:tblPr>
        <w:tblStyle w:val="679"/>
        <w:tblW w:w="8519"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4516"/>
        <w:gridCol w:w="992"/>
        <w:gridCol w:w="1805"/>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20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5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80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206"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516" w:type="dxa"/>
            <w:vAlign w:val="center"/>
            <w:textDirection w:val="lrTb"/>
            <w:noWrap w:val="false"/>
          </w:tcPr>
          <w:p>
            <w:pPr>
              <w:ind w:left="0" w:right="0" w:firstLine="0"/>
              <w:jc w:val="left"/>
              <w:spacing w:line="24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过程控制系统教学实验装置</w:t>
            </w:r>
            <w:r>
              <w:rPr>
                <w:rFonts w:hint="eastAsia" w:ascii="宋体" w:hAnsi="宋体"/>
                <w:color w:val="auto"/>
                <w:sz w:val="24"/>
                <w:szCs w:val="24"/>
                <w:highlight w:val="none"/>
                <w:lang w:eastAsia="zh-CN"/>
              </w:rPr>
              <w:t xml:space="preserve">（</w:t>
            </w:r>
            <w:r>
              <w:rPr>
                <w:rFonts w:hint="eastAsia"/>
                <w:color w:val="auto"/>
                <w:highlight w:val="none"/>
                <w:lang w:val="en-US" w:eastAsia="zh-CN"/>
              </w:rPr>
              <w:t xml:space="preserve">核心产品）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80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含软件资源</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206"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516" w:type="dxa"/>
            <w:vAlign w:val="center"/>
            <w:textDirection w:val="lrTb"/>
            <w:noWrap w:val="false"/>
          </w:tcPr>
          <w:p>
            <w:pPr>
              <w:ind w:left="0" w:right="0" w:firstLine="0"/>
              <w:jc w:val="left"/>
              <w:spacing w:line="24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DCS型过程控制系统教学实验装置</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992" w:type="dxa"/>
            <w:vAlign w:val="center"/>
            <w:textDirection w:val="lrTb"/>
            <w:noWrap w:val="false"/>
          </w:tcPr>
          <w:p>
            <w:pPr>
              <w:ind w:left="0" w:right="0" w:firstLine="0"/>
              <w:jc w:val="center"/>
              <w:spacing w:line="24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80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含软件资源</w:t>
            </w:r>
            <w:r/>
          </w:p>
        </w:tc>
      </w:tr>
    </w:tbl>
    <w:p>
      <w:pPr>
        <w:keepLines w:val="0"/>
        <w:keepNext w:val="0"/>
        <w:pageBreakBefore w:val="0"/>
        <w:spacing w:line="360" w:lineRule="auto"/>
        <w:rPr>
          <w:rFonts w:hint="eastAsia" w:ascii="宋体" w:hAnsi="宋体" w:cs="仿宋_GB2312"/>
          <w:color w:val="auto"/>
          <w:sz w:val="22"/>
          <w:szCs w:val="22"/>
          <w:highlight w:val="none"/>
        </w:rPr>
      </w:pPr>
      <w:r>
        <w:rPr>
          <w:rFonts w:hint="eastAsia" w:ascii="宋体" w:hAnsi="宋体" w:cs="仿宋_GB2312"/>
          <w:color w:val="auto"/>
          <w:sz w:val="22"/>
          <w:szCs w:val="22"/>
          <w:highlight w:val="none"/>
          <w:lang w:val="en-US" w:eastAsia="zh-CN"/>
        </w:rPr>
        <w:t xml:space="preserve">2</w:t>
      </w:r>
      <w:r>
        <w:rPr>
          <w:rFonts w:hint="eastAsia" w:ascii="宋体" w:hAnsi="宋体" w:cs="仿宋_GB2312"/>
          <w:color w:val="auto"/>
          <w:sz w:val="22"/>
          <w:szCs w:val="22"/>
          <w:highlight w:val="none"/>
        </w:rPr>
        <w:t xml:space="preserve">、</w:t>
      </w:r>
      <w:r>
        <w:rPr>
          <w:rFonts w:hint="eastAsia" w:ascii="宋体" w:hAnsi="宋体" w:cs="宋体"/>
          <w:color w:val="auto"/>
          <w:sz w:val="22"/>
          <w:szCs w:val="22"/>
          <w:highlight w:val="none"/>
          <w:shd w:val="clear" w:color="auto" w:fill="ffffff"/>
        </w:rPr>
        <w:t xml:space="preserve">采购项目交付</w:t>
      </w:r>
      <w:r>
        <w:rPr>
          <w:rFonts w:hint="eastAsia" w:ascii="宋体" w:hAnsi="宋体" w:cs="宋体"/>
          <w:color w:val="auto"/>
          <w:sz w:val="22"/>
          <w:szCs w:val="22"/>
          <w:highlight w:val="none"/>
          <w:shd w:val="clear" w:color="auto" w:fill="ffffff"/>
          <w:lang w:val="en-US" w:eastAsia="zh-CN"/>
        </w:rPr>
        <w:t xml:space="preserve">时间</w:t>
      </w:r>
      <w:r>
        <w:rPr>
          <w:rFonts w:hint="eastAsia" w:ascii="宋体" w:hAnsi="宋体" w:cs="仿宋_GB2312"/>
          <w:color w:val="auto"/>
          <w:sz w:val="22"/>
          <w:szCs w:val="22"/>
          <w:highlight w:val="none"/>
        </w:rPr>
        <w:t xml:space="preserve">：自合同签订之日起</w:t>
      </w:r>
      <w:r>
        <w:rPr>
          <w:rFonts w:hint="eastAsia" w:ascii="宋体" w:hAnsi="宋体" w:cs="仿宋_GB2312"/>
          <w:color w:val="auto"/>
          <w:sz w:val="22"/>
          <w:szCs w:val="22"/>
          <w:highlight w:val="none"/>
          <w:lang w:val="en-US" w:eastAsia="zh-CN"/>
        </w:rPr>
        <w:t xml:space="preserve">40</w:t>
      </w:r>
      <w:r>
        <w:rPr>
          <w:rFonts w:hint="eastAsia" w:ascii="宋体" w:hAnsi="宋体" w:cs="仿宋_GB2312"/>
          <w:color w:val="auto"/>
          <w:sz w:val="22"/>
          <w:szCs w:val="22"/>
          <w:highlight w:val="none"/>
        </w:rPr>
        <w:t xml:space="preserve">日内完成供货安装调试及终验收工作。</w:t>
      </w:r>
      <w:r/>
    </w:p>
    <w:p>
      <w:pPr>
        <w:keepLines w:val="0"/>
        <w:keepNext w:val="0"/>
        <w:pageBreakBefore w:val="0"/>
        <w:spacing w:line="360" w:lineRule="auto"/>
        <w:rPr>
          <w:rFonts w:hint="eastAsia" w:ascii="宋体" w:hAnsi="宋体" w:cs="仿宋_GB2312"/>
          <w:color w:val="auto"/>
          <w:sz w:val="22"/>
          <w:szCs w:val="22"/>
          <w:highlight w:val="none"/>
        </w:rPr>
      </w:pPr>
      <w:r>
        <w:rPr>
          <w:rFonts w:hint="eastAsia" w:ascii="宋体" w:hAnsi="宋体" w:cs="仿宋_GB2312"/>
          <w:color w:val="auto"/>
          <w:sz w:val="22"/>
          <w:szCs w:val="22"/>
          <w:highlight w:val="none"/>
          <w:lang w:val="en-US" w:eastAsia="zh-CN"/>
        </w:rPr>
        <w:t xml:space="preserve">3</w:t>
      </w:r>
      <w:r>
        <w:rPr>
          <w:rFonts w:hint="eastAsia" w:ascii="宋体" w:hAnsi="宋体" w:cs="仿宋_GB2312"/>
          <w:color w:val="auto"/>
          <w:sz w:val="22"/>
          <w:szCs w:val="22"/>
          <w:highlight w:val="none"/>
        </w:rPr>
        <w:t xml:space="preserve">、</w:t>
      </w:r>
      <w:r>
        <w:rPr>
          <w:rFonts w:hint="eastAsia" w:ascii="宋体" w:hAnsi="宋体" w:cs="宋体"/>
          <w:color w:val="auto"/>
          <w:sz w:val="22"/>
          <w:szCs w:val="22"/>
          <w:highlight w:val="none"/>
          <w:shd w:val="clear" w:color="auto" w:fill="ffffff"/>
        </w:rPr>
        <w:t xml:space="preserve">采购项目交付</w:t>
      </w:r>
      <w:r>
        <w:rPr>
          <w:rFonts w:hint="eastAsia" w:ascii="宋体" w:hAnsi="宋体" w:cs="仿宋_GB2312"/>
          <w:color w:val="auto"/>
          <w:sz w:val="22"/>
          <w:szCs w:val="22"/>
          <w:highlight w:val="none"/>
        </w:rPr>
        <w:t xml:space="preserve">地点：</w:t>
      </w:r>
      <w:r>
        <w:rPr>
          <w:rFonts w:hint="eastAsia" w:ascii="宋体" w:hAnsi="宋体"/>
          <w:color w:val="auto"/>
          <w:sz w:val="22"/>
          <w:szCs w:val="22"/>
          <w:highlight w:val="none"/>
        </w:rPr>
        <w:t xml:space="preserve">无锡职业技术大学</w:t>
      </w:r>
      <w:r/>
    </w:p>
    <w:p>
      <w:pPr>
        <w:pStyle w:val="706"/>
        <w:numPr>
          <w:ilvl w:val="0"/>
          <w:numId w:val="10"/>
        </w:numPr>
        <w:ind w:left="0" w:firstLine="0"/>
        <w:keepLines w:val="0"/>
        <w:keepNext w:val="0"/>
        <w:pageBreakBefore w:val="0"/>
        <w:spacing w:before="0" w:beforeAutospacing="0" w:after="0" w:afterAutospacing="0" w:line="360" w:lineRule="auto"/>
        <w:widowControl/>
        <w:rPr>
          <w:rFonts w:hint="eastAsia"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采购标的需满足的服务标准、期限、效率等要求</w:t>
      </w:r>
      <w:r>
        <w:rPr>
          <w:rFonts w:hint="eastAsia" w:cs="宋体"/>
          <w:b/>
          <w:bCs/>
          <w:color w:val="auto"/>
          <w:sz w:val="22"/>
          <w:szCs w:val="22"/>
          <w:highlight w:val="none"/>
          <w:shd w:val="clear" w:color="auto" w:fill="ffffff"/>
          <w:lang w:eastAsia="zh-CN"/>
        </w:rPr>
        <w:t xml:space="preserve">。</w:t>
      </w:r>
      <w:r/>
    </w:p>
    <w:p>
      <w:pPr>
        <w:keepLines w:val="0"/>
        <w:keepNext w:val="0"/>
        <w:pageBreakBefore w:val="0"/>
        <w:spacing w:line="360" w:lineRule="auto"/>
        <w:rPr>
          <w:rFonts w:hint="eastAsia" w:ascii="宋体" w:hAnsi="宋体" w:cs="仿宋_GB2312"/>
          <w:color w:val="auto"/>
          <w:sz w:val="22"/>
          <w:szCs w:val="22"/>
          <w:highlight w:val="none"/>
        </w:rPr>
      </w:pPr>
      <w:r>
        <w:rPr>
          <w:rFonts w:hint="eastAsia" w:ascii="宋体" w:hAnsi="宋体" w:cs="仿宋_GB2312"/>
          <w:color w:val="auto"/>
          <w:sz w:val="22"/>
          <w:szCs w:val="22"/>
          <w:highlight w:val="none"/>
          <w:lang w:val="en-US" w:eastAsia="zh-CN"/>
        </w:rPr>
        <w:t xml:space="preserve">1</w:t>
      </w:r>
      <w:r>
        <w:rPr>
          <w:rFonts w:hint="eastAsia" w:ascii="宋体" w:hAnsi="宋体" w:cs="仿宋_GB2312"/>
          <w:color w:val="auto"/>
          <w:sz w:val="22"/>
          <w:szCs w:val="22"/>
          <w:highlight w:val="none"/>
        </w:rPr>
        <w:t xml:space="preserve">、质保期：</w:t>
      </w:r>
      <w:r>
        <w:rPr>
          <w:rFonts w:hint="eastAsia" w:ascii="宋体" w:hAnsi="宋体" w:cs="仿宋_GB2312"/>
          <w:color w:val="auto"/>
          <w:sz w:val="22"/>
          <w:szCs w:val="22"/>
          <w:highlight w:val="none"/>
          <w:lang w:val="en-US" w:eastAsia="zh-CN"/>
        </w:rPr>
        <w:t xml:space="preserve">两年</w:t>
      </w:r>
      <w:r>
        <w:rPr>
          <w:rFonts w:hint="eastAsia" w:ascii="宋体" w:hAnsi="宋体" w:cs="仿宋_GB2312"/>
          <w:color w:val="auto"/>
          <w:sz w:val="22"/>
          <w:szCs w:val="22"/>
          <w:highlight w:val="none"/>
        </w:rPr>
        <w:t xml:space="preserve">。</w:t>
      </w:r>
      <w:r/>
    </w:p>
    <w:p>
      <w:pPr>
        <w:keepLines w:val="0"/>
        <w:keepNext w:val="0"/>
        <w:pageBreakBefore w:val="0"/>
        <w:spacing w:line="360" w:lineRule="auto"/>
        <w:rPr>
          <w:rFonts w:ascii="宋体" w:hAnsi="宋体" w:cs="仿宋_GB2312"/>
          <w:color w:val="auto"/>
          <w:sz w:val="22"/>
          <w:szCs w:val="22"/>
          <w:highlight w:val="none"/>
        </w:rPr>
      </w:pPr>
      <w:r>
        <w:rPr>
          <w:rFonts w:hint="eastAsia" w:ascii="宋体" w:hAnsi="宋体" w:cs="仿宋_GB2312"/>
          <w:color w:val="auto"/>
          <w:sz w:val="22"/>
          <w:szCs w:val="22"/>
          <w:highlight w:val="none"/>
          <w:lang w:val="en-US" w:eastAsia="zh-CN"/>
        </w:rPr>
        <w:t xml:space="preserve">2</w:t>
      </w:r>
      <w:r>
        <w:rPr>
          <w:rFonts w:hint="eastAsia" w:ascii="宋体" w:hAnsi="宋体" w:cs="仿宋_GB2312"/>
          <w:color w:val="auto"/>
          <w:sz w:val="22"/>
          <w:szCs w:val="22"/>
          <w:highlight w:val="none"/>
        </w:rPr>
        <w:t xml:space="preserve">、售后服务要求：实验设备整体质保要求</w:t>
      </w:r>
      <w:r>
        <w:rPr>
          <w:rFonts w:hint="eastAsia" w:ascii="宋体" w:hAnsi="宋体" w:cs="仿宋_GB2312"/>
          <w:color w:val="auto"/>
          <w:sz w:val="22"/>
          <w:szCs w:val="22"/>
          <w:highlight w:val="none"/>
          <w:lang w:val="en-US" w:eastAsia="zh-CN"/>
        </w:rPr>
        <w:t xml:space="preserve">2</w:t>
      </w:r>
      <w:r>
        <w:rPr>
          <w:rFonts w:hint="eastAsia" w:ascii="宋体" w:hAnsi="宋体" w:cs="仿宋_GB2312"/>
          <w:color w:val="auto"/>
          <w:sz w:val="22"/>
          <w:szCs w:val="22"/>
          <w:highlight w:val="none"/>
        </w:rPr>
        <w:t xml:space="preserve">年，每年提供二次定期（具体时间与用户沟通）设备检测及维护，收到学校报修需求，1小时内响应。2小时内提供解决方案，24小时内赶到现场。</w:t>
      </w:r>
      <w:r/>
    </w:p>
    <w:p>
      <w:pPr>
        <w:pStyle w:val="706"/>
        <w:numPr>
          <w:ilvl w:val="0"/>
          <w:numId w:val="10"/>
        </w:numPr>
        <w:ind w:left="0" w:firstLine="0"/>
        <w:keepLines w:val="0"/>
        <w:keepNext w:val="0"/>
        <w:pageBreakBefore w:val="0"/>
        <w:spacing w:before="0" w:beforeAutospacing="0" w:after="0" w:afterAutospacing="0" w:line="360" w:lineRule="auto"/>
        <w:widowControl/>
        <w:rPr>
          <w:rFonts w:hint="eastAsia"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采购标的的验收标准</w:t>
      </w:r>
      <w:r>
        <w:rPr>
          <w:rFonts w:hint="eastAsia" w:cs="宋体"/>
          <w:b/>
          <w:bCs/>
          <w:color w:val="auto"/>
          <w:sz w:val="22"/>
          <w:szCs w:val="22"/>
          <w:highlight w:val="none"/>
          <w:shd w:val="clear" w:color="auto" w:fill="ffffff"/>
          <w:lang w:eastAsia="zh-CN"/>
        </w:rPr>
        <w:t xml:space="preserve">。</w:t>
      </w:r>
      <w:r/>
    </w:p>
    <w:p>
      <w:pPr>
        <w:pStyle w:val="706"/>
        <w:numPr>
          <w:ilvl w:val="0"/>
          <w:numId w:val="0"/>
        </w:numPr>
        <w:ind w:firstLine="440"/>
        <w:keepLines w:val="0"/>
        <w:keepNext w:val="0"/>
        <w:pageBreakBefore w:val="0"/>
        <w:spacing w:before="0" w:beforeAutospacing="0" w:after="0" w:afterAutospacing="0" w:line="360" w:lineRule="auto"/>
        <w:widowControl/>
        <w:rPr>
          <w:rFonts w:hint="eastAsia" w:ascii="宋体" w:hAnsi="宋体" w:cs="宋体"/>
          <w:color w:val="auto"/>
          <w:sz w:val="22"/>
          <w:szCs w:val="22"/>
          <w:highlight w:val="none"/>
          <w:shd w:val="clear" w:color="auto" w:fill="ffffff"/>
        </w:rPr>
      </w:pPr>
      <w:r>
        <w:rPr>
          <w:rFonts w:hint="eastAsia" w:ascii="宋体" w:hAnsi="宋体" w:cs="仿宋_GB2312"/>
          <w:color w:val="auto"/>
          <w:sz w:val="22"/>
          <w:szCs w:val="22"/>
          <w:highlight w:val="none"/>
          <w:lang w:eastAsia="zh-CN"/>
        </w:rPr>
        <w:t xml:space="preserve">采购人按照</w:t>
      </w:r>
      <w:r>
        <w:rPr>
          <w:rFonts w:hint="eastAsia" w:ascii="宋体" w:hAnsi="宋体" w:cs="仿宋_GB2312"/>
          <w:color w:val="auto"/>
          <w:sz w:val="22"/>
          <w:szCs w:val="22"/>
          <w:highlight w:val="none"/>
          <w:lang w:val="en-US" w:eastAsia="zh-CN"/>
        </w:rPr>
        <w:t xml:space="preserve">技术</w:t>
      </w:r>
      <w:r>
        <w:rPr>
          <w:rFonts w:hint="eastAsia" w:ascii="宋体" w:hAnsi="宋体" w:cs="仿宋_GB2312"/>
          <w:color w:val="auto"/>
          <w:sz w:val="22"/>
          <w:szCs w:val="22"/>
          <w:highlight w:val="none"/>
          <w:lang w:eastAsia="zh-CN"/>
        </w:rPr>
        <w:t xml:space="preserve">标准对所供货物进行现场验收，若货物的规格、质量、数量不符合合同约定要求，中标供应商需在</w:t>
      </w:r>
      <w:r>
        <w:rPr>
          <w:rFonts w:hint="eastAsia" w:ascii="宋体" w:hAnsi="宋体" w:cs="仿宋_GB2312"/>
          <w:color w:val="auto"/>
          <w:sz w:val="22"/>
          <w:szCs w:val="22"/>
          <w:highlight w:val="none"/>
          <w:lang w:val="en-US" w:eastAsia="zh-CN"/>
        </w:rPr>
        <w:t xml:space="preserve">30</w:t>
      </w:r>
      <w:r>
        <w:rPr>
          <w:rFonts w:hint="eastAsia" w:ascii="宋体" w:hAnsi="宋体" w:cs="仿宋_GB2312"/>
          <w:color w:val="auto"/>
          <w:sz w:val="22"/>
          <w:szCs w:val="22"/>
          <w:highlight w:val="none"/>
          <w:lang w:eastAsia="zh-CN"/>
        </w:rPr>
        <w:t xml:space="preserve">个工作日内免费更换合格产品，由此产生的一切费用由中标供应商承担；逾期未更换完成的，采购人有权解除合同并要求中标供应商承担相应违约责任。</w:t>
      </w:r>
      <w:r/>
    </w:p>
    <w:p>
      <w:pPr>
        <w:pStyle w:val="706"/>
        <w:numPr>
          <w:ilvl w:val="0"/>
          <w:numId w:val="10"/>
        </w:numPr>
        <w:ind w:left="0" w:firstLine="0"/>
        <w:keepLines w:val="0"/>
        <w:keepNext w:val="0"/>
        <w:pageBreakBefore w:val="0"/>
        <w:spacing w:before="0" w:beforeAutospacing="0" w:after="0" w:afterAutospacing="0" w:line="360" w:lineRule="auto"/>
        <w:widowControl/>
        <w:rPr>
          <w:rFonts w:hint="eastAsia"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采购标的的其他技术、服务等要求。</w:t>
      </w:r>
      <w:r/>
    </w:p>
    <w:p>
      <w:pPr>
        <w:pStyle w:val="706"/>
        <w:numPr>
          <w:ilvl w:val="0"/>
          <w:numId w:val="0"/>
        </w:numPr>
        <w:keepLines w:val="0"/>
        <w:keepNext w:val="0"/>
        <w:pageBreakBefore w:val="0"/>
        <w:spacing w:before="0" w:beforeAutospacing="0" w:after="0" w:afterAutospacing="0" w:line="360" w:lineRule="auto"/>
        <w:widowControl/>
        <w:rPr>
          <w:rFonts w:hint="eastAsia" w:ascii="宋体" w:hAnsi="宋体" w:eastAsia="宋体" w:cs="宋体"/>
          <w:color w:val="auto"/>
          <w:sz w:val="22"/>
          <w:szCs w:val="22"/>
          <w:highlight w:val="none"/>
          <w:shd w:val="clear" w:color="auto" w:fill="ffffff"/>
          <w:lang w:val="en-US" w:eastAsia="zh-CN"/>
        </w:rPr>
      </w:pPr>
      <w:r>
        <w:rPr>
          <w:rFonts w:hint="eastAsia" w:ascii="宋体" w:hAnsi="宋体" w:cs="宋体"/>
          <w:color w:val="auto"/>
          <w:sz w:val="22"/>
          <w:szCs w:val="22"/>
          <w:highlight w:val="none"/>
          <w:shd w:val="clear" w:color="auto" w:fill="ffffff"/>
          <w:lang w:val="en-US" w:eastAsia="zh-CN"/>
        </w:rPr>
        <w:t xml:space="preserve">无</w:t>
      </w:r>
      <w:r/>
    </w:p>
    <w:p>
      <w:pPr>
        <w:pStyle w:val="669"/>
        <w:jc w:val="center"/>
        <w:keepLines/>
        <w:keepNext/>
        <w:pageBreakBefore w:val="0"/>
        <w:spacing w:before="240" w:after="240"/>
        <w:widowControl w:val="off"/>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eastAsia="宋体" w:cs="宋体"/>
          <w:b/>
          <w:color w:val="auto"/>
          <w:sz w:val="44"/>
          <w:szCs w:val="44"/>
          <w:highlight w:val="none"/>
          <w:lang w:val="en-US" w:eastAsia="zh-CN"/>
        </w:rPr>
        <w:t xml:space="preserve">第四部分</w:t>
      </w:r>
      <w:r>
        <w:rPr>
          <w:rFonts w:hint="eastAsia" w:ascii="宋体" w:hAnsi="宋体" w:cs="宋体"/>
          <w:b/>
          <w:color w:val="auto"/>
          <w:sz w:val="44"/>
          <w:szCs w:val="44"/>
          <w:highlight w:val="none"/>
        </w:rPr>
        <w:t xml:space="preserve">．合同书</w:t>
      </w:r>
      <w:r/>
    </w:p>
    <w:p>
      <w:pPr>
        <w:pStyle w:val="692"/>
        <w:jc w:val="center"/>
        <w:spacing w:before="120" w:after="120"/>
        <w:rPr>
          <w:rFonts w:hint="eastAsia" w:hAnsi="宋体"/>
          <w:b/>
          <w:color w:val="auto"/>
          <w:sz w:val="44"/>
          <w:szCs w:val="44"/>
          <w:highlight w:val="none"/>
        </w:rPr>
      </w:pPr>
      <w:r>
        <w:rPr>
          <w:rFonts w:hint="eastAsia" w:hAnsi="宋体"/>
          <w:b/>
          <w:color w:val="auto"/>
          <w:sz w:val="44"/>
          <w:szCs w:val="44"/>
          <w:highlight w:val="none"/>
        </w:rPr>
        <w:t xml:space="preserve">无锡职业技术大学货物</w:t>
      </w:r>
      <w:r>
        <w:rPr>
          <w:rFonts w:hAnsi="宋体"/>
          <w:b/>
          <w:color w:val="auto"/>
          <w:sz w:val="44"/>
          <w:szCs w:val="44"/>
          <w:highlight w:val="none"/>
        </w:rPr>
        <w:t xml:space="preserve">采购</w:t>
      </w:r>
      <w:r>
        <w:rPr>
          <w:rFonts w:hint="eastAsia" w:hAnsi="宋体"/>
          <w:b/>
          <w:color w:val="auto"/>
          <w:sz w:val="44"/>
          <w:szCs w:val="44"/>
          <w:highlight w:val="none"/>
        </w:rPr>
        <w:t xml:space="preserve">合同</w:t>
      </w:r>
      <w:r/>
    </w:p>
    <w:tbl>
      <w:tblPr>
        <w:tblStyle w:val="679"/>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692"/>
              <w:spacing w:before="120" w:after="120"/>
              <w:rPr>
                <w:rFonts w:hint="eastAsia" w:hAnsi="宋体"/>
                <w:color w:val="auto"/>
                <w:sz w:val="24"/>
                <w:szCs w:val="24"/>
                <w:highlight w:val="none"/>
              </w:rPr>
            </w:pPr>
            <w:r>
              <w:rPr>
                <w:rFonts w:hint="eastAsia" w:hAnsi="宋体"/>
                <w:color w:val="auto"/>
                <w:sz w:val="24"/>
                <w:szCs w:val="24"/>
                <w:highlight w:val="none"/>
              </w:rPr>
              <w:t xml:space="preserve">甲方（买方）：</w:t>
            </w:r>
            <w:r>
              <w:rPr>
                <w:rFonts w:hint="eastAsia" w:hAnsi="宋体"/>
                <w:color w:val="auto"/>
                <w:sz w:val="24"/>
                <w:szCs w:val="24"/>
                <w:highlight w:val="none"/>
                <w:u w:val="single"/>
              </w:rPr>
              <w:t xml:space="preserve">无锡职业技术大学</w:t>
            </w:r>
            <w:r/>
          </w:p>
        </w:tc>
        <w:tc>
          <w:tcPr>
            <w:tcW w:w="4536" w:type="dxa"/>
            <w:textDirection w:val="lrTb"/>
            <w:noWrap w:val="false"/>
          </w:tcPr>
          <w:p>
            <w:pPr>
              <w:pStyle w:val="692"/>
              <w:spacing w:before="120" w:after="120"/>
              <w:rPr>
                <w:rFonts w:hint="eastAsia" w:hAnsi="宋体"/>
                <w:color w:val="auto"/>
                <w:sz w:val="24"/>
                <w:szCs w:val="24"/>
                <w:highlight w:val="none"/>
                <w:u w:val="single"/>
              </w:rPr>
            </w:pPr>
            <w:r>
              <w:rPr>
                <w:rFonts w:hint="eastAsia" w:hAnsi="宋体"/>
                <w:color w:val="auto"/>
                <w:sz w:val="24"/>
                <w:szCs w:val="24"/>
                <w:highlight w:val="none"/>
              </w:rPr>
              <w:t xml:space="preserve">合同编号：</w:t>
            </w:r>
            <w:r/>
          </w:p>
        </w:tc>
      </w:tr>
      <w:tr>
        <w:trPr/>
        <w:tc>
          <w:tcPr>
            <w:tcW w:w="5240" w:type="dxa"/>
            <w:textDirection w:val="lrTb"/>
            <w:noWrap w:val="false"/>
          </w:tcPr>
          <w:p>
            <w:pPr>
              <w:pStyle w:val="692"/>
              <w:spacing w:before="120" w:after="120"/>
              <w:rPr>
                <w:rFonts w:hint="eastAsia" w:hAnsi="宋体"/>
                <w:color w:val="auto"/>
                <w:sz w:val="24"/>
                <w:szCs w:val="24"/>
                <w:highlight w:val="none"/>
              </w:rPr>
            </w:pPr>
            <w:r>
              <w:rPr>
                <w:rFonts w:hint="eastAsia" w:hAnsi="宋体"/>
                <w:color w:val="auto"/>
                <w:sz w:val="24"/>
                <w:szCs w:val="24"/>
                <w:highlight w:val="none"/>
              </w:rPr>
              <w:t xml:space="preserve">乙方（卖方）：</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 xml:space="preserve"> </w:t>
            </w:r>
            <w:r/>
          </w:p>
        </w:tc>
        <w:tc>
          <w:tcPr>
            <w:tcW w:w="4536" w:type="dxa"/>
            <w:textDirection w:val="lrTb"/>
            <w:noWrap w:val="false"/>
          </w:tcPr>
          <w:p>
            <w:pPr>
              <w:pStyle w:val="692"/>
              <w:spacing w:before="120" w:after="120"/>
              <w:rPr>
                <w:rFonts w:hint="eastAsia" w:hAnsi="宋体"/>
                <w:color w:val="auto"/>
                <w:sz w:val="24"/>
                <w:szCs w:val="24"/>
                <w:highlight w:val="none"/>
                <w:u w:val="single"/>
              </w:rPr>
            </w:pPr>
            <w:r>
              <w:rPr>
                <w:rFonts w:hint="eastAsia" w:hAnsi="宋体"/>
                <w:color w:val="auto"/>
                <w:sz w:val="24"/>
                <w:szCs w:val="24"/>
                <w:highlight w:val="none"/>
              </w:rPr>
              <w:t xml:space="preserve">合同签约地：</w:t>
            </w:r>
            <w:r>
              <w:rPr>
                <w:rFonts w:hint="eastAsia" w:hAnsi="宋体"/>
                <w:color w:val="auto"/>
                <w:sz w:val="24"/>
                <w:szCs w:val="24"/>
                <w:highlight w:val="none"/>
                <w:u w:val="single"/>
              </w:rPr>
              <w:t xml:space="preserve">无锡</w:t>
            </w:r>
            <w:r/>
          </w:p>
        </w:tc>
      </w:tr>
    </w:tbl>
    <w:p>
      <w:pPr>
        <w:pStyle w:val="692"/>
        <w:spacing w:before="120" w:after="120"/>
        <w:rPr>
          <w:rFonts w:hint="eastAsia" w:hAnsi="宋体"/>
          <w:color w:val="auto"/>
          <w:sz w:val="24"/>
          <w:szCs w:val="24"/>
          <w:highlight w:val="none"/>
        </w:rPr>
      </w:pPr>
      <w:r>
        <w:rPr>
          <w:rFonts w:hint="eastAsia" w:hAnsi="宋体"/>
          <w:color w:val="auto"/>
          <w:sz w:val="24"/>
          <w:szCs w:val="24"/>
          <w:highlight w:val="none"/>
        </w:rPr>
      </w:r>
      <w:r/>
    </w:p>
    <w:p>
      <w:pPr>
        <w:ind w:firstLine="480"/>
        <w:spacing w:line="360" w:lineRule="auto"/>
        <w:rPr>
          <w:color w:val="auto"/>
          <w:sz w:val="24"/>
          <w:highlight w:val="none"/>
        </w:rPr>
      </w:pPr>
      <w:r>
        <w:rPr>
          <w:color w:val="auto"/>
          <w:sz w:val="24"/>
          <w:highlight w:val="none"/>
        </w:rPr>
        <w:t xml:space="preserve">根据</w:t>
      </w:r>
      <w:r>
        <w:rPr>
          <w:rFonts w:hint="eastAsia"/>
          <w:color w:val="auto"/>
          <w:sz w:val="24"/>
          <w:highlight w:val="none"/>
        </w:rPr>
        <w:t xml:space="preserve">《中华人民共和国政府采购法》、</w:t>
      </w:r>
      <w:r>
        <w:rPr>
          <w:color w:val="auto"/>
          <w:sz w:val="24"/>
          <w:highlight w:val="none"/>
        </w:rPr>
        <w:t xml:space="preserve">《中华人民共和国</w:t>
      </w:r>
      <w:r>
        <w:rPr>
          <w:rFonts w:hint="eastAsia"/>
          <w:color w:val="auto"/>
          <w:sz w:val="24"/>
          <w:highlight w:val="none"/>
        </w:rPr>
        <w:t xml:space="preserve">民法典</w:t>
      </w:r>
      <w:r>
        <w:rPr>
          <w:color w:val="auto"/>
          <w:sz w:val="24"/>
          <w:highlight w:val="none"/>
        </w:rPr>
        <w:t xml:space="preserve">》等法律、法规的规定，</w:t>
      </w:r>
      <w:bookmarkStart w:id="2" w:name="_Hlk68891350"/>
      <w:r>
        <w:rPr>
          <w:rFonts w:hint="eastAsia"/>
          <w:color w:val="auto"/>
          <w:sz w:val="24"/>
          <w:highlight w:val="none"/>
        </w:rPr>
        <w:t xml:space="preserve">甲、乙双方</w:t>
      </w:r>
      <w:r>
        <w:rPr>
          <w:color w:val="auto"/>
          <w:sz w:val="24"/>
          <w:highlight w:val="none"/>
        </w:rPr>
        <w:t xml:space="preserve">依据</w:t>
      </w:r>
      <w:bookmarkStart w:id="3" w:name="_Hlk50199808"/>
      <w:r/>
      <w:bookmarkEnd w:id="3"/>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名称）</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编号）</w:t>
      </w:r>
      <w:r>
        <w:rPr>
          <w:color w:val="auto"/>
          <w:sz w:val="24"/>
          <w:highlight w:val="none"/>
        </w:rPr>
        <w:t xml:space="preserve">的</w:t>
      </w:r>
      <w:r>
        <w:rPr>
          <w:rFonts w:hint="eastAsia"/>
          <w:color w:val="auto"/>
          <w:sz w:val="24"/>
          <w:highlight w:val="none"/>
        </w:rPr>
        <w:t xml:space="preserve">采购结果</w:t>
      </w:r>
      <w:bookmarkEnd w:id="2"/>
      <w:r>
        <w:rPr>
          <w:rFonts w:hint="eastAsia"/>
          <w:color w:val="auto"/>
          <w:sz w:val="24"/>
          <w:highlight w:val="none"/>
        </w:rPr>
        <w:t xml:space="preserve">，</w:t>
      </w:r>
      <w:r>
        <w:rPr>
          <w:color w:val="auto"/>
          <w:sz w:val="24"/>
          <w:highlight w:val="none"/>
        </w:rPr>
        <w:t xml:space="preserve">本着诚实守信</w:t>
      </w:r>
      <w:r>
        <w:rPr>
          <w:rFonts w:hint="eastAsia"/>
          <w:color w:val="auto"/>
          <w:sz w:val="24"/>
          <w:highlight w:val="none"/>
        </w:rPr>
        <w:t xml:space="preserve">、</w:t>
      </w:r>
      <w:r>
        <w:rPr>
          <w:color w:val="auto"/>
          <w:sz w:val="24"/>
          <w:highlight w:val="none"/>
        </w:rPr>
        <w:t xml:space="preserve">友好协商的原则</w:t>
      </w:r>
      <w:r>
        <w:rPr>
          <w:rFonts w:hint="eastAsia"/>
          <w:color w:val="auto"/>
          <w:sz w:val="24"/>
          <w:highlight w:val="none"/>
        </w:rPr>
        <w:t xml:space="preserve">签署本合同。</w:t>
      </w:r>
      <w:r/>
    </w:p>
    <w:p>
      <w:pPr>
        <w:numPr>
          <w:ilvl w:val="0"/>
          <w:numId w:val="11"/>
        </w:numPr>
        <w:spacing w:line="360" w:lineRule="auto"/>
        <w:rPr>
          <w:b/>
          <w:color w:val="auto"/>
          <w:sz w:val="24"/>
          <w:highlight w:val="none"/>
        </w:rPr>
      </w:pPr>
      <w:r>
        <w:rPr>
          <w:rFonts w:hint="eastAsia"/>
          <w:b/>
          <w:color w:val="auto"/>
          <w:sz w:val="24"/>
          <w:highlight w:val="none"/>
        </w:rPr>
        <w:t xml:space="preserve">货物清单及合同价款</w:t>
      </w:r>
      <w:r/>
    </w:p>
    <w:tbl>
      <w:tblPr>
        <w:tblStyle w:val="679"/>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680"/>
        </w:trPr>
        <w:tc>
          <w:tcPr>
            <w:tcW w:w="675"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序号</w:t>
            </w:r>
            <w:r/>
          </w:p>
        </w:tc>
        <w:tc>
          <w:tcPr>
            <w:tcW w:w="1985"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名称</w:t>
            </w:r>
            <w:r/>
          </w:p>
        </w:tc>
        <w:tc>
          <w:tcPr>
            <w:tcW w:w="1276"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品牌</w:t>
            </w:r>
            <w:r/>
          </w:p>
        </w:tc>
        <w:tc>
          <w:tcPr>
            <w:tcW w:w="1984"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规格型号</w:t>
            </w:r>
            <w:r/>
          </w:p>
        </w:tc>
        <w:tc>
          <w:tcPr>
            <w:tcW w:w="992"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总价（元）</w:t>
            </w:r>
            <w:r/>
          </w:p>
        </w:tc>
      </w:tr>
      <w:tr>
        <w:trPr>
          <w:jc w:val="center"/>
          <w:trHeight w:val="510"/>
        </w:trPr>
        <w:tc>
          <w:tcPr>
            <w:tcBorders>
              <w:bottom w:val="single" w:color="auto" w:sz="4" w:space="0"/>
            </w:tcBorders>
            <w:tcW w:w="675" w:type="dxa"/>
            <w:vAlign w:val="center"/>
            <w:textDirection w:val="lrTb"/>
            <w:noWrap w:val="false"/>
          </w:tcPr>
          <w:p>
            <w:pPr>
              <w:jc w:val="center"/>
              <w:rPr>
                <w:color w:val="auto"/>
                <w:szCs w:val="21"/>
                <w:highlight w:val="none"/>
              </w:rPr>
            </w:pPr>
            <w:r>
              <w:rPr>
                <w:color w:val="auto"/>
                <w:highlight w:val="none"/>
              </w:rPr>
              <w:t xml:space="preserve">1</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10"/>
        </w:trPr>
        <w:tc>
          <w:tcPr>
            <w:tcBorders>
              <w:bottom w:val="single" w:color="auto" w:sz="4" w:space="0"/>
            </w:tcBorders>
            <w:tcW w:w="675"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2</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color w:val="auto"/>
                <w:sz w:val="24"/>
                <w:highlight w:val="none"/>
              </w:rPr>
            </w:pPr>
            <w:r>
              <w:rPr>
                <w:color w:val="auto"/>
                <w:sz w:val="24"/>
                <w:highlight w:val="none"/>
              </w:rPr>
              <w:t xml:space="preserve">合计</w:t>
            </w:r>
            <w:r>
              <w:rPr>
                <w:rFonts w:hint="eastAsia"/>
                <w:color w:val="auto"/>
                <w:sz w:val="24"/>
                <w:highlight w:val="none"/>
              </w:rPr>
              <w:t xml:space="preserve">总</w:t>
            </w:r>
            <w:r>
              <w:rPr>
                <w:color w:val="auto"/>
                <w:sz w:val="24"/>
                <w:highlight w:val="none"/>
              </w:rPr>
              <w:t xml:space="preserve">金额</w:t>
            </w:r>
            <w:r>
              <w:rPr>
                <w:rFonts w:hint="eastAsia"/>
                <w:color w:val="auto"/>
                <w:sz w:val="24"/>
                <w:highlight w:val="none"/>
              </w:rPr>
              <w:t xml:space="preserve">：大写人民币（大写）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元</w:t>
            </w:r>
            <w:r>
              <w:rPr>
                <w:color w:val="auto"/>
                <w:sz w:val="24"/>
                <w:highlight w:val="none"/>
              </w:rPr>
              <w:t xml:space="preserve">整</w:t>
            </w:r>
            <w:r/>
          </w:p>
          <w:p>
            <w:pPr>
              <w:ind w:firstLine="2880"/>
              <w:spacing w:line="360" w:lineRule="auto"/>
              <w:rPr>
                <w:rFonts w:hint="eastAsia" w:ascii="等线" w:hAnsi="等线" w:eastAsia="等线"/>
                <w:color w:val="auto"/>
                <w:sz w:val="24"/>
                <w:highlight w:val="none"/>
              </w:rPr>
            </w:pPr>
            <w:r>
              <w:rPr>
                <w:rFonts w:hint="eastAsia"/>
                <w:color w:val="auto"/>
                <w:sz w:val="24"/>
                <w:highlight w:val="none"/>
              </w:rPr>
              <w:t xml:space="preserve">（小写）¥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r/>
          </w:p>
        </w:tc>
      </w:tr>
    </w:tbl>
    <w:p>
      <w:pPr>
        <w:spacing w:line="360" w:lineRule="auto"/>
        <w:rPr>
          <w:color w:val="auto"/>
          <w:sz w:val="24"/>
          <w:highlight w:val="none"/>
        </w:rPr>
      </w:pPr>
      <w:r>
        <w:rPr>
          <w:rFonts w:hint="eastAsia"/>
          <w:color w:val="auto"/>
          <w:sz w:val="24"/>
          <w:highlight w:val="none"/>
        </w:rPr>
        <w:t xml:space="preserve">   单价合同：合同有效期内单价固定不变，</w:t>
      </w:r>
      <w:r>
        <w:rPr>
          <w:rFonts w:hint="eastAsia"/>
          <w:color w:val="auto"/>
          <w:sz w:val="24"/>
          <w:highlight w:val="none"/>
          <w:u w:val="single"/>
        </w:rPr>
        <w:t xml:space="preserve">货物总价款为现场实际所用货物合价，即货物总价=单价*货物数量（货物数量以甲方确认的数量为准）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auto"/>
          <w:sz w:val="24"/>
          <w:highlight w:val="none"/>
        </w:rPr>
      </w:pPr>
      <w:r>
        <w:rPr>
          <w:rFonts w:hint="eastAsia"/>
          <w:b/>
          <w:color w:val="auto"/>
          <w:sz w:val="24"/>
          <w:highlight w:val="none"/>
        </w:rPr>
        <w:t xml:space="preserve">第二条  权利保证</w:t>
      </w:r>
      <w:r/>
    </w:p>
    <w:p>
      <w:pPr>
        <w:ind w:firstLine="480"/>
        <w:spacing w:line="360" w:lineRule="auto"/>
        <w:rPr>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auto"/>
          <w:sz w:val="24"/>
          <w:highlight w:val="none"/>
        </w:rPr>
      </w:pPr>
      <w:r>
        <w:rPr>
          <w:rFonts w:hint="eastAsia"/>
          <w:b/>
          <w:color w:val="auto"/>
          <w:sz w:val="24"/>
          <w:highlight w:val="none"/>
        </w:rPr>
        <w:t xml:space="preserve">第三条  质量保证</w:t>
      </w:r>
      <w:r/>
    </w:p>
    <w:p>
      <w:pPr>
        <w:ind w:firstLine="480"/>
        <w:spacing w:line="360" w:lineRule="auto"/>
        <w:rPr>
          <w:color w:val="auto"/>
          <w:sz w:val="24"/>
          <w:highlight w:val="none"/>
        </w:rPr>
      </w:pPr>
      <w:r>
        <w:rPr>
          <w:rFonts w:hint="eastAsia"/>
          <w:color w:val="auto"/>
          <w:sz w:val="24"/>
          <w:highlight w:val="none"/>
        </w:rPr>
        <w:t xml:space="preserve">1、乙方所提供的货物的技术规格应在满足甲方采购文件的前提下、与乙方投标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w:t>
      </w:r>
      <w:r>
        <w:rPr>
          <w:rFonts w:hint="eastAsia" w:ascii="宋体" w:hAnsi="宋体" w:cs="宋体"/>
          <w:b/>
          <w:color w:val="auto"/>
          <w:sz w:val="24"/>
          <w:highlight w:val="none"/>
        </w:rPr>
        <w:t xml:space="preserve">质量标准：</w:t>
      </w:r>
      <w:r>
        <w:rPr>
          <w:rFonts w:ascii="宋体" w:hAnsi="宋体" w:eastAsia="宋体" w:cs="宋体"/>
          <w:color w:val="auto"/>
          <w:sz w:val="24"/>
          <w:highlight w:val="none"/>
          <w:u w:val="single"/>
        </w:rPr>
        <w:t xml:space="preserve">符合国家验收标准，一次性验收通过，100%合格。</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2、每一包装单元内应附详细的装箱单、质量合格凭证以及其他必需的相关材料。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1、供货期：</w:t>
      </w:r>
      <w:r>
        <w:rPr>
          <w:rFonts w:hint="eastAsia"/>
          <w:color w:val="auto"/>
          <w:sz w:val="24"/>
          <w:highlight w:val="none"/>
          <w:u w:val="single"/>
        </w:rPr>
        <w:t xml:space="preserve">                         </w:t>
      </w:r>
      <w:r/>
    </w:p>
    <w:p>
      <w:pPr>
        <w:ind w:firstLine="72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甲方收货联系人：</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color w:val="auto"/>
          <w:highlight w:val="none"/>
        </w:rPr>
      </w:pPr>
      <w:r>
        <w:rPr>
          <w:rFonts w:hint="eastAsia"/>
          <w:color w:val="auto"/>
          <w:sz w:val="24"/>
          <w:highlight w:val="none"/>
        </w:rPr>
        <w:t xml:space="preserve">3、货物和系统调试验收标准：根据国家有关规定、甲方采购文件</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w:t>
      </w:r>
      <w:r>
        <w:rPr>
          <w:rFonts w:hint="eastAsia"/>
          <w:color w:val="auto"/>
          <w:sz w:val="24"/>
          <w:highlight w:val="none"/>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color w:val="auto"/>
          <w:sz w:val="24"/>
          <w:highlight w:val="none"/>
        </w:rPr>
      </w:pPr>
      <w:r>
        <w:rPr>
          <w:color w:val="auto"/>
          <w:sz w:val="24"/>
          <w:highlight w:val="none"/>
        </w:rPr>
        <w:t xml:space="preserve">乙方应按</w:t>
      </w:r>
      <w:r>
        <w:rPr>
          <w:rFonts w:hint="eastAsia"/>
          <w:color w:val="auto"/>
          <w:sz w:val="24"/>
          <w:highlight w:val="none"/>
        </w:rPr>
        <w:t xml:space="preserve">采购</w:t>
      </w:r>
      <w:r>
        <w:rPr>
          <w:color w:val="auto"/>
          <w:sz w:val="24"/>
          <w:highlight w:val="none"/>
        </w:rPr>
        <w:t xml:space="preserve">文件、</w:t>
      </w:r>
      <w:r>
        <w:rPr>
          <w:rFonts w:hint="eastAsia"/>
          <w:color w:val="auto"/>
          <w:sz w:val="24"/>
          <w:highlight w:val="none"/>
        </w:rPr>
        <w:t xml:space="preserve">投标文件</w:t>
      </w:r>
      <w:r>
        <w:rPr>
          <w:color w:val="auto"/>
          <w:sz w:val="24"/>
          <w:highlight w:val="none"/>
        </w:rPr>
        <w:t xml:space="preserve">及乙方在询标、评标过程中做出的书面说明或承诺提供及时、快速、优质的</w:t>
      </w:r>
      <w:r>
        <w:rPr>
          <w:rFonts w:hint="eastAsia"/>
          <w:color w:val="auto"/>
          <w:sz w:val="24"/>
          <w:highlight w:val="none"/>
        </w:rPr>
        <w:t xml:space="preserve">伴随服务／售后服务</w:t>
      </w:r>
      <w:r>
        <w:rPr>
          <w:color w:val="auto"/>
          <w:sz w:val="24"/>
          <w:highlight w:val="none"/>
        </w:rPr>
        <w:t xml:space="preserve">。</w:t>
      </w:r>
      <w:r/>
    </w:p>
    <w:p>
      <w:pPr>
        <w:ind w:firstLine="480"/>
        <w:spacing w:line="360" w:lineRule="auto"/>
        <w:tabs>
          <w:tab w:val="left" w:pos="1620" w:leader="none"/>
        </w:tabs>
        <w:rPr>
          <w:color w:val="auto"/>
          <w:highlight w:val="none"/>
        </w:rPr>
      </w:pPr>
      <w:r>
        <w:rPr>
          <w:color w:val="auto"/>
          <w:sz w:val="24"/>
          <w:highlight w:val="none"/>
        </w:rPr>
        <w:t xml:space="preserve">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r/>
    </w:p>
    <w:p>
      <w:pPr>
        <w:ind w:firstLine="482"/>
        <w:spacing w:line="360" w:lineRule="auto"/>
        <w:rPr>
          <w:b/>
          <w:color w:val="auto"/>
          <w:sz w:val="24"/>
          <w:highlight w:val="none"/>
        </w:rPr>
      </w:pPr>
      <w:r>
        <w:rPr>
          <w:rFonts w:hint="eastAsia"/>
          <w:b/>
          <w:color w:val="auto"/>
          <w:sz w:val="24"/>
          <w:highlight w:val="none"/>
        </w:rPr>
        <w:t xml:space="preserve">第八条  货款支付</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合同签订后，货到安装完毕验收合格后，支付全部货款的90%，两年后质保到期，无质量问题，一次性无息付款剩余的10%货款。</w:t>
      </w:r>
      <w:r/>
    </w:p>
    <w:p>
      <w:pPr>
        <w:ind w:firstLine="482"/>
        <w:spacing w:line="360" w:lineRule="auto"/>
        <w:rPr>
          <w:b/>
          <w:color w:val="auto"/>
          <w:sz w:val="24"/>
          <w:highlight w:val="none"/>
        </w:rPr>
      </w:pPr>
      <w:r>
        <w:rPr>
          <w:rFonts w:hint="eastAsia"/>
          <w:b/>
          <w:color w:val="auto"/>
          <w:sz w:val="24"/>
          <w:highlight w:val="none"/>
        </w:rPr>
        <w:t xml:space="preserve">第九条　违约责任</w:t>
      </w:r>
      <w:r/>
    </w:p>
    <w:p>
      <w:pPr>
        <w:ind w:firstLine="480"/>
        <w:spacing w:line="360" w:lineRule="auto"/>
        <w:rPr>
          <w:color w:val="auto"/>
          <w:sz w:val="24"/>
          <w:highlight w:val="none"/>
        </w:rPr>
      </w:pPr>
      <w:r>
        <w:rPr>
          <w:rFonts w:hint="eastAsia"/>
          <w:color w:val="auto"/>
          <w:sz w:val="24"/>
          <w:highlight w:val="none"/>
        </w:rPr>
        <w:t xml:space="preserve">1、如乙方不能交付货物，应向甲方支付合同总价</w:t>
      </w:r>
      <w:r>
        <w:rPr>
          <w:color w:val="auto"/>
          <w:sz w:val="24"/>
          <w:highlight w:val="none"/>
        </w:rPr>
        <w:t xml:space="preserve">20</w:t>
      </w:r>
      <w:r>
        <w:rPr>
          <w:rFonts w:hint="eastAsia"/>
          <w:color w:val="auto"/>
          <w:sz w:val="24"/>
          <w:highlight w:val="none"/>
        </w:rPr>
        <w:t xml:space="preserve">%的违约金。 </w:t>
      </w:r>
      <w:r/>
    </w:p>
    <w:p>
      <w:pPr>
        <w:ind w:firstLine="480"/>
        <w:spacing w:line="360" w:lineRule="auto"/>
        <w:rPr>
          <w:color w:val="auto"/>
          <w:sz w:val="24"/>
          <w:highlight w:val="none"/>
        </w:rPr>
      </w:pPr>
      <w:r>
        <w:rPr>
          <w:rFonts w:hint="eastAsia"/>
          <w:color w:val="auto"/>
          <w:sz w:val="24"/>
          <w:highlight w:val="none"/>
        </w:rPr>
        <w:t xml:space="preserve">2、乙方逾期交付货物的，每逾期1天，乙方向甲方偿付</w:t>
      </w:r>
      <w:r>
        <w:rPr>
          <w:rFonts w:hint="eastAsia" w:ascii="宋体" w:hAnsi="宋体"/>
          <w:color w:val="auto"/>
          <w:sz w:val="24"/>
          <w:highlight w:val="none"/>
        </w:rPr>
        <w:t xml:space="preserve">2000元/天</w:t>
      </w:r>
      <w:r>
        <w:rPr>
          <w:rFonts w:hint="eastAsia" w:ascii="宋体" w:hAnsi="宋体"/>
          <w:color w:val="auto"/>
          <w:sz w:val="24"/>
          <w:highlight w:val="none"/>
          <w:lang w:val="en-US" w:eastAsia="zh-CN"/>
        </w:rPr>
        <w:t xml:space="preserve">的</w:t>
      </w:r>
      <w:r>
        <w:rPr>
          <w:rFonts w:hint="eastAsia"/>
          <w:color w:val="auto"/>
          <w:sz w:val="24"/>
          <w:highlight w:val="none"/>
        </w:rPr>
        <w:t xml:space="preserve">滞纳金。如乙方逾期交货达10天，甲方有权解除合同，解除合同的通知自到达乙方时生效。</w:t>
      </w:r>
      <w:r>
        <w:rPr>
          <w:color w:val="auto"/>
          <w:sz w:val="24"/>
          <w:highlight w:val="none"/>
        </w:rPr>
        <w:t xml:space="preserve">且甲方不承担任何责任</w:t>
      </w:r>
      <w:r>
        <w:rPr>
          <w:rFonts w:hint="eastAsia"/>
          <w:color w:val="auto"/>
          <w:sz w:val="24"/>
          <w:highlight w:val="none"/>
        </w:rPr>
        <w:t xml:space="preserve">。</w:t>
      </w:r>
      <w:r>
        <w:rPr>
          <w:color w:val="auto"/>
          <w:sz w:val="24"/>
          <w:highlight w:val="none"/>
        </w:rPr>
        <w:t xml:space="preserve">如甲方解除合同的</w:t>
      </w:r>
      <w:r>
        <w:rPr>
          <w:rFonts w:hint="eastAsia"/>
          <w:color w:val="auto"/>
          <w:sz w:val="24"/>
          <w:highlight w:val="none"/>
        </w:rPr>
        <w:t xml:space="preserve">，</w:t>
      </w:r>
      <w:r>
        <w:rPr>
          <w:color w:val="auto"/>
          <w:sz w:val="24"/>
          <w:highlight w:val="none"/>
        </w:rPr>
        <w:t xml:space="preserve">乙方应向甲方支付合同总价款</w:t>
      </w:r>
      <w:r>
        <w:rPr>
          <w:rFonts w:hint="eastAsia"/>
          <w:color w:val="auto"/>
          <w:sz w:val="24"/>
          <w:highlight w:val="none"/>
        </w:rPr>
        <w:t xml:space="preserve">2</w:t>
      </w:r>
      <w:r>
        <w:rPr>
          <w:color w:val="auto"/>
          <w:sz w:val="24"/>
          <w:highlight w:val="none"/>
        </w:rPr>
        <w:t xml:space="preserve">0</w:t>
      </w:r>
      <w:r>
        <w:rPr>
          <w:rFonts w:hint="eastAsia"/>
          <w:color w:val="auto"/>
          <w:sz w:val="24"/>
          <w:highlight w:val="none"/>
        </w:rPr>
        <w:t xml:space="preserve">%的违约金。</w:t>
      </w:r>
      <w:r/>
    </w:p>
    <w:p>
      <w:pPr>
        <w:ind w:firstLine="480"/>
        <w:spacing w:line="360" w:lineRule="auto"/>
        <w:rPr>
          <w:color w:val="auto"/>
          <w:sz w:val="24"/>
          <w:highlight w:val="none"/>
        </w:rPr>
      </w:pPr>
      <w:r>
        <w:rPr>
          <w:rFonts w:hint="eastAsia"/>
          <w:color w:val="auto"/>
          <w:sz w:val="24"/>
          <w:highlight w:val="none"/>
        </w:rPr>
        <w:t xml:space="preserve">3、乙方所交付的数量不符合合同</w:t>
      </w:r>
      <w:r>
        <w:rPr>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color w:val="auto"/>
          <w:sz w:val="24"/>
          <w:highlight w:val="none"/>
        </w:rPr>
      </w:pPr>
      <w:r>
        <w:rPr>
          <w:color w:val="auto"/>
          <w:sz w:val="24"/>
          <w:highlight w:val="none"/>
        </w:rPr>
        <w:t xml:space="preserve">如乙方交付的货物质量不符合约定的</w:t>
      </w:r>
      <w:r>
        <w:rPr>
          <w:rFonts w:hint="eastAsia"/>
          <w:color w:val="auto"/>
          <w:sz w:val="24"/>
          <w:highlight w:val="none"/>
        </w:rPr>
        <w:t xml:space="preserve">，甲方有权拒收或要求</w:t>
      </w:r>
      <w:r>
        <w:rPr>
          <w:color w:val="auto"/>
          <w:sz w:val="24"/>
          <w:highlight w:val="none"/>
        </w:rPr>
        <w:t xml:space="preserve">乙方立即整改至验收合格的标准</w:t>
      </w:r>
      <w:r>
        <w:rPr>
          <w:rFonts w:hint="eastAsia"/>
          <w:color w:val="auto"/>
          <w:sz w:val="24"/>
          <w:highlight w:val="none"/>
        </w:rPr>
        <w:t xml:space="preserve">，</w:t>
      </w:r>
      <w:r>
        <w:rPr>
          <w:color w:val="auto"/>
          <w:sz w:val="24"/>
          <w:highlight w:val="none"/>
        </w:rPr>
        <w:t xml:space="preserve">同时乙方应向甲方支付货款总额</w:t>
      </w:r>
      <w:r>
        <w:rPr>
          <w:rFonts w:hint="eastAsia"/>
          <w:color w:val="auto"/>
          <w:sz w:val="24"/>
          <w:highlight w:val="none"/>
        </w:rPr>
        <w:t xml:space="preserve">5%的违约金。</w:t>
      </w:r>
      <w:r/>
    </w:p>
    <w:p>
      <w:pPr>
        <w:ind w:firstLine="480"/>
        <w:spacing w:line="360" w:lineRule="auto"/>
        <w:rPr>
          <w:color w:val="auto"/>
          <w:sz w:val="24"/>
          <w:highlight w:val="none"/>
        </w:rPr>
      </w:pPr>
      <w:r>
        <w:rPr>
          <w:rFonts w:hint="eastAsia"/>
          <w:color w:val="auto"/>
          <w:sz w:val="24"/>
          <w:highlight w:val="none"/>
        </w:rPr>
        <w:t xml:space="preserve">4、在乙方承诺的或国家规定的质量保证期内（取两者中最长的期限），如经乙方两次维修或更换，货物仍不能达到合同约定的质量标准，甲方有权退货，乙方应退回全部货款，并按第1款处理，同时，乙方还须赔偿甲方因此遭受的损失。 </w:t>
      </w:r>
      <w:r/>
    </w:p>
    <w:p>
      <w:pPr>
        <w:ind w:firstLine="480"/>
        <w:spacing w:line="360" w:lineRule="auto"/>
        <w:rPr>
          <w:color w:val="auto"/>
          <w:sz w:val="24"/>
          <w:highlight w:val="none"/>
        </w:rPr>
      </w:pPr>
      <w:r>
        <w:rPr>
          <w:rFonts w:hint="eastAsia"/>
          <w:color w:val="auto"/>
          <w:sz w:val="24"/>
          <w:highlight w:val="none"/>
        </w:rPr>
        <w:t xml:space="preserve">5、乙方未按本合同的规定提供伴随服务/售后服务的，应按合同总价款的1%向甲方承担违约责任。 </w:t>
      </w:r>
      <w:r/>
    </w:p>
    <w:p>
      <w:pPr>
        <w:ind w:firstLine="482"/>
        <w:spacing w:line="360" w:lineRule="auto"/>
        <w:rPr>
          <w:b/>
          <w:color w:val="auto"/>
          <w:sz w:val="24"/>
          <w:highlight w:val="none"/>
        </w:rPr>
      </w:pPr>
      <w:r>
        <w:rPr>
          <w:rFonts w:hint="eastAsia"/>
          <w:b/>
          <w:color w:val="auto"/>
          <w:sz w:val="24"/>
          <w:highlight w:val="none"/>
        </w:rPr>
        <w:t xml:space="preserve">第十条  不可抗力</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b/>
          <w:color w:val="auto"/>
          <w:sz w:val="24"/>
          <w:highlight w:val="none"/>
        </w:rPr>
      </w:pPr>
      <w:r>
        <w:rPr>
          <w:rFonts w:hint="eastAsia"/>
          <w:b/>
          <w:color w:val="auto"/>
          <w:sz w:val="24"/>
          <w:highlight w:val="none"/>
        </w:rPr>
        <w:t xml:space="preserve">第十一条 合同组成</w:t>
      </w:r>
      <w:r/>
    </w:p>
    <w:p>
      <w:pPr>
        <w:ind w:firstLine="480"/>
        <w:spacing w:line="360" w:lineRule="auto"/>
        <w:rPr>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投标文件、中标通知书；标准、规范及有关技术文件、技术要求；以及产品使用说明书、保修卡、合格证(随机送达)，以上均视为本合同的组成部分。</w:t>
      </w:r>
      <w:r/>
    </w:p>
    <w:p>
      <w:pPr>
        <w:ind w:firstLine="482"/>
        <w:spacing w:line="360" w:lineRule="auto"/>
        <w:rPr>
          <w:b/>
          <w:color w:val="auto"/>
          <w:sz w:val="24"/>
          <w:highlight w:val="none"/>
        </w:rPr>
      </w:pPr>
      <w:r>
        <w:rPr>
          <w:rFonts w:hint="eastAsia"/>
          <w:b/>
          <w:color w:val="auto"/>
          <w:sz w:val="24"/>
          <w:highlight w:val="none"/>
        </w:rPr>
        <w:t xml:space="preserve">第十二条　合同的变更和终止</w:t>
      </w:r>
      <w:r/>
    </w:p>
    <w:p>
      <w:pPr>
        <w:ind w:firstLine="480"/>
        <w:spacing w:line="360" w:lineRule="auto"/>
        <w:rPr>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b/>
          <w:color w:val="auto"/>
          <w:sz w:val="24"/>
          <w:highlight w:val="none"/>
        </w:rPr>
      </w:pPr>
      <w:r>
        <w:rPr>
          <w:rFonts w:hint="eastAsia"/>
          <w:b/>
          <w:color w:val="auto"/>
          <w:sz w:val="24"/>
          <w:highlight w:val="none"/>
        </w:rPr>
        <w:t xml:space="preserve">第十三条　合同的转让</w:t>
      </w:r>
      <w:r/>
    </w:p>
    <w:p>
      <w:pPr>
        <w:ind w:firstLine="480"/>
        <w:spacing w:line="360" w:lineRule="auto"/>
        <w:rPr>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b/>
          <w:color w:val="auto"/>
          <w:sz w:val="24"/>
          <w:highlight w:val="none"/>
        </w:rPr>
      </w:pPr>
      <w:r>
        <w:rPr>
          <w:rFonts w:hint="eastAsia"/>
          <w:b/>
          <w:color w:val="auto"/>
          <w:sz w:val="24"/>
          <w:highlight w:val="none"/>
        </w:rPr>
        <w:t xml:space="preserve">第十四条  争议的解决</w:t>
      </w:r>
      <w:r/>
    </w:p>
    <w:p>
      <w:pPr>
        <w:ind w:firstLine="480"/>
        <w:spacing w:line="360" w:lineRule="auto"/>
        <w:rPr>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auto"/>
          <w:sz w:val="24"/>
          <w:highlight w:val="none"/>
        </w:rPr>
      </w:pPr>
      <w:r>
        <w:rPr>
          <w:rFonts w:hint="eastAsia"/>
          <w:b/>
          <w:color w:val="auto"/>
          <w:sz w:val="24"/>
          <w:highlight w:val="none"/>
        </w:rPr>
        <w:t xml:space="preserve">第十五条  合同生效及其他</w:t>
      </w:r>
      <w:r/>
    </w:p>
    <w:p>
      <w:pPr>
        <w:ind w:firstLine="480"/>
        <w:spacing w:line="360" w:lineRule="auto"/>
        <w:rPr>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color w:val="auto"/>
          <w:sz w:val="24"/>
          <w:highlight w:val="none"/>
        </w:rPr>
      </w:pPr>
      <w:r>
        <w:rPr>
          <w:rFonts w:hint="eastAsia"/>
          <w:color w:val="auto"/>
          <w:sz w:val="24"/>
          <w:highlight w:val="none"/>
        </w:rPr>
        <w:t xml:space="preserve">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份，具同等法律效力。</w:t>
      </w:r>
      <w:r/>
    </w:p>
    <w:p>
      <w:pPr>
        <w:ind w:firstLine="480"/>
        <w:spacing w:line="360" w:lineRule="auto"/>
        <w:rPr>
          <w:color w:val="auto"/>
          <w:sz w:val="24"/>
          <w:highlight w:val="none"/>
        </w:rPr>
      </w:pPr>
      <w:r>
        <w:rPr>
          <w:rFonts w:hint="eastAsia"/>
          <w:color w:val="auto"/>
          <w:sz w:val="24"/>
          <w:highlight w:val="none"/>
        </w:rPr>
        <w:t xml:space="preserve">3、双方需补充的其他事项</w:t>
      </w:r>
      <w:r>
        <w:rPr>
          <w:color w:val="auto"/>
          <w:sz w:val="24"/>
          <w:highlight w:val="none"/>
          <w:u w:val="single"/>
        </w:rPr>
        <w:t xml:space="preserve">                                        </w:t>
      </w:r>
      <w:r>
        <w:rPr>
          <w:rFonts w:hint="eastAsia"/>
          <w:color w:val="auto"/>
          <w:sz w:val="24"/>
          <w:highlight w:val="none"/>
        </w:rPr>
        <w:t xml:space="preserve">。</w:t>
      </w:r>
      <w:r/>
    </w:p>
    <w:p>
      <w:pPr>
        <w:spacing w:line="360" w:lineRule="auto"/>
        <w:rPr>
          <w:color w:val="auto"/>
          <w:sz w:val="24"/>
          <w:highlight w:val="none"/>
        </w:rPr>
      </w:pPr>
      <w:r/>
      <w:bookmarkStart w:id="4" w:name="_Hlk68891964"/>
      <w:r/>
      <w:r/>
    </w:p>
    <w:p>
      <w:pPr>
        <w:ind w:firstLine="560"/>
        <w:spacing w:line="360" w:lineRule="auto"/>
        <w:rPr>
          <w:color w:val="auto"/>
          <w:sz w:val="24"/>
          <w:highlight w:val="none"/>
        </w:rPr>
      </w:pPr>
      <w:r>
        <w:rPr>
          <w:rFonts w:hint="eastAsia"/>
          <w:color w:val="auto"/>
          <w:sz w:val="24"/>
          <w:highlight w:val="none"/>
        </w:rPr>
        <w:t xml:space="preserve">甲方（盖章）：                   乙方（盖章）：    </w:t>
      </w:r>
      <w:r/>
    </w:p>
    <w:p>
      <w:pPr>
        <w:ind w:firstLine="540"/>
        <w:spacing w:line="360" w:lineRule="auto"/>
        <w:rPr>
          <w:color w:val="auto"/>
          <w:sz w:val="24"/>
          <w:highlight w:val="none"/>
        </w:rPr>
      </w:pPr>
      <w:r>
        <w:rPr>
          <w:rFonts w:hint="eastAsia"/>
          <w:color w:val="auto"/>
          <w:sz w:val="24"/>
          <w:highlight w:val="none"/>
        </w:rPr>
        <w:t xml:space="preserve">单位地址：                       单位地址： </w:t>
      </w:r>
      <w:r/>
    </w:p>
    <w:p>
      <w:pPr>
        <w:ind w:firstLine="560"/>
        <w:spacing w:line="360" w:lineRule="auto"/>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r/>
    </w:p>
    <w:p>
      <w:pPr>
        <w:ind w:firstLine="560"/>
        <w:spacing w:line="360" w:lineRule="auto"/>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r/>
    </w:p>
    <w:p>
      <w:pPr>
        <w:ind w:firstLine="560"/>
        <w:spacing w:line="360" w:lineRule="auto"/>
        <w:rPr>
          <w:color w:val="auto"/>
          <w:sz w:val="24"/>
          <w:highlight w:val="none"/>
        </w:rPr>
      </w:pPr>
      <w:r>
        <w:rPr>
          <w:rFonts w:hint="eastAsia"/>
          <w:color w:val="auto"/>
          <w:sz w:val="24"/>
          <w:highlight w:val="none"/>
        </w:rPr>
        <w:t xml:space="preserve">电话：                           电话：                          </w:t>
      </w:r>
      <w:r/>
    </w:p>
    <w:p>
      <w:pPr>
        <w:ind w:firstLine="720"/>
        <w:rPr>
          <w:rFonts w:hint="eastAsia" w:ascii="宋体" w:hAnsi="宋体" w:cs="宋体"/>
          <w:b/>
          <w:color w:val="auto"/>
          <w:sz w:val="44"/>
          <w:szCs w:val="44"/>
          <w:highlight w:val="none"/>
        </w:rPr>
      </w:pPr>
      <w:r>
        <w:rPr>
          <w:rFonts w:hint="eastAsia"/>
          <w:color w:val="auto"/>
          <w:sz w:val="24"/>
          <w:highlight w:val="none"/>
        </w:rPr>
        <w:t xml:space="preserve">日期：   年     月    日         日期：   年     月    日   </w:t>
      </w:r>
      <w:bookmarkEnd w:id="4"/>
      <w:r>
        <w:rPr>
          <w:rFonts w:hint="eastAsia" w:ascii="宋体" w:hAnsi="宋体" w:cs="宋体"/>
          <w:b/>
          <w:color w:val="auto"/>
          <w:sz w:val="44"/>
          <w:szCs w:val="44"/>
          <w:highlight w:val="none"/>
        </w:rPr>
        <w:br w:type="page" w:clear="all"/>
      </w:r>
      <w:r/>
    </w:p>
    <w:p>
      <w:pPr>
        <w:pStyle w:val="669"/>
        <w:jc w:val="center"/>
        <w:keepLines/>
        <w:keepNext/>
        <w:pageBreakBefore w:val="0"/>
        <w:spacing w:before="240" w:after="240"/>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 xml:space="preserve">第五部分．附件（投标文件格式）</w:t>
      </w:r>
      <w:r/>
    </w:p>
    <w:p>
      <w:pPr>
        <w:spacing w:line="360" w:lineRule="auto"/>
        <w:rPr>
          <w:rFonts w:hint="eastAsia" w:ascii="宋体" w:hAnsi="宋体" w:cs="宋体"/>
          <w:b/>
          <w:color w:val="auto"/>
          <w:sz w:val="48"/>
          <w:szCs w:val="20"/>
          <w:highlight w:val="none"/>
          <w:u w:val="single"/>
        </w:rPr>
      </w:pPr>
      <w:r>
        <w:rPr>
          <w:rFonts w:hint="eastAsia" w:ascii="宋体" w:hAnsi="宋体" w:cs="宋体"/>
          <w:b/>
          <w:color w:val="auto"/>
          <w:sz w:val="48"/>
          <w:szCs w:val="20"/>
          <w:highlight w:val="none"/>
          <w:u w:val="single"/>
        </w:rPr>
      </w:r>
      <w:r/>
    </w:p>
    <w:p>
      <w:pPr>
        <w:jc w:val="center"/>
        <w:spacing w:line="360" w:lineRule="auto"/>
        <w:rPr>
          <w:rFonts w:hint="eastAsia" w:ascii="宋体" w:hAnsi="宋体" w:cs="宋体"/>
          <w:b/>
          <w:color w:val="auto"/>
          <w:sz w:val="48"/>
          <w:szCs w:val="20"/>
          <w:highlight w:val="none"/>
          <w:u w:val="single"/>
        </w:rPr>
      </w:pPr>
      <w:r>
        <w:rPr>
          <w:rFonts w:hint="eastAsia" w:ascii="宋体" w:hAnsi="宋体" w:cs="宋体"/>
          <w:b/>
          <w:color w:val="auto"/>
          <w:sz w:val="48"/>
          <w:szCs w:val="20"/>
          <w:highlight w:val="none"/>
          <w:u w:val="singl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u w:val="single"/>
        </w:rPr>
        <w:t xml:space="preserve">                </w:t>
      </w:r>
      <w:r>
        <w:rPr>
          <w:rFonts w:hint="eastAsia" w:ascii="宋体" w:hAnsi="宋体" w:cs="宋体"/>
          <w:b/>
          <w:color w:val="auto"/>
          <w:sz w:val="48"/>
          <w:szCs w:val="20"/>
          <w:highlight w:val="none"/>
        </w:rPr>
        <w:t xml:space="preserve">公开招标</w:t>
      </w:r>
      <w:r/>
    </w:p>
    <w:p>
      <w:pPr>
        <w:jc w:val="cente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投标文件</w:t>
      </w:r>
      <w:r/>
    </w:p>
    <w:p>
      <w:pP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jc w:val="center"/>
        <w:spacing w:line="360" w:lineRule="auto"/>
        <w:rPr>
          <w:rFonts w:hint="eastAsia" w:ascii="宋体" w:hAnsi="宋体" w:cs="宋体"/>
          <w:b/>
          <w:color w:val="auto"/>
          <w:sz w:val="48"/>
          <w:szCs w:val="20"/>
          <w:highlight w:val="none"/>
        </w:rPr>
      </w:pPr>
      <w:r>
        <w:rPr>
          <w:rFonts w:hint="eastAsia" w:ascii="宋体" w:hAnsi="宋体" w:cs="宋体"/>
          <w:b/>
          <w:color w:val="auto"/>
          <w:sz w:val="48"/>
          <w:szCs w:val="20"/>
          <w:highlight w:val="none"/>
        </w:rPr>
      </w:r>
      <w:r/>
    </w:p>
    <w:p>
      <w:pPr>
        <w:spacing w:line="360" w:lineRule="auto"/>
        <w:rPr>
          <w:rFonts w:hint="eastAsia" w:ascii="宋体" w:hAnsi="宋体" w:cs="宋体"/>
          <w:b/>
          <w:color w:val="auto"/>
          <w:sz w:val="28"/>
          <w:szCs w:val="20"/>
          <w:highlight w:val="none"/>
          <w:u w:val="single"/>
        </w:rPr>
      </w:pPr>
      <w:r>
        <w:rPr>
          <w:rFonts w:hint="eastAsia" w:ascii="宋体" w:hAnsi="宋体" w:cs="宋体"/>
          <w:b/>
          <w:color w:val="auto"/>
          <w:sz w:val="28"/>
          <w:szCs w:val="20"/>
          <w:highlight w:val="none"/>
        </w:rPr>
        <w:t xml:space="preserve">采购编号：</w:t>
      </w:r>
      <w:r>
        <w:rPr>
          <w:rFonts w:hint="eastAsia" w:ascii="宋体" w:hAnsi="宋体" w:cs="宋体"/>
          <w:b/>
          <w:color w:val="auto"/>
          <w:sz w:val="28"/>
          <w:szCs w:val="20"/>
          <w:highlight w:val="none"/>
          <w:u w:val="single"/>
        </w:rPr>
        <w:t xml:space="preserve">                                              </w:t>
      </w:r>
      <w:r/>
    </w:p>
    <w:p>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28"/>
          <w:szCs w:val="20"/>
          <w:highlight w:val="none"/>
        </w:rPr>
        <w:t xml:space="preserve">项目</w:t>
      </w:r>
      <w:r>
        <w:rPr>
          <w:rFonts w:hint="eastAsia" w:ascii="宋体" w:hAnsi="宋体" w:cs="宋体"/>
          <w:b/>
          <w:color w:val="auto"/>
          <w:sz w:val="30"/>
          <w:szCs w:val="20"/>
          <w:highlight w:val="none"/>
        </w:rPr>
        <w:t xml:space="preserve">名称：</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r/>
    </w:p>
    <w:p>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30"/>
          <w:szCs w:val="20"/>
          <w:highlight w:val="none"/>
        </w:rPr>
        <w:t xml:space="preserve">投标供应商：</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（盖公章）</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 xml:space="preserve">法定代表人或</w:t>
      </w:r>
      <w:r/>
    </w:p>
    <w:p>
      <w:pPr>
        <w:spacing w:line="360" w:lineRule="auto"/>
        <w:rPr>
          <w:rFonts w:hint="eastAsia" w:ascii="宋体" w:hAnsi="宋体" w:cs="宋体"/>
          <w:b/>
          <w:color w:val="auto"/>
          <w:sz w:val="30"/>
          <w:szCs w:val="20"/>
          <w:highlight w:val="none"/>
          <w:u w:val="single"/>
        </w:rPr>
      </w:pPr>
      <w:r>
        <w:rPr>
          <w:rFonts w:hint="eastAsia" w:ascii="宋体" w:hAnsi="宋体" w:cs="宋体"/>
          <w:b/>
          <w:color w:val="auto"/>
          <w:sz w:val="30"/>
          <w:szCs w:val="20"/>
          <w:highlight w:val="none"/>
        </w:rPr>
        <w:t xml:space="preserve">其委托代理人：</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（签字或盖章）</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t xml:space="preserve">日  期：</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年</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月</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日</w:t>
      </w:r>
      <w:r/>
    </w:p>
    <w:p>
      <w:pPr>
        <w:spacing w:line="360" w:lineRule="auto"/>
        <w:rPr>
          <w:rFonts w:hint="eastAsia" w:ascii="宋体" w:hAnsi="宋体" w:cs="宋体"/>
          <w:b/>
          <w:color w:val="auto"/>
          <w:sz w:val="30"/>
          <w:szCs w:val="20"/>
          <w:highlight w:val="none"/>
        </w:rPr>
      </w:pPr>
      <w:r>
        <w:rPr>
          <w:rFonts w:hint="eastAsia" w:ascii="宋体" w:hAnsi="宋体" w:cs="宋体"/>
          <w:b/>
          <w:color w:val="auto"/>
          <w:sz w:val="30"/>
          <w:szCs w:val="20"/>
          <w:highlight w:val="none"/>
        </w:rPr>
      </w:r>
      <w:r/>
    </w:p>
    <w:p>
      <w:pPr>
        <w:spacing w:line="360" w:lineRule="auto"/>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br w:type="page" w:clear="all"/>
      </w:r>
      <w:r>
        <w:rPr>
          <w:rFonts w:hint="eastAsia" w:ascii="宋体" w:hAnsi="宋体" w:cs="宋体"/>
          <w:b/>
          <w:bCs w:val="0"/>
          <w:color w:val="auto"/>
          <w:sz w:val="24"/>
          <w:highlight w:val="none"/>
        </w:rPr>
        <w:t xml:space="preserve">（一）投标函（格式）</w:t>
      </w:r>
      <w:r/>
    </w:p>
    <w:p>
      <w:pPr>
        <w:jc w:val="center"/>
        <w:spacing w:before="4"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投标函</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致：江苏万达工程造价事务所有限公司</w:t>
      </w:r>
      <w:r/>
    </w:p>
    <w:p>
      <w:pPr>
        <w:ind w:firstLine="480"/>
        <w:spacing w:line="324" w:lineRule="auto"/>
        <w:rPr>
          <w:rFonts w:hint="eastAsia" w:ascii="宋体" w:hAnsi="宋体" w:cs="宋体"/>
          <w:b/>
          <w:color w:val="auto"/>
          <w:sz w:val="24"/>
          <w:highlight w:val="none"/>
        </w:rPr>
      </w:pPr>
      <w:r>
        <w:rPr>
          <w:rFonts w:hint="eastAsia" w:ascii="宋体" w:hAnsi="宋体" w:cs="宋体"/>
          <w:color w:val="auto"/>
          <w:sz w:val="24"/>
          <w:highlight w:val="none"/>
        </w:rPr>
        <w:t xml:space="preserve">一、根据已收到的采购编号为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（采购项目名称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hint="eastAsia" w:ascii="宋体" w:hAnsi="宋体" w:cs="宋体"/>
          <w:bCs/>
          <w:color w:val="auto"/>
          <w:sz w:val="24"/>
          <w:highlight w:val="none"/>
        </w:rPr>
      </w:pPr>
      <w:r>
        <w:rPr>
          <w:rFonts w:hint="eastAsia" w:ascii="宋体" w:hAnsi="宋体" w:cs="宋体"/>
          <w:color w:val="auto"/>
          <w:sz w:val="24"/>
          <w:highlight w:val="none"/>
        </w:rPr>
        <w:t xml:space="preserve">二、我方愿意提供江苏万达工程造价事务所有限公司在招标文件中要求的文件、资料。</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我方同意按招标文件中的规定，本投标文件投标的有效期限为投标截止日期之日起90天</w:t>
      </w:r>
      <w:r>
        <w:rPr>
          <w:rFonts w:hint="eastAsia" w:ascii="宋体" w:hAnsi="宋体" w:cs="宋体"/>
          <w:color w:val="auto"/>
          <w:sz w:val="24"/>
          <w:highlight w:val="none"/>
        </w:rPr>
        <w:t xml:space="preserve">。</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四、如果我方的投标文件被接受，我方将履行招标文件中规定的每一项要求，按期、按质、按量，完成服务。</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五、我方认为你们有权决定中标供应商。</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七、我方认可并保证遵守招标文件的所有规定，放弃对招标文件提出质疑的权利。</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投标供应商：（盖章）</w:t>
      </w:r>
      <w:r/>
    </w:p>
    <w:p>
      <w:pPr>
        <w:spacing w:before="4"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法定代表人或其授权代表</w:t>
      </w:r>
      <w:r>
        <w:rPr>
          <w:rFonts w:hint="eastAsia" w:ascii="宋体" w:hAnsi="宋体" w:cs="宋体"/>
          <w:color w:val="auto"/>
          <w:sz w:val="24"/>
          <w:highlight w:val="none"/>
        </w:rPr>
        <w:t xml:space="preserve">：（签字或盖章）</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电话：                   传真：</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地址：                   邮编：</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开户名称：</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开户账号：</w:t>
      </w:r>
      <w:r/>
    </w:p>
    <w:p>
      <w:pPr>
        <w:rPr>
          <w:rFonts w:hint="eastAsia" w:ascii="宋体" w:hAnsi="宋体" w:cs="宋体"/>
          <w:bCs/>
          <w:color w:val="auto"/>
          <w:sz w:val="28"/>
          <w:szCs w:val="28"/>
          <w:highlight w:val="none"/>
        </w:rPr>
        <w:outlineLvl w:val="0"/>
      </w:pPr>
      <w:r>
        <w:rPr>
          <w:rFonts w:ascii="宋体" w:hAnsi="宋体" w:cs="宋体"/>
          <w:bCs/>
          <w:color w:val="auto"/>
          <w:sz w:val="24"/>
          <w:highlight w:val="none"/>
        </w:rPr>
        <w:br w:type="page" w:clear="all"/>
      </w:r>
      <w:r>
        <w:rPr>
          <w:rFonts w:hint="eastAsia" w:ascii="宋体" w:hAnsi="宋体" w:cs="宋体"/>
          <w:b/>
          <w:bCs w:val="0"/>
          <w:color w:val="auto"/>
          <w:sz w:val="24"/>
          <w:highlight w:val="none"/>
        </w:rPr>
        <w:t xml:space="preserve">（二）关于资格的声明函(格式)</w:t>
      </w:r>
      <w:r/>
    </w:p>
    <w:p>
      <w:pPr>
        <w:rPr>
          <w:rFonts w:hint="eastAsia" w:ascii="宋体" w:hAnsi="宋体" w:cs="宋体"/>
          <w:bCs/>
          <w:color w:val="auto"/>
          <w:sz w:val="36"/>
          <w:highlight w:val="none"/>
        </w:rPr>
      </w:pPr>
      <w:r>
        <w:rPr>
          <w:rFonts w:hint="eastAsia" w:ascii="宋体" w:hAnsi="宋体" w:cs="宋体"/>
          <w:bCs/>
          <w:color w:val="auto"/>
          <w:sz w:val="36"/>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关于资格的声明函</w:t>
      </w:r>
      <w:r/>
    </w:p>
    <w:p>
      <w:pPr>
        <w:jc w:val="left"/>
        <w:rPr>
          <w:rFonts w:hint="eastAsia" w:ascii="宋体" w:hAnsi="宋体" w:cs="宋体"/>
          <w:bCs/>
          <w:color w:val="auto"/>
          <w:sz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highlight w:val="none"/>
        </w:rPr>
        <w:t xml:space="preserve">                                   </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江苏万达工程造价事务所有限公司：</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我公司(单位)愿针对本次项目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进行投标。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我公司符合《中华人民共和国政府采购法》第二十二条的规定，在此郑重承诺具备以下条件：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(一)具有独立承担民事责任的能力；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(二)具有良好的商业信誉和健全的财务会计制度；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(三)具有履行合同所必需的设备和专业技术能力；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(四)有依法缴纳税收和社会保障资金的良好记录；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(五)近三年内，在经营活动中没有重大违法记录；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(六)投标文件中所有关于投标资格的文件、证明、陈述均是真实的、准确的。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若有违背，我公司(单位)愿意承担由此而产生的一切后果。</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投标供应商</w:t>
      </w:r>
      <w:r>
        <w:rPr>
          <w:rFonts w:hint="eastAsia" w:ascii="宋体" w:hAnsi="宋体" w:cs="宋体"/>
          <w:bCs/>
          <w:color w:val="auto"/>
          <w:sz w:val="24"/>
          <w:highlight w:val="none"/>
        </w:rPr>
        <w:t xml:space="preserve">(盖章)：</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法定代表人或其授权代表(签字或盖章)：</w:t>
      </w:r>
      <w:r/>
    </w:p>
    <w:p>
      <w:pPr>
        <w:rPr>
          <w:rFonts w:hint="eastAsia" w:ascii="宋体" w:hAnsi="宋体" w:cs="宋体"/>
          <w:bCs/>
          <w:color w:val="auto"/>
          <w:sz w:val="32"/>
          <w:szCs w:val="32"/>
          <w:highlight w:val="none"/>
        </w:rPr>
        <w:outlineLvl w:val="0"/>
      </w:pPr>
      <w:r>
        <w:rPr>
          <w:rFonts w:hint="eastAsia" w:ascii="宋体" w:hAnsi="宋体" w:cs="宋体"/>
          <w:bCs/>
          <w:color w:val="auto"/>
          <w:sz w:val="24"/>
          <w:highlight w:val="none"/>
        </w:rPr>
        <w:br w:type="page" w:clear="all"/>
      </w:r>
      <w:r>
        <w:rPr>
          <w:rFonts w:hint="eastAsia" w:ascii="宋体" w:hAnsi="宋体" w:cs="宋体"/>
          <w:b/>
          <w:bCs w:val="0"/>
          <w:color w:val="auto"/>
          <w:sz w:val="24"/>
          <w:highlight w:val="none"/>
        </w:rPr>
        <w:t xml:space="preserve">（三）法定代表人授权委托书(格式)：</w:t>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法定代表人授权委托书</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ascii="宋体" w:hAnsi="宋体" w:cs="宋体"/>
          <w:bCs/>
          <w:color w:val="auto"/>
          <w:sz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highlight w:val="none"/>
        </w:rPr>
        <w:t xml:space="preserve">政府采购编号： </w:t>
      </w:r>
      <w:r/>
    </w:p>
    <w:p>
      <w:pPr>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致：                              </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系中华人民共和国合法企业，特授权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代表我公司(单位)全权办理针对本项目的投标、参与开标、评标、签约等具体工作，并签署全部有关的文件、协议及合同。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我公司(单位)对被授权人的签名负全部责任。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被授权人情况：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姓名：         性别：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身份证件号码：                电话：</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被授权人(签字或盖章)：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jc w:val="righ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投标供应商</w:t>
      </w:r>
      <w:r>
        <w:rPr>
          <w:rFonts w:hint="eastAsia" w:ascii="宋体" w:hAnsi="宋体" w:cs="宋体"/>
          <w:bCs/>
          <w:color w:val="auto"/>
          <w:sz w:val="24"/>
          <w:highlight w:val="none"/>
        </w:rPr>
        <w:t xml:space="preserve">(盖章)：</w:t>
      </w:r>
      <w:r/>
    </w:p>
    <w:p>
      <w:pPr>
        <w:ind w:firstLine="480"/>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法定代表人(签字或盖章)：</w:t>
      </w:r>
      <w:r/>
    </w:p>
    <w:p>
      <w:pPr>
        <w:ind w:firstLine="480"/>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Cs/>
          <w:color w:val="auto"/>
          <w:sz w:val="24"/>
          <w:highlight w:val="none"/>
        </w:rPr>
      </w:pPr>
      <w:r>
        <w:rPr>
          <w:rFonts w:hint="eastAsia" w:ascii="宋体" w:hAnsi="宋体" w:cs="宋体"/>
          <w:b/>
          <w:bCs/>
          <w:color w:val="auto"/>
          <w:szCs w:val="21"/>
          <w:highlight w:val="none"/>
        </w:rPr>
        <w:t xml:space="preserve">说明：</w:t>
      </w:r>
      <w:r>
        <w:rPr>
          <w:rFonts w:hint="eastAsia" w:ascii="宋体" w:hAnsi="宋体" w:cs="宋体"/>
          <w:color w:val="auto"/>
          <w:szCs w:val="21"/>
          <w:highlight w:val="none"/>
        </w:rPr>
        <w:t xml:space="preserve">1、若投标供应商为事业单位或其他组织或分支机构(仅限招标文件注明允许分支机构投标的情形),则法定代表人处的签字人可为单位负责人。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auto"/>
          <w:szCs w:val="21"/>
          <w:highlight w:val="none"/>
        </w:rPr>
        <w:br w:type="page" w:clear="all"/>
      </w:r>
      <w:r/>
    </w:p>
    <w:p>
      <w:pPr>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投标供应商法定代表人身份证复印件：</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auto"/>
          <w:sz w:val="24"/>
          <w:highlight w:val="none"/>
        </w:rPr>
        <w:t xml:space="preserve"> </w:t>
      </w: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法定代表人授权代表身份证复印件：（</w:t>
      </w:r>
      <w:r>
        <w:rPr>
          <w:rFonts w:hint="eastAsia" w:ascii="宋体" w:hAnsi="宋体" w:cs="宋体"/>
          <w:b/>
          <w:bCs/>
          <w:color w:val="auto"/>
          <w:sz w:val="24"/>
          <w:highlight w:val="none"/>
        </w:rPr>
        <w:t xml:space="preserve">法定代表人亲自参与投标的除外）</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auto"/>
          <w:sz w:val="24"/>
          <w:highlight w:val="none"/>
        </w:rPr>
        <w:t xml:space="preserve"> </w:t>
      </w: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auto"/>
          <w:sz w:val="24"/>
          <w:highlight w:val="none"/>
        </w:rPr>
        <w:t xml:space="preserve"> </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8"/>
          <w:szCs w:val="28"/>
          <w:highlight w:val="none"/>
        </w:rPr>
        <w:outlineLvl w:val="0"/>
      </w:pPr>
      <w:r>
        <w:rPr>
          <w:rFonts w:ascii="宋体" w:hAnsi="宋体" w:cs="宋体"/>
          <w:bCs/>
          <w:color w:val="auto"/>
          <w:sz w:val="24"/>
          <w:highlight w:val="none"/>
        </w:rPr>
        <w:br w:type="page" w:clear="all"/>
      </w:r>
      <w:r>
        <w:rPr>
          <w:rFonts w:hint="eastAsia" w:ascii="宋体" w:hAnsi="宋体" w:cs="宋体"/>
          <w:b/>
          <w:bCs w:val="0"/>
          <w:color w:val="auto"/>
          <w:sz w:val="24"/>
          <w:highlight w:val="none"/>
        </w:rPr>
        <w:t xml:space="preserve">（四）承诺书(格式)</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承诺书</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（投标供应商名称）在此承诺：</w:t>
      </w:r>
      <w:r/>
    </w:p>
    <w:p>
      <w:pPr>
        <w:pStyle w:val="706"/>
        <w:ind w:firstLine="480"/>
        <w:jc w:val="both"/>
        <w:spacing w:before="0" w:beforeAutospacing="0" w:after="0" w:afterAutospacing="0" w:line="360" w:lineRule="auto"/>
        <w:rPr>
          <w:rFonts w:hint="eastAsia" w:cs="宋体"/>
          <w:color w:val="auto"/>
          <w:highlight w:val="none"/>
        </w:rPr>
      </w:pPr>
      <w:r>
        <w:rPr>
          <w:rFonts w:hint="eastAsia" w:cs="宋体"/>
          <w:color w:val="auto"/>
          <w:highlight w:val="none"/>
        </w:rPr>
        <w:t xml:space="preserve">我公司自愿参加贵单位（公司）</w:t>
      </w:r>
      <w:r>
        <w:rPr>
          <w:rFonts w:hint="eastAsia" w:cs="宋体"/>
          <w:color w:val="auto"/>
          <w:highlight w:val="none"/>
          <w:u w:val="single"/>
        </w:rPr>
        <w:t xml:space="preserve">                    </w:t>
      </w:r>
      <w:r>
        <w:rPr>
          <w:rFonts w:hint="eastAsia" w:cs="宋体"/>
          <w:color w:val="auto"/>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法定代表人或其授权代表签字或盖章：</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8"/>
          <w:szCs w:val="28"/>
          <w:highlight w:val="none"/>
        </w:rPr>
        <w:outlineLvl w:val="0"/>
      </w:pPr>
      <w:r>
        <w:rPr>
          <w:rFonts w:ascii="宋体" w:hAnsi="宋体" w:cs="宋体"/>
          <w:bCs/>
          <w:color w:val="auto"/>
          <w:sz w:val="24"/>
          <w:highlight w:val="none"/>
        </w:rPr>
        <w:br w:type="page" w:clear="all"/>
      </w:r>
      <w:r>
        <w:rPr>
          <w:rFonts w:hint="eastAsia" w:ascii="宋体" w:hAnsi="宋体" w:cs="宋体"/>
          <w:b/>
          <w:bCs w:val="0"/>
          <w:color w:val="auto"/>
          <w:sz w:val="24"/>
          <w:highlight w:val="none"/>
        </w:rPr>
        <w:t xml:space="preserve">（五）开标一览表（格式）</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开标一览表</w:t>
      </w:r>
      <w:r/>
    </w:p>
    <w:p>
      <w:pPr>
        <w:rPr>
          <w:rFonts w:hint="eastAsia" w:ascii="宋体" w:hAnsi="宋体"/>
          <w:color w:val="auto"/>
          <w:highlight w:val="none"/>
        </w:rPr>
      </w:pPr>
      <w:r>
        <w:rPr>
          <w:rFonts w:hint="eastAsia" w:ascii="宋体" w:hAnsi="宋体" w:cs="宋体"/>
          <w:color w:val="auto"/>
          <w:highlight w:val="none"/>
        </w:rPr>
        <w:t xml:space="preserve">投标供应商（公章）：                                 政府采购编号：</w:t>
      </w:r>
      <w:r/>
    </w:p>
    <w:tbl>
      <w:tblPr>
        <w:tblStyle w:val="679"/>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hint="eastAsia" w:ascii="宋体" w:hAnsi="宋体" w:cs="宋体"/>
                <w:b/>
                <w:color w:val="auto"/>
                <w:highlight w:val="none"/>
              </w:rPr>
            </w:pPr>
            <w:r>
              <w:rPr>
                <w:rFonts w:hint="eastAsia" w:ascii="宋体" w:hAnsi="宋体" w:cs="宋体"/>
                <w:b/>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hint="eastAsia" w:ascii="宋体" w:hAnsi="宋体" w:cs="宋体"/>
                <w:b/>
                <w:color w:val="auto"/>
                <w:highlight w:val="none"/>
              </w:rPr>
            </w:pPr>
            <w:r>
              <w:rPr>
                <w:rFonts w:hint="eastAsia" w:ascii="宋体" w:hAnsi="宋体" w:cs="宋体"/>
                <w:b/>
                <w:color w:val="auto"/>
                <w:highlight w:val="none"/>
              </w:rPr>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auto"/>
                <w:highlight w:val="none"/>
              </w:rPr>
            </w:pPr>
            <w:r>
              <w:rPr>
                <w:rFonts w:hint="eastAsia" w:ascii="宋体" w:hAnsi="宋体" w:cs="宋体"/>
                <w:b/>
                <w:color w:val="auto"/>
                <w:highlight w:val="none"/>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人民币(大写)：           元</w:t>
            </w:r>
            <w:r/>
          </w:p>
          <w:p>
            <w:pPr>
              <w:spacing w:line="300" w:lineRule="auto"/>
              <w:rPr>
                <w:rFonts w:hint="eastAsia" w:ascii="宋体" w:hAnsi="宋体" w:cs="宋体"/>
                <w:color w:val="auto"/>
                <w:highlight w:val="none"/>
              </w:rPr>
            </w:pPr>
            <w:r>
              <w:rPr>
                <w:rFonts w:hint="eastAsia" w:ascii="宋体" w:hAnsi="宋体" w:cs="宋体"/>
                <w:color w:val="auto"/>
                <w:highlight w:val="none"/>
              </w:rPr>
              <w:t xml:space="preserve">人民币(小写)：           元</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auto"/>
                <w:highlight w:val="none"/>
              </w:rPr>
            </w:pPr>
            <w:r>
              <w:rPr>
                <w:rFonts w:hint="eastAsia"/>
                <w:b/>
                <w:color w:val="auto"/>
                <w:highlight w:val="none"/>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auto"/>
                <w:highlight w:val="none"/>
              </w:rPr>
            </w:pPr>
            <w:r>
              <w:rPr>
                <w:rFonts w:hint="eastAsia" w:ascii="宋体" w:hAnsi="宋体" w:cs="宋体"/>
                <w:color w:val="auto"/>
                <w:highlight w:val="none"/>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auto"/>
                <w:highlight w:val="none"/>
              </w:rPr>
            </w:pPr>
            <w:r>
              <w:rPr>
                <w:rFonts w:hint="eastAsia"/>
                <w:b/>
                <w:color w:val="auto"/>
                <w:highlight w:val="none"/>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auto"/>
                <w:highlight w:val="none"/>
              </w:rPr>
            </w:pPr>
            <w:r>
              <w:rPr>
                <w:rFonts w:hint="eastAsia" w:ascii="宋体" w:hAnsi="宋体" w:cs="宋体"/>
                <w:color w:val="auto"/>
                <w:highlight w:val="none"/>
              </w:rPr>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auto"/>
                <w:highlight w:val="none"/>
              </w:rPr>
            </w:pPr>
            <w:r>
              <w:rPr>
                <w:rFonts w:hint="eastAsia"/>
                <w:b/>
                <w:color w:val="auto"/>
                <w:highlight w:val="none"/>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auto"/>
                <w:highlight w:val="none"/>
              </w:rPr>
            </w:pPr>
            <w:r>
              <w:rPr>
                <w:rFonts w:hint="eastAsia" w:ascii="宋体" w:hAnsi="宋体" w:cs="宋体"/>
                <w:color w:val="auto"/>
                <w:highlight w:val="none"/>
              </w:rPr>
              <w:t xml:space="preserve"> </w:t>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auto"/>
                <w:highlight w:val="none"/>
              </w:rPr>
            </w:pPr>
            <w:r>
              <w:rPr>
                <w:rFonts w:hint="eastAsia"/>
                <w:b/>
                <w:color w:val="auto"/>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auto"/>
                <w:highlight w:val="none"/>
              </w:rPr>
            </w:pPr>
            <w:r>
              <w:rPr>
                <w:rFonts w:hint="eastAsia" w:ascii="宋体" w:hAnsi="宋体" w:cs="宋体"/>
                <w:color w:val="auto"/>
                <w:highlight w:val="none"/>
              </w:rPr>
            </w:r>
            <w:r/>
          </w:p>
        </w:tc>
      </w:tr>
    </w:tbl>
    <w:p>
      <w:pPr>
        <w:spacing w:before="240"/>
        <w:rPr>
          <w:rFonts w:hint="eastAsia" w:ascii="宋体" w:hAnsi="宋体" w:cs="宋体"/>
          <w:color w:val="auto"/>
          <w:highlight w:val="none"/>
        </w:rPr>
      </w:pPr>
      <w:r>
        <w:rPr>
          <w:rFonts w:hint="eastAsia" w:ascii="宋体" w:hAnsi="宋体" w:cs="宋体"/>
          <w:color w:val="auto"/>
          <w:highlight w:val="none"/>
        </w:rPr>
        <w:t xml:space="preserve">法定代表人或授权委托人（签字或盖章）： </w:t>
      </w:r>
      <w:r>
        <w:rPr>
          <w:rFonts w:ascii="宋体" w:hAnsi="宋体" w:cs="宋体"/>
          <w:color w:val="auto"/>
          <w:highlight w:val="none"/>
        </w:rPr>
        <w:t xml:space="preserve">        </w:t>
      </w:r>
      <w:r>
        <w:rPr>
          <w:rFonts w:hint="eastAsia" w:ascii="宋体" w:hAnsi="宋体" w:cs="宋体"/>
          <w:color w:val="auto"/>
          <w:highlight w:val="none"/>
        </w:rPr>
        <w:t xml:space="preserve">  </w:t>
      </w:r>
      <w:r>
        <w:rPr>
          <w:rFonts w:ascii="宋体" w:hAnsi="宋体" w:cs="宋体"/>
          <w:color w:val="auto"/>
          <w:highlight w:val="none"/>
        </w:rPr>
        <w:t xml:space="preserve">      </w:t>
      </w:r>
      <w:r>
        <w:rPr>
          <w:rFonts w:hint="eastAsia" w:ascii="宋体" w:hAnsi="宋体" w:cs="宋体"/>
          <w:color w:val="auto"/>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b/>
          <w:bCs/>
          <w:color w:val="auto"/>
          <w:highlight w:val="none"/>
        </w:rPr>
      </w:pPr>
      <w:r>
        <w:rPr>
          <w:rFonts w:hint="eastAsia" w:ascii="宋体" w:hAnsi="宋体" w:cs="宋体"/>
          <w:b/>
          <w:bCs/>
          <w:color w:val="auto"/>
          <w:highlight w:val="none"/>
        </w:rPr>
        <w:t xml:space="preserve">填写说明：</w:t>
      </w:r>
      <w:r>
        <w:rPr>
          <w:rFonts w:hint="eastAsia" w:ascii="宋体" w:hAnsi="宋体"/>
          <w:color w:val="auto"/>
          <w:highlight w:val="none"/>
        </w:rPr>
        <w:t xml:space="preserve">开标</w:t>
      </w:r>
      <w:r>
        <w:rPr>
          <w:rFonts w:ascii="宋体" w:hAnsi="宋体"/>
          <w:color w:val="auto"/>
          <w:highlight w:val="none"/>
        </w:rPr>
        <w:t xml:space="preserve">一览表中的内容应与</w:t>
      </w:r>
      <w:r>
        <w:rPr>
          <w:rFonts w:hint="eastAsia" w:ascii="宋体" w:hAnsi="宋体"/>
          <w:color w:val="auto"/>
          <w:highlight w:val="none"/>
        </w:rPr>
        <w:t xml:space="preserve">投标</w:t>
      </w:r>
      <w:r>
        <w:rPr>
          <w:rFonts w:ascii="宋体" w:hAnsi="宋体"/>
          <w:color w:val="auto"/>
          <w:highlight w:val="none"/>
        </w:rPr>
        <w:t xml:space="preserve">函内容一致，否则评标时一律按</w:t>
      </w:r>
      <w:r>
        <w:rPr>
          <w:rFonts w:hint="eastAsia" w:ascii="宋体" w:hAnsi="宋体"/>
          <w:color w:val="auto"/>
          <w:highlight w:val="none"/>
        </w:rPr>
        <w:t xml:space="preserve">开标</w:t>
      </w:r>
      <w:r>
        <w:rPr>
          <w:rFonts w:ascii="宋体" w:hAnsi="宋体"/>
          <w:color w:val="auto"/>
          <w:highlight w:val="none"/>
        </w:rPr>
        <w:t xml:space="preserve">一览表中内容为准，</w:t>
      </w:r>
      <w:r>
        <w:rPr>
          <w:rFonts w:hint="eastAsia" w:ascii="宋体" w:hAnsi="宋体"/>
          <w:color w:val="auto"/>
          <w:highlight w:val="none"/>
        </w:rPr>
        <w:t xml:space="preserve">开标</w:t>
      </w:r>
      <w:r>
        <w:rPr>
          <w:rFonts w:ascii="宋体" w:hAnsi="宋体"/>
          <w:color w:val="auto"/>
          <w:highlight w:val="none"/>
        </w:rPr>
        <w:t xml:space="preserve">一览表中必须盖章或签字</w:t>
      </w:r>
      <w:r>
        <w:rPr>
          <w:rFonts w:hint="eastAsia" w:ascii="宋体" w:hAnsi="宋体"/>
          <w:color w:val="auto"/>
          <w:highlight w:val="none"/>
        </w:rPr>
        <w:t xml:space="preserve">。</w:t>
      </w:r>
      <w:r/>
    </w:p>
    <w:p>
      <w:pPr>
        <w:ind w:firstLine="6120"/>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b/>
          <w:bCs/>
          <w:color w:val="auto"/>
          <w:highlight w:val="none"/>
        </w:rPr>
      </w:pPr>
      <w:r>
        <w:rPr>
          <w:b/>
          <w:bCs/>
          <w:color w:val="auto"/>
          <w:highlight w:val="none"/>
        </w:rPr>
      </w:r>
      <w:r/>
    </w:p>
    <w:p>
      <w:pPr>
        <w:rPr>
          <w:rFonts w:hint="eastAsia" w:ascii="宋体" w:hAnsi="宋体" w:cs="宋体"/>
          <w:bCs/>
          <w:color w:val="auto"/>
          <w:sz w:val="24"/>
          <w:highlight w:val="none"/>
        </w:rPr>
        <w:outlineLvl w:val="0"/>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（六）明细报价表（格式）</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明细报价表</w:t>
      </w:r>
      <w:r/>
    </w:p>
    <w:p>
      <w:pPr>
        <w:ind w:firstLine="480"/>
        <w:spacing w:line="360" w:lineRule="auto"/>
        <w:rPr>
          <w:rFonts w:ascii="黑体" w:eastAsia="黑体"/>
          <w:bCs/>
          <w:color w:val="auto"/>
          <w:sz w:val="24"/>
          <w:highlight w:val="none"/>
        </w:rPr>
      </w:pPr>
      <w:r>
        <w:rPr>
          <w:rFonts w:hint="eastAsia" w:ascii="黑体" w:eastAsia="黑体"/>
          <w:bCs/>
          <w:color w:val="auto"/>
          <w:sz w:val="24"/>
          <w:highlight w:val="none"/>
        </w:rPr>
        <w:t xml:space="preserve">投标供应商名称（盖章）                                 采购项目编号：</w:t>
      </w:r>
      <w:r/>
    </w:p>
    <w:tbl>
      <w:tblPr>
        <w:tblStyle w:val="679"/>
        <w:tblW w:w="8687" w:type="dxa"/>
        <w:jc w:val="center"/>
        <w:tblLayout w:type="autofit"/>
        <w:tblCellMar>
          <w:left w:w="108" w:type="dxa"/>
          <w:top w:w="0" w:type="dxa"/>
          <w:right w:w="108" w:type="dxa"/>
          <w:bottom w:w="0" w:type="dxa"/>
        </w:tblCellMar>
        <w:tblLook w:val="04A0" w:firstRow="1" w:lastRow="0" w:firstColumn="1" w:lastColumn="0" w:noHBand="0" w:noVBand="1"/>
      </w:tblPr>
      <w:tblGrid>
        <w:gridCol w:w="727"/>
        <w:gridCol w:w="2080"/>
        <w:gridCol w:w="1880"/>
        <w:gridCol w:w="840"/>
        <w:gridCol w:w="720"/>
        <w:gridCol w:w="1220"/>
        <w:gridCol w:w="1220"/>
      </w:tblGrid>
      <w:tr>
        <w:trPr>
          <w:jc w:val="center"/>
          <w:trHeight w:val="441"/>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设备名称</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技术参数</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合价（元）</w:t>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674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jc w:val="center"/>
          <w:trHeight w:val="1544"/>
        </w:trPr>
        <w:tc>
          <w:tcPr>
            <w:gridSpan w:val="7"/>
            <w:tcBorders>
              <w:top w:val="single" w:color="auto" w:sz="4" w:space="0"/>
              <w:left w:val="single" w:color="auto" w:sz="4" w:space="0"/>
              <w:bottom w:val="single" w:color="auto" w:sz="4" w:space="0"/>
              <w:right w:val="single" w:color="auto" w:sz="4" w:space="0"/>
            </w:tcBorders>
            <w:tcW w:w="8687" w:type="dxa"/>
            <w:vAlign w:val="center"/>
            <w:textDirection w:val="lrTb"/>
            <w:noWrap/>
          </w:tcPr>
          <w:p>
            <w:pPr>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lang w:eastAsia="zh-CN"/>
              </w:rPr>
              <w:t xml:space="preserve">投标供应商</w:t>
            </w:r>
            <w:r>
              <w:rPr>
                <w:rFonts w:hint="eastAsia" w:ascii="楷体" w:hAnsi="楷体" w:eastAsia="楷体"/>
                <w:bCs/>
                <w:color w:val="auto"/>
                <w:sz w:val="28"/>
                <w:szCs w:val="28"/>
                <w:highlight w:val="none"/>
              </w:rPr>
              <w:t xml:space="preserve">承诺：</w:t>
            </w:r>
            <w:r/>
          </w:p>
          <w:p>
            <w:pPr>
              <w:jc w:val="left"/>
              <w:widowControl/>
              <w:rPr>
                <w:rFonts w:hint="eastAsia" w:ascii="宋体" w:hAnsi="宋体" w:cs="宋体"/>
                <w:color w:val="auto"/>
                <w:sz w:val="20"/>
                <w:szCs w:val="20"/>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highlight w:val="none"/>
        </w:rPr>
      </w:pPr>
      <w:r>
        <w:rPr>
          <w:rFonts w:hint="eastAsia"/>
          <w:b/>
          <w:bCs/>
          <w:color w:val="auto"/>
          <w:sz w:val="24"/>
          <w:highlight w:val="none"/>
        </w:rPr>
        <w:t xml:space="preserve">法定代表人或法定代表人授权代表签字或盖章：</w:t>
      </w:r>
      <w:r/>
    </w:p>
    <w:p>
      <w:pPr>
        <w:ind w:firstLine="420"/>
        <w:spacing w:line="360" w:lineRule="exact"/>
        <w:rPr>
          <w:rFonts w:hint="eastAsia"/>
          <w:color w:val="auto"/>
          <w:highlight w:val="none"/>
        </w:rPr>
      </w:pPr>
      <w:r>
        <w:rPr>
          <w:rFonts w:hint="eastAsia"/>
          <w:b/>
          <w:bCs/>
          <w:color w:val="auto"/>
          <w:highlight w:val="none"/>
        </w:rPr>
        <w:t xml:space="preserve">注：</w:t>
      </w:r>
      <w:r>
        <w:rPr>
          <w:rFonts w:hint="eastAsia"/>
          <w:color w:val="auto"/>
          <w:highlight w:val="none"/>
        </w:rPr>
        <w:t xml:space="preserve">（1）</w:t>
      </w:r>
      <w:r>
        <w:rPr>
          <w:rFonts w:hint="eastAsia"/>
          <w:color w:val="auto"/>
          <w:highlight w:val="none"/>
          <w:lang w:eastAsia="zh-CN"/>
        </w:rPr>
        <w:t xml:space="preserve">投标供应商</w:t>
      </w:r>
      <w:r>
        <w:rPr>
          <w:rFonts w:hint="eastAsia"/>
          <w:color w:val="auto"/>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w:t>
      </w:r>
      <w:r>
        <w:rPr>
          <w:rFonts w:hint="eastAsia"/>
          <w:color w:val="auto"/>
          <w:highlight w:val="none"/>
          <w:lang w:eastAsia="zh-CN"/>
        </w:rPr>
        <w:t xml:space="preserve">投标供应商</w:t>
      </w:r>
      <w:r>
        <w:rPr>
          <w:rFonts w:hint="eastAsia"/>
          <w:color w:val="auto"/>
          <w:highlight w:val="none"/>
        </w:rPr>
        <w:t xml:space="preserve">属于监狱企业的证明文件复印件；或提供</w:t>
      </w:r>
      <w:r>
        <w:rPr>
          <w:rFonts w:hint="eastAsia"/>
          <w:color w:val="auto"/>
          <w:highlight w:val="none"/>
          <w:lang w:eastAsia="zh-CN"/>
        </w:rPr>
        <w:t xml:space="preserve">投标供应商</w:t>
      </w:r>
      <w:r>
        <w:rPr>
          <w:rFonts w:hint="eastAsia"/>
          <w:color w:val="auto"/>
          <w:highlight w:val="none"/>
        </w:rPr>
        <w:t xml:space="preserve">《残疾人福利性单位声明函》。如未按要求填写和提供有效证明或相关内容表述不清的，不得享受价格扣除。</w:t>
      </w:r>
      <w:r>
        <w:rPr>
          <w:rFonts w:hint="eastAsia"/>
          <w:color w:val="auto"/>
          <w:highlight w:val="none"/>
          <w:lang w:eastAsia="zh-CN"/>
        </w:rPr>
        <w:t xml:space="preserve">投标供应商</w:t>
      </w:r>
      <w:r>
        <w:rPr>
          <w:rFonts w:hint="eastAsia"/>
          <w:color w:val="auto"/>
          <w:highlight w:val="none"/>
        </w:rPr>
        <w:t xml:space="preserve">对所报相关数据的真实性负责，</w:t>
      </w:r>
      <w:r>
        <w:rPr>
          <w:rFonts w:hint="eastAsia"/>
          <w:color w:val="auto"/>
          <w:highlight w:val="none"/>
          <w:lang w:val="en-US" w:eastAsia="zh-CN"/>
        </w:rPr>
        <w:t xml:space="preserve">江苏万达工程造价事务所有限公司</w:t>
      </w:r>
      <w:r>
        <w:rPr>
          <w:rFonts w:hint="eastAsia"/>
          <w:color w:val="auto"/>
          <w:highlight w:val="none"/>
        </w:rPr>
        <w:t xml:space="preserve">有权将相关内容进行公示；</w:t>
      </w:r>
      <w:r/>
    </w:p>
    <w:p>
      <w:pPr>
        <w:ind w:firstLine="420"/>
        <w:spacing w:line="360" w:lineRule="exact"/>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投标供应商</w:t>
      </w:r>
      <w:r>
        <w:rPr>
          <w:rFonts w:hint="eastAsia"/>
          <w:color w:val="auto"/>
          <w:highlight w:val="none"/>
        </w:rPr>
        <w:t xml:space="preserve">应当根据“</w:t>
      </w:r>
      <w:r>
        <w:rPr>
          <w:rFonts w:hint="eastAsia"/>
          <w:color w:val="auto"/>
          <w:highlight w:val="none"/>
          <w:lang w:eastAsia="zh-CN"/>
        </w:rPr>
        <w:t xml:space="preserve">采购需求</w:t>
      </w:r>
      <w:r>
        <w:rPr>
          <w:rFonts w:hint="eastAsia"/>
          <w:color w:val="auto"/>
          <w:highlight w:val="none"/>
        </w:rPr>
        <w:t xml:space="preserve">”的内容在上表中详细填写；</w:t>
      </w:r>
      <w:r/>
    </w:p>
    <w:p>
      <w:pPr>
        <w:ind w:firstLine="420"/>
        <w:spacing w:line="360" w:lineRule="exact"/>
        <w:rPr>
          <w:rFonts w:hint="eastAsia"/>
          <w:color w:val="auto"/>
          <w:highlight w:val="none"/>
        </w:rPr>
      </w:pPr>
      <w:r>
        <w:rPr>
          <w:rFonts w:hint="eastAsia"/>
          <w:color w:val="auto"/>
          <w:highlight w:val="none"/>
        </w:rPr>
        <w:t xml:space="preserve">（3）表格不够可自行延长。</w:t>
      </w:r>
      <w:r/>
    </w:p>
    <w:p>
      <w:pPr>
        <w:ind w:firstLine="420"/>
        <w:spacing w:line="360" w:lineRule="exact"/>
        <w:rPr>
          <w:rFonts w:hint="eastAsia"/>
          <w:color w:val="auto"/>
          <w:highlight w:val="none"/>
        </w:rPr>
      </w:pPr>
      <w:r>
        <w:rPr>
          <w:rFonts w:hint="eastAsia"/>
          <w:color w:val="auto"/>
          <w:highlight w:val="none"/>
        </w:rPr>
        <w:t xml:space="preserve">（4）当采购项目或者采购包的采购标的中含有多种产品，</w:t>
      </w:r>
      <w:r>
        <w:rPr>
          <w:rFonts w:hint="eastAsia"/>
          <w:color w:val="auto"/>
          <w:highlight w:val="none"/>
          <w:lang w:eastAsia="zh-CN"/>
        </w:rPr>
        <w:t xml:space="preserve">投标供应商</w:t>
      </w:r>
      <w:r>
        <w:rPr>
          <w:rFonts w:hint="eastAsia"/>
          <w:color w:val="auto"/>
          <w:highlight w:val="none"/>
        </w:rPr>
        <w:t xml:space="preserve">除按本文件要求提供《关于符合本国产品标准的声明函》外，还应在本表中进行承诺，</w:t>
      </w:r>
      <w:r>
        <w:rPr>
          <w:rFonts w:hint="eastAsia"/>
          <w:color w:val="auto"/>
          <w:highlight w:val="none"/>
          <w:lang w:eastAsia="zh-CN"/>
        </w:rPr>
        <w:t xml:space="preserve">投标供应商</w:t>
      </w:r>
      <w:r>
        <w:rPr>
          <w:rFonts w:hint="eastAsia"/>
          <w:color w:val="auto"/>
          <w:highlight w:val="none"/>
        </w:rPr>
        <w:t xml:space="preserve">为该采购项目或者采购包提供的符合本国产品标准的产品成本之和占该</w:t>
      </w:r>
      <w:r>
        <w:rPr>
          <w:rFonts w:hint="eastAsia"/>
          <w:color w:val="auto"/>
          <w:highlight w:val="none"/>
          <w:lang w:eastAsia="zh-CN"/>
        </w:rPr>
        <w:t xml:space="preserve">投标供应商</w:t>
      </w:r>
      <w:r>
        <w:rPr>
          <w:rFonts w:hint="eastAsia"/>
          <w:color w:val="auto"/>
          <w:highlight w:val="none"/>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color w:val="auto"/>
          <w:highlight w:val="none"/>
          <w:lang w:eastAsia="zh-CN"/>
        </w:rPr>
        <w:t xml:space="preserve">投标供应商</w:t>
      </w:r>
      <w:r>
        <w:rPr>
          <w:rFonts w:hint="eastAsia"/>
          <w:color w:val="auto"/>
          <w:highlight w:val="none"/>
        </w:rPr>
        <w:t xml:space="preserve">可不用填报。（相关具体要求可详见第二部分“对本国产品的支持政策”）</w:t>
      </w:r>
      <w:r/>
    </w:p>
    <w:p>
      <w:pPr>
        <w:ind w:firstLine="420"/>
        <w:spacing w:line="360" w:lineRule="exact"/>
        <w:rPr>
          <w:rFonts w:hint="eastAsia"/>
          <w:color w:val="auto"/>
          <w:highlight w:val="none"/>
          <w:u w:val="single"/>
        </w:rPr>
      </w:pPr>
      <w:r>
        <w:rPr>
          <w:rFonts w:hint="eastAsia"/>
          <w:color w:val="auto"/>
          <w:highlight w:val="none"/>
          <w:u w:val="singl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rPr>
          <w:rFonts w:hint="eastAsia" w:ascii="宋体" w:hAnsi="宋体" w:cs="宋体"/>
          <w:b/>
          <w:bCs w:val="0"/>
          <w:color w:val="auto"/>
          <w:sz w:val="24"/>
          <w:highlight w:val="none"/>
        </w:rPr>
        <w:outlineLvl w:val="0"/>
      </w:pPr>
      <w:r>
        <w:rPr>
          <w:rFonts w:hint="eastAsia" w:ascii="宋体" w:hAnsi="宋体" w:cs="宋体"/>
          <w:b/>
          <w:bCs w:val="0"/>
          <w:color w:val="auto"/>
          <w:sz w:val="24"/>
          <w:highlight w:val="none"/>
        </w:rPr>
        <w:t xml:space="preserve">（七）声明函（格式）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中小企业声明函（货物）</w:t>
      </w:r>
      <w:r/>
    </w:p>
    <w:p>
      <w:pPr>
        <w:rPr>
          <w:rFonts w:ascii="Calibri"/>
          <w:color w:val="auto"/>
          <w:highlight w:val="none"/>
        </w:rPr>
      </w:pPr>
      <w:r>
        <w:rPr>
          <w:rFonts w:ascii="Calibri"/>
          <w:color w:val="auto"/>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 号）的规定，本公司 （联合体）参加</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u w:val="single"/>
        </w:rPr>
        <w:t xml:space="preserve"> </w:t>
      </w:r>
      <w:r>
        <w:rPr>
          <w:rFonts w:hint="eastAsia" w:ascii="宋体" w:hAnsi="宋体" w:cs="宋体"/>
          <w:color w:val="auto"/>
          <w:sz w:val="24"/>
          <w:highlight w:val="none"/>
          <w:u w:val="single"/>
        </w:rPr>
        <w:t xml:space="preserve">（标的名称）</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u w:val="single"/>
        </w:rPr>
        <w:t xml:space="preserve"> </w:t>
      </w:r>
      <w:r>
        <w:rPr>
          <w:rFonts w:hint="eastAsia" w:ascii="宋体" w:hAnsi="宋体" w:cs="宋体"/>
          <w:color w:val="auto"/>
          <w:sz w:val="24"/>
          <w:highlight w:val="none"/>
          <w:u w:val="single"/>
        </w:rPr>
        <w:t xml:space="preserve">（标的名称）</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 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企业名称（盖章）：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360" w:lineRule="exact"/>
        <w:rPr>
          <w:color w:val="auto"/>
          <w:highlight w:val="none"/>
        </w:rPr>
      </w:pPr>
      <w:r>
        <w:rPr>
          <w:rFonts w:hint="eastAsia"/>
          <w:color w:val="auto"/>
          <w:highlight w:val="none"/>
        </w:rPr>
        <w:t xml:space="preserve">注：（1）项目技术要求中如对本项目标的及其所属行业进行逐一列明的，</w:t>
      </w:r>
      <w:r>
        <w:rPr>
          <w:rFonts w:hint="eastAsia"/>
          <w:color w:val="auto"/>
          <w:highlight w:val="none"/>
          <w:lang w:eastAsia="zh-CN"/>
        </w:rPr>
        <w:t xml:space="preserve">投标供应商</w:t>
      </w:r>
      <w:r>
        <w:rPr>
          <w:rFonts w:hint="eastAsia"/>
          <w:color w:val="auto"/>
          <w:highlight w:val="none"/>
        </w:rPr>
        <w:t xml:space="preserve">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w:t>
      </w:r>
      <w:r>
        <w:rPr>
          <w:rFonts w:hint="eastAsia"/>
          <w:color w:val="auto"/>
          <w:highlight w:val="none"/>
          <w:lang w:eastAsia="zh-CN"/>
        </w:rPr>
        <w:t xml:space="preserve">投标供应商</w:t>
      </w:r>
      <w:r>
        <w:rPr>
          <w:rFonts w:hint="eastAsia"/>
          <w:color w:val="auto"/>
          <w:highlight w:val="none"/>
        </w:rPr>
        <w:t xml:space="preserve">未按上述要求逐一进行填报的将被视为无效投标文件；非专门面向中小企业的项目</w:t>
      </w:r>
      <w:r>
        <w:rPr>
          <w:rFonts w:hint="eastAsia"/>
          <w:color w:val="auto"/>
          <w:highlight w:val="none"/>
          <w:lang w:eastAsia="zh-CN"/>
        </w:rPr>
        <w:t xml:space="preserve">投标供应商</w:t>
      </w:r>
      <w:r>
        <w:rPr>
          <w:rFonts w:hint="eastAsia"/>
          <w:color w:val="auto"/>
          <w:highlight w:val="none"/>
        </w:rPr>
        <w:t xml:space="preserve">未按上述要求逐一进行填报的将不进行中、小、微型企业认定。</w:t>
      </w:r>
      <w:r/>
    </w:p>
    <w:p>
      <w:pPr>
        <w:ind w:firstLine="420"/>
        <w:spacing w:line="360" w:lineRule="exact"/>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exact"/>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exact"/>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rPr>
          <w:color w:val="auto"/>
          <w:highlight w:val="none"/>
        </w:rPr>
      </w:pPr>
      <w:r>
        <w:rPr>
          <w:rFonts w:hint="eastAsia"/>
          <w:color w:val="auto"/>
          <w:highlight w:val="none"/>
        </w:rPr>
        <w:br w:type="page" w:clear="all"/>
      </w:r>
      <w:r/>
    </w:p>
    <w:p>
      <w:pPr>
        <w:jc w:val="center"/>
        <w:spacing w:line="360" w:lineRule="auto"/>
        <w:rPr>
          <w:rFonts w:ascii="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1.（产品名称1）</w:t>
      </w:r>
      <w:r>
        <w:rPr>
          <w:rFonts w:hint="eastAsia" w:ascii="宋体" w:hAnsi="宋体"/>
          <w:bCs/>
          <w:color w:val="auto"/>
          <w:sz w:val="24"/>
          <w:highlight w:val="none"/>
          <w:vertAlign w:val="superscript"/>
        </w:rPr>
        <w:t xml:space="preserve">1</w:t>
      </w:r>
      <w:r>
        <w:rPr>
          <w:rFonts w:hint="eastAsia" w:ascii="宋体" w:hAnsi="宋体"/>
          <w:bCs/>
          <w:color w:val="auto"/>
          <w:sz w:val="24"/>
          <w:highlight w:val="none"/>
        </w:rPr>
        <w:t xml:space="preserve">，生产厂为（厂名）</w:t>
      </w:r>
      <w:r>
        <w:rPr>
          <w:rFonts w:hint="eastAsia" w:ascii="宋体" w:hAnsi="宋体"/>
          <w:bCs/>
          <w:color w:val="auto"/>
          <w:sz w:val="24"/>
          <w:highlight w:val="none"/>
          <w:vertAlign w:val="superscript"/>
        </w:rPr>
        <w:t xml:space="preserve">2</w:t>
      </w:r>
      <w:r>
        <w:rPr>
          <w:rFonts w:hint="eastAsia" w:ascii="宋体" w:hAnsi="宋体"/>
          <w:bCs/>
          <w:color w:val="auto"/>
          <w:sz w:val="24"/>
          <w:highlight w:val="none"/>
        </w:rPr>
        <w:t xml:space="preserve">，厂址为（生产厂址）。（</w:t>
      </w:r>
      <w:r>
        <w:rPr>
          <w:rFonts w:hint="eastAsia" w:ascii="宋体" w:hAnsi="宋体"/>
          <w:bCs/>
          <w:strike/>
          <w:color w:val="auto"/>
          <w:sz w:val="24"/>
          <w:highlight w:val="none"/>
        </w:rPr>
        <w:t xml:space="preserve">产品名称1</w:t>
      </w:r>
      <w:r>
        <w:rPr>
          <w:rFonts w:hint="eastAsia" w:ascii="宋体" w:hAnsi="宋体"/>
          <w:bCs/>
          <w:color w:val="auto"/>
          <w:sz w:val="24"/>
          <w:highlight w:val="none"/>
        </w:rPr>
        <w:t xml:space="preserve">）的中国境内生产的组件成本占比≥（</w:t>
      </w:r>
      <w:r>
        <w:rPr>
          <w:rFonts w:hint="eastAsia" w:ascii="宋体" w:hAnsi="宋体"/>
          <w:bCs/>
          <w:strike/>
          <w:color w:val="auto"/>
          <w:sz w:val="24"/>
          <w:highlight w:val="none"/>
        </w:rPr>
        <w:t xml:space="preserve">规定比例</w:t>
      </w:r>
      <w:r>
        <w:rPr>
          <w:rFonts w:hint="eastAsia" w:ascii="宋体" w:hAnsi="宋体"/>
          <w:bCs/>
          <w:color w:val="auto"/>
          <w:sz w:val="24"/>
          <w:highlight w:val="none"/>
        </w:rPr>
        <w:t xml:space="preserve">）</w:t>
      </w:r>
      <w:r>
        <w:rPr>
          <w:rFonts w:hint="eastAsia" w:ascii="宋体" w:hAnsi="宋体"/>
          <w:bCs/>
          <w:color w:val="auto"/>
          <w:sz w:val="24"/>
          <w:highlight w:val="none"/>
          <w:vertAlign w:val="superscript"/>
        </w:rPr>
        <w:t xml:space="preserve">3</w:t>
      </w:r>
      <w:r>
        <w:rPr>
          <w:rFonts w:hint="eastAsia" w:ascii="宋体" w:hAnsi="宋体"/>
          <w:bCs/>
          <w:color w:val="auto"/>
          <w:sz w:val="24"/>
          <w:highlight w:val="none"/>
        </w:rPr>
        <w:t xml:space="preserve">。（</w:t>
      </w:r>
      <w:r>
        <w:rPr>
          <w:rFonts w:hint="eastAsia" w:ascii="宋体" w:hAnsi="宋体"/>
          <w:bCs/>
          <w:strike/>
          <w:color w:val="auto"/>
          <w:sz w:val="24"/>
          <w:highlight w:val="none"/>
        </w:rPr>
        <w:t xml:space="preserve">产品名称1</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关键组件</w:t>
      </w:r>
      <w:r>
        <w:rPr>
          <w:rFonts w:hint="eastAsia" w:ascii="宋体" w:hAnsi="宋体"/>
          <w:bCs/>
          <w:color w:val="auto"/>
          <w:sz w:val="24"/>
          <w:highlight w:val="none"/>
        </w:rPr>
        <w:t xml:space="preserve">）</w:t>
      </w:r>
      <w:r>
        <w:rPr>
          <w:rFonts w:hint="eastAsia" w:ascii="宋体" w:hAnsi="宋体"/>
          <w:bCs/>
          <w:color w:val="auto"/>
          <w:sz w:val="24"/>
          <w:highlight w:val="none"/>
          <w:vertAlign w:val="superscript"/>
        </w:rPr>
        <w:t xml:space="preserve">4</w:t>
      </w:r>
      <w:r>
        <w:rPr>
          <w:rFonts w:hint="eastAsia" w:ascii="宋体" w:hAnsi="宋体"/>
          <w:bCs/>
          <w:color w:val="auto"/>
          <w:sz w:val="24"/>
          <w:highlight w:val="none"/>
        </w:rPr>
        <w:t xml:space="preserve">在中国境内生产。（</w:t>
      </w:r>
      <w:r>
        <w:rPr>
          <w:rFonts w:hint="eastAsia" w:ascii="宋体" w:hAnsi="宋体"/>
          <w:bCs/>
          <w:strike/>
          <w:color w:val="auto"/>
          <w:sz w:val="24"/>
          <w:highlight w:val="none"/>
        </w:rPr>
        <w:t xml:space="preserve">产品名称1</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关键工序</w:t>
      </w:r>
      <w:r>
        <w:rPr>
          <w:rFonts w:hint="eastAsia" w:ascii="宋体" w:hAnsi="宋体"/>
          <w:bCs/>
          <w:color w:val="auto"/>
          <w:sz w:val="24"/>
          <w:highlight w:val="none"/>
        </w:rPr>
        <w:t xml:space="preserve">）</w:t>
      </w:r>
      <w:r>
        <w:rPr>
          <w:rFonts w:hint="eastAsia" w:ascii="宋体" w:hAnsi="宋体"/>
          <w:bCs/>
          <w:color w:val="auto"/>
          <w:sz w:val="24"/>
          <w:highlight w:val="none"/>
          <w:vertAlign w:val="superscript"/>
        </w:rPr>
        <w:t xml:space="preserve">5</w:t>
      </w:r>
      <w:r>
        <w:rPr>
          <w:rFonts w:hint="eastAsia" w:ascii="宋体" w:hAnsi="宋体"/>
          <w:bCs/>
          <w:color w:val="auto"/>
          <w:sz w:val="24"/>
          <w:highlight w:val="none"/>
        </w:rPr>
        <w:t xml:space="preserve">在中国境内完成。</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2.（产品名称2），生产厂为（厂名），厂址为（生产厂址）。（</w:t>
      </w:r>
      <w:r>
        <w:rPr>
          <w:rFonts w:hint="eastAsia" w:ascii="宋体" w:hAnsi="宋体"/>
          <w:bCs/>
          <w:strike/>
          <w:color w:val="auto"/>
          <w:sz w:val="24"/>
          <w:highlight w:val="none"/>
        </w:rPr>
        <w:t xml:space="preserve">产品名称2</w:t>
      </w:r>
      <w:r>
        <w:rPr>
          <w:rFonts w:hint="eastAsia" w:ascii="宋体" w:hAnsi="宋体"/>
          <w:bCs/>
          <w:color w:val="auto"/>
          <w:sz w:val="24"/>
          <w:highlight w:val="none"/>
        </w:rPr>
        <w:t xml:space="preserve">）的中国境内生产的组件成本占比≥（</w:t>
      </w:r>
      <w:r>
        <w:rPr>
          <w:rFonts w:hint="eastAsia" w:ascii="宋体" w:hAnsi="宋体"/>
          <w:bCs/>
          <w:strike/>
          <w:color w:val="auto"/>
          <w:sz w:val="24"/>
          <w:highlight w:val="none"/>
        </w:rPr>
        <w:t xml:space="preserve">规定比例</w:t>
      </w:r>
      <w:r>
        <w:rPr>
          <w:rFonts w:hint="eastAsia" w:ascii="宋体" w:hAnsi="宋体"/>
          <w:bCs/>
          <w:color w:val="auto"/>
          <w:sz w:val="24"/>
          <w:highlight w:val="none"/>
        </w:rPr>
        <w:t xml:space="preserve">）。（</w:t>
      </w:r>
      <w:r>
        <w:rPr>
          <w:rFonts w:hint="eastAsia" w:ascii="宋体" w:hAnsi="宋体"/>
          <w:bCs/>
          <w:strike/>
          <w:color w:val="auto"/>
          <w:sz w:val="24"/>
          <w:highlight w:val="none"/>
        </w:rPr>
        <w:t xml:space="preserve">产品名称2</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关键组件</w:t>
      </w:r>
      <w:r>
        <w:rPr>
          <w:rFonts w:hint="eastAsia" w:ascii="宋体" w:hAnsi="宋体"/>
          <w:bCs/>
          <w:color w:val="auto"/>
          <w:sz w:val="24"/>
          <w:highlight w:val="none"/>
        </w:rPr>
        <w:t xml:space="preserve">）在中国境内生产。（</w:t>
      </w:r>
      <w:r>
        <w:rPr>
          <w:rFonts w:hint="eastAsia" w:ascii="宋体" w:hAnsi="宋体"/>
          <w:bCs/>
          <w:strike/>
          <w:color w:val="auto"/>
          <w:sz w:val="24"/>
          <w:highlight w:val="none"/>
        </w:rPr>
        <w:t xml:space="preserve">产品名称2</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关键工序</w:t>
      </w:r>
      <w:r>
        <w:rPr>
          <w:rFonts w:hint="eastAsia" w:ascii="宋体" w:hAnsi="宋体"/>
          <w:bCs/>
          <w:color w:val="auto"/>
          <w:sz w:val="24"/>
          <w:highlight w:val="none"/>
        </w:rPr>
        <w:t xml:space="preserve">）在中国境内完成。</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 </w:t>
      </w:r>
      <w:r/>
    </w:p>
    <w:p>
      <w:pPr>
        <w:ind w:firstLine="480"/>
        <w:jc w:val="righ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公司（单位）名称（盖章）：          </w:t>
      </w:r>
      <w:r/>
    </w:p>
    <w:p>
      <w:pPr>
        <w:ind w:firstLine="480"/>
        <w:jc w:val="righ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w:t>
      </w:r>
      <w:r>
        <w:rPr>
          <w:rFonts w:ascii="宋体" w:hAnsi="宋体"/>
          <w:bCs/>
          <w:color w:val="auto"/>
          <w:sz w:val="24"/>
          <w:highlight w:val="none"/>
        </w:rPr>
        <w:t xml:space="preserve">     </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w:t>
      </w:r>
      <w:r>
        <w:rPr>
          <w:rFonts w:ascii="宋体" w:hAnsi="宋体"/>
          <w:bCs/>
          <w:color w:val="auto"/>
          <w:sz w:val="24"/>
          <w:highlight w:val="none"/>
        </w:rPr>
        <w:t xml:space="preserve">  </w:t>
      </w:r>
      <w:r>
        <w:rPr>
          <w:rFonts w:hint="eastAsia" w:ascii="宋体" w:hAnsi="宋体"/>
          <w:bCs/>
          <w:color w:val="auto"/>
          <w:sz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6.划删除线的地方无需填写。</w:t>
      </w:r>
      <w:r/>
    </w:p>
    <w:p>
      <w:pPr>
        <w:rPr>
          <w:color w:val="auto"/>
          <w:highlight w:val="none"/>
        </w:rPr>
      </w:pPr>
      <w:r>
        <w:rPr>
          <w:color w:val="auto"/>
          <w:highlight w:val="none"/>
        </w:rPr>
      </w:r>
      <w:r/>
    </w:p>
    <w:p>
      <w:pPr>
        <w:ind w:left="425" w:hanging="425"/>
        <w:rPr>
          <w:rFonts w:hint="eastAsia" w:ascii="宋体" w:hAnsi="宋体"/>
          <w:color w:val="auto"/>
          <w:sz w:val="24"/>
          <w:highlight w:val="none"/>
        </w:rPr>
        <w:outlineLvl w:val="0"/>
      </w:pPr>
      <w:r>
        <w:rPr>
          <w:rFonts w:hint="eastAsia" w:ascii="宋体" w:hAnsi="宋体"/>
          <w:color w:val="auto"/>
          <w:sz w:val="24"/>
          <w:highlight w:val="none"/>
        </w:rPr>
        <w:br w:type="page" w:clear="all"/>
      </w:r>
      <w:r>
        <w:rPr>
          <w:rFonts w:hint="eastAsia" w:ascii="宋体" w:hAnsi="宋体"/>
          <w:b/>
          <w:bCs/>
          <w:color w:val="auto"/>
          <w:sz w:val="24"/>
          <w:highlight w:val="none"/>
        </w:rPr>
        <w:t xml:space="preserve">（八）残疾人福利性单位声明函（格式）</w:t>
      </w:r>
      <w:r/>
    </w:p>
    <w:p>
      <w:pPr>
        <w:pStyle w:val="706"/>
        <w:ind w:firstLine="0"/>
        <w:jc w:val="center"/>
        <w:spacing w:before="0" w:beforeAutospacing="0" w:after="0" w:afterAutospacing="0" w:line="480" w:lineRule="atLeast"/>
        <w:rPr>
          <w:rFonts w:hint="eastAsia"/>
          <w:b/>
          <w:bCs/>
          <w:color w:val="auto"/>
          <w:sz w:val="28"/>
          <w:szCs w:val="28"/>
          <w:highlight w:val="none"/>
        </w:rPr>
      </w:pPr>
      <w:r>
        <w:rPr>
          <w:rFonts w:hint="eastAsia"/>
          <w:b/>
          <w:bCs/>
          <w:color w:val="auto"/>
          <w:sz w:val="28"/>
          <w:szCs w:val="28"/>
          <w:highlight w:val="none"/>
        </w:rPr>
      </w:r>
      <w:r/>
    </w:p>
    <w:p>
      <w:pPr>
        <w:pStyle w:val="706"/>
        <w:ind w:firstLine="0"/>
        <w:jc w:val="center"/>
        <w:spacing w:before="0" w:beforeAutospacing="0" w:after="0" w:afterAutospacing="0" w:line="480" w:lineRule="atLeast"/>
        <w:rPr>
          <w:rFonts w:hint="eastAsia"/>
          <w:color w:val="auto"/>
          <w:highlight w:val="none"/>
        </w:rPr>
      </w:pPr>
      <w:r>
        <w:rPr>
          <w:rFonts w:hint="eastAsia"/>
          <w:b/>
          <w:bCs/>
          <w:color w:val="auto"/>
          <w:sz w:val="28"/>
          <w:szCs w:val="28"/>
          <w:highlight w:val="none"/>
        </w:rPr>
        <w:t xml:space="preserve">残疾人福利性单位声明函</w:t>
      </w:r>
      <w:r/>
    </w:p>
    <w:p>
      <w:pPr>
        <w:pStyle w:val="706"/>
        <w:ind w:firstLine="480"/>
        <w:spacing w:before="0" w:beforeAutospacing="0" w:after="0" w:afterAutospacing="0" w:line="480" w:lineRule="atLeast"/>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06"/>
        <w:spacing w:before="0" w:beforeAutospacing="0" w:after="0" w:afterAutospacing="0" w:line="480" w:lineRule="atLeast"/>
        <w:rPr>
          <w:rFonts w:hint="eastAsia"/>
          <w:color w:val="auto"/>
          <w:highlight w:val="none"/>
        </w:rPr>
      </w:pPr>
      <w:r>
        <w:rPr>
          <w:rFonts w:hint="eastAsia"/>
          <w:color w:val="auto"/>
          <w:highlight w:val="none"/>
        </w:rPr>
        <w:t xml:space="preserve">本单位对上述声明的真实性负责。如有虚假，将依法承担相应责任。</w:t>
      </w:r>
      <w:r/>
    </w:p>
    <w:p>
      <w:pPr>
        <w:pStyle w:val="706"/>
        <w:ind w:left="2940"/>
        <w:spacing w:before="0" w:beforeAutospacing="0" w:after="0" w:afterAutospacing="0" w:line="480" w:lineRule="atLeast"/>
        <w:rPr>
          <w:rFonts w:hint="eastAsia"/>
          <w:color w:val="auto"/>
          <w:highlight w:val="none"/>
        </w:rPr>
      </w:pPr>
      <w:r>
        <w:rPr>
          <w:rFonts w:hint="eastAsia"/>
          <w:color w:val="auto"/>
          <w:highlight w:val="none"/>
        </w:rPr>
      </w:r>
      <w:r/>
    </w:p>
    <w:p>
      <w:pPr>
        <w:pStyle w:val="706"/>
        <w:ind w:left="2940"/>
        <w:spacing w:before="0" w:beforeAutospacing="0" w:after="0" w:afterAutospacing="0" w:line="480" w:lineRule="atLeast"/>
        <w:rPr>
          <w:rFonts w:hint="eastAsia"/>
          <w:color w:val="auto"/>
          <w:highlight w:val="none"/>
        </w:rPr>
      </w:pPr>
      <w:r>
        <w:rPr>
          <w:rFonts w:hint="eastAsia"/>
          <w:color w:val="auto"/>
          <w:highlight w:val="none"/>
        </w:rPr>
      </w:r>
      <w:r/>
    </w:p>
    <w:p>
      <w:pPr>
        <w:pStyle w:val="706"/>
        <w:ind w:left="2940"/>
        <w:spacing w:before="0" w:beforeAutospacing="0" w:after="0" w:afterAutospacing="0" w:line="480" w:lineRule="atLeast"/>
        <w:rPr>
          <w:rFonts w:hint="eastAsia"/>
          <w:color w:val="auto"/>
          <w:highlight w:val="none"/>
        </w:rPr>
      </w:pPr>
      <w:r>
        <w:rPr>
          <w:rFonts w:hint="eastAsia"/>
          <w:color w:val="auto"/>
          <w:highlight w:val="none"/>
        </w:rPr>
        <w:t xml:space="preserve">单位名称（盖章）：</w:t>
      </w:r>
      <w:r/>
    </w:p>
    <w:p>
      <w:pPr>
        <w:pStyle w:val="706"/>
        <w:ind w:left="2940"/>
        <w:spacing w:before="0" w:beforeAutospacing="0" w:after="0" w:afterAutospacing="0" w:line="480" w:lineRule="atLeast"/>
        <w:rPr>
          <w:rFonts w:hint="eastAsia"/>
          <w:color w:val="auto"/>
          <w:highlight w:val="none"/>
        </w:rPr>
      </w:pPr>
      <w:r>
        <w:rPr>
          <w:rFonts w:hint="eastAsia"/>
          <w:color w:val="auto"/>
          <w:highlight w:val="none"/>
        </w:rPr>
        <w:t xml:space="preserve">日 期：</w:t>
      </w:r>
      <w:r/>
    </w:p>
    <w:p>
      <w:pPr>
        <w:ind w:firstLine="422"/>
        <w:jc w:val="center"/>
        <w:rPr>
          <w:rFonts w:hint="eastAsia" w:ascii="宋体" w:hAnsi="宋体"/>
          <w:b/>
          <w:bCs/>
          <w:color w:val="auto"/>
          <w:sz w:val="24"/>
          <w:highlight w:val="none"/>
        </w:rPr>
      </w:pPr>
      <w:r>
        <w:rPr>
          <w:rFonts w:hint="eastAsia" w:ascii="宋体" w:hAnsi="宋体"/>
          <w:b/>
          <w:bCs/>
          <w:color w:val="auto"/>
          <w:sz w:val="24"/>
          <w:highlight w:val="none"/>
        </w:rPr>
      </w:r>
      <w:r/>
    </w:p>
    <w:p>
      <w:pPr>
        <w:ind w:left="425" w:hanging="425"/>
        <w:rPr>
          <w:rFonts w:ascii="黑体" w:eastAsia="黑体" w:cs="宋体"/>
          <w:b/>
          <w:color w:val="auto"/>
          <w:sz w:val="32"/>
          <w:szCs w:val="32"/>
          <w:highlight w:val="none"/>
        </w:rPr>
        <w:outlineLvl w:val="0"/>
      </w:pPr>
      <w:r>
        <w:rPr>
          <w:rFonts w:hint="eastAsia" w:ascii="宋体" w:hAnsi="宋体"/>
          <w:color w:val="auto"/>
          <w:sz w:val="24"/>
          <w:highlight w:val="none"/>
        </w:rPr>
        <w:br w:type="page" w:clear="all"/>
      </w:r>
      <w:r>
        <w:rPr>
          <w:rFonts w:hint="eastAsia" w:ascii="宋体" w:hAnsi="宋体"/>
          <w:b/>
          <w:bCs/>
          <w:color w:val="auto"/>
          <w:sz w:val="24"/>
          <w:highlight w:val="none"/>
        </w:rPr>
        <w:t xml:space="preserve">（九）项目人员配备表（格式）</w:t>
      </w:r>
      <w:r/>
    </w:p>
    <w:p>
      <w:pPr>
        <w:ind w:firstLine="244"/>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项目人员配备表</w:t>
      </w:r>
      <w:r/>
    </w:p>
    <w:p>
      <w:pPr>
        <w:rPr>
          <w:color w:val="auto"/>
          <w:highlight w:val="none"/>
        </w:rPr>
      </w:pPr>
      <w:r>
        <w:rPr>
          <w:color w:val="auto"/>
          <w:highlight w:val="none"/>
        </w:rPr>
      </w:r>
      <w:r/>
    </w:p>
    <w:tbl>
      <w:tblPr>
        <w:tblStyle w:val="679"/>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hint="eastAsia" w:ascii="宋体" w:hAnsi="宋体"/>
                <w:b/>
                <w:bCs/>
                <w:color w:val="auto"/>
                <w:szCs w:val="21"/>
                <w:highlight w:val="none"/>
              </w:rPr>
            </w:pPr>
            <w:r>
              <w:rPr>
                <w:rFonts w:ascii="宋体" w:hAnsi="宋体"/>
                <w:b/>
                <w:bCs/>
                <w:color w:val="auto"/>
                <w:szCs w:val="21"/>
                <w:highlight w:val="none"/>
              </w:rPr>
              <w:t xml:space="preserve">序</w:t>
            </w:r>
            <w:r>
              <w:rPr>
                <w:rFonts w:hint="eastAsia" w:ascii="宋体" w:hAnsi="宋体"/>
                <w:b/>
                <w:bCs/>
                <w:color w:val="auto"/>
                <w:szCs w:val="21"/>
                <w:highlight w:val="none"/>
              </w:rPr>
              <w:t xml:space="preserve">号</w:t>
            </w:r>
            <w:r/>
          </w:p>
        </w:tc>
        <w:tc>
          <w:tcPr>
            <w:tcW w:w="923" w:type="dxa"/>
            <w:vAlign w:val="center"/>
            <w:textDirection w:val="lrTb"/>
            <w:noWrap w:val="false"/>
          </w:tcPr>
          <w:p>
            <w:pPr>
              <w:jc w:val="center"/>
              <w:spacing w:after="120"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姓名</w:t>
            </w:r>
            <w:r/>
          </w:p>
        </w:tc>
        <w:tc>
          <w:tcPr>
            <w:tcW w:w="1533" w:type="dxa"/>
            <w:vAlign w:val="center"/>
            <w:textDirection w:val="lrTb"/>
            <w:noWrap w:val="false"/>
          </w:tcPr>
          <w:p>
            <w:pPr>
              <w:jc w:val="center"/>
              <w:spacing w:after="120"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证书类型</w:t>
            </w:r>
            <w:r/>
          </w:p>
        </w:tc>
        <w:tc>
          <w:tcPr>
            <w:tcW w:w="1533" w:type="dxa"/>
            <w:vAlign w:val="center"/>
            <w:textDirection w:val="lrTb"/>
            <w:noWrap w:val="false"/>
          </w:tcPr>
          <w:p>
            <w:pPr>
              <w:jc w:val="center"/>
              <w:spacing w:after="120"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社保缴纳时间</w:t>
            </w:r>
            <w:r/>
          </w:p>
        </w:tc>
        <w:tc>
          <w:tcPr>
            <w:tcW w:w="1351" w:type="dxa"/>
            <w:vAlign w:val="center"/>
            <w:textDirection w:val="lrTb"/>
            <w:noWrap w:val="false"/>
          </w:tcPr>
          <w:p>
            <w:pPr>
              <w:jc w:val="center"/>
              <w:spacing w:after="120"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联系方式</w:t>
            </w:r>
            <w:r/>
          </w:p>
        </w:tc>
        <w:tc>
          <w:tcPr>
            <w:tcW w:w="1715" w:type="dxa"/>
            <w:vAlign w:val="center"/>
            <w:textDirection w:val="lrTb"/>
            <w:noWrap w:val="false"/>
          </w:tcPr>
          <w:p>
            <w:pPr>
              <w:jc w:val="center"/>
              <w:spacing w:after="120"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劳动合同期限</w:t>
            </w:r>
            <w:r/>
          </w:p>
        </w:tc>
        <w:tc>
          <w:tcPr>
            <w:tcW w:w="1021" w:type="dxa"/>
            <w:vAlign w:val="center"/>
            <w:textDirection w:val="lrTb"/>
            <w:noWrap w:val="false"/>
          </w:tcPr>
          <w:p>
            <w:pPr>
              <w:jc w:val="center"/>
              <w:spacing w:after="120"/>
              <w:rPr>
                <w:rFonts w:hint="eastAsia"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602"/>
        </w:trPr>
        <w:tc>
          <w:tcPr>
            <w:tcW w:w="94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92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533"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35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715"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c>
          <w:tcPr>
            <w:tcW w:w="1021" w:type="dxa"/>
            <w:vAlign w:val="center"/>
            <w:textDirection w:val="lrTb"/>
            <w:noWrap w:val="false"/>
          </w:tcPr>
          <w:p>
            <w:pPr>
              <w:jc w:val="center"/>
              <w:spacing w:after="120" w:line="400" w:lineRule="exact"/>
              <w:rPr>
                <w:rFonts w:hint="eastAsia" w:ascii="宋体" w:hAnsi="宋体"/>
                <w:color w:val="auto"/>
                <w:szCs w:val="21"/>
                <w:highlight w:val="none"/>
              </w:rPr>
            </w:pPr>
            <w:r>
              <w:rPr>
                <w:rFonts w:hint="eastAsia" w:ascii="宋体" w:hAnsi="宋体"/>
                <w:color w:val="auto"/>
                <w:szCs w:val="21"/>
                <w:highlight w:val="none"/>
              </w:rPr>
            </w:r>
            <w:r/>
          </w:p>
        </w:tc>
      </w:tr>
    </w:tbl>
    <w:p>
      <w:pPr>
        <w:ind w:left="420" w:hanging="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注：按招标文件要求附人员相关证书，表格不够可自行延长。</w:t>
      </w:r>
      <w:r/>
    </w:p>
    <w:p>
      <w:pPr>
        <w:jc w:val="center"/>
        <w:spacing w:line="400" w:lineRule="exact"/>
        <w:rPr>
          <w:rFonts w:hint="eastAsia" w:ascii="宋体" w:hAnsi="宋体" w:cs="宋体"/>
          <w:color w:val="auto"/>
          <w:sz w:val="24"/>
          <w:highlight w:val="none"/>
          <w:u w:val="single"/>
        </w:rPr>
      </w:pPr>
      <w:r>
        <w:rPr>
          <w:rFonts w:hint="eastAsia" w:ascii="宋体" w:hAnsi="宋体"/>
          <w:color w:val="auto"/>
          <w:szCs w:val="21"/>
          <w:highlight w:val="none"/>
        </w:rPr>
        <w:t xml:space="preserve">                       </w:t>
      </w:r>
      <w:r>
        <w:rPr>
          <w:rFonts w:hint="eastAsia" w:ascii="宋体" w:hAnsi="宋体" w:cs="宋体"/>
          <w:color w:val="auto"/>
          <w:sz w:val="24"/>
          <w:highlight w:val="none"/>
        </w:rPr>
        <w:t xml:space="preserve">         投标供应商公章：</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授权代表签字:  </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left"/>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ind w:left="425" w:hanging="425"/>
        <w:rPr>
          <w:rFonts w:hint="eastAsia" w:ascii="宋体" w:hAnsi="宋体"/>
          <w:b/>
          <w:bCs/>
          <w:color w:val="auto"/>
          <w:sz w:val="24"/>
          <w:highlight w:val="none"/>
        </w:rPr>
        <w:outlineLvl w:val="0"/>
      </w:pPr>
      <w:r>
        <w:rPr>
          <w:rFonts w:hint="eastAsia" w:ascii="宋体" w:hAnsi="宋体"/>
          <w:b/>
          <w:bCs/>
          <w:color w:val="auto"/>
          <w:sz w:val="24"/>
          <w:highlight w:val="none"/>
        </w:rPr>
        <w:t xml:space="preserve">（十）</w:t>
      </w:r>
      <w:r>
        <w:rPr>
          <w:rFonts w:hint="eastAsia" w:ascii="宋体" w:hAnsi="宋体"/>
          <w:b/>
          <w:bCs/>
          <w:color w:val="auto"/>
          <w:sz w:val="24"/>
          <w:highlight w:val="none"/>
          <w:lang w:eastAsia="zh-CN"/>
        </w:rPr>
        <w:t xml:space="preserve">投标供应商</w:t>
      </w:r>
      <w:r>
        <w:rPr>
          <w:rFonts w:hint="eastAsia" w:ascii="宋体" w:hAnsi="宋体"/>
          <w:b/>
          <w:bCs/>
          <w:color w:val="auto"/>
          <w:sz w:val="24"/>
          <w:highlight w:val="none"/>
        </w:rPr>
        <w:t xml:space="preserve">类似业绩一览表（格式）</w:t>
      </w:r>
      <w:r/>
    </w:p>
    <w:p>
      <w:pPr>
        <w:jc w:val="center"/>
        <w:spacing w:line="360" w:lineRule="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投标供应商</w:t>
      </w:r>
      <w:r>
        <w:rPr>
          <w:rFonts w:hint="eastAsia" w:ascii="宋体" w:hAnsi="宋体" w:cs="宋体"/>
          <w:b/>
          <w:bCs/>
          <w:color w:val="auto"/>
          <w:sz w:val="28"/>
          <w:szCs w:val="28"/>
          <w:highlight w:val="none"/>
        </w:rPr>
        <w:t xml:space="preserve">类似业绩一览表</w:t>
      </w:r>
      <w:r/>
    </w:p>
    <w:tbl>
      <w:tblPr>
        <w:tblStyle w:val="679"/>
        <w:tblW w:w="5056"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1"/>
        <w:gridCol w:w="1759"/>
        <w:gridCol w:w="1420"/>
        <w:gridCol w:w="1792"/>
        <w:gridCol w:w="2155"/>
        <w:gridCol w:w="1047"/>
      </w:tblGrid>
      <w:tr>
        <w:trPr>
          <w:trHeight w:val="935"/>
        </w:trPr>
        <w:tc>
          <w:tcPr>
            <w:tcW w:w="550" w:type="pct"/>
            <w:vAlign w:val="center"/>
            <w:textDirection w:val="lrTb"/>
            <w:noWrap w:val="false"/>
          </w:tcPr>
          <w:p>
            <w:pPr>
              <w:ind w:left="287" w:right="160"/>
              <w:jc w:val="center"/>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序号</w:t>
            </w:r>
            <w:r/>
          </w:p>
        </w:tc>
        <w:tc>
          <w:tcPr>
            <w:tcW w:w="957" w:type="pct"/>
            <w:vAlign w:val="center"/>
            <w:textDirection w:val="lrTb"/>
            <w:noWrap w:val="false"/>
          </w:tcPr>
          <w:p>
            <w:pPr>
              <w:ind w:left="340" w:right="210"/>
              <w:jc w:val="center"/>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项目名称</w:t>
            </w:r>
            <w:r/>
          </w:p>
        </w:tc>
        <w:tc>
          <w:tcPr>
            <w:tcW w:w="773" w:type="pct"/>
            <w:vAlign w:val="center"/>
            <w:textDirection w:val="lrTb"/>
            <w:noWrap w:val="false"/>
          </w:tcPr>
          <w:p>
            <w:pPr>
              <w:jc w:val="center"/>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合同签订时间</w:t>
            </w:r>
            <w:r/>
          </w:p>
        </w:tc>
        <w:tc>
          <w:tcPr>
            <w:tcW w:w="975" w:type="pct"/>
            <w:vAlign w:val="center"/>
            <w:textDirection w:val="lrTb"/>
            <w:noWrap w:val="false"/>
          </w:tcPr>
          <w:p>
            <w:pPr>
              <w:jc w:val="center"/>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合同金额</w:t>
            </w:r>
            <w:r/>
          </w:p>
          <w:p>
            <w:pPr>
              <w:jc w:val="center"/>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（人民币）</w:t>
            </w:r>
            <w:r/>
          </w:p>
        </w:tc>
        <w:tc>
          <w:tcPr>
            <w:tcW w:w="1173" w:type="pct"/>
            <w:vAlign w:val="center"/>
            <w:textDirection w:val="lrTb"/>
            <w:noWrap w:val="false"/>
          </w:tcPr>
          <w:p>
            <w:pPr>
              <w:ind w:left="340" w:right="210"/>
              <w:jc w:val="center"/>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项目业主</w:t>
            </w:r>
            <w:r/>
          </w:p>
        </w:tc>
        <w:tc>
          <w:tcPr>
            <w:tcW w:w="570" w:type="pct"/>
            <w:vAlign w:val="center"/>
            <w:textDirection w:val="lrTb"/>
            <w:noWrap w:val="false"/>
          </w:tcPr>
          <w:p>
            <w:pPr>
              <w:ind w:left="340" w:right="210"/>
              <w:jc w:val="center"/>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备注</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1 </w:t>
            </w:r>
            <w:r/>
          </w:p>
        </w:tc>
        <w:tc>
          <w:tcPr>
            <w:tcW w:w="957" w:type="pct"/>
            <w:textDirection w:val="lrTb"/>
            <w:noWrap w:val="false"/>
          </w:tcPr>
          <w:p>
            <w:pPr>
              <w:ind w:left="139"/>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7"/>
        </w:trPr>
        <w:tc>
          <w:tcPr>
            <w:tcW w:w="550" w:type="pct"/>
            <w:textDirection w:val="lrTb"/>
            <w:noWrap w:val="false"/>
          </w:tcPr>
          <w:p>
            <w:pPr>
              <w:ind w:left="287" w:right="150"/>
              <w:jc w:val="center"/>
              <w:spacing w:before="4" w:line="314" w:lineRule="exact"/>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2 </w:t>
            </w:r>
            <w:r/>
          </w:p>
        </w:tc>
        <w:tc>
          <w:tcPr>
            <w:tcW w:w="957" w:type="pct"/>
            <w:textDirection w:val="lrTb"/>
            <w:noWrap w:val="false"/>
          </w:tcPr>
          <w:p>
            <w:pPr>
              <w:ind w:left="139"/>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8"/>
        </w:trPr>
        <w:tc>
          <w:tcPr>
            <w:tcW w:w="550" w:type="pct"/>
            <w:textDirection w:val="lrTb"/>
            <w:noWrap w:val="false"/>
          </w:tcPr>
          <w:p>
            <w:pPr>
              <w:ind w:left="287" w:right="150"/>
              <w:jc w:val="center"/>
              <w:spacing w:before="1" w:line="317" w:lineRule="exact"/>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3 </w:t>
            </w:r>
            <w:r/>
          </w:p>
        </w:tc>
        <w:tc>
          <w:tcPr>
            <w:tcW w:w="957" w:type="pct"/>
            <w:textDirection w:val="lrTb"/>
            <w:noWrap w:val="false"/>
          </w:tcPr>
          <w:p>
            <w:pPr>
              <w:ind w:left="139"/>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4 </w:t>
            </w:r>
            <w:r/>
          </w:p>
        </w:tc>
        <w:tc>
          <w:tcPr>
            <w:tcW w:w="957" w:type="pct"/>
            <w:textDirection w:val="lrTb"/>
            <w:noWrap w:val="false"/>
          </w:tcPr>
          <w:p>
            <w:pPr>
              <w:ind w:left="139"/>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8"/>
        </w:trPr>
        <w:tc>
          <w:tcPr>
            <w:tcW w:w="550" w:type="pct"/>
            <w:textDirection w:val="lrTb"/>
            <w:noWrap w:val="false"/>
          </w:tcPr>
          <w:p>
            <w:pPr>
              <w:ind w:left="287" w:right="150"/>
              <w:jc w:val="center"/>
              <w:spacing w:before="4" w:line="314" w:lineRule="exact"/>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5 </w:t>
            </w:r>
            <w:r/>
          </w:p>
        </w:tc>
        <w:tc>
          <w:tcPr>
            <w:tcW w:w="957" w:type="pct"/>
            <w:textDirection w:val="lrTb"/>
            <w:noWrap w:val="false"/>
          </w:tcPr>
          <w:p>
            <w:pPr>
              <w:ind w:left="139"/>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4" w:line="314"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7"/>
        </w:trPr>
        <w:tc>
          <w:tcPr>
            <w:tcW w:w="550" w:type="pct"/>
            <w:textDirection w:val="lrTb"/>
            <w:noWrap w:val="false"/>
          </w:tcPr>
          <w:p>
            <w:pPr>
              <w:ind w:left="287" w:right="150"/>
              <w:jc w:val="center"/>
              <w:spacing w:before="1" w:line="317" w:lineRule="exact"/>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 </w:t>
            </w:r>
            <w:r/>
          </w:p>
        </w:tc>
        <w:tc>
          <w:tcPr>
            <w:tcW w:w="957" w:type="pct"/>
            <w:textDirection w:val="lrTb"/>
            <w:noWrap w:val="false"/>
          </w:tcPr>
          <w:p>
            <w:pPr>
              <w:ind w:left="139"/>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7" w:lineRule="exact"/>
              <w:rPr>
                <w:rFonts w:hint="eastAsia"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bl>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注：1、表格可自行延长。</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投 标 人：</w:t>
      </w:r>
      <w:r>
        <w:rPr>
          <w:rFonts w:hint="eastAsia" w:ascii="宋体" w:hAnsi="宋体" w:cs="宋体"/>
          <w:color w:val="auto"/>
          <w:sz w:val="24"/>
          <w:highlight w:val="none"/>
          <w:u w:val="single"/>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auto"/>
          <w:spacing w:val="-20"/>
          <w:sz w:val="24"/>
          <w:highlight w:val="none"/>
        </w:rPr>
      </w:pPr>
      <w:r>
        <w:rPr>
          <w:rFonts w:hint="eastAsia" w:ascii="宋体" w:hAnsi="宋体" w:cs="宋体"/>
          <w:color w:val="auto"/>
          <w:sz w:val="24"/>
          <w:highlight w:val="none"/>
        </w:rPr>
        <w:t xml:space="preserve">法定代表人或其授权代理人：</w:t>
      </w:r>
      <w:r>
        <w:rPr>
          <w:rFonts w:hint="eastAsia" w:ascii="宋体" w:hAnsi="宋体" w:cs="宋体"/>
          <w:color w:val="auto"/>
          <w:sz w:val="24"/>
          <w:highlight w:val="none"/>
          <w:u w:val="single"/>
        </w:rPr>
        <w:t xml:space="preserve">          （签字或盖章</w:t>
      </w:r>
      <w:r>
        <w:rPr>
          <w:rFonts w:hint="eastAsia" w:ascii="宋体" w:hAnsi="宋体" w:cs="宋体"/>
          <w:color w:val="auto"/>
          <w:spacing w:val="-20"/>
          <w:sz w:val="24"/>
          <w:highlight w:val="none"/>
          <w:u w:val="single"/>
        </w:rPr>
        <w:t xml:space="preserve">）</w:t>
      </w:r>
      <w:r/>
    </w:p>
    <w:p>
      <w:pPr>
        <w:rPr>
          <w:rFonts w:hint="eastAsia"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52"/>
        <w:rPr>
          <w:color w:val="auto"/>
          <w:highlight w:val="none"/>
        </w:rPr>
      </w:pPr>
      <w:r>
        <w:rPr>
          <w:color w:val="auto"/>
          <w:highlight w:val="none"/>
        </w:rPr>
      </w:r>
      <w:r/>
    </w:p>
    <w:p>
      <w:pPr>
        <w:jc w:val="center"/>
        <w:spacing w:line="360" w:lineRule="auto"/>
        <w:rPr>
          <w:rFonts w:ascii="黑体" w:eastAsia="黑体"/>
          <w:b/>
          <w:color w:val="auto"/>
          <w:sz w:val="32"/>
          <w:highlight w:val="none"/>
        </w:rPr>
      </w:pPr>
      <w:r>
        <w:rPr>
          <w:rFonts w:hint="eastAsia"/>
          <w:bCs/>
          <w:color w:val="auto"/>
          <w:sz w:val="24"/>
          <w:highlight w:val="none"/>
        </w:rPr>
        <w:t xml:space="preserve">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left="720" w:hanging="720"/>
        <w:spacing w:line="360" w:lineRule="auto"/>
        <w:rPr>
          <w:rFonts w:ascii="黑体" w:eastAsia="黑体"/>
          <w:bCs/>
          <w:color w:val="auto"/>
          <w:sz w:val="24"/>
          <w:highlight w:val="none"/>
        </w:rPr>
      </w:pPr>
      <w:r>
        <w:rPr>
          <w:rFonts w:ascii="黑体" w:eastAsia="黑体"/>
          <w:bCs/>
          <w:color w:val="auto"/>
          <w:sz w:val="24"/>
          <w:highlight w:val="none"/>
        </w:rPr>
      </w:r>
      <w:r/>
    </w:p>
    <w:p>
      <w:pPr>
        <w:ind w:left="720" w:hanging="720"/>
        <w:spacing w:line="360" w:lineRule="auto"/>
        <w:rPr>
          <w:rFonts w:ascii="黑体" w:eastAsia="黑体"/>
          <w:bCs/>
          <w:color w:val="auto"/>
          <w:sz w:val="24"/>
          <w:highlight w:val="none"/>
        </w:rPr>
      </w:pPr>
      <w:r>
        <w:rPr>
          <w:rFonts w:ascii="黑体" w:eastAsia="黑体"/>
          <w:bCs/>
          <w:color w:val="auto"/>
          <w:sz w:val="24"/>
          <w:highlight w:val="none"/>
        </w:rPr>
      </w:r>
      <w:r/>
    </w:p>
    <w:p>
      <w:pPr>
        <w:jc w:val="center"/>
        <w:rPr>
          <w:rFonts w:hint="eastAsia" w:hAnsi="宋体" w:cs="宋体"/>
          <w:b/>
          <w:bCs/>
          <w:color w:val="auto"/>
          <w:sz w:val="28"/>
          <w:szCs w:val="28"/>
          <w:highlight w:val="none"/>
        </w:rPr>
      </w:pPr>
      <w:r>
        <w:rPr>
          <w:rFonts w:hint="eastAsia" w:hAnsi="宋体" w:cs="宋体"/>
          <w:b/>
          <w:bCs/>
          <w:color w:val="auto"/>
          <w:sz w:val="28"/>
          <w:szCs w:val="28"/>
          <w:highlight w:val="none"/>
        </w:rPr>
      </w:r>
      <w:r/>
    </w:p>
    <w:p>
      <w:pPr>
        <w:ind w:left="425" w:hanging="425"/>
        <w:rPr>
          <w:rFonts w:hint="eastAsia" w:ascii="宋体" w:hAnsi="宋体" w:cs="宋体"/>
          <w:bCs/>
          <w:color w:val="auto"/>
          <w:sz w:val="24"/>
          <w:highlight w:val="none"/>
        </w:rPr>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outlineLvl w:val="0"/>
      </w:pPr>
      <w:r>
        <w:rPr>
          <w:rFonts w:hint="eastAsia" w:ascii="宋体" w:hAnsi="宋体" w:cs="宋体"/>
          <w:bCs/>
          <w:color w:val="auto"/>
          <w:sz w:val="24"/>
          <w:highlight w:val="none"/>
        </w:rPr>
        <w:br w:type="page" w:clear="all"/>
      </w:r>
      <w:r/>
    </w:p>
    <w:p>
      <w:pPr>
        <w:ind w:left="425" w:hanging="425"/>
        <w:rPr>
          <w:rFonts w:hint="eastAsia" w:ascii="宋体" w:hAnsi="宋体" w:cs="宋体"/>
          <w:bCs/>
          <w:color w:val="auto"/>
          <w:sz w:val="24"/>
          <w:highlight w:val="none"/>
        </w:rPr>
        <w:outlineLvl w:val="0"/>
      </w:pPr>
      <w:r>
        <w:rPr>
          <w:rFonts w:hint="eastAsia" w:ascii="宋体" w:hAnsi="宋体"/>
          <w:b/>
          <w:bCs/>
          <w:color w:val="auto"/>
          <w:sz w:val="24"/>
          <w:highlight w:val="none"/>
        </w:rPr>
        <w:t xml:space="preserve">（十一）</w:t>
      </w:r>
      <w:r>
        <w:rPr>
          <w:rFonts w:hint="eastAsia" w:ascii="宋体" w:hAnsi="宋体"/>
          <w:b/>
          <w:bCs/>
          <w:color w:val="auto"/>
          <w:sz w:val="24"/>
          <w:highlight w:val="none"/>
          <w:lang w:eastAsia="zh-CN"/>
        </w:rPr>
        <w:t xml:space="preserve">技术偏离表</w:t>
      </w:r>
      <w:r>
        <w:rPr>
          <w:rFonts w:hint="eastAsia" w:ascii="宋体" w:hAnsi="宋体"/>
          <w:b/>
          <w:bCs/>
          <w:color w:val="auto"/>
          <w:sz w:val="24"/>
          <w:highlight w:val="none"/>
        </w:rPr>
        <w:t xml:space="preserve">（格式）</w:t>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jc w:val="center"/>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lang w:eastAsia="zh-CN"/>
        </w:rPr>
        <w:t xml:space="preserve">技术偏离表</w:t>
      </w:r>
      <w:r/>
    </w:p>
    <w:p>
      <w:pPr>
        <w:ind w:firstLine="241"/>
        <w:spacing w:line="360" w:lineRule="auto"/>
        <w:rPr>
          <w:rFonts w:ascii="宋体" w:hAnsi="宋体"/>
          <w:color w:val="auto"/>
          <w:sz w:val="24"/>
          <w:highlight w:val="none"/>
        </w:rPr>
      </w:pPr>
      <w:r>
        <w:rPr>
          <w:rFonts w:hint="eastAsia" w:ascii="宋体" w:hAnsi="宋体"/>
          <w:b/>
          <w:color w:val="auto"/>
          <w:sz w:val="24"/>
          <w:highlight w:val="none"/>
          <w:lang w:eastAsia="zh-CN"/>
        </w:rPr>
        <w:t xml:space="preserve">投标人</w:t>
      </w:r>
      <w:r>
        <w:rPr>
          <w:rFonts w:hint="eastAsia" w:ascii="宋体" w:hAnsi="宋体"/>
          <w:b/>
          <w:color w:val="auto"/>
          <w:sz w:val="24"/>
          <w:highlight w:val="none"/>
        </w:rPr>
        <w:t xml:space="preserve">名称（盖章）                                                          </w:t>
      </w:r>
      <w:r>
        <w:rPr>
          <w:rFonts w:hint="eastAsia" w:ascii="宋体" w:hAnsi="宋体"/>
          <w:b/>
          <w:color w:val="auto"/>
          <w:sz w:val="24"/>
          <w:highlight w:val="none"/>
          <w:lang w:eastAsia="zh-CN"/>
        </w:rPr>
        <w:t xml:space="preserve">项目编号</w:t>
      </w:r>
      <w:r>
        <w:rPr>
          <w:rFonts w:hint="eastAsia" w:ascii="宋体" w:hAnsi="宋体"/>
          <w:b/>
          <w:color w:val="auto"/>
          <w:sz w:val="24"/>
          <w:highlight w:val="none"/>
        </w:rPr>
        <w:t xml:space="preserve">：</w:t>
      </w:r>
      <w:r/>
    </w:p>
    <w:tbl>
      <w:tblPr>
        <w:tblStyle w:val="679"/>
        <w:tblW w:w="13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114"/>
        <w:gridCol w:w="4850"/>
        <w:gridCol w:w="1869"/>
        <w:gridCol w:w="2463"/>
        <w:gridCol w:w="1475"/>
      </w:tblGrid>
      <w:tr>
        <w:trPr>
          <w:jc w:val="center"/>
          <w:trHeight w:val="493"/>
        </w:trPr>
        <w:tc>
          <w:tcPr>
            <w:tcW w:w="805"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2114"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4850"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技术参数</w:t>
            </w:r>
            <w:r/>
          </w:p>
        </w:tc>
        <w:tc>
          <w:tcPr>
            <w:tcW w:w="1869"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实报技术参数</w:t>
            </w:r>
            <w:r/>
          </w:p>
        </w:tc>
        <w:tc>
          <w:tcPr>
            <w:tcW w:w="2463"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偏离说明(无偏离/正偏离/负偏离，偏离内容)</w:t>
            </w:r>
            <w:r/>
          </w:p>
        </w:tc>
        <w:tc>
          <w:tcPr>
            <w:tcW w:w="1475"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技术支持资料对应页码</w:t>
            </w:r>
            <w:r/>
          </w:p>
        </w:tc>
      </w:tr>
      <w:tr>
        <w:trPr>
          <w:jc w:val="center"/>
          <w:trHeight w:val="302"/>
        </w:trPr>
        <w:tc>
          <w:tcPr>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1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85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63"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7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09"/>
        </w:trPr>
        <w:tc>
          <w:tcPr>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850" w:type="dxa"/>
            <w:vAlign w:val="top"/>
            <w:textDirection w:val="lrTb"/>
            <w:noWrap w:val="false"/>
          </w:tcPr>
          <w:p>
            <w:pPr>
              <w:ind w:firstLine="21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vAlign w:val="top"/>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2463" w:type="dxa"/>
            <w:vAlign w:val="top"/>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475" w:type="dxa"/>
            <w:vAlign w:val="top"/>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850" w:type="dxa"/>
            <w:vAlign w:val="top"/>
            <w:textDirection w:val="lrTb"/>
            <w:noWrap w:val="false"/>
          </w:tcPr>
          <w:p>
            <w:pPr>
              <w:ind w:firstLine="210"/>
              <w:jc w:val="left"/>
              <w:spacing w:line="276"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vAlign w:val="top"/>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463" w:type="dxa"/>
            <w:vAlign w:val="top"/>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75" w:type="dxa"/>
            <w:vAlign w:val="top"/>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850" w:type="dxa"/>
            <w:vAlign w:val="top"/>
            <w:textDirection w:val="lrTb"/>
            <w:noWrap w:val="false"/>
          </w:tcPr>
          <w:p>
            <w:pPr>
              <w:ind w:firstLine="21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vAlign w:val="top"/>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2463" w:type="dxa"/>
            <w:vAlign w:val="top"/>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475" w:type="dxa"/>
            <w:vAlign w:val="top"/>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850" w:type="dxa"/>
            <w:vAlign w:val="top"/>
            <w:textDirection w:val="lrTb"/>
            <w:noWrap w:val="false"/>
          </w:tcPr>
          <w:p>
            <w:pPr>
              <w:ind w:firstLine="210"/>
              <w:jc w:val="left"/>
              <w:spacing w:line="276"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vAlign w:val="top"/>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463" w:type="dxa"/>
            <w:vAlign w:val="top"/>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75" w:type="dxa"/>
            <w:vAlign w:val="top"/>
            <w:textDirection w:val="lrTb"/>
            <w:noWrap w:val="false"/>
          </w:tcPr>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696"/>
        <w:tabs>
          <w:tab w:val="center" w:pos="4153" w:leader="none"/>
          <w:tab w:val="clear" w:pos="7143" w:leader="none"/>
          <w:tab w:val="right" w:pos="8306" w:leader="none"/>
          <w:tab w:val="clear" w:pos="14287" w:leader="none"/>
        </w:tabs>
        <w:rPr>
          <w:rFonts w:hint="eastAsia"/>
          <w:color w:val="auto"/>
          <w:highlight w:val="none"/>
        </w:rPr>
      </w:pPr>
      <w:r>
        <w:rPr>
          <w:rFonts w:hint="eastAsia"/>
          <w:color w:val="auto"/>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法定代表人或授权代表签字：</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rPr>
          <w:rFonts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本表不得删除；</w:t>
      </w:r>
      <w:r/>
    </w:p>
    <w:p>
      <w:pPr>
        <w:ind w:firstLine="480"/>
        <w:rPr>
          <w:rFonts w:hint="eastAsia" w:ascii="宋体" w:hAnsi="宋体"/>
          <w:bCs/>
          <w:color w:val="auto"/>
          <w:sz w:val="24"/>
          <w:highlight w:val="none"/>
        </w:rPr>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如无任何技术偏离，请于本表 “偏离说明”中注明“无偏离”；</w:t>
      </w:r>
      <w:r/>
    </w:p>
    <w:p>
      <w:pPr>
        <w:ind w:firstLine="480"/>
        <w:rPr>
          <w:rFonts w:hint="eastAsia" w:ascii="宋体" w:hAnsi="宋体" w:eastAsia="宋体" w:cs="宋体"/>
          <w:color w:val="auto"/>
          <w:sz w:val="24"/>
          <w:highlight w:val="none"/>
        </w:rPr>
        <w:sectPr>
          <w:footnotePr/>
          <w:endnotePr/>
          <w:type w:val="nextPage"/>
          <w:pgSz w:w="16838" w:h="11906" w:orient="landscape"/>
          <w:pgMar w:top="1417" w:right="1417" w:bottom="1417" w:left="1417" w:header="851" w:footer="992" w:gutter="0"/>
          <w:cols w:num="1" w:sep="0" w:space="1701" w:equalWidth="1"/>
          <w:docGrid w:linePitch="360"/>
        </w:sectPr>
      </w:pPr>
      <w:r>
        <w:rPr>
          <w:rFonts w:hint="eastAsia" w:ascii="宋体" w:hAnsi="宋体"/>
          <w:bCs/>
          <w:color w:val="auto"/>
          <w:sz w:val="24"/>
          <w:highlight w:val="none"/>
          <w:lang w:eastAsia="zh-CN"/>
        </w:rPr>
        <w:t xml:space="preserve">(3)</w:t>
      </w:r>
      <w:r>
        <w:rPr>
          <w:rFonts w:hint="eastAsia" w:ascii="宋体" w:hAnsi="宋体"/>
          <w:bCs/>
          <w:color w:val="auto"/>
          <w:sz w:val="24"/>
          <w:highlight w:val="none"/>
        </w:rPr>
        <w:t xml:space="preserve">如有技术偏离项，</w:t>
      </w:r>
      <w:r>
        <w:rPr>
          <w:rFonts w:hint="eastAsia" w:ascii="宋体" w:hAnsi="宋体"/>
          <w:b/>
          <w:color w:val="auto"/>
          <w:sz w:val="24"/>
          <w:highlight w:val="none"/>
        </w:rPr>
        <w:t xml:space="preserve">请于本表中列明正偏离或者负偏离并说明偏离内容</w:t>
      </w:r>
      <w:r>
        <w:rPr>
          <w:rFonts w:hint="eastAsia" w:ascii="宋体" w:hAnsi="宋体"/>
          <w:bCs/>
          <w:color w:val="auto"/>
          <w:sz w:val="24"/>
          <w:highlight w:val="none"/>
        </w:rPr>
        <w:t xml:space="preserve">，如需要可自行延长，其余无偏离内容不须赘述。</w:t>
      </w:r>
      <w:r>
        <w:rPr>
          <w:rFonts w:hint="eastAsia" w:ascii="宋体" w:hAnsi="宋体" w:eastAsia="宋体" w:cs="宋体"/>
          <w:color w:val="auto"/>
          <w:sz w:val="24"/>
          <w:highlight w:val="none"/>
        </w:rPr>
        <w:br w:type="page" w:clear="all"/>
      </w:r>
      <w:r/>
    </w:p>
    <w:p>
      <w:pPr>
        <w:ind w:left="425" w:hanging="425"/>
        <w:rPr>
          <w:rFonts w:hint="eastAsia" w:ascii="宋体" w:hAnsi="宋体" w:eastAsia="宋体" w:cs="宋体"/>
          <w:color w:val="auto"/>
          <w:sz w:val="24"/>
          <w:highlight w:val="none"/>
        </w:rPr>
        <w:outlineLvl w:val="0"/>
      </w:pPr>
      <w:r>
        <w:rPr>
          <w:rFonts w:hint="eastAsia" w:ascii="宋体" w:hAnsi="宋体"/>
          <w:b/>
          <w:bCs/>
          <w:color w:val="auto"/>
          <w:sz w:val="24"/>
          <w:highlight w:val="none"/>
        </w:rPr>
        <w:t xml:space="preserve">（十二）投标供应商简介和经营情况说明（格式）</w:t>
      </w:r>
      <w:r/>
    </w:p>
    <w:p>
      <w:pPr>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投标供应商情况表</w:t>
      </w:r>
      <w:r/>
    </w:p>
    <w:p>
      <w:pPr>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tbl>
      <w:tblPr>
        <w:tblStyle w:val="679"/>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其中：</w:t>
            </w:r>
            <w:r/>
          </w:p>
          <w:p>
            <w:pPr>
              <w:ind w:left="959" w:hanging="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中级职称</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人数、</w:t>
            </w:r>
            <w:r/>
          </w:p>
          <w:p>
            <w:pPr>
              <w:ind w:left="959" w:hanging="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高级职称</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办公面积</w:t>
            </w:r>
            <w:r/>
          </w:p>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自有面积    平方米</w:t>
            </w:r>
            <w:r/>
          </w:p>
          <w:p>
            <w:pPr>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bCs/>
                <w:color w:val="auto"/>
                <w:sz w:val="24"/>
                <w:szCs w:val="20"/>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bl>
    <w:p>
      <w:pPr>
        <w:pStyle w:val="681"/>
        <w:ind w:left="2940"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681"/>
        <w:ind w:firstLine="0"/>
        <w:rPr>
          <w:rFonts w:hint="eastAsia" w:ascii="宋体" w:hAnsi="宋体" w:cs="宋体"/>
          <w:color w:val="auto"/>
          <w:sz w:val="24"/>
          <w:highlight w:val="none"/>
        </w:rPr>
      </w:pPr>
      <w:r>
        <w:rPr>
          <w:rFonts w:hint="eastAsia" w:ascii="宋体" w:hAnsi="宋体" w:cs="宋体"/>
          <w:color w:val="auto"/>
          <w:sz w:val="24"/>
          <w:highlight w:val="none"/>
        </w:rPr>
        <w:t xml:space="preserve">投标供应商（盖章）：</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法定代表人或其授权代表签字：</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ind w:firstLine="321"/>
        <w:jc w:val="left"/>
        <w:spacing w:line="500" w:lineRule="exact"/>
        <w:widowControl/>
        <w:tabs>
          <w:tab w:val="left" w:pos="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1"/>
        <w:jc w:val="left"/>
        <w:spacing w:line="500" w:lineRule="exact"/>
        <w:widowControl/>
        <w:tabs>
          <w:tab w:val="left" w:pos="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left"/>
        <w:spacing w:line="360" w:lineRule="auto"/>
        <w:widowControl/>
        <w:rPr>
          <w:rFonts w:hint="eastAsia" w:ascii="宋体" w:hAnsi="宋体" w:cs="宋体"/>
          <w:b/>
          <w:bCs/>
          <w:color w:val="auto"/>
          <w:sz w:val="24"/>
          <w:szCs w:val="28"/>
          <w:highlight w:val="none"/>
        </w:rPr>
        <w:outlineLvl w:val="0"/>
      </w:pPr>
      <w:r>
        <w:rPr>
          <w:rFonts w:hint="eastAsia" w:ascii="宋体" w:hAnsi="宋体" w:cs="宋体"/>
          <w:b/>
          <w:bCs/>
          <w:color w:val="auto"/>
          <w:sz w:val="24"/>
          <w:szCs w:val="28"/>
          <w:highlight w:val="none"/>
        </w:rPr>
        <w:t xml:space="preserve">（十三）评分标准中对应的其它所需证明材料（如有自行添加）</w:t>
      </w:r>
      <w:r/>
    </w:p>
    <w:p>
      <w:pPr>
        <w:jc w:val="left"/>
        <w:spacing w:line="360" w:lineRule="auto"/>
        <w:widowControl/>
        <w:rPr>
          <w:rFonts w:hint="eastAsia" w:ascii="宋体" w:hAnsi="宋体" w:cs="宋体"/>
          <w:b/>
          <w:bCs/>
          <w:color w:val="auto"/>
          <w:sz w:val="24"/>
          <w:szCs w:val="28"/>
          <w:highlight w:val="none"/>
        </w:rPr>
        <w:outlineLvl w:val="0"/>
      </w:pPr>
      <w:r>
        <w:rPr>
          <w:rFonts w:hint="eastAsia" w:ascii="宋体" w:hAnsi="宋体" w:cs="宋体"/>
          <w:b/>
          <w:bCs/>
          <w:color w:val="auto"/>
          <w:sz w:val="24"/>
          <w:szCs w:val="28"/>
          <w:highlight w:val="none"/>
        </w:rPr>
        <w:t xml:space="preserve">（十四）要求采购人提供的配合（如有自拟并自行添加）</w:t>
      </w:r>
      <w:r/>
    </w:p>
    <w:p>
      <w:pPr>
        <w:jc w:val="left"/>
        <w:spacing w:line="360" w:lineRule="auto"/>
        <w:widowControl/>
        <w:rPr>
          <w:rFonts w:hint="eastAsia" w:ascii="宋体" w:hAnsi="宋体" w:cs="宋体"/>
          <w:b/>
          <w:bCs/>
          <w:color w:val="auto"/>
          <w:sz w:val="24"/>
          <w:szCs w:val="28"/>
          <w:highlight w:val="none"/>
        </w:rPr>
        <w:outlineLvl w:val="0"/>
      </w:pPr>
      <w:r>
        <w:rPr>
          <w:rFonts w:hint="eastAsia" w:ascii="宋体" w:hAnsi="宋体" w:cs="宋体"/>
          <w:b/>
          <w:bCs/>
          <w:color w:val="auto"/>
          <w:sz w:val="24"/>
          <w:szCs w:val="28"/>
          <w:highlight w:val="none"/>
        </w:rPr>
        <w:t xml:space="preserve">（十五）其它（供应商认为有必要提供的声明和文件，如有自拟并自行添加）</w:t>
      </w:r>
      <w:r/>
    </w:p>
    <w:p>
      <w:pPr>
        <w:rPr>
          <w:rFonts w:hint="eastAsia" w:ascii="宋体" w:hAnsi="宋体" w:cs="宋体"/>
          <w:color w:val="auto"/>
          <w:highlight w:val="none"/>
        </w:rPr>
      </w:pPr>
      <w:r>
        <w:rPr>
          <w:rFonts w:hint="eastAsia" w:ascii="宋体" w:hAnsi="宋体" w:cs="宋体"/>
          <w:color w:val="auto"/>
          <w:highlight w:val="none"/>
        </w:rPr>
      </w:r>
      <w:r/>
    </w:p>
    <w:p>
      <w:pPr>
        <w:spacing w:line="48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1">
    <w:multiLevelType w:val="hybridMultilevel"/>
    <w:lvl w:ilvl="0">
      <w:start w:val="1"/>
      <w:numFmt w:val="lowerLetter"/>
      <w:pStyle w:val="1176"/>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
    <w:multiLevelType w:val="hybridMultilevel"/>
    <w:lvl w:ilvl="0">
      <w:start w:val="1"/>
      <w:numFmt w:val="chineseCountingThousand"/>
      <w:pStyle w:val="902"/>
      <w:isLgl w:val="false"/>
      <w:suff w:val="tab"/>
      <w:lvlText w:val="第%1部分"/>
      <w:lvlJc w:val="left"/>
      <w:pPr>
        <w:ind w:left="425" w:hanging="425"/>
        <w:tabs>
          <w:tab w:val="left" w:pos="1800" w:leader="none"/>
        </w:tabs>
      </w:pPr>
      <w:rPr>
        <w:rFonts w:hint="eastAsia"/>
      </w:rPr>
    </w:lvl>
    <w:lvl w:ilvl="1">
      <w:start w:val="1"/>
      <w:numFmt w:val="decimal"/>
      <w:pStyle w:val="903"/>
      <w:isLgl w:val="false"/>
      <w:suff w:val="tab"/>
      <w:lvlText w:val="%1.%2"/>
      <w:lvlJc w:val="left"/>
      <w:pPr>
        <w:ind w:left="567" w:hanging="567"/>
        <w:tabs>
          <w:tab w:val="left" w:pos="567" w:leader="none"/>
        </w:tabs>
      </w:pPr>
      <w:rPr>
        <w:rFonts w:hint="eastAsia"/>
      </w:rPr>
    </w:lvl>
    <w:lvl w:ilvl="2">
      <w:start w:val="1"/>
      <w:numFmt w:val="decimal"/>
      <w:pStyle w:val="1008"/>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5"/>
      <w:isLgl w:val="false"/>
      <w:suff w:val="tab"/>
      <w:lvlText w:val="%1.%2.%3.%4.%5"/>
      <w:lvlJc w:val="left"/>
      <w:pPr>
        <w:ind w:left="992" w:hanging="992"/>
        <w:tabs>
          <w:tab w:val="left" w:pos="1080" w:leader="none"/>
        </w:tabs>
      </w:pPr>
      <w:rPr>
        <w:rFonts w:hint="eastAsia"/>
      </w:rPr>
    </w:lvl>
    <w:lvl w:ilvl="5">
      <w:start w:val="1"/>
      <w:numFmt w:val="decimal"/>
      <w:pStyle w:val="90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0"/>
      <w:numFmt w:val="decimal"/>
      <w:pStyle w:val="1146"/>
      <w:isLgl w:val="false"/>
      <w:suff w:val="tab"/>
      <w:lvlText w:val=""/>
      <w:lvlJc w:val="left"/>
      <w:pPr>
        <w:tabs>
          <w:tab w:val="left" w:pos="360" w:leader="none"/>
        </w:tabs>
      </w:pPr>
    </w:lvl>
    <w:lvl w:ilvl="1">
      <w:start w:val="1"/>
      <w:numFmt w:val="bullet"/>
      <w:pStyle w:val="118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ind w:left="1325" w:hanging="765"/>
      </w:pPr>
      <w:rPr>
        <w:rFonts w:hint="default"/>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4"/>
  </w:num>
  <w:num w:numId="2">
    <w:abstractNumId w:val="2"/>
  </w:num>
  <w:num w:numId="3">
    <w:abstractNumId w:val="8"/>
  </w:num>
  <w:num w:numId="4">
    <w:abstractNumId w:val="1"/>
  </w:num>
  <w:num w:numId="5">
    <w:abstractNumId w:val="0"/>
    <w:lvlOverride w:ilvl="0">
      <w:lvl w:ilvl="0">
        <w:start w:val="1"/>
        <w:numFmt w:val="decimal"/>
        <w:pStyle w:val="1199"/>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3"/>
  </w:num>
  <w:num w:numId="7">
    <w:abstractNumId w:val="6"/>
  </w:num>
  <w:num w:numId="8">
    <w:abstractNumId w:val="9"/>
  </w:num>
  <w:num w:numId="9">
    <w:abstractNumId w:val="5"/>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link w:val="755"/>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56"/>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57"/>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5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59"/>
    <w:uiPriority w:val="9"/>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60"/>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62"/>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63"/>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spacing w:after="57"/>
    </w:pPr>
  </w:style>
  <w:style w:type="paragraph" w:styleId="681">
    <w:name w:val="Normal Indent"/>
    <w:basedOn w:val="668"/>
    <w:uiPriority w:val="0"/>
    <w:qFormat/>
    <w:pPr>
      <w:ind w:firstLine="420"/>
    </w:pPr>
    <w:rPr>
      <w:rFonts w:ascii="Calibri" w:hAnsi="Calibri"/>
    </w:r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8"/>
    <w:uiPriority w:val="99"/>
    <w:semiHidden/>
    <w:unhideWhenUsed/>
    <w:qFormat/>
    <w:pPr>
      <w:jc w:val="left"/>
    </w:pPr>
  </w:style>
  <w:style w:type="paragraph" w:styleId="684">
    <w:name w:val="Body Text"/>
    <w:basedOn w:val="668"/>
    <w:next w:val="685"/>
    <w:uiPriority w:val="0"/>
    <w:qFormat/>
    <w:rPr>
      <w:rFonts w:ascii="华文中宋" w:hAnsi="Calibri" w:eastAsia="华文中宋"/>
      <w:bCs/>
      <w:sz w:val="28"/>
    </w:rPr>
  </w:style>
  <w:style w:type="paragraph" w:styleId="685">
    <w:name w:val="Date"/>
    <w:basedOn w:val="668"/>
    <w:next w:val="668"/>
    <w:uiPriority w:val="0"/>
    <w:qFormat/>
    <w:pPr>
      <w:ind w:left="100"/>
    </w:pPr>
    <w:rPr>
      <w:rFonts w:ascii="隶书" w:eastAsia="隶书"/>
      <w:b/>
      <w:sz w:val="28"/>
    </w:rPr>
  </w:style>
  <w:style w:type="paragraph" w:styleId="686">
    <w:name w:val="Body Text Indent"/>
    <w:basedOn w:val="668"/>
    <w:uiPriority w:val="0"/>
    <w:qFormat/>
    <w:pPr>
      <w:ind w:left="420"/>
      <w:spacing w:after="120"/>
    </w:pPr>
  </w:style>
  <w:style w:type="paragraph" w:styleId="687">
    <w:name w:val="List 2"/>
    <w:basedOn w:val="668"/>
    <w:uiPriority w:val="0"/>
    <w:qFormat/>
    <w:pPr>
      <w:ind w:left="840" w:hanging="420"/>
    </w:pPr>
    <w:rPr>
      <w:rFonts w:hAnsi="新宋体"/>
      <w:color w:val="000000"/>
      <w:spacing w:val="-8"/>
      <w:szCs w:val="20"/>
    </w:rPr>
  </w:style>
  <w:style w:type="paragraph" w:styleId="688">
    <w:name w:val="Block Text"/>
    <w:basedOn w:val="668"/>
    <w:uiPriority w:val="0"/>
    <w:qFormat/>
    <w:pPr>
      <w:ind w:left="420" w:right="33"/>
      <w:jc w:val="left"/>
    </w:pPr>
    <w:rPr>
      <w:sz w:val="24"/>
      <w:szCs w:val="20"/>
    </w:rPr>
  </w:style>
  <w:style w:type="paragraph" w:styleId="689">
    <w:name w:val="index 4"/>
    <w:basedOn w:val="668"/>
    <w:next w:val="668"/>
    <w:uiPriority w:val="0"/>
    <w:qFormat/>
    <w:pPr>
      <w:ind w:left="600"/>
    </w:pPr>
  </w:style>
  <w:style w:type="paragraph" w:styleId="690">
    <w:name w:val="toc 5"/>
    <w:basedOn w:val="668"/>
    <w:next w:val="668"/>
    <w:uiPriority w:val="39"/>
    <w:unhideWhenUsed/>
    <w:qFormat/>
    <w:pPr>
      <w:ind w:left="1134"/>
      <w:spacing w:after="57"/>
    </w:pPr>
  </w:style>
  <w:style w:type="paragraph" w:styleId="691">
    <w:name w:val="toc 3"/>
    <w:basedOn w:val="668"/>
    <w:next w:val="668"/>
    <w:uiPriority w:val="39"/>
    <w:unhideWhenUsed/>
    <w:qFormat/>
    <w:pPr>
      <w:ind w:left="567"/>
      <w:spacing w:after="57"/>
    </w:pPr>
  </w:style>
  <w:style w:type="paragraph" w:styleId="692">
    <w:name w:val="Plain Text"/>
    <w:basedOn w:val="668"/>
    <w:uiPriority w:val="0"/>
    <w:qFormat/>
    <w:rPr>
      <w:rFonts w:ascii="宋体" w:hAnsi="Courier New"/>
      <w:sz w:val="20"/>
      <w:szCs w:val="21"/>
    </w:rPr>
  </w:style>
  <w:style w:type="paragraph" w:styleId="693">
    <w:name w:val="List Bullet 5"/>
    <w:basedOn w:val="668"/>
    <w:uiPriority w:val="99"/>
    <w:semiHidden/>
    <w:unhideWhenUsed/>
    <w:qFormat/>
    <w:pPr>
      <w:numPr>
        <w:ilvl w:val="0"/>
        <w:numId w:val="1"/>
      </w:numPr>
    </w:pPr>
  </w:style>
  <w:style w:type="paragraph" w:styleId="694">
    <w:name w:val="toc 8"/>
    <w:basedOn w:val="668"/>
    <w:next w:val="668"/>
    <w:uiPriority w:val="39"/>
    <w:unhideWhenUsed/>
    <w:qFormat/>
    <w:pPr>
      <w:ind w:left="1984"/>
      <w:spacing w:after="57"/>
    </w:pPr>
  </w:style>
  <w:style w:type="paragraph" w:styleId="695">
    <w:name w:val="endnote text"/>
    <w:basedOn w:val="668"/>
    <w:link w:val="900"/>
    <w:uiPriority w:val="99"/>
    <w:semiHidden/>
    <w:unhideWhenUsed/>
    <w:qFormat/>
    <w:rPr>
      <w:sz w:val="20"/>
    </w:rPr>
  </w:style>
  <w:style w:type="paragraph" w:styleId="696">
    <w:name w:val="Footer"/>
    <w:basedOn w:val="668"/>
    <w:link w:val="773"/>
    <w:uiPriority w:val="99"/>
    <w:unhideWhenUsed/>
    <w:qFormat/>
    <w:pPr>
      <w:tabs>
        <w:tab w:val="center" w:pos="7143" w:leader="none"/>
        <w:tab w:val="right" w:pos="14287" w:leader="none"/>
      </w:tabs>
    </w:pPr>
  </w:style>
  <w:style w:type="paragraph" w:styleId="697">
    <w:name w:val="Header"/>
    <w:basedOn w:val="668"/>
    <w:link w:val="771"/>
    <w:uiPriority w:val="99"/>
    <w:unhideWhenUsed/>
    <w:qFormat/>
    <w:pPr>
      <w:tabs>
        <w:tab w:val="center" w:pos="7143" w:leader="none"/>
        <w:tab w:val="right" w:pos="14287" w:leader="none"/>
      </w:tabs>
    </w:pPr>
  </w:style>
  <w:style w:type="paragraph" w:styleId="698">
    <w:name w:val="toc 1"/>
    <w:basedOn w:val="668"/>
    <w:next w:val="668"/>
    <w:uiPriority w:val="39"/>
    <w:unhideWhenUsed/>
    <w:qFormat/>
    <w:pPr>
      <w:spacing w:after="57"/>
    </w:pPr>
  </w:style>
  <w:style w:type="paragraph" w:styleId="699">
    <w:name w:val="toc 4"/>
    <w:basedOn w:val="668"/>
    <w:next w:val="668"/>
    <w:uiPriority w:val="39"/>
    <w:unhideWhenUsed/>
    <w:qFormat/>
    <w:pPr>
      <w:ind w:left="850"/>
      <w:spacing w:after="57"/>
    </w:pPr>
  </w:style>
  <w:style w:type="paragraph" w:styleId="700">
    <w:name w:val="Subtitle"/>
    <w:basedOn w:val="668"/>
    <w:next w:val="668"/>
    <w:link w:val="766"/>
    <w:uiPriority w:val="11"/>
    <w:qFormat/>
    <w:pPr>
      <w:spacing w:before="200" w:after="200"/>
    </w:pPr>
    <w:rPr>
      <w:sz w:val="24"/>
    </w:rPr>
  </w:style>
  <w:style w:type="paragraph" w:styleId="701">
    <w:name w:val="footnote text"/>
    <w:basedOn w:val="668"/>
    <w:link w:val="899"/>
    <w:uiPriority w:val="99"/>
    <w:semiHidden/>
    <w:unhideWhenUsed/>
    <w:qFormat/>
    <w:pPr>
      <w:spacing w:after="40"/>
    </w:pPr>
    <w:rPr>
      <w:sz w:val="18"/>
    </w:rPr>
  </w:style>
  <w:style w:type="paragraph" w:styleId="702">
    <w:name w:val="toc 6"/>
    <w:basedOn w:val="668"/>
    <w:next w:val="668"/>
    <w:uiPriority w:val="39"/>
    <w:unhideWhenUsed/>
    <w:qFormat/>
    <w:pPr>
      <w:ind w:left="1417"/>
      <w:spacing w:after="57"/>
    </w:pPr>
  </w:style>
  <w:style w:type="paragraph" w:styleId="703">
    <w:name w:val="table of figures"/>
    <w:basedOn w:val="668"/>
    <w:next w:val="668"/>
    <w:uiPriority w:val="99"/>
    <w:unhideWhenUsed/>
    <w:qFormat/>
  </w:style>
  <w:style w:type="paragraph" w:styleId="704">
    <w:name w:val="toc 2"/>
    <w:basedOn w:val="668"/>
    <w:next w:val="668"/>
    <w:uiPriority w:val="39"/>
    <w:unhideWhenUsed/>
    <w:qFormat/>
    <w:pPr>
      <w:ind w:left="283"/>
      <w:spacing w:after="57"/>
    </w:pPr>
  </w:style>
  <w:style w:type="paragraph" w:styleId="705">
    <w:name w:val="toc 9"/>
    <w:basedOn w:val="668"/>
    <w:next w:val="668"/>
    <w:uiPriority w:val="39"/>
    <w:unhideWhenUsed/>
    <w:qFormat/>
    <w:pPr>
      <w:ind w:left="2268"/>
      <w:spacing w:after="57"/>
    </w:pPr>
  </w:style>
  <w:style w:type="paragraph" w:styleId="706">
    <w:name w:val="Normal (Web)"/>
    <w:basedOn w:val="668"/>
    <w:uiPriority w:val="0"/>
    <w:qFormat/>
    <w:pPr>
      <w:ind w:firstLine="420"/>
      <w:jc w:val="left"/>
      <w:spacing w:before="100" w:beforeAutospacing="1" w:after="100" w:afterAutospacing="1" w:line="288" w:lineRule="auto"/>
      <w:widowControl/>
    </w:pPr>
    <w:rPr>
      <w:rFonts w:ascii="宋体" w:hAnsi="宋体"/>
      <w:sz w:val="24"/>
    </w:rPr>
  </w:style>
  <w:style w:type="paragraph" w:styleId="707">
    <w:name w:val="Title"/>
    <w:basedOn w:val="668"/>
    <w:next w:val="668"/>
    <w:link w:val="765"/>
    <w:uiPriority w:val="10"/>
    <w:qFormat/>
    <w:pPr>
      <w:contextualSpacing/>
      <w:spacing w:before="300" w:after="200"/>
    </w:pPr>
    <w:rPr>
      <w:sz w:val="48"/>
      <w:szCs w:val="48"/>
    </w:rPr>
  </w:style>
  <w:style w:type="paragraph" w:styleId="708">
    <w:name w:val="Body Text First Indent 2"/>
    <w:basedOn w:val="686"/>
    <w:next w:val="668"/>
    <w:uiPriority w:val="0"/>
    <w:qFormat/>
    <w:pPr>
      <w:ind w:firstLine="420"/>
    </w:p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78"/>
    <w:uiPriority w:val="22"/>
    <w:qFormat/>
    <w:rPr>
      <w:b/>
      <w:bCs/>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annotation reference"/>
    <w:basedOn w:val="678"/>
    <w:uiPriority w:val="99"/>
    <w:semiHidden/>
    <w:unhideWhenUsed/>
    <w:qFormat/>
    <w:rPr>
      <w:sz w:val="21"/>
      <w:szCs w:val="21"/>
    </w:rPr>
  </w:style>
  <w:style w:type="character" w:styleId="714">
    <w:name w:val="footnote reference"/>
    <w:uiPriority w:val="99"/>
    <w:unhideWhenUsed/>
    <w:qFormat/>
    <w:rPr>
      <w:vertAlign w:val="superscript"/>
    </w:rPr>
  </w:style>
  <w:style w:type="character" w:styleId="715" w:customStyle="1">
    <w:name w:val="Heading 1 Char"/>
    <w:basedOn w:val="678"/>
    <w:uiPriority w:val="9"/>
    <w:qFormat/>
    <w:rPr>
      <w:rFonts w:ascii="Arial" w:hAnsi="Arial" w:eastAsia="Arial" w:cs="Arial"/>
      <w:sz w:val="40"/>
      <w:szCs w:val="40"/>
    </w:rPr>
  </w:style>
  <w:style w:type="character" w:styleId="716" w:customStyle="1">
    <w:name w:val="Heading 2 Char"/>
    <w:basedOn w:val="678"/>
    <w:uiPriority w:val="9"/>
    <w:qFormat/>
    <w:rPr>
      <w:rFonts w:ascii="Arial" w:hAnsi="Arial" w:eastAsia="Arial" w:cs="Arial"/>
      <w:sz w:val="34"/>
    </w:rPr>
  </w:style>
  <w:style w:type="character" w:styleId="717" w:customStyle="1">
    <w:name w:val="Heading 3 Char"/>
    <w:basedOn w:val="678"/>
    <w:uiPriority w:val="9"/>
    <w:qFormat/>
    <w:rPr>
      <w:rFonts w:ascii="Arial" w:hAnsi="Arial" w:eastAsia="Arial" w:cs="Arial"/>
      <w:sz w:val="30"/>
      <w:szCs w:val="30"/>
    </w:rPr>
  </w:style>
  <w:style w:type="character" w:styleId="718" w:customStyle="1">
    <w:name w:val="Heading 4 Char"/>
    <w:basedOn w:val="678"/>
    <w:uiPriority w:val="9"/>
    <w:qFormat/>
    <w:rPr>
      <w:rFonts w:ascii="Arial" w:hAnsi="Arial" w:eastAsia="Arial" w:cs="Arial"/>
      <w:b/>
      <w:bCs/>
      <w:sz w:val="26"/>
      <w:szCs w:val="26"/>
    </w:rPr>
  </w:style>
  <w:style w:type="character" w:styleId="719" w:customStyle="1">
    <w:name w:val="Heading 5 Char"/>
    <w:basedOn w:val="678"/>
    <w:uiPriority w:val="9"/>
    <w:qFormat/>
    <w:rPr>
      <w:rFonts w:ascii="Arial" w:hAnsi="Arial" w:eastAsia="Arial" w:cs="Arial"/>
      <w:b/>
      <w:bCs/>
      <w:sz w:val="24"/>
      <w:szCs w:val="24"/>
    </w:rPr>
  </w:style>
  <w:style w:type="character" w:styleId="720" w:customStyle="1">
    <w:name w:val="Heading 6 Char"/>
    <w:basedOn w:val="678"/>
    <w:uiPriority w:val="9"/>
    <w:qFormat/>
    <w:rPr>
      <w:rFonts w:ascii="Arial" w:hAnsi="Arial" w:eastAsia="Arial" w:cs="Arial"/>
      <w:b/>
      <w:bCs/>
      <w:sz w:val="22"/>
      <w:szCs w:val="22"/>
    </w:rPr>
  </w:style>
  <w:style w:type="character" w:styleId="721" w:customStyle="1">
    <w:name w:val="Heading 7 Char"/>
    <w:basedOn w:val="678"/>
    <w:uiPriority w:val="9"/>
    <w:qFormat/>
    <w:rPr>
      <w:rFonts w:ascii="Arial" w:hAnsi="Arial" w:eastAsia="Arial" w:cs="Arial"/>
      <w:b/>
      <w:bCs/>
      <w:i/>
      <w:iCs/>
      <w:sz w:val="22"/>
      <w:szCs w:val="22"/>
    </w:rPr>
  </w:style>
  <w:style w:type="character" w:styleId="722" w:customStyle="1">
    <w:name w:val="Heading 8 Char"/>
    <w:basedOn w:val="678"/>
    <w:uiPriority w:val="9"/>
    <w:qFormat/>
    <w:rPr>
      <w:rFonts w:ascii="Arial" w:hAnsi="Arial" w:eastAsia="Arial" w:cs="Arial"/>
      <w:i/>
      <w:iCs/>
      <w:sz w:val="22"/>
      <w:szCs w:val="22"/>
    </w:rPr>
  </w:style>
  <w:style w:type="character" w:styleId="723" w:customStyle="1">
    <w:name w:val="Heading 9 Char"/>
    <w:basedOn w:val="678"/>
    <w:uiPriority w:val="9"/>
    <w:qFormat/>
    <w:rPr>
      <w:rFonts w:ascii="Arial" w:hAnsi="Arial" w:eastAsia="Arial" w:cs="Arial"/>
      <w:i/>
      <w:iCs/>
      <w:sz w:val="21"/>
      <w:szCs w:val="21"/>
    </w:rPr>
  </w:style>
  <w:style w:type="character" w:styleId="724" w:customStyle="1">
    <w:name w:val="Title Char"/>
    <w:basedOn w:val="678"/>
    <w:uiPriority w:val="10"/>
    <w:qFormat/>
    <w:rPr>
      <w:sz w:val="48"/>
      <w:szCs w:val="48"/>
    </w:rPr>
  </w:style>
  <w:style w:type="character" w:styleId="725" w:customStyle="1">
    <w:name w:val="Subtitle Char"/>
    <w:basedOn w:val="678"/>
    <w:uiPriority w:val="11"/>
    <w:qFormat/>
    <w:rPr>
      <w:sz w:val="24"/>
      <w:szCs w:val="24"/>
    </w:rPr>
  </w:style>
  <w:style w:type="character" w:styleId="726" w:customStyle="1">
    <w:name w:val="Quote Char"/>
    <w:uiPriority w:val="29"/>
    <w:qFormat/>
    <w:rPr>
      <w:i/>
    </w:rPr>
  </w:style>
  <w:style w:type="character" w:styleId="727" w:customStyle="1">
    <w:name w:val="Intense Quote Char"/>
    <w:uiPriority w:val="30"/>
    <w:qFormat/>
    <w:rPr>
      <w:i/>
    </w:rPr>
  </w:style>
  <w:style w:type="character" w:styleId="728" w:customStyle="1">
    <w:name w:val="Header Char"/>
    <w:basedOn w:val="678"/>
    <w:uiPriority w:val="99"/>
    <w:qFormat/>
  </w:style>
  <w:style w:type="character" w:styleId="729" w:customStyle="1">
    <w:name w:val="Caption Char"/>
    <w:uiPriority w:val="99"/>
    <w:qFormat/>
  </w:style>
  <w:style w:type="table" w:styleId="730"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TOC Heading"/>
    <w:uiPriority w:val="39"/>
    <w:unhideWhenUsed/>
    <w:qFormat/>
    <w:rPr>
      <w:rFonts w:hint="default" w:ascii="Times New Roman" w:hAnsi="Times New Roman" w:eastAsia="宋体" w:cs="Times New Roman"/>
    </w:rPr>
  </w:style>
  <w:style w:type="paragraph" w:styleId="752" w:customStyle="1">
    <w:name w:val="章节题目"/>
    <w:basedOn w:val="753"/>
    <w:next w:val="668"/>
    <w:uiPriority w:val="0"/>
    <w:qFormat/>
    <w:pPr>
      <w:ind w:right="2160"/>
      <w:spacing w:before="720" w:after="400" w:line="540" w:lineRule="atLeast"/>
    </w:pPr>
    <w:rPr>
      <w:rFonts w:ascii="Times New Roman" w:hAnsi="Times New Roman"/>
      <w:spacing w:val="-40"/>
      <w:sz w:val="60"/>
    </w:rPr>
  </w:style>
  <w:style w:type="paragraph" w:styleId="753" w:customStyle="1">
    <w:name w:val="基准标题"/>
    <w:basedOn w:val="668"/>
    <w:next w:val="684"/>
    <w:uiPriority w:val="0"/>
    <w:qFormat/>
    <w:pPr>
      <w:keepLines/>
      <w:keepNext/>
      <w:spacing w:before="140" w:line="220" w:lineRule="atLeast"/>
    </w:pPr>
    <w:rPr>
      <w:rFonts w:ascii="Arial" w:hAnsi="Arial"/>
      <w:spacing w:val="-4"/>
    </w:rPr>
  </w:style>
  <w:style w:type="paragraph" w:styleId="754" w:customStyle="1">
    <w:name w:val="TOC Heading1"/>
    <w:next w:val="668"/>
    <w:uiPriority w:val="0"/>
    <w:qFormat/>
    <w:rPr>
      <w:rFonts w:hint="default" w:ascii="Times New Roman" w:hAnsi="Times New Roman" w:eastAsia="宋体" w:cs="Times New Roman"/>
      <w:sz w:val="32"/>
      <w:lang w:val="en-US" w:eastAsia="zh-CN" w:bidi="ar-SA"/>
    </w:rPr>
  </w:style>
  <w:style w:type="character" w:styleId="755" w:customStyle="1">
    <w:name w:val="标题 1 字符1"/>
    <w:link w:val="669"/>
    <w:uiPriority w:val="9"/>
    <w:qFormat/>
    <w:rPr>
      <w:rFonts w:ascii="Arial" w:hAnsi="Arial" w:eastAsia="Arial" w:cs="Arial"/>
      <w:sz w:val="40"/>
      <w:szCs w:val="40"/>
    </w:rPr>
  </w:style>
  <w:style w:type="character" w:styleId="756" w:customStyle="1">
    <w:name w:val="标题 2 字符1"/>
    <w:link w:val="670"/>
    <w:uiPriority w:val="9"/>
    <w:qFormat/>
    <w:rPr>
      <w:rFonts w:ascii="Arial" w:hAnsi="Arial" w:eastAsia="Arial" w:cs="Arial"/>
      <w:sz w:val="34"/>
    </w:rPr>
  </w:style>
  <w:style w:type="character" w:styleId="757" w:customStyle="1">
    <w:name w:val="标题 3 字符1"/>
    <w:link w:val="671"/>
    <w:uiPriority w:val="9"/>
    <w:qFormat/>
    <w:rPr>
      <w:rFonts w:ascii="Arial" w:hAnsi="Arial" w:eastAsia="Arial" w:cs="Arial"/>
      <w:sz w:val="30"/>
      <w:szCs w:val="30"/>
    </w:rPr>
  </w:style>
  <w:style w:type="character" w:styleId="758" w:customStyle="1">
    <w:name w:val="标题 4 字符1"/>
    <w:link w:val="672"/>
    <w:uiPriority w:val="9"/>
    <w:qFormat/>
    <w:rPr>
      <w:rFonts w:ascii="Arial" w:hAnsi="Arial" w:eastAsia="Arial" w:cs="Arial"/>
      <w:b/>
      <w:bCs/>
      <w:sz w:val="26"/>
      <w:szCs w:val="26"/>
    </w:rPr>
  </w:style>
  <w:style w:type="character" w:styleId="759" w:customStyle="1">
    <w:name w:val="标题 5 字符1"/>
    <w:link w:val="673"/>
    <w:uiPriority w:val="9"/>
    <w:qFormat/>
    <w:rPr>
      <w:rFonts w:ascii="Arial" w:hAnsi="Arial" w:eastAsia="Arial" w:cs="Arial"/>
      <w:b/>
      <w:bCs/>
      <w:sz w:val="24"/>
      <w:szCs w:val="24"/>
    </w:rPr>
  </w:style>
  <w:style w:type="character" w:styleId="760" w:customStyle="1">
    <w:name w:val="标题 6 字符1"/>
    <w:link w:val="674"/>
    <w:uiPriority w:val="9"/>
    <w:qFormat/>
    <w:rPr>
      <w:rFonts w:ascii="Arial" w:hAnsi="Arial" w:eastAsia="Arial" w:cs="Arial"/>
      <w:b/>
      <w:bCs/>
      <w:sz w:val="22"/>
      <w:szCs w:val="22"/>
    </w:rPr>
  </w:style>
  <w:style w:type="character" w:styleId="761" w:customStyle="1">
    <w:name w:val="标题 7 字符1"/>
    <w:link w:val="675"/>
    <w:uiPriority w:val="9"/>
    <w:qFormat/>
    <w:rPr>
      <w:rFonts w:ascii="Arial" w:hAnsi="Arial" w:eastAsia="Arial" w:cs="Arial"/>
      <w:b/>
      <w:bCs/>
      <w:i/>
      <w:iCs/>
      <w:sz w:val="22"/>
      <w:szCs w:val="22"/>
    </w:rPr>
  </w:style>
  <w:style w:type="character" w:styleId="762" w:customStyle="1">
    <w:name w:val="标题 8 字符1"/>
    <w:link w:val="676"/>
    <w:uiPriority w:val="9"/>
    <w:qFormat/>
    <w:rPr>
      <w:rFonts w:ascii="Arial" w:hAnsi="Arial" w:eastAsia="Arial" w:cs="Arial"/>
      <w:i/>
      <w:iCs/>
      <w:sz w:val="22"/>
      <w:szCs w:val="22"/>
    </w:rPr>
  </w:style>
  <w:style w:type="character" w:styleId="763" w:customStyle="1">
    <w:name w:val="标题 9 字符1"/>
    <w:link w:val="677"/>
    <w:uiPriority w:val="9"/>
    <w:qFormat/>
    <w:rPr>
      <w:rFonts w:ascii="Arial" w:hAnsi="Arial" w:eastAsia="Arial" w:cs="Arial"/>
      <w:i/>
      <w:iCs/>
      <w:sz w:val="21"/>
      <w:szCs w:val="21"/>
    </w:rPr>
  </w:style>
  <w:style w:type="paragraph" w:styleId="764">
    <w:name w:val="No Spacing"/>
    <w:uiPriority w:val="1"/>
    <w:qFormat/>
    <w:rPr>
      <w:rFonts w:hint="default" w:ascii="Times New Roman" w:hAnsi="Times New Roman" w:eastAsia="宋体" w:cs="Times New Roman"/>
      <w:lang w:val="en-US" w:eastAsia="zh-CN" w:bidi="ar-SA"/>
    </w:rPr>
  </w:style>
  <w:style w:type="character" w:styleId="765" w:customStyle="1">
    <w:name w:val="标题 字符1"/>
    <w:link w:val="707"/>
    <w:uiPriority w:val="10"/>
    <w:qFormat/>
    <w:rPr>
      <w:sz w:val="48"/>
      <w:szCs w:val="48"/>
    </w:rPr>
  </w:style>
  <w:style w:type="character" w:styleId="766" w:customStyle="1">
    <w:name w:val="副标题 字符1"/>
    <w:link w:val="700"/>
    <w:uiPriority w:val="11"/>
    <w:qFormat/>
    <w:rPr>
      <w:sz w:val="24"/>
      <w:szCs w:val="24"/>
    </w:rPr>
  </w:style>
  <w:style w:type="paragraph" w:styleId="767">
    <w:name w:val="Quote"/>
    <w:basedOn w:val="668"/>
    <w:next w:val="668"/>
    <w:link w:val="768"/>
    <w:uiPriority w:val="29"/>
    <w:qFormat/>
    <w:pPr>
      <w:ind w:left="720" w:right="720"/>
    </w:pPr>
    <w:rPr>
      <w:i/>
    </w:rPr>
  </w:style>
  <w:style w:type="character" w:styleId="768" w:customStyle="1">
    <w:name w:val="引用 字符1"/>
    <w:link w:val="767"/>
    <w:uiPriority w:val="29"/>
    <w:qFormat/>
    <w:rPr>
      <w:i/>
    </w:rPr>
  </w:style>
  <w:style w:type="paragraph" w:styleId="769">
    <w:name w:val="Intense Quote"/>
    <w:basedOn w:val="668"/>
    <w:next w:val="668"/>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1"/>
    <w:link w:val="769"/>
    <w:uiPriority w:val="30"/>
    <w:qFormat/>
    <w:rPr>
      <w:i/>
    </w:rPr>
  </w:style>
  <w:style w:type="character" w:styleId="771" w:customStyle="1">
    <w:name w:val="页眉 字符1"/>
    <w:link w:val="697"/>
    <w:uiPriority w:val="99"/>
    <w:qFormat/>
  </w:style>
  <w:style w:type="character" w:styleId="772" w:customStyle="1">
    <w:name w:val="Footer Char"/>
    <w:uiPriority w:val="99"/>
    <w:qFormat/>
  </w:style>
  <w:style w:type="character" w:styleId="773" w:customStyle="1">
    <w:name w:val="页脚 字符1"/>
    <w:link w:val="696"/>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字符1"/>
    <w:link w:val="701"/>
    <w:uiPriority w:val="99"/>
    <w:qFormat/>
    <w:rPr>
      <w:sz w:val="18"/>
    </w:rPr>
  </w:style>
  <w:style w:type="character" w:styleId="900" w:customStyle="1">
    <w:name w:val="尾注文本 字符"/>
    <w:link w:val="695"/>
    <w:uiPriority w:val="99"/>
    <w:qFormat/>
    <w:rPr>
      <w:sz w:val="20"/>
    </w:rPr>
  </w:style>
  <w:style w:type="paragraph" w:styleId="901" w:customStyle="1">
    <w:name w:val="TOC 标题1"/>
    <w:uiPriority w:val="39"/>
    <w:unhideWhenUsed/>
    <w:qFormat/>
    <w:rPr>
      <w:rFonts w:hint="default" w:ascii="Times New Roman" w:hAnsi="Times New Roman" w:eastAsia="宋体" w:cs="Times New Roman"/>
      <w:lang w:val="en-US" w:eastAsia="zh-CN" w:bidi="ar-SA"/>
    </w:rPr>
  </w:style>
  <w:style w:type="paragraph" w:styleId="902" w:customStyle="1">
    <w:name w:val="标题 11"/>
    <w:basedOn w:val="668"/>
    <w:next w:val="668"/>
    <w:link w:val="913"/>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3" w:customStyle="1">
    <w:name w:val="标题 21"/>
    <w:basedOn w:val="668"/>
    <w:next w:val="668"/>
    <w:link w:val="914"/>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04" w:customStyle="1">
    <w:name w:val="标题 31"/>
    <w:basedOn w:val="668"/>
    <w:next w:val="668"/>
    <w:link w:val="915"/>
    <w:uiPriority w:val="0"/>
    <w:qFormat/>
    <w:pPr>
      <w:keepLines/>
      <w:keepNext/>
      <w:spacing w:before="260" w:after="260" w:line="416" w:lineRule="auto"/>
      <w:outlineLvl w:val="2"/>
    </w:pPr>
    <w:rPr>
      <w:rFonts w:ascii="黑体" w:eastAsia="黑体"/>
      <w:b/>
      <w:bCs/>
      <w:sz w:val="32"/>
      <w:szCs w:val="32"/>
    </w:rPr>
  </w:style>
  <w:style w:type="paragraph" w:styleId="905" w:customStyle="1">
    <w:name w:val="标题 41"/>
    <w:basedOn w:val="668"/>
    <w:next w:val="668"/>
    <w:link w:val="916"/>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06" w:customStyle="1">
    <w:name w:val="标题 51"/>
    <w:basedOn w:val="668"/>
    <w:next w:val="668"/>
    <w:link w:val="917"/>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07" w:customStyle="1">
    <w:name w:val="标题 61"/>
    <w:basedOn w:val="668"/>
    <w:next w:val="668"/>
    <w:link w:val="91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08" w:customStyle="1">
    <w:name w:val="标题 71"/>
    <w:basedOn w:val="668"/>
    <w:next w:val="668"/>
    <w:link w:val="919"/>
    <w:uiPriority w:val="0"/>
    <w:qFormat/>
    <w:pPr>
      <w:ind w:left="1296" w:hanging="1296"/>
      <w:keepLines/>
      <w:keepNext/>
      <w:spacing w:before="240" w:after="64" w:line="320" w:lineRule="atLeast"/>
      <w:tabs>
        <w:tab w:val="left" w:pos="1296" w:leader="none"/>
      </w:tabs>
      <w:outlineLvl w:val="6"/>
    </w:pPr>
    <w:rPr>
      <w:b/>
      <w:sz w:val="24"/>
    </w:rPr>
  </w:style>
  <w:style w:type="paragraph" w:styleId="909" w:customStyle="1">
    <w:name w:val="标题 81"/>
    <w:basedOn w:val="668"/>
    <w:next w:val="668"/>
    <w:link w:val="92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0" w:customStyle="1">
    <w:name w:val="标题 91"/>
    <w:basedOn w:val="668"/>
    <w:next w:val="668"/>
    <w:link w:val="92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1" w:customStyle="1">
    <w:name w:val="默认段落字体1"/>
    <w:uiPriority w:val="1"/>
    <w:unhideWhenUsed/>
    <w:qFormat/>
  </w:style>
  <w:style w:type="table" w:styleId="912" w:customStyle="1">
    <w:name w:val="普通表格1"/>
    <w:uiPriority w:val="0"/>
    <w:semiHidden/>
    <w:qFormat/>
    <w:tblPr>
      <w:tblCellMar>
        <w:left w:w="0" w:type="dxa"/>
        <w:top w:w="0" w:type="dxa"/>
        <w:right w:w="0" w:type="dxa"/>
        <w:bottom w:w="0" w:type="dxa"/>
      </w:tblCellMar>
    </w:tblPr>
  </w:style>
  <w:style w:type="character" w:styleId="913" w:customStyle="1">
    <w:name w:val="标题 1 字符"/>
    <w:link w:val="902"/>
    <w:uiPriority w:val="0"/>
    <w:qFormat/>
    <w:rPr>
      <w:rFonts w:ascii="黑体" w:eastAsia="黑体"/>
      <w:b/>
      <w:bCs/>
      <w:sz w:val="44"/>
      <w:szCs w:val="44"/>
    </w:rPr>
  </w:style>
  <w:style w:type="character" w:styleId="914" w:customStyle="1">
    <w:name w:val="标题 2 字符"/>
    <w:link w:val="903"/>
    <w:uiPriority w:val="0"/>
    <w:qFormat/>
    <w:rPr>
      <w:rFonts w:ascii="Arial" w:hAnsi="Arial" w:eastAsia="黑体"/>
      <w:b/>
      <w:bCs/>
      <w:sz w:val="32"/>
      <w:szCs w:val="32"/>
    </w:rPr>
  </w:style>
  <w:style w:type="character" w:styleId="915" w:customStyle="1">
    <w:name w:val="标题 3 字符"/>
    <w:link w:val="904"/>
    <w:uiPriority w:val="0"/>
    <w:qFormat/>
    <w:rPr>
      <w:rFonts w:ascii="黑体" w:eastAsia="黑体"/>
      <w:b/>
      <w:bCs/>
      <w:sz w:val="32"/>
      <w:szCs w:val="32"/>
    </w:rPr>
  </w:style>
  <w:style w:type="character" w:styleId="916" w:customStyle="1">
    <w:name w:val="标题 4 字符"/>
    <w:link w:val="905"/>
    <w:uiPriority w:val="0"/>
    <w:qFormat/>
    <w:rPr>
      <w:rFonts w:ascii="Arial" w:hAnsi="Arial" w:eastAsia="黑体"/>
      <w:b/>
      <w:bCs/>
      <w:sz w:val="28"/>
      <w:szCs w:val="28"/>
    </w:rPr>
  </w:style>
  <w:style w:type="character" w:styleId="917" w:customStyle="1">
    <w:name w:val="标题 5 字符"/>
    <w:link w:val="906"/>
    <w:uiPriority w:val="0"/>
    <w:qFormat/>
    <w:rPr>
      <w:rFonts w:ascii="黑体" w:eastAsia="黑体"/>
      <w:b/>
      <w:bCs/>
      <w:sz w:val="28"/>
      <w:szCs w:val="28"/>
    </w:rPr>
  </w:style>
  <w:style w:type="character" w:styleId="918" w:customStyle="1">
    <w:name w:val="标题 6 字符"/>
    <w:link w:val="907"/>
    <w:uiPriority w:val="0"/>
    <w:qFormat/>
    <w:rPr>
      <w:rFonts w:ascii="Arial" w:hAnsi="Arial" w:eastAsia="黑体"/>
      <w:b/>
      <w:sz w:val="24"/>
      <w:szCs w:val="24"/>
    </w:rPr>
  </w:style>
  <w:style w:type="character" w:styleId="919" w:customStyle="1">
    <w:name w:val="标题 7 字符"/>
    <w:link w:val="908"/>
    <w:uiPriority w:val="0"/>
    <w:qFormat/>
    <w:rPr>
      <w:b/>
      <w:sz w:val="24"/>
      <w:szCs w:val="24"/>
    </w:rPr>
  </w:style>
  <w:style w:type="character" w:styleId="920" w:customStyle="1">
    <w:name w:val="标题 8 字符"/>
    <w:link w:val="909"/>
    <w:uiPriority w:val="0"/>
    <w:qFormat/>
    <w:rPr>
      <w:rFonts w:ascii="Arial" w:hAnsi="Arial" w:eastAsia="黑体"/>
      <w:sz w:val="24"/>
      <w:szCs w:val="24"/>
    </w:rPr>
  </w:style>
  <w:style w:type="character" w:styleId="921" w:customStyle="1">
    <w:name w:val="标题 9 字符"/>
    <w:link w:val="910"/>
    <w:uiPriority w:val="0"/>
    <w:qFormat/>
    <w:rPr>
      <w:rFonts w:ascii="Arial" w:hAnsi="Arial" w:eastAsia="黑体"/>
      <w:sz w:val="21"/>
      <w:szCs w:val="24"/>
    </w:rPr>
  </w:style>
  <w:style w:type="paragraph" w:styleId="922" w:customStyle="1">
    <w:name w:val="目录 71"/>
    <w:basedOn w:val="668"/>
    <w:next w:val="668"/>
    <w:uiPriority w:val="39"/>
    <w:qFormat/>
    <w:pPr>
      <w:ind w:left="1260" w:firstLine="420"/>
      <w:jc w:val="left"/>
      <w:spacing w:line="288" w:lineRule="auto"/>
    </w:pPr>
    <w:rPr>
      <w:sz w:val="18"/>
      <w:szCs w:val="18"/>
    </w:rPr>
  </w:style>
  <w:style w:type="paragraph" w:styleId="923" w:customStyle="1">
    <w:name w:val="索引 81"/>
    <w:basedOn w:val="668"/>
    <w:next w:val="668"/>
    <w:uiPriority w:val="0"/>
    <w:qFormat/>
    <w:pPr>
      <w:ind w:left="1400"/>
    </w:pPr>
    <w:rPr>
      <w:szCs w:val="20"/>
    </w:rPr>
  </w:style>
  <w:style w:type="paragraph" w:styleId="924" w:customStyle="1">
    <w:name w:val="正文缩进1"/>
    <w:basedOn w:val="668"/>
    <w:link w:val="925"/>
    <w:uiPriority w:val="0"/>
    <w:qFormat/>
    <w:pPr>
      <w:ind w:firstLine="420"/>
      <w:jc w:val="left"/>
      <w:widowControl/>
    </w:pPr>
    <w:rPr>
      <w:sz w:val="20"/>
      <w:szCs w:val="20"/>
    </w:rPr>
  </w:style>
  <w:style w:type="character" w:styleId="925" w:customStyle="1">
    <w:name w:val="正文缩进 字符"/>
    <w:link w:val="924"/>
    <w:uiPriority w:val="0"/>
    <w:qFormat/>
  </w:style>
  <w:style w:type="paragraph" w:styleId="926" w:customStyle="1">
    <w:name w:val="题注1"/>
    <w:basedOn w:val="668"/>
    <w:next w:val="668"/>
    <w:uiPriority w:val="0"/>
    <w:qFormat/>
    <w:rPr>
      <w:rFonts w:ascii="Arial" w:hAnsi="Arial" w:eastAsia="黑体" w:cs="Arial"/>
      <w:sz w:val="20"/>
      <w:szCs w:val="20"/>
    </w:rPr>
  </w:style>
  <w:style w:type="paragraph" w:styleId="927" w:customStyle="1">
    <w:name w:val="索引 51"/>
    <w:basedOn w:val="668"/>
    <w:next w:val="668"/>
    <w:uiPriority w:val="0"/>
    <w:qFormat/>
    <w:pPr>
      <w:ind w:left="800"/>
    </w:pPr>
    <w:rPr>
      <w:szCs w:val="20"/>
    </w:rPr>
  </w:style>
  <w:style w:type="paragraph" w:styleId="928" w:customStyle="1">
    <w:name w:val="文档结构图1"/>
    <w:basedOn w:val="668"/>
    <w:link w:val="929"/>
    <w:uiPriority w:val="0"/>
    <w:qFormat/>
    <w:pPr>
      <w:shd w:val="clear" w:color="auto" w:fill="000080"/>
    </w:pPr>
  </w:style>
  <w:style w:type="character" w:styleId="929" w:customStyle="1">
    <w:name w:val="文档结构图 字符"/>
    <w:link w:val="928"/>
    <w:uiPriority w:val="0"/>
    <w:qFormat/>
    <w:rPr>
      <w:sz w:val="21"/>
      <w:szCs w:val="24"/>
      <w:shd w:val="clear" w:color="auto" w:fill="000080"/>
    </w:rPr>
  </w:style>
  <w:style w:type="paragraph" w:styleId="930" w:customStyle="1">
    <w:name w:val="批注文字1"/>
    <w:basedOn w:val="668"/>
    <w:link w:val="931"/>
    <w:uiPriority w:val="0"/>
    <w:qFormat/>
    <w:pPr>
      <w:jc w:val="left"/>
    </w:pPr>
  </w:style>
  <w:style w:type="character" w:styleId="931" w:customStyle="1">
    <w:name w:val="批注文字 字符"/>
    <w:link w:val="930"/>
    <w:uiPriority w:val="0"/>
    <w:qFormat/>
    <w:rPr>
      <w:sz w:val="21"/>
      <w:szCs w:val="24"/>
    </w:rPr>
  </w:style>
  <w:style w:type="paragraph" w:styleId="932" w:customStyle="1">
    <w:name w:val="索引 61"/>
    <w:basedOn w:val="668"/>
    <w:next w:val="668"/>
    <w:uiPriority w:val="0"/>
    <w:qFormat/>
    <w:pPr>
      <w:ind w:left="1000"/>
    </w:pPr>
    <w:rPr>
      <w:szCs w:val="20"/>
    </w:rPr>
  </w:style>
  <w:style w:type="paragraph" w:styleId="933" w:customStyle="1">
    <w:name w:val="称呼1"/>
    <w:basedOn w:val="668"/>
    <w:next w:val="668"/>
    <w:link w:val="934"/>
    <w:uiPriority w:val="0"/>
    <w:qFormat/>
    <w:pPr>
      <w:ind w:firstLine="420"/>
      <w:spacing w:after="20" w:line="288" w:lineRule="auto"/>
    </w:pPr>
    <w:rPr>
      <w:sz w:val="28"/>
    </w:rPr>
  </w:style>
  <w:style w:type="character" w:styleId="934" w:customStyle="1">
    <w:name w:val="称呼 字符"/>
    <w:link w:val="933"/>
    <w:uiPriority w:val="0"/>
    <w:qFormat/>
    <w:rPr>
      <w:sz w:val="28"/>
      <w:szCs w:val="24"/>
    </w:rPr>
  </w:style>
  <w:style w:type="paragraph" w:styleId="935" w:customStyle="1">
    <w:name w:val="正文文本 31"/>
    <w:basedOn w:val="668"/>
    <w:link w:val="936"/>
    <w:uiPriority w:val="0"/>
    <w:qFormat/>
    <w:pPr>
      <w:jc w:val="center"/>
      <w:spacing w:after="20" w:line="288" w:lineRule="auto"/>
    </w:pPr>
    <w:rPr>
      <w:b/>
      <w:bCs/>
      <w:sz w:val="24"/>
    </w:rPr>
  </w:style>
  <w:style w:type="character" w:styleId="936" w:customStyle="1">
    <w:name w:val="正文文本 3 字符"/>
    <w:link w:val="935"/>
    <w:uiPriority w:val="0"/>
    <w:qFormat/>
    <w:rPr>
      <w:b/>
      <w:bCs/>
      <w:sz w:val="24"/>
      <w:szCs w:val="24"/>
    </w:rPr>
  </w:style>
  <w:style w:type="paragraph" w:styleId="937" w:customStyle="1">
    <w:name w:val="结束语1"/>
    <w:basedOn w:val="668"/>
    <w:link w:val="938"/>
    <w:uiPriority w:val="0"/>
    <w:qFormat/>
    <w:pPr>
      <w:ind w:left="100" w:firstLine="420"/>
      <w:spacing w:after="20" w:line="288" w:lineRule="auto"/>
    </w:pPr>
    <w:rPr>
      <w:sz w:val="28"/>
    </w:rPr>
  </w:style>
  <w:style w:type="character" w:styleId="938" w:customStyle="1">
    <w:name w:val="结束语 字符"/>
    <w:link w:val="937"/>
    <w:uiPriority w:val="0"/>
    <w:qFormat/>
    <w:rPr>
      <w:sz w:val="28"/>
      <w:szCs w:val="24"/>
    </w:rPr>
  </w:style>
  <w:style w:type="paragraph" w:styleId="939" w:customStyle="1">
    <w:name w:val="列表项目符号 31"/>
    <w:basedOn w:val="668"/>
    <w:uiPriority w:val="0"/>
    <w:qFormat/>
    <w:pPr>
      <w:ind w:left="1620" w:hanging="420"/>
      <w:tabs>
        <w:tab w:val="left" w:pos="1620" w:leader="none"/>
      </w:tabs>
    </w:pPr>
  </w:style>
  <w:style w:type="paragraph" w:styleId="940" w:customStyle="1">
    <w:name w:val="正文文本111"/>
    <w:basedOn w:val="668"/>
    <w:next w:val="668"/>
    <w:link w:val="941"/>
    <w:uiPriority w:val="0"/>
    <w:qFormat/>
    <w:rPr>
      <w:rFonts w:ascii="仿宋_GB2312" w:eastAsia="仿宋_GB2312"/>
      <w:sz w:val="28"/>
      <w:szCs w:val="20"/>
    </w:rPr>
  </w:style>
  <w:style w:type="character" w:styleId="941" w:customStyle="1">
    <w:name w:val="正文文本 字符"/>
    <w:link w:val="940"/>
    <w:uiPriority w:val="0"/>
    <w:qFormat/>
    <w:rPr>
      <w:rFonts w:ascii="仿宋_GB2312" w:eastAsia="仿宋_GB2312"/>
      <w:sz w:val="28"/>
    </w:rPr>
  </w:style>
  <w:style w:type="paragraph" w:styleId="942" w:customStyle="1">
    <w:name w:val="正文文本缩进1"/>
    <w:basedOn w:val="668"/>
    <w:link w:val="943"/>
    <w:uiPriority w:val="0"/>
    <w:qFormat/>
    <w:pPr>
      <w:ind w:left="156"/>
      <w:spacing w:line="300" w:lineRule="auto"/>
      <w:widowControl/>
    </w:pPr>
    <w:rPr>
      <w:rFonts w:ascii="仿宋_GB2312" w:eastAsia="仿宋_GB2312"/>
      <w:sz w:val="28"/>
      <w:szCs w:val="20"/>
    </w:rPr>
  </w:style>
  <w:style w:type="character" w:styleId="943" w:customStyle="1">
    <w:name w:val="正文文本缩进 字符"/>
    <w:link w:val="942"/>
    <w:uiPriority w:val="0"/>
    <w:qFormat/>
    <w:rPr>
      <w:rFonts w:ascii="仿宋_GB2312" w:eastAsia="仿宋_GB2312"/>
      <w:sz w:val="28"/>
    </w:rPr>
  </w:style>
  <w:style w:type="paragraph" w:styleId="944" w:customStyle="1">
    <w:name w:val="文本块1"/>
    <w:basedOn w:val="668"/>
    <w:uiPriority w:val="0"/>
    <w:qFormat/>
    <w:pPr>
      <w:ind w:left="420" w:right="33"/>
      <w:jc w:val="left"/>
    </w:pPr>
    <w:rPr>
      <w:sz w:val="24"/>
      <w:szCs w:val="20"/>
    </w:rPr>
  </w:style>
  <w:style w:type="paragraph" w:styleId="945" w:customStyle="1">
    <w:name w:val="列表项目符号 21"/>
    <w:basedOn w:val="668"/>
    <w:uiPriority w:val="0"/>
    <w:qFormat/>
    <w:pPr>
      <w:ind w:left="780"/>
      <w:tabs>
        <w:tab w:val="left" w:pos="360" w:leader="none"/>
        <w:tab w:val="left" w:pos="780" w:leader="none"/>
      </w:tabs>
    </w:pPr>
  </w:style>
  <w:style w:type="paragraph" w:styleId="946" w:customStyle="1">
    <w:name w:val="索引 411"/>
    <w:basedOn w:val="668"/>
    <w:next w:val="668"/>
    <w:uiPriority w:val="0"/>
    <w:qFormat/>
    <w:pPr>
      <w:ind w:left="600"/>
    </w:pPr>
    <w:rPr>
      <w:szCs w:val="20"/>
    </w:rPr>
  </w:style>
  <w:style w:type="paragraph" w:styleId="947" w:customStyle="1">
    <w:name w:val="目录 51"/>
    <w:basedOn w:val="668"/>
    <w:next w:val="668"/>
    <w:uiPriority w:val="39"/>
    <w:qFormat/>
    <w:pPr>
      <w:ind w:left="840" w:firstLine="420"/>
      <w:jc w:val="left"/>
      <w:spacing w:line="288" w:lineRule="auto"/>
    </w:pPr>
    <w:rPr>
      <w:sz w:val="18"/>
      <w:szCs w:val="18"/>
    </w:rPr>
  </w:style>
  <w:style w:type="paragraph" w:styleId="948" w:customStyle="1">
    <w:name w:val="目录 31"/>
    <w:basedOn w:val="668"/>
    <w:next w:val="668"/>
    <w:uiPriority w:val="39"/>
    <w:qFormat/>
    <w:pPr>
      <w:ind w:left="420" w:firstLine="420"/>
      <w:jc w:val="left"/>
      <w:spacing w:line="288" w:lineRule="auto"/>
    </w:pPr>
    <w:rPr>
      <w:iCs/>
      <w:sz w:val="20"/>
      <w:szCs w:val="20"/>
    </w:rPr>
  </w:style>
  <w:style w:type="paragraph" w:styleId="949" w:customStyle="1">
    <w:name w:val="纯文本1"/>
    <w:basedOn w:val="668"/>
    <w:link w:val="950"/>
    <w:uiPriority w:val="0"/>
    <w:qFormat/>
    <w:rPr>
      <w:rFonts w:ascii="宋体" w:hAnsi="Courier New"/>
      <w:szCs w:val="21"/>
    </w:rPr>
  </w:style>
  <w:style w:type="character" w:styleId="950" w:customStyle="1">
    <w:name w:val="纯文本 字符"/>
    <w:link w:val="949"/>
    <w:uiPriority w:val="0"/>
    <w:qFormat/>
    <w:rPr>
      <w:rFonts w:ascii="宋体" w:hAnsi="Courier New"/>
      <w:sz w:val="21"/>
      <w:szCs w:val="21"/>
    </w:rPr>
  </w:style>
  <w:style w:type="paragraph" w:styleId="951" w:customStyle="1">
    <w:name w:val="列表项目符号 51"/>
    <w:basedOn w:val="668"/>
    <w:uiPriority w:val="0"/>
    <w:qFormat/>
    <w:pPr>
      <w:spacing w:line="360" w:lineRule="exact"/>
      <w:widowControl/>
      <w:tabs>
        <w:tab w:val="left" w:pos="360" w:leader="none"/>
        <w:tab w:val="left" w:pos="2040" w:leader="none"/>
      </w:tabs>
    </w:pPr>
    <w:rPr>
      <w:rFonts w:eastAsia="楷体_GB2312"/>
      <w:sz w:val="24"/>
      <w:szCs w:val="20"/>
    </w:rPr>
  </w:style>
  <w:style w:type="paragraph" w:styleId="952" w:customStyle="1">
    <w:name w:val="目录 81"/>
    <w:basedOn w:val="668"/>
    <w:next w:val="668"/>
    <w:uiPriority w:val="39"/>
    <w:qFormat/>
    <w:pPr>
      <w:ind w:left="1470" w:firstLine="420"/>
      <w:jc w:val="left"/>
      <w:spacing w:line="288" w:lineRule="auto"/>
    </w:pPr>
    <w:rPr>
      <w:sz w:val="18"/>
      <w:szCs w:val="18"/>
    </w:rPr>
  </w:style>
  <w:style w:type="paragraph" w:styleId="953" w:customStyle="1">
    <w:name w:val="索引 31"/>
    <w:basedOn w:val="668"/>
    <w:next w:val="668"/>
    <w:uiPriority w:val="0"/>
    <w:qFormat/>
    <w:pPr>
      <w:ind w:left="400"/>
    </w:pPr>
    <w:rPr>
      <w:szCs w:val="20"/>
    </w:rPr>
  </w:style>
  <w:style w:type="paragraph" w:styleId="954" w:customStyle="1">
    <w:name w:val="日期1"/>
    <w:basedOn w:val="668"/>
    <w:next w:val="668"/>
    <w:link w:val="955"/>
    <w:uiPriority w:val="0"/>
    <w:qFormat/>
    <w:pPr>
      <w:ind w:left="100"/>
    </w:pPr>
    <w:rPr>
      <w:rFonts w:ascii="楷体_GB2312" w:eastAsia="楷体_GB2312"/>
      <w:b/>
      <w:sz w:val="28"/>
    </w:rPr>
  </w:style>
  <w:style w:type="character" w:styleId="955" w:customStyle="1">
    <w:name w:val="日期 字符"/>
    <w:link w:val="954"/>
    <w:uiPriority w:val="0"/>
    <w:qFormat/>
    <w:rPr>
      <w:rFonts w:ascii="楷体_GB2312" w:eastAsia="楷体_GB2312"/>
      <w:b/>
      <w:sz w:val="28"/>
      <w:szCs w:val="24"/>
    </w:rPr>
  </w:style>
  <w:style w:type="paragraph" w:styleId="956" w:customStyle="1">
    <w:name w:val="正文文本缩进 21"/>
    <w:basedOn w:val="668"/>
    <w:link w:val="957"/>
    <w:uiPriority w:val="0"/>
    <w:qFormat/>
    <w:pPr>
      <w:ind w:firstLine="559"/>
      <w:spacing w:line="400" w:lineRule="exact"/>
      <w:tabs>
        <w:tab w:val="left" w:pos="0" w:leader="none"/>
        <w:tab w:val="left" w:pos="1134" w:leader="none"/>
      </w:tabs>
    </w:pPr>
    <w:rPr>
      <w:rFonts w:ascii="楷体_GB2312" w:eastAsia="楷体_GB2312"/>
      <w:sz w:val="24"/>
    </w:rPr>
  </w:style>
  <w:style w:type="character" w:styleId="957" w:customStyle="1">
    <w:name w:val="正文文本缩进 2 字符"/>
    <w:link w:val="956"/>
    <w:uiPriority w:val="0"/>
    <w:qFormat/>
    <w:rPr>
      <w:rFonts w:ascii="楷体_GB2312" w:eastAsia="楷体_GB2312"/>
      <w:sz w:val="24"/>
      <w:szCs w:val="24"/>
    </w:rPr>
  </w:style>
  <w:style w:type="paragraph" w:styleId="958" w:customStyle="1">
    <w:name w:val="批注框文本1"/>
    <w:basedOn w:val="668"/>
    <w:link w:val="959"/>
    <w:uiPriority w:val="0"/>
    <w:qFormat/>
    <w:rPr>
      <w:sz w:val="18"/>
      <w:szCs w:val="18"/>
    </w:rPr>
  </w:style>
  <w:style w:type="character" w:styleId="959" w:customStyle="1">
    <w:name w:val="批注框文本 字符"/>
    <w:link w:val="958"/>
    <w:uiPriority w:val="0"/>
    <w:qFormat/>
    <w:rPr>
      <w:sz w:val="18"/>
      <w:szCs w:val="18"/>
    </w:rPr>
  </w:style>
  <w:style w:type="paragraph" w:styleId="960" w:customStyle="1">
    <w:name w:val="页脚1"/>
    <w:basedOn w:val="668"/>
    <w:next w:val="961"/>
    <w:link w:val="962"/>
    <w:uiPriority w:val="99"/>
    <w:qFormat/>
    <w:pPr>
      <w:jc w:val="left"/>
      <w:tabs>
        <w:tab w:val="center" w:pos="4153" w:leader="none"/>
        <w:tab w:val="right" w:pos="8306" w:leader="none"/>
      </w:tabs>
    </w:pPr>
    <w:rPr>
      <w:sz w:val="18"/>
      <w:szCs w:val="18"/>
    </w:rPr>
  </w:style>
  <w:style w:type="paragraph" w:styleId="961" w:customStyle="1">
    <w:name w:val="明显引用1"/>
    <w:basedOn w:val="668"/>
    <w:next w:val="668"/>
    <w:link w:val="963"/>
    <w:uiPriority w:val="0"/>
    <w:qFormat/>
    <w:pPr>
      <w:ind w:left="936" w:right="936"/>
      <w:spacing w:before="200" w:after="280"/>
      <w:pBdr>
        <w:bottom w:val="single" w:color="4F81BD" w:sz="4" w:space="4"/>
      </w:pBdr>
    </w:pPr>
    <w:rPr>
      <w:b/>
      <w:bCs/>
      <w:i/>
      <w:iCs/>
      <w:color w:val="4f81bd"/>
      <w:szCs w:val="22"/>
    </w:rPr>
  </w:style>
  <w:style w:type="character" w:styleId="962" w:customStyle="1">
    <w:name w:val="页脚 字符"/>
    <w:link w:val="960"/>
    <w:uiPriority w:val="99"/>
    <w:qFormat/>
    <w:rPr>
      <w:sz w:val="18"/>
      <w:szCs w:val="18"/>
    </w:rPr>
  </w:style>
  <w:style w:type="character" w:styleId="963" w:customStyle="1">
    <w:name w:val="明显引用 字符"/>
    <w:link w:val="961"/>
    <w:uiPriority w:val="0"/>
    <w:qFormat/>
    <w:rPr>
      <w:b/>
      <w:bCs/>
      <w:i/>
      <w:iCs/>
      <w:color w:val="4f81bd"/>
      <w:sz w:val="21"/>
      <w:szCs w:val="22"/>
    </w:rPr>
  </w:style>
  <w:style w:type="paragraph" w:styleId="964" w:customStyle="1">
    <w:name w:val="寄信人地址1"/>
    <w:basedOn w:val="668"/>
    <w:uiPriority w:val="99"/>
    <w:unhideWhenUsed/>
    <w:qFormat/>
    <w:rPr>
      <w:rFonts w:hint="eastAsia" w:ascii="Arial" w:hAnsi="Arial"/>
      <w:sz w:val="24"/>
    </w:rPr>
  </w:style>
  <w:style w:type="paragraph" w:styleId="965" w:customStyle="1">
    <w:name w:val="页眉11"/>
    <w:basedOn w:val="668"/>
    <w:link w:val="966"/>
    <w:uiPriority w:val="99"/>
    <w:qFormat/>
    <w:pPr>
      <w:jc w:val="center"/>
      <w:tabs>
        <w:tab w:val="center" w:pos="4153" w:leader="none"/>
        <w:tab w:val="right" w:pos="8306" w:leader="none"/>
      </w:tabs>
      <w:pBdr>
        <w:bottom w:val="single" w:color="000000" w:sz="6" w:space="1"/>
      </w:pBdr>
    </w:pPr>
    <w:rPr>
      <w:sz w:val="18"/>
      <w:szCs w:val="18"/>
    </w:rPr>
  </w:style>
  <w:style w:type="character" w:styleId="966" w:customStyle="1">
    <w:name w:val="页眉 字符"/>
    <w:link w:val="965"/>
    <w:uiPriority w:val="99"/>
    <w:qFormat/>
    <w:rPr>
      <w:sz w:val="18"/>
      <w:szCs w:val="18"/>
    </w:rPr>
  </w:style>
  <w:style w:type="paragraph" w:styleId="967" w:customStyle="1">
    <w:name w:val="目录 11"/>
    <w:basedOn w:val="668"/>
    <w:next w:val="668"/>
    <w:uiPriority w:val="39"/>
    <w:qFormat/>
    <w:pPr>
      <w:spacing w:before="120" w:after="120" w:line="288" w:lineRule="auto"/>
      <w:tabs>
        <w:tab w:val="right" w:pos="8296" w:leader="dot"/>
      </w:tabs>
    </w:pPr>
    <w:rPr>
      <w:rFonts w:ascii="黑体" w:hAnsi="宋体" w:eastAsia="黑体"/>
      <w:caps/>
      <w:sz w:val="30"/>
      <w:szCs w:val="30"/>
    </w:rPr>
  </w:style>
  <w:style w:type="paragraph" w:styleId="968" w:customStyle="1">
    <w:name w:val="目录 41"/>
    <w:basedOn w:val="668"/>
    <w:next w:val="668"/>
    <w:uiPriority w:val="39"/>
    <w:qFormat/>
    <w:pPr>
      <w:ind w:left="630" w:firstLine="420"/>
      <w:jc w:val="left"/>
      <w:spacing w:line="288" w:lineRule="auto"/>
    </w:pPr>
    <w:rPr>
      <w:sz w:val="18"/>
      <w:szCs w:val="18"/>
    </w:rPr>
  </w:style>
  <w:style w:type="paragraph" w:styleId="969" w:customStyle="1">
    <w:name w:val="副标题1"/>
    <w:basedOn w:val="668"/>
    <w:next w:val="668"/>
    <w:link w:val="970"/>
    <w:uiPriority w:val="0"/>
    <w:qFormat/>
    <w:pPr>
      <w:jc w:val="center"/>
      <w:spacing w:before="240" w:after="60" w:line="312" w:lineRule="auto"/>
      <w:outlineLvl w:val="1"/>
    </w:pPr>
    <w:rPr>
      <w:rFonts w:ascii="幼圆" w:hAnsi="幼圆"/>
      <w:b/>
      <w:bCs/>
      <w:sz w:val="32"/>
      <w:szCs w:val="32"/>
    </w:rPr>
  </w:style>
  <w:style w:type="character" w:styleId="970" w:customStyle="1">
    <w:name w:val="副标题 字符"/>
    <w:link w:val="969"/>
    <w:uiPriority w:val="0"/>
    <w:qFormat/>
    <w:rPr>
      <w:rFonts w:ascii="幼圆" w:hAnsi="幼圆"/>
      <w:b/>
      <w:bCs/>
      <w:sz w:val="32"/>
      <w:szCs w:val="32"/>
    </w:rPr>
  </w:style>
  <w:style w:type="paragraph" w:styleId="971" w:customStyle="1">
    <w:name w:val="列表1"/>
    <w:basedOn w:val="668"/>
    <w:uiPriority w:val="0"/>
    <w:qFormat/>
    <w:pPr>
      <w:spacing w:after="20" w:line="288" w:lineRule="auto"/>
      <w:tabs>
        <w:tab w:val="left" w:pos="360" w:leader="none"/>
        <w:tab w:val="left" w:pos="420" w:leader="none"/>
      </w:tabs>
    </w:pPr>
    <w:rPr>
      <w:szCs w:val="20"/>
      <w:lang w:val="en-GB"/>
    </w:rPr>
  </w:style>
  <w:style w:type="paragraph" w:styleId="972" w:customStyle="1">
    <w:name w:val="脚注文本1"/>
    <w:basedOn w:val="668"/>
    <w:link w:val="973"/>
    <w:uiPriority w:val="0"/>
    <w:qFormat/>
    <w:pPr>
      <w:ind w:firstLine="425"/>
      <w:jc w:val="left"/>
      <w:spacing w:after="60" w:line="360" w:lineRule="exact"/>
    </w:pPr>
    <w:rPr>
      <w:sz w:val="18"/>
      <w:szCs w:val="18"/>
    </w:rPr>
  </w:style>
  <w:style w:type="character" w:styleId="973" w:customStyle="1">
    <w:name w:val="脚注文本 字符"/>
    <w:link w:val="972"/>
    <w:uiPriority w:val="0"/>
    <w:qFormat/>
    <w:rPr>
      <w:sz w:val="18"/>
      <w:szCs w:val="18"/>
    </w:rPr>
  </w:style>
  <w:style w:type="paragraph" w:styleId="974" w:customStyle="1">
    <w:name w:val="目录 61"/>
    <w:basedOn w:val="668"/>
    <w:next w:val="668"/>
    <w:uiPriority w:val="39"/>
    <w:qFormat/>
    <w:pPr>
      <w:ind w:left="1050" w:firstLine="420"/>
      <w:jc w:val="left"/>
      <w:spacing w:line="288" w:lineRule="auto"/>
    </w:pPr>
    <w:rPr>
      <w:sz w:val="18"/>
      <w:szCs w:val="18"/>
    </w:rPr>
  </w:style>
  <w:style w:type="paragraph" w:styleId="975" w:customStyle="1">
    <w:name w:val="正文文本缩进 31"/>
    <w:basedOn w:val="668"/>
    <w:link w:val="976"/>
    <w:uiPriority w:val="0"/>
    <w:qFormat/>
    <w:pPr>
      <w:ind w:firstLine="698"/>
      <w:jc w:val="left"/>
      <w:spacing w:line="360" w:lineRule="auto"/>
    </w:pPr>
    <w:rPr>
      <w:rFonts w:ascii="仿宋_GB2312" w:eastAsia="仿宋_GB2312"/>
      <w:sz w:val="32"/>
      <w:szCs w:val="20"/>
    </w:rPr>
  </w:style>
  <w:style w:type="character" w:styleId="976" w:customStyle="1">
    <w:name w:val="正文文本缩进 3 字符"/>
    <w:link w:val="975"/>
    <w:uiPriority w:val="0"/>
    <w:qFormat/>
    <w:rPr>
      <w:rFonts w:ascii="仿宋_GB2312" w:eastAsia="仿宋_GB2312"/>
      <w:sz w:val="32"/>
    </w:rPr>
  </w:style>
  <w:style w:type="paragraph" w:styleId="977" w:customStyle="1">
    <w:name w:val="索引 71"/>
    <w:basedOn w:val="668"/>
    <w:next w:val="668"/>
    <w:uiPriority w:val="0"/>
    <w:qFormat/>
    <w:pPr>
      <w:ind w:left="1200"/>
    </w:pPr>
    <w:rPr>
      <w:szCs w:val="20"/>
    </w:rPr>
  </w:style>
  <w:style w:type="paragraph" w:styleId="978" w:customStyle="1">
    <w:name w:val="索引 91"/>
    <w:basedOn w:val="668"/>
    <w:next w:val="668"/>
    <w:uiPriority w:val="0"/>
    <w:qFormat/>
    <w:pPr>
      <w:ind w:left="1600"/>
    </w:pPr>
    <w:rPr>
      <w:szCs w:val="20"/>
    </w:rPr>
  </w:style>
  <w:style w:type="paragraph" w:styleId="979" w:customStyle="1">
    <w:name w:val="目录 21"/>
    <w:basedOn w:val="668"/>
    <w:next w:val="668"/>
    <w:uiPriority w:val="39"/>
    <w:qFormat/>
    <w:pPr>
      <w:ind w:left="210" w:firstLine="420"/>
      <w:jc w:val="left"/>
      <w:spacing w:line="288" w:lineRule="auto"/>
    </w:pPr>
    <w:rPr>
      <w:smallCaps/>
      <w:sz w:val="20"/>
      <w:szCs w:val="20"/>
    </w:rPr>
  </w:style>
  <w:style w:type="paragraph" w:styleId="980" w:customStyle="1">
    <w:name w:val="目录 91"/>
    <w:basedOn w:val="668"/>
    <w:next w:val="668"/>
    <w:uiPriority w:val="39"/>
    <w:qFormat/>
    <w:pPr>
      <w:ind w:left="1680" w:firstLine="420"/>
      <w:jc w:val="left"/>
      <w:spacing w:line="288" w:lineRule="auto"/>
    </w:pPr>
    <w:rPr>
      <w:sz w:val="18"/>
      <w:szCs w:val="18"/>
    </w:rPr>
  </w:style>
  <w:style w:type="paragraph" w:styleId="981" w:customStyle="1">
    <w:name w:val="正文文本 21"/>
    <w:basedOn w:val="668"/>
    <w:link w:val="982"/>
    <w:uiPriority w:val="0"/>
    <w:qFormat/>
    <w:pPr>
      <w:ind w:firstLine="420"/>
      <w:spacing w:after="20" w:line="720" w:lineRule="auto"/>
    </w:pPr>
    <w:rPr>
      <w:sz w:val="30"/>
    </w:rPr>
  </w:style>
  <w:style w:type="character" w:styleId="982" w:customStyle="1">
    <w:name w:val="正文文本 2 字符"/>
    <w:link w:val="981"/>
    <w:uiPriority w:val="0"/>
    <w:qFormat/>
    <w:rPr>
      <w:sz w:val="30"/>
      <w:szCs w:val="24"/>
    </w:rPr>
  </w:style>
  <w:style w:type="paragraph" w:styleId="983" w:customStyle="1">
    <w:name w:val="HTML 预设格式1"/>
    <w:basedOn w:val="668"/>
    <w:link w:val="98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4" w:customStyle="1">
    <w:name w:val="HTML 预设格式 字符"/>
    <w:link w:val="983"/>
    <w:uiPriority w:val="0"/>
    <w:qFormat/>
    <w:rPr>
      <w:rFonts w:ascii="黑体" w:hAnsi="Courier New" w:eastAsia="黑体"/>
    </w:rPr>
  </w:style>
  <w:style w:type="paragraph" w:styleId="985" w:customStyle="1">
    <w:name w:val="普通(网站)1"/>
    <w:basedOn w:val="668"/>
    <w:link w:val="986"/>
    <w:uiPriority w:val="0"/>
    <w:qFormat/>
    <w:pPr>
      <w:ind w:firstLine="420"/>
      <w:jc w:val="left"/>
      <w:spacing w:before="100" w:beforeAutospacing="1" w:after="100" w:afterAutospacing="1" w:line="288" w:lineRule="auto"/>
      <w:widowControl/>
    </w:pPr>
    <w:rPr>
      <w:rFonts w:ascii="宋体" w:hAnsi="宋体"/>
      <w:sz w:val="24"/>
    </w:rPr>
  </w:style>
  <w:style w:type="character" w:styleId="986" w:customStyle="1">
    <w:name w:val="普通(网站) 字符"/>
    <w:link w:val="985"/>
    <w:uiPriority w:val="0"/>
    <w:qFormat/>
    <w:rPr>
      <w:rFonts w:ascii="宋体" w:hAnsi="宋体"/>
      <w:sz w:val="24"/>
      <w:szCs w:val="24"/>
    </w:rPr>
  </w:style>
  <w:style w:type="paragraph" w:styleId="987" w:customStyle="1">
    <w:name w:val="索引 11"/>
    <w:basedOn w:val="668"/>
    <w:next w:val="668"/>
    <w:uiPriority w:val="0"/>
    <w:qFormat/>
    <w:rPr>
      <w:szCs w:val="20"/>
    </w:rPr>
  </w:style>
  <w:style w:type="paragraph" w:styleId="988" w:customStyle="1">
    <w:name w:val="索引 21"/>
    <w:basedOn w:val="668"/>
    <w:next w:val="668"/>
    <w:uiPriority w:val="0"/>
    <w:qFormat/>
    <w:pPr>
      <w:ind w:left="200"/>
    </w:pPr>
    <w:rPr>
      <w:szCs w:val="20"/>
    </w:rPr>
  </w:style>
  <w:style w:type="paragraph" w:styleId="989" w:customStyle="1">
    <w:name w:val="标题1"/>
    <w:basedOn w:val="668"/>
    <w:link w:val="990"/>
    <w:uiPriority w:val="0"/>
    <w:qFormat/>
    <w:pPr>
      <w:ind w:firstLine="420"/>
      <w:jc w:val="center"/>
      <w:spacing w:before="240" w:after="60" w:line="288" w:lineRule="auto"/>
      <w:outlineLvl w:val="0"/>
    </w:pPr>
    <w:rPr>
      <w:rFonts w:ascii="Arial" w:hAnsi="Arial"/>
      <w:b/>
      <w:bCs/>
      <w:sz w:val="32"/>
      <w:szCs w:val="32"/>
    </w:rPr>
  </w:style>
  <w:style w:type="character" w:styleId="990" w:customStyle="1">
    <w:name w:val="标题 字符"/>
    <w:link w:val="989"/>
    <w:uiPriority w:val="0"/>
    <w:qFormat/>
    <w:rPr>
      <w:rFonts w:ascii="Arial" w:hAnsi="Arial" w:cs="Arial"/>
      <w:b/>
      <w:bCs/>
      <w:sz w:val="32"/>
      <w:szCs w:val="32"/>
    </w:rPr>
  </w:style>
  <w:style w:type="paragraph" w:styleId="991" w:customStyle="1">
    <w:name w:val="批注主题1"/>
    <w:basedOn w:val="930"/>
    <w:next w:val="930"/>
    <w:link w:val="992"/>
    <w:uiPriority w:val="0"/>
    <w:qFormat/>
    <w:rPr>
      <w:b/>
      <w:bCs/>
    </w:rPr>
  </w:style>
  <w:style w:type="character" w:styleId="992" w:customStyle="1">
    <w:name w:val="批注主题 字符"/>
    <w:link w:val="991"/>
    <w:uiPriority w:val="0"/>
    <w:qFormat/>
    <w:rPr>
      <w:b/>
      <w:bCs/>
      <w:sz w:val="21"/>
      <w:szCs w:val="24"/>
    </w:rPr>
  </w:style>
  <w:style w:type="paragraph" w:styleId="993" w:customStyle="1">
    <w:name w:val="正文首行缩进11"/>
    <w:basedOn w:val="940"/>
    <w:uiPriority w:val="0"/>
    <w:qFormat/>
    <w:pPr>
      <w:ind w:firstLine="420"/>
      <w:spacing w:after="120"/>
    </w:pPr>
    <w:rPr>
      <w:rFonts w:ascii="Times New Roman" w:eastAsia="宋体"/>
      <w:sz w:val="20"/>
      <w:lang w:bidi="mn-Mong-CN"/>
    </w:rPr>
  </w:style>
  <w:style w:type="paragraph" w:styleId="994" w:customStyle="1">
    <w:name w:val="正文首行缩进 21"/>
    <w:basedOn w:val="942"/>
    <w:next w:val="668"/>
    <w:link w:val="995"/>
    <w:uiPriority w:val="0"/>
    <w:qFormat/>
    <w:pPr>
      <w:ind w:left="420" w:firstLine="420"/>
      <w:spacing w:after="120" w:line="240" w:lineRule="auto"/>
      <w:widowControl w:val="off"/>
    </w:pPr>
    <w:rPr>
      <w:rFonts w:ascii="Cambria" w:hAnsi="Cambria" w:eastAsia="华文细黑"/>
      <w:sz w:val="21"/>
    </w:rPr>
  </w:style>
  <w:style w:type="character" w:styleId="995" w:customStyle="1">
    <w:name w:val="正文文本首行缩进 2 字符"/>
    <w:link w:val="994"/>
    <w:uiPriority w:val="0"/>
    <w:qFormat/>
    <w:rPr>
      <w:rFonts w:ascii="Cambria" w:hAnsi="Cambria" w:eastAsia="华文细黑" w:cs="Cambria"/>
      <w:sz w:val="21"/>
    </w:rPr>
  </w:style>
  <w:style w:type="table" w:styleId="996" w:customStyle="1">
    <w:name w:val="网格型1"/>
    <w:basedOn w:val="912"/>
    <w:uiPriority w:val="0"/>
    <w:qFormat/>
    <w:pPr>
      <w:jc w:val="both"/>
      <w:widowControl w:val="off"/>
    </w:pPr>
    <w:tblPr>
      <w:tblCellMar>
        <w:left w:w="0" w:type="dxa"/>
        <w:top w:w="0" w:type="dxa"/>
        <w:right w:w="0" w:type="dxa"/>
        <w:bottom w:w="0" w:type="dxa"/>
      </w:tblCellMar>
    </w:tblPr>
  </w:style>
  <w:style w:type="character" w:styleId="997" w:customStyle="1">
    <w:name w:val="要点1"/>
    <w:uiPriority w:val="22"/>
    <w:qFormat/>
    <w:rPr>
      <w:b/>
      <w:bCs/>
    </w:rPr>
  </w:style>
  <w:style w:type="character" w:styleId="998" w:customStyle="1">
    <w:name w:val="页码1"/>
    <w:uiPriority w:val="0"/>
    <w:qFormat/>
  </w:style>
  <w:style w:type="character" w:styleId="999" w:customStyle="1">
    <w:name w:val="已访问的超链接1"/>
    <w:uiPriority w:val="0"/>
    <w:qFormat/>
    <w:rPr>
      <w:color w:val="800080"/>
      <w:u w:val="single"/>
    </w:rPr>
  </w:style>
  <w:style w:type="character" w:styleId="1000" w:customStyle="1">
    <w:name w:val="强调1"/>
    <w:uiPriority w:val="0"/>
    <w:qFormat/>
    <w:rPr>
      <w:i/>
    </w:rPr>
  </w:style>
  <w:style w:type="character" w:styleId="1001" w:customStyle="1">
    <w:name w:val="HTML 打字机1"/>
    <w:uiPriority w:val="0"/>
    <w:unhideWhenUsed/>
    <w:qFormat/>
    <w:rPr>
      <w:rFonts w:ascii="宋体" w:hAnsi="宋体" w:eastAsia="宋体" w:cs="宋体"/>
      <w:sz w:val="24"/>
      <w:szCs w:val="24"/>
    </w:rPr>
  </w:style>
  <w:style w:type="character" w:styleId="1002" w:customStyle="1">
    <w:name w:val="超链接1"/>
    <w:uiPriority w:val="99"/>
    <w:qFormat/>
    <w:rPr>
      <w:color w:val="0000ff"/>
      <w:u w:val="single"/>
    </w:rPr>
  </w:style>
  <w:style w:type="character" w:styleId="1003" w:customStyle="1">
    <w:name w:val="批注引用1"/>
    <w:uiPriority w:val="0"/>
    <w:qFormat/>
    <w:rPr>
      <w:sz w:val="21"/>
      <w:szCs w:val="21"/>
    </w:rPr>
  </w:style>
  <w:style w:type="character" w:styleId="1004" w:customStyle="1">
    <w:name w:val="脚注引用1"/>
    <w:uiPriority w:val="0"/>
    <w:qFormat/>
    <w:rPr>
      <w:rFonts w:ascii="宋体" w:hAnsi="宋体" w:eastAsia="宋体"/>
      <w:vertAlign w:val="superscript"/>
    </w:rPr>
  </w:style>
  <w:style w:type="paragraph" w:styleId="1005" w:customStyle="1">
    <w:name w:val="索引 41"/>
    <w:basedOn w:val="668"/>
    <w:next w:val="668"/>
    <w:uiPriority w:val="99"/>
    <w:qFormat/>
    <w:pPr>
      <w:ind w:left="600"/>
    </w:pPr>
  </w:style>
  <w:style w:type="paragraph" w:styleId="1006" w:customStyle="1">
    <w:name w:val="_Style 1"/>
    <w:basedOn w:val="668"/>
    <w:uiPriority w:val="34"/>
    <w:qFormat/>
    <w:pPr>
      <w:ind w:firstLine="420"/>
    </w:pPr>
    <w:rPr>
      <w:rFonts w:ascii="Calibri" w:hAnsi="Calibri"/>
      <w:szCs w:val="22"/>
    </w:rPr>
  </w:style>
  <w:style w:type="paragraph" w:styleId="1007" w:customStyle="1">
    <w:name w:val="引文目录1"/>
    <w:basedOn w:val="668"/>
    <w:next w:val="668"/>
    <w:uiPriority w:val="0"/>
    <w:qFormat/>
    <w:pPr>
      <w:ind w:left="420"/>
    </w:pPr>
  </w:style>
  <w:style w:type="paragraph" w:styleId="1008" w:customStyle="1">
    <w:name w:val="样式一"/>
    <w:basedOn w:val="668"/>
    <w:uiPriority w:val="0"/>
    <w:qFormat/>
    <w:pPr>
      <w:numPr>
        <w:ilvl w:val="2"/>
        <w:numId w:val="2"/>
      </w:numPr>
      <w:spacing w:before="100" w:after="100" w:line="360" w:lineRule="exact"/>
    </w:pPr>
    <w:rPr>
      <w:rFonts w:ascii="宋体" w:hAnsi="宋体" w:eastAsia="黑体"/>
      <w:sz w:val="24"/>
      <w:szCs w:val="20"/>
      <w:lang w:val="en-GB"/>
    </w:rPr>
  </w:style>
  <w:style w:type="paragraph" w:styleId="1009" w:customStyle="1">
    <w:name w:val="正文文本首行缩进 21"/>
    <w:basedOn w:val="942"/>
    <w:uiPriority w:val="0"/>
    <w:qFormat/>
    <w:pPr>
      <w:ind w:firstLine="420"/>
    </w:pPr>
  </w:style>
  <w:style w:type="paragraph" w:styleId="1010">
    <w:name w:val="List Paragraph"/>
    <w:basedOn w:val="668"/>
    <w:uiPriority w:val="34"/>
    <w:qFormat/>
    <w:pPr>
      <w:ind w:firstLine="420"/>
    </w:pPr>
    <w:rPr>
      <w:rFonts w:ascii="Calibri" w:hAnsi="Calibri"/>
      <w:szCs w:val="22"/>
    </w:rPr>
  </w:style>
  <w:style w:type="character" w:styleId="1011" w:customStyle="1">
    <w:name w:val="Char Char Char"/>
    <w:uiPriority w:val="0"/>
    <w:qFormat/>
    <w:rPr>
      <w:rFonts w:ascii="宋体" w:hAnsi="宋体" w:eastAsia="宋体"/>
      <w:b/>
      <w:sz w:val="24"/>
      <w:lang w:val="en-US" w:eastAsia="zh-CN" w:bidi="ar-SA"/>
    </w:rPr>
  </w:style>
  <w:style w:type="character" w:styleId="1012" w:customStyle="1">
    <w:name w:val="itm1"/>
    <w:uiPriority w:val="0"/>
    <w:qFormat/>
    <w:rPr>
      <w:rFonts w:hint="eastAsia" w:ascii="宋体" w:hAnsi="宋体" w:eastAsia="宋体"/>
      <w:sz w:val="21"/>
      <w:szCs w:val="21"/>
    </w:rPr>
  </w:style>
  <w:style w:type="character" w:styleId="1013" w:customStyle="1">
    <w:name w:val="明显参考1"/>
    <w:uiPriority w:val="0"/>
    <w:qFormat/>
    <w:rPr>
      <w:b/>
      <w:bCs/>
      <w:smallCaps/>
      <w:color w:val="c0504d"/>
      <w:spacing w:val="5"/>
      <w:u w:val="single"/>
    </w:rPr>
  </w:style>
  <w:style w:type="character" w:styleId="1014" w:customStyle="1">
    <w:name w:val="副标题 Char1"/>
    <w:uiPriority w:val="0"/>
    <w:qFormat/>
    <w:rPr>
      <w:rFonts w:ascii="Cambria" w:hAnsi="Cambria" w:cs="Times New Roman"/>
      <w:b/>
      <w:bCs/>
      <w:sz w:val="32"/>
      <w:szCs w:val="32"/>
    </w:rPr>
  </w:style>
  <w:style w:type="character" w:styleId="1015" w:customStyle="1">
    <w:name w:val="Typewriter"/>
    <w:uiPriority w:val="0"/>
    <w:qFormat/>
    <w:rPr>
      <w:rFonts w:ascii="华文细黑" w:hAnsi="华文细黑"/>
      <w:sz w:val="20"/>
    </w:rPr>
  </w:style>
  <w:style w:type="character" w:styleId="1016"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17" w:customStyle="1">
    <w:name w:val="书籍标题1"/>
    <w:uiPriority w:val="0"/>
    <w:qFormat/>
    <w:rPr>
      <w:b/>
      <w:bCs/>
      <w:smallCaps/>
      <w:spacing w:val="5"/>
    </w:rPr>
  </w:style>
  <w:style w:type="character" w:styleId="1018" w:customStyle="1">
    <w:name w:val="日期 Char1"/>
    <w:uiPriority w:val="0"/>
    <w:qFormat/>
    <w:rPr>
      <w:sz w:val="21"/>
      <w:szCs w:val="22"/>
    </w:rPr>
  </w:style>
  <w:style w:type="character" w:styleId="1019" w:customStyle="1">
    <w:name w:val="正文文本 Char1"/>
    <w:uiPriority w:val="0"/>
    <w:qFormat/>
    <w:rPr>
      <w:sz w:val="21"/>
      <w:szCs w:val="22"/>
    </w:rPr>
  </w:style>
  <w:style w:type="character" w:styleId="1020" w:customStyle="1">
    <w:name w:val="批注文字 Char Char"/>
    <w:uiPriority w:val="0"/>
    <w:qFormat/>
    <w:rPr>
      <w:rFonts w:ascii="华文细黑" w:hAnsi="Cambria" w:eastAsia="华文细黑" w:cs="Cambria"/>
      <w:sz w:val="28"/>
      <w:szCs w:val="20"/>
    </w:rPr>
  </w:style>
  <w:style w:type="character" w:styleId="1021" w:customStyle="1">
    <w:name w:val="称呼 Char1"/>
    <w:uiPriority w:val="0"/>
    <w:qFormat/>
    <w:rPr>
      <w:sz w:val="21"/>
      <w:szCs w:val="24"/>
    </w:rPr>
  </w:style>
  <w:style w:type="character" w:styleId="1022" w:customStyle="1">
    <w:name w:val="正文文本缩进 Char"/>
    <w:uiPriority w:val="0"/>
    <w:qFormat/>
    <w:rPr>
      <w:rFonts w:ascii="Cambria" w:hAnsi="Cambria" w:eastAsia="华文细黑" w:cs="Cambria"/>
      <w:sz w:val="21"/>
      <w:szCs w:val="24"/>
    </w:rPr>
  </w:style>
  <w:style w:type="character" w:styleId="1023" w:customStyle="1">
    <w:name w:val="明显引用 Char1"/>
    <w:uiPriority w:val="30"/>
    <w:qFormat/>
    <w:rPr>
      <w:b/>
      <w:bCs/>
      <w:i/>
      <w:iCs/>
      <w:color w:val="4f81bd"/>
      <w:sz w:val="21"/>
      <w:szCs w:val="24"/>
    </w:rPr>
  </w:style>
  <w:style w:type="character" w:styleId="1024" w:customStyle="1">
    <w:name w:val="正文缩进 Char1"/>
    <w:uiPriority w:val="0"/>
    <w:qFormat/>
    <w:rPr>
      <w:rFonts w:eastAsia="宋体"/>
      <w:lang w:val="en-US" w:eastAsia="zh-CN" w:bidi="ar-SA"/>
    </w:rPr>
  </w:style>
  <w:style w:type="character" w:styleId="1025" w:customStyle="1">
    <w:name w:val="Definition"/>
    <w:uiPriority w:val="0"/>
    <w:qFormat/>
    <w:rPr>
      <w:i/>
    </w:rPr>
  </w:style>
  <w:style w:type="character" w:styleId="1026" w:customStyle="1">
    <w:name w:val="标题 311"/>
    <w:uiPriority w:val="0"/>
    <w:qFormat/>
    <w:rPr>
      <w:rFonts w:hint="eastAsia" w:ascii="黑体" w:hAnsi="ˎ̥" w:eastAsia="黑体"/>
      <w:sz w:val="28"/>
    </w:rPr>
  </w:style>
  <w:style w:type="character" w:styleId="1027" w:customStyle="1">
    <w:name w:val="脚注文本 Char1"/>
    <w:uiPriority w:val="0"/>
    <w:qFormat/>
    <w:rPr>
      <w:sz w:val="18"/>
      <w:szCs w:val="18"/>
    </w:rPr>
  </w:style>
  <w:style w:type="character" w:styleId="1028" w:customStyle="1">
    <w:name w:val="明显强调1"/>
    <w:uiPriority w:val="0"/>
    <w:qFormat/>
    <w:rPr>
      <w:b/>
      <w:bCs/>
      <w:i/>
      <w:iCs/>
      <w:color w:val="4f81bd"/>
    </w:rPr>
  </w:style>
  <w:style w:type="character" w:styleId="1029" w:customStyle="1">
    <w:name w:val="HTML Markup"/>
    <w:uiPriority w:val="0"/>
    <w:qFormat/>
    <w:rPr>
      <w:vanish/>
      <w:color w:val="ff0000"/>
    </w:rPr>
  </w:style>
  <w:style w:type="character" w:styleId="1030" w:customStyle="1">
    <w:name w:val="text_list1"/>
    <w:uiPriority w:val="0"/>
    <w:qFormat/>
    <w:rPr>
      <w:rFonts w:ascii="Arial" w:hAnsi="Arial" w:cs="Arial"/>
      <w:color w:val="000000"/>
      <w:spacing w:val="272"/>
      <w:sz w:val="16"/>
      <w:szCs w:val="16"/>
    </w:rPr>
  </w:style>
  <w:style w:type="character" w:styleId="1031" w:customStyle="1">
    <w:name w:val="标题5 Char Char"/>
    <w:link w:val="1032"/>
    <w:uiPriority w:val="0"/>
    <w:qFormat/>
    <w:rPr>
      <w:rFonts w:ascii="Tahoma" w:hAnsi="Tahoma"/>
      <w:b/>
      <w:bCs/>
      <w:sz w:val="24"/>
      <w:szCs w:val="32"/>
    </w:rPr>
  </w:style>
  <w:style w:type="paragraph" w:styleId="1032" w:customStyle="1">
    <w:name w:val="标题5"/>
    <w:basedOn w:val="904"/>
    <w:link w:val="1031"/>
    <w:uiPriority w:val="0"/>
    <w:qFormat/>
    <w:pPr>
      <w:spacing w:line="413" w:lineRule="auto"/>
    </w:pPr>
    <w:rPr>
      <w:rFonts w:ascii="Tahoma" w:hAnsi="Tahoma" w:eastAsia="宋体"/>
      <w:sz w:val="24"/>
    </w:rPr>
  </w:style>
  <w:style w:type="character" w:styleId="1033" w:customStyle="1">
    <w:name w:val="批注主题 Char1"/>
    <w:uiPriority w:val="0"/>
    <w:qFormat/>
    <w:rPr>
      <w:b/>
      <w:bCs/>
      <w:sz w:val="21"/>
      <w:szCs w:val="22"/>
    </w:rPr>
  </w:style>
  <w:style w:type="character" w:styleId="1034" w:customStyle="1">
    <w:name w:val="CODE"/>
    <w:uiPriority w:val="0"/>
    <w:qFormat/>
    <w:rPr>
      <w:rFonts w:ascii="华文细黑" w:hAnsi="华文细黑"/>
      <w:sz w:val="20"/>
    </w:rPr>
  </w:style>
  <w:style w:type="character" w:styleId="1035" w:customStyle="1">
    <w:name w:val="不明显强调1"/>
    <w:uiPriority w:val="0"/>
    <w:qFormat/>
    <w:rPr>
      <w:i/>
      <w:iCs/>
      <w:color w:val="808080"/>
    </w:rPr>
  </w:style>
  <w:style w:type="character" w:styleId="1036" w:customStyle="1">
    <w:name w:val="不明显参考1"/>
    <w:uiPriority w:val="0"/>
    <w:qFormat/>
    <w:rPr>
      <w:smallCaps/>
      <w:color w:val="c0504d"/>
      <w:u w:val="single"/>
    </w:rPr>
  </w:style>
  <w:style w:type="character" w:styleId="1037" w:customStyle="1">
    <w:name w:val="Char Char4"/>
    <w:uiPriority w:val="0"/>
    <w:qFormat/>
    <w:rPr>
      <w:rFonts w:ascii="华文细黑" w:hAnsi="华文细黑" w:eastAsia="幼圆" w:cs="Tahoma"/>
      <w:b/>
      <w:sz w:val="28"/>
      <w:szCs w:val="32"/>
      <w:lang w:val="en-US" w:eastAsia="zh-CN" w:bidi="ar-SA"/>
    </w:rPr>
  </w:style>
  <w:style w:type="character" w:styleId="1038" w:customStyle="1">
    <w:name w:val="Char Char2"/>
    <w:uiPriority w:val="0"/>
    <w:semiHidden/>
    <w:qFormat/>
    <w:rPr>
      <w:rFonts w:eastAsia="华文细黑"/>
      <w:sz w:val="21"/>
      <w:szCs w:val="24"/>
      <w:lang w:val="en-US" w:eastAsia="zh-CN" w:bidi="ar-SA"/>
    </w:rPr>
  </w:style>
  <w:style w:type="character" w:styleId="1039" w:customStyle="1">
    <w:name w:val="文档结构图 Char1"/>
    <w:uiPriority w:val="0"/>
    <w:qFormat/>
    <w:rPr>
      <w:rFonts w:ascii="华文细黑"/>
      <w:sz w:val="18"/>
      <w:szCs w:val="18"/>
    </w:rPr>
  </w:style>
  <w:style w:type="character" w:styleId="1040" w:customStyle="1">
    <w:name w:val="Char Char1"/>
    <w:uiPriority w:val="0"/>
    <w:qFormat/>
    <w:rPr>
      <w:rFonts w:ascii="幼圆" w:hAnsi="Tahoma" w:eastAsia="幼圆" w:cs="Tahoma"/>
      <w:b/>
      <w:bCs/>
      <w:sz w:val="32"/>
      <w:szCs w:val="32"/>
      <w:lang w:val="en-US" w:eastAsia="zh-CN" w:bidi="ar-SA"/>
    </w:rPr>
  </w:style>
  <w:style w:type="character" w:styleId="1041" w:customStyle="1">
    <w:name w:val="Char Char"/>
    <w:uiPriority w:val="0"/>
    <w:qFormat/>
    <w:rPr>
      <w:rFonts w:eastAsia="华文细黑"/>
      <w:b/>
      <w:bCs/>
      <w:sz w:val="21"/>
      <w:szCs w:val="24"/>
      <w:lang w:val="en-US" w:eastAsia="zh-CN" w:bidi="ar-SA"/>
    </w:rPr>
  </w:style>
  <w:style w:type="character" w:styleId="1042" w:customStyle="1">
    <w:name w:val="页眉 Char1"/>
    <w:uiPriority w:val="0"/>
    <w:qFormat/>
    <w:rPr>
      <w:rFonts w:eastAsia="宋体"/>
      <w:sz w:val="18"/>
      <w:szCs w:val="18"/>
      <w:lang w:val="en-US" w:eastAsia="zh-CN" w:bidi="ar-SA"/>
    </w:rPr>
  </w:style>
  <w:style w:type="character" w:styleId="1043" w:customStyle="1">
    <w:name w:val="Variable"/>
    <w:uiPriority w:val="0"/>
    <w:qFormat/>
    <w:rPr>
      <w:i/>
    </w:rPr>
  </w:style>
  <w:style w:type="character" w:styleId="1044" w:customStyle="1">
    <w:name w:val="结束语 Char1"/>
    <w:uiPriority w:val="0"/>
    <w:qFormat/>
    <w:rPr>
      <w:sz w:val="21"/>
      <w:szCs w:val="24"/>
    </w:rPr>
  </w:style>
  <w:style w:type="character" w:styleId="1045" w:customStyle="1">
    <w:name w:val="表格正文 Char"/>
    <w:link w:val="1046"/>
    <w:uiPriority w:val="0"/>
    <w:qFormat/>
    <w:rPr>
      <w:sz w:val="21"/>
      <w:szCs w:val="24"/>
    </w:rPr>
  </w:style>
  <w:style w:type="paragraph" w:styleId="1046" w:customStyle="1">
    <w:name w:val="表格正文"/>
    <w:basedOn w:val="668"/>
    <w:link w:val="1045"/>
    <w:uiPriority w:val="0"/>
    <w:qFormat/>
  </w:style>
  <w:style w:type="character" w:styleId="1047" w:customStyle="1">
    <w:name w:val="Char Char31"/>
    <w:uiPriority w:val="0"/>
    <w:qFormat/>
    <w:rPr>
      <w:rFonts w:eastAsia="宋体"/>
      <w:b/>
      <w:bCs/>
      <w:sz w:val="32"/>
      <w:szCs w:val="44"/>
      <w:lang w:val="en-US" w:eastAsia="zh-CN" w:bidi="ar-SA"/>
    </w:rPr>
  </w:style>
  <w:style w:type="character" w:styleId="1048" w:customStyle="1">
    <w:name w:val="Comment"/>
    <w:uiPriority w:val="0"/>
    <w:qFormat/>
    <w:rPr>
      <w:vanish/>
    </w:rPr>
  </w:style>
  <w:style w:type="character" w:styleId="1049" w:customStyle="1">
    <w:name w:val="引用 Char1"/>
    <w:uiPriority w:val="29"/>
    <w:qFormat/>
    <w:rPr>
      <w:i/>
      <w:iCs/>
      <w:color w:val="000000"/>
      <w:sz w:val="21"/>
      <w:szCs w:val="24"/>
    </w:rPr>
  </w:style>
  <w:style w:type="character" w:styleId="1050" w:customStyle="1">
    <w:name w:val="Sample"/>
    <w:uiPriority w:val="0"/>
    <w:qFormat/>
    <w:rPr>
      <w:rFonts w:ascii="华文细黑" w:hAnsi="华文细黑"/>
    </w:rPr>
  </w:style>
  <w:style w:type="character" w:styleId="1051" w:customStyle="1">
    <w:name w:val="Para head"/>
    <w:uiPriority w:val="0"/>
    <w:qFormat/>
    <w:rPr>
      <w:rFonts w:ascii="Arial" w:hAnsi="Arial" w:eastAsia="Times New Roman"/>
      <w:sz w:val="20"/>
    </w:rPr>
  </w:style>
  <w:style w:type="character" w:styleId="1052" w:customStyle="1">
    <w:name w:val="批注框文本 Char1"/>
    <w:uiPriority w:val="0"/>
    <w:qFormat/>
    <w:rPr>
      <w:sz w:val="18"/>
      <w:szCs w:val="18"/>
    </w:rPr>
  </w:style>
  <w:style w:type="character" w:styleId="1053" w:customStyle="1">
    <w:name w:val="textcontents"/>
    <w:uiPriority w:val="0"/>
    <w:qFormat/>
    <w:rPr>
      <w:rFonts w:cs="Cambria"/>
    </w:rPr>
  </w:style>
  <w:style w:type="character" w:styleId="1054" w:customStyle="1">
    <w:name w:val="Keyboard"/>
    <w:uiPriority w:val="0"/>
    <w:qFormat/>
    <w:rPr>
      <w:rFonts w:ascii="华文细黑" w:hAnsi="华文细黑"/>
      <w:b/>
      <w:sz w:val="20"/>
    </w:rPr>
  </w:style>
  <w:style w:type="character" w:styleId="1055" w:customStyle="1">
    <w:name w:val="HTML 预设格式 Char1"/>
    <w:uiPriority w:val="0"/>
    <w:qFormat/>
    <w:rPr>
      <w:rFonts w:ascii="Courier New" w:hAnsi="Courier New" w:cs="Courier New"/>
    </w:rPr>
  </w:style>
  <w:style w:type="character" w:styleId="1056" w:customStyle="1">
    <w:name w:val="引用 字符"/>
    <w:link w:val="1057"/>
    <w:uiPriority w:val="0"/>
    <w:qFormat/>
    <w:rPr>
      <w:i/>
      <w:iCs/>
      <w:color w:val="000000"/>
      <w:sz w:val="21"/>
      <w:szCs w:val="22"/>
    </w:rPr>
  </w:style>
  <w:style w:type="paragraph" w:styleId="1057" w:customStyle="1">
    <w:name w:val="引用1"/>
    <w:basedOn w:val="668"/>
    <w:next w:val="668"/>
    <w:link w:val="1056"/>
    <w:uiPriority w:val="0"/>
    <w:qFormat/>
    <w:rPr>
      <w:i/>
      <w:iCs/>
      <w:color w:val="000000"/>
      <w:szCs w:val="22"/>
    </w:rPr>
  </w:style>
  <w:style w:type="character" w:styleId="1058" w:customStyle="1">
    <w:name w:val="Char Char3"/>
    <w:uiPriority w:val="0"/>
    <w:qFormat/>
    <w:rPr>
      <w:rFonts w:ascii="幼圆" w:hAnsi="华文细黑" w:eastAsia="幼圆" w:cs="Tahoma"/>
      <w:b/>
      <w:bCs/>
      <w:sz w:val="24"/>
      <w:szCs w:val="24"/>
      <w:lang w:val="en-US" w:eastAsia="zh-CN" w:bidi="ar-SA"/>
    </w:rPr>
  </w:style>
  <w:style w:type="character" w:styleId="1059" w:customStyle="1">
    <w:name w:val="chword"/>
    <w:uiPriority w:val="0"/>
    <w:qFormat/>
  </w:style>
  <w:style w:type="character" w:styleId="1060" w:customStyle="1">
    <w:name w:val="CITE"/>
    <w:uiPriority w:val="0"/>
    <w:qFormat/>
    <w:rPr>
      <w:i/>
    </w:rPr>
  </w:style>
  <w:style w:type="paragraph" w:styleId="1061" w:customStyle="1">
    <w:name w:val="页眉1"/>
    <w:basedOn w:val="66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62" w:customStyle="1">
    <w:name w:val="xl27"/>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3" w:customStyle="1">
    <w:name w:val="xl42"/>
    <w:basedOn w:val="66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64" w:customStyle="1">
    <w:name w:val="程序代码"/>
    <w:basedOn w:val="668"/>
    <w:uiPriority w:val="0"/>
    <w:qFormat/>
    <w:pPr>
      <w:ind w:left="839" w:firstLine="420"/>
      <w:spacing w:after="20" w:line="288" w:lineRule="auto"/>
    </w:pPr>
    <w:rPr>
      <w:rFonts w:eastAsia="仿宋_GB2312"/>
    </w:rPr>
  </w:style>
  <w:style w:type="paragraph" w:styleId="1065"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066" w:customStyle="1">
    <w:name w:val="列表段落1"/>
    <w:basedOn w:val="668"/>
    <w:uiPriority w:val="0"/>
    <w:qFormat/>
    <w:pPr>
      <w:ind w:firstLine="420"/>
    </w:pPr>
    <w:rPr>
      <w:rFonts w:ascii="Calibri" w:hAnsi="Calibri"/>
      <w:szCs w:val="22"/>
    </w:rPr>
  </w:style>
  <w:style w:type="paragraph" w:styleId="1067" w:customStyle="1">
    <w:name w:val="标准文字"/>
    <w:basedOn w:val="668"/>
    <w:uiPriority w:val="0"/>
    <w:qFormat/>
    <w:pPr>
      <w:ind w:firstLine="420"/>
      <w:spacing w:after="20" w:line="360" w:lineRule="auto"/>
    </w:pPr>
  </w:style>
  <w:style w:type="paragraph" w:styleId="1068" w:customStyle="1">
    <w:name w:val="z-Top of Form"/>
    <w:next w:val="668"/>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069" w:customStyle="1">
    <w:name w:val="TOC 标题11"/>
    <w:basedOn w:val="902"/>
    <w:next w:val="668"/>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70" w:customStyle="1">
    <w:name w:val="简介正文"/>
    <w:basedOn w:val="668"/>
    <w:uiPriority w:val="0"/>
    <w:qFormat/>
    <w:pPr>
      <w:ind w:left="1701" w:hanging="1701"/>
      <w:spacing w:after="20" w:line="520" w:lineRule="exact"/>
      <w:tabs>
        <w:tab w:val="left" w:pos="360" w:leader="none"/>
      </w:tabs>
    </w:pPr>
    <w:rPr>
      <w:sz w:val="24"/>
      <w:szCs w:val="20"/>
    </w:rPr>
  </w:style>
  <w:style w:type="paragraph" w:styleId="1071" w:customStyle="1">
    <w:name w:val="xl43"/>
    <w:basedOn w:val="66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72" w:customStyle="1">
    <w:name w:val="函数注释2"/>
    <w:basedOn w:val="668"/>
    <w:uiPriority w:val="0"/>
    <w:qFormat/>
    <w:pPr>
      <w:ind w:left="1680" w:firstLine="420"/>
      <w:spacing w:after="20" w:line="288" w:lineRule="auto"/>
    </w:pPr>
  </w:style>
  <w:style w:type="paragraph" w:styleId="1073" w:customStyle="1">
    <w:name w:val="Definition Term"/>
    <w:basedOn w:val="668"/>
    <w:next w:val="1074"/>
    <w:uiPriority w:val="0"/>
    <w:qFormat/>
    <w:pPr>
      <w:jc w:val="left"/>
    </w:pPr>
    <w:rPr>
      <w:rFonts w:ascii="Cambria" w:hAnsi="Cambria" w:eastAsia="华文细黑" w:cs="Cambria"/>
      <w:sz w:val="24"/>
      <w:szCs w:val="20"/>
    </w:rPr>
  </w:style>
  <w:style w:type="paragraph" w:styleId="1074" w:customStyle="1">
    <w:name w:val="Definition List"/>
    <w:basedOn w:val="668"/>
    <w:next w:val="1073"/>
    <w:uiPriority w:val="0"/>
    <w:qFormat/>
    <w:pPr>
      <w:ind w:left="360"/>
      <w:jc w:val="left"/>
    </w:pPr>
    <w:rPr>
      <w:rFonts w:ascii="Cambria" w:hAnsi="Cambria" w:eastAsia="华文细黑" w:cs="Cambria"/>
      <w:sz w:val="24"/>
      <w:szCs w:val="20"/>
    </w:rPr>
  </w:style>
  <w:style w:type="paragraph" w:styleId="1075" w:customStyle="1">
    <w:name w:val="默认段落字体 Para Char"/>
    <w:basedOn w:val="668"/>
    <w:uiPriority w:val="0"/>
    <w:qFormat/>
    <w:pPr>
      <w:ind w:firstLine="200"/>
      <w:spacing w:line="360" w:lineRule="auto"/>
    </w:pPr>
    <w:rPr>
      <w:rFonts w:ascii="华文细黑" w:hAnsi="华文细黑" w:eastAsia="华文细黑" w:cs="华文细黑"/>
      <w:sz w:val="24"/>
    </w:rPr>
  </w:style>
  <w:style w:type="paragraph" w:styleId="1076" w:customStyle="1">
    <w:name w:val="样式 标题 1 + 黑体 三号 非加粗 居中 段前: 6 磅 段后: 6 磅 行距: 固定值 20 磅"/>
    <w:basedOn w:val="902"/>
    <w:uiPriority w:val="0"/>
    <w:qFormat/>
    <w:pPr>
      <w:numPr>
        <w:numId w:val="0"/>
      </w:numPr>
      <w:spacing w:before="120" w:after="120" w:line="400" w:lineRule="exact"/>
    </w:pPr>
    <w:rPr>
      <w:rFonts w:ascii="幼圆" w:hAnsi="幼圆" w:eastAsia="幼圆" w:cs="华文细黑"/>
      <w:b w:val="0"/>
      <w:bCs w:val="0"/>
      <w:sz w:val="32"/>
      <w:szCs w:val="20"/>
    </w:rPr>
  </w:style>
  <w:style w:type="paragraph" w:styleId="1077" w:customStyle="1">
    <w:name w:val="yyn"/>
    <w:basedOn w:val="668"/>
    <w:uiPriority w:val="0"/>
    <w:qFormat/>
    <w:pPr>
      <w:ind w:right="562" w:firstLine="576"/>
      <w:keepNext/>
      <w:spacing w:line="360" w:lineRule="auto"/>
      <w:widowControl/>
    </w:pPr>
    <w:rPr>
      <w:rFonts w:ascii="宋体"/>
      <w:sz w:val="28"/>
      <w:szCs w:val="20"/>
    </w:rPr>
  </w:style>
  <w:style w:type="paragraph" w:styleId="1078" w:customStyle="1">
    <w:name w:val="font5"/>
    <w:basedOn w:val="668"/>
    <w:uiPriority w:val="0"/>
    <w:qFormat/>
    <w:pPr>
      <w:jc w:val="left"/>
      <w:spacing w:before="100" w:beforeAutospacing="1" w:after="100" w:afterAutospacing="1"/>
      <w:widowControl/>
    </w:pPr>
    <w:rPr>
      <w:rFonts w:hint="eastAsia" w:ascii="宋体" w:hAnsi="宋体"/>
      <w:sz w:val="18"/>
      <w:szCs w:val="18"/>
    </w:rPr>
  </w:style>
  <w:style w:type="paragraph" w:styleId="1079" w:customStyle="1">
    <w:name w:val="xl3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0" w:customStyle="1">
    <w:name w:val="菲页(卷)"/>
    <w:basedOn w:val="902"/>
    <w:next w:val="1081"/>
    <w:uiPriority w:val="0"/>
    <w:qFormat/>
    <w:pPr>
      <w:ind w:left="780" w:hanging="360"/>
      <w:keepLines w:val="0"/>
      <w:spacing w:before="0" w:after="0" w:line="240" w:lineRule="auto"/>
      <w:widowControl/>
      <w:outlineLvl w:val="1"/>
    </w:pPr>
    <w:rPr>
      <w:b w:val="0"/>
      <w:bCs w:val="0"/>
      <w:sz w:val="52"/>
      <w:szCs w:val="20"/>
    </w:rPr>
  </w:style>
  <w:style w:type="paragraph" w:styleId="108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82" w:customStyle="1">
    <w:name w:val="列表_名词"/>
    <w:basedOn w:val="1083"/>
    <w:uiPriority w:val="0"/>
    <w:qFormat/>
    <w:pPr>
      <w:ind w:left="2745" w:hanging="420"/>
      <w:tabs>
        <w:tab w:val="left" w:pos="2745" w:leader="none"/>
      </w:tabs>
    </w:pPr>
  </w:style>
  <w:style w:type="paragraph" w:styleId="1083" w:customStyle="1">
    <w:name w:val="名词解释11"/>
    <w:basedOn w:val="1084"/>
    <w:uiPriority w:val="0"/>
    <w:qFormat/>
    <w:pPr>
      <w:ind w:firstLine="0"/>
      <w:spacing w:after="0"/>
    </w:pPr>
  </w:style>
  <w:style w:type="paragraph" w:styleId="1084" w:customStyle="1">
    <w:name w:val="名词解释"/>
    <w:basedOn w:val="668"/>
    <w:uiPriority w:val="0"/>
    <w:qFormat/>
    <w:pPr>
      <w:ind w:left="2325" w:hanging="2325"/>
      <w:spacing w:after="20" w:line="288" w:lineRule="auto"/>
    </w:pPr>
    <w:rPr>
      <w:szCs w:val="20"/>
    </w:rPr>
  </w:style>
  <w:style w:type="paragraph" w:styleId="1085" w:customStyle="1">
    <w:name w:val="空半行"/>
    <w:basedOn w:val="668"/>
    <w:uiPriority w:val="0"/>
    <w:qFormat/>
    <w:pPr>
      <w:spacing w:line="120" w:lineRule="exact"/>
    </w:pPr>
    <w:rPr>
      <w:rFonts w:ascii="Cambria" w:hAnsi="Cambria" w:eastAsia="Tahoma" w:cs="Cambria"/>
      <w:color w:val="ffffff"/>
      <w:sz w:val="30"/>
      <w:szCs w:val="20"/>
    </w:rPr>
  </w:style>
  <w:style w:type="paragraph" w:styleId="1086" w:customStyle="1">
    <w:name w:val="xl47"/>
    <w:basedOn w:val="6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7" w:customStyle="1">
    <w:name w:val="xl3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8" w:customStyle="1">
    <w:name w:val="样式1"/>
    <w:basedOn w:val="668"/>
    <w:uiPriority w:val="0"/>
    <w:qFormat/>
    <w:pPr>
      <w:spacing w:before="120" w:after="120" w:line="300" w:lineRule="auto"/>
    </w:pPr>
    <w:rPr>
      <w:rFonts w:ascii="宋体" w:hAnsi="宋体"/>
      <w:b/>
      <w:sz w:val="24"/>
      <w:szCs w:val="20"/>
    </w:rPr>
  </w:style>
  <w:style w:type="paragraph" w:styleId="1089" w:customStyle="1">
    <w:name w:val="正文(缩进)"/>
    <w:basedOn w:val="668"/>
    <w:uiPriority w:val="0"/>
    <w:qFormat/>
    <w:pPr>
      <w:ind w:firstLine="200"/>
      <w:spacing w:line="360" w:lineRule="auto"/>
      <w:widowControl/>
    </w:pPr>
    <w:rPr>
      <w:rFonts w:eastAsia="仿宋_GB2312"/>
      <w:sz w:val="24"/>
      <w:szCs w:val="20"/>
    </w:rPr>
  </w:style>
  <w:style w:type="paragraph" w:styleId="1090" w:customStyle="1">
    <w:name w:val="产品型号"/>
    <w:basedOn w:val="668"/>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91" w:customStyle="1">
    <w:name w:val="xl37"/>
    <w:basedOn w:val="6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92" w:customStyle="1">
    <w:name w:val="列表2"/>
    <w:basedOn w:val="668"/>
    <w:uiPriority w:val="0"/>
    <w:qFormat/>
    <w:pPr>
      <w:ind w:left="1469" w:hanging="420"/>
      <w:spacing w:after="20" w:line="288" w:lineRule="auto"/>
      <w:tabs>
        <w:tab w:val="left" w:pos="1470" w:leader="none"/>
      </w:tabs>
    </w:pPr>
  </w:style>
  <w:style w:type="paragraph" w:styleId="1093" w:customStyle="1">
    <w:name w:val="xl29"/>
    <w:basedOn w:val="66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4" w:customStyle="1">
    <w:name w:val="xl3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5" w:customStyle="1">
    <w:name w:val="Default Paragraph Font Para Char"/>
    <w:basedOn w:val="668"/>
    <w:uiPriority w:val="0"/>
    <w:qFormat/>
    <w:pPr>
      <w:jc w:val="left"/>
      <w:spacing w:after="160" w:line="240" w:lineRule="exact"/>
      <w:widowControl/>
    </w:pPr>
  </w:style>
  <w:style w:type="paragraph" w:styleId="1096" w:customStyle="1">
    <w:name w:val="1"/>
    <w:basedOn w:val="668"/>
    <w:uiPriority w:val="0"/>
    <w:qFormat/>
    <w:pPr>
      <w:ind w:firstLine="200"/>
      <w:spacing w:line="360" w:lineRule="auto"/>
    </w:pPr>
    <w:rPr>
      <w:rFonts w:ascii="华文细黑" w:hAnsi="华文细黑" w:eastAsia="华文细黑" w:cs="华文细黑"/>
      <w:sz w:val="24"/>
    </w:rPr>
  </w:style>
  <w:style w:type="paragraph" w:styleId="1097" w:customStyle="1">
    <w:name w:val="表格"/>
    <w:basedOn w:val="668"/>
    <w:uiPriority w:val="0"/>
    <w:qFormat/>
    <w:pPr>
      <w:jc w:val="center"/>
    </w:pPr>
    <w:rPr>
      <w:szCs w:val="21"/>
    </w:rPr>
  </w:style>
  <w:style w:type="paragraph" w:styleId="1098" w:customStyle="1">
    <w:name w:val="回信地址"/>
    <w:basedOn w:val="668"/>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99" w:customStyle="1">
    <w:name w:val="xl45"/>
    <w:basedOn w:val="6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00" w:customStyle="1">
    <w:name w:val="Preformatted"/>
    <w:basedOn w:val="66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01" w:customStyle="1">
    <w:name w:val="并列项-点"/>
    <w:basedOn w:val="668"/>
    <w:uiPriority w:val="0"/>
    <w:qFormat/>
    <w:pPr>
      <w:ind w:left="851" w:hanging="284"/>
      <w:spacing w:before="120" w:line="360" w:lineRule="auto"/>
      <w:widowControl/>
      <w:tabs>
        <w:tab w:val="left" w:pos="851" w:leader="none"/>
        <w:tab w:val="left" w:pos="927" w:leader="none"/>
      </w:tabs>
    </w:pPr>
    <w:rPr>
      <w:sz w:val="24"/>
      <w:szCs w:val="20"/>
    </w:rPr>
  </w:style>
  <w:style w:type="paragraph" w:styleId="1102" w:customStyle="1">
    <w:name w:val="标题0"/>
    <w:basedOn w:val="989"/>
    <w:next w:val="989"/>
    <w:uiPriority w:val="0"/>
    <w:qFormat/>
    <w:rPr>
      <w:sz w:val="52"/>
    </w:rPr>
  </w:style>
  <w:style w:type="paragraph" w:styleId="1103" w:customStyle="1">
    <w:name w:val="重点"/>
    <w:basedOn w:val="668"/>
    <w:uiPriority w:val="0"/>
    <w:qFormat/>
    <w:pPr>
      <w:ind w:firstLine="420"/>
      <w:spacing w:after="20" w:line="288" w:lineRule="auto"/>
      <w:shd w:val="pct10" w:color="auto" w:fill="auto"/>
    </w:pPr>
    <w:rPr>
      <w:rFonts w:eastAsia="黑体"/>
      <w:b/>
    </w:rPr>
  </w:style>
  <w:style w:type="paragraph" w:styleId="1104" w:customStyle="1">
    <w:name w:val="xl4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5" w:customStyle="1">
    <w:name w:val="a2"/>
    <w:basedOn w:val="668"/>
    <w:uiPriority w:val="0"/>
    <w:qFormat/>
    <w:pPr>
      <w:jc w:val="left"/>
      <w:spacing w:before="100" w:beforeAutospacing="1" w:after="100" w:afterAutospacing="1"/>
      <w:widowControl/>
    </w:pPr>
    <w:rPr>
      <w:rFonts w:ascii="宋体" w:hAnsi="宋体" w:cs="宋体"/>
      <w:sz w:val="24"/>
    </w:rPr>
  </w:style>
  <w:style w:type="paragraph" w:styleId="1106" w:customStyle="1">
    <w:name w:val="图形"/>
    <w:basedOn w:val="668"/>
    <w:uiPriority w:val="0"/>
    <w:qFormat/>
    <w:pPr>
      <w:ind w:firstLine="420"/>
      <w:jc w:val="center"/>
      <w:spacing w:after="20" w:line="288" w:lineRule="auto"/>
    </w:pPr>
  </w:style>
  <w:style w:type="paragraph" w:styleId="1107" w:customStyle="1">
    <w:name w:val="函数注释1"/>
    <w:basedOn w:val="668"/>
    <w:uiPriority w:val="0"/>
    <w:qFormat/>
    <w:pPr>
      <w:ind w:left="1678" w:right="210" w:hanging="1049"/>
      <w:jc w:val="left"/>
      <w:spacing w:after="20" w:line="320" w:lineRule="exact"/>
    </w:pPr>
    <w:rPr>
      <w:szCs w:val="20"/>
    </w:rPr>
  </w:style>
  <w:style w:type="paragraph" w:styleId="1108" w:customStyle="1">
    <w:name w:val="Blockquote"/>
    <w:basedOn w:val="668"/>
    <w:uiPriority w:val="0"/>
    <w:qFormat/>
    <w:pPr>
      <w:ind w:left="360" w:right="360"/>
      <w:jc w:val="left"/>
      <w:spacing w:before="100" w:after="100"/>
    </w:pPr>
    <w:rPr>
      <w:rFonts w:ascii="Cambria" w:hAnsi="Cambria" w:eastAsia="华文细黑" w:cs="Cambria"/>
      <w:sz w:val="24"/>
      <w:szCs w:val="20"/>
    </w:rPr>
  </w:style>
  <w:style w:type="paragraph" w:styleId="1109" w:customStyle="1">
    <w:name w:val="菲页1"/>
    <w:basedOn w:val="903"/>
    <w:uiPriority w:val="0"/>
    <w:qFormat/>
    <w:pPr>
      <w:numPr>
        <w:numId w:val="0"/>
      </w:numPr>
      <w:jc w:val="center"/>
      <w:widowControl/>
    </w:pPr>
    <w:rPr>
      <w:rFonts w:ascii="黑体" w:hAnsi="宋体"/>
      <w:b w:val="0"/>
      <w:bCs w:val="0"/>
      <w:sz w:val="52"/>
      <w:szCs w:val="20"/>
    </w:rPr>
  </w:style>
  <w:style w:type="paragraph" w:styleId="1110" w:customStyle="1">
    <w:name w:val="xl35"/>
    <w:basedOn w:val="6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1" w:customStyle="1">
    <w:name w:val="样式 标题 3 + (中文) 黑体 小四 非加粗 段前: 7.8 磅 段后: 0 磅 行距: 固定值 20 磅"/>
    <w:basedOn w:val="90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2" w:customStyle="1">
    <w:name w:val="表蕊"/>
    <w:basedOn w:val="668"/>
    <w:uiPriority w:val="0"/>
    <w:qFormat/>
    <w:pPr>
      <w:jc w:val="left"/>
      <w:spacing w:line="320" w:lineRule="atLeast"/>
    </w:pPr>
    <w:rPr>
      <w:rFonts w:eastAsia="楷体_GB2312"/>
      <w:spacing w:val="-10"/>
      <w:szCs w:val="20"/>
    </w:rPr>
  </w:style>
  <w:style w:type="paragraph" w:styleId="1113" w:customStyle="1">
    <w:name w:val="目录文字"/>
    <w:basedOn w:val="668"/>
    <w:uiPriority w:val="0"/>
    <w:qFormat/>
    <w:pPr>
      <w:jc w:val="left"/>
      <w:spacing w:line="480" w:lineRule="auto"/>
      <w:widowControl/>
    </w:pPr>
    <w:rPr>
      <w:rFonts w:ascii="宋体" w:hAnsi="宋体"/>
      <w:sz w:val="24"/>
      <w:szCs w:val="20"/>
    </w:rPr>
  </w:style>
  <w:style w:type="paragraph" w:styleId="1114" w:customStyle="1">
    <w:name w:val="默认段落字体 Para Char Char Char1 Char"/>
    <w:basedOn w:val="668"/>
    <w:uiPriority w:val="0"/>
    <w:qFormat/>
    <w:pPr>
      <w:ind w:left="420" w:firstLine="420"/>
      <w:spacing w:line="360" w:lineRule="auto"/>
    </w:pPr>
    <w:rPr>
      <w:sz w:val="24"/>
      <w:szCs w:val="21"/>
    </w:rPr>
  </w:style>
  <w:style w:type="paragraph" w:styleId="1115" w:customStyle="1">
    <w:name w:val="TOC 标题2"/>
    <w:basedOn w:val="902"/>
    <w:next w:val="668"/>
    <w:uiPriority w:val="0"/>
    <w:qFormat/>
    <w:pPr>
      <w:numPr>
        <w:numId w:val="0"/>
      </w:numPr>
      <w:jc w:val="both"/>
      <w:outlineLvl w:val="9"/>
    </w:pPr>
    <w:rPr>
      <w:rFonts w:ascii="Cambria" w:hAnsi="Cambria" w:eastAsia="华文细黑" w:cs="Cambria"/>
    </w:rPr>
  </w:style>
  <w:style w:type="paragraph" w:styleId="1116" w:customStyle="1">
    <w:name w:val="font6"/>
    <w:basedOn w:val="668"/>
    <w:uiPriority w:val="0"/>
    <w:qFormat/>
    <w:pPr>
      <w:ind w:firstLine="420"/>
      <w:jc w:val="left"/>
      <w:spacing w:before="100" w:beforeAutospacing="1" w:after="100" w:afterAutospacing="1" w:line="288" w:lineRule="auto"/>
      <w:widowControl/>
    </w:pPr>
    <w:rPr>
      <w:sz w:val="24"/>
    </w:rPr>
  </w:style>
  <w:style w:type="paragraph" w:styleId="1117" w:customStyle="1">
    <w:name w:val="p0"/>
    <w:basedOn w:val="668"/>
    <w:uiPriority w:val="0"/>
    <w:qFormat/>
    <w:pPr>
      <w:widowControl/>
    </w:pPr>
    <w:rPr>
      <w:szCs w:val="21"/>
    </w:rPr>
  </w:style>
  <w:style w:type="paragraph" w:styleId="1118" w:customStyle="1">
    <w:name w:val="Char"/>
    <w:basedOn w:val="668"/>
    <w:uiPriority w:val="0"/>
    <w:qFormat/>
    <w:pPr>
      <w:ind w:left="420" w:firstLine="420"/>
      <w:spacing w:line="240" w:lineRule="atLeast"/>
    </w:pPr>
    <w:rPr>
      <w:szCs w:val="21"/>
    </w:rPr>
  </w:style>
  <w:style w:type="paragraph" w:styleId="1119" w:customStyle="1">
    <w:name w:val="菲页2"/>
    <w:basedOn w:val="904"/>
    <w:uiPriority w:val="0"/>
    <w:qFormat/>
    <w:pPr>
      <w:ind w:left="6233" w:hanging="420"/>
      <w:jc w:val="center"/>
      <w:spacing w:before="120" w:after="120" w:line="360" w:lineRule="auto"/>
      <w:widowControl/>
    </w:pPr>
    <w:rPr>
      <w:rFonts w:hAnsi="宋体"/>
      <w:b w:val="0"/>
      <w:bCs w:val="0"/>
      <w:sz w:val="44"/>
      <w:szCs w:val="20"/>
    </w:rPr>
  </w:style>
  <w:style w:type="paragraph" w:styleId="1120" w:customStyle="1">
    <w:name w:val="Char Char Char Char Char Char Char Char Char Char1"/>
    <w:basedOn w:val="668"/>
    <w:uiPriority w:val="0"/>
    <w:qFormat/>
    <w:pPr>
      <w:ind w:left="425" w:hanging="425"/>
      <w:tabs>
        <w:tab w:val="left" w:pos="425" w:leader="none"/>
      </w:tabs>
    </w:pPr>
    <w:rPr>
      <w:sz w:val="28"/>
      <w:szCs w:val="20"/>
    </w:rPr>
  </w:style>
  <w:style w:type="paragraph" w:styleId="1121" w:customStyle="1">
    <w:name w:val="z-Bottom of Form"/>
    <w:next w:val="668"/>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22" w:customStyle="1">
    <w:name w:val="样式 (西文) 仿宋_GB2312 居中 行距: 1.5 倍行距"/>
    <w:basedOn w:val="668"/>
    <w:uiPriority w:val="0"/>
    <w:qFormat/>
    <w:pPr>
      <w:jc w:val="center"/>
      <w:spacing w:line="360" w:lineRule="auto"/>
    </w:pPr>
    <w:rPr>
      <w:rFonts w:ascii="华文细黑" w:hAnsi="华文细黑" w:eastAsia="华文细黑" w:cs="华文细黑"/>
      <w:szCs w:val="20"/>
    </w:rPr>
  </w:style>
  <w:style w:type="paragraph" w:styleId="1123" w:customStyle="1">
    <w:name w:val="font7"/>
    <w:basedOn w:val="668"/>
    <w:uiPriority w:val="0"/>
    <w:qFormat/>
    <w:pPr>
      <w:ind w:firstLine="420"/>
      <w:jc w:val="left"/>
      <w:spacing w:before="100" w:beforeAutospacing="1" w:after="100" w:afterAutospacing="1" w:line="288" w:lineRule="auto"/>
      <w:widowControl/>
    </w:pPr>
    <w:rPr>
      <w:b/>
      <w:bCs/>
      <w:sz w:val="24"/>
    </w:rPr>
  </w:style>
  <w:style w:type="paragraph" w:styleId="1124" w:customStyle="1">
    <w:name w:val="xl24"/>
    <w:basedOn w:val="66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5" w:customStyle="1">
    <w:name w:val="xl41"/>
    <w:basedOn w:val="66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26" w:customStyle="1">
    <w:name w:val="正文1)"/>
    <w:basedOn w:val="66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27" w:customStyle="1">
    <w:name w:val="H6"/>
    <w:basedOn w:val="668"/>
    <w:next w:val="668"/>
    <w:uiPriority w:val="0"/>
    <w:qFormat/>
    <w:pPr>
      <w:jc w:val="left"/>
      <w:keepNext/>
      <w:spacing w:before="100" w:after="100"/>
      <w:outlineLvl w:val="6"/>
    </w:pPr>
    <w:rPr>
      <w:b/>
      <w:sz w:val="16"/>
      <w:szCs w:val="20"/>
    </w:rPr>
  </w:style>
  <w:style w:type="paragraph" w:styleId="1128" w:customStyle="1">
    <w:name w:val="Char Char Char Char Char Char"/>
    <w:basedOn w:val="668"/>
    <w:uiPriority w:val="0"/>
    <w:qFormat/>
    <w:pPr>
      <w:jc w:val="left"/>
      <w:spacing w:after="160" w:line="240" w:lineRule="exact"/>
      <w:widowControl/>
    </w:pPr>
    <w:rPr>
      <w:rFonts w:ascii="黑体" w:hAnsi="Verdana" w:eastAsia="黑体"/>
      <w:sz w:val="32"/>
      <w:szCs w:val="32"/>
    </w:rPr>
  </w:style>
  <w:style w:type="paragraph" w:styleId="1129" w:customStyle="1">
    <w:name w:val="列出段落1"/>
    <w:basedOn w:val="668"/>
    <w:uiPriority w:val="34"/>
    <w:qFormat/>
    <w:pPr>
      <w:ind w:firstLine="420"/>
      <w:spacing w:before="120" w:after="120" w:line="360" w:lineRule="auto"/>
    </w:pPr>
    <w:rPr>
      <w:rFonts w:ascii="Calibri" w:hAnsi="Calibri"/>
      <w:sz w:val="24"/>
      <w:szCs w:val="22"/>
    </w:rPr>
  </w:style>
  <w:style w:type="paragraph" w:styleId="1130" w:customStyle="1">
    <w:name w:val="xl2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31" w:customStyle="1">
    <w:name w:val="标准式样"/>
    <w:basedOn w:val="979"/>
    <w:uiPriority w:val="0"/>
    <w:qFormat/>
  </w:style>
  <w:style w:type="paragraph" w:styleId="1132" w:customStyle="1">
    <w:name w:val="CM41"/>
    <w:basedOn w:val="1133"/>
    <w:next w:val="1133"/>
    <w:uiPriority w:val="99"/>
    <w:qFormat/>
    <w:pPr>
      <w:spacing w:after="478"/>
    </w:pPr>
    <w:rPr>
      <w:rFonts w:ascii="Times New Roman PSMT" w:hAnsi="Times New Roman" w:eastAsia="Times New Roman PSMT" w:cs="Times New Roman PSMT"/>
    </w:rPr>
  </w:style>
  <w:style w:type="paragraph" w:styleId="1133"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134" w:customStyle="1">
    <w:name w:val="Char Char Char Char"/>
    <w:basedOn w:val="668"/>
    <w:uiPriority w:val="0"/>
    <w:qFormat/>
    <w:rPr>
      <w:rFonts w:ascii="Tahoma" w:hAnsi="Tahoma"/>
      <w:sz w:val="24"/>
      <w:szCs w:val="20"/>
    </w:rPr>
  </w:style>
  <w:style w:type="paragraph" w:styleId="1135" w:customStyle="1">
    <w:name w:val="表格文字"/>
    <w:basedOn w:val="668"/>
    <w:uiPriority w:val="0"/>
    <w:qFormat/>
    <w:pPr>
      <w:jc w:val="left"/>
      <w:spacing w:line="288" w:lineRule="auto"/>
    </w:pPr>
    <w:rPr>
      <w:szCs w:val="20"/>
    </w:rPr>
  </w:style>
  <w:style w:type="paragraph" w:styleId="113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37" w:customStyle="1">
    <w:name w:val="flNote"/>
    <w:basedOn w:val="668"/>
    <w:uiPriority w:val="0"/>
    <w:qFormat/>
    <w:pPr>
      <w:jc w:val="center"/>
      <w:spacing w:before="320" w:after="160" w:line="360" w:lineRule="atLeast"/>
    </w:pPr>
    <w:rPr>
      <w:rFonts w:ascii="Tahoma" w:hAnsi="Cambria" w:eastAsia="幼圆" w:cs="Cambria"/>
      <w:sz w:val="30"/>
      <w:szCs w:val="20"/>
    </w:rPr>
  </w:style>
  <w:style w:type="paragraph" w:styleId="1138" w:customStyle="1">
    <w:name w:val="Char11"/>
    <w:basedOn w:val="668"/>
    <w:uiPriority w:val="0"/>
    <w:qFormat/>
    <w:rPr>
      <w:rFonts w:ascii="仿宋_GB2312" w:eastAsia="仿宋_GB2312"/>
      <w:b/>
      <w:sz w:val="32"/>
      <w:szCs w:val="32"/>
    </w:rPr>
  </w:style>
  <w:style w:type="paragraph" w:styleId="1139" w:customStyle="1">
    <w:name w:val="Char1"/>
    <w:basedOn w:val="668"/>
    <w:uiPriority w:val="0"/>
    <w:qFormat/>
    <w:rPr>
      <w:rFonts w:ascii="仿宋_GB2312" w:eastAsia="仿宋_GB2312"/>
      <w:b/>
      <w:sz w:val="32"/>
      <w:szCs w:val="32"/>
    </w:rPr>
  </w:style>
  <w:style w:type="paragraph" w:styleId="1140" w:customStyle="1">
    <w:name w:val="xl39"/>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41" w:customStyle="1">
    <w:name w:val="xl40"/>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2" w:customStyle="1">
    <w:name w:val="xl51"/>
    <w:basedOn w:val="6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3" w:customStyle="1">
    <w:name w:val="Char2"/>
    <w:basedOn w:val="668"/>
    <w:uiPriority w:val="0"/>
    <w:qFormat/>
    <w:pPr>
      <w:ind w:firstLine="200"/>
      <w:spacing w:line="360" w:lineRule="auto"/>
    </w:pPr>
    <w:rPr>
      <w:rFonts w:ascii="宋体" w:hAnsi="宋体" w:cs="宋体"/>
      <w:sz w:val="24"/>
    </w:rPr>
  </w:style>
  <w:style w:type="paragraph" w:styleId="1144" w:customStyle="1">
    <w:name w:val="Char Char Char1 Char Char Char"/>
    <w:basedOn w:val="668"/>
    <w:uiPriority w:val="0"/>
    <w:qFormat/>
    <w:pPr>
      <w:ind w:firstLine="200"/>
    </w:pPr>
    <w:rPr>
      <w:rFonts w:ascii="Tahoma" w:hAnsi="Tahoma"/>
      <w:sz w:val="24"/>
      <w:szCs w:val="20"/>
    </w:rPr>
  </w:style>
  <w:style w:type="paragraph" w:styleId="1145" w:customStyle="1">
    <w:name w:val="Char Char Char Char Char Char Char Char Char Char"/>
    <w:basedOn w:val="668"/>
    <w:uiPriority w:val="0"/>
    <w:qFormat/>
    <w:pPr>
      <w:tabs>
        <w:tab w:val="left" w:pos="360" w:leader="none"/>
      </w:tabs>
    </w:pPr>
  </w:style>
  <w:style w:type="paragraph" w:styleId="1146" w:customStyle="1">
    <w:name w:val="Char Char Char Char1"/>
    <w:basedOn w:val="668"/>
    <w:uiPriority w:val="0"/>
    <w:qFormat/>
    <w:pPr>
      <w:numPr>
        <w:ilvl w:val="0"/>
        <w:numId w:val="3"/>
      </w:numPr>
      <w:ind w:left="560" w:firstLine="480"/>
      <w:jc w:val="left"/>
      <w:spacing w:after="120" w:line="360" w:lineRule="auto"/>
      <w:widowControl/>
    </w:pPr>
    <w:rPr>
      <w:rFonts w:ascii="Verdana" w:hAnsi="Verdana"/>
      <w:sz w:val="24"/>
    </w:rPr>
  </w:style>
  <w:style w:type="paragraph" w:styleId="1147" w:customStyle="1">
    <w:name w:val="样式 标题 2 + Times New Roman 四号 非加粗 段前: 5 磅 段后: 0 磅 行距: 固定值 20..."/>
    <w:basedOn w:val="903"/>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48" w:customStyle="1">
    <w:name w:val="xl23"/>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9" w:customStyle="1">
    <w:name w:val="Char Char Char Char Char Char Char Char Char Char Char Char Char Char Char Char"/>
    <w:basedOn w:val="668"/>
    <w:uiPriority w:val="0"/>
    <w:qFormat/>
    <w:pPr>
      <w:tabs>
        <w:tab w:val="left" w:pos="360" w:leader="none"/>
      </w:tabs>
    </w:pPr>
    <w:rPr>
      <w:sz w:val="24"/>
    </w:rPr>
  </w:style>
  <w:style w:type="paragraph" w:styleId="1150" w:customStyle="1">
    <w:name w:val="xl44"/>
    <w:basedOn w:val="66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51" w:customStyle="1">
    <w:name w:val="Char Char Char Char Char Char Char"/>
    <w:basedOn w:val="668"/>
    <w:uiPriority w:val="0"/>
    <w:qFormat/>
    <w:pPr>
      <w:jc w:val="left"/>
      <w:spacing w:after="160" w:line="240" w:lineRule="exact"/>
      <w:widowControl/>
    </w:pPr>
    <w:rPr>
      <w:rFonts w:ascii="Arial" w:hAnsi="Arial" w:eastAsia="Times New Roman" w:cs="Verdana"/>
      <w:b/>
      <w:sz w:val="24"/>
      <w:lang w:eastAsia="en-US"/>
    </w:rPr>
  </w:style>
  <w:style w:type="paragraph" w:styleId="1152" w:customStyle="1">
    <w:name w:val="表格标题"/>
    <w:basedOn w:val="668"/>
    <w:uiPriority w:val="0"/>
    <w:qFormat/>
    <w:pPr>
      <w:jc w:val="center"/>
      <w:spacing w:before="120" w:line="400" w:lineRule="exact"/>
    </w:pPr>
    <w:rPr>
      <w:rFonts w:eastAsia="文鼎CS中宋"/>
      <w:spacing w:val="8"/>
      <w:sz w:val="24"/>
      <w:szCs w:val="20"/>
    </w:rPr>
  </w:style>
  <w:style w:type="paragraph" w:styleId="1153" w:customStyle="1">
    <w:name w:val="xl22"/>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54" w:customStyle="1">
    <w:name w:val="表头"/>
    <w:basedOn w:val="668"/>
    <w:uiPriority w:val="0"/>
    <w:qFormat/>
    <w:pPr>
      <w:jc w:val="center"/>
      <w:spacing w:line="320" w:lineRule="atLeast"/>
    </w:pPr>
    <w:rPr>
      <w:rFonts w:eastAsia="黑体"/>
      <w:spacing w:val="-10"/>
      <w:szCs w:val="20"/>
    </w:rPr>
  </w:style>
  <w:style w:type="paragraph" w:styleId="1155" w:customStyle="1">
    <w:name w:val="Javis"/>
    <w:basedOn w:val="668"/>
    <w:uiPriority w:val="0"/>
    <w:qFormat/>
    <w:pPr>
      <w:ind w:right="210"/>
    </w:pPr>
    <w:rPr>
      <w:rFonts w:cs="宋体"/>
      <w:sz w:val="24"/>
      <w:szCs w:val="20"/>
    </w:rPr>
  </w:style>
  <w:style w:type="paragraph" w:styleId="1156" w:customStyle="1">
    <w:name w:val="xl30"/>
    <w:basedOn w:val="66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7" w:customStyle="1">
    <w:name w:val="正文2"/>
    <w:basedOn w:val="668"/>
    <w:uiPriority w:val="0"/>
    <w:qFormat/>
    <w:pPr>
      <w:ind w:firstLine="200"/>
      <w:jc w:val="left"/>
      <w:spacing w:after="160" w:line="360" w:lineRule="auto"/>
      <w:widowControl/>
    </w:pPr>
    <w:rPr>
      <w:rFonts w:ascii="Verdana" w:hAnsi="Verdana" w:eastAsia="黑体"/>
      <w:szCs w:val="20"/>
      <w:lang w:eastAsia="en-US"/>
    </w:rPr>
  </w:style>
  <w:style w:type="paragraph" w:styleId="1158" w:customStyle="1">
    <w:name w:val="H2"/>
    <w:basedOn w:val="668"/>
    <w:next w:val="668"/>
    <w:uiPriority w:val="0"/>
    <w:qFormat/>
    <w:pPr>
      <w:jc w:val="left"/>
      <w:keepNext/>
      <w:spacing w:before="100" w:after="100"/>
      <w:outlineLvl w:val="2"/>
    </w:pPr>
    <w:rPr>
      <w:b/>
      <w:sz w:val="36"/>
      <w:szCs w:val="20"/>
    </w:rPr>
  </w:style>
  <w:style w:type="paragraph" w:styleId="1159" w:customStyle="1">
    <w:name w:val="xl49"/>
    <w:basedOn w:val="668"/>
    <w:uiPriority w:val="0"/>
    <w:qFormat/>
    <w:pPr>
      <w:jc w:val="center"/>
      <w:spacing w:before="100" w:beforeAutospacing="1" w:after="100" w:afterAutospacing="1"/>
      <w:widowControl/>
    </w:pPr>
    <w:rPr>
      <w:rFonts w:ascii="宋体" w:hAnsi="宋体"/>
      <w:b/>
      <w:bCs/>
      <w:color w:val="000000"/>
      <w:sz w:val="40"/>
      <w:szCs w:val="40"/>
    </w:rPr>
  </w:style>
  <w:style w:type="paragraph" w:styleId="1160" w:customStyle="1">
    <w:name w:val="xl50"/>
    <w:basedOn w:val="668"/>
    <w:uiPriority w:val="0"/>
    <w:qFormat/>
    <w:pPr>
      <w:jc w:val="center"/>
      <w:spacing w:before="100" w:beforeAutospacing="1" w:after="100" w:afterAutospacing="1"/>
      <w:widowControl/>
    </w:pPr>
    <w:rPr>
      <w:rFonts w:ascii="宋体" w:hAnsi="宋体"/>
      <w:b/>
      <w:bCs/>
      <w:sz w:val="40"/>
      <w:szCs w:val="40"/>
    </w:rPr>
  </w:style>
  <w:style w:type="paragraph" w:styleId="1161" w:customStyle="1">
    <w:name w:val="xl26"/>
    <w:basedOn w:val="66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2" w:customStyle="1">
    <w:name w:val="xl3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3" w:customStyle="1">
    <w:name w:val="默认段落字体 Para Char Char Char Char Char Char Char"/>
    <w:basedOn w:val="668"/>
    <w:uiPriority w:val="0"/>
    <w:qFormat/>
    <w:rPr>
      <w:rFonts w:eastAsia="华文细黑" w:cs="Cambria"/>
      <w:sz w:val="24"/>
      <w:szCs w:val="20"/>
    </w:rPr>
  </w:style>
  <w:style w:type="paragraph" w:styleId="1164" w:customStyle="1">
    <w:name w:val="CM4"/>
    <w:basedOn w:val="1133"/>
    <w:next w:val="1133"/>
    <w:uiPriority w:val="99"/>
    <w:qFormat/>
    <w:pPr>
      <w:spacing w:line="468" w:lineRule="atLeast"/>
    </w:pPr>
    <w:rPr>
      <w:rFonts w:ascii="Times New Roman PSMT" w:hAnsi="Times New Roman" w:eastAsia="Times New Roman PSMT" w:cs="Times New Roman PSMT"/>
    </w:rPr>
  </w:style>
  <w:style w:type="paragraph" w:styleId="1165" w:customStyle="1">
    <w:name w:val="H5"/>
    <w:basedOn w:val="668"/>
    <w:next w:val="668"/>
    <w:uiPriority w:val="0"/>
    <w:qFormat/>
    <w:pPr>
      <w:jc w:val="left"/>
      <w:keepNext/>
      <w:spacing w:before="100" w:after="100"/>
      <w:outlineLvl w:val="5"/>
    </w:pPr>
    <w:rPr>
      <w:b/>
      <w:sz w:val="20"/>
      <w:szCs w:val="20"/>
    </w:rPr>
  </w:style>
  <w:style w:type="paragraph" w:styleId="1166" w:customStyle="1">
    <w:name w:val="xl38"/>
    <w:basedOn w:val="66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7" w:customStyle="1">
    <w:name w:val="font0"/>
    <w:basedOn w:val="668"/>
    <w:uiPriority w:val="0"/>
    <w:qFormat/>
    <w:pPr>
      <w:jc w:val="left"/>
      <w:spacing w:before="100" w:beforeAutospacing="1" w:after="100" w:afterAutospacing="1"/>
      <w:widowControl/>
    </w:pPr>
    <w:rPr>
      <w:rFonts w:hint="eastAsia" w:ascii="宋体" w:hAnsi="宋体"/>
      <w:sz w:val="18"/>
      <w:szCs w:val="18"/>
    </w:rPr>
  </w:style>
  <w:style w:type="paragraph" w:styleId="1168" w:customStyle="1">
    <w:name w:val="H3"/>
    <w:basedOn w:val="668"/>
    <w:next w:val="668"/>
    <w:uiPriority w:val="0"/>
    <w:qFormat/>
    <w:pPr>
      <w:jc w:val="left"/>
      <w:keepNext/>
      <w:spacing w:before="100" w:after="100"/>
      <w:outlineLvl w:val="3"/>
    </w:pPr>
    <w:rPr>
      <w:b/>
      <w:sz w:val="28"/>
      <w:szCs w:val="20"/>
    </w:rPr>
  </w:style>
  <w:style w:type="paragraph" w:styleId="1169" w:customStyle="1">
    <w:name w:val="目录"/>
    <w:basedOn w:val="668"/>
    <w:next w:val="668"/>
    <w:uiPriority w:val="0"/>
    <w:qFormat/>
    <w:pPr>
      <w:ind w:firstLine="420"/>
      <w:jc w:val="center"/>
      <w:spacing w:before="360" w:after="360" w:line="360" w:lineRule="auto"/>
    </w:pPr>
    <w:rPr>
      <w:b/>
      <w:spacing w:val="200"/>
      <w:sz w:val="36"/>
      <w:szCs w:val="20"/>
    </w:rPr>
  </w:style>
  <w:style w:type="paragraph" w:styleId="1170" w:customStyle="1">
    <w:name w:val="默认段落字体 Para Char Char Char"/>
    <w:basedOn w:val="668"/>
    <w:uiPriority w:val="0"/>
    <w:qFormat/>
  </w:style>
  <w:style w:type="paragraph" w:styleId="1171" w:customStyle="1">
    <w:name w:val="xl52"/>
    <w:basedOn w:val="6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2" w:customStyle="1">
    <w:name w:val="xl28"/>
    <w:basedOn w:val="66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3" w:customStyle="1">
    <w:name w:val="xl4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74" w:customStyle="1">
    <w:name w:val="修订1"/>
    <w:uiPriority w:val="0"/>
    <w:qFormat/>
    <w:rPr>
      <w:rFonts w:hint="default" w:ascii="Cambria" w:hAnsi="Cambria" w:eastAsia="华文细黑" w:cs="Cambria"/>
      <w:sz w:val="21"/>
      <w:szCs w:val="24"/>
      <w:lang w:val="en-US" w:eastAsia="zh-CN" w:bidi="ar-SA"/>
    </w:rPr>
  </w:style>
  <w:style w:type="paragraph" w:styleId="1175" w:customStyle="1">
    <w:name w:val="项目符号1"/>
    <w:basedOn w:val="668"/>
    <w:uiPriority w:val="0"/>
    <w:qFormat/>
    <w:pPr>
      <w:ind w:left="1440" w:hanging="360"/>
      <w:tabs>
        <w:tab w:val="left" w:pos="360" w:leader="none"/>
      </w:tabs>
    </w:pPr>
    <w:rPr>
      <w:szCs w:val="20"/>
    </w:rPr>
  </w:style>
  <w:style w:type="paragraph" w:styleId="1176" w:customStyle="1">
    <w:name w:val="Char Char Char Char Char Char Char Char Char Char2"/>
    <w:basedOn w:val="668"/>
    <w:uiPriority w:val="0"/>
    <w:qFormat/>
    <w:pPr>
      <w:numPr>
        <w:ilvl w:val="0"/>
        <w:numId w:val="4"/>
      </w:numPr>
    </w:pPr>
    <w:rPr>
      <w:sz w:val="24"/>
    </w:rPr>
  </w:style>
  <w:style w:type="paragraph" w:styleId="1177" w:customStyle="1">
    <w:name w:val="无间隔2"/>
    <w:uiPriority w:val="0"/>
    <w:qFormat/>
    <w:pPr>
      <w:jc w:val="both"/>
      <w:widowControl w:val="off"/>
    </w:pPr>
    <w:rPr>
      <w:rFonts w:hint="default" w:ascii="仿宋_GB2312" w:hAnsi="仿宋_GB2312" w:eastAsia="华文细黑" w:cs="Cambria"/>
      <w:sz w:val="21"/>
      <w:szCs w:val="22"/>
      <w:lang w:val="en-US" w:eastAsia="zh-CN" w:bidi="ar-SA"/>
    </w:rPr>
  </w:style>
  <w:style w:type="paragraph" w:styleId="1178" w:customStyle="1">
    <w:name w:val="H4"/>
    <w:basedOn w:val="668"/>
    <w:next w:val="668"/>
    <w:uiPriority w:val="0"/>
    <w:qFormat/>
    <w:pPr>
      <w:jc w:val="left"/>
      <w:keepNext/>
      <w:spacing w:before="100" w:after="100"/>
      <w:outlineLvl w:val="4"/>
    </w:pPr>
    <w:rPr>
      <w:b/>
      <w:sz w:val="24"/>
      <w:szCs w:val="20"/>
    </w:rPr>
  </w:style>
  <w:style w:type="paragraph" w:styleId="1179" w:customStyle="1">
    <w:name w:val="Address"/>
    <w:basedOn w:val="668"/>
    <w:next w:val="668"/>
    <w:uiPriority w:val="0"/>
    <w:qFormat/>
    <w:pPr>
      <w:jc w:val="left"/>
    </w:pPr>
    <w:rPr>
      <w:rFonts w:ascii="Cambria" w:hAnsi="Cambria" w:eastAsia="华文细黑" w:cs="Cambria"/>
      <w:i/>
      <w:sz w:val="24"/>
      <w:szCs w:val="20"/>
    </w:rPr>
  </w:style>
  <w:style w:type="paragraph" w:styleId="1180" w:customStyle="1">
    <w:name w:val="xl3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81" w:customStyle="1">
    <w:name w:val="样式 纯文本 + 楷体_GB2312 小四 行距: 固定值 20 磅1"/>
    <w:basedOn w:val="949"/>
    <w:uiPriority w:val="0"/>
    <w:qFormat/>
    <w:pPr>
      <w:ind w:firstLine="200"/>
      <w:spacing w:line="400" w:lineRule="exact"/>
    </w:pPr>
    <w:rPr>
      <w:rFonts w:ascii="楷体_GB2312" w:eastAsia="楷体_GB2312"/>
      <w:sz w:val="24"/>
      <w:szCs w:val="20"/>
    </w:rPr>
  </w:style>
  <w:style w:type="paragraph" w:styleId="1182" w:customStyle="1">
    <w:name w:val="ZDY正文"/>
    <w:basedOn w:val="668"/>
    <w:uiPriority w:val="0"/>
    <w:qFormat/>
    <w:pPr>
      <w:ind w:firstLine="200"/>
      <w:jc w:val="left"/>
      <w:spacing w:before="156" w:line="360" w:lineRule="auto"/>
    </w:pPr>
    <w:rPr>
      <w:rFonts w:ascii="宋体" w:hAnsi="宋体"/>
      <w:sz w:val="24"/>
    </w:rPr>
  </w:style>
  <w:style w:type="paragraph" w:styleId="1183" w:customStyle="1">
    <w:name w:val="H1"/>
    <w:basedOn w:val="668"/>
    <w:next w:val="668"/>
    <w:uiPriority w:val="0"/>
    <w:qFormat/>
    <w:pPr>
      <w:jc w:val="left"/>
      <w:keepNext/>
      <w:spacing w:before="100" w:after="100"/>
      <w:outlineLvl w:val="1"/>
    </w:pPr>
    <w:rPr>
      <w:b/>
      <w:sz w:val="48"/>
      <w:szCs w:val="20"/>
    </w:rPr>
  </w:style>
  <w:style w:type="paragraph" w:styleId="1184" w:customStyle="1">
    <w:name w:val="章标题"/>
    <w:next w:val="668"/>
    <w:uiPriority w:val="0"/>
    <w:qFormat/>
    <w:pPr>
      <w:numPr>
        <w:ilvl w:val="1"/>
        <w:numId w:val="3"/>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185" w:customStyle="1">
    <w:name w:val="段"/>
    <w:next w:val="668"/>
    <w:link w:val="1186"/>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1186" w:customStyle="1">
    <w:name w:val="段 Char"/>
    <w:link w:val="1185"/>
    <w:uiPriority w:val="0"/>
    <w:qFormat/>
    <w:rPr>
      <w:rFonts w:ascii="宋体"/>
      <w:sz w:val="21"/>
    </w:rPr>
  </w:style>
  <w:style w:type="character" w:styleId="1187" w:customStyle="1">
    <w:name w:val="font31"/>
    <w:uiPriority w:val="0"/>
    <w:qFormat/>
    <w:rPr>
      <w:rFonts w:ascii="方正仿宋_GBK" w:hAnsi="方正仿宋_GBK" w:eastAsia="方正仿宋_GBK" w:cs="方正仿宋_GBK"/>
      <w:color w:val="000000"/>
      <w:sz w:val="18"/>
      <w:szCs w:val="18"/>
      <w:u w:val="none"/>
    </w:rPr>
  </w:style>
  <w:style w:type="character" w:styleId="1188" w:customStyle="1">
    <w:name w:val="font41"/>
    <w:uiPriority w:val="0"/>
    <w:qFormat/>
    <w:rPr>
      <w:rFonts w:hint="eastAsia" w:ascii="宋体" w:hAnsi="宋体" w:eastAsia="宋体" w:cs="宋体"/>
      <w:color w:val="000000"/>
      <w:sz w:val="18"/>
      <w:szCs w:val="18"/>
      <w:u w:val="none"/>
    </w:rPr>
  </w:style>
  <w:style w:type="character" w:styleId="1189" w:customStyle="1">
    <w:name w:val="bumpedfont15"/>
    <w:uiPriority w:val="0"/>
    <w:qFormat/>
  </w:style>
  <w:style w:type="character" w:styleId="1190" w:customStyle="1">
    <w:name w:val="font51"/>
    <w:uiPriority w:val="0"/>
    <w:qFormat/>
    <w:rPr>
      <w:rFonts w:ascii="方正仿宋_GBK" w:hAnsi="方正仿宋_GBK" w:eastAsia="方正仿宋_GBK" w:cs="方正仿宋_GBK"/>
      <w:color w:val="000000"/>
      <w:sz w:val="18"/>
      <w:szCs w:val="18"/>
      <w:u w:val="none"/>
    </w:rPr>
  </w:style>
  <w:style w:type="character" w:styleId="1191" w:customStyle="1">
    <w:name w:val="font61"/>
    <w:uiPriority w:val="0"/>
    <w:qFormat/>
    <w:rPr>
      <w:rFonts w:hint="eastAsia" w:ascii="宋体" w:hAnsi="宋体" w:eastAsia="宋体" w:cs="宋体"/>
      <w:color w:val="000000"/>
      <w:sz w:val="18"/>
      <w:szCs w:val="18"/>
      <w:u w:val="none"/>
    </w:rPr>
  </w:style>
  <w:style w:type="paragraph" w:styleId="1192" w:customStyle="1">
    <w:name w:val="_Style 9"/>
    <w:basedOn w:val="668"/>
    <w:next w:val="1129"/>
    <w:uiPriority w:val="34"/>
    <w:qFormat/>
    <w:pPr>
      <w:ind w:firstLine="420"/>
    </w:pPr>
    <w:rPr>
      <w:rFonts w:ascii="Calibri" w:hAnsi="Calibri"/>
    </w:rPr>
  </w:style>
  <w:style w:type="character" w:styleId="1193" w:customStyle="1">
    <w:name w:val="NormalCharacter1"/>
    <w:uiPriority w:val="0"/>
    <w:qFormat/>
  </w:style>
  <w:style w:type="paragraph" w:styleId="1194" w:customStyle="1">
    <w:name w:val="UserStyle_4"/>
    <w:basedOn w:val="668"/>
    <w:link w:val="1195"/>
    <w:uiPriority w:val="99"/>
    <w:qFormat/>
  </w:style>
  <w:style w:type="character" w:styleId="1195" w:customStyle="1">
    <w:name w:val="NormalCharacter11"/>
    <w:link w:val="1194"/>
    <w:uiPriority w:val="99"/>
    <w:qFormat/>
  </w:style>
  <w:style w:type="character" w:styleId="1196" w:customStyle="1">
    <w:name w:val="font81"/>
    <w:uiPriority w:val="0"/>
    <w:qFormat/>
    <w:rPr>
      <w:rFonts w:hint="eastAsia" w:ascii="宋体" w:hAnsi="宋体" w:eastAsia="宋体" w:cs="宋体"/>
      <w:b/>
      <w:bCs/>
      <w:color w:val="000000"/>
      <w:sz w:val="20"/>
      <w:szCs w:val="20"/>
      <w:u w:val="none"/>
    </w:rPr>
  </w:style>
  <w:style w:type="character" w:styleId="1197" w:customStyle="1">
    <w:name w:val="font91"/>
    <w:uiPriority w:val="0"/>
    <w:qFormat/>
    <w:rPr>
      <w:rFonts w:hint="eastAsia" w:ascii="宋体" w:hAnsi="宋体" w:eastAsia="宋体" w:cs="宋体"/>
      <w:color w:val="000000"/>
      <w:sz w:val="20"/>
      <w:szCs w:val="20"/>
      <w:u w:val="none"/>
    </w:rPr>
  </w:style>
  <w:style w:type="character" w:styleId="1198" w:customStyle="1">
    <w:name w:val="font01"/>
    <w:uiPriority w:val="0"/>
    <w:qFormat/>
    <w:rPr>
      <w:rFonts w:ascii="Arial" w:hAnsi="Arial" w:cs="Arial"/>
      <w:color w:val="000000"/>
      <w:sz w:val="20"/>
      <w:szCs w:val="20"/>
      <w:u w:val="none"/>
    </w:rPr>
  </w:style>
  <w:style w:type="paragraph" w:styleId="1199" w:customStyle="1">
    <w:name w:val="样式 标题 2 + 宋体 段前: 1 行"/>
    <w:basedOn w:val="903"/>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200" w:customStyle="1">
    <w:name w:val="正文文本1"/>
    <w:basedOn w:val="668"/>
    <w:next w:val="1201"/>
    <w:uiPriority w:val="0"/>
    <w:qFormat/>
    <w:rPr>
      <w:rFonts w:ascii="仿宋_GB2312" w:eastAsia="仿宋_GB2312"/>
      <w:sz w:val="28"/>
      <w:szCs w:val="20"/>
    </w:rPr>
  </w:style>
  <w:style w:type="paragraph" w:styleId="1201" w:customStyle="1">
    <w:name w:val="正文首行缩进1"/>
    <w:basedOn w:val="1200"/>
    <w:uiPriority w:val="0"/>
    <w:qFormat/>
    <w:pPr>
      <w:ind w:firstLine="420"/>
      <w:spacing w:after="120"/>
    </w:pPr>
    <w:rPr>
      <w:color w:val="000000"/>
      <w:spacing w:val="-8"/>
      <w:sz w:val="21"/>
    </w:rPr>
  </w:style>
  <w:style w:type="paragraph" w:styleId="1202" w:customStyle="1">
    <w:name w:val="正文文本11"/>
    <w:basedOn w:val="668"/>
    <w:uiPriority w:val="0"/>
    <w:qFormat/>
    <w:rPr>
      <w:rFonts w:ascii="仿宋_GB2312" w:eastAsia="仿宋_GB2312"/>
      <w:sz w:val="28"/>
      <w:szCs w:val="20"/>
      <w:lang w:eastAsia="en-US"/>
    </w:rPr>
  </w:style>
  <w:style w:type="paragraph" w:styleId="1203" w:customStyle="1">
    <w:name w:val="Style1"/>
    <w:basedOn w:val="668"/>
    <w:uiPriority w:val="0"/>
    <w:qFormat/>
    <w:pPr>
      <w:widowControl/>
      <w:tabs>
        <w:tab w:val="left" w:pos="-720" w:leader="none"/>
      </w:tabs>
    </w:pPr>
    <w:rPr>
      <w:spacing w:val="-3"/>
      <w:sz w:val="24"/>
      <w:szCs w:val="22"/>
      <w:lang w:val="en-AU" w:eastAsia="en-US"/>
    </w:rPr>
  </w:style>
  <w:style w:type="paragraph" w:styleId="1204" w:customStyle="1">
    <w:name w:val="普通正文"/>
    <w:basedOn w:val="668"/>
    <w:uiPriority w:val="0"/>
    <w:qFormat/>
    <w:pPr>
      <w:ind w:firstLine="480"/>
      <w:jc w:val="left"/>
      <w:spacing w:before="120" w:after="120" w:line="360" w:lineRule="auto"/>
    </w:pPr>
    <w:rPr>
      <w:rFonts w:ascii="Arial" w:hAnsi="Arial"/>
      <w:sz w:val="24"/>
    </w:rPr>
  </w:style>
  <w:style w:type="paragraph" w:styleId="1205"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87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7</cp:revision>
  <dcterms:created xsi:type="dcterms:W3CDTF">2024-05-24T01:33:00Z</dcterms:created>
  <dcterms:modified xsi:type="dcterms:W3CDTF">2026-09-30T02:00:08Z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eyJoZGlkIjoiZDZmYmY4ZDFkZTVhMmIyZjYwMDY4MWNhNDY1ZWI3NzUiLCJ1c2VySWQiOiI0NTI2Mzc4OTkifQ==</vt:lpwstr>
  </property>
  <property fmtid="{D5CDD505-2E9C-101B-9397-08002B2CF9AE}" pid="3" name="KSOProductBuildVer">
    <vt:lpwstr>2052-12.1.0.29161</vt:lpwstr>
  </property>
  <property fmtid="{D5CDD505-2E9C-101B-9397-08002B2CF9AE}" pid="4" name="ICV">
    <vt:lpwstr>E9ED626C5A3940E0801A8F069E881F4B_13</vt:lpwstr>
  </property>
</Properties>
</file>