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right"/>
        <w:rPr>
          <w:rFonts w:ascii="宋体" w:hAnsi="宋体"/>
          <w:color w:val="000000"/>
          <w:sz w:val="30"/>
          <w:szCs w:val="30"/>
          <w:highlight w:val="none"/>
        </w:rPr>
      </w:pPr>
      <w:r/>
      <w:bookmarkStart w:id="1" w:name="_Toc27744861"/>
      <w:r/>
      <w:bookmarkStart w:id="2" w:name="_Toc528771312"/>
      <w:r>
        <w:rPr>
          <w:rFonts w:hint="eastAsia" w:ascii="Segoe UI" w:hAnsi="Segoe UI" w:cs="Segoe UI"/>
          <w:color w:val="000000"/>
          <w:szCs w:val="21"/>
          <w:highlight w:val="none"/>
          <w:shd w:val="clear" w:color="auto" w:fill="ffffff"/>
        </w:rPr>
        <w:t xml:space="preserve">编号：</w:t>
      </w:r>
      <w:r>
        <w:rPr>
          <w:rFonts w:hint="eastAsia" w:ascii="Segoe UI" w:hAnsi="Segoe UI" w:cs="Segoe UI"/>
          <w:color w:val="000000"/>
          <w:szCs w:val="21"/>
          <w:highlight w:val="none"/>
          <w:shd w:val="clear" w:color="auto" w:fill="ffffff"/>
          <w:lang w:eastAsia="zh-CN"/>
        </w:rPr>
        <w:t xml:space="preserve">JSZC-321000-JSZC-G2026-0035</w:t>
      </w:r>
      <w:r>
        <w:rPr>
          <w:rFonts w:ascii="宋体" w:hAnsi="宋体"/>
          <w:color w:val="000000"/>
          <w:sz w:val="30"/>
          <w:szCs w:val="30"/>
          <w:highlight w:val="none"/>
        </w:rPr>
      </w:r>
      <w:r/>
    </w:p>
    <w:p>
      <w:pPr>
        <w:pStyle w:val="754"/>
        <w:jc w:val="center"/>
        <w:rPr>
          <w:rFonts w:ascii="宋体"/>
          <w:color w:val="000000"/>
          <w:sz w:val="36"/>
          <w:szCs w:val="36"/>
          <w:highlight w:val="none"/>
        </w:rPr>
      </w:pPr>
      <w:r>
        <w:rPr>
          <w:rFonts w:ascii="宋体"/>
          <w:color w:val="000000"/>
          <w:sz w:val="36"/>
          <w:szCs w:val="36"/>
          <w:highlight w:val="none"/>
        </w:rPr>
      </w:r>
      <w:r/>
    </w:p>
    <w:p>
      <w:pPr>
        <w:pStyle w:val="754"/>
        <w:jc w:val="center"/>
        <w:rPr>
          <w:rFonts w:hint="eastAsia" w:ascii="宋体"/>
          <w:color w:val="000000"/>
          <w:sz w:val="36"/>
          <w:szCs w:val="36"/>
          <w:highlight w:val="none"/>
          <w:lang w:eastAsia="zh-CN"/>
        </w:rPr>
      </w:pPr>
      <w:r>
        <w:rPr>
          <w:rFonts w:hint="eastAsia" w:ascii="宋体"/>
          <w:color w:val="000000"/>
          <w:sz w:val="36"/>
          <w:szCs w:val="36"/>
          <w:highlight w:val="none"/>
          <w:lang w:eastAsia="zh-CN"/>
        </w:rPr>
        <w:t xml:space="preserve">江苏省扬州技师学院中西式面点实训室采购</w:t>
      </w:r>
      <w:r>
        <w:rPr>
          <w:rFonts w:hint="eastAsia" w:ascii="宋体"/>
          <w:color w:val="000000"/>
          <w:sz w:val="36"/>
          <w:szCs w:val="36"/>
          <w:highlight w:val="none"/>
          <w:lang w:eastAsia="zh-CN"/>
        </w:rPr>
      </w:r>
      <w:r/>
    </w:p>
    <w:p>
      <w:pPr>
        <w:pStyle w:val="754"/>
        <w:jc w:val="center"/>
        <w:rPr>
          <w:rFonts w:ascii="宋体"/>
          <w:color w:val="000000"/>
          <w:sz w:val="32"/>
          <w:szCs w:val="32"/>
          <w:highlight w:val="none"/>
        </w:rPr>
      </w:pPr>
      <w:r>
        <w:rPr>
          <w:rFonts w:hint="eastAsia" w:ascii="宋体"/>
          <w:color w:val="000000"/>
          <w:sz w:val="36"/>
          <w:szCs w:val="36"/>
          <w:highlight w:val="none"/>
        </w:rPr>
        <w:t xml:space="preserve">公开招标文件</w:t>
      </w:r>
      <w:r>
        <w:rPr>
          <w:rFonts w:ascii="宋体"/>
          <w:color w:val="000000"/>
          <w:sz w:val="32"/>
          <w:szCs w:val="32"/>
          <w:highlight w:val="none"/>
        </w:rPr>
      </w:r>
      <w:r/>
    </w:p>
    <w:p>
      <w:pPr>
        <w:pStyle w:val="754"/>
        <w:jc w:val="center"/>
        <w:rPr>
          <w:rFonts w:ascii="宋体"/>
          <w:b/>
          <w:color w:val="000000"/>
          <w:sz w:val="36"/>
          <w:szCs w:val="36"/>
          <w:highlight w:val="none"/>
        </w:rPr>
      </w:pPr>
      <w:r>
        <w:rPr>
          <w:rFonts w:ascii="宋体"/>
          <w:b/>
          <w:color w:val="000000"/>
          <w:sz w:val="36"/>
          <w:szCs w:val="36"/>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754"/>
        <w:jc w:val="center"/>
        <w:rPr>
          <w:rFonts w:eastAsia="Times New Roman"/>
          <w:color w:val="000000"/>
          <w:highlight w:val="none"/>
        </w:rPr>
      </w:pPr>
      <w:r>
        <w:rPr>
          <w:color w:val="000000"/>
          <w:highlight w:val="none"/>
        </w:rPr>
        <mc:AlternateContent>
          <mc:Choice Requires="wpg">
            <w:drawing>
              <wp:inline xmlns:wp="http://schemas.openxmlformats.org/drawingml/2006/wordprocessingDrawing" distT="0" distB="0" distL="0" distR="0">
                <wp:extent cx="5862904" cy="3654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62904" cy="3654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1.6pt;height:287.8pt;mso-wrap-distance-left:0.0pt;mso-wrap-distance-top:0.0pt;mso-wrap-distance-right:0.0pt;mso-wrap-distance-bottom:0.0pt;" stroked="f">
                <v:path textboxrect="0,0,0,0"/>
                <v:imagedata r:id="rId11" o:title=""/>
              </v:shape>
            </w:pict>
          </mc:Fallback>
        </mc:AlternateContent>
      </w:r>
      <w:r>
        <w:rPr>
          <w:rFonts w:eastAsia="Times New Roman"/>
          <w:color w:val="000000"/>
          <w:highlight w:val="none"/>
        </w:rPr>
      </w:r>
      <w:r/>
    </w:p>
    <w:p>
      <w:pPr>
        <w:pStyle w:val="754"/>
        <w:rPr>
          <w:rFonts w:eastAsia="Times New Roman"/>
          <w:color w:val="000000"/>
          <w:highlight w:val="none"/>
        </w:rPr>
      </w:pPr>
      <w:r>
        <w:rPr>
          <w:rFonts w:eastAsia="Times New Roman"/>
          <w:color w:val="000000"/>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宋体" w:hAnsi="宋体"/>
          <w:color w:val="000000"/>
          <w:sz w:val="32"/>
          <w:szCs w:val="32"/>
          <w:highlight w:val="none"/>
        </w:rPr>
      </w:pPr>
      <w:r>
        <w:rPr>
          <w:rFonts w:ascii="宋体" w:hAnsi="宋体"/>
          <w:color w:val="000000"/>
          <w:sz w:val="32"/>
          <w:szCs w:val="32"/>
          <w:highlight w:val="none"/>
        </w:rPr>
      </w:r>
      <w:r/>
    </w:p>
    <w:p>
      <w:pPr>
        <w:pStyle w:val="801"/>
        <w:rPr>
          <w:color w:val="000000"/>
          <w:highlight w:val="none"/>
        </w:rPr>
      </w:pPr>
      <w:r>
        <w:rPr>
          <w:color w:val="000000"/>
          <w:highlight w:val="none"/>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江苏省扬州技师学院</w:t>
      </w:r>
      <w:r>
        <w:rPr>
          <w:rFonts w:hint="eastAsia"/>
          <w:color w:val="000000"/>
          <w:sz w:val="30"/>
          <w:szCs w:val="30"/>
          <w:highlight w:val="none"/>
          <w:lang w:eastAsia="zh-CN"/>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江苏志诚工程咨询管理有限公司</w:t>
      </w:r>
      <w:r>
        <w:rPr>
          <w:rFonts w:hint="eastAsia"/>
          <w:color w:val="000000"/>
          <w:sz w:val="30"/>
          <w:szCs w:val="30"/>
          <w:highlight w:val="none"/>
          <w:lang w:eastAsia="zh-CN"/>
        </w:rPr>
      </w:r>
      <w:r/>
    </w:p>
    <w:p>
      <w:pPr>
        <w:pStyle w:val="754"/>
        <w:jc w:val="center"/>
        <w:spacing w:line="360" w:lineRule="auto"/>
        <w:rPr>
          <w:color w:val="000000"/>
          <w:sz w:val="30"/>
          <w:szCs w:val="30"/>
          <w:highlight w:val="none"/>
        </w:rPr>
      </w:pPr>
      <w:r>
        <w:rPr>
          <w:rFonts w:hint="eastAsia"/>
          <w:color w:val="000000"/>
          <w:sz w:val="30"/>
          <w:szCs w:val="30"/>
          <w:highlight w:val="none"/>
        </w:rPr>
        <w:t xml:space="preserve">202</w:t>
      </w:r>
      <w:r>
        <w:rPr>
          <w:rFonts w:hint="eastAsia"/>
          <w:color w:val="000000"/>
          <w:sz w:val="30"/>
          <w:szCs w:val="30"/>
          <w:highlight w:val="none"/>
          <w:lang w:val="en-US" w:eastAsia="zh-CN"/>
        </w:rPr>
        <w:t xml:space="preserve">6</w:t>
      </w:r>
      <w:r>
        <w:rPr>
          <w:rFonts w:hint="eastAsia"/>
          <w:color w:val="000000"/>
          <w:sz w:val="30"/>
          <w:szCs w:val="30"/>
          <w:highlight w:val="none"/>
        </w:rPr>
        <w:t xml:space="preserve">年</w:t>
      </w:r>
      <w:r>
        <w:rPr>
          <w:rFonts w:hint="eastAsia"/>
          <w:color w:val="000000"/>
          <w:sz w:val="30"/>
          <w:szCs w:val="30"/>
          <w:highlight w:val="none"/>
          <w:lang w:val="en-US" w:eastAsia="zh-CN"/>
        </w:rPr>
        <w:t xml:space="preserve">9</w:t>
      </w:r>
      <w:r>
        <w:rPr>
          <w:rFonts w:hint="eastAsia"/>
          <w:color w:val="000000"/>
          <w:sz w:val="30"/>
          <w:szCs w:val="30"/>
          <w:highlight w:val="none"/>
        </w:rPr>
        <w:t xml:space="preserve">月</w:t>
      </w:r>
      <w:r>
        <w:rPr>
          <w:color w:val="000000"/>
          <w:sz w:val="30"/>
          <w:szCs w:val="30"/>
          <w:highlight w:val="none"/>
        </w:rPr>
      </w:r>
      <w:r/>
    </w:p>
    <w:p>
      <w:pPr>
        <w:pStyle w:val="754"/>
        <w:jc w:val="center"/>
        <w:spacing w:line="360" w:lineRule="auto"/>
        <w:rPr>
          <w:color w:val="000000"/>
          <w:highlight w:val="none"/>
        </w:rPr>
      </w:pPr>
      <w:r>
        <w:rPr>
          <w:color w:val="000000"/>
          <w:highlight w:val="none"/>
        </w:rPr>
        <w:br w:type="page" w:clear="all"/>
      </w:r>
      <w:r>
        <w:rPr>
          <w:color w:val="000000"/>
          <w:highlight w:val="none"/>
        </w:rPr>
      </w:r>
      <w:r/>
    </w:p>
    <w:p>
      <w:pPr>
        <w:pStyle w:val="754"/>
        <w:jc w:val="center"/>
        <w:spacing w:line="360" w:lineRule="auto"/>
        <w:rPr>
          <w:color w:val="000000"/>
          <w:highlight w:val="none"/>
        </w:rPr>
      </w:pPr>
      <w:r>
        <w:rPr>
          <w:color w:val="000000"/>
          <w:highlight w:val="none"/>
        </w:rPr>
      </w:r>
      <w:r/>
    </w:p>
    <w:p>
      <w:pPr>
        <w:pStyle w:val="754"/>
        <w:jc w:val="center"/>
        <w:rPr>
          <w:rFonts w:ascii="宋体"/>
          <w:b/>
          <w:bCs/>
          <w:color w:val="000000"/>
          <w:sz w:val="36"/>
          <w:szCs w:val="36"/>
          <w:highlight w:val="none"/>
        </w:rPr>
      </w:pPr>
      <w:r>
        <w:rPr>
          <w:rFonts w:hint="eastAsia" w:ascii="宋体" w:hAnsi="宋体" w:cs="宋体"/>
          <w:b/>
          <w:bCs/>
          <w:color w:val="000000"/>
          <w:sz w:val="36"/>
          <w:szCs w:val="36"/>
          <w:highlight w:val="none"/>
        </w:rPr>
        <w:t xml:space="preserve">目录</w:t>
      </w:r>
      <w:r>
        <w:rPr>
          <w:rFonts w:ascii="宋体"/>
          <w:b/>
          <w:bCs/>
          <w:color w:val="000000"/>
          <w:sz w:val="36"/>
          <w:szCs w:val="36"/>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TOC \o "1-3" \f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招标公告</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3</w:t>
      </w:r>
      <w:r>
        <w:rPr>
          <w:rFonts w:ascii="仿宋" w:hAnsi="仿宋" w:eastAsia="仿宋" w:cs="仿宋"/>
          <w:color w:val="000000"/>
          <w:sz w:val="28"/>
          <w:szCs w:val="28"/>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7</w:t>
      </w:r>
      <w:r>
        <w:rPr>
          <w:rFonts w:ascii="仿宋" w:hAnsi="仿宋" w:eastAsia="仿宋" w:cs="仿宋"/>
          <w:color w:val="000000"/>
          <w:sz w:val="28"/>
          <w:szCs w:val="28"/>
          <w:highlight w:val="none"/>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第三章 合同条款及格式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第四章 项目需求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评标方法及评标标准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49</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53</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end"/>
      </w:r>
      <w:r>
        <w:rPr>
          <w:rFonts w:ascii="仿宋" w:hAnsi="仿宋" w:eastAsia="仿宋" w:cs="仿宋"/>
          <w:color w:val="000000"/>
          <w:sz w:val="28"/>
          <w:szCs w:val="28"/>
          <w:highlight w:val="none"/>
        </w:rPr>
      </w:r>
      <w:r/>
    </w:p>
    <w:p>
      <w:pPr>
        <w:pStyle w:val="754"/>
        <w:spacing w:line="360" w:lineRule="auto"/>
        <w:rPr>
          <w:rFonts w:ascii="宋体" w:hAnsi="宋体"/>
          <w:color w:val="000000"/>
          <w:sz w:val="28"/>
          <w:highlight w:val="none"/>
        </w:rPr>
      </w:pPr>
      <w:r>
        <w:rPr>
          <w:rFonts w:ascii="宋体" w:hAnsi="宋体"/>
          <w:color w:val="000000"/>
          <w:sz w:val="28"/>
          <w:highlight w:val="none"/>
        </w:rPr>
      </w:r>
      <w:r/>
    </w:p>
    <w:p>
      <w:pPr>
        <w:pStyle w:val="754"/>
        <w:spacing w:line="360" w:lineRule="auto"/>
        <w:rPr>
          <w:color w:val="000000"/>
          <w:highlight w:val="none"/>
        </w:rPr>
      </w:pPr>
      <w:r>
        <w:rPr>
          <w:color w:val="000000"/>
          <w:highlight w:val="none"/>
        </w:rPr>
      </w:r>
      <w:r/>
    </w:p>
    <w:p>
      <w:pPr>
        <w:pStyle w:val="755"/>
        <w:numPr>
          <w:ilvl w:val="0"/>
          <w:numId w:val="1"/>
        </w:numPr>
        <w:jc w:val="center"/>
        <w:spacing w:before="0" w:after="0" w:line="360" w:lineRule="auto"/>
        <w:tabs>
          <w:tab w:val="left" w:pos="0" w:leader="none"/>
        </w:tabs>
        <w:rPr>
          <w:rFonts w:ascii="宋体" w:hAnsi="宋体" w:eastAsia="宋体" w:cs="宋体"/>
          <w:b/>
          <w:bCs/>
          <w:color w:val="000000"/>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3" w:name="_Toc35393797"/>
      <w:r/>
      <w:bookmarkStart w:id="4" w:name="_Toc28359011"/>
      <w:r>
        <w:rPr>
          <w:rFonts w:ascii="宋体" w:hAnsi="宋体" w:eastAsia="宋体" w:cs="宋体"/>
          <w:b/>
          <w:bCs/>
          <w:color w:val="000000"/>
          <w:sz w:val="30"/>
          <w:szCs w:val="30"/>
          <w:highlight w:val="none"/>
        </w:rPr>
      </w:r>
      <w:r/>
    </w:p>
    <w:p>
      <w:pPr>
        <w:pStyle w:val="755"/>
        <w:numPr>
          <w:ilvl w:val="0"/>
          <w:numId w:val="0"/>
        </w:numPr>
        <w:jc w:val="center"/>
        <w:spacing w:before="0" w:after="0" w:line="360" w:lineRule="auto"/>
        <w:tabs>
          <w:tab w:val="left" w:pos="0"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eastAsia="zh-CN"/>
        </w:rPr>
        <w:t xml:space="preserve">江苏省扬州技师学院中西式面点实训室采购</w:t>
      </w:r>
      <w:r>
        <w:rPr>
          <w:rFonts w:hint="eastAsia" w:ascii="宋体" w:hAnsi="宋体" w:eastAsia="宋体" w:cs="宋体"/>
          <w:b/>
          <w:bCs/>
          <w:color w:val="000000"/>
          <w:sz w:val="30"/>
          <w:szCs w:val="30"/>
          <w:highlight w:val="none"/>
        </w:rPr>
        <w:t xml:space="preserve">招标公告</w:t>
      </w:r>
      <w:bookmarkEnd w:id="3"/>
      <w:r/>
      <w:bookmarkEnd w:id="4"/>
      <w:r>
        <w:rPr>
          <w:rFonts w:hint="eastAsia" w:ascii="宋体" w:hAnsi="宋体" w:eastAsia="宋体" w:cs="宋体"/>
          <w:b/>
          <w:bCs/>
          <w:color w:val="000000"/>
          <w:sz w:val="30"/>
          <w:szCs w:val="30"/>
          <w:highlight w:val="none"/>
        </w:rPr>
      </w:r>
      <w:r/>
    </w:p>
    <w:p>
      <w:pPr>
        <w:pStyle w:val="960"/>
        <w:ind w:firstLine="420"/>
        <w:spacing w:line="360" w:lineRule="auto"/>
        <w:tabs>
          <w:tab w:val="right" w:pos="7886" w:leader="none"/>
        </w:tabs>
        <w:rPr>
          <w:rFonts w:hAnsi="宋体" w:cs="宋体"/>
          <w:color w:val="000000"/>
          <w:sz w:val="21"/>
          <w:szCs w:val="22"/>
          <w:highlight w:val="none"/>
          <w:lang w:eastAsia="zh-CN"/>
        </w:rPr>
      </w:pPr>
      <w:r>
        <w:rPr>
          <w:rFonts w:hint="eastAsia" w:hAnsi="宋体" w:cs="宋体"/>
          <w:color w:val="000000"/>
          <w:sz w:val="21"/>
          <w:szCs w:val="22"/>
          <w:highlight w:val="none"/>
          <w:lang w:eastAsia="zh-CN"/>
        </w:rPr>
        <w:t xml:space="preserve">受江苏省扬州技师学院的委托，江苏志诚工程咨询管理有限公司就</w:t>
      </w:r>
      <w:r>
        <w:rPr>
          <w:rFonts w:ascii="Arial" w:hAnsi="Arial" w:eastAsia="Arial" w:cs="Arial"/>
          <w:color w:val="000000"/>
          <w:sz w:val="21"/>
          <w:highlight w:val="white"/>
        </w:rPr>
        <w:t xml:space="preserve">江苏省扬州技师学院中西式面点实训室采购</w:t>
      </w:r>
      <w:r>
        <w:rPr>
          <w:rFonts w:hint="eastAsia" w:hAnsi="宋体" w:cs="宋体"/>
          <w:color w:val="000000"/>
          <w:sz w:val="21"/>
          <w:szCs w:val="22"/>
          <w:highlight w:val="none"/>
          <w:lang w:eastAsia="zh-CN"/>
        </w:rPr>
        <w:t xml:space="preserve">目进行公开招标采购，欢迎符合条件的供应商投标。</w:t>
      </w:r>
      <w:r>
        <w:rPr>
          <w:rFonts w:hAnsi="宋体" w:cs="宋体"/>
          <w:color w:val="000000"/>
          <w:sz w:val="21"/>
          <w:szCs w:val="22"/>
          <w:highlight w:val="none"/>
          <w:lang w:eastAsia="zh-CN"/>
        </w:rPr>
      </w:r>
      <w:r/>
    </w:p>
    <w:p>
      <w:pPr>
        <w:pStyle w:val="754"/>
        <w:ind w:firstLine="422"/>
        <w:spacing w:line="360" w:lineRule="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 </w:t>
      </w:r>
      <w:r>
        <w:rPr>
          <w:rFonts w:ascii="宋体" w:hAnsi="宋体" w:cs="宋体"/>
          <w:b/>
          <w:color w:val="000000"/>
          <w:szCs w:val="21"/>
          <w:highlight w:val="none"/>
        </w:rPr>
      </w:r>
      <w:r/>
    </w:p>
    <w:p>
      <w:pPr>
        <w:pStyle w:val="754"/>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 </w:t>
      </w:r>
      <w:r>
        <w:rPr>
          <w:rFonts w:ascii="Arial" w:hAnsi="Arial" w:eastAsia="Arial" w:cs="Arial"/>
          <w:color w:val="000000"/>
          <w:sz w:val="21"/>
          <w:highlight w:val="white"/>
          <w:u w:val="single"/>
        </w:rPr>
        <w:t xml:space="preserve">江苏省扬州技师学院中西式面点实训室采购</w:t>
      </w:r>
      <w:r>
        <w:rPr>
          <w:rFonts w:hint="eastAsia" w:ascii="宋体" w:hAnsi="宋体" w:cs="宋体"/>
          <w:color w:val="000000"/>
          <w:szCs w:val="21"/>
          <w:highlight w:val="none"/>
        </w:rPr>
        <w:t xml:space="preserve">项目的潜在供应商</w:t>
      </w:r>
      <w:r>
        <w:rPr>
          <w:rFonts w:hint="eastAsia" w:ascii="宋体" w:hAnsi="宋体" w:cs="宋体"/>
          <w:color w:val="000000"/>
          <w:szCs w:val="21"/>
          <w:highlight w:val="none"/>
          <w:u w:val="single"/>
        </w:rPr>
        <w:t xml:space="preserve">可在</w:t>
      </w:r>
      <w:r>
        <w:rPr>
          <w:rFonts w:hint="eastAsia" w:ascii="宋体" w:hAnsi="宋体" w:cs="宋体"/>
          <w:color w:val="000000"/>
          <w:szCs w:val="21"/>
          <w:highlight w:val="none"/>
          <w:u w:val="single"/>
          <w:shd w:val="clear" w:color="auto" w:fill="ffffff"/>
          <w:lang w:eastAsia="zh-CN"/>
        </w:rPr>
        <w:t xml:space="preserve">“江苏政府采购网、扬州市政府采购网、扬州市邗江区政府采购网”</w:t>
      </w:r>
      <w:r>
        <w:rPr>
          <w:rFonts w:hint="eastAsia" w:ascii="宋体" w:hAnsi="宋体" w:cs="宋体"/>
          <w:color w:val="000000"/>
          <w:szCs w:val="21"/>
          <w:highlight w:val="none"/>
        </w:rPr>
        <w:t xml:space="preserve">自行免费下载采购文件，并于</w:t>
      </w:r>
      <w:bookmarkStart w:id="5"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11</w:t>
      </w:r>
      <w:r>
        <w:rPr>
          <w:rFonts w:ascii="宋体" w:hAnsi="宋体" w:cs="宋体"/>
          <w:bCs/>
          <w:color w:val="000000"/>
          <w:szCs w:val="21"/>
          <w:highlight w:val="none"/>
          <w:u w:val="single"/>
        </w:rPr>
        <w:t xml:space="preserve">月02</w:t>
      </w:r>
      <w:r>
        <w:rPr>
          <w:rFonts w:ascii="宋体" w:hAnsi="宋体" w:cs="宋体"/>
          <w:bCs/>
          <w:color w:val="000000"/>
          <w:szCs w:val="21"/>
          <w:highlight w:val="none"/>
          <w:u w:val="single"/>
        </w:rPr>
        <w:t xml:space="preserve">日14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5"/>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54"/>
        <w:ind w:firstLine="420"/>
        <w:spacing w:line="360" w:lineRule="auto"/>
        <w:rPr>
          <w:rFonts w:ascii="宋体" w:hAnsi="宋体" w:cs="宋体"/>
          <w:color w:val="000000"/>
          <w:highlight w:val="none"/>
        </w:rPr>
      </w:pPr>
      <w:r/>
      <w:bookmarkStart w:id="6" w:name="_Toc109304963"/>
      <w:r>
        <w:rPr>
          <w:rFonts w:hint="eastAsia" w:ascii="宋体" w:hAnsi="宋体" w:cs="宋体"/>
          <w:color w:val="000000"/>
          <w:szCs w:val="21"/>
          <w:highlight w:val="none"/>
        </w:rPr>
        <w:t xml:space="preserve">一、项目基本情况</w:t>
      </w:r>
      <w:bookmarkEnd w:id="6"/>
      <w:r>
        <w:rPr>
          <w:rFonts w:ascii="宋体" w:hAnsi="宋体" w:cs="宋体"/>
          <w:color w:val="000000"/>
          <w:highlight w:val="none"/>
        </w:rPr>
      </w:r>
      <w:r/>
    </w:p>
    <w:p>
      <w:pPr>
        <w:pStyle w:val="754"/>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rPr>
        <w:t xml:space="preserve">项目</w:t>
      </w:r>
      <w:r>
        <w:rPr>
          <w:rFonts w:hint="eastAsia" w:ascii="宋体" w:hAnsi="宋体" w:eastAsia="宋体" w:cs="宋体"/>
          <w:color w:val="000000"/>
          <w:highlight w:val="none"/>
        </w:rPr>
        <w:t xml:space="preserve">编</w:t>
      </w:r>
      <w:r>
        <w:rPr>
          <w:rFonts w:hint="eastAsia" w:ascii="宋体" w:hAnsi="宋体" w:eastAsia="宋体" w:cs="宋体"/>
          <w:color w:val="000000"/>
          <w:highlight w:val="none"/>
          <w:lang w:eastAsia="zh-CN"/>
        </w:rPr>
        <w:t xml:space="preserve">号：</w:t>
      </w:r>
      <w:r>
        <w:rPr>
          <w:rFonts w:ascii="Segoe UI" w:hAnsi="Segoe UI" w:eastAsia="Segoe UI" w:cs="Segoe UI"/>
          <w:i w:val="0"/>
          <w:iCs w:val="0"/>
          <w:caps w:val="0"/>
          <w:spacing w:val="0"/>
          <w:sz w:val="21"/>
          <w:szCs w:val="21"/>
          <w:highlight w:val="none"/>
          <w:shd w:val="clear" w:color="auto" w:fill="ffffff"/>
        </w:rPr>
        <w:t xml:space="preserve">JSZC-321000-JSZC-G2026-0035</w:t>
      </w:r>
      <w:r>
        <w:rPr>
          <w:rFonts w:hint="eastAsia" w:ascii="宋体" w:hAnsi="宋体" w:eastAsia="宋体" w:cs="宋体"/>
          <w:color w:val="000000"/>
          <w:highlight w:val="none"/>
        </w:rPr>
      </w:r>
      <w:r/>
    </w:p>
    <w:p>
      <w:pPr>
        <w:pStyle w:val="754"/>
        <w:ind w:firstLine="420"/>
        <w:spacing w:line="360" w:lineRule="auto"/>
        <w:rPr>
          <w:rFonts w:hint="eastAsia" w:ascii="宋体" w:hAnsi="宋体" w:cs="宋体"/>
          <w:color w:val="000000"/>
          <w:sz w:val="21"/>
          <w:szCs w:val="22"/>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 w:val="21"/>
          <w:szCs w:val="22"/>
          <w:highlight w:val="none"/>
          <w:lang w:eastAsia="zh-CN"/>
        </w:rPr>
        <w:t xml:space="preserve">江苏省扬州技师学院中西式面点实训室采购</w:t>
      </w:r>
      <w:r>
        <w:rPr>
          <w:rFonts w:hint="eastAsia" w:ascii="宋体" w:hAnsi="宋体" w:cs="宋体"/>
          <w:color w:val="000000"/>
          <w:sz w:val="21"/>
          <w:szCs w:val="22"/>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150万元</w:t>
      </w:r>
      <w:r>
        <w:rPr>
          <w:rFonts w:ascii="宋体" w:hAnsi="宋体" w:cs="宋体"/>
          <w:color w:val="000000"/>
          <w:szCs w:val="21"/>
          <w:highlight w:val="none"/>
        </w:rPr>
      </w:r>
      <w:r/>
    </w:p>
    <w:p>
      <w:pPr>
        <w:pStyle w:val="754"/>
        <w:contextualSpacing/>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150万元</w:t>
      </w:r>
      <w:r>
        <w:rPr>
          <w:rFonts w:hint="eastAsia" w:ascii="宋体" w:hAnsi="宋体" w:cs="宋体"/>
          <w:color w:val="000000"/>
          <w:szCs w:val="21"/>
          <w:highlight w:val="none"/>
        </w:rPr>
        <w:t xml:space="preserve">。最后报价超过最高限价的为无效报价，按照无效响应处理。</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采购需求：见招标文件第四章</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联合体响应。</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进口产品响应。</w:t>
      </w:r>
      <w:r>
        <w:rPr>
          <w:rFonts w:ascii="宋体" w:hAnsi="宋体" w:cs="宋体"/>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7" w:name="_Toc109304964"/>
      <w:r>
        <w:rPr>
          <w:rFonts w:hint="eastAsia" w:ascii="宋体" w:hAnsi="宋体" w:cs="宋体"/>
          <w:bCs w:val="0"/>
          <w:color w:val="000000"/>
          <w:sz w:val="21"/>
          <w:szCs w:val="21"/>
          <w:highlight w:val="none"/>
          <w:lang w:eastAsia="zh-CN"/>
        </w:rPr>
        <w:t xml:space="preserve">二、申请人的资格要求：</w:t>
      </w:r>
      <w:bookmarkEnd w:id="7"/>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lang w:eastAsia="zh-CN"/>
        </w:rPr>
        <w:t xml:space="preserve">法人或者其他组织的营业执照等证明文件，自然人的身份证明</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hint="eastAsia" w:ascii="宋体" w:hAnsi="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szCs w:val="21"/>
          <w:highlight w:val="none"/>
          <w:u w:val="single"/>
          <w:lang w:eastAsia="zh-CN"/>
        </w:rPr>
      </w:r>
      <w:r/>
    </w:p>
    <w:p>
      <w:pPr>
        <w:pStyle w:val="754"/>
        <w:ind w:firstLine="42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上一年度的财务报告情况（成立不满一年不需提供）</w:t>
      </w:r>
      <w:r>
        <w:rPr>
          <w:rFonts w:hint="eastAsia" w:ascii="宋体" w:hAnsi="宋体" w:eastAsia="宋体" w:cs="宋体"/>
          <w:b/>
          <w:bCs/>
          <w:i/>
          <w:iCs/>
          <w:color w:val="000000"/>
          <w:szCs w:val="21"/>
          <w:highlight w:val="none"/>
          <w:u w:val="single"/>
          <w:lang w:eastAsia="zh-CN"/>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具备履行合同所必需的设备和专业技术能力的证明材料</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ascii="宋体" w:hAnsi="宋体"/>
          <w:color w:val="000000"/>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参加本次政府采购活动前3年内在经营活动中没有重大违法记录的书面声明</w:t>
      </w:r>
      <w:r>
        <w:rPr>
          <w:rFonts w:hint="eastAsia" w:ascii="宋体" w:hAnsi="宋体"/>
          <w:color w:val="000000"/>
          <w:highlight w:val="none"/>
        </w:rPr>
        <w:t xml:space="preserve">  </w:t>
      </w:r>
      <w:r>
        <w:rPr>
          <w:rFonts w:ascii="宋体" w:hAnsi="宋体"/>
          <w:color w:val="000000"/>
          <w:highlight w:val="none"/>
        </w:rPr>
      </w:r>
      <w:r/>
    </w:p>
    <w:p>
      <w:pPr>
        <w:pStyle w:val="754"/>
        <w:ind w:left="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 </w:t>
      </w:r>
      <w:r>
        <w:rPr>
          <w:rFonts w:hint="eastAsia" w:ascii="宋体" w:hAnsi="宋体" w:cs="宋体"/>
          <w:i/>
          <w:iCs/>
          <w:color w:val="000000"/>
          <w:szCs w:val="21"/>
          <w:highlight w:val="none"/>
          <w:u w:val="single"/>
        </w:rPr>
        <w:t xml:space="preserve">未被“信用中国”网站（www.creditchina.gov.cn）、“中国政府采购网</w:t>
      </w:r>
      <w:r>
        <w:rPr>
          <w:rFonts w:ascii="宋体" w:hAnsi="宋体" w:cs="宋体"/>
          <w:i/>
          <w:iCs/>
          <w:color w:val="000000"/>
          <w:szCs w:val="21"/>
          <w:highlight w:val="none"/>
          <w:u w:val="single"/>
        </w:rPr>
      </w:r>
      <w:r/>
    </w:p>
    <w:p>
      <w:pPr>
        <w:pStyle w:val="754"/>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"(www.ccgp.gov.cn)列入失信被执行人、重大税收违法失信主体、政府采购严重违法失信行为记录名单</w:t>
      </w:r>
      <w:r>
        <w:rPr>
          <w:rFonts w:hint="eastAsia" w:ascii="Times New Roman" w:hAnsi="Times New Roman" w:eastAsia="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75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供应商信用承诺书</w:t>
      </w:r>
      <w:r>
        <w:rPr>
          <w:rFonts w:ascii="宋体" w:hAnsi="宋体" w:cs="宋体"/>
          <w:i/>
          <w:iCs/>
          <w:color w:val="000000"/>
          <w:szCs w:val="21"/>
          <w:highlight w:val="none"/>
          <w:u w:val="single"/>
        </w:rPr>
      </w:r>
      <w:r/>
    </w:p>
    <w:p>
      <w:pPr>
        <w:pStyle w:val="754"/>
        <w:ind w:firstLine="420"/>
        <w:spacing w:line="360" w:lineRule="auto"/>
        <w:rPr>
          <w:rFonts w:ascii="宋体" w:hAnsi="宋体" w:cs="宋体"/>
          <w:b/>
          <w:i/>
          <w:iCs/>
          <w:color w:val="000000"/>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b/>
          <w:i/>
          <w:iCs/>
          <w:color w:val="000000"/>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b/>
          <w:i/>
          <w:iCs/>
          <w:color w:val="000000"/>
          <w:highlight w:val="none"/>
          <w:u w:val="single"/>
        </w:rPr>
      </w:r>
      <w:r/>
    </w:p>
    <w:p>
      <w:pPr>
        <w:pStyle w:val="754"/>
        <w:ind w:left="420"/>
        <w:spacing w:line="360" w:lineRule="auto"/>
        <w:rPr>
          <w:color w:val="000000"/>
          <w:highlight w:val="non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t xml:space="preserve">无</w:t>
      </w:r>
      <w:r>
        <w:rPr>
          <w:color w:val="000000"/>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8" w:name="_Toc109304965"/>
      <w:r>
        <w:rPr>
          <w:rFonts w:hint="eastAsia" w:ascii="宋体" w:hAnsi="宋体" w:cs="宋体"/>
          <w:bCs w:val="0"/>
          <w:color w:val="000000"/>
          <w:sz w:val="21"/>
          <w:szCs w:val="21"/>
          <w:highlight w:val="none"/>
          <w:lang w:eastAsia="zh-CN"/>
        </w:rPr>
        <w:t xml:space="preserve">三、获取采购文件</w:t>
      </w:r>
      <w:bookmarkEnd w:id="8"/>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自招标公告发布之日起5个工作日。5个工作日后仍可下载采购文件，但不作为供应商权益受到损害的证明材料和依据。</w:t>
      </w:r>
      <w:r>
        <w:rPr>
          <w:rFonts w:ascii="宋体" w:hAnsi="宋体" w:cs="宋体"/>
          <w:color w:val="000000"/>
          <w:highlight w:val="none"/>
        </w:rPr>
      </w:r>
      <w:r/>
    </w:p>
    <w:p>
      <w:pPr>
        <w:pStyle w:val="754"/>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cs="宋体"/>
          <w:b/>
          <w:bCs/>
          <w:color w:val="000000"/>
          <w:highlight w:val="none"/>
        </w:rPr>
      </w:r>
      <w:r/>
    </w:p>
    <w:p>
      <w:pPr>
        <w:pStyle w:val="754"/>
        <w:ind w:firstLine="422"/>
        <w:spacing w:line="360" w:lineRule="auto"/>
        <w:rPr>
          <w:rFonts w:hint="eastAsia" w:ascii="宋体" w:hAnsi="宋体" w:cs="宋体"/>
          <w:b/>
          <w:bCs/>
          <w:color w:val="000000"/>
          <w:highlight w:val="none"/>
        </w:rPr>
      </w:pPr>
      <w:r/>
      <w:bookmarkStart w:id="9" w:name="_Toc109304966"/>
      <w:r>
        <w:rPr>
          <w:rFonts w:hint="eastAsia" w:ascii="宋体" w:hAnsi="宋体" w:cs="宋体"/>
          <w:b/>
          <w:bCs/>
          <w:color w:val="000000"/>
          <w:highlight w:val="none"/>
        </w:rPr>
        <w:t xml:space="preserve">3.潜在供应商访问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hint="eastAsia" w:ascii="宋体" w:hAnsi="宋体" w:cs="宋体"/>
          <w:b/>
          <w:bCs/>
          <w:color w:val="000000"/>
          <w:highlight w:val="none"/>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（3）“CA数字证书”的办理材料以及供应商操作手册详见：</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http://zfcg.yangzhou.gov.cn/zfcg/xzzx/202309/4d7de1f7865f4a2894fc22bc452f94d8.shtml。</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（4）潜在供应商访问“苏采云”系统的网络地址和方法：“苏采云”系统的网址：http://jszfcg.jsczt.cn/。</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宋体"/>
          <w:b/>
          <w:i w:val="0"/>
          <w:caps w:val="0"/>
          <w:color w:val="000000"/>
          <w:spacing w:val="0"/>
          <w:sz w:val="21"/>
          <w:szCs w:val="21"/>
          <w:highlight w:val="none"/>
          <w:shd w:val="clear" w:color="auto" w:fill="ffffff"/>
          <w:lang w:val="en-US" w:eastAsia="zh-CN" w:bidi="ar"/>
        </w:rPr>
      </w:pPr>
      <w:r>
        <w:rPr>
          <w:rFonts w:hint="eastAsia" w:ascii="宋体" w:hAnsi="宋体" w:eastAsia="宋体" w:cs="Times New Roman"/>
          <w:b/>
          <w:bCs/>
          <w:color w:val="000000"/>
          <w:highlight w:val="none"/>
          <w:lang w:val="en-US" w:eastAsia="zh-CN"/>
        </w:rPr>
        <w:t xml:space="preserve">（7）苏采云系统使用谷歌浏览器参与不</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见面开标。</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754"/>
        <w:spacing w:line="360" w:lineRule="auto"/>
        <w:rPr>
          <w:rFonts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四、响应文件提交</w:t>
      </w:r>
      <w:bookmarkEnd w:id="9"/>
      <w:r>
        <w:rPr>
          <w:rFonts w:ascii="宋体" w:hAnsi="宋体" w:cs="宋体"/>
          <w:b/>
          <w:bCs/>
          <w:color w:val="000000"/>
          <w:sz w:val="21"/>
          <w:szCs w:val="21"/>
          <w:highlight w:val="none"/>
          <w:lang w:eastAsia="zh-CN"/>
        </w:rPr>
      </w:r>
      <w:r/>
    </w:p>
    <w:p>
      <w:pPr>
        <w:pStyle w:val="754"/>
        <w:ind w:firstLine="420"/>
        <w:spacing w:line="360" w:lineRule="auto"/>
        <w:rPr>
          <w:rFonts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0"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年11</w:t>
      </w:r>
      <w:r>
        <w:rPr>
          <w:rFonts w:ascii="宋体" w:hAnsi="宋体" w:cs="宋体"/>
          <w:bCs/>
          <w:color w:val="000000"/>
          <w:szCs w:val="21"/>
          <w:highlight w:val="none"/>
          <w:u w:val="single"/>
        </w:rPr>
        <w:t xml:space="preserve">月02</w:t>
      </w:r>
      <w:r>
        <w:rPr>
          <w:rFonts w:ascii="宋体" w:hAnsi="宋体" w:cs="宋体"/>
          <w:bCs/>
          <w:color w:val="000000"/>
          <w:szCs w:val="21"/>
          <w:highlight w:val="none"/>
          <w:u w:val="single"/>
        </w:rPr>
        <w:t xml:space="preserve">日14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0"/>
      <w:r>
        <w:rPr>
          <w:rFonts w:hint="eastAsia" w:ascii="宋体" w:hAnsi="宋体" w:cs="宋体"/>
          <w:bCs/>
          <w:color w:val="000000"/>
          <w:szCs w:val="21"/>
          <w:highlight w:val="none"/>
        </w:rPr>
        <w:t xml:space="preserve">（北京时间）</w:t>
      </w:r>
      <w:r>
        <w:rPr>
          <w:rFonts w:ascii="宋体" w:hAnsi="宋体" w:cs="宋体"/>
          <w:bCs/>
          <w:color w:val="000000"/>
          <w:szCs w:val="21"/>
          <w:highlight w:val="none"/>
          <w:u w:val="single"/>
        </w:rPr>
      </w:r>
      <w:r/>
    </w:p>
    <w:p>
      <w:pPr>
        <w:pStyle w:val="754"/>
        <w:ind w:firstLine="422"/>
        <w:spacing w:line="360" w:lineRule="auto"/>
        <w:rPr>
          <w:rFonts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rPr>
          <w:rFonts w:ascii="宋体" w:hAnsi="宋体" w:cs="宋体"/>
          <w:b/>
          <w:bCs/>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bookmarkStart w:id="11" w:name="_Toc109304967"/>
      <w:r>
        <w:rPr>
          <w:rFonts w:hint="eastAsia" w:ascii="宋体" w:hAnsi="宋体" w:cs="宋体"/>
          <w:bCs w:val="0"/>
          <w:color w:val="000000"/>
          <w:sz w:val="21"/>
          <w:szCs w:val="21"/>
          <w:highlight w:val="none"/>
          <w:lang w:eastAsia="zh-CN"/>
        </w:rPr>
        <w:t xml:space="preserve">五、开启</w:t>
      </w:r>
      <w:bookmarkEnd w:id="11"/>
      <w:r>
        <w:rPr>
          <w:rFonts w:ascii="宋体" w:hAnsi="宋体" w:cs="宋体"/>
          <w:bCs w:val="0"/>
          <w:color w:val="000000"/>
          <w:sz w:val="21"/>
          <w:szCs w:val="21"/>
          <w:highlight w:val="none"/>
          <w:lang w:eastAsia="zh-CN"/>
        </w:rPr>
      </w:r>
      <w:r/>
    </w:p>
    <w:p>
      <w:pPr>
        <w:pStyle w:val="959"/>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11</w:t>
      </w:r>
      <w:r>
        <w:rPr>
          <w:rFonts w:ascii="宋体" w:hAnsi="宋体" w:cs="宋体"/>
          <w:bCs/>
          <w:color w:val="000000"/>
          <w:szCs w:val="21"/>
          <w:highlight w:val="none"/>
          <w:u w:val="single"/>
        </w:rPr>
        <w:t xml:space="preserve">月02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75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rPr>
          <w:rFonts w:ascii="宋体" w:hAnsi="宋体" w:cs="宋体"/>
          <w:b/>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12" w:name="_Toc109304968"/>
      <w:r>
        <w:rPr>
          <w:rFonts w:hint="eastAsia" w:ascii="宋体" w:hAnsi="宋体" w:cs="宋体"/>
          <w:bCs w:val="0"/>
          <w:color w:val="000000"/>
          <w:sz w:val="21"/>
          <w:szCs w:val="21"/>
          <w:highlight w:val="none"/>
          <w:lang w:eastAsia="zh-CN"/>
        </w:rPr>
        <w:t xml:space="preserve">六、公告期限</w:t>
      </w:r>
      <w:bookmarkEnd w:id="12"/>
      <w:r>
        <w:rPr>
          <w:rFonts w:ascii="宋体" w:hAnsi="宋体" w:cs="宋体"/>
          <w:bCs w:val="0"/>
          <w:color w:val="000000"/>
          <w:sz w:val="21"/>
          <w:szCs w:val="21"/>
          <w:highlight w:val="none"/>
          <w:lang w:eastAsia="zh-CN"/>
        </w:rPr>
      </w:r>
      <w:r/>
    </w:p>
    <w:p>
      <w:pPr>
        <w:pStyle w:val="754"/>
        <w:ind w:firstLine="422"/>
        <w:spacing w:line="360" w:lineRule="auto"/>
        <w:rPr>
          <w:rFonts w:ascii="宋体" w:hAnsi="宋体" w:cs="宋体"/>
          <w:b/>
          <w:bCs/>
          <w:color w:val="000000"/>
          <w:szCs w:val="21"/>
          <w:highlight w:val="none"/>
        </w:rPr>
      </w:pPr>
      <w:r>
        <w:rPr>
          <w:rFonts w:hint="eastAsia" w:ascii="宋体" w:hAnsi="宋体"/>
          <w:color w:val="000000"/>
          <w:szCs w:val="21"/>
          <w:highlight w:val="none"/>
        </w:rPr>
        <w:t xml:space="preserve">招标公告及招标文件公告期限为自本公告发布之日起5个工作日。</w:t>
      </w:r>
      <w:r>
        <w:rPr>
          <w:rFonts w:ascii="宋体" w:hAnsi="宋体" w:cs="宋体"/>
          <w:b/>
          <w:bCs/>
          <w:color w:val="000000"/>
          <w:szCs w:val="21"/>
          <w:highlight w:val="none"/>
        </w:rPr>
      </w:r>
      <w:r/>
    </w:p>
    <w:p>
      <w:pPr>
        <w:pStyle w:val="958"/>
        <w:spacing w:before="0" w:after="0" w:line="360" w:lineRule="auto"/>
        <w:rPr>
          <w:rFonts w:ascii="宋体" w:hAnsi="宋体" w:cs="宋体"/>
          <w:color w:val="000000"/>
          <w:sz w:val="21"/>
          <w:szCs w:val="21"/>
          <w:highlight w:val="none"/>
          <w:lang w:eastAsia="zh-CN"/>
        </w:rPr>
      </w:pPr>
      <w:r/>
      <w:bookmarkStart w:id="13" w:name="_Toc109304969"/>
      <w:r>
        <w:rPr>
          <w:rFonts w:hint="eastAsia" w:ascii="宋体" w:hAnsi="宋体" w:cs="宋体"/>
          <w:color w:val="000000"/>
          <w:sz w:val="21"/>
          <w:szCs w:val="21"/>
          <w:highlight w:val="none"/>
          <w:lang w:eastAsia="zh-CN"/>
        </w:rPr>
        <w:t xml:space="preserve">七、其他补充事宜</w:t>
      </w:r>
      <w:bookmarkEnd w:id="13"/>
      <w:r>
        <w:rPr>
          <w:rFonts w:ascii="宋体" w:hAnsi="宋体" w:cs="宋体"/>
          <w:color w:val="000000"/>
          <w:sz w:val="21"/>
          <w:szCs w:val="21"/>
          <w:highlight w:val="none"/>
          <w:lang w:eastAsia="zh-CN"/>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采购采用“政府采购管理交易系统（苏采云）”，采购、响应、评审和成交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2.供应商如确定参加磋商，可自行下载采购文件及有关资料，按照《操作手册》进行注册，领取CA和办理电子签章，并按《操作手册》要求制作、上传电子投标文件，技术支持联系方式：13813140731。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Microsoft YaHei" w:hAnsi="Microsoft YaHei" w:eastAsia="Microsoft YaHei" w:cs="Microsoft YaHei"/>
          <w:b/>
          <w:color w:val="000000"/>
          <w:sz w:val="24"/>
        </w:rPr>
        <w:t xml:space="preserve">.</w:t>
      </w:r>
      <w:r>
        <w:rPr>
          <w:rFonts w:ascii="SimSun" w:hAnsi="SimSun" w:eastAsia="SimSun" w:cs="SimSun"/>
          <w:b/>
          <w:color w:val="000000"/>
          <w:sz w:val="24"/>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4</w:t>
      </w:r>
      <w:r>
        <w:rPr>
          <w:rFonts w:ascii="SimSun" w:hAnsi="SimSun" w:eastAsia="SimSun" w:cs="SimSun"/>
          <w:b/>
          <w:color w:val="000000"/>
          <w:sz w:val="24"/>
        </w:rPr>
        <w:t xml:space="preserve">.潜在供应商对采购文件项目需求部分的询问、质疑请向采购人提出，由采购人负责答复。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rPr>
          <w:rFonts w:ascii="SimSun" w:hAnsi="SimSun" w:eastAsia="SimSun" w:cs="SimSun"/>
          <w:color w:val="000000"/>
          <w:sz w:val="24"/>
        </w:rPr>
        <w:t xml:space="preserve">.本次采购不收取保证金。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6</w:t>
      </w:r>
      <w:r>
        <w:rPr>
          <w:rFonts w:ascii="SimSun" w:hAnsi="SimSun" w:eastAsia="SimSun" w:cs="SimSun"/>
          <w:color w:val="000000"/>
          <w:sz w:val="24"/>
        </w:rPr>
        <w:t xml:space="preserve">.有关本次采购的事项若存在变动或修改，敬请及时关注“江苏政府采购网、扬州市政府采购网、扬州市邗江区政府采购网”发布的信息。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i/>
          <w:color w:val="000000"/>
          <w:sz w:val="24"/>
          <w:u w:val="single"/>
        </w:rPr>
        <w:t xml:space="preserve">7</w:t>
      </w:r>
      <w:r>
        <w:rPr>
          <w:rFonts w:ascii="SimSun" w:hAnsi="SimSun" w:eastAsia="SimSun" w:cs="SimSun"/>
          <w:b/>
          <w:i/>
          <w:color w:val="000000"/>
          <w:sz w:val="24"/>
          <w:u w:val="single"/>
        </w:rPr>
        <w:t xml:space="preserve">.本项目采购文件中所有斜体下划线部分为实质性条款，如不满足，则为无效响应。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8、如在开标时间发生系统崩溃等不可预见的情况，造成开评标活动无法正常进行的，将延迟开评标，具体开评标时间另行通知。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9.拒绝下述供应商参加本次采购活动：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）凡为采购项目提供整体设计、规范编制或者项目管理、监理、检测等服务的供应商，不得再参加该项目的其他采购活动。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pStyle w:val="754"/>
        <w:ind w:firstLine="422"/>
        <w:spacing w:line="360" w:lineRule="auto"/>
        <w:rPr>
          <w:rFonts w:ascii="宋体" w:hAnsi="宋体"/>
          <w:color w:val="000000"/>
          <w:szCs w:val="21"/>
          <w:highlight w:val="none"/>
        </w:rPr>
      </w:pPr>
      <w:r>
        <w:rPr>
          <w:rFonts w:hint="eastAsia" w:ascii="宋体" w:hAnsi="宋体"/>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rPr>
          <w:rFonts w:hint="eastAsia" w:ascii="宋体" w:hAnsi="宋体" w:cs="宋体"/>
          <w:bCs w:val="0"/>
          <w:color w:val="000000"/>
          <w:sz w:val="21"/>
          <w:szCs w:val="21"/>
          <w:highlight w:val="none"/>
          <w:lang w:eastAsia="zh-CN"/>
        </w:rPr>
        <w:t xml:space="preserve">八、本次招标联系方式</w:t>
      </w:r>
      <w:r>
        <w:rPr>
          <w:rFonts w:ascii="宋体" w:hAnsi="宋体" w:cs="宋体"/>
          <w:bCs w:val="0"/>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1.采购人信息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江苏省扬州技师学院</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u w:val="single"/>
          <w:lang w:val="en-US" w:eastAsia="zh-CN"/>
        </w:rPr>
        <w:t xml:space="preserve">扬州市邗江区职中南路</w:t>
      </w:r>
      <w:r>
        <w:rPr>
          <w:rFonts w:hAnsi="宋体" w:cs="宋体"/>
          <w:color w:val="000000"/>
          <w:sz w:val="21"/>
          <w:szCs w:val="21"/>
          <w:highlight w:val="none"/>
          <w:lang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联系人：</w:t>
      </w:r>
      <w:r>
        <w:rPr>
          <w:rFonts w:hint="eastAsia" w:ascii="宋体" w:hAnsi="宋体" w:eastAsia="宋体" w:cs="宋体"/>
          <w:color w:val="000000"/>
          <w:sz w:val="21"/>
          <w:szCs w:val="21"/>
          <w:highlight w:val="none"/>
          <w:u w:val="single"/>
          <w:lang w:val="en-US" w:eastAsia="zh-CN" w:bidi="ar-SA"/>
        </w:rPr>
        <w:t xml:space="preserve">陈巍</w:t>
      </w:r>
      <w:r>
        <w:rPr>
          <w:rFonts w:ascii="Times New Roman" w:hAnsi="Times New Roman" w:eastAsia="宋体"/>
          <w:color w:val="000000"/>
          <w:szCs w:val="21"/>
          <w:highlight w:val="none"/>
          <w:lang w:val="en-US"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联系方式：</w:t>
      </w:r>
      <w:r>
        <w:rPr>
          <w:rFonts w:hint="eastAsia" w:ascii="宋体" w:hAnsi="宋体" w:eastAsia="宋体" w:cs="宋体"/>
          <w:color w:val="000000"/>
          <w:sz w:val="21"/>
          <w:szCs w:val="21"/>
          <w:highlight w:val="none"/>
          <w:u w:val="single"/>
          <w:lang w:val="en-US" w:eastAsia="zh-CN" w:bidi="ar-SA"/>
        </w:rPr>
        <w:t xml:space="preserve">18952726603</w:t>
      </w:r>
      <w:r>
        <w:rPr>
          <w:rFonts w:ascii="Times New Roman" w:hAnsi="Times New Roman" w:eastAsia="宋体"/>
          <w:color w:val="000000"/>
          <w:szCs w:val="21"/>
          <w:highlight w:val="none"/>
          <w:lang w:val="en-US"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2.采购代理机构信息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江苏志诚工程咨询管理有限公司</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hAnsi="宋体" w:cs="宋体"/>
          <w:color w:val="000000"/>
          <w:sz w:val="21"/>
          <w:szCs w:val="21"/>
          <w:highlight w:val="none"/>
          <w:u w:val="single"/>
          <w:lang w:eastAsia="zh-CN"/>
        </w:rPr>
        <w:t xml:space="preserve">扬州市邗江区文昌西路305号金都汇商务楼3楼</w:t>
      </w:r>
      <w:r>
        <w:rPr>
          <w:rFonts w:hAnsi="宋体" w:cs="宋体"/>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联 系 人：</w:t>
      </w:r>
      <w:r>
        <w:rPr>
          <w:rFonts w:hint="eastAsia" w:hAnsi="宋体" w:cs="宋体"/>
          <w:color w:val="000000"/>
          <w:sz w:val="21"/>
          <w:szCs w:val="21"/>
          <w:highlight w:val="none"/>
          <w:u w:val="single"/>
          <w:lang w:val="en-US" w:eastAsia="zh-CN"/>
        </w:rPr>
        <w:t xml:space="preserve">刘</w:t>
      </w:r>
      <w:r>
        <w:rPr>
          <w:rFonts w:hint="eastAsia" w:hAnsi="宋体" w:cs="宋体"/>
          <w:color w:val="000000"/>
          <w:sz w:val="21"/>
          <w:szCs w:val="21"/>
          <w:highlight w:val="none"/>
          <w:u w:val="single"/>
          <w:lang w:eastAsia="zh-CN"/>
        </w:rPr>
        <w:t xml:space="preserve">工</w:t>
      </w:r>
      <w:r>
        <w:rPr>
          <w:rFonts w:hAnsi="宋体" w:cs="宋体"/>
          <w:color w:val="000000"/>
          <w:sz w:val="21"/>
          <w:szCs w:val="21"/>
          <w:highlight w:val="none"/>
          <w:lang w:eastAsia="zh-CN"/>
        </w:rPr>
      </w:r>
      <w:r/>
    </w:p>
    <w:p>
      <w:pPr>
        <w:pStyle w:val="754"/>
        <w:ind w:firstLine="422"/>
        <w:spacing w:line="360" w:lineRule="auto"/>
        <w:rPr>
          <w:rFonts w:ascii="宋体" w:hAnsi="宋体" w:eastAsia="宋体"/>
          <w:b/>
          <w:bCs/>
          <w:color w:val="000000"/>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0514-8</w:t>
      </w:r>
      <w:r>
        <w:rPr>
          <w:rFonts w:hint="eastAsia" w:ascii="宋体" w:hAnsi="宋体" w:cs="宋体"/>
          <w:color w:val="000000"/>
          <w:szCs w:val="21"/>
          <w:highlight w:val="none"/>
          <w:u w:val="single"/>
          <w:lang w:val="en-US" w:eastAsia="zh-CN"/>
        </w:rPr>
        <w:t xml:space="preserve">0820678</w:t>
      </w:r>
      <w:r>
        <w:rPr>
          <w:rFonts w:ascii="宋体" w:hAnsi="宋体" w:eastAsia="宋体"/>
          <w:b/>
          <w:bCs/>
          <w:color w:val="000000"/>
          <w:highlight w:val="none"/>
          <w:lang w:val="en-US" w:eastAsia="zh-CN"/>
        </w:rPr>
      </w:r>
      <w:r/>
    </w:p>
    <w:p>
      <w:pPr>
        <w:pStyle w:val="960"/>
        <w:ind w:firstLine="420"/>
        <w:jc w:val="center"/>
        <w:spacing w:line="360" w:lineRule="auto"/>
        <w:rPr>
          <w:rFonts w:hAnsi="宋体" w:cs="宋体"/>
          <w:color w:val="000000"/>
          <w:sz w:val="21"/>
          <w:szCs w:val="21"/>
          <w:highlight w:val="none"/>
          <w:u w:val="single"/>
          <w:lang w:eastAsia="zh-CN"/>
        </w:rPr>
      </w:pPr>
      <w:r>
        <w:rPr>
          <w:rFonts w:hAnsi="宋体" w:cs="宋体"/>
          <w:color w:val="000000"/>
          <w:sz w:val="21"/>
          <w:szCs w:val="21"/>
          <w:highlight w:val="none"/>
          <w:u w:val="singl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rPr>
          <w:rFonts w:hAnsi="宋体" w:cs="宋体"/>
          <w:b/>
          <w:bCs/>
          <w:color w:val="000000"/>
          <w:sz w:val="32"/>
          <w:szCs w:val="32"/>
          <w:highlight w:val="none"/>
          <w:lang w:eastAsia="zh-CN"/>
        </w:rPr>
      </w:r>
      <w:r/>
    </w:p>
    <w:p>
      <w:pPr>
        <w:pStyle w:val="960"/>
        <w:jc w:val="both"/>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jc w:val="center"/>
        <w:spacing w:line="360" w:lineRule="auto"/>
        <w:rPr>
          <w:rFonts w:hAnsi="宋体"/>
          <w:b/>
          <w:bCs/>
          <w:color w:val="000000"/>
          <w:highlight w:val="none"/>
          <w:lang w:eastAsia="zh-CN"/>
        </w:rPr>
      </w:pPr>
      <w:r>
        <w:rPr>
          <w:rFonts w:hint="eastAsia" w:hAnsi="宋体" w:cs="宋体"/>
          <w:b/>
          <w:bCs/>
          <w:color w:val="000000"/>
          <w:sz w:val="32"/>
          <w:szCs w:val="32"/>
          <w:highlight w:val="none"/>
          <w:lang w:eastAsia="zh-CN"/>
        </w:rPr>
        <w:t xml:space="preserve">第二章 投标人须知</w:t>
      </w:r>
      <w:r>
        <w:rPr>
          <w:rFonts w:hAnsi="宋体"/>
          <w:b/>
          <w:bCs/>
          <w:color w:val="000000"/>
          <w:highlight w:val="none"/>
          <w:lang w:eastAsia="zh-CN"/>
        </w:rPr>
      </w:r>
      <w:r/>
    </w:p>
    <w:p>
      <w:pPr>
        <w:pStyle w:val="754"/>
        <w:ind w:firstLine="420"/>
        <w:spacing w:line="360" w:lineRule="auto"/>
        <w:rPr>
          <w:b/>
          <w:bCs/>
          <w:color w:val="000000"/>
          <w:highlight w:val="none"/>
        </w:rPr>
      </w:pPr>
      <w:r>
        <w:rPr>
          <w:rFonts w:hint="eastAsia"/>
          <w:b/>
          <w:bCs/>
          <w:color w:val="000000"/>
          <w:highlight w:val="none"/>
        </w:rPr>
        <w:t xml:space="preserve">1、招标方式</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本次招标采取公开招标方式，本采购文件仅适用于</w:t>
      </w:r>
      <w:r>
        <w:rPr>
          <w:rFonts w:hint="eastAsia" w:ascii="宋体" w:hAnsi="宋体"/>
          <w:bCs/>
          <w:color w:val="000000"/>
          <w:szCs w:val="21"/>
          <w:highlight w:val="none"/>
        </w:rPr>
        <w:t xml:space="preserve">“</w:t>
      </w:r>
      <w:r>
        <w:rPr>
          <w:rFonts w:ascii="Arial" w:hAnsi="Arial" w:eastAsia="Arial" w:cs="Arial"/>
          <w:color w:val="000000"/>
          <w:sz w:val="21"/>
          <w:highlight w:val="white"/>
        </w:rPr>
        <w:t xml:space="preserve">JSZC-321000-JSZC-G2026-0035</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”号项目</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2、投标人</w:t>
      </w:r>
      <w:r>
        <w:rPr>
          <w:b/>
          <w:bCs/>
          <w:color w:val="000000"/>
          <w:highlight w:val="none"/>
        </w:rPr>
      </w:r>
      <w:r/>
    </w:p>
    <w:p>
      <w:pPr>
        <w:pStyle w:val="754"/>
        <w:ind w:firstLine="422"/>
        <w:spacing w:line="360" w:lineRule="auto"/>
        <w:rPr>
          <w:color w:val="000000"/>
          <w:highlight w:val="none"/>
        </w:rPr>
      </w:pPr>
      <w:r>
        <w:rPr>
          <w:rFonts w:hint="eastAsia"/>
          <w:color w:val="000000"/>
          <w:highlight w:val="none"/>
        </w:rPr>
        <w:t xml:space="preserve">2.1 </w:t>
      </w:r>
      <w:r>
        <w:rPr>
          <w:rFonts w:hint="eastAsia" w:ascii="宋体" w:hAnsi="宋体"/>
          <w:bCs/>
          <w:color w:val="000000"/>
          <w:szCs w:val="21"/>
          <w:highlight w:val="none"/>
        </w:rPr>
        <w:t xml:space="preserve">本招标文件中“供应商”，即“投标人”，是指参加投标竞争，并符合招标文件规定资格条件的法人、其他组织或者自然人。</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2.2合格的</w:t>
      </w:r>
      <w:r>
        <w:rPr>
          <w:rFonts w:hint="eastAsia" w:ascii="宋体" w:hAnsi="宋体"/>
          <w:bCs/>
          <w:color w:val="000000"/>
          <w:szCs w:val="21"/>
          <w:highlight w:val="none"/>
        </w:rPr>
        <w:t xml:space="preserve">投标人</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2.2.1 满足</w:t>
      </w:r>
      <w:r>
        <w:rPr>
          <w:rFonts w:hint="eastAsia" w:ascii="宋体" w:hAnsi="宋体"/>
          <w:bCs/>
          <w:color w:val="000000"/>
          <w:szCs w:val="21"/>
          <w:highlight w:val="none"/>
        </w:rPr>
        <w:t xml:space="preserve">招标</w:t>
      </w:r>
      <w:r>
        <w:rPr>
          <w:rFonts w:hint="eastAsia"/>
          <w:color w:val="000000"/>
          <w:highlight w:val="none"/>
        </w:rPr>
        <w:t xml:space="preserve">公告中供应商的资格条件要求的规定。</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2.2.2 满足本文件实质性条款的规定。</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3、适用法律</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3.1 本次采购及由此产生的合同受中华人民共和国有关的法律法规制约和保护。</w:t>
      </w:r>
      <w:r>
        <w:rPr>
          <w:color w:val="000000"/>
          <w:highlight w:val="none"/>
        </w:rPr>
      </w:r>
      <w:r/>
    </w:p>
    <w:p>
      <w:pPr>
        <w:pStyle w:val="754"/>
        <w:ind w:firstLine="422"/>
        <w:spacing w:line="360" w:lineRule="auto"/>
        <w:rPr>
          <w:b/>
          <w:bCs/>
          <w:color w:val="000000"/>
          <w:highlight w:val="none"/>
        </w:rPr>
      </w:pPr>
      <w:r>
        <w:rPr>
          <w:rFonts w:hint="eastAsia"/>
          <w:b/>
          <w:bCs/>
          <w:color w:val="000000"/>
          <w:highlight w:val="none"/>
        </w:rPr>
        <w:t xml:space="preserve">4、</w:t>
      </w:r>
      <w:r>
        <w:rPr>
          <w:rFonts w:hint="eastAsia" w:ascii="宋体" w:hAnsi="宋体"/>
          <w:b/>
          <w:color w:val="000000"/>
          <w:szCs w:val="21"/>
          <w:highlight w:val="none"/>
        </w:rPr>
        <w:t xml:space="preserve">投标</w:t>
      </w:r>
      <w:r>
        <w:rPr>
          <w:rFonts w:hint="eastAsia"/>
          <w:b/>
          <w:bCs/>
          <w:color w:val="000000"/>
          <w:highlight w:val="none"/>
        </w:rPr>
        <w:t xml:space="preserve">费用</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4.1 </w:t>
      </w:r>
      <w:r>
        <w:rPr>
          <w:color w:val="000000"/>
          <w:highlight w:val="none"/>
        </w:rPr>
        <w:t xml:space="preserve">投标人应自行承担所有与参加投标有关的费用，无论投标过程中的做法和结果如 何，代理机构在任何情况下均无义务和责任承担这些费用。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4.2</w:t>
      </w:r>
      <w:bookmarkStart w:id="15" w:name="_Hlk115095815"/>
      <w:r>
        <w:rPr>
          <w:color w:val="000000"/>
          <w:highlight w:val="none"/>
        </w:rPr>
        <w:t xml:space="preserve">本次采购</w:t>
      </w:r>
      <w:r>
        <w:rPr>
          <w:rFonts w:ascii="Times New Roman" w:hAnsi="Times New Roman" w:eastAsia="宋体" w:cs="Times New Roman"/>
          <w:color w:val="000000"/>
          <w:highlight w:val="none"/>
        </w:rPr>
        <w:t xml:space="preserve">由</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在领取</w:t>
      </w:r>
      <w:r>
        <w:rPr>
          <w:rFonts w:hint="eastAsia" w:ascii="Times New Roman" w:hAnsi="Times New Roman" w:eastAsia="宋体" w:cs="Times New Roman"/>
          <w:color w:val="000000"/>
          <w:highlight w:val="none"/>
          <w:lang w:val="en-US" w:eastAsia="zh-CN"/>
        </w:rPr>
        <w:t xml:space="preserve">中标</w:t>
      </w:r>
      <w:r>
        <w:rPr>
          <w:rFonts w:ascii="Times New Roman" w:hAnsi="Times New Roman" w:eastAsia="宋体" w:cs="Times New Roman"/>
          <w:color w:val="000000"/>
          <w:highlight w:val="none"/>
        </w:rPr>
        <w:t xml:space="preserve">通知书前</w:t>
      </w:r>
      <w:r>
        <w:rPr>
          <w:rFonts w:hint="eastAsia" w:ascii="Times New Roman" w:hAnsi="Times New Roman" w:eastAsia="宋体" w:cs="Times New Roman"/>
          <w:color w:val="000000"/>
          <w:highlight w:val="none"/>
          <w:lang w:eastAsia="zh-CN"/>
        </w:rPr>
        <w:t xml:space="preserve">参照</w:t>
      </w:r>
      <w:r>
        <w:rPr>
          <w:rFonts w:hint="eastAsia" w:ascii="Times New Roman" w:hAnsi="Times New Roman" w:eastAsia="宋体" w:cs="Times New Roman"/>
          <w:color w:val="000000"/>
          <w:highlight w:val="none"/>
        </w:rPr>
        <w:t xml:space="preserve">原国家计委印发的《招标代理服务收费管理暂行办法》(计价格【2002】1980号文)</w:t>
      </w:r>
      <w:r>
        <w:rPr>
          <w:rFonts w:hint="eastAsia" w:ascii="Times New Roman" w:hAnsi="Times New Roman" w:eastAsia="宋体" w:cs="Times New Roman"/>
          <w:color w:val="000000"/>
          <w:highlight w:val="none"/>
          <w:lang w:val="en-US" w:eastAsia="zh-CN"/>
        </w:rPr>
        <w:t xml:space="preserve">货物</w:t>
      </w:r>
      <w:r>
        <w:rPr>
          <w:rFonts w:hint="eastAsia" w:ascii="Times New Roman" w:hAnsi="Times New Roman" w:eastAsia="宋体" w:cs="Times New Roman"/>
          <w:color w:val="000000"/>
          <w:highlight w:val="none"/>
          <w:lang w:eastAsia="zh-CN"/>
        </w:rPr>
        <w:t xml:space="preserve">类</w:t>
      </w:r>
      <w:r>
        <w:rPr>
          <w:rFonts w:hint="eastAsia" w:ascii="Times New Roman" w:hAnsi="Times New Roman" w:eastAsia="宋体" w:cs="Times New Roman"/>
          <w:color w:val="000000"/>
          <w:highlight w:val="none"/>
        </w:rPr>
        <w:t xml:space="preserve">标准一次性支付给代理机构代理服务费。</w:t>
      </w:r>
      <w:r>
        <w:rPr>
          <w:rFonts w:ascii="Times New Roman" w:hAnsi="Times New Roman" w:eastAsia="宋体" w:cs="Times New Roman"/>
          <w:color w:val="000000"/>
          <w:highlight w:val="none"/>
        </w:rPr>
        <w:t xml:space="preserve"> </w:t>
      </w:r>
      <w:r>
        <w:rPr>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（1）代理服务费以人民币支付；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（2）代理服务费一次性以电汇、转账等非现金形式支付；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（3）招标代理服务费不在投标报价中单列，包含在投标总价中，由</w:t>
      </w:r>
      <w:r>
        <w:rPr>
          <w:rFonts w:hint="eastAsia" w:ascii="Times New Roman" w:hAnsi="Times New Roman" w:eastAsia="宋体" w:cs="Times New Roman"/>
          <w:color w:val="000000"/>
          <w:highlight w:val="none"/>
        </w:rPr>
        <w:t xml:space="preserve">中标人</w:t>
      </w:r>
      <w:r>
        <w:rPr>
          <w:rFonts w:ascii="Times New Roman" w:hAnsi="Times New Roman" w:eastAsia="宋体" w:cs="Times New Roman"/>
          <w:color w:val="000000"/>
          <w:highlight w:val="none"/>
        </w:rPr>
        <w:t xml:space="preserve">支付给代理机构。 </w:t>
      </w:r>
      <w:r>
        <w:rPr>
          <w:rFonts w:ascii="Times New Roman" w:hAnsi="Times New Roman" w:eastAsia="宋体" w:cs="Times New Roman"/>
          <w:color w:val="000000"/>
          <w:highlight w:val="none"/>
        </w:rPr>
      </w:r>
      <w:r/>
    </w:p>
    <w:p>
      <w:pPr>
        <w:pStyle w:val="754"/>
        <w:ind w:firstLine="420"/>
        <w:spacing w:line="360" w:lineRule="auto"/>
        <w:rPr>
          <w:rFonts w:hint="eastAsia" w:ascii="Times New Roman" w:hAnsi="Times New Roman" w:eastAsia="宋体" w:cs="Times New Roman"/>
          <w:color w:val="000000"/>
          <w:highlight w:val="none"/>
          <w:lang w:val="en-US" w:eastAsia="zh-CN"/>
        </w:rPr>
      </w:pPr>
      <w:r/>
      <w:bookmarkEnd w:id="15"/>
      <w:r>
        <w:rPr>
          <w:rFonts w:hint="eastAsia" w:ascii="Times New Roman" w:hAnsi="Times New Roman" w:eastAsia="宋体" w:cs="Times New Roman"/>
          <w:color w:val="000000"/>
          <w:highlight w:val="none"/>
          <w:lang w:val="en-US" w:eastAsia="zh-CN"/>
        </w:rPr>
        <w:t xml:space="preserve">公司名称：江苏志诚工程咨询管理有限公司扬州分公司</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收款开户银行：招商银行扬州邗江支行。</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收款账号：514902779610802</w:t>
      </w:r>
      <w:r>
        <w:rPr>
          <w:rFonts w:ascii="Times New Roman" w:hAnsi="Times New Roman" w:eastAsia="宋体" w:cs="Times New Roman"/>
          <w:color w:val="000000"/>
          <w:highlight w:val="none"/>
        </w:rPr>
      </w:r>
      <w:r/>
    </w:p>
    <w:p>
      <w:pPr>
        <w:pStyle w:val="754"/>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t xml:space="preserve">。</w:t>
      </w:r>
      <w:r>
        <w:rPr>
          <w:rFonts w:hint="eastAsia"/>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5、</w:t>
      </w:r>
      <w:r>
        <w:rPr>
          <w:rFonts w:hint="eastAsia" w:ascii="宋体" w:hAnsi="宋体"/>
          <w:b/>
          <w:color w:val="000000"/>
          <w:szCs w:val="21"/>
          <w:highlight w:val="none"/>
        </w:rPr>
        <w:t xml:space="preserve">招标</w:t>
      </w:r>
      <w:r>
        <w:rPr>
          <w:rFonts w:hint="eastAsia"/>
          <w:b/>
          <w:bCs/>
          <w:color w:val="000000"/>
          <w:highlight w:val="none"/>
        </w:rPr>
        <w:t xml:space="preserve">文件的约束力</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5.1 </w:t>
      </w:r>
      <w:r>
        <w:rPr>
          <w:rFonts w:hint="eastAsia" w:ascii="宋体" w:hAnsi="宋体"/>
          <w:bCs/>
          <w:color w:val="000000"/>
          <w:szCs w:val="21"/>
          <w:highlight w:val="none"/>
        </w:rPr>
        <w:t xml:space="preserve">投标人一旦参加本项目采购活动，即被认为接受了本招标文件的规定和约束。</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6、</w:t>
      </w:r>
      <w:r>
        <w:rPr>
          <w:rFonts w:hint="eastAsia" w:ascii="宋体" w:hAnsi="宋体"/>
          <w:b/>
          <w:color w:val="000000"/>
          <w:szCs w:val="21"/>
          <w:highlight w:val="none"/>
        </w:rPr>
        <w:t xml:space="preserve">招标</w:t>
      </w:r>
      <w:r>
        <w:rPr>
          <w:rFonts w:hint="eastAsia"/>
          <w:b/>
          <w:bCs/>
          <w:color w:val="000000"/>
          <w:highlight w:val="none"/>
        </w:rPr>
        <w:t xml:space="preserve">文件构成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6.1 招标文件有以下部分组成：</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请仔细检查采购文件是否齐全，如有缺漏请立即与代理机构联系解决。</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6.2 </w:t>
      </w:r>
      <w:r>
        <w:rPr>
          <w:rFonts w:hint="eastAsia" w:ascii="宋体" w:hAnsi="宋体"/>
          <w:bCs/>
          <w:color w:val="000000"/>
          <w:szCs w:val="21"/>
          <w:highlight w:val="none"/>
        </w:rPr>
        <w:t xml:space="preserve">招标</w:t>
      </w:r>
      <w:r>
        <w:rPr>
          <w:rFonts w:hint="eastAsia"/>
          <w:color w:val="000000"/>
          <w:highlight w:val="none"/>
        </w:rPr>
        <w:t xml:space="preserve">的最小单位是包。</w:t>
      </w:r>
      <w:r>
        <w:rPr>
          <w:rFonts w:hint="eastAsia" w:ascii="宋体" w:hAnsi="宋体"/>
          <w:bCs/>
          <w:color w:val="000000"/>
          <w:szCs w:val="21"/>
          <w:highlight w:val="none"/>
        </w:rPr>
        <w:t xml:space="preserve">招标货物</w:t>
      </w:r>
      <w:r>
        <w:rPr>
          <w:rFonts w:hint="eastAsia"/>
          <w:color w:val="000000"/>
          <w:highlight w:val="none"/>
        </w:rPr>
        <w:t xml:space="preserve">数量及技术要求中未分包的，供应商对要求提供的服务不得部分响应；</w:t>
      </w:r>
      <w:r>
        <w:rPr>
          <w:rFonts w:hint="eastAsia" w:ascii="宋体" w:hAnsi="宋体"/>
          <w:bCs/>
          <w:color w:val="000000"/>
          <w:szCs w:val="21"/>
          <w:highlight w:val="none"/>
        </w:rPr>
        <w:t xml:space="preserve">招标货物</w:t>
      </w:r>
      <w:r>
        <w:rPr>
          <w:rFonts w:hint="eastAsia"/>
          <w:color w:val="000000"/>
          <w:highlight w:val="none"/>
        </w:rPr>
        <w:t xml:space="preserve">数量及技术要求中已经分包的，应当以包为单位投标。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6.3 </w:t>
      </w:r>
      <w:r>
        <w:rPr>
          <w:rFonts w:hint="eastAsia" w:ascii="宋体" w:hAnsi="宋体"/>
          <w:bCs/>
          <w:color w:val="000000"/>
          <w:szCs w:val="21"/>
          <w:highlight w:val="none"/>
        </w:rPr>
        <w:t xml:space="preserve">招标</w:t>
      </w:r>
      <w:r>
        <w:rPr>
          <w:rFonts w:hint="eastAsia"/>
          <w:color w:val="000000"/>
          <w:highlight w:val="none"/>
        </w:rPr>
        <w:t xml:space="preserve">文件如果要求供应商提交备选投标方案的，供应商可以提交备选方案；否则，备选方案将被拒绝。</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6.4 </w:t>
      </w:r>
      <w:r>
        <w:rPr>
          <w:rFonts w:hint="eastAsia" w:ascii="宋体" w:hAnsi="宋体"/>
          <w:bCs/>
          <w:color w:val="000000"/>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7、</w:t>
      </w:r>
      <w:r>
        <w:rPr>
          <w:rFonts w:hint="eastAsia" w:ascii="宋体" w:hAnsi="宋体"/>
          <w:b/>
          <w:color w:val="000000"/>
          <w:szCs w:val="21"/>
          <w:highlight w:val="none"/>
        </w:rPr>
        <w:t xml:space="preserve">招标</w:t>
      </w:r>
      <w:r>
        <w:rPr>
          <w:rFonts w:hint="eastAsia"/>
          <w:b/>
          <w:bCs/>
          <w:color w:val="000000"/>
          <w:highlight w:val="none"/>
        </w:rPr>
        <w:t xml:space="preserve">文件的澄清</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7.1</w:t>
      </w:r>
      <w:r>
        <w:rPr>
          <w:rFonts w:hint="eastAsia" w:ascii="宋体" w:hAnsi="宋体"/>
          <w:bCs/>
          <w:color w:val="000000"/>
          <w:szCs w:val="21"/>
          <w:highlight w:val="none"/>
        </w:rPr>
        <w:t xml:space="preserve"> 任何要求对招标文件进行澄清的投标人，应在投标截止日期的十日前按招标公告中的通讯地址，以书面形式通知代理机构。</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8、</w:t>
      </w:r>
      <w:r>
        <w:rPr>
          <w:rFonts w:hint="eastAsia" w:ascii="宋体" w:hAnsi="宋体"/>
          <w:b/>
          <w:color w:val="000000"/>
          <w:szCs w:val="21"/>
          <w:highlight w:val="none"/>
        </w:rPr>
        <w:t xml:space="preserve">招标</w:t>
      </w:r>
      <w:r>
        <w:rPr>
          <w:rFonts w:hint="eastAsia"/>
          <w:b/>
          <w:bCs/>
          <w:color w:val="000000"/>
          <w:highlight w:val="none"/>
        </w:rPr>
        <w:t xml:space="preserve">文件的修改</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“江苏政府采购网、扬州市政府采购网、扬州市邗江区政府采购网”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9、招标文件的语言、度量衡单位、货币</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9.1</w:t>
      </w:r>
      <w:r>
        <w:rPr>
          <w:rFonts w:hint="eastAsia" w:ascii="宋体" w:hAnsi="宋体"/>
          <w:bCs/>
          <w:color w:val="000000"/>
          <w:szCs w:val="21"/>
          <w:highlight w:val="none"/>
        </w:rPr>
        <w:t xml:space="preserve">投标人提交的投标文件以及投标人与代理机构就有关投标的所有来往通知、函件和文件均应使用简体中文。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9.2 除技术性能另有规定外，采购文件所使用的度量衡单位，均须采用国家法定计量单位。</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9.3招标文件中的服务单价和总价无特殊规定的采用人民币报价，以元为单位标注。招标文件中另有规定的按规定执行。</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10、投标文件构成</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投标文件由以下部分组成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（2）符合性审查响应对照表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（3）开标一览表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w:t>
      </w:r>
      <w:r>
        <w:rPr>
          <w:rFonts w:hint="eastAsia" w:ascii="宋体" w:hAnsi="宋体"/>
          <w:color w:val="000000"/>
          <w:szCs w:val="21"/>
          <w:highlight w:val="none"/>
        </w:rPr>
        <w:t xml:space="preserve">投标产品配置及分项报价表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（5）技术参数响应及偏离表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（6）商务条款响应及偏离表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（7）其他（供应商认为有必要提供的声明和文件，如有自拟并自行添加）</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10.2 </w:t>
      </w:r>
      <w:r>
        <w:rPr>
          <w:rFonts w:hint="eastAsia" w:ascii="宋体" w:hAnsi="宋体"/>
          <w:bCs/>
          <w:color w:val="000000"/>
          <w:szCs w:val="21"/>
          <w:highlight w:val="none"/>
        </w:rPr>
        <w:t xml:space="preserve">投标人应当根据招标文件要求编制投标文件，投标文件应对招标文件提出的要求和条件作出响应，并在相应的投标文件中逐条标明满足与否。</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754"/>
        <w:spacing w:line="360" w:lineRule="auto"/>
        <w:rPr>
          <w:color w:val="000000"/>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12、投标配置与分项报价表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12.2 标的物</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招标人</w:t>
      </w:r>
      <w:r>
        <w:rPr>
          <w:rFonts w:hint="eastAsia" w:ascii="宋体" w:hAnsi="宋体"/>
          <w:bCs/>
          <w:color w:val="000000"/>
          <w:szCs w:val="21"/>
          <w:highlight w:val="none"/>
        </w:rPr>
        <w:t xml:space="preserve">需求的服务供应、安装，调试及有关技术服务等。</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12.4其它费用处理</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招标文件未列明，而投标人认为必需的费用也需列入报价。</w:t>
      </w:r>
      <w:r>
        <w:rPr>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12.5投标货币</w:t>
      </w:r>
      <w:r>
        <w:rPr>
          <w:rFonts w:ascii="宋体" w:hAnsi="宋体"/>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投标文件中的货物单价和总价无特殊规定的采用人民币报价，以元为单位标注。招标文件中另有规定的按规定执行。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12.6 投标配置与分项报价表上的价格应按下列方式分开填写：</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12.2项目单价按投标配置及分项报价表中要求填报。</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13.4 详细阐述所投货物的主要组成部分、功能设计、实现思路及关键技术；</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13.5 投标人认为需要的其他技术文件或说明。</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color w:val="000000"/>
          <w:highlight w:val="none"/>
        </w:rPr>
      </w:r>
      <w:r/>
    </w:p>
    <w:p>
      <w:pPr>
        <w:pStyle w:val="754"/>
        <w:ind w:firstLine="422"/>
        <w:spacing w:line="360" w:lineRule="auto"/>
        <w:rPr>
          <w:rFonts w:ascii="宋体" w:hAnsi="宋体"/>
          <w:b/>
          <w:color w:val="000000"/>
          <w:szCs w:val="21"/>
          <w:highlight w:val="none"/>
        </w:rPr>
      </w:pPr>
      <w:r/>
      <w:bookmarkStart w:id="16" w:name="_Toc20823298"/>
      <w:r/>
      <w:bookmarkStart w:id="17" w:name="_Toc16938542"/>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w:t>
      </w:r>
      <w:r>
        <w:rPr>
          <w:rFonts w:hint="eastAsia" w:ascii="宋体" w:hAnsi="宋体"/>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18" w:name="_Toc16938541"/>
      <w:r/>
      <w:bookmarkStart w:id="19" w:name="_Toc20823297"/>
      <w:r/>
      <w:bookmarkStart w:id="20" w:name="_Toc462564084"/>
      <w:r/>
      <w:bookmarkStart w:id="21" w:name="_Toc513029225"/>
      <w:r>
        <w:rPr>
          <w:rFonts w:hint="eastAsia" w:ascii="宋体" w:hAnsi="宋体"/>
          <w:b/>
          <w:color w:val="000000"/>
          <w:szCs w:val="21"/>
          <w:highlight w:val="none"/>
        </w:rPr>
        <w:t xml:space="preserve">17、投标文件</w:t>
      </w:r>
      <w:bookmarkEnd w:id="18"/>
      <w:r/>
      <w:bookmarkEnd w:id="19"/>
      <w:r/>
      <w:bookmarkEnd w:id="20"/>
      <w:r/>
      <w:bookmarkEnd w:id="2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color w:val="000000"/>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17.7各供应商应在规定时间内凭CA证书进行网上解密。</w:t>
      </w:r>
      <w:bookmarkEnd w:id="16"/>
      <w:r/>
      <w:bookmarkEnd w:id="17"/>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r>
        <w:rPr>
          <w:rFonts w:ascii="宋体" w:hAnsi="宋体"/>
          <w:b/>
          <w:color w:val="000000"/>
          <w:szCs w:val="21"/>
          <w:highlight w:val="none"/>
        </w:rPr>
      </w:r>
      <w:r/>
    </w:p>
    <w:p>
      <w:pPr>
        <w:pStyle w:val="754"/>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2" w:name="_Toc513029227"/>
      <w:r/>
      <w:bookmarkStart w:id="23" w:name="_Toc16938543"/>
      <w:r/>
      <w:bookmarkStart w:id="24" w:name="_Toc20823299"/>
      <w:r>
        <w:rPr>
          <w:rFonts w:hint="eastAsia" w:ascii="宋体" w:hAnsi="宋体"/>
          <w:b/>
          <w:color w:val="000000"/>
          <w:szCs w:val="21"/>
          <w:highlight w:val="none"/>
        </w:rPr>
        <w:t xml:space="preserve">19、投标文件</w:t>
      </w:r>
      <w:bookmarkEnd w:id="22"/>
      <w:r/>
      <w:bookmarkEnd w:id="23"/>
      <w:r/>
      <w:bookmarkEnd w:id="24"/>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5" w:name="_Toc20823300"/>
      <w:r/>
      <w:bookmarkStart w:id="26" w:name="_Toc513029228"/>
      <w:r/>
      <w:bookmarkStart w:id="27" w:name="_Toc16938544"/>
      <w:r>
        <w:rPr>
          <w:rFonts w:hint="eastAsia" w:ascii="宋体" w:hAnsi="宋体"/>
          <w:b/>
          <w:color w:val="000000"/>
          <w:szCs w:val="21"/>
          <w:highlight w:val="none"/>
        </w:rPr>
        <w:t xml:space="preserve">20、投标文件的撤回和修改</w:t>
      </w:r>
      <w:bookmarkEnd w:id="25"/>
      <w:r/>
      <w:bookmarkEnd w:id="26"/>
      <w:r/>
      <w:bookmarkEnd w:id="27"/>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25.8投标人在开、评标全过程中应保持通信畅通，并安排专人与代理机构及评委会联系。</w:t>
      </w:r>
      <w:r>
        <w:rPr>
          <w:rFonts w:hint="eastAsia" w:ascii="宋体" w:hAnsi="宋体"/>
          <w:bCs/>
          <w:color w:val="000000"/>
          <w:szCs w:val="21"/>
          <w:highlight w:val="none"/>
        </w:rPr>
      </w:r>
      <w:r/>
    </w:p>
    <w:p>
      <w:pPr>
        <w:pStyle w:val="754"/>
        <w:ind w:firstLine="420"/>
        <w:jc w:val="left"/>
        <w:spacing w:line="360" w:lineRule="auto"/>
        <w:rPr>
          <w:rFonts w:hint="eastAsia" w:ascii="宋体" w:hAnsi="宋体"/>
          <w:color w:val="000000"/>
          <w:highlight w:val="none"/>
        </w:rPr>
      </w:pPr>
      <w:r>
        <w:rPr>
          <w:rFonts w:hint="eastAsia" w:ascii="宋体" w:hAnsi="宋体"/>
          <w:bCs/>
          <w:color w:val="000000"/>
          <w:szCs w:val="21"/>
          <w:highlight w:val="none"/>
        </w:rPr>
        <w:t xml:space="preserve">25.9异常低价投标审查</w:t>
      </w:r>
      <w:r>
        <w:rPr>
          <w:rFonts w:hint="eastAsia" w:ascii="宋体" w:hAnsi="宋体"/>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25.9.1评标过程中出现下列情形之一的，评标委员会应当启动异常低价投标审查程序：</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3.投标（响应）报价低于采购项目最高限价45%的，即投标（响应）报价&lt;采购项目最高限价×45%；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4.评审委员会基于专业判断，认为供应商报价过低，有可能影响产品质量或者不能诚信履约的其他情形。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采购人可以结合具体项目实际情况，提高上述第1项至第3项中启动异常低价投标（响应）审查的数值标准，但是最高不得超过65%。</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highlight w:val="none"/>
        </w:rPr>
      </w:r>
      <w:r/>
    </w:p>
    <w:p>
      <w:pPr>
        <w:pStyle w:val="754"/>
        <w:ind w:firstLine="422"/>
        <w:jc w:val="left"/>
        <w:spacing w:line="360" w:lineRule="auto"/>
        <w:rPr>
          <w:rFonts w:ascii="宋体" w:hAnsi="宋体"/>
          <w:color w:val="000000"/>
          <w:highlight w:val="none"/>
        </w:rPr>
      </w:pPr>
      <w:r>
        <w:rPr>
          <w:rFonts w:hint="eastAsia" w:ascii="宋体" w:hAnsi="宋体"/>
          <w:b/>
          <w:bCs/>
          <w:color w:val="000000"/>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本项目采购产品被财政部、国家发改委、生态环境部等列入“节能产品品目清单”强制采购范围，而投标人所投标产品不在强制采购范围内的。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26.1.12投标文件未按照招标文件要求加盖电子签章。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26.2.2投标人的报价均超过采购预算或最高限价。</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26.2.3出现影响采购公正的违法、违规行为的。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26.2.4因重大变故，采购任务取消的。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26.2.5评委会认定招标文件存在歧义、重大缺陷导致评审工作无法进行。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27、确定中标人</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w:t>
      </w:r>
      <w:r>
        <w:rPr>
          <w:rFonts w:hint="eastAsia" w:ascii="宋体" w:hAnsi="宋体" w:eastAsia="宋体" w:cs="Times New Roman"/>
          <w:bCs/>
          <w:color w:val="000000"/>
          <w:szCs w:val="21"/>
          <w:highlight w:val="none"/>
        </w:rPr>
        <w:t xml:space="preserve">将在“江苏政府采购网、扬州市政府采购网</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扬州市邗江区政府采购网</w:t>
      </w:r>
      <w:r>
        <w:rPr>
          <w:rFonts w:hint="eastAsia" w:ascii="宋体" w:hAnsi="宋体" w:eastAsia="宋体" w:cs="Times New Roman"/>
          <w:bCs/>
          <w:color w:val="000000"/>
          <w:szCs w:val="21"/>
          <w:highlight w:val="none"/>
        </w:rPr>
        <w:t xml:space="preserve">”发布中</w:t>
      </w:r>
      <w:r>
        <w:rPr>
          <w:rFonts w:hint="eastAsia" w:ascii="宋体" w:hAnsi="宋体"/>
          <w:bCs/>
          <w:color w:val="000000"/>
          <w:szCs w:val="21"/>
          <w:highlight w:val="none"/>
        </w:rPr>
        <w:t xml:space="preserve">标公告，公告期限为1个工作日。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。未经采购人同意，中标人也不得采用分包的形式履行合同，否则采购人有权终止合同，中标人的履约保证金将不予退还。转包造成采购人损失的，中标人应承担赔偿责任。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754"/>
        <w:ind w:firstLine="420"/>
        <w:spacing w:line="360" w:lineRule="auto"/>
        <w:rPr>
          <w:b/>
          <w:bCs/>
          <w:color w:val="000000"/>
          <w:highlight w:val="none"/>
        </w:rPr>
      </w:pPr>
      <w:r>
        <w:rPr>
          <w:b/>
          <w:bCs/>
          <w:color w:val="000000"/>
          <w:highlight w:val="none"/>
        </w:rPr>
        <w:t xml:space="preserve">3</w:t>
      </w:r>
      <w:r>
        <w:rPr>
          <w:rFonts w:hint="eastAsia"/>
          <w:b/>
          <w:bCs/>
          <w:color w:val="000000"/>
          <w:highlight w:val="none"/>
        </w:rPr>
        <w:t xml:space="preserve">1其他</w:t>
      </w:r>
      <w:r>
        <w:rPr>
          <w:b/>
          <w:bCs/>
          <w:color w:val="000000"/>
          <w:highlight w:val="none"/>
        </w:rPr>
      </w:r>
      <w:r/>
    </w:p>
    <w:p>
      <w:pPr>
        <w:pStyle w:val="754"/>
        <w:ind w:firstLine="420"/>
        <w:spacing w:line="360" w:lineRule="auto"/>
        <w:rPr>
          <w:color w:val="000000"/>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color w:val="000000"/>
          <w:highlight w:val="none"/>
        </w:rPr>
      </w:r>
      <w:r/>
    </w:p>
    <w:p>
      <w:pPr>
        <w:pStyle w:val="754"/>
        <w:jc w:val="center"/>
        <w:spacing w:line="360" w:lineRule="auto"/>
        <w:rPr>
          <w:rFonts w:ascii="宋体" w:hAnsi="宋体"/>
          <w:b/>
          <w:color w:val="000000"/>
          <w:sz w:val="44"/>
          <w:szCs w:val="44"/>
          <w:highlight w:val="none"/>
        </w:rPr>
      </w:pPr>
      <w:r>
        <w:rPr>
          <w:color w:val="000000"/>
          <w:highlight w:val="none"/>
        </w:rPr>
        <w:br w:type="page" w:clear="all"/>
      </w:r>
      <w:bookmarkStart w:id="28" w:name="_Toc109304973"/>
      <w:r>
        <w:rPr>
          <w:rFonts w:hint="eastAsia" w:ascii="宋体" w:hAnsi="宋体"/>
          <w:b/>
          <w:color w:val="000000"/>
          <w:sz w:val="44"/>
          <w:szCs w:val="44"/>
          <w:highlight w:val="none"/>
        </w:rPr>
        <w:t xml:space="preserve">第三章 合同条款及格式</w:t>
      </w:r>
      <w:bookmarkEnd w:id="28"/>
      <w:r>
        <w:rPr>
          <w:rFonts w:ascii="宋体" w:hAnsi="宋体"/>
          <w:b/>
          <w:color w:val="000000"/>
          <w:sz w:val="44"/>
          <w:szCs w:val="44"/>
          <w:highlight w:val="none"/>
        </w:rPr>
      </w:r>
      <w:r/>
    </w:p>
    <w:p>
      <w:pPr>
        <w:pStyle w:val="960"/>
        <w:ind w:firstLine="420"/>
        <w:spacing w:before="120" w:after="120" w:line="360" w:lineRule="auto"/>
        <w:rPr>
          <w:rFonts w:hAnsi="宋体"/>
          <w:color w:val="000000"/>
          <w:sz w:val="21"/>
          <w:szCs w:val="21"/>
          <w:highlight w:val="none"/>
          <w:lang w:eastAsia="zh-CN"/>
        </w:rPr>
      </w:pPr>
      <w:r>
        <w:rPr>
          <w:rFonts w:hint="eastAsia" w:hAnsi="宋体"/>
          <w:color w:val="000000"/>
          <w:sz w:val="21"/>
          <w:highlight w:val="none"/>
          <w:lang w:eastAsia="zh-CN"/>
        </w:rPr>
        <w:t xml:space="preserve">以下为中标后签定本项目合同的通用条款，中标人不得提出实质性的修改，关于专用条款将由采购人与中标人结合本项目具体情况协商后签订。</w:t>
      </w:r>
      <w:r>
        <w:rPr>
          <w:rFonts w:hAnsi="宋体"/>
          <w:color w:val="000000"/>
          <w:sz w:val="21"/>
          <w:szCs w:val="21"/>
          <w:highlight w:val="none"/>
          <w:lang w:eastAsia="zh-CN"/>
        </w:rPr>
      </w:r>
      <w:r/>
    </w:p>
    <w:p>
      <w:pPr>
        <w:pStyle w:val="962"/>
        <w:ind w:firstLine="0"/>
        <w:jc w:val="center"/>
        <w:rPr>
          <w:rFonts w:hint="eastAsia" w:ascii="方正小标宋简体" w:hAnsi="方正小标宋简体" w:eastAsia="方正小标宋简体" w:cs="方正小标宋简体"/>
          <w:b w:val="0"/>
          <w:bCs w:val="0"/>
          <w:color w:val="000000"/>
          <w:sz w:val="44"/>
          <w:szCs w:val="44"/>
          <w:highlight w:val="none"/>
        </w:rPr>
      </w:pPr>
      <w:r>
        <w:rPr>
          <w:rFonts w:hint="eastAsia" w:ascii="方正小标宋简体" w:hAnsi="方正小标宋简体" w:eastAsia="方正小标宋简体" w:cs="方正小标宋简体"/>
          <w:b w:val="0"/>
          <w:bCs w:val="0"/>
          <w:color w:val="000000"/>
          <w:sz w:val="44"/>
          <w:szCs w:val="52"/>
          <w:highlight w:val="none"/>
        </w:rPr>
      </w:r>
      <w:r>
        <w:rPr>
          <w:rFonts w:hint="eastAsia" w:ascii="方正小标宋简体" w:hAnsi="方正小标宋简体" w:eastAsia="方正小标宋简体" w:cs="方正小标宋简体"/>
          <w:b w:val="0"/>
          <w:bCs w:val="0"/>
          <w:color w:val="000000"/>
          <w:sz w:val="44"/>
          <w:szCs w:val="52"/>
          <w:highlight w:val="none"/>
        </w:rPr>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江苏省扬州技师学院中西式面点</w:t>
      </w:r>
      <w:r/>
    </w:p>
    <w:p>
      <w:pPr>
        <w:ind w:left="0" w:right="0" w:firstLine="0"/>
        <w:jc w:val="center"/>
        <w:spacing w:before="0" w:after="0"/>
        <w:tabs>
          <w:tab w:val="left" w:pos="630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实训室采购</w:t>
      </w:r>
      <w:r>
        <w:rPr>
          <w:sz w:val="21"/>
        </w:rPr>
      </w:r>
      <w:r/>
    </w:p>
    <w:p>
      <w:pPr>
        <w:ind w:left="0" w:right="0" w:firstLine="0"/>
        <w:jc w:val="center"/>
        <w:spacing w:before="0" w:after="0"/>
        <w:tabs>
          <w:tab w:val="left" w:pos="6300" w:leader="none"/>
        </w:tabs>
        <w:rPr>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754"/>
        <w:jc w:val="center"/>
        <w:tabs>
          <w:tab w:val="left" w:pos="6300" w:leader="none"/>
        </w:tabs>
        <w:rPr>
          <w:rFonts w:cs="仿宋"/>
          <w:b/>
          <w:bCs/>
          <w:color w:val="000000"/>
          <w:sz w:val="72"/>
          <w:szCs w:val="72"/>
          <w:highlight w:val="none"/>
        </w:rPr>
      </w:pPr>
      <w:r>
        <w:rPr>
          <w:rFonts w:cs="仿宋"/>
          <w:b/>
          <w:bCs/>
          <w:color w:val="000000"/>
          <w:sz w:val="72"/>
          <w:szCs w:val="72"/>
          <w:highlight w:val="none"/>
        </w:rPr>
      </w:r>
      <w:r/>
    </w:p>
    <w:p>
      <w:pPr>
        <w:pStyle w:val="962"/>
        <w:ind w:firstLine="0"/>
        <w:jc w:val="center"/>
        <w:rPr>
          <w:rFonts w:ascii="Times New Roman" w:hAnsi="Times New Roman" w:eastAsia="宋体" w:cs="仿宋"/>
          <w:b/>
          <w:bCs/>
          <w:color w:val="000000"/>
          <w:sz w:val="32"/>
          <w:highlight w:val="none"/>
        </w:rPr>
      </w:pPr>
      <w:r>
        <w:rPr>
          <w:rFonts w:hint="eastAsia" w:ascii="Times New Roman" w:hAnsi="Times New Roman" w:eastAsia="宋体" w:cs="仿宋"/>
          <w:b/>
          <w:bCs/>
          <w:color w:val="000000"/>
          <w:sz w:val="72"/>
          <w:szCs w:val="72"/>
          <w:highlight w:val="none"/>
        </w:rPr>
        <w:t xml:space="preserve">采购合同</w:t>
      </w:r>
      <w:r>
        <w:rPr>
          <w:rFonts w:ascii="Times New Roman" w:hAnsi="Times New Roman" w:eastAsia="宋体" w:cs="仿宋"/>
          <w:b/>
          <w:bCs/>
          <w:color w:val="000000"/>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hint="eastAsia" w:ascii="Times New Roman" w:hAnsi="Times New Roman" w:eastAsia="宋体" w:cs="仿宋"/>
          <w:b/>
          <w:bCs/>
          <w:sz w:val="32"/>
          <w:highlight w:val="none"/>
        </w:rPr>
      </w:pPr>
      <w:r>
        <w:rPr>
          <w:rFonts w:hint="eastAsia" w:ascii="Times New Roman" w:hAnsi="Times New Roman" w:eastAsia="宋体" w:cs="仿宋"/>
          <w:b/>
          <w:bCs/>
          <w:sz w:val="32"/>
          <w:highlight w:val="none"/>
        </w:rPr>
        <w:t xml:space="preserve">项目</w:t>
      </w:r>
      <w:r>
        <w:rPr>
          <w:rFonts w:hint="eastAsia" w:ascii="Times New Roman" w:hAnsi="Times New Roman" w:eastAsia="宋体" w:cs="仿宋"/>
          <w:b/>
          <w:bCs/>
          <w:sz w:val="32"/>
          <w:highlight w:val="none"/>
        </w:rPr>
        <w:t xml:space="preserve">编号：JSZC-321000-JSZC-G2026-0035</w:t>
      </w:r>
      <w:r>
        <w:rPr>
          <w:rFonts w:hint="eastAsia" w:ascii="Times New Roman" w:hAnsi="Times New Roman" w:eastAsia="宋体" w:cs="仿宋"/>
          <w:b/>
          <w:bCs/>
          <w:sz w:val="32"/>
          <w:highlight w:val="none"/>
        </w:rPr>
      </w:r>
      <w:r/>
    </w:p>
    <w:p>
      <w:pPr>
        <w:pStyle w:val="754"/>
        <w:jc w:val="center"/>
        <w:tabs>
          <w:tab w:val="left" w:pos="6300" w:leader="none"/>
        </w:tabs>
        <w:rPr>
          <w:rFonts w:cs="仿宋"/>
          <w:b/>
          <w:color w:val="000000"/>
          <w:sz w:val="52"/>
          <w:szCs w:val="44"/>
          <w:highlight w:val="none"/>
        </w:rPr>
      </w:pPr>
      <w:r>
        <w:rPr>
          <w:rFonts w:cs="仿宋"/>
          <w:b/>
          <w:color w:val="000000"/>
          <w:sz w:val="52"/>
          <w:szCs w:val="44"/>
          <w:highlight w:val="none"/>
        </w:rPr>
      </w:r>
      <w:r/>
    </w:p>
    <w:p>
      <w:pPr>
        <w:pStyle w:val="754"/>
        <w:jc w:val="left"/>
        <w:tabs>
          <w:tab w:val="left" w:pos="6300" w:leader="none"/>
        </w:tabs>
        <w:rPr>
          <w:rFonts w:hint="eastAsia" w:cs="仿宋"/>
          <w:b/>
          <w:color w:val="000000"/>
          <w:sz w:val="44"/>
          <w:szCs w:val="44"/>
          <w:highlight w:val="none"/>
        </w:rPr>
      </w:pPr>
      <w:r>
        <w:rPr>
          <w:rFonts w:hint="eastAsia" w:cs="仿宋"/>
          <w:b/>
          <w:color w:val="000000"/>
          <w:sz w:val="44"/>
          <w:szCs w:val="44"/>
          <w:highlight w:val="none"/>
        </w:rPr>
      </w:r>
      <w:r/>
    </w:p>
    <w:p>
      <w:pPr>
        <w:pStyle w:val="754"/>
        <w:jc w:val="center"/>
        <w:rPr>
          <w:rFonts w:cs="仿宋"/>
          <w:b/>
          <w:color w:val="000000"/>
          <w:sz w:val="44"/>
          <w:szCs w:val="44"/>
          <w:highlight w:val="none"/>
        </w:rPr>
      </w:pPr>
      <w:r>
        <w:rPr>
          <w:rFonts w:cs="仿宋"/>
          <w:b/>
          <w:color w:val="000000"/>
          <w:sz w:val="44"/>
          <w:szCs w:val="44"/>
          <w:highlight w:val="none"/>
        </w:rPr>
      </w:r>
      <w:r/>
    </w:p>
    <w:p>
      <w:pPr>
        <w:pStyle w:val="754"/>
        <w:ind w:left="1050" w:firstLine="273"/>
        <w:rPr>
          <w:rFonts w:cs="仿宋"/>
          <w:b/>
          <w:color w:val="000000"/>
          <w:sz w:val="32"/>
          <w:szCs w:val="32"/>
          <w:highlight w:val="none"/>
        </w:rPr>
      </w:pPr>
      <w:r>
        <w:rPr>
          <w:rFonts w:hint="eastAsia" w:cs="仿宋"/>
          <w:b/>
          <w:color w:val="000000"/>
          <w:sz w:val="32"/>
          <w:szCs w:val="32"/>
          <w:highlight w:val="none"/>
        </w:rPr>
        <w:t xml:space="preserve">甲  方：江苏省扬州技师学院</w:t>
      </w:r>
      <w:r>
        <w:rPr>
          <w:rFonts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t xml:space="preserve">乙  方：</w:t>
      </w:r>
      <w:r>
        <w:rPr>
          <w:rFonts w:hint="eastAsia" w:cs="仿宋"/>
          <w:b/>
          <w:color w:val="000000"/>
          <w:sz w:val="32"/>
          <w:szCs w:val="32"/>
          <w:highlight w:val="none"/>
        </w:rPr>
      </w:r>
      <w:r/>
    </w:p>
    <w:p>
      <w:pPr>
        <w:pStyle w:val="754"/>
        <w:ind w:left="1050" w:firstLine="273"/>
        <w:rPr>
          <w:rFonts w:eastAsia="宋体" w:cs="仿宋"/>
          <w:b/>
          <w:color w:val="000000"/>
          <w:sz w:val="32"/>
          <w:szCs w:val="32"/>
          <w:highlight w:val="none"/>
          <w:lang w:val="en-US" w:eastAsia="zh-CN"/>
        </w:rPr>
      </w:pPr>
      <w:r>
        <w:rPr>
          <w:rFonts w:hint="eastAsia" w:cs="仿宋"/>
          <w:b/>
          <w:color w:val="000000"/>
          <w:sz w:val="32"/>
          <w:szCs w:val="32"/>
          <w:highlight w:val="none"/>
        </w:rPr>
        <w:t xml:space="preserve">见证方：</w:t>
      </w:r>
      <w:r>
        <w:rPr>
          <w:rFonts w:hint="eastAsia" w:cs="仿宋"/>
          <w:b/>
          <w:color w:val="000000"/>
          <w:sz w:val="32"/>
          <w:szCs w:val="32"/>
          <w:highlight w:val="none"/>
          <w:lang w:val="en-US" w:eastAsia="zh-CN"/>
        </w:rPr>
        <w:t xml:space="preserve">江苏志诚工程咨询管理有限公司</w:t>
      </w:r>
      <w:r>
        <w:rPr>
          <w:rFonts w:eastAsia="宋体" w:cs="仿宋"/>
          <w:b/>
          <w:color w:val="000000"/>
          <w:sz w:val="32"/>
          <w:szCs w:val="32"/>
          <w:highlight w:val="none"/>
          <w:lang w:val="en-US" w:eastAsia="zh-CN"/>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98"/>
        <w:ind w:left="1050" w:firstLine="0"/>
        <w:spacing w:before="0" w:beforeAutospacing="0" w:after="0" w:afterAutospacing="0"/>
        <w:widowControl w:val="off"/>
        <w:rPr>
          <w:rFonts w:ascii="Times New Roman" w:hAnsi="Times New Roman" w:eastAsia="宋体" w:cs="仿宋"/>
          <w:b/>
          <w:color w:val="000000"/>
          <w:sz w:val="32"/>
          <w:szCs w:val="32"/>
          <w:highlight w:val="none"/>
        </w:rPr>
      </w:pPr>
      <w:r>
        <w:rPr>
          <w:rFonts w:hint="eastAsia" w:ascii="Times New Roman" w:hAnsi="Times New Roman" w:eastAsia="宋体" w:cs="仿宋"/>
          <w:b/>
          <w:color w:val="000000"/>
          <w:sz w:val="32"/>
          <w:szCs w:val="32"/>
          <w:highlight w:val="none"/>
        </w:rPr>
        <w:t xml:space="preserve">  日  期：202</w:t>
      </w:r>
      <w:r>
        <w:rPr>
          <w:rFonts w:hint="eastAsia" w:ascii="Times New Roman" w:hAnsi="Times New Roman" w:eastAsia="宋体" w:cs="仿宋"/>
          <w:b/>
          <w:color w:val="000000"/>
          <w:sz w:val="32"/>
          <w:szCs w:val="32"/>
          <w:highlight w:val="none"/>
          <w:lang w:val="en-US" w:eastAsia="zh-CN"/>
        </w:rPr>
        <w:t xml:space="preserve">6</w:t>
      </w:r>
      <w:r>
        <w:rPr>
          <w:rFonts w:hint="eastAsia" w:ascii="Times New Roman" w:hAnsi="Times New Roman" w:eastAsia="宋体" w:cs="仿宋"/>
          <w:b/>
          <w:color w:val="000000"/>
          <w:sz w:val="32"/>
          <w:szCs w:val="32"/>
          <w:highlight w:val="none"/>
        </w:rPr>
        <w:t xml:space="preserve">年   月   日</w:t>
      </w:r>
      <w:r>
        <w:rPr>
          <w:rFonts w:ascii="Times New Roman" w:hAnsi="Times New Roman" w:eastAsia="宋体" w:cs="仿宋"/>
          <w:b/>
          <w:color w:val="000000"/>
          <w:sz w:val="32"/>
          <w:szCs w:val="32"/>
          <w:highlight w:val="none"/>
        </w:rPr>
      </w:r>
      <w:r/>
    </w:p>
    <w:p>
      <w:pPr>
        <w:pStyle w:val="754"/>
        <w:jc w:val="both"/>
        <w:rPr>
          <w:rFonts w:hint="eastAsia" w:ascii="方正小标宋简体" w:hAnsi="方正小标宋简体" w:eastAsia="方正小标宋简体" w:cs="方正小标宋简体"/>
          <w:b/>
          <w:sz w:val="32"/>
          <w:szCs w:val="36"/>
          <w:highlight w:val="none"/>
        </w:rPr>
      </w:pP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pStyle w:val="754"/>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p>
    <w:p>
      <w:pPr>
        <w:pStyle w:val="754"/>
        <w:ind w:firstLine="422"/>
        <w:jc w:val="center"/>
        <w:rPr>
          <w:rFonts w:hint="eastAsia" w:ascii="宋体" w:hAnsi="宋体" w:eastAsia="方正小标宋简体"/>
          <w:b/>
          <w:bCs/>
          <w:color w:val="ff0000"/>
          <w:highlight w:val="none"/>
          <w:lang w:eastAsia="zh-CN"/>
        </w:rPr>
      </w:pPr>
      <w:r>
        <w:rPr>
          <w:rFonts w:hint="eastAsia" w:ascii="方正小标宋简体" w:hAnsi="方正小标宋简体" w:eastAsia="方正小标宋简体" w:cs="方正小标宋简体"/>
          <w:b/>
          <w:sz w:val="32"/>
          <w:szCs w:val="36"/>
          <w:highlight w:val="none"/>
        </w:rPr>
        <w:t xml:space="preserve">采购合同</w:t>
      </w:r>
      <w:r>
        <w:rPr>
          <w:rFonts w:hint="eastAsia" w:ascii="宋体" w:hAnsi="宋体" w:eastAsia="方正小标宋简体"/>
          <w:b/>
          <w:bCs/>
          <w:color w:val="ff0000"/>
          <w:highlight w:val="none"/>
          <w:lang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spacing w:before="120" w:after="120" w:line="360" w:lineRule="auto"/>
        <w:rPr>
          <w:rFonts w:hint="eastAsia" w:ascii="宋体" w:hAnsi="宋体"/>
          <w:highlight w:val="none"/>
          <w:lang w:eastAsia="zh-CN"/>
        </w:rPr>
      </w:pPr>
      <w:r>
        <w:rPr>
          <w:rFonts w:hint="eastAsia" w:ascii="宋体" w:hAnsi="宋体"/>
          <w:szCs w:val="21"/>
          <w:highlight w:val="none"/>
        </w:rPr>
        <w:t xml:space="preserve">项目名称：</w:t>
      </w:r>
      <w:r>
        <w:rPr>
          <w:rFonts w:hint="eastAsia" w:ascii="宋体" w:hAnsi="宋体"/>
          <w:szCs w:val="21"/>
          <w:highlight w:val="none"/>
          <w:lang w:eastAsia="zh-CN"/>
        </w:rPr>
        <w:t xml:space="preserve">江苏省扬州技师学院中西式面点实训室</w:t>
      </w:r>
      <w:r>
        <w:rPr>
          <w:rFonts w:hint="eastAsia" w:ascii="宋体" w:hAnsi="宋体"/>
          <w:szCs w:val="21"/>
          <w:highlight w:val="none"/>
          <w:lang w:eastAsia="zh-CN"/>
        </w:rPr>
        <w:t xml:space="preserve">采购</w:t>
      </w:r>
      <w:r>
        <w:rPr>
          <w:rFonts w:hint="eastAsia" w:ascii="宋体" w:hAnsi="宋体"/>
          <w:highlight w:val="none"/>
          <w:lang w:eastAsia="zh-CN"/>
        </w:rPr>
      </w:r>
      <w:r/>
    </w:p>
    <w:p>
      <w:pPr>
        <w:ind w:firstLine="420"/>
        <w:spacing w:before="120" w:after="120" w:line="360" w:lineRule="auto"/>
        <w:rPr>
          <w:rFonts w:hint="eastAsia" w:ascii="宋体" w:hAnsi="宋体"/>
          <w:highlight w:val="none"/>
          <w:lang w:eastAsia="zh-CN"/>
        </w:rPr>
      </w:pPr>
      <w:r>
        <w:rPr>
          <w:rFonts w:hint="eastAsia" w:ascii="宋体" w:hAnsi="宋体"/>
          <w:szCs w:val="21"/>
          <w:highlight w:val="none"/>
          <w:lang w:eastAsia="zh-CN"/>
        </w:rPr>
      </w:r>
      <w:r>
        <w:rPr>
          <w:rFonts w:hint="eastAsia" w:ascii="宋体" w:hAnsi="宋体"/>
          <w:szCs w:val="21"/>
          <w:highlight w:val="none"/>
        </w:rPr>
        <w:t xml:space="preserve">编号：</w:t>
      </w:r>
      <w:r>
        <w:rPr>
          <w:rFonts w:ascii="Arial" w:hAnsi="Arial" w:eastAsia="Arial" w:cs="Arial"/>
          <w:color w:val="000000"/>
          <w:sz w:val="21"/>
          <w:highlight w:val="white"/>
        </w:rPr>
        <w:t xml:space="preserve">JSZC-321000-JSZC-G2026-0035</w:t>
      </w:r>
      <w:r>
        <w:rPr>
          <w:rFonts w:hint="eastAsia" w:ascii="宋体" w:hAnsi="宋体"/>
          <w:szCs w:val="21"/>
          <w:highlight w:val="none"/>
        </w:rPr>
        <w:t xml:space="preserve"> </w:t>
      </w:r>
      <w:r>
        <w:rPr>
          <w:rFonts w:hint="eastAsia" w:ascii="宋体" w:hAnsi="宋体"/>
          <w:highlight w:val="none"/>
          <w:lang w:eastAsia="zh-CN"/>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甲方（采购人/买方）：江苏省扬州技师学院</w:t>
      </w:r>
      <w:r>
        <w:rPr>
          <w:rFonts w:ascii="宋体" w:hAnsi="宋体"/>
          <w:szCs w:val="21"/>
          <w:highlight w:val="none"/>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t xml:space="preserve">乙方（供应商/卖方）：</w:t>
      </w:r>
      <w:r>
        <w:rPr>
          <w:rFonts w:hint="eastAsia" w:ascii="宋体" w:hAnsi="宋体"/>
          <w:szCs w:val="21"/>
          <w:highlight w:val="none"/>
        </w:rPr>
      </w:r>
      <w:r/>
    </w:p>
    <w:p>
      <w:pPr>
        <w:pStyle w:val="754"/>
        <w:ind w:firstLine="420"/>
        <w:spacing w:before="120" w:after="120"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见证方：江苏志诚工程咨询管理有限公司</w:t>
      </w:r>
      <w:r>
        <w:rPr>
          <w:rFonts w:ascii="宋体" w:hAnsi="宋体" w:eastAsia="宋体"/>
          <w:szCs w:val="21"/>
          <w:highlight w:val="none"/>
          <w:lang w:val="en-US"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根据《中华人民共和国政府采购法</w:t>
      </w:r>
      <w:r>
        <w:rPr>
          <w:rFonts w:hint="eastAsia" w:ascii="宋体" w:hAnsi="宋体"/>
          <w:szCs w:val="21"/>
          <w:highlight w:val="none"/>
          <w:lang w:eastAsia="zh-CN"/>
        </w:rPr>
        <w:t xml:space="preserve">》和《</w:t>
      </w:r>
      <w:r>
        <w:rPr>
          <w:rFonts w:hint="eastAsia" w:ascii="宋体" w:hAnsi="宋体"/>
          <w:szCs w:val="21"/>
          <w:highlight w:val="none"/>
        </w:rPr>
        <w:t xml:space="preserve">中华人民共和国民法典》等法律法规的规定，甲乙双方按照本项目招标结果签订本合同。</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w:t>
      </w:r>
      <w:r>
        <w:rPr>
          <w:rFonts w:hint="eastAsia" w:ascii="宋体" w:hAnsi="宋体"/>
          <w:b/>
          <w:bCs/>
          <w:szCs w:val="21"/>
          <w:highlight w:val="none"/>
        </w:rPr>
        <w:t xml:space="preserve">合同标的</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乙方根据甲方需求，提供下列产品</w:t>
      </w:r>
      <w:r>
        <w:rPr>
          <w:rFonts w:hint="eastAsia" w:ascii="宋体" w:hAnsi="宋体"/>
          <w:szCs w:val="21"/>
          <w:highlight w:val="none"/>
          <w:lang w:eastAsia="zh-CN"/>
        </w:rPr>
        <w:t xml:space="preserve">：</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b/>
          <w:szCs w:val="21"/>
          <w:highlight w:val="none"/>
        </w:rPr>
      </w:pPr>
      <w:r>
        <w:rPr>
          <w:rFonts w:hint="eastAsia" w:ascii="宋体" w:hAnsi="宋体"/>
          <w:szCs w:val="21"/>
          <w:highlight w:val="none"/>
        </w:rPr>
        <w:t xml:space="preserve">名称、规格及数量等要求详见招投标文件。</w:t>
      </w:r>
      <w:r>
        <w:rPr>
          <w:rFonts w:ascii="宋体" w:hAnsi="宋体"/>
          <w:b/>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2.</w:t>
      </w:r>
      <w:r>
        <w:rPr>
          <w:rFonts w:hint="eastAsia" w:ascii="宋体" w:hAnsi="宋体"/>
          <w:b/>
          <w:bCs/>
          <w:szCs w:val="21"/>
          <w:highlight w:val="none"/>
        </w:rPr>
        <w:t xml:space="preserve">合同总金额</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2.1 本合同金额为（大写）：_______________________________元人民币（¥_____元）。</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2.2 本合同总金额</w:t>
      </w:r>
      <w:r>
        <w:rPr>
          <w:rFonts w:hint="eastAsia" w:ascii="宋体" w:hAnsi="宋体"/>
          <w:szCs w:val="21"/>
          <w:highlight w:val="none"/>
          <w:lang w:eastAsia="zh-CN"/>
        </w:rPr>
        <w:t xml:space="preserve">包括</w:t>
      </w:r>
      <w:r>
        <w:rPr>
          <w:rFonts w:hint="eastAsia" w:ascii="宋体" w:hAnsi="宋体"/>
          <w:szCs w:val="21"/>
          <w:highlight w:val="none"/>
        </w:rPr>
        <w:t xml:space="preserve">乙方提供产品费用、安装调试费、测试验收费、培训费、 运行维护费用、税金及其他有关的为完成本项目发生的所有费用，招标文件中另有规定的除外。</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2.3 在招标文</w:t>
      </w:r>
      <w:r>
        <w:rPr>
          <w:rFonts w:hint="eastAsia" w:ascii="宋体" w:hAnsi="宋体"/>
          <w:szCs w:val="21"/>
          <w:highlight w:val="none"/>
          <w:lang w:eastAsia="zh-CN"/>
        </w:rPr>
        <w:t xml:space="preserve">件中</w:t>
      </w:r>
      <w:r>
        <w:rPr>
          <w:rFonts w:hint="eastAsia" w:ascii="宋体" w:hAnsi="宋体"/>
          <w:szCs w:val="21"/>
          <w:highlight w:val="none"/>
        </w:rPr>
        <w:t xml:space="preserve">未列明，而乙方认为履行本合同必需的费用也包含在合同总金额中。</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2.4 本合同总金额还包含乙方提供的伴随服务/售后服务费用。</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2.5 本合同签订后：甲方需追加与合同标的相同的货物和服务的，在不改变合同其他条款的前提下，可以与乙方协商签订补充合同，但所有补充</w:t>
      </w:r>
      <w:r>
        <w:rPr>
          <w:rFonts w:hint="eastAsia" w:ascii="宋体" w:hAnsi="宋体"/>
          <w:szCs w:val="21"/>
          <w:highlight w:val="none"/>
          <w:lang w:eastAsia="zh-CN"/>
        </w:rPr>
        <w:t xml:space="preserve">合同</w:t>
      </w:r>
      <w:r>
        <w:rPr>
          <w:rFonts w:hint="eastAsia" w:ascii="宋体" w:hAnsi="宋体"/>
          <w:szCs w:val="21"/>
          <w:highlight w:val="none"/>
        </w:rPr>
        <w:t xml:space="preserve">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3.</w:t>
      </w:r>
      <w:r>
        <w:rPr>
          <w:rFonts w:hint="eastAsia" w:ascii="宋体" w:hAnsi="宋体"/>
          <w:b/>
          <w:bCs/>
          <w:szCs w:val="21"/>
          <w:highlight w:val="none"/>
        </w:rPr>
        <w:t xml:space="preserve">组成本合同的有关文件</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3.1乙方应按招标文件规定的时间向甲方提供使用产品的有关技术资料。</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3.3 关于本项目政府采购的招投标文件或与本次采购活动方式相适应的文件及有关附件是本合同不可分割的组成部分，这些文件包括但不限于：</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（1）招标文件；                   （2）投标产品配置与报价文件；</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（3）供货一览表；                 （4）技术参数响应表；</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（5）服务承诺；                   （6）中标通知书；</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（7）甲乙双方补充协议；           （8）乙方投标文件。</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4.</w:t>
      </w:r>
      <w:r>
        <w:rPr>
          <w:rFonts w:hint="eastAsia" w:ascii="宋体" w:hAnsi="宋体"/>
          <w:b/>
          <w:bCs/>
          <w:szCs w:val="21"/>
          <w:highlight w:val="none"/>
        </w:rPr>
        <w:t xml:space="preserve">知识产权保证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乙方保证甲方在使用、接受本合同产品和服务或其任何一部分时，不受第三方提出侵犯其专利权、版权、商标权和工业设计权等知识产权的起诉。一旦出现侵权，由乙方负全部责任。</w:t>
      </w:r>
      <w:r>
        <w:rPr>
          <w:rFonts w:ascii="宋体" w:hAnsi="宋体"/>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5.</w:t>
      </w:r>
      <w:r>
        <w:rPr>
          <w:rFonts w:hint="eastAsia" w:ascii="宋体" w:hAnsi="宋体"/>
          <w:b/>
          <w:bCs/>
          <w:szCs w:val="21"/>
          <w:highlight w:val="none"/>
        </w:rPr>
        <w:t xml:space="preserve">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乙方保证所交付的产品的所有权无任何抵押、查封等权利瑕疵。</w:t>
      </w:r>
      <w:r>
        <w:rPr>
          <w:rFonts w:ascii="宋体" w:hAnsi="宋体"/>
          <w:highlight w:val="none"/>
        </w:rPr>
      </w:r>
      <w:r/>
    </w:p>
    <w:p>
      <w:pPr>
        <w:pStyle w:val="754"/>
        <w:ind w:left="315" w:firstLine="105"/>
        <w:keepLines w:val="0"/>
        <w:keepNext w:val="0"/>
        <w:pageBreakBefore w:val="0"/>
        <w:spacing w:before="157" w:after="120" w:line="360" w:lineRule="auto"/>
        <w:widowControl w:val="off"/>
        <w:rPr>
          <w:rFonts w:hint="eastAsia" w:ascii="宋体" w:hAnsi="宋体" w:eastAsia="宋体"/>
          <w:szCs w:val="21"/>
          <w:highlight w:val="none"/>
          <w:lang w:val="en-US" w:eastAsia="zh-CN"/>
        </w:rPr>
      </w:pPr>
      <w:r>
        <w:rPr>
          <w:rFonts w:hint="eastAsia" w:ascii="宋体" w:hAnsi="宋体"/>
          <w:b/>
          <w:bCs/>
          <w:szCs w:val="21"/>
          <w:highlight w:val="none"/>
          <w:lang w:eastAsia="zh-CN"/>
        </w:rPr>
        <w:t xml:space="preserve">6.</w:t>
      </w:r>
      <w:r>
        <w:rPr>
          <w:rFonts w:hint="eastAsia" w:ascii="宋体" w:hAnsi="宋体"/>
          <w:b/>
          <w:bCs/>
          <w:szCs w:val="21"/>
          <w:highlight w:val="none"/>
        </w:rPr>
        <w:t xml:space="preserve">履约保证金</w:t>
      </w:r>
      <w:r>
        <w:rPr>
          <w:rFonts w:hint="eastAsia" w:ascii="宋体" w:hAnsi="宋体"/>
          <w:szCs w:val="21"/>
          <w:highlight w:val="none"/>
        </w:rPr>
        <w:t xml:space="preserve">： </w:t>
      </w:r>
      <w:r>
        <w:rPr>
          <w:rFonts w:hint="eastAsia" w:ascii="宋体" w:hAnsi="宋体"/>
          <w:szCs w:val="21"/>
          <w:highlight w:val="none"/>
          <w:lang w:val="en-US" w:eastAsia="zh-CN"/>
        </w:rPr>
        <w:t xml:space="preserve">无</w:t>
      </w:r>
      <w:r>
        <w:rPr>
          <w:rFonts w:hint="eastAsia" w:ascii="宋体" w:hAnsi="宋体" w:eastAsia="宋体"/>
          <w:szCs w:val="21"/>
          <w:highlight w:val="none"/>
          <w:lang w:val="en-US" w:eastAsia="zh-CN"/>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7.</w:t>
      </w:r>
      <w:r>
        <w:rPr>
          <w:rFonts w:hint="eastAsia" w:ascii="宋体" w:hAnsi="宋体"/>
          <w:b/>
          <w:bCs/>
          <w:szCs w:val="21"/>
          <w:highlight w:val="none"/>
        </w:rPr>
        <w:t xml:space="preserve">转包或分包</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7.1 本合同禁止转包，本合同范</w:t>
      </w:r>
      <w:r>
        <w:rPr>
          <w:rFonts w:hint="eastAsia" w:ascii="宋体" w:hAnsi="宋体"/>
          <w:szCs w:val="21"/>
          <w:highlight w:val="none"/>
          <w:lang w:eastAsia="zh-CN"/>
        </w:rPr>
        <w:t xml:space="preserve">围内</w:t>
      </w:r>
      <w:r>
        <w:rPr>
          <w:rFonts w:hint="eastAsia" w:ascii="宋体" w:hAnsi="宋体"/>
          <w:szCs w:val="21"/>
          <w:highlight w:val="none"/>
        </w:rPr>
        <w:t xml:space="preserve">的项目，应由乙方直接供应的，不得转让他人供应。</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7.2 经甲方同意，乙方可以依法采取分包方式履行合同，但是分包方式履行的，乙方应就采购项目向甲方负全责。</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8.</w:t>
      </w:r>
      <w:r>
        <w:rPr>
          <w:rFonts w:hint="eastAsia" w:ascii="宋体" w:hAnsi="宋体"/>
          <w:b/>
          <w:bCs/>
          <w:szCs w:val="21"/>
          <w:highlight w:val="none"/>
        </w:rPr>
        <w:t xml:space="preserve">质保期等其他约定</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8.1 为货物从验收合格之日起</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叁</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年。在质保期内因供应商责任而产生的质量问题，由其负责无偿返修。不能维修的，整件免费更换。由于采购人人为原因造成的损坏供应商只收配件费不收人工费。</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9.</w:t>
      </w:r>
      <w:r>
        <w:rPr>
          <w:rFonts w:hint="eastAsia" w:ascii="宋体" w:hAnsi="宋体"/>
          <w:b/>
          <w:bCs/>
          <w:szCs w:val="21"/>
          <w:highlight w:val="none"/>
        </w:rPr>
        <w:t xml:space="preserve">合同履行期限及地点</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szCs w:val="21"/>
          <w:highlight w:val="none"/>
          <w:u w:val="single"/>
        </w:rPr>
      </w:pPr>
      <w:r>
        <w:rPr>
          <w:rFonts w:hint="eastAsia" w:ascii="Calibri" w:hAnsi="宋体"/>
          <w:bCs/>
          <w:highlight w:val="none"/>
        </w:rPr>
        <w:t xml:space="preserve">9.1 合同履行期：</w:t>
      </w:r>
      <w:r>
        <w:rPr>
          <w:rFonts w:hint="eastAsia" w:ascii="宋体" w:hAnsi="宋体"/>
          <w:szCs w:val="21"/>
          <w:highlight w:val="none"/>
          <w:u w:val="single"/>
          <w:lang w:val="en-GB"/>
        </w:rPr>
        <w:t xml:space="preserve">合同签订后 </w:t>
      </w:r>
      <w:r>
        <w:rPr>
          <w:rFonts w:hint="eastAsia" w:ascii="宋体" w:hAnsi="宋体"/>
          <w:szCs w:val="21"/>
          <w:highlight w:val="none"/>
          <w:u w:val="single"/>
          <w:lang w:val="en-US" w:eastAsia="zh-CN"/>
        </w:rPr>
        <w:t xml:space="preserve">30</w:t>
      </w:r>
      <w:r>
        <w:rPr>
          <w:rFonts w:hint="eastAsia" w:ascii="宋体" w:hAnsi="宋体"/>
          <w:szCs w:val="21"/>
          <w:highlight w:val="none"/>
          <w:u w:val="single"/>
          <w:lang w:val="en-GB"/>
        </w:rPr>
        <w:t xml:space="preserve">日历天内完成本项目所有内容交付、安装、调试</w:t>
      </w:r>
      <w:r>
        <w:rPr>
          <w:rFonts w:hint="eastAsia" w:ascii="宋体" w:hAnsi="宋体"/>
          <w:szCs w:val="21"/>
          <w:highlight w:val="none"/>
          <w:u w:val="single"/>
          <w:lang w:val="en-US" w:eastAsia="zh-CN"/>
        </w:rPr>
        <w:t xml:space="preserve">及培训</w:t>
      </w:r>
      <w:r>
        <w:rPr>
          <w:rFonts w:hint="eastAsia" w:ascii="宋体" w:hAnsi="宋体"/>
          <w:szCs w:val="21"/>
          <w:highlight w:val="none"/>
          <w:u w:val="single"/>
          <w:lang w:val="en-GB"/>
        </w:rPr>
        <w:t xml:space="preserve">工作，并经采购人验收合格。</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eastAsia="宋体"/>
          <w:bCs/>
          <w:szCs w:val="21"/>
          <w:highlight w:val="none"/>
          <w:lang w:eastAsia="zh-CN"/>
        </w:rPr>
      </w:pPr>
      <w:r>
        <w:rPr>
          <w:rFonts w:hint="eastAsia" w:ascii="宋体" w:hAnsi="宋体"/>
          <w:bCs/>
          <w:szCs w:val="21"/>
          <w:highlight w:val="none"/>
        </w:rPr>
        <w:t xml:space="preserve">9.2地点：</w:t>
      </w:r>
      <w:r>
        <w:rPr>
          <w:rFonts w:hint="eastAsia" w:ascii="宋体" w:hAnsi="宋体"/>
          <w:bCs/>
          <w:szCs w:val="21"/>
          <w:highlight w:val="none"/>
          <w:u w:val="single"/>
        </w:rPr>
        <w:t xml:space="preserve">甲方指定地点，运送所产生的所有费用由乙方承担</w:t>
      </w:r>
      <w:r>
        <w:rPr>
          <w:rFonts w:hint="eastAsia" w:ascii="宋体" w:hAnsi="宋体"/>
          <w:bCs/>
          <w:szCs w:val="21"/>
          <w:highlight w:val="none"/>
          <w:u w:val="single"/>
          <w:lang w:eastAsia="zh-CN"/>
        </w:rPr>
        <w:t xml:space="preserve">。</w:t>
      </w:r>
      <w:r>
        <w:rPr>
          <w:rFonts w:hint="eastAsia" w:ascii="宋体" w:hAnsi="宋体" w:eastAsia="宋体"/>
          <w:bCs/>
          <w:szCs w:val="21"/>
          <w:highlight w:val="none"/>
          <w:lang w:eastAsia="zh-CN"/>
        </w:rPr>
      </w:r>
      <w:r/>
    </w:p>
    <w:p>
      <w:pPr>
        <w:pStyle w:val="781"/>
        <w:keepLines w:val="0"/>
        <w:keepNext w:val="0"/>
        <w:pageBreakBefore w:val="0"/>
        <w:spacing w:before="157" w:line="360" w:lineRule="auto"/>
        <w:widowControl w:val="off"/>
        <w:rPr>
          <w:rFonts w:hint="eastAsia"/>
          <w:highlight w:val="none"/>
        </w:rPr>
      </w:pPr>
      <w:r>
        <w:rPr>
          <w:rFonts w:hint="eastAsia"/>
          <w:highlight w:val="none"/>
          <w:lang w:eastAsia="zh-CN"/>
        </w:rPr>
        <w:t xml:space="preserve">10.</w:t>
      </w:r>
      <w:r>
        <w:rPr>
          <w:rFonts w:hint="eastAsia"/>
          <w:highlight w:val="none"/>
        </w:rPr>
        <w:t xml:space="preserve">价</w:t>
      </w:r>
      <w:r>
        <w:rPr>
          <w:highlight w:val="none"/>
        </w:rPr>
        <w:t xml:space="preserve">款支付</w:t>
      </w:r>
      <w:r>
        <w:rPr>
          <w:rFonts w:hint="eastAsia"/>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10.1 本合同项下所有款项均以人民币支付。 </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10.2 本合同项下的采购资金由甲方支付，付款前乙方向甲方开具发票。</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10.3 付款方式：</w:t>
      </w:r>
      <w:r>
        <w:rPr>
          <w:rFonts w:hint="eastAsia" w:ascii="宋体" w:hAnsi="宋体"/>
          <w:b/>
          <w:bCs/>
          <w:sz w:val="21"/>
          <w:szCs w:val="21"/>
          <w:highlight w:val="none"/>
        </w:rPr>
        <w:t xml:space="preserve">合同签订后，甲方自收到发票之日起15日内，支付乙方合同总价30%的预付款；货到甲方指定地点，安装调试并验收合格后，甲方自收到发票之日起15日内，支付乙方合同余款。</w:t>
      </w:r>
      <w:r>
        <w:rPr>
          <w:rFonts w:hint="eastAsia" w:ascii="宋体" w:hAnsi="宋体"/>
          <w:sz w:val="21"/>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11.</w:t>
      </w:r>
      <w:r>
        <w:rPr>
          <w:rFonts w:hint="eastAsia" w:ascii="宋体" w:hAnsi="宋体"/>
          <w:b/>
          <w:bCs/>
          <w:szCs w:val="21"/>
          <w:highlight w:val="none"/>
        </w:rPr>
        <w:t xml:space="preserve">税费</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b/>
          <w:bCs/>
          <w:szCs w:val="21"/>
          <w:highlight w:val="none"/>
        </w:rPr>
      </w:pPr>
      <w:r>
        <w:rPr>
          <w:rFonts w:hint="eastAsia" w:ascii="宋体" w:hAnsi="宋体"/>
          <w:szCs w:val="21"/>
          <w:highlight w:val="none"/>
        </w:rPr>
        <w:t xml:space="preserve">本合同执行中相关的一切税费均由乙方负担。</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12.</w:t>
      </w:r>
      <w:r>
        <w:rPr>
          <w:rFonts w:hint="eastAsia" w:ascii="宋体" w:hAnsi="宋体"/>
          <w:b/>
          <w:bCs/>
          <w:szCs w:val="21"/>
          <w:highlight w:val="none"/>
        </w:rPr>
        <w:t xml:space="preserve">质量保证及售后服务</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12.1 所有产品必须是厂商原装、全新的产品，符合国家及该产品的出厂标准、安全标准及环保标准。</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12.2设备外观清洁，标记编号以及盘面显示等字体清晰，明确。</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12.3对于影响设备正常工作的必要组成部分，无论在技术规范中指出与否，报价人都应提供在响应文件中明确列出。</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12.4所有产品、设备提供出厂合格证等质量证明文件。</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12.5所提供的产品必须是在中国范围内合法销售，原装、全新、并完全符合采购人要求的产品。</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12.6乙方应保证其提供的产品在正确安装、正常使用和保养条件下，在其使用寿命内具有</w:t>
      </w:r>
      <w:r>
        <w:rPr>
          <w:rFonts w:hint="eastAsia" w:ascii="宋体" w:hAnsi="宋体"/>
          <w:color w:val="000000" w:themeColor="text1"/>
          <w:highlight w:val="none"/>
        </w:rPr>
        <w:t xml:space="preserve">良好的性能。验收后，在质量保证期内，乙方应对由于设计、工艺或材料的缺陷所发生的任何不足或故障负责，所需费用由乙方承担。</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olor w:val="000000" w:themeColor="text1"/>
          <w:highlight w:val="none"/>
        </w:rPr>
        <w:t xml:space="preserve">12.7</w:t>
      </w:r>
      <w:r>
        <w:rPr>
          <w:rFonts w:hint="eastAsia" w:ascii="宋体" w:hAnsi="宋体" w:cs="宋体"/>
          <w:color w:val="000000" w:themeColor="text1"/>
          <w:szCs w:val="21"/>
          <w:highlight w:val="none"/>
        </w:rPr>
        <w:t xml:space="preserve">乙方提供的货物在质保期内因货物本身的质量问题发生故障，乙方应负责免费更换或维修、退货。具体按以下办法处理：</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（1）更换：无法维修的或者在质保期内同一设备出现2次及以上的故障，乙方应更换，并由乙方承担所发生的全部费用。</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（2）贬值处理：由甲乙双方合议定价。</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（3）退货处理：若通过维修或更换无法</w:t>
      </w:r>
      <w:r>
        <w:rPr>
          <w:rFonts w:hint="eastAsia" w:ascii="宋体" w:hAnsi="宋体" w:cs="宋体"/>
          <w:color w:val="000000" w:themeColor="text1"/>
          <w:szCs w:val="21"/>
          <w:highlight w:val="none"/>
          <w:lang w:eastAsia="zh-CN"/>
        </w:rPr>
        <w:t xml:space="preserve">解决</w:t>
      </w:r>
      <w:r>
        <w:rPr>
          <w:rFonts w:hint="eastAsia" w:ascii="宋体" w:hAnsi="宋体" w:cs="宋体"/>
          <w:color w:val="000000" w:themeColor="text1"/>
          <w:szCs w:val="21"/>
          <w:highlight w:val="none"/>
        </w:rPr>
        <w:t xml:space="preserve">的，或者通过维修或更换后在质保期内仍然有故障的，甲方有权退货，乙方应退还甲方支付的合同款，同时应承担该货物的直接费用（运输、保险、检验、货款利息及银行手续费等）。</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12.8 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12.9在质保期内，乙方应对产品出现的质量及安全问题负责处理解决并承担一切费用。</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13.</w:t>
      </w:r>
      <w:r>
        <w:rPr>
          <w:rFonts w:hint="eastAsia" w:ascii="宋体" w:hAnsi="宋体"/>
          <w:b/>
          <w:bCs/>
          <w:szCs w:val="21"/>
          <w:highlight w:val="none"/>
        </w:rPr>
        <w:t xml:space="preserve">交货、调试和验收</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ascii="宋体" w:hAnsi="宋体"/>
          <w:highlight w:val="none"/>
        </w:rPr>
        <w:t xml:space="preserve">13.1</w:t>
      </w:r>
      <w:r>
        <w:rPr>
          <w:rFonts w:hint="eastAsia" w:ascii="宋体" w:hAnsi="宋体"/>
          <w:highlight w:val="none"/>
        </w:rPr>
        <w:t xml:space="preserve">乙方应当在合同生效后</w:t>
      </w:r>
      <w:r>
        <w:rPr>
          <w:rFonts w:hint="eastAsia" w:ascii="宋体" w:hAnsi="宋体"/>
          <w:highlight w:val="none"/>
          <w:u w:val="single"/>
        </w:rPr>
        <w:t xml:space="preserve"> </w:t>
      </w:r>
      <w:r>
        <w:rPr>
          <w:rFonts w:hint="eastAsia" w:ascii="宋体" w:hAnsi="宋体"/>
          <w:highlight w:val="none"/>
          <w:u w:val="single"/>
          <w:lang w:val="en-US" w:eastAsia="zh-CN"/>
        </w:rPr>
        <w:t xml:space="preserve">30</w:t>
      </w:r>
      <w:r>
        <w:rPr>
          <w:rFonts w:hint="eastAsia" w:ascii="宋体" w:hAnsi="宋体"/>
          <w:highlight w:val="none"/>
          <w:u w:val="single"/>
        </w:rPr>
        <w:t xml:space="preserve"> </w:t>
      </w:r>
      <w:r>
        <w:rPr>
          <w:rFonts w:hint="eastAsia" w:ascii="宋体" w:hAnsi="宋体"/>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13.2 货到甲方后，甲乙双方须在工作</w:t>
      </w:r>
      <w:r>
        <w:rPr>
          <w:rFonts w:hint="eastAsia" w:ascii="宋体" w:hAnsi="宋体"/>
          <w:highlight w:val="none"/>
          <w:u w:val="single"/>
        </w:rPr>
        <w:t xml:space="preserve"> </w:t>
      </w:r>
      <w:r>
        <w:rPr>
          <w:rFonts w:hint="eastAsia" w:ascii="宋体" w:hAnsi="宋体"/>
          <w:highlight w:val="none"/>
          <w:u w:val="single"/>
          <w:lang w:val="en-US" w:eastAsia="zh-CN"/>
        </w:rPr>
        <w:t xml:space="preserve">15</w:t>
      </w:r>
      <w:r>
        <w:rPr>
          <w:rFonts w:hint="eastAsia" w:ascii="宋体" w:hAnsi="宋体"/>
          <w:highlight w:val="none"/>
          <w:u w:val="single"/>
        </w:rPr>
        <w:t xml:space="preserve"> </w:t>
      </w:r>
      <w:r>
        <w:rPr>
          <w:rFonts w:hint="eastAsia" w:ascii="宋体" w:hAnsi="宋体"/>
          <w:highlight w:val="none"/>
        </w:rPr>
        <w:t xml:space="preserve">日内</w:t>
      </w:r>
      <w:r>
        <w:rPr>
          <w:rFonts w:hint="eastAsia" w:ascii="宋体" w:hAnsi="宋体"/>
          <w:highlight w:val="none"/>
          <w:lang w:eastAsia="zh-CN"/>
        </w:rPr>
        <w:t xml:space="preserve">初步</w:t>
      </w:r>
      <w:r>
        <w:rPr>
          <w:rFonts w:hint="eastAsia" w:ascii="宋体" w:hAnsi="宋体"/>
          <w:highlight w:val="none"/>
        </w:rPr>
        <w:t xml:space="preserve">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13.3 乙方按照招标文件要求负责产品安装并培训甲方的使用操作人员，乙方在甲方使用前进行调试，调试直到符合技术</w:t>
      </w:r>
      <w:r>
        <w:rPr>
          <w:rFonts w:hint="eastAsia" w:ascii="宋体" w:hAnsi="宋体"/>
          <w:szCs w:val="21"/>
          <w:highlight w:val="none"/>
          <w:lang w:eastAsia="zh-CN"/>
        </w:rPr>
        <w:t xml:space="preserve">要求</w:t>
      </w:r>
      <w:r>
        <w:rPr>
          <w:rFonts w:hint="eastAsia" w:ascii="宋体" w:hAnsi="宋体"/>
          <w:szCs w:val="21"/>
          <w:highlight w:val="none"/>
        </w:rPr>
        <w:t xml:space="preserve">甲方才做最终验收。</w:t>
      </w:r>
      <w:r>
        <w:rPr>
          <w:rFonts w:ascii="宋体" w:hAnsi="宋体"/>
          <w:szCs w:val="21"/>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13.4 对技术复杂</w:t>
      </w:r>
      <w:r>
        <w:rPr>
          <w:rFonts w:hint="eastAsia" w:ascii="宋体" w:hAnsi="宋体"/>
          <w:color w:val="000000" w:themeColor="text1"/>
          <w:highlight w:val="none"/>
        </w:rPr>
        <w:t xml:space="preserve">的货物，甲方可请国家认可的专业检测机构参与初步验收及最终验收，并由其出具质量检测报告。验收时乙方必须在现场，验收完毕后作出验收结果报告；若聘请第三方中立机构验收，</w:t>
      </w:r>
      <w:r>
        <w:rPr>
          <w:rFonts w:ascii="宋体" w:hAnsi="宋体"/>
          <w:color w:val="000000" w:themeColor="text1"/>
          <w:highlight w:val="none"/>
        </w:rPr>
        <w:t xml:space="preserve">如检测结果合格，检测费由甲方承担；不合格，由乙方承</w:t>
      </w:r>
      <w:r>
        <w:rPr>
          <w:rFonts w:hint="eastAsia" w:ascii="宋体" w:hAnsi="宋体"/>
          <w:color w:val="000000" w:themeColor="text1"/>
          <w:highlight w:val="none"/>
        </w:rPr>
        <w:t xml:space="preserve">担。</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13.5 甲乙双方关于调试和验收的其他约定</w:t>
      </w:r>
      <w:r>
        <w:rPr>
          <w:rFonts w:hint="eastAsia" w:ascii="宋体" w:hAnsi="宋体"/>
          <w:highlight w:val="none"/>
          <w:lang w:eastAsia="zh-CN"/>
        </w:rPr>
        <w:t xml:space="preserve">：</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14.</w:t>
      </w:r>
      <w:r>
        <w:rPr>
          <w:rFonts w:hint="eastAsia" w:ascii="宋体" w:hAnsi="宋体"/>
          <w:b/>
          <w:bCs/>
          <w:szCs w:val="21"/>
          <w:highlight w:val="none"/>
        </w:rPr>
        <w:t xml:space="preserve">包装、发运及运输</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cs="宋体"/>
          <w:szCs w:val="21"/>
          <w:highlight w:val="none"/>
        </w:rPr>
      </w:pPr>
      <w:r>
        <w:rPr>
          <w:rFonts w:hint="eastAsia" w:ascii="宋体" w:hAnsi="宋体"/>
          <w:szCs w:val="21"/>
          <w:highlight w:val="none"/>
        </w:rPr>
        <w:t xml:space="preserve">14.1</w:t>
      </w:r>
      <w:r>
        <w:rPr>
          <w:rFonts w:hint="eastAsia" w:ascii="宋体" w:hAnsi="宋体"/>
          <w:highlight w:val="none"/>
        </w:rPr>
        <w:t xml:space="preserve">由乙方负责按国家相关标准进行货物包装，货物的包装均应有良好的防湿、防锈、防潮、防雨、防腐及防碰撞的措施，所有货物在开箱检验时必须完好，无破损，配置与装箱单相符。货物外观清洁，标记编号</w:t>
      </w:r>
      <w:r>
        <w:rPr>
          <w:rFonts w:hint="eastAsia" w:ascii="宋体" w:hAnsi="宋体"/>
          <w:highlight w:val="none"/>
          <w:lang w:eastAsia="zh-CN"/>
        </w:rPr>
        <w:t xml:space="preserve">以及</w:t>
      </w:r>
      <w:r>
        <w:rPr>
          <w:rFonts w:hint="eastAsia" w:ascii="宋体" w:hAnsi="宋体"/>
          <w:highlight w:val="none"/>
        </w:rPr>
        <w:t xml:space="preserve">字体清晰、明确。凡由于包装不良造成的损失和由此产生的费用均由乙方承担。</w:t>
      </w:r>
      <w:r>
        <w:rPr>
          <w:rFonts w:ascii="宋体" w:hAnsi="宋体" w:cs="宋体"/>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14.2 乙方发货时，产品使用说明书、检验证明书、随配附件和工具以及清单一并附于货物内。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14.3 乙方在发运手续办理完毕后24小时内或货到甲方48小时前通知甲方，以准备甲方接货。根据甲方通知的时间和指定的地点，乙方负责安排送货、装卸、清点、堆放，设备初验收合格前的保管工作由乙方负责，费</w:t>
      </w:r>
      <w:r>
        <w:rPr>
          <w:rFonts w:hint="eastAsia" w:ascii="宋体" w:hAnsi="宋体"/>
          <w:highlight w:val="none"/>
          <w:lang w:eastAsia="zh-CN"/>
        </w:rPr>
        <w:t xml:space="preserve">用由</w:t>
      </w:r>
      <w:r>
        <w:rPr>
          <w:rFonts w:hint="eastAsia" w:ascii="宋体" w:hAnsi="宋体"/>
          <w:highlight w:val="none"/>
        </w:rPr>
        <w:t xml:space="preserve">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14.4 在交付甲方前发生的风险均由乙方负责。</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14.5 在规定的交付期限内由乙方送达甲方指定的地点，经初步验收即视为交付。</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15.</w:t>
      </w:r>
      <w:r>
        <w:rPr>
          <w:rFonts w:hint="eastAsia" w:ascii="宋体" w:hAnsi="宋体"/>
          <w:b/>
          <w:bCs/>
          <w:szCs w:val="21"/>
          <w:highlight w:val="none"/>
        </w:rPr>
        <w:t xml:space="preserve">违约责任</w:t>
      </w:r>
      <w:r>
        <w:rPr>
          <w:rFonts w:ascii="宋体" w:hAnsi="宋体" w:cs="Courier New"/>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15.1 甲方无正当理由拒绝初验收和终验收的，甲方应按未付款金额每日万分之五向乙方支付违约金。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15.2 甲方无故逾期验收和无故逾期办理支付手续的</w:t>
      </w:r>
      <w:r>
        <w:rPr>
          <w:rFonts w:hint="eastAsia" w:ascii="宋体" w:hAnsi="宋体"/>
          <w:highlight w:val="none"/>
          <w:lang w:eastAsia="zh-CN"/>
        </w:rPr>
        <w:t xml:space="preserve">，</w:t>
      </w:r>
      <w:r>
        <w:rPr>
          <w:rFonts w:hint="eastAsia" w:ascii="宋体" w:hAnsi="宋体"/>
          <w:highlight w:val="none"/>
        </w:rPr>
        <w:t xml:space="preserve">甲方应按逾期付款金额每日万分之五向乙方支付违约金。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15.3乙方违约，在</w:t>
      </w:r>
      <w:r>
        <w:rPr>
          <w:rFonts w:hint="eastAsia" w:ascii="宋体" w:hAnsi="宋体"/>
          <w:color w:val="000000" w:themeColor="text1"/>
          <w:highlight w:val="none"/>
        </w:rPr>
        <w:t xml:space="preserve">消除违约情形前，应按总额每日万分之五向甲方支付违约金，甲方可以从待付货款中扣除。如经甲方通知后仍未改正的，甲方有权解除本合同，</w:t>
      </w:r>
      <w:r>
        <w:rPr>
          <w:rFonts w:hint="eastAsia" w:ascii="宋体" w:hAnsi="宋体" w:cs="宋体"/>
          <w:color w:val="000000" w:themeColor="text1"/>
          <w:szCs w:val="21"/>
          <w:highlight w:val="none"/>
        </w:rPr>
        <w:t xml:space="preserve">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color w:val="000000" w:themeColor="text1"/>
          <w:highlight w:val="none"/>
        </w:rPr>
        <w:t xml:space="preserve">15.4</w:t>
      </w:r>
      <w:r>
        <w:rPr>
          <w:rFonts w:hint="eastAsia" w:ascii="宋体" w:hAnsi="宋体" w:cs="宋体"/>
          <w:color w:val="000000" w:themeColor="text1"/>
          <w:szCs w:val="21"/>
          <w:highlight w:val="none"/>
        </w:rPr>
        <w:t xml:space="preserve">乙方应按照合同约定交付货物，逾期交付或者不完整交付的，每逾期一日按照合同总额的千分之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向甲方支付违约金，直至相应设备交付为止。乙方付款逾期超过</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15</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天</w:t>
      </w:r>
      <w:r>
        <w:rPr>
          <w:rFonts w:hint="eastAsia" w:ascii="宋体" w:hAnsi="宋体" w:cs="宋体"/>
          <w:color w:val="000000" w:themeColor="text1"/>
          <w:szCs w:val="21"/>
          <w:highlight w:val="none"/>
        </w:rPr>
        <w:t xml:space="preserve">（含）以上，甲方有权解除合同，同时乙方应按照合同总金额的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15.5 乙方所交的全部或部分品种、型号、规格、技术参数、质量不符合合同规定及招标文件规定标准的，乙方更换但逾期交货的（甲方拒绝接受的除外），按乙方逾期交货处理；乙方拒绝更换的，甲方可选择解除本合同或本合同的一部分，并可追究乙方的其他违约责任。</w:t>
      </w:r>
      <w:r>
        <w:rPr>
          <w:rFonts w:ascii="宋体" w:hAnsi="宋体"/>
          <w:highlight w:val="none"/>
        </w:rPr>
      </w:r>
      <w:r/>
    </w:p>
    <w:p>
      <w:pPr>
        <w:pStyle w:val="754"/>
        <w:ind w:firstLine="420"/>
        <w:keepLines w:val="0"/>
        <w:keepNext w:val="0"/>
        <w:pageBreakBefore w:val="0"/>
        <w:spacing w:before="157" w:line="360" w:lineRule="auto"/>
        <w:widowControl w:val="off"/>
        <w:rPr>
          <w:rFonts w:cs="宋体"/>
          <w:szCs w:val="21"/>
          <w:highlight w:val="none"/>
        </w:rPr>
      </w:pPr>
      <w:r>
        <w:rPr>
          <w:rFonts w:hint="eastAsia" w:cs="宋体"/>
          <w:szCs w:val="21"/>
          <w:highlight w:val="none"/>
        </w:rPr>
        <w:t xml:space="preserve">15.6合同生效后，发现乙方投标属虚假承诺，或经权威部门监测提供的货物不能满足采购文件要求，造成合同无法继续履行的</w:t>
      </w:r>
      <w:r>
        <w:rPr>
          <w:rFonts w:hint="eastAsia" w:cs="宋体"/>
          <w:szCs w:val="21"/>
          <w:highlight w:val="none"/>
          <w:lang w:eastAsia="zh-CN"/>
        </w:rPr>
        <w:t xml:space="preserve">，</w:t>
      </w:r>
      <w:r>
        <w:rPr>
          <w:rFonts w:hint="eastAsia" w:cs="宋体"/>
          <w:szCs w:val="21"/>
          <w:highlight w:val="none"/>
        </w:rPr>
        <w:t xml:space="preserve">还应向甲方支付不少于合同总价</w:t>
      </w:r>
      <w:r>
        <w:rPr>
          <w:rFonts w:hint="eastAsia" w:cs="宋体"/>
          <w:szCs w:val="21"/>
          <w:highlight w:val="none"/>
          <w:u w:val="single"/>
        </w:rPr>
        <w:t xml:space="preserve"> </w:t>
      </w:r>
      <w:r>
        <w:rPr>
          <w:rFonts w:hint="eastAsia" w:cs="宋体"/>
          <w:szCs w:val="21"/>
          <w:highlight w:val="none"/>
          <w:u w:val="single"/>
          <w:lang w:val="en-US" w:eastAsia="zh-CN"/>
        </w:rPr>
        <w:t xml:space="preserve"> 30</w:t>
      </w:r>
      <w:r>
        <w:rPr>
          <w:rFonts w:hint="eastAsia" w:cs="宋体"/>
          <w:szCs w:val="21"/>
          <w:highlight w:val="none"/>
          <w:u w:val="single"/>
        </w:rPr>
        <w:t xml:space="preserve"> %</w:t>
      </w:r>
      <w:r>
        <w:rPr>
          <w:rFonts w:hint="eastAsia" w:cs="宋体"/>
          <w:szCs w:val="21"/>
          <w:highlight w:val="none"/>
        </w:rPr>
        <w:t xml:space="preserve">赔偿金。</w:t>
      </w:r>
      <w:r>
        <w:rPr>
          <w:rFonts w:cs="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16.</w:t>
      </w:r>
      <w:r>
        <w:rPr>
          <w:rFonts w:hint="eastAsia" w:ascii="宋体" w:hAnsi="宋体"/>
          <w:b/>
          <w:bCs/>
          <w:szCs w:val="21"/>
          <w:highlight w:val="none"/>
        </w:rPr>
        <w:t xml:space="preserve">不可抗力事件处理</w:t>
      </w:r>
      <w:r>
        <w:rPr>
          <w:rFonts w:ascii="宋体" w:hAnsi="宋体" w:cs="Courier New"/>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17.</w:t>
      </w:r>
      <w:r>
        <w:rPr>
          <w:rFonts w:hint="eastAsia" w:ascii="宋体" w:hAnsi="宋体"/>
          <w:b/>
          <w:bCs/>
          <w:szCs w:val="21"/>
          <w:highlight w:val="none"/>
        </w:rPr>
        <w:t xml:space="preserve">争议解决</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17.1 因项目质量问题发生争议的，可在国家认可的质量检测机构对质量进行鉴定。符合标准的，鉴定费由甲方承担；不符合质量标准的，鉴定费由乙方承担。</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szCs w:val="21"/>
          <w:highlight w:val="none"/>
          <w:u w:val="single"/>
        </w:rPr>
        <w:t xml:space="preserve">（</w:t>
      </w:r>
      <w:r>
        <w:rPr>
          <w:rFonts w:ascii="宋体" w:hAnsi="宋体"/>
          <w:szCs w:val="21"/>
          <w:highlight w:val="none"/>
          <w:u w:val="single"/>
        </w:rPr>
        <w:t xml:space="preserve">2</w:t>
      </w:r>
      <w:r>
        <w:rPr>
          <w:rFonts w:hint="eastAsia" w:ascii="宋体" w:hAnsi="宋体"/>
          <w:szCs w:val="21"/>
          <w:highlight w:val="none"/>
          <w:u w:val="single"/>
        </w:rPr>
        <w:t xml:space="preserve">）</w:t>
      </w:r>
      <w:r>
        <w:rPr>
          <w:rFonts w:hint="eastAsia" w:ascii="宋体" w:hAnsi="宋体"/>
          <w:szCs w:val="21"/>
          <w:highlight w:val="none"/>
        </w:rPr>
        <w:t xml:space="preserve">种方式解决争议：</w:t>
      </w:r>
      <w:r>
        <w:rPr>
          <w:rFonts w:ascii="宋体" w:hAnsi="宋体"/>
          <w:szCs w:val="21"/>
          <w:highlight w:val="none"/>
        </w:rPr>
      </w:r>
      <w:r/>
    </w:p>
    <w:p>
      <w:pPr>
        <w:pStyle w:val="754"/>
        <w:ind w:firstLine="31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（1）向甲方所在地有管辖权的人民法院提起诉讼，适用中华人民共和国法律；</w:t>
      </w:r>
      <w:r>
        <w:rPr>
          <w:rFonts w:ascii="宋体" w:hAnsi="宋体"/>
          <w:szCs w:val="21"/>
          <w:highlight w:val="none"/>
        </w:rPr>
      </w:r>
      <w:r/>
    </w:p>
    <w:p>
      <w:pPr>
        <w:pStyle w:val="754"/>
        <w:ind w:left="420" w:hanging="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（2）向扬州仲裁委员会按其仲裁规则申请仲裁。</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17.3 若甲乙双方任何一方都没有选择解除合同的，为避免扩大损失，在诉讼或仲裁期间，双方应继续履行。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18.</w:t>
      </w:r>
      <w:r>
        <w:rPr>
          <w:rFonts w:hint="eastAsia" w:ascii="宋体" w:hAnsi="宋体"/>
          <w:b/>
          <w:bCs/>
          <w:szCs w:val="21"/>
          <w:highlight w:val="none"/>
        </w:rPr>
        <w:t xml:space="preserve">合同</w:t>
      </w:r>
      <w:r>
        <w:rPr>
          <w:rFonts w:hint="eastAsia" w:ascii="宋体" w:hAnsi="宋体"/>
          <w:b/>
          <w:bCs/>
          <w:szCs w:val="21"/>
          <w:highlight w:val="none"/>
          <w:lang w:eastAsia="zh-CN"/>
        </w:rPr>
        <w:t xml:space="preserve">其他</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18.1 乙方应诚实信用，严格按照招标文件要求和投标承诺履行合同，不向甲方进行商业贿赂或者提供不正当利益。</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18.2 合同经双方法定代表人或授权代表签字并加盖单位公章，并经见证</w:t>
      </w:r>
      <w:r>
        <w:rPr>
          <w:rFonts w:hint="eastAsia" w:ascii="宋体" w:hAnsi="宋体"/>
          <w:szCs w:val="21"/>
          <w:highlight w:val="none"/>
          <w:lang w:val="en-US" w:eastAsia="zh-CN"/>
        </w:rPr>
        <w:t xml:space="preserve">方</w:t>
      </w:r>
      <w:r>
        <w:rPr>
          <w:rFonts w:hint="eastAsia" w:ascii="宋体" w:hAnsi="宋体"/>
          <w:szCs w:val="21"/>
          <w:highlight w:val="none"/>
        </w:rPr>
        <w:t xml:space="preserve">盖章后生效。</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u w:val="single"/>
        </w:rPr>
      </w:pPr>
      <w:r>
        <w:rPr>
          <w:rFonts w:hint="eastAsia" w:ascii="宋体" w:hAnsi="宋体"/>
          <w:szCs w:val="21"/>
          <w:highlight w:val="none"/>
        </w:rPr>
        <w:t xml:space="preserve">18.2本合同未尽事宜，遵照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有关条文执行。</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szCs w:val="21"/>
          <w:highlight w:val="none"/>
        </w:rPr>
      </w:pPr>
      <w:r>
        <w:rPr>
          <w:rFonts w:hint="eastAsia" w:ascii="宋体" w:hAnsi="宋体"/>
          <w:szCs w:val="21"/>
          <w:highlight w:val="none"/>
        </w:rPr>
        <w:t xml:space="preserve">18.3 本合同正本一式</w:t>
      </w:r>
      <w:r>
        <w:rPr>
          <w:rFonts w:hint="eastAsia" w:ascii="宋体" w:hAnsi="宋体"/>
          <w:szCs w:val="21"/>
          <w:highlight w:val="none"/>
          <w:lang w:val="en-US" w:eastAsia="zh-CN"/>
        </w:rPr>
        <w:t xml:space="preserve">伍</w:t>
      </w:r>
      <w:r>
        <w:rPr>
          <w:rFonts w:hint="eastAsia" w:ascii="宋体" w:hAnsi="宋体"/>
          <w:szCs w:val="21"/>
          <w:highlight w:val="none"/>
        </w:rPr>
        <w:t xml:space="preserve">份，具有同等法律效力，甲方、乙方各执贰份</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见证方执一份</w:t>
      </w:r>
      <w:r>
        <w:rPr>
          <w:rFonts w:hint="eastAsia" w:ascii="宋体" w:hAnsi="宋体"/>
          <w:szCs w:val="21"/>
          <w:highlight w:val="none"/>
        </w:rPr>
        <w:t xml:space="preserve">。</w:t>
      </w:r>
      <w:r>
        <w:rPr>
          <w:rFonts w:hint="eastAsia" w:ascii="宋体" w:hAnsi="宋体"/>
          <w:szCs w:val="21"/>
          <w:highlight w:val="none"/>
        </w:rPr>
      </w:r>
      <w:r/>
    </w:p>
    <w:p>
      <w:pPr>
        <w:pStyle w:val="754"/>
        <w:spacing w:before="120" w:after="120" w:line="360" w:lineRule="auto"/>
        <w:rPr>
          <w:rFonts w:ascii="宋体" w:hAnsi="宋体"/>
          <w:szCs w:val="21"/>
          <w:highlight w:val="none"/>
        </w:rPr>
      </w:pPr>
      <w:r>
        <w:rPr>
          <w:rFonts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rPr>
        <w:t xml:space="preserve">甲方：                                   乙方：</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地址：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法定代表人或授权代表：</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联系电话：</w:t>
      </w:r>
      <w:r>
        <w:rPr>
          <w:rFonts w:ascii="宋体" w:hAnsi="宋体"/>
          <w:szCs w:val="21"/>
          <w:highlight w:val="none"/>
        </w:rPr>
      </w:r>
      <w:r/>
    </w:p>
    <w:p>
      <w:pPr>
        <w:pStyle w:val="754"/>
        <w:ind w:firstLine="630"/>
        <w:spacing w:before="120" w:after="120" w:line="360" w:lineRule="auto"/>
        <w:rPr>
          <w:rFonts w:hint="eastAsia" w:ascii="宋体" w:hAnsi="宋体"/>
          <w:szCs w:val="21"/>
          <w:highlight w:val="none"/>
        </w:rPr>
      </w:pPr>
      <w:r>
        <w:rPr>
          <w:rFonts w:hint="eastAsia" w:ascii="宋体" w:hAnsi="宋体"/>
          <w:szCs w:val="21"/>
          <w:highlight w:val="none"/>
        </w:rPr>
        <w:t xml:space="preserve">日期：      年    月    日               日期：      年    月    日</w:t>
      </w:r>
      <w:r>
        <w:rPr>
          <w:rFonts w:hint="eastAsia"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lang w:val="en-US" w:eastAsia="zh-CN"/>
        </w:rPr>
        <w:t xml:space="preserve">见证</w:t>
      </w:r>
      <w:r>
        <w:rPr>
          <w:rFonts w:hint="eastAsia" w:ascii="宋体" w:hAnsi="宋体"/>
          <w:szCs w:val="21"/>
          <w:highlight w:val="none"/>
        </w:rPr>
        <w:t xml:space="preserve">方：                                   </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w:t>
      </w:r>
      <w:r>
        <w:rPr>
          <w:rFonts w:ascii="宋体" w:hAnsi="宋体"/>
          <w:szCs w:val="21"/>
          <w:highlight w:val="none"/>
        </w:rPr>
      </w:r>
      <w:r/>
    </w:p>
    <w:p>
      <w:pPr>
        <w:pStyle w:val="961"/>
        <w:ind w:firstLine="630"/>
        <w:spacing w:before="120" w:after="120"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日期：      年    月    日</w:t>
      </w:r>
      <w:r>
        <w:rPr>
          <w:rFonts w:hint="eastAsia" w:ascii="宋体" w:hAnsi="宋体" w:eastAsia="宋体" w:cs="Times New Roman"/>
          <w:sz w:val="21"/>
          <w:szCs w:val="21"/>
          <w:highlight w:val="none"/>
          <w:lang w:val="en-US" w:eastAsia="zh-CN" w:bidi="ar-SA"/>
        </w:rPr>
      </w:r>
      <w:r/>
    </w:p>
    <w:p>
      <w:pPr>
        <w:pStyle w:val="961"/>
        <w:jc w:val="center"/>
        <w:spacing w:before="120" w:after="120" w:line="400" w:lineRule="exact"/>
        <w:rPr>
          <w:rFonts w:hAnsi="宋体" w:cs="宋体"/>
          <w:b/>
          <w:bCs/>
          <w:color w:val="000000"/>
          <w:sz w:val="32"/>
          <w:szCs w:val="32"/>
          <w:highlight w:val="none"/>
          <w:lang w:eastAsia="zh-CN"/>
        </w:rPr>
      </w:pPr>
      <w:r>
        <w:rPr>
          <w:color w:val="000000"/>
          <w:highlight w:val="none"/>
          <w:lang w:eastAsia="zh-CN"/>
        </w:rPr>
        <w:br w:type="page" w:clear="all"/>
      </w:r>
      <w:r>
        <w:rPr>
          <w:rFonts w:hint="eastAsia" w:hAnsi="宋体" w:cs="宋体"/>
          <w:b/>
          <w:bCs/>
          <w:color w:val="000000"/>
          <w:sz w:val="32"/>
          <w:szCs w:val="32"/>
          <w:highlight w:val="none"/>
          <w:lang w:eastAsia="zh-CN"/>
        </w:rPr>
        <w:t xml:space="preserve">第四章 项目需求</w:t>
      </w:r>
      <w:r>
        <w:rPr>
          <w:rFonts w:hAnsi="宋体" w:cs="宋体"/>
          <w:b/>
          <w:bCs/>
          <w:color w:val="000000"/>
          <w:sz w:val="32"/>
          <w:szCs w:val="32"/>
          <w:highlight w:val="none"/>
          <w:lang w:eastAsia="zh-CN"/>
        </w:rPr>
      </w:r>
      <w:r/>
    </w:p>
    <w:p>
      <w:pPr>
        <w:pStyle w:val="75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项目属性:货物类项目</w:t>
      </w:r>
      <w:r>
        <w:rPr>
          <w:rFonts w:ascii="宋体" w:hAnsi="宋体" w:cs="宋体"/>
          <w:color w:val="000000"/>
          <w:szCs w:val="21"/>
          <w:highlight w:val="none"/>
        </w:rPr>
      </w:r>
      <w:r/>
    </w:p>
    <w:p>
      <w:pPr>
        <w:pStyle w:val="754"/>
        <w:ind w:firstLine="480"/>
        <w:spacing w:line="360" w:lineRule="auto"/>
        <w:rPr>
          <w:rFonts w:ascii="宋体" w:hAnsi="宋体" w:cs="宋体"/>
          <w:bCs/>
          <w:iCs/>
          <w:color w:val="000000"/>
          <w:szCs w:val="21"/>
          <w:highlight w:val="none"/>
        </w:rPr>
      </w:pPr>
      <w:r>
        <w:rPr>
          <w:rFonts w:hint="eastAsia" w:ascii="宋体" w:hAnsi="宋体" w:cs="宋体"/>
          <w:bCs/>
          <w:iCs/>
          <w:color w:val="000000"/>
          <w:szCs w:val="21"/>
          <w:highlight w:val="none"/>
        </w:rPr>
        <w:t xml:space="preserve">其他要求</w:t>
      </w:r>
      <w:r>
        <w:rPr>
          <w:rFonts w:ascii="宋体" w:hAnsi="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000000"/>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000000"/>
          <w:szCs w:val="21"/>
          <w:highlight w:val="none"/>
        </w:rPr>
        <w:t xml:space="preserve">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Cs/>
          <w:iCs/>
          <w:color w:val="000000"/>
          <w:szCs w:val="21"/>
          <w:highlight w:val="none"/>
        </w:rPr>
      </w:r>
      <w:r/>
    </w:p>
    <w:p>
      <w:pPr>
        <w:pStyle w:val="754"/>
        <w:rPr>
          <w:rFonts w:hint="eastAsia" w:ascii="宋体" w:hAnsi="宋体"/>
          <w:b/>
          <w:color w:val="000000"/>
          <w:szCs w:val="21"/>
          <w:highlight w:val="none"/>
        </w:rPr>
      </w:pPr>
      <w:r>
        <w:rPr>
          <w:rFonts w:hint="eastAsia" w:ascii="宋体" w:hAnsi="宋体"/>
          <w:b/>
          <w:color w:val="000000"/>
          <w:szCs w:val="21"/>
          <w:highlight w:val="none"/>
        </w:rPr>
      </w:r>
      <w:r/>
    </w:p>
    <w:p>
      <w:pPr>
        <w:pStyle w:val="754"/>
        <w:ind w:firstLine="422"/>
        <w:rPr>
          <w:rFonts w:hint="eastAsia" w:ascii="宋体" w:hAnsi="宋体"/>
          <w:b/>
          <w:color w:val="000000"/>
          <w:szCs w:val="21"/>
          <w:highlight w:val="none"/>
        </w:rPr>
      </w:pPr>
      <w:r>
        <w:rPr>
          <w:rFonts w:hint="eastAsia" w:ascii="宋体" w:hAnsi="宋体"/>
          <w:b/>
          <w:color w:val="000000"/>
          <w:szCs w:val="21"/>
          <w:highlight w:val="none"/>
        </w:rPr>
        <w:t xml:space="preserve">所属行业：工业</w:t>
      </w:r>
      <w:r>
        <w:rPr>
          <w:rFonts w:hint="eastAsia" w:ascii="宋体" w:hAnsi="宋体"/>
          <w:b/>
          <w:color w:val="000000"/>
          <w:szCs w:val="21"/>
          <w:highlight w:val="none"/>
        </w:rPr>
      </w:r>
      <w:r/>
    </w:p>
    <w:p>
      <w:pPr>
        <w:pStyle w:val="754"/>
        <w:ind w:firstLine="211"/>
        <w:rPr>
          <w:rFonts w:hint="eastAsia" w:ascii="宋体" w:hAnsi="宋体"/>
          <w:b/>
          <w:color w:val="000000"/>
          <w:szCs w:val="21"/>
          <w:highlight w:val="none"/>
        </w:rPr>
      </w:pPr>
      <w:r>
        <w:rPr>
          <w:rFonts w:hint="eastAsia" w:ascii="宋体" w:hAnsi="宋体"/>
          <w:b/>
          <w:color w:val="000000"/>
          <w:szCs w:val="21"/>
          <w:highlight w:val="none"/>
        </w:rPr>
      </w:r>
      <w:r/>
    </w:p>
    <w:p>
      <w:pPr>
        <w:pStyle w:val="754"/>
        <w:spacing w:line="360" w:lineRule="auto"/>
        <w:rPr>
          <w:rFonts w:hint="eastAsia"/>
          <w:b/>
          <w:bCs/>
          <w:color w:val="000000"/>
          <w:highlight w:val="none"/>
        </w:rPr>
        <w:outlineLvl w:val="1"/>
      </w:pPr>
      <w:r>
        <w:rPr>
          <w:rFonts w:hint="eastAsia"/>
          <w:b/>
          <w:bCs/>
          <w:color w:val="000000"/>
          <w:highlight w:val="none"/>
        </w:rPr>
        <w:t xml:space="preserve">一、项目简介</w:t>
      </w:r>
      <w:r>
        <w:rPr>
          <w:rFonts w:hint="eastAsia"/>
          <w:b/>
          <w:bCs/>
          <w:color w:val="000000"/>
          <w:highlight w:val="none"/>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1、项目名称：</w:t>
      </w:r>
      <w:r>
        <w:rPr>
          <w:rFonts w:hint="eastAsia" w:ascii="宋体" w:hAnsi="宋体" w:eastAsia="宋体" w:cs="宋体"/>
          <w:color w:val="000000"/>
          <w:sz w:val="21"/>
          <w:szCs w:val="21"/>
          <w:highlight w:val="none"/>
          <w:lang w:val="en-US" w:eastAsia="zh-CN" w:bidi="ar"/>
        </w:rPr>
        <w:t xml:space="preserve">江苏省扬州技师学院中西式面点实训室采购</w:t>
      </w:r>
      <w:r>
        <w:rPr>
          <w:rFonts w:hint="eastAsia" w:ascii="宋体" w:hAnsi="宋体" w:cs="宋体"/>
          <w:color w:val="000000"/>
          <w:szCs w:val="21"/>
          <w:highlight w:val="none"/>
          <w:lang w:bidi="ar"/>
        </w:rPr>
        <w:t xml:space="preserve">2、项目预算（最高限价）：人民币</w:t>
      </w:r>
      <w:r>
        <w:rPr>
          <w:rFonts w:hint="eastAsia" w:ascii="宋体" w:hAnsi="宋体" w:cs="宋体"/>
          <w:color w:val="000000"/>
          <w:szCs w:val="21"/>
          <w:highlight w:val="none"/>
          <w:lang w:val="en-US" w:eastAsia="zh-CN" w:bidi="ar"/>
        </w:rPr>
        <w:t xml:space="preserve">150</w:t>
      </w:r>
      <w:r>
        <w:rPr>
          <w:rFonts w:hint="eastAsia" w:ascii="宋体" w:hAnsi="宋体" w:cs="宋体"/>
          <w:color w:val="000000"/>
          <w:highlight w:val="none"/>
          <w:lang w:eastAsia="zh-CN"/>
        </w:rPr>
        <w:t xml:space="preserve">万元</w:t>
      </w:r>
      <w:r>
        <w:rPr>
          <w:rFonts w:hint="eastAsia" w:ascii="宋体" w:hAnsi="宋体" w:cs="宋体"/>
          <w:color w:val="000000"/>
          <w:szCs w:val="21"/>
          <w:highlight w:val="none"/>
          <w:lang w:bidi="ar"/>
        </w:rPr>
        <w:t xml:space="preserve">（超过最高限价的报价为无效报价，按照无效响应处理）</w:t>
      </w:r>
      <w:r>
        <w:rPr>
          <w:rFonts w:hint="eastAsia" w:ascii="宋体" w:hAnsi="宋体" w:cs="宋体"/>
          <w:color w:val="000000"/>
          <w:szCs w:val="21"/>
          <w:highlight w:val="none"/>
          <w:lang w:bidi="ar"/>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hint="eastAsia" w:ascii="宋体" w:hAnsi="宋体" w:cs="宋体"/>
          <w:color w:val="000000"/>
          <w:szCs w:val="21"/>
          <w:highlight w:val="none"/>
          <w:lang w:bidi="ar"/>
        </w:rPr>
      </w:r>
      <w:r/>
    </w:p>
    <w:p>
      <w:pPr>
        <w:pStyle w:val="754"/>
        <w:spacing w:line="360" w:lineRule="auto"/>
        <w:rPr>
          <w:rFonts w:hint="eastAsia" w:eastAsia="宋体" w:cs="Times New Roman"/>
          <w:b/>
          <w:bCs/>
          <w:color w:val="000000"/>
          <w:highlight w:val="none"/>
          <w:lang w:val="en-US" w:eastAsia="zh-CN"/>
        </w:rPr>
        <w:outlineLvl w:val="1"/>
      </w:pPr>
      <w:r>
        <w:rPr>
          <w:rFonts w:hint="eastAsia" w:eastAsia="宋体" w:cs="Times New Roman"/>
          <w:b/>
          <w:bCs/>
          <w:color w:val="000000"/>
          <w:highlight w:val="none"/>
          <w:lang w:val="en-US" w:eastAsia="zh-CN"/>
        </w:rPr>
        <w:t xml:space="preserve">二、项目需求</w:t>
      </w:r>
      <w:r>
        <w:rPr>
          <w:rFonts w:hint="eastAsia" w:eastAsia="宋体" w:cs="Times New Roman"/>
          <w:b/>
          <w:bCs/>
          <w:color w:val="000000"/>
          <w:highlight w:val="none"/>
          <w:lang w:val="en-US" w:eastAsia="zh-CN"/>
        </w:rPr>
      </w:r>
      <w:r/>
    </w:p>
    <w:p>
      <w:pPr>
        <w:pStyle w:val="754"/>
        <w:ind w:firstLine="420"/>
        <w:spacing w:line="360" w:lineRule="auto"/>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GB" w:bidi="ar"/>
        </w:rPr>
        <w:t xml:space="preserve">中西式面点专业是我院重点建设专业方向之一。为适应现代烘焙行业发展需求，提升学生专业技能和就业竞争力，需建设标准化、专业化的中西式面点实训室，配备与行业接轨的先进设备，为学生提供真实的操作环境和全流程技能训练条件。实训室秉持"实际、实用、实践"原则，集教学实训、技能竞赛训练、职业技能鉴定、社会培训服务于一体</w:t>
      </w:r>
      <w:r>
        <w:rPr>
          <w:rFonts w:hint="eastAsia" w:ascii="宋体" w:hAnsi="宋体" w:eastAsia="宋体" w:cs="宋体"/>
          <w:color w:val="000000"/>
          <w:szCs w:val="21"/>
          <w:highlight w:val="none"/>
          <w:lang w:val="en-GB" w:eastAsia="zh-CN" w:bidi="ar"/>
        </w:rPr>
        <w:t xml:space="preserve">。</w:t>
      </w:r>
      <w:r>
        <w:rPr>
          <w:rFonts w:ascii="宋体" w:hAnsi="宋体" w:eastAsia="宋体" w:cs="宋体"/>
          <w:color w:val="000000"/>
          <w:szCs w:val="21"/>
          <w:highlight w:val="none"/>
          <w:lang w:val="en-US" w:eastAsia="zh-CN" w:bidi="ar"/>
        </w:rPr>
      </w:r>
      <w:r/>
    </w:p>
    <w:tbl>
      <w:tblPr>
        <w:tblStyle w:val="802"/>
        <w:tblW w:w="87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6518"/>
        <w:gridCol w:w="1128"/>
      </w:tblGrid>
      <w:tr>
        <w:trPr>
          <w:trHeight w:val="413"/>
        </w:trPr>
        <w:tc>
          <w:tcPr>
            <w:tcW w:w="1092"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序号</w:t>
            </w:r>
            <w:r>
              <w:rPr>
                <w:rFonts w:hint="eastAsia" w:ascii="宋体" w:hAnsi="宋体" w:eastAsia="宋体" w:cs="宋体"/>
                <w:highlight w:val="none"/>
                <w:vertAlign w:val="baseline"/>
                <w:lang w:val="en-US" w:eastAsia="zh-CN"/>
              </w:rPr>
            </w:r>
            <w:r/>
          </w:p>
        </w:tc>
        <w:tc>
          <w:tcPr>
            <w:tcW w:w="651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建设需求</w:t>
            </w:r>
            <w:r>
              <w:rPr>
                <w:rFonts w:hint="eastAsia" w:ascii="宋体" w:hAnsi="宋体" w:eastAsia="宋体" w:cs="宋体"/>
                <w:highlight w:val="none"/>
                <w:vertAlign w:val="baseline"/>
                <w:lang w:val="en-US" w:eastAsia="zh-CN"/>
              </w:rPr>
            </w:r>
            <w:r/>
          </w:p>
        </w:tc>
        <w:tc>
          <w:tcPr>
            <w:tcW w:w="112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数量</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lang w:eastAsia="zh-CN"/>
              </w:rPr>
            </w:pPr>
            <w:r>
              <w:rPr>
                <w:rFonts w:hint="eastAsia" w:ascii="宋体" w:hAnsi="宋体" w:eastAsia="宋体" w:cs="宋体"/>
                <w:highlight w:val="none"/>
                <w:vertAlign w:val="baseline"/>
              </w:rPr>
              <w:t xml:space="preserve">西式面点实训室</w:t>
            </w:r>
            <w:r>
              <w:rPr>
                <w:rFonts w:hint="eastAsia" w:ascii="宋体" w:hAnsi="宋体" w:eastAsia="宋体" w:cs="宋体"/>
                <w:highlight w:val="none"/>
                <w:vertAlign w:val="baseline"/>
                <w:lang w:eastAsia="zh-CN"/>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中式面点实训室（大师工作室）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会议室竞赛评分室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4</w:t>
            </w:r>
            <w:r>
              <w:rPr>
                <w:rFonts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lang w:val="en-US" w:eastAsia="zh-CN"/>
              </w:rPr>
              <w:t xml:space="preserve">中式+西式+中式大师</w:t>
            </w: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rPr>
              <w:t xml:space="preserve">多媒体信息化设备</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1套</w:t>
            </w:r>
            <w:r>
              <w:rPr>
                <w:rFonts w:ascii="宋体" w:hAnsi="宋体" w:eastAsia="宋体" w:cs="宋体"/>
                <w:highlight w:val="none"/>
                <w:vertAlign w:val="baseline"/>
                <w:lang w:val="en-US" w:eastAsia="zh-CN"/>
              </w:rPr>
            </w:r>
            <w:r/>
          </w:p>
        </w:tc>
      </w:tr>
    </w:tbl>
    <w:p>
      <w:pPr>
        <w:pStyle w:val="756"/>
        <w:spacing w:line="240" w:lineRule="auto"/>
        <w:rPr>
          <w:rFonts w:ascii="Times New Roman" w:hAnsi="Times New Roman" w:eastAsia="宋体" w:cs="Times New Roman"/>
          <w:b/>
          <w:bCs/>
          <w:color w:val="000000"/>
          <w:sz w:val="21"/>
          <w:szCs w:val="22"/>
          <w:highlight w:val="none"/>
          <w:lang w:val="en-US" w:eastAsia="zh-CN" w:bidi="ar-SA"/>
        </w:rPr>
      </w:pPr>
      <w:r>
        <w:rPr>
          <w:rFonts w:hint="eastAsia" w:ascii="Times New Roman" w:hAnsi="Times New Roman" w:eastAsia="宋体" w:cs="Times New Roman"/>
          <w:b/>
          <w:bCs/>
          <w:color w:val="000000"/>
          <w:sz w:val="21"/>
          <w:szCs w:val="22"/>
          <w:highlight w:val="none"/>
          <w:lang w:val="en-US" w:eastAsia="zh-CN" w:bidi="ar-SA"/>
        </w:rPr>
        <w:t xml:space="preserve">三、项目清单</w:t>
      </w:r>
      <w:r>
        <w:rPr>
          <w:rFonts w:ascii="Times New Roman" w:hAnsi="Times New Roman" w:eastAsia="宋体" w:cs="Times New Roman"/>
          <w:b/>
          <w:bCs/>
          <w:color w:val="000000"/>
          <w:sz w:val="21"/>
          <w:szCs w:val="22"/>
          <w:highlight w:val="none"/>
          <w:lang w:val="en-US" w:eastAsia="zh-CN" w:bidi="ar-SA"/>
        </w:rPr>
      </w:r>
      <w:r/>
    </w:p>
    <w:p>
      <w:pPr>
        <w:pStyle w:val="75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西式面点实训室</w:t>
      </w:r>
      <w:r>
        <w:rPr>
          <w:rFonts w:hint="eastAsia" w:ascii="宋体" w:hAnsi="宋体" w:eastAsia="宋体" w:cs="宋体"/>
          <w:sz w:val="24"/>
          <w:szCs w:val="24"/>
          <w:highlight w:val="none"/>
        </w:rPr>
      </w:r>
      <w:r/>
    </w:p>
    <w:tbl>
      <w:tblPr>
        <w:tblW w:w="89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650"/>
        <w:gridCol w:w="4800"/>
        <w:gridCol w:w="623"/>
        <w:gridCol w:w="1061"/>
      </w:tblGrid>
      <w:tr>
        <w:trPr>
          <w:trHeight w:val="381"/>
        </w:trPr>
        <w:tc>
          <w:tcPr>
            <w:tcW w:w="823" w:type="dxa"/>
            <w:vAlign w:val="center"/>
            <w:textDirection w:val="lrTb"/>
            <w:noWrap/>
          </w:tcPr>
          <w:p>
            <w:pPr>
              <w:pStyle w:val="754"/>
              <w:ind w:left="0" w:right="0" w:firstLine="0"/>
              <w:jc w:val="center"/>
              <w:keepLines w:val="0"/>
              <w:keepNext w:val="0"/>
              <w:widowControl/>
              <w:rPr>
                <w:rFonts w:ascii="宋体" w:hAnsi="宋体" w:eastAsia="宋体" w:cs="宋体"/>
                <w:b/>
                <w:i w:val="0"/>
                <w:iCs w:val="0"/>
                <w:color w:val="000000"/>
                <w:sz w:val="21"/>
                <w:szCs w:val="20"/>
                <w:highlight w:val="none"/>
                <w:u w:val="none"/>
                <w:lang w:val="en-US" w:eastAsia="zh-CN" w:bidi="ar"/>
              </w:rPr>
              <w:suppressLineNumbers w:val="0"/>
            </w:pPr>
            <w:r>
              <w:rPr>
                <w:rFonts w:hint="eastAsia" w:ascii="宋体" w:hAnsi="宋体" w:eastAsia="宋体" w:cs="宋体"/>
                <w:b/>
                <w:i w:val="0"/>
                <w:iCs w:val="0"/>
                <w:color w:val="000000"/>
                <w:sz w:val="21"/>
                <w:szCs w:val="20"/>
                <w:highlight w:val="none"/>
                <w:u w:val="none"/>
                <w:lang w:val="en-US" w:eastAsia="zh-CN" w:bidi="ar"/>
              </w:rPr>
              <w:t xml:space="preserve">序号</w:t>
            </w:r>
            <w:r>
              <w:rPr>
                <w:rFonts w:ascii="宋体" w:hAnsi="宋体" w:eastAsia="宋体" w:cs="宋体"/>
                <w:b/>
                <w:i w:val="0"/>
                <w:iCs w:val="0"/>
                <w:color w:val="000000"/>
                <w:sz w:val="21"/>
                <w:szCs w:val="20"/>
                <w:highlight w:val="none"/>
                <w:u w:val="none"/>
                <w:lang w:val="en-US" w:eastAsia="zh-CN" w:bidi="ar"/>
              </w:rPr>
            </w:r>
            <w:r/>
          </w:p>
        </w:tc>
        <w:tc>
          <w:tcPr>
            <w:tcW w:w="1650"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800"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技术参数</w:t>
            </w:r>
            <w:r>
              <w:rPr>
                <w:rStyle w:val="970"/>
                <w:rFonts w:ascii="宋体" w:eastAsia="宋体"/>
                <w:b/>
                <w:sz w:val="21"/>
                <w:highlight w:val="none"/>
                <w:lang w:val="en-US" w:eastAsia="zh-CN" w:bidi="ar"/>
              </w:rPr>
            </w:r>
            <w:r/>
          </w:p>
        </w:tc>
        <w:tc>
          <w:tcPr>
            <w:tcW w:w="623"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数量</w:t>
            </w:r>
            <w:r>
              <w:rPr>
                <w:rStyle w:val="970"/>
                <w:rFonts w:ascii="宋体" w:eastAsia="宋体"/>
                <w:b/>
                <w:sz w:val="21"/>
                <w:highlight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rHeight w:val="1924"/>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1603"/>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6092"/>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喷雾式电热发酵箱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节能蒸汽发生器，喷雾系统通过柜内输送，输出蒸汽使柜内输送，输出蒸汽，使柜内温度均匀，自动进水。</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电源：220V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湿度范围：室内温度-95%rh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温度范围：室内温度-60℃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尺寸：550*810*2020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经腐蚀试验后的试样和试件的评级》的厨房用具耐腐蚀等级认证证书等，且耐腐蚀等级≥10级（试验周期≥96h的中性盐雾试验）</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饼盆车</w:t>
            </w:r>
            <w:r>
              <w:rPr>
                <w:rFonts w:hint="eastAsia" w:ascii="宋体" w:hAnsi="宋体" w:eastAsia="宋体" w:cs="宋体"/>
                <w:i w:val="0"/>
                <w:iCs w:val="0"/>
                <w:color w:val="000000"/>
                <w:sz w:val="18"/>
                <w:szCs w:val="18"/>
                <w:highlight w:val="none"/>
                <w:u w:val="none"/>
                <w:lang w:val="en-US" w:eastAsia="zh-CN" w:bidi="ar-SA"/>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1.规格尺寸（长*宽*高）：≥470*620*1800mm（单位：mm，尺寸允许偏离：±5%）；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2.主管采用SUS304#约1.5㎜厚(厚度允许偏差为±0.05mm)38mm*38mm不锈钢方管；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3.饼盆托架采用1.2mm厚(厚度允许偏差为±0.05mm)不锈钢磨砂板折弯焊接；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个万向轮，其中带2个刹车。</w:t>
            </w:r>
            <w:r>
              <w:rPr>
                <w:rFonts w:hint="eastAsia" w:ascii="宋体" w:hAnsi="宋体" w:eastAsia="宋体" w:cs="宋体"/>
                <w:i w:val="0"/>
                <w:iCs w:val="0"/>
                <w:color w:val="000000"/>
                <w:sz w:val="18"/>
                <w:szCs w:val="18"/>
                <w:highlight w:val="none"/>
                <w:u w:val="none"/>
                <w:lang w:val="en-US" w:eastAsia="zh-CN" w:bidi="ar-SA"/>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商用冷冻烤盘柜</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1.额定电压:220V/50Hz；</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2.盘数： ≥14 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3.温度范围：-5℃至-25℃;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4.功率： ≥380W；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5.规格尺寸（长*宽*高）：625*830*1980mm±50mm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酥皮机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刻度调节准确，压面力度/厚度随意调整，压面速度可控双向调节手柄与脚踏板，手调与脚调方便调节来回压面；自动滚压，与食物接触的表面采用食品级不锈钢材质纯铜电机耐用稳定</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尺寸：2430*880*1230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压棍长度：380mm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6</w:t>
            </w:r>
            <w:r>
              <w:rPr>
                <w:rStyle w:val="972"/>
                <w:rFonts w:hint="eastAsia" w:ascii="宋体" w:hAnsi="宋体" w:eastAsia="宋体" w:cs="宋体"/>
                <w:sz w:val="18"/>
                <w:szCs w:val="18"/>
                <w:highlight w:val="none"/>
                <w:lang w:val="en-US" w:eastAsia="zh-CN" w:bidi="ar"/>
              </w:rPr>
              <w:t xml:space="preserve">kg全自动搅面机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3500w</w:t>
            </w:r>
            <w:r>
              <w:rPr>
                <w:rStyle w:val="972"/>
                <w:rFonts w:hint="eastAsia" w:ascii="宋体" w:hAnsi="宋体" w:eastAsia="宋体" w:cs="宋体"/>
                <w:sz w:val="18"/>
                <w:szCs w:val="18"/>
                <w:highlight w:val="none"/>
                <w:lang w:val="en-US" w:eastAsia="zh-CN" w:bidi="ar"/>
              </w:rPr>
              <w:t xml:space="preserve"> 电磁炉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外观尺寸：350*440*105，220v3.5kw</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立式双动双速和面机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立式打蛋机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多功能搅拌机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双缸电炸炉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10L×2，温控精准</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压面机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电源：AC 220</w:t>
            </w:r>
            <w:r>
              <w:rPr>
                <w:rFonts w:hint="eastAsia" w:ascii="宋体" w:hAnsi="宋体" w:eastAsia="宋体" w:cs="宋体"/>
                <w:i w:val="0"/>
                <w:iCs w:val="0"/>
                <w:color w:val="000000"/>
                <w:sz w:val="18"/>
                <w:szCs w:val="18"/>
                <w:highlight w:val="none"/>
                <w:u w:val="none"/>
                <w:lang w:val="en-US" w:eastAsia="zh-CN"/>
              </w:rPr>
              <w:t xml:space="preserve">V</w:t>
            </w:r>
            <w:r/>
            <w:r>
              <w:rPr>
                <w:rFonts w:hint="eastAsia" w:ascii="宋体" w:hAnsi="宋体" w:eastAsia="宋体" w:cs="宋体"/>
                <w:i w:val="0"/>
                <w:iCs w:val="0"/>
                <w:color w:val="000000"/>
                <w:sz w:val="18"/>
                <w:szCs w:val="18"/>
                <w:highlight w:val="none"/>
                <w:u w:val="none"/>
                <w:lang w:val="en-US" w:eastAsia="zh-CN"/>
              </w:rPr>
              <w:t xml:space="preserve">/380V,50Hz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全自动醒发箱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经腐蚀试验后的试样和试件的评级》的厨房用具耐腐蚀等级认证证书等，且耐腐蚀等级≥10级（试验周期≥96h的中性盐雾试验）</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自动揉面机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与食物接触的表面采用食品级不锈钢材质；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拥有稳固的设计，精密的结构；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纯铜电机，更加耐用稳定；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不锈钢滚轴，干净易清洗；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外形尺寸(宽*深*高）mm：626*490*1090H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电饼铛</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锅深：30/50mm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ascii="宋体" w:hAnsi="宋体" w:eastAsia="宋体" w:cs="宋体"/>
                <w:i w:val="0"/>
                <w:iCs w:val="0"/>
                <w:color w:val="000000"/>
                <w:sz w:val="18"/>
                <w:szCs w:val="18"/>
                <w:highlight w:val="none"/>
                <w:u w:val="none"/>
                <w:lang w:val="en-US"/>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多功能厨师机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四门双温冰箱</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容积：1100L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电压：220PE                                                                                                                                                                                                                                            频率：50/60Hz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功率：960W                                                                                                               </w:t>
            </w:r>
            <w:r>
              <w:rPr>
                <w:rFonts w:hint="eastAsia" w:ascii="宋体" w:hAnsi="宋体" w:eastAsia="宋体" w:cs="宋体"/>
                <w:i w:val="0"/>
                <w:iCs w:val="0"/>
                <w:color w:val="000000"/>
                <w:sz w:val="18"/>
                <w:szCs w:val="18"/>
                <w:highlight w:val="none"/>
                <w:u w:val="none"/>
                <w:lang w:val="en-US" w:eastAsia="zh-CN"/>
              </w:rPr>
              <w:t xml:space="preserve">                                                                                             制冷方式：风冷式                                                                                                                                                           </w:t>
            </w:r>
            <w:r>
              <w:rPr>
                <w:rFonts w:hint="eastAsia" w:ascii="宋体" w:hAnsi="宋体" w:eastAsia="宋体" w:cs="宋体"/>
                <w:i w:val="0"/>
                <w:iCs w:val="0"/>
                <w:color w:val="000000"/>
                <w:sz w:val="18"/>
                <w:szCs w:val="18"/>
                <w:highlight w:val="none"/>
                <w:u w:val="none"/>
                <w:lang w:val="en-US" w:eastAsia="zh-CN"/>
              </w:rPr>
              <w:t xml:space="preserve">                                  温度范围：-18--22℃                                                                                                                                                                                                        制冷剂：R404a</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内部尺寸：1250*683*1384H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电磁煲仔锅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电磁炒锅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超轻音喷砂机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≥1000W；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2.电压：220V；</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3.气缸：双缸；</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4.启停： 自动启停；</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 ： ≥400*400*345mm。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无线打蛋机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2.手持式；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3.控制方式：滑动式；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4.空转转速： ≥1200 转/分；</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5.档位数： ≥5 档；</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6.电源：可充电。</w:t>
            </w:r>
            <w:r>
              <w:rPr>
                <w:rFonts w:hint="eastAsia" w:ascii="宋体" w:hAnsi="宋体" w:eastAsia="宋体" w:cs="宋体"/>
                <w:i w:val="0"/>
                <w:iCs w:val="0"/>
                <w:color w:val="000000"/>
                <w:sz w:val="18"/>
                <w:szCs w:val="18"/>
                <w:highlight w:val="none"/>
                <w:u w:val="none"/>
                <w:lang w:val="en-US" w:eastAsia="zh-CN" w:bidi="ar"/>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西式面点配套课程虚拟仿真资源</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1.总体要求：</w:t>
            </w:r>
            <w:r/>
          </w:p>
          <w:p>
            <w:pPr>
              <w:pStyle w:val="754"/>
              <w:ind w:lef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ascii="SimSun" w:hAnsi="SimSun" w:eastAsia="SimSun" w:cs="SimSun"/>
                <w:color w:val="000000"/>
                <w:sz w:val="18"/>
              </w:rPr>
              <w:t xml:space="preserve">包含▲智能搜索引擎、▲课程管理模块、▲题库（对各种题型分类管理，支持分类筛选和搜索功能）、作业、考核模块、▲教学辅助模块、▲包含教学、实训、练习、考试四个模块内容等教学系统、实训系统、考核管理系统等为一体的综合平台。系统基于“Web3D虚拟现实平台“运行的网络虚拟实验3D环境，采用虚拟现实技术制作各种实验设备及其部件，并具有逼真3D互动虚拟实验、3D动画演示与相关原理文字自动同步显示等功能。另外，通过平台可以动手对实验设备进行虚拟仿真操作。系统以3D互动方式直观展现各类三维模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 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（1）个人中心模块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A、我的收藏，保存用户收藏的课程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B、学习记录，记录用户学习的课程进度记录，可快速进入课程继续学习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C、资料修改，可修改用户个人资料，包括个人资料、头像、修改密码等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D、好友管理，具有好友列表，可查看发出请求、好友请求、添加好友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（2）教学辅助模块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A、平台具有课程讨论功能，用户可查看帖子和发帖，可回复他人的发帖，讨论与本课程相关的问题进行师生互动。</w:t>
            </w:r>
            <w:r>
              <w:rPr>
                <w:rFonts w:hint="eastAsia" w:ascii="宋体" w:hAnsi="宋体" w:eastAsia="宋体" w:cs="宋体"/>
                <w:i w:val="0"/>
                <w:iCs w:val="0"/>
                <w:color w:val="000000"/>
                <w:sz w:val="18"/>
                <w:szCs w:val="18"/>
                <w:highlight w:val="none"/>
                <w:u w:val="none"/>
                <w:lang w:val="en-US" w:eastAsia="zh-CN" w:bidi="ar"/>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B、平台具有随堂笔记功能，用户可对自己课程下的知识内容进行实时记录。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（3）用户管理模块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A、平台具有用户管理功能，可添加新用户，查询、详情、编辑用户信息。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B、平台可向用户发送密码重置。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C、平台可记录用户登录日志，可按时间段、用户名、邮箱来搜索查看用户的登录。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（4）智能导学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平台具有智能导学功能，可为用户提供实时的智能指导。在用户学习课程遇到困难时，智能导学功能可通过文字信息，实时指导用户下一步操作，进而完成该课程的学习。可实时跟踪和记录客户当前的操作。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（5）3D可视化编辑器</w:t>
            </w:r>
            <w:r>
              <w:rPr>
                <w:rFonts w:hint="eastAsia" w:ascii="宋体" w:hAnsi="宋体" w:eastAsia="宋体" w:cs="宋体"/>
                <w:i w:val="0"/>
                <w:iCs w:val="0"/>
                <w:color w:val="000000"/>
                <w:sz w:val="18"/>
                <w:szCs w:val="18"/>
                <w:highlight w:val="none"/>
                <w:u w:val="none"/>
                <w:lang w:val="en-US" w:eastAsia="zh-CN" w:bidi="ar"/>
              </w:rPr>
              <w:br w:type="textWrapping" w:clear="all"/>
            </w:r>
            <w:r>
              <w:rPr>
                <w:rFonts w:ascii="SimSun" w:hAnsi="SimSun" w:eastAsia="SimSun" w:cs="SimSun"/>
                <w:color w:val="000000"/>
                <w:sz w:val="18"/>
              </w:rPr>
              <w:t xml:space="preserve">平台内置Web3D可视化编辑器，用户可自行开发课件内容，并且自己建三维模型及制作三维动画，或对平台现有的三维型和动画进行编辑修改。平台内置Web3D可视化编辑器支持多种文件的转换与应用。</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bl>
    <w:p>
      <w:pPr>
        <w:pStyle w:val="754"/>
        <w:rPr>
          <w:rFonts w:hint="eastAsia"/>
          <w:highlight w:val="none"/>
        </w:rPr>
      </w:pPr>
      <w:r>
        <w:rPr>
          <w:rFonts w:hint="eastAsia"/>
          <w:highlight w:val="none"/>
        </w:rPr>
      </w:r>
      <w:r/>
    </w:p>
    <w:p>
      <w:pPr>
        <w:pStyle w:val="754"/>
        <w:numPr>
          <w:ilvl w:val="0"/>
          <w:numId w:val="0"/>
        </w:numPr>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754"/>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756"/>
        <w:rPr>
          <w:rFonts w:hint="eastAsia" w:ascii="宋体" w:hAnsi="宋体" w:eastAsia="宋体" w:cs="宋体"/>
          <w:b/>
          <w:sz w:val="18"/>
          <w:szCs w:val="18"/>
          <w:highlight w:val="none"/>
          <w:lang w:val="en-US" w:eastAsia="zh-CN"/>
        </w:rPr>
      </w:pPr>
      <w:r>
        <w:rPr>
          <w:rFonts w:hint="eastAsia" w:ascii="宋体" w:hAnsi="宋体" w:eastAsia="宋体" w:cs="宋体"/>
          <w:b/>
          <w:sz w:val="18"/>
          <w:szCs w:val="18"/>
          <w:highlight w:val="none"/>
          <w:lang w:val="en-US" w:eastAsia="zh-CN"/>
        </w:rPr>
        <w:t xml:space="preserve">2、中式面点实训室（大师工作室）</w:t>
      </w:r>
      <w:r>
        <w:rPr>
          <w:rFonts w:hint="eastAsia" w:ascii="宋体" w:hAnsi="宋体" w:eastAsia="宋体" w:cs="宋体"/>
          <w:b/>
          <w:sz w:val="18"/>
          <w:szCs w:val="18"/>
          <w:highlight w:val="none"/>
          <w:lang w:val="en-US" w:eastAsia="zh-CN"/>
        </w:rPr>
      </w:r>
      <w:r/>
    </w:p>
    <w:tbl>
      <w:tblPr>
        <w:tblStyle w:val="802"/>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300"/>
        <w:gridCol w:w="5051"/>
        <w:gridCol w:w="764"/>
        <w:gridCol w:w="764"/>
      </w:tblGrid>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序号</w:t>
            </w:r>
            <w:r>
              <w:rPr>
                <w:rFonts w:hint="eastAsia" w:ascii="宋体" w:hAnsi="宋体" w:eastAsia="宋体" w:cs="宋体"/>
                <w:b/>
                <w:i w:val="0"/>
                <w:iCs w:val="0"/>
                <w:color w:val="000000"/>
                <w:sz w:val="18"/>
                <w:szCs w:val="18"/>
                <w:highlight w:val="none"/>
                <w:u w:val="none"/>
                <w:lang w:val="en-US" w:eastAsia="zh-CN" w:bidi="ar"/>
              </w:rPr>
            </w:r>
            <w:r/>
          </w:p>
        </w:tc>
        <w:tc>
          <w:tcPr>
            <w:tcW w:w="1300"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货物名称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技术参数</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数量</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单位</w:t>
            </w:r>
            <w:r>
              <w:rPr>
                <w:rFonts w:hint="eastAsia" w:ascii="宋体" w:hAnsi="宋体" w:eastAsia="宋体" w:cs="宋体"/>
                <w:b/>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w:t>
            </w:r>
            <w:r>
              <w:rPr>
                <w:rFonts w:hint="eastAsia" w:ascii="宋体" w:hAnsi="宋体" w:eastAsia="宋体" w:cs="宋体"/>
                <w:i w:val="0"/>
                <w:iCs w:val="0"/>
                <w:color w:val="000000"/>
                <w:sz w:val="18"/>
                <w:szCs w:val="18"/>
                <w:highlight w:val="none"/>
                <w:u w:val="none"/>
                <w:lang w:val="en-US" w:eastAsia="zh-CN"/>
              </w:rPr>
              <w:t xml:space="preserve">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饼盆车</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 ≥470*620*1800mm（单位：mm，尺寸允许偏离： ±5%）；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 (厚度允许偏差为± 0.05mm)38mm*38mm 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 1.2mm 厚(厚度允许偏差为± 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 2 个刹车。</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多功能厨师机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6kg全自动搅面机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电磁单头蒸炉</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单头 锅径60cm 220V 6KW</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速冻冰箱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2盘 -40°C</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9</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柜式单星盆工作台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台面采用不锈钢材质</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电磁煲仔锅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立式双动双速和面机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立式打蛋机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压面机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电源：AC 220</w:t>
            </w:r>
            <w:r>
              <w:rPr>
                <w:rFonts w:hint="eastAsia" w:ascii="宋体" w:hAnsi="宋体" w:eastAsia="宋体" w:cs="宋体"/>
                <w:i w:val="0"/>
                <w:iCs w:val="0"/>
                <w:color w:val="000000"/>
                <w:sz w:val="18"/>
                <w:szCs w:val="18"/>
                <w:highlight w:val="none"/>
                <w:u w:val="none"/>
                <w:lang w:val="en-US" w:eastAsia="zh-CN"/>
              </w:rPr>
              <w:t xml:space="preserve">V</w:t>
            </w:r>
            <w:r/>
            <w:r>
              <w:rPr>
                <w:rFonts w:hint="eastAsia" w:ascii="宋体" w:hAnsi="宋体" w:eastAsia="宋体" w:cs="宋体"/>
                <w:i w:val="0"/>
                <w:iCs w:val="0"/>
                <w:color w:val="000000"/>
                <w:sz w:val="18"/>
                <w:szCs w:val="18"/>
                <w:highlight w:val="none"/>
                <w:u w:val="none"/>
                <w:lang w:val="en-US" w:eastAsia="zh-CN"/>
              </w:rPr>
              <w:t xml:space="preserve">/380V,50Hz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15</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全自动醒发箱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经腐蚀试验后的试样和试件的评级》的厨房用具耐腐蚀等级认证证书等，且耐腐蚀等级≥10级（试验周期≥96h的中性盐雾试验）</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16</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7升奶油机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电压：220V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功率：0.38KW</w:t>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ascii="SimSun" w:hAnsi="SimSun" w:eastAsia="SimSun" w:cs="SimSun"/>
                <w:color w:val="000000"/>
                <w:sz w:val="18"/>
              </w:rPr>
              <w:t xml:space="preserve">外形尺寸：411/212/389mm</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18</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制冰机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60kg/24h</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sz w:val="18"/>
                <w:szCs w:val="18"/>
                <w:highlight w:val="none"/>
                <w:vertAlign w:val="baseline"/>
              </w:rPr>
              <w:t xml:space="preserve">台</w:t>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19</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多功能搅拌机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食品接触用金属材料及制品》的食品接触产品安全认证证书等</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裱花转台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冷藏裱花台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台式，带制冷台面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正方形烤盘</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只</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蒸箱（煤气）</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1.产品尺寸(mm)：710*650*1655mm±100mm；2.蒸盘数量：12盘；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3.蒸盘尺寸(mm)：400*600*50mm±5mm。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24</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烘干机</w:t>
            </w:r>
            <w:r>
              <w:rPr>
                <w:rFonts w:hint="eastAsia"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25KG钛灰金</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i w:val="0"/>
                <w:iCs w:val="0"/>
                <w:color w:val="000000"/>
                <w:sz w:val="18"/>
                <w:szCs w:val="18"/>
                <w:highlight w:val="none"/>
                <w:u w:val="none"/>
                <w:lang w:val="en-US" w:eastAsia="zh-CN"/>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实训场地美化装饰</w:t>
            </w:r>
            <w:r>
              <w:rPr>
                <w:rFonts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 整体设计风格要求简洁大气、色彩协调、具有科技感和专业文化氛围，符合实训室功能定位和采购人视觉形象规范。</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 所有材料必须符合国家环保标准，甲醛、VOC等有害物质限量满足GB 18580、GB 18581等相关标准要求；防火等级满足GB 50222《建筑内部装修设计防火规范》要求。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 装饰面材应满足防火、防潮、防尘、易清洁、耐腐蚀的基本要求；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 供应商须在合同签订后5个工作日内提交深化设计方案（含3D效果图、平面布置图、施工图、材料样板及材质说明），经采购人书面确认后方可施工。施工过程中采购人有权提出合理调整意见，供应商应在3个工作日内完成方案修改。</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 施工期间须采取降噪、防尘、封闭隔离措施，不得影响周边正常教学、办公及实验秩序。施工垃圾每日清理出场，完工后现场清洁达标。</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 所有材料进场时须提供产品合格证、检测报告及环保认证文件；关键材料（防火板、软膜、乳胶漆、PVC板等）须按采购人要求抽样复检。</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7、包括吊顶、地面、电气及照明工程、门窗及配套工程等交钥匙工程。</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批</w:t>
            </w:r>
            <w:r>
              <w:rPr>
                <w:rFonts w:hint="eastAsia" w:ascii="宋体" w:hAnsi="宋体" w:eastAsia="宋体" w:cs="宋体"/>
                <w:i w:val="0"/>
                <w:iCs w:val="0"/>
                <w:color w:val="000000"/>
                <w:sz w:val="18"/>
                <w:szCs w:val="18"/>
                <w:highlight w:val="none"/>
                <w:u w:val="none"/>
                <w:lang w:val="en-US" w:eastAsia="zh-CN"/>
              </w:rPr>
            </w:r>
            <w:r/>
          </w:p>
        </w:tc>
      </w:tr>
    </w:tbl>
    <w:p>
      <w:pPr>
        <w:pStyle w:val="754"/>
        <w:rPr>
          <w:highlight w:val="none"/>
        </w:rPr>
      </w:pPr>
      <w:r>
        <w:rPr>
          <w:highlight w:val="none"/>
        </w:rPr>
      </w:r>
      <w:r/>
    </w:p>
    <w:p>
      <w:pPr>
        <w:pStyle w:val="756"/>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3、会议室竞赛评分室</w:t>
      </w:r>
      <w:r>
        <w:rPr>
          <w:rFonts w:hint="eastAsia" w:ascii="宋体" w:hAnsi="宋体" w:eastAsia="宋体" w:cs="宋体"/>
          <w:b/>
          <w:sz w:val="24"/>
          <w:szCs w:val="24"/>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10"/>
        <w:gridCol w:w="4218"/>
        <w:gridCol w:w="828"/>
        <w:gridCol w:w="828"/>
      </w:tblGrid>
      <w:tr>
        <w:trPr>
          <w:tblHeader/>
        </w:trPr>
        <w:tc>
          <w:tcPr>
            <w:tcW w:w="638" w:type="dxa"/>
            <w:vAlign w:val="center"/>
            <w:textDirection w:val="lrTb"/>
            <w:noWrap/>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序号</w:t>
            </w:r>
            <w:r>
              <w:rPr>
                <w:rFonts w:ascii="宋体" w:hAnsi="宋体" w:eastAsia="宋体" w:cs="宋体"/>
                <w:b/>
                <w:i w:val="0"/>
                <w:iCs w:val="0"/>
                <w:color w:val="000000"/>
                <w:sz w:val="21"/>
                <w:szCs w:val="21"/>
                <w:highlight w:val="none"/>
                <w:u w:val="none"/>
                <w:lang w:val="en-US" w:eastAsia="zh-CN" w:bidi="ar"/>
              </w:rPr>
            </w:r>
            <w:r/>
          </w:p>
        </w:tc>
        <w:tc>
          <w:tcPr>
            <w:tcW w:w="2010"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21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技术参数</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数量</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c>
          <w:tcPr>
            <w:tcW w:w="638"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1</w:t>
            </w:r>
            <w:r>
              <w:rPr>
                <w:rFonts w:hint="eastAsia" w:ascii="宋体" w:hAnsi="宋体" w:eastAsia="宋体" w:cs="宋体"/>
                <w:i w:val="0"/>
                <w:iCs w:val="0"/>
                <w:color w:val="000000"/>
                <w:sz w:val="18"/>
                <w:szCs w:val="20"/>
                <w:highlight w:val="none"/>
                <w:u w:val="none"/>
                <w:lang w:val="en-US" w:eastAsia="zh-CN"/>
              </w:rPr>
            </w:r>
            <w:r/>
          </w:p>
        </w:tc>
        <w:tc>
          <w:tcPr>
            <w:tcW w:w="2010"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AI 触屏示教系统</w:t>
            </w:r>
            <w:r>
              <w:rPr>
                <w:rFonts w:hint="eastAsia" w:ascii="宋体" w:hAnsi="宋体" w:eastAsia="宋体" w:cs="宋体"/>
                <w:i w:val="0"/>
                <w:iCs w:val="0"/>
                <w:color w:val="000000"/>
                <w:sz w:val="18"/>
                <w:szCs w:val="20"/>
                <w:highlight w:val="none"/>
                <w:u w:val="none"/>
                <w:lang w:val="en-US" w:eastAsia="zh-CN"/>
              </w:rPr>
            </w:r>
            <w:r/>
          </w:p>
        </w:tc>
        <w:tc>
          <w:tcPr>
            <w:tcW w:w="4218" w:type="dxa"/>
            <w:vAlign w:val="center"/>
            <w:textDirection w:val="lrTb"/>
            <w:noWrap w:val="false"/>
          </w:tcPr>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1、整机屏幕需采用UHD超高清A规LED液晶屏，屏幕显示尺寸≥86英寸，显示比例16:9，屏幕图像分辨率≥3840*2160。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2、液晶显示层与钢化玻璃层需采用零贴合设计。</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3、整机需采用全金属外壳材质，三拼接平面一体化设计，主副屏过渡平滑并在同一平面，中间无单独边框阻隔，屏幕边缘采用圆角包边防护，整机背板采用金属材质。</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4、整机主屏和整机两侧副板需支持普通粉笔、液体粉笔、水溶性粉笔直接书写。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5、整机需采用内置摄像头、麦克风，需支持无需外接线材连接和任何可见外接线材及模块化拼接痕迹，不占用整机外部设备接口。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▲6、整机需支持前置物理接口不少于5个，所有接口均采用非转接方式，包含1路HDMI接口、2路双通道USB接口(Windows和Android系统均能被识别）、1路Type-C接口（支持全功能PD 65W）、1路USB-Type-B接口（Touch），提供测试报告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▲7、Type-C 接口需具备全功能，最大输出功率达到≥65W；支持Type-C 线正反插；支持4K 60Hz视频格式；支持双通道USB，提供测试报告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▲8、整机后置物理接口需不少于11个，包含≥2路HDMI、≥2路USB、≥1路RS232、≥1路RJ45、≥1路TOUCH  USB(触控输出接口)、≥1路mic in3.5mm、≥1路LINE out 3.5mm、≥1路Coax、≥1路TF Card，提供测试报告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9、整机需支持具有防浪涌、防静电、防辐射、防划伤、触摸屏防遮挡安全保护措施；整机需支持内置环境光感传感器，支持根据环境光自动调节整机亮度。</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10、整机自带Android操作系统， 系统版本≥Android 14，≥八核处理器，内存≥4GB，存储空间≥32GB，提供测试报告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▲11、需支持通过口语表达快速返回系统桌面、选人和打开白板、亮度调整、声音大小调整、打开资源库和课本、计时器、AI 录课、上一页、下一页，提供测试报告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▲12、支持在整机运行环境下，配套教学设备如智能笔实时显示连接状态，并支持监控当前电量百分比，提供测试报告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▲13、在整机运行环境下，需支持自适应扩音优化、防啸叫算法能力；支持配套智能教学笔通过整机实现高质量扩音，THD≤1%，啸叫距离≤20cm，提供测试报告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14、在整机系统运行环境下需支持多种人机交互能力，如点击屏幕、语音控制。</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15、整机需内置 2.2 声道扬声器，位于设备下边框出音，20W全频扬声器2个，10W高音扬声器2个，额定总功率≥60W，语言清晰度（STI-PA）≥0.75。</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16、整机需支持自定义音频设置功能，在左右声道平衡显示范围中进行更改，分贝显示-12dB~12dB 调节范围，中低频段显示调节范围120Hz~1.5KHz，高频段显示调节范围5KHz~10KHz，提供测试报告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17、整机扬声器需支持在100%音量下，1米处声压级≥90dB，10米处声压级≥84dB，1米到10米距离内响度差距≤6dB，声场覆盖85%区域内响度差异≤6dB，提供测试报告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18、 整机屏体需支持亮度≥350cd/m²，色彩覆盖率≥72%NTSC，对比度≥1200：1。</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19、整机屏体需支持无需操作即可实现蓝光防护，具备物理防蓝光（过滤蓝光）功能，有效抗蓝光、防眩光，蓝光占比（有害蓝光 415～455nm 能量综合）/（整体蓝光 400～500 能量综合）＜50%，低蓝光保护显示不偏色、不泛黄。</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20、整机屏幕需采用全物理钢化玻璃，表面硬度≥9H、莫氏≥7级，钢化玻璃透光率≥88%，钢化玻璃厚度≤4mm。</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▲21、整机需具备智能书写护眼模式，可做到屏幕书写过程中逐步降低整机背光亮度至50%，降低色温≤6500K，提供测试报告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22、需具备三合一电源按键，支持整机大屏开关机、OPS电脑开关机和息屏三合一，息屏后可实现降低功耗≥90%。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23、需支持一网通，仅需连接一根网线，Windows和Android系统均可实现上网功能。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24、整机内置蓝牙模块，需支持蓝牙Bluetooth 5.4标准，提供测试报告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▲25、整机需内置高清广角摄像头，结构采用非独立设计。支持3D降噪算法，图像信噪比≥40db，支持输出MJPG视频格式，提供测试报告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26、整机需内置非独立外扩展麦克风阵列，麦克风数量≥8个，可用于对教室环境音频进行采集，整机拾音距离≥12m，拾音角度≥180°；需支持≥4800万像素，可拍摄8000×6000的照片，支持输出4K图片 ，对角视场角≥135°，水平视场角≥120°，垂直视场角≥89°，以上均提供测试报告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▲27、智能降噪麦克风阵列，需支持远场拾音，高信噪比≥65db， 超高灵敏度≥-38db，支持 AGC、AEC、NN 智能AI降噪功能，提供测试报告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28、整机在安卓系统触控需支持≥40点触控及同时书写。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29、整机系统下需支持使用批注功能，清空批注内容、本地保存、添加新的批注页面、可切换书写笔颜色、粗细大小、扫码共享、板擦和最小化批注模式。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30、整机系统下需支持截屏功能，选择所需截取屏幕范围，全屏截图，点击截屏即可快速截取屏幕内容并保存。</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31、在整机系统下，需具备可通过功能键或手势实现一键降屏（窗口下移）功能，支持点击恢复显示全屏窗口。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32、安卓系统需支持自检功能，可检测整机内存，存储使用情况；可检测内置电脑，触控系统、光感系统，屏体温度相关硬件状态，可判断硬件是否正常工作。</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33、整机需具备前置Type-C接口，支持音视频输入。通过双头Type-C线将外接电脑设备连接至整机，可把外接电脑设备画面投到整机上，同时可在整机上操作画面，可实现反向触控电脑的操作，无需再连接额外的触控USB线。</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34、 整机需支持半屏模式，将Windows显示画面上半部分下拉到屏幕下半部分显示，且可正常触控操作Windows系统，点击非 Windows显示画面区域（屏幕上半部分），可退出该模式。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35、Android系统下，整机内置书写白板，需支持新建、橡皮擦、圈选、思维导图工具、本地保存、云盘分享、扫码分享、邮件分享、导出、设置、退出功能。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OPS：</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color w:val="000000"/>
                <w:sz w:val="18"/>
                <w:szCs w:val="18"/>
                <w:highlight w:val="none"/>
                <w:lang w:val="en-US" w:eastAsia="zh-CN"/>
              </w:rPr>
              <w:t xml:space="preserve">▲35、内置人工智能大模型。</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二、内置OPS主机</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1.cpu：12核‌‌：最高4.90 GHz‌缓存‌：25MB 智能缓存‌功耗‌：基础65W，涡轮上限180W‌内存支持‌：DDR5 4800MT/s 或 DDR4 3200MT/s，最大128GB；内存：8G DDR4，硬盘：256G SSD</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2.USB接口要求：USB3.0+USB2.0不少于6个，其中高速USB3.0不少于3个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3.其他接口要求：网络接口不少于1个，DP输出接口不少于1个，HDMI不少于1个，耳机不少于1个，麦克风输入接口不少于1个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4.Wi-Fi：需支持802.11b/g/n/ac；蓝牙需支持Bluetooth 4.2以上</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三、智能笔</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1、在教学系统运行环境下，智能笔可通过一个按键切换画笔颜色与板擦，支持一键切换颜色不少于2种，且支持教师自定义。</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▲2、搭配智能笔需支持上下翻页，飞鼠和虚拟激光笔功能，需支持与大屏一体机实现磁吸充电，支持智能笔贴放至一体机大屏放置区域磁吸后可自动登录教学应用系统，无需教师手动输入账号和密码。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3、搭配智能笔在一体机大屏端教学系统运行环境下针对 Windows 系统和教学系统支持语音指令能力，能够通过语音指令支持唤醒语音识别时，可直接通过语音打开 PC 内已安装的相关应用、可直接通过语音调用网络搜索引擎搜索查询相应资料、可进行语音转写输入、支持 PPT 上下翻页，音量大小调整，返回桌面等操作。</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▲4、在教学系统运行环境下，提供智能笔全局扩音功能，扩音延迟≤30ms，满足教师移动教学需要。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四、展台</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1.展台像素：采用1200万像素摄像头。1080P动态视频预览达到30帧/秒；托板及挂墙部分采用金属加强，托板可承重3kg，整机壁挂式安装。</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2.采用USB五伏接口，单根USB线实现数据传输和供电，在超五米远距离传输时可选择辅助供电，确保高清数据和供电传输的稳定性，环保无辐射，箱内USB连线采用隐藏式设计，且USB口下出，有效防止积尘。</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3.产品有下出和侧出接口（USB*2），壁挂主场景为主，同时兼顾桌面摆放的次场景需求。</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4.整机自带LED补光灯，可触摸式三级灯光调节，满足光生物安全要求，同时可通过交互智能设备中的软件直接控制调整。</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5.对焦方式：AF自动+MF按需对焦技术，避免画面展示过程中由于纸张移动或阴影变化反复对焦。</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6.支持抬臂自启。</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7.软件基础功能：可预设画笔批注的粗细及颜色，支持对展台画面进行移动、缩放。</w:t>
            </w:r>
            <w:r>
              <w:rPr>
                <w:rFonts w:hint="eastAsia"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2</w:t>
            </w:r>
            <w:r>
              <w:rPr>
                <w:rFonts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套</w:t>
            </w:r>
            <w:r>
              <w:rPr>
                <w:rFonts w:ascii="宋体" w:hAnsi="宋体" w:eastAsia="宋体" w:cs="宋体"/>
                <w:i w:val="0"/>
                <w:iCs w:val="0"/>
                <w:color w:val="000000"/>
                <w:sz w:val="18"/>
                <w:szCs w:val="20"/>
                <w:highlight w:val="none"/>
                <w:u w:val="none"/>
                <w:lang w:val="en-US" w:eastAsia="zh-CN"/>
              </w:rPr>
            </w:r>
            <w:r/>
          </w:p>
        </w:tc>
      </w:tr>
    </w:tbl>
    <w:p>
      <w:pPr>
        <w:pStyle w:val="754"/>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p>
      <w:pPr>
        <w:pStyle w:val="756"/>
        <w:rPr>
          <w:rFonts w:hint="eastAsia" w:ascii="宋体" w:hAnsi="宋体" w:eastAsia="宋体" w:cs="宋体"/>
          <w:b/>
          <w:bCs/>
          <w:sz w:val="24"/>
          <w:szCs w:val="24"/>
          <w:highlight w:val="none"/>
          <w:lang w:eastAsia="zh-CN"/>
        </w:rPr>
      </w:pPr>
      <w:r>
        <w:rPr>
          <w:rFonts w:hint="eastAsia" w:eastAsia="宋体"/>
          <w:highlight w:val="none"/>
          <w:lang w:val="en-US" w:eastAsia="zh-CN"/>
        </w:rPr>
        <w:br w:type="page" w:clear="all"/>
      </w:r>
      <w:r>
        <w:rPr>
          <w:rFonts w:hint="eastAsia" w:ascii="仿宋" w:hAnsi="仿宋" w:eastAsia="仿宋" w:cs="仿宋"/>
          <w:b/>
          <w:sz w:val="24"/>
          <w:szCs w:val="24"/>
          <w:highlight w:val="none"/>
          <w:lang w:val="en-US" w:eastAsia="zh-CN"/>
        </w:rPr>
        <w:t xml:space="preserve">4、</w:t>
      </w:r>
      <w:r>
        <w:rPr>
          <w:rFonts w:hint="eastAsia" w:ascii="宋体" w:hAnsi="宋体" w:eastAsia="宋体" w:cs="宋体"/>
          <w:b/>
          <w:bCs/>
          <w:sz w:val="24"/>
          <w:szCs w:val="24"/>
          <w:highlight w:val="none"/>
        </w:rPr>
        <w:t xml:space="preserve">多媒体信息化设备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中式+西式+中式大师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9"/>
        <w:gridCol w:w="744"/>
        <w:gridCol w:w="6219"/>
        <w:gridCol w:w="520"/>
        <w:gridCol w:w="520"/>
      </w:tblGrid>
      <w:tr>
        <w:trPr>
          <w:tblHeader/>
        </w:trPr>
        <w:tc>
          <w:tcPr>
            <w:tcW w:w="872" w:type="dxa"/>
            <w:vAlign w:val="center"/>
            <w:textDirection w:val="lrTb"/>
            <w:noWrap w:val="false"/>
          </w:tcPr>
          <w:p>
            <w:pPr>
              <w:pStyle w:val="754"/>
              <w:ind w:left="0" w:right="0" w:firstLine="0"/>
              <w:jc w:val="center"/>
              <w:spacing w:line="240" w:lineRule="auto"/>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序号</w:t>
            </w:r>
            <w:r>
              <w:rPr>
                <w:rFonts w:hint="eastAsia" w:ascii="宋体" w:hAnsi="宋体" w:eastAsia="宋体"/>
                <w:b/>
                <w:bCs/>
                <w:color w:val="000000"/>
                <w:sz w:val="21"/>
                <w:szCs w:val="21"/>
                <w:highlight w:val="none"/>
                <w:lang w:val="en-US" w:eastAsia="zh-CN"/>
              </w:rPr>
            </w:r>
            <w:r/>
          </w:p>
        </w:tc>
        <w:tc>
          <w:tcPr>
            <w:tcW w:w="1385" w:type="dxa"/>
            <w:vAlign w:val="center"/>
            <w:textDirection w:val="lrTb"/>
            <w:noWrap w:val="false"/>
          </w:tcPr>
          <w:p>
            <w:pPr>
              <w:pStyle w:val="754"/>
              <w:ind w:left="0" w:right="0" w:firstLine="0"/>
              <w:jc w:val="center"/>
              <w:spacing w:line="240" w:lineRule="auto"/>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设备名称</w:t>
            </w:r>
            <w:r>
              <w:rPr>
                <w:rFonts w:ascii="宋体" w:hAnsi="宋体" w:eastAsia="宋体"/>
                <w:b/>
                <w:bCs/>
                <w:color w:val="000000"/>
                <w:sz w:val="21"/>
                <w:szCs w:val="21"/>
                <w:highlight w:val="none"/>
                <w:lang w:val="en-US" w:eastAsia="zh-CN"/>
              </w:rPr>
            </w:r>
            <w:r/>
          </w:p>
        </w:tc>
        <w:tc>
          <w:tcPr>
            <w:tcW w:w="452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技术参数</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数量</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单位</w:t>
            </w:r>
            <w:r>
              <w:rPr>
                <w:rFonts w:ascii="宋体" w:hAnsi="宋体"/>
                <w:b/>
                <w:bCs/>
                <w:color w:val="000000"/>
                <w:sz w:val="21"/>
                <w:szCs w:val="21"/>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s="Times New Roman"/>
                <w:color w:val="000000"/>
                <w:sz w:val="18"/>
                <w:szCs w:val="18"/>
                <w:highlight w:val="none"/>
              </w:rPr>
              <w:t xml:space="preserve">无线传屏器</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一、</w:t>
            </w:r>
            <w:r>
              <w:rPr>
                <w:rFonts w:hint="eastAsia" w:ascii="宋体" w:hAnsi="宋体" w:eastAsia="宋体" w:cs="宋体"/>
                <w:color w:val="000000"/>
                <w:sz w:val="18"/>
                <w:szCs w:val="18"/>
                <w:highlight w:val="none"/>
              </w:rPr>
              <w:t xml:space="preserve">即插即用，免驱动：插HDMI+USB就能用，不用装软件</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1080P / 60Hz 高清投屏，毫秒级延迟</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多发一收：一个接收器最多支持 32个发射端，一键切换，互不干扰</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多系统兼容：Windows、Mac、iOS、Android 全平台支持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多种连接方式：NFC碰一碰、WiFi、蓝牙、投屏码、扫码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WiFi双频：2.4GHz + 5GHz（802.11 a/b/g/n/ac）</w:t>
            </w:r>
            <w:r>
              <w:rPr>
                <w:rFonts w:hint="eastAsia" w:ascii="宋体" w:hAnsi="宋体" w:eastAsia="宋体" w:cs="宋体"/>
                <w:color w:val="000000"/>
                <w:sz w:val="18"/>
                <w:szCs w:val="18"/>
                <w:highlight w:val="none"/>
              </w:rPr>
            </w:r>
            <w:r/>
          </w:p>
          <w:p>
            <w:pPr>
              <w:pStyle w:val="754"/>
              <w:numPr>
                <w:ilvl w:val="0"/>
                <w:numId w:val="3"/>
              </w:numPr>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AI会议功能</w:t>
            </w:r>
            <w:r>
              <w:rPr>
                <w:rFonts w:hint="eastAsia" w:ascii="宋体" w:hAnsi="宋体" w:eastAsia="宋体" w:cs="宋体"/>
                <w:color w:val="000000"/>
                <w:sz w:val="18"/>
                <w:szCs w:val="18"/>
                <w:highlight w:val="none"/>
              </w:rPr>
            </w:r>
            <w:r/>
          </w:p>
          <w:p>
            <w:pPr>
              <w:pStyle w:val="754"/>
              <w:numPr>
                <w:ilvl w:val="0"/>
                <w:numId w:val="0"/>
              </w:numPr>
              <w:ind w:right="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6阵列全向麦克风，拾音距离10米，支持回音消除</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实时语音转写：准确率98%，支持12种方言 + 8国语言</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-声纹分角色：多人会议自动识别不同说话人，按人分段</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智能会议纪要：自动提取要点、生成结构化纪要，会后可导出Word/PDF实时翻译字幕：中英日韩等20+语种互译，支持同声传译字幕</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rHeight w:val="1608"/>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2</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辅助教学显示终端</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38"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1.64</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位</w:t>
            </w:r>
            <w:r>
              <w:rPr>
                <w:rFonts w:hint="eastAsia" w:ascii="宋体" w:hAnsi="宋体" w:eastAsia="宋体" w:cs="宋体"/>
                <w:spacing w:val="-53"/>
                <w:sz w:val="18"/>
                <w:szCs w:val="18"/>
                <w:highlight w:val="none"/>
              </w:rPr>
              <w:t xml:space="preserve"> </w:t>
            </w:r>
            <w:r>
              <w:rPr>
                <w:rFonts w:hint="eastAsia" w:ascii="宋体" w:hAnsi="宋体" w:eastAsia="宋体" w:cs="宋体"/>
                <w:spacing w:val="-6"/>
                <w:sz w:val="18"/>
                <w:szCs w:val="18"/>
                <w:highlight w:val="none"/>
              </w:rPr>
              <w:t xml:space="preserve">4</w:t>
            </w:r>
            <w:r>
              <w:rPr>
                <w:rFonts w:hint="eastAsia" w:ascii="宋体" w:hAnsi="宋体" w:eastAsia="宋体" w:cs="宋体"/>
                <w:spacing w:val="-45"/>
                <w:sz w:val="18"/>
                <w:szCs w:val="18"/>
                <w:highlight w:val="none"/>
              </w:rPr>
              <w:t xml:space="preserve"> </w:t>
            </w:r>
            <w:r>
              <w:rPr>
                <w:rFonts w:hint="eastAsia" w:ascii="宋体" w:hAnsi="宋体" w:eastAsia="宋体" w:cs="宋体"/>
                <w:spacing w:val="-6"/>
                <w:sz w:val="18"/>
                <w:szCs w:val="18"/>
                <w:highlight w:val="none"/>
              </w:rPr>
              <w:t xml:space="preserve">核处理器；</w:t>
            </w:r>
            <w:r>
              <w:rPr>
                <w:rFonts w:hint="eastAsia" w:ascii="宋体" w:hAnsi="宋体" w:eastAsia="宋体" w:cs="宋体"/>
                <w:sz w:val="18"/>
                <w:szCs w:val="18"/>
                <w:highlight w:val="none"/>
              </w:rPr>
            </w:r>
            <w:r/>
          </w:p>
          <w:p>
            <w:pPr>
              <w:pStyle w:val="754"/>
              <w:ind w:left="0" w:right="0" w:firstLine="0"/>
              <w:jc w:val="left"/>
              <w:spacing w:before="24"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2.尺寸：</w:t>
            </w:r>
            <w:r>
              <w:rPr>
                <w:rFonts w:hint="eastAsia" w:ascii="宋体" w:hAnsi="宋体" w:eastAsia="宋体" w:cs="宋体"/>
                <w:spacing w:val="-83"/>
                <w:sz w:val="18"/>
                <w:szCs w:val="18"/>
                <w:highlight w:val="none"/>
              </w:rPr>
              <w:t xml:space="preserve"> </w:t>
            </w:r>
            <w:r>
              <w:rPr>
                <w:rFonts w:hint="eastAsia" w:ascii="宋体" w:hAnsi="宋体" w:eastAsia="宋体" w:cs="宋体"/>
                <w:spacing w:val="-6"/>
                <w:sz w:val="18"/>
                <w:szCs w:val="18"/>
                <w:highlight w:val="none"/>
              </w:rPr>
              <w:t xml:space="preserve">≥55</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英寸；</w:t>
            </w:r>
            <w:r>
              <w:rPr>
                <w:rFonts w:hint="eastAsia" w:ascii="宋体" w:hAnsi="宋体" w:eastAsia="宋体" w:cs="宋体"/>
                <w:sz w:val="18"/>
                <w:szCs w:val="18"/>
                <w:highlight w:val="none"/>
              </w:rPr>
            </w:r>
            <w:r/>
          </w:p>
          <w:p>
            <w:pPr>
              <w:pStyle w:val="754"/>
              <w:ind w:left="0" w:right="0" w:firstLine="0"/>
              <w:jc w:val="left"/>
              <w:spacing w:before="23" w:line="240" w:lineRule="auto"/>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3.存储内存：</w:t>
            </w:r>
            <w:r>
              <w:rPr>
                <w:rFonts w:hint="eastAsia" w:ascii="宋体" w:hAnsi="宋体" w:eastAsia="宋体" w:cs="宋体"/>
                <w:spacing w:val="-80"/>
                <w:sz w:val="18"/>
                <w:szCs w:val="18"/>
                <w:highlight w:val="none"/>
              </w:rPr>
              <w:t xml:space="preserve"> </w:t>
            </w:r>
            <w:r>
              <w:rPr>
                <w:rFonts w:hint="eastAsia" w:ascii="宋体" w:hAnsi="宋体" w:eastAsia="宋体" w:cs="宋体"/>
                <w:spacing w:val="-5"/>
                <w:sz w:val="18"/>
                <w:szCs w:val="18"/>
                <w:highlight w:val="none"/>
              </w:rPr>
              <w:t xml:space="preserve">≥8G；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4.运行内存：</w:t>
            </w:r>
            <w:r>
              <w:rPr>
                <w:rFonts w:hint="eastAsia" w:ascii="宋体" w:hAnsi="宋体" w:eastAsia="宋体" w:cs="宋体"/>
                <w:spacing w:val="-85"/>
                <w:sz w:val="18"/>
                <w:szCs w:val="18"/>
                <w:highlight w:val="none"/>
              </w:rPr>
              <w:t xml:space="preserve"> </w:t>
            </w:r>
            <w:r>
              <w:rPr>
                <w:rFonts w:hint="eastAsia" w:ascii="宋体" w:hAnsi="宋体" w:eastAsia="宋体" w:cs="宋体"/>
                <w:spacing w:val="-4"/>
                <w:sz w:val="18"/>
                <w:szCs w:val="18"/>
                <w:highlight w:val="none"/>
              </w:rPr>
              <w:t xml:space="preserve">≥2G；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5.刷频率：60Hz；</w:t>
            </w:r>
            <w:r>
              <w:rPr>
                <w:rFonts w:hint="eastAsia" w:ascii="宋体" w:hAnsi="宋体" w:eastAsia="宋体" w:cs="宋体"/>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6.分辨率：4K。</w:t>
            </w:r>
            <w:r>
              <w:rPr>
                <w:rFonts w:hint="eastAsia" w:ascii="宋体" w:hAnsi="宋体" w:eastAsia="宋体" w:cs="宋体"/>
                <w:spacing w:val="-2"/>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常态化录播互动一体机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1.要求录播主机采用一体化嵌入式硬件设计架构，支持壁挂式安装；内置国产化八核处理器、Linux系统、≥8GB内存，≥1T硬盘。</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▲2.要求录播主机满足录制、直播、点播、互动、导播管理、存储、切换、视音频编码、语音转写、虚拟抠像、行为分析等功能，支持远程互动教学，实现远程互动网络课堂。 (投标时提供检测报告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▲3.要求配置≥17英寸电容触控液晶屏，采用防指纹涂层工艺，无须外接显示设备，用户可直接通过主机查看已录制的视频，支持在主机上直接播放查看录制效果，并可使用U盘拷贝。(投标时提供检测报告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▲4.要求具有多指智能手势识别息屏功能，操作者可在触摸屏任意位置，通过触摸实现对屏幕背光的关闭和开启。(投标时提供检测报告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5.要求支持≥2路HDMI输入接口，支持≥3路HDMI输出接口，≥1路输出本地画面，≥1路输出合成画面，≥1路HDMI自定义输出视频源和分辨率。</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6.要求支持≥1路线性输入，≥1路3.5mm音频输入，≥1路线性输出，≥1路3.5mm音频输出。</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7.要求支持≥2路RS232控制接口。</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8.要求支持≥1路TYPE-C接口，具备≥3路USB3.0接口，支持连接鼠标、键盘进行导播控制以及主机连接U盘进行课程视频的录制、下载，支持外接光驱刻录光盘，拷贝本地视频至光驱刻录。</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9.要求录播主机内置不低于2个5W的扬声器，用于播放本地视频声音。</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▲10.要求支持≥5路RJ45网口，其中至少4路为POE网口，集供电、控制、视频传输于一体。支持摄像机智能组网，摄像机即插即用。(投标时提供检测报告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11.视频编码：要求支持H.265和H.264两种视频编码协议，实现更高效率和更好质量的编码技术，支持4K分辨率（3840*2160）视频的编码和录制。</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12.要求支持IPV4、IPV6链路地址、IPV6外网地址三个网络地址配置，支持启用DHCP自动获取IP地址。</w:t>
            </w:r>
            <w:r>
              <w:rPr>
                <w:rFonts w:hint="eastAsia" w:ascii="宋体" w:hAnsi="宋体" w:eastAsia="宋体" w:cs="宋体"/>
                <w:spacing w:val="-9"/>
                <w:sz w:val="18"/>
                <w:szCs w:val="18"/>
                <w:highlight w:val="none"/>
              </w:rPr>
            </w:r>
            <w:r/>
          </w:p>
          <w:p>
            <w:pPr>
              <w:pStyle w:val="754"/>
              <w:numPr>
                <w:ilvl w:val="0"/>
                <w:numId w:val="0"/>
              </w:numPr>
              <w:ind w:left="0" w:right="0" w:firstLine="0"/>
              <w:jc w:val="left"/>
              <w:spacing w:before="38"/>
              <w:rPr>
                <w:rFonts w:hint="eastAsia" w:ascii="宋体" w:hAnsi="宋体" w:eastAsia="宋体" w:cs="宋体"/>
                <w:color w:val="000000"/>
                <w:sz w:val="18"/>
                <w:szCs w:val="18"/>
                <w:highlight w:val="none"/>
              </w:rPr>
            </w:pPr>
            <w:r>
              <w:rPr>
                <w:rFonts w:hint="eastAsia" w:ascii="宋体" w:hAnsi="宋体" w:eastAsia="宋体" w:cs="宋体"/>
                <w:spacing w:val="-9"/>
                <w:sz w:val="18"/>
                <w:szCs w:val="18"/>
                <w:highlight w:val="none"/>
              </w:rPr>
              <w:t xml:space="preserve">13.为保证具有更好的散热效果，主机需内置散热风扇，可自定义主机风扇转速。</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4</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1.系统支持账号密码登录，支持电影模式、资源模式等录制模式，支持≥1路电影模式加≥6路资源备份，可同时录制合成画面、教师全景、教师特写、学生全景、学生特写、板书画面、电脑画面。</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2.录制格式至少支持MP4/FLV/TS，录制分辨率支持3840*2160、1920*1080等，支持录制帧率设定，可选择25fps/30fps，码流支持1000-20000kbps之间手动设置。</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3.支持实时显示录播主机CPU的使用率，硬盘使用情况，不少于6路预监画面，可自定义通道预监画面名称，可同步显示对应摄像机的电量，具有自动息屏功能，可选择息屏时间。</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▲4.支持手指点控模式；导播模式支持视频预览、直播输出监视、视频切换等功能，其中手指拖动视频切换时支持导播小画面定位跟随。(投标时提供检测报告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5.支持添加字幕，支持包括系统时间在内的九种预设字幕的设置，其中系统时间支持自动校准。可直接通过拖拽实现自定义字幕显示位置。支持设置≥9种字体大小、≥8种字体颜色、≥8种字体背景颜色选择。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▲6.系统界面自带虚拟软键盘，无需外接USB键盘，可输入中文、英文、数字、特殊符号。(投标时提供检测报告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7.支持导播模式设置：至少包括手动、半自动、全自动模式，具有自动轮巡导播模式，可自定义轮巡画面和间隔时长。</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8.需支持会议导播模式，开启会议模式后，系统根据会议麦克风发言自动切换视频画面预置位。</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提供多种画面布局模式，支持视频画面叠加与组合，包括单画面、双分屏画面、三分屏画面、四分屏画面显示，可直接通过手指触控拖动通道画面实现多分屏布局显示画面的替换，替换时支持导播小画面定位跟随。(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10.需支持自定义布局方式，支持多个视频图层自由叠加组合，自定义布局时可随意拖拉画面窗口，更改布局背景和边框颜色。</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11.支持≥4种片头和≥4种片尾的添加，可以设置插入片头片尾的时间，支持jpg、png格式。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12.台标支持≥4个固定位置，分别为左上、右上、左下、右下，支持手动拖拽移动台标，实现界面任意位置的台标设置。支持设定图片台标，支持jpg、png格式。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13.支持上滑、下滑、左滑、右滑等多种切换特效，支持自定义选择≥8种特效切换速度。</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14.系统支持摄像机云台控制，可以对摄像机进行变焦、上下左右位置调整以及≥8个预置位的设置，整个过程支持手指触控操作。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15.系统可以进行音量设置，可以采用手指拖动方式控制设备输入输出的音量大小。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▲16.支持对屏幕亮度进行设置，采用手指拖动方式控制屏幕的亮度。(投标时提供检测报告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17.系统需支持录制倒计时和循环记录功能，在硬盘存储空间为0时，仍可进行录制，将最早录制的视频文件删除，支持录制到U盘。</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18.所录制的视频文件既可存储在本地硬盘，也支持通过FTP上传至平台，同时支持用户随时通过录播主机点播回放视频，并可使用移动磁盘或硬盘拷贝下载。</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19.需支持本地文件重命名，具有视频文件回收站功能，保存至少7天后自动删除。</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20.系统需支持长视频分段录制的功能，可自定义视频文件分段时长，当录制课程时间较长时，可在不结束录制的条件下自动按分段时长将课程视频文件分割录制成多个视频文件，至少提供不限时长、45分钟、60分钟、90分钟、120分钟、150分钟、180分钟、240分钟等多种方式可选。</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21.系统应具有推送公网直播功能并可在设备上自动生成直播二维码，扫描即可观看直播，系统可选择创建直播类型，至少包括活动直播和教研直播，支持自定义直播标题和起始时间，可设置直播分辨率和码率，调接直播画面音量大小，支持直播列表的查看，直播列表展示课程天数。</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22.系统支持RTMP直播推流，推送的直播流可选择不同视频源，可选画面≥4个，可同时开启平台直播和三方推流直播。</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23.要求内置微课制作功能，支持不少于前景、人像、背景3层场景叠加，叠加的场景支持PPT、视频、图片，虚拟抠像后的人像等类型。要求支持虚拟抠像后合成的画面实现和远端进行音视频互动。(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24.至少支持智能抠像和键显色两种抠像模式；智能抠像可用于无幕布场景使用，键显色模式支持专业蓝/绿箱或幕布环境下抠像，用户可根据环境灵活选择。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25.需支持手动调整前景、人像大小以及位置，抠像功能支持噪点清除、去黑边、溢色清除、前景强化、边缘平滑、饱和度压缩、黑色加强等细节调整，支持校色系数调节由绿幕软件造成的色差，从而达到更为理想的抠像效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26.需支持自定义抠像区域，支持在主画面（播出画面）使用手指圈出抠像区域的方式进行抠像区域的选择，选定后的抠像区域，可通过手指拖拽调整抠像区域位置和大小；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27.系统应具有抠像画面合成功能，内置≥6种常用的画面布局样式，用户可根据需求自行设定≥4种画面布局样式；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28.要求不依赖网络、外置设备即可实现行为分析、实时字幕的语音转写和热词提取。系统内置行为分析系统，至少支持对教室人数、举手、站立、背身、趴下、低头、扭头人数的实时统计，并实时汇总学生的参与度、活跃度和抬头率。(投标时提供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教师双目摄像机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1.采用全景/特写双镜头设计，传感器：1/2.7英寸CMOS，特写镜头800万像素，全景镜头400万像素。</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2.教师特写镜头水平视场角26°。全景镜头水平视场角43°。</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3.支持4K(3840×2160）分辨率，兼容1080P、720P等分辨率。</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4.视频编码标准： 支持H.264/MJPEG，帧率支持1~30fps，视频码率设置范围：32Kbps ~ 16384Kbps。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5.视频制式：支持50Hz/60Hz，编码等级可设置base line/main profile/high profile。</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6.音频编码标准：支持 AAC、G711A编码格式，音频采样率48KHz，音频码率：支持96Kbps、128Kbps、256Kbps。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7.支持水平翻转、垂直翻转；支持多种白平衡方式，支持自动，室内，室外，一键式，手动；支持背光补偿、图像冻结。</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8.摄像机接口：1路RJ45 （10M/100M自适应），1路Type-C，1路Line in 3.5mm音频接口；1路Line out 3.5mm音频接口。</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9.支持POE一线通功能，电源、视频、音频、控制四线合一。</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10.支持USB音视频输出，同时支持UVC和UAC协议，最大支持4K@30fps输出，兼容主流视频会议软件。</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11.内置图像识别跟踪算法，微型机械云台设计，全景特写双镜头采用同系列图像传感器和图像处理器，确保两者图像输出亮度、颜色、风格等保持一致。</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12.人脸检测：支持对监视画面中出现的人脸进行检测，在监视或录像状态下，监视画面无明显缺损，物体移动时画面边缘无明显锯齿、拉毛现象。</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13.系统具备图像识别功能，支持同时输出2路场景画面，支持所有画面的自动导播切换。</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14.支持通过浏览器进行管理，包括亮度、饱和度、对比度、锐度、色度设置。</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15配合录播主机支持人物动作分析，识别举手、站立、背身、趴下、低头、扭头等人物动作分析。</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16.支持 DC12V、POE供电方式。</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4K超高清摄像机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1.采用1/2.5英寸、最大851万像素的高品质UHD CMOS传感器，可实现4KP30(3840x2160)超高分辨率的优质图像。并且向下兼容1080P、720P等多种分辨率。4K@25/30/29.97fps; 1080P@25/30/50/60/59.94/29.97fps; 1080I@50/60/59.94fps； 720P@50/60/59.94fps </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2.采用4K长焦镜头，水平视场角≥71°，光学变焦≥12倍，1080P 分辨率下还可以支持 24× 清晰变焦，数字变焦≥16倍。</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3.支持3D降噪，降低图像噪声，图像信噪比≥55dB。</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4.支持web端设置图像配置、视频配置、音频配置、网络配置查看设备信息</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5.支持web端云台控制、聚焦调试、画面预览</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6.支持网口音视频编码输出，支持H.265/H.264/MJEPG三种视频编码标准；必须支持NDI®|HX2,SRT,TCP/IP,HTTP,RTSP,RTMP/RTMPS,Onvif,GB28181,DHCP,Multicast等网络协议；</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7.支持音频LINE IN输入和音频Line Out输出，摄像机可对音频进行编码；支持音频AAC、G711A编码标准，网络音频编码码率最大可支持128Kbps。</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8.支持USB3.0音视频输出，支持操作系统Windows 7, Windows 8, Windows 10, Mac OS X, Linux, Android；支持YUY2 / H.264 / MJPEG 等编码格式，USB视频通信协议 UVC1.1-1.5。</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9.支持本地存储功能，无需 NVR 即可实现 U 盘本地录制。</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7</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无线话筒</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1.类型：电容式麦克风</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2.指向性：心型指向性</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3.频率响应：20Hz~20KHz</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4.灵敏度：12mV/Pa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5.阻抗：150Ω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6.负载阻抗：1kΩ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7.信噪比：65dB,1kHz at 1Pa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8.最大耐声压级（THD&lt;0.5%）：110dB SPL</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9.电流耗量：3mA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color w:val="000000"/>
                <w:sz w:val="18"/>
                <w:szCs w:val="18"/>
                <w:highlight w:val="none"/>
              </w:rPr>
            </w:pPr>
            <w:r>
              <w:rPr>
                <w:rFonts w:hint="eastAsia" w:ascii="宋体" w:hAnsi="宋体" w:eastAsia="宋体" w:cs="宋体"/>
                <w:spacing w:val="-4"/>
                <w:sz w:val="18"/>
                <w:szCs w:val="18"/>
                <w:highlight w:val="none"/>
              </w:rPr>
              <w:t xml:space="preserve">10连接方式：Type XLR-3</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8</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合并级功放</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1.支持2组音源输入，2路话筒输入，支持1组前置录音输出及A、B组功率输出</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2.设备具有设置反馈、混响功能，支持独立调节话筒、线路的音量</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3.具有话筒中控接口，话筒接口支持6V幻像直流电源</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4.额定功率：立体声2×60W/8Ω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5.频率响应：20Hz-20KHz +1/-3dB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6.额定输入灵敏度：线路-12dB±1dB、话筒-34dB±1dB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7.音调特性：线路高音10KHz、低音100H、升降10dB±2dB，话筒高音10KHz、低音100Hz、升降10dB±2dB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8.线路输出：L/R≥0dB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9.失真度：≤0.5%</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10.信噪比（话筒关闭、音调平直）：≥80dB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color w:val="000000"/>
                <w:sz w:val="18"/>
                <w:szCs w:val="18"/>
                <w:highlight w:val="none"/>
              </w:rPr>
            </w:pPr>
            <w:r>
              <w:rPr>
                <w:rFonts w:hint="eastAsia" w:ascii="宋体" w:hAnsi="宋体" w:eastAsia="宋体" w:cs="宋体"/>
                <w:spacing w:val="-5"/>
                <w:sz w:val="18"/>
                <w:szCs w:val="18"/>
                <w:highlight w:val="none"/>
              </w:rPr>
              <w:t xml:space="preserve">11.额定电源电压：交流220V /50Hz</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9</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全频音箱</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1.额定阻抗：8Ω</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2.额定功率：60W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3.最大功率：120W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4.有效频率范围（-3dB）：80Hz－18KHz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5.灵敏度：88dB /w/m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6.连续声压级：113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7.最大声压级：120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8.辐射角度（H×V）：90°×50°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9.单元规格：LF：6.5"×1，HF：2"×1 </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10</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主机安全防护系统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1.整机最大电流：15A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2.单路最大电流：13A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3.继电器最大电流：30A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4.输出路数：8路受控，2路直通</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5.USB输出：5V1A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6.显示方式：2.4吋显示屏</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7.通讯方式：支持RS232、网口</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8.级联数：255台</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11</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多媒体管理</w:t>
            </w:r>
            <w:r>
              <w:rPr>
                <w:rFonts w:ascii="宋体" w:hAnsi="宋体" w:eastAsia="宋体"/>
                <w:color w:val="000000"/>
                <w:sz w:val="18"/>
                <w:szCs w:val="18"/>
                <w:highlight w:val="none"/>
                <w:lang w:val="en-US" w:eastAsia="zh-CN"/>
              </w:rPr>
            </w:r>
            <w:r/>
          </w:p>
        </w:tc>
        <w:tc>
          <w:tcPr>
            <w:tcW w:w="4522" w:type="dxa"/>
            <w:vAlign w:val="center"/>
            <w:textDirection w:val="lrTb"/>
            <w:noWrap w:val="false"/>
          </w:tcPr>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 IPV4、IPV6 网络环境下安装和正常使用，支持 windows 7 32 位 / 64 位，windows10 64 位、windows11 64 位操作系统；</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教师自带笔记本可通过 mac 绑定和 ip 绑定两种方式快速连接服务器和学生端，实现多媒体互动教学；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支持班级管理，可将频道和班级进行绑定，用于不同的教室登录不同的频道进行上课；</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支持屏幕广播功能，能够实现两种接收模式，包括学生全屏 / 窗口模式接收教师机广播的画面，全屏状态锁定学生鼠标和键盘；</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屏幕广播支持区域广播方式，教师端可选取一块区域广播给学生机；</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为便于教学互动，支持多人语音连麦，在屏幕广播状态下教师可自定义选择多个学生开启多人语音连麦。可按照开麦、闭麦、正在讲话三种状态来清晰显示所有语音连麦学生的麦克风状态。教师可对语音连麦学生进行批量管理，如开启 / 解除全体静音，也可批量设置学生机全体接入及全体断开；退出屏幕广播后，教师及学生也可进行语音互动及关闭语音连麦；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屏幕广播支持笔记截屏，教师机开启笔记截屏后，全屏广播时学生机可一键截取屏幕，保存上课重点信息；</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支持影音广播，即使在终端未进入桌面的状态，也能够实现全体学生的影音广播，影音广播下支持视频的切换、暂停，并支持点击进度条任意地方以改变视频播放进度；</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在屏幕广播之后连接上来的终端可直接接收屏幕广播内容，用户终端关闭虚拟桌面仍可同步广播教师机屏幕和视频，不会中断教学；</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教师可选定一个学生操作本机或操作教师机进行教学演示，并将该学生演示的画面广播给每一个学生；被广播的学生将全屏 / 窗口接收演示学生的画面，全屏状态键盘和鼠标被锁定；</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支持遥控转播，教师端可对单个学生机进行遥控并转播到其它学生机桌面；</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支持遥控监看，教师可选定个别学生或所有学生进行屏幕监控，控制时可锁定学生机，也可不锁定学生机；</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教师机可以连续监看所选学生机屏幕，每屏可监视多个学生，可设置每屏学生机的数量以及学生机屏幕轮循的时间间隔；</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教师机可控制学生机是否可开启麦克风进行对话，开启语音连麦后，教师和学生可通过麦克风对话，语音交流可被班级其它所有学生听到，便于课堂语音互动；</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教师可对学生进行电子点名，可以自定义院系、专业、班级等单位类别，可导入导出学生信息，可设置迟到时间，可显示签到人数；</w:t>
            </w:r>
            <w:r>
              <w:rPr>
                <w:rFonts w:ascii="宋体" w:eastAsia="宋体"/>
                <w:sz w:val="18"/>
                <w:highlight w:val="none"/>
              </w:rPr>
            </w:r>
            <w:r/>
          </w:p>
          <w:p>
            <w:pPr>
              <w:pStyle w:val="754"/>
              <w:numPr>
                <w:ilvl w:val="0"/>
                <w:numId w:val="0"/>
              </w:numPr>
              <w:ind w:right="0"/>
              <w:jc w:val="left"/>
              <w:spacing w:line="240" w:lineRule="auto"/>
              <w:rPr>
                <w:rFonts w:ascii="宋体" w:eastAsia="宋体"/>
                <w:sz w:val="18"/>
                <w:highlight w:val="none"/>
              </w:rPr>
            </w:pPr>
            <w:r>
              <w:rPr>
                <w:rFonts w:hint="eastAsia" w:ascii="宋体"/>
                <w:sz w:val="18"/>
                <w:highlight w:val="none"/>
                <w:lang w:val="en-US" w:eastAsia="zh-CN"/>
              </w:rPr>
              <w:t xml:space="preserve">17、</w:t>
            </w:r>
            <w:r>
              <w:rPr>
                <w:rFonts w:ascii="宋体" w:eastAsia="宋体"/>
                <w:sz w:val="18"/>
                <w:highlight w:val="none"/>
              </w:rPr>
              <w:t xml:space="preserve">支持作业下发，教师机可将自己机器上的文件传输到学生机，支持一对多传输，当选中多台学生机执行下发文件时，教师端需选择其中一台学生机作为样本机，并选择存放路径，支持发送文件或文件夹；</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 IP 地址中的一种方式；</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支持一键收取指定路径的学生作业，弥补学生忘交作业和不会提交作业的缺点，提升老师收取作业的时效性；</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支持远程命令（包括一键关闭应用程序，一键关闭学生打开的 Windows 类窗口）、远程开机，远程关机等功能；</w:t>
            </w:r>
            <w:r>
              <w:rPr>
                <w:rFonts w:ascii="宋体" w:eastAsia="宋体"/>
                <w:sz w:val="18"/>
                <w:highlight w:val="none"/>
              </w:rPr>
            </w:r>
            <w:r/>
          </w:p>
          <w:p>
            <w:pPr>
              <w:pStyle w:val="754"/>
              <w:numPr>
                <w:ilvl w:val="0"/>
                <w:numId w:val="5"/>
              </w:numPr>
              <w:ind w:right="0"/>
              <w:jc w:val="left"/>
              <w:spacing w:line="240" w:lineRule="auto"/>
              <w:rPr>
                <w:rFonts w:hint="eastAsia" w:ascii="宋体" w:eastAsia="宋体"/>
                <w:sz w:val="18"/>
                <w:highlight w:val="none"/>
                <w:lang w:eastAsia="zh-CN"/>
              </w:rPr>
            </w:pPr>
            <w:r>
              <w:rPr>
                <w:rFonts w:ascii="宋体" w:eastAsia="宋体"/>
                <w:sz w:val="18"/>
                <w:highlight w:val="none"/>
              </w:rPr>
              <w:t xml:space="preserve">支持屏幕录制与回放，教师机可以将本机的操作过程、讲解录制为一个文件，内容可回放，并可通过屏幕广播给学生；</w:t>
            </w:r>
            <w:r>
              <w:rPr>
                <w:rFonts w:hint="eastAsia" w:ascii="宋体" w:eastAsia="宋体"/>
                <w:sz w:val="18"/>
                <w:highlight w:val="none"/>
                <w:lang w:eastAsia="zh-CN"/>
              </w:rPr>
            </w:r>
            <w:r/>
          </w:p>
          <w:p>
            <w:pPr>
              <w:pStyle w:val="754"/>
              <w:numPr>
                <w:ilvl w:val="0"/>
                <w:numId w:val="5"/>
              </w:numPr>
              <w:ind w:right="0"/>
              <w:jc w:val="left"/>
              <w:spacing w:line="240" w:lineRule="auto"/>
              <w:rPr>
                <w:rFonts w:hint="eastAsia" w:ascii="宋体" w:eastAsia="宋体"/>
                <w:sz w:val="18"/>
                <w:highlight w:val="none"/>
                <w:lang w:eastAsia="zh-CN"/>
              </w:rPr>
            </w:pPr>
            <w:r>
              <w:rPr>
                <w:rFonts w:hint="eastAsia" w:ascii="宋体" w:eastAsia="宋体"/>
                <w:sz w:val="18"/>
                <w:highlight w:val="none"/>
                <w:lang w:eastAsia="zh-CN"/>
              </w:rPr>
              <w:t xml:space="preserve">▲</w:t>
            </w:r>
            <w:r>
              <w:rPr>
                <w:rFonts w:ascii="宋体" w:eastAsia="宋体"/>
                <w:sz w:val="18"/>
                <w:highlight w:val="none"/>
              </w:rPr>
              <w:t xml:space="preserve">支持黑屏肃静，教师可对学生执行黑屏肃静操作，能够自定义黑屏肃静的提示信息，支持手动解锁、按时解锁、按时长解锁；</w:t>
            </w:r>
            <w:r>
              <w:rPr>
                <w:rFonts w:hint="eastAsia" w:ascii="宋体" w:eastAsia="宋体"/>
                <w:sz w:val="18"/>
                <w:highlight w:val="none"/>
                <w:lang w:eastAsia="zh-CN"/>
              </w:rPr>
              <w:t xml:space="preserve">（提供第三方权威检测机构出具的的产品功能测试报告扫描件）</w:t>
            </w:r>
            <w:r>
              <w:rPr>
                <w:rFonts w:hint="eastAsia" w:ascii="宋体" w:eastAsia="宋体"/>
                <w:sz w:val="18"/>
                <w:highlight w:val="none"/>
                <w:lang w:eastAsia="zh-CN"/>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ascii="宋体" w:eastAsia="宋体"/>
                <w:sz w:val="18"/>
                <w:highlight w:val="none"/>
              </w:rPr>
              <w:t xml:space="preserve">2</w:t>
            </w:r>
            <w:r>
              <w:rPr>
                <w:rFonts w:hint="eastAsia" w:ascii="宋体"/>
                <w:sz w:val="18"/>
                <w:highlight w:val="none"/>
                <w:lang w:val="en-US" w:eastAsia="zh-CN"/>
              </w:rPr>
              <w:t xml:space="preserve">3</w:t>
            </w:r>
            <w:r>
              <w:rPr>
                <w:rFonts w:ascii="宋体" w:eastAsia="宋体"/>
                <w:sz w:val="18"/>
                <w:highlight w:val="none"/>
              </w:rPr>
              <w:t xml:space="preserve">、提供行为管控模块，支持程序黑白名单限制，支持禁用外网，禁用 USB 设备，教师端主界面可展示 USB 设备、程序、网络禁用状态；</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12</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实训室无线全录播系统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1.和一体机、电子白板等教学多媒体显示设备或者电脑无线连接，实时展示学生书写的视频画面，同时无线互动终端连接设备数量不低于48组，全部无线互动终端自动连接。（投标文件中提供该参数的功能截图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学生座位上的无线互动终端无线自动连接教学一体机和电脑，教师可以在系统里随时调用任意一个学生座位上的无线互动终端展示学习画面（包含解题过程，书写过程，绘画过程，手工过程，实验过程，阅读过程中的所有细节）同步显现到大屏幕，进行常态化课堂互动教学，在调取不同学生桌面时无需进行切换网络。（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3.无须布线，支持分屏对比教学功能，支持6、8、24屏实时进行动态对比教学，老师可任意调取6个、8个或24个学生的学习内容做同屏展示，对比包括实时视频、即时拍照、调用外部图像。（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4.支持48组同步录制，采用5G 无线传输，速度达到每秒25帧，无延时，无拖影，同屏同步监看48组学生的实训过程并记录成加密视频文件格式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5.支持一键回放功能，系统自动按编号将实训操作过程记录归类 ，老师可随时播放/快进/停止，观看学生实验考试全过程。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6.支持电子白板讲解批注功能，可以画线、手写、图形、黑板刷可鼠标滚动缩放，可以随时拍照、录像、对教学展示和批注内容保存。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7.支持48屏一键收取作业，并以编号方式自动存储实验作业成品，便于老师课后查阅及管理。（投标文件中提供该参数的功能截图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13</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视频矩阵</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1.实现视频采集互动终端同时连接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2.1个千兆PoE/LAN+1个千兆LAN以太网接口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3.支持PoE和DC供电</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4.2个2.4G，2个5G，四个不同频段的无线信号并发，5G传输速率达1734Mbps</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5.支持802.11a/b/g/n和802.11ac协议</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6.内置8根零阶谐振天线+超材料组件</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14</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展示互动宝</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1.像素：800万自动对焦（分辨率3264*2448）；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2.帧数：无线720P和1080P不低于30帧/秒；</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3.最大拍摄幅面：最大拍摄幅面A2，最短拍摄距离8cm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4.万向软管式设计，任意方向可调。可以微距显示（拍摄清楚线路板IC型号）也可以拍摄超大A2幅面(拍摄大场景实训）。（投标文件中提供该参数的功能截图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5.插拔式底座双用，底座和机身可分离，分离后产品可以夹于桌边。（投标文件中提供该参数的功能截图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6.图片格式JPG,BMP,PNG,GIF,TIF，，视频格式MP4</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 连接方式：5G无线传输,自动连接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8.光源：自然光、LED灯补光</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9.需支持在视频矩阵下的实训室无线全录播系统中选取任意展示互动宝展示的实时教学视频。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支架参数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节数：4节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自重：1KG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承重：8KG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材质：铝合金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高度：52-158CM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管径：18.5-32.5MM</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15</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AI移动示教车（含配套教学资源）</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一、多功能移动工作站参数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1、多功能移动工作站配备27寸显示屏，配备鼠标和键盘。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2、支持国产操作系统，兼容众多日常办公应用软件。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3、移动示教推车配置USB、HDMI、以太网口等接口，实现多场景的使用需求，能够满足系统全部设备使用数量要求。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4、广角镜头：800万自动对焦（分辨率3264*2448）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5、标准镜头：800万自动对焦（分辨率3264*2448）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采用万向软管式设计，360度任意方向可调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支持通过智慧实训教学软件调取多功能移动工作站的实时画面。（提供体现此参数的产品功能截图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8、推车采用铝合金支架，确保稳固耐用。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9、脚踏式气动升降，可上下调节高度，推车的升降范围值约25cm，整机高度（含双摄像头）的范围在190cm-220cm，适应不同身高的操作人员，提升使用舒适度。</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10、采用专用静音脚轮，前轮带锁定功能，便于移动与固定。</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11、隐藏式键盘位，位于把手上方，可放置键盘，并配备专用鼠标挂架，方便键鼠收纳与使用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12、配置智能一体化4K超高清摄像机、麦克风阵列、高保真扬声器等多种功能模块。</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13、麦克风阵列支持6麦阵列，不低于6米拾音距离。</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14、扬声器采用双10W立体声高品质双扬声音箱，确保声音清晰传输。</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15、采用2D、3D降噪技术，低噪声CMOS有效地保证了画面的超高信噪比。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16、支持智能取景，根据操作人员与位置变化自动调整画面大小，呈现最佳取景。</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17、支持语音追踪功能，实时跟踪发言使用者，保证发言人实时处于画面中心。</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18、支持无线投屏，将移动示教推车的画面无线投屏到大屏，无遮拦无线投屏距离约50米。</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19、配备便携式电源，电池容量1025WH，AC输出电压220V，充电时间约8小时，续航时间不低于7小时。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二、第一视角采集仪：</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1、800万自动对焦（分辨率3264*2448）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2、物理防抖，标准镜头1:1幅度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3、拍摄1080P帧速率为25帧/秒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4、镜头可上下方向调节拍摄角度，拍摄第一人称视角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5、采用镂空头戴式结构，PC框架旋钮调节大小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6、连接方式：5G无线WiFi连接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三、智慧实训教学软件参数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1、支持智慧实训教学软件调取移动数据采集推车实时观看实物展示画面。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2、支持4屏实物展示，支持将广角镜头画面、标准镜头画面、追踪摄像机画面、第一视角采集仪的画面同屏对比展示，支持任意画面双击放大、返回。（提供体现此参数的产品功能截图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3、支持实操画面展示，本地图片、本地视频、本地文件展示，旋转、缩放、拍照等教学功能。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4、支持电子白板讲解批注功能，支持画笔选择、一键清空、颜色、线宽，返回桌面、截图保存等功能。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5、支持在软件画面和电脑桌面进行批注，支持对批注后的画面内容进行截图存储，支持在内容管理中进行查看。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6、支持软件画面与电脑桌面的一键切换，方便老师在软件和其他使用界面之间进行快速切换。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支持推车上的2路实操画面与课件PPT进行展示对比，支持画面切换。（提供体现此参数的产品功能截图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8、支持微课录制，录制成MP4格式的视频文件，录制的视频文件可导出。</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9、微课录制支持全屏录制和局部录制，支持倒数提醒、开始、停止等功能。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10、支持内容分类管理，系统自动按照图片、视频、文摘等分类存档，图片及视频文件按生成的日期自动归档。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系统支持图片格式、视频清晰度、文件保存路径、左右摄像头等配置设置。</w:t>
            </w:r>
            <w:r>
              <w:rPr>
                <w:rFonts w:hint="eastAsia" w:ascii="宋体" w:hAnsi="宋体" w:eastAsia="宋体" w:cs="宋体"/>
                <w:spacing w:val="-8"/>
                <w:sz w:val="18"/>
                <w:szCs w:val="18"/>
                <w:highlight w:val="none"/>
              </w:rPr>
            </w:r>
            <w:r/>
          </w:p>
          <w:p>
            <w:pPr>
              <w:pStyle w:val="754"/>
              <w:ind w:left="0" w:right="0" w:firstLine="0"/>
              <w:jc w:val="left"/>
              <w:spacing w:line="240" w:lineRule="auto"/>
              <w:rPr>
                <w:rFonts w:ascii="宋体" w:hAnsi="宋体" w:eastAsia="宋体" w:cs="宋体"/>
                <w:spacing w:val="-8"/>
                <w:sz w:val="18"/>
                <w:szCs w:val="18"/>
                <w:highlight w:val="none"/>
                <w:lang w:val="en-US" w:eastAsia="zh-CN"/>
              </w:rPr>
            </w:pPr>
            <w:r>
              <w:rPr>
                <w:rFonts w:hint="eastAsia" w:ascii="宋体" w:hAnsi="宋体" w:eastAsia="宋体" w:cs="宋体"/>
                <w:spacing w:val="-8"/>
                <w:sz w:val="18"/>
                <w:szCs w:val="18"/>
                <w:highlight w:val="none"/>
                <w:lang w:val="en-US" w:eastAsia="zh-CN"/>
              </w:rPr>
              <w:t xml:space="preserve">11、配套教学资源</w:t>
            </w:r>
            <w:r>
              <w:rPr>
                <w:rFonts w:ascii="宋体" w:hAnsi="宋体" w:eastAsia="宋体" w:cs="宋体"/>
                <w:spacing w:val="-8"/>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bl>
    <w:p>
      <w:pPr>
        <w:pStyle w:val="75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eastAsia="zh-CN"/>
        </w:rPr>
        <w:t xml:space="preserve">二、</w:t>
      </w:r>
      <w:r>
        <w:rPr>
          <w:rFonts w:hint="eastAsia" w:ascii="宋体" w:hAnsi="宋体" w:eastAsia="宋体" w:cs="宋体"/>
          <w:b/>
          <w:bCs w:val="0"/>
          <w:iCs/>
          <w:color w:val="000000"/>
          <w:szCs w:val="21"/>
          <w:highlight w:val="none"/>
        </w:rPr>
        <w:t xml:space="preserve">其它要求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2.供货、安装时间</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合同签订之日起</w:t>
      </w:r>
      <w:r>
        <w:rPr>
          <w:rFonts w:hint="eastAsia" w:ascii="宋体" w:hAnsi="宋体" w:cs="宋体"/>
          <w:bCs/>
          <w:iCs/>
          <w:color w:val="000000"/>
          <w:szCs w:val="21"/>
          <w:highlight w:val="none"/>
          <w:lang w:val="en-US" w:eastAsia="zh-CN"/>
        </w:rPr>
        <w:t xml:space="preserve">30</w:t>
      </w:r>
      <w:r>
        <w:rPr>
          <w:rFonts w:hint="eastAsia" w:ascii="宋体" w:hAnsi="宋体" w:eastAsia="宋体" w:cs="宋体"/>
          <w:bCs/>
          <w:iCs/>
          <w:color w:val="000000"/>
          <w:szCs w:val="21"/>
          <w:highlight w:val="none"/>
          <w:lang w:val="en-US" w:eastAsia="zh-CN"/>
        </w:rPr>
        <w:t xml:space="preserve">日内（除不可抗力、非中标人原因）全部供货及安装完毕，并完成全部验收</w:t>
      </w:r>
      <w:r>
        <w:rPr>
          <w:rFonts w:hint="eastAsia" w:ascii="宋体" w:hAnsi="宋体" w:cs="宋体"/>
          <w:bCs/>
          <w:iCs/>
          <w:color w:val="000000"/>
          <w:szCs w:val="21"/>
          <w:highlight w:val="none"/>
          <w:lang w:val="en-US" w:eastAsia="zh-CN"/>
        </w:rPr>
        <w:t xml:space="preserve">等辅助</w:t>
      </w:r>
      <w:r>
        <w:rPr>
          <w:rFonts w:hint="eastAsia" w:ascii="宋体" w:hAnsi="宋体" w:eastAsia="宋体" w:cs="宋体"/>
          <w:bCs/>
          <w:iCs/>
          <w:color w:val="000000"/>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val="en-US" w:eastAsia="zh-CN"/>
        </w:rPr>
        <w:t xml:space="preserve">3.交货</w:t>
      </w:r>
      <w:r>
        <w:rPr>
          <w:rFonts w:hint="eastAsia" w:ascii="宋体" w:hAnsi="宋体" w:eastAsia="宋体" w:cs="宋体"/>
          <w:b/>
          <w:bCs w:val="0"/>
          <w:iCs/>
          <w:color w:val="000000"/>
          <w:szCs w:val="21"/>
          <w:highlight w:val="none"/>
        </w:rPr>
        <w:t xml:space="preserve">地点</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采购人指定地点。</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4.产品要求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5.质量要求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6.供货验收</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000000"/>
          <w:szCs w:val="21"/>
          <w:highlight w:val="none"/>
          <w:lang w:eastAsia="zh-CN"/>
        </w:rPr>
        <w:t xml:space="preserve">货物</w:t>
      </w:r>
      <w:r>
        <w:rPr>
          <w:rFonts w:hint="eastAsia" w:ascii="宋体" w:hAnsi="宋体" w:eastAsia="宋体" w:cs="宋体"/>
          <w:bCs/>
          <w:iCs/>
          <w:color w:val="000000"/>
          <w:szCs w:val="21"/>
          <w:highlight w:val="none"/>
        </w:rPr>
        <w:t xml:space="preserve">进行的环保（特别是甲醛含量）、质量等检验检测报告。</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（2）采购人将在交付验收前随机对</w:t>
      </w:r>
      <w:r>
        <w:rPr>
          <w:rFonts w:hint="eastAsia" w:ascii="宋体" w:hAnsi="宋体" w:cs="宋体"/>
          <w:bCs/>
          <w:iCs/>
          <w:color w:val="000000"/>
          <w:szCs w:val="21"/>
          <w:highlight w:val="none"/>
          <w:lang w:val="en-US" w:eastAsia="zh-CN"/>
        </w:rPr>
        <w:t xml:space="preserve">实训</w:t>
      </w:r>
      <w:r>
        <w:rPr>
          <w:rFonts w:hint="eastAsia" w:ascii="宋体" w:hAnsi="宋体" w:eastAsia="宋体" w:cs="宋体"/>
          <w:bCs/>
          <w:iCs/>
          <w:color w:val="000000"/>
          <w:szCs w:val="21"/>
          <w:highlight w:val="none"/>
        </w:rPr>
        <w:t xml:space="preserve">室进行环保抽检，检测结果必须达到国家相关规定要求，检测费由中标供应商支付。如果检测不合格一切后果由中标供应商负责。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（3）安装队伍必须加强管理，遵守现场的一切规章制度，文明安装，注意安全。项目实施过程中若发生相关的安全事故由供应商自行负责。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7.售后服务</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rPr>
          <w:rFonts w:hint="eastAsia" w:ascii="宋体" w:hAnsi="宋体" w:eastAsia="宋体" w:cs="宋体"/>
          <w:bCs/>
          <w:iCs/>
          <w:color w:val="000000"/>
          <w:szCs w:val="21"/>
          <w:highlight w:val="none"/>
        </w:rPr>
      </w:r>
      <w:r/>
    </w:p>
    <w:p>
      <w:pPr>
        <w:pStyle w:val="754"/>
        <w:ind w:left="0" w:right="0" w:firstLine="422"/>
        <w:jc w:val="both"/>
        <w:pageBreakBefore w:val="0"/>
        <w:spacing w:line="360" w:lineRule="auto"/>
        <w:rPr>
          <w:rFonts w:hint="eastAsia" w:ascii="Times New Roman" w:hAnsi="Times New Roman"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8</w:t>
      </w:r>
      <w:r>
        <w:rPr>
          <w:rFonts w:hint="eastAsia" w:ascii="Times New Roman" w:hAnsi="Times New Roman" w:cs="宋体"/>
          <w:b/>
          <w:color w:val="000000"/>
          <w:sz w:val="21"/>
          <w:szCs w:val="21"/>
          <w:highlight w:val="none"/>
          <w:lang w:val="en-US" w:eastAsia="zh-CN"/>
        </w:rPr>
        <w:t xml:space="preserve">、政府采购中实施本国产品标准及相关政策</w:t>
      </w:r>
      <w:r>
        <w:rPr>
          <w:rFonts w:hint="eastAsia" w:ascii="Times New Roman" w:hAnsi="Times New Roman" w:cs="宋体"/>
          <w:b/>
          <w:color w:val="000000"/>
          <w:sz w:val="21"/>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1、本项目对采购本国产品给予政策支持，具体内容见招标文件“第五章 评标方法与评标标准”。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iCs/>
          <w:color w:val="000000"/>
          <w:szCs w:val="21"/>
          <w:highlight w:val="none"/>
          <w:lang w:val="en-US" w:eastAsia="zh-CN"/>
        </w:rPr>
      </w:r>
      <w:r/>
    </w:p>
    <w:p>
      <w:pPr>
        <w:pStyle w:val="754"/>
        <w:ind w:firstLine="480"/>
        <w:jc w:val="left"/>
        <w:spacing w:line="360" w:lineRule="auto"/>
        <w:rPr>
          <w:rFonts w:hint="eastAsia" w:ascii="宋体" w:hAnsi="宋体" w:cs="仿宋_GB2312"/>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32"/>
          <w:szCs w:val="32"/>
          <w:highlight w:val="none"/>
        </w:rPr>
      </w:r>
      <w:r/>
    </w:p>
    <w:p>
      <w:pPr>
        <w:ind w:firstLine="48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_GB2312"/>
          <w:color w:val="000000"/>
          <w:szCs w:val="21"/>
          <w:highlight w:val="none"/>
        </w:rPr>
        <w:br w:type="page" w:clear="all"/>
      </w:r>
      <w:bookmarkStart w:id="29" w:name="_Toc109304975"/>
      <w:r>
        <w:rPr>
          <w:rFonts w:hint="eastAsia" w:ascii="宋体" w:hAnsi="宋体" w:cs="宋体"/>
          <w:b/>
          <w:bCs/>
          <w:color w:val="000000"/>
          <w:sz w:val="32"/>
          <w:szCs w:val="32"/>
          <w:highlight w:val="none"/>
        </w:rPr>
        <w:t xml:space="preserve">第五章  评审方法及评审标准</w:t>
      </w:r>
      <w:bookmarkEnd w:id="2"/>
      <w:r/>
      <w:bookmarkEnd w:id="29"/>
      <w:r/>
      <w:r/>
    </w:p>
    <w:p>
      <w:pPr>
        <w:pStyle w:val="962"/>
        <w:ind w:firstLine="422"/>
        <w:spacing w:before="0" w:after="0"/>
        <w:rPr>
          <w:rFonts w:ascii="宋体" w:hAnsi="宋体"/>
          <w:b/>
          <w:bCs/>
          <w:color w:val="000000"/>
          <w:sz w:val="21"/>
          <w:szCs w:val="21"/>
          <w:highlight w:val="none"/>
        </w:rPr>
      </w:pPr>
      <w:r>
        <w:rPr>
          <w:rFonts w:ascii="宋体" w:hAnsi="宋体"/>
          <w:b/>
          <w:bCs/>
          <w:color w:val="000000"/>
          <w:sz w:val="21"/>
          <w:szCs w:val="21"/>
          <w:highlight w:val="none"/>
        </w:rPr>
      </w:r>
      <w:r/>
    </w:p>
    <w:p>
      <w:pPr>
        <w:pStyle w:val="962"/>
        <w:ind w:firstLine="422"/>
        <w:spacing w:before="0" w:after="0"/>
        <w:rPr>
          <w:rFonts w:ascii="宋体" w:hAnsi="宋体"/>
          <w:b/>
          <w:bCs/>
          <w:color w:val="000000"/>
          <w:sz w:val="21"/>
          <w:szCs w:val="21"/>
          <w:highlight w:val="none"/>
        </w:rPr>
      </w:pPr>
      <w:r>
        <w:rPr>
          <w:rFonts w:hint="eastAsia" w:ascii="宋体" w:hAnsi="宋体"/>
          <w:b/>
          <w:bCs/>
          <w:color w:val="000000"/>
          <w:sz w:val="21"/>
          <w:szCs w:val="21"/>
          <w:highlight w:val="none"/>
        </w:rPr>
        <w:t xml:space="preserve">一、评标方法</w:t>
      </w:r>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62"/>
        <w:ind w:firstLine="422"/>
        <w:spacing w:before="0" w:after="0"/>
        <w:rPr>
          <w:rFonts w:ascii="宋体" w:hAnsi="宋体"/>
          <w:b/>
          <w:bCs/>
          <w:color w:val="000000"/>
          <w:sz w:val="21"/>
          <w:szCs w:val="21"/>
          <w:highlight w:val="none"/>
        </w:rPr>
      </w:pPr>
      <w:r/>
      <w:bookmarkStart w:id="30" w:name="_Toc449017024"/>
      <w:r/>
      <w:bookmarkStart w:id="31" w:name="_Toc449016388"/>
      <w:r>
        <w:rPr>
          <w:rFonts w:hint="eastAsia" w:ascii="宋体" w:hAnsi="宋体"/>
          <w:b/>
          <w:bCs/>
          <w:color w:val="000000"/>
          <w:sz w:val="21"/>
          <w:szCs w:val="21"/>
          <w:highlight w:val="none"/>
        </w:rPr>
        <w:t xml:space="preserve">二、政府采购政策功能落实</w:t>
      </w:r>
      <w:bookmarkEnd w:id="30"/>
      <w:r/>
      <w:bookmarkEnd w:id="31"/>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rPr>
          <w:rFonts w:ascii="宋体" w:hAnsi="宋体"/>
          <w:color w:val="000000"/>
          <w:sz w:val="21"/>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1、小微型企业价格扣除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（1）本项目对小型和微型企业产品给予20%的扣除价格，用扣除后的价格参与评审。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（2）供应商需按照采购文件的要求提供相应的《企业声明函》。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（1）本项目对残疾人福利性单位视同小型、微型企业，给予20%的价格扣除，用扣除</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〔2017〕141号）。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3、监狱和戒毒企业价格扣除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（1）本项目对监狱和戒毒企业（简称监狱企业）视同小型、微型企业，给予20%的价</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格扣除，用扣除后的价格参与评审。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疆生产建设兵团)出具的属于监狱企业的证明文件。供应商如不提供上述证明文件，价格将不做相应扣除。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4、残疾人福利单位、监狱企业属于小型、微型企业的，不重复享受政策。</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5、大中型企业和其他自然人、法人或者其他组织并与小型、微型企业（残疾人福利单</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宋体" w:hAnsi="宋体"/>
          <w:color w:val="000000"/>
          <w:szCs w:val="21"/>
          <w:highlight w:val="none"/>
        </w:rPr>
      </w:r>
      <w:r/>
    </w:p>
    <w:p>
      <w:pPr>
        <w:pStyle w:val="75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6、联合体各方均为小型、微型企业（残疾人福利单位、监狱企业）的，联合体享受20%价格扣除，用扣除后的价格参与评审。</w:t>
      </w:r>
      <w:r>
        <w:rPr>
          <w:rFonts w:hint="eastAsia" w:ascii="宋体" w:hAnsi="宋体"/>
          <w:color w:val="000000"/>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t xml:space="preserve">本项目专门面向中小企业采购故价格部分不进行价格扣除。</w:t>
      </w:r>
      <w:bookmarkEnd w:id="1"/>
      <w:r>
        <w:rPr>
          <w:rFonts w:hint="eastAsia" w:ascii="宋体" w:hAnsi="宋体"/>
          <w:b/>
          <w:bCs w:val="0"/>
          <w:i/>
          <w:iCs/>
          <w:color w:val="000000"/>
          <w:highlight w:val="none"/>
          <w:u w:val="singl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、采购本国产品的支持政策</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.3供应商需按照招标文件的要求提供《关于符合本国产品标准的声明函》（以下简称《声明函》），如不提供将不享受本国产品价格评审优惠。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000000"/>
          <w:szCs w:val="21"/>
          <w:highlight w:val="none"/>
        </w:rPr>
      </w:r>
      <w:r/>
    </w:p>
    <w:p>
      <w:pPr>
        <w:pStyle w:val="962"/>
        <w:pageBreakBefore w:val="0"/>
        <w:spacing w:before="0" w:after="0"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三、评标标准</w:t>
      </w:r>
      <w:r>
        <w:rPr>
          <w:rFonts w:hint="eastAsia" w:ascii="Times New Roman" w:hAnsi="Times New Roman" w:eastAsia="宋体"/>
          <w:b/>
          <w:color w:val="000000"/>
          <w:sz w:val="21"/>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r>
      <w:r/>
    </w:p>
    <w:p>
      <w:pPr>
        <w:pStyle w:val="754"/>
        <w:jc w:val="center"/>
        <w:rPr>
          <w:rFonts w:hint="eastAsia"/>
          <w:b/>
          <w:color w:val="000000"/>
          <w:sz w:val="28"/>
          <w:szCs w:val="24"/>
          <w:highlight w:val="none"/>
        </w:rPr>
      </w:pPr>
      <w:r>
        <w:rPr>
          <w:rFonts w:hint="eastAsia"/>
          <w:b/>
          <w:color w:val="000000"/>
          <w:sz w:val="28"/>
          <w:szCs w:val="24"/>
          <w:highlight w:val="none"/>
        </w:rPr>
        <w:t xml:space="preserve">评标办法</w:t>
      </w:r>
      <w:r>
        <w:rPr>
          <w:rFonts w:hint="eastAsia"/>
          <w:b/>
          <w:color w:val="000000"/>
          <w:sz w:val="28"/>
          <w:szCs w:val="24"/>
          <w:highlight w:val="none"/>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654"/>
        <w:gridCol w:w="7213"/>
      </w:tblGrid>
      <w:tr>
        <w:trPr>
          <w:trHeight w:val="570"/>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评审因素</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分值</w:t>
            </w:r>
            <w:r>
              <w:rPr>
                <w:rFonts w:ascii="宋体" w:hAnsi="宋体" w:eastAsia="宋体" w:cs="Times New Roman"/>
                <w:b/>
                <w:bCs/>
                <w:color w:val="000000"/>
                <w:sz w:val="21"/>
                <w:szCs w:val="21"/>
                <w:highlight w:val="none"/>
              </w:rPr>
            </w:r>
            <w:r/>
          </w:p>
        </w:tc>
        <w:tc>
          <w:tcPr>
            <w:tcW w:w="7213"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评分标准</w:t>
            </w:r>
            <w:r>
              <w:rPr>
                <w:rFonts w:ascii="宋体" w:hAnsi="宋体" w:eastAsia="宋体" w:cs="Times New Roman"/>
                <w:b/>
                <w:bCs/>
                <w:color w:val="000000"/>
                <w:sz w:val="21"/>
                <w:szCs w:val="21"/>
                <w:highlight w:val="none"/>
              </w:rPr>
            </w:r>
            <w:r/>
          </w:p>
        </w:tc>
      </w:tr>
      <w:tr>
        <w:trPr>
          <w:trHeight w:val="837"/>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w:t>
            </w:r>
            <w:r>
              <w:rPr>
                <w:rFonts w:ascii="宋体" w:hAnsi="宋体" w:eastAsia="宋体" w:cs="宋体"/>
                <w:b/>
                <w:bCs/>
                <w:color w:val="000000"/>
                <w:sz w:val="21"/>
                <w:szCs w:val="21"/>
                <w:highlight w:val="none"/>
              </w:rPr>
            </w:r>
            <w:r/>
          </w:p>
        </w:tc>
        <w:tc>
          <w:tcPr>
            <w:tcW w:w="7213" w:type="dxa"/>
            <w:vAlign w:val="center"/>
            <w:textDirection w:val="lrTb"/>
            <w:noWrap w:val="false"/>
          </w:tcPr>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以满足招标文件要求且报价中最低的投标人报价为基准价，其价格分得满分30分。其他投标人价格得分统一按下列公式计算：其他报价得分=（基准价/其他投标报价）×30×100%（保留两位小数）</w:t>
            </w:r>
            <w:r>
              <w:rPr>
                <w:rFonts w:hint="eastAsia" w:ascii="宋体" w:hAnsi="宋体" w:eastAsia="宋体" w:cs="宋体"/>
                <w:color w:val="000000"/>
                <w:sz w:val="21"/>
                <w:szCs w:val="21"/>
                <w:highlight w:val="none"/>
              </w:rPr>
            </w:r>
            <w:r/>
          </w:p>
          <w:p>
            <w:pPr>
              <w:pStyle w:val="754"/>
              <w:spacing w:line="288"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注：评标委员会认为</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的报价明显过低，有可能影响履约的，且</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不能在评标现场合理的时间内证明其报价合理性的或提供相关证明资料的，评标委员会有权将其作为无效投标处理。</w:t>
            </w:r>
            <w:r>
              <w:rPr>
                <w:rFonts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技术响应程度</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tcW w:w="7213" w:type="dxa"/>
            <w:vAlign w:val="center"/>
            <w:textDirection w:val="lrTb"/>
            <w:noWrap w:val="false"/>
          </w:tcPr>
          <w:p>
            <w:pPr>
              <w:pStyle w:val="754"/>
              <w:spacing w:line="288"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采购文件第四章项目需求“项目清单”中所有参数均满足的得满分</w:t>
            </w:r>
            <w:r>
              <w:rPr>
                <w:rFonts w:hint="eastAsia" w:ascii="宋体" w:hAnsi="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”项技术参数为关键技术参数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”的指标要求为一般性技术指标，每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扣完为止。</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1.投标人须编制《技术参数偏离表》，对照参数要求逐条列出并对比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未提供的视为负偏离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除提供《技术参数偏离表》外，项目需求中要求提供相关证明材料的需同时提供对应材料，否则视为负偏离；</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3.技术参数和相关要求响应情况需如实填写，不得虚假响应，否则视为提供虚假材料谋取中标，追究相关责任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rPr>
            </w:pPr>
            <w:r>
              <w:rPr>
                <w:rFonts w:hint="eastAsia" w:ascii="新宋体" w:hAnsi="新宋体" w:eastAsia="新宋体" w:cs="新宋体"/>
                <w:b/>
                <w:bCs/>
                <w:color w:val="000000"/>
                <w:sz w:val="21"/>
                <w:szCs w:val="21"/>
                <w:highlight w:val="none"/>
              </w:rPr>
              <w:t xml:space="preserve">总体</w:t>
            </w:r>
            <w:r>
              <w:rPr>
                <w:rFonts w:hint="eastAsia" w:ascii="新宋体" w:hAnsi="新宋体" w:eastAsia="新宋体" w:cs="新宋体"/>
                <w:b/>
                <w:bCs/>
                <w:color w:val="000000"/>
                <w:sz w:val="21"/>
                <w:szCs w:val="21"/>
                <w:highlight w:val="none"/>
                <w:lang w:val="en-US" w:eastAsia="zh-CN"/>
              </w:rPr>
              <w:t xml:space="preserve">实施</w:t>
            </w:r>
            <w:r>
              <w:rPr>
                <w:rFonts w:hint="eastAsia" w:ascii="新宋体" w:hAnsi="新宋体" w:eastAsia="新宋体" w:cs="新宋体"/>
                <w:b/>
                <w:bCs/>
                <w:color w:val="000000"/>
                <w:sz w:val="21"/>
                <w:szCs w:val="21"/>
                <w:highlight w:val="none"/>
              </w:rPr>
              <w:t xml:space="preserve">方案</w:t>
            </w:r>
            <w:r>
              <w:rPr>
                <w:rFonts w:hint="eastAsia"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针对本项目提供具有科学性、前瞻性的总体</w:t>
            </w:r>
            <w:r>
              <w:rPr>
                <w:rFonts w:hint="eastAsia" w:ascii="宋体" w:hAnsi="宋体" w:eastAsia="宋体" w:cs="宋体"/>
                <w:color w:val="000000"/>
                <w:sz w:val="21"/>
                <w:szCs w:val="21"/>
                <w:highlight w:val="none"/>
                <w:lang w:val="en-US" w:eastAsia="zh-CN" w:bidi="ar"/>
              </w:rPr>
              <w:t xml:space="preserve">实施</w:t>
            </w:r>
            <w:r>
              <w:rPr>
                <w:rFonts w:hint="eastAsia" w:ascii="宋体" w:hAnsi="宋体" w:eastAsia="宋体" w:cs="宋体"/>
                <w:color w:val="000000"/>
                <w:sz w:val="21"/>
                <w:szCs w:val="21"/>
                <w:highlight w:val="none"/>
                <w:lang w:bidi="ar"/>
              </w:rPr>
              <w:t xml:space="preserve">方案，包括</w:t>
            </w:r>
            <w:r>
              <w:rPr>
                <w:rFonts w:hint="eastAsia" w:ascii="宋体" w:hAnsi="宋体" w:eastAsia="宋体" w:cs="宋体"/>
                <w:color w:val="000000"/>
                <w:sz w:val="21"/>
                <w:szCs w:val="21"/>
                <w:highlight w:val="none"/>
                <w:lang w:val="en-US" w:eastAsia="zh-CN" w:bidi="ar"/>
              </w:rPr>
              <w:t xml:space="preserve">但不限于</w:t>
            </w:r>
            <w:r>
              <w:rPr>
                <w:rFonts w:hint="eastAsia" w:ascii="宋体" w:hAnsi="宋体" w:eastAsia="宋体" w:cs="宋体"/>
                <w:color w:val="000000"/>
                <w:sz w:val="21"/>
                <w:szCs w:val="21"/>
                <w:highlight w:val="none"/>
                <w:lang w:bidi="ar"/>
              </w:rPr>
              <w:t xml:space="preserve">需求分析、</w:t>
            </w:r>
            <w:r>
              <w:rPr>
                <w:rFonts w:hint="eastAsia" w:ascii="宋体" w:hAnsi="宋体" w:eastAsia="宋体" w:cs="宋体"/>
                <w:color w:val="000000"/>
                <w:sz w:val="21"/>
                <w:szCs w:val="21"/>
                <w:highlight w:val="none"/>
                <w:lang w:val="en-US" w:eastAsia="zh-CN" w:bidi="ar"/>
              </w:rPr>
              <w:t xml:space="preserve">安装</w:t>
            </w:r>
            <w:r>
              <w:rPr>
                <w:rFonts w:hint="eastAsia" w:ascii="宋体" w:hAnsi="宋体" w:eastAsia="宋体" w:cs="宋体"/>
                <w:color w:val="000000"/>
                <w:sz w:val="21"/>
                <w:szCs w:val="21"/>
                <w:highlight w:val="none"/>
                <w:lang w:bidi="ar"/>
              </w:rPr>
              <w:t xml:space="preserve">设计、建设方案</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highlight w:val="none"/>
              </w:rPr>
              <w:t xml:space="preserve">设备布置平面图、效果图</w:t>
            </w:r>
            <w:r>
              <w:rPr>
                <w:rFonts w:hint="eastAsia" w:ascii="宋体" w:hAnsi="宋体" w:eastAsia="宋体" w:cs="宋体"/>
                <w:color w:val="000000"/>
                <w:sz w:val="21"/>
                <w:szCs w:val="21"/>
                <w:highlight w:val="none"/>
                <w:lang w:bidi="ar"/>
              </w:rPr>
              <w:t xml:space="preserve">等</w:t>
            </w:r>
            <w:r>
              <w:rPr>
                <w:rFonts w:hint="eastAsia" w:ascii="宋体" w:hAnsi="宋体" w:eastAsia="宋体" w:cs="宋体"/>
                <w:color w:val="000000"/>
                <w:sz w:val="21"/>
                <w:szCs w:val="21"/>
                <w:highlight w:val="none"/>
                <w:lang w:val="en-US" w:eastAsia="zh-CN" w:bidi="ar"/>
              </w:rPr>
              <w:t xml:space="preserve">内容</w:t>
            </w:r>
            <w:r>
              <w:rPr>
                <w:rFonts w:hint="eastAsia" w:ascii="宋体" w:hAnsi="宋体" w:eastAsia="宋体" w:cs="宋体"/>
                <w:color w:val="000000"/>
                <w:sz w:val="21"/>
                <w:szCs w:val="21"/>
                <w:highlight w:val="none"/>
                <w:lang w:val="en-US" w:eastAsia="zh-CN"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分；方案不够合理、可操作性不强，得1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未提供的不得分。</w:t>
            </w:r>
            <w:r>
              <w:rPr>
                <w:rFonts w:hint="eastAsia" w:ascii="宋体" w:hAnsi="宋体" w:eastAsia="宋体" w:cs="宋体"/>
                <w:color w:val="000000"/>
                <w:sz w:val="21"/>
                <w:szCs w:val="21"/>
                <w:highlight w:val="none"/>
                <w:lang w:bidi="ar"/>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供货、安装、调试方案</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包括但不限于供货计划、组织实施方案、人员配置与保障、工期保障措施、质量保障措施、风险与不确定性管理措施以及安装调试方案等内容。</w:t>
            </w:r>
            <w:r>
              <w:rPr>
                <w:rFonts w:hint="eastAsia" w:ascii="新宋体" w:hAnsi="新宋体" w:eastAsia="新宋体" w:cs="新宋体"/>
                <w:color w:val="000000"/>
                <w:sz w:val="21"/>
                <w:szCs w:val="21"/>
                <w:highlight w:val="none"/>
                <w:lang w:val="en-US" w:eastAsia="zh-CN"/>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方案科学合理、安全严密、条理清晰完善、重点突出、专业性强，得</w:t>
            </w:r>
            <w:r>
              <w:rPr>
                <w:rFonts w:ascii="新宋体" w:hAnsi="新宋体" w:eastAsia="新宋体" w:cs="新宋体"/>
                <w:color w:val="000000"/>
                <w:sz w:val="21"/>
                <w:szCs w:val="21"/>
                <w:highlight w:val="none"/>
                <w:lang w:val="en-US" w:eastAsia="zh-CN"/>
              </w:rPr>
              <w:t xml:space="preserve">5</w:t>
            </w:r>
            <w:r>
              <w:rPr>
                <w:rFonts w:ascii="新宋体" w:hAnsi="新宋体" w:eastAsia="新宋体" w:cs="新宋体"/>
                <w:color w:val="000000"/>
                <w:sz w:val="21"/>
                <w:szCs w:val="21"/>
                <w:highlight w:val="none"/>
              </w:rPr>
              <w:t xml:space="preserve">分；方案基本合理、安全可行、有一定条理、基本完善、专业性一般，得</w:t>
            </w:r>
            <w:r>
              <w:rPr>
                <w:rFonts w:ascii="新宋体" w:hAnsi="新宋体" w:eastAsia="新宋体" w:cs="新宋体"/>
                <w:color w:val="000000"/>
                <w:sz w:val="21"/>
                <w:szCs w:val="21"/>
                <w:highlight w:val="none"/>
                <w:lang w:val="en-US" w:eastAsia="zh-CN"/>
              </w:rPr>
              <w:t xml:space="preserve">3</w:t>
            </w:r>
            <w:r>
              <w:rPr>
                <w:rFonts w:ascii="新宋体" w:hAnsi="新宋体" w:eastAsia="新宋体" w:cs="新宋体"/>
                <w:color w:val="000000"/>
                <w:sz w:val="21"/>
                <w:szCs w:val="21"/>
                <w:highlight w:val="none"/>
              </w:rPr>
              <w:t xml:space="preserve">分；方案不够合理、可操作性不强，得</w:t>
            </w:r>
            <w:r>
              <w:rPr>
                <w:rFonts w:ascii="新宋体" w:hAnsi="新宋体" w:eastAsia="新宋体" w:cs="新宋体"/>
                <w:color w:val="000000"/>
                <w:sz w:val="21"/>
                <w:szCs w:val="21"/>
                <w:highlight w:val="none"/>
                <w:lang w:val="en-US" w:eastAsia="zh-CN"/>
              </w:rPr>
              <w:t xml:space="preserve">1</w:t>
            </w:r>
            <w:r>
              <w:rPr>
                <w:rFonts w:ascii="新宋体" w:hAnsi="新宋体" w:eastAsia="新宋体" w:cs="新宋体"/>
                <w:color w:val="000000"/>
                <w:sz w:val="21"/>
                <w:szCs w:val="21"/>
                <w:highlight w:val="none"/>
              </w:rPr>
              <w:t xml:space="preserve">分；</w:t>
            </w:r>
            <w:r>
              <w:rPr>
                <w:rFonts w:ascii="新宋体" w:hAnsi="新宋体" w:eastAsia="新宋体" w:cs="新宋体"/>
                <w:color w:val="000000"/>
                <w:sz w:val="21"/>
                <w:szCs w:val="21"/>
                <w:highlight w:val="none"/>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未提供的不得分。</w:t>
            </w:r>
            <w:r>
              <w:rPr>
                <w:rFonts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宋体"/>
                <w:b/>
                <w:bCs/>
                <w:color w:val="000000"/>
                <w:sz w:val="21"/>
                <w:szCs w:val="21"/>
                <w:highlight w:val="none"/>
              </w:rPr>
              <w:t xml:space="preserve">售后服务</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本项目提供售后服务方案，方案内容应包括但不限于人员管理规范、系统故障响应处置规范、配置管理规范，确保售后服务规范，提供售后服务承诺，包括系统试运行承诺、运维管理支持服务保证、质保期内服务承诺。</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分；方案不够合理、可操作性不强，得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未提供的不得分。</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培训方案</w:t>
            </w:r>
            <w:r>
              <w:rPr>
                <w:rFonts w:ascii="宋体" w:hAnsi="宋体" w:eastAsia="宋体" w:cs="Times New Roman"/>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针对本项目提供培训方案，方案内容应包括培训内容、培训方式、培训时间、地点、人员及所提供产品的原理和技术性能、维护方法、排除故障等方面，确保培训后的人员应能熟练操作设备，了解产品结构、工作原理，并能排除一般故障。</w:t>
            </w:r>
            <w:r>
              <w:rPr>
                <w:rFonts w:hint="eastAsia" w:ascii="新宋体" w:hAnsi="新宋体" w:eastAsia="新宋体" w:cs="新宋体"/>
                <w:color w:val="000000"/>
                <w:sz w:val="21"/>
                <w:szCs w:val="21"/>
                <w:highlight w:val="none"/>
                <w:lang w:val="en-US" w:eastAsia="zh-CN"/>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方案科学合理、安全严密、条理清晰完善、重点突出、专业性强，得</w:t>
            </w:r>
            <w:r>
              <w:rPr>
                <w:rFonts w:hint="eastAsia" w:ascii="新宋体" w:hAnsi="新宋体" w:eastAsia="新宋体" w:cs="新宋体"/>
                <w:color w:val="000000"/>
                <w:sz w:val="21"/>
                <w:szCs w:val="21"/>
                <w:highlight w:val="none"/>
                <w:lang w:val="en-US" w:eastAsia="zh-CN"/>
              </w:rPr>
              <w:t xml:space="preserve">5</w:t>
            </w:r>
            <w:r>
              <w:rPr>
                <w:rFonts w:hint="eastAsia" w:ascii="新宋体" w:hAnsi="新宋体" w:eastAsia="新宋体" w:cs="新宋体"/>
                <w:color w:val="000000"/>
                <w:sz w:val="21"/>
                <w:szCs w:val="21"/>
                <w:highlight w:val="none"/>
              </w:rPr>
              <w:t xml:space="preserve">分；方案基本合理、安全可行、有一定条理、基本完善、专业性一般，得</w:t>
            </w:r>
            <w:r>
              <w:rPr>
                <w:rFonts w:hint="eastAsia" w:ascii="新宋体" w:hAnsi="新宋体" w:eastAsia="新宋体" w:cs="新宋体"/>
                <w:color w:val="000000"/>
                <w:sz w:val="21"/>
                <w:szCs w:val="21"/>
                <w:highlight w:val="none"/>
                <w:lang w:val="en-US" w:eastAsia="zh-CN"/>
              </w:rPr>
              <w:t xml:space="preserve">3</w:t>
            </w:r>
            <w:r>
              <w:rPr>
                <w:rFonts w:hint="eastAsia" w:ascii="新宋体" w:hAnsi="新宋体" w:eastAsia="新宋体" w:cs="新宋体"/>
                <w:color w:val="000000"/>
                <w:sz w:val="21"/>
                <w:szCs w:val="21"/>
                <w:highlight w:val="none"/>
              </w:rPr>
              <w:t xml:space="preserve">分；方案不够合理、可操作性不强，得</w:t>
            </w:r>
            <w:r>
              <w:rPr>
                <w:rFonts w:hint="eastAsia" w:ascii="新宋体" w:hAnsi="新宋体" w:eastAsia="新宋体" w:cs="新宋体"/>
                <w:color w:val="000000"/>
                <w:sz w:val="21"/>
                <w:szCs w:val="21"/>
                <w:highlight w:val="none"/>
                <w:lang w:val="en-US" w:eastAsia="zh-CN"/>
              </w:rPr>
              <w:t xml:space="preserve">1</w:t>
            </w:r>
            <w:r>
              <w:rPr>
                <w:rFonts w:hint="eastAsia" w:ascii="新宋体" w:hAnsi="新宋体" w:eastAsia="新宋体" w:cs="新宋体"/>
                <w:color w:val="000000"/>
                <w:sz w:val="21"/>
                <w:szCs w:val="21"/>
                <w:highlight w:val="none"/>
              </w:rPr>
              <w:t xml:space="preserve">分；</w:t>
            </w:r>
            <w:r>
              <w:rPr>
                <w:rFonts w:hint="eastAsia" w:ascii="新宋体" w:hAnsi="新宋体" w:eastAsia="新宋体" w:cs="新宋体"/>
                <w:color w:val="000000"/>
                <w:sz w:val="21"/>
                <w:szCs w:val="21"/>
                <w:highlight w:val="none"/>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未提供的不得分。</w:t>
            </w:r>
            <w:r>
              <w:rPr>
                <w:rFonts w:hint="eastAsia"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企业实力</w:t>
            </w:r>
            <w:r>
              <w:rPr>
                <w:rFonts w:ascii="宋体" w:hAnsi="宋体" w:eastAsia="宋体" w:cs="宋体"/>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0</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jc w:val="left"/>
              <w:spacing w:line="288"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1、投标人或所投产品生产厂家具有与本项目相关的软件著作权证书的，每提供一个证书得2分，本项最高得4分（</w:t>
            </w:r>
            <w:r>
              <w:rPr>
                <w:rFonts w:hint="eastAsia" w:ascii="宋体" w:hAnsi="宋体" w:cs="宋体"/>
                <w:szCs w:val="21"/>
                <w:highlight w:val="none"/>
                <w:lang w:bidi="ar"/>
              </w:rPr>
              <w:t xml:space="preserve">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bCs/>
                <w:szCs w:val="21"/>
                <w:highlight w:val="none"/>
                <w:lang w:val="en-US" w:eastAsia="zh-CN"/>
              </w:rPr>
              <w:t xml:space="preserve">）。</w:t>
            </w:r>
            <w:r>
              <w:rPr>
                <w:rFonts w:hint="eastAsia" w:ascii="宋体" w:hAnsi="宋体" w:cs="宋体"/>
                <w:bCs/>
                <w:szCs w:val="21"/>
                <w:highlight w:val="none"/>
                <w:lang w:val="en-US" w:eastAsia="zh-CN"/>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具有符合国标GB/T27922-2011售后服务体系完善程度认证证书（十二星级）,证书覆盖范围应包含录播设备、录播系统软件、摄像机的售后服务（提供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），满足加</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具有信息安全管理体系认证，证书覆盖范围应包含录播系统软件、管理软件及平台的研发、销售及服务相关信息安全管理活动（提供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具有知识产权管理体系认证证书,证书覆盖范围应包含录播系统、管理平台、音视频远程互动系统的研发及销售（提供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具有绿色供应链管理体系认证证书,证书覆盖范围应包含录播系统、管理平台的研发及售后服务（提供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numPr>
                <w:ilvl w:val="0"/>
                <w:numId w:val="0"/>
              </w:numPr>
              <w:spacing w:line="288" w:lineRule="auto"/>
              <w:rPr>
                <w:rFonts w:hint="eastAsia" w:ascii="新宋体" w:hAnsi="新宋体" w:eastAsia="新宋体" w:cs="新宋体"/>
                <w:b/>
                <w:bCs/>
                <w:color w:val="000000"/>
                <w:sz w:val="21"/>
                <w:szCs w:val="21"/>
                <w:highlight w:val="none"/>
                <w:lang w:val="en-US" w:eastAsia="zh-CN"/>
              </w:rPr>
            </w:pP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具有业务连续性管理体系认证证书、信息技术服务管理体系认证证书（提供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）。每提供1份得1分，满</w:t>
            </w:r>
            <w:r>
              <w:rPr>
                <w:rFonts w:hint="eastAsia" w:ascii="宋体" w:hAnsi="宋体" w:cs="宋体"/>
                <w:szCs w:val="21"/>
                <w:highlight w:val="none"/>
                <w:lang w:val="en-US" w:eastAsia="zh-CN" w:bidi="ar"/>
              </w:rPr>
              <w:t xml:space="preserve">分</w:t>
            </w:r>
            <w:r>
              <w:rPr>
                <w:rFonts w:hint="eastAsia" w:ascii="宋体" w:hAnsi="宋体" w:cs="宋体"/>
                <w:szCs w:val="21"/>
                <w:highlight w:val="none"/>
                <w:lang w:bidi="ar"/>
              </w:rPr>
              <w:t xml:space="preserve">得2分</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不提供不得分。</w:t>
            </w:r>
            <w:r>
              <w:rPr>
                <w:rFonts w:hint="eastAsia" w:ascii="新宋体" w:hAnsi="新宋体" w:eastAsia="新宋体" w:cs="新宋体"/>
                <w:b/>
                <w:bCs/>
                <w:color w:val="000000"/>
                <w:sz w:val="21"/>
                <w:szCs w:val="21"/>
                <w:highlight w:val="none"/>
                <w:lang w:val="en-US" w:eastAsia="zh-CN"/>
              </w:rPr>
            </w:r>
            <w:r/>
          </w:p>
        </w:tc>
      </w:tr>
      <w:tr>
        <w:trPr>
          <w:trHeight w:val="283"/>
        </w:trPr>
        <w:tc>
          <w:tcPr>
            <w:tcW w:w="1767" w:type="dxa"/>
            <w:vAlign w:val="center"/>
            <w:vMerge w:val="restart"/>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rPr>
                <w:rFonts w:ascii="SimSun" w:hAnsi="SimSun" w:eastAsia="SimSun" w:cs="SimSun"/>
                <w:b/>
                <w:color w:val="000000"/>
                <w:sz w:val="21"/>
              </w:rPr>
              <w:t xml:space="preserve">产品演示</w:t>
            </w:r>
            <w:r>
              <w:rPr>
                <w:rFonts w:hint="eastAsia" w:ascii="宋体" w:hAnsi="宋体" w:eastAsia="宋体" w:cs="宋体"/>
                <w:b/>
                <w:bCs/>
                <w:color w:val="000000"/>
                <w:sz w:val="21"/>
                <w:szCs w:val="21"/>
                <w:highlight w:val="none"/>
                <w:lang w:val="en-US" w:eastAsia="zh-CN"/>
              </w:rPr>
            </w:r>
            <w:r/>
          </w:p>
        </w:tc>
        <w:tc>
          <w:tcPr>
            <w:tcW w:w="654" w:type="dxa"/>
            <w:vAlign w:val="center"/>
            <w:vMerge w:val="restart"/>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r>
            <w:r/>
          </w:p>
        </w:tc>
        <w:tc>
          <w:tcPr>
            <w:tcW w:w="7213" w:type="dxa"/>
            <w:vAlign w:val="top"/>
            <w:vMerge w:val="restart"/>
            <w:textDirection w:val="lrTb"/>
            <w:noWrap w:val="false"/>
          </w:tcPr>
          <w:p>
            <w:pPr>
              <w:ind w:left="0" w:right="0" w:firstLine="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要对▲智能搜索引擎、▲课程管理模块、▲题库（对各种题型分类管理，支持分类筛选和搜索功能）、作业、考核模块、▲教学辅助模块进行产品功能演示，演示总时长不超过10分钟。评标委员会依据投标人演示情况横向、纵向比对打分，每条演示完全满足要求得1分，演示有缺陷（部分满足）或未演示不得分。本项最高得4分。</w:t>
            </w:r>
            <w:r/>
          </w:p>
          <w:p>
            <w:pPr>
              <w:pStyle w:val="754"/>
              <w:jc w:val="left"/>
              <w:spacing w:line="288" w:lineRule="auto"/>
              <w:rPr>
                <w:rFonts w:hint="eastAsia" w:ascii="宋体" w:hAnsi="宋体" w:cs="宋体"/>
                <w:bCs/>
                <w:szCs w:val="21"/>
                <w:highlight w:val="none"/>
                <w:lang w:val="en-US" w:eastAsia="zh-CN"/>
              </w:rPr>
            </w:pPr>
            <w:r>
              <w:rPr>
                <w:rFonts w:ascii="SimSun" w:hAnsi="SimSun" w:eastAsia="SimSun" w:cs="SimSun"/>
                <w:color w:val="000000"/>
                <w:sz w:val="21"/>
              </w:rPr>
              <w:t xml:space="preserve">（注：演示时投标人自带笔记本电脑，功能截图拼接等为无效演示。）</w:t>
            </w:r>
            <w:r>
              <w:rPr>
                <w:rFonts w:hint="eastAsia" w:ascii="宋体" w:hAnsi="宋体" w:cs="宋体"/>
                <w:bCs/>
                <w:szCs w:val="21"/>
                <w:highlight w:val="none"/>
                <w:lang w:val="en-US" w:eastAsia="zh-CN"/>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业绩</w:t>
            </w:r>
            <w:r>
              <w:rPr>
                <w:rFonts w:hint="eastAsia" w:ascii="宋体" w:hAnsi="宋体" w:eastAsia="宋体" w:cs="宋体"/>
                <w:b/>
                <w:bCs/>
                <w:color w:val="000000"/>
                <w:sz w:val="21"/>
                <w:szCs w:val="21"/>
                <w:highlight w:val="none"/>
                <w:lang w:val="en-US" w:eastAsia="zh-CN" w:bidi="ar-SA"/>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bidi="ar-SA"/>
              </w:rPr>
            </w:r>
            <w:r/>
          </w:p>
        </w:tc>
        <w:tc>
          <w:tcPr>
            <w:tcW w:w="7213" w:type="dxa"/>
            <w:vAlign w:val="top"/>
            <w:textDirection w:val="lrTb"/>
            <w:noWrap w:val="false"/>
          </w:tcPr>
          <w:p>
            <w:pPr>
              <w:pStyle w:val="754"/>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投标人或所投产品制造商自20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年1月1日以来（以合同签订时间为准）</w:t>
            </w:r>
            <w:r>
              <w:rPr>
                <w:rFonts w:hint="eastAsia" w:ascii="宋体" w:hAnsi="宋体" w:eastAsia="宋体" w:cs="宋体"/>
                <w:sz w:val="21"/>
                <w:szCs w:val="21"/>
                <w:highlight w:val="none"/>
                <w:lang w:val="en-US" w:eastAsia="zh-CN"/>
              </w:rPr>
              <w:t xml:space="preserve">承担过类似项目业绩的，</w:t>
            </w:r>
            <w:r>
              <w:rPr>
                <w:rFonts w:hint="eastAsia" w:ascii="宋体" w:hAnsi="宋体" w:eastAsia="宋体" w:cs="宋体"/>
                <w:sz w:val="21"/>
                <w:szCs w:val="21"/>
                <w:highlight w:val="none"/>
              </w:rPr>
              <w:t xml:space="preserve">每提供1份业绩合同得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54"/>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SA"/>
              </w:rPr>
              <w:t xml:space="preserve">（提供业绩包括合同或中标通知书扫描件上传</w:t>
            </w:r>
            <w:r>
              <w:rPr>
                <w:rFonts w:hint="eastAsia" w:ascii="宋体" w:hAnsi="宋体" w:cs="宋体"/>
                <w:color w:val="000000"/>
                <w:highlight w:val="none"/>
              </w:rPr>
              <w:t xml:space="preserve">，</w:t>
            </w:r>
            <w:r>
              <w:rPr>
                <w:rFonts w:hint="eastAsia" w:ascii="宋体" w:hAnsi="宋体" w:eastAsia="宋体" w:cs="宋体"/>
                <w:b/>
                <w:bCs/>
                <w:sz w:val="21"/>
                <w:szCs w:val="21"/>
                <w:highlight w:val="none"/>
                <w:lang w:val="en-US" w:eastAsia="zh-CN" w:bidi="ar-SA"/>
              </w:rPr>
              <w:t xml:space="preserve">未提供的不得分。）</w:t>
            </w:r>
            <w:r>
              <w:rPr>
                <w:rFonts w:hint="eastAsia" w:ascii="宋体" w:hAnsi="宋体" w:eastAsia="宋体" w:cs="宋体"/>
                <w:sz w:val="21"/>
                <w:szCs w:val="21"/>
                <w:highlight w:val="none"/>
                <w:lang w:val="en-US" w:eastAsia="zh-CN" w:bidi="ar"/>
              </w:rPr>
            </w:r>
            <w:r/>
          </w:p>
        </w:tc>
      </w:tr>
    </w:tbl>
    <w:p>
      <w:pPr>
        <w:pStyle w:val="754"/>
        <w:jc w:val="center"/>
        <w:rPr>
          <w:rFonts w:hint="eastAsia"/>
          <w:b/>
          <w:color w:val="000000"/>
          <w:sz w:val="28"/>
          <w:szCs w:val="24"/>
          <w:highlight w:val="none"/>
        </w:rPr>
      </w:pPr>
      <w:r>
        <w:rPr>
          <w:rFonts w:hint="eastAsia"/>
          <w:b/>
          <w:color w:val="000000"/>
          <w:sz w:val="28"/>
          <w:szCs w:val="24"/>
          <w:highlight w:val="none"/>
        </w:rPr>
      </w:r>
      <w:r/>
    </w:p>
    <w:p>
      <w:pPr>
        <w:pStyle w:val="754"/>
        <w:rPr>
          <w:color w:val="000000"/>
          <w:highlight w:val="none"/>
        </w:rPr>
      </w:pPr>
      <w:r>
        <w:rPr>
          <w:color w:val="000000"/>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rPr>
          <w:rFonts w:hint="eastAsia"/>
          <w:color w:val="000000"/>
          <w:highlight w:val="none"/>
        </w:rPr>
      </w:pPr>
      <w:r>
        <w:rPr>
          <w:rFonts w:hint="eastAsia"/>
          <w:color w:val="000000"/>
          <w:highlight w:val="none"/>
        </w:rPr>
      </w:r>
      <w:r/>
    </w:p>
    <w:p>
      <w:pPr>
        <w:pStyle w:val="75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第六章   投标文件（格式）</w:t>
      </w: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color w:val="000000"/>
          <w:highlight w:val="none"/>
        </w:rPr>
      </w:pPr>
      <w:r>
        <w:rPr>
          <w:color w:val="000000"/>
          <w:highlight w:val="none"/>
        </w:rPr>
      </w:r>
      <w:r/>
    </w:p>
    <w:p>
      <w:pPr>
        <w:pStyle w:val="754"/>
        <w:jc w:val="center"/>
        <w:spacing w:line="360" w:lineRule="auto"/>
        <w:rPr>
          <w:rFonts w:ascii="宋体" w:hAnsi="宋体" w:cs="Arial"/>
          <w:b/>
          <w:bCs/>
          <w:color w:val="000000"/>
          <w:sz w:val="72"/>
          <w:szCs w:val="72"/>
          <w:highlight w:val="none"/>
        </w:rPr>
      </w:pPr>
      <w:r>
        <w:rPr>
          <w:rFonts w:hint="eastAsia" w:ascii="宋体" w:hAnsi="宋体"/>
          <w:b/>
          <w:color w:val="000000"/>
          <w:sz w:val="72"/>
          <w:highlight w:val="none"/>
        </w:rPr>
        <w:t xml:space="preserve">投  标  文  件</w:t>
      </w:r>
      <w:r>
        <w:rPr>
          <w:rFonts w:ascii="宋体" w:hAnsi="宋体" w:cs="Arial"/>
          <w:b/>
          <w:bCs/>
          <w:color w:val="000000"/>
          <w:sz w:val="72"/>
          <w:szCs w:val="72"/>
          <w:highlight w:val="none"/>
        </w:rPr>
      </w:r>
      <w:r/>
    </w:p>
    <w:p>
      <w:pPr>
        <w:pStyle w:val="754"/>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spacing w:line="360" w:lineRule="auto"/>
        <w:rPr>
          <w:rFonts w:ascii="宋体" w:hAnsi="宋体"/>
          <w:b/>
          <w:color w:val="000000"/>
          <w:sz w:val="36"/>
          <w:highlight w:val="none"/>
        </w:rPr>
      </w:pPr>
      <w:r>
        <w:rPr>
          <w:rFonts w:ascii="宋体" w:hAnsi="宋体"/>
          <w:b/>
          <w:color w:val="000000"/>
          <w:sz w:val="36"/>
          <w:highlight w:val="none"/>
        </w:rPr>
      </w:r>
      <w:r/>
    </w:p>
    <w:p>
      <w:pPr>
        <w:pStyle w:val="754"/>
        <w:jc w:val="center"/>
        <w:spacing w:line="360" w:lineRule="auto"/>
        <w:rPr>
          <w:rFonts w:ascii="宋体" w:hAnsi="宋体"/>
          <w:b/>
          <w:color w:val="000000"/>
          <w:sz w:val="36"/>
          <w:highlight w:val="none"/>
        </w:rPr>
      </w:pPr>
      <w:r>
        <w:rPr>
          <w:rFonts w:ascii="宋体" w:hAnsi="宋体"/>
          <w:b/>
          <w:color w:val="000000"/>
          <w:sz w:val="36"/>
          <w:highlight w:val="non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5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754"/>
        <w:jc w:val="center"/>
        <w:spacing w:line="440" w:lineRule="exact"/>
        <w:rPr>
          <w:rFonts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75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三、</w:t>
      </w:r>
      <w:r>
        <w:rPr>
          <w:rFonts w:hint="eastAsia" w:ascii="宋体" w:hAnsi="宋体"/>
          <w:i/>
          <w:color w:val="000000"/>
          <w:sz w:val="24"/>
          <w:highlight w:val="none"/>
          <w:u w:val="single"/>
        </w:rPr>
        <w:t xml:space="preserve">开标一览表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四、投标产品配置及分项报价表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五、技术参数响应及偏离表</w:t>
      </w:r>
      <w:r>
        <w:rPr>
          <w:rFonts w:ascii="宋体" w:hAnsi="宋体"/>
          <w:color w:val="000000"/>
          <w:sz w:val="24"/>
          <w:highlight w:val="none"/>
        </w:rPr>
      </w:r>
      <w:r/>
    </w:p>
    <w:p>
      <w:pPr>
        <w:pStyle w:val="75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六、商务条款响应及偏离表</w:t>
      </w:r>
      <w:r>
        <w:rPr>
          <w:rFonts w:ascii="宋体" w:hAnsi="宋体"/>
          <w:color w:val="000000"/>
          <w:sz w:val="24"/>
          <w:szCs w:val="24"/>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七、其他 （投标人认为有必要提供的声明和文件，如有自拟并自行添加）</w:t>
      </w:r>
      <w:r>
        <w:rPr>
          <w:rFonts w:ascii="宋体" w:hAnsi="宋体"/>
          <w:color w:val="000000"/>
          <w:sz w:val="24"/>
          <w:highlight w:val="none"/>
        </w:rPr>
      </w:r>
      <w:r/>
    </w:p>
    <w:p>
      <w:pPr>
        <w:pStyle w:val="754"/>
        <w:jc w:val="center"/>
        <w:spacing w:line="360" w:lineRule="auto"/>
        <w:rPr>
          <w:rFonts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933"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67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754"/>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754"/>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法人或者其他组织的营业执照等证明文件，自然人的身份证明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68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35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上一年度的财务报告情况（成立不满一年不需提供）</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具备履行合同所必需的设备和专业技术能力的</w:t>
            </w:r>
            <w:r>
              <w:rPr>
                <w:rFonts w:hint="eastAsia" w:ascii="宋体" w:hAnsi="宋体" w:eastAsia="宋体" w:cs="宋体"/>
                <w:color w:val="000000"/>
                <w:szCs w:val="21"/>
                <w:highlight w:val="none"/>
                <w:lang w:val="en-US" w:eastAsia="zh-CN"/>
              </w:rPr>
              <w:t xml:space="preserve">书面声明</w:t>
            </w:r>
            <w:r>
              <w:rPr>
                <w:rFonts w:ascii="宋体" w:hAnsi="宋体" w:eastAsia="宋体" w:cs="宋体"/>
                <w:color w:val="000000"/>
                <w:szCs w:val="21"/>
                <w:highlight w:val="none"/>
                <w:lang w:val="en-US"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参加本次政府采购活动前3年内在经营活动中没有重大违法记录的书面声明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未被“信用中</w:t>
            </w:r>
            <w:r>
              <w:rPr>
                <w:rFonts w:hint="eastAsia" w:ascii="宋体" w:hAnsi="宋体" w:eastAsia="宋体" w:cs="宋体"/>
                <w:color w:val="000000"/>
                <w:szCs w:val="21"/>
                <w:highlight w:val="none"/>
                <w:lang w:eastAsia="zh-CN"/>
              </w:rPr>
              <w:t xml:space="preserve">国”网站（www.creditchina.gov.cn）、“中国政府采购网"(www.ccgp.gov.cn)列入失信被执行人、重大税收违法失信主体、政府采购严重违法失信行为记录名单（投标文件中无需提供证明材料）</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供应商信用承诺书</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特定资格条件</w:t>
            </w:r>
            <w:r>
              <w:rPr>
                <w:rFonts w:ascii="宋体" w:hAnsi="宋体" w:cs="宋体"/>
                <w:color w:val="000000"/>
                <w:szCs w:val="21"/>
                <w:highlight w:val="none"/>
              </w:rPr>
            </w:r>
            <w:r/>
          </w:p>
        </w:tc>
      </w:tr>
      <w:tr>
        <w:trPr>
          <w:trHeight w:val="389"/>
        </w:trPr>
        <w:tc>
          <w:tcPr>
            <w:tcW w:w="646" w:type="dxa"/>
            <w:vAlign w:val="center"/>
            <w:textDirection w:val="lrTb"/>
            <w:noWrap w:val="false"/>
          </w:tcPr>
          <w:p>
            <w:pPr>
              <w:pStyle w:val="754"/>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jc w:val="center"/>
        <w:spacing w:line="500" w:lineRule="exact"/>
        <w:rPr>
          <w:rFonts w:ascii="宋体" w:hAnsi="宋体"/>
          <w:b/>
          <w:color w:val="000000"/>
          <w:szCs w:val="21"/>
          <w:highlight w:val="none"/>
        </w:rPr>
      </w:pPr>
      <w:r>
        <w:rPr>
          <w:rFonts w:ascii="宋体" w:hAnsi="宋体"/>
          <w:b/>
          <w:color w:val="000000"/>
          <w:szCs w:val="21"/>
          <w:highlight w:val="none"/>
        </w:rPr>
      </w:r>
      <w:r/>
    </w:p>
    <w:p>
      <w:pPr>
        <w:pStyle w:val="754"/>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54"/>
        <w:ind w:firstLine="1476"/>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rPr>
          <w:rFonts w:ascii="Times New Roman" w:hAnsi="Times New Roman" w:eastAsia="宋体"/>
          <w:b/>
          <w:bCs/>
          <w:color w:val="000000"/>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ind w:firstLine="420"/>
        <w:jc w:val="center"/>
        <w:spacing w:line="360" w:lineRule="auto"/>
        <w:rPr>
          <w:color w:val="000000"/>
          <w:highlight w:val="none"/>
        </w:rPr>
      </w:pPr>
      <w:r>
        <w:rPr>
          <w:rFonts w:hint="eastAsia"/>
          <w:color w:val="000000"/>
          <w:highlight w:val="none"/>
        </w:rPr>
        <w:t xml:space="preserve">供应商名称（加盖CA电子公章）：</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rPr>
      </w:r>
      <w:r/>
    </w:p>
    <w:p>
      <w:pPr>
        <w:pStyle w:val="754"/>
        <w:ind w:firstLine="420"/>
        <w:jc w:val="center"/>
        <w:spacing w:line="360" w:lineRule="auto"/>
        <w:rPr>
          <w:color w:val="000000"/>
          <w:highlight w:val="none"/>
        </w:rPr>
      </w:pPr>
      <w:r>
        <w:rPr>
          <w:rFonts w:hint="eastAsia"/>
          <w:color w:val="000000"/>
          <w:highlight w:val="none"/>
          <w:lang w:val="en-US" w:eastAsia="zh-CN"/>
        </w:rPr>
        <w:t xml:space="preserve">       </w:t>
      </w:r>
      <w:r>
        <w:rPr>
          <w:rFonts w:hint="eastAsia"/>
          <w:color w:val="000000"/>
          <w:highlight w:val="none"/>
        </w:rPr>
        <w:t xml:space="preserve">法定代表人签章：_______________________</w:t>
      </w:r>
      <w:r>
        <w:rPr>
          <w:color w:val="000000"/>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hint="eastAsia"/>
          <w:color w:val="000000"/>
          <w:highlight w:val="none"/>
        </w:rPr>
        <w:t xml:space="preserve">                          日期：______年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ascii="宋体" w:hAnsi="宋体" w:cs="宋体"/>
          <w:color w:val="000000"/>
          <w:highlight w:val="none"/>
        </w:rPr>
        <w:t xml:space="preserve">日</w:t>
      </w: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jc w:val="center"/>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bCs/>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参加本次政府采购活动前3年内在经营活动中没有重大违法记录的书面声明</w:t>
      </w: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声明</w:t>
      </w:r>
      <w:r>
        <w:rPr>
          <w:rFonts w:ascii="Times New Roman" w:hAnsi="Times New Roman" w:eastAsia="宋体"/>
          <w:b/>
          <w:bCs/>
          <w:color w:val="000000"/>
          <w:highlight w:val="none"/>
        </w:rPr>
      </w:r>
      <w:r/>
    </w:p>
    <w:p>
      <w:pPr>
        <w:pStyle w:val="754"/>
        <w:ind w:firstLine="42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我公司郑重声明：参加本次政府采购活动前3年内，我公司在经营活动中没有因违法经营受到刑事处罚或者责令停产停业、吊销许可证或者执照、较大数额罚款等行政处罚。</w:t>
      </w:r>
      <w:r>
        <w:rPr>
          <w:rFonts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供应商名称（加盖CA电子公章）：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法定代表人签章：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日期：</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年</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rPr>
        <w:t xml:space="preserve">月</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日</w:t>
      </w:r>
      <w:r>
        <w:rPr>
          <w:rFonts w:ascii="Times New Roman" w:hAnsi="Times New Roman" w:eastAsia="宋体"/>
          <w:bCs/>
          <w:color w:val="000000"/>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754"/>
        <w:spacing w:line="360" w:lineRule="auto"/>
        <w:rPr>
          <w:rFonts w:ascii="方正仿宋_GBK"/>
          <w:color w:val="000000"/>
          <w:szCs w:val="32"/>
          <w:highlight w:val="none"/>
        </w:rPr>
      </w:pPr>
      <w:r>
        <w:rPr>
          <w:rFonts w:ascii="方正仿宋_GBK"/>
          <w:color w:val="000000"/>
          <w:szCs w:val="32"/>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八、在“信用中国”和“中国政府采购网”网站中无重大违法违规、较重或严重失信记录；</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754"/>
        <w:jc w:val="center"/>
        <w:spacing w:line="360" w:lineRule="auto"/>
        <w:rPr>
          <w:rFonts w:ascii="宋体" w:hAnsi="宋体"/>
          <w:b/>
          <w:bCs/>
          <w:color w:val="000000"/>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ascii="宋体" w:hAnsi="宋体"/>
          <w:b/>
          <w:bCs/>
          <w:color w:val="000000"/>
          <w:highlight w:val="none"/>
        </w:rPr>
      </w:r>
      <w:r/>
    </w:p>
    <w:p>
      <w:pPr>
        <w:pStyle w:val="754"/>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62"/>
        <w:ind w:firstLine="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致：</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传 真：</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63"/>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被授权人姓名：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w:t>
      </w:r>
      <w:r>
        <w:rPr>
          <w:rFonts w:ascii="宋体" w:hAnsi="宋体"/>
          <w:color w:val="000000"/>
          <w:sz w:val="21"/>
          <w:szCs w:val="21"/>
          <w:highlight w:val="none"/>
        </w:rPr>
      </w:r>
      <w:r/>
    </w:p>
    <w:p>
      <w:pPr>
        <w:pStyle w:val="96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6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754"/>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754"/>
        <w:numPr>
          <w:ilvl w:val="0"/>
          <w:numId w:val="6"/>
        </w:num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《企业声明函》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《残疾人福利性单位声明函》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《投标产品配置及分项报价表》</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75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contextualSpacing/>
        <w:jc w:val="center"/>
        <w:spacing w:line="360" w:lineRule="auto"/>
        <w:rPr>
          <w:b/>
          <w:bCs/>
          <w:color w:val="000000"/>
          <w:highlight w:val="none"/>
        </w:rPr>
      </w:pPr>
      <w:r>
        <w:rPr>
          <w:rFonts w:ascii="宋体" w:hAnsi="宋体"/>
          <w:b/>
          <w:bCs/>
          <w:color w:val="000000"/>
          <w:sz w:val="32"/>
          <w:szCs w:val="32"/>
          <w:highlight w:val="none"/>
        </w:rPr>
        <w:br w:type="page" w:clear="all"/>
      </w:r>
      <w:r>
        <w:rPr>
          <w:b/>
          <w:bCs/>
          <w:color w:val="000000"/>
          <w:highlight w:val="none"/>
        </w:rPr>
      </w:r>
      <w:r/>
    </w:p>
    <w:p>
      <w:pPr>
        <w:pStyle w:val="754"/>
        <w:jc w:val="center"/>
        <w:rPr>
          <w:b/>
          <w:bCs/>
          <w:color w:val="000000"/>
          <w:highlight w:val="none"/>
        </w:rPr>
      </w:pPr>
      <w:r>
        <w:rPr>
          <w:rFonts w:hint="eastAsia"/>
          <w:b/>
          <w:bCs/>
          <w:color w:val="000000"/>
          <w:highlight w:val="none"/>
        </w:rPr>
        <w:t xml:space="preserve">中小企业声明函（货物）</w:t>
      </w:r>
      <w:r>
        <w:rPr>
          <w:b/>
          <w:bCs/>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rPr>
      </w:r>
      <w:r/>
    </w:p>
    <w:p>
      <w:pPr>
        <w:pStyle w:val="754"/>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54"/>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54"/>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754"/>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58"/>
        <w:jc w:val="center"/>
        <w:spacing w:before="300" w:after="300" w:line="360" w:lineRule="auto"/>
        <w:widowControl/>
        <w:rPr>
          <w:rFonts w:hint="eastAsia" w:ascii="宋体" w:hAnsi="宋体" w:cs="微软雅黑"/>
          <w:bCs w:val="0"/>
          <w:color w:val="000000"/>
          <w:sz w:val="21"/>
          <w:szCs w:val="21"/>
          <w:highlight w:val="none"/>
          <w:lang w:eastAsia="zh-CN"/>
        </w:rPr>
      </w:pPr>
      <w:r/>
      <w:bookmarkStart w:id="32" w:name="_Toc109304977"/>
      <w:r>
        <w:rPr>
          <w:rFonts w:hint="eastAsia" w:ascii="宋体" w:hAnsi="宋体" w:cs="微软雅黑"/>
          <w:bCs w:val="0"/>
          <w:color w:val="000000"/>
          <w:sz w:val="21"/>
          <w:szCs w:val="21"/>
          <w:highlight w:val="none"/>
          <w:lang w:eastAsia="zh-CN"/>
        </w:rPr>
      </w:r>
      <w:r/>
    </w:p>
    <w:p>
      <w:pPr>
        <w:pStyle w:val="958"/>
        <w:jc w:val="center"/>
        <w:spacing w:before="300" w:after="300" w:line="360" w:lineRule="auto"/>
        <w:widowControl/>
        <w:rPr>
          <w:rFonts w:ascii="宋体" w:hAnsi="宋体"/>
          <w:color w:val="000000"/>
          <w:sz w:val="21"/>
          <w:szCs w:val="21"/>
          <w:highlight w:val="none"/>
          <w:lang w:eastAsia="zh-CN"/>
        </w:rPr>
      </w:pPr>
      <w:r>
        <w:rPr>
          <w:rFonts w:hint="eastAsia" w:ascii="宋体" w:hAnsi="宋体" w:cs="微软雅黑"/>
          <w:bCs w:val="0"/>
          <w:color w:val="000000"/>
          <w:sz w:val="21"/>
          <w:szCs w:val="21"/>
          <w:highlight w:val="none"/>
          <w:lang w:eastAsia="zh-CN"/>
        </w:rPr>
        <w:t xml:space="preserve">中小微企业划型标准</w:t>
      </w:r>
      <w:bookmarkEnd w:id="32"/>
      <w:r>
        <w:rPr>
          <w:rFonts w:hint="eastAsia" w:ascii="宋体" w:hAnsi="宋体" w:cs="微软雅黑"/>
          <w:bCs w:val="0"/>
          <w:color w:val="000000"/>
          <w:sz w:val="21"/>
          <w:szCs w:val="21"/>
          <w:highlight w:val="none"/>
          <w:lang w:eastAsia="zh-CN"/>
        </w:rPr>
        <w:t xml:space="preserve"> </w:t>
      </w:r>
      <w:r>
        <w:rPr>
          <w:rFonts w:ascii="宋体" w:hAnsi="宋体"/>
          <w:color w:val="000000"/>
          <w:sz w:val="21"/>
          <w:szCs w:val="21"/>
          <w:highlight w:val="none"/>
          <w:lang w:eastAsia="zh-CN"/>
        </w:rPr>
      </w:r>
      <w:r/>
    </w:p>
    <w:p>
      <w:pPr>
        <w:pStyle w:val="964"/>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65"/>
          <w:rFonts w:hint="eastAsia" w:ascii="宋体" w:hAnsi="宋体" w:cs="仿宋"/>
          <w:color w:val="000000"/>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Z＜300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X＜5</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bl>
    <w:p>
      <w:pPr>
        <w:pStyle w:val="798"/>
        <w:ind w:firstLine="810"/>
        <w:spacing w:before="300" w:after="452" w:line="360" w:lineRule="auto"/>
        <w:widowControl/>
        <w:rPr>
          <w:rStyle w:val="803"/>
          <w:rFonts w:ascii="宋体" w:hAnsi="宋体" w:cs="仿宋"/>
          <w:color w:val="000000"/>
          <w:sz w:val="21"/>
          <w:szCs w:val="21"/>
          <w:highlight w:val="none"/>
        </w:rPr>
      </w:pPr>
      <w:r>
        <w:rPr>
          <w:rStyle w:val="80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3"/>
          <w:rFonts w:ascii="宋体" w:hAnsi="宋体" w:cs="仿宋"/>
          <w:color w:val="000000"/>
          <w:sz w:val="21"/>
          <w:szCs w:val="21"/>
          <w:highlight w:val="none"/>
        </w:rPr>
      </w:r>
      <w:r/>
    </w:p>
    <w:p>
      <w:pPr>
        <w:pStyle w:val="964"/>
        <w:ind w:firstLine="420"/>
        <w:spacing w:before="300" w:after="452" w:line="360" w:lineRule="auto"/>
        <w:widowControl/>
        <w:rPr>
          <w:rStyle w:val="965"/>
          <w:rFonts w:ascii="宋体" w:hAnsi="宋体" w:cs="仿宋"/>
          <w:color w:val="000000"/>
          <w:szCs w:val="21"/>
          <w:highlight w:val="none"/>
        </w:rPr>
      </w:pPr>
      <w:r>
        <w:rPr>
          <w:rStyle w:val="965"/>
          <w:rFonts w:ascii="宋体" w:hAnsi="宋体" w:cs="仿宋"/>
          <w:color w:val="000000"/>
          <w:szCs w:val="21"/>
          <w:highlight w:val="none"/>
        </w:rPr>
      </w:r>
      <w:r/>
    </w:p>
    <w:p>
      <w:pPr>
        <w:pStyle w:val="754"/>
        <w:jc w:val="center"/>
        <w:spacing w:line="360" w:lineRule="auto"/>
        <w:rPr>
          <w:color w:val="000000"/>
          <w:highlight w:val="none"/>
        </w:rPr>
      </w:pPr>
      <w:r>
        <w:rPr>
          <w:rStyle w:val="965"/>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color w:val="000000"/>
          <w:highlight w:val="none"/>
        </w:rPr>
      </w:r>
      <w:r/>
    </w:p>
    <w:p>
      <w:pPr>
        <w:pStyle w:val="754"/>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754"/>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754"/>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754"/>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Times New Roman"/>
          <w:b/>
          <w:bCs/>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1"/>
          <w:szCs w:val="22"/>
          <w:highlight w:val="none"/>
          <w:lang w:val="en-US" w:eastAsia="zh-CN" w:bidi="ar-SA"/>
        </w:rPr>
        <w:t xml:space="preserve">关于符合本国产品标准的声明函</w:t>
      </w:r>
      <w:r>
        <w:rPr>
          <w:rFonts w:hint="eastAsia" w:ascii="宋体" w:hAnsi="宋体" w:eastAsia="宋体" w:cs="Times New Roman"/>
          <w:b/>
          <w:bCs/>
          <w:color w:val="000000"/>
          <w:sz w:val="21"/>
          <w:szCs w:val="22"/>
          <w:highlight w:val="none"/>
          <w:lang w:val="en-US" w:eastAsia="zh-CN" w:bidi="ar-SA"/>
        </w:rPr>
      </w:r>
      <w:r/>
    </w:p>
    <w:p>
      <w:pPr>
        <w:pStyle w:val="79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8"/>
        <w:ind w:left="0" w:firstLine="420"/>
        <w:keepLines w:val="0"/>
        <w:keepNext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33"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jc w:val="right"/>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798"/>
        <w:jc w:val="center"/>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sz w:val="21"/>
          <w:szCs w:val="21"/>
        </w:rPr>
      </w:r>
      <w:r/>
    </w:p>
    <w:p>
      <w:pPr>
        <w:pStyle w:val="798"/>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8"/>
        <w:jc w:val="both"/>
        <w:keepLines w:val="0"/>
        <w:keepNext w:val="0"/>
        <w:spacing w:before="30" w:beforeAutospacing="0" w:after="30" w:afterAutospacing="0" w:line="360" w:lineRule="auto"/>
        <w:shd w:val="clear" w:color="auto" w:fill="ffffff"/>
        <w:widowControl/>
        <w:rPr>
          <w:rFonts w:eastAsia="仿宋_GB2312"/>
          <w:color w:val="000000"/>
          <w:sz w:val="24"/>
          <w:szCs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bookmarkEnd w:id="33"/>
      <w:r>
        <w:rPr>
          <w:rFonts w:ascii="宋体" w:hAnsi="宋体"/>
          <w:color w:val="000000"/>
          <w:highlight w:val="none"/>
        </w:rPr>
        <w:br w:type="page" w:clear="all"/>
      </w:r>
      <w:r>
        <w:rPr>
          <w:rFonts w:hint="eastAsia" w:ascii="Arial" w:hAnsi="Arial" w:eastAsia="Arial" w:cs="Times New Roman"/>
          <w:b/>
          <w:bCs/>
          <w:color w:val="000000"/>
          <w:sz w:val="32"/>
          <w:szCs w:val="32"/>
          <w:highlight w:val="none"/>
          <w:lang w:val="en-US" w:eastAsia="zh-CN" w:bidi="ar-SA"/>
        </w:rPr>
        <w:t xml:space="preserve">三、开标一览表</w:t>
      </w:r>
      <w:r>
        <w:rPr>
          <w:rFonts w:eastAsia="仿宋_GB2312"/>
          <w:color w:val="000000"/>
          <w:sz w:val="24"/>
          <w:szCs w:val="20"/>
          <w:highlight w:val="none"/>
        </w:rPr>
      </w:r>
      <w:r/>
    </w:p>
    <w:p>
      <w:pPr>
        <w:pStyle w:val="754"/>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7"/>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投标货物名称</w:t>
            </w:r>
            <w:r>
              <w:rPr>
                <w:rFonts w:ascii="宋体" w:hAnsi="宋体" w:eastAsia="宋体" w:cs="宋体"/>
                <w:color w:val="000000"/>
                <w:sz w:val="21"/>
                <w:szCs w:val="21"/>
                <w:highlight w:val="none"/>
              </w:rPr>
            </w:r>
            <w:r/>
          </w:p>
        </w:tc>
        <w:tc>
          <w:tcPr>
            <w:tcW w:w="6405"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777"/>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54"/>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754"/>
        <w:rPr>
          <w:rFonts w:ascii="宋体" w:hAnsi="宋体"/>
          <w:color w:val="000000"/>
          <w:szCs w:val="21"/>
          <w:highlight w:val="none"/>
        </w:rPr>
      </w:pPr>
      <w:r>
        <w:rPr>
          <w:rFonts w:ascii="宋体" w:hAnsi="宋体"/>
          <w:color w:val="000000"/>
          <w:szCs w:val="21"/>
          <w:highlight w:val="none"/>
        </w:rPr>
      </w:r>
      <w:r/>
    </w:p>
    <w:p>
      <w:pPr>
        <w:pStyle w:val="754"/>
        <w:ind w:left="3885" w:hanging="3465"/>
        <w:spacing w:line="480" w:lineRule="auto"/>
        <w:rPr>
          <w:rFonts w:ascii="宋体"/>
          <w:color w:val="000000"/>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58"/>
        <w:jc w:val="center"/>
        <w:spacing w:line="360" w:lineRule="auto"/>
        <w:rPr>
          <w:rFonts w:ascii="宋体" w:hAnsi="宋体"/>
          <w:bCs w:val="0"/>
          <w:color w:val="000000"/>
          <w:highlight w:val="none"/>
          <w:lang w:eastAsia="zh-CN"/>
        </w:rPr>
      </w:pPr>
      <w:r/>
      <w:bookmarkStart w:id="34" w:name="_Hlt26955054"/>
      <w:r/>
      <w:bookmarkEnd w:id="34"/>
      <w:r/>
      <w:bookmarkStart w:id="35" w:name="_Toc109304979"/>
      <w:r>
        <w:rPr>
          <w:rFonts w:ascii="宋体" w:hAnsi="宋体"/>
          <w:bCs w:val="0"/>
          <w:color w:val="000000"/>
          <w:highlight w:val="none"/>
          <w:lang w:eastAsia="zh-CN"/>
        </w:rPr>
        <w:br w:type="page" w:clear="all"/>
      </w:r>
      <w:r>
        <w:rPr>
          <w:rFonts w:ascii="宋体" w:hAnsi="宋体"/>
          <w:bCs w:val="0"/>
          <w:color w:val="000000"/>
          <w:highlight w:val="none"/>
          <w:lang w:eastAsia="zh-CN"/>
        </w:rPr>
      </w:r>
      <w:r/>
    </w:p>
    <w:p>
      <w:pPr>
        <w:pStyle w:val="756"/>
        <w:jc w:val="center"/>
        <w:spacing w:line="360" w:lineRule="auto"/>
        <w:rPr>
          <w:rFonts w:ascii="Arial" w:hAnsi="Arial" w:eastAsia="Arial"/>
          <w:color w:val="000000"/>
          <w:highlight w:val="none"/>
        </w:rPr>
      </w:pPr>
      <w:r>
        <w:rPr>
          <w:rFonts w:hint="eastAsia" w:ascii="宋体" w:hAnsi="宋体"/>
          <w:color w:val="000000"/>
          <w:highlight w:val="none"/>
        </w:rPr>
        <w:t xml:space="preserve">四、</w:t>
      </w:r>
      <w:r>
        <w:rPr>
          <w:rFonts w:hint="eastAsia" w:ascii="Arial" w:hAnsi="Arial" w:eastAsia="Arial"/>
          <w:color w:val="000000"/>
          <w:highlight w:val="none"/>
        </w:rPr>
        <w:t xml:space="preserve">投标产品配置及分项报价表</w:t>
      </w:r>
      <w:r>
        <w:rPr>
          <w:rFonts w:ascii="Arial" w:hAnsi="Arial" w:eastAsia="Arial"/>
          <w:color w:val="000000"/>
          <w:highlight w:val="none"/>
        </w:rPr>
      </w:r>
      <w:r/>
    </w:p>
    <w:tbl>
      <w:tblPr>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产品名称</w:t>
            </w:r>
            <w:r>
              <w:rPr>
                <w:rFonts w:hint="eastAsia" w:ascii="宋体" w:hAnsi="宋体"/>
                <w:color w:val="000000"/>
                <w:szCs w:val="21"/>
                <w:highlight w:val="none"/>
              </w:rPr>
            </w:r>
            <w:r/>
          </w:p>
        </w:tc>
        <w:tc>
          <w:tcPr>
            <w:tcW w:w="1866"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主要</w:t>
            </w:r>
            <w:r>
              <w:rPr>
                <w:rFonts w:hint="eastAsia" w:ascii="宋体" w:hAnsi="宋体"/>
                <w:color w:val="000000"/>
                <w:szCs w:val="21"/>
                <w:highlight w:val="none"/>
                <w:lang w:val="en-US" w:eastAsia="zh-CN"/>
              </w:rPr>
              <w:t xml:space="preserve">规格</w:t>
            </w:r>
            <w:r>
              <w:rPr>
                <w:rFonts w:hint="eastAsia" w:ascii="宋体" w:hAnsi="宋体"/>
                <w:color w:val="000000"/>
                <w:szCs w:val="21"/>
                <w:highlight w:val="none"/>
              </w:rPr>
              <w:t xml:space="preserve">及参数</w:t>
            </w:r>
            <w:r>
              <w:rPr>
                <w:rFonts w:hint="eastAsia" w:ascii="宋体" w:hAnsi="宋体"/>
                <w:color w:val="000000"/>
                <w:szCs w:val="21"/>
                <w:highlight w:val="none"/>
              </w:rPr>
            </w:r>
            <w:r/>
          </w:p>
        </w:tc>
        <w:tc>
          <w:tcPr>
            <w:tcW w:w="915"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1005"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单位</w:t>
            </w:r>
            <w:r>
              <w:rPr>
                <w:rFonts w:hint="eastAsia" w:ascii="宋体" w:hAnsi="宋体" w:eastAsia="宋体"/>
                <w:color w:val="000000"/>
                <w:szCs w:val="21"/>
                <w:highlight w:val="none"/>
                <w:lang w:eastAsia="zh-CN"/>
              </w:rPr>
            </w:r>
            <w:r/>
          </w:p>
        </w:tc>
        <w:tc>
          <w:tcPr>
            <w:tcW w:w="1065" w:type="dxa"/>
            <w:vAlign w:val="center"/>
            <w:textDirection w:val="lrTb"/>
            <w:noWrap w:val="false"/>
          </w:tcPr>
          <w:p>
            <w:pPr>
              <w:pStyle w:val="754"/>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单价</w:t>
            </w:r>
            <w:r>
              <w:rPr>
                <w:rFonts w:hint="eastAsia" w:ascii="宋体" w:hAnsi="宋体"/>
                <w:color w:val="000000"/>
                <w:szCs w:val="21"/>
                <w:highlight w:val="none"/>
                <w:lang w:val="en-US" w:eastAsia="zh-CN"/>
              </w:rPr>
              <w:t xml:space="preserve">（元）</w:t>
            </w:r>
            <w:r>
              <w:rPr>
                <w:rFonts w:ascii="宋体" w:hAnsi="宋体" w:eastAsia="宋体"/>
                <w:color w:val="000000"/>
                <w:szCs w:val="21"/>
                <w:highlight w:val="none"/>
                <w:lang w:val="en-US" w:eastAsia="zh-CN"/>
              </w:rPr>
            </w:r>
            <w:r/>
          </w:p>
        </w:tc>
        <w:tc>
          <w:tcPr>
            <w:tcW w:w="1253"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总价</w:t>
            </w:r>
            <w:r>
              <w:rPr>
                <w:rFonts w:hint="eastAsia" w:ascii="宋体" w:hAnsi="宋体"/>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80"/>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1030"/>
        </w:trPr>
        <w:tc>
          <w:tcPr>
            <w:tcW w:w="2770"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5"/>
            <w:tcW w:w="6104" w:type="dxa"/>
            <w:vAlign w:val="top"/>
            <w:textDirection w:val="lrTb"/>
            <w:noWrap w:val="false"/>
          </w:tcPr>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c>
      </w:tr>
    </w:tbl>
    <w:p>
      <w:pPr>
        <w:pStyle w:val="756"/>
        <w:numPr>
          <w:ilvl w:val="1"/>
          <w:numId w:val="0"/>
        </w:numPr>
        <w:jc w:val="center"/>
        <w:rPr>
          <w:rFonts w:ascii="宋体" w:hAnsi="宋体"/>
          <w:color w:val="000000"/>
          <w:sz w:val="21"/>
          <w:szCs w:val="22"/>
          <w:highlight w:val="none"/>
        </w:rPr>
      </w:pPr>
      <w:r>
        <w:rPr>
          <w:rFonts w:ascii="宋体" w:hAnsi="宋体"/>
          <w:color w:val="000000"/>
          <w:sz w:val="21"/>
          <w:szCs w:val="22"/>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hint="eastAsia" w:ascii="宋体" w:hAnsi="宋体"/>
          <w:bCs w:val="0"/>
          <w:color w:val="000000"/>
          <w:highlight w:val="none"/>
        </w:rPr>
        <w:t xml:space="preserve">五、技术参数响应及偏离表</w:t>
      </w:r>
      <w:r>
        <w:rPr>
          <w:rFonts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409"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2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招标响应</w:t>
            </w:r>
            <w:r>
              <w:rPr>
                <w:rFonts w:ascii="宋体" w:hAnsi="宋体"/>
                <w:color w:val="000000"/>
                <w:szCs w:val="21"/>
                <w:highlight w:val="none"/>
              </w:rPr>
            </w:r>
            <w:r/>
          </w:p>
        </w:tc>
        <w:tc>
          <w:tcPr>
            <w:tcW w:w="201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37"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58"/>
        <w:spacing w:line="360" w:lineRule="auto"/>
        <w:rPr>
          <w:rFonts w:ascii="宋体" w:hAnsi="宋体"/>
          <w:bCs w:val="0"/>
          <w:color w:val="000000"/>
          <w:highlight w:val="none"/>
          <w:lang w:eastAsia="zh-CN"/>
        </w:rPr>
      </w:pPr>
      <w:r>
        <w:rPr>
          <w:rFonts w:ascii="宋体" w:hAnsi="宋体"/>
          <w:bCs w:val="0"/>
          <w:color w:val="000000"/>
          <w:highlight w:val="none"/>
          <w:lang w:eastAsia="zh-CN"/>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8"/>
        <w:numPr>
          <w:ilvl w:val="0"/>
          <w:numId w:val="7"/>
        </w:numPr>
        <w:jc w:val="center"/>
        <w:spacing w:line="360" w:lineRule="auto"/>
        <w:rPr>
          <w:color w:val="000000"/>
          <w:highlight w:val="none"/>
        </w:rPr>
      </w:pPr>
      <w:r>
        <w:rPr>
          <w:rFonts w:hint="eastAsia" w:ascii="宋体" w:hAnsi="宋体"/>
          <w:bCs w:val="0"/>
          <w:color w:val="000000"/>
          <w:highlight w:val="none"/>
        </w:rPr>
        <w:t xml:space="preserve">商务条款响应及偏离表</w:t>
      </w:r>
      <w:bookmarkEnd w:id="35"/>
      <w:r>
        <w:rPr>
          <w:color w:val="000000"/>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质保期</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71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售后技术服务要求</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交货方式</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交货地点</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59"/>
        <w:rPr>
          <w:color w:val="000000"/>
          <w:highlight w:val="none"/>
        </w:rPr>
      </w:pPr>
      <w:r>
        <w:rPr>
          <w:color w:val="000000"/>
          <w:highlight w:val="none"/>
        </w:rPr>
      </w:r>
      <w:r/>
    </w:p>
    <w:p>
      <w:pPr>
        <w:pStyle w:val="959"/>
        <w:rPr>
          <w:color w:val="000000"/>
          <w:highlight w:val="none"/>
        </w:rPr>
      </w:pPr>
      <w:r>
        <w:rPr>
          <w:color w:val="000000"/>
          <w:highlight w:val="none"/>
        </w:rPr>
      </w:r>
      <w:r/>
    </w:p>
    <w:p>
      <w:pPr>
        <w:pStyle w:val="754"/>
        <w:jc w:val="left"/>
        <w:spacing w:line="360" w:lineRule="auto"/>
        <w:widowControl/>
        <w:rPr>
          <w:rFonts w:ascii="宋体" w:hAnsi="宋体"/>
          <w:b/>
          <w:color w:val="000000"/>
          <w:highlight w:val="none"/>
        </w:rPr>
      </w:pPr>
      <w:r/>
      <w:bookmarkStart w:id="36" w:name="_Hlt26955064"/>
      <w:r/>
      <w:bookmarkEnd w:id="36"/>
      <w:r/>
      <w:bookmarkStart w:id="37" w:name="_Hlt24879081"/>
      <w:r/>
      <w:bookmarkEnd w:id="37"/>
      <w:r/>
      <w:bookmarkStart w:id="38" w:name="_Hlt26671372"/>
      <w:r/>
      <w:bookmarkEnd w:id="38"/>
      <w:r/>
      <w:bookmarkStart w:id="39" w:name="_Hlt26955056"/>
      <w:r/>
      <w:bookmarkEnd w:id="39"/>
      <w:r/>
      <w:bookmarkStart w:id="40" w:name="_Hlt26580838"/>
      <w:r/>
      <w:bookmarkEnd w:id="40"/>
      <w:r/>
      <w:bookmarkStart w:id="41" w:name="_Hlt26671343"/>
      <w:r/>
      <w:bookmarkEnd w:id="41"/>
      <w:r/>
      <w:bookmarkStart w:id="42" w:name="_Hlt26609391"/>
      <w:r/>
      <w:bookmarkEnd w:id="42"/>
      <w:r/>
      <w:bookmarkStart w:id="43" w:name="_Hlt26782999"/>
      <w:r/>
      <w:bookmarkEnd w:id="43"/>
      <w:r>
        <w:rPr>
          <w:rFonts w:ascii="宋体" w:hAnsi="宋体"/>
          <w:b/>
          <w:color w:val="000000"/>
          <w:highlight w:val="none"/>
        </w:rPr>
        <w:br w:type="page" w:clear="all"/>
      </w:r>
      <w:r>
        <w:rPr>
          <w:rFonts w:ascii="宋体" w:hAnsi="宋体"/>
          <w:b/>
          <w:color w:val="000000"/>
          <w:highlight w:val="none"/>
        </w:rPr>
      </w:r>
      <w:r/>
    </w:p>
    <w:p>
      <w:pPr>
        <w:pStyle w:val="754"/>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754"/>
        <w:spacing w:after="312" w:line="360" w:lineRule="auto"/>
        <w:rPr>
          <w:rFonts w:ascii="宋体" w:hAnsi="宋体"/>
          <w:b/>
          <w:color w:val="000000"/>
          <w:highlight w:val="none"/>
        </w:rPr>
      </w:pPr>
      <w:r>
        <w:rPr>
          <w:rFonts w:hint="eastAsia" w:ascii="宋体" w:hAnsi="宋体"/>
          <w:color w:val="000000"/>
          <w:highlight w:val="none"/>
        </w:rPr>
        <w:t xml:space="preserve">供应商全称：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75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754"/>
        <w:jc w:val="center"/>
        <w:rPr>
          <w:rFonts w:hint="eastAsia" w:ascii="宋体" w:hAnsi="宋体" w:eastAsia="宋体" w:cs="Times New Roman"/>
          <w:b/>
          <w:bCs w:val="0"/>
          <w:color w:val="000000"/>
          <w:sz w:val="32"/>
          <w:szCs w:val="32"/>
          <w:highlight w:val="none"/>
          <w:lang w:val="en-US" w:eastAsia="en-US" w:bidi="ar-SA"/>
        </w:rPr>
      </w:pPr>
      <w:r>
        <w:rPr>
          <w:rFonts w:hint="eastAsia" w:ascii="宋体" w:hAnsi="宋体" w:eastAsia="宋体" w:cs="Times New Roman"/>
          <w:b/>
          <w:bCs w:val="0"/>
          <w:color w:val="000000"/>
          <w:sz w:val="32"/>
          <w:szCs w:val="32"/>
          <w:highlight w:val="none"/>
          <w:lang w:val="en-US" w:eastAsia="zh-CN" w:bidi="ar-SA"/>
        </w:rPr>
        <w:t xml:space="preserve">七、</w:t>
      </w:r>
      <w:r>
        <w:rPr>
          <w:rFonts w:hint="eastAsia" w:ascii="宋体" w:hAnsi="宋体" w:eastAsia="宋体" w:cs="Times New Roman"/>
          <w:b/>
          <w:bCs w:val="0"/>
          <w:color w:val="000000"/>
          <w:sz w:val="32"/>
          <w:szCs w:val="32"/>
          <w:highlight w:val="none"/>
          <w:lang w:val="en-US" w:eastAsia="en-US" w:bidi="ar-SA"/>
        </w:rPr>
        <w:t xml:space="preserve">投标人认为应提供的其他材料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方正小标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2">
    <w:multiLevelType w:val="hybridMultilevel"/>
    <w:lvl w:ilvl="0">
      <w:start w:val="18"/>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4"/>
    <w:next w:val="754"/>
    <w:link w:val="808"/>
    <w:uiPriority w:val="9"/>
    <w:qFormat/>
    <w:pPr>
      <w:keepLines/>
      <w:keepNext/>
      <w:spacing w:before="480" w:after="200"/>
      <w:outlineLvl w:val="0"/>
    </w:pPr>
    <w:rPr>
      <w:rFonts w:ascii="Arial" w:hAnsi="Arial" w:eastAsia="Arial" w:cs="Arial"/>
      <w:sz w:val="40"/>
      <w:szCs w:val="40"/>
    </w:rPr>
  </w:style>
  <w:style w:type="paragraph" w:styleId="725">
    <w:name w:val="Heading 2"/>
    <w:basedOn w:val="754"/>
    <w:next w:val="754"/>
    <w:link w:val="809"/>
    <w:uiPriority w:val="9"/>
    <w:unhideWhenUsed/>
    <w:qFormat/>
    <w:pPr>
      <w:keepLines/>
      <w:keepNext/>
      <w:spacing w:before="360" w:after="200"/>
      <w:outlineLvl w:val="1"/>
    </w:pPr>
    <w:rPr>
      <w:rFonts w:ascii="Arial" w:hAnsi="Arial" w:eastAsia="Arial" w:cs="Arial"/>
      <w:sz w:val="34"/>
    </w:rPr>
  </w:style>
  <w:style w:type="paragraph" w:styleId="726">
    <w:name w:val="Heading 3"/>
    <w:basedOn w:val="754"/>
    <w:next w:val="754"/>
    <w:link w:val="810"/>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paragraph" w:styleId="733">
    <w:name w:val="Title"/>
    <w:basedOn w:val="754"/>
    <w:next w:val="754"/>
    <w:link w:val="800"/>
    <w:uiPriority w:val="10"/>
    <w:qFormat/>
    <w:pPr>
      <w:contextualSpacing/>
      <w:spacing w:before="300" w:after="200"/>
    </w:pPr>
    <w:rPr>
      <w:sz w:val="48"/>
      <w:szCs w:val="48"/>
    </w:rPr>
  </w:style>
  <w:style w:type="paragraph" w:styleId="734">
    <w:name w:val="Subtitle"/>
    <w:basedOn w:val="754"/>
    <w:next w:val="754"/>
    <w:link w:val="791"/>
    <w:uiPriority w:val="11"/>
    <w:qFormat/>
    <w:pPr>
      <w:spacing w:before="200" w:after="200"/>
    </w:pPr>
    <w:rPr>
      <w:sz w:val="24"/>
      <w:szCs w:val="24"/>
    </w:rPr>
  </w:style>
  <w:style w:type="paragraph" w:styleId="735">
    <w:name w:val="Header"/>
    <w:basedOn w:val="754"/>
    <w:link w:val="817"/>
    <w:uiPriority w:val="99"/>
    <w:unhideWhenUsed/>
    <w:pPr>
      <w:spacing w:after="0" w:line="240" w:lineRule="auto"/>
      <w:tabs>
        <w:tab w:val="center" w:pos="7143" w:leader="none"/>
        <w:tab w:val="right" w:pos="14287" w:leader="none"/>
      </w:tabs>
    </w:pPr>
  </w:style>
  <w:style w:type="paragraph" w:styleId="736">
    <w:name w:val="Footer"/>
    <w:basedOn w:val="754"/>
    <w:link w:val="819"/>
    <w:uiPriority w:val="99"/>
    <w:unhideWhenUsed/>
    <w:pPr>
      <w:spacing w:after="0" w:line="240" w:lineRule="auto"/>
      <w:tabs>
        <w:tab w:val="center" w:pos="7143" w:leader="none"/>
        <w:tab w:val="right" w:pos="14287" w:leader="none"/>
      </w:tabs>
    </w:pPr>
  </w:style>
  <w:style w:type="paragraph" w:styleId="737">
    <w:name w:val="Caption"/>
    <w:basedOn w:val="754"/>
    <w:next w:val="754"/>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4"/>
    <w:link w:val="793"/>
    <w:uiPriority w:val="99"/>
    <w:semiHidden/>
    <w:unhideWhenUsed/>
    <w:pPr>
      <w:spacing w:after="40" w:line="240" w:lineRule="auto"/>
    </w:pPr>
    <w:rPr>
      <w:sz w:val="18"/>
    </w:rPr>
  </w:style>
  <w:style w:type="character" w:styleId="741">
    <w:name w:val="footnote reference"/>
    <w:uiPriority w:val="99"/>
    <w:unhideWhenUsed/>
    <w:rPr>
      <w:vertAlign w:val="superscript"/>
    </w:rPr>
  </w:style>
  <w:style w:type="paragraph" w:styleId="742">
    <w:name w:val="endnote text"/>
    <w:basedOn w:val="754"/>
    <w:link w:val="785"/>
    <w:uiPriority w:val="99"/>
    <w:semiHidden/>
    <w:unhideWhenUsed/>
    <w:pPr>
      <w:spacing w:after="0" w:line="240" w:lineRule="auto"/>
    </w:pPr>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rFonts w:ascii="Times New Roman" w:hAnsi="Times New Roman" w:eastAsia="宋体" w:cs="Times New Roman"/>
      <w:sz w:val="21"/>
      <w:szCs w:val="22"/>
      <w:lang w:val="en-US" w:eastAsia="zh-CN" w:bidi="ar-SA"/>
    </w:rPr>
  </w:style>
  <w:style w:type="paragraph" w:styleId="755">
    <w:name w:val="标题 1"/>
    <w:basedOn w:val="754"/>
    <w:next w:val="754"/>
    <w:link w:val="754"/>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54"/>
    <w:uiPriority w:val="9"/>
    <w:qFormat/>
    <w:pPr>
      <w:keepLines/>
      <w:keepNext/>
      <w:spacing w:before="260" w:after="260" w:line="416" w:lineRule="auto"/>
      <w:outlineLvl w:val="1"/>
    </w:pPr>
    <w:rPr>
      <w:rFonts w:ascii="Cambria" w:hAnsi="Cambria"/>
      <w:b/>
      <w:bCs/>
      <w:sz w:val="32"/>
      <w:szCs w:val="32"/>
    </w:rPr>
  </w:style>
  <w:style w:type="paragraph" w:styleId="757">
    <w:name w:val="标题 3"/>
    <w:basedOn w:val="754"/>
    <w:next w:val="754"/>
    <w:link w:val="754"/>
    <w:qFormat/>
    <w:pPr>
      <w:keepLines/>
      <w:keepNext/>
      <w:spacing w:before="260" w:after="260" w:line="416" w:lineRule="auto"/>
      <w:outlineLvl w:val="2"/>
    </w:pPr>
    <w:rPr>
      <w:b/>
      <w:bCs/>
      <w:sz w:val="32"/>
      <w:szCs w:val="32"/>
    </w:rPr>
  </w:style>
  <w:style w:type="paragraph" w:styleId="758">
    <w:name w:val="标题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character" w:styleId="766">
    <w:name w:val="Heading 4 Char"/>
    <w:basedOn w:val="764"/>
    <w:next w:val="766"/>
    <w:link w:val="758"/>
    <w:uiPriority w:val="9"/>
    <w:rPr>
      <w:rFonts w:ascii="Arial" w:hAnsi="Arial" w:eastAsia="Arial" w:cs="Arial"/>
      <w:b/>
      <w:bCs/>
      <w:sz w:val="26"/>
      <w:szCs w:val="26"/>
    </w:rPr>
  </w:style>
  <w:style w:type="character" w:styleId="767">
    <w:name w:val="Heading 5 Char"/>
    <w:basedOn w:val="764"/>
    <w:next w:val="767"/>
    <w:link w:val="759"/>
    <w:uiPriority w:val="9"/>
    <w:qFormat/>
    <w:rPr>
      <w:rFonts w:ascii="Arial" w:hAnsi="Arial" w:eastAsia="Arial" w:cs="Arial"/>
      <w:b/>
      <w:bCs/>
      <w:sz w:val="24"/>
      <w:szCs w:val="24"/>
    </w:rPr>
  </w:style>
  <w:style w:type="character" w:styleId="768">
    <w:name w:val="Heading 6 Char"/>
    <w:basedOn w:val="764"/>
    <w:next w:val="768"/>
    <w:link w:val="760"/>
    <w:uiPriority w:val="9"/>
    <w:qFormat/>
    <w:rPr>
      <w:rFonts w:ascii="Arial" w:hAnsi="Arial" w:eastAsia="Arial" w:cs="Arial"/>
      <w:b/>
      <w:bCs/>
      <w:sz w:val="22"/>
      <w:szCs w:val="22"/>
    </w:rPr>
  </w:style>
  <w:style w:type="character" w:styleId="769">
    <w:name w:val="Heading 7 Char"/>
    <w:basedOn w:val="764"/>
    <w:next w:val="769"/>
    <w:link w:val="761"/>
    <w:uiPriority w:val="9"/>
    <w:qFormat/>
    <w:rPr>
      <w:rFonts w:ascii="Arial" w:hAnsi="Arial" w:eastAsia="Arial" w:cs="Arial"/>
      <w:b/>
      <w:bCs/>
      <w:i/>
      <w:iCs/>
      <w:sz w:val="22"/>
      <w:szCs w:val="22"/>
    </w:rPr>
  </w:style>
  <w:style w:type="character" w:styleId="770">
    <w:name w:val="Heading 8 Char"/>
    <w:basedOn w:val="764"/>
    <w:next w:val="770"/>
    <w:link w:val="762"/>
    <w:uiPriority w:val="9"/>
    <w:qFormat/>
    <w:rPr>
      <w:rFonts w:ascii="Arial" w:hAnsi="Arial" w:eastAsia="Arial" w:cs="Arial"/>
      <w:i/>
      <w:iCs/>
      <w:sz w:val="22"/>
      <w:szCs w:val="22"/>
    </w:rPr>
  </w:style>
  <w:style w:type="character" w:styleId="771">
    <w:name w:val="Heading 9 Char"/>
    <w:basedOn w:val="764"/>
    <w:next w:val="771"/>
    <w:link w:val="763"/>
    <w:uiPriority w:val="9"/>
    <w:qFormat/>
    <w:rPr>
      <w:rFonts w:ascii="Arial" w:hAnsi="Arial" w:eastAsia="Arial" w:cs="Arial"/>
      <w:i/>
      <w:iCs/>
      <w:sz w:val="21"/>
      <w:szCs w:val="21"/>
    </w:rPr>
  </w:style>
  <w:style w:type="paragraph" w:styleId="772">
    <w:name w:val="目录 7"/>
    <w:basedOn w:val="754"/>
    <w:next w:val="754"/>
    <w:link w:val="754"/>
    <w:uiPriority w:val="39"/>
    <w:unhideWhenUsed/>
    <w:qFormat/>
    <w:pPr>
      <w:ind w:left="1701" w:right="0" w:firstLine="0"/>
      <w:spacing w:after="57"/>
    </w:pPr>
  </w:style>
  <w:style w:type="paragraph" w:styleId="773">
    <w:name w:val="引文目录"/>
    <w:basedOn w:val="754"/>
    <w:next w:val="754"/>
    <w:link w:val="754"/>
    <w:qFormat/>
    <w:pPr>
      <w:ind w:left="420"/>
    </w:pPr>
  </w:style>
  <w:style w:type="paragraph" w:styleId="774">
    <w:name w:val="正文缩进"/>
    <w:basedOn w:val="754"/>
    <w:next w:val="774"/>
    <w:link w:val="754"/>
    <w:unhideWhenUsed/>
    <w:qFormat/>
    <w:pPr>
      <w:ind w:firstLine="420"/>
    </w:pPr>
    <w:rPr>
      <w:rFonts w:ascii="Calibri" w:hAnsi="Calibri"/>
    </w:rPr>
  </w:style>
  <w:style w:type="paragraph" w:styleId="775">
    <w:name w:val="题注"/>
    <w:basedOn w:val="754"/>
    <w:next w:val="754"/>
    <w:link w:val="754"/>
    <w:uiPriority w:val="35"/>
    <w:unhideWhenUsed/>
    <w:qFormat/>
    <w:pPr>
      <w:spacing w:line="276" w:lineRule="auto"/>
    </w:pPr>
    <w:rPr>
      <w:b/>
      <w:bCs/>
      <w:color w:val="5b9bd5"/>
      <w:sz w:val="18"/>
      <w:szCs w:val="18"/>
    </w:rPr>
  </w:style>
  <w:style w:type="paragraph" w:styleId="776">
    <w:name w:val="批注文字"/>
    <w:basedOn w:val="754"/>
    <w:next w:val="776"/>
    <w:link w:val="754"/>
    <w:qFormat/>
    <w:pPr>
      <w:jc w:val="left"/>
    </w:pPr>
  </w:style>
  <w:style w:type="paragraph" w:styleId="777">
    <w:name w:val="正文文本"/>
    <w:basedOn w:val="754"/>
    <w:next w:val="777"/>
    <w:link w:val="754"/>
    <w:qFormat/>
    <w:rPr>
      <w:rFonts w:ascii="楷体_GB2312" w:hAnsi="Arial" w:eastAsia="楷体_GB2312"/>
      <w:sz w:val="28"/>
      <w:szCs w:val="28"/>
    </w:rPr>
  </w:style>
  <w:style w:type="paragraph" w:styleId="778">
    <w:name w:val="正文文本缩进"/>
    <w:basedOn w:val="754"/>
    <w:next w:val="754"/>
    <w:link w:val="754"/>
    <w:qFormat/>
    <w:pPr>
      <w:ind w:left="420"/>
      <w:spacing w:after="120"/>
    </w:pPr>
  </w:style>
  <w:style w:type="paragraph" w:styleId="779">
    <w:name w:val="目录 5"/>
    <w:basedOn w:val="754"/>
    <w:next w:val="754"/>
    <w:link w:val="754"/>
    <w:uiPriority w:val="39"/>
    <w:unhideWhenUsed/>
    <w:qFormat/>
    <w:pPr>
      <w:ind w:left="1134" w:right="0" w:firstLine="0"/>
      <w:spacing w:after="57"/>
    </w:pPr>
  </w:style>
  <w:style w:type="paragraph" w:styleId="780">
    <w:name w:val="目录 3"/>
    <w:basedOn w:val="754"/>
    <w:next w:val="754"/>
    <w:link w:val="754"/>
    <w:uiPriority w:val="39"/>
    <w:unhideWhenUsed/>
    <w:qFormat/>
    <w:pPr>
      <w:ind w:left="567" w:right="0" w:firstLine="0"/>
      <w:spacing w:after="57"/>
    </w:pPr>
  </w:style>
  <w:style w:type="paragraph" w:styleId="781">
    <w:name w:val="纯文本"/>
    <w:basedOn w:val="754"/>
    <w:next w:val="781"/>
    <w:link w:val="754"/>
    <w:qFormat/>
    <w:rPr>
      <w:rFonts w:ascii="宋体" w:hAnsi="Courier New"/>
      <w:szCs w:val="21"/>
    </w:rPr>
  </w:style>
  <w:style w:type="paragraph" w:styleId="782">
    <w:name w:val="目录 8"/>
    <w:basedOn w:val="754"/>
    <w:next w:val="754"/>
    <w:link w:val="754"/>
    <w:uiPriority w:val="39"/>
    <w:unhideWhenUsed/>
    <w:qFormat/>
    <w:pPr>
      <w:ind w:left="1984" w:right="0" w:firstLine="0"/>
      <w:spacing w:after="57"/>
    </w:pPr>
  </w:style>
  <w:style w:type="paragraph" w:styleId="783">
    <w:name w:val="日期"/>
    <w:basedOn w:val="754"/>
    <w:next w:val="754"/>
    <w:link w:val="754"/>
    <w:qFormat/>
    <w:rPr>
      <w:sz w:val="24"/>
      <w:szCs w:val="20"/>
    </w:rPr>
  </w:style>
  <w:style w:type="paragraph" w:styleId="784">
    <w:name w:val="尾注文本"/>
    <w:basedOn w:val="754"/>
    <w:next w:val="784"/>
    <w:link w:val="785"/>
    <w:uiPriority w:val="99"/>
    <w:unhideWhenUsed/>
    <w:qFormat/>
    <w:pPr>
      <w:spacing w:after="0" w:line="240" w:lineRule="auto"/>
    </w:pPr>
    <w:rPr>
      <w:sz w:val="20"/>
    </w:rPr>
  </w:style>
  <w:style w:type="character" w:styleId="785">
    <w:name w:val="Endnote Text Char"/>
    <w:next w:val="785"/>
    <w:link w:val="784"/>
    <w:uiPriority w:val="99"/>
    <w:qFormat/>
    <w:rPr>
      <w:sz w:val="20"/>
    </w:rPr>
  </w:style>
  <w:style w:type="paragraph" w:styleId="786">
    <w:name w:val="页脚"/>
    <w:basedOn w:val="754"/>
    <w:next w:val="786"/>
    <w:link w:val="754"/>
    <w:qFormat/>
    <w:pPr>
      <w:jc w:val="left"/>
      <w:tabs>
        <w:tab w:val="center" w:pos="4153" w:leader="none"/>
        <w:tab w:val="right" w:pos="8306" w:leader="none"/>
      </w:tabs>
    </w:pPr>
    <w:rPr>
      <w:sz w:val="18"/>
    </w:rPr>
  </w:style>
  <w:style w:type="paragraph" w:styleId="787">
    <w:name w:val="页眉"/>
    <w:basedOn w:val="754"/>
    <w:next w:val="787"/>
    <w:link w:val="75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8">
    <w:name w:val="目录 1"/>
    <w:basedOn w:val="754"/>
    <w:next w:val="754"/>
    <w:link w:val="754"/>
    <w:uiPriority w:val="39"/>
    <w:unhideWhenUsed/>
    <w:qFormat/>
  </w:style>
  <w:style w:type="paragraph" w:styleId="789">
    <w:name w:val="目录 4"/>
    <w:basedOn w:val="754"/>
    <w:next w:val="754"/>
    <w:link w:val="754"/>
    <w:uiPriority w:val="39"/>
    <w:unhideWhenUsed/>
    <w:qFormat/>
    <w:pPr>
      <w:ind w:left="850" w:right="0" w:firstLine="0"/>
      <w:spacing w:after="57"/>
    </w:pPr>
  </w:style>
  <w:style w:type="paragraph" w:styleId="790">
    <w:name w:val="副标题"/>
    <w:basedOn w:val="754"/>
    <w:next w:val="754"/>
    <w:link w:val="791"/>
    <w:uiPriority w:val="11"/>
    <w:qFormat/>
    <w:pPr>
      <w:spacing w:before="200" w:after="200"/>
    </w:pPr>
    <w:rPr>
      <w:sz w:val="24"/>
      <w:szCs w:val="24"/>
    </w:rPr>
  </w:style>
  <w:style w:type="character" w:styleId="791">
    <w:name w:val="Subtitle Char"/>
    <w:basedOn w:val="764"/>
    <w:next w:val="791"/>
    <w:link w:val="790"/>
    <w:uiPriority w:val="11"/>
    <w:rPr>
      <w:sz w:val="24"/>
      <w:szCs w:val="24"/>
    </w:rPr>
  </w:style>
  <w:style w:type="paragraph" w:styleId="792">
    <w:name w:val="脚注文本"/>
    <w:basedOn w:val="754"/>
    <w:next w:val="792"/>
    <w:link w:val="793"/>
    <w:uiPriority w:val="99"/>
    <w:unhideWhenUsed/>
    <w:qFormat/>
    <w:pPr>
      <w:spacing w:after="40" w:line="240" w:lineRule="auto"/>
    </w:pPr>
    <w:rPr>
      <w:sz w:val="18"/>
    </w:rPr>
  </w:style>
  <w:style w:type="character" w:styleId="793">
    <w:name w:val="Footnote Text Char"/>
    <w:next w:val="793"/>
    <w:link w:val="792"/>
    <w:uiPriority w:val="99"/>
    <w:qFormat/>
    <w:rPr>
      <w:sz w:val="18"/>
    </w:rPr>
  </w:style>
  <w:style w:type="paragraph" w:styleId="794">
    <w:name w:val="目录 6"/>
    <w:basedOn w:val="754"/>
    <w:next w:val="754"/>
    <w:link w:val="754"/>
    <w:uiPriority w:val="39"/>
    <w:unhideWhenUsed/>
    <w:qFormat/>
    <w:pPr>
      <w:ind w:left="1417" w:right="0" w:firstLine="0"/>
      <w:spacing w:after="57"/>
    </w:pPr>
  </w:style>
  <w:style w:type="paragraph" w:styleId="795">
    <w:name w:val="图表目录"/>
    <w:basedOn w:val="754"/>
    <w:next w:val="754"/>
    <w:link w:val="754"/>
    <w:uiPriority w:val="99"/>
    <w:unhideWhenUsed/>
    <w:qFormat/>
    <w:pPr>
      <w:spacing w:after="0" w:afterAutospacing="0"/>
    </w:pPr>
  </w:style>
  <w:style w:type="paragraph" w:styleId="796">
    <w:name w:val="目录 2"/>
    <w:basedOn w:val="754"/>
    <w:next w:val="754"/>
    <w:link w:val="754"/>
    <w:uiPriority w:val="39"/>
    <w:unhideWhenUsed/>
    <w:qFormat/>
    <w:pPr>
      <w:ind w:left="283" w:right="0" w:firstLine="0"/>
      <w:spacing w:after="57"/>
    </w:pPr>
  </w:style>
  <w:style w:type="paragraph" w:styleId="797">
    <w:name w:val="目录 9"/>
    <w:basedOn w:val="754"/>
    <w:next w:val="754"/>
    <w:link w:val="754"/>
    <w:semiHidden/>
    <w:qFormat/>
    <w:pPr>
      <w:ind w:left="3360"/>
    </w:pPr>
  </w:style>
  <w:style w:type="paragraph" w:styleId="798">
    <w:name w:val="普通(网站)"/>
    <w:basedOn w:val="754"/>
    <w:next w:val="798"/>
    <w:link w:val="754"/>
    <w:qFormat/>
    <w:pPr>
      <w:ind w:left="0" w:right="0"/>
      <w:jc w:val="left"/>
      <w:spacing w:before="100" w:beforeAutospacing="1" w:after="100" w:afterAutospacing="1"/>
    </w:pPr>
    <w:rPr>
      <w:sz w:val="24"/>
      <w:lang w:val="en-US" w:eastAsia="zh-CN" w:bidi="ar"/>
    </w:rPr>
  </w:style>
  <w:style w:type="paragraph" w:styleId="799">
    <w:name w:val="标题"/>
    <w:basedOn w:val="754"/>
    <w:next w:val="754"/>
    <w:link w:val="800"/>
    <w:uiPriority w:val="10"/>
    <w:qFormat/>
    <w:pPr>
      <w:contextualSpacing/>
      <w:spacing w:before="300" w:after="200"/>
    </w:pPr>
    <w:rPr>
      <w:sz w:val="48"/>
      <w:szCs w:val="48"/>
    </w:rPr>
  </w:style>
  <w:style w:type="character" w:styleId="800">
    <w:name w:val="Title Char"/>
    <w:basedOn w:val="764"/>
    <w:next w:val="800"/>
    <w:link w:val="799"/>
    <w:uiPriority w:val="10"/>
    <w:qFormat/>
    <w:rPr>
      <w:sz w:val="48"/>
      <w:szCs w:val="48"/>
    </w:rPr>
  </w:style>
  <w:style w:type="paragraph" w:styleId="801">
    <w:name w:val="正文首行缩进 2"/>
    <w:basedOn w:val="778"/>
    <w:next w:val="801"/>
    <w:link w:val="754"/>
    <w:uiPriority w:val="99"/>
    <w:unhideWhenUsed/>
    <w:qFormat/>
    <w:pPr>
      <w:ind w:firstLine="420"/>
    </w:pPr>
  </w:style>
  <w:style w:type="table" w:styleId="802">
    <w:name w:val="网格型"/>
    <w:basedOn w:val="765"/>
    <w:next w:val="802"/>
    <w:link w:val="754"/>
    <w:uiPriority w:val="59"/>
    <w:qFormat/>
    <w:pPr>
      <w:spacing w:after="0" w:line="240" w:lineRule="auto"/>
    </w:pPr>
    <w:tblPr/>
  </w:style>
  <w:style w:type="character" w:styleId="803">
    <w:name w:val="要点"/>
    <w:next w:val="803"/>
    <w:link w:val="754"/>
    <w:qFormat/>
    <w:rPr>
      <w:b/>
    </w:rPr>
  </w:style>
  <w:style w:type="character" w:styleId="804">
    <w:name w:val="尾注引用"/>
    <w:basedOn w:val="764"/>
    <w:next w:val="804"/>
    <w:link w:val="754"/>
    <w:uiPriority w:val="99"/>
    <w:unhideWhenUsed/>
    <w:qFormat/>
    <w:rPr>
      <w:vertAlign w:val="superscript"/>
    </w:rPr>
  </w:style>
  <w:style w:type="character" w:styleId="805">
    <w:name w:val="强调"/>
    <w:basedOn w:val="764"/>
    <w:next w:val="805"/>
    <w:link w:val="754"/>
    <w:uiPriority w:val="20"/>
    <w:qFormat/>
    <w:rPr>
      <w:b/>
    </w:rPr>
  </w:style>
  <w:style w:type="character" w:styleId="806">
    <w:name w:val="超链接"/>
    <w:next w:val="806"/>
    <w:link w:val="754"/>
    <w:uiPriority w:val="99"/>
    <w:unhideWhenUsed/>
    <w:qFormat/>
    <w:rPr>
      <w:color w:val="0563c1"/>
      <w:u w:val="single"/>
    </w:rPr>
  </w:style>
  <w:style w:type="character" w:styleId="807">
    <w:name w:val="脚注引用"/>
    <w:basedOn w:val="764"/>
    <w:next w:val="807"/>
    <w:link w:val="754"/>
    <w:uiPriority w:val="99"/>
    <w:unhideWhenUsed/>
    <w:qFormat/>
    <w:rPr>
      <w:vertAlign w:val="superscript"/>
    </w:rPr>
  </w:style>
  <w:style w:type="character" w:styleId="808">
    <w:name w:val="Heading 1 Char"/>
    <w:basedOn w:val="764"/>
    <w:next w:val="808"/>
    <w:link w:val="754"/>
    <w:uiPriority w:val="9"/>
    <w:rPr>
      <w:rFonts w:ascii="Arial" w:hAnsi="Arial" w:eastAsia="Arial" w:cs="Arial"/>
      <w:sz w:val="40"/>
      <w:szCs w:val="40"/>
    </w:rPr>
  </w:style>
  <w:style w:type="character" w:styleId="809">
    <w:name w:val="Heading 2 Char"/>
    <w:basedOn w:val="764"/>
    <w:next w:val="809"/>
    <w:link w:val="754"/>
    <w:uiPriority w:val="9"/>
    <w:qFormat/>
    <w:rPr>
      <w:rFonts w:ascii="Arial" w:hAnsi="Arial" w:eastAsia="Arial" w:cs="Arial"/>
      <w:sz w:val="34"/>
    </w:rPr>
  </w:style>
  <w:style w:type="character" w:styleId="810">
    <w:name w:val="Heading 3 Char"/>
    <w:basedOn w:val="764"/>
    <w:next w:val="810"/>
    <w:link w:val="754"/>
    <w:uiPriority w:val="9"/>
    <w:rPr>
      <w:rFonts w:ascii="Arial" w:hAnsi="Arial" w:eastAsia="Arial" w:cs="Arial"/>
      <w:sz w:val="30"/>
      <w:szCs w:val="30"/>
    </w:rPr>
  </w:style>
  <w:style w:type="paragraph" w:styleId="811">
    <w:name w:val="List Paragraph"/>
    <w:basedOn w:val="754"/>
    <w:next w:val="811"/>
    <w:link w:val="754"/>
    <w:uiPriority w:val="34"/>
    <w:qFormat/>
    <w:pPr>
      <w:contextualSpacing/>
      <w:ind w:left="720"/>
    </w:pPr>
  </w:style>
  <w:style w:type="paragraph" w:styleId="812">
    <w:name w:val="No Spacing"/>
    <w:next w:val="812"/>
    <w:link w:val="754"/>
    <w:uiPriority w:val="1"/>
    <w:qFormat/>
    <w:pPr>
      <w:spacing w:before="0" w:after="0" w:line="240" w:lineRule="auto"/>
    </w:pPr>
    <w:rPr>
      <w:rFonts w:ascii="Times New Roman" w:hAnsi="Times New Roman" w:eastAsia="宋体" w:cs="Times New Roman"/>
    </w:rPr>
  </w:style>
  <w:style w:type="paragraph" w:styleId="813">
    <w:name w:val="Quote"/>
    <w:basedOn w:val="754"/>
    <w:next w:val="754"/>
    <w:link w:val="814"/>
    <w:uiPriority w:val="29"/>
    <w:qFormat/>
    <w:pPr>
      <w:ind w:left="720" w:right="720"/>
    </w:pPr>
    <w:rPr>
      <w:i/>
    </w:rPr>
  </w:style>
  <w:style w:type="character" w:styleId="814">
    <w:name w:val="Quote Char"/>
    <w:next w:val="814"/>
    <w:link w:val="813"/>
    <w:uiPriority w:val="29"/>
    <w:qFormat/>
    <w:rPr>
      <w:i/>
    </w:rPr>
  </w:style>
  <w:style w:type="paragraph" w:styleId="815">
    <w:name w:val="Intense Quote"/>
    <w:basedOn w:val="754"/>
    <w:next w:val="754"/>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next w:val="816"/>
    <w:link w:val="815"/>
    <w:uiPriority w:val="30"/>
    <w:qFormat/>
    <w:rPr>
      <w:i/>
    </w:rPr>
  </w:style>
  <w:style w:type="character" w:styleId="817">
    <w:name w:val="Header Char"/>
    <w:basedOn w:val="764"/>
    <w:next w:val="817"/>
    <w:link w:val="754"/>
    <w:uiPriority w:val="99"/>
    <w:qFormat/>
  </w:style>
  <w:style w:type="character" w:styleId="818">
    <w:name w:val="Footer Char"/>
    <w:basedOn w:val="764"/>
    <w:next w:val="818"/>
    <w:link w:val="754"/>
    <w:uiPriority w:val="99"/>
    <w:qFormat/>
  </w:style>
  <w:style w:type="character" w:styleId="819">
    <w:name w:val="Caption Char"/>
    <w:next w:val="819"/>
    <w:link w:val="754"/>
    <w:uiPriority w:val="99"/>
    <w:qFormat/>
  </w:style>
  <w:style w:type="table" w:styleId="820">
    <w:name w:val="Table Grid Light"/>
    <w:basedOn w:val="765"/>
    <w:next w:val="820"/>
    <w:link w:val="754"/>
    <w:uiPriority w:val="59"/>
    <w:qFormat/>
    <w:pPr>
      <w:spacing w:after="0" w:line="240" w:lineRule="auto"/>
    </w:pPr>
    <w:tblPr/>
  </w:style>
  <w:style w:type="table" w:styleId="821">
    <w:name w:val="Plain Table 1"/>
    <w:basedOn w:val="765"/>
    <w:next w:val="821"/>
    <w:link w:val="754"/>
    <w:uiPriority w:val="59"/>
    <w:qFormat/>
    <w:pPr>
      <w:spacing w:after="0" w:line="240" w:lineRule="auto"/>
    </w:pPr>
    <w:tblPr/>
  </w:style>
  <w:style w:type="table" w:styleId="822">
    <w:name w:val="Plain Table 2"/>
    <w:basedOn w:val="765"/>
    <w:next w:val="822"/>
    <w:link w:val="754"/>
    <w:uiPriority w:val="59"/>
    <w:qFormat/>
    <w:pPr>
      <w:spacing w:after="0" w:line="240" w:lineRule="auto"/>
    </w:pPr>
    <w:tblPr/>
  </w:style>
  <w:style w:type="table" w:styleId="823">
    <w:name w:val="Plain Table 3"/>
    <w:basedOn w:val="765"/>
    <w:next w:val="823"/>
    <w:link w:val="754"/>
    <w:uiPriority w:val="99"/>
    <w:qFormat/>
    <w:pPr>
      <w:spacing w:after="0" w:line="240" w:lineRule="auto"/>
    </w:pPr>
    <w:tblPr/>
  </w:style>
  <w:style w:type="table" w:styleId="824">
    <w:name w:val="Plain Table 4"/>
    <w:basedOn w:val="765"/>
    <w:next w:val="824"/>
    <w:link w:val="754"/>
    <w:uiPriority w:val="99"/>
    <w:qFormat/>
    <w:pPr>
      <w:spacing w:after="0" w:line="240" w:lineRule="auto"/>
    </w:pPr>
    <w:tblPr/>
  </w:style>
  <w:style w:type="table" w:styleId="825">
    <w:name w:val="Plain Table 5"/>
    <w:basedOn w:val="765"/>
    <w:next w:val="825"/>
    <w:link w:val="754"/>
    <w:uiPriority w:val="99"/>
    <w:qFormat/>
    <w:pPr>
      <w:spacing w:after="0" w:line="240" w:lineRule="auto"/>
    </w:pPr>
    <w:tblPr/>
  </w:style>
  <w:style w:type="table" w:styleId="826">
    <w:name w:val="Grid Table 1 Light"/>
    <w:basedOn w:val="765"/>
    <w:next w:val="826"/>
    <w:link w:val="754"/>
    <w:uiPriority w:val="99"/>
    <w:qFormat/>
    <w:pPr>
      <w:spacing w:after="0" w:line="240" w:lineRule="auto"/>
    </w:pPr>
    <w:tblPr/>
  </w:style>
  <w:style w:type="table" w:styleId="827">
    <w:name w:val="Grid Table 1 Light - Accent 1"/>
    <w:basedOn w:val="765"/>
    <w:next w:val="827"/>
    <w:link w:val="754"/>
    <w:uiPriority w:val="99"/>
    <w:qFormat/>
    <w:pPr>
      <w:spacing w:after="0" w:line="240" w:lineRule="auto"/>
    </w:pPr>
    <w:tblPr/>
  </w:style>
  <w:style w:type="table" w:styleId="828">
    <w:name w:val="Grid Table 1 Light - Accent 2"/>
    <w:basedOn w:val="765"/>
    <w:next w:val="828"/>
    <w:link w:val="754"/>
    <w:uiPriority w:val="99"/>
    <w:qFormat/>
    <w:pPr>
      <w:spacing w:after="0" w:line="240" w:lineRule="auto"/>
    </w:pPr>
    <w:tblPr/>
  </w:style>
  <w:style w:type="table" w:styleId="829">
    <w:name w:val="Grid Table 1 Light - Accent 3"/>
    <w:basedOn w:val="765"/>
    <w:next w:val="829"/>
    <w:link w:val="754"/>
    <w:uiPriority w:val="99"/>
    <w:qFormat/>
    <w:pPr>
      <w:spacing w:after="0" w:line="240" w:lineRule="auto"/>
    </w:pPr>
    <w:tblPr/>
  </w:style>
  <w:style w:type="table" w:styleId="830">
    <w:name w:val="Grid Table 1 Light - Accent 4"/>
    <w:basedOn w:val="765"/>
    <w:next w:val="830"/>
    <w:link w:val="754"/>
    <w:uiPriority w:val="99"/>
    <w:qFormat/>
    <w:pPr>
      <w:spacing w:after="0" w:line="240" w:lineRule="auto"/>
    </w:pPr>
    <w:tblPr/>
  </w:style>
  <w:style w:type="table" w:styleId="831">
    <w:name w:val="Grid Table 1 Light - Accent 5"/>
    <w:basedOn w:val="765"/>
    <w:next w:val="831"/>
    <w:link w:val="754"/>
    <w:uiPriority w:val="99"/>
    <w:qFormat/>
    <w:pPr>
      <w:spacing w:after="0" w:line="240" w:lineRule="auto"/>
    </w:pPr>
    <w:tblPr/>
  </w:style>
  <w:style w:type="table" w:styleId="832">
    <w:name w:val="Grid Table 1 Light - Accent 6"/>
    <w:basedOn w:val="765"/>
    <w:next w:val="832"/>
    <w:link w:val="754"/>
    <w:uiPriority w:val="99"/>
    <w:qFormat/>
    <w:pPr>
      <w:spacing w:after="0" w:line="240" w:lineRule="auto"/>
    </w:pPr>
    <w:tblPr/>
  </w:style>
  <w:style w:type="table" w:styleId="833">
    <w:name w:val="Grid Table 2"/>
    <w:basedOn w:val="765"/>
    <w:next w:val="833"/>
    <w:link w:val="754"/>
    <w:uiPriority w:val="99"/>
    <w:qFormat/>
    <w:pPr>
      <w:spacing w:after="0" w:line="240" w:lineRule="auto"/>
    </w:pPr>
    <w:tblPr/>
  </w:style>
  <w:style w:type="table" w:styleId="834">
    <w:name w:val="Grid Table 2 - Accent 1"/>
    <w:basedOn w:val="765"/>
    <w:next w:val="834"/>
    <w:link w:val="754"/>
    <w:uiPriority w:val="99"/>
    <w:qFormat/>
    <w:pPr>
      <w:spacing w:after="0" w:line="240" w:lineRule="auto"/>
    </w:pPr>
    <w:tblPr/>
  </w:style>
  <w:style w:type="table" w:styleId="835">
    <w:name w:val="Grid Table 2 - Accent 2"/>
    <w:basedOn w:val="765"/>
    <w:next w:val="835"/>
    <w:link w:val="754"/>
    <w:uiPriority w:val="99"/>
    <w:qFormat/>
    <w:pPr>
      <w:spacing w:after="0" w:line="240" w:lineRule="auto"/>
    </w:pPr>
    <w:tblPr/>
  </w:style>
  <w:style w:type="table" w:styleId="836">
    <w:name w:val="Grid Table 2 - Accent 3"/>
    <w:basedOn w:val="765"/>
    <w:next w:val="836"/>
    <w:link w:val="754"/>
    <w:uiPriority w:val="99"/>
    <w:qFormat/>
    <w:pPr>
      <w:spacing w:after="0" w:line="240" w:lineRule="auto"/>
    </w:pPr>
    <w:tblPr/>
  </w:style>
  <w:style w:type="table" w:styleId="837">
    <w:name w:val="Grid Table 2 - Accent 4"/>
    <w:basedOn w:val="765"/>
    <w:next w:val="837"/>
    <w:link w:val="754"/>
    <w:uiPriority w:val="99"/>
    <w:qFormat/>
    <w:pPr>
      <w:spacing w:after="0" w:line="240" w:lineRule="auto"/>
    </w:pPr>
    <w:tblPr/>
  </w:style>
  <w:style w:type="table" w:styleId="838">
    <w:name w:val="Grid Table 2 - Accent 5"/>
    <w:basedOn w:val="765"/>
    <w:next w:val="838"/>
    <w:link w:val="754"/>
    <w:uiPriority w:val="99"/>
    <w:qFormat/>
    <w:pPr>
      <w:spacing w:after="0" w:line="240" w:lineRule="auto"/>
    </w:pPr>
    <w:tblPr/>
  </w:style>
  <w:style w:type="table" w:styleId="839">
    <w:name w:val="Grid Table 2 - Accent 6"/>
    <w:basedOn w:val="765"/>
    <w:next w:val="839"/>
    <w:link w:val="754"/>
    <w:uiPriority w:val="99"/>
    <w:qFormat/>
    <w:pPr>
      <w:spacing w:after="0" w:line="240" w:lineRule="auto"/>
    </w:pPr>
    <w:tblPr/>
  </w:style>
  <w:style w:type="table" w:styleId="840">
    <w:name w:val="Grid Table 3"/>
    <w:basedOn w:val="765"/>
    <w:next w:val="840"/>
    <w:link w:val="754"/>
    <w:uiPriority w:val="99"/>
    <w:qFormat/>
    <w:pPr>
      <w:spacing w:after="0" w:line="240" w:lineRule="auto"/>
    </w:pPr>
    <w:tblPr/>
  </w:style>
  <w:style w:type="table" w:styleId="841">
    <w:name w:val="Grid Table 3 - Accent 1"/>
    <w:basedOn w:val="765"/>
    <w:next w:val="841"/>
    <w:link w:val="754"/>
    <w:uiPriority w:val="99"/>
    <w:qFormat/>
    <w:pPr>
      <w:spacing w:after="0" w:line="240" w:lineRule="auto"/>
    </w:pPr>
    <w:tblPr/>
  </w:style>
  <w:style w:type="table" w:styleId="842">
    <w:name w:val="Grid Table 3 - Accent 2"/>
    <w:basedOn w:val="765"/>
    <w:next w:val="842"/>
    <w:link w:val="754"/>
    <w:uiPriority w:val="99"/>
    <w:qFormat/>
    <w:pPr>
      <w:spacing w:after="0" w:line="240" w:lineRule="auto"/>
    </w:pPr>
    <w:tblPr/>
  </w:style>
  <w:style w:type="table" w:styleId="843">
    <w:name w:val="Grid Table 3 - Accent 3"/>
    <w:basedOn w:val="765"/>
    <w:next w:val="843"/>
    <w:link w:val="754"/>
    <w:uiPriority w:val="99"/>
    <w:qFormat/>
    <w:pPr>
      <w:spacing w:after="0" w:line="240" w:lineRule="auto"/>
    </w:pPr>
    <w:tblPr/>
  </w:style>
  <w:style w:type="table" w:styleId="844">
    <w:name w:val="Grid Table 3 - Accent 4"/>
    <w:basedOn w:val="765"/>
    <w:next w:val="844"/>
    <w:link w:val="754"/>
    <w:uiPriority w:val="99"/>
    <w:qFormat/>
    <w:pPr>
      <w:spacing w:after="0" w:line="240" w:lineRule="auto"/>
    </w:pPr>
    <w:tblPr/>
  </w:style>
  <w:style w:type="table" w:styleId="845">
    <w:name w:val="Grid Table 3 - Accent 5"/>
    <w:basedOn w:val="765"/>
    <w:next w:val="845"/>
    <w:link w:val="754"/>
    <w:uiPriority w:val="99"/>
    <w:qFormat/>
    <w:pPr>
      <w:spacing w:after="0" w:line="240" w:lineRule="auto"/>
    </w:pPr>
    <w:tblPr/>
  </w:style>
  <w:style w:type="table" w:styleId="846">
    <w:name w:val="Grid Table 3 - Accent 6"/>
    <w:basedOn w:val="765"/>
    <w:next w:val="846"/>
    <w:link w:val="754"/>
    <w:uiPriority w:val="99"/>
    <w:qFormat/>
    <w:pPr>
      <w:spacing w:after="0" w:line="240" w:lineRule="auto"/>
    </w:pPr>
    <w:tblPr/>
  </w:style>
  <w:style w:type="table" w:styleId="847">
    <w:name w:val="Grid Table 4"/>
    <w:basedOn w:val="765"/>
    <w:next w:val="847"/>
    <w:link w:val="754"/>
    <w:uiPriority w:val="59"/>
    <w:qFormat/>
    <w:pPr>
      <w:spacing w:after="0" w:line="240" w:lineRule="auto"/>
    </w:pPr>
    <w:tblPr/>
  </w:style>
  <w:style w:type="table" w:styleId="848">
    <w:name w:val="Grid Table 4 - Accent 1"/>
    <w:basedOn w:val="765"/>
    <w:next w:val="848"/>
    <w:link w:val="754"/>
    <w:uiPriority w:val="59"/>
    <w:qFormat/>
    <w:pPr>
      <w:spacing w:after="0" w:line="240" w:lineRule="auto"/>
    </w:pPr>
    <w:tblPr/>
  </w:style>
  <w:style w:type="table" w:styleId="849">
    <w:name w:val="Grid Table 4 - Accent 2"/>
    <w:basedOn w:val="765"/>
    <w:next w:val="849"/>
    <w:link w:val="754"/>
    <w:uiPriority w:val="59"/>
    <w:qFormat/>
    <w:pPr>
      <w:spacing w:after="0" w:line="240" w:lineRule="auto"/>
    </w:pPr>
    <w:tblPr/>
  </w:style>
  <w:style w:type="table" w:styleId="850">
    <w:name w:val="Grid Table 4 - Accent 3"/>
    <w:basedOn w:val="765"/>
    <w:next w:val="850"/>
    <w:link w:val="754"/>
    <w:uiPriority w:val="59"/>
    <w:qFormat/>
    <w:pPr>
      <w:spacing w:after="0" w:line="240" w:lineRule="auto"/>
    </w:pPr>
    <w:tblPr/>
  </w:style>
  <w:style w:type="table" w:styleId="851">
    <w:name w:val="Grid Table 4 - Accent 4"/>
    <w:basedOn w:val="765"/>
    <w:next w:val="851"/>
    <w:link w:val="754"/>
    <w:uiPriority w:val="59"/>
    <w:qFormat/>
    <w:pPr>
      <w:spacing w:after="0" w:line="240" w:lineRule="auto"/>
    </w:pPr>
    <w:tblPr/>
  </w:style>
  <w:style w:type="table" w:styleId="852">
    <w:name w:val="Grid Table 4 - Accent 5"/>
    <w:basedOn w:val="765"/>
    <w:next w:val="852"/>
    <w:link w:val="754"/>
    <w:uiPriority w:val="59"/>
    <w:qFormat/>
    <w:pPr>
      <w:spacing w:after="0" w:line="240" w:lineRule="auto"/>
    </w:pPr>
    <w:tblPr/>
  </w:style>
  <w:style w:type="table" w:styleId="853">
    <w:name w:val="Grid Table 4 - Accent 6"/>
    <w:basedOn w:val="765"/>
    <w:next w:val="853"/>
    <w:link w:val="754"/>
    <w:uiPriority w:val="59"/>
    <w:qFormat/>
    <w:pPr>
      <w:spacing w:after="0" w:line="240" w:lineRule="auto"/>
    </w:pPr>
    <w:tblPr/>
  </w:style>
  <w:style w:type="table" w:styleId="854">
    <w:name w:val="Grid Table 5 Dark"/>
    <w:basedOn w:val="765"/>
    <w:next w:val="854"/>
    <w:link w:val="754"/>
    <w:uiPriority w:val="99"/>
    <w:qFormat/>
    <w:pPr>
      <w:spacing w:after="0" w:line="240" w:lineRule="auto"/>
    </w:pPr>
    <w:tblPr/>
  </w:style>
  <w:style w:type="table" w:styleId="855">
    <w:name w:val="Grid Table 5 Dark- Accent 1"/>
    <w:basedOn w:val="765"/>
    <w:next w:val="855"/>
    <w:link w:val="754"/>
    <w:uiPriority w:val="99"/>
    <w:qFormat/>
    <w:pPr>
      <w:spacing w:after="0" w:line="240" w:lineRule="auto"/>
    </w:pPr>
    <w:tblPr/>
  </w:style>
  <w:style w:type="table" w:styleId="856">
    <w:name w:val="Grid Table 5 Dark - Accent 2"/>
    <w:basedOn w:val="765"/>
    <w:next w:val="856"/>
    <w:link w:val="754"/>
    <w:uiPriority w:val="99"/>
    <w:qFormat/>
    <w:pPr>
      <w:spacing w:after="0" w:line="240" w:lineRule="auto"/>
    </w:pPr>
    <w:tblPr/>
  </w:style>
  <w:style w:type="table" w:styleId="857">
    <w:name w:val="Grid Table 5 Dark - Accent 3"/>
    <w:basedOn w:val="765"/>
    <w:next w:val="857"/>
    <w:link w:val="754"/>
    <w:uiPriority w:val="99"/>
    <w:qFormat/>
    <w:pPr>
      <w:spacing w:after="0" w:line="240" w:lineRule="auto"/>
    </w:pPr>
    <w:tblPr/>
  </w:style>
  <w:style w:type="table" w:styleId="858">
    <w:name w:val="Grid Table 5 Dark- Accent 4"/>
    <w:basedOn w:val="765"/>
    <w:next w:val="858"/>
    <w:link w:val="754"/>
    <w:uiPriority w:val="99"/>
    <w:qFormat/>
    <w:pPr>
      <w:spacing w:after="0" w:line="240" w:lineRule="auto"/>
    </w:pPr>
    <w:tblPr/>
  </w:style>
  <w:style w:type="table" w:styleId="859">
    <w:name w:val="Grid Table 5 Dark - Accent 5"/>
    <w:basedOn w:val="765"/>
    <w:next w:val="859"/>
    <w:link w:val="754"/>
    <w:uiPriority w:val="99"/>
    <w:qFormat/>
    <w:pPr>
      <w:spacing w:after="0" w:line="240" w:lineRule="auto"/>
    </w:pPr>
    <w:tblPr/>
  </w:style>
  <w:style w:type="table" w:styleId="860">
    <w:name w:val="Grid Table 5 Dark - Accent 6"/>
    <w:basedOn w:val="765"/>
    <w:next w:val="860"/>
    <w:link w:val="754"/>
    <w:uiPriority w:val="99"/>
    <w:qFormat/>
    <w:pPr>
      <w:spacing w:after="0" w:line="240" w:lineRule="auto"/>
    </w:pPr>
    <w:tblPr/>
  </w:style>
  <w:style w:type="table" w:styleId="861">
    <w:name w:val="Grid Table 6 Colorful"/>
    <w:basedOn w:val="765"/>
    <w:next w:val="861"/>
    <w:link w:val="754"/>
    <w:uiPriority w:val="99"/>
    <w:qFormat/>
    <w:pPr>
      <w:spacing w:after="0" w:line="240" w:lineRule="auto"/>
    </w:pPr>
    <w:tblPr/>
  </w:style>
  <w:style w:type="table" w:styleId="862">
    <w:name w:val="Grid Table 6 Colorful - Accent 1"/>
    <w:basedOn w:val="765"/>
    <w:next w:val="862"/>
    <w:link w:val="754"/>
    <w:uiPriority w:val="99"/>
    <w:qFormat/>
    <w:pPr>
      <w:spacing w:after="0" w:line="240" w:lineRule="auto"/>
    </w:pPr>
    <w:tblPr/>
  </w:style>
  <w:style w:type="table" w:styleId="863">
    <w:name w:val="Grid Table 6 Colorful - Accent 2"/>
    <w:basedOn w:val="765"/>
    <w:next w:val="863"/>
    <w:link w:val="754"/>
    <w:uiPriority w:val="99"/>
    <w:qFormat/>
    <w:pPr>
      <w:spacing w:after="0" w:line="240" w:lineRule="auto"/>
    </w:pPr>
    <w:tblPr/>
  </w:style>
  <w:style w:type="table" w:styleId="864">
    <w:name w:val="Grid Table 6 Colorful - Accent 3"/>
    <w:basedOn w:val="765"/>
    <w:next w:val="864"/>
    <w:link w:val="754"/>
    <w:uiPriority w:val="99"/>
    <w:qFormat/>
    <w:pPr>
      <w:spacing w:after="0" w:line="240" w:lineRule="auto"/>
    </w:pPr>
    <w:tblPr/>
  </w:style>
  <w:style w:type="table" w:styleId="865">
    <w:name w:val="Grid Table 6 Colorful - Accent 4"/>
    <w:basedOn w:val="765"/>
    <w:next w:val="865"/>
    <w:link w:val="754"/>
    <w:uiPriority w:val="99"/>
    <w:pPr>
      <w:spacing w:after="0" w:line="240" w:lineRule="auto"/>
    </w:pPr>
    <w:tblPr/>
  </w:style>
  <w:style w:type="table" w:styleId="866">
    <w:name w:val="Grid Table 6 Colorful - Accent 5"/>
    <w:basedOn w:val="765"/>
    <w:next w:val="866"/>
    <w:link w:val="754"/>
    <w:uiPriority w:val="99"/>
    <w:pPr>
      <w:spacing w:after="0" w:line="240" w:lineRule="auto"/>
    </w:pPr>
    <w:tblPr/>
  </w:style>
  <w:style w:type="table" w:styleId="867">
    <w:name w:val="Grid Table 6 Colorful - Accent 6"/>
    <w:basedOn w:val="765"/>
    <w:next w:val="867"/>
    <w:link w:val="754"/>
    <w:uiPriority w:val="99"/>
    <w:qFormat/>
    <w:pPr>
      <w:spacing w:after="0" w:line="240" w:lineRule="auto"/>
    </w:pPr>
    <w:tblPr/>
  </w:style>
  <w:style w:type="table" w:styleId="868">
    <w:name w:val="Grid Table 7 Colorful"/>
    <w:basedOn w:val="765"/>
    <w:next w:val="868"/>
    <w:link w:val="754"/>
    <w:uiPriority w:val="99"/>
    <w:pPr>
      <w:spacing w:after="0" w:line="240" w:lineRule="auto"/>
    </w:pPr>
    <w:tblPr/>
  </w:style>
  <w:style w:type="table" w:styleId="869">
    <w:name w:val="Grid Table 7 Colorful - Accent 1"/>
    <w:basedOn w:val="765"/>
    <w:next w:val="869"/>
    <w:link w:val="754"/>
    <w:uiPriority w:val="99"/>
    <w:pPr>
      <w:spacing w:after="0" w:line="240" w:lineRule="auto"/>
    </w:pPr>
    <w:tblPr/>
  </w:style>
  <w:style w:type="table" w:styleId="870">
    <w:name w:val="Grid Table 7 Colorful - Accent 2"/>
    <w:basedOn w:val="765"/>
    <w:next w:val="870"/>
    <w:link w:val="754"/>
    <w:uiPriority w:val="99"/>
    <w:pPr>
      <w:spacing w:after="0" w:line="240" w:lineRule="auto"/>
    </w:pPr>
    <w:tblPr/>
  </w:style>
  <w:style w:type="table" w:styleId="871">
    <w:name w:val="Grid Table 7 Colorful - Accent 3"/>
    <w:basedOn w:val="765"/>
    <w:next w:val="871"/>
    <w:link w:val="754"/>
    <w:uiPriority w:val="99"/>
    <w:pPr>
      <w:spacing w:after="0" w:line="240" w:lineRule="auto"/>
    </w:pPr>
    <w:tblPr/>
  </w:style>
  <w:style w:type="table" w:styleId="872">
    <w:name w:val="Grid Table 7 Colorful - Accent 4"/>
    <w:basedOn w:val="765"/>
    <w:next w:val="872"/>
    <w:link w:val="754"/>
    <w:uiPriority w:val="99"/>
    <w:qFormat/>
    <w:pPr>
      <w:spacing w:after="0" w:line="240" w:lineRule="auto"/>
    </w:pPr>
    <w:tblPr/>
  </w:style>
  <w:style w:type="table" w:styleId="873">
    <w:name w:val="Grid Table 7 Colorful - Accent 5"/>
    <w:basedOn w:val="765"/>
    <w:next w:val="873"/>
    <w:link w:val="754"/>
    <w:uiPriority w:val="99"/>
    <w:pPr>
      <w:spacing w:after="0" w:line="240" w:lineRule="auto"/>
    </w:pPr>
    <w:tblPr/>
  </w:style>
  <w:style w:type="table" w:styleId="874">
    <w:name w:val="Grid Table 7 Colorful - Accent 6"/>
    <w:basedOn w:val="765"/>
    <w:next w:val="874"/>
    <w:link w:val="754"/>
    <w:uiPriority w:val="99"/>
    <w:pPr>
      <w:spacing w:after="0" w:line="240" w:lineRule="auto"/>
    </w:pPr>
    <w:tblPr/>
  </w:style>
  <w:style w:type="table" w:styleId="875">
    <w:name w:val="List Table 1 Light"/>
    <w:basedOn w:val="765"/>
    <w:next w:val="875"/>
    <w:link w:val="754"/>
    <w:uiPriority w:val="99"/>
    <w:pPr>
      <w:spacing w:after="0" w:line="240" w:lineRule="auto"/>
    </w:pPr>
    <w:tblPr/>
  </w:style>
  <w:style w:type="table" w:styleId="876">
    <w:name w:val="List Table 1 Light - Accent 1"/>
    <w:basedOn w:val="765"/>
    <w:next w:val="876"/>
    <w:link w:val="754"/>
    <w:uiPriority w:val="99"/>
    <w:pPr>
      <w:spacing w:after="0" w:line="240" w:lineRule="auto"/>
    </w:pPr>
    <w:tblPr/>
  </w:style>
  <w:style w:type="table" w:styleId="877">
    <w:name w:val="List Table 1 Light - Accent 2"/>
    <w:basedOn w:val="765"/>
    <w:next w:val="877"/>
    <w:link w:val="754"/>
    <w:uiPriority w:val="99"/>
    <w:qFormat/>
    <w:pPr>
      <w:spacing w:after="0" w:line="240" w:lineRule="auto"/>
    </w:pPr>
    <w:tblPr/>
  </w:style>
  <w:style w:type="table" w:styleId="878">
    <w:name w:val="List Table 1 Light - Accent 3"/>
    <w:basedOn w:val="765"/>
    <w:next w:val="878"/>
    <w:link w:val="754"/>
    <w:uiPriority w:val="99"/>
    <w:qFormat/>
    <w:pPr>
      <w:spacing w:after="0" w:line="240" w:lineRule="auto"/>
    </w:pPr>
    <w:tblPr/>
  </w:style>
  <w:style w:type="table" w:styleId="879">
    <w:name w:val="List Table 1 Light - Accent 4"/>
    <w:basedOn w:val="765"/>
    <w:next w:val="879"/>
    <w:link w:val="754"/>
    <w:uiPriority w:val="99"/>
    <w:pPr>
      <w:spacing w:after="0" w:line="240" w:lineRule="auto"/>
    </w:pPr>
    <w:tblPr/>
  </w:style>
  <w:style w:type="table" w:styleId="880">
    <w:name w:val="List Table 1 Light - Accent 5"/>
    <w:basedOn w:val="765"/>
    <w:next w:val="880"/>
    <w:link w:val="754"/>
    <w:uiPriority w:val="99"/>
    <w:pPr>
      <w:spacing w:after="0" w:line="240" w:lineRule="auto"/>
    </w:pPr>
    <w:tblPr/>
  </w:style>
  <w:style w:type="table" w:styleId="881">
    <w:name w:val="List Table 1 Light - Accent 6"/>
    <w:basedOn w:val="765"/>
    <w:next w:val="881"/>
    <w:link w:val="754"/>
    <w:uiPriority w:val="99"/>
    <w:pPr>
      <w:spacing w:after="0" w:line="240" w:lineRule="auto"/>
    </w:pPr>
    <w:tblPr/>
  </w:style>
  <w:style w:type="table" w:styleId="882">
    <w:name w:val="List Table 2"/>
    <w:basedOn w:val="765"/>
    <w:next w:val="882"/>
    <w:link w:val="754"/>
    <w:uiPriority w:val="99"/>
    <w:qFormat/>
    <w:pPr>
      <w:spacing w:after="0" w:line="240" w:lineRule="auto"/>
    </w:pPr>
    <w:tblPr/>
  </w:style>
  <w:style w:type="table" w:styleId="883">
    <w:name w:val="List Table 2 - Accent 1"/>
    <w:basedOn w:val="765"/>
    <w:next w:val="883"/>
    <w:link w:val="754"/>
    <w:uiPriority w:val="99"/>
    <w:pPr>
      <w:spacing w:after="0" w:line="240" w:lineRule="auto"/>
    </w:pPr>
    <w:tblPr/>
  </w:style>
  <w:style w:type="table" w:styleId="884">
    <w:name w:val="List Table 2 - Accent 2"/>
    <w:basedOn w:val="765"/>
    <w:next w:val="884"/>
    <w:link w:val="754"/>
    <w:uiPriority w:val="99"/>
    <w:pPr>
      <w:spacing w:after="0" w:line="240" w:lineRule="auto"/>
    </w:pPr>
    <w:tblPr/>
  </w:style>
  <w:style w:type="table" w:styleId="885">
    <w:name w:val="List Table 2 - Accent 3"/>
    <w:basedOn w:val="765"/>
    <w:next w:val="885"/>
    <w:link w:val="754"/>
    <w:uiPriority w:val="99"/>
    <w:pPr>
      <w:spacing w:after="0" w:line="240" w:lineRule="auto"/>
    </w:pPr>
    <w:tblPr/>
  </w:style>
  <w:style w:type="table" w:styleId="886">
    <w:name w:val="List Table 2 - Accent 4"/>
    <w:basedOn w:val="765"/>
    <w:next w:val="886"/>
    <w:link w:val="754"/>
    <w:uiPriority w:val="99"/>
    <w:pPr>
      <w:spacing w:after="0" w:line="240" w:lineRule="auto"/>
    </w:pPr>
    <w:tblPr/>
  </w:style>
  <w:style w:type="table" w:styleId="887">
    <w:name w:val="List Table 2 - Accent 5"/>
    <w:basedOn w:val="765"/>
    <w:next w:val="887"/>
    <w:link w:val="754"/>
    <w:uiPriority w:val="99"/>
    <w:pPr>
      <w:spacing w:after="0" w:line="240" w:lineRule="auto"/>
    </w:pPr>
    <w:tblPr/>
  </w:style>
  <w:style w:type="table" w:styleId="888">
    <w:name w:val="List Table 2 - Accent 6"/>
    <w:basedOn w:val="765"/>
    <w:next w:val="888"/>
    <w:link w:val="754"/>
    <w:uiPriority w:val="99"/>
    <w:pPr>
      <w:spacing w:after="0" w:line="240" w:lineRule="auto"/>
    </w:pPr>
    <w:tblPr/>
  </w:style>
  <w:style w:type="table" w:styleId="889">
    <w:name w:val="List Table 3"/>
    <w:basedOn w:val="765"/>
    <w:next w:val="889"/>
    <w:link w:val="754"/>
    <w:uiPriority w:val="99"/>
    <w:pPr>
      <w:spacing w:after="0" w:line="240" w:lineRule="auto"/>
    </w:pPr>
    <w:tblPr/>
  </w:style>
  <w:style w:type="table" w:styleId="890">
    <w:name w:val="List Table 3 - Accent 1"/>
    <w:basedOn w:val="765"/>
    <w:next w:val="890"/>
    <w:link w:val="754"/>
    <w:uiPriority w:val="99"/>
    <w:qFormat/>
    <w:pPr>
      <w:spacing w:after="0" w:line="240" w:lineRule="auto"/>
    </w:pPr>
    <w:tblPr/>
  </w:style>
  <w:style w:type="table" w:styleId="891">
    <w:name w:val="List Table 3 - Accent 2"/>
    <w:basedOn w:val="765"/>
    <w:next w:val="891"/>
    <w:link w:val="754"/>
    <w:uiPriority w:val="99"/>
    <w:pPr>
      <w:spacing w:after="0" w:line="240" w:lineRule="auto"/>
    </w:pPr>
    <w:tblPr/>
  </w:style>
  <w:style w:type="table" w:styleId="892">
    <w:name w:val="List Table 3 - Accent 3"/>
    <w:basedOn w:val="765"/>
    <w:next w:val="892"/>
    <w:link w:val="754"/>
    <w:uiPriority w:val="99"/>
    <w:qFormat/>
    <w:pPr>
      <w:spacing w:after="0" w:line="240" w:lineRule="auto"/>
    </w:pPr>
    <w:tblPr/>
  </w:style>
  <w:style w:type="table" w:styleId="893">
    <w:name w:val="List Table 3 - Accent 4"/>
    <w:basedOn w:val="765"/>
    <w:next w:val="893"/>
    <w:link w:val="754"/>
    <w:uiPriority w:val="99"/>
    <w:qFormat/>
    <w:pPr>
      <w:spacing w:after="0" w:line="240" w:lineRule="auto"/>
    </w:pPr>
    <w:tblPr/>
  </w:style>
  <w:style w:type="table" w:styleId="894">
    <w:name w:val="List Table 3 - Accent 5"/>
    <w:basedOn w:val="765"/>
    <w:next w:val="894"/>
    <w:link w:val="754"/>
    <w:uiPriority w:val="99"/>
    <w:qFormat/>
    <w:pPr>
      <w:spacing w:after="0" w:line="240" w:lineRule="auto"/>
    </w:pPr>
    <w:tblPr/>
  </w:style>
  <w:style w:type="table" w:styleId="895">
    <w:name w:val="List Table 3 - Accent 6"/>
    <w:basedOn w:val="765"/>
    <w:next w:val="895"/>
    <w:link w:val="754"/>
    <w:uiPriority w:val="99"/>
    <w:qFormat/>
    <w:pPr>
      <w:spacing w:after="0" w:line="240" w:lineRule="auto"/>
    </w:pPr>
    <w:tblPr/>
  </w:style>
  <w:style w:type="table" w:styleId="896">
    <w:name w:val="List Table 4"/>
    <w:basedOn w:val="765"/>
    <w:next w:val="896"/>
    <w:link w:val="754"/>
    <w:uiPriority w:val="99"/>
    <w:qFormat/>
    <w:pPr>
      <w:spacing w:after="0" w:line="240" w:lineRule="auto"/>
    </w:pPr>
    <w:tblPr/>
  </w:style>
  <w:style w:type="table" w:styleId="897">
    <w:name w:val="List Table 4 - Accent 1"/>
    <w:basedOn w:val="765"/>
    <w:next w:val="897"/>
    <w:link w:val="754"/>
    <w:uiPriority w:val="99"/>
    <w:qFormat/>
    <w:pPr>
      <w:spacing w:after="0" w:line="240" w:lineRule="auto"/>
    </w:pPr>
    <w:tblPr/>
  </w:style>
  <w:style w:type="table" w:styleId="898">
    <w:name w:val="List Table 4 - Accent 2"/>
    <w:basedOn w:val="765"/>
    <w:next w:val="898"/>
    <w:link w:val="754"/>
    <w:uiPriority w:val="99"/>
    <w:qFormat/>
    <w:pPr>
      <w:spacing w:after="0" w:line="240" w:lineRule="auto"/>
    </w:pPr>
    <w:tblPr/>
  </w:style>
  <w:style w:type="table" w:styleId="899">
    <w:name w:val="List Table 4 - Accent 3"/>
    <w:basedOn w:val="765"/>
    <w:next w:val="899"/>
    <w:link w:val="754"/>
    <w:uiPriority w:val="99"/>
    <w:qFormat/>
    <w:pPr>
      <w:spacing w:after="0" w:line="240" w:lineRule="auto"/>
    </w:pPr>
    <w:tblPr/>
  </w:style>
  <w:style w:type="table" w:styleId="900">
    <w:name w:val="List Table 4 - Accent 4"/>
    <w:basedOn w:val="765"/>
    <w:next w:val="900"/>
    <w:link w:val="754"/>
    <w:uiPriority w:val="99"/>
    <w:qFormat/>
    <w:pPr>
      <w:spacing w:after="0" w:line="240" w:lineRule="auto"/>
    </w:pPr>
    <w:tblPr/>
  </w:style>
  <w:style w:type="table" w:styleId="901">
    <w:name w:val="List Table 4 - Accent 5"/>
    <w:basedOn w:val="765"/>
    <w:next w:val="901"/>
    <w:link w:val="754"/>
    <w:uiPriority w:val="99"/>
    <w:qFormat/>
    <w:pPr>
      <w:spacing w:after="0" w:line="240" w:lineRule="auto"/>
    </w:pPr>
    <w:tblPr/>
  </w:style>
  <w:style w:type="table" w:styleId="902">
    <w:name w:val="List Table 4 - Accent 6"/>
    <w:basedOn w:val="765"/>
    <w:next w:val="902"/>
    <w:link w:val="754"/>
    <w:uiPriority w:val="99"/>
    <w:qFormat/>
    <w:pPr>
      <w:spacing w:after="0" w:line="240" w:lineRule="auto"/>
    </w:pPr>
    <w:tblPr/>
  </w:style>
  <w:style w:type="table" w:styleId="903">
    <w:name w:val="List Table 5 Dark"/>
    <w:basedOn w:val="765"/>
    <w:next w:val="903"/>
    <w:link w:val="754"/>
    <w:uiPriority w:val="99"/>
    <w:qFormat/>
    <w:pPr>
      <w:spacing w:after="0" w:line="240" w:lineRule="auto"/>
    </w:pPr>
    <w:tblPr/>
  </w:style>
  <w:style w:type="table" w:styleId="904">
    <w:name w:val="List Table 5 Dark - Accent 1"/>
    <w:basedOn w:val="765"/>
    <w:next w:val="904"/>
    <w:link w:val="754"/>
    <w:uiPriority w:val="99"/>
    <w:qFormat/>
    <w:pPr>
      <w:spacing w:after="0" w:line="240" w:lineRule="auto"/>
    </w:pPr>
    <w:tblPr/>
  </w:style>
  <w:style w:type="table" w:styleId="905">
    <w:name w:val="List Table 5 Dark - Accent 2"/>
    <w:basedOn w:val="765"/>
    <w:next w:val="905"/>
    <w:link w:val="754"/>
    <w:uiPriority w:val="99"/>
    <w:qFormat/>
    <w:pPr>
      <w:spacing w:after="0" w:line="240" w:lineRule="auto"/>
    </w:pPr>
    <w:tblPr/>
  </w:style>
  <w:style w:type="table" w:styleId="906">
    <w:name w:val="List Table 5 Dark - Accent 3"/>
    <w:basedOn w:val="765"/>
    <w:next w:val="906"/>
    <w:link w:val="754"/>
    <w:uiPriority w:val="99"/>
    <w:qFormat/>
    <w:pPr>
      <w:spacing w:after="0" w:line="240" w:lineRule="auto"/>
    </w:pPr>
    <w:tblPr/>
  </w:style>
  <w:style w:type="table" w:styleId="907">
    <w:name w:val="List Table 5 Dark - Accent 4"/>
    <w:basedOn w:val="765"/>
    <w:next w:val="907"/>
    <w:link w:val="754"/>
    <w:uiPriority w:val="99"/>
    <w:qFormat/>
    <w:pPr>
      <w:spacing w:after="0" w:line="240" w:lineRule="auto"/>
    </w:pPr>
    <w:tblPr/>
  </w:style>
  <w:style w:type="table" w:styleId="908">
    <w:name w:val="List Table 5 Dark - Accent 5"/>
    <w:basedOn w:val="765"/>
    <w:next w:val="908"/>
    <w:link w:val="754"/>
    <w:uiPriority w:val="99"/>
    <w:qFormat/>
    <w:pPr>
      <w:spacing w:after="0" w:line="240" w:lineRule="auto"/>
    </w:pPr>
    <w:tblPr/>
  </w:style>
  <w:style w:type="table" w:styleId="909">
    <w:name w:val="List Table 5 Dark - Accent 6"/>
    <w:basedOn w:val="765"/>
    <w:next w:val="909"/>
    <w:link w:val="754"/>
    <w:uiPriority w:val="99"/>
    <w:qFormat/>
    <w:pPr>
      <w:spacing w:after="0" w:line="240" w:lineRule="auto"/>
    </w:pPr>
    <w:tblPr/>
  </w:style>
  <w:style w:type="table" w:styleId="910">
    <w:name w:val="List Table 6 Colorful"/>
    <w:basedOn w:val="765"/>
    <w:next w:val="910"/>
    <w:link w:val="754"/>
    <w:uiPriority w:val="99"/>
    <w:qFormat/>
    <w:pPr>
      <w:spacing w:after="0" w:line="240" w:lineRule="auto"/>
    </w:pPr>
    <w:tblPr/>
  </w:style>
  <w:style w:type="table" w:styleId="911">
    <w:name w:val="List Table 6 Colorful - Accent 1"/>
    <w:basedOn w:val="765"/>
    <w:next w:val="911"/>
    <w:link w:val="754"/>
    <w:uiPriority w:val="99"/>
    <w:qFormat/>
    <w:pPr>
      <w:spacing w:after="0" w:line="240" w:lineRule="auto"/>
    </w:pPr>
    <w:tblPr/>
  </w:style>
  <w:style w:type="table" w:styleId="912">
    <w:name w:val="List Table 6 Colorful - Accent 2"/>
    <w:basedOn w:val="765"/>
    <w:next w:val="912"/>
    <w:link w:val="754"/>
    <w:uiPriority w:val="99"/>
    <w:qFormat/>
    <w:pPr>
      <w:spacing w:after="0" w:line="240" w:lineRule="auto"/>
    </w:pPr>
    <w:tblPr/>
  </w:style>
  <w:style w:type="table" w:styleId="913">
    <w:name w:val="List Table 6 Colorful - Accent 3"/>
    <w:basedOn w:val="765"/>
    <w:next w:val="913"/>
    <w:link w:val="754"/>
    <w:uiPriority w:val="99"/>
    <w:qFormat/>
    <w:pPr>
      <w:spacing w:after="0" w:line="240" w:lineRule="auto"/>
    </w:pPr>
    <w:tblPr/>
  </w:style>
  <w:style w:type="table" w:styleId="914">
    <w:name w:val="List Table 6 Colorful - Accent 4"/>
    <w:basedOn w:val="765"/>
    <w:next w:val="914"/>
    <w:link w:val="754"/>
    <w:uiPriority w:val="99"/>
    <w:qFormat/>
    <w:pPr>
      <w:spacing w:after="0" w:line="240" w:lineRule="auto"/>
    </w:pPr>
    <w:tblPr/>
  </w:style>
  <w:style w:type="table" w:styleId="915">
    <w:name w:val="List Table 6 Colorful - Accent 5"/>
    <w:basedOn w:val="765"/>
    <w:next w:val="915"/>
    <w:link w:val="754"/>
    <w:uiPriority w:val="99"/>
    <w:qFormat/>
    <w:pPr>
      <w:spacing w:after="0" w:line="240" w:lineRule="auto"/>
    </w:pPr>
    <w:tblPr/>
  </w:style>
  <w:style w:type="table" w:styleId="916">
    <w:name w:val="List Table 6 Colorful - Accent 6"/>
    <w:basedOn w:val="765"/>
    <w:next w:val="916"/>
    <w:link w:val="754"/>
    <w:uiPriority w:val="99"/>
    <w:qFormat/>
    <w:pPr>
      <w:spacing w:after="0" w:line="240" w:lineRule="auto"/>
    </w:pPr>
    <w:tblPr/>
  </w:style>
  <w:style w:type="table" w:styleId="917">
    <w:name w:val="List Table 7 Colorful"/>
    <w:basedOn w:val="765"/>
    <w:next w:val="917"/>
    <w:link w:val="754"/>
    <w:uiPriority w:val="99"/>
    <w:qFormat/>
    <w:pPr>
      <w:spacing w:after="0" w:line="240" w:lineRule="auto"/>
    </w:pPr>
    <w:tblPr/>
  </w:style>
  <w:style w:type="table" w:styleId="918">
    <w:name w:val="List Table 7 Colorful - Accent 1"/>
    <w:basedOn w:val="765"/>
    <w:next w:val="918"/>
    <w:link w:val="754"/>
    <w:uiPriority w:val="99"/>
    <w:qFormat/>
    <w:pPr>
      <w:spacing w:after="0" w:line="240" w:lineRule="auto"/>
    </w:pPr>
    <w:tblPr/>
  </w:style>
  <w:style w:type="table" w:styleId="919">
    <w:name w:val="List Table 7 Colorful - Accent 2"/>
    <w:basedOn w:val="765"/>
    <w:next w:val="919"/>
    <w:link w:val="754"/>
    <w:uiPriority w:val="99"/>
    <w:qFormat/>
    <w:pPr>
      <w:spacing w:after="0" w:line="240" w:lineRule="auto"/>
    </w:pPr>
    <w:tblPr/>
  </w:style>
  <w:style w:type="table" w:styleId="920">
    <w:name w:val="List Table 7 Colorful - Accent 3"/>
    <w:basedOn w:val="765"/>
    <w:next w:val="920"/>
    <w:link w:val="754"/>
    <w:uiPriority w:val="99"/>
    <w:qFormat/>
    <w:pPr>
      <w:spacing w:after="0" w:line="240" w:lineRule="auto"/>
    </w:pPr>
    <w:tblPr/>
  </w:style>
  <w:style w:type="table" w:styleId="921">
    <w:name w:val="List Table 7 Colorful - Accent 4"/>
    <w:basedOn w:val="765"/>
    <w:next w:val="921"/>
    <w:link w:val="754"/>
    <w:uiPriority w:val="99"/>
    <w:qFormat/>
    <w:pPr>
      <w:spacing w:after="0" w:line="240" w:lineRule="auto"/>
    </w:pPr>
    <w:tblPr/>
  </w:style>
  <w:style w:type="table" w:styleId="922">
    <w:name w:val="List Table 7 Colorful - Accent 5"/>
    <w:basedOn w:val="765"/>
    <w:next w:val="922"/>
    <w:link w:val="754"/>
    <w:uiPriority w:val="99"/>
    <w:qFormat/>
    <w:pPr>
      <w:spacing w:after="0" w:line="240" w:lineRule="auto"/>
    </w:pPr>
    <w:tblPr/>
  </w:style>
  <w:style w:type="table" w:styleId="923">
    <w:name w:val="List Table 7 Colorful - Accent 6"/>
    <w:basedOn w:val="765"/>
    <w:next w:val="923"/>
    <w:link w:val="754"/>
    <w:uiPriority w:val="99"/>
    <w:qFormat/>
    <w:pPr>
      <w:spacing w:after="0" w:line="240" w:lineRule="auto"/>
    </w:pPr>
    <w:tblPr/>
  </w:style>
  <w:style w:type="table" w:styleId="924">
    <w:name w:val="Lined - Accent"/>
    <w:basedOn w:val="765"/>
    <w:next w:val="924"/>
    <w:link w:val="754"/>
    <w:uiPriority w:val="99"/>
    <w:qFormat/>
    <w:pPr>
      <w:spacing w:after="0" w:line="240" w:lineRule="auto"/>
    </w:pPr>
    <w:rPr>
      <w:color w:val="404040"/>
    </w:rPr>
    <w:tblPr/>
  </w:style>
  <w:style w:type="table" w:styleId="925">
    <w:name w:val="Lined - Accent 1"/>
    <w:basedOn w:val="765"/>
    <w:next w:val="925"/>
    <w:link w:val="754"/>
    <w:uiPriority w:val="99"/>
    <w:qFormat/>
    <w:pPr>
      <w:spacing w:after="0" w:line="240" w:lineRule="auto"/>
    </w:pPr>
    <w:rPr>
      <w:color w:val="404040"/>
    </w:rPr>
    <w:tblPr/>
  </w:style>
  <w:style w:type="table" w:styleId="926">
    <w:name w:val="Lined - Accent 2"/>
    <w:basedOn w:val="765"/>
    <w:next w:val="926"/>
    <w:link w:val="754"/>
    <w:uiPriority w:val="99"/>
    <w:qFormat/>
    <w:pPr>
      <w:spacing w:after="0" w:line="240" w:lineRule="auto"/>
    </w:pPr>
    <w:rPr>
      <w:color w:val="404040"/>
    </w:rPr>
    <w:tblPr/>
  </w:style>
  <w:style w:type="table" w:styleId="927">
    <w:name w:val="Lined - Accent 3"/>
    <w:basedOn w:val="765"/>
    <w:next w:val="927"/>
    <w:link w:val="754"/>
    <w:uiPriority w:val="99"/>
    <w:qFormat/>
    <w:pPr>
      <w:spacing w:after="0" w:line="240" w:lineRule="auto"/>
    </w:pPr>
    <w:rPr>
      <w:color w:val="404040"/>
    </w:rPr>
    <w:tblPr/>
  </w:style>
  <w:style w:type="table" w:styleId="928">
    <w:name w:val="Lined - Accent 4"/>
    <w:basedOn w:val="765"/>
    <w:next w:val="928"/>
    <w:link w:val="754"/>
    <w:uiPriority w:val="99"/>
    <w:qFormat/>
    <w:pPr>
      <w:spacing w:after="0" w:line="240" w:lineRule="auto"/>
    </w:pPr>
    <w:rPr>
      <w:color w:val="404040"/>
    </w:rPr>
    <w:tblPr/>
  </w:style>
  <w:style w:type="table" w:styleId="929">
    <w:name w:val="Lined - Accent 5"/>
    <w:basedOn w:val="765"/>
    <w:next w:val="929"/>
    <w:link w:val="754"/>
    <w:uiPriority w:val="99"/>
    <w:qFormat/>
    <w:pPr>
      <w:spacing w:after="0" w:line="240" w:lineRule="auto"/>
    </w:pPr>
    <w:rPr>
      <w:color w:val="404040"/>
    </w:rPr>
    <w:tblPr/>
  </w:style>
  <w:style w:type="table" w:styleId="930">
    <w:name w:val="Lined - Accent 6"/>
    <w:basedOn w:val="765"/>
    <w:next w:val="930"/>
    <w:link w:val="754"/>
    <w:uiPriority w:val="99"/>
    <w:qFormat/>
    <w:pPr>
      <w:spacing w:after="0" w:line="240" w:lineRule="auto"/>
    </w:pPr>
    <w:rPr>
      <w:color w:val="404040"/>
    </w:rPr>
    <w:tblPr/>
  </w:style>
  <w:style w:type="table" w:styleId="931">
    <w:name w:val="Bordered &amp; Lined - Accent"/>
    <w:basedOn w:val="765"/>
    <w:next w:val="931"/>
    <w:link w:val="754"/>
    <w:uiPriority w:val="99"/>
    <w:qFormat/>
    <w:pPr>
      <w:spacing w:after="0" w:line="240" w:lineRule="auto"/>
    </w:pPr>
    <w:rPr>
      <w:color w:val="404040"/>
    </w:rPr>
    <w:tblPr/>
  </w:style>
  <w:style w:type="table" w:styleId="932">
    <w:name w:val="Bordered &amp; Lined - Accent 1"/>
    <w:basedOn w:val="765"/>
    <w:next w:val="932"/>
    <w:link w:val="754"/>
    <w:uiPriority w:val="99"/>
    <w:qFormat/>
    <w:pPr>
      <w:spacing w:after="0" w:line="240" w:lineRule="auto"/>
    </w:pPr>
    <w:rPr>
      <w:color w:val="404040"/>
    </w:rPr>
    <w:tblPr/>
  </w:style>
  <w:style w:type="table" w:styleId="933">
    <w:name w:val="Bordered &amp; Lined - Accent 2"/>
    <w:basedOn w:val="765"/>
    <w:next w:val="933"/>
    <w:link w:val="754"/>
    <w:uiPriority w:val="99"/>
    <w:qFormat/>
    <w:pPr>
      <w:spacing w:after="0" w:line="240" w:lineRule="auto"/>
    </w:pPr>
    <w:rPr>
      <w:color w:val="404040"/>
    </w:rPr>
    <w:tblPr/>
  </w:style>
  <w:style w:type="table" w:styleId="934">
    <w:name w:val="Bordered &amp; Lined - Accent 3"/>
    <w:basedOn w:val="765"/>
    <w:next w:val="934"/>
    <w:link w:val="754"/>
    <w:uiPriority w:val="99"/>
    <w:qFormat/>
    <w:pPr>
      <w:spacing w:after="0" w:line="240" w:lineRule="auto"/>
    </w:pPr>
    <w:rPr>
      <w:color w:val="404040"/>
    </w:rPr>
    <w:tblPr/>
  </w:style>
  <w:style w:type="table" w:styleId="935">
    <w:name w:val="Bordered &amp; Lined - Accent 4"/>
    <w:basedOn w:val="765"/>
    <w:next w:val="935"/>
    <w:link w:val="754"/>
    <w:uiPriority w:val="99"/>
    <w:qFormat/>
    <w:pPr>
      <w:spacing w:after="0" w:line="240" w:lineRule="auto"/>
    </w:pPr>
    <w:rPr>
      <w:color w:val="404040"/>
    </w:rPr>
    <w:tblPr/>
  </w:style>
  <w:style w:type="table" w:styleId="936">
    <w:name w:val="Bordered &amp; Lined - Accent 5"/>
    <w:basedOn w:val="765"/>
    <w:next w:val="936"/>
    <w:link w:val="754"/>
    <w:uiPriority w:val="99"/>
    <w:qFormat/>
    <w:pPr>
      <w:spacing w:after="0" w:line="240" w:lineRule="auto"/>
    </w:pPr>
    <w:rPr>
      <w:color w:val="404040"/>
    </w:rPr>
    <w:tblPr/>
  </w:style>
  <w:style w:type="table" w:styleId="937">
    <w:name w:val="Bordered &amp; Lined - Accent 6"/>
    <w:basedOn w:val="765"/>
    <w:next w:val="937"/>
    <w:link w:val="754"/>
    <w:uiPriority w:val="99"/>
    <w:qFormat/>
    <w:pPr>
      <w:spacing w:after="0" w:line="240" w:lineRule="auto"/>
    </w:pPr>
    <w:rPr>
      <w:color w:val="404040"/>
    </w:rPr>
    <w:tblPr/>
  </w:style>
  <w:style w:type="table" w:styleId="938">
    <w:name w:val="Bordered"/>
    <w:basedOn w:val="765"/>
    <w:next w:val="938"/>
    <w:link w:val="754"/>
    <w:uiPriority w:val="99"/>
    <w:qFormat/>
    <w:pPr>
      <w:spacing w:after="0" w:line="240" w:lineRule="auto"/>
    </w:pPr>
    <w:tblPr/>
  </w:style>
  <w:style w:type="table" w:styleId="939">
    <w:name w:val="Bordered - Accent 1"/>
    <w:basedOn w:val="765"/>
    <w:next w:val="939"/>
    <w:link w:val="754"/>
    <w:uiPriority w:val="99"/>
    <w:qFormat/>
    <w:pPr>
      <w:spacing w:after="0" w:line="240" w:lineRule="auto"/>
    </w:pPr>
    <w:tblPr/>
  </w:style>
  <w:style w:type="table" w:styleId="940">
    <w:name w:val="Bordered - Accent 2"/>
    <w:basedOn w:val="765"/>
    <w:next w:val="940"/>
    <w:link w:val="754"/>
    <w:uiPriority w:val="99"/>
    <w:qFormat/>
    <w:pPr>
      <w:spacing w:after="0" w:line="240" w:lineRule="auto"/>
    </w:pPr>
    <w:tblPr/>
  </w:style>
  <w:style w:type="table" w:styleId="941">
    <w:name w:val="Bordered - Accent 3"/>
    <w:basedOn w:val="765"/>
    <w:next w:val="941"/>
    <w:link w:val="754"/>
    <w:uiPriority w:val="99"/>
    <w:qFormat/>
    <w:pPr>
      <w:spacing w:after="0" w:line="240" w:lineRule="auto"/>
    </w:pPr>
    <w:tblPr/>
  </w:style>
  <w:style w:type="table" w:styleId="942">
    <w:name w:val="Bordered - Accent 4"/>
    <w:basedOn w:val="765"/>
    <w:next w:val="942"/>
    <w:link w:val="754"/>
    <w:uiPriority w:val="99"/>
    <w:qFormat/>
    <w:pPr>
      <w:spacing w:after="0" w:line="240" w:lineRule="auto"/>
    </w:pPr>
    <w:tblPr/>
  </w:style>
  <w:style w:type="table" w:styleId="943">
    <w:name w:val="Bordered - Accent 5"/>
    <w:basedOn w:val="765"/>
    <w:next w:val="943"/>
    <w:link w:val="754"/>
    <w:uiPriority w:val="99"/>
    <w:qFormat/>
    <w:pPr>
      <w:spacing w:after="0" w:line="240" w:lineRule="auto"/>
    </w:pPr>
    <w:tblPr/>
  </w:style>
  <w:style w:type="table" w:styleId="944">
    <w:name w:val="Bordered - Accent 6"/>
    <w:basedOn w:val="765"/>
    <w:next w:val="944"/>
    <w:link w:val="754"/>
    <w:uiPriority w:val="99"/>
    <w:qFormat/>
    <w:pPr>
      <w:spacing w:after="0" w:line="240" w:lineRule="auto"/>
    </w:pPr>
    <w:tblPr/>
  </w:style>
  <w:style w:type="paragraph" w:styleId="945">
    <w:name w:val="TOC Heading"/>
    <w:next w:val="945"/>
    <w:link w:val="754"/>
    <w:uiPriority w:val="39"/>
    <w:unhideWhenUsed/>
    <w:qFormat/>
    <w:rPr>
      <w:rFonts w:ascii="Times New Roman" w:hAnsi="Times New Roman" w:eastAsia="宋体" w:cs="Times New Roman"/>
    </w:rPr>
  </w:style>
  <w:style w:type="paragraph" w:styleId="946">
    <w:name w:val="正文（缩进）"/>
    <w:basedOn w:val="754"/>
    <w:next w:val="947"/>
    <w:link w:val="754"/>
    <w:qFormat/>
    <w:pPr>
      <w:ind w:firstLine="480"/>
    </w:pPr>
  </w:style>
  <w:style w:type="paragraph" w:styleId="947">
    <w:name w:val="Char Char Char Char Char Char Char Char Char"/>
    <w:basedOn w:val="754"/>
    <w:next w:val="948"/>
    <w:link w:val="754"/>
    <w:uiPriority w:val="99"/>
    <w:qFormat/>
    <w:pPr>
      <w:ind w:left="360" w:firstLine="5784"/>
    </w:pPr>
  </w:style>
  <w:style w:type="paragraph" w:styleId="948">
    <w:name w:val="正文文本 21"/>
    <w:basedOn w:val="754"/>
    <w:next w:val="949"/>
    <w:link w:val="754"/>
    <w:uiPriority w:val="99"/>
    <w:qFormat/>
    <w:pPr>
      <w:ind w:left="720" w:firstLine="5680"/>
      <w:widowControl/>
    </w:pPr>
  </w:style>
  <w:style w:type="paragraph" w:styleId="949">
    <w:name w:val="默认段落字体 Para Char Char Char Char Char Char Char"/>
    <w:basedOn w:val="754"/>
    <w:next w:val="950"/>
    <w:link w:val="754"/>
    <w:uiPriority w:val="99"/>
    <w:qFormat/>
    <w:pPr>
      <w:ind w:firstLine="200"/>
    </w:pPr>
    <w:rPr>
      <w:rFonts w:cs="Arial"/>
    </w:rPr>
  </w:style>
  <w:style w:type="paragraph" w:styleId="950">
    <w:name w:val="样式 首行缩进:  2 字符"/>
    <w:basedOn w:val="754"/>
    <w:next w:val="951"/>
    <w:link w:val="754"/>
    <w:uiPriority w:val="99"/>
    <w:qFormat/>
    <w:pPr>
      <w:ind w:left="480" w:firstLine="5856"/>
      <w:spacing w:line="360" w:lineRule="auto"/>
    </w:pPr>
  </w:style>
  <w:style w:type="paragraph" w:styleId="951">
    <w:name w:val="样式 段后: 0.25 行"/>
    <w:basedOn w:val="754"/>
    <w:next w:val="952"/>
    <w:link w:val="754"/>
    <w:uiPriority w:val="99"/>
    <w:qFormat/>
    <w:pPr>
      <w:ind w:left="420" w:firstLine="5796"/>
      <w:spacing w:line="300" w:lineRule="auto"/>
      <w:widowControl/>
    </w:pPr>
  </w:style>
  <w:style w:type="paragraph" w:styleId="952">
    <w:name w:val="正文 New New New New New New New New New New New New New New"/>
    <w:next w:val="797"/>
    <w:link w:val="754"/>
    <w:uiPriority w:val="99"/>
    <w:qFormat/>
    <w:pPr>
      <w:ind w:firstLine="2048"/>
      <w:jc w:val="both"/>
      <w:widowControl w:val="off"/>
    </w:pPr>
    <w:rPr>
      <w:rFonts w:ascii="Calibri" w:hAnsi="Calibri" w:eastAsia="宋体" w:cs="Times New Roman"/>
      <w:lang w:val="en-US" w:eastAsia="zh-CN" w:bidi="ar-SA"/>
    </w:rPr>
  </w:style>
  <w:style w:type="paragraph" w:styleId="953">
    <w:name w:val="正文1"/>
    <w:basedOn w:val="754"/>
    <w:next w:val="954"/>
    <w:link w:val="754"/>
    <w:qFormat/>
    <w:pPr>
      <w:jc w:val="left"/>
      <w:spacing w:line="360" w:lineRule="atLeast"/>
    </w:pPr>
    <w:rPr>
      <w:rFonts w:ascii="宋体" w:hAnsi="Calibri"/>
      <w:sz w:val="24"/>
      <w:szCs w:val="20"/>
    </w:rPr>
  </w:style>
  <w:style w:type="paragraph" w:styleId="954">
    <w:name w:val="正文文本1"/>
    <w:basedOn w:val="953"/>
    <w:next w:val="955"/>
    <w:link w:val="754"/>
    <w:qFormat/>
    <w:pPr>
      <w:spacing w:after="120"/>
    </w:pPr>
    <w:rPr>
      <w:lang w:eastAsia="en-US"/>
    </w:rPr>
  </w:style>
  <w:style w:type="paragraph" w:styleId="955">
    <w:name w:val="一级条标题"/>
    <w:basedOn w:val="956"/>
    <w:next w:val="957"/>
    <w:link w:val="7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name w:val="章标题"/>
    <w:next w:val="754"/>
    <w:link w:val="75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7">
    <w:name w:val="段"/>
    <w:basedOn w:val="953"/>
    <w:next w:val="754"/>
    <w:link w:val="754"/>
    <w:qFormat/>
    <w:pPr>
      <w:ind w:firstLine="200"/>
      <w:widowControl/>
    </w:pPr>
    <w:rPr>
      <w:sz w:val="20"/>
    </w:rPr>
  </w:style>
  <w:style w:type="paragraph" w:styleId="958">
    <w:name w:val="标题 21"/>
    <w:basedOn w:val="754"/>
    <w:next w:val="959"/>
    <w:link w:val="754"/>
    <w:uiPriority w:val="9"/>
    <w:qFormat/>
    <w:pPr>
      <w:keepLines/>
      <w:keepNext/>
      <w:spacing w:before="260" w:after="260" w:line="416" w:lineRule="auto"/>
      <w:outlineLvl w:val="1"/>
    </w:pPr>
    <w:rPr>
      <w:rFonts w:ascii="Cambria" w:hAnsi="Cambria"/>
      <w:b/>
      <w:bCs/>
      <w:sz w:val="32"/>
      <w:szCs w:val="32"/>
      <w:lang w:eastAsia="en-US"/>
    </w:rPr>
  </w:style>
  <w:style w:type="paragraph" w:styleId="959">
    <w:name w:val="正文缩进1"/>
    <w:basedOn w:val="754"/>
    <w:next w:val="959"/>
    <w:link w:val="754"/>
    <w:unhideWhenUsed/>
    <w:qFormat/>
    <w:pPr>
      <w:ind w:firstLine="420"/>
    </w:pPr>
    <w:rPr>
      <w:rFonts w:ascii="Calibri" w:hAnsi="Calibri"/>
    </w:rPr>
  </w:style>
  <w:style w:type="paragraph" w:styleId="960">
    <w:name w:val="纯文本1"/>
    <w:basedOn w:val="754"/>
    <w:next w:val="960"/>
    <w:link w:val="754"/>
    <w:uiPriority w:val="99"/>
    <w:unhideWhenUsed/>
    <w:qFormat/>
    <w:rPr>
      <w:rFonts w:ascii="宋体" w:hAnsi="Courier New"/>
      <w:sz w:val="20"/>
      <w:szCs w:val="20"/>
      <w:lang w:eastAsia="en-US"/>
    </w:rPr>
  </w:style>
  <w:style w:type="paragraph" w:styleId="961">
    <w:name w:val="纯文本11"/>
    <w:basedOn w:val="953"/>
    <w:next w:val="961"/>
    <w:link w:val="754"/>
    <w:qFormat/>
    <w:rPr>
      <w:rFonts w:hAnsi="Courier New"/>
      <w:sz w:val="20"/>
      <w:szCs w:val="21"/>
    </w:rPr>
  </w:style>
  <w:style w:type="paragraph" w:styleId="962">
    <w:name w:val="普通正文"/>
    <w:basedOn w:val="754"/>
    <w:next w:val="962"/>
    <w:link w:val="754"/>
    <w:qFormat/>
    <w:pPr>
      <w:ind w:firstLine="480"/>
      <w:jc w:val="left"/>
      <w:spacing w:before="120" w:after="120" w:line="360" w:lineRule="auto"/>
    </w:pPr>
    <w:rPr>
      <w:rFonts w:ascii="Arial" w:hAnsi="Arial"/>
      <w:sz w:val="24"/>
      <w:szCs w:val="24"/>
    </w:rPr>
  </w:style>
  <w:style w:type="paragraph" w:styleId="963">
    <w:name w:val="Char"/>
    <w:basedOn w:val="754"/>
    <w:next w:val="963"/>
    <w:link w:val="754"/>
    <w:qFormat/>
    <w:pPr>
      <w:ind w:firstLine="200"/>
      <w:tabs>
        <w:tab w:val="left" w:pos="360" w:leader="none"/>
      </w:tabs>
    </w:pPr>
    <w:rPr>
      <w:sz w:val="28"/>
      <w:szCs w:val="30"/>
    </w:rPr>
  </w:style>
  <w:style w:type="paragraph" w:styleId="964">
    <w:name w:val="普通(网站)1"/>
    <w:basedOn w:val="754"/>
    <w:next w:val="964"/>
    <w:link w:val="754"/>
    <w:unhideWhenUsed/>
    <w:qFormat/>
    <w:pPr>
      <w:jc w:val="left"/>
    </w:pPr>
    <w:rPr>
      <w:rFonts w:ascii="Calibri" w:hAnsi="Calibri"/>
      <w:sz w:val="24"/>
      <w:szCs w:val="24"/>
    </w:rPr>
  </w:style>
  <w:style w:type="character" w:styleId="965">
    <w:name w:val="要点1"/>
    <w:next w:val="965"/>
    <w:link w:val="754"/>
    <w:qFormat/>
    <w:rPr>
      <w:rFonts w:ascii="Times New Roman" w:hAnsi="Times New Roman" w:eastAsia="宋体" w:cs="Times New Roman"/>
      <w:sz w:val="21"/>
      <w:szCs w:val="22"/>
      <w:lang w:val="en-US" w:eastAsia="zh-CN" w:bidi="ar-SA"/>
    </w:rPr>
  </w:style>
  <w:style w:type="paragraph" w:styleId="966">
    <w:name w:val="页脚1"/>
    <w:basedOn w:val="754"/>
    <w:next w:val="966"/>
    <w:link w:val="754"/>
    <w:uiPriority w:val="99"/>
    <w:unhideWhenUsed/>
    <w:qFormat/>
    <w:pPr>
      <w:jc w:val="left"/>
      <w:tabs>
        <w:tab w:val="center" w:pos="4153" w:leader="none"/>
        <w:tab w:val="right" w:pos="8306" w:leader="none"/>
      </w:tabs>
    </w:pPr>
    <w:rPr>
      <w:sz w:val="18"/>
      <w:szCs w:val="18"/>
      <w:lang w:eastAsia="en-US"/>
    </w:rPr>
  </w:style>
  <w:style w:type="paragraph" w:styleId="967">
    <w:name w:val="国空标书二级标题"/>
    <w:basedOn w:val="754"/>
    <w:next w:val="967"/>
    <w:link w:val="754"/>
    <w:qFormat/>
    <w:pPr>
      <w:ind w:firstLine="422"/>
      <w:spacing w:line="360" w:lineRule="auto"/>
      <w:outlineLvl w:val="0"/>
    </w:pPr>
    <w:rPr>
      <w:rFonts w:ascii="宋体" w:hAnsi="宋体" w:cs="黑体"/>
      <w:b/>
      <w:szCs w:val="21"/>
    </w:rPr>
  </w:style>
  <w:style w:type="paragraph" w:styleId="968">
    <w:name w:val="正文首行缩进1"/>
    <w:basedOn w:val="954"/>
    <w:next w:val="968"/>
    <w:link w:val="754"/>
    <w:uiPriority w:val="99"/>
    <w:unhideWhenUsed/>
    <w:qFormat/>
    <w:pPr>
      <w:ind w:firstLine="420"/>
    </w:pPr>
  </w:style>
  <w:style w:type="paragraph" w:styleId="969">
    <w:name w:val="Table Paragraph"/>
    <w:basedOn w:val="754"/>
    <w:next w:val="969"/>
    <w:link w:val="754"/>
    <w:uiPriority w:val="1"/>
    <w:qFormat/>
  </w:style>
  <w:style w:type="character" w:styleId="970">
    <w:name w:val="font41"/>
    <w:basedOn w:val="764"/>
    <w:next w:val="970"/>
    <w:link w:val="754"/>
    <w:qFormat/>
    <w:rPr>
      <w:rFonts w:hint="eastAsia" w:ascii="宋体" w:hAnsi="宋体" w:eastAsia="宋体" w:cs="宋体"/>
      <w:color w:val="000000"/>
      <w:sz w:val="24"/>
      <w:szCs w:val="24"/>
      <w:u w:val="none"/>
    </w:rPr>
  </w:style>
  <w:style w:type="character" w:styleId="971">
    <w:name w:val="font11"/>
    <w:basedOn w:val="764"/>
    <w:next w:val="971"/>
    <w:link w:val="754"/>
    <w:rPr>
      <w:rFonts w:hint="eastAsia" w:ascii="宋体" w:hAnsi="宋体" w:eastAsia="宋体" w:cs="宋体"/>
      <w:color w:val="000000"/>
      <w:sz w:val="20"/>
      <w:szCs w:val="20"/>
      <w:u w:val="none"/>
    </w:rPr>
  </w:style>
  <w:style w:type="character" w:styleId="972">
    <w:name w:val="font112"/>
    <w:basedOn w:val="764"/>
    <w:next w:val="972"/>
    <w:link w:val="754"/>
    <w:qFormat/>
    <w:rPr>
      <w:rFonts w:hint="eastAsia" w:ascii="宋体" w:hAnsi="宋体" w:eastAsia="宋体" w:cs="宋体"/>
      <w:color w:val="000000"/>
      <w:sz w:val="20"/>
      <w:szCs w:val="20"/>
      <w:u w:val="none"/>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刘平</cp:lastModifiedBy>
  <cp:revision>18</cp:revision>
  <dcterms:created xsi:type="dcterms:W3CDTF">2021-12-31T08:04:00Z</dcterms:created>
  <dcterms:modified xsi:type="dcterms:W3CDTF">2026-10-15T07:57:01Z</dcterms:modified>
</cp:coreProperties>
</file>