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南京市第二医院班车租赁服务</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项目编号：JSZC-320100-JTGS-G2026-0054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南京市第二医院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江苏骏通建设项目管理咨询有限公司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2026年11月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510447926" w:history="1">
        <w:r>
          <w:rPr>
            <w:rStyle w:val="814"/>
            <w:rFonts w:ascii="SimSun" w:hAnsi="SimSun" w:eastAsia="SimSun" w:cs="SimSun"/>
            <w:color w:val="0000ee"/>
            <w:sz w:val="32"/>
            <w:u w:val="single"/>
          </w:rPr>
          <w:t xml:space="preserve">第一章</w:t>
        </w:r>
        <w:r>
          <w:rPr>
            <w:rStyle w:val="814"/>
            <w:rFonts w:ascii="SimSun" w:hAnsi="SimSun" w:eastAsia="SimSun" w:cs="SimSun"/>
            <w:color w:val="0000ee"/>
            <w:sz w:val="32"/>
            <w:u w:val="none"/>
          </w:rPr>
          <w:t xml:space="preserve"> </w:t>
        </w:r>
        <w:r>
          <w:rPr>
            <w:rStyle w:val="814"/>
            <w:rFonts w:ascii="SimSun" w:hAnsi="SimSun" w:eastAsia="SimSun" w:cs="SimSun"/>
            <w:color w:val="0000ee"/>
            <w:sz w:val="32"/>
            <w:u w:val="single"/>
          </w:rPr>
          <w:t xml:space="preserve">招标公告</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510447927" w:history="1">
        <w:r>
          <w:rPr>
            <w:rStyle w:val="814"/>
            <w:rFonts w:ascii="SimSun" w:hAnsi="SimSun" w:eastAsia="SimSun" w:cs="SimSun"/>
            <w:color w:val="0000ee"/>
            <w:sz w:val="32"/>
            <w:u w:val="single"/>
          </w:rPr>
          <w:t xml:space="preserve">第二章</w:t>
        </w:r>
        <w:r>
          <w:rPr>
            <w:rStyle w:val="814"/>
            <w:rFonts w:ascii="SimSun" w:hAnsi="SimSun" w:eastAsia="SimSun" w:cs="SimSun"/>
            <w:color w:val="0000ee"/>
            <w:sz w:val="32"/>
            <w:u w:val="none"/>
          </w:rPr>
          <w:t xml:space="preserve"> </w:t>
        </w:r>
        <w:r>
          <w:rPr>
            <w:rStyle w:val="814"/>
            <w:rFonts w:ascii="SimSun" w:hAnsi="SimSun" w:eastAsia="SimSun" w:cs="SimSun"/>
            <w:color w:val="0000ee"/>
            <w:sz w:val="32"/>
            <w:u w:val="single"/>
          </w:rPr>
          <w:t xml:space="preserve">供应商须知</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510447928" w:history="1">
        <w:r>
          <w:rPr>
            <w:rStyle w:val="814"/>
            <w:rFonts w:ascii="SimSun" w:hAnsi="SimSun" w:eastAsia="SimSun" w:cs="SimSun"/>
            <w:color w:val="0000ee"/>
            <w:sz w:val="32"/>
            <w:u w:val="single"/>
          </w:rPr>
          <w:t xml:space="preserve">第三章</w:t>
        </w:r>
        <w:r>
          <w:rPr>
            <w:rStyle w:val="814"/>
            <w:rFonts w:ascii="SimSun" w:hAnsi="SimSun" w:eastAsia="SimSun" w:cs="SimSun"/>
            <w:color w:val="0000ee"/>
            <w:sz w:val="32"/>
            <w:u w:val="none"/>
          </w:rPr>
          <w:t xml:space="preserve"> </w:t>
        </w:r>
        <w:r>
          <w:rPr>
            <w:rStyle w:val="814"/>
            <w:rFonts w:ascii="SimSun" w:hAnsi="SimSun" w:eastAsia="SimSun" w:cs="SimSun"/>
            <w:color w:val="0000ee"/>
            <w:sz w:val="32"/>
            <w:u w:val="single"/>
          </w:rPr>
          <w:t xml:space="preserve">合同主要条款及格式</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510447929" w:history="1">
        <w:r>
          <w:rPr>
            <w:rStyle w:val="814"/>
            <w:rFonts w:ascii="SimSun" w:hAnsi="SimSun" w:eastAsia="SimSun" w:cs="SimSun"/>
            <w:color w:val="0000ee"/>
            <w:sz w:val="32"/>
            <w:u w:val="single"/>
          </w:rPr>
          <w:t xml:space="preserve">第四章</w:t>
        </w:r>
        <w:r>
          <w:rPr>
            <w:rStyle w:val="814"/>
            <w:rFonts w:ascii="SimSun" w:hAnsi="SimSun" w:eastAsia="SimSun" w:cs="SimSun"/>
            <w:color w:val="0000ee"/>
            <w:sz w:val="32"/>
            <w:u w:val="none"/>
          </w:rPr>
          <w:t xml:space="preserve"> </w:t>
        </w:r>
        <w:r>
          <w:rPr>
            <w:rStyle w:val="814"/>
            <w:rFonts w:ascii="SimSun" w:hAnsi="SimSun" w:eastAsia="SimSun" w:cs="SimSun"/>
            <w:color w:val="0000ee"/>
            <w:sz w:val="32"/>
            <w:u w:val="single"/>
          </w:rPr>
          <w:t xml:space="preserve">采购需求</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510447930" w:history="1">
        <w:r>
          <w:rPr>
            <w:rStyle w:val="814"/>
            <w:rFonts w:ascii="SimSun" w:hAnsi="SimSun" w:eastAsia="SimSun" w:cs="SimSun"/>
            <w:color w:val="0000ee"/>
            <w:sz w:val="32"/>
            <w:u w:val="single"/>
          </w:rPr>
          <w:t xml:space="preserve">第五章</w:t>
        </w:r>
        <w:r>
          <w:rPr>
            <w:rStyle w:val="814"/>
            <w:rFonts w:ascii="SimSun" w:hAnsi="SimSun" w:eastAsia="SimSun" w:cs="SimSun"/>
            <w:color w:val="0000ee"/>
            <w:sz w:val="32"/>
            <w:u w:val="none"/>
          </w:rPr>
          <w:t xml:space="preserve"> </w:t>
        </w:r>
      </w:hyperlink>
      <w:r>
        <w:rPr>
          <w:rFonts w:ascii="SimSun" w:hAnsi="SimSun" w:eastAsia="SimSun" w:cs="SimSun"/>
          <w:color w:val="000000"/>
          <w:sz w:val="32"/>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510447931" w:history="1">
        <w:r>
          <w:rPr>
            <w:rStyle w:val="814"/>
            <w:rFonts w:ascii="SimSun" w:hAnsi="SimSun" w:eastAsia="SimSun" w:cs="SimSun"/>
            <w:color w:val="0000ee"/>
            <w:sz w:val="32"/>
            <w:u w:val="single"/>
          </w:rPr>
          <w:t xml:space="preserve">第六章</w:t>
        </w:r>
        <w:r>
          <w:rPr>
            <w:rStyle w:val="814"/>
            <w:rFonts w:ascii="SimSun" w:hAnsi="SimSun" w:eastAsia="SimSun" w:cs="SimSun"/>
            <w:color w:val="0000ee"/>
            <w:sz w:val="32"/>
            <w:u w:val="none"/>
          </w:rPr>
          <w:t xml:space="preserve"> </w:t>
        </w:r>
        <w:r>
          <w:rPr>
            <w:rStyle w:val="814"/>
            <w:rFonts w:ascii="SimSun" w:hAnsi="SimSun" w:eastAsia="SimSun" w:cs="SimSun"/>
            <w:color w:val="0000ee"/>
            <w:sz w:val="32"/>
            <w:u w:val="single"/>
          </w:rPr>
          <w:t xml:space="preserve">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招标公告</w:t>
      </w:r>
      <w:r/>
    </w:p>
    <w:p>
      <w:pPr>
        <w:ind w:left="0" w:right="0" w:firstLine="0"/>
        <w:spacing w:before="75" w:after="7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项目概况</w:t>
      </w:r>
      <w:r/>
    </w:p>
    <w:p>
      <w:pPr>
        <w:ind w:left="0" w:right="0" w:firstLine="0"/>
        <w:spacing w:before="75" w:after="7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南京市第二医院班车租赁服务的潜在供应商应在江苏政府采购网 (ccgp-jiangsu.gov.cn)获取采购文件，并于2026年11月25日14点30分（北京时间）前提交响应文件。</w:t>
      </w:r>
      <w:r/>
    </w:p>
    <w:p>
      <w:pPr>
        <w:ind w:left="0" w:right="0" w:firstLine="0"/>
        <w:spacing w:before="75" w:after="7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一、项目基本情况</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项目编号：JSZC-320100-JTGS-G2026-0054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项目名称：南京市第二医院班车租赁服务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预算金额：300万元</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最高限价：300万元（投标报价超过最高限价作无效标处理）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采购需求：南京市第二医院班车租赁服务，详细要求见招标文件第四章。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SimSun" w:hAnsi="SimSun" w:eastAsia="SimSun" w:cs="SimSun"/>
          <w:color w:val="000000"/>
          <w:sz w:val="21"/>
          <w:u w:val="single"/>
        </w:rPr>
        <w:t xml:space="preserve">1</w:t>
      </w:r>
      <w:r>
        <w:rPr>
          <w:rFonts w:ascii="SimSun" w:hAnsi="SimSun" w:eastAsia="SimSun" w:cs="SimSun"/>
          <w:color w:val="000000"/>
          <w:sz w:val="21"/>
        </w:rPr>
        <w:t xml:space="preserve">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项目规模：南京市第二医院一院两地，钟阜路本部及汤山分院，本部距汤山分院30km，公共交通不便，为促进两院共同发展，方便职工上下班，需班车往返（详细内容见本招标文件第四章）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color w:val="000000"/>
          <w:sz w:val="21"/>
          <w:u w:val="single"/>
        </w:rPr>
        <w:t xml:space="preserve"> 否 </w:t>
      </w:r>
      <w:r>
        <w:rPr>
          <w:rFonts w:ascii="SimSun" w:hAnsi="SimSun" w:eastAsia="SimSun" w:cs="SimSun"/>
          <w:color w:val="000000"/>
          <w:sz w:val="21"/>
        </w:rPr>
        <w:t xml:space="preserve">（是/否）接受联合体投标。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二、申请人的资格要求：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1、满足《中华人民共和国政府采购法》第二十二条的相关规定：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（2）具有良好的商业信誉和健全的财务会计制度（提供参加本次政府采购活动前的财务状况报告，法人或者其他组织成立未满一年的可以不提供）；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（3）具有履行合同所必需的设备和专业技术能力（据项目需求提供履行合同所必需的设备和专业技术能力的声明及证明材料）；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（4）有依法缴纳税收和社会保障资金的良好记录（提供参加本次采购活动前依法缴纳税收和社会保障资金的相关材料）；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（5）参加本次采购活动前三年内，在经营活动中没有重大违法或不良征信记录（提供参加本次采购活动前三年内在经营活动中没有重大违法记录的书面声明）。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在政府采购资格审查环节，供应商只需提供书面《南京市政府采购供应商信用承诺书》，</w:t>
      </w:r>
      <w:r>
        <w:rPr>
          <w:rFonts w:ascii="SimSun" w:hAnsi="SimSun" w:eastAsia="SimSun" w:cs="SimSun"/>
          <w:b/>
          <w:color w:val="000000"/>
          <w:sz w:val="21"/>
        </w:rPr>
        <w:t xml:space="preserve">（详见附件）</w:t>
      </w:r>
      <w:r>
        <w:rPr>
          <w:rFonts w:ascii="SimSun" w:hAnsi="SimSun" w:eastAsia="SimSun" w:cs="SimSun"/>
          <w:color w:val="000000"/>
          <w:sz w:val="21"/>
        </w:rPr>
        <w:t xml:space="preserve">，</w:t>
      </w:r>
      <w:r>
        <w:rPr>
          <w:rFonts w:ascii="SimSun" w:hAnsi="SimSun" w:eastAsia="SimSun" w:cs="SimSun"/>
          <w:b/>
          <w:color w:val="000000"/>
          <w:sz w:val="21"/>
        </w:rPr>
        <w:t xml:space="preserve">由法定代表人签字并盖单位公章，随投标文件一并递交。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即可替代以下证明材料：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（1）符合国家相关规定的财务状况报告；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（2）依法缴纳税收的证明材料；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（3）依法缴纳社会保障资金的证明材料；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2、落实政府采购政策需满足的资格要求：供应商如为中小微企业、监狱企业、残疾人福利性单位、节能环保产品须提供相关证明材料。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投标人须具有有效期内中华人民共和国道路运输经营许可证，且道路运输经营许可证经营范围须包含市区包车客运或旅游客运（提供证书原件扫描件，并加盖投标人公章）。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三、获取招标文件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时间：2026年11月4日至2026年11月13日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潜在供应商登录江苏省政府采购管理交易系统（苏采云）（以下简称“苏采云”）下载。首次登录“苏采云”系统的新用户，登录网址后，点击“用户注册”--“新CA办理指南”--获取CA后绑定、登录系统--采购项目参与--下载采购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招标文件售价：0元。</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四、提交投标文件截止时间、开标时间和地点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投标截止时间及开标时间：2026年11月25日14点30分（北京时间）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提交地点：江苏省政府采购管理交易系统（苏采云）（以下简称“苏采云”）（网址： </w:t>
      </w:r>
      <w:hyperlink r:id="rId15" w:tooltip="http://jszfcg.jsczt.cn/%EF%BC%89" w:history="1">
        <w:r>
          <w:rPr>
            <w:rStyle w:val="814"/>
            <w:rFonts w:ascii="SimSun" w:hAnsi="SimSun" w:eastAsia="SimSun" w:cs="SimSun"/>
            <w:color w:val="0000ee"/>
            <w:sz w:val="18"/>
            <w:u w:val="single"/>
          </w:rPr>
          <w:t xml:space="preserve">http://jszfcg.jsczt.cn/）</w:t>
        </w:r>
      </w:hyperlink>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开标地点：“苏采云”政府采购交易系统网上开标大厅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五、公告期限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六、其他补充事宜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（2）凡为采购项目提供整体设计、规范编制或者项目管理、检测等服务的供应商，不得再参加本项目的采购活动。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集中勘察现场和答疑：本次采购不组织集中勘察现场。供应商如对采购需求有疑问请与采购联系人沟通。在递交响应文件截止时间3日前，代理机构将磋商文件澄清或者修改的内容（如有）发放供应商，供应商如对本项目有疑问也应在此时间内向代理机构递交提疑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3.响应文件份数：本项目采用苏采云系统电子投标。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关于在政府采购活动中推行信用承诺制的通知》宁财购通〔2021〕5号规定，参加南京地区采购活动的供应商，应以书面形式向采购人或政府采购代理机构作出信用承诺。《南京市政府采购供应商信用承诺书》（详见附件），由法定代表人签字并盖单位公章，随投标文件一并递交。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5.是否接受进口产品：否。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6.本项目不收取投标保证金。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7.潜在供应商访问政府采购管理交易系统（苏采云）的网络地址和方法：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（8）“苏采云”南京地区客服热线025-83633744、025-83633743。</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八、凡对本次采购提出询问，请按以下方式联系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名称：南京市第二医院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地址：南京市鼓楼区钟阜路1号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联系人：秦老师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联系电话：025-85091725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名称：江苏骏通建设项目管理咨询有限公司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地址：南京市鼓楼区中山北路346号老学堂创意园58号楼9楼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联系人：李工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电话：13914798840</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项目联系人：李工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电话：13914798840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供应商须知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1.招标方式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本次招标采取公开招标方式，本文件仅适用于招标公告中所述项目。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2.合格的投标人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满足招标公告对供应商资格要求的规定。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满足招标文件规定的实质性要求和条件。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投标人应自行承担所有与参加投标有关的费用，无论投标过程中的做法和结果如何，采购人或者采购代理机构在任何情况下均无义务和责任承担这些费用。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本次招标采购代理机构和采购人不收取标书工本费。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本次招标，招标代理服务费按《招标代理服务收费管理暂行办法》(计价格[2002]1980号)”收费标准计取。相应费用包含在投标报价中，供应商自行考虑，无需单列。</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5.招标文件的约束力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投标人一旦参加本项目采购活动，即被认为接受了本文件的规定和约束。</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二、招标文件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6.招标文件构成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投标人应仔细检查招标文件是否齐全，如有缺漏请立即与采购代理机构联系。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7.招标文件的澄清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任何要求对招标文件进行澄清的投标人，应在投标截止期十日前按招标公告中的通讯地址，以书面形式通知采购代理机构。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8.招标文件的修改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在投标截止时间前，采购人或者采购代理机构可以对招标文件进行修改。招标文件的修改将在原公告媒体发布更正公告，更正内容将作为招标文件的组成部分，并对投标人具有约束力。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采购人或者采购代理机构有权按照法定的要求推迟投标截止日期和开标日期，并在原公告媒体发布更正公告。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9.投标文件的语言及度量衡单位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投标人提交的投标文件以及投标人与采购代理机构就有关投标的所有来往通知、函件和文件均应使用简体中文。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11.证明投标人及投标标的符合招标文件规定的文件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12.投标分项报价表（如有）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投标文件中的单价和总价无特殊规定的采用人民币报价，以元为单位标注。招标文件另有规定的按规定执行。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13.响应及偏离表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14.投标函和开标一览表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对于采用货币报价的项目，开标一览表中的投标总报价应与投标分项报价表中的投标总报价一致，如不一致评标时以开标一览表中价格为准。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15.投标有效期</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16.投标有效期的延长</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采购人或者采购代理机构于原投标有效期满之前，可向投标人提出延长投标有效期的要求。这种要求与答复均应采用书面形式。投标人可以拒绝采购人或者采购代理机构的这一要求而放弃投标。同意延长投标有效期的投标人既不能要求也不允许修改其投标文件，同时受投标有效期约束的所有权利与义务均延长至新的有效期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四、投标文件的递交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17.投标文件的递交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采购人或者采购代理机构可以按照规定，通过修改招标文件酌情延长投标截止时间，在此情况下，投标人的所有权利和义务均以延长后新的截止时间为准。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18.投标文件的拒收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投标截止时间后上传的任何投标文件将被拒绝。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19.投标文件的撤回和修改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五、开标与评标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20.开标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21.评标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评标由依法组建的评标委员会（以下简称“评委会”）进行。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评委会由采购人代表和有关技术、经济或法律等方面的专家组成，且人员构成符合政府采购有关规定。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22.评标过程的保密与公正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凡是与审查、澄清、评价和比较投标的有关资料以及授标建议等，采购人、评委、采购代理机构均不得向投标人或与评标无关的其他人员透露。</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采购人或者采购代理机构和评委会不向未中标的投标人解释未中标原因，也不公布评标过程中的相关细节。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23.投标文件的澄清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24.投标文件的审查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未通过资格审查或符合性审查的投标人，采购人或者采购代理机构将通过苏采云系统告知其具体原因，评标结束后不再接受有关询问。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 投标人在开、评标全过程中应保持通讯畅通，及时登录苏采云系统查阅、答复相关信息，并安排专人与采购代理机构及评委会联系。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24.7评标过程中出现下列情形之一的，评委会应当启动异常低价投标审查程序：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（1）投标报价低于全部通过符合性审查供应商投标报价平均值50%的，即投标报价&lt;全部通过符合性审查供应商投标报价平均值×50%；</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（2）投标报价低于通过符合性审查的次低报价供应商投标报价50%的，即投标报价&lt;通过符合性审查的次低报价供应商投标报价×50%；</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（3）投标报价低于采购项目最高限价45%的，即投标报价&lt;采购项目最高限价×45%；</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（4）评委会基于专业判断，认为供应商报价过低，有可能影响产品质量或者不能诚信履约的其他情形。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25.无效投标和废标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无效投标情形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投标人不具备招标文件中规定资格要求。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不符合招标文件中实质性要求和条件（本文件中斜体且有下划线部分，或者打“★”内容为实质性要求和条件）。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符合资格条件的供应商或者对招标文件作实质响应的供应商不足三家。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六、定标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26.确定中标单位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采购代理机构将在“江苏政府采购网”发布中标公告，公告期限为1个工作日。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若有充分证据证明中标人有下列情况之一的，一经查实将被取消中标资格：</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向评审专家、采购人或采购代理机构工作人员行贿或者提供其他不正当利益。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与其他供应商、评审专家、采购人或采购代理机构工作人员恶意串通。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属于本文件规定的无效投标情形，但在评标过程中未被评委会发现。</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有下列情形之一的视为投标人串通投标，投标无效：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27.中标通知书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 中标结果确定后，采购人将向中标人发出《中标通知书》。中标人可在中标结果公告届满之日起三十日内，登录苏采云系统下载。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七、授予合同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28.签订合同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29.标的物的追加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30.政府采购履约资金扶持政策</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中标供应商可通过南京市公共资源交易平台网站“小企业融资平台”，选择相应的金融机构办理融资贷款。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采购人或采购代理机构提出质疑。上述应知其权益受到损害之日是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34.供应商提出质疑应提交《质疑函》原件，且尽可能通过邮寄方式送达，采购代理机构和采购人不接受无运单的快件。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35.供应商（含潜在供应商）对采购方式、采购需求、供应商资格条件及审查结果、评标方法和评标标准、合同文本的询问、质疑向采购人提出，由采购代理机构负责答复。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未参加采购活动或在采购活动中自身权益未受到损害的供应商所提出的质疑。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供应商组成联合体参加采购活动，联合体中任何一方或多方未按要求签字或签章、加盖公章的质疑。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38.促进中小企业发展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本项目服务由中小企业承接的，投标供应商享受中小企业扶持政策。</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中小企业参加政府采购活动，应当出具《中小企业声明函》，否则不享受相关中小企业支持政策。对于非专门面向中小企业的项目，</w:t>
      </w:r>
      <w:r>
        <w:rPr>
          <w:rFonts w:ascii="SimSun" w:hAnsi="SimSun" w:eastAsia="SimSun" w:cs="SimSun"/>
          <w:b/>
          <w:color w:val="000000"/>
          <w:sz w:val="21"/>
        </w:rPr>
        <w:t xml:space="preserve">对小型和微型企业产品的价格给予10%的扣除</w:t>
      </w:r>
      <w:r>
        <w:rPr>
          <w:rFonts w:ascii="SimSun" w:hAnsi="SimSun" w:eastAsia="SimSun" w:cs="SimSun"/>
          <w:color w:val="000000"/>
          <w:sz w:val="21"/>
        </w:rPr>
        <w:t xml:space="preserve">，用扣除后的价格参与评审。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jc w:val="center"/>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第三章</w:t>
      </w:r>
      <w:r>
        <w:rPr>
          <w:rFonts w:ascii="SimSun" w:hAnsi="SimSun" w:eastAsia="SimSun" w:cs="SimSun"/>
          <w:b/>
          <w:color w:val="000000"/>
          <w:sz w:val="44"/>
        </w:rPr>
        <w:t xml:space="preserve">合同主要条款及格式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南京市第二医院班车租赁合同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甲方(承租方)：南京市第二医院</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乙方(出租方)：</w:t>
      </w:r>
      <w:r/>
    </w:p>
    <w:p>
      <w:pPr>
        <w:ind w:left="0" w:right="0" w:firstLine="48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根据《中华人民共和国民法典》等相关法律法规的规定，遵循平等、自愿、公平和诚实信用原则，双方就本车辆租赁事项协商一致，订立本合同。</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甲方的权利和义务</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甲方向乙方提供行之有效的“班车承运时间、线路、站点表”。如需增加服务车辆或调整服务时间、线路、站点时必须提前一天通知乙方。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2、甲方员工必须遵守乙方的安全乘车规定及爱护乙方车辆设备，人为损坏照价赔偿。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3、甲方不得要求乙方违章驾车或在不准停靠车辆的路段上下客。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4、甲方应按合同要求按时向乙方支付租车款，提供班车线路明细。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5、甲方有权定期检查乙方车辆的卫生及安全可靠性，如：刹车、方向、轮胎、灯光等，乙方对甲方提出的意见须认真整改并通报相关整改情况。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6、甲方对乙方所承运的甲方线路的车辆以及司机的情况有知情权。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二、乙方的权利和义务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1、乙方必须具备国家认可的企业法人营业执照、税务登记证、组织机构代码证、道路运输经营许可证等证件。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2、承运车辆必须符合中华人民共和国的有关营运车辆行驶安全标准，车辆的各项技术状况良好，各种证照及规费缴讫证齐全，外观颜色、企业标识清楚一致。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3、乙方须提供具有服务经验、道德品质良好且无任何犯罪记录的驾驶员为甲方服务，并提供驾驶员身份证及机动车驾驶证复印件给甲方备案，乙方有责任督促驾驶员做好安全行车和治安防范工作。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提供车辆需为营运性质车辆，车辆归属为乙方所有，不接受挂靠性质车辆。车辆为新车或为2023年后购置（行驶里程6万公里内），且车况良好，旧车需经院方验车通过，并安装监控（可追查半个月内容），空调设备良好。车辆外表需及时清洗，保证车辆外表干净无破损不沾有污泥，车内卫生干净整洁，座椅干净无灰尘所有座椅套保证每月至少清洗消毒一次，车厢内无异味，无废气泄漏、雨天无漏水，车内设备完好，必须定期进行车辆消毒及座椅套更换。甲方将定期检查车辆整体情况及车内外卫生状况，如发现未按照合同要求，甲方有权进行处罚，具体见附件</w:t>
      </w:r>
      <w:r>
        <w:rPr>
          <w:rFonts w:ascii="SimSun" w:hAnsi="SimSun" w:eastAsia="SimSun" w:cs="SimSun"/>
          <w:color w:val="000000"/>
          <w:sz w:val="21"/>
        </w:rPr>
        <w:t xml:space="preserve">考核表。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5、乙方在承运期间不得随意更换车型或转租他方车辆代替，如更换车辆或转租第三方车辆代替必须经甲方认可否则甲方不承担这些车辆的承运费，由此造成的相关损失由乙方全部承担。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6、乙方不得将本项目车辆用于本项目外的其他事由使用。如发现违反此项要求，甲方有权对乙方进行处罚或解除合同。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7、乙方需严格按照投标时承诺的所有车辆投入营运所需时间执行，若未按承诺执行的，甲方有权对乙方进行处罚或解除合同。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运车辆必须按机动车辆行驶证上核定的载客人数参加车辆保险，并严格依照中华人民共和国有关保险条例执行；不得使用无“乘客意外伤害保险”的或法律法规规定的其它险种的车辆以及证照不齐全的车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必须根据甲方需求采取定线定车定人、专项服务方式实行日常承运服务；在接到甲方有关班车调度、服务质量的投诉后15分钟内给予明确答复。对于重大投诉应及时给出书面改正意见或致歉书，若对甲方投诉未及时正确处理和解决达两次以上甲方有权做出相应处罚，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于因车况(空调、安全性、卫生等)原因连续投诉同一车辆两次的，乙方应更换车辆。乙方驾驶员本着服务的宗旨禁止与员工争吵、打架，情节严重者，甲方有权减少乙方承运的线路或解除合同。同一驾驶员一个月内被员工投诉两次或三位员工同时投诉的乙方应更换司机。如被投诉车辆得不到明显改善或车况达不到合同承诺标准以及不更换甲方不认可的驾驶员，甲方有权对乙方进行处罚或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11、乙方应指派专人负责甲方班车服务的有关联络事宜，负责处理和协调甲方现场事宜，服从甲方班车管理员的管理。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12、乙方应保证承运车辆正确摆放标识牌；按照甲方提供的班车承运时间、线路、站点，安全、准时运行班车，沿途站点到站时间较准确。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13、乙方承运车辆驾驶员必须经过专业化培训，并持有A类驾照驾驶经验，文明服务；严禁酒后驾车、疲劳驾车等，严格遵守&lt;&lt;中华人民共和国道路交通安全法&gt;&gt;等法律、法规做到安全行车。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驾驶员必须统一着装，严禁在车辆行驶时抽烟、接打电话等影响车辆行驶安全的行为。严格认真检查乘车人员的乘车证或工作证，无甲方乘车证或工作证的人员一律拒绝乘车；乙方驾驶员在承运期间须保证通勤班车准时准点，并严格按照规定的线路、站点行驶停靠，不得溜站、拒载、少载、混载(非甲方员工及其货物)、串线、不按站中途停车、未接甲方通知的情况下私自改变行车路线等。如发现有以上行为，甲方有权进行处罚，视情节轻重处罚金额为1000-5000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15、除租车费外，承运车辆的一切费用（包括司乘等服务人员的薪资（含周六、周日、节假日等情况下的加班工资、奖金）、福利、社会保险及燃油费、车辆维护、保养和修理费用等）均由乙方负责。</w:t>
      </w:r>
      <w:r/>
    </w:p>
    <w:p>
      <w:pPr>
        <w:ind w:left="0" w:right="0" w:firstLine="0"/>
        <w:jc w:val="both"/>
        <w:spacing w:before="0" w:after="0" w:line="85" w:lineRule="atLeast"/>
        <w:shd w:val="clear" w:color="ffffff" w:fill="ffffff"/>
        <w:tabs>
          <w:tab w:val="left" w:pos="43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16、乙方司乘等服务人员在承运期间发生的工伤、工亡事故，由乙方承担并按国家法律规定处理。</w:t>
      </w:r>
      <w:r/>
    </w:p>
    <w:p>
      <w:pPr>
        <w:ind w:left="0" w:right="0" w:firstLine="0"/>
        <w:jc w:val="both"/>
        <w:spacing w:before="0" w:after="0" w:line="85" w:lineRule="atLeast"/>
        <w:shd w:val="clear" w:color="ffffff" w:fill="ffffff"/>
        <w:tabs>
          <w:tab w:val="left" w:pos="43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17、乙方司乘等服务人员的薪资（含加班工资、奖金）、福利、社会保险等待遇由乙方按照国家相关政策提供，对乙方司乘等服务人员出现的劳动纠纷等及所产生的一切费用均有乙方负责，与甲方无关。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乙方必须确保行车安全，按照国家规定购买车辆保险及乘坐人员座位险，所投险种为：A:三责险（100万）B:车损险C:不计免赔险D:座位险（50万）E:交通事故强制责任险，运行过程中如发生意外交通事故，应及时向公安交管及保险部门报案，如造成甲方乘车人员伤亡等，应积极将伤者送往医院及时治疗。事故均由乙方负责处理，并承担相关赔偿责任和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19、乙方承运车辆应做到比发车时间早30分钟到达指定位置，起始站（包括上班、下班、加班起始站）准时发车。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20、对于乙方承运车辆抛锚、交通事故等自身车辆原因影响甲方员工乘坐的，所造成的一切费用有乙方承担。现场出现问题乙方需在半小时内做响应。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三、车辆路线及价格</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（1）职工班车表价格：</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499"/>
        <w:gridCol w:w="560"/>
        <w:gridCol w:w="499"/>
        <w:gridCol w:w="560"/>
        <w:gridCol w:w="499"/>
        <w:gridCol w:w="560"/>
        <w:gridCol w:w="499"/>
        <w:gridCol w:w="561"/>
        <w:gridCol w:w="500"/>
        <w:gridCol w:w="561"/>
        <w:gridCol w:w="500"/>
        <w:gridCol w:w="561"/>
        <w:gridCol w:w="500"/>
        <w:gridCol w:w="561"/>
        <w:gridCol w:w="500"/>
        <w:gridCol w:w="5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vMerge w:val="restart"/>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价格（元）</w:t>
            </w:r>
            <w:r/>
          </w:p>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车型</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汉中门⇌公卫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二院⇌公卫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公卫⇌二院</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新庄⇌公卫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马群⇌公卫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河西万达⇌公卫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三牌楼⇌公卫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滨江世贸⇌公卫</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往返一次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增加单边一次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往返一次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增加单边一次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往返一次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增加单边一次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往返一次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增加单边一次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往返一次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增加单边一次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往返一次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增加单边一次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往返一次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增加单边一次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往返一次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增加单边一次</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注：以上提供车辆必须为燃油车辆。</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（2）病人班车价格：</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69"/>
        <w:gridCol w:w="2693"/>
        <w:gridCol w:w="32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车型品牌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按天报价（元）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汽车动能（燃油）</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8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8"/>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乙方指派人员，根据甲方工作需求，为甲方完成120救护车的出车驾驶任务。服务人员应满足甲方合理的加班需求和长途驾驶需求。乙方指派服务人员 </w:t>
      </w:r>
      <w:r>
        <w:rPr>
          <w:rFonts w:ascii="SimSun" w:hAnsi="SimSun" w:eastAsia="SimSun" w:cs="SimSun"/>
          <w:color w:val="000000"/>
          <w:sz w:val="21"/>
          <w:u w:val="single"/>
        </w:rPr>
        <w:t xml:space="preserve"> 伍  </w:t>
      </w:r>
      <w:r>
        <w:rPr>
          <w:rFonts w:ascii="SimSun" w:hAnsi="SimSun" w:eastAsia="SimSun" w:cs="SimSun"/>
          <w:color w:val="000000"/>
          <w:sz w:val="21"/>
        </w:rPr>
        <w:t xml:space="preserve">名，为甲方提供配驾服务。甲方应按</w:t>
      </w:r>
      <w:r>
        <w:rPr>
          <w:rFonts w:ascii="SimSun" w:hAnsi="SimSun" w:eastAsia="SimSun" w:cs="SimSun"/>
          <w:color w:val="000000"/>
          <w:sz w:val="21"/>
          <w:u w:val="single"/>
        </w:rPr>
        <w:t xml:space="preserve">       </w:t>
      </w:r>
      <w:r>
        <w:rPr>
          <w:rFonts w:ascii="SimSun" w:hAnsi="SimSun" w:eastAsia="SimSun" w:cs="SimSun"/>
          <w:color w:val="000000"/>
          <w:sz w:val="21"/>
        </w:rPr>
        <w:t xml:space="preserve">元/月/人向乙方支付服务外包费用。该费用含开票税金。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四、付款方式</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1、合同签订后，采购人需支付合同总金额10%作为预付款：根据实际趟次首次结算上月费用时扣除10%预付款。后续费用为每月结算一次。</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注：满足合同约定支付条件的，采购人收到供应商发票后10个工作日内，将资金支付到合同约定的供应商账户。</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采购人迟延支付合同款项的，除应当支付的合同款项外，还应当按照迟延支付合同款项每日利率万分之五支付逾期利息，但因供应商自身原因导致采购人无法及时支付资金的除外。 </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提示：根据工业和信息化部关于印发《保障中小企业款项支付投诉处理暂行办法》的通知（工信部企业〔2021〕224 号），采购人未按合同约定支付款项的，供应商可以向有关部门投诉。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1、合同期内，任何一方不得无故单方面终止合同，如因甲、乙单方面无法履行合同时，需提前一个月以书面形式通知对方，在取得同意后方可终止合同。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2、如乙方严重违反合同之约定责任，严重影响甲方班车正常运行或导致甲方利益严重受损时，甲方可解除合同，所造成的损失由乙方承担。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六、合同有效期</w:t>
      </w:r>
      <w:r/>
    </w:p>
    <w:p>
      <w:pPr>
        <w:ind w:left="0" w:right="0" w:firstLine="5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1、自合同签订后，合同有效期叁年，合同期满后，如双方均无异议，可进行续签（本协议一式伍份，甲方四份，乙方壹份，双方盖章后生效）。</w:t>
      </w:r>
      <w:r/>
    </w:p>
    <w:p>
      <w:pPr>
        <w:ind w:left="0" w:right="0" w:firstLine="5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因本合同引起或与本合同有关的一切争议，由双方友好协商解决；协商无法解决的，双方同意由甲方所在地人民法院裁决。</w:t>
      </w:r>
      <w:r/>
    </w:p>
    <w:p>
      <w:pPr>
        <w:ind w:left="0" w:right="0" w:firstLine="5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68"/>
        <w:gridCol w:w="445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68"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5"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乙方签章：</w:t>
            </w:r>
            <w:r/>
          </w:p>
          <w:p>
            <w:pPr>
              <w:ind w:left="105"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w:t>
            </w:r>
            <w:r/>
          </w:p>
          <w:p>
            <w:pPr>
              <w:ind w:left="0" w:right="0" w:firstLine="3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45" w:after="145"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《*******合同》补充协议（合同附件）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如遇招标文件及合同未约定事项，双方可友好协商签订补充协议。</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54"/>
        <w:numPr>
          <w:ilvl w:val="0"/>
          <w:numId w:val="9"/>
        </w:numPr>
        <w:jc w:val="center"/>
        <w:spacing w:before="340" w:after="33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采购需求</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南京市第二医院一院两地，钟阜路本部及汤山分院，本部距汤山分院30km，公共交通不便，为促进两院共同发展，方便职工上下班，需班车往返。</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项目编号：JSZC-320100-JTGS-G2026-0054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项目名称：南京市第二医院班车租赁服务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预算金额：300万元</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最高限价：300万元（投标报价超过最高限价作无效标处理）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服务期：1年</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项目遵循标准：运输服务期间必须遵守《中华人民共和国道路交通安全法》、江苏省道路交通安全条例、南京市道路交通安全条例等国家及地区相关的法律法规的规定。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注：由于本项目涉及医患接送且院方场地不具备充电条件，出于安全及时效考虑，本项目不接受电动车辆。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项目清单：</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905"/>
        <w:gridCol w:w="1215"/>
        <w:gridCol w:w="1350"/>
        <w:gridCol w:w="1440"/>
        <w:gridCol w:w="1875"/>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班次及路线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车型要求          (大于等于)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参考天数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河西万达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周六至周日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世贸滨江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新庄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汉中门 - 公卫中心  往返（周六日）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周六至周日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 - 公卫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公卫 - 二院本部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三牌楼 - 公卫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 - 公卫 - 二院本部 早晚正常班车外 循环班次（每天2趟来回）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      每车每天2趟来回</w:t>
            </w:r>
            <w:r/>
          </w:p>
        </w:tc>
      </w:tr>
      <w:tr>
        <w:trPr>
          <w:trHeight w:val="10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vMerge w:val="continue"/>
            <w:textDirection w:val="lrTb"/>
            <w:noWrap w:val="false"/>
          </w:tcPr>
          <w:p>
            <w:r/>
            <w:r/>
          </w:p>
        </w:tc>
        <w:tc>
          <w:tcPr>
            <w:vMerge w:val="continue"/>
            <w:textDirection w:val="lrTb"/>
            <w:noWrap w:val="false"/>
          </w:tcPr>
          <w:p>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古泉地铁站-公卫  病人班车 循环接驳班次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一周至周日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二院本部-公卫  病人接驳车劳务费用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院方提供车辆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周一至周六</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120司机劳务费用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5名120司机          院方提供车辆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本项按月报价</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注：上表中第11项需班车司机兼任，甲方提供劳务费用。车辆为院方所有，每天早上和下午各一趟接驳病人来回，周一至周六运行，周日停运。</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上表中第12项司机需伍名，车辆甲方所有。司机24小时轮班值守，有夜班，本项按月报价。（必须保证随时有一名司机在岗）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（一）技术要求（须在技术要求响应及偏离表中逐条注明响应情况，否是按无效标处理）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提供不低于55座车辆1台、48座及以上车辆6台、职工班车不低于20座车辆1台、古泉病人接驳车不低于23座车辆2台。（上述车辆需配备满足项目需求的适量且具有合法资格的驾驶员）、伍名持有B照及以上驾照的驾驶员（120驾驶员须配合甲方培训考核取得救护员证），项目所有驾驶员须具有安全驾驶经验，年龄50周岁以下，身体健康。品行端正，无不良嗜好，未受过刑事处罚和治安处罚。（提供对应内容承诺函原件加盖鲜章，否则视为未响应）</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2、中标供应商须根据采购人实际用车情况，安排最经济的车辆组合，并考虑不同座位数的投标车辆的综合报价。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车辆为新车或为2023年后购置（行驶里程6万公里内），且车况良好，旧车需经采购人验车通过。所提供车辆需为营运性质车辆，不接受挂靠性质车辆。中标供应商提供车辆内需有监控系统，车辆配备完整可显示线路牌。古泉接驳车需加装司乘隔断装置，司乘空调双循环系统。（提供对应内容承诺函原件加盖鲜章，否则视为未响应）</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采购人为传染病医院，中标供应商需对驾驶人员做好培训教育，驾驶人员需充分了解本项目的工作环境，如遇疫情期间中标供应商还需具备相应的防护措施。中标供应商提供的车辆内外需及时清洗、消毒，保证车辆外表干净无破损不沾有污泥，车内卫生干净整洁，座椅干净无灰尘所有座椅套保证每月至少清洗一次，车厢内无异味，无废气泄漏、雨天无漏水，车内设备完好，必须定期进行车辆消毒及座椅套更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5、投标人不得将本项目车辆用于本项目外使用。如后期工作中发现违反此项要求，将按合同相应条款进行处罚。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6、职工班车运行班次和路线详见附表。</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（二）商务要求：（须在商务要求响应及偏离表中逐条注明响应情况，否是按无效标处理）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要求：除租车费外，承运车辆的一切费用（包括司乘等服务人员的薪资（含周六、周日、节假日等情况下的加班工资、奖金）、福利、社会保险及燃油费、车辆维护、保养和修理费用。评委费及招标代理服务费等）应商应充分考虑其中。</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（1）中标供应商车辆运行要求准时准点、外观 整洁、内况清洁卫生、安全驾驶。保证车况、车容、安全用具完好，不开常病车。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（2）中标供应商拟投入的车辆固定用于本项目服务，不得用于非本项目运行服务，一经采购人发现违约行为，采购人有权立即处罚并追究中标供应商相关责任。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确保投入专用车辆符合采购人需求和国家相关规定，提供车辆类型、数量、参数等必要的技术数据及所有必须的的手续资料，在车辆投入前将车辆方案及车辆信息资料报采购人同意。车辆投入运行后，未经采购人同意，合同期间供应商不得擅自更换投入车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应有备用车辆，满足采购人人员用车的需求，根据采购人的实际需求经双方协商增加车辆或车辆趟次，并严格按照采购人所指定的时间、地点、线路和站点要求准时接送采购人人员。除因不可抗力的原因之外，不得违反采购人在时间和地点等要求，不得延误采购人人员的日常安排。若早上规定发车15分钟后仍无车辆到达指定发车地点，采购人有权安排职工乘坐出租车(四人一台车)上班，所发生的费用由中标供应商承担。下午在规定发车时间15分钟后仍无车辆时，采购人有权安排员工乘坐其他交通工具回家，所发生的费用由中标供应商承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（5）驾驶员必须遵守供应商的服务规程和采购人的制度，如发现违规，采购人有权向供应商投诉，中标供应商应在 24小时内做出具体答复，必要时采购人可要求中标供应商更换司机。采购人不承担因中标供应商的违章行为而造成的任何法律责任。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3、服务期限：自合同签订之日起一年。</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★4、付款方式：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合同签订后，采购人需支付合同总金额10%作为预付款：根据实际趟次首次结算上月费用时扣除10%预付款。后续费用为每月结算一次。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注：满足合同约定支付条件的，采购人收到供应商发票后10个工作日内，将资金支付到合同约定的供应商账户。（提供对应内容承诺函原件加盖鲜章，否则视为未响应）</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注：合同及采购需求内容互为补充，具体内容以甲方实际要求为准。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、路线图及时刻表：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29300" cy="47053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05203" name=""/>
                        <pic:cNvPicPr>
                          <a:picLocks noChangeAspect="1"/>
                        </pic:cNvPicPr>
                        <pic:nvPr/>
                      </pic:nvPicPr>
                      <pic:blipFill>
                        <a:blip/>
                        <a:stretch/>
                      </pic:blipFill>
                      <pic:spPr bwMode="auto">
                        <a:xfrm>
                          <a:off x="0" y="0"/>
                          <a:ext cx="5829300" cy="4705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9.0pt;height:370.5pt;mso-wrap-distance-left:0.0pt;mso-wrap-distance-top:0.0pt;mso-wrap-distance-right:0.0pt;mso-wrap-distance-bottom:0.0pt;" stroked="false">
                <v:path textboxrect="0,0,0,0"/>
              </v:shape>
            </w:pict>
          </mc:Fallback>
        </mc:AlternateContent>
      </w: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09575" cy="1714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746849" name=""/>
                        <pic:cNvPicPr>
                          <a:picLocks noChangeAspect="1"/>
                        </pic:cNvPicPr>
                        <pic:nvPr/>
                      </pic:nvPicPr>
                      <pic:blipFill>
                        <a:blip/>
                        <a:stretch/>
                      </pic:blipFill>
                      <pic:spPr bwMode="auto">
                        <a:xfrm>
                          <a:off x="0" y="0"/>
                          <a:ext cx="409574"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13.5pt;mso-wrap-distance-left:0.0pt;mso-wrap-distance-top:0.0pt;mso-wrap-distance-right:0.0pt;mso-wrap-distance-bottom:0.0pt;" stroked="false">
                <v:path textboxrect="0,0,0,0"/>
              </v:shape>
            </w:pict>
          </mc:Fallback>
        </mc:AlternateContent>
      </w:r>
      <w:r>
        <w:rPr>
          <w:rFonts w:ascii="SimSun" w:hAnsi="SimSun" w:eastAsia="SimSun" w:cs="SimSun"/>
          <w:color w:val="000000"/>
          <w:sz w:val="52"/>
        </w:rPr>
        <w:t xml:space="preserve">公卫古泉往返接驳车时间安排</w:t>
      </w:r>
      <w:r/>
    </w:p>
    <w:p>
      <w:pPr>
        <w:ind w:left="0" w:right="0" w:firstLine="4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周一至周五</w:t>
      </w:r>
      <w:r/>
    </w:p>
    <w:p>
      <w:pPr>
        <w:ind w:left="0" w:right="0" w:firstLine="321"/>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上 午</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古泉（7:45）→公卫大门口（7:50）→C、B、A楼绕行→公卫大门口（8:05）→古泉（8:10）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古泉（8:00）→公卫大门口（8:05）→C、B、A楼绕行→公卫大门口（8:20）→古泉（8:25）</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古泉（8:15）→公卫大门口（8:20）→C、B、A楼绕行→公卫大门口（8:35）→古泉（8:40）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古泉（8:30）→公卫大门口（8:35）→C、B、A楼绕行→公卫大门口（8:50）→古泉（8:55）</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古泉（8:45）→公卫大门口（8:50）→C、B、A楼绕行→公卫大门口（9:05）→古泉（9:10）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古泉（9:00）→公卫大门口（9:05）→C、B、A楼绕行→公卫大门口（9:20）→古泉（9:25）</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古泉（9:15）→公卫大门口（9:20）→C、B、A楼绕行→公卫大门口（9:35）→古泉（9:40）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古泉（9:30）→公卫大门口（9:35）→C、B、A楼绕行→公卫大门口（9:50）→古泉（9:55）</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古泉（9:45）→公卫大门口（9:50）→C、B、A楼绕行→公卫大门口（10:05）→古泉（10:10）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古泉（10:00）→公卫大门口（10:05）→C、B、A楼绕行→公卫大门口（10:20）→古泉（10:25）</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古泉（10:15）→公卫大门口（10:20）→C、B、A楼绕行→公卫大门口（10:35）→古泉（10:40）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古泉（10:30）→公卫大门口（10:35）→C、B、A楼绕行→公卫大门口（10:50）→古泉（10:55）</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古泉（10:45）→公卫大门口（10:50）→C、B、A楼绕行→公卫大门口（11:05）→古泉（11:10）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古泉（11:00）→公卫大门口（11:05）→C、B、A楼绕行</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古泉（11:15）→公卫大门口（11:20）→C、B、A楼绕行→公卫大门口（11:30）→古泉</w:t>
      </w:r>
      <w:r/>
    </w:p>
    <w:p>
      <w:pPr>
        <w:ind w:left="0" w:right="0" w:firstLine="482"/>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下午</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古泉（13:45）→公卫大门口（13:50）→C、B、A楼绕行→公卫大门口（14:05）→古泉（14:10）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古泉（14:15）→公卫大门口（14:20）→C、B、A楼绕行→公卫大门口（14:35）→古泉（14:40）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古泉（14:45）→公卫大门口（14:50）→C、B、A楼绕行→公卫大门口（15:05）→古泉（15:10）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古泉（15:15）→公卫大门口（15:20）→C、B、A楼绕行→公卫大门口（15:35）→古泉（15:40）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古泉（15:45）→公卫大门口（15:50）→C、B、A楼绕行→公卫大门口（16:10）→古泉（结束）</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2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09575" cy="1714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32639" name=""/>
                        <pic:cNvPicPr>
                          <a:picLocks noChangeAspect="1"/>
                        </pic:cNvPicPr>
                        <pic:nvPr/>
                      </pic:nvPicPr>
                      <pic:blipFill>
                        <a:blip/>
                        <a:stretch/>
                      </pic:blipFill>
                      <pic:spPr bwMode="auto">
                        <a:xfrm>
                          <a:off x="0" y="0"/>
                          <a:ext cx="409574"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13.5pt;mso-wrap-distance-left:0.0pt;mso-wrap-distance-top:0.0pt;mso-wrap-distance-right:0.0pt;mso-wrap-distance-bottom:0.0pt;" stroked="false">
                <v:path textboxrect="0,0,0,0"/>
              </v:shape>
            </w:pict>
          </mc:Fallback>
        </mc:AlternateContent>
      </w:r>
      <w:r>
        <w:rPr>
          <w:rFonts w:ascii="SimSun" w:hAnsi="SimSun" w:eastAsia="SimSun" w:cs="SimSun"/>
          <w:color w:val="000000"/>
          <w:sz w:val="52"/>
        </w:rPr>
        <w:t xml:space="preserve">公卫古泉往返接驳车时间安排</w:t>
      </w:r>
      <w:r/>
    </w:p>
    <w:p>
      <w:pPr>
        <w:ind w:left="0" w:right="0" w:firstLine="4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周六至周日</w:t>
      </w:r>
      <w:r/>
    </w:p>
    <w:p>
      <w:pPr>
        <w:ind w:left="0" w:right="0" w:firstLine="4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上午</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古泉（7:45）→公卫大门口（7:50）→C、B、A楼绕行→公卫大门口（8:05）→古泉（8:10）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古泉（8:15）→公卫大门口（8:20）→C、B、A楼绕行→公卫大门口（8:35）→古泉（8:40）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古泉（8:45）→公卫大门口（8:50）→C、B、A楼绕行→公卫大门口（9:05）→古泉（9:10）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古泉（9:15）→公卫大门口（9:20）→C、B、A楼绕行→公卫大门口（9:35）→古泉（9:40）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古泉（9:45）→公卫大门口（9:50）→C、B、A楼绕行→公卫大门口（10:05）→古泉（10:10）</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古泉（10:15）→公卫大门口（10:20）→C、B、A楼绕行→公卫大门口（10:35）→古泉（10:40）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古泉（10:45）→公卫大门口（10:50）→C、B、A楼绕行→公卫大门口（11:05）→古泉（11:10）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古泉（11:15）→公卫大门口（11:20）→C、B、A楼绕行→公卫大门口（11:30）→古泉</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2"/>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下午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古泉（13:45）</w:t>
      </w:r>
      <w:r>
        <w:rPr>
          <w:rFonts w:ascii="Arial" w:hAnsi="Arial" w:eastAsia="Arial" w:cs="Arial"/>
          <w:b/>
          <w:color w:val="000000"/>
          <w:sz w:val="44"/>
        </w:rPr>
        <w:t xml:space="preserve">→</w:t>
      </w:r>
      <w:r>
        <w:rPr>
          <w:rFonts w:ascii="SimSun" w:hAnsi="SimSun" w:eastAsia="SimSun" w:cs="SimSun"/>
          <w:b/>
          <w:color w:val="000000"/>
          <w:sz w:val="24"/>
        </w:rPr>
        <w:t xml:space="preserve">公卫大门口（13:50）</w:t>
      </w:r>
      <w:r>
        <w:rPr>
          <w:rFonts w:ascii="Arial" w:hAnsi="Arial" w:eastAsia="Arial" w:cs="Arial"/>
          <w:b/>
          <w:color w:val="000000"/>
          <w:sz w:val="44"/>
        </w:rPr>
        <w:t xml:space="preserve">→</w:t>
      </w:r>
      <w:r>
        <w:rPr>
          <w:rFonts w:ascii="SimSun" w:hAnsi="SimSun" w:eastAsia="SimSun" w:cs="SimSun"/>
          <w:b/>
          <w:color w:val="000000"/>
          <w:sz w:val="24"/>
        </w:rPr>
        <w:t xml:space="preserve">C、B、A楼绕行</w:t>
      </w:r>
      <w:r>
        <w:rPr>
          <w:rFonts w:ascii="Arial" w:hAnsi="Arial" w:eastAsia="Arial" w:cs="Arial"/>
          <w:b/>
          <w:color w:val="000000"/>
          <w:sz w:val="44"/>
        </w:rPr>
        <w:t xml:space="preserve">→</w:t>
      </w:r>
      <w:r>
        <w:rPr>
          <w:rFonts w:ascii="SimSun" w:hAnsi="SimSun" w:eastAsia="SimSun" w:cs="SimSun"/>
          <w:b/>
          <w:color w:val="000000"/>
          <w:sz w:val="24"/>
        </w:rPr>
        <w:t xml:space="preserve">公卫大门口（14:05）</w:t>
      </w:r>
      <w:r>
        <w:rPr>
          <w:rFonts w:ascii="Arial" w:hAnsi="Arial" w:eastAsia="Arial" w:cs="Arial"/>
          <w:b/>
          <w:color w:val="000000"/>
          <w:sz w:val="44"/>
        </w:rPr>
        <w:t xml:space="preserve">→</w:t>
      </w:r>
      <w:r>
        <w:rPr>
          <w:rFonts w:ascii="SimSun" w:hAnsi="SimSun" w:eastAsia="SimSun" w:cs="SimSun"/>
          <w:b/>
          <w:color w:val="000000"/>
          <w:sz w:val="24"/>
        </w:rPr>
        <w:t xml:space="preserve">古泉（14:10）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古泉（14:45）</w:t>
      </w:r>
      <w:r>
        <w:rPr>
          <w:rFonts w:ascii="Arial" w:hAnsi="Arial" w:eastAsia="Arial" w:cs="Arial"/>
          <w:b/>
          <w:color w:val="000000"/>
          <w:sz w:val="44"/>
        </w:rPr>
        <w:t xml:space="preserve">→</w:t>
      </w:r>
      <w:r>
        <w:rPr>
          <w:rFonts w:ascii="SimSun" w:hAnsi="SimSun" w:eastAsia="SimSun" w:cs="SimSun"/>
          <w:b/>
          <w:color w:val="000000"/>
          <w:sz w:val="24"/>
        </w:rPr>
        <w:t xml:space="preserve">公卫大门口（14:50）</w:t>
      </w:r>
      <w:r>
        <w:rPr>
          <w:rFonts w:ascii="Arial" w:hAnsi="Arial" w:eastAsia="Arial" w:cs="Arial"/>
          <w:b/>
          <w:color w:val="000000"/>
          <w:sz w:val="44"/>
        </w:rPr>
        <w:t xml:space="preserve">→</w:t>
      </w:r>
      <w:r>
        <w:rPr>
          <w:rFonts w:ascii="SimSun" w:hAnsi="SimSun" w:eastAsia="SimSun" w:cs="SimSun"/>
          <w:b/>
          <w:color w:val="000000"/>
          <w:sz w:val="24"/>
        </w:rPr>
        <w:t xml:space="preserve">C、B、A楼绕行</w:t>
      </w:r>
      <w:r>
        <w:rPr>
          <w:rFonts w:ascii="Arial" w:hAnsi="Arial" w:eastAsia="Arial" w:cs="Arial"/>
          <w:b/>
          <w:color w:val="000000"/>
          <w:sz w:val="44"/>
        </w:rPr>
        <w:t xml:space="preserve">→</w:t>
      </w:r>
      <w:r>
        <w:rPr>
          <w:rFonts w:ascii="SimSun" w:hAnsi="SimSun" w:eastAsia="SimSun" w:cs="SimSun"/>
          <w:b/>
          <w:color w:val="000000"/>
          <w:sz w:val="24"/>
        </w:rPr>
        <w:t xml:space="preserve">公卫大门口（15:05）</w:t>
      </w:r>
      <w:r>
        <w:rPr>
          <w:rFonts w:ascii="Arial" w:hAnsi="Arial" w:eastAsia="Arial" w:cs="Arial"/>
          <w:b/>
          <w:color w:val="000000"/>
          <w:sz w:val="44"/>
        </w:rPr>
        <w:t xml:space="preserve">→</w:t>
      </w:r>
      <w:r>
        <w:rPr>
          <w:rFonts w:ascii="SimSun" w:hAnsi="SimSun" w:eastAsia="SimSun" w:cs="SimSun"/>
          <w:b/>
          <w:color w:val="000000"/>
          <w:sz w:val="24"/>
        </w:rPr>
        <w:t xml:space="preserve">古泉（15:10）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古泉（15:45）→公卫大门口（15:50）→C、B、A楼绕行→公卫大门口（16:10）→古泉（结束） </w:t>
      </w: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09575"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89667" name=""/>
                        <pic:cNvPicPr>
                          <a:picLocks noChangeAspect="1"/>
                        </pic:cNvPicPr>
                        <pic:nvPr/>
                      </pic:nvPicPr>
                      <pic:blipFill>
                        <a:blip/>
                        <a:stretch/>
                      </pic:blipFill>
                      <pic:spPr bwMode="auto">
                        <a:xfrm>
                          <a:off x="0" y="0"/>
                          <a:ext cx="40957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pt;height:12.8pt;mso-wrap-distance-left:0.0pt;mso-wrap-distance-top:0.0pt;mso-wrap-distance-right:0.0pt;mso-wrap-distance-bottom:0.0pt;" stroked="false">
                <v:path textboxrect="0,0,0,0"/>
              </v:shape>
            </w:pict>
          </mc:Fallback>
        </mc:AlternateContent>
      </w:r>
      <w:r>
        <w:rPr>
          <w:rFonts w:ascii="SimSun" w:hAnsi="SimSun" w:eastAsia="SimSun" w:cs="SimSun"/>
          <w:b/>
          <w:color w:val="000000"/>
          <w:sz w:val="30"/>
        </w:rPr>
        <w:t xml:space="preserve">备注：汤山古泉往返接驳车在工作时间内增加趟次价格不变</w:t>
      </w:r>
      <w:r>
        <w:rPr>
          <w:rFonts w:ascii="SimSun" w:hAnsi="SimSun" w:eastAsia="SimSun" w:cs="SimSun"/>
          <w:b/>
          <w:color w:val="000000"/>
          <w:sz w:val="32"/>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27"/>
        <w:gridCol w:w="1727"/>
        <w:gridCol w:w="1727"/>
        <w:gridCol w:w="1728"/>
        <w:gridCol w:w="1728"/>
      </w:tblGrid>
      <w:tr>
        <w:trPr>
          <w:trHeight w:val="699"/>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81"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发车时间             发车地点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汤山院区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钟附院区</w:t>
            </w:r>
            <w:r/>
          </w:p>
        </w:tc>
      </w:tr>
      <w:tr>
        <w:trPr>
          <w:trHeight w:val="1144"/>
        </w:trPr>
        <w:tc>
          <w:tcPr>
            <w:gridSpan w:val="3"/>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C楼门诊大厅南门入口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1号楼门诊部斜对面马路旁</w:t>
            </w:r>
            <w:r/>
          </w:p>
        </w:tc>
      </w:tr>
      <w:tr>
        <w:trPr>
          <w:trHeight w:val="1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7"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发车时间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7"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周一至周六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10:00</w:t>
            </w:r>
            <w:r/>
          </w:p>
        </w:tc>
      </w:tr>
      <w:tr>
        <w:trPr>
          <w:trHeight w:val="117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下午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9"/>
        </w:numPr>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评标方法与评标标准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二、小微企业价格扣除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1.本项目服务全部由小微企业承接的，对报价给予10%的扣除，用扣除后的价格参与评审。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3.上述价格扣除政策仅适用于“非专门面向中小企业采购项目”</w:t>
      </w:r>
      <w:r>
        <w:rPr>
          <w:rFonts w:ascii="SimSun" w:hAnsi="SimSun" w:eastAsia="SimSun" w:cs="SimSun"/>
          <w:color w:val="000000"/>
          <w:sz w:val="24"/>
        </w:rPr>
        <w:t xml:space="preserve">。</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（1）本项目如专门面向中小企业采购，则不执行价格扣除政策，供应商应为中小微企业、监狱企业、残疾人福利性单位。</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的扣除（500万元（含）以上的项目为4%，500万元以内的项目为6%），用扣除后的价格参与评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（3）联合体各方均为小型、微型企业（或残疾人福利性单位、监狱企业）的，给予与小微企业相同的价格扣除，用扣除后的价格参与评审。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三、评标标准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5"/>
        <w:gridCol w:w="1171"/>
        <w:gridCol w:w="6569"/>
        <w:gridCol w:w="569"/>
        <w:gridCol w:w="530"/>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5"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1"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69"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9"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0"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   （10分）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w:t>
            </w:r>
            <w:r>
              <w:rPr>
                <w:rFonts w:ascii="SimSun" w:hAnsi="SimSun" w:eastAsia="SimSun" w:cs="SimSun"/>
                <w:color w:val="000000"/>
                <w:sz w:val="21"/>
              </w:rPr>
              <w:t xml:space="preserve">法计算，即满足招标文件要求且投标价格最低的投标</w:t>
            </w:r>
            <w:r>
              <w:rPr>
                <w:rFonts w:ascii="SimSun" w:hAnsi="SimSun" w:eastAsia="SimSun" w:cs="SimSun"/>
                <w:color w:val="000000"/>
                <w:spacing w:val="1"/>
                <w:sz w:val="21"/>
              </w:rPr>
              <w:t xml:space="preserve">报价为评标基准</w:t>
            </w:r>
            <w:r>
              <w:rPr>
                <w:rFonts w:ascii="SimSun" w:hAnsi="SimSun" w:eastAsia="SimSun" w:cs="SimSun"/>
                <w:color w:val="000000"/>
                <w:sz w:val="21"/>
              </w:rPr>
              <w:t xml:space="preserve">价，其价格分为满分。其他投标人的价格分统一按</w:t>
            </w:r>
            <w:r>
              <w:rPr>
                <w:rFonts w:ascii="SimSun" w:hAnsi="SimSun" w:eastAsia="SimSun" w:cs="SimSun"/>
                <w:color w:val="000000"/>
                <w:spacing w:val="-1"/>
                <w:sz w:val="21"/>
              </w:rPr>
              <w:t xml:space="preserve">照下列公</w:t>
            </w:r>
            <w:r>
              <w:rPr>
                <w:rFonts w:ascii="SimSun" w:hAnsi="SimSun" w:eastAsia="SimSun" w:cs="SimSun"/>
                <w:color w:val="000000"/>
                <w:sz w:val="21"/>
              </w:rPr>
              <w:t xml:space="preserve">式计算：投标报价得分=(评标基准价/投标报价)×10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25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3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运营管理</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w:t>
            </w:r>
            <w:r>
              <w:rPr>
                <w:rFonts w:ascii="SimSun" w:hAnsi="SimSun" w:eastAsia="SimSun" w:cs="SimSun"/>
                <w:b/>
                <w:color w:val="000000"/>
                <w:sz w:val="21"/>
              </w:rPr>
              <w:t xml:space="preserve">运营管理方案（</w:t>
            </w:r>
            <w:r>
              <w:rPr>
                <w:rFonts w:ascii="SimSun" w:hAnsi="SimSun" w:eastAsia="SimSun" w:cs="SimSun"/>
                <w:color w:val="000000"/>
                <w:sz w:val="21"/>
              </w:rPr>
              <w:t xml:space="preserve">包括但不限于保持车辆车身内外整洁，以顾客为中心的服务保障创新，驾驶员按时接送站和安全文明驾驶的控制机制，重大活动服务保障的人员、车辆、工作机制等）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（1）运营管理服务方案完整，合理，科学，可操作性强得10分；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（2）运营管理服务方案较为完整，合理性、科学性、可操作性较强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得7分；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（3）运营管理服务方案基本完整、合理，有一定科学性、可操作性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得4分；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（4）方案不完整、不合理、不可行、不可操作或未提供的不得分。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主观分</w:t>
            </w:r>
            <w:r/>
          </w:p>
        </w:tc>
      </w:tr>
      <w:tr>
        <w:trPr>
          <w:trHeight w:val="30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服务保障</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评委根据投标人提供的</w:t>
            </w:r>
            <w:r>
              <w:rPr>
                <w:rFonts w:ascii="SimSun" w:hAnsi="SimSun" w:eastAsia="SimSun" w:cs="SimSun"/>
                <w:b/>
                <w:color w:val="000000"/>
                <w:spacing w:val="1"/>
                <w:sz w:val="21"/>
              </w:rPr>
              <w:t xml:space="preserve">服务保障方案</w:t>
            </w:r>
            <w:r>
              <w:rPr>
                <w:rFonts w:ascii="SimSun" w:hAnsi="SimSun" w:eastAsia="SimSun" w:cs="SimSun"/>
                <w:color w:val="000000"/>
                <w:spacing w:val="1"/>
                <w:sz w:val="21"/>
              </w:rPr>
              <w:t xml:space="preserve">（</w:t>
            </w:r>
            <w:r>
              <w:rPr>
                <w:rFonts w:ascii="SimSun" w:hAnsi="SimSun" w:eastAsia="SimSun" w:cs="SimSun"/>
                <w:color w:val="000000"/>
                <w:sz w:val="21"/>
              </w:rPr>
              <w:t xml:space="preserve">包括但不限于设置服务质量监督部门、提供投诉受理场所、配备专职服务质量监督岗位人员、接到投诉在 24 小时内联系投标人当事人员核实情况并妥善处理等</w:t>
            </w:r>
            <w:r>
              <w:rPr>
                <w:rFonts w:ascii="SimSun" w:hAnsi="SimSun" w:eastAsia="SimSun" w:cs="SimSun"/>
                <w:color w:val="000000"/>
                <w:spacing w:val="1"/>
                <w:sz w:val="21"/>
              </w:rPr>
              <w:t xml:space="preserve">）评分：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（1）服务保障方案的可操作性强、服务计划安排科学合理得10分；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w:t>
            </w:r>
            <w:r>
              <w:rPr>
                <w:rFonts w:ascii="SimSun" w:hAnsi="SimSun" w:eastAsia="SimSun" w:cs="SimSun"/>
                <w:color w:val="000000"/>
                <w:sz w:val="21"/>
              </w:rPr>
              <w:t xml:space="preserve">服务保障方案有较强针对性和可操作性，服务计划安排较合理得7分；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（3）服务保障方案有一定针对性和可操作性、服务计划安排基本合理得4分；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（4）服务保障方案的针对性差、没有可操作性、没有服务计划安排或未提供的不得分。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主观</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分</w:t>
            </w:r>
            <w:r/>
          </w:p>
        </w:tc>
      </w:tr>
      <w:tr>
        <w:trPr>
          <w:trHeight w:val="17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服务运行成 本和费用测 算方案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top"/>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评委根据投标人提供的</w:t>
            </w:r>
            <w:r>
              <w:rPr>
                <w:rFonts w:ascii="SimSun" w:hAnsi="SimSun" w:eastAsia="SimSun" w:cs="SimSun"/>
                <w:b/>
                <w:color w:val="000000"/>
                <w:spacing w:val="1"/>
                <w:sz w:val="21"/>
              </w:rPr>
              <w:t xml:space="preserve">服务运行成本和费用测算方案</w:t>
            </w:r>
            <w:r>
              <w:rPr>
                <w:rFonts w:ascii="SimSun" w:hAnsi="SimSun" w:eastAsia="SimSun" w:cs="SimSun"/>
                <w:color w:val="000000"/>
                <w:spacing w:val="1"/>
                <w:sz w:val="21"/>
              </w:rPr>
              <w:t xml:space="preserve">（包括各项服务成本、测算依据等内容）评分：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（1）服务运行成本和费用测算合理合规，所列各项服务成本、测算依据详细、准确的，得10分；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（2）服务运行成本和费用测算较合理合规，所列各项服务成本、测算依据较详细、较准确的，得 7分；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（3）服务运行成本和费用测算基本符合规定，所列各项服务成本、测算依据基本准确的，得4 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（4）未列出各项服务成本、测算依据，或服务运行成本和费用测算不准确、不合理、不合规或未提供的不得分。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观分</w:t>
            </w:r>
            <w:r/>
          </w:p>
        </w:tc>
      </w:tr>
      <w:tr>
        <w:trPr>
          <w:trHeight w:val="8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日常突发情况应急预案（10分）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评委根据投标人提供的</w:t>
            </w:r>
            <w:r>
              <w:rPr>
                <w:rFonts w:ascii="SimSun" w:hAnsi="SimSun" w:eastAsia="SimSun" w:cs="SimSun"/>
                <w:b/>
                <w:color w:val="000000"/>
                <w:spacing w:val="1"/>
                <w:sz w:val="21"/>
              </w:rPr>
              <w:t xml:space="preserve">日常突发情况应急预案</w:t>
            </w:r>
            <w:r>
              <w:rPr>
                <w:rFonts w:ascii="SimSun" w:hAnsi="SimSun" w:eastAsia="SimSun" w:cs="SimSun"/>
                <w:color w:val="000000"/>
                <w:spacing w:val="1"/>
                <w:sz w:val="21"/>
              </w:rPr>
              <w:t xml:space="preserve">（包括对遇到突发情况的应对，车辆发生以外损毁或破坏时等特殊情况的解决和处理）评分：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（1）应急预案及突发情况处理措施具体，切实可行得 10分；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（2）应急预案及突发情况处理措施较具体，较可行得7 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（3）应急预案及突发情况处理有一定可操作性，基本可行得4分；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（4）应急预案及突发情况处理措施不合理，可行性差或未提供的不得分。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观分</w:t>
            </w:r>
            <w:r/>
          </w:p>
        </w:tc>
      </w:tr>
      <w:tr>
        <w:trPr>
          <w:trHeight w:val="5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突发疫情处理措施  （10分）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评委根据投标人提供的</w:t>
            </w:r>
            <w:r>
              <w:rPr>
                <w:rFonts w:ascii="SimSun" w:hAnsi="SimSun" w:eastAsia="SimSun" w:cs="SimSun"/>
                <w:b/>
                <w:color w:val="000000"/>
                <w:spacing w:val="1"/>
                <w:sz w:val="21"/>
              </w:rPr>
              <w:t xml:space="preserve">突发疫情处理措施</w:t>
            </w:r>
            <w:r>
              <w:rPr>
                <w:rFonts w:ascii="SimSun" w:hAnsi="SimSun" w:eastAsia="SimSun" w:cs="SimSun"/>
                <w:color w:val="000000"/>
                <w:spacing w:val="1"/>
                <w:sz w:val="21"/>
              </w:rPr>
              <w:t xml:space="preserve">（包括从人员管理方案，班车传染病防护、消毒措施等内容）评分：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（1）方案内容完整，合理，科学，可操作性强得10分；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（2）方案内容较为完整，有一定合理性、科学性、可操作性得7分；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（3）方案内容基本完整，基本合理、有一定科学性、可操作性得4分；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（4）方案内容不完整、不合理、不科学、不具备操作性或未提供的不得分。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观分</w:t>
            </w:r>
            <w:r/>
          </w:p>
        </w:tc>
      </w:tr>
      <w:tr>
        <w:trPr>
          <w:trHeight w:val="9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车辆配备</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情况</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评委对投标人提供的</w:t>
            </w:r>
            <w:r>
              <w:rPr>
                <w:rFonts w:ascii="SimSun" w:hAnsi="SimSun" w:eastAsia="SimSun" w:cs="SimSun"/>
                <w:b/>
                <w:color w:val="000000"/>
                <w:spacing w:val="1"/>
                <w:sz w:val="21"/>
              </w:rPr>
              <w:t xml:space="preserve">所投车辆配备情况</w:t>
            </w:r>
            <w:r>
              <w:rPr>
                <w:rFonts w:ascii="SimSun" w:hAnsi="SimSun" w:eastAsia="SimSun" w:cs="SimSun"/>
                <w:color w:val="000000"/>
                <w:spacing w:val="1"/>
                <w:sz w:val="21"/>
              </w:rPr>
              <w:t xml:space="preserve">（包括车辆车型、车龄、车况、性能等，提供但不限于车辆内外部照片、车辆品牌型号及配置等相关证明等）评分：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（1）车况总体好、性能好，得 10 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（2）车况总体较好、性能较好，得7分；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（3）车况总体基本满足要求、性能基本符合采购需求的，得4分；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（4）车况差、性能差或未提供的不得分。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投标人业绩（9分）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投标人自2023年10月1日以来具有类似班车租赁业绩的，每提供1个得3分，本项满分9分（提供有效合同原件扫描件，时间以合同签订时间为准，提供资料需能反应上述情况，否则视为未提供）。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履约能力1（8分）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jc w:val="both"/>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投标人自有15辆及以上大型车辆（48座以上的营运性质车辆）的得8分，具有14辆（含）至10辆（含）的得6分，具有9辆及以下的得4分（提供机动车登记证，购买发票及其他相关证资料原件扫描件，提供证明资料内容须能反应上述情况，否则视为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2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履约能力2（7分）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jc w:val="both"/>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投标人拟投入本项目驾驶人员： </w:t>
            </w:r>
            <w:r/>
          </w:p>
          <w:p>
            <w:pPr>
              <w:ind w:left="0" w:right="0" w:firstLine="0"/>
              <w:jc w:val="both"/>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（1）具有准许驾驶班车的驾驶证且具有 15 年及以上驾龄，每提供 1 人得 1 分； </w:t>
            </w:r>
            <w:r/>
          </w:p>
          <w:p>
            <w:pPr>
              <w:ind w:left="0" w:right="0" w:firstLine="0"/>
              <w:jc w:val="both"/>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（2）具有准许驾驶班车的驾驶证且具有 10 年及以上驾龄的，每提供 1 人得 0.7分； </w:t>
            </w:r>
            <w:r/>
          </w:p>
          <w:p>
            <w:pPr>
              <w:ind w:left="0" w:right="0" w:firstLine="0"/>
              <w:jc w:val="both"/>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（3）具有准许驾驶班车的驾驶证且具有 5 年及以上驾龄的，每提供 1人得 0.4分； </w:t>
            </w:r>
            <w:r/>
          </w:p>
          <w:p>
            <w:pPr>
              <w:ind w:left="0" w:right="0" w:firstLine="0"/>
              <w:jc w:val="both"/>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本项满分7分（投标人提供驾驶员名单及机动车驾驶证原件扫描件，时间以初次领证日期至开标当日时间为准，同时提供2026年4月1日以来投标人为其缴纳的任意一个月的社保证明，须加盖社保中心章或社保中心参保缴费证明电子专用章。提供内容需能反应本项要求内容，否则视为未提供）。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额外承诺的增值服务 （6分）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6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投标人承诺提供以下增值服务，费用包含在投标总价中：</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（1）对采购人每月市区内用车提供三次免费服务；</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（2）针对采购人全院职工：私人临时用车服务，个人付费用享8折优惠；</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（3）每台车辆配备不少于10把雨伞；</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（4）每台车辆配备不少于10个充电宝。</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以上每提供一项得1.5分，最多得6分，（提供承诺书原件加盖鲜章，格式自拟，未提供不得分）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9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40"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第六章投标文件格式</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 供应商认为与投标有关的其他资料(格式自拟)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南京市政府采购供应商信用承诺书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4"/>
        <w:gridCol w:w="2226"/>
        <w:gridCol w:w="1787"/>
        <w:gridCol w:w="324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我公司自愿参加贵中心</w:t>
            </w:r>
            <w:r>
              <w:rPr>
                <w:rFonts w:ascii="SimSun" w:hAnsi="SimSun" w:eastAsia="SimSun" w:cs="SimSun"/>
                <w:color w:val="000000"/>
                <w:sz w:val="21"/>
              </w:rPr>
              <w:t xml:space="preserve">（</w:t>
            </w:r>
            <w:r>
              <w:rPr>
                <w:rFonts w:ascii="Arial" w:hAnsi="Arial" w:eastAsia="Arial" w:cs="Arial"/>
                <w:color w:val="000000"/>
                <w:sz w:val="21"/>
              </w:rPr>
              <w:t xml:space="preserve">公司</w:t>
            </w:r>
            <w:r>
              <w:rPr>
                <w:rFonts w:ascii="SimSun" w:hAnsi="SimSun" w:eastAsia="SimSun" w:cs="SimSun"/>
                <w:color w:val="000000"/>
                <w:sz w:val="21"/>
              </w:rPr>
              <w:t xml:space="preserve">）</w:t>
            </w:r>
            <w:r>
              <w:rPr>
                <w:rFonts w:ascii="Arial" w:hAnsi="Arial" w:eastAsia="Arial" w:cs="Arial"/>
                <w:color w:val="000000"/>
                <w:sz w:val="21"/>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ascii="SimSun" w:hAnsi="SimSun" w:eastAsia="SimSun" w:cs="SimSun"/>
                <w:color w:val="000000"/>
                <w:sz w:val="21"/>
              </w:rPr>
              <w:t xml:space="preserve">二</w:t>
            </w:r>
            <w:r>
              <w:rPr>
                <w:rFonts w:ascii="Arial" w:hAnsi="Arial" w:eastAsia="Arial" w:cs="Arial"/>
                <w:color w:val="000000"/>
                <w:sz w:val="21"/>
              </w:rPr>
              <w:t xml:space="preserve">条规定的条件，包括</w:t>
            </w:r>
            <w:r>
              <w:rPr>
                <w:rFonts w:ascii="SimSun" w:hAnsi="SimSun" w:eastAsia="SimSun" w:cs="SimSun"/>
                <w:color w:val="000000"/>
                <w:sz w:val="21"/>
              </w:rPr>
              <w:t xml:space="preserve">：</w:t>
            </w:r>
            <w:r>
              <w:rPr>
                <w:rFonts w:ascii="Arial" w:hAnsi="Arial" w:eastAsia="Arial" w:cs="Arial"/>
                <w:color w:val="000000"/>
                <w:sz w:val="21"/>
              </w:rPr>
              <w:t xml:space="preserve">具有独立承担民事责任的能力</w:t>
            </w:r>
            <w:r>
              <w:rPr>
                <w:rFonts w:ascii="SimSun" w:hAnsi="SimSun" w:eastAsia="SimSun" w:cs="SimSun"/>
                <w:color w:val="000000"/>
                <w:sz w:val="21"/>
              </w:rPr>
              <w:t xml:space="preserve">；</w:t>
            </w:r>
            <w:r>
              <w:rPr>
                <w:rFonts w:ascii="Arial" w:hAnsi="Arial" w:eastAsia="Arial" w:cs="Arial"/>
                <w:color w:val="000000"/>
                <w:sz w:val="21"/>
              </w:rPr>
              <w:t xml:space="preserve">具有良好的商业信誉和健全的财务会计制度</w:t>
            </w:r>
            <w:r>
              <w:rPr>
                <w:rFonts w:ascii="SimSun" w:hAnsi="SimSun" w:eastAsia="SimSun" w:cs="SimSun"/>
                <w:color w:val="000000"/>
                <w:sz w:val="21"/>
              </w:rPr>
              <w:t xml:space="preserve">；</w:t>
            </w:r>
            <w:r>
              <w:rPr>
                <w:rFonts w:ascii="Arial" w:hAnsi="Arial" w:eastAsia="Arial" w:cs="Arial"/>
                <w:color w:val="000000"/>
                <w:sz w:val="21"/>
              </w:rPr>
              <w:t xml:space="preserve">有履行合同所必需的设备和专业技术能力</w:t>
            </w:r>
            <w:r>
              <w:rPr>
                <w:rFonts w:ascii="SimSun" w:hAnsi="SimSun" w:eastAsia="SimSun" w:cs="SimSun"/>
                <w:color w:val="000000"/>
                <w:sz w:val="21"/>
              </w:rPr>
              <w:t xml:space="preserve">；</w:t>
            </w:r>
            <w:r>
              <w:rPr>
                <w:rFonts w:ascii="Arial" w:hAnsi="Arial" w:eastAsia="Arial" w:cs="Arial"/>
                <w:color w:val="000000"/>
                <w:sz w:val="21"/>
              </w:rPr>
              <w:t xml:space="preserve">有依法缴纳税收和社会保障资金的良好记录</w:t>
            </w:r>
            <w:r>
              <w:rPr>
                <w:rFonts w:ascii="SimSun" w:hAnsi="SimSun" w:eastAsia="SimSun" w:cs="SimSun"/>
                <w:color w:val="000000"/>
                <w:sz w:val="21"/>
              </w:rPr>
              <w:t xml:space="preserve">；</w:t>
            </w:r>
            <w:r>
              <w:rPr>
                <w:rFonts w:ascii="Arial" w:hAnsi="Arial" w:eastAsia="Arial" w:cs="Arial"/>
                <w:color w:val="000000"/>
                <w:sz w:val="21"/>
              </w:rPr>
              <w:t xml:space="preserve">参加政府采购活动前三年内，在经营活动中没有重大违法记录</w:t>
            </w:r>
            <w:r>
              <w:rPr>
                <w:rFonts w:ascii="SimSun" w:hAnsi="SimSun" w:eastAsia="SimSun" w:cs="SimSun"/>
                <w:color w:val="000000"/>
                <w:sz w:val="21"/>
              </w:rPr>
              <w:t xml:space="preserve">；</w:t>
            </w:r>
            <w:r>
              <w:rPr>
                <w:rFonts w:ascii="Arial" w:hAnsi="Arial" w:eastAsia="Arial" w:cs="Arial"/>
                <w:color w:val="000000"/>
                <w:sz w:val="21"/>
              </w:rPr>
              <w:t xml:space="preserve">符合法律、行政法规和采购文件规定的其他条件</w:t>
            </w:r>
            <w:r>
              <w:rPr>
                <w:rFonts w:ascii="SimSun" w:hAnsi="SimSun" w:eastAsia="SimSun" w:cs="SimSun"/>
                <w:color w:val="000000"/>
                <w:sz w:val="21"/>
              </w:rPr>
              <w:t xml:space="preserve">。</w:t>
            </w:r>
            <w:r>
              <w:rPr>
                <w:rFonts w:ascii="Arial" w:hAnsi="Arial" w:eastAsia="Arial" w:cs="Arial"/>
                <w:color w:val="000000"/>
                <w:sz w:val="21"/>
              </w:rPr>
              <w:t xml:space="preserve">如有弄虚作假或其他违法违规行为，愿承担一切法律责任，接受各级政府采购监管部门和有权机关的审查和处罚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2、信用承诺书替代的证明材料为：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（2）具有良好的商业信誉和健全的财务会计制度（提供参加本次政府采购活动前的财务状况报告，法人或者其他组织成立未满一年的可以不提供）；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（3）具有履行合同所必需的设备和专业技术能力（据项目需求提供履行合同所必需的设备和专业技术能力的声明及证明材料）；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（4）有依法缴纳税收和社会保障资金的良好记录（提供参加本次采购活动前依法缴纳税收和社会保障资金的相关材料）；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（5）参加本次采购活动前三年内，在经营活动中没有重大违法或不良征信记录（提供参加本次采购活动前三年内在经营活动中没有重大违法记录的书面声明）。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905"/>
        <w:gridCol w:w="1316"/>
        <w:gridCol w:w="850"/>
        <w:gridCol w:w="1115"/>
        <w:gridCol w:w="963"/>
        <w:gridCol w:w="957"/>
        <w:gridCol w:w="1290"/>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班次及路线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车型要求          (大于等于)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参考天数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河西万达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周六至周日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世贸滨江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新庄 - 公卫中心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汉中门 - 公卫中心  往返（周六日）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周六至周日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 - 公卫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公卫 - 二院本部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三牌楼 - 公卫     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 - 公卫 - 二院本部 早晚正常班车外 循环班次（每天2趟来回）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周一至周五      每车每天2趟来回</w:t>
            </w:r>
            <w:r/>
          </w:p>
        </w:tc>
      </w:tr>
      <w:tr>
        <w:trPr>
          <w:trHeight w:val="5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古泉地铁站-公卫  病人班车 循环接驳班次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一周至周日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二院本部-公卫  病人接驳车劳务费用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院方提供车辆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周一至周六</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120司机劳务费用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5名120司机          院方提供车辆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本项按月报价</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投标合计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注：上表中的单价为结合项目实际要求的综合单价，总价=单价*参考天数（月数）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3.《投标分项报价表》中的分项名称须与“第四章-项目清单”中的名称一一对应，如有缺项、漏项，视为无效投标。“项目清单”中分项仅为一项的，此表无需提供。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20" w:right="0" w:firstLine="640"/>
        <w:jc w:val="both"/>
        <w:spacing w:before="210" w:after="12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Hei" w:hAnsi="SimHei" w:eastAsia="SimHei" w:cs="SimHei"/>
          <w:color w:val="000000"/>
          <w:sz w:val="32"/>
        </w:rPr>
        <w:t xml:space="preserve">七、技术要求响应及偏离表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20"/>
              <w:jc w:val="both"/>
              <w:spacing w:before="21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技术要求响应及偏离表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Hei" w:hAnsi="SimHei" w:eastAsia="SimHei" w:cs="SimHei"/>
          <w:color w:val="000000"/>
          <w:sz w:val="32"/>
        </w:rPr>
        <w:t xml:space="preserve">八、商务要求响应及偏离表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20"/>
              <w:jc w:val="both"/>
              <w:spacing w:before="21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 供应商认为与投标有关的其他资料(格式自拟)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Calibri">
    <w:panose1 w:val="020F050202020403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一、"/>
      <w:lvlJc w:val="left"/>
      <w:pPr>
        <w:ind w:left="600" w:hanging="6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一、"/>
      <w:lvlJc w:val="left"/>
      <w:pPr>
        <w:ind w:left="600" w:hanging="6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044792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044792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0447928"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0447929"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044793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0447931" TargetMode="External"/><Relationship Id="rId15" Type="http://schemas.openxmlformats.org/officeDocument/2006/relationships/hyperlink" Target="http://jszfcg.jsczt.cn/%EF%BC%8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张杨</cp:lastModifiedBy>
  <cp:revision>4</cp:revision>
  <dcterms:created xsi:type="dcterms:W3CDTF">2026-11-02T06:12:53Z</dcterms:created>
  <dcterms:modified xsi:type="dcterms:W3CDTF">2026-11-03T01:20:00Z</dcterms:modified>
</cp:coreProperties>
</file>