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6D606C">
      <w:pPr>
        <w:pStyle w:val="49"/>
        <w:spacing w:after="0"/>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5B18CAA7">
      <w:pPr>
        <w:pStyle w:val="49"/>
        <w:spacing w:after="0"/>
        <w:rPr>
          <w:rFonts w:hint="eastAsia" w:ascii="宋体" w:hAnsi="宋体" w:eastAsia="宋体" w:cs="宋体"/>
          <w:sz w:val="24"/>
          <w:szCs w:val="24"/>
          <w:highlight w:val="none"/>
        </w:rPr>
      </w:pPr>
    </w:p>
    <w:p w14:paraId="61234414">
      <w:pPr>
        <w:pStyle w:val="49"/>
        <w:spacing w:after="0"/>
        <w:rPr>
          <w:rFonts w:hint="eastAsia" w:ascii="宋体" w:hAnsi="宋体" w:eastAsia="宋体" w:cs="宋体"/>
          <w:sz w:val="24"/>
          <w:szCs w:val="24"/>
          <w:highlight w:val="none"/>
        </w:rPr>
      </w:pPr>
    </w:p>
    <w:p w14:paraId="20F7A42F">
      <w:pPr>
        <w:spacing w:after="0" w:line="360" w:lineRule="auto"/>
        <w:jc w:val="center"/>
        <w:rPr>
          <w:rFonts w:hint="eastAsia" w:ascii="宋体" w:hAnsi="宋体" w:cs="宋体"/>
          <w:b/>
          <w:bCs/>
          <w:sz w:val="84"/>
          <w:szCs w:val="84"/>
          <w:highlight w:val="none"/>
        </w:rPr>
      </w:pPr>
      <w:r>
        <w:rPr>
          <w:rFonts w:hint="eastAsia" w:ascii="宋体" w:hAnsi="宋体" w:cs="宋体"/>
          <w:b/>
          <w:bCs/>
          <w:sz w:val="84"/>
          <w:szCs w:val="84"/>
          <w:highlight w:val="none"/>
        </w:rPr>
        <w:t>招　标　文　件</w:t>
      </w:r>
    </w:p>
    <w:p w14:paraId="57626EA6">
      <w:pPr>
        <w:spacing w:after="0" w:line="360" w:lineRule="auto"/>
        <w:jc w:val="center"/>
        <w:rPr>
          <w:rFonts w:hint="eastAsia" w:ascii="宋体" w:hAnsi="宋体" w:cs="宋体"/>
          <w:b/>
          <w:bCs/>
          <w:sz w:val="72"/>
          <w:szCs w:val="72"/>
          <w:highlight w:val="none"/>
        </w:rPr>
      </w:pPr>
    </w:p>
    <w:p w14:paraId="763BAC65">
      <w:pPr>
        <w:tabs>
          <w:tab w:val="left" w:pos="2272"/>
        </w:tabs>
        <w:spacing w:after="0" w:line="360" w:lineRule="auto"/>
        <w:jc w:val="center"/>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    项目名称：</w:t>
      </w:r>
      <w:r>
        <w:rPr>
          <w:rFonts w:hint="eastAsia" w:ascii="宋体" w:hAnsi="宋体" w:cs="宋体"/>
          <w:b/>
          <w:bCs/>
          <w:sz w:val="32"/>
          <w:szCs w:val="32"/>
          <w:highlight w:val="none"/>
          <w:u w:val="single"/>
        </w:rPr>
        <w:t>南通市疾病预防控制中心高通量二代测序一体化平台采购项目</w:t>
      </w:r>
    </w:p>
    <w:p w14:paraId="6A519394">
      <w:pPr>
        <w:spacing w:after="0" w:line="360" w:lineRule="auto"/>
        <w:ind w:firstLine="964" w:firstLineChars="300"/>
        <w:rPr>
          <w:rFonts w:hint="eastAsia" w:ascii="宋体" w:hAnsi="宋体" w:eastAsia="宋体" w:cs="宋体"/>
          <w:bCs/>
          <w:sz w:val="32"/>
          <w:szCs w:val="32"/>
          <w:highlight w:val="none"/>
          <w:u w:val="single"/>
          <w:lang w:eastAsia="zh-CN"/>
        </w:rPr>
      </w:pPr>
      <w:r>
        <w:rPr>
          <w:rFonts w:hint="eastAsia" w:ascii="宋体" w:hAnsi="宋体" w:cs="宋体"/>
          <w:b/>
          <w:bCs/>
          <w:sz w:val="32"/>
          <w:szCs w:val="32"/>
          <w:highlight w:val="none"/>
        </w:rPr>
        <w:t>项目编号：</w:t>
      </w:r>
      <w:r>
        <w:rPr>
          <w:rFonts w:hint="eastAsia" w:ascii="宋体" w:hAnsi="宋体" w:cs="宋体"/>
          <w:b/>
          <w:bCs/>
          <w:sz w:val="32"/>
          <w:szCs w:val="32"/>
          <w:highlight w:val="none"/>
          <w:u w:val="single"/>
        </w:rPr>
        <w:t xml:space="preserve"> </w:t>
      </w:r>
      <w:r>
        <w:rPr>
          <w:rFonts w:hint="eastAsia" w:ascii="宋体" w:hAnsi="宋体" w:cs="宋体"/>
          <w:b/>
          <w:bCs/>
          <w:sz w:val="32"/>
          <w:szCs w:val="32"/>
          <w:highlight w:val="none"/>
          <w:u w:val="single"/>
          <w:lang w:eastAsia="zh-CN"/>
        </w:rPr>
        <w:t>JSZC-320600-WYKJ-G2026-0041</w:t>
      </w:r>
    </w:p>
    <w:p w14:paraId="56977C64">
      <w:pPr>
        <w:spacing w:after="0" w:line="360" w:lineRule="auto"/>
        <w:ind w:left="3012" w:hanging="3012"/>
        <w:rPr>
          <w:rFonts w:hint="eastAsia" w:ascii="宋体" w:hAnsi="宋体" w:cs="宋体"/>
          <w:b/>
          <w:sz w:val="32"/>
          <w:szCs w:val="32"/>
          <w:highlight w:val="none"/>
        </w:rPr>
      </w:pPr>
    </w:p>
    <w:p w14:paraId="0C8BEA30">
      <w:pPr>
        <w:spacing w:after="0" w:line="360" w:lineRule="auto"/>
        <w:jc w:val="left"/>
        <w:rPr>
          <w:rFonts w:hint="eastAsia" w:ascii="宋体" w:hAnsi="宋体" w:cs="宋体"/>
          <w:sz w:val="32"/>
          <w:szCs w:val="32"/>
          <w:highlight w:val="none"/>
        </w:rPr>
      </w:pPr>
    </w:p>
    <w:p w14:paraId="6EA3EF74">
      <w:pPr>
        <w:spacing w:after="0" w:line="360" w:lineRule="auto"/>
        <w:jc w:val="left"/>
        <w:rPr>
          <w:rFonts w:hint="eastAsia" w:ascii="宋体" w:hAnsi="宋体" w:cs="宋体"/>
          <w:sz w:val="32"/>
          <w:szCs w:val="32"/>
          <w:highlight w:val="none"/>
        </w:rPr>
      </w:pPr>
    </w:p>
    <w:p w14:paraId="222621F0">
      <w:pPr>
        <w:spacing w:after="0" w:line="360" w:lineRule="auto"/>
        <w:jc w:val="left"/>
        <w:rPr>
          <w:rFonts w:hint="eastAsia" w:ascii="宋体" w:hAnsi="宋体" w:cs="宋体"/>
          <w:sz w:val="32"/>
          <w:szCs w:val="32"/>
          <w:highlight w:val="none"/>
        </w:rPr>
      </w:pPr>
    </w:p>
    <w:p w14:paraId="2BF0C423">
      <w:pPr>
        <w:spacing w:after="0" w:line="360" w:lineRule="auto"/>
        <w:jc w:val="left"/>
        <w:rPr>
          <w:rFonts w:hint="eastAsia" w:ascii="宋体" w:hAnsi="宋体" w:cs="宋体"/>
          <w:sz w:val="32"/>
          <w:szCs w:val="32"/>
          <w:highlight w:val="none"/>
        </w:rPr>
      </w:pPr>
    </w:p>
    <w:p w14:paraId="4EA14549">
      <w:pPr>
        <w:spacing w:after="0" w:line="360" w:lineRule="auto"/>
        <w:jc w:val="left"/>
        <w:rPr>
          <w:rFonts w:hint="eastAsia" w:ascii="宋体" w:hAnsi="宋体" w:cs="宋体"/>
          <w:sz w:val="32"/>
          <w:szCs w:val="32"/>
          <w:highlight w:val="none"/>
        </w:rPr>
      </w:pPr>
    </w:p>
    <w:p w14:paraId="1BEBE1CE">
      <w:pPr>
        <w:spacing w:after="0" w:line="360" w:lineRule="auto"/>
        <w:jc w:val="left"/>
        <w:rPr>
          <w:rFonts w:hint="eastAsia" w:ascii="宋体" w:hAnsi="宋体" w:cs="宋体"/>
          <w:sz w:val="32"/>
          <w:szCs w:val="32"/>
          <w:highlight w:val="none"/>
        </w:rPr>
      </w:pPr>
    </w:p>
    <w:p w14:paraId="43425EF9">
      <w:pPr>
        <w:spacing w:after="0" w:line="360" w:lineRule="auto"/>
        <w:jc w:val="left"/>
        <w:rPr>
          <w:rFonts w:hint="eastAsia" w:ascii="宋体" w:hAnsi="宋体" w:cs="宋体"/>
          <w:sz w:val="32"/>
          <w:szCs w:val="32"/>
          <w:highlight w:val="none"/>
        </w:rPr>
      </w:pPr>
    </w:p>
    <w:p w14:paraId="644246B4">
      <w:pPr>
        <w:spacing w:after="0"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采购人：南通市疾病预防控制中心</w:t>
      </w:r>
    </w:p>
    <w:p w14:paraId="5D9F55D5">
      <w:pPr>
        <w:spacing w:after="0"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采购代理机构：中通服网盈科技有限公司</w:t>
      </w:r>
    </w:p>
    <w:p w14:paraId="32B01322">
      <w:pPr>
        <w:spacing w:after="0" w:line="360" w:lineRule="auto"/>
        <w:jc w:val="center"/>
        <w:rPr>
          <w:rFonts w:hint="eastAsia" w:ascii="宋体" w:hAnsi="宋体" w:cs="宋体"/>
          <w:sz w:val="32"/>
          <w:szCs w:val="32"/>
          <w:highlight w:val="none"/>
          <w:u w:val="single"/>
        </w:rPr>
      </w:pPr>
      <w:r>
        <w:rPr>
          <w:rFonts w:hint="eastAsia" w:ascii="宋体" w:hAnsi="宋体" w:cs="宋体"/>
          <w:b/>
          <w:bCs/>
          <w:sz w:val="32"/>
          <w:szCs w:val="32"/>
          <w:highlight w:val="none"/>
          <w:u w:val="single"/>
        </w:rPr>
        <w:t>2026</w:t>
      </w:r>
      <w:r>
        <w:rPr>
          <w:rFonts w:hint="eastAsia" w:ascii="宋体" w:hAnsi="宋体" w:cs="宋体"/>
          <w:b/>
          <w:bCs/>
          <w:sz w:val="32"/>
          <w:szCs w:val="32"/>
          <w:highlight w:val="none"/>
        </w:rPr>
        <w:t>年</w:t>
      </w:r>
      <w:r>
        <w:rPr>
          <w:rFonts w:hint="eastAsia" w:ascii="宋体" w:hAnsi="宋体" w:cs="宋体"/>
          <w:b/>
          <w:bCs/>
          <w:sz w:val="32"/>
          <w:szCs w:val="32"/>
          <w:highlight w:val="none"/>
          <w:u w:val="single"/>
          <w:lang w:val="en-US" w:eastAsia="zh-CN"/>
        </w:rPr>
        <w:t>10</w:t>
      </w:r>
      <w:r>
        <w:rPr>
          <w:rFonts w:hint="eastAsia" w:ascii="宋体" w:hAnsi="宋体" w:cs="宋体"/>
          <w:b/>
          <w:bCs/>
          <w:sz w:val="32"/>
          <w:szCs w:val="32"/>
          <w:highlight w:val="none"/>
        </w:rPr>
        <w:t>月</w:t>
      </w:r>
      <w:r>
        <w:rPr>
          <w:rFonts w:hint="eastAsia" w:ascii="宋体" w:hAnsi="宋体" w:cs="宋体"/>
          <w:b/>
          <w:bCs/>
          <w:sz w:val="32"/>
          <w:szCs w:val="32"/>
          <w:highlight w:val="none"/>
          <w:u w:val="single"/>
        </w:rPr>
        <w:t xml:space="preserve"> </w:t>
      </w:r>
      <w:r>
        <w:rPr>
          <w:rFonts w:hint="eastAsia" w:ascii="宋体" w:hAnsi="宋体" w:cs="宋体"/>
          <w:b/>
          <w:bCs/>
          <w:sz w:val="32"/>
          <w:szCs w:val="32"/>
          <w:highlight w:val="none"/>
          <w:u w:val="single"/>
          <w:lang w:val="en-US" w:eastAsia="zh-CN"/>
        </w:rPr>
        <w:t>09</w:t>
      </w:r>
      <w:r>
        <w:rPr>
          <w:rFonts w:hint="eastAsia" w:ascii="宋体" w:hAnsi="宋体" w:cs="宋体"/>
          <w:b/>
          <w:bCs/>
          <w:sz w:val="32"/>
          <w:szCs w:val="32"/>
          <w:highlight w:val="none"/>
          <w:u w:val="single"/>
        </w:rPr>
        <w:t xml:space="preserve"> </w:t>
      </w:r>
      <w:r>
        <w:rPr>
          <w:rFonts w:hint="eastAsia" w:ascii="宋体" w:hAnsi="宋体" w:cs="宋体"/>
          <w:b/>
          <w:bCs/>
          <w:sz w:val="32"/>
          <w:szCs w:val="32"/>
          <w:highlight w:val="none"/>
        </w:rPr>
        <w:t>日</w:t>
      </w:r>
      <w:r>
        <w:rPr>
          <w:rFonts w:hint="eastAsia" w:ascii="宋体" w:hAnsi="宋体" w:cs="宋体"/>
          <w:sz w:val="32"/>
          <w:szCs w:val="32"/>
          <w:highlight w:val="none"/>
        </w:rPr>
        <w:t xml:space="preserve">                        </w:t>
      </w:r>
    </w:p>
    <w:p w14:paraId="27DAC184">
      <w:pPr>
        <w:spacing w:after="0" w:line="360" w:lineRule="auto"/>
        <w:jc w:val="center"/>
        <w:rPr>
          <w:rFonts w:hint="eastAsia" w:ascii="宋体" w:hAnsi="宋体" w:cs="宋体"/>
          <w:sz w:val="24"/>
          <w:szCs w:val="24"/>
          <w:highlight w:val="none"/>
        </w:rPr>
      </w:pPr>
    </w:p>
    <w:p w14:paraId="0E3EA758">
      <w:pPr>
        <w:spacing w:after="0" w:line="360" w:lineRule="auto"/>
        <w:jc w:val="center"/>
        <w:outlineLvl w:val="0"/>
        <w:rPr>
          <w:rFonts w:hint="eastAsia" w:ascii="宋体" w:hAnsi="宋体" w:cs="宋体"/>
          <w:b/>
          <w:sz w:val="24"/>
          <w:szCs w:val="24"/>
          <w:highlight w:val="none"/>
        </w:rPr>
        <w:sectPr>
          <w:footerReference r:id="rId6" w:type="first"/>
          <w:footerReference r:id="rId5" w:type="default"/>
          <w:pgSz w:w="11906" w:h="16838"/>
          <w:pgMar w:top="1440" w:right="1800" w:bottom="1440" w:left="1800" w:header="851" w:footer="992" w:gutter="0"/>
          <w:pgNumType w:start="1"/>
          <w:cols w:space="1701" w:num="1"/>
          <w:docGrid w:linePitch="360" w:charSpace="0"/>
        </w:sectPr>
      </w:pPr>
      <w:bookmarkStart w:id="0" w:name="_Toc120614210"/>
      <w:bookmarkStart w:id="1" w:name="_Toc513029200"/>
      <w:bookmarkStart w:id="2" w:name="_Toc16938516"/>
      <w:bookmarkStart w:id="3" w:name="_Toc523127445"/>
      <w:bookmarkStart w:id="4" w:name="_Toc479757206"/>
      <w:bookmarkStart w:id="5" w:name="_Toc20823272"/>
    </w:p>
    <w:p w14:paraId="14A68BE6">
      <w:pPr>
        <w:spacing w:after="0" w:line="360" w:lineRule="auto"/>
        <w:jc w:val="center"/>
        <w:outlineLvl w:val="0"/>
        <w:rPr>
          <w:rFonts w:hint="eastAsia" w:ascii="宋体" w:hAnsi="宋体" w:cs="宋体"/>
          <w:b/>
          <w:sz w:val="44"/>
          <w:szCs w:val="44"/>
          <w:highlight w:val="none"/>
        </w:rPr>
      </w:pPr>
      <w:r>
        <w:rPr>
          <w:rFonts w:hint="eastAsia" w:ascii="宋体" w:hAnsi="宋体" w:cs="宋体"/>
          <w:b/>
          <w:sz w:val="44"/>
          <w:szCs w:val="44"/>
          <w:highlight w:val="none"/>
        </w:rPr>
        <w:t>总  目  录</w:t>
      </w:r>
    </w:p>
    <w:p w14:paraId="5451C17B">
      <w:pPr>
        <w:spacing w:after="0" w:line="360" w:lineRule="auto"/>
        <w:rPr>
          <w:rFonts w:hint="eastAsia" w:ascii="宋体" w:hAnsi="宋体" w:cs="宋体"/>
          <w:b/>
          <w:sz w:val="32"/>
          <w:szCs w:val="32"/>
          <w:highlight w:val="none"/>
        </w:rPr>
      </w:pPr>
    </w:p>
    <w:p w14:paraId="5F787E19">
      <w:pPr>
        <w:tabs>
          <w:tab w:val="left" w:pos="1440"/>
        </w:tabs>
        <w:spacing w:after="0" w:line="360" w:lineRule="auto"/>
        <w:ind w:left="1440" w:hanging="1440"/>
        <w:outlineLvl w:val="0"/>
        <w:rPr>
          <w:rFonts w:hint="eastAsia" w:ascii="宋体" w:hAnsi="宋体" w:cs="宋体"/>
          <w:sz w:val="36"/>
          <w:szCs w:val="36"/>
          <w:highlight w:val="none"/>
        </w:rPr>
      </w:pPr>
      <w:r>
        <w:rPr>
          <w:rFonts w:hint="eastAsia" w:ascii="宋体" w:hAnsi="宋体" w:cs="宋体"/>
          <w:sz w:val="36"/>
          <w:szCs w:val="36"/>
          <w:highlight w:val="none"/>
        </w:rPr>
        <w:t>第一章 投标邀请</w:t>
      </w:r>
    </w:p>
    <w:p w14:paraId="2C8A6CEF">
      <w:pPr>
        <w:tabs>
          <w:tab w:val="left" w:pos="1440"/>
        </w:tabs>
        <w:spacing w:after="0" w:line="360" w:lineRule="auto"/>
        <w:ind w:left="1440" w:hanging="1440"/>
        <w:outlineLvl w:val="0"/>
        <w:rPr>
          <w:rFonts w:hint="eastAsia" w:ascii="宋体" w:hAnsi="宋体" w:cs="宋体"/>
          <w:sz w:val="36"/>
          <w:szCs w:val="36"/>
          <w:highlight w:val="none"/>
        </w:rPr>
      </w:pPr>
      <w:r>
        <w:rPr>
          <w:rFonts w:hint="eastAsia" w:ascii="宋体" w:hAnsi="宋体" w:cs="宋体"/>
          <w:sz w:val="36"/>
          <w:szCs w:val="36"/>
          <w:highlight w:val="none"/>
        </w:rPr>
        <w:t xml:space="preserve">第二章 </w:t>
      </w:r>
      <w:r>
        <w:rPr>
          <w:rFonts w:hint="eastAsia" w:ascii="宋体" w:hAnsi="宋体" w:cs="宋体"/>
          <w:bCs/>
          <w:sz w:val="36"/>
          <w:szCs w:val="36"/>
          <w:highlight w:val="none"/>
        </w:rPr>
        <w:t>投标人须知</w:t>
      </w:r>
    </w:p>
    <w:p w14:paraId="5581DD39">
      <w:pPr>
        <w:tabs>
          <w:tab w:val="left" w:pos="1440"/>
        </w:tabs>
        <w:spacing w:after="0" w:line="360" w:lineRule="auto"/>
        <w:ind w:left="1440" w:hanging="1440"/>
        <w:outlineLvl w:val="0"/>
        <w:rPr>
          <w:rFonts w:hint="eastAsia" w:ascii="宋体" w:hAnsi="宋体" w:cs="宋体"/>
          <w:sz w:val="36"/>
          <w:szCs w:val="36"/>
          <w:highlight w:val="none"/>
        </w:rPr>
      </w:pPr>
      <w:r>
        <w:rPr>
          <w:rFonts w:hint="eastAsia" w:ascii="宋体" w:hAnsi="宋体" w:cs="宋体"/>
          <w:sz w:val="36"/>
          <w:szCs w:val="36"/>
          <w:highlight w:val="none"/>
        </w:rPr>
        <w:t>第三章 合同文本</w:t>
      </w:r>
    </w:p>
    <w:p w14:paraId="7210A9B9">
      <w:pPr>
        <w:tabs>
          <w:tab w:val="left" w:pos="1440"/>
        </w:tabs>
        <w:spacing w:after="0" w:line="360" w:lineRule="auto"/>
        <w:ind w:left="1440" w:hanging="1440"/>
        <w:outlineLvl w:val="0"/>
        <w:rPr>
          <w:rFonts w:hint="eastAsia" w:ascii="宋体" w:hAnsi="宋体" w:cs="宋体"/>
          <w:sz w:val="36"/>
          <w:szCs w:val="36"/>
          <w:highlight w:val="none"/>
        </w:rPr>
      </w:pPr>
      <w:r>
        <w:rPr>
          <w:rFonts w:hint="eastAsia" w:ascii="宋体" w:hAnsi="宋体" w:cs="宋体"/>
          <w:sz w:val="36"/>
          <w:szCs w:val="36"/>
          <w:highlight w:val="none"/>
        </w:rPr>
        <w:t>第四章 采购需求</w:t>
      </w:r>
    </w:p>
    <w:p w14:paraId="044C0C21">
      <w:pPr>
        <w:tabs>
          <w:tab w:val="left" w:pos="1440"/>
        </w:tabs>
        <w:spacing w:after="0" w:line="360" w:lineRule="auto"/>
        <w:ind w:left="1440" w:hanging="1440"/>
        <w:outlineLvl w:val="0"/>
        <w:rPr>
          <w:rFonts w:hint="eastAsia" w:ascii="宋体" w:hAnsi="宋体" w:cs="宋体"/>
          <w:sz w:val="36"/>
          <w:szCs w:val="36"/>
          <w:highlight w:val="none"/>
        </w:rPr>
      </w:pPr>
      <w:r>
        <w:rPr>
          <w:rFonts w:hint="eastAsia" w:ascii="宋体" w:hAnsi="宋体" w:cs="宋体"/>
          <w:sz w:val="36"/>
          <w:szCs w:val="36"/>
          <w:highlight w:val="none"/>
        </w:rPr>
        <w:t xml:space="preserve">第五章 </w:t>
      </w:r>
      <w:r>
        <w:rPr>
          <w:rFonts w:hint="eastAsia" w:ascii="宋体" w:hAnsi="宋体" w:cs="宋体"/>
          <w:bCs/>
          <w:sz w:val="36"/>
          <w:szCs w:val="36"/>
          <w:highlight w:val="none"/>
        </w:rPr>
        <w:t>评标方法与评标标准</w:t>
      </w:r>
    </w:p>
    <w:p w14:paraId="747A1372">
      <w:pPr>
        <w:tabs>
          <w:tab w:val="left" w:pos="1440"/>
        </w:tabs>
        <w:spacing w:after="0" w:line="360" w:lineRule="auto"/>
        <w:ind w:left="1440" w:hanging="1440"/>
        <w:outlineLvl w:val="0"/>
        <w:rPr>
          <w:rFonts w:hint="eastAsia" w:ascii="宋体" w:hAnsi="宋体" w:cs="宋体"/>
          <w:sz w:val="36"/>
          <w:szCs w:val="36"/>
          <w:highlight w:val="none"/>
        </w:rPr>
      </w:pPr>
      <w:r>
        <w:rPr>
          <w:rFonts w:hint="eastAsia" w:ascii="宋体" w:hAnsi="宋体" w:cs="宋体"/>
          <w:sz w:val="36"/>
          <w:szCs w:val="36"/>
          <w:highlight w:val="none"/>
        </w:rPr>
        <w:t>第六章 投标文件格式</w:t>
      </w:r>
    </w:p>
    <w:p w14:paraId="0A48E4DE">
      <w:pPr>
        <w:spacing w:after="0" w:line="360" w:lineRule="auto"/>
        <w:rPr>
          <w:rFonts w:hint="eastAsia" w:ascii="宋体" w:hAnsi="宋体" w:cs="宋体"/>
          <w:sz w:val="24"/>
          <w:szCs w:val="24"/>
          <w:highlight w:val="none"/>
        </w:rPr>
      </w:pPr>
    </w:p>
    <w:p w14:paraId="2980D438">
      <w:pPr>
        <w:spacing w:after="0" w:line="360" w:lineRule="auto"/>
        <w:rPr>
          <w:rFonts w:hint="eastAsia" w:ascii="宋体" w:hAnsi="宋体" w:cs="宋体"/>
          <w:sz w:val="24"/>
          <w:szCs w:val="24"/>
          <w:highlight w:val="none"/>
        </w:rPr>
      </w:pPr>
    </w:p>
    <w:p w14:paraId="4E5A2B54">
      <w:pPr>
        <w:spacing w:after="0" w:line="360" w:lineRule="auto"/>
        <w:rPr>
          <w:rFonts w:hint="eastAsia" w:ascii="宋体" w:hAnsi="宋体" w:cs="宋体"/>
          <w:sz w:val="24"/>
          <w:szCs w:val="24"/>
          <w:highlight w:val="none"/>
        </w:rPr>
      </w:pPr>
    </w:p>
    <w:p w14:paraId="743D1E30">
      <w:pPr>
        <w:spacing w:after="0" w:line="360" w:lineRule="auto"/>
        <w:rPr>
          <w:rFonts w:hint="eastAsia" w:ascii="宋体" w:hAnsi="宋体" w:cs="宋体"/>
          <w:sz w:val="24"/>
          <w:szCs w:val="24"/>
          <w:highlight w:val="none"/>
        </w:rPr>
      </w:pPr>
    </w:p>
    <w:p w14:paraId="67BC0E1F">
      <w:pPr>
        <w:spacing w:after="0" w:line="360" w:lineRule="auto"/>
        <w:rPr>
          <w:rFonts w:hint="eastAsia" w:ascii="宋体" w:hAnsi="宋体" w:cs="宋体"/>
          <w:sz w:val="24"/>
          <w:szCs w:val="24"/>
          <w:highlight w:val="none"/>
        </w:rPr>
      </w:pPr>
    </w:p>
    <w:p w14:paraId="3476B0AD">
      <w:pPr>
        <w:spacing w:after="0" w:line="360" w:lineRule="auto"/>
        <w:rPr>
          <w:rFonts w:hint="eastAsia" w:ascii="宋体" w:hAnsi="宋体" w:cs="宋体"/>
          <w:sz w:val="24"/>
          <w:szCs w:val="24"/>
          <w:highlight w:val="none"/>
        </w:rPr>
      </w:pPr>
    </w:p>
    <w:p w14:paraId="4864A886">
      <w:pPr>
        <w:spacing w:after="0" w:line="360" w:lineRule="auto"/>
        <w:rPr>
          <w:rFonts w:hint="eastAsia" w:ascii="宋体" w:hAnsi="宋体" w:cs="宋体"/>
          <w:sz w:val="24"/>
          <w:szCs w:val="24"/>
          <w:highlight w:val="none"/>
        </w:rPr>
      </w:pPr>
    </w:p>
    <w:p w14:paraId="58A2080D">
      <w:pPr>
        <w:spacing w:after="0" w:line="360" w:lineRule="auto"/>
        <w:rPr>
          <w:rFonts w:hint="eastAsia" w:ascii="宋体" w:hAnsi="宋体" w:cs="宋体"/>
          <w:sz w:val="24"/>
          <w:szCs w:val="24"/>
          <w:highlight w:val="none"/>
        </w:rPr>
      </w:pPr>
    </w:p>
    <w:p w14:paraId="5B1BBFBA">
      <w:pPr>
        <w:spacing w:after="0" w:line="360" w:lineRule="auto"/>
        <w:rPr>
          <w:rFonts w:hint="eastAsia" w:ascii="宋体" w:hAnsi="宋体" w:cs="宋体"/>
          <w:sz w:val="24"/>
          <w:szCs w:val="24"/>
          <w:highlight w:val="none"/>
        </w:rPr>
      </w:pPr>
    </w:p>
    <w:p w14:paraId="529716B7">
      <w:pPr>
        <w:spacing w:after="0" w:line="360" w:lineRule="auto"/>
        <w:rPr>
          <w:rFonts w:hint="eastAsia" w:ascii="宋体" w:hAnsi="宋体" w:cs="宋体"/>
          <w:sz w:val="24"/>
          <w:szCs w:val="24"/>
          <w:highlight w:val="none"/>
        </w:rPr>
      </w:pPr>
      <w:r>
        <w:rPr>
          <w:rFonts w:hint="eastAsia" w:ascii="宋体" w:hAnsi="宋体" w:cs="宋体"/>
          <w:sz w:val="24"/>
          <w:szCs w:val="24"/>
          <w:highlight w:val="none"/>
        </w:rPr>
        <w:br w:type="page" w:clear="all"/>
      </w:r>
    </w:p>
    <w:p w14:paraId="094F43A6">
      <w:pPr>
        <w:pStyle w:val="75"/>
        <w:spacing w:before="0" w:after="0" w:line="360" w:lineRule="auto"/>
        <w:rPr>
          <w:rFonts w:hint="eastAsia" w:ascii="宋体" w:hAnsi="宋体" w:eastAsia="宋体" w:cs="宋体"/>
          <w:sz w:val="24"/>
          <w:szCs w:val="24"/>
          <w:highlight w:val="none"/>
          <w:lang w:eastAsia="zh-CN"/>
        </w:rPr>
        <w:sectPr>
          <w:footerReference r:id="rId7" w:type="default"/>
          <w:pgSz w:w="11906" w:h="16838"/>
          <w:pgMar w:top="1440" w:right="1800" w:bottom="1440" w:left="1800" w:header="851" w:footer="992" w:gutter="0"/>
          <w:pgNumType w:start="1"/>
          <w:cols w:space="1701" w:num="1"/>
          <w:docGrid w:linePitch="360" w:charSpace="0"/>
        </w:sectPr>
      </w:pPr>
    </w:p>
    <w:p w14:paraId="40E2F0A0">
      <w:pPr>
        <w:spacing w:after="0" w:line="360" w:lineRule="auto"/>
        <w:jc w:val="center"/>
        <w:outlineLvl w:val="0"/>
        <w:rPr>
          <w:rFonts w:hint="eastAsia" w:ascii="宋体" w:hAnsi="宋体" w:cs="宋体"/>
          <w:b/>
          <w:bCs/>
          <w:sz w:val="44"/>
          <w:szCs w:val="44"/>
          <w:highlight w:val="none"/>
        </w:rPr>
      </w:pPr>
      <w:r>
        <w:rPr>
          <w:rFonts w:hint="eastAsia" w:ascii="宋体" w:hAnsi="宋体" w:cs="宋体"/>
          <w:b/>
          <w:bCs/>
          <w:sz w:val="44"/>
          <w:szCs w:val="44"/>
          <w:highlight w:val="none"/>
        </w:rPr>
        <w:t xml:space="preserve">第一章  </w:t>
      </w:r>
      <w:bookmarkEnd w:id="0"/>
      <w:r>
        <w:rPr>
          <w:rFonts w:hint="eastAsia" w:ascii="宋体" w:hAnsi="宋体" w:cs="宋体"/>
          <w:b/>
          <w:bCs/>
          <w:sz w:val="44"/>
          <w:szCs w:val="44"/>
          <w:highlight w:val="none"/>
        </w:rPr>
        <w:t>投标邀请</w:t>
      </w:r>
    </w:p>
    <w:p w14:paraId="5D36023D">
      <w:pPr>
        <w:spacing w:after="0" w:line="360" w:lineRule="auto"/>
        <w:ind w:firstLine="482"/>
        <w:rPr>
          <w:rFonts w:hint="eastAsia" w:ascii="宋体" w:hAnsi="宋体" w:cs="宋体"/>
          <w:sz w:val="24"/>
          <w:szCs w:val="24"/>
          <w:highlight w:val="none"/>
        </w:rPr>
      </w:pPr>
      <w:r>
        <w:rPr>
          <w:rFonts w:hint="eastAsia" w:ascii="宋体" w:hAnsi="宋体" w:cs="宋体"/>
          <w:sz w:val="24"/>
          <w:szCs w:val="24"/>
          <w:highlight w:val="none"/>
        </w:rPr>
        <w:t>受南通市疾病预防控制中心委托，中通服网盈科技有限公司就南通市疾病预防控制中心高通量二代测序一体化平台采购项目（项目编号：</w:t>
      </w:r>
      <w:r>
        <w:rPr>
          <w:rFonts w:hint="eastAsia" w:ascii="宋体" w:hAnsi="宋体" w:cs="宋体"/>
          <w:sz w:val="24"/>
          <w:szCs w:val="24"/>
          <w:highlight w:val="none"/>
          <w:lang w:eastAsia="zh-CN"/>
        </w:rPr>
        <w:t>JSZC-320600-WYKJ-G2026-0041</w:t>
      </w:r>
      <w:r>
        <w:rPr>
          <w:rFonts w:hint="eastAsia" w:ascii="宋体" w:hAnsi="宋体" w:cs="宋体"/>
          <w:sz w:val="24"/>
          <w:szCs w:val="24"/>
          <w:highlight w:val="none"/>
        </w:rPr>
        <w:t>）进行公开招标采购，欢迎符合条件的供应商投标。</w:t>
      </w:r>
    </w:p>
    <w:p w14:paraId="7C00CF60">
      <w:pPr>
        <w:pBdr>
          <w:top w:val="single" w:color="000000" w:sz="4" w:space="1"/>
          <w:left w:val="single" w:color="000000" w:sz="4" w:space="4"/>
          <w:bottom w:val="single" w:color="000000" w:sz="4" w:space="1"/>
          <w:right w:val="single" w:color="000000" w:sz="4" w:space="4"/>
        </w:pBd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项目概况</w:t>
      </w:r>
    </w:p>
    <w:p w14:paraId="46208152">
      <w:pPr>
        <w:pBdr>
          <w:top w:val="single" w:color="000000" w:sz="4" w:space="1"/>
          <w:left w:val="single" w:color="000000" w:sz="4" w:space="4"/>
          <w:bottom w:val="single" w:color="000000" w:sz="4" w:space="1"/>
          <w:right w:val="single" w:color="000000" w:sz="4" w:space="4"/>
        </w:pBd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u w:val="single"/>
        </w:rPr>
        <w:t>南通市疾病预防控制中心高通量二代测序一体化平台采购项目</w:t>
      </w:r>
      <w:r>
        <w:rPr>
          <w:rFonts w:hint="eastAsia" w:ascii="宋体" w:hAnsi="宋体" w:cs="宋体"/>
          <w:sz w:val="24"/>
          <w:szCs w:val="24"/>
          <w:highlight w:val="none"/>
        </w:rPr>
        <w:t>的潜在投标人可在</w:t>
      </w:r>
      <w:r>
        <w:rPr>
          <w:rFonts w:hint="eastAsia" w:ascii="宋体" w:hAnsi="宋体" w:cs="宋体"/>
          <w:sz w:val="24"/>
          <w:szCs w:val="24"/>
          <w:highlight w:val="none"/>
          <w:u w:val="single"/>
        </w:rPr>
        <w:t>“江苏政府采购网”自行免费下载</w:t>
      </w:r>
      <w:r>
        <w:rPr>
          <w:rFonts w:hint="eastAsia" w:ascii="宋体" w:hAnsi="宋体" w:cs="宋体"/>
          <w:sz w:val="24"/>
          <w:szCs w:val="24"/>
          <w:highlight w:val="none"/>
        </w:rPr>
        <w:t>招标文件，并于</w:t>
      </w:r>
      <w:r>
        <w:rPr>
          <w:rFonts w:hint="eastAsia" w:ascii="宋体" w:hAnsi="宋体" w:cs="宋体"/>
          <w:sz w:val="24"/>
          <w:szCs w:val="24"/>
          <w:highlight w:val="none"/>
          <w:u w:val="single"/>
        </w:rPr>
        <w:t>2026年10月</w:t>
      </w:r>
      <w:r>
        <w:rPr>
          <w:rFonts w:hint="eastAsia" w:ascii="宋体" w:hAnsi="宋体" w:cs="宋体"/>
          <w:sz w:val="24"/>
          <w:szCs w:val="24"/>
          <w:highlight w:val="none"/>
          <w:u w:val="single"/>
          <w:lang w:val="en-US" w:eastAsia="zh-CN"/>
        </w:rPr>
        <w:t>30</w:t>
      </w:r>
      <w:r>
        <w:rPr>
          <w:rFonts w:hint="eastAsia" w:ascii="宋体" w:hAnsi="宋体" w:cs="宋体"/>
          <w:sz w:val="24"/>
          <w:szCs w:val="24"/>
          <w:highlight w:val="none"/>
          <w:u w:val="single"/>
        </w:rPr>
        <w:t>日09:30</w:t>
      </w:r>
      <w:r>
        <w:rPr>
          <w:rFonts w:hint="eastAsia" w:ascii="宋体" w:hAnsi="宋体" w:cs="宋体"/>
          <w:bCs/>
          <w:sz w:val="24"/>
          <w:szCs w:val="24"/>
          <w:highlight w:val="none"/>
        </w:rPr>
        <w:t>（北京时间）前递交投标文件</w:t>
      </w:r>
      <w:r>
        <w:rPr>
          <w:rFonts w:hint="eastAsia" w:ascii="宋体" w:hAnsi="宋体" w:cs="宋体"/>
          <w:sz w:val="24"/>
          <w:szCs w:val="24"/>
          <w:highlight w:val="none"/>
        </w:rPr>
        <w:t>。</w:t>
      </w:r>
    </w:p>
    <w:p w14:paraId="680E12E9">
      <w:pPr>
        <w:keepNext/>
        <w:keepLines/>
        <w:spacing w:after="0" w:line="360" w:lineRule="auto"/>
        <w:outlineLvl w:val="2"/>
        <w:rPr>
          <w:rFonts w:hint="eastAsia" w:ascii="宋体" w:hAnsi="宋体" w:cs="宋体"/>
          <w:b/>
          <w:bCs/>
          <w:sz w:val="24"/>
          <w:szCs w:val="24"/>
          <w:highlight w:val="none"/>
        </w:rPr>
      </w:pPr>
      <w:bookmarkStart w:id="6" w:name="_Toc35393790"/>
      <w:bookmarkStart w:id="7" w:name="_Toc28359079"/>
      <w:bookmarkStart w:id="8" w:name="_Toc38985263"/>
      <w:bookmarkStart w:id="9" w:name="_Toc28359002"/>
      <w:bookmarkStart w:id="10" w:name="_Toc35393621"/>
      <w:bookmarkStart w:id="11" w:name="_Hlk24379207"/>
      <w:r>
        <w:rPr>
          <w:rFonts w:hint="eastAsia" w:ascii="宋体" w:hAnsi="宋体" w:cs="宋体"/>
          <w:b/>
          <w:bCs/>
          <w:sz w:val="24"/>
          <w:szCs w:val="24"/>
          <w:highlight w:val="none"/>
        </w:rPr>
        <w:t>一、项目基本情况</w:t>
      </w:r>
      <w:bookmarkEnd w:id="6"/>
      <w:bookmarkEnd w:id="7"/>
      <w:bookmarkEnd w:id="8"/>
      <w:bookmarkEnd w:id="9"/>
      <w:bookmarkEnd w:id="10"/>
    </w:p>
    <w:p w14:paraId="7EF8529A">
      <w:pPr>
        <w:spacing w:after="0" w:line="360" w:lineRule="auto"/>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1.项目编号：</w:t>
      </w:r>
      <w:r>
        <w:rPr>
          <w:rFonts w:hint="eastAsia" w:ascii="宋体" w:hAnsi="宋体" w:cs="宋体"/>
          <w:sz w:val="24"/>
          <w:szCs w:val="24"/>
          <w:highlight w:val="none"/>
          <w:lang w:eastAsia="zh-CN"/>
        </w:rPr>
        <w:t>JSZC-320600-WYKJ-G2026-0041</w:t>
      </w:r>
    </w:p>
    <w:p w14:paraId="1785D59C">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2.项目名称：</w:t>
      </w:r>
      <w:bookmarkEnd w:id="11"/>
      <w:r>
        <w:rPr>
          <w:rFonts w:hint="eastAsia" w:ascii="宋体" w:hAnsi="宋体" w:cs="宋体"/>
          <w:sz w:val="24"/>
          <w:szCs w:val="24"/>
          <w:highlight w:val="none"/>
        </w:rPr>
        <w:t>南通市疾病预防控制中心高通量二代测序一体化平台采购项目</w:t>
      </w:r>
    </w:p>
    <w:p w14:paraId="0460784C">
      <w:pPr>
        <w:widowControl/>
        <w:spacing w:after="0" w:line="360" w:lineRule="auto"/>
        <w:ind w:firstLine="480" w:firstLineChars="200"/>
        <w:rPr>
          <w:rFonts w:hint="eastAsia" w:ascii="宋体" w:hAnsi="宋体" w:cs="宋体"/>
          <w:sz w:val="24"/>
          <w:szCs w:val="24"/>
          <w:highlight w:val="none"/>
        </w:rPr>
      </w:pPr>
      <w:r>
        <w:rPr>
          <w:rFonts w:hint="eastAsia" w:ascii="宋体" w:hAnsi="宋体"/>
          <w:sz w:val="24"/>
          <w:szCs w:val="24"/>
          <w:highlight w:val="none"/>
        </w:rPr>
        <w:t>3</w:t>
      </w:r>
      <w:r>
        <w:rPr>
          <w:rFonts w:hint="eastAsia" w:ascii="宋体" w:hAnsi="宋体" w:cs="宋体"/>
          <w:sz w:val="24"/>
          <w:szCs w:val="24"/>
          <w:highlight w:val="none"/>
        </w:rPr>
        <w:t>.项目类型：货物</w:t>
      </w:r>
    </w:p>
    <w:p w14:paraId="03F3BF0D">
      <w:pPr>
        <w:widowControl/>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4.行业类别：工业</w:t>
      </w:r>
    </w:p>
    <w:p w14:paraId="286C5DDC">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5.预算金额：人民币452万元。</w:t>
      </w:r>
    </w:p>
    <w:p w14:paraId="60599238">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6.本项目设定最高限价：最高限价人民币452万元，投标报价超过最高限价的认定为无效投标文件。</w:t>
      </w:r>
    </w:p>
    <w:p w14:paraId="674B4B41">
      <w:pPr>
        <w:spacing w:after="0" w:line="360" w:lineRule="auto"/>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7.采购需求：详细内容见本招标文件第四章</w:t>
      </w:r>
      <w:r>
        <w:rPr>
          <w:rFonts w:hint="eastAsia" w:ascii="宋体" w:hAnsi="宋体" w:cs="宋体"/>
          <w:sz w:val="24"/>
          <w:szCs w:val="24"/>
          <w:highlight w:val="none"/>
          <w:lang w:eastAsia="zh-CN"/>
        </w:rPr>
        <w:t>。</w:t>
      </w:r>
    </w:p>
    <w:p w14:paraId="4E92DF71">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8.合同履行期限：</w:t>
      </w:r>
      <w:bookmarkStart w:id="12" w:name="_Toc28359080"/>
      <w:bookmarkStart w:id="13" w:name="_Toc35393622"/>
      <w:bookmarkStart w:id="14" w:name="_Toc35393791"/>
      <w:bookmarkStart w:id="15" w:name="_Toc38985264"/>
      <w:bookmarkStart w:id="16" w:name="_Toc28359003"/>
      <w:r>
        <w:rPr>
          <w:rFonts w:hint="eastAsia" w:ascii="宋体" w:hAnsi="宋体" w:eastAsia="宋体" w:cs="宋体"/>
          <w:sz w:val="24"/>
          <w:szCs w:val="24"/>
          <w:highlight w:val="none"/>
        </w:rPr>
        <w:t>合同签订后45日历天内到货并完成设备安装及调试</w:t>
      </w:r>
      <w:r>
        <w:rPr>
          <w:rFonts w:hint="eastAsia" w:ascii="宋体" w:hAnsi="宋体" w:cs="宋体"/>
          <w:sz w:val="24"/>
          <w:szCs w:val="24"/>
          <w:highlight w:val="none"/>
        </w:rPr>
        <w:t xml:space="preserve">。 </w:t>
      </w:r>
    </w:p>
    <w:p w14:paraId="7392E24A">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9.本项目（是/否）接受联合体：否。</w:t>
      </w:r>
    </w:p>
    <w:p w14:paraId="650034D4">
      <w:pPr>
        <w:widowControl/>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10.本项目（是/否）接受进口产品：否。</w:t>
      </w:r>
    </w:p>
    <w:p w14:paraId="53F7A446">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11.本项目不接受分包。</w:t>
      </w:r>
    </w:p>
    <w:p w14:paraId="5E65E38D">
      <w:pPr>
        <w:keepNext/>
        <w:keepLines/>
        <w:spacing w:after="0" w:line="360" w:lineRule="auto"/>
        <w:outlineLvl w:val="2"/>
        <w:rPr>
          <w:rFonts w:hint="eastAsia" w:ascii="宋体" w:hAnsi="宋体" w:cs="宋体"/>
          <w:b/>
          <w:bCs/>
          <w:sz w:val="24"/>
          <w:szCs w:val="24"/>
          <w:highlight w:val="none"/>
        </w:rPr>
      </w:pPr>
      <w:r>
        <w:rPr>
          <w:rFonts w:hint="eastAsia" w:ascii="宋体" w:hAnsi="宋体" w:cs="宋体"/>
          <w:b/>
          <w:bCs/>
          <w:sz w:val="24"/>
          <w:szCs w:val="24"/>
          <w:highlight w:val="none"/>
        </w:rPr>
        <w:t>二、申请人的资格要求</w:t>
      </w:r>
      <w:bookmarkEnd w:id="12"/>
      <w:bookmarkEnd w:id="13"/>
      <w:bookmarkEnd w:id="14"/>
      <w:bookmarkEnd w:id="15"/>
      <w:bookmarkEnd w:id="16"/>
    </w:p>
    <w:p w14:paraId="05D77510">
      <w:pPr>
        <w:spacing w:after="0" w:line="360" w:lineRule="auto"/>
        <w:ind w:firstLine="560"/>
        <w:rPr>
          <w:rFonts w:hint="eastAsia" w:ascii="宋体" w:hAnsi="宋体" w:cs="宋体"/>
          <w:b/>
          <w:bCs/>
          <w:sz w:val="24"/>
          <w:szCs w:val="24"/>
          <w:highlight w:val="none"/>
        </w:rPr>
      </w:pPr>
      <w:bookmarkStart w:id="17" w:name="_Toc28359004"/>
      <w:bookmarkStart w:id="18" w:name="_Toc35393623"/>
      <w:bookmarkStart w:id="19" w:name="_Toc38985265"/>
      <w:bookmarkStart w:id="20" w:name="_Toc28359081"/>
      <w:bookmarkStart w:id="21" w:name="_Toc35393792"/>
      <w:r>
        <w:rPr>
          <w:rFonts w:hint="eastAsia" w:ascii="宋体" w:hAnsi="宋体" w:cs="宋体"/>
          <w:b/>
          <w:bCs/>
          <w:sz w:val="24"/>
          <w:szCs w:val="24"/>
          <w:highlight w:val="none"/>
        </w:rPr>
        <w:t>（一）通用资格要求</w:t>
      </w:r>
    </w:p>
    <w:p w14:paraId="35B29C50">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1.满足《中华人民共和国政府采购法》第二十二条规定；</w:t>
      </w:r>
    </w:p>
    <w:p w14:paraId="20237711">
      <w:pPr>
        <w:widowControl/>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2.供应商具有独立承担民事责任的能力，提供法人或者其他组织的营业执照等证明文件；</w:t>
      </w:r>
    </w:p>
    <w:p w14:paraId="0B9B7E07">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3.法定代表人参加投标的，必须提供法定代表人身份证明及法定代表人本人身份证扫描件；非法定代表人参加投标的，必须提供法定代表人签字或盖章的授权委托书、法定代表人本人身份证扫描件及被授权人本人身份证扫描件；</w:t>
      </w:r>
    </w:p>
    <w:p w14:paraId="673E848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w:t>
      </w:r>
      <w:r>
        <w:rPr>
          <w:rFonts w:hint="eastAsia" w:ascii="宋体" w:hAnsi="宋体"/>
          <w:sz w:val="24"/>
          <w:szCs w:val="24"/>
          <w:highlight w:val="none"/>
        </w:rPr>
        <w:t>在“信用中国”网站（www.creditchina.gov.cn）查询，投标人不存在被列入失信被执行人、重大税收违法案件当事人名单；在“中国政府采购”网站（http://www.ccgp.gov.cn/）查询，投标人不存在被列入政府采购严重违法失信行为信息记录；以及无其他不符合《中华人民共和国政府采购法》第二十二条规定条件的信用记录情形；</w:t>
      </w:r>
      <w:r>
        <w:rPr>
          <w:rFonts w:hint="eastAsia" w:ascii="宋体" w:hAnsi="宋体" w:cs="宋体"/>
          <w:sz w:val="24"/>
          <w:szCs w:val="24"/>
          <w:highlight w:val="none"/>
        </w:rPr>
        <w:t>（投标文件中无需提供证明材料）</w:t>
      </w:r>
    </w:p>
    <w:p w14:paraId="646EC213">
      <w:pPr>
        <w:spacing w:after="0" w:line="360" w:lineRule="auto"/>
        <w:ind w:firstLine="560"/>
        <w:rPr>
          <w:rFonts w:hint="eastAsia" w:ascii="宋体" w:hAnsi="宋体" w:cs="宋体"/>
          <w:b/>
          <w:bCs/>
          <w:sz w:val="24"/>
          <w:szCs w:val="24"/>
          <w:highlight w:val="none"/>
        </w:rPr>
      </w:pPr>
      <w:r>
        <w:rPr>
          <w:rFonts w:hint="eastAsia" w:ascii="宋体" w:hAnsi="宋体" w:cs="宋体"/>
          <w:b/>
          <w:bCs/>
          <w:sz w:val="24"/>
          <w:szCs w:val="24"/>
          <w:highlight w:val="none"/>
        </w:rPr>
        <w:t>（二）落实政府采购政策需满足的资格要求</w:t>
      </w:r>
    </w:p>
    <w:p w14:paraId="08DE4D4E">
      <w:pPr>
        <w:spacing w:after="0" w:line="360" w:lineRule="auto"/>
        <w:ind w:firstLine="560"/>
        <w:rPr>
          <w:rFonts w:hint="eastAsia" w:ascii="宋体" w:hAnsi="宋体" w:cs="宋体"/>
          <w:b/>
          <w:bCs/>
          <w:sz w:val="24"/>
          <w:szCs w:val="24"/>
          <w:highlight w:val="none"/>
          <w:u w:val="single"/>
        </w:rPr>
      </w:pPr>
      <w:r>
        <w:rPr>
          <w:rFonts w:ascii="宋体" w:hAnsi="宋体" w:cs="宋体"/>
          <w:b/>
          <w:bCs/>
          <w:sz w:val="24"/>
          <w:szCs w:val="24"/>
          <w:highlight w:val="none"/>
          <w:u w:val="single"/>
        </w:rPr>
        <w:t>无（本项目不专门面向中小企业采购）</w:t>
      </w:r>
    </w:p>
    <w:p w14:paraId="272B06A1">
      <w:pPr>
        <w:spacing w:after="0" w:line="360" w:lineRule="auto"/>
        <w:ind w:firstLine="560"/>
        <w:rPr>
          <w:rFonts w:hint="eastAsia" w:ascii="宋体" w:hAnsi="宋体" w:cs="宋体"/>
          <w:b/>
          <w:bCs/>
          <w:sz w:val="24"/>
          <w:szCs w:val="24"/>
          <w:highlight w:val="none"/>
        </w:rPr>
      </w:pPr>
      <w:r>
        <w:rPr>
          <w:rFonts w:hint="eastAsia" w:ascii="宋体" w:hAnsi="宋体" w:cs="宋体"/>
          <w:b/>
          <w:bCs/>
          <w:sz w:val="24"/>
          <w:szCs w:val="24"/>
          <w:highlight w:val="none"/>
        </w:rPr>
        <w:t>（三）本项目的特定资格要求</w:t>
      </w:r>
    </w:p>
    <w:p w14:paraId="60EFCAEE">
      <w:pPr>
        <w:spacing w:after="0" w:line="360" w:lineRule="auto"/>
        <w:ind w:firstLine="54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供应商若为所投产品制造商的，提供具有有效期内的《医疗器械生产许可证》，设备1、设备2、设备3具有有效的《医疗器械注册证》；</w:t>
      </w:r>
    </w:p>
    <w:p w14:paraId="6870CA16">
      <w:pPr>
        <w:spacing w:after="0" w:line="360" w:lineRule="auto"/>
        <w:ind w:firstLine="540"/>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供应商若为所投产品代理商的，提供具有有效期内的《医疗器械经营许可证》，设备1、设备2、设备3具有有效的《医疗器械注册证》</w:t>
      </w:r>
      <w:r>
        <w:rPr>
          <w:rFonts w:hint="eastAsia" w:ascii="宋体" w:hAnsi="宋体" w:cs="宋体"/>
          <w:sz w:val="24"/>
          <w:szCs w:val="24"/>
          <w:highlight w:val="none"/>
          <w:lang w:val="en-US" w:eastAsia="zh-CN"/>
        </w:rPr>
        <w:t>或《</w:t>
      </w:r>
      <w:r>
        <w:rPr>
          <w:rFonts w:hint="eastAsia" w:ascii="宋体" w:hAnsi="宋体" w:cs="宋体"/>
          <w:sz w:val="24"/>
          <w:szCs w:val="24"/>
          <w:highlight w:val="none"/>
        </w:rPr>
        <w:t>医疗器械经营备案凭证</w:t>
      </w:r>
      <w:r>
        <w:rPr>
          <w:rFonts w:hint="eastAsia" w:ascii="宋体" w:hAnsi="宋体" w:cs="宋体"/>
          <w:sz w:val="24"/>
          <w:szCs w:val="24"/>
          <w:highlight w:val="none"/>
          <w:lang w:val="en-US" w:eastAsia="zh-CN"/>
        </w:rPr>
        <w:t>》。</w:t>
      </w:r>
    </w:p>
    <w:p w14:paraId="5032A982">
      <w:pPr>
        <w:spacing w:after="0" w:line="360" w:lineRule="auto"/>
        <w:ind w:firstLine="540"/>
        <w:rPr>
          <w:rFonts w:hint="eastAsia" w:ascii="宋体" w:hAnsi="宋体" w:cs="宋体"/>
          <w:sz w:val="24"/>
          <w:szCs w:val="24"/>
          <w:highlight w:val="none"/>
          <w:lang w:eastAsia="zh-CN"/>
        </w:rPr>
      </w:pPr>
      <w:r>
        <w:rPr>
          <w:rFonts w:hint="eastAsia" w:ascii="宋体" w:hAnsi="宋体" w:cs="宋体"/>
          <w:sz w:val="24"/>
          <w:szCs w:val="24"/>
          <w:highlight w:val="none"/>
          <w:lang w:eastAsia="zh-CN"/>
        </w:rPr>
        <w:t>国家另有规定的从其规定。</w:t>
      </w:r>
    </w:p>
    <w:p w14:paraId="48DAE866">
      <w:pPr>
        <w:keepNext/>
        <w:keepLines/>
        <w:spacing w:after="0" w:line="360" w:lineRule="auto"/>
        <w:outlineLvl w:val="2"/>
        <w:rPr>
          <w:rFonts w:hint="eastAsia" w:ascii="宋体" w:hAnsi="宋体" w:cs="宋体"/>
          <w:b/>
          <w:bCs/>
          <w:sz w:val="24"/>
          <w:szCs w:val="24"/>
          <w:highlight w:val="none"/>
        </w:rPr>
      </w:pPr>
      <w:r>
        <w:rPr>
          <w:rFonts w:hint="eastAsia" w:ascii="宋体" w:hAnsi="宋体" w:cs="宋体"/>
          <w:b/>
          <w:bCs/>
          <w:sz w:val="24"/>
          <w:szCs w:val="24"/>
          <w:highlight w:val="none"/>
        </w:rPr>
        <w:t>三、获取招标文件</w:t>
      </w:r>
      <w:bookmarkEnd w:id="17"/>
      <w:bookmarkEnd w:id="18"/>
      <w:bookmarkEnd w:id="19"/>
      <w:bookmarkEnd w:id="20"/>
      <w:bookmarkEnd w:id="21"/>
    </w:p>
    <w:p w14:paraId="11127982">
      <w:pPr>
        <w:spacing w:after="0" w:line="360" w:lineRule="auto"/>
        <w:ind w:firstLine="540"/>
        <w:rPr>
          <w:rFonts w:hint="eastAsia" w:ascii="宋体" w:hAnsi="宋体" w:cs="宋体"/>
          <w:sz w:val="24"/>
          <w:szCs w:val="24"/>
          <w:highlight w:val="none"/>
        </w:rPr>
      </w:pPr>
      <w:bookmarkStart w:id="22" w:name="_Toc28359005"/>
      <w:bookmarkStart w:id="23" w:name="_Toc28359082"/>
      <w:bookmarkStart w:id="24" w:name="_Toc35393793"/>
      <w:bookmarkStart w:id="25" w:name="_Toc35393624"/>
      <w:bookmarkStart w:id="26" w:name="_Toc38985266"/>
      <w:r>
        <w:rPr>
          <w:rFonts w:hint="eastAsia" w:ascii="宋体" w:hAnsi="宋体" w:cs="宋体"/>
          <w:sz w:val="24"/>
          <w:szCs w:val="24"/>
          <w:highlight w:val="none"/>
        </w:rPr>
        <w:t>1.时间：自招标文件公告发布之日起5个工作日。</w:t>
      </w:r>
    </w:p>
    <w:p w14:paraId="0CCC2BA6">
      <w:pPr>
        <w:spacing w:after="0" w:line="360" w:lineRule="auto"/>
        <w:ind w:firstLine="540"/>
        <w:rPr>
          <w:rFonts w:hint="eastAsia" w:ascii="宋体" w:hAnsi="宋体" w:cs="宋体"/>
          <w:sz w:val="24"/>
          <w:szCs w:val="24"/>
          <w:highlight w:val="none"/>
          <w:u w:val="single"/>
        </w:rPr>
      </w:pPr>
      <w:r>
        <w:rPr>
          <w:rFonts w:hint="eastAsia" w:ascii="宋体" w:hAnsi="宋体" w:cs="宋体"/>
          <w:sz w:val="24"/>
          <w:szCs w:val="24"/>
          <w:highlight w:val="none"/>
        </w:rPr>
        <w:t>2.方式：凡有意参与投标的供应商须登录江苏省政府采购网首页点击“苏采云”→通过CA锁进行响应确认，并自行在招标文件有效获取期内及时下载获取。</w:t>
      </w:r>
    </w:p>
    <w:p w14:paraId="0FB3345B">
      <w:pPr>
        <w:keepNext/>
        <w:keepLines/>
        <w:spacing w:after="0" w:line="360" w:lineRule="auto"/>
        <w:outlineLvl w:val="2"/>
        <w:rPr>
          <w:rFonts w:hint="eastAsia" w:ascii="宋体" w:hAnsi="宋体" w:cs="宋体"/>
          <w:b/>
          <w:bCs/>
          <w:sz w:val="24"/>
          <w:szCs w:val="24"/>
          <w:highlight w:val="none"/>
        </w:rPr>
      </w:pPr>
      <w:r>
        <w:rPr>
          <w:rFonts w:hint="eastAsia" w:ascii="宋体" w:hAnsi="宋体" w:cs="宋体"/>
          <w:b/>
          <w:bCs/>
          <w:sz w:val="24"/>
          <w:szCs w:val="24"/>
          <w:highlight w:val="none"/>
        </w:rPr>
        <w:t>四、提交投标文件</w:t>
      </w:r>
      <w:bookmarkEnd w:id="22"/>
      <w:bookmarkEnd w:id="23"/>
      <w:r>
        <w:rPr>
          <w:rFonts w:hint="eastAsia" w:ascii="宋体" w:hAnsi="宋体" w:cs="宋体"/>
          <w:b/>
          <w:bCs/>
          <w:sz w:val="24"/>
          <w:szCs w:val="24"/>
          <w:highlight w:val="none"/>
        </w:rPr>
        <w:t>截止时间、开标时间和地点</w:t>
      </w:r>
      <w:bookmarkEnd w:id="24"/>
      <w:bookmarkEnd w:id="25"/>
      <w:bookmarkEnd w:id="26"/>
    </w:p>
    <w:p w14:paraId="68EC519C">
      <w:pPr>
        <w:spacing w:after="0" w:line="360" w:lineRule="auto"/>
        <w:ind w:firstLine="560"/>
        <w:rPr>
          <w:rFonts w:hint="eastAsia" w:ascii="宋体" w:hAnsi="宋体" w:cs="宋体"/>
          <w:i/>
          <w:sz w:val="24"/>
          <w:szCs w:val="24"/>
          <w:highlight w:val="none"/>
        </w:rPr>
      </w:pPr>
      <w:r>
        <w:rPr>
          <w:rFonts w:hint="eastAsia" w:ascii="宋体" w:hAnsi="宋体" w:cs="宋体"/>
          <w:bCs/>
          <w:sz w:val="24"/>
          <w:szCs w:val="24"/>
          <w:highlight w:val="none"/>
          <w:u w:val="single"/>
        </w:rPr>
        <w:t>1.</w:t>
      </w:r>
      <w:r>
        <w:rPr>
          <w:rFonts w:hint="eastAsia" w:ascii="宋体" w:hAnsi="宋体" w:cs="宋体"/>
          <w:sz w:val="24"/>
          <w:szCs w:val="24"/>
          <w:highlight w:val="none"/>
          <w:u w:val="single"/>
        </w:rPr>
        <w:t>2026年10月</w:t>
      </w:r>
      <w:r>
        <w:rPr>
          <w:rFonts w:hint="eastAsia" w:ascii="宋体" w:hAnsi="宋体" w:cs="宋体"/>
          <w:sz w:val="24"/>
          <w:szCs w:val="24"/>
          <w:highlight w:val="none"/>
          <w:u w:val="single"/>
          <w:lang w:val="en-US" w:eastAsia="zh-CN"/>
        </w:rPr>
        <w:t>30</w:t>
      </w:r>
      <w:r>
        <w:rPr>
          <w:rFonts w:hint="eastAsia" w:ascii="宋体" w:hAnsi="宋体" w:cs="宋体"/>
          <w:sz w:val="24"/>
          <w:szCs w:val="24"/>
          <w:highlight w:val="none"/>
          <w:u w:val="single"/>
        </w:rPr>
        <w:t xml:space="preserve">日09:30 </w:t>
      </w:r>
      <w:r>
        <w:rPr>
          <w:rFonts w:hint="eastAsia" w:ascii="宋体" w:hAnsi="宋体" w:cs="宋体"/>
          <w:bCs/>
          <w:sz w:val="24"/>
          <w:szCs w:val="24"/>
          <w:highlight w:val="none"/>
        </w:rPr>
        <w:t>（北京时间）</w:t>
      </w:r>
    </w:p>
    <w:p w14:paraId="4D03C39C">
      <w:pPr>
        <w:spacing w:after="0" w:line="360" w:lineRule="auto"/>
        <w:ind w:firstLine="560"/>
        <w:rPr>
          <w:rFonts w:hint="eastAsia" w:ascii="宋体" w:hAnsi="宋体" w:cs="宋体"/>
          <w:bCs/>
          <w:sz w:val="24"/>
          <w:szCs w:val="24"/>
          <w:highlight w:val="none"/>
          <w:u w:val="single"/>
        </w:rPr>
      </w:pPr>
      <w:r>
        <w:rPr>
          <w:rFonts w:hint="eastAsia" w:ascii="宋体" w:hAnsi="宋体" w:cs="宋体"/>
          <w:sz w:val="24"/>
          <w:szCs w:val="24"/>
          <w:highlight w:val="none"/>
        </w:rPr>
        <w:t>2.地点：“苏采云”政府采购交易系统网上开标大厅</w:t>
      </w:r>
    </w:p>
    <w:p w14:paraId="24740DC4">
      <w:pPr>
        <w:keepNext/>
        <w:keepLines/>
        <w:spacing w:after="0" w:line="360" w:lineRule="auto"/>
        <w:outlineLvl w:val="2"/>
        <w:rPr>
          <w:rFonts w:hint="eastAsia" w:ascii="宋体" w:hAnsi="宋体" w:cs="宋体"/>
          <w:b/>
          <w:bCs/>
          <w:sz w:val="24"/>
          <w:szCs w:val="24"/>
          <w:highlight w:val="none"/>
        </w:rPr>
      </w:pPr>
      <w:bookmarkStart w:id="27" w:name="_Toc28359084"/>
      <w:bookmarkStart w:id="28" w:name="_Toc28359007"/>
      <w:bookmarkStart w:id="29" w:name="_Toc35393625"/>
      <w:bookmarkStart w:id="30" w:name="_Toc35393794"/>
      <w:bookmarkStart w:id="31" w:name="_Toc38985267"/>
      <w:r>
        <w:rPr>
          <w:rFonts w:hint="eastAsia" w:ascii="宋体" w:hAnsi="宋体" w:cs="宋体"/>
          <w:b/>
          <w:bCs/>
          <w:sz w:val="24"/>
          <w:szCs w:val="24"/>
          <w:highlight w:val="none"/>
        </w:rPr>
        <w:t>五、公告期限</w:t>
      </w:r>
      <w:bookmarkEnd w:id="27"/>
      <w:bookmarkEnd w:id="28"/>
      <w:bookmarkEnd w:id="29"/>
      <w:bookmarkEnd w:id="30"/>
      <w:bookmarkEnd w:id="31"/>
    </w:p>
    <w:p w14:paraId="1340E6BB">
      <w:pPr>
        <w:spacing w:after="0" w:line="360" w:lineRule="auto"/>
        <w:ind w:firstLine="560"/>
        <w:rPr>
          <w:rFonts w:hint="eastAsia" w:ascii="宋体" w:hAnsi="宋体" w:cs="宋体"/>
          <w:sz w:val="24"/>
          <w:szCs w:val="24"/>
          <w:highlight w:val="none"/>
        </w:rPr>
      </w:pPr>
      <w:bookmarkStart w:id="32" w:name="_Toc38985268"/>
      <w:bookmarkStart w:id="33" w:name="_Toc35393626"/>
      <w:bookmarkStart w:id="34" w:name="_Toc35393795"/>
      <w:r>
        <w:rPr>
          <w:rFonts w:hint="eastAsia" w:ascii="宋体" w:hAnsi="宋体" w:cs="宋体"/>
          <w:sz w:val="24"/>
          <w:szCs w:val="24"/>
          <w:highlight w:val="none"/>
        </w:rPr>
        <w:t>招标公告及招标文件公告期限为自本公告发布之日起5个工作日。</w:t>
      </w:r>
    </w:p>
    <w:p w14:paraId="3BE05532">
      <w:pPr>
        <w:keepNext/>
        <w:keepLines/>
        <w:spacing w:after="0" w:line="360" w:lineRule="auto"/>
        <w:outlineLvl w:val="2"/>
        <w:rPr>
          <w:rFonts w:hint="eastAsia" w:ascii="宋体" w:hAnsi="宋体" w:cs="宋体"/>
          <w:b/>
          <w:bCs/>
          <w:sz w:val="24"/>
          <w:szCs w:val="24"/>
          <w:highlight w:val="none"/>
        </w:rPr>
      </w:pPr>
      <w:r>
        <w:rPr>
          <w:rFonts w:hint="eastAsia" w:ascii="宋体" w:hAnsi="宋体" w:cs="宋体"/>
          <w:b/>
          <w:bCs/>
          <w:sz w:val="24"/>
          <w:szCs w:val="24"/>
          <w:highlight w:val="none"/>
        </w:rPr>
        <w:t>六、其他补充事宜</w:t>
      </w:r>
      <w:bookmarkEnd w:id="32"/>
      <w:bookmarkEnd w:id="33"/>
      <w:bookmarkEnd w:id="34"/>
    </w:p>
    <w:p w14:paraId="28314106">
      <w:pPr>
        <w:spacing w:after="0" w:line="360" w:lineRule="auto"/>
        <w:ind w:right="119" w:firstLine="560"/>
        <w:rPr>
          <w:rFonts w:hint="eastAsia" w:ascii="宋体" w:hAnsi="宋体" w:cs="宋体"/>
          <w:sz w:val="24"/>
          <w:szCs w:val="24"/>
          <w:highlight w:val="none"/>
        </w:rPr>
      </w:pPr>
      <w:r>
        <w:rPr>
          <w:rFonts w:hint="eastAsia" w:ascii="宋体" w:hAnsi="宋体" w:cs="宋体"/>
          <w:sz w:val="24"/>
          <w:szCs w:val="24"/>
          <w:highlight w:val="none"/>
        </w:rPr>
        <w:t>1.投标保证金：免收。</w:t>
      </w:r>
    </w:p>
    <w:p w14:paraId="0C1D3CFE">
      <w:pPr>
        <w:spacing w:after="0" w:line="360" w:lineRule="auto"/>
        <w:ind w:right="119" w:firstLine="560" w:firstLineChars="0"/>
        <w:rPr>
          <w:rFonts w:hint="eastAsia" w:ascii="宋体" w:hAnsi="宋体" w:cs="宋体"/>
          <w:sz w:val="24"/>
          <w:szCs w:val="24"/>
          <w:highlight w:val="none"/>
        </w:rPr>
      </w:pPr>
      <w:r>
        <w:rPr>
          <w:rFonts w:hint="eastAsia" w:ascii="宋体" w:hAnsi="宋体" w:cs="宋体"/>
          <w:sz w:val="24"/>
          <w:szCs w:val="24"/>
          <w:highlight w:val="none"/>
        </w:rPr>
        <w:t>2.项目开标活动模式：不见面远程开标模式，供应商在各自地点通过“苏采云”政府采购交易系统参加投标活动。</w:t>
      </w:r>
    </w:p>
    <w:p w14:paraId="1CB2F766">
      <w:pPr>
        <w:spacing w:after="0" w:line="360" w:lineRule="auto"/>
        <w:ind w:right="119" w:firstLine="560" w:firstLineChars="0"/>
        <w:rPr>
          <w:rFonts w:hint="eastAsia" w:ascii="宋体" w:hAnsi="宋体" w:cs="宋体"/>
          <w:sz w:val="24"/>
          <w:szCs w:val="24"/>
          <w:highlight w:val="none"/>
        </w:rPr>
      </w:pPr>
      <w:r>
        <w:rPr>
          <w:rFonts w:hint="eastAsia" w:ascii="宋体" w:hAnsi="宋体" w:cs="宋体"/>
          <w:sz w:val="24"/>
          <w:szCs w:val="24"/>
          <w:highlight w:val="none"/>
        </w:rPr>
        <w:t>3.项目演示、样品、答辩等（如有请描述）：无</w:t>
      </w:r>
    </w:p>
    <w:p w14:paraId="3C4D43FF">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7B366E11">
      <w:pPr>
        <w:spacing w:after="0" w:line="360" w:lineRule="auto"/>
        <w:ind w:right="119" w:firstLine="480" w:firstLineChars="200"/>
        <w:rPr>
          <w:rFonts w:hint="eastAsia" w:ascii="宋体" w:hAnsi="宋体" w:cs="宋体"/>
          <w:sz w:val="24"/>
          <w:szCs w:val="24"/>
          <w:highlight w:val="none"/>
        </w:rPr>
      </w:pPr>
      <w:r>
        <w:rPr>
          <w:rFonts w:hint="eastAsia" w:ascii="宋体" w:hAnsi="宋体" w:cs="宋体"/>
          <w:sz w:val="24"/>
          <w:szCs w:val="24"/>
          <w:highlight w:val="none"/>
        </w:rPr>
        <w:t>5.有关本次招标的事项若存在变动或修改，均以江苏政府采购网发布的更正或补充通知为准，敬请及时关注。</w:t>
      </w:r>
    </w:p>
    <w:p w14:paraId="7229799C">
      <w:pPr>
        <w:spacing w:after="0" w:line="360" w:lineRule="auto"/>
        <w:ind w:right="119" w:firstLine="560"/>
        <w:rPr>
          <w:rFonts w:hint="eastAsia" w:ascii="宋体" w:hAnsi="宋体" w:cs="宋体"/>
          <w:sz w:val="24"/>
          <w:szCs w:val="24"/>
          <w:highlight w:val="none"/>
        </w:rPr>
      </w:pPr>
      <w:r>
        <w:rPr>
          <w:rFonts w:hint="eastAsia" w:ascii="宋体" w:hAnsi="宋体" w:cs="宋体"/>
          <w:sz w:val="24"/>
          <w:szCs w:val="24"/>
          <w:highlight w:val="none"/>
        </w:rPr>
        <w:t>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3C2B4431">
      <w:pPr>
        <w:spacing w:after="0" w:line="360" w:lineRule="auto"/>
        <w:ind w:right="119" w:firstLine="560"/>
        <w:rPr>
          <w:rFonts w:hint="eastAsia" w:ascii="宋体" w:hAnsi="宋体" w:cs="宋体"/>
          <w:bCs/>
          <w:sz w:val="24"/>
          <w:szCs w:val="24"/>
          <w:highlight w:val="none"/>
        </w:rPr>
      </w:pPr>
      <w:r>
        <w:rPr>
          <w:rFonts w:hint="eastAsia" w:ascii="宋体" w:hAnsi="宋体" w:cs="宋体"/>
          <w:bCs/>
          <w:sz w:val="24"/>
          <w:szCs w:val="24"/>
          <w:highlight w:val="none"/>
        </w:rPr>
        <w:t>7.“苏采云”系统使用相关提醒</w:t>
      </w:r>
    </w:p>
    <w:p w14:paraId="62E3E2A4">
      <w:pPr>
        <w:spacing w:after="0" w:line="360" w:lineRule="auto"/>
        <w:ind w:right="119" w:firstLine="561"/>
        <w:rPr>
          <w:rFonts w:hint="eastAsia" w:ascii="宋体" w:hAnsi="宋体" w:cs="宋体"/>
          <w:bCs/>
          <w:sz w:val="24"/>
          <w:szCs w:val="24"/>
          <w:highlight w:val="none"/>
        </w:rPr>
      </w:pPr>
      <w:r>
        <w:rPr>
          <w:rFonts w:hint="eastAsia" w:ascii="宋体" w:hAnsi="宋体" w:cs="宋体"/>
          <w:bCs/>
          <w:sz w:val="24"/>
          <w:szCs w:val="24"/>
          <w:highlight w:val="none"/>
        </w:rPr>
        <w:t>7.1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5B7A9B6C">
      <w:pPr>
        <w:spacing w:after="0" w:line="360" w:lineRule="auto"/>
        <w:ind w:right="119" w:firstLine="560"/>
        <w:rPr>
          <w:rFonts w:hint="eastAsia" w:ascii="宋体" w:hAnsi="宋体" w:cs="宋体"/>
          <w:bCs/>
          <w:sz w:val="24"/>
          <w:szCs w:val="24"/>
          <w:highlight w:val="none"/>
        </w:rPr>
      </w:pPr>
      <w:r>
        <w:rPr>
          <w:rFonts w:hint="eastAsia" w:ascii="宋体" w:hAnsi="宋体" w:cs="宋体"/>
          <w:bCs/>
          <w:sz w:val="24"/>
          <w:szCs w:val="24"/>
          <w:highlight w:val="none"/>
        </w:rPr>
        <w:t>7.2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09A96304">
      <w:pPr>
        <w:spacing w:after="0" w:line="360" w:lineRule="auto"/>
        <w:ind w:right="119" w:firstLine="560"/>
        <w:rPr>
          <w:rFonts w:hint="eastAsia" w:ascii="宋体" w:hAnsi="宋体" w:cs="宋体"/>
          <w:bCs/>
          <w:sz w:val="24"/>
          <w:szCs w:val="24"/>
          <w:highlight w:val="none"/>
        </w:rPr>
      </w:pPr>
      <w:r>
        <w:rPr>
          <w:rFonts w:hint="eastAsia" w:ascii="宋体" w:hAnsi="宋体" w:cs="宋体"/>
          <w:bCs/>
          <w:sz w:val="24"/>
          <w:szCs w:val="24"/>
          <w:highlight w:val="none"/>
        </w:rPr>
        <w:t>7.3开标当天投标供应商应及时登录“苏采云”不见面开标大厅，并在规定时间内自行实施远程解密。投标供应商解密时间限定为响应文件解密指令发出后30分钟（供应商应当充分考虑网络延时造成的本地网络计时不一致风险，尽快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42484FB1">
      <w:pPr>
        <w:spacing w:after="0" w:line="360" w:lineRule="auto"/>
        <w:ind w:right="119" w:firstLine="560"/>
        <w:rPr>
          <w:rFonts w:hint="eastAsia" w:ascii="宋体" w:hAnsi="宋体" w:cs="宋体"/>
          <w:bCs/>
          <w:sz w:val="24"/>
          <w:szCs w:val="24"/>
          <w:highlight w:val="none"/>
        </w:rPr>
      </w:pPr>
      <w:r>
        <w:rPr>
          <w:rFonts w:hint="eastAsia" w:ascii="宋体" w:hAnsi="宋体"/>
          <w:sz w:val="24"/>
          <w:szCs w:val="24"/>
          <w:highlight w:val="none"/>
        </w:rPr>
        <w:t>8.单位负责人为同一个人或者存在直接控股、管理关系的不同供应商，不得参加同一合同项下的政府采购活动。</w:t>
      </w:r>
    </w:p>
    <w:p w14:paraId="6B261ED4">
      <w:pPr>
        <w:keepNext/>
        <w:keepLines/>
        <w:spacing w:after="0" w:line="440" w:lineRule="exact"/>
        <w:outlineLvl w:val="2"/>
        <w:rPr>
          <w:rFonts w:hint="eastAsia" w:ascii="宋体" w:hAnsi="宋体" w:cs="宋体"/>
          <w:b/>
          <w:bCs/>
          <w:sz w:val="24"/>
          <w:szCs w:val="24"/>
          <w:highlight w:val="none"/>
        </w:rPr>
      </w:pPr>
      <w:bookmarkStart w:id="35" w:name="_Toc28359008"/>
      <w:bookmarkStart w:id="36" w:name="_Toc38985269"/>
      <w:bookmarkStart w:id="37" w:name="_Toc35393796"/>
      <w:bookmarkStart w:id="38" w:name="_Toc28359085"/>
      <w:bookmarkStart w:id="39" w:name="_Toc35393627"/>
      <w:r>
        <w:rPr>
          <w:rFonts w:hint="eastAsia" w:ascii="宋体" w:hAnsi="宋体" w:cs="宋体"/>
          <w:b/>
          <w:bCs/>
          <w:sz w:val="24"/>
          <w:szCs w:val="24"/>
          <w:highlight w:val="none"/>
        </w:rPr>
        <w:t>七、本次招标联系方式</w:t>
      </w:r>
      <w:bookmarkEnd w:id="35"/>
      <w:bookmarkEnd w:id="36"/>
      <w:bookmarkEnd w:id="37"/>
      <w:bookmarkEnd w:id="38"/>
      <w:bookmarkEnd w:id="39"/>
    </w:p>
    <w:p w14:paraId="30798994">
      <w:pPr>
        <w:widowControl/>
        <w:spacing w:after="0" w:line="440" w:lineRule="exact"/>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1.采购人信息</w:t>
      </w:r>
    </w:p>
    <w:p w14:paraId="419FAF3C">
      <w:pPr>
        <w:spacing w:after="0" w:line="440" w:lineRule="exact"/>
        <w:ind w:firstLine="480" w:firstLineChars="200"/>
        <w:jc w:val="left"/>
        <w:rPr>
          <w:rFonts w:hint="eastAsia" w:ascii="宋体" w:hAnsi="宋体" w:cs="宋体"/>
          <w:sz w:val="24"/>
          <w:szCs w:val="24"/>
          <w:highlight w:val="none"/>
        </w:rPr>
      </w:pPr>
      <w:bookmarkStart w:id="40" w:name="_Toc28359086"/>
      <w:bookmarkStart w:id="41" w:name="_Toc28359009"/>
      <w:r>
        <w:rPr>
          <w:rFonts w:hint="eastAsia" w:ascii="宋体" w:hAnsi="宋体" w:cs="宋体"/>
          <w:sz w:val="24"/>
          <w:szCs w:val="24"/>
          <w:highlight w:val="none"/>
        </w:rPr>
        <w:t>名    称：南通市疾病预防控制中心  　　　</w:t>
      </w:r>
    </w:p>
    <w:p w14:paraId="1C2FA47D">
      <w:pPr>
        <w:spacing w:after="0" w:line="440" w:lineRule="exact"/>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地   址：南通市工农南路189号</w:t>
      </w:r>
    </w:p>
    <w:p w14:paraId="6DB541AD">
      <w:pPr>
        <w:spacing w:after="0" w:line="440" w:lineRule="exact"/>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联系人：张女士 </w:t>
      </w:r>
    </w:p>
    <w:p w14:paraId="510B8324">
      <w:pPr>
        <w:spacing w:after="0" w:line="440" w:lineRule="exact"/>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联系方式：18015238167 　　</w:t>
      </w:r>
    </w:p>
    <w:p w14:paraId="41B2ED98">
      <w:pPr>
        <w:spacing w:after="0" w:line="440" w:lineRule="exact"/>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2.采购代理机构信息</w:t>
      </w:r>
      <w:bookmarkEnd w:id="40"/>
      <w:bookmarkEnd w:id="41"/>
    </w:p>
    <w:p w14:paraId="0851C12E">
      <w:pPr>
        <w:spacing w:after="0"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名    称：中通服网盈科技有限公司</w:t>
      </w:r>
    </w:p>
    <w:p w14:paraId="436CB6D6">
      <w:pPr>
        <w:spacing w:after="0"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地　   址：南通市崇川区环城南路11号</w:t>
      </w:r>
    </w:p>
    <w:p w14:paraId="3CAF0144">
      <w:pPr>
        <w:spacing w:after="0"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联 系 人：顾蓉蓉、尹淑瑜、朱益龙</w:t>
      </w:r>
    </w:p>
    <w:p w14:paraId="20D05928">
      <w:pPr>
        <w:spacing w:after="0"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联系方式：</w:t>
      </w:r>
      <w:bookmarkStart w:id="42" w:name="_Toc28359010"/>
      <w:bookmarkStart w:id="43" w:name="_Toc28359087"/>
      <w:r>
        <w:rPr>
          <w:rFonts w:hint="eastAsia" w:ascii="宋体" w:hAnsi="宋体" w:cs="宋体"/>
          <w:sz w:val="24"/>
          <w:szCs w:val="24"/>
          <w:highlight w:val="none"/>
        </w:rPr>
        <w:t>18921604603   0513-85599000</w:t>
      </w:r>
    </w:p>
    <w:p w14:paraId="73F929FF">
      <w:pPr>
        <w:spacing w:after="0" w:line="440" w:lineRule="exact"/>
        <w:ind w:firstLine="559" w:firstLineChars="233"/>
        <w:jc w:val="left"/>
        <w:rPr>
          <w:rFonts w:hint="eastAsia" w:ascii="宋体" w:hAnsi="宋体" w:cs="宋体"/>
          <w:sz w:val="24"/>
          <w:szCs w:val="24"/>
          <w:highlight w:val="none"/>
        </w:rPr>
      </w:pPr>
      <w:r>
        <w:rPr>
          <w:rFonts w:hint="eastAsia" w:ascii="宋体" w:hAnsi="宋体" w:cs="宋体"/>
          <w:sz w:val="24"/>
          <w:szCs w:val="24"/>
          <w:highlight w:val="none"/>
        </w:rPr>
        <w:t xml:space="preserve">3.软件技术支持：运维客服：0519-86722801、0519-86722806 </w:t>
      </w:r>
    </w:p>
    <w:p w14:paraId="38CD0D01">
      <w:pPr>
        <w:spacing w:after="0" w:line="440" w:lineRule="exact"/>
        <w:ind w:firstLine="280"/>
        <w:jc w:val="left"/>
        <w:rPr>
          <w:rFonts w:hint="eastAsia" w:ascii="宋体" w:hAnsi="宋体" w:cs="宋体"/>
          <w:sz w:val="24"/>
          <w:szCs w:val="24"/>
          <w:highlight w:val="none"/>
        </w:rPr>
      </w:pPr>
      <w:r>
        <w:rPr>
          <w:rFonts w:hint="eastAsia" w:ascii="宋体" w:hAnsi="宋体" w:cs="宋体"/>
          <w:sz w:val="24"/>
          <w:szCs w:val="24"/>
          <w:highlight w:val="none"/>
        </w:rPr>
        <w:t xml:space="preserve">                  那工：0513-59001950</w:t>
      </w:r>
      <w:bookmarkEnd w:id="42"/>
      <w:bookmarkEnd w:id="43"/>
    </w:p>
    <w:p w14:paraId="182C79C3">
      <w:pPr>
        <w:spacing w:after="0" w:line="360" w:lineRule="auto"/>
        <w:ind w:right="840"/>
        <w:outlineLvl w:val="0"/>
        <w:rPr>
          <w:rFonts w:hint="eastAsia" w:ascii="宋体" w:hAnsi="宋体" w:cs="宋体"/>
          <w:sz w:val="24"/>
          <w:szCs w:val="24"/>
          <w:highlight w:val="none"/>
        </w:rPr>
      </w:pPr>
    </w:p>
    <w:p w14:paraId="2D78B276">
      <w:pPr>
        <w:spacing w:after="0" w:line="360" w:lineRule="auto"/>
        <w:ind w:right="840"/>
        <w:jc w:val="center"/>
        <w:outlineLvl w:val="0"/>
        <w:rPr>
          <w:rFonts w:hint="eastAsia" w:ascii="宋体" w:hAnsi="宋体" w:cs="宋体"/>
          <w:sz w:val="24"/>
          <w:szCs w:val="24"/>
          <w:highlight w:val="none"/>
        </w:rPr>
      </w:pPr>
      <w:r>
        <w:rPr>
          <w:rFonts w:hint="eastAsia" w:ascii="宋体" w:hAnsi="宋体" w:cs="宋体"/>
          <w:sz w:val="24"/>
          <w:szCs w:val="24"/>
          <w:highlight w:val="none"/>
        </w:rPr>
        <w:br w:type="page" w:clear="all"/>
      </w:r>
      <w:bookmarkStart w:id="44" w:name="_Toc120614211"/>
      <w:r>
        <w:rPr>
          <w:rFonts w:hint="eastAsia" w:ascii="宋体" w:hAnsi="宋体" w:cs="宋体"/>
          <w:b/>
          <w:bCs/>
          <w:sz w:val="44"/>
          <w:szCs w:val="44"/>
          <w:highlight w:val="none"/>
        </w:rPr>
        <w:t xml:space="preserve">第二章  </w:t>
      </w:r>
      <w:bookmarkEnd w:id="1"/>
      <w:bookmarkEnd w:id="2"/>
      <w:bookmarkEnd w:id="3"/>
      <w:bookmarkEnd w:id="4"/>
      <w:bookmarkEnd w:id="5"/>
      <w:bookmarkEnd w:id="44"/>
      <w:bookmarkStart w:id="45" w:name="_Toc120614213"/>
      <w:bookmarkStart w:id="46" w:name="_Toc513029202"/>
      <w:bookmarkStart w:id="47" w:name="_Toc20823274"/>
      <w:bookmarkStart w:id="48" w:name="_Toc16938518"/>
      <w:r>
        <w:rPr>
          <w:rFonts w:hint="eastAsia" w:ascii="宋体" w:hAnsi="宋体" w:cs="宋体"/>
          <w:b/>
          <w:bCs/>
          <w:sz w:val="44"/>
          <w:szCs w:val="44"/>
          <w:highlight w:val="none"/>
        </w:rPr>
        <w:t>投标人须知</w:t>
      </w:r>
      <w:bookmarkEnd w:id="45"/>
      <w:bookmarkEnd w:id="46"/>
      <w:bookmarkEnd w:id="47"/>
      <w:bookmarkEnd w:id="48"/>
    </w:p>
    <w:p w14:paraId="0A631D35">
      <w:pPr>
        <w:keepNext/>
        <w:keepLines/>
        <w:spacing w:after="0" w:line="360" w:lineRule="auto"/>
        <w:outlineLvl w:val="2"/>
        <w:rPr>
          <w:rFonts w:hint="eastAsia" w:ascii="宋体" w:hAnsi="宋体" w:cs="宋体"/>
          <w:b/>
          <w:bCs/>
          <w:sz w:val="24"/>
          <w:szCs w:val="24"/>
          <w:highlight w:val="none"/>
        </w:rPr>
      </w:pPr>
      <w:bookmarkStart w:id="49" w:name="_Toc20823275"/>
      <w:bookmarkStart w:id="50" w:name="_Toc16938519"/>
      <w:bookmarkStart w:id="51" w:name="_Toc120614214"/>
      <w:bookmarkStart w:id="52" w:name="_Toc513029203"/>
      <w:r>
        <w:rPr>
          <w:rFonts w:hint="eastAsia" w:ascii="宋体" w:hAnsi="宋体" w:cs="宋体"/>
          <w:b/>
          <w:bCs/>
          <w:sz w:val="24"/>
          <w:szCs w:val="24"/>
          <w:highlight w:val="none"/>
        </w:rPr>
        <w:t>一、总则</w:t>
      </w:r>
      <w:bookmarkEnd w:id="49"/>
      <w:bookmarkEnd w:id="50"/>
      <w:bookmarkEnd w:id="51"/>
      <w:bookmarkEnd w:id="52"/>
    </w:p>
    <w:p w14:paraId="1764208C">
      <w:pPr>
        <w:keepNext/>
        <w:spacing w:after="0" w:line="360" w:lineRule="auto"/>
        <w:outlineLvl w:val="3"/>
        <w:rPr>
          <w:rFonts w:hint="eastAsia" w:ascii="宋体" w:hAnsi="宋体" w:cs="宋体"/>
          <w:b/>
          <w:bCs/>
          <w:sz w:val="24"/>
          <w:szCs w:val="24"/>
          <w:highlight w:val="none"/>
        </w:rPr>
      </w:pPr>
      <w:bookmarkStart w:id="53" w:name="_Hlt16619475"/>
      <w:bookmarkEnd w:id="53"/>
      <w:bookmarkStart w:id="54" w:name="_Toc458694821"/>
      <w:bookmarkStart w:id="55" w:name="_Toc20823276"/>
      <w:bookmarkStart w:id="56" w:name="_Toc513029204"/>
      <w:bookmarkStart w:id="57" w:name="_Toc16938520"/>
      <w:r>
        <w:rPr>
          <w:rFonts w:hint="eastAsia" w:ascii="宋体" w:hAnsi="宋体" w:cs="宋体"/>
          <w:b/>
          <w:bCs/>
          <w:sz w:val="24"/>
          <w:szCs w:val="24"/>
          <w:highlight w:val="none"/>
        </w:rPr>
        <w:t>1</w:t>
      </w:r>
      <w:bookmarkEnd w:id="54"/>
      <w:r>
        <w:rPr>
          <w:rFonts w:hint="eastAsia" w:ascii="宋体" w:hAnsi="宋体" w:cs="宋体"/>
          <w:b/>
          <w:bCs/>
          <w:sz w:val="24"/>
          <w:szCs w:val="24"/>
          <w:highlight w:val="none"/>
        </w:rPr>
        <w:t>.招标方式</w:t>
      </w:r>
      <w:bookmarkEnd w:id="55"/>
      <w:bookmarkEnd w:id="56"/>
      <w:bookmarkEnd w:id="57"/>
    </w:p>
    <w:p w14:paraId="7741475D">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1.1本次招标采取公开招标方式，本招标文件仅适用于招标公告中所述项目。</w:t>
      </w:r>
    </w:p>
    <w:p w14:paraId="1E5BB6F2">
      <w:pPr>
        <w:keepNext/>
        <w:spacing w:after="0" w:line="360" w:lineRule="auto"/>
        <w:outlineLvl w:val="3"/>
        <w:rPr>
          <w:rFonts w:hint="eastAsia" w:ascii="宋体" w:hAnsi="宋体" w:cs="宋体"/>
          <w:b/>
          <w:bCs/>
          <w:sz w:val="24"/>
          <w:szCs w:val="24"/>
          <w:highlight w:val="none"/>
        </w:rPr>
      </w:pPr>
      <w:bookmarkStart w:id="58" w:name="_Toc16938521"/>
      <w:bookmarkStart w:id="59" w:name="_Toc20823277"/>
      <w:bookmarkStart w:id="60" w:name="_Toc513029205"/>
      <w:r>
        <w:rPr>
          <w:rFonts w:hint="eastAsia" w:ascii="宋体" w:hAnsi="宋体" w:cs="宋体"/>
          <w:b/>
          <w:bCs/>
          <w:sz w:val="24"/>
          <w:szCs w:val="24"/>
          <w:highlight w:val="none"/>
        </w:rPr>
        <w:t>2.合格的投标人</w:t>
      </w:r>
      <w:bookmarkEnd w:id="58"/>
      <w:bookmarkEnd w:id="59"/>
      <w:bookmarkEnd w:id="60"/>
    </w:p>
    <w:p w14:paraId="3F8614A4">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2.1满足招标公告中供应商的资格要求的规定。</w:t>
      </w:r>
    </w:p>
    <w:p w14:paraId="15D2B04C">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2.2 满足本文件实质性条款的规定。</w:t>
      </w:r>
    </w:p>
    <w:p w14:paraId="4EC2097B">
      <w:pPr>
        <w:keepNext/>
        <w:spacing w:after="0" w:line="360" w:lineRule="auto"/>
        <w:outlineLvl w:val="3"/>
        <w:rPr>
          <w:rFonts w:hint="eastAsia" w:ascii="宋体" w:hAnsi="宋体" w:cs="宋体"/>
          <w:b/>
          <w:bCs/>
          <w:sz w:val="24"/>
          <w:szCs w:val="24"/>
          <w:highlight w:val="none"/>
        </w:rPr>
      </w:pPr>
      <w:bookmarkStart w:id="61" w:name="_Toc513029206"/>
      <w:bookmarkStart w:id="62" w:name="_Toc16938522"/>
      <w:bookmarkStart w:id="63" w:name="_Toc20823278"/>
      <w:r>
        <w:rPr>
          <w:rFonts w:hint="eastAsia" w:ascii="宋体" w:hAnsi="宋体" w:cs="宋体"/>
          <w:b/>
          <w:bCs/>
          <w:sz w:val="24"/>
          <w:szCs w:val="24"/>
          <w:highlight w:val="none"/>
        </w:rPr>
        <w:t>3.适用法律</w:t>
      </w:r>
      <w:bookmarkEnd w:id="61"/>
      <w:bookmarkEnd w:id="62"/>
      <w:bookmarkEnd w:id="63"/>
    </w:p>
    <w:p w14:paraId="04F2A488">
      <w:pPr>
        <w:spacing w:after="0" w:line="360" w:lineRule="auto"/>
        <w:ind w:firstLine="490"/>
        <w:rPr>
          <w:rFonts w:hint="eastAsia" w:ascii="宋体" w:hAnsi="宋体" w:cs="宋体"/>
          <w:sz w:val="24"/>
          <w:szCs w:val="24"/>
          <w:highlight w:val="none"/>
        </w:rPr>
      </w:pPr>
      <w:r>
        <w:rPr>
          <w:rFonts w:hint="eastAsia" w:ascii="宋体" w:hAnsi="宋体" w:cs="宋体"/>
          <w:sz w:val="24"/>
          <w:szCs w:val="24"/>
          <w:highlight w:val="none"/>
        </w:rPr>
        <w:t>3.1本次招标及由此产生的合同受中华人民共和国有关的法律法规制约和保护。</w:t>
      </w:r>
    </w:p>
    <w:p w14:paraId="6B9E97A5">
      <w:pPr>
        <w:keepNext/>
        <w:spacing w:after="0" w:line="360" w:lineRule="auto"/>
        <w:outlineLvl w:val="3"/>
        <w:rPr>
          <w:rFonts w:hint="eastAsia" w:ascii="宋体" w:hAnsi="宋体" w:cs="宋体"/>
          <w:b/>
          <w:bCs/>
          <w:sz w:val="24"/>
          <w:szCs w:val="24"/>
          <w:highlight w:val="none"/>
        </w:rPr>
      </w:pPr>
      <w:bookmarkStart w:id="64" w:name="_Toc20823279"/>
      <w:bookmarkStart w:id="65" w:name="_Toc462564067"/>
      <w:bookmarkStart w:id="66" w:name="_Toc16938523"/>
      <w:bookmarkStart w:id="67" w:name="_Toc513029207"/>
      <w:r>
        <w:rPr>
          <w:rFonts w:hint="eastAsia" w:ascii="宋体" w:hAnsi="宋体" w:cs="宋体"/>
          <w:b/>
          <w:bCs/>
          <w:sz w:val="24"/>
          <w:szCs w:val="24"/>
          <w:highlight w:val="none"/>
        </w:rPr>
        <w:t>4.投标费用</w:t>
      </w:r>
      <w:bookmarkEnd w:id="64"/>
      <w:bookmarkEnd w:id="65"/>
      <w:bookmarkEnd w:id="66"/>
      <w:bookmarkEnd w:id="67"/>
    </w:p>
    <w:p w14:paraId="3E2C9585">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4.1</w:t>
      </w:r>
      <w:r>
        <w:rPr>
          <w:rFonts w:hint="eastAsia" w:ascii="宋体" w:hAnsi="宋体" w:cs="宋体"/>
          <w:sz w:val="24"/>
          <w:szCs w:val="24"/>
          <w:highlight w:val="none"/>
        </w:rPr>
        <w:t>投标人应自行承担所有与参加投标有关的费用，无论投标过程中的做法和结果如何，采购人或代理机构在任何情况下均无义务和责任承担上述费用。</w:t>
      </w:r>
    </w:p>
    <w:p w14:paraId="4F70DD77">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4.2本次不收取标书工本费。</w:t>
      </w:r>
    </w:p>
    <w:p w14:paraId="37ED0961">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4.3本项目采购代理费按照中标金额的1.2%收取，由中标供应商承担，请参加投标的投标人在成本中自行考虑。上述费用由中标供应商在领取中标通知书前向采购代理机构一次性付清。</w:t>
      </w:r>
    </w:p>
    <w:p w14:paraId="1408E6CF">
      <w:pPr>
        <w:keepNext/>
        <w:spacing w:after="0" w:line="360" w:lineRule="auto"/>
        <w:outlineLvl w:val="3"/>
        <w:rPr>
          <w:rFonts w:hint="eastAsia" w:ascii="宋体" w:hAnsi="宋体" w:cs="宋体"/>
          <w:b/>
          <w:bCs/>
          <w:sz w:val="24"/>
          <w:szCs w:val="24"/>
          <w:highlight w:val="none"/>
        </w:rPr>
      </w:pPr>
      <w:r>
        <w:rPr>
          <w:rFonts w:hint="eastAsia" w:ascii="宋体" w:hAnsi="宋体" w:cs="宋体"/>
          <w:b/>
          <w:bCs/>
          <w:sz w:val="24"/>
          <w:szCs w:val="24"/>
          <w:highlight w:val="none"/>
        </w:rPr>
        <w:t>5.招标文件的约束力</w:t>
      </w:r>
    </w:p>
    <w:p w14:paraId="348B5A9B">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5.1</w:t>
      </w:r>
      <w:r>
        <w:rPr>
          <w:rFonts w:hint="eastAsia" w:ascii="宋体" w:hAnsi="宋体" w:cs="宋体"/>
          <w:sz w:val="24"/>
          <w:szCs w:val="24"/>
          <w:highlight w:val="none"/>
        </w:rPr>
        <w:t>投标人一旦参加本项目采购活动，即被认为接受了本招标文件的规定和约束。</w:t>
      </w:r>
    </w:p>
    <w:p w14:paraId="611FCA1E">
      <w:pPr>
        <w:keepNext/>
        <w:keepLines/>
        <w:spacing w:after="0" w:line="360" w:lineRule="auto"/>
        <w:outlineLvl w:val="2"/>
        <w:rPr>
          <w:rFonts w:hint="eastAsia" w:ascii="宋体" w:hAnsi="宋体" w:cs="宋体"/>
          <w:b/>
          <w:bCs/>
          <w:sz w:val="24"/>
          <w:szCs w:val="24"/>
          <w:highlight w:val="none"/>
        </w:rPr>
      </w:pPr>
      <w:bookmarkStart w:id="68" w:name="_Toc120614215"/>
      <w:bookmarkStart w:id="69" w:name="_Toc513029209"/>
      <w:bookmarkStart w:id="70" w:name="_Toc16938525"/>
      <w:bookmarkStart w:id="71" w:name="_Toc20823281"/>
      <w:r>
        <w:rPr>
          <w:rFonts w:hint="eastAsia" w:ascii="宋体" w:hAnsi="宋体" w:cs="宋体"/>
          <w:b/>
          <w:bCs/>
          <w:sz w:val="24"/>
          <w:szCs w:val="24"/>
          <w:highlight w:val="none"/>
        </w:rPr>
        <w:t>二、招标文件</w:t>
      </w:r>
      <w:bookmarkEnd w:id="68"/>
      <w:bookmarkEnd w:id="69"/>
      <w:bookmarkEnd w:id="70"/>
      <w:bookmarkEnd w:id="71"/>
    </w:p>
    <w:p w14:paraId="1B99CAA0">
      <w:pPr>
        <w:keepNext/>
        <w:keepLines/>
        <w:spacing w:after="0" w:line="360" w:lineRule="auto"/>
        <w:outlineLvl w:val="3"/>
        <w:rPr>
          <w:rFonts w:hint="eastAsia" w:ascii="宋体" w:hAnsi="宋体" w:cs="宋体"/>
          <w:b/>
          <w:bCs/>
          <w:sz w:val="24"/>
          <w:szCs w:val="24"/>
          <w:highlight w:val="none"/>
        </w:rPr>
      </w:pPr>
      <w:bookmarkStart w:id="72" w:name="_Toc20823282"/>
      <w:bookmarkStart w:id="73" w:name="_Toc16938526"/>
      <w:bookmarkStart w:id="74" w:name="_Toc513029210"/>
      <w:r>
        <w:rPr>
          <w:rFonts w:hint="eastAsia" w:ascii="宋体" w:hAnsi="宋体" w:cs="宋体"/>
          <w:b/>
          <w:bCs/>
          <w:sz w:val="24"/>
          <w:szCs w:val="24"/>
          <w:highlight w:val="none"/>
        </w:rPr>
        <w:t>6.招标文件构成</w:t>
      </w:r>
      <w:bookmarkEnd w:id="72"/>
      <w:bookmarkEnd w:id="73"/>
      <w:bookmarkEnd w:id="74"/>
    </w:p>
    <w:p w14:paraId="75FF1AE9">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6.1</w:t>
      </w:r>
      <w:r>
        <w:rPr>
          <w:rFonts w:hint="eastAsia" w:ascii="宋体" w:hAnsi="宋体" w:cs="宋体"/>
          <w:sz w:val="24"/>
          <w:szCs w:val="24"/>
          <w:highlight w:val="none"/>
        </w:rPr>
        <w:t xml:space="preserve"> 招标文件由以下部分组成：</w:t>
      </w:r>
    </w:p>
    <w:p w14:paraId="56B86517">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（1）投标邀请</w:t>
      </w:r>
    </w:p>
    <w:p w14:paraId="7B0AF45A">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（2）投标人须知</w:t>
      </w:r>
    </w:p>
    <w:p w14:paraId="6E4D0818">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（3）合同文本</w:t>
      </w:r>
    </w:p>
    <w:p w14:paraId="1C3C7409">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（4）采购需求</w:t>
      </w:r>
    </w:p>
    <w:p w14:paraId="563C45B9">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（5）评标方法与评标标准</w:t>
      </w:r>
    </w:p>
    <w:p w14:paraId="614BBCD8">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（6）投标文件格式</w:t>
      </w:r>
    </w:p>
    <w:p w14:paraId="3198A73A">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请仔细检查招标文件是否齐全，如有缺漏请立即与代理机构联系解决。</w:t>
      </w:r>
    </w:p>
    <w:p w14:paraId="4854201B">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6.2</w:t>
      </w:r>
      <w:r>
        <w:rPr>
          <w:rFonts w:hint="eastAsia" w:ascii="宋体" w:hAnsi="宋体" w:cs="宋体"/>
          <w:sz w:val="24"/>
          <w:szCs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E6082F3">
      <w:pPr>
        <w:keepNext/>
        <w:keepLines/>
        <w:spacing w:after="0" w:line="360" w:lineRule="auto"/>
        <w:outlineLvl w:val="3"/>
        <w:rPr>
          <w:rFonts w:hint="eastAsia" w:ascii="宋体" w:hAnsi="宋体" w:cs="宋体"/>
          <w:b/>
          <w:bCs/>
          <w:sz w:val="24"/>
          <w:szCs w:val="24"/>
          <w:highlight w:val="none"/>
        </w:rPr>
      </w:pPr>
      <w:bookmarkStart w:id="75" w:name="_Toc16938527"/>
      <w:bookmarkStart w:id="76" w:name="_Toc462564070"/>
      <w:bookmarkStart w:id="77" w:name="_Toc20823283"/>
      <w:bookmarkStart w:id="78" w:name="_Toc513029211"/>
      <w:r>
        <w:rPr>
          <w:rFonts w:hint="eastAsia" w:ascii="宋体" w:hAnsi="宋体" w:cs="宋体"/>
          <w:b/>
          <w:bCs/>
          <w:sz w:val="24"/>
          <w:szCs w:val="24"/>
          <w:highlight w:val="none"/>
        </w:rPr>
        <w:t>7.招标文件的澄清</w:t>
      </w:r>
      <w:bookmarkEnd w:id="75"/>
      <w:bookmarkEnd w:id="76"/>
      <w:bookmarkEnd w:id="77"/>
      <w:bookmarkEnd w:id="78"/>
    </w:p>
    <w:p w14:paraId="378C87A2">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任何要求对招标文件进行澄清的投标人，应在投标截止期</w:t>
      </w:r>
      <w:r>
        <w:rPr>
          <w:rFonts w:hint="eastAsia" w:ascii="宋体" w:hAnsi="宋体" w:cs="宋体"/>
          <w:b/>
          <w:sz w:val="24"/>
          <w:szCs w:val="24"/>
          <w:highlight w:val="none"/>
        </w:rPr>
        <w:t>十日前</w:t>
      </w:r>
      <w:r>
        <w:rPr>
          <w:rFonts w:hint="eastAsia" w:ascii="宋体" w:hAnsi="宋体" w:cs="宋体"/>
          <w:sz w:val="24"/>
          <w:szCs w:val="24"/>
          <w:highlight w:val="none"/>
        </w:rPr>
        <w:t>按招标公告中的通讯地址，以书面形式通知采购人或代理机构。采购人有权对发出的招标文件进行必要的澄清或修改。</w:t>
      </w:r>
    </w:p>
    <w:p w14:paraId="253C2626">
      <w:pPr>
        <w:keepNext/>
        <w:keepLines/>
        <w:spacing w:after="0" w:line="360" w:lineRule="auto"/>
        <w:outlineLvl w:val="3"/>
        <w:rPr>
          <w:rFonts w:hint="eastAsia" w:ascii="宋体" w:hAnsi="宋体" w:cs="宋体"/>
          <w:b/>
          <w:bCs/>
          <w:sz w:val="24"/>
          <w:szCs w:val="24"/>
          <w:highlight w:val="none"/>
        </w:rPr>
      </w:pPr>
      <w:bookmarkStart w:id="79" w:name="_Toc462564071"/>
      <w:bookmarkStart w:id="80" w:name="_Toc513029212"/>
      <w:bookmarkStart w:id="81" w:name="_Toc20823284"/>
      <w:bookmarkStart w:id="82" w:name="_Toc16938528"/>
      <w:r>
        <w:rPr>
          <w:rFonts w:hint="eastAsia" w:ascii="宋体" w:hAnsi="宋体" w:cs="宋体"/>
          <w:b/>
          <w:bCs/>
          <w:sz w:val="24"/>
          <w:szCs w:val="24"/>
          <w:highlight w:val="none"/>
        </w:rPr>
        <w:t>8.招标文件的修改</w:t>
      </w:r>
      <w:bookmarkEnd w:id="79"/>
      <w:bookmarkEnd w:id="80"/>
      <w:bookmarkEnd w:id="81"/>
      <w:bookmarkEnd w:id="82"/>
    </w:p>
    <w:p w14:paraId="0F90408C">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8.1</w:t>
      </w:r>
      <w:r>
        <w:rPr>
          <w:rFonts w:hint="eastAsia" w:ascii="宋体" w:hAnsi="宋体" w:cs="宋体"/>
          <w:sz w:val="24"/>
          <w:szCs w:val="24"/>
          <w:highlight w:val="none"/>
        </w:rPr>
        <w:t xml:space="preserve"> 在投标截止时间之前，采购人或代理机构可以对招标文件进行修改。</w:t>
      </w:r>
    </w:p>
    <w:p w14:paraId="2C08EBF0">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8.2</w:t>
      </w:r>
      <w:r>
        <w:rPr>
          <w:rFonts w:hint="eastAsia" w:ascii="宋体" w:hAnsi="宋体" w:cs="宋体"/>
          <w:sz w:val="24"/>
          <w:szCs w:val="24"/>
          <w:highlight w:val="none"/>
        </w:rPr>
        <w:t>采购人或代理机构有权按照法定的要求推迟投标截止日期和开标日期。</w:t>
      </w:r>
    </w:p>
    <w:p w14:paraId="6D502F0D">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8.3</w:t>
      </w:r>
      <w:r>
        <w:rPr>
          <w:rFonts w:hint="eastAsia" w:ascii="宋体" w:hAnsi="宋体" w:cs="宋体"/>
          <w:sz w:val="24"/>
          <w:szCs w:val="24"/>
          <w:highlight w:val="none"/>
        </w:rPr>
        <w:t>招标文件的修改将在江苏政府采购网公布，补充文件将作为招标文件的组成部分，并对投标人具有约束力。</w:t>
      </w:r>
    </w:p>
    <w:p w14:paraId="3829EFE6">
      <w:pPr>
        <w:keepNext/>
        <w:keepLines/>
        <w:spacing w:after="0" w:line="360" w:lineRule="auto"/>
        <w:outlineLvl w:val="2"/>
        <w:rPr>
          <w:rFonts w:hint="eastAsia" w:ascii="宋体" w:hAnsi="宋体" w:cs="宋体"/>
          <w:b/>
          <w:bCs/>
          <w:sz w:val="24"/>
          <w:szCs w:val="24"/>
          <w:highlight w:val="none"/>
        </w:rPr>
      </w:pPr>
      <w:bookmarkStart w:id="83" w:name="_Toc20823285"/>
      <w:bookmarkStart w:id="84" w:name="_Toc513029213"/>
      <w:bookmarkStart w:id="85" w:name="_Toc16938529"/>
      <w:bookmarkStart w:id="86" w:name="_Toc462564072"/>
      <w:bookmarkStart w:id="87" w:name="_Toc120614216"/>
      <w:r>
        <w:rPr>
          <w:rFonts w:hint="eastAsia" w:ascii="宋体" w:hAnsi="宋体" w:cs="宋体"/>
          <w:b/>
          <w:bCs/>
          <w:sz w:val="24"/>
          <w:szCs w:val="24"/>
          <w:highlight w:val="none"/>
        </w:rPr>
        <w:t>三、投标文件的编制</w:t>
      </w:r>
      <w:bookmarkEnd w:id="83"/>
      <w:bookmarkEnd w:id="84"/>
      <w:bookmarkEnd w:id="85"/>
      <w:bookmarkEnd w:id="86"/>
      <w:bookmarkEnd w:id="87"/>
    </w:p>
    <w:p w14:paraId="3BE50CDE">
      <w:pPr>
        <w:keepNext/>
        <w:keepLines/>
        <w:spacing w:after="0" w:line="360" w:lineRule="auto"/>
        <w:outlineLvl w:val="3"/>
        <w:rPr>
          <w:rFonts w:hint="eastAsia" w:ascii="宋体" w:hAnsi="宋体" w:cs="宋体"/>
          <w:b/>
          <w:bCs/>
          <w:sz w:val="24"/>
          <w:szCs w:val="24"/>
          <w:highlight w:val="none"/>
        </w:rPr>
      </w:pPr>
      <w:bookmarkStart w:id="88" w:name="_Toc462564073"/>
      <w:bookmarkStart w:id="89" w:name="_Toc16938530"/>
      <w:bookmarkStart w:id="90" w:name="_Toc513029214"/>
      <w:bookmarkStart w:id="91" w:name="_Toc20823286"/>
      <w:r>
        <w:rPr>
          <w:rFonts w:hint="eastAsia" w:ascii="宋体" w:hAnsi="宋体" w:cs="宋体"/>
          <w:b/>
          <w:bCs/>
          <w:sz w:val="24"/>
          <w:szCs w:val="24"/>
          <w:highlight w:val="none"/>
        </w:rPr>
        <w:t>9.投标文件的语言及度量衡单位</w:t>
      </w:r>
      <w:bookmarkEnd w:id="88"/>
      <w:bookmarkEnd w:id="89"/>
      <w:bookmarkEnd w:id="90"/>
      <w:bookmarkEnd w:id="91"/>
    </w:p>
    <w:p w14:paraId="5D2B70F8">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9.1</w:t>
      </w:r>
      <w:r>
        <w:rPr>
          <w:rFonts w:hint="eastAsia" w:ascii="宋体" w:hAnsi="宋体" w:cs="宋体"/>
          <w:sz w:val="24"/>
          <w:szCs w:val="24"/>
          <w:highlight w:val="none"/>
        </w:rPr>
        <w:t>投标人提交的投标文件以及投标人与代理机构就有关投标的所有来往通知、函件和文件均应使用简体中文。</w:t>
      </w:r>
    </w:p>
    <w:p w14:paraId="6699CF81">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9.2</w:t>
      </w:r>
      <w:r>
        <w:rPr>
          <w:rFonts w:hint="eastAsia" w:ascii="宋体" w:hAnsi="宋体" w:cs="宋体"/>
          <w:sz w:val="24"/>
          <w:szCs w:val="24"/>
          <w:highlight w:val="none"/>
        </w:rPr>
        <w:t>除技术性能另有规定外，投标文件所使用的度量衡单位，均须采用国家法定计量单位。</w:t>
      </w:r>
    </w:p>
    <w:p w14:paraId="35BA79E8">
      <w:pPr>
        <w:keepNext/>
        <w:keepLines/>
        <w:spacing w:after="0" w:line="360" w:lineRule="auto"/>
        <w:outlineLvl w:val="3"/>
        <w:rPr>
          <w:rFonts w:hint="eastAsia" w:ascii="宋体" w:hAnsi="宋体" w:cs="宋体"/>
          <w:b/>
          <w:bCs/>
          <w:sz w:val="24"/>
          <w:szCs w:val="24"/>
          <w:highlight w:val="none"/>
        </w:rPr>
      </w:pPr>
      <w:bookmarkStart w:id="92" w:name="_Toc20823287"/>
      <w:bookmarkStart w:id="93" w:name="_Toc16938531"/>
      <w:bookmarkStart w:id="94" w:name="_Toc513029215"/>
      <w:bookmarkStart w:id="95" w:name="_Toc462564074"/>
      <w:r>
        <w:rPr>
          <w:rFonts w:hint="eastAsia" w:ascii="宋体" w:hAnsi="宋体" w:cs="宋体"/>
          <w:b/>
          <w:bCs/>
          <w:sz w:val="24"/>
          <w:szCs w:val="24"/>
          <w:highlight w:val="none"/>
        </w:rPr>
        <w:t>10.投标文件构成</w:t>
      </w:r>
      <w:bookmarkEnd w:id="92"/>
      <w:bookmarkEnd w:id="93"/>
      <w:bookmarkEnd w:id="94"/>
      <w:bookmarkEnd w:id="95"/>
    </w:p>
    <w:p w14:paraId="4DE37E4A">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10.1</w:t>
      </w:r>
      <w:r>
        <w:rPr>
          <w:rFonts w:hint="eastAsia" w:ascii="宋体" w:hAnsi="宋体" w:cs="宋体"/>
          <w:sz w:val="24"/>
          <w:szCs w:val="24"/>
          <w:highlight w:val="none"/>
        </w:rPr>
        <w:t>投标人编写的投标文件应包括资格证明文件、实质性要求响应及偏离表、投标分项报价表、技术要求响应及偏离表、商务要求响应及偏离表、其他证明文件、投标函、开标一览表等部分。</w:t>
      </w:r>
    </w:p>
    <w:p w14:paraId="2B70C1E3">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10.2如标书制作工具中格式和内容与“江苏政府采购网”发布的招标文件不一致，请以“江苏政府采购网”发布的招标文件为准。</w:t>
      </w:r>
    </w:p>
    <w:p w14:paraId="1FCAF59D">
      <w:pPr>
        <w:keepNext/>
        <w:keepLines/>
        <w:spacing w:after="0" w:line="360" w:lineRule="auto"/>
        <w:outlineLvl w:val="3"/>
        <w:rPr>
          <w:rFonts w:hint="eastAsia" w:ascii="宋体" w:hAnsi="宋体" w:cs="宋体"/>
          <w:b/>
          <w:bCs/>
          <w:sz w:val="24"/>
          <w:szCs w:val="24"/>
          <w:highlight w:val="none"/>
        </w:rPr>
      </w:pPr>
      <w:bookmarkStart w:id="96" w:name="_Hlt26954838"/>
      <w:bookmarkEnd w:id="96"/>
      <w:bookmarkStart w:id="97" w:name="_Hlt26670360"/>
      <w:bookmarkEnd w:id="97"/>
      <w:bookmarkStart w:id="98" w:name="_Hlt26668975"/>
      <w:bookmarkEnd w:id="98"/>
      <w:bookmarkStart w:id="99" w:name="_Toc513029219"/>
      <w:bookmarkStart w:id="100" w:name="_Toc14577357"/>
      <w:bookmarkStart w:id="101" w:name="_Toc14577354"/>
      <w:bookmarkStart w:id="102" w:name="_Toc49090509"/>
      <w:bookmarkStart w:id="103" w:name="_Toc513029216"/>
      <w:bookmarkStart w:id="104" w:name="_Toc49090507"/>
      <w:bookmarkStart w:id="105" w:name="_Toc49090508"/>
      <w:bookmarkStart w:id="106" w:name="_Toc14577355"/>
      <w:r>
        <w:rPr>
          <w:rFonts w:hint="eastAsia" w:ascii="宋体" w:hAnsi="宋体" w:cs="宋体"/>
          <w:b/>
          <w:bCs/>
          <w:sz w:val="24"/>
          <w:szCs w:val="24"/>
          <w:highlight w:val="none"/>
        </w:rPr>
        <w:t>11.证明投标人及投标标的符合招标文件规定的文件</w:t>
      </w:r>
      <w:bookmarkEnd w:id="99"/>
      <w:bookmarkEnd w:id="100"/>
      <w:bookmarkEnd w:id="101"/>
      <w:bookmarkEnd w:id="102"/>
      <w:bookmarkEnd w:id="103"/>
      <w:bookmarkEnd w:id="104"/>
    </w:p>
    <w:p w14:paraId="483D3AD6">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    11.1投标人应按照招标文件要求提交证明文件，证明其及投标标的符合招标文件规定。</w:t>
      </w:r>
    </w:p>
    <w:p w14:paraId="7007036C">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11.2招标文件对证明文件无明确形式要求的，证明文件可以以文字资料、图纸和数据等形式提交。</w:t>
      </w:r>
      <w:bookmarkEnd w:id="105"/>
      <w:bookmarkEnd w:id="106"/>
    </w:p>
    <w:p w14:paraId="581B44B6">
      <w:pPr>
        <w:keepNext/>
        <w:keepLines/>
        <w:spacing w:after="0" w:line="360" w:lineRule="auto"/>
        <w:outlineLvl w:val="3"/>
        <w:rPr>
          <w:rFonts w:hint="eastAsia" w:ascii="宋体" w:hAnsi="宋体" w:cs="宋体"/>
          <w:b/>
          <w:bCs/>
          <w:sz w:val="24"/>
          <w:szCs w:val="24"/>
          <w:highlight w:val="none"/>
        </w:rPr>
      </w:pPr>
      <w:r>
        <w:rPr>
          <w:rFonts w:hint="eastAsia" w:ascii="宋体" w:hAnsi="宋体" w:cs="宋体"/>
          <w:b/>
          <w:bCs/>
          <w:sz w:val="24"/>
          <w:szCs w:val="24"/>
          <w:highlight w:val="none"/>
        </w:rPr>
        <w:t>12.投标分项报价表</w:t>
      </w:r>
    </w:p>
    <w:p w14:paraId="2927EB56">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12.1</w:t>
      </w:r>
      <w:r>
        <w:rPr>
          <w:rFonts w:hint="eastAsia" w:ascii="宋体" w:hAnsi="宋体" w:cs="宋体"/>
          <w:sz w:val="24"/>
          <w:szCs w:val="24"/>
          <w:highlight w:val="none"/>
        </w:rPr>
        <w:t>投标人按照招标文件规定格式填报投标分项报价表。</w:t>
      </w:r>
    </w:p>
    <w:p w14:paraId="7B7C0753">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12.2</w:t>
      </w:r>
      <w:r>
        <w:rPr>
          <w:rFonts w:hint="eastAsia" w:ascii="宋体" w:hAnsi="宋体" w:cs="宋体"/>
          <w:bCs/>
          <w:sz w:val="24"/>
          <w:szCs w:val="24"/>
          <w:highlight w:val="none"/>
        </w:rPr>
        <w:t>投标货币。投标文件中的单价和总价无特殊规定的采用人民币报价，以元为单位标注。</w:t>
      </w:r>
      <w:r>
        <w:rPr>
          <w:rFonts w:hint="eastAsia" w:ascii="宋体" w:hAnsi="宋体" w:cs="宋体"/>
          <w:sz w:val="24"/>
          <w:szCs w:val="24"/>
          <w:highlight w:val="none"/>
        </w:rPr>
        <w:t>招标文件中另有规定的按规定执行。</w:t>
      </w:r>
    </w:p>
    <w:p w14:paraId="6031E71F">
      <w:pPr>
        <w:keepNext/>
        <w:keepLines/>
        <w:spacing w:after="0" w:line="360" w:lineRule="auto"/>
        <w:outlineLvl w:val="3"/>
        <w:rPr>
          <w:rFonts w:hint="eastAsia" w:ascii="宋体" w:hAnsi="宋体" w:cs="宋体"/>
          <w:b/>
          <w:bCs/>
          <w:sz w:val="24"/>
          <w:szCs w:val="24"/>
          <w:highlight w:val="none"/>
        </w:rPr>
      </w:pPr>
      <w:bookmarkStart w:id="107" w:name="_Hlt26670486"/>
      <w:bookmarkEnd w:id="107"/>
      <w:bookmarkStart w:id="108" w:name="_Hlt26670482"/>
      <w:bookmarkEnd w:id="108"/>
      <w:bookmarkStart w:id="109" w:name="_Hlt26954731"/>
      <w:bookmarkEnd w:id="109"/>
      <w:bookmarkStart w:id="110" w:name="_Hlt26954848"/>
      <w:bookmarkEnd w:id="110"/>
      <w:bookmarkStart w:id="111" w:name="_Hlt26954846"/>
      <w:bookmarkEnd w:id="111"/>
      <w:r>
        <w:rPr>
          <w:rFonts w:hint="eastAsia" w:ascii="宋体" w:hAnsi="宋体" w:cs="宋体"/>
          <w:b/>
          <w:bCs/>
          <w:sz w:val="24"/>
          <w:szCs w:val="24"/>
          <w:highlight w:val="none"/>
        </w:rPr>
        <w:t>13.技术要求响应及偏离表、商务要求响应及偏离表</w:t>
      </w:r>
    </w:p>
    <w:p w14:paraId="757C86B8">
      <w:pPr>
        <w:spacing w:after="0" w:line="360" w:lineRule="auto"/>
        <w:ind w:firstLine="480"/>
        <w:rPr>
          <w:rFonts w:hint="eastAsia" w:ascii="宋体" w:hAnsi="宋体" w:cs="宋体"/>
          <w:sz w:val="24"/>
          <w:szCs w:val="24"/>
          <w:highlight w:val="none"/>
          <w:lang w:val="zh-CN"/>
        </w:rPr>
      </w:pPr>
      <w:r>
        <w:rPr>
          <w:rFonts w:hint="eastAsia" w:ascii="宋体" w:hAnsi="宋体" w:cs="宋体"/>
          <w:bCs/>
          <w:sz w:val="24"/>
          <w:szCs w:val="24"/>
          <w:highlight w:val="none"/>
          <w:lang w:val="zh-CN"/>
        </w:rPr>
        <w:t>13.1</w:t>
      </w:r>
      <w:r>
        <w:rPr>
          <w:rFonts w:hint="eastAsia" w:ascii="宋体" w:hAnsi="宋体" w:cs="宋体"/>
          <w:sz w:val="24"/>
          <w:szCs w:val="24"/>
          <w:highlight w:val="none"/>
          <w:lang w:val="zh-CN"/>
        </w:rPr>
        <w:t>投标人需对招标文件中的技术要求与商务要求逐项作出响应或偏离，并说明原因。</w:t>
      </w:r>
    </w:p>
    <w:p w14:paraId="454947B7">
      <w:pPr>
        <w:spacing w:after="0" w:line="360" w:lineRule="auto"/>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13.2投标人需按照招标文件要求，在投标文件中提供与技术要求和商务要求相关的证明材料。</w:t>
      </w:r>
    </w:p>
    <w:p w14:paraId="27510F86">
      <w:pPr>
        <w:keepNext/>
        <w:keepLines/>
        <w:spacing w:after="0" w:line="360" w:lineRule="auto"/>
        <w:outlineLvl w:val="3"/>
        <w:rPr>
          <w:rFonts w:hint="eastAsia" w:ascii="宋体" w:hAnsi="宋体" w:cs="宋体"/>
          <w:b/>
          <w:bCs/>
          <w:sz w:val="24"/>
          <w:szCs w:val="24"/>
          <w:highlight w:val="none"/>
        </w:rPr>
      </w:pPr>
      <w:bookmarkStart w:id="112" w:name="_Toc14577359"/>
      <w:bookmarkStart w:id="113" w:name="_Toc49090510"/>
      <w:r>
        <w:rPr>
          <w:rFonts w:hint="eastAsia" w:ascii="宋体" w:hAnsi="宋体" w:cs="宋体"/>
          <w:b/>
          <w:bCs/>
          <w:sz w:val="24"/>
          <w:szCs w:val="24"/>
          <w:highlight w:val="none"/>
        </w:rPr>
        <w:t>14.投标函和开标一览表</w:t>
      </w:r>
    </w:p>
    <w:p w14:paraId="6BCD4B90">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14.1</w:t>
      </w:r>
      <w:r>
        <w:rPr>
          <w:rFonts w:hint="eastAsia" w:ascii="宋体" w:hAnsi="宋体" w:cs="宋体"/>
          <w:sz w:val="24"/>
          <w:szCs w:val="24"/>
          <w:highlight w:val="none"/>
        </w:rPr>
        <w:t>投标人应按照招标文件中提供的格式完整、正确填写投标函、开标一览表。</w:t>
      </w:r>
    </w:p>
    <w:p w14:paraId="3DD8C2E2">
      <w:pPr>
        <w:spacing w:after="0" w:line="360" w:lineRule="auto"/>
        <w:ind w:firstLine="560"/>
        <w:rPr>
          <w:rFonts w:hint="eastAsia" w:ascii="宋体" w:hAnsi="宋体" w:cs="宋体"/>
          <w:b/>
          <w:bCs/>
          <w:sz w:val="24"/>
          <w:szCs w:val="24"/>
          <w:highlight w:val="none"/>
        </w:rPr>
      </w:pPr>
      <w:r>
        <w:rPr>
          <w:rFonts w:hint="eastAsia" w:ascii="宋体" w:hAnsi="宋体" w:cs="宋体"/>
          <w:b/>
          <w:bCs/>
          <w:sz w:val="24"/>
          <w:szCs w:val="24"/>
          <w:highlight w:val="none"/>
        </w:rPr>
        <w:t>14.2对于采用货币报价的项目，开标一览表中的投标总报价应与分项报价表中的投标总报价一致，如不一致，不作为无效投标处理，但评标时按开标一览表中价格为准。</w:t>
      </w:r>
      <w:bookmarkEnd w:id="112"/>
      <w:bookmarkEnd w:id="113"/>
    </w:p>
    <w:p w14:paraId="3FB91D69">
      <w:pPr>
        <w:keepNext/>
        <w:keepLines/>
        <w:spacing w:after="0" w:line="360" w:lineRule="auto"/>
        <w:outlineLvl w:val="3"/>
        <w:rPr>
          <w:rFonts w:hint="eastAsia" w:ascii="宋体" w:hAnsi="宋体" w:cs="宋体"/>
          <w:b/>
          <w:bCs/>
          <w:sz w:val="24"/>
          <w:szCs w:val="24"/>
          <w:highlight w:val="none"/>
        </w:rPr>
      </w:pPr>
      <w:bookmarkStart w:id="114" w:name="_Toc14577360"/>
      <w:bookmarkStart w:id="115" w:name="_Toc49090511"/>
      <w:r>
        <w:rPr>
          <w:rFonts w:hint="eastAsia" w:ascii="宋体" w:hAnsi="宋体" w:cs="宋体"/>
          <w:b/>
          <w:bCs/>
          <w:sz w:val="24"/>
          <w:szCs w:val="24"/>
          <w:highlight w:val="none"/>
        </w:rPr>
        <w:t>15.投标有效期</w:t>
      </w:r>
      <w:bookmarkEnd w:id="114"/>
      <w:bookmarkEnd w:id="115"/>
    </w:p>
    <w:p w14:paraId="3BAA1FA9">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15.1投标有效期为开标之日后</w:t>
      </w:r>
      <w:r>
        <w:rPr>
          <w:rFonts w:hint="eastAsia" w:ascii="宋体" w:hAnsi="宋体" w:cs="宋体"/>
          <w:bCs/>
          <w:sz w:val="24"/>
          <w:szCs w:val="24"/>
          <w:highlight w:val="none"/>
          <w:u w:val="single"/>
        </w:rPr>
        <w:t>九十天</w:t>
      </w:r>
      <w:r>
        <w:rPr>
          <w:rFonts w:hint="eastAsia" w:ascii="宋体" w:hAnsi="宋体" w:cs="宋体"/>
          <w:sz w:val="24"/>
          <w:szCs w:val="24"/>
          <w:highlight w:val="none"/>
          <w:u w:val="single"/>
        </w:rPr>
        <w:t>（90）天</w:t>
      </w:r>
      <w:r>
        <w:rPr>
          <w:rFonts w:hint="eastAsia" w:ascii="宋体" w:hAnsi="宋体" w:cs="宋体"/>
          <w:bCs/>
          <w:sz w:val="24"/>
          <w:szCs w:val="24"/>
          <w:highlight w:val="none"/>
        </w:rPr>
        <w:t>。投标有效期比规定短的将被视为未实质性响应招标文件而予以拒绝。</w:t>
      </w:r>
    </w:p>
    <w:p w14:paraId="088D5A0F">
      <w:pPr>
        <w:keepNext/>
        <w:keepLines/>
        <w:spacing w:after="0" w:line="360" w:lineRule="auto"/>
        <w:outlineLvl w:val="3"/>
        <w:rPr>
          <w:rFonts w:hint="eastAsia" w:ascii="宋体" w:hAnsi="宋体" w:cs="宋体"/>
          <w:b/>
          <w:bCs/>
          <w:sz w:val="24"/>
          <w:szCs w:val="24"/>
          <w:highlight w:val="none"/>
        </w:rPr>
      </w:pPr>
      <w:r>
        <w:rPr>
          <w:rFonts w:hint="eastAsia" w:ascii="宋体" w:hAnsi="宋体" w:cs="宋体"/>
          <w:b/>
          <w:bCs/>
          <w:sz w:val="24"/>
          <w:szCs w:val="24"/>
          <w:highlight w:val="none"/>
        </w:rPr>
        <w:t>16.投标有效期的延长</w:t>
      </w:r>
    </w:p>
    <w:p w14:paraId="31C4A5C0">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16.1在特殊情况下，采购人或代理机构于原投标有效期满之前，可向投标人提出延长投标有效期的要求。这种要求与答复均应采用书面形式。投标人可以拒绝采购人或代理机构的这一要求而放弃投标，同意延长投标有效期的投标人既不能要求也不允许修改其投标文件。</w:t>
      </w:r>
      <w:r>
        <w:rPr>
          <w:rFonts w:hint="eastAsia" w:ascii="宋体" w:hAnsi="宋体" w:cs="宋体"/>
          <w:sz w:val="24"/>
          <w:szCs w:val="24"/>
          <w:highlight w:val="none"/>
        </w:rPr>
        <w:t>受投标有效期约束的所有权利与义务均延长至新的有效期</w:t>
      </w:r>
      <w:r>
        <w:rPr>
          <w:rFonts w:hint="eastAsia" w:ascii="宋体" w:hAnsi="宋体" w:cs="宋体"/>
          <w:bCs/>
          <w:sz w:val="24"/>
          <w:szCs w:val="24"/>
          <w:highlight w:val="none"/>
        </w:rPr>
        <w:t>。</w:t>
      </w:r>
    </w:p>
    <w:p w14:paraId="60178858">
      <w:pPr>
        <w:keepNext/>
        <w:keepLines/>
        <w:spacing w:after="0" w:line="360" w:lineRule="auto"/>
        <w:outlineLvl w:val="2"/>
        <w:rPr>
          <w:rFonts w:hint="eastAsia" w:ascii="宋体" w:hAnsi="宋体" w:cs="宋体"/>
          <w:b/>
          <w:bCs/>
          <w:sz w:val="24"/>
          <w:szCs w:val="24"/>
          <w:highlight w:val="none"/>
        </w:rPr>
      </w:pPr>
      <w:bookmarkStart w:id="116" w:name="_Hlt26954852"/>
      <w:bookmarkEnd w:id="116"/>
      <w:bookmarkStart w:id="117" w:name="_Hlt26954739"/>
      <w:bookmarkEnd w:id="117"/>
      <w:bookmarkStart w:id="118" w:name="_Toc16938540"/>
      <w:bookmarkStart w:id="119" w:name="_Toc20823296"/>
      <w:bookmarkStart w:id="120" w:name="_Toc513029224"/>
      <w:bookmarkStart w:id="121" w:name="_Toc120614217"/>
      <w:r>
        <w:rPr>
          <w:rFonts w:hint="eastAsia" w:ascii="宋体" w:hAnsi="宋体" w:cs="宋体"/>
          <w:b/>
          <w:bCs/>
          <w:sz w:val="24"/>
          <w:szCs w:val="24"/>
          <w:highlight w:val="none"/>
        </w:rPr>
        <w:t>四、投标文件的递交</w:t>
      </w:r>
      <w:bookmarkEnd w:id="118"/>
      <w:bookmarkEnd w:id="119"/>
      <w:bookmarkEnd w:id="120"/>
      <w:bookmarkEnd w:id="121"/>
    </w:p>
    <w:p w14:paraId="01D690C2">
      <w:pPr>
        <w:keepNext/>
        <w:keepLines/>
        <w:spacing w:after="0" w:line="360" w:lineRule="auto"/>
        <w:outlineLvl w:val="3"/>
        <w:rPr>
          <w:rFonts w:hint="eastAsia" w:ascii="宋体" w:hAnsi="宋体" w:cs="宋体"/>
          <w:b/>
          <w:sz w:val="24"/>
          <w:szCs w:val="24"/>
          <w:highlight w:val="none"/>
        </w:rPr>
      </w:pPr>
      <w:bookmarkStart w:id="122" w:name="_Toc16938541"/>
      <w:bookmarkStart w:id="123" w:name="_Toc20823297"/>
      <w:bookmarkStart w:id="124" w:name="_Toc513029225"/>
      <w:bookmarkStart w:id="125" w:name="_Toc462564084"/>
      <w:r>
        <w:rPr>
          <w:rFonts w:hint="eastAsia" w:ascii="宋体" w:hAnsi="宋体" w:cs="宋体"/>
          <w:b/>
          <w:sz w:val="24"/>
          <w:szCs w:val="24"/>
          <w:highlight w:val="none"/>
        </w:rPr>
        <w:t>17.电子投标文件</w:t>
      </w:r>
      <w:bookmarkEnd w:id="122"/>
      <w:bookmarkEnd w:id="123"/>
      <w:bookmarkEnd w:id="124"/>
      <w:bookmarkEnd w:id="125"/>
      <w:r>
        <w:rPr>
          <w:rFonts w:hint="eastAsia" w:ascii="宋体" w:hAnsi="宋体" w:cs="宋体"/>
          <w:b/>
          <w:sz w:val="24"/>
          <w:szCs w:val="24"/>
          <w:highlight w:val="none"/>
        </w:rPr>
        <w:t>的递交</w:t>
      </w:r>
    </w:p>
    <w:p w14:paraId="1F7C0E76">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17.1投标人应当按照《操作手册》规定，在投标截止时间前制作并上传电子投标文件。</w:t>
      </w:r>
      <w:bookmarkStart w:id="126" w:name="_Toc20823298"/>
      <w:bookmarkStart w:id="127" w:name="_Toc513029226"/>
      <w:bookmarkStart w:id="128" w:name="_Toc16938542"/>
    </w:p>
    <w:p w14:paraId="7543903F">
      <w:pPr>
        <w:keepNext/>
        <w:keepLines/>
        <w:spacing w:after="0" w:line="360" w:lineRule="auto"/>
        <w:outlineLvl w:val="3"/>
        <w:rPr>
          <w:rFonts w:hint="eastAsia" w:ascii="宋体" w:hAnsi="宋体" w:cs="宋体"/>
          <w:b/>
          <w:sz w:val="24"/>
          <w:szCs w:val="24"/>
          <w:highlight w:val="none"/>
        </w:rPr>
      </w:pPr>
      <w:r>
        <w:rPr>
          <w:rFonts w:hint="eastAsia" w:ascii="宋体" w:hAnsi="宋体" w:cs="宋体"/>
          <w:b/>
          <w:sz w:val="24"/>
          <w:szCs w:val="24"/>
          <w:highlight w:val="none"/>
        </w:rPr>
        <w:t>18.投标截止日期</w:t>
      </w:r>
      <w:bookmarkEnd w:id="126"/>
      <w:bookmarkEnd w:id="127"/>
      <w:bookmarkEnd w:id="128"/>
    </w:p>
    <w:p w14:paraId="3C01A764">
      <w:pPr>
        <w:spacing w:after="0" w:line="360" w:lineRule="auto"/>
        <w:ind w:firstLine="562"/>
        <w:rPr>
          <w:rFonts w:hint="eastAsia" w:ascii="宋体" w:hAnsi="宋体" w:cs="宋体"/>
          <w:b/>
          <w:bCs/>
          <w:sz w:val="24"/>
          <w:szCs w:val="24"/>
          <w:highlight w:val="none"/>
          <w:u w:val="single"/>
        </w:rPr>
      </w:pPr>
      <w:r>
        <w:rPr>
          <w:rFonts w:hint="eastAsia" w:ascii="宋体" w:hAnsi="宋体" w:cs="宋体"/>
          <w:b/>
          <w:sz w:val="24"/>
          <w:szCs w:val="24"/>
          <w:highlight w:val="none"/>
          <w:u w:val="single"/>
        </w:rPr>
        <w:t>18.1</w:t>
      </w:r>
      <w:r>
        <w:rPr>
          <w:rFonts w:hint="eastAsia" w:ascii="宋体" w:hAnsi="宋体" w:cs="宋体"/>
          <w:b/>
          <w:bCs/>
          <w:sz w:val="24"/>
          <w:szCs w:val="24"/>
          <w:highlight w:val="none"/>
          <w:u w:val="single"/>
        </w:rPr>
        <w:t>投标人上传电子投标文件的时间不得迟于招标公告中规定的投标截止时间。</w:t>
      </w:r>
    </w:p>
    <w:p w14:paraId="267F6D63">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投标人应充分考虑到网络环境、网络带宽等风险因素，如因投标人自身原因造成电子投标文件上传不成功的，按照本招标文件第二章第27.1.2条规定作无效投标处理。</w:t>
      </w:r>
    </w:p>
    <w:p w14:paraId="01944270">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18.2</w:t>
      </w:r>
      <w:r>
        <w:rPr>
          <w:rFonts w:hint="eastAsia" w:ascii="宋体" w:hAnsi="宋体" w:cs="宋体"/>
          <w:bCs/>
          <w:sz w:val="24"/>
          <w:szCs w:val="24"/>
          <w:highlight w:val="none"/>
        </w:rPr>
        <w:t>采购人或代理机构可以按照规定，通过修改招标文件酌情延长投标截止日期，在此情况下，投标人的所有权利和义务以及投标人受制的截止日期均应以延长后新的截止日期为准。</w:t>
      </w:r>
    </w:p>
    <w:p w14:paraId="2FC58380">
      <w:pPr>
        <w:keepNext/>
        <w:keepLines/>
        <w:spacing w:after="0" w:line="360" w:lineRule="auto"/>
        <w:outlineLvl w:val="3"/>
        <w:rPr>
          <w:rFonts w:hint="eastAsia" w:ascii="宋体" w:hAnsi="宋体" w:cs="宋体"/>
          <w:b/>
          <w:bCs/>
          <w:sz w:val="24"/>
          <w:szCs w:val="24"/>
          <w:highlight w:val="none"/>
        </w:rPr>
      </w:pPr>
      <w:bookmarkStart w:id="129" w:name="_Toc20823299"/>
      <w:bookmarkStart w:id="130" w:name="_Toc16938543"/>
      <w:bookmarkStart w:id="131" w:name="_Toc513029227"/>
      <w:r>
        <w:rPr>
          <w:rFonts w:hint="eastAsia" w:ascii="宋体" w:hAnsi="宋体" w:cs="宋体"/>
          <w:b/>
          <w:bCs/>
          <w:sz w:val="24"/>
          <w:szCs w:val="24"/>
          <w:highlight w:val="none"/>
        </w:rPr>
        <w:t>19.投标文件</w:t>
      </w:r>
      <w:bookmarkEnd w:id="129"/>
      <w:bookmarkEnd w:id="130"/>
      <w:bookmarkEnd w:id="131"/>
      <w:r>
        <w:rPr>
          <w:rFonts w:hint="eastAsia" w:ascii="宋体" w:hAnsi="宋体" w:cs="宋体"/>
          <w:b/>
          <w:bCs/>
          <w:sz w:val="24"/>
          <w:szCs w:val="24"/>
          <w:highlight w:val="none"/>
        </w:rPr>
        <w:t>的拒收</w:t>
      </w:r>
    </w:p>
    <w:p w14:paraId="4752A3E9">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19.1代理机构拒绝接收在其规定的投标截止时间后上传的任何投标文件。</w:t>
      </w:r>
    </w:p>
    <w:p w14:paraId="486701E4">
      <w:pPr>
        <w:keepNext/>
        <w:keepLines/>
        <w:spacing w:after="0" w:line="360" w:lineRule="auto"/>
        <w:outlineLvl w:val="3"/>
        <w:rPr>
          <w:rFonts w:hint="eastAsia" w:ascii="宋体" w:hAnsi="宋体" w:cs="宋体"/>
          <w:b/>
          <w:bCs/>
          <w:sz w:val="24"/>
          <w:szCs w:val="24"/>
          <w:highlight w:val="none"/>
        </w:rPr>
      </w:pPr>
      <w:bookmarkStart w:id="132" w:name="_Toc20823300"/>
      <w:bookmarkStart w:id="133" w:name="_Toc16938544"/>
      <w:bookmarkStart w:id="134" w:name="_Toc513029228"/>
      <w:r>
        <w:rPr>
          <w:rFonts w:hint="eastAsia" w:ascii="宋体" w:hAnsi="宋体" w:cs="宋体"/>
          <w:b/>
          <w:bCs/>
          <w:sz w:val="24"/>
          <w:szCs w:val="24"/>
          <w:highlight w:val="none"/>
        </w:rPr>
        <w:t>20.投标文件的撤回和修改</w:t>
      </w:r>
      <w:bookmarkEnd w:id="132"/>
      <w:bookmarkEnd w:id="133"/>
      <w:bookmarkEnd w:id="134"/>
    </w:p>
    <w:p w14:paraId="32C05AB3">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20.1投标文件的撤回</w:t>
      </w:r>
    </w:p>
    <w:p w14:paraId="18645AD3">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20.1.1电子投标文件的撤回</w:t>
      </w:r>
    </w:p>
    <w:p w14:paraId="5CFD034D">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投标人可在投标截止时间前，撤回其电子投标文件，具体操作方法见《操作手册》。</w:t>
      </w:r>
    </w:p>
    <w:p w14:paraId="71749914">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20.1.2投标人撤回电子投标文件，则认为其不再参与本项目投标活动。</w:t>
      </w:r>
    </w:p>
    <w:p w14:paraId="21219AFD">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20.2投标文件的修改</w:t>
      </w:r>
    </w:p>
    <w:p w14:paraId="2143A62B">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20.2.1投标人可在投标截止时间前，对其电子投标文件进行修改，具体操作方法见《操作手册》。</w:t>
      </w:r>
    </w:p>
    <w:p w14:paraId="3B4A7352">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20.2.2</w:t>
      </w:r>
      <w:r>
        <w:rPr>
          <w:rFonts w:hint="eastAsia" w:ascii="宋体" w:hAnsi="宋体" w:cs="宋体"/>
          <w:bCs/>
          <w:sz w:val="24"/>
          <w:szCs w:val="24"/>
          <w:highlight w:val="none"/>
        </w:rPr>
        <w:t>在投标截止时间之后，投标人不得对其电子投标文件作任何修改。</w:t>
      </w:r>
    </w:p>
    <w:p w14:paraId="3236F75E">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20.3</w:t>
      </w:r>
      <w:r>
        <w:rPr>
          <w:rFonts w:hint="eastAsia" w:ascii="宋体" w:hAnsi="宋体" w:cs="宋体"/>
          <w:bCs/>
          <w:sz w:val="24"/>
          <w:szCs w:val="24"/>
          <w:highlight w:val="none"/>
        </w:rPr>
        <w:t>在投标截止时间至招标文件中规定的投标有效期满之间的这段时间内，投标人不得撤回其投标。</w:t>
      </w:r>
    </w:p>
    <w:p w14:paraId="01BC9E2E">
      <w:pPr>
        <w:keepNext/>
        <w:keepLines/>
        <w:spacing w:after="0" w:line="360" w:lineRule="auto"/>
        <w:outlineLvl w:val="2"/>
        <w:rPr>
          <w:rFonts w:hint="eastAsia" w:ascii="宋体" w:hAnsi="宋体" w:cs="宋体"/>
          <w:b/>
          <w:bCs/>
          <w:sz w:val="24"/>
          <w:szCs w:val="24"/>
          <w:highlight w:val="none"/>
        </w:rPr>
      </w:pPr>
      <w:bookmarkStart w:id="135" w:name="_Toc513029229"/>
      <w:bookmarkStart w:id="136" w:name="_Toc16938545"/>
      <w:bookmarkStart w:id="137" w:name="_Toc120614218"/>
      <w:bookmarkStart w:id="138" w:name="_Toc20823301"/>
      <w:r>
        <w:rPr>
          <w:rFonts w:hint="eastAsia" w:ascii="宋体" w:hAnsi="宋体" w:cs="宋体"/>
          <w:b/>
          <w:bCs/>
          <w:sz w:val="24"/>
          <w:szCs w:val="24"/>
          <w:highlight w:val="none"/>
        </w:rPr>
        <w:t>五、开标与评标</w:t>
      </w:r>
      <w:bookmarkEnd w:id="135"/>
      <w:bookmarkEnd w:id="136"/>
      <w:bookmarkEnd w:id="137"/>
      <w:bookmarkEnd w:id="138"/>
    </w:p>
    <w:p w14:paraId="3C0CF3B3">
      <w:pPr>
        <w:keepNext/>
        <w:keepLines/>
        <w:spacing w:after="0" w:line="360" w:lineRule="auto"/>
        <w:outlineLvl w:val="3"/>
        <w:rPr>
          <w:rFonts w:hint="eastAsia" w:ascii="宋体" w:hAnsi="宋体" w:cs="宋体"/>
          <w:b/>
          <w:bCs/>
          <w:sz w:val="24"/>
          <w:szCs w:val="24"/>
          <w:highlight w:val="none"/>
        </w:rPr>
      </w:pPr>
      <w:bookmarkStart w:id="139" w:name="_Toc20823302"/>
      <w:bookmarkStart w:id="140" w:name="_Toc16938546"/>
      <w:bookmarkStart w:id="141" w:name="_Toc513029230"/>
      <w:r>
        <w:rPr>
          <w:rFonts w:hint="eastAsia" w:ascii="宋体" w:hAnsi="宋体" w:cs="宋体"/>
          <w:b/>
          <w:bCs/>
          <w:sz w:val="24"/>
          <w:szCs w:val="24"/>
          <w:highlight w:val="none"/>
        </w:rPr>
        <w:t>21.开标</w:t>
      </w:r>
      <w:bookmarkEnd w:id="139"/>
      <w:bookmarkEnd w:id="140"/>
      <w:bookmarkEnd w:id="141"/>
    </w:p>
    <w:p w14:paraId="57EDDB37">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21.1</w:t>
      </w:r>
      <w:r>
        <w:rPr>
          <w:rFonts w:hint="eastAsia" w:ascii="宋体" w:hAnsi="宋体" w:cs="宋体"/>
          <w:bCs/>
          <w:sz w:val="24"/>
          <w:szCs w:val="24"/>
          <w:highlight w:val="none"/>
        </w:rPr>
        <w:t>代理机构将在招标公告中规定的时间和地点组织公开开标</w:t>
      </w:r>
      <w:r>
        <w:rPr>
          <w:rFonts w:hint="eastAsia" w:ascii="宋体" w:hAnsi="宋体" w:cs="宋体"/>
          <w:sz w:val="24"/>
          <w:szCs w:val="24"/>
          <w:highlight w:val="none"/>
        </w:rPr>
        <w:t>。投标人应当按照《操作手册》规定，参加开标活动和在苏采云系统规定的时间内对投标文件进行解密。</w:t>
      </w:r>
    </w:p>
    <w:p w14:paraId="5AFFBEDF">
      <w:pPr>
        <w:spacing w:after="0"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21.2</w:t>
      </w:r>
      <w:r>
        <w:rPr>
          <w:rFonts w:hint="eastAsia" w:ascii="宋体" w:hAnsi="宋体" w:cs="宋体"/>
          <w:sz w:val="24"/>
          <w:szCs w:val="24"/>
          <w:highlight w:val="none"/>
        </w:rPr>
        <w:t>开标仪式由</w:t>
      </w:r>
      <w:r>
        <w:rPr>
          <w:rFonts w:hint="eastAsia" w:ascii="宋体" w:hAnsi="宋体" w:cs="宋体"/>
          <w:bCs/>
          <w:sz w:val="24"/>
          <w:szCs w:val="24"/>
          <w:highlight w:val="none"/>
        </w:rPr>
        <w:t>代理机构</w:t>
      </w:r>
      <w:r>
        <w:rPr>
          <w:rFonts w:hint="eastAsia" w:ascii="宋体" w:hAnsi="宋体" w:cs="宋体"/>
          <w:sz w:val="24"/>
          <w:szCs w:val="24"/>
          <w:highlight w:val="none"/>
        </w:rPr>
        <w:t>组织。苏采云系统将自动对项目进行开标，并宣布各投标人名称和投标价格。</w:t>
      </w:r>
    </w:p>
    <w:p w14:paraId="204A4E73">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21.3投标人在开标过程中涉及的投标文件解密、开标结果确认等工作，应按照《操作手册》规定执行。</w:t>
      </w:r>
    </w:p>
    <w:p w14:paraId="5DB058A8">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21.4投标人如果对开标过程和开标记录有疑义，应当根据《操作手册》规定提出，如苏采云系统中《开标记录表》宣布后5分钟内未提出的，视同认可开标结果。</w:t>
      </w:r>
    </w:p>
    <w:p w14:paraId="51461ECA">
      <w:pPr>
        <w:keepNext/>
        <w:keepLines/>
        <w:spacing w:after="0" w:line="360" w:lineRule="auto"/>
        <w:outlineLvl w:val="3"/>
        <w:rPr>
          <w:rFonts w:hint="eastAsia" w:ascii="宋体" w:hAnsi="宋体" w:cs="宋体"/>
          <w:b/>
          <w:bCs/>
          <w:sz w:val="24"/>
          <w:szCs w:val="24"/>
          <w:highlight w:val="none"/>
        </w:rPr>
      </w:pPr>
      <w:bookmarkStart w:id="142" w:name="_Toc16938547"/>
      <w:bookmarkStart w:id="143" w:name="_Toc513029231"/>
      <w:bookmarkStart w:id="144" w:name="_Toc20823303"/>
      <w:r>
        <w:rPr>
          <w:rFonts w:hint="eastAsia" w:ascii="宋体" w:hAnsi="宋体" w:cs="宋体"/>
          <w:b/>
          <w:bCs/>
          <w:sz w:val="24"/>
          <w:szCs w:val="24"/>
          <w:highlight w:val="none"/>
        </w:rPr>
        <w:t>22.评标委员会</w:t>
      </w:r>
    </w:p>
    <w:p w14:paraId="0A180B98">
      <w:pPr>
        <w:spacing w:after="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22.1开标后，</w:t>
      </w:r>
      <w:r>
        <w:rPr>
          <w:rFonts w:hint="eastAsia" w:ascii="宋体" w:hAnsi="宋体" w:cs="宋体"/>
          <w:bCs/>
          <w:sz w:val="24"/>
          <w:szCs w:val="24"/>
          <w:highlight w:val="none"/>
        </w:rPr>
        <w:t>代理机构</w:t>
      </w:r>
      <w:r>
        <w:rPr>
          <w:rFonts w:hint="eastAsia" w:ascii="宋体" w:hAnsi="宋体" w:cs="宋体"/>
          <w:sz w:val="24"/>
          <w:szCs w:val="24"/>
          <w:highlight w:val="none"/>
        </w:rPr>
        <w:t>将立即组织评标委员会（以下简称评委会）进行评标。</w:t>
      </w:r>
    </w:p>
    <w:p w14:paraId="57818263">
      <w:pPr>
        <w:spacing w:after="0" w:line="360" w:lineRule="auto"/>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22.2评委会由采购人代表和有关技术、经济等方面的专家组成，且人员构成符合政府采购有关规定。</w:t>
      </w:r>
    </w:p>
    <w:p w14:paraId="1E73E456">
      <w:pPr>
        <w:spacing w:after="0" w:line="360" w:lineRule="auto"/>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22.3评委会独立工作，负责评审所有投标文件并确定中标候选人。</w:t>
      </w:r>
    </w:p>
    <w:p w14:paraId="5F0B7EF2">
      <w:pPr>
        <w:keepNext/>
        <w:keepLines/>
        <w:spacing w:after="0" w:line="360" w:lineRule="auto"/>
        <w:outlineLvl w:val="3"/>
        <w:rPr>
          <w:rFonts w:hint="eastAsia" w:ascii="宋体" w:hAnsi="宋体" w:cs="宋体"/>
          <w:b/>
          <w:bCs/>
          <w:sz w:val="24"/>
          <w:szCs w:val="24"/>
          <w:highlight w:val="none"/>
        </w:rPr>
      </w:pPr>
      <w:r>
        <w:rPr>
          <w:rFonts w:hint="eastAsia" w:ascii="宋体" w:hAnsi="宋体" w:cs="宋体"/>
          <w:b/>
          <w:bCs/>
          <w:sz w:val="24"/>
          <w:szCs w:val="24"/>
          <w:highlight w:val="none"/>
        </w:rPr>
        <w:t>23.评标过程的保密与公正</w:t>
      </w:r>
      <w:bookmarkEnd w:id="142"/>
      <w:bookmarkEnd w:id="143"/>
      <w:bookmarkEnd w:id="144"/>
    </w:p>
    <w:p w14:paraId="57120399">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23.1</w:t>
      </w:r>
      <w:r>
        <w:rPr>
          <w:rFonts w:hint="eastAsia" w:ascii="宋体" w:hAnsi="宋体" w:cs="宋体"/>
          <w:bCs/>
          <w:sz w:val="24"/>
          <w:szCs w:val="24"/>
          <w:highlight w:val="none"/>
        </w:rPr>
        <w:t>凡是与审查、澄清、评价和比较投标的有关资料以及授标建议等，采购人、评委、代理机构均不得向投标人或与评标无关的其他人员透露。</w:t>
      </w:r>
    </w:p>
    <w:p w14:paraId="6920DDD2">
      <w:pPr>
        <w:spacing w:after="0" w:line="360" w:lineRule="auto"/>
        <w:ind w:firstLine="560"/>
        <w:rPr>
          <w:rFonts w:hint="eastAsia" w:ascii="宋体" w:hAnsi="宋体" w:cs="宋体"/>
          <w:b/>
          <w:bCs/>
          <w:sz w:val="24"/>
          <w:szCs w:val="24"/>
          <w:highlight w:val="none"/>
        </w:rPr>
      </w:pPr>
      <w:r>
        <w:rPr>
          <w:rFonts w:hint="eastAsia" w:ascii="宋体" w:hAnsi="宋体" w:cs="宋体"/>
          <w:b/>
          <w:bCs/>
          <w:sz w:val="24"/>
          <w:szCs w:val="24"/>
          <w:highlight w:val="none"/>
        </w:rPr>
        <w:t>23.2在评标过程中，投标人不得以任何行为影响评标过程，否则其投标文件将被作为无效投标文件。</w:t>
      </w:r>
    </w:p>
    <w:p w14:paraId="2CEAA7F1">
      <w:pPr>
        <w:spacing w:after="0" w:line="360" w:lineRule="auto"/>
        <w:ind w:firstLine="560"/>
        <w:rPr>
          <w:rFonts w:hint="eastAsia" w:ascii="宋体" w:hAnsi="宋体" w:cs="宋体"/>
          <w:b/>
          <w:bCs/>
          <w:sz w:val="24"/>
          <w:szCs w:val="24"/>
          <w:highlight w:val="none"/>
        </w:rPr>
      </w:pPr>
      <w:r>
        <w:rPr>
          <w:rFonts w:hint="eastAsia" w:ascii="宋体" w:hAnsi="宋体" w:cs="宋体"/>
          <w:b/>
          <w:bCs/>
          <w:sz w:val="24"/>
          <w:szCs w:val="24"/>
          <w:highlight w:val="none"/>
        </w:rPr>
        <w:t>23.3代理机构和评标委员会不向未中标的投标人解释未中标原因，也不公布评标过程中的相关细节。</w:t>
      </w:r>
    </w:p>
    <w:p w14:paraId="41399C8C">
      <w:pPr>
        <w:spacing w:after="0" w:line="360" w:lineRule="auto"/>
        <w:ind w:firstLine="560"/>
        <w:rPr>
          <w:rFonts w:hint="eastAsia" w:ascii="宋体" w:hAnsi="宋体" w:cs="宋体"/>
          <w:i/>
          <w:sz w:val="24"/>
          <w:szCs w:val="24"/>
          <w:highlight w:val="none"/>
        </w:rPr>
      </w:pPr>
      <w:r>
        <w:rPr>
          <w:rFonts w:hint="eastAsia" w:ascii="宋体" w:hAnsi="宋体" w:cs="宋体"/>
          <w:sz w:val="24"/>
          <w:szCs w:val="24"/>
          <w:highlight w:val="none"/>
        </w:rPr>
        <w:t>23.4采用综合评分法的项目，未中标的投标人可于中标结果公告期限届满之日起通过苏采云系统查看自己的评审得分及排序情况。</w:t>
      </w:r>
    </w:p>
    <w:p w14:paraId="5A377216">
      <w:pPr>
        <w:keepNext/>
        <w:keepLines/>
        <w:spacing w:after="0" w:line="360" w:lineRule="auto"/>
        <w:outlineLvl w:val="3"/>
        <w:rPr>
          <w:rFonts w:hint="eastAsia" w:ascii="宋体" w:hAnsi="宋体" w:cs="宋体"/>
          <w:b/>
          <w:bCs/>
          <w:sz w:val="24"/>
          <w:szCs w:val="24"/>
          <w:highlight w:val="none"/>
        </w:rPr>
      </w:pPr>
      <w:bookmarkStart w:id="145" w:name="_Toc16938548"/>
      <w:bookmarkStart w:id="146" w:name="_Toc20823304"/>
      <w:bookmarkStart w:id="147" w:name="_Toc513029232"/>
      <w:r>
        <w:rPr>
          <w:rFonts w:hint="eastAsia" w:ascii="宋体" w:hAnsi="宋体" w:cs="宋体"/>
          <w:b/>
          <w:bCs/>
          <w:sz w:val="24"/>
          <w:szCs w:val="24"/>
          <w:highlight w:val="none"/>
        </w:rPr>
        <w:t>24.投标文件的澄清</w:t>
      </w:r>
      <w:bookmarkEnd w:id="145"/>
      <w:bookmarkEnd w:id="146"/>
      <w:bookmarkEnd w:id="147"/>
    </w:p>
    <w:p w14:paraId="1C209DEC">
      <w:pPr>
        <w:spacing w:after="0" w:line="360" w:lineRule="auto"/>
        <w:ind w:firstLine="560"/>
        <w:rPr>
          <w:rFonts w:hint="eastAsia" w:ascii="宋体" w:hAnsi="宋体" w:cs="宋体"/>
          <w:sz w:val="24"/>
          <w:szCs w:val="24"/>
          <w:highlight w:val="none"/>
        </w:rPr>
      </w:pPr>
      <w:bookmarkStart w:id="148" w:name="_Toc16938549"/>
      <w:bookmarkStart w:id="149" w:name="_Toc513029233"/>
      <w:bookmarkStart w:id="150" w:name="_Toc20823305"/>
      <w:r>
        <w:rPr>
          <w:rFonts w:hint="eastAsia" w:ascii="宋体" w:hAnsi="宋体" w:cs="宋体"/>
          <w:sz w:val="24"/>
          <w:szCs w:val="24"/>
          <w:highlight w:val="none"/>
        </w:rPr>
        <w:t>24.1评标期间，评委会对投标文件中含义不明确、同类问题表述不一致或者有明显文字和计算错误的内容 ，有权要求投标人作出必要的澄清、说明或者补正。</w:t>
      </w:r>
    </w:p>
    <w:p w14:paraId="2A5717BD">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投标人的澄清、说明或者补正不得超出投标文件的范围或者改变投标文件的实质性内容。</w:t>
      </w:r>
    </w:p>
    <w:p w14:paraId="6A367F8E">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评标委员会并非对每个投标人都做澄清要求。</w:t>
      </w:r>
    </w:p>
    <w:p w14:paraId="47C858E1">
      <w:pPr>
        <w:spacing w:after="0" w:line="360" w:lineRule="auto"/>
        <w:ind w:firstLine="480"/>
        <w:rPr>
          <w:rFonts w:hint="eastAsia" w:ascii="宋体" w:hAnsi="宋体" w:cs="宋体"/>
          <w:sz w:val="24"/>
          <w:szCs w:val="24"/>
          <w:highlight w:val="none"/>
        </w:rPr>
      </w:pPr>
      <w:r>
        <w:rPr>
          <w:rFonts w:hint="eastAsia" w:ascii="宋体" w:hAnsi="宋体" w:cs="宋体"/>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C0697F6">
      <w:pPr>
        <w:spacing w:after="0" w:line="360" w:lineRule="auto"/>
        <w:ind w:firstLine="480"/>
        <w:rPr>
          <w:rFonts w:hint="eastAsia" w:ascii="宋体" w:hAnsi="宋体" w:cs="宋体"/>
          <w:sz w:val="24"/>
          <w:szCs w:val="24"/>
          <w:highlight w:val="none"/>
        </w:rPr>
      </w:pPr>
      <w:r>
        <w:rPr>
          <w:rFonts w:hint="eastAsia" w:ascii="宋体" w:hAnsi="宋体" w:cs="宋体"/>
          <w:sz w:val="24"/>
          <w:szCs w:val="24"/>
          <w:highlight w:val="none"/>
        </w:rPr>
        <w:t>24.3接到评委会澄清、说明和补正要求的投标人如未按规定作出澄清、说明和补正，其风险由投标人自行承担。</w:t>
      </w:r>
    </w:p>
    <w:p w14:paraId="5400AB9B">
      <w:pPr>
        <w:keepNext/>
        <w:keepLines/>
        <w:spacing w:after="0" w:line="360" w:lineRule="auto"/>
        <w:outlineLvl w:val="3"/>
        <w:rPr>
          <w:rFonts w:hint="eastAsia" w:ascii="宋体" w:hAnsi="宋体" w:cs="宋体"/>
          <w:b/>
          <w:bCs/>
          <w:sz w:val="24"/>
          <w:szCs w:val="24"/>
          <w:highlight w:val="none"/>
        </w:rPr>
      </w:pPr>
      <w:r>
        <w:rPr>
          <w:rFonts w:hint="eastAsia" w:ascii="宋体" w:hAnsi="宋体" w:cs="宋体"/>
          <w:b/>
          <w:bCs/>
          <w:sz w:val="24"/>
          <w:szCs w:val="24"/>
          <w:highlight w:val="none"/>
        </w:rPr>
        <w:t>25.对投标文件的初审</w:t>
      </w:r>
      <w:bookmarkEnd w:id="148"/>
      <w:bookmarkEnd w:id="149"/>
      <w:bookmarkEnd w:id="150"/>
    </w:p>
    <w:p w14:paraId="38C4413C">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25.1</w:t>
      </w:r>
      <w:r>
        <w:rPr>
          <w:rFonts w:hint="eastAsia" w:ascii="宋体" w:hAnsi="宋体" w:cs="宋体"/>
          <w:bCs/>
          <w:sz w:val="24"/>
          <w:szCs w:val="24"/>
          <w:highlight w:val="none"/>
        </w:rPr>
        <w:t>投标文件初审分为资格审查和符合性审查。</w:t>
      </w:r>
    </w:p>
    <w:p w14:paraId="5C077229">
      <w:pPr>
        <w:spacing w:after="0" w:line="360" w:lineRule="auto"/>
        <w:ind w:firstLine="562"/>
        <w:rPr>
          <w:rFonts w:hint="eastAsia" w:ascii="宋体" w:hAnsi="宋体" w:cs="宋体"/>
          <w:b/>
          <w:bCs/>
          <w:sz w:val="24"/>
          <w:szCs w:val="24"/>
          <w:highlight w:val="none"/>
        </w:rPr>
      </w:pPr>
      <w:r>
        <w:rPr>
          <w:rFonts w:hint="eastAsia" w:ascii="宋体" w:hAnsi="宋体" w:cs="宋体"/>
          <w:b/>
          <w:bCs/>
          <w:sz w:val="24"/>
          <w:szCs w:val="24"/>
          <w:highlight w:val="none"/>
        </w:rPr>
        <w:t>25.1.1资格审查：依据法律法规和招标文件的规定，由采购人对投标文件中的资格证明文件进行审查。资格审查的结论，采购人以书面形式向评委会进行反馈。</w:t>
      </w:r>
    </w:p>
    <w:p w14:paraId="24B38728">
      <w:pPr>
        <w:spacing w:after="0" w:line="360" w:lineRule="auto"/>
        <w:ind w:firstLine="562"/>
        <w:rPr>
          <w:rFonts w:hint="eastAsia" w:ascii="宋体" w:hAnsi="宋体" w:cs="宋体"/>
          <w:b/>
          <w:bCs/>
          <w:sz w:val="24"/>
          <w:szCs w:val="24"/>
          <w:highlight w:val="none"/>
        </w:rPr>
      </w:pPr>
      <w:r>
        <w:rPr>
          <w:rFonts w:hint="eastAsia" w:ascii="宋体" w:hAnsi="宋体" w:cs="宋体"/>
          <w:b/>
          <w:bCs/>
          <w:sz w:val="24"/>
          <w:szCs w:val="24"/>
          <w:highlight w:val="none"/>
        </w:rPr>
        <w:t>采购人在进行资格性审查的同时，将在“信用中国”网站（www.creditchina.gov.cn）查询投标人的信用记录，以确定投标人是否具备投标资格，查询结果留存并归档。</w:t>
      </w:r>
    </w:p>
    <w:p w14:paraId="1654D177">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4EF48418">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25.1.2符合性审查：依据招标文件的规定，由评委会从投标文件的有效性、完整性和对招标文件的响应程度进行审查，以确定是否对招标文件的实质性要求作出响应。</w:t>
      </w:r>
    </w:p>
    <w:p w14:paraId="157C5999">
      <w:pPr>
        <w:spacing w:after="0" w:line="360" w:lineRule="auto"/>
        <w:ind w:firstLine="562"/>
        <w:rPr>
          <w:rFonts w:hint="eastAsia" w:ascii="宋体" w:hAnsi="宋体" w:cs="宋体"/>
          <w:b/>
          <w:bCs/>
          <w:sz w:val="24"/>
          <w:szCs w:val="24"/>
          <w:highlight w:val="none"/>
        </w:rPr>
      </w:pPr>
      <w:r>
        <w:rPr>
          <w:rFonts w:hint="eastAsia" w:ascii="宋体" w:hAnsi="宋体" w:cs="宋体"/>
          <w:b/>
          <w:bCs/>
          <w:sz w:val="24"/>
          <w:szCs w:val="24"/>
          <w:highlight w:val="none"/>
        </w:rPr>
        <w:t>25.1.3未通过资格审查或符合性审查的投标人，代理机构将在</w:t>
      </w:r>
      <w:r>
        <w:rPr>
          <w:rFonts w:hint="eastAsia" w:ascii="宋体" w:hAnsi="宋体" w:cs="宋体"/>
          <w:b/>
          <w:sz w:val="24"/>
          <w:szCs w:val="24"/>
          <w:highlight w:val="none"/>
        </w:rPr>
        <w:t>苏采云系统</w:t>
      </w:r>
      <w:r>
        <w:rPr>
          <w:rFonts w:hint="eastAsia" w:ascii="宋体" w:hAnsi="宋体" w:cs="宋体"/>
          <w:b/>
          <w:bCs/>
          <w:sz w:val="24"/>
          <w:szCs w:val="24"/>
          <w:highlight w:val="none"/>
        </w:rPr>
        <w:t>中告知未通过资格审查或符合性审查的原因，评审结束后，代理机构将不再告知未通过资格审查或符合性审查的原因。</w:t>
      </w:r>
    </w:p>
    <w:p w14:paraId="5E8603FE">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56541711">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4"/>
          <w:highlight w:val="none"/>
        </w:rPr>
        <w:t>评委决定投标文件的响应性只根据投标文件本身的内容，而不寻求外部的证据。</w:t>
      </w:r>
    </w:p>
    <w:p w14:paraId="7305C150">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25.3</w:t>
      </w:r>
      <w:r>
        <w:rPr>
          <w:rFonts w:hint="eastAsia" w:ascii="宋体" w:hAnsi="宋体" w:cs="宋体"/>
          <w:bCs/>
          <w:sz w:val="24"/>
          <w:szCs w:val="24"/>
          <w:highlight w:val="none"/>
        </w:rPr>
        <w:t>如果投标文件实质上没有响应招标文件的要求，评委会将予以拒绝，投标人不得通过修改或撤销不合要求的偏离或保留而使其投标成为实质性响应的投标。</w:t>
      </w:r>
    </w:p>
    <w:p w14:paraId="3ED6079C">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25.4</w:t>
      </w:r>
      <w:r>
        <w:rPr>
          <w:rFonts w:hint="eastAsia" w:ascii="宋体" w:hAnsi="宋体" w:cs="宋体"/>
          <w:bCs/>
          <w:sz w:val="24"/>
          <w:szCs w:val="24"/>
          <w:highlight w:val="none"/>
        </w:rPr>
        <w:t>评委会将对确定为实质性响应的投标进行进一步审核，看其是否有计算上或累加上的算术错误，修正错误的原则如下：</w:t>
      </w:r>
    </w:p>
    <w:p w14:paraId="33EEB4BA">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（1）投标文件中开标一览表内容与投标文件中相应内容不一致的，以开标一览表为准。</w:t>
      </w:r>
    </w:p>
    <w:p w14:paraId="6798213B">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（2）大写金额和小写金额不一致的，以大写金额为准。</w:t>
      </w:r>
    </w:p>
    <w:p w14:paraId="523FB038">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（3）单价金额小数点或者百分比有明显错位的，以开标一览表的总价为准，并修改单价。</w:t>
      </w:r>
    </w:p>
    <w:p w14:paraId="705841BD">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（4）总价金额与按单价汇总金额不一致的，以单价金额计算结果为准。</w:t>
      </w:r>
    </w:p>
    <w:p w14:paraId="04DED0FF">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同时出现两种以上错误的，按照前款规定的顺序修正。</w:t>
      </w:r>
    </w:p>
    <w:p w14:paraId="73047850">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25.5</w:t>
      </w:r>
      <w:r>
        <w:rPr>
          <w:rFonts w:hint="eastAsia" w:ascii="宋体" w:hAnsi="宋体" w:cs="宋体"/>
          <w:bCs/>
          <w:sz w:val="24"/>
          <w:szCs w:val="24"/>
          <w:highlight w:val="none"/>
        </w:rPr>
        <w:t>评委会将按上述修正错误的方法调整投标文件中的投标报价，并通过</w:t>
      </w:r>
      <w:r>
        <w:rPr>
          <w:rFonts w:hint="eastAsia" w:ascii="宋体" w:hAnsi="宋体" w:cs="宋体"/>
          <w:sz w:val="24"/>
          <w:szCs w:val="24"/>
          <w:highlight w:val="none"/>
        </w:rPr>
        <w:t>苏采云系统</w:t>
      </w:r>
      <w:r>
        <w:rPr>
          <w:rFonts w:hint="eastAsia" w:ascii="宋体" w:hAnsi="宋体" w:cs="宋体"/>
          <w:bCs/>
          <w:sz w:val="24"/>
          <w:szCs w:val="24"/>
          <w:highlight w:val="none"/>
        </w:rPr>
        <w:t>告知投标人，调整后的价格应对投标人具有约束力。如果投标人不接受修正后的价格，则其投标将被拒绝。</w:t>
      </w:r>
    </w:p>
    <w:p w14:paraId="0D887F50">
      <w:pPr>
        <w:spacing w:after="0" w:line="360" w:lineRule="auto"/>
        <w:ind w:firstLine="560"/>
        <w:rPr>
          <w:rFonts w:hint="eastAsia" w:ascii="宋体" w:hAnsi="宋体" w:cs="宋体"/>
          <w:sz w:val="24"/>
          <w:szCs w:val="24"/>
          <w:highlight w:val="none"/>
        </w:rPr>
      </w:pPr>
      <w:bookmarkStart w:id="151" w:name="_Toc20823306"/>
      <w:bookmarkStart w:id="152" w:name="_Toc513029234"/>
      <w:bookmarkStart w:id="153" w:name="_Toc16938550"/>
      <w:r>
        <w:rPr>
          <w:rFonts w:hint="eastAsia" w:ascii="宋体" w:hAnsi="宋体" w:cs="宋体"/>
          <w:sz w:val="24"/>
          <w:szCs w:val="24"/>
          <w:highlight w:val="none"/>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888E96B">
      <w:pPr>
        <w:spacing w:after="0" w:line="360" w:lineRule="auto"/>
        <w:ind w:firstLine="560"/>
        <w:rPr>
          <w:rFonts w:hint="eastAsia" w:ascii="宋体" w:hAnsi="宋体" w:cs="宋体"/>
          <w:b/>
          <w:bCs/>
          <w:sz w:val="24"/>
          <w:szCs w:val="24"/>
          <w:highlight w:val="none"/>
        </w:rPr>
      </w:pPr>
      <w:r>
        <w:rPr>
          <w:rFonts w:hint="eastAsia" w:ascii="宋体" w:hAnsi="宋体" w:cs="宋体"/>
          <w:b/>
          <w:bCs/>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76F810B">
      <w:pPr>
        <w:spacing w:after="0" w:line="360" w:lineRule="auto"/>
        <w:ind w:firstLine="420"/>
        <w:rPr>
          <w:rFonts w:hint="eastAsia" w:ascii="宋体" w:hAnsi="宋体" w:cs="宋体"/>
          <w:b/>
          <w:bCs/>
          <w:sz w:val="24"/>
          <w:szCs w:val="24"/>
          <w:highlight w:val="none"/>
        </w:rPr>
      </w:pPr>
      <w:r>
        <w:rPr>
          <w:rFonts w:hint="eastAsia" w:ascii="宋体" w:hAnsi="宋体" w:cs="宋体"/>
          <w:b/>
          <w:bCs/>
          <w:sz w:val="24"/>
          <w:szCs w:val="24"/>
          <w:highlight w:val="none"/>
        </w:rPr>
        <w:t>非单一产品采购项目，招标文件中将载明其中的核心产品。多家投标人提供的核心产品品牌相同的，按前两款规定处理。</w:t>
      </w:r>
    </w:p>
    <w:p w14:paraId="1BB64E4D">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25.7投标人在开、评标全过程中应保持通信畅通，及时登录苏采云系统查阅、答复相关信息，并安排专人与代理机构及评标委员会联系。</w:t>
      </w:r>
    </w:p>
    <w:p w14:paraId="3BE6A881">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26.异常低价审查</w:t>
      </w:r>
    </w:p>
    <w:p w14:paraId="1ADB301C">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26.1根据省财政厅《关于推动解决政府采购异常低价问题相关工作的通知》（苏财购〔2025〕62号）要求，评审过程中出现下列情形之一的，评审委员会应当启动异常低价投标（响应）审查程序：</w:t>
      </w:r>
    </w:p>
    <w:p w14:paraId="65D17471">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 xml:space="preserve">（1）投标（响应）报价低于全部通过符合性审查供应商投标（响应）报价平均值50%的，即投标（响应）报价&lt;全部通过符合性审查供应商投标（响应）报价平均值×50%； </w:t>
      </w:r>
    </w:p>
    <w:p w14:paraId="2F6CFDD3">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 xml:space="preserve">（2）投标（响应）报价低于通过符合性审查的次低报价供应商投标（响应）报价50%的，即投标（响应）报价&lt;通过符合性审查的次低报价供应商投标（响应）报价×50%； </w:t>
      </w:r>
    </w:p>
    <w:p w14:paraId="03525B47">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 xml:space="preserve">（3）投标（响应）报价低于采购项目最高限价45%的，即投标（响应）报价&lt;采购项目最高限价×45%； </w:t>
      </w:r>
    </w:p>
    <w:p w14:paraId="09845B2F">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 xml:space="preserve">（4）评审委员会基于专业判断，认为供应商报价过低，有可能影响产品质量或者不能诚信履约的其他情形。 </w:t>
      </w:r>
    </w:p>
    <w:p w14:paraId="35AAC9E2">
      <w:pPr>
        <w:spacing w:after="0" w:line="360" w:lineRule="auto"/>
        <w:ind w:firstLine="420"/>
        <w:rPr>
          <w:rFonts w:hint="eastAsia" w:ascii="宋体" w:hAnsi="宋体" w:cs="宋体"/>
          <w:sz w:val="24"/>
          <w:szCs w:val="24"/>
          <w:highlight w:val="none"/>
        </w:rPr>
      </w:pPr>
      <w:r>
        <w:rPr>
          <w:rFonts w:hint="eastAsia" w:ascii="宋体" w:hAnsi="宋体" w:cs="宋体"/>
          <w:sz w:val="24"/>
          <w:szCs w:val="24"/>
          <w:highlight w:val="none"/>
        </w:rPr>
        <w:t>26.2启动异常低价投标（响应）审查后，评审委员会应当要求相关供应商在评标现场三十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40FA939">
      <w:pPr>
        <w:keepNext/>
        <w:keepLines/>
        <w:spacing w:after="0" w:line="360" w:lineRule="auto"/>
        <w:outlineLvl w:val="3"/>
        <w:rPr>
          <w:rFonts w:hint="eastAsia" w:ascii="宋体" w:hAnsi="宋体" w:cs="宋体"/>
          <w:b/>
          <w:bCs/>
          <w:sz w:val="24"/>
          <w:szCs w:val="24"/>
          <w:highlight w:val="none"/>
        </w:rPr>
      </w:pPr>
      <w:r>
        <w:rPr>
          <w:rFonts w:hint="eastAsia" w:ascii="宋体" w:hAnsi="宋体" w:cs="宋体"/>
          <w:b/>
          <w:bCs/>
          <w:sz w:val="24"/>
          <w:szCs w:val="24"/>
          <w:highlight w:val="none"/>
        </w:rPr>
        <w:t>27.</w:t>
      </w:r>
      <w:bookmarkEnd w:id="151"/>
      <w:bookmarkEnd w:id="152"/>
      <w:bookmarkEnd w:id="153"/>
      <w:r>
        <w:rPr>
          <w:rFonts w:hint="eastAsia" w:ascii="宋体" w:hAnsi="宋体" w:cs="宋体"/>
          <w:b/>
          <w:bCs/>
          <w:sz w:val="24"/>
          <w:szCs w:val="24"/>
          <w:highlight w:val="none"/>
        </w:rPr>
        <w:t>无效投标条款和废标条款</w:t>
      </w:r>
    </w:p>
    <w:p w14:paraId="17DBE13A">
      <w:pPr>
        <w:spacing w:after="0" w:line="360" w:lineRule="auto"/>
        <w:ind w:left="479"/>
        <w:rPr>
          <w:rFonts w:hint="eastAsia" w:ascii="宋体" w:hAnsi="宋体" w:cs="宋体"/>
          <w:bCs/>
          <w:sz w:val="24"/>
          <w:szCs w:val="24"/>
          <w:highlight w:val="none"/>
        </w:rPr>
      </w:pPr>
      <w:bookmarkStart w:id="154" w:name="_Toc513029235"/>
      <w:bookmarkStart w:id="155" w:name="_Toc20823307"/>
      <w:bookmarkStart w:id="156" w:name="_Toc16938551"/>
      <w:r>
        <w:rPr>
          <w:rFonts w:hint="eastAsia" w:ascii="宋体" w:hAnsi="宋体" w:cs="宋体"/>
          <w:bCs/>
          <w:sz w:val="24"/>
          <w:szCs w:val="24"/>
          <w:highlight w:val="none"/>
        </w:rPr>
        <w:t>27.1无效投标条款</w:t>
      </w:r>
    </w:p>
    <w:p w14:paraId="695C28BD">
      <w:pPr>
        <w:spacing w:after="0"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27.1.1投标人在</w:t>
      </w:r>
      <w:r>
        <w:rPr>
          <w:rFonts w:hint="eastAsia" w:ascii="宋体" w:hAnsi="宋体" w:cs="宋体"/>
          <w:sz w:val="24"/>
          <w:szCs w:val="24"/>
          <w:highlight w:val="none"/>
        </w:rPr>
        <w:t>苏采云系统</w:t>
      </w:r>
      <w:r>
        <w:rPr>
          <w:rFonts w:hint="eastAsia" w:ascii="宋体" w:hAnsi="宋体" w:cs="宋体"/>
          <w:bCs/>
          <w:sz w:val="24"/>
          <w:szCs w:val="24"/>
          <w:highlight w:val="none"/>
        </w:rPr>
        <w:t>规定的时间内未成功解密电子投标文件的。</w:t>
      </w:r>
    </w:p>
    <w:p w14:paraId="0F93BD1F">
      <w:pPr>
        <w:spacing w:after="0"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27.1.2 投标人未按照招标文件要求上传电子投标文件的。</w:t>
      </w:r>
    </w:p>
    <w:p w14:paraId="31CAF54D">
      <w:pPr>
        <w:spacing w:after="0"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27.1.3投标人同一分包提交两个（含两个）以上不同的投标报价的。</w:t>
      </w:r>
    </w:p>
    <w:p w14:paraId="523156CD">
      <w:pPr>
        <w:spacing w:after="0"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27.1.4投标人不具备招标文件中规定资格要求的。</w:t>
      </w:r>
    </w:p>
    <w:p w14:paraId="49DBC96B">
      <w:pPr>
        <w:spacing w:after="0"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27.1.5投标人的报价超过了采购预算或最高限价的（包含最高总价限价和最高单价限价）。</w:t>
      </w:r>
    </w:p>
    <w:p w14:paraId="0FCAEAA3">
      <w:pPr>
        <w:spacing w:after="0" w:line="360" w:lineRule="auto"/>
        <w:ind w:firstLine="420"/>
        <w:rPr>
          <w:rFonts w:hint="eastAsia" w:ascii="宋体" w:hAnsi="宋体" w:cs="宋体"/>
          <w:bCs/>
          <w:i/>
          <w:sz w:val="24"/>
          <w:szCs w:val="24"/>
          <w:highlight w:val="none"/>
          <w:u w:val="single"/>
        </w:rPr>
      </w:pPr>
      <w:r>
        <w:rPr>
          <w:rFonts w:hint="eastAsia" w:ascii="宋体" w:hAnsi="宋体" w:cs="宋体"/>
          <w:bCs/>
          <w:sz w:val="24"/>
          <w:szCs w:val="24"/>
          <w:highlight w:val="none"/>
        </w:rPr>
        <w:t>27.1.6未通过符合性审查的。</w:t>
      </w:r>
    </w:p>
    <w:p w14:paraId="76981DBE">
      <w:pPr>
        <w:spacing w:after="0" w:line="360" w:lineRule="auto"/>
        <w:ind w:firstLine="420"/>
        <w:rPr>
          <w:rFonts w:hint="eastAsia" w:ascii="宋体" w:hAnsi="宋体" w:cs="宋体"/>
          <w:b/>
          <w:bCs/>
          <w:sz w:val="24"/>
          <w:szCs w:val="24"/>
          <w:highlight w:val="none"/>
          <w:u w:val="single"/>
        </w:rPr>
      </w:pPr>
      <w:r>
        <w:rPr>
          <w:rFonts w:hint="eastAsia" w:ascii="宋体" w:hAnsi="宋体" w:cs="宋体"/>
          <w:bCs/>
          <w:sz w:val="24"/>
          <w:szCs w:val="24"/>
          <w:highlight w:val="none"/>
        </w:rPr>
        <w:t>27.1.7不符合招标文件中规定的实质性要求的</w:t>
      </w:r>
      <w:r>
        <w:rPr>
          <w:rFonts w:hint="eastAsia" w:ascii="宋体" w:hAnsi="宋体" w:cs="宋体"/>
          <w:b/>
          <w:bCs/>
          <w:sz w:val="24"/>
          <w:szCs w:val="24"/>
          <w:highlight w:val="none"/>
        </w:rPr>
        <w:t>。</w:t>
      </w:r>
    </w:p>
    <w:p w14:paraId="44B9FA82">
      <w:pPr>
        <w:spacing w:after="0"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DCC2A10">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27.1.9投标文件含有采购人不能接受的附加条件的。</w:t>
      </w:r>
    </w:p>
    <w:p w14:paraId="0C7683AE">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27.1.10评标委员会认为投标人的报价明显低于其他通过符合性审查投标人的报价，有可能影响产品质量或者不能诚信履约的，将通过</w:t>
      </w:r>
      <w:r>
        <w:rPr>
          <w:rFonts w:hint="eastAsia" w:ascii="宋体" w:hAnsi="宋体" w:cs="宋体"/>
          <w:sz w:val="24"/>
          <w:szCs w:val="24"/>
          <w:highlight w:val="none"/>
        </w:rPr>
        <w:t>苏采云系统</w:t>
      </w:r>
      <w:r>
        <w:rPr>
          <w:rFonts w:hint="eastAsia" w:ascii="宋体" w:hAnsi="宋体" w:cs="宋体"/>
          <w:bCs/>
          <w:sz w:val="24"/>
          <w:szCs w:val="24"/>
          <w:highlight w:val="none"/>
        </w:rPr>
        <w:t>要求其在合理的时间内提供说明，必要时提交相关证明材料；投标人不能证明其报价合理性的，评标委员会应当将其作为无效投标处理。</w:t>
      </w:r>
    </w:p>
    <w:p w14:paraId="39A651D9">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C9ECF0B">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27.1.12投标文件未按照招标文件要求加盖CA电子公章的。</w:t>
      </w:r>
    </w:p>
    <w:p w14:paraId="3379B156">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27.1.13投标人的商务技术部分得分相差异常悬殊，评标委员会一致认为得分畸低者有可能影响产品质量或者不能诚信履约的。</w:t>
      </w:r>
    </w:p>
    <w:p w14:paraId="5E951000">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27.1.14启动异常低价投标审查后，投标人不提供书面说明、证明材料，或者提供的书面说明、证明材料不能证明其报价合理性的。</w:t>
      </w:r>
    </w:p>
    <w:p w14:paraId="1793AF16">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27.1.15其他法律法规及本招标文件规定的属于无效投标的情形。</w:t>
      </w:r>
    </w:p>
    <w:p w14:paraId="17B0A5BA">
      <w:pPr>
        <w:spacing w:after="0" w:line="360" w:lineRule="auto"/>
        <w:ind w:left="479"/>
        <w:rPr>
          <w:rFonts w:hint="eastAsia" w:ascii="宋体" w:hAnsi="宋体" w:cs="宋体"/>
          <w:bCs/>
          <w:sz w:val="24"/>
          <w:szCs w:val="24"/>
          <w:highlight w:val="none"/>
        </w:rPr>
      </w:pPr>
      <w:r>
        <w:rPr>
          <w:rFonts w:hint="eastAsia" w:ascii="宋体" w:hAnsi="宋体" w:cs="宋体"/>
          <w:bCs/>
          <w:sz w:val="24"/>
          <w:szCs w:val="24"/>
          <w:highlight w:val="none"/>
        </w:rPr>
        <w:t>27.2废标条款</w:t>
      </w:r>
    </w:p>
    <w:p w14:paraId="6ED29607">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27.2.1符合专业条件的供应商或者对招标文件作实质响应的供应商不足三家的。</w:t>
      </w:r>
    </w:p>
    <w:p w14:paraId="1FD272FF">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27.2.2出现影响采购公正的违法、违规行为的。</w:t>
      </w:r>
    </w:p>
    <w:p w14:paraId="67925C34">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27.2.3因重大变故，采购任务取消的。</w:t>
      </w:r>
    </w:p>
    <w:p w14:paraId="74E8203D">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27.2.4评标委员会认定招标文件存在歧义、重大缺陷导致评审工作无法进行。</w:t>
      </w:r>
    </w:p>
    <w:p w14:paraId="0829ACD7">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27.2.5 因</w:t>
      </w:r>
      <w:r>
        <w:rPr>
          <w:rFonts w:hint="eastAsia" w:ascii="宋体" w:hAnsi="宋体" w:cs="宋体"/>
          <w:sz w:val="24"/>
          <w:szCs w:val="24"/>
          <w:highlight w:val="none"/>
        </w:rPr>
        <w:t>苏采云系统故障</w:t>
      </w:r>
      <w:r>
        <w:rPr>
          <w:rFonts w:hint="eastAsia" w:ascii="宋体" w:hAnsi="宋体" w:cs="宋体"/>
          <w:bCs/>
          <w:sz w:val="24"/>
          <w:szCs w:val="24"/>
          <w:highlight w:val="none"/>
        </w:rPr>
        <w:t>原因造成开标不成功的。</w:t>
      </w:r>
    </w:p>
    <w:p w14:paraId="41D85E24">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27.3投标截止时间结束后参加投标的供应商不足三家的处理</w:t>
      </w:r>
    </w:p>
    <w:p w14:paraId="24A06119">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27.3.1如出现投标截止时间结束后参加投标的供应商或者在评标期间对招标文件做出实质响应的供应商不足三家情况，按政府采购相关规定执行。</w:t>
      </w:r>
    </w:p>
    <w:p w14:paraId="37B9C3A4">
      <w:pPr>
        <w:keepNext/>
        <w:keepLines/>
        <w:spacing w:after="0" w:line="360" w:lineRule="auto"/>
        <w:outlineLvl w:val="2"/>
        <w:rPr>
          <w:rFonts w:hint="eastAsia" w:ascii="宋体" w:hAnsi="宋体" w:cs="宋体"/>
          <w:b/>
          <w:bCs/>
          <w:sz w:val="24"/>
          <w:szCs w:val="24"/>
          <w:highlight w:val="none"/>
        </w:rPr>
      </w:pPr>
      <w:bookmarkStart w:id="157" w:name="_Toc120614219"/>
      <w:r>
        <w:rPr>
          <w:rFonts w:hint="eastAsia" w:ascii="宋体" w:hAnsi="宋体" w:cs="宋体"/>
          <w:b/>
          <w:bCs/>
          <w:sz w:val="24"/>
          <w:szCs w:val="24"/>
          <w:highlight w:val="none"/>
        </w:rPr>
        <w:t>六、</w:t>
      </w:r>
      <w:bookmarkEnd w:id="154"/>
      <w:bookmarkEnd w:id="155"/>
      <w:bookmarkEnd w:id="156"/>
      <w:r>
        <w:rPr>
          <w:rFonts w:hint="eastAsia" w:ascii="宋体" w:hAnsi="宋体" w:cs="宋体"/>
          <w:b/>
          <w:bCs/>
          <w:sz w:val="24"/>
          <w:szCs w:val="24"/>
          <w:highlight w:val="none"/>
        </w:rPr>
        <w:t>定标</w:t>
      </w:r>
      <w:bookmarkEnd w:id="157"/>
    </w:p>
    <w:p w14:paraId="6C932FF6">
      <w:pPr>
        <w:keepNext/>
        <w:keepLines/>
        <w:spacing w:after="0" w:line="360" w:lineRule="auto"/>
        <w:outlineLvl w:val="3"/>
        <w:rPr>
          <w:rFonts w:hint="eastAsia" w:ascii="宋体" w:hAnsi="宋体" w:cs="宋体"/>
          <w:b/>
          <w:sz w:val="24"/>
          <w:szCs w:val="24"/>
          <w:highlight w:val="none"/>
        </w:rPr>
      </w:pPr>
      <w:bookmarkStart w:id="158" w:name="_Toc513029238"/>
      <w:bookmarkStart w:id="159" w:name="_Toc16938554"/>
      <w:bookmarkStart w:id="160" w:name="_Toc20823310"/>
      <w:r>
        <w:rPr>
          <w:rFonts w:hint="eastAsia" w:ascii="宋体" w:hAnsi="宋体" w:cs="宋体"/>
          <w:b/>
          <w:sz w:val="24"/>
          <w:szCs w:val="24"/>
          <w:highlight w:val="none"/>
        </w:rPr>
        <w:t>28.</w:t>
      </w:r>
      <w:bookmarkEnd w:id="158"/>
      <w:r>
        <w:rPr>
          <w:rFonts w:hint="eastAsia" w:ascii="宋体" w:hAnsi="宋体" w:cs="宋体"/>
          <w:b/>
          <w:sz w:val="24"/>
          <w:szCs w:val="24"/>
          <w:highlight w:val="none"/>
        </w:rPr>
        <w:t>确定</w:t>
      </w:r>
      <w:bookmarkEnd w:id="159"/>
      <w:bookmarkEnd w:id="160"/>
      <w:r>
        <w:rPr>
          <w:rFonts w:hint="eastAsia" w:ascii="宋体" w:hAnsi="宋体" w:cs="宋体"/>
          <w:b/>
          <w:sz w:val="24"/>
          <w:szCs w:val="24"/>
          <w:highlight w:val="none"/>
        </w:rPr>
        <w:t>中标单位</w:t>
      </w:r>
    </w:p>
    <w:p w14:paraId="65A3D1D9">
      <w:pPr>
        <w:spacing w:after="0"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 xml:space="preserve">28.1中标候选人的选取原则和数量见招标文件第五章规定。 </w:t>
      </w:r>
    </w:p>
    <w:p w14:paraId="58B657CF">
      <w:pPr>
        <w:spacing w:after="0" w:line="360" w:lineRule="auto"/>
        <w:ind w:firstLine="560"/>
        <w:rPr>
          <w:highlight w:val="none"/>
        </w:rPr>
      </w:pPr>
      <w:r>
        <w:rPr>
          <w:rFonts w:hint="eastAsia" w:ascii="宋体" w:hAnsi="宋体" w:cs="宋体"/>
          <w:bCs/>
          <w:sz w:val="24"/>
          <w:szCs w:val="24"/>
          <w:highlight w:val="none"/>
        </w:rPr>
        <w:t>28.2采购人应根据评委会</w:t>
      </w:r>
      <w:r>
        <w:rPr>
          <w:rFonts w:hint="eastAsia" w:ascii="宋体" w:hAnsi="宋体" w:cs="宋体"/>
          <w:sz w:val="24"/>
          <w:highlight w:val="none"/>
        </w:rPr>
        <w:t>在评标报告确定的中标候选人名单中按顺序确定中标人，本项目确定一名中标人</w:t>
      </w:r>
      <w:r>
        <w:rPr>
          <w:rFonts w:hint="eastAsia" w:ascii="宋体" w:hAnsi="宋体" w:cs="宋体"/>
          <w:bCs/>
          <w:sz w:val="24"/>
          <w:szCs w:val="24"/>
          <w:highlight w:val="none"/>
        </w:rPr>
        <w:t>。</w:t>
      </w:r>
    </w:p>
    <w:p w14:paraId="66538234">
      <w:pPr>
        <w:spacing w:after="0"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28.3</w:t>
      </w:r>
      <w:r>
        <w:rPr>
          <w:rFonts w:hint="eastAsia" w:ascii="宋体" w:hAnsi="宋体" w:cs="宋体"/>
          <w:sz w:val="24"/>
          <w:szCs w:val="24"/>
          <w:highlight w:val="none"/>
        </w:rPr>
        <w:t>代理机构将在“江苏政府采购网”发布中标公告，公告期限为1个工作日。</w:t>
      </w:r>
    </w:p>
    <w:p w14:paraId="2CB6F536">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28.4若有充分证据证明，中标人出现下列情况之一的，一经查实，将被取消中标资格：</w:t>
      </w:r>
    </w:p>
    <w:p w14:paraId="01E9D6D0">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28.4.1提供虚假材料谋取中标的。</w:t>
      </w:r>
    </w:p>
    <w:p w14:paraId="02E293E7">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28.4.2向采购人、代理机构行贿或者提供其他不正当利益的。</w:t>
      </w:r>
    </w:p>
    <w:p w14:paraId="4950AA16">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28.4.3属于本文件规定的无效条件，但在评标过程中又未被评委会发现的。</w:t>
      </w:r>
    </w:p>
    <w:p w14:paraId="3699DC10">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28.4.4与采购人或者其他供应商恶意串通的。</w:t>
      </w:r>
    </w:p>
    <w:p w14:paraId="479C2E59">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28.4.5采取不正当手段诋毁、排挤其他供应商的。</w:t>
      </w:r>
    </w:p>
    <w:p w14:paraId="4DAAF2AF">
      <w:pPr>
        <w:spacing w:after="0" w:line="360" w:lineRule="auto"/>
        <w:ind w:firstLine="560"/>
        <w:rPr>
          <w:rFonts w:hint="eastAsia" w:ascii="宋体" w:hAnsi="宋体" w:cs="宋体"/>
          <w:sz w:val="24"/>
          <w:szCs w:val="24"/>
          <w:highlight w:val="none"/>
        </w:rPr>
      </w:pPr>
      <w:bookmarkStart w:id="161" w:name="_Toc200451960"/>
      <w:r>
        <w:rPr>
          <w:rFonts w:hint="eastAsia" w:ascii="宋体" w:hAnsi="宋体" w:cs="宋体"/>
          <w:sz w:val="24"/>
          <w:szCs w:val="24"/>
          <w:highlight w:val="none"/>
        </w:rPr>
        <w:t>28.5.有下列情形之一的，视为投标人串通投标，投标无效：</w:t>
      </w:r>
    </w:p>
    <w:p w14:paraId="322D020F">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28.5.1不同投标人的投标文件由同一单位或者个人编制；</w:t>
      </w:r>
    </w:p>
    <w:p w14:paraId="03B4D52A">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28.5.2不同投标人委托同一单位或者个人办理投标事宜；</w:t>
      </w:r>
    </w:p>
    <w:p w14:paraId="4B626C52">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28.5.3不同投标人的投标文件载明的项目管理成员或者联系人员为同一人；</w:t>
      </w:r>
    </w:p>
    <w:p w14:paraId="19E26B3F">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28.5.4不同投标人的投标文件异常一致或者投标报价呈规律性差异；</w:t>
      </w:r>
    </w:p>
    <w:p w14:paraId="1E39011E">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28.6</w:t>
      </w:r>
      <w:r>
        <w:rPr>
          <w:rFonts w:ascii="宋体" w:hAnsi="宋体" w:cs="宋体"/>
          <w:bCs/>
          <w:sz w:val="24"/>
          <w:szCs w:val="24"/>
          <w:highlight w:val="none"/>
        </w:rPr>
        <w:t>当中标人无正当理由放弃中标，被查实存在影响中标结果的违法行为等情形，采购人有权按照政府采购相关法律法规的规定对其采取惩戒措施，包含但不限于列入采购失信人黑名单等措施。</w:t>
      </w:r>
    </w:p>
    <w:p w14:paraId="0BEC9C57">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28.6.1</w:t>
      </w:r>
      <w:r>
        <w:rPr>
          <w:rFonts w:ascii="宋体" w:hAnsi="宋体" w:cs="宋体"/>
          <w:bCs/>
          <w:sz w:val="24"/>
          <w:szCs w:val="24"/>
          <w:highlight w:val="none"/>
        </w:rPr>
        <w:t>当中标人放弃中标、因不可抗力不能履行合同，或者被查实存在影响中标结果的违法行为等情形，不符合中标条件的（存在招标文件规定的被采购人拒签合同的情形等），采购人可以按照评标委员会提出的中标候选人名单排序依次确定其他中标候选人为中标人，也可以重新招标。</w:t>
      </w:r>
    </w:p>
    <w:p w14:paraId="0F36712D">
      <w:pPr>
        <w:keepNext/>
        <w:keepLines/>
        <w:spacing w:after="0" w:line="360" w:lineRule="auto"/>
        <w:outlineLvl w:val="3"/>
        <w:rPr>
          <w:rFonts w:hint="eastAsia" w:ascii="宋体" w:hAnsi="宋体" w:cs="宋体"/>
          <w:b/>
          <w:sz w:val="24"/>
          <w:szCs w:val="24"/>
          <w:highlight w:val="none"/>
        </w:rPr>
      </w:pPr>
      <w:r>
        <w:rPr>
          <w:rFonts w:hint="eastAsia" w:ascii="宋体" w:hAnsi="宋体" w:cs="宋体"/>
          <w:b/>
          <w:sz w:val="24"/>
          <w:szCs w:val="24"/>
          <w:highlight w:val="none"/>
        </w:rPr>
        <w:t>29.质疑处理</w:t>
      </w:r>
      <w:bookmarkEnd w:id="161"/>
    </w:p>
    <w:p w14:paraId="36A08E56">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29.1提出质疑的供应商应当是参与所质疑项目采购活动的供应商。潜在供应商依法获取其可质疑的采购文件的，可以对采购文件提出质疑。</w:t>
      </w:r>
    </w:p>
    <w:p w14:paraId="48813B8E">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20D686E9">
      <w:pPr>
        <w:spacing w:after="0" w:line="360" w:lineRule="auto"/>
        <w:ind w:firstLine="697"/>
        <w:jc w:val="left"/>
        <w:rPr>
          <w:rFonts w:hint="eastAsia" w:ascii="宋体" w:hAnsi="宋体" w:cs="宋体"/>
          <w:bCs/>
          <w:sz w:val="24"/>
          <w:szCs w:val="24"/>
          <w:highlight w:val="none"/>
        </w:rPr>
      </w:pPr>
      <w:r>
        <w:rPr>
          <w:rFonts w:hint="eastAsia" w:ascii="宋体" w:hAnsi="宋体" w:cs="宋体"/>
          <w:bCs/>
          <w:sz w:val="24"/>
          <w:szCs w:val="24"/>
          <w:highlight w:val="none"/>
        </w:rPr>
        <w:t>29.2.1对可以质疑的采购文件提出质疑的，为收到采购文件之日或者采购文件公告期限届满之日；</w:t>
      </w:r>
      <w:r>
        <w:rPr>
          <w:rFonts w:hint="eastAsia" w:ascii="宋体" w:hAnsi="宋体" w:cs="宋体"/>
          <w:bCs/>
          <w:sz w:val="24"/>
          <w:szCs w:val="24"/>
          <w:highlight w:val="none"/>
        </w:rPr>
        <w:br w:type="textWrapping"/>
      </w:r>
      <w:r>
        <w:rPr>
          <w:rFonts w:hint="eastAsia" w:ascii="宋体" w:hAnsi="宋体" w:cs="宋体"/>
          <w:bCs/>
          <w:sz w:val="24"/>
          <w:szCs w:val="24"/>
          <w:highlight w:val="none"/>
        </w:rPr>
        <w:t>　　29.2.2对采购过程提出质疑的，为各采购程序环节结束之日；</w:t>
      </w:r>
      <w:r>
        <w:rPr>
          <w:rFonts w:hint="eastAsia" w:ascii="宋体" w:hAnsi="宋体" w:cs="宋体"/>
          <w:bCs/>
          <w:sz w:val="24"/>
          <w:szCs w:val="24"/>
          <w:highlight w:val="none"/>
        </w:rPr>
        <w:br w:type="textWrapping"/>
      </w:r>
      <w:r>
        <w:rPr>
          <w:rFonts w:hint="eastAsia" w:ascii="宋体" w:hAnsi="宋体" w:cs="宋体"/>
          <w:bCs/>
          <w:sz w:val="24"/>
          <w:szCs w:val="24"/>
          <w:highlight w:val="none"/>
        </w:rPr>
        <w:t>　　29.2.3对中标或者成交结果提出质疑的，为中标或者成交结果公告期限届满之日。</w:t>
      </w:r>
    </w:p>
    <w:p w14:paraId="610267B1">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3450E358">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1E2E6BFB">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75F13AD2">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采购人及代理机构只接收以纸质原件形式送达的质疑，建议供应商尽量通过邮寄方式提交质疑（采购人和代理机构不接受无快递运单号的快递）。</w:t>
      </w:r>
    </w:p>
    <w:p w14:paraId="426A84CC">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代理机构质疑接收联系地址：南通市崇川区环城南路11号电信陈列馆五楼505室，联系电话：</w:t>
      </w:r>
      <w:r>
        <w:rPr>
          <w:rFonts w:hint="eastAsia" w:ascii="宋体" w:hAnsi="宋体" w:cs="宋体"/>
          <w:sz w:val="24"/>
          <w:szCs w:val="24"/>
          <w:highlight w:val="none"/>
        </w:rPr>
        <w:t xml:space="preserve">18921604603 </w:t>
      </w:r>
      <w:r>
        <w:rPr>
          <w:rFonts w:hint="eastAsia" w:ascii="宋体" w:hAnsi="宋体" w:cs="宋体"/>
          <w:bCs/>
          <w:sz w:val="24"/>
          <w:szCs w:val="24"/>
          <w:highlight w:val="none"/>
        </w:rPr>
        <w:t>。</w:t>
      </w:r>
    </w:p>
    <w:p w14:paraId="0B755F5A">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采购人质疑接收人及联系方式见招标文件第一章。</w:t>
      </w:r>
    </w:p>
    <w:p w14:paraId="30D7BFFC">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29.5 以下情形的质疑不予受理</w:t>
      </w:r>
    </w:p>
    <w:p w14:paraId="5FECFA8A">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29.5.1内容不符合《政府采购质疑和投诉办法》第十二条规定的质疑。</w:t>
      </w:r>
    </w:p>
    <w:p w14:paraId="215471BA">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29.5.2超出政府采购法定期限的质疑。</w:t>
      </w:r>
    </w:p>
    <w:p w14:paraId="3F9BAE22">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29.5.3以传真、电子邮件等方式递交的非原件形式的质疑。</w:t>
      </w:r>
    </w:p>
    <w:p w14:paraId="527425B8">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29.5.4未参加投标活动的供应商或在投标活动中自身权益未受到损害的供应商所提出的质疑。</w:t>
      </w:r>
    </w:p>
    <w:p w14:paraId="4CD7D5BD">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29.5.5供应商组成联合体参加投标，联合体中任何一方或多方未按要求签字、盖章、加盖公章的质疑。</w:t>
      </w:r>
    </w:p>
    <w:p w14:paraId="0F2FA1F5">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29.6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p>
    <w:p w14:paraId="3164F5DE">
      <w:pPr>
        <w:keepNext/>
        <w:keepLines/>
        <w:spacing w:after="0" w:line="360" w:lineRule="auto"/>
        <w:outlineLvl w:val="3"/>
        <w:rPr>
          <w:rFonts w:hint="eastAsia" w:ascii="宋体" w:hAnsi="宋体" w:cs="宋体"/>
          <w:b/>
          <w:sz w:val="24"/>
          <w:szCs w:val="24"/>
          <w:highlight w:val="none"/>
        </w:rPr>
      </w:pPr>
      <w:r>
        <w:rPr>
          <w:rFonts w:hint="eastAsia" w:ascii="宋体" w:hAnsi="宋体" w:cs="宋体"/>
          <w:b/>
          <w:sz w:val="24"/>
          <w:szCs w:val="24"/>
          <w:highlight w:val="none"/>
        </w:rPr>
        <w:t>30.中标通知书</w:t>
      </w:r>
    </w:p>
    <w:p w14:paraId="09391287">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30.l中标结果确定后，采购人向中标人发出中标通知书。</w:t>
      </w:r>
    </w:p>
    <w:p w14:paraId="6D888674">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299AFFEF">
      <w:pPr>
        <w:keepNext/>
        <w:keepLines/>
        <w:spacing w:after="0" w:line="360" w:lineRule="auto"/>
        <w:outlineLvl w:val="2"/>
        <w:rPr>
          <w:rFonts w:hint="eastAsia" w:ascii="宋体" w:hAnsi="宋体" w:cs="宋体"/>
          <w:b/>
          <w:bCs/>
          <w:sz w:val="24"/>
          <w:szCs w:val="24"/>
          <w:highlight w:val="none"/>
        </w:rPr>
      </w:pPr>
      <w:bookmarkStart w:id="162" w:name="_Toc16938552"/>
      <w:bookmarkStart w:id="163" w:name="_Toc20823308"/>
      <w:bookmarkStart w:id="164" w:name="_Toc513029236"/>
      <w:bookmarkStart w:id="165" w:name="_Toc120614220"/>
      <w:r>
        <w:rPr>
          <w:rFonts w:hint="eastAsia" w:ascii="宋体" w:hAnsi="宋体" w:cs="宋体"/>
          <w:b/>
          <w:bCs/>
          <w:sz w:val="24"/>
          <w:szCs w:val="24"/>
          <w:highlight w:val="none"/>
        </w:rPr>
        <w:t>七、授予合同</w:t>
      </w:r>
      <w:bookmarkEnd w:id="162"/>
      <w:bookmarkEnd w:id="163"/>
      <w:bookmarkEnd w:id="164"/>
      <w:bookmarkEnd w:id="165"/>
    </w:p>
    <w:p w14:paraId="3A594DF7">
      <w:pPr>
        <w:keepNext/>
        <w:keepLines/>
        <w:spacing w:after="0" w:line="360" w:lineRule="auto"/>
        <w:outlineLvl w:val="3"/>
        <w:rPr>
          <w:rFonts w:hint="eastAsia" w:ascii="宋体" w:hAnsi="宋体" w:cs="宋体"/>
          <w:b/>
          <w:sz w:val="24"/>
          <w:szCs w:val="24"/>
          <w:highlight w:val="none"/>
        </w:rPr>
      </w:pPr>
      <w:bookmarkStart w:id="166" w:name="_Toc513029237"/>
      <w:bookmarkStart w:id="167" w:name="_Toc16938553"/>
      <w:bookmarkStart w:id="168" w:name="_Toc20823309"/>
      <w:r>
        <w:rPr>
          <w:rFonts w:hint="eastAsia" w:ascii="宋体" w:hAnsi="宋体" w:cs="宋体"/>
          <w:b/>
          <w:sz w:val="24"/>
          <w:szCs w:val="24"/>
          <w:highlight w:val="none"/>
        </w:rPr>
        <w:t>31. 签订合同</w:t>
      </w:r>
    </w:p>
    <w:p w14:paraId="0F10C3EA">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31.l中标人应当在中标通知书发出之日起三十日内，按照招标文件确定的事项与采购人签订政府采购合同。</w:t>
      </w:r>
    </w:p>
    <w:p w14:paraId="1138B0EB">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31.2招标文件、中标人的投标文件及招标过程中有关澄清、承诺文件均应作为合同附件。</w:t>
      </w:r>
    </w:p>
    <w:p w14:paraId="46E7D0BB">
      <w:pPr>
        <w:spacing w:after="0" w:line="360" w:lineRule="auto"/>
        <w:ind w:firstLine="700"/>
        <w:rPr>
          <w:rFonts w:hint="eastAsia" w:ascii="宋体" w:hAnsi="宋体" w:cs="宋体"/>
          <w:bCs/>
          <w:sz w:val="24"/>
          <w:szCs w:val="24"/>
          <w:highlight w:val="none"/>
        </w:rPr>
      </w:pPr>
      <w:r>
        <w:rPr>
          <w:rFonts w:hint="eastAsia" w:ascii="宋体" w:hAnsi="宋体" w:cs="宋体"/>
          <w:bCs/>
          <w:sz w:val="24"/>
          <w:szCs w:val="24"/>
          <w:highlight w:val="none"/>
        </w:rPr>
        <w:t>31.3签订合同后，中标人不得将合同标的进行转包。未经采购人同意，中标人也不得采用分包的形式履行合同，否则采购人有权终止合同。转包或分包造成采购人损失的，中标人应承担相应赔偿责任。</w:t>
      </w:r>
    </w:p>
    <w:p w14:paraId="463F79F6">
      <w:pPr>
        <w:keepNext/>
        <w:keepLines/>
        <w:spacing w:after="0" w:line="360" w:lineRule="auto"/>
        <w:outlineLvl w:val="3"/>
        <w:rPr>
          <w:rFonts w:hint="eastAsia" w:ascii="宋体" w:hAnsi="宋体" w:cs="宋体"/>
          <w:b/>
          <w:sz w:val="24"/>
          <w:szCs w:val="24"/>
          <w:highlight w:val="none"/>
        </w:rPr>
      </w:pPr>
      <w:r>
        <w:rPr>
          <w:rFonts w:hint="eastAsia" w:ascii="宋体" w:hAnsi="宋体" w:cs="宋体"/>
          <w:b/>
          <w:sz w:val="24"/>
          <w:szCs w:val="24"/>
          <w:highlight w:val="none"/>
        </w:rPr>
        <w:t>32.货物（包含与货物相关的服务）的追加</w:t>
      </w:r>
    </w:p>
    <w:p w14:paraId="0C36BF04">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bookmarkEnd w:id="167"/>
      <w:bookmarkEnd w:id="168"/>
    </w:p>
    <w:p w14:paraId="2B4ABE77">
      <w:pPr>
        <w:keepNext/>
        <w:keepLines/>
        <w:spacing w:after="0" w:line="360" w:lineRule="auto"/>
        <w:outlineLvl w:val="3"/>
        <w:rPr>
          <w:rFonts w:hint="eastAsia" w:ascii="宋体" w:hAnsi="宋体" w:cs="宋体"/>
          <w:b/>
          <w:sz w:val="24"/>
          <w:szCs w:val="24"/>
          <w:highlight w:val="none"/>
        </w:rPr>
      </w:pPr>
      <w:r>
        <w:rPr>
          <w:rFonts w:hint="eastAsia" w:ascii="宋体" w:hAnsi="宋体" w:cs="宋体"/>
          <w:b/>
          <w:sz w:val="24"/>
          <w:szCs w:val="24"/>
          <w:highlight w:val="none"/>
        </w:rPr>
        <w:t>33.政府采购履约资金扶持政策</w:t>
      </w:r>
    </w:p>
    <w:p w14:paraId="6D79B60B">
      <w:pPr>
        <w:spacing w:after="0"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33.1</w:t>
      </w:r>
      <w:r>
        <w:rPr>
          <w:rFonts w:hint="eastAsia" w:ascii="宋体" w:hAnsi="宋体" w:cs="宋体"/>
          <w:bCs/>
          <w:sz w:val="24"/>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7149A387">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33.2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p>
    <w:p w14:paraId="311362A9">
      <w:pPr>
        <w:spacing w:line="460" w:lineRule="exact"/>
        <w:ind w:firstLine="562"/>
        <w:rPr>
          <w:rFonts w:hint="eastAsia" w:ascii="宋体" w:hAnsi="宋体" w:cs="宋体"/>
          <w:b/>
          <w:sz w:val="24"/>
          <w:szCs w:val="24"/>
          <w:highlight w:val="none"/>
        </w:rPr>
      </w:pPr>
      <w:r>
        <w:rPr>
          <w:rFonts w:hint="eastAsia" w:ascii="宋体" w:hAnsi="宋体" w:cs="宋体"/>
          <w:b/>
          <w:sz w:val="24"/>
          <w:szCs w:val="24"/>
          <w:highlight w:val="none"/>
        </w:rPr>
        <w:t>特别说明：中标供应商在领取中标通知书时须提供3份加盖公章的系统内打印的纸质投标文件给采购代理机构。</w:t>
      </w:r>
    </w:p>
    <w:p w14:paraId="4FBCC788">
      <w:pPr>
        <w:spacing w:after="0" w:line="360" w:lineRule="auto"/>
        <w:ind w:firstLine="560"/>
        <w:rPr>
          <w:rFonts w:hint="eastAsia" w:ascii="宋体" w:hAnsi="宋体" w:cs="宋体"/>
          <w:sz w:val="24"/>
          <w:szCs w:val="24"/>
          <w:highlight w:val="none"/>
        </w:rPr>
      </w:pPr>
    </w:p>
    <w:p w14:paraId="183F99F4">
      <w:pPr>
        <w:pStyle w:val="37"/>
        <w:keepNext/>
        <w:pageBreakBefore/>
        <w:widowControl w:val="0"/>
        <w:spacing w:before="0" w:beforeAutospacing="0" w:after="0" w:afterAutospacing="0" w:line="360" w:lineRule="auto"/>
        <w:ind w:firstLine="2642"/>
        <w:rPr>
          <w:rFonts w:hint="eastAsia"/>
          <w:b/>
          <w:bCs/>
          <w:sz w:val="44"/>
          <w:szCs w:val="44"/>
          <w:highlight w:val="none"/>
        </w:rPr>
      </w:pPr>
      <w:r>
        <w:rPr>
          <w:rFonts w:hint="eastAsia"/>
          <w:b/>
          <w:bCs/>
          <w:sz w:val="44"/>
          <w:szCs w:val="44"/>
          <w:highlight w:val="none"/>
        </w:rPr>
        <w:t>第三章  合同文本</w:t>
      </w:r>
    </w:p>
    <w:p w14:paraId="5B01EE8B">
      <w:pPr>
        <w:pStyle w:val="37"/>
        <w:widowControl w:val="0"/>
        <w:spacing w:before="0" w:beforeAutospacing="0" w:after="0" w:afterAutospacing="0"/>
        <w:jc w:val="center"/>
        <w:rPr>
          <w:rFonts w:hint="eastAsia"/>
          <w:highlight w:val="none"/>
        </w:rPr>
      </w:pPr>
      <w:bookmarkStart w:id="169" w:name="_Toc3995"/>
      <w:bookmarkEnd w:id="169"/>
      <w:bookmarkStart w:id="170" w:name="_Toc513029243"/>
      <w:bookmarkEnd w:id="170"/>
      <w:bookmarkStart w:id="171" w:name="_Toc20823315"/>
      <w:bookmarkEnd w:id="171"/>
      <w:bookmarkStart w:id="172" w:name="_Toc16938559"/>
      <w:r>
        <w:rPr>
          <w:rFonts w:hint="eastAsia"/>
          <w:highlight w:val="none"/>
        </w:rPr>
        <w:t> </w:t>
      </w:r>
    </w:p>
    <w:p w14:paraId="74294095">
      <w:pPr>
        <w:jc w:val="center"/>
        <w:rPr>
          <w:rFonts w:hint="eastAsia" w:ascii="宋体" w:hAnsi="宋体"/>
          <w:b/>
          <w:bCs/>
          <w:sz w:val="28"/>
          <w:szCs w:val="28"/>
          <w:highlight w:val="none"/>
        </w:rPr>
      </w:pPr>
    </w:p>
    <w:p w14:paraId="6D9F7828">
      <w:pPr>
        <w:spacing w:line="360" w:lineRule="auto"/>
        <w:ind w:firstLine="640"/>
        <w:jc w:val="center"/>
        <w:rPr>
          <w:rFonts w:hint="eastAsia" w:ascii="宋体" w:hAnsi="宋体" w:cs="宋体"/>
          <w:color w:val="000000"/>
          <w:sz w:val="32"/>
          <w:szCs w:val="32"/>
          <w:highlight w:val="none"/>
        </w:rPr>
      </w:pPr>
      <w:bookmarkStart w:id="173" w:name="_Toc331685783"/>
      <w:bookmarkEnd w:id="173"/>
      <w:r>
        <w:rPr>
          <w:rFonts w:hint="eastAsia" w:ascii="宋体" w:hAnsi="宋体" w:cs="宋体"/>
          <w:color w:val="000000"/>
          <w:sz w:val="32"/>
          <w:szCs w:val="32"/>
          <w:highlight w:val="none"/>
        </w:rPr>
        <w:t>政府采购合同</w:t>
      </w:r>
    </w:p>
    <w:p w14:paraId="15A51DAC">
      <w:pPr>
        <w:spacing w:line="360" w:lineRule="auto"/>
        <w:ind w:firstLine="480"/>
        <w:jc w:val="left"/>
        <w:rPr>
          <w:rFonts w:hint="eastAsia" w:ascii="宋体" w:hAnsi="宋体" w:cs="宋体"/>
          <w:color w:val="000000"/>
          <w:sz w:val="24"/>
          <w:highlight w:val="none"/>
        </w:rPr>
      </w:pPr>
    </w:p>
    <w:p w14:paraId="7A7006C7">
      <w:pPr>
        <w:spacing w:line="360" w:lineRule="auto"/>
        <w:ind w:firstLine="420"/>
        <w:rPr>
          <w:rFonts w:hint="eastAsia" w:ascii="宋体" w:hAnsi="宋体" w:cs="宋体"/>
          <w:color w:val="000000"/>
          <w:highlight w:val="none"/>
        </w:rPr>
      </w:pPr>
    </w:p>
    <w:p w14:paraId="36C10272">
      <w:pPr>
        <w:spacing w:line="360" w:lineRule="auto"/>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p>
    <w:p w14:paraId="25879686">
      <w:pPr>
        <w:spacing w:line="360" w:lineRule="auto"/>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项目名称：南通市疾病预防控制中心高通量二代测序一体化平台采购项目</w:t>
      </w:r>
    </w:p>
    <w:p w14:paraId="5DA6549D">
      <w:pPr>
        <w:spacing w:line="360" w:lineRule="auto"/>
        <w:ind w:firstLine="560"/>
        <w:rPr>
          <w:rFonts w:hint="eastAsia" w:ascii="宋体" w:hAnsi="宋体" w:cs="宋体"/>
          <w:color w:val="000000"/>
          <w:sz w:val="28"/>
          <w:szCs w:val="28"/>
          <w:highlight w:val="none"/>
        </w:rPr>
      </w:pPr>
    </w:p>
    <w:p w14:paraId="5109053E">
      <w:pPr>
        <w:spacing w:after="60" w:line="360" w:lineRule="atLeast"/>
        <w:ind w:right="63"/>
        <w:rPr>
          <w:rFonts w:hint="eastAsia" w:ascii="宋体" w:hAnsi="宋体" w:cs="宋体"/>
          <w:color w:val="000000"/>
          <w:sz w:val="28"/>
          <w:szCs w:val="28"/>
          <w:highlight w:val="none"/>
        </w:rPr>
      </w:pPr>
    </w:p>
    <w:p w14:paraId="621AFF2D">
      <w:pPr>
        <w:spacing w:line="360" w:lineRule="auto"/>
        <w:ind w:firstLine="560"/>
        <w:rPr>
          <w:rFonts w:hint="eastAsia" w:ascii="宋体" w:hAnsi="宋体" w:cs="宋体"/>
          <w:color w:val="000000"/>
          <w:sz w:val="28"/>
          <w:szCs w:val="28"/>
          <w:highlight w:val="none"/>
        </w:rPr>
      </w:pPr>
    </w:p>
    <w:p w14:paraId="40BC5184">
      <w:pPr>
        <w:spacing w:line="360" w:lineRule="auto"/>
        <w:ind w:firstLine="560"/>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甲方： </w:t>
      </w:r>
    </w:p>
    <w:p w14:paraId="13900B93">
      <w:pPr>
        <w:spacing w:line="360" w:lineRule="auto"/>
        <w:ind w:firstLine="560"/>
        <w:rPr>
          <w:rFonts w:hint="eastAsia" w:ascii="宋体" w:hAnsi="宋体" w:cs="宋体"/>
          <w:color w:val="000000"/>
          <w:sz w:val="28"/>
          <w:szCs w:val="28"/>
          <w:highlight w:val="none"/>
        </w:rPr>
      </w:pPr>
    </w:p>
    <w:p w14:paraId="1818B8FB">
      <w:pPr>
        <w:spacing w:line="360" w:lineRule="auto"/>
        <w:ind w:firstLine="560"/>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乙方：</w:t>
      </w:r>
    </w:p>
    <w:p w14:paraId="077D3FF7">
      <w:pPr>
        <w:spacing w:line="360" w:lineRule="auto"/>
        <w:rPr>
          <w:rFonts w:hint="eastAsia" w:ascii="宋体" w:hAnsi="宋体" w:cs="宋体"/>
          <w:color w:val="000000"/>
          <w:sz w:val="28"/>
          <w:szCs w:val="28"/>
          <w:highlight w:val="none"/>
        </w:rPr>
      </w:pPr>
    </w:p>
    <w:p w14:paraId="6B0BA4D8">
      <w:pPr>
        <w:spacing w:line="360" w:lineRule="auto"/>
        <w:ind w:firstLine="560"/>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签订地：</w:t>
      </w:r>
    </w:p>
    <w:p w14:paraId="38BFE290">
      <w:pPr>
        <w:spacing w:line="360" w:lineRule="auto"/>
        <w:ind w:firstLine="560"/>
        <w:rPr>
          <w:rFonts w:hint="eastAsia" w:ascii="宋体" w:hAnsi="宋体" w:cs="宋体"/>
          <w:color w:val="000000"/>
          <w:sz w:val="28"/>
          <w:szCs w:val="28"/>
          <w:highlight w:val="none"/>
        </w:rPr>
      </w:pPr>
    </w:p>
    <w:p w14:paraId="34637DF6">
      <w:pPr>
        <w:spacing w:line="360" w:lineRule="auto"/>
        <w:ind w:firstLine="560"/>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签订日期：2026 年    月    日</w:t>
      </w:r>
    </w:p>
    <w:p w14:paraId="67E4236D">
      <w:pPr>
        <w:spacing w:line="360" w:lineRule="auto"/>
        <w:ind w:firstLine="420"/>
        <w:rPr>
          <w:rFonts w:hint="eastAsia" w:ascii="宋体" w:hAnsi="宋体" w:cs="宋体"/>
          <w:color w:val="000000"/>
          <w:highlight w:val="none"/>
          <w:lang w:val="zh-CN"/>
        </w:rPr>
      </w:pPr>
    </w:p>
    <w:p w14:paraId="362FFD5E">
      <w:pPr>
        <w:ind w:firstLine="420"/>
        <w:jc w:val="center"/>
        <w:rPr>
          <w:rFonts w:hint="eastAsia" w:ascii="宋体" w:hAnsi="宋体" w:cs="宋体"/>
          <w:color w:val="000000"/>
          <w:sz w:val="28"/>
          <w:szCs w:val="28"/>
          <w:highlight w:val="none"/>
        </w:rPr>
      </w:pPr>
      <w:r>
        <w:rPr>
          <w:rFonts w:hint="eastAsia" w:ascii="宋体" w:hAnsi="宋体" w:cs="宋体"/>
          <w:color w:val="000000"/>
          <w:highlight w:val="none"/>
          <w:lang w:val="zh-CN"/>
        </w:rPr>
        <w:br w:type="page"/>
      </w:r>
      <w:bookmarkStart w:id="174" w:name="_Toc22209"/>
      <w:r>
        <w:rPr>
          <w:rFonts w:hint="eastAsia" w:ascii="宋体" w:hAnsi="宋体" w:cs="宋体"/>
          <w:color w:val="000000"/>
          <w:sz w:val="28"/>
          <w:szCs w:val="28"/>
          <w:highlight w:val="none"/>
        </w:rPr>
        <w:t>第一节 政府采购合同协议书</w:t>
      </w:r>
      <w:bookmarkEnd w:id="174"/>
    </w:p>
    <w:p w14:paraId="6A17C0C9">
      <w:pPr>
        <w:keepNext/>
        <w:keepLines/>
        <w:spacing w:line="400" w:lineRule="exact"/>
        <w:ind w:firstLine="420"/>
        <w:jc w:val="center"/>
        <w:rPr>
          <w:rFonts w:hint="eastAsia" w:ascii="宋体" w:hAnsi="宋体" w:cs="宋体"/>
          <w:color w:val="000000"/>
          <w:sz w:val="28"/>
          <w:szCs w:val="28"/>
          <w:highlight w:val="none"/>
        </w:rPr>
      </w:pPr>
    </w:p>
    <w:p w14:paraId="2C4BBD5B">
      <w:pPr>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甲方（全称）：</w:t>
      </w:r>
      <w:r>
        <w:rPr>
          <w:rFonts w:hint="eastAsia" w:ascii="宋体" w:hAnsi="宋体" w:cs="宋体"/>
          <w:color w:val="000000"/>
          <w:szCs w:val="21"/>
          <w:highlight w:val="none"/>
          <w:u w:val="single"/>
        </w:rPr>
        <w:t xml:space="preserve">                        </w:t>
      </w:r>
    </w:p>
    <w:p w14:paraId="70AC19D5">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乙方（全称）：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（供应商）</w:t>
      </w:r>
    </w:p>
    <w:p w14:paraId="1567EF0D">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p>
    <w:p w14:paraId="4F4A8423">
      <w:pPr>
        <w:numPr>
          <w:ilvl w:val="0"/>
          <w:numId w:val="4"/>
        </w:numPr>
        <w:spacing w:line="400" w:lineRule="exact"/>
        <w:ind w:firstLine="422"/>
        <w:rPr>
          <w:rFonts w:hint="eastAsia" w:ascii="宋体" w:hAnsi="宋体" w:cs="宋体"/>
          <w:b/>
          <w:color w:val="000000"/>
          <w:szCs w:val="21"/>
          <w:highlight w:val="none"/>
        </w:rPr>
      </w:pPr>
      <w:r>
        <w:rPr>
          <w:rFonts w:hint="eastAsia" w:ascii="宋体" w:hAnsi="宋体" w:cs="宋体"/>
          <w:b/>
          <w:color w:val="000000"/>
          <w:szCs w:val="21"/>
          <w:highlight w:val="none"/>
        </w:rPr>
        <w:t>项目信息</w:t>
      </w:r>
    </w:p>
    <w:p w14:paraId="78BC1851">
      <w:pPr>
        <w:tabs>
          <w:tab w:val="left" w:pos="907"/>
        </w:tabs>
        <w:spacing w:line="400" w:lineRule="exact"/>
        <w:ind w:firstLine="420" w:firstLineChars="200"/>
        <w:rPr>
          <w:rFonts w:hint="eastAsia" w:ascii="宋体" w:hAnsi="宋体" w:cs="宋体"/>
          <w:color w:val="000000"/>
          <w:szCs w:val="21"/>
          <w:highlight w:val="none"/>
          <w:u w:val="single"/>
        </w:rPr>
      </w:pPr>
      <w:r>
        <w:rPr>
          <w:rFonts w:hint="eastAsia" w:ascii="宋体" w:hAnsi="宋体" w:cs="宋体"/>
          <w:color w:val="000000"/>
          <w:szCs w:val="21"/>
          <w:highlight w:val="none"/>
        </w:rPr>
        <w:t>附录A.采购项目名称：</w:t>
      </w:r>
      <w:r>
        <w:rPr>
          <w:rFonts w:hint="eastAsia" w:ascii="宋体" w:hAnsi="宋体" w:cs="宋体"/>
          <w:color w:val="000000"/>
          <w:szCs w:val="21"/>
          <w:highlight w:val="none"/>
          <w:u w:val="single"/>
        </w:rPr>
        <w:t xml:space="preserve">                                          </w:t>
      </w:r>
    </w:p>
    <w:p w14:paraId="62FDC0F4">
      <w:pPr>
        <w:tabs>
          <w:tab w:val="left" w:pos="999"/>
        </w:tabs>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采购项目编号：</w:t>
      </w:r>
      <w:r>
        <w:rPr>
          <w:rFonts w:hint="eastAsia" w:ascii="宋体" w:hAnsi="宋体" w:cs="宋体"/>
          <w:color w:val="000000"/>
          <w:szCs w:val="21"/>
          <w:highlight w:val="none"/>
          <w:u w:val="single"/>
        </w:rPr>
        <w:t xml:space="preserve">                                          </w:t>
      </w:r>
    </w:p>
    <w:p w14:paraId="3BE02F47">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（2）采购计划编号：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p>
    <w:p w14:paraId="22827A15">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（3）项目内容：</w:t>
      </w:r>
    </w:p>
    <w:p w14:paraId="02922F74">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p>
    <w:p w14:paraId="3D3334FB">
      <w:pPr>
        <w:spacing w:line="400" w:lineRule="exact"/>
        <w:rPr>
          <w:rFonts w:hint="eastAsia" w:ascii="宋体" w:hAnsi="宋体" w:cs="宋体"/>
          <w:color w:val="000000"/>
          <w:szCs w:val="21"/>
          <w:highlight w:val="none"/>
        </w:rPr>
      </w:pPr>
    </w:p>
    <w:p w14:paraId="708451BB">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
        </w:rPr>
        <w:t>4</w:t>
      </w:r>
      <w:r>
        <w:rPr>
          <w:rFonts w:hint="eastAsia" w:ascii="宋体" w:hAnsi="宋体" w:cs="宋体"/>
          <w:color w:val="000000"/>
          <w:szCs w:val="21"/>
          <w:highlight w:val="none"/>
        </w:rPr>
        <w:t>）政府采购组织形式：</w:t>
      </w:r>
      <w:r>
        <w:rPr>
          <w:rFonts w:ascii="Wingdings" w:hAnsi="Wingdings" w:eastAsia="Wingdings" w:cs="Wingdings"/>
          <w:color w:val="000000"/>
          <w:szCs w:val="21"/>
          <w:highlight w:val="none"/>
        </w:rPr>
        <w:t>¨</w:t>
      </w:r>
      <w:r>
        <w:rPr>
          <w:rFonts w:hint="eastAsia" w:ascii="宋体" w:hAnsi="宋体" w:cs="宋体"/>
          <w:color w:val="000000"/>
          <w:szCs w:val="21"/>
          <w:highlight w:val="none"/>
        </w:rPr>
        <w:t xml:space="preserve">政府集中采购  </w:t>
      </w:r>
      <w:r>
        <w:rPr>
          <w:rFonts w:ascii="Wingdings" w:hAnsi="Wingdings" w:eastAsia="Wingdings" w:cs="Wingdings"/>
          <w:color w:val="000000"/>
          <w:szCs w:val="21"/>
          <w:highlight w:val="none"/>
        </w:rPr>
        <w:t>¨</w:t>
      </w:r>
      <w:r>
        <w:rPr>
          <w:rFonts w:hint="eastAsia" w:ascii="宋体" w:hAnsi="宋体" w:cs="宋体"/>
          <w:color w:val="000000"/>
          <w:szCs w:val="21"/>
          <w:highlight w:val="none"/>
        </w:rPr>
        <w:t xml:space="preserve">部门集中采购  </w:t>
      </w:r>
      <w:r>
        <w:rPr>
          <w:rFonts w:ascii="Segoe UI Symbol" w:hAnsi="Segoe UI Symbol" w:cs="Segoe UI Symbol"/>
          <w:iCs/>
          <w:color w:val="000000"/>
          <w:sz w:val="22"/>
          <w:szCs w:val="21"/>
          <w:highlight w:val="none"/>
        </w:rPr>
        <w:t>☑</w:t>
      </w:r>
      <w:r>
        <w:rPr>
          <w:rFonts w:hint="eastAsia" w:ascii="宋体" w:hAnsi="宋体" w:cs="宋体"/>
          <w:color w:val="000000"/>
          <w:szCs w:val="21"/>
          <w:highlight w:val="none"/>
        </w:rPr>
        <w:t xml:space="preserve">分散采购  </w:t>
      </w:r>
      <w:r>
        <w:rPr>
          <w:rFonts w:ascii="Wingdings" w:hAnsi="Wingdings" w:eastAsia="Wingdings" w:cs="Wingdings"/>
          <w:color w:val="000000"/>
          <w:szCs w:val="21"/>
          <w:highlight w:val="none"/>
        </w:rPr>
        <w:t>¨</w:t>
      </w:r>
      <w:r>
        <w:rPr>
          <w:rFonts w:hint="eastAsia" w:ascii="宋体" w:hAnsi="宋体" w:cs="宋体"/>
          <w:color w:val="000000"/>
          <w:szCs w:val="21"/>
          <w:highlight w:val="none"/>
        </w:rPr>
        <w:t>限额以下采购。</w:t>
      </w:r>
    </w:p>
    <w:p w14:paraId="1F406DE5">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
        </w:rPr>
        <w:t>5</w:t>
      </w:r>
      <w:r>
        <w:rPr>
          <w:rFonts w:hint="eastAsia" w:ascii="宋体" w:hAnsi="宋体" w:cs="宋体"/>
          <w:color w:val="000000"/>
          <w:szCs w:val="21"/>
          <w:highlight w:val="none"/>
        </w:rPr>
        <w:t>）政府采购方式：</w:t>
      </w:r>
      <w:r>
        <w:rPr>
          <w:rFonts w:hint="eastAsia" w:ascii="Segoe UI Symbol" w:hAnsi="Segoe UI Symbol" w:cs="Segoe UI Symbol"/>
          <w:iCs/>
          <w:color w:val="000000"/>
          <w:sz w:val="22"/>
          <w:szCs w:val="21"/>
          <w:highlight w:val="none"/>
        </w:rPr>
        <w:t>☑</w:t>
      </w:r>
      <w:r>
        <w:rPr>
          <w:rFonts w:hint="eastAsia" w:ascii="宋体" w:hAnsi="宋体" w:cs="宋体"/>
          <w:color w:val="000000"/>
          <w:szCs w:val="21"/>
          <w:highlight w:val="none"/>
        </w:rPr>
        <w:t xml:space="preserve">公开招标 </w:t>
      </w:r>
      <w:r>
        <w:rPr>
          <w:rFonts w:ascii="Wingdings" w:hAnsi="Wingdings" w:eastAsia="Wingdings" w:cs="Wingdings"/>
          <w:color w:val="000000"/>
          <w:szCs w:val="21"/>
          <w:highlight w:val="none"/>
        </w:rPr>
        <w:t>¨</w:t>
      </w:r>
      <w:r>
        <w:rPr>
          <w:rFonts w:hint="eastAsia" w:ascii="宋体" w:hAnsi="宋体" w:cs="宋体"/>
          <w:color w:val="000000"/>
          <w:szCs w:val="21"/>
          <w:highlight w:val="none"/>
        </w:rPr>
        <w:t xml:space="preserve">邀请招标 </w:t>
      </w:r>
      <w:r>
        <w:rPr>
          <w:rFonts w:ascii="Wingdings" w:hAnsi="Wingdings" w:eastAsia="Wingdings" w:cs="Wingdings"/>
          <w:color w:val="000000"/>
          <w:szCs w:val="21"/>
          <w:highlight w:val="none"/>
        </w:rPr>
        <w:t>¨</w:t>
      </w:r>
      <w:r>
        <w:rPr>
          <w:rFonts w:hint="eastAsia" w:ascii="宋体" w:hAnsi="宋体" w:cs="宋体"/>
          <w:color w:val="000000"/>
          <w:szCs w:val="21"/>
          <w:highlight w:val="none"/>
        </w:rPr>
        <w:t xml:space="preserve">竞争性谈判 </w:t>
      </w:r>
      <w:r>
        <w:rPr>
          <w:rFonts w:ascii="Wingdings" w:hAnsi="Wingdings" w:eastAsia="Wingdings" w:cs="Wingdings"/>
          <w:color w:val="000000"/>
          <w:szCs w:val="21"/>
          <w:highlight w:val="none"/>
        </w:rPr>
        <w:sym w:font="Wingdings" w:char="00A8"/>
      </w:r>
      <w:r>
        <w:rPr>
          <w:rFonts w:hint="eastAsia" w:ascii="宋体" w:hAnsi="宋体" w:cs="宋体"/>
          <w:color w:val="000000"/>
          <w:szCs w:val="21"/>
          <w:highlight w:val="none"/>
        </w:rPr>
        <w:t>竞争性</w:t>
      </w:r>
      <w:r>
        <w:rPr>
          <w:rFonts w:hint="eastAsia"/>
          <w:highlight w:val="none"/>
        </w:rPr>
        <w:t>磋商</w:t>
      </w:r>
    </w:p>
    <w:p w14:paraId="05C4A085">
      <w:pPr>
        <w:spacing w:line="400" w:lineRule="exact"/>
        <w:ind w:firstLine="420"/>
        <w:rPr>
          <w:rFonts w:hint="eastAsia" w:ascii="宋体" w:hAnsi="宋体" w:cs="宋体"/>
          <w:color w:val="000000"/>
          <w:szCs w:val="21"/>
          <w:highlight w:val="none"/>
          <w:u w:val="single"/>
        </w:rPr>
      </w:pPr>
      <w:r>
        <w:rPr>
          <w:rFonts w:hint="eastAsia" w:ascii="宋体" w:hAnsi="宋体" w:cs="宋体"/>
          <w:color w:val="000000"/>
          <w:sz w:val="22"/>
          <w:szCs w:val="21"/>
          <w:highlight w:val="none"/>
        </w:rPr>
        <w:t xml:space="preserve">                  </w:t>
      </w:r>
      <w:r>
        <w:rPr>
          <w:rFonts w:ascii="Wingdings" w:hAnsi="Wingdings" w:eastAsia="Wingdings" w:cs="Wingdings"/>
          <w:color w:val="000000"/>
          <w:szCs w:val="21"/>
          <w:highlight w:val="none"/>
        </w:rPr>
        <w:t>¨</w:t>
      </w:r>
      <w:r>
        <w:rPr>
          <w:rFonts w:hint="eastAsia" w:ascii="宋体" w:hAnsi="宋体" w:cs="宋体"/>
          <w:color w:val="000000"/>
          <w:szCs w:val="21"/>
          <w:highlight w:val="none"/>
        </w:rPr>
        <w:t xml:space="preserve">询价 </w:t>
      </w:r>
      <w:r>
        <w:rPr>
          <w:rFonts w:ascii="Wingdings" w:hAnsi="Wingdings" w:eastAsia="Wingdings" w:cs="Wingdings"/>
          <w:color w:val="000000"/>
          <w:szCs w:val="21"/>
          <w:highlight w:val="none"/>
        </w:rPr>
        <w:t>¨</w:t>
      </w:r>
      <w:r>
        <w:rPr>
          <w:rFonts w:hint="eastAsia" w:ascii="宋体" w:hAnsi="宋体" w:cs="宋体"/>
          <w:color w:val="000000"/>
          <w:szCs w:val="21"/>
          <w:highlight w:val="none"/>
        </w:rPr>
        <w:t xml:space="preserve">单一来源 </w:t>
      </w:r>
      <w:r>
        <w:rPr>
          <w:rFonts w:ascii="Wingdings" w:hAnsi="Wingdings" w:eastAsia="Wingdings" w:cs="Wingdings"/>
          <w:color w:val="000000"/>
          <w:szCs w:val="21"/>
          <w:highlight w:val="none"/>
        </w:rPr>
        <w:t>¨</w:t>
      </w:r>
      <w:r>
        <w:rPr>
          <w:rFonts w:hint="eastAsia" w:ascii="宋体" w:hAnsi="宋体" w:cs="宋体"/>
          <w:color w:val="000000"/>
          <w:szCs w:val="21"/>
          <w:highlight w:val="none"/>
        </w:rPr>
        <w:t xml:space="preserve">框架协议 </w:t>
      </w:r>
      <w:r>
        <w:rPr>
          <w:rFonts w:ascii="Wingdings" w:hAnsi="Wingdings" w:eastAsia="Wingdings" w:cs="Wingdings"/>
          <w:color w:val="000000"/>
          <w:szCs w:val="21"/>
          <w:highlight w:val="none"/>
        </w:rPr>
        <w:t>¨</w:t>
      </w:r>
      <w:r>
        <w:rPr>
          <w:rFonts w:hint="eastAsia" w:ascii="宋体" w:hAnsi="宋体" w:cs="宋体"/>
          <w:color w:val="000000"/>
          <w:szCs w:val="21"/>
          <w:highlight w:val="none"/>
        </w:rPr>
        <w:t>其他：</w:t>
      </w:r>
      <w:r>
        <w:rPr>
          <w:rFonts w:hint="eastAsia" w:ascii="宋体" w:hAnsi="宋体" w:cs="宋体"/>
          <w:color w:val="000000"/>
          <w:szCs w:val="21"/>
          <w:highlight w:val="none"/>
          <w:u w:val="single"/>
        </w:rPr>
        <w:t xml:space="preserve">          </w:t>
      </w:r>
    </w:p>
    <w:p w14:paraId="634EB5E0">
      <w:pPr>
        <w:spacing w:line="400" w:lineRule="exact"/>
        <w:ind w:firstLine="220"/>
        <w:rPr>
          <w:rFonts w:hint="eastAsia" w:ascii="宋体" w:hAnsi="宋体" w:cs="宋体"/>
          <w:color w:val="000000"/>
          <w:szCs w:val="21"/>
          <w:highlight w:val="none"/>
        </w:rPr>
      </w:pP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val="en"/>
        </w:rPr>
        <w:t>6</w:t>
      </w:r>
      <w:r>
        <w:rPr>
          <w:rFonts w:hint="eastAsia" w:ascii="宋体" w:hAnsi="宋体" w:cs="宋体"/>
          <w:color w:val="000000"/>
          <w:sz w:val="22"/>
          <w:szCs w:val="21"/>
          <w:highlight w:val="none"/>
        </w:rPr>
        <w:t>）</w:t>
      </w:r>
      <w:r>
        <w:rPr>
          <w:rFonts w:hint="eastAsia" w:ascii="宋体" w:hAnsi="宋体" w:cs="宋体"/>
          <w:color w:val="000000"/>
          <w:szCs w:val="21"/>
          <w:highlight w:val="none"/>
        </w:rPr>
        <w:t>中标（成交）采购标的制造商是否为中小企业：</w:t>
      </w:r>
      <w:r>
        <w:rPr>
          <w:rFonts w:ascii="Wingdings" w:hAnsi="Wingdings" w:eastAsia="Wingdings" w:cs="Wingdings"/>
          <w:color w:val="000000"/>
          <w:szCs w:val="21"/>
          <w:highlight w:val="none"/>
        </w:rPr>
        <w:t>¨</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cs="宋体"/>
          <w:color w:val="000000"/>
          <w:szCs w:val="21"/>
          <w:highlight w:val="none"/>
        </w:rPr>
        <w:t>否</w:t>
      </w:r>
    </w:p>
    <w:p w14:paraId="5DA44EFB">
      <w:pPr>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否</w:t>
      </w:r>
    </w:p>
    <w:p w14:paraId="0376CFA6">
      <w:pPr>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         若本项目不专门面向中小企业采购，是否给予小微企业评审优惠：</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否</w:t>
      </w:r>
    </w:p>
    <w:p w14:paraId="0008CC54">
      <w:pPr>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         中标（成交）采购标的制造商是否为残疾人福利性单位：</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否</w:t>
      </w:r>
    </w:p>
    <w:p w14:paraId="6C936EC1">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中标（成交）采购标的制造商是否为监狱企业：</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否</w:t>
      </w:r>
    </w:p>
    <w:p w14:paraId="6F0CE3D0">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
        </w:rPr>
        <w:t>7</w:t>
      </w:r>
      <w:r>
        <w:rPr>
          <w:rFonts w:hint="eastAsia" w:ascii="宋体" w:hAnsi="宋体" w:cs="宋体"/>
          <w:color w:val="000000"/>
          <w:szCs w:val="21"/>
          <w:highlight w:val="none"/>
        </w:rPr>
        <w:t>）合同是否分包：</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是       </w:t>
      </w:r>
      <w:r>
        <w:rPr>
          <w:rFonts w:ascii="Segoe UI Symbol" w:hAnsi="Segoe UI Symbol" w:cs="Segoe UI Symbol"/>
          <w:iCs/>
          <w:color w:val="000000"/>
          <w:szCs w:val="21"/>
          <w:highlight w:val="none"/>
        </w:rPr>
        <w:t>☑</w:t>
      </w:r>
      <w:r>
        <w:rPr>
          <w:rFonts w:hint="eastAsia" w:ascii="宋体" w:hAnsi="宋体" w:cs="宋体"/>
          <w:iCs/>
          <w:color w:val="000000"/>
          <w:szCs w:val="21"/>
          <w:highlight w:val="none"/>
        </w:rPr>
        <w:t>否</w:t>
      </w:r>
    </w:p>
    <w:p w14:paraId="5C8C9A39">
      <w:pPr>
        <w:spacing w:line="400" w:lineRule="exact"/>
        <w:ind w:firstLine="840"/>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分包主要内容：</w:t>
      </w:r>
      <w:r>
        <w:rPr>
          <w:rFonts w:hint="eastAsia" w:ascii="宋体" w:hAnsi="宋体" w:cs="宋体"/>
          <w:color w:val="000000"/>
          <w:szCs w:val="21"/>
          <w:highlight w:val="none"/>
          <w:u w:val="single"/>
        </w:rPr>
        <w:t xml:space="preserve">                                            </w:t>
      </w:r>
    </w:p>
    <w:p w14:paraId="190559B2">
      <w:pPr>
        <w:spacing w:line="400" w:lineRule="exact"/>
        <w:ind w:firstLine="840"/>
        <w:rPr>
          <w:rFonts w:hint="eastAsia" w:ascii="宋体" w:hAnsi="宋体" w:cs="宋体"/>
          <w:color w:val="000000"/>
          <w:szCs w:val="21"/>
          <w:highlight w:val="none"/>
        </w:rPr>
      </w:pPr>
      <w:r>
        <w:rPr>
          <w:rFonts w:hint="eastAsia" w:ascii="宋体" w:hAnsi="宋体" w:cs="宋体"/>
          <w:color w:val="000000"/>
          <w:szCs w:val="21"/>
          <w:highlight w:val="none"/>
        </w:rPr>
        <w:t xml:space="preserve"> 分包供应商/制造商名称（如供应商和制造商不同，请分别填写）：</w:t>
      </w:r>
    </w:p>
    <w:p w14:paraId="7D4EC519">
      <w:pPr>
        <w:spacing w:line="400" w:lineRule="exact"/>
        <w:ind w:firstLine="840"/>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p>
    <w:p w14:paraId="51EC3C34">
      <w:pPr>
        <w:spacing w:line="400" w:lineRule="exact"/>
        <w:ind w:firstLine="840"/>
        <w:rPr>
          <w:rFonts w:hint="eastAsia" w:ascii="宋体" w:hAnsi="宋体" w:cs="宋体"/>
          <w:color w:val="000000"/>
          <w:szCs w:val="21"/>
          <w:highlight w:val="none"/>
        </w:rPr>
      </w:pPr>
      <w:r>
        <w:rPr>
          <w:rFonts w:hint="eastAsia" w:ascii="宋体" w:hAnsi="宋体" w:cs="宋体"/>
          <w:color w:val="000000"/>
          <w:szCs w:val="21"/>
          <w:highlight w:val="none"/>
        </w:rPr>
        <w:t xml:space="preserve"> 分包供应商/制造商类型（如果供应商和制造商不同，只填写制造商类型）：</w:t>
      </w:r>
    </w:p>
    <w:p w14:paraId="6ECE74EC">
      <w:pPr>
        <w:spacing w:line="400" w:lineRule="exact"/>
        <w:ind w:firstLine="840"/>
        <w:rPr>
          <w:rFonts w:hint="eastAsia" w:ascii="宋体" w:hAnsi="宋体" w:cs="宋体"/>
          <w:iCs/>
          <w:color w:val="000000"/>
          <w:szCs w:val="21"/>
          <w:highlight w:val="none"/>
        </w:rPr>
      </w:pPr>
      <w:r>
        <w:rPr>
          <w:rFonts w:hint="eastAsia" w:ascii="宋体" w:hAnsi="宋体" w:cs="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大型企业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中型企业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小微型企业  </w:t>
      </w:r>
    </w:p>
    <w:p w14:paraId="0168805E">
      <w:pPr>
        <w:spacing w:line="400" w:lineRule="exact"/>
        <w:ind w:firstLine="840"/>
        <w:rPr>
          <w:rFonts w:hint="eastAsia" w:ascii="宋体" w:hAnsi="宋体" w:cs="宋体"/>
          <w:color w:val="000000"/>
          <w:szCs w:val="21"/>
          <w:highlight w:val="none"/>
        </w:rPr>
      </w:pPr>
      <w:r>
        <w:rPr>
          <w:rFonts w:hint="eastAsia" w:ascii="宋体" w:hAnsi="宋体" w:cs="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残疾人福利性单位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监狱企业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其他</w:t>
      </w:r>
    </w:p>
    <w:p w14:paraId="211148BA">
      <w:pPr>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
        </w:rPr>
        <w:t>8</w:t>
      </w:r>
      <w:r>
        <w:rPr>
          <w:rFonts w:hint="eastAsia" w:ascii="宋体" w:hAnsi="宋体" w:cs="宋体"/>
          <w:color w:val="000000"/>
          <w:szCs w:val="21"/>
          <w:highlight w:val="none"/>
        </w:rPr>
        <w:t>）中标（成交）供应商是否为外商投资企业：</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否</w:t>
      </w:r>
    </w:p>
    <w:p w14:paraId="2F1FD25A">
      <w:pPr>
        <w:tabs>
          <w:tab w:val="left" w:pos="1340"/>
        </w:tabs>
        <w:spacing w:line="400" w:lineRule="exact"/>
        <w:ind w:firstLine="420"/>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外商投资企业类型：</w:t>
      </w:r>
      <w:r>
        <w:rPr>
          <w:rFonts w:ascii="Wingdings" w:hAnsi="Wingdings" w:eastAsia="Wingdings" w:cs="Wingdings"/>
          <w:iCs/>
          <w:color w:val="000000"/>
          <w:szCs w:val="21"/>
          <w:highlight w:val="none"/>
        </w:rPr>
        <w:t>¨</w:t>
      </w:r>
      <w:r>
        <w:rPr>
          <w:rFonts w:hint="eastAsia" w:ascii="宋体" w:hAnsi="宋体" w:cs="宋体"/>
          <w:color w:val="000000"/>
          <w:szCs w:val="21"/>
          <w:highlight w:val="none"/>
        </w:rPr>
        <w:t xml:space="preserve">全部由外国投资者投资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部分由外国投资者投资</w:t>
      </w:r>
    </w:p>
    <w:p w14:paraId="72D5904F">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
        </w:rPr>
        <w:t>9</w:t>
      </w:r>
      <w:r>
        <w:rPr>
          <w:rFonts w:hint="eastAsia" w:ascii="宋体" w:hAnsi="宋体" w:cs="宋体"/>
          <w:color w:val="000000"/>
          <w:szCs w:val="21"/>
          <w:highlight w:val="none"/>
        </w:rPr>
        <w:t>）是否涉及进口产品：</w:t>
      </w:r>
    </w:p>
    <w:p w14:paraId="060E2572">
      <w:pPr>
        <w:spacing w:line="400" w:lineRule="exact"/>
        <w:ind w:firstLine="840"/>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color w:val="000000"/>
          <w:szCs w:val="21"/>
          <w:highlight w:val="none"/>
        </w:rPr>
        <w:t>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p>
    <w:p w14:paraId="67BF3026">
      <w:pPr>
        <w:spacing w:line="400" w:lineRule="exact"/>
        <w:ind w:firstLine="840"/>
        <w:rPr>
          <w:rFonts w:hint="eastAsia" w:ascii="宋体" w:hAnsi="宋体" w:cs="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p>
    <w:p w14:paraId="2CA70250">
      <w:pPr>
        <w:spacing w:line="400" w:lineRule="exact"/>
        <w:ind w:firstLine="840"/>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color w:val="000000"/>
          <w:szCs w:val="21"/>
          <w:highlight w:val="none"/>
        </w:rPr>
        <w:t>否</w:t>
      </w:r>
    </w:p>
    <w:p w14:paraId="1E108F1B">
      <w:pPr>
        <w:tabs>
          <w:tab w:val="left" w:pos="740"/>
        </w:tabs>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0</w:t>
      </w:r>
      <w:r>
        <w:rPr>
          <w:rFonts w:hint="eastAsia" w:ascii="宋体" w:hAnsi="宋体" w:cs="宋体"/>
          <w:color w:val="000000"/>
          <w:szCs w:val="21"/>
          <w:highlight w:val="none"/>
        </w:rPr>
        <w:t>）是否涉及节能产品：</w:t>
      </w:r>
    </w:p>
    <w:p w14:paraId="7C4EC2B1">
      <w:pPr>
        <w:tabs>
          <w:tab w:val="left" w:pos="740"/>
        </w:tabs>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color w:val="000000"/>
          <w:szCs w:val="21"/>
          <w:highlight w:val="none"/>
        </w:rPr>
        <w:t>是，《节能产品政府采购品目清单》的底级品目名称：</w:t>
      </w:r>
      <w:r>
        <w:rPr>
          <w:rFonts w:hint="eastAsia" w:ascii="宋体" w:hAnsi="宋体" w:cs="宋体"/>
          <w:color w:val="000000"/>
          <w:szCs w:val="21"/>
          <w:highlight w:val="none"/>
          <w:u w:val="single"/>
        </w:rPr>
        <w:t xml:space="preserve">         </w:t>
      </w:r>
      <w:r>
        <w:rPr>
          <w:rFonts w:hint="eastAsia" w:ascii="宋体" w:hAnsi="宋体" w:cs="宋体"/>
          <w:iCs/>
          <w:color w:val="000000"/>
          <w:szCs w:val="21"/>
          <w:highlight w:val="none"/>
        </w:rPr>
        <w:t xml:space="preserve">     </w:t>
      </w:r>
    </w:p>
    <w:p w14:paraId="748FEFDE">
      <w:pPr>
        <w:tabs>
          <w:tab w:val="left" w:pos="740"/>
        </w:tabs>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强制采购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优先采购    </w:t>
      </w:r>
    </w:p>
    <w:p w14:paraId="50F20352">
      <w:pPr>
        <w:tabs>
          <w:tab w:val="left" w:pos="740"/>
        </w:tabs>
        <w:spacing w:line="400" w:lineRule="exact"/>
        <w:rPr>
          <w:rFonts w:hint="eastAsia" w:ascii="宋体" w:hAnsi="宋体" w:cs="宋体"/>
          <w:color w:val="000000"/>
          <w:szCs w:val="21"/>
          <w:highlight w:val="none"/>
        </w:rPr>
      </w:pPr>
      <w:r>
        <w:rPr>
          <w:rFonts w:hint="eastAsia" w:ascii="宋体" w:hAnsi="宋体" w:cs="宋体"/>
          <w:i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color w:val="000000"/>
          <w:szCs w:val="21"/>
          <w:highlight w:val="none"/>
        </w:rPr>
        <w:t>否</w:t>
      </w:r>
    </w:p>
    <w:p w14:paraId="6F763B60">
      <w:pPr>
        <w:tabs>
          <w:tab w:val="left" w:pos="740"/>
        </w:tabs>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是否涉及环境标志产品：</w:t>
      </w:r>
    </w:p>
    <w:p w14:paraId="25D0C2DE">
      <w:pPr>
        <w:tabs>
          <w:tab w:val="left" w:pos="740"/>
        </w:tabs>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color w:val="000000"/>
          <w:szCs w:val="21"/>
          <w:highlight w:val="none"/>
        </w:rPr>
        <w:t>是，《环境标志产品政府采购品目清单》的底级品目名称：</w:t>
      </w:r>
      <w:r>
        <w:rPr>
          <w:rFonts w:hint="eastAsia" w:ascii="宋体" w:hAnsi="宋体" w:cs="宋体"/>
          <w:color w:val="000000"/>
          <w:szCs w:val="21"/>
          <w:highlight w:val="none"/>
          <w:u w:val="single"/>
        </w:rPr>
        <w:t xml:space="preserve">         </w:t>
      </w:r>
      <w:r>
        <w:rPr>
          <w:rFonts w:hint="eastAsia" w:ascii="宋体" w:hAnsi="宋体" w:cs="宋体"/>
          <w:iCs/>
          <w:color w:val="000000"/>
          <w:szCs w:val="21"/>
          <w:highlight w:val="none"/>
        </w:rPr>
        <w:t xml:space="preserve"> </w:t>
      </w:r>
    </w:p>
    <w:p w14:paraId="54D09531">
      <w:pPr>
        <w:tabs>
          <w:tab w:val="left" w:pos="740"/>
        </w:tabs>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强制采购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优先采购    </w:t>
      </w:r>
    </w:p>
    <w:p w14:paraId="60F84AC5">
      <w:pPr>
        <w:tabs>
          <w:tab w:val="left" w:pos="740"/>
        </w:tabs>
        <w:spacing w:line="400" w:lineRule="exact"/>
        <w:rPr>
          <w:rFonts w:hint="eastAsia" w:ascii="宋体" w:hAnsi="宋体" w:cs="宋体"/>
          <w:color w:val="000000"/>
          <w:szCs w:val="21"/>
          <w:highlight w:val="none"/>
        </w:rPr>
      </w:pPr>
      <w:r>
        <w:rPr>
          <w:rFonts w:hint="eastAsia" w:ascii="宋体" w:hAnsi="宋体" w:cs="宋体"/>
          <w:i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color w:val="000000"/>
          <w:szCs w:val="21"/>
          <w:highlight w:val="none"/>
        </w:rPr>
        <w:t>否</w:t>
      </w:r>
    </w:p>
    <w:p w14:paraId="30595CD5">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是否涉及绿色产品： </w:t>
      </w:r>
    </w:p>
    <w:p w14:paraId="6F4B151E">
      <w:pPr>
        <w:spacing w:line="400" w:lineRule="exact"/>
        <w:ind w:firstLine="420"/>
        <w:rPr>
          <w:rFonts w:hint="eastAsia" w:ascii="宋体" w:hAnsi="宋体" w:cs="宋体"/>
          <w:color w:val="000000"/>
          <w:sz w:val="22"/>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color w:val="000000"/>
          <w:szCs w:val="21"/>
          <w:highlight w:val="none"/>
        </w:rPr>
        <w:t>是，绿色产品政府采购相关政策确定的底级品目名称：</w:t>
      </w:r>
      <w:r>
        <w:rPr>
          <w:rFonts w:hint="eastAsia" w:ascii="宋体" w:hAnsi="宋体" w:cs="宋体"/>
          <w:color w:val="000000"/>
          <w:sz w:val="22"/>
          <w:szCs w:val="21"/>
          <w:highlight w:val="none"/>
          <w:u w:val="single"/>
        </w:rPr>
        <w:t xml:space="preserve">         </w:t>
      </w:r>
    </w:p>
    <w:p w14:paraId="2E761384">
      <w:pPr>
        <w:tabs>
          <w:tab w:val="left" w:pos="740"/>
        </w:tabs>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强制采购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优先采购    </w:t>
      </w:r>
    </w:p>
    <w:p w14:paraId="02D76CEC">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color w:val="000000"/>
          <w:szCs w:val="21"/>
          <w:highlight w:val="none"/>
        </w:rPr>
        <w:t>否</w:t>
      </w:r>
    </w:p>
    <w:p w14:paraId="1D7A5588">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1</w:t>
      </w:r>
      <w:r>
        <w:rPr>
          <w:rFonts w:hint="eastAsia" w:ascii="宋体" w:hAnsi="宋体" w:cs="宋体"/>
          <w:color w:val="000000"/>
          <w:szCs w:val="21"/>
          <w:highlight w:val="none"/>
        </w:rPr>
        <w:t>）涉及商品包装和快递包装的，是否参考《商品包装政府采购需求标准（试行）》《快递包装政府采购需求标准（试行）》明确产品及相关快递服务的具体包装要求：</w:t>
      </w:r>
    </w:p>
    <w:p w14:paraId="792FF3EF">
      <w:pPr>
        <w:spacing w:line="400" w:lineRule="exact"/>
        <w:ind w:firstLine="840"/>
        <w:rPr>
          <w:rFonts w:hint="eastAsia" w:ascii="宋体" w:hAnsi="宋体" w:cs="宋体"/>
          <w:color w:val="000000"/>
          <w:szCs w:val="21"/>
          <w:highlight w:val="none"/>
        </w:rPr>
      </w:pPr>
      <w:r>
        <w:rPr>
          <w:rFonts w:ascii="Segoe UI Symbol" w:hAnsi="Segoe UI Symbol" w:cs="Segoe UI Symbol"/>
          <w:iCs/>
          <w:color w:val="000000"/>
          <w:szCs w:val="21"/>
          <w:highlight w:val="none"/>
        </w:rPr>
        <w:t>☑</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cs="宋体"/>
          <w:color w:val="000000"/>
          <w:szCs w:val="21"/>
          <w:highlight w:val="none"/>
        </w:rPr>
        <w:t xml:space="preserve">否      </w:t>
      </w:r>
      <w:r>
        <w:rPr>
          <w:rFonts w:ascii="Wingdings" w:hAnsi="Wingdings" w:eastAsia="Wingdings" w:cs="Wingdings"/>
          <w:color w:val="000000"/>
          <w:szCs w:val="21"/>
          <w:highlight w:val="none"/>
        </w:rPr>
        <w:t>¨</w:t>
      </w:r>
      <w:r>
        <w:rPr>
          <w:rFonts w:hint="eastAsia" w:ascii="宋体" w:hAnsi="宋体" w:cs="宋体"/>
          <w:color w:val="000000"/>
          <w:szCs w:val="21"/>
          <w:highlight w:val="none"/>
        </w:rPr>
        <w:t>不涉及</w:t>
      </w:r>
    </w:p>
    <w:p w14:paraId="3FAE0B24">
      <w:pPr>
        <w:numPr>
          <w:ilvl w:val="0"/>
          <w:numId w:val="4"/>
        </w:numPr>
        <w:spacing w:line="400" w:lineRule="exact"/>
        <w:ind w:firstLine="422"/>
        <w:rPr>
          <w:rFonts w:hint="eastAsia" w:ascii="宋体" w:hAnsi="宋体" w:cs="宋体"/>
          <w:b/>
          <w:color w:val="000000"/>
          <w:szCs w:val="21"/>
          <w:highlight w:val="none"/>
        </w:rPr>
      </w:pPr>
      <w:r>
        <w:rPr>
          <w:rFonts w:hint="eastAsia" w:ascii="宋体" w:hAnsi="宋体" w:cs="宋体"/>
          <w:b/>
          <w:color w:val="000000"/>
          <w:szCs w:val="21"/>
          <w:highlight w:val="none"/>
        </w:rPr>
        <w:t>合同金额</w:t>
      </w:r>
    </w:p>
    <w:p w14:paraId="12EE2C89">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（1）合同金额小写：</w:t>
      </w:r>
      <w:r>
        <w:rPr>
          <w:rFonts w:hint="eastAsia" w:ascii="宋体" w:hAnsi="宋体" w:cs="宋体"/>
          <w:color w:val="000000"/>
          <w:szCs w:val="21"/>
          <w:highlight w:val="none"/>
          <w:u w:val="single"/>
        </w:rPr>
        <w:t xml:space="preserve">                           </w:t>
      </w:r>
    </w:p>
    <w:p w14:paraId="562F500C">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大写：</w:t>
      </w:r>
      <w:r>
        <w:rPr>
          <w:rFonts w:hint="eastAsia" w:ascii="宋体" w:hAnsi="宋体" w:cs="宋体"/>
          <w:color w:val="000000"/>
          <w:szCs w:val="21"/>
          <w:highlight w:val="none"/>
          <w:u w:val="single"/>
        </w:rPr>
        <w:t xml:space="preserve">                           </w:t>
      </w:r>
    </w:p>
    <w:p w14:paraId="701EB2C0">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（2）合同定价方式（采用组合定价方式的，可以勾选多项）：</w:t>
      </w:r>
    </w:p>
    <w:p w14:paraId="64BC5A25">
      <w:pPr>
        <w:spacing w:line="400" w:lineRule="exact"/>
        <w:ind w:firstLine="420"/>
        <w:rPr>
          <w:rFonts w:hint="eastAsia" w:ascii="宋体" w:hAnsi="宋体" w:cs="宋体"/>
          <w:color w:val="000000"/>
          <w:szCs w:val="21"/>
          <w:highlight w:val="none"/>
        </w:rPr>
      </w:pPr>
      <w:r>
        <w:rPr>
          <w:rFonts w:hint="eastAsia" w:ascii="宋体" w:hAnsi="宋体" w:cs="宋体"/>
          <w:iCs/>
          <w:color w:val="000000"/>
          <w:szCs w:val="21"/>
          <w:highlight w:val="none"/>
        </w:rPr>
        <w:t xml:space="preserve">  </w:t>
      </w:r>
      <w:r>
        <w:rPr>
          <w:rFonts w:hint="eastAsia" w:ascii="Segoe UI Symbol" w:hAnsi="Segoe UI Symbol" w:cs="Segoe UI Symbol"/>
          <w:iCs/>
          <w:color w:val="000000"/>
          <w:szCs w:val="21"/>
          <w:highlight w:val="none"/>
        </w:rPr>
        <w:t>☑</w:t>
      </w:r>
      <w:r>
        <w:rPr>
          <w:rFonts w:hint="eastAsia" w:ascii="宋体" w:hAnsi="宋体" w:cs="宋体"/>
          <w:iCs/>
          <w:color w:val="000000"/>
          <w:szCs w:val="21"/>
          <w:highlight w:val="none"/>
        </w:rPr>
        <w:t xml:space="preserve">固定总价 </w:t>
      </w:r>
      <w:r>
        <w:rPr>
          <w:rFonts w:ascii="Wingdings" w:hAnsi="Wingdings" w:eastAsia="Wingdings" w:cs="Wingdings"/>
          <w:iCs/>
          <w:color w:val="000000"/>
          <w:szCs w:val="21"/>
          <w:highlight w:val="none"/>
        </w:rPr>
        <w:sym w:font="Wingdings" w:char="00A8"/>
      </w:r>
      <w:r>
        <w:rPr>
          <w:rFonts w:hint="eastAsia" w:ascii="宋体" w:hAnsi="宋体" w:cs="宋体"/>
          <w:iCs/>
          <w:color w:val="000000"/>
          <w:szCs w:val="21"/>
          <w:highlight w:val="none"/>
        </w:rPr>
        <w:t xml:space="preserve">固定单价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固定费率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成本补偿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绩效激励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其他</w:t>
      </w:r>
      <w:r>
        <w:rPr>
          <w:rFonts w:hint="eastAsia" w:ascii="宋体" w:hAnsi="宋体" w:cs="宋体"/>
          <w:color w:val="000000"/>
          <w:szCs w:val="21"/>
          <w:highlight w:val="none"/>
          <w:u w:val="single"/>
        </w:rPr>
        <w:t xml:space="preserve">       </w:t>
      </w:r>
    </w:p>
    <w:p w14:paraId="28DB3AF3">
      <w:pPr>
        <w:spacing w:line="400" w:lineRule="exact"/>
        <w:ind w:firstLine="420"/>
        <w:rPr>
          <w:rFonts w:hint="eastAsia" w:ascii="宋体" w:hAnsi="宋体" w:cs="宋体"/>
          <w:color w:val="000000"/>
          <w:highlight w:val="none"/>
        </w:rPr>
      </w:pPr>
      <w:r>
        <w:rPr>
          <w:rFonts w:hint="eastAsia" w:ascii="宋体" w:hAnsi="宋体" w:cs="宋体"/>
          <w:color w:val="000000"/>
          <w:highlight w:val="none"/>
        </w:rPr>
        <w:t>（3）付款方式（按项目实际勾选填写）：</w:t>
      </w:r>
    </w:p>
    <w:p w14:paraId="7D713944">
      <w:pPr>
        <w:spacing w:line="400" w:lineRule="exact"/>
        <w:ind w:firstLine="630"/>
        <w:rPr>
          <w:rFonts w:hint="eastAsia" w:ascii="宋体" w:hAnsi="宋体" w:cs="宋体"/>
          <w:color w:val="000000"/>
          <w:szCs w:val="21"/>
          <w:highlight w:val="none"/>
          <w:u w:val="single"/>
        </w:rPr>
      </w:pPr>
      <w:r>
        <w:rPr>
          <w:rFonts w:ascii="Wingdings" w:hAnsi="Wingdings" w:eastAsia="Wingdings" w:cs="Wingdings"/>
          <w:color w:val="000000"/>
          <w:szCs w:val="21"/>
          <w:highlight w:val="none"/>
        </w:rPr>
        <w:sym w:font="Wingdings" w:char="00FE"/>
      </w:r>
      <w:r>
        <w:rPr>
          <w:rFonts w:hint="eastAsia" w:ascii="宋体" w:hAnsi="宋体" w:cs="宋体"/>
          <w:color w:val="000000"/>
          <w:szCs w:val="21"/>
          <w:highlight w:val="none"/>
        </w:rPr>
        <w:t>全额付款：</w:t>
      </w:r>
      <w:r>
        <w:rPr>
          <w:rFonts w:hint="eastAsia" w:ascii="宋体" w:hAnsi="宋体" w:cs="宋体"/>
          <w:color w:val="000000"/>
          <w:szCs w:val="21"/>
          <w:highlight w:val="none"/>
          <w:u w:val="single"/>
        </w:rPr>
        <w:t xml:space="preserve"> 合同签订生效后，采购人向中标人</w:t>
      </w:r>
      <w:bookmarkStart w:id="192" w:name="_GoBack"/>
      <w:r>
        <w:rPr>
          <w:rFonts w:hint="eastAsia" w:ascii="宋体" w:hAnsi="宋体" w:cs="宋体"/>
          <w:color w:val="000000"/>
          <w:szCs w:val="21"/>
          <w:highlight w:val="none"/>
          <w:u w:val="single"/>
        </w:rPr>
        <w:t>支付</w:t>
      </w:r>
      <w:bookmarkEnd w:id="192"/>
      <w:r>
        <w:rPr>
          <w:rFonts w:hint="eastAsia" w:ascii="宋体" w:hAnsi="宋体" w:cs="宋体"/>
          <w:color w:val="000000"/>
          <w:szCs w:val="21"/>
          <w:highlight w:val="none"/>
          <w:u w:val="single"/>
        </w:rPr>
        <w:t xml:space="preserve">合同总金额的 30% 作为预付款；全部货物交付、安装调试完毕并经采购人验收合格后，采购人支付合同总金额剩余的 70%，即累计支付至合同总金额的 100%。 </w:t>
      </w:r>
    </w:p>
    <w:p w14:paraId="7BAEE05C">
      <w:pPr>
        <w:spacing w:line="400" w:lineRule="exact"/>
        <w:ind w:firstLine="630"/>
        <w:rPr>
          <w:rFonts w:hint="eastAsia" w:ascii="宋体" w:hAnsi="宋体" w:cs="宋体"/>
          <w:color w:val="000000"/>
          <w:szCs w:val="21"/>
          <w:highlight w:val="none"/>
          <w:u w:val="single"/>
        </w:rPr>
      </w:pPr>
      <w:r>
        <w:rPr>
          <w:rFonts w:hint="eastAsia" w:ascii="Segoe UI Symbol" w:hAnsi="Segoe UI Symbol" w:cs="Segoe UI Symbol"/>
          <w:iCs/>
          <w:color w:val="000000"/>
          <w:szCs w:val="21"/>
          <w:highlight w:val="none"/>
          <w:lang w:eastAsia="zh-CN"/>
        </w:rPr>
        <w:t>□</w:t>
      </w:r>
      <w:r>
        <w:rPr>
          <w:rFonts w:hint="eastAsia" w:ascii="宋体" w:hAnsi="宋体" w:cs="宋体"/>
          <w:color w:val="000000"/>
          <w:szCs w:val="21"/>
          <w:highlight w:val="none"/>
        </w:rPr>
        <w:t>分期付款：</w:t>
      </w:r>
      <w:r>
        <w:rPr>
          <w:rFonts w:hint="eastAsia" w:ascii="宋体" w:hAnsi="宋体" w:cs="宋体"/>
          <w:color w:val="000000"/>
          <w:szCs w:val="21"/>
          <w:highlight w:val="none"/>
          <w:u w:val="single"/>
        </w:rPr>
        <w:t xml:space="preserve"> /  </w:t>
      </w:r>
    </w:p>
    <w:p w14:paraId="7EE21098">
      <w:pPr>
        <w:spacing w:line="400" w:lineRule="exact"/>
        <w:ind w:firstLine="630"/>
        <w:rPr>
          <w:rFonts w:hint="eastAsia" w:ascii="宋体" w:hAnsi="宋体" w:cs="宋体"/>
          <w:color w:val="000000"/>
          <w:szCs w:val="21"/>
          <w:highlight w:val="none"/>
          <w:u w:val="single"/>
        </w:rPr>
      </w:pPr>
      <w:r>
        <w:rPr>
          <w:rFonts w:ascii="Wingdings" w:hAnsi="Wingdings" w:eastAsia="Wingdings" w:cs="Wingdings"/>
          <w:color w:val="000000"/>
          <w:szCs w:val="21"/>
          <w:highlight w:val="none"/>
        </w:rPr>
        <w:t>¨</w:t>
      </w:r>
      <w:r>
        <w:rPr>
          <w:rFonts w:hint="eastAsia" w:ascii="宋体" w:hAnsi="宋体" w:cs="宋体"/>
          <w:color w:val="000000"/>
          <w:szCs w:val="21"/>
          <w:highlight w:val="none"/>
        </w:rPr>
        <w:t>成本补偿：</w:t>
      </w:r>
      <w:r>
        <w:rPr>
          <w:rFonts w:hint="eastAsia" w:ascii="宋体" w:hAnsi="宋体" w:cs="宋体"/>
          <w:color w:val="000000"/>
          <w:szCs w:val="21"/>
          <w:highlight w:val="none"/>
          <w:u w:val="single"/>
        </w:rPr>
        <w:t xml:space="preserve">  /  </w:t>
      </w:r>
    </w:p>
    <w:p w14:paraId="41A39C11">
      <w:pPr>
        <w:spacing w:line="400" w:lineRule="exact"/>
        <w:ind w:firstLine="630"/>
        <w:rPr>
          <w:rFonts w:hint="eastAsia" w:ascii="宋体" w:hAnsi="宋体" w:cs="宋体"/>
          <w:color w:val="000000"/>
          <w:szCs w:val="21"/>
          <w:highlight w:val="none"/>
        </w:rPr>
      </w:pPr>
      <w:r>
        <w:rPr>
          <w:rFonts w:ascii="Wingdings" w:hAnsi="Wingdings" w:eastAsia="Wingdings" w:cs="Wingdings"/>
          <w:color w:val="000000"/>
          <w:szCs w:val="21"/>
          <w:highlight w:val="none"/>
        </w:rPr>
        <w:t>¨</w:t>
      </w:r>
      <w:r>
        <w:rPr>
          <w:rFonts w:hint="eastAsia" w:ascii="宋体" w:hAnsi="宋体" w:cs="宋体"/>
          <w:color w:val="000000"/>
          <w:szCs w:val="21"/>
          <w:highlight w:val="none"/>
        </w:rPr>
        <w:t>绩效激励：</w:t>
      </w:r>
      <w:r>
        <w:rPr>
          <w:rFonts w:hint="eastAsia" w:ascii="宋体" w:hAnsi="宋体" w:cs="宋体"/>
          <w:color w:val="000000"/>
          <w:szCs w:val="21"/>
          <w:highlight w:val="none"/>
          <w:u w:val="single"/>
        </w:rPr>
        <w:t xml:space="preserve">  /  </w:t>
      </w:r>
    </w:p>
    <w:p w14:paraId="3CA713F7">
      <w:pPr>
        <w:numPr>
          <w:ilvl w:val="0"/>
          <w:numId w:val="4"/>
        </w:numPr>
        <w:spacing w:line="400" w:lineRule="exact"/>
        <w:ind w:firstLine="422"/>
        <w:rPr>
          <w:rFonts w:hint="eastAsia" w:ascii="宋体" w:hAnsi="宋体" w:cs="宋体"/>
          <w:b/>
          <w:color w:val="000000"/>
          <w:szCs w:val="21"/>
          <w:highlight w:val="none"/>
          <w:u w:val="single"/>
        </w:rPr>
      </w:pPr>
      <w:r>
        <w:rPr>
          <w:rFonts w:hint="eastAsia" w:ascii="宋体" w:hAnsi="宋体" w:cs="宋体"/>
          <w:b/>
          <w:color w:val="000000"/>
          <w:szCs w:val="21"/>
          <w:highlight w:val="none"/>
        </w:rPr>
        <w:t>合同履行</w:t>
      </w:r>
    </w:p>
    <w:p w14:paraId="70B5B1C3">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日。</w:t>
      </w:r>
    </w:p>
    <w:p w14:paraId="0571672D">
      <w:pPr>
        <w:spacing w:line="400" w:lineRule="exact"/>
        <w:ind w:firstLine="420"/>
        <w:rPr>
          <w:rFonts w:hint="eastAsia" w:ascii="宋体" w:hAnsi="宋体" w:cs="宋体"/>
          <w:color w:val="000000"/>
          <w:szCs w:val="21"/>
          <w:highlight w:val="none"/>
          <w:u w:val="single"/>
        </w:rPr>
      </w:pPr>
      <w:r>
        <w:rPr>
          <w:rFonts w:hint="eastAsia" w:ascii="宋体" w:hAnsi="宋体" w:cs="宋体"/>
          <w:color w:val="000000"/>
          <w:szCs w:val="21"/>
          <w:highlight w:val="none"/>
        </w:rPr>
        <w:t>（2）履约地点</w:t>
      </w:r>
      <w:r>
        <w:rPr>
          <w:rFonts w:hint="eastAsia" w:ascii="宋体" w:hAnsi="宋体" w:cs="宋体"/>
          <w:bCs/>
          <w:color w:val="000000"/>
          <w:szCs w:val="21"/>
          <w:highlight w:val="none"/>
        </w:rPr>
        <w:t>：</w:t>
      </w:r>
      <w:r>
        <w:rPr>
          <w:rFonts w:hint="eastAsia" w:ascii="宋体" w:hAnsi="宋体" w:cs="宋体"/>
          <w:color w:val="000000"/>
          <w:szCs w:val="21"/>
          <w:highlight w:val="none"/>
          <w:u w:val="single"/>
        </w:rPr>
        <w:t xml:space="preserve">                             </w:t>
      </w:r>
    </w:p>
    <w:p w14:paraId="6A8FDB06">
      <w:pPr>
        <w:spacing w:line="400" w:lineRule="exact"/>
        <w:ind w:firstLine="420"/>
        <w:rPr>
          <w:rFonts w:hint="eastAsia" w:ascii="宋体" w:hAnsi="宋体" w:cs="宋体"/>
          <w:color w:val="000000"/>
          <w:szCs w:val="21"/>
          <w:highlight w:val="none"/>
        </w:rPr>
      </w:pPr>
      <w:r>
        <w:rPr>
          <w:rFonts w:hint="eastAsia" w:ascii="宋体" w:hAnsi="宋体" w:cs="宋体"/>
          <w:bCs/>
          <w:color w:val="000000"/>
          <w:szCs w:val="21"/>
          <w:highlight w:val="none"/>
        </w:rPr>
        <w:t>（3）履约担保：</w:t>
      </w:r>
      <w:r>
        <w:rPr>
          <w:rFonts w:hint="eastAsia" w:ascii="宋体" w:hAnsi="宋体" w:cs="宋体"/>
          <w:color w:val="000000"/>
          <w:szCs w:val="21"/>
          <w:highlight w:val="none"/>
        </w:rPr>
        <w:t>是否收取履约保证金：</w:t>
      </w:r>
      <w:r>
        <w:rPr>
          <w:rFonts w:hint="eastAsia" w:ascii="Segoe UI Symbol" w:hAnsi="Segoe UI Symbol" w:cs="Segoe UI Symbol"/>
          <w:iCs/>
          <w:color w:val="000000"/>
          <w:szCs w:val="21"/>
          <w:highlight w:val="none"/>
        </w:rPr>
        <w:t>☑</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cs="宋体"/>
          <w:color w:val="000000"/>
          <w:szCs w:val="21"/>
          <w:highlight w:val="none"/>
        </w:rPr>
        <w:t>否</w:t>
      </w:r>
    </w:p>
    <w:p w14:paraId="2BD25F6E">
      <w:pPr>
        <w:spacing w:line="400" w:lineRule="exact"/>
        <w:ind w:firstLine="440"/>
        <w:rPr>
          <w:rFonts w:hint="eastAsia" w:ascii="宋体" w:hAnsi="宋体" w:cs="宋体"/>
          <w:color w:val="000000"/>
          <w:szCs w:val="21"/>
          <w:highlight w:val="none"/>
        </w:rPr>
      </w:pPr>
      <w:r>
        <w:rPr>
          <w:rFonts w:hint="eastAsia" w:ascii="宋体" w:hAnsi="宋体" w:cs="宋体"/>
          <w:bCs/>
          <w:color w:val="000000"/>
          <w:sz w:val="22"/>
          <w:szCs w:val="21"/>
          <w:highlight w:val="none"/>
        </w:rPr>
        <w:t xml:space="preserve">  </w:t>
      </w:r>
      <w:r>
        <w:rPr>
          <w:rFonts w:hint="eastAsia" w:ascii="宋体" w:hAnsi="宋体" w:cs="宋体"/>
          <w:color w:val="000000"/>
          <w:szCs w:val="21"/>
          <w:highlight w:val="none"/>
        </w:rPr>
        <w:t>收取履约保证金形式：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p>
    <w:p w14:paraId="40A3C82B">
      <w:pPr>
        <w:spacing w:line="400" w:lineRule="exact"/>
        <w:ind w:firstLine="440"/>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收取履约保证金金额： </w:t>
      </w:r>
      <w:r>
        <w:rPr>
          <w:rFonts w:hint="eastAsia" w:ascii="宋体" w:hAnsi="宋体" w:cs="宋体"/>
          <w:color w:val="000000"/>
          <w:szCs w:val="21"/>
          <w:highlight w:val="none"/>
          <w:u w:val="single"/>
        </w:rPr>
        <w:t xml:space="preserve">  合同金额的10%    </w:t>
      </w:r>
    </w:p>
    <w:p w14:paraId="6642DEDA">
      <w:pPr>
        <w:spacing w:line="400" w:lineRule="exact"/>
        <w:ind w:firstLine="440"/>
        <w:rPr>
          <w:rFonts w:hint="eastAsia" w:ascii="宋体" w:hAnsi="宋体" w:cs="宋体"/>
          <w:color w:val="000000"/>
          <w:szCs w:val="21"/>
          <w:highlight w:val="none"/>
        </w:rPr>
      </w:pPr>
      <w:r>
        <w:rPr>
          <w:rFonts w:hint="eastAsia" w:ascii="宋体" w:hAnsi="宋体" w:cs="宋体"/>
          <w:bCs/>
          <w:color w:val="000000"/>
          <w:szCs w:val="21"/>
          <w:highlight w:val="none"/>
        </w:rPr>
        <w:t>履约担保期限：</w:t>
      </w:r>
      <w:r>
        <w:rPr>
          <w:rFonts w:hint="eastAsia" w:ascii="宋体" w:hAnsi="宋体" w:cs="宋体"/>
          <w:b/>
          <w:bCs/>
          <w:color w:val="000000"/>
          <w:szCs w:val="21"/>
          <w:highlight w:val="none"/>
          <w:u w:val="single"/>
        </w:rPr>
        <w:t>以银行保函等担保形式提交履约保证金的，有效期限不得少于自合同签订之日起至计划项目完成验收后2个月止，若项目实际期间发生供货延期，则承包人须对银行保函等担保进行相应续保，否则甲方有权暂停支付后续合同费用，且甲方不承担任何责任。</w:t>
      </w:r>
    </w:p>
    <w:p w14:paraId="2E6C4B1B">
      <w:pPr>
        <w:spacing w:line="40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（4）分期履行要求：</w:t>
      </w:r>
      <w:r>
        <w:rPr>
          <w:rFonts w:hint="eastAsia" w:ascii="宋体" w:hAnsi="宋体" w:cs="宋体"/>
          <w:bCs/>
          <w:color w:val="000000"/>
          <w:szCs w:val="21"/>
          <w:highlight w:val="none"/>
          <w:u w:val="single"/>
        </w:rPr>
        <w:t xml:space="preserve">  /    </w:t>
      </w:r>
    </w:p>
    <w:p w14:paraId="0B8A1298">
      <w:pPr>
        <w:spacing w:line="400" w:lineRule="exact"/>
        <w:ind w:firstLine="420"/>
        <w:rPr>
          <w:rFonts w:hint="eastAsia" w:ascii="宋体" w:hAnsi="宋体" w:cs="宋体"/>
          <w:color w:val="000000"/>
          <w:szCs w:val="21"/>
          <w:highlight w:val="none"/>
          <w:u w:val="single"/>
        </w:rPr>
      </w:pPr>
      <w:r>
        <w:rPr>
          <w:rFonts w:hint="eastAsia" w:ascii="宋体" w:hAnsi="宋体" w:cs="宋体"/>
          <w:bCs/>
          <w:color w:val="000000"/>
          <w:szCs w:val="21"/>
          <w:highlight w:val="none"/>
        </w:rPr>
        <w:t>（5）风险处置措施和替代方案：</w:t>
      </w:r>
      <w:r>
        <w:rPr>
          <w:rFonts w:hint="eastAsia" w:ascii="宋体" w:hAnsi="宋体" w:cs="宋体"/>
          <w:color w:val="000000"/>
          <w:szCs w:val="21"/>
          <w:highlight w:val="none"/>
          <w:u w:val="single"/>
        </w:rPr>
        <w:t xml:space="preserve">  /             </w:t>
      </w:r>
    </w:p>
    <w:p w14:paraId="4AF80525">
      <w:pPr>
        <w:numPr>
          <w:ilvl w:val="0"/>
          <w:numId w:val="4"/>
        </w:numPr>
        <w:spacing w:line="400" w:lineRule="exact"/>
        <w:ind w:firstLine="422"/>
        <w:rPr>
          <w:rFonts w:hint="eastAsia" w:ascii="宋体" w:hAnsi="宋体" w:cs="宋体"/>
          <w:b/>
          <w:color w:val="000000"/>
          <w:szCs w:val="21"/>
          <w:highlight w:val="none"/>
        </w:rPr>
      </w:pPr>
      <w:r>
        <w:rPr>
          <w:rFonts w:hint="eastAsia" w:ascii="宋体" w:hAnsi="宋体" w:cs="宋体"/>
          <w:b/>
          <w:color w:val="000000"/>
          <w:szCs w:val="21"/>
          <w:highlight w:val="none"/>
        </w:rPr>
        <w:t>合同验收</w:t>
      </w:r>
    </w:p>
    <w:p w14:paraId="27EA3190">
      <w:pPr>
        <w:numPr>
          <w:ilvl w:val="0"/>
          <w:numId w:val="5"/>
        </w:numPr>
        <w:tabs>
          <w:tab w:val="left" w:pos="709"/>
        </w:tabs>
        <w:spacing w:line="40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验收组织方式：</w:t>
      </w:r>
      <w:r>
        <w:rPr>
          <w:rFonts w:ascii="Segoe UI Symbol" w:hAnsi="Segoe UI Symbol" w:cs="Segoe UI Symbol"/>
          <w:iCs/>
          <w:color w:val="000000"/>
          <w:szCs w:val="21"/>
          <w:highlight w:val="none"/>
        </w:rPr>
        <w:t>☑</w:t>
      </w:r>
      <w:r>
        <w:rPr>
          <w:rFonts w:hint="eastAsia" w:ascii="宋体" w:hAnsi="宋体" w:cs="宋体"/>
          <w:bCs/>
          <w:color w:val="000000"/>
          <w:szCs w:val="21"/>
          <w:highlight w:val="none"/>
        </w:rPr>
        <w:t xml:space="preserve">自行组织 </w:t>
      </w:r>
      <w:r>
        <w:rPr>
          <w:rFonts w:ascii="Wingdings" w:hAnsi="Wingdings" w:eastAsia="Wingdings" w:cs="Wingdings"/>
          <w:color w:val="000000"/>
          <w:szCs w:val="21"/>
          <w:highlight w:val="none"/>
        </w:rPr>
        <w:t>¨</w:t>
      </w:r>
      <w:r>
        <w:rPr>
          <w:rFonts w:hint="eastAsia" w:ascii="宋体" w:hAnsi="宋体" w:cs="宋体"/>
          <w:bCs/>
          <w:color w:val="000000"/>
          <w:szCs w:val="21"/>
          <w:highlight w:val="none"/>
        </w:rPr>
        <w:t>委托第三方组织</w:t>
      </w:r>
    </w:p>
    <w:p w14:paraId="5E7C21F9">
      <w:pP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验收主体：</w:t>
      </w:r>
      <w:r>
        <w:rPr>
          <w:rFonts w:hint="eastAsia" w:ascii="宋体" w:hAnsi="宋体" w:cs="宋体"/>
          <w:bCs/>
          <w:color w:val="000000"/>
          <w:szCs w:val="21"/>
          <w:highlight w:val="none"/>
          <w:u w:val="single"/>
        </w:rPr>
        <w:t xml:space="preserve">                  </w:t>
      </w:r>
    </w:p>
    <w:p w14:paraId="5B30444B">
      <w:pP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w:t>
      </w:r>
      <w:r>
        <w:rPr>
          <w:rFonts w:hint="eastAsia" w:ascii="宋体" w:hAnsi="宋体" w:cs="宋体"/>
          <w:bCs/>
          <w:color w:val="000000"/>
          <w:szCs w:val="21"/>
          <w:highlight w:val="none"/>
        </w:rPr>
        <w:t xml:space="preserve">是  </w:t>
      </w:r>
      <w:r>
        <w:rPr>
          <w:rFonts w:ascii="Segoe UI Symbol" w:hAnsi="Segoe UI Symbol" w:cs="Segoe UI Symbol"/>
          <w:iCs/>
          <w:color w:val="000000"/>
          <w:szCs w:val="21"/>
          <w:highlight w:val="none"/>
        </w:rPr>
        <w:t>☑</w:t>
      </w:r>
      <w:r>
        <w:rPr>
          <w:rFonts w:hint="eastAsia" w:ascii="宋体" w:hAnsi="宋体" w:cs="宋体"/>
          <w:bCs/>
          <w:color w:val="000000"/>
          <w:szCs w:val="21"/>
          <w:highlight w:val="none"/>
        </w:rPr>
        <w:t>否</w:t>
      </w:r>
    </w:p>
    <w:p w14:paraId="65B8CE3B">
      <w:pPr>
        <w:spacing w:line="400" w:lineRule="exact"/>
        <w:ind w:firstLine="840"/>
        <w:rPr>
          <w:rFonts w:hint="eastAsia" w:ascii="宋体" w:hAnsi="宋体" w:cs="宋体"/>
          <w:bCs/>
          <w:color w:val="000000"/>
          <w:szCs w:val="21"/>
          <w:highlight w:val="none"/>
        </w:rPr>
      </w:pPr>
      <w:r>
        <w:rPr>
          <w:rFonts w:hint="eastAsia" w:ascii="宋体" w:hAnsi="宋体" w:cs="宋体"/>
          <w:bCs/>
          <w:color w:val="000000"/>
          <w:szCs w:val="21"/>
          <w:highlight w:val="none"/>
        </w:rPr>
        <w:t>是否邀请专家参加验收：</w:t>
      </w:r>
      <w:r>
        <w:rPr>
          <w:rFonts w:ascii="Wingdings" w:hAnsi="Wingdings" w:eastAsia="Wingdings" w:cs="Wingdings"/>
          <w:color w:val="000000"/>
          <w:szCs w:val="21"/>
          <w:highlight w:val="none"/>
        </w:rPr>
        <w:t>¨</w:t>
      </w:r>
      <w:r>
        <w:rPr>
          <w:rFonts w:hint="eastAsia" w:ascii="宋体" w:hAnsi="宋体" w:cs="宋体"/>
          <w:bCs/>
          <w:color w:val="000000"/>
          <w:szCs w:val="21"/>
          <w:highlight w:val="none"/>
        </w:rPr>
        <w:t xml:space="preserve">是  </w:t>
      </w:r>
      <w:bookmarkStart w:id="175" w:name="_Hlk177633979"/>
      <w:r>
        <w:rPr>
          <w:rFonts w:ascii="Segoe UI Symbol" w:hAnsi="Segoe UI Symbol" w:cs="Segoe UI Symbol"/>
          <w:iCs/>
          <w:color w:val="000000"/>
          <w:szCs w:val="21"/>
          <w:highlight w:val="none"/>
        </w:rPr>
        <w:t>☑</w:t>
      </w:r>
      <w:bookmarkEnd w:id="175"/>
      <w:r>
        <w:rPr>
          <w:rFonts w:hint="eastAsia" w:ascii="宋体" w:hAnsi="宋体" w:cs="宋体"/>
          <w:bCs/>
          <w:color w:val="000000"/>
          <w:szCs w:val="21"/>
          <w:highlight w:val="none"/>
        </w:rPr>
        <w:t>否</w:t>
      </w:r>
    </w:p>
    <w:p w14:paraId="7DCC973B">
      <w:pPr>
        <w:spacing w:line="400" w:lineRule="exact"/>
        <w:ind w:firstLine="840"/>
        <w:rPr>
          <w:rFonts w:hint="eastAsia" w:ascii="宋体" w:hAnsi="宋体" w:cs="宋体"/>
          <w:bCs/>
          <w:color w:val="000000"/>
          <w:szCs w:val="21"/>
          <w:highlight w:val="none"/>
        </w:rPr>
      </w:pPr>
      <w:r>
        <w:rPr>
          <w:rFonts w:hint="eastAsia" w:ascii="宋体" w:hAnsi="宋体" w:cs="宋体"/>
          <w:bCs/>
          <w:color w:val="000000"/>
          <w:szCs w:val="21"/>
          <w:highlight w:val="none"/>
        </w:rPr>
        <w:t>是否邀请服务对象参加验收：</w:t>
      </w:r>
      <w:r>
        <w:rPr>
          <w:rFonts w:ascii="Wingdings" w:hAnsi="Wingdings" w:eastAsia="Wingdings" w:cs="Wingdings"/>
          <w:color w:val="000000"/>
          <w:szCs w:val="21"/>
          <w:highlight w:val="none"/>
        </w:rPr>
        <w:t>¨</w:t>
      </w:r>
      <w:r>
        <w:rPr>
          <w:rFonts w:hint="eastAsia" w:ascii="宋体" w:hAnsi="宋体" w:cs="宋体"/>
          <w:bCs/>
          <w:color w:val="000000"/>
          <w:szCs w:val="21"/>
          <w:highlight w:val="none"/>
        </w:rPr>
        <w:t xml:space="preserve">是  </w:t>
      </w:r>
      <w:r>
        <w:rPr>
          <w:rFonts w:ascii="Segoe UI Symbol" w:hAnsi="Segoe UI Symbol" w:cs="Segoe UI Symbol"/>
          <w:iCs/>
          <w:color w:val="000000"/>
          <w:szCs w:val="21"/>
          <w:highlight w:val="none"/>
        </w:rPr>
        <w:t>☑</w:t>
      </w:r>
      <w:r>
        <w:rPr>
          <w:rFonts w:hint="eastAsia" w:ascii="宋体" w:hAnsi="宋体" w:cs="宋体"/>
          <w:bCs/>
          <w:color w:val="000000"/>
          <w:szCs w:val="21"/>
          <w:highlight w:val="none"/>
        </w:rPr>
        <w:t>否</w:t>
      </w:r>
    </w:p>
    <w:p w14:paraId="2CD29E8E">
      <w:pPr>
        <w:spacing w:line="400" w:lineRule="exact"/>
        <w:ind w:firstLine="840"/>
        <w:rPr>
          <w:rFonts w:hint="eastAsia" w:ascii="宋体" w:hAnsi="宋体" w:cs="宋体"/>
          <w:bCs/>
          <w:color w:val="000000"/>
          <w:szCs w:val="21"/>
          <w:highlight w:val="none"/>
        </w:rPr>
      </w:pPr>
      <w:r>
        <w:rPr>
          <w:rFonts w:hint="eastAsia" w:ascii="宋体" w:hAnsi="宋体" w:cs="宋体"/>
          <w:bCs/>
          <w:color w:val="000000"/>
          <w:szCs w:val="21"/>
          <w:highlight w:val="none"/>
        </w:rPr>
        <w:t>是否邀请第三方检测机构参加验收：</w:t>
      </w:r>
      <w:r>
        <w:rPr>
          <w:rFonts w:hint="eastAsia" w:ascii="Segoe UI Symbol" w:hAnsi="Segoe UI Symbol" w:cs="Segoe UI Symbol"/>
          <w:iCs/>
          <w:color w:val="000000"/>
          <w:szCs w:val="21"/>
          <w:highlight w:val="none"/>
        </w:rPr>
        <w:t>□</w:t>
      </w:r>
      <w:r>
        <w:rPr>
          <w:rFonts w:hint="eastAsia" w:ascii="宋体" w:hAnsi="宋体" w:cs="宋体"/>
          <w:bCs/>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cs="宋体"/>
          <w:bCs/>
          <w:color w:val="000000"/>
          <w:szCs w:val="21"/>
          <w:highlight w:val="none"/>
        </w:rPr>
        <w:t>否</w:t>
      </w:r>
    </w:p>
    <w:p w14:paraId="27198B9F">
      <w:pPr>
        <w:spacing w:line="400" w:lineRule="exact"/>
        <w:ind w:firstLine="840"/>
        <w:rPr>
          <w:rFonts w:hint="eastAsia" w:ascii="宋体" w:hAnsi="宋体" w:cs="宋体"/>
          <w:bCs/>
          <w:color w:val="000000"/>
          <w:szCs w:val="21"/>
          <w:highlight w:val="none"/>
        </w:rPr>
      </w:pPr>
      <w:r>
        <w:rPr>
          <w:rFonts w:hint="eastAsia" w:ascii="宋体" w:hAnsi="宋体" w:cs="宋体"/>
          <w:bCs/>
          <w:color w:val="000000"/>
          <w:szCs w:val="21"/>
          <w:highlight w:val="none"/>
        </w:rPr>
        <w:t>是否进行抽查检测：</w:t>
      </w:r>
      <w:r>
        <w:rPr>
          <w:rFonts w:hint="eastAsia" w:ascii="Segoe UI Symbol" w:hAnsi="Segoe UI Symbol" w:cs="Segoe UI Symbol"/>
          <w:iCs/>
          <w:color w:val="000000"/>
          <w:szCs w:val="21"/>
          <w:highlight w:val="none"/>
        </w:rPr>
        <w:t>□</w:t>
      </w:r>
      <w:r>
        <w:rPr>
          <w:rFonts w:hint="eastAsia" w:ascii="宋体" w:hAnsi="宋体" w:cs="宋体"/>
          <w:bCs/>
          <w:color w:val="000000"/>
          <w:szCs w:val="21"/>
          <w:highlight w:val="none"/>
        </w:rPr>
        <w:t>是，抽查比例：</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bCs/>
          <w:color w:val="000000"/>
          <w:szCs w:val="21"/>
          <w:highlight w:val="none"/>
        </w:rPr>
        <w:t>否</w:t>
      </w:r>
    </w:p>
    <w:p w14:paraId="1A0E2B08">
      <w:pPr>
        <w:spacing w:line="400" w:lineRule="exact"/>
        <w:ind w:firstLine="840"/>
        <w:rPr>
          <w:rFonts w:hint="eastAsia" w:ascii="宋体" w:hAnsi="宋体" w:cs="宋体"/>
          <w:bCs/>
          <w:color w:val="000000"/>
          <w:szCs w:val="21"/>
          <w:highlight w:val="none"/>
          <w:u w:val="single"/>
        </w:rPr>
      </w:pPr>
      <w:r>
        <w:rPr>
          <w:rFonts w:hint="eastAsia" w:ascii="宋体" w:hAnsi="宋体" w:cs="宋体"/>
          <w:bCs/>
          <w:color w:val="000000"/>
          <w:szCs w:val="21"/>
          <w:highlight w:val="none"/>
        </w:rPr>
        <w:t>是否存在破坏性检测：</w:t>
      </w:r>
      <w:r>
        <w:rPr>
          <w:rFonts w:ascii="Wingdings" w:hAnsi="Wingdings" w:eastAsia="Wingdings" w:cs="Wingdings"/>
          <w:color w:val="000000"/>
          <w:szCs w:val="21"/>
          <w:highlight w:val="none"/>
        </w:rPr>
        <w:t>¨</w:t>
      </w:r>
      <w:r>
        <w:rPr>
          <w:rFonts w:hint="eastAsia" w:ascii="宋体" w:hAnsi="宋体" w:cs="宋体"/>
          <w:bCs/>
          <w:color w:val="000000"/>
          <w:szCs w:val="21"/>
          <w:highlight w:val="none"/>
        </w:rPr>
        <w:t>是，</w:t>
      </w:r>
      <w:r>
        <w:rPr>
          <w:rFonts w:hint="eastAsia" w:ascii="宋体" w:hAnsi="宋体" w:cs="宋体"/>
          <w:bCs/>
          <w:color w:val="000000"/>
          <w:szCs w:val="21"/>
          <w:highlight w:val="none"/>
          <w:u w:val="single"/>
        </w:rPr>
        <w:t>（应明确对被破坏的检测产品的处理方式）</w:t>
      </w:r>
    </w:p>
    <w:p w14:paraId="2C958456">
      <w:pPr>
        <w:spacing w:line="400" w:lineRule="exact"/>
        <w:ind w:firstLine="840"/>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bCs/>
          <w:color w:val="000000"/>
          <w:szCs w:val="21"/>
          <w:highlight w:val="none"/>
        </w:rPr>
        <w:t>否</w:t>
      </w:r>
    </w:p>
    <w:p w14:paraId="7F029415">
      <w:pPr>
        <w:spacing w:line="400" w:lineRule="exact"/>
        <w:ind w:firstLine="840"/>
        <w:rPr>
          <w:rFonts w:hint="eastAsia" w:ascii="宋体" w:hAnsi="宋体" w:cs="宋体"/>
          <w:bCs/>
          <w:color w:val="000000"/>
          <w:szCs w:val="21"/>
          <w:highlight w:val="none"/>
          <w:u w:val="single"/>
        </w:rPr>
      </w:pPr>
      <w:r>
        <w:rPr>
          <w:rFonts w:hint="eastAsia" w:ascii="宋体" w:hAnsi="宋体" w:cs="宋体"/>
          <w:bCs/>
          <w:color w:val="000000"/>
          <w:szCs w:val="21"/>
          <w:highlight w:val="none"/>
        </w:rPr>
        <w:t>验收组织的其他事项：</w:t>
      </w:r>
      <w:r>
        <w:rPr>
          <w:rFonts w:hint="eastAsia" w:ascii="宋体" w:hAnsi="宋体" w:cs="宋体"/>
          <w:bCs/>
          <w:color w:val="000000"/>
          <w:szCs w:val="21"/>
          <w:highlight w:val="none"/>
          <w:u w:val="single"/>
        </w:rPr>
        <w:t xml:space="preserve">                </w:t>
      </w:r>
    </w:p>
    <w:p w14:paraId="20F7D65A">
      <w:pPr>
        <w:spacing w:line="400" w:lineRule="exact"/>
        <w:ind w:firstLine="420"/>
        <w:rPr>
          <w:rFonts w:hint="eastAsia" w:ascii="宋体" w:hAnsi="宋体" w:cs="宋体"/>
          <w:bCs/>
          <w:color w:val="000000"/>
          <w:szCs w:val="21"/>
          <w:highlight w:val="none"/>
          <w:u w:val="single"/>
        </w:rPr>
      </w:pPr>
      <w:r>
        <w:rPr>
          <w:rFonts w:hint="eastAsia" w:ascii="宋体" w:hAnsi="宋体" w:cs="宋体"/>
          <w:bCs/>
          <w:color w:val="000000"/>
          <w:szCs w:val="21"/>
          <w:highlight w:val="none"/>
        </w:rPr>
        <w:t>（2）履约验收时间：</w:t>
      </w:r>
      <w:r>
        <w:rPr>
          <w:rFonts w:hint="eastAsia" w:ascii="宋体" w:hAnsi="宋体" w:cs="宋体"/>
          <w:bCs/>
          <w:color w:val="000000"/>
          <w:szCs w:val="21"/>
          <w:highlight w:val="none"/>
          <w:u w:val="single"/>
        </w:rPr>
        <w:t xml:space="preserve">（计划于何时验收/供应商提出验收申请之日起7日内组织验收） </w:t>
      </w:r>
    </w:p>
    <w:p w14:paraId="5EE703C0">
      <w:pPr>
        <w:spacing w:line="40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（3）履约验收方式：</w:t>
      </w:r>
      <w:r>
        <w:rPr>
          <w:rFonts w:ascii="Wingdings" w:hAnsi="Wingdings" w:eastAsia="Wingdings" w:cs="Wingdings"/>
          <w:color w:val="000000"/>
          <w:szCs w:val="21"/>
          <w:highlight w:val="none"/>
        </w:rPr>
        <w:sym w:font="Wingdings" w:char="00FE"/>
      </w:r>
      <w:r>
        <w:rPr>
          <w:rFonts w:hint="eastAsia" w:ascii="宋体" w:hAnsi="宋体" w:cs="宋体"/>
          <w:bCs/>
          <w:color w:val="000000"/>
          <w:szCs w:val="21"/>
          <w:highlight w:val="none"/>
        </w:rPr>
        <w:t xml:space="preserve">一次性验收         </w:t>
      </w:r>
    </w:p>
    <w:p w14:paraId="5F87BA69">
      <w:pP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Segoe UI Symbol" w:hAnsi="Segoe UI Symbol" w:cs="Segoe UI Symbol"/>
          <w:iCs/>
          <w:color w:val="000000"/>
          <w:szCs w:val="21"/>
          <w:highlight w:val="none"/>
        </w:rPr>
        <w:t>□</w:t>
      </w:r>
      <w:r>
        <w:rPr>
          <w:rFonts w:hint="eastAsia" w:ascii="宋体" w:hAnsi="宋体" w:cs="宋体"/>
          <w:bCs/>
          <w:color w:val="000000"/>
          <w:szCs w:val="21"/>
          <w:highlight w:val="none"/>
        </w:rPr>
        <w:t>分期/分项验收：</w:t>
      </w:r>
      <w:r>
        <w:rPr>
          <w:rFonts w:hint="eastAsia" w:ascii="宋体" w:hAnsi="宋体" w:cs="宋体"/>
          <w:bCs/>
          <w:color w:val="000000"/>
          <w:szCs w:val="21"/>
          <w:highlight w:val="none"/>
          <w:u w:val="single"/>
        </w:rPr>
        <w:t xml:space="preserve"> （应明确分期</w:t>
      </w:r>
      <w:r>
        <w:rPr>
          <w:rFonts w:hint="eastAsia" w:ascii="宋体" w:hAnsi="宋体" w:cs="宋体"/>
          <w:bCs/>
          <w:color w:val="000000"/>
          <w:szCs w:val="21"/>
          <w:highlight w:val="none"/>
          <w:u w:val="single"/>
          <w:lang w:val="en"/>
        </w:rPr>
        <w:t>/分项验收的工作安排</w:t>
      </w:r>
      <w:r>
        <w:rPr>
          <w:rFonts w:hint="eastAsia" w:ascii="宋体" w:hAnsi="宋体" w:cs="宋体"/>
          <w:bCs/>
          <w:color w:val="000000"/>
          <w:szCs w:val="21"/>
          <w:highlight w:val="none"/>
          <w:u w:val="single"/>
        </w:rPr>
        <w:t xml:space="preserve">）  </w:t>
      </w:r>
    </w:p>
    <w:p w14:paraId="750729EE">
      <w:pPr>
        <w:spacing w:line="40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（4）履约验收程序：</w:t>
      </w:r>
      <w:r>
        <w:rPr>
          <w:rFonts w:hint="eastAsia" w:ascii="宋体" w:hAnsi="宋体" w:cs="宋体"/>
          <w:bCs/>
          <w:color w:val="000000"/>
          <w:szCs w:val="21"/>
          <w:highlight w:val="none"/>
          <w:u w:val="single"/>
        </w:rPr>
        <w:t xml:space="preserve">                                         </w:t>
      </w:r>
    </w:p>
    <w:p w14:paraId="2EE07CDC">
      <w:pPr>
        <w:spacing w:line="400" w:lineRule="exact"/>
        <w:ind w:firstLine="420"/>
        <w:rPr>
          <w:rFonts w:hint="eastAsia" w:ascii="宋体" w:hAnsi="宋体" w:cs="宋体"/>
          <w:bCs/>
          <w:color w:val="000000"/>
          <w:szCs w:val="21"/>
          <w:highlight w:val="none"/>
          <w:u w:val="single"/>
        </w:rPr>
      </w:pPr>
      <w:r>
        <w:rPr>
          <w:rFonts w:hint="eastAsia" w:ascii="宋体" w:hAnsi="宋体" w:cs="宋体"/>
          <w:bCs/>
          <w:color w:val="000000"/>
          <w:szCs w:val="21"/>
          <w:highlight w:val="none"/>
        </w:rPr>
        <w:t>（5）履约验收的内容：</w:t>
      </w:r>
      <w:r>
        <w:rPr>
          <w:rFonts w:hint="eastAsia" w:ascii="宋体" w:hAnsi="宋体" w:cs="宋体"/>
          <w:bCs/>
          <w:color w:val="000000"/>
          <w:szCs w:val="21"/>
          <w:highlight w:val="none"/>
          <w:u w:val="single"/>
        </w:rPr>
        <w:t xml:space="preserve"> （应当包括每一项技术和商务要求的履约情况，特别是落实政府采购扶持中小企业，支持绿色发展和乡村振兴等政策情况）                                      </w:t>
      </w:r>
    </w:p>
    <w:p w14:paraId="7522BEE3">
      <w:pPr>
        <w:spacing w:line="400" w:lineRule="exact"/>
        <w:ind w:firstLine="420"/>
        <w:rPr>
          <w:rFonts w:hint="eastAsia" w:ascii="宋体" w:hAnsi="宋体" w:cs="宋体"/>
          <w:bCs/>
          <w:color w:val="000000"/>
          <w:szCs w:val="21"/>
          <w:highlight w:val="none"/>
          <w:u w:val="single"/>
        </w:rPr>
      </w:pPr>
      <w:r>
        <w:rPr>
          <w:rFonts w:hint="eastAsia" w:ascii="宋体" w:hAnsi="宋体" w:cs="宋体"/>
          <w:bCs/>
          <w:color w:val="000000"/>
          <w:szCs w:val="21"/>
          <w:highlight w:val="none"/>
        </w:rPr>
        <w:t>（6）履约验收标准：</w:t>
      </w:r>
      <w:r>
        <w:rPr>
          <w:rFonts w:hint="eastAsia" w:ascii="宋体" w:hAnsi="宋体" w:cs="宋体"/>
          <w:bCs/>
          <w:color w:val="000000"/>
          <w:szCs w:val="21"/>
          <w:highlight w:val="none"/>
          <w:u w:val="single"/>
        </w:rPr>
        <w:t xml:space="preserve">                                         </w:t>
      </w:r>
    </w:p>
    <w:p w14:paraId="510208CB">
      <w:pPr>
        <w:spacing w:line="400" w:lineRule="exact"/>
        <w:ind w:firstLine="420"/>
        <w:rPr>
          <w:rFonts w:hint="eastAsia" w:ascii="宋体" w:hAnsi="宋体" w:cs="宋体"/>
          <w:color w:val="000000"/>
          <w:szCs w:val="21"/>
          <w:highlight w:val="none"/>
        </w:rPr>
      </w:pPr>
      <w:r>
        <w:rPr>
          <w:rFonts w:hint="eastAsia" w:ascii="宋体" w:hAnsi="宋体" w:cs="宋体"/>
          <w:bCs/>
          <w:color w:val="000000"/>
          <w:szCs w:val="21"/>
          <w:highlight w:val="none"/>
        </w:rPr>
        <w:t>（7）是否以采购活动中供应商提供的样品作为参考：</w:t>
      </w:r>
      <w:r>
        <w:rPr>
          <w:rFonts w:hint="eastAsia" w:ascii="Segoe UI Symbol" w:hAnsi="Segoe UI Symbol" w:cs="Segoe UI Symbol"/>
          <w:iCs/>
          <w:color w:val="000000"/>
          <w:sz w:val="22"/>
          <w:szCs w:val="21"/>
          <w:highlight w:val="none"/>
          <w:lang w:eastAsia="zh-CN"/>
        </w:rPr>
        <w:t>□</w:t>
      </w:r>
      <w:r>
        <w:rPr>
          <w:rFonts w:hint="eastAsia" w:ascii="宋体" w:hAnsi="宋体" w:cs="宋体"/>
          <w:bCs/>
          <w:color w:val="000000"/>
          <w:szCs w:val="21"/>
          <w:highlight w:val="none"/>
        </w:rPr>
        <w:t xml:space="preserve">是  </w:t>
      </w:r>
      <w:r>
        <w:rPr>
          <w:rFonts w:ascii="Wingdings" w:hAnsi="Wingdings" w:eastAsia="Wingdings" w:cs="Wingdings"/>
          <w:color w:val="000000"/>
          <w:szCs w:val="21"/>
          <w:highlight w:val="none"/>
        </w:rPr>
        <w:sym w:font="Wingdings" w:char="00FE"/>
      </w:r>
      <w:r>
        <w:rPr>
          <w:rFonts w:hint="eastAsia" w:ascii="宋体" w:hAnsi="宋体" w:cs="宋体"/>
          <w:bCs/>
          <w:color w:val="000000"/>
          <w:szCs w:val="21"/>
          <w:highlight w:val="none"/>
        </w:rPr>
        <w:t>否</w:t>
      </w:r>
    </w:p>
    <w:p w14:paraId="5618372D">
      <w:pPr>
        <w:spacing w:line="400" w:lineRule="exact"/>
        <w:ind w:firstLine="420"/>
        <w:rPr>
          <w:rFonts w:hint="eastAsia" w:ascii="宋体" w:hAnsi="宋体" w:cs="宋体"/>
          <w:bCs/>
          <w:color w:val="000000"/>
          <w:szCs w:val="21"/>
          <w:highlight w:val="none"/>
          <w:u w:val="single"/>
        </w:rPr>
      </w:pPr>
      <w:r>
        <w:rPr>
          <w:rFonts w:hint="eastAsia" w:ascii="宋体" w:hAnsi="宋体" w:cs="宋体"/>
          <w:bCs/>
          <w:color w:val="000000"/>
          <w:szCs w:val="21"/>
          <w:highlight w:val="none"/>
        </w:rPr>
        <w:t>（8）履约验收其他事项：</w:t>
      </w:r>
      <w:r>
        <w:rPr>
          <w:rFonts w:hint="eastAsia" w:ascii="宋体" w:hAnsi="宋体" w:cs="宋体"/>
          <w:bCs/>
          <w:color w:val="000000"/>
          <w:szCs w:val="21"/>
          <w:highlight w:val="none"/>
          <w:u w:val="single"/>
        </w:rPr>
        <w:t xml:space="preserve">      （产权过户登记等）          </w:t>
      </w:r>
    </w:p>
    <w:p w14:paraId="7A09949B">
      <w:pPr>
        <w:numPr>
          <w:ilvl w:val="0"/>
          <w:numId w:val="4"/>
        </w:numPr>
        <w:spacing w:line="400" w:lineRule="exact"/>
        <w:ind w:firstLine="422"/>
        <w:rPr>
          <w:rFonts w:hint="eastAsia" w:ascii="宋体" w:hAnsi="宋体" w:cs="宋体"/>
          <w:b/>
          <w:color w:val="000000"/>
          <w:szCs w:val="21"/>
          <w:highlight w:val="none"/>
        </w:rPr>
      </w:pPr>
      <w:r>
        <w:rPr>
          <w:rFonts w:hint="eastAsia" w:ascii="宋体" w:hAnsi="宋体" w:cs="宋体"/>
          <w:b/>
          <w:color w:val="000000"/>
          <w:szCs w:val="21"/>
          <w:highlight w:val="none"/>
        </w:rPr>
        <w:t>组成合同的文件</w:t>
      </w:r>
    </w:p>
    <w:p w14:paraId="5C9707A7">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本协议书与下列文件一起构成合同文件，如下述文件之间有任何抵触、矛盾或歧义，应按以下顺序解释：</w:t>
      </w:r>
    </w:p>
    <w:p w14:paraId="290D6990">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（1）政府采购合同协议书及其变更、补充协议</w:t>
      </w:r>
    </w:p>
    <w:p w14:paraId="02976F44">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（2）政府采购合同专用条款</w:t>
      </w:r>
    </w:p>
    <w:p w14:paraId="06942ECA">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（3）政府采购合同通用条款</w:t>
      </w:r>
    </w:p>
    <w:p w14:paraId="7DD3BFDE">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（4）中标（成交）通知书</w:t>
      </w:r>
    </w:p>
    <w:p w14:paraId="3F74993B">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（5）投标（响应）文件</w:t>
      </w:r>
    </w:p>
    <w:p w14:paraId="77274538">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（6）采购文件</w:t>
      </w:r>
    </w:p>
    <w:p w14:paraId="38977EEA">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（7）有关技术文件，图纸</w:t>
      </w:r>
    </w:p>
    <w:p w14:paraId="26EC9D5E">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（8）国家法律、行政法规和规章制度规定或合同约定的作为合同组成部分的其他文件</w:t>
      </w:r>
    </w:p>
    <w:p w14:paraId="5E5DE821">
      <w:pPr>
        <w:numPr>
          <w:ilvl w:val="0"/>
          <w:numId w:val="4"/>
        </w:numPr>
        <w:spacing w:line="400" w:lineRule="exact"/>
        <w:ind w:firstLine="422"/>
        <w:rPr>
          <w:rFonts w:hint="eastAsia" w:ascii="宋体" w:hAnsi="宋体" w:cs="宋体"/>
          <w:b/>
          <w:color w:val="000000"/>
          <w:szCs w:val="21"/>
          <w:highlight w:val="none"/>
        </w:rPr>
      </w:pPr>
      <w:r>
        <w:rPr>
          <w:rFonts w:hint="eastAsia" w:ascii="宋体" w:hAnsi="宋体" w:cs="宋体"/>
          <w:b/>
          <w:color w:val="000000"/>
          <w:szCs w:val="21"/>
          <w:highlight w:val="none"/>
        </w:rPr>
        <w:t>合同生效</w:t>
      </w:r>
    </w:p>
    <w:p w14:paraId="539F10AE">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本合同自双方签字盖章后生效。</w:t>
      </w:r>
    </w:p>
    <w:p w14:paraId="184FC31F">
      <w:pPr>
        <w:numPr>
          <w:ilvl w:val="0"/>
          <w:numId w:val="4"/>
        </w:numPr>
        <w:spacing w:line="400" w:lineRule="exact"/>
        <w:ind w:firstLine="422"/>
        <w:rPr>
          <w:rFonts w:hint="eastAsia" w:ascii="宋体" w:hAnsi="宋体" w:cs="宋体"/>
          <w:b/>
          <w:color w:val="000000"/>
          <w:szCs w:val="21"/>
          <w:highlight w:val="none"/>
        </w:rPr>
      </w:pPr>
      <w:r>
        <w:rPr>
          <w:rFonts w:hint="eastAsia" w:ascii="宋体" w:hAnsi="宋体" w:cs="宋体"/>
          <w:b/>
          <w:color w:val="000000"/>
          <w:szCs w:val="21"/>
          <w:highlight w:val="none"/>
        </w:rPr>
        <w:t>合同份数</w:t>
      </w:r>
    </w:p>
    <w:p w14:paraId="46FD42EB">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本合同一式</w:t>
      </w:r>
      <w:r>
        <w:rPr>
          <w:rFonts w:hint="eastAsia" w:ascii="宋体" w:hAnsi="宋体" w:cs="宋体"/>
          <w:color w:val="000000"/>
          <w:szCs w:val="21"/>
          <w:highlight w:val="none"/>
          <w:u w:val="single"/>
        </w:rPr>
        <w:t>4</w:t>
      </w:r>
      <w:r>
        <w:rPr>
          <w:rFonts w:hint="eastAsia" w:ascii="宋体" w:hAnsi="宋体" w:cs="宋体"/>
          <w:color w:val="000000"/>
          <w:szCs w:val="21"/>
          <w:highlight w:val="none"/>
        </w:rPr>
        <w:t>份，甲方执</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份，乙方执</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份，均具有同等法律效力。</w:t>
      </w:r>
    </w:p>
    <w:p w14:paraId="7CFD1639">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合同订立时间：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日</w:t>
      </w:r>
    </w:p>
    <w:p w14:paraId="144A7548">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合同订立地点：</w:t>
      </w:r>
      <w:r>
        <w:rPr>
          <w:rFonts w:hint="eastAsia" w:ascii="宋体" w:hAnsi="宋体" w:cs="宋体"/>
          <w:color w:val="000000"/>
          <w:szCs w:val="21"/>
          <w:highlight w:val="none"/>
          <w:u w:val="single"/>
        </w:rPr>
        <w:t xml:space="preserve">                           </w:t>
      </w:r>
    </w:p>
    <w:p w14:paraId="07820647">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附件：具体标的及其技术要求和商务要求、联合协议、分包意向协议等。</w:t>
      </w:r>
    </w:p>
    <w:p w14:paraId="22379156">
      <w:pPr>
        <w:spacing w:line="400" w:lineRule="exact"/>
        <w:ind w:firstLine="420"/>
        <w:rPr>
          <w:rFonts w:hint="eastAsia" w:ascii="宋体" w:hAnsi="宋体" w:cs="宋体"/>
          <w:color w:val="000000"/>
          <w:highlight w:val="none"/>
        </w:rPr>
      </w:pPr>
    </w:p>
    <w:p w14:paraId="48CF44EB">
      <w:pPr>
        <w:keepNext/>
        <w:keepLines/>
        <w:spacing w:line="400" w:lineRule="exact"/>
        <w:ind w:firstLine="420"/>
        <w:jc w:val="left"/>
        <w:rPr>
          <w:rFonts w:hint="eastAsia" w:ascii="宋体" w:hAnsi="宋体" w:cs="宋体"/>
          <w:color w:val="000000"/>
          <w:szCs w:val="21"/>
          <w:highlight w:val="none"/>
        </w:rPr>
      </w:pPr>
      <w:r>
        <w:rPr>
          <w:rFonts w:hint="eastAsia" w:ascii="宋体" w:hAnsi="宋体" w:cs="宋体"/>
          <w:b/>
          <w:color w:val="000000"/>
          <w:sz w:val="26"/>
          <w:szCs w:val="20"/>
          <w:highlight w:val="none"/>
          <w:lang w:val="en"/>
        </w:rPr>
        <w:t xml:space="preserve">   </w:t>
      </w:r>
    </w:p>
    <w:p w14:paraId="5293B972">
      <w:pPr>
        <w:rPr>
          <w:rFonts w:hint="eastAsia" w:ascii="宋体" w:hAnsi="宋体" w:cs="宋体"/>
          <w:color w:val="000000"/>
          <w:szCs w:val="21"/>
          <w:highlight w:val="none"/>
        </w:rPr>
      </w:pPr>
      <w:r>
        <w:rPr>
          <w:rFonts w:hint="eastAsia" w:ascii="宋体" w:hAnsi="宋体" w:cs="宋体"/>
          <w:color w:val="000000"/>
          <w:szCs w:val="21"/>
          <w:highlight w:val="none"/>
        </w:rPr>
        <w:br w:type="page"/>
      </w:r>
    </w:p>
    <w:p w14:paraId="083E2E99">
      <w:pPr>
        <w:spacing w:line="360" w:lineRule="auto"/>
        <w:ind w:firstLine="420"/>
        <w:rPr>
          <w:rFonts w:hint="eastAsia" w:ascii="宋体" w:hAnsi="宋体" w:cs="宋体"/>
          <w:color w:val="000000"/>
          <w:highlight w:val="none"/>
        </w:rPr>
      </w:pPr>
    </w:p>
    <w:tbl>
      <w:tblPr>
        <w:tblStyle w:val="41"/>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1891"/>
        <w:gridCol w:w="2412"/>
        <w:gridCol w:w="1979"/>
        <w:gridCol w:w="2116"/>
      </w:tblGrid>
      <w:tr w14:paraId="406CF4D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303" w:type="dxa"/>
            <w:gridSpan w:val="2"/>
            <w:tcBorders>
              <w:top w:val="single" w:color="000000" w:sz="4" w:space="0"/>
              <w:left w:val="single" w:color="000000" w:sz="4" w:space="0"/>
              <w:bottom w:val="single" w:color="000000" w:sz="2" w:space="0"/>
              <w:right w:val="single" w:color="000000" w:sz="2" w:space="0"/>
            </w:tcBorders>
            <w:vAlign w:val="center"/>
          </w:tcPr>
          <w:p w14:paraId="548E5170">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甲方（采购人、受采购人委托签订合同的单位或采购文件约定的合同甲方）</w:t>
            </w:r>
          </w:p>
        </w:tc>
        <w:tc>
          <w:tcPr>
            <w:tcW w:w="4095" w:type="dxa"/>
            <w:gridSpan w:val="2"/>
            <w:tcBorders>
              <w:top w:val="single" w:color="000000" w:sz="4" w:space="0"/>
              <w:left w:val="single" w:color="000000" w:sz="2" w:space="0"/>
              <w:bottom w:val="single" w:color="000000" w:sz="2" w:space="0"/>
              <w:right w:val="single" w:color="000000" w:sz="4" w:space="0"/>
            </w:tcBorders>
            <w:vAlign w:val="center"/>
          </w:tcPr>
          <w:p w14:paraId="72D715D1">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乙方（供应商）</w:t>
            </w:r>
          </w:p>
        </w:tc>
      </w:tr>
      <w:tr w14:paraId="34A4F82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2EFA27D6">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单位名称（公章或合同章）</w:t>
            </w:r>
          </w:p>
        </w:tc>
        <w:tc>
          <w:tcPr>
            <w:tcW w:w="2412" w:type="dxa"/>
            <w:tcBorders>
              <w:top w:val="single" w:color="000000" w:sz="2" w:space="0"/>
              <w:left w:val="single" w:color="000000" w:sz="2" w:space="0"/>
              <w:bottom w:val="single" w:color="000000" w:sz="2" w:space="0"/>
              <w:right w:val="single" w:color="000000" w:sz="2" w:space="0"/>
            </w:tcBorders>
            <w:vAlign w:val="center"/>
          </w:tcPr>
          <w:p w14:paraId="4DD71203">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bottom w:val="single" w:color="000000" w:sz="2" w:space="0"/>
              <w:right w:val="single" w:color="000000" w:sz="2" w:space="0"/>
            </w:tcBorders>
            <w:vAlign w:val="center"/>
          </w:tcPr>
          <w:p w14:paraId="4EDACBB0">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单位名称（公章或合同章）</w:t>
            </w:r>
          </w:p>
        </w:tc>
        <w:tc>
          <w:tcPr>
            <w:tcW w:w="2116" w:type="dxa"/>
            <w:tcBorders>
              <w:top w:val="single" w:color="000000" w:sz="2" w:space="0"/>
              <w:left w:val="single" w:color="000000" w:sz="2" w:space="0"/>
              <w:bottom w:val="single" w:color="000000" w:sz="2" w:space="0"/>
              <w:right w:val="single" w:color="000000" w:sz="4" w:space="0"/>
            </w:tcBorders>
            <w:vAlign w:val="center"/>
          </w:tcPr>
          <w:p w14:paraId="3AC50D88">
            <w:pPr>
              <w:spacing w:line="300" w:lineRule="exact"/>
              <w:jc w:val="center"/>
              <w:rPr>
                <w:rFonts w:hint="eastAsia" w:ascii="宋体" w:hAnsi="宋体" w:cs="宋体"/>
                <w:color w:val="000000"/>
                <w:spacing w:val="20"/>
                <w:szCs w:val="21"/>
                <w:highlight w:val="none"/>
              </w:rPr>
            </w:pPr>
          </w:p>
        </w:tc>
      </w:tr>
      <w:tr w14:paraId="0886C7A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644"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37D05FD6">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法定代表人</w:t>
            </w:r>
          </w:p>
          <w:p w14:paraId="4FF957A7">
            <w:pPr>
              <w:spacing w:line="300" w:lineRule="exact"/>
              <w:ind w:firstLine="100"/>
              <w:jc w:val="center"/>
              <w:rPr>
                <w:rFonts w:hint="eastAsia" w:ascii="宋体" w:hAnsi="宋体" w:cs="宋体"/>
                <w:color w:val="000000"/>
                <w:szCs w:val="21"/>
                <w:highlight w:val="none"/>
              </w:rPr>
            </w:pPr>
            <w:r>
              <w:rPr>
                <w:rFonts w:hint="eastAsia" w:ascii="宋体" w:hAnsi="宋体" w:cs="宋体"/>
                <w:color w:val="000000"/>
                <w:szCs w:val="21"/>
                <w:highlight w:val="none"/>
              </w:rPr>
              <w:t>或其委托代理人（签章）</w:t>
            </w:r>
          </w:p>
        </w:tc>
        <w:tc>
          <w:tcPr>
            <w:tcW w:w="2412" w:type="dxa"/>
            <w:tcBorders>
              <w:top w:val="single" w:color="000000" w:sz="2" w:space="0"/>
              <w:left w:val="single" w:color="000000" w:sz="2" w:space="0"/>
              <w:bottom w:val="single" w:color="000000" w:sz="2" w:space="0"/>
              <w:right w:val="single" w:color="000000" w:sz="2" w:space="0"/>
            </w:tcBorders>
            <w:vAlign w:val="center"/>
          </w:tcPr>
          <w:p w14:paraId="2BA48360">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right w:val="single" w:color="000000" w:sz="2" w:space="0"/>
            </w:tcBorders>
            <w:vAlign w:val="center"/>
          </w:tcPr>
          <w:p w14:paraId="6150CE51">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法定代表人</w:t>
            </w:r>
          </w:p>
          <w:p w14:paraId="7407EE76">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或其委托代理人（签章）</w:t>
            </w:r>
          </w:p>
        </w:tc>
        <w:tc>
          <w:tcPr>
            <w:tcW w:w="2116" w:type="dxa"/>
            <w:tcBorders>
              <w:top w:val="single" w:color="000000" w:sz="2" w:space="0"/>
              <w:left w:val="single" w:color="000000" w:sz="2" w:space="0"/>
              <w:bottom w:val="single" w:color="000000" w:sz="2" w:space="0"/>
              <w:right w:val="single" w:color="000000" w:sz="4" w:space="0"/>
            </w:tcBorders>
            <w:vAlign w:val="center"/>
          </w:tcPr>
          <w:p w14:paraId="6F541A6D">
            <w:pPr>
              <w:spacing w:line="300" w:lineRule="exact"/>
              <w:jc w:val="center"/>
              <w:rPr>
                <w:rFonts w:hint="eastAsia" w:ascii="宋体" w:hAnsi="宋体" w:cs="宋体"/>
                <w:color w:val="000000"/>
                <w:szCs w:val="21"/>
                <w:highlight w:val="none"/>
              </w:rPr>
            </w:pPr>
          </w:p>
        </w:tc>
      </w:tr>
      <w:tr w14:paraId="4CD2DF1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7F169D9A">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住  所</w:t>
            </w:r>
          </w:p>
        </w:tc>
        <w:tc>
          <w:tcPr>
            <w:tcW w:w="2412" w:type="dxa"/>
            <w:tcBorders>
              <w:top w:val="single" w:color="000000" w:sz="2" w:space="0"/>
              <w:left w:val="single" w:color="000000" w:sz="2" w:space="0"/>
              <w:bottom w:val="single" w:color="000000" w:sz="2" w:space="0"/>
              <w:right w:val="single" w:color="000000" w:sz="2" w:space="0"/>
            </w:tcBorders>
            <w:vAlign w:val="center"/>
          </w:tcPr>
          <w:p w14:paraId="21A90E50">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bottom w:val="single" w:color="000000" w:sz="2" w:space="0"/>
              <w:right w:val="single" w:color="000000" w:sz="2" w:space="0"/>
            </w:tcBorders>
            <w:vAlign w:val="center"/>
          </w:tcPr>
          <w:p w14:paraId="6D96E628">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住  所</w:t>
            </w:r>
          </w:p>
        </w:tc>
        <w:tc>
          <w:tcPr>
            <w:tcW w:w="2116" w:type="dxa"/>
            <w:tcBorders>
              <w:top w:val="single" w:color="000000" w:sz="2" w:space="0"/>
              <w:left w:val="single" w:color="000000" w:sz="2" w:space="0"/>
              <w:bottom w:val="single" w:color="000000" w:sz="2" w:space="0"/>
              <w:right w:val="single" w:color="000000" w:sz="4" w:space="0"/>
            </w:tcBorders>
            <w:vAlign w:val="center"/>
          </w:tcPr>
          <w:p w14:paraId="5108773A">
            <w:pPr>
              <w:spacing w:line="300" w:lineRule="exact"/>
              <w:jc w:val="center"/>
              <w:rPr>
                <w:rFonts w:hint="eastAsia" w:ascii="宋体" w:hAnsi="宋体" w:cs="宋体"/>
                <w:color w:val="000000"/>
                <w:spacing w:val="20"/>
                <w:szCs w:val="21"/>
                <w:highlight w:val="none"/>
              </w:rPr>
            </w:pPr>
          </w:p>
        </w:tc>
      </w:tr>
      <w:tr w14:paraId="796A1A4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50C521DD">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联 系 人</w:t>
            </w:r>
          </w:p>
        </w:tc>
        <w:tc>
          <w:tcPr>
            <w:tcW w:w="2412" w:type="dxa"/>
            <w:tcBorders>
              <w:top w:val="single" w:color="000000" w:sz="2" w:space="0"/>
              <w:left w:val="single" w:color="000000" w:sz="2" w:space="0"/>
              <w:bottom w:val="single" w:color="000000" w:sz="2" w:space="0"/>
              <w:right w:val="single" w:color="000000" w:sz="2" w:space="0"/>
            </w:tcBorders>
            <w:vAlign w:val="center"/>
          </w:tcPr>
          <w:p w14:paraId="35B0F114">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bottom w:val="single" w:color="000000" w:sz="2" w:space="0"/>
              <w:right w:val="single" w:color="000000" w:sz="2" w:space="0"/>
            </w:tcBorders>
            <w:vAlign w:val="center"/>
          </w:tcPr>
          <w:p w14:paraId="601D6547">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联 系 人</w:t>
            </w:r>
          </w:p>
        </w:tc>
        <w:tc>
          <w:tcPr>
            <w:tcW w:w="2116" w:type="dxa"/>
            <w:tcBorders>
              <w:top w:val="single" w:color="000000" w:sz="2" w:space="0"/>
              <w:left w:val="single" w:color="000000" w:sz="2" w:space="0"/>
              <w:bottom w:val="single" w:color="000000" w:sz="2" w:space="0"/>
              <w:right w:val="single" w:color="000000" w:sz="4" w:space="0"/>
            </w:tcBorders>
            <w:vAlign w:val="center"/>
          </w:tcPr>
          <w:p w14:paraId="62C34CE7">
            <w:pPr>
              <w:spacing w:line="300" w:lineRule="exact"/>
              <w:jc w:val="center"/>
              <w:rPr>
                <w:rFonts w:hint="eastAsia" w:ascii="宋体" w:hAnsi="宋体" w:cs="宋体"/>
                <w:color w:val="000000"/>
                <w:spacing w:val="20"/>
                <w:szCs w:val="21"/>
                <w:highlight w:val="none"/>
              </w:rPr>
            </w:pPr>
          </w:p>
        </w:tc>
      </w:tr>
      <w:tr w14:paraId="67450E6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767EDFE5">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联系电话</w:t>
            </w:r>
          </w:p>
        </w:tc>
        <w:tc>
          <w:tcPr>
            <w:tcW w:w="2412" w:type="dxa"/>
            <w:tcBorders>
              <w:top w:val="single" w:color="000000" w:sz="2" w:space="0"/>
              <w:left w:val="single" w:color="000000" w:sz="2" w:space="0"/>
              <w:bottom w:val="single" w:color="000000" w:sz="2" w:space="0"/>
              <w:right w:val="single" w:color="000000" w:sz="2" w:space="0"/>
            </w:tcBorders>
            <w:vAlign w:val="center"/>
          </w:tcPr>
          <w:p w14:paraId="7C6046C1">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bottom w:val="single" w:color="000000" w:sz="2" w:space="0"/>
              <w:right w:val="single" w:color="000000" w:sz="2" w:space="0"/>
            </w:tcBorders>
            <w:vAlign w:val="center"/>
          </w:tcPr>
          <w:p w14:paraId="14874FFA">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联系电话</w:t>
            </w:r>
          </w:p>
        </w:tc>
        <w:tc>
          <w:tcPr>
            <w:tcW w:w="2116" w:type="dxa"/>
            <w:tcBorders>
              <w:top w:val="single" w:color="000000" w:sz="2" w:space="0"/>
              <w:left w:val="single" w:color="000000" w:sz="2" w:space="0"/>
              <w:bottom w:val="single" w:color="000000" w:sz="2" w:space="0"/>
              <w:right w:val="single" w:color="000000" w:sz="4" w:space="0"/>
            </w:tcBorders>
            <w:vAlign w:val="center"/>
          </w:tcPr>
          <w:p w14:paraId="2613F905">
            <w:pPr>
              <w:spacing w:line="300" w:lineRule="exact"/>
              <w:jc w:val="center"/>
              <w:rPr>
                <w:rFonts w:hint="eastAsia" w:ascii="宋体" w:hAnsi="宋体" w:cs="宋体"/>
                <w:color w:val="000000"/>
                <w:spacing w:val="20"/>
                <w:szCs w:val="21"/>
                <w:highlight w:val="none"/>
              </w:rPr>
            </w:pPr>
          </w:p>
        </w:tc>
      </w:tr>
      <w:tr w14:paraId="740B1DD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5F477517">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通信地址</w:t>
            </w:r>
          </w:p>
        </w:tc>
        <w:tc>
          <w:tcPr>
            <w:tcW w:w="2412" w:type="dxa"/>
            <w:tcBorders>
              <w:top w:val="single" w:color="000000" w:sz="2" w:space="0"/>
              <w:left w:val="single" w:color="000000" w:sz="2" w:space="0"/>
              <w:bottom w:val="single" w:color="000000" w:sz="2" w:space="0"/>
              <w:right w:val="single" w:color="000000" w:sz="2" w:space="0"/>
            </w:tcBorders>
            <w:vAlign w:val="center"/>
          </w:tcPr>
          <w:p w14:paraId="5363D91B">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bottom w:val="single" w:color="000000" w:sz="2" w:space="0"/>
              <w:right w:val="single" w:color="000000" w:sz="2" w:space="0"/>
            </w:tcBorders>
            <w:vAlign w:val="center"/>
          </w:tcPr>
          <w:p w14:paraId="388CD446">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通信地址</w:t>
            </w:r>
          </w:p>
        </w:tc>
        <w:tc>
          <w:tcPr>
            <w:tcW w:w="2116" w:type="dxa"/>
            <w:tcBorders>
              <w:top w:val="single" w:color="000000" w:sz="2" w:space="0"/>
              <w:left w:val="single" w:color="000000" w:sz="2" w:space="0"/>
              <w:bottom w:val="single" w:color="000000" w:sz="2" w:space="0"/>
              <w:right w:val="single" w:color="000000" w:sz="4" w:space="0"/>
            </w:tcBorders>
            <w:vAlign w:val="center"/>
          </w:tcPr>
          <w:p w14:paraId="0DB857C0">
            <w:pPr>
              <w:spacing w:line="300" w:lineRule="exact"/>
              <w:jc w:val="center"/>
              <w:rPr>
                <w:rFonts w:hint="eastAsia" w:ascii="宋体" w:hAnsi="宋体" w:cs="宋体"/>
                <w:color w:val="000000"/>
                <w:spacing w:val="20"/>
                <w:szCs w:val="21"/>
                <w:highlight w:val="none"/>
              </w:rPr>
            </w:pPr>
          </w:p>
        </w:tc>
      </w:tr>
      <w:tr w14:paraId="21A41AE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6983B630">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邮政编码</w:t>
            </w:r>
          </w:p>
        </w:tc>
        <w:tc>
          <w:tcPr>
            <w:tcW w:w="2412" w:type="dxa"/>
            <w:tcBorders>
              <w:top w:val="single" w:color="000000" w:sz="2" w:space="0"/>
              <w:left w:val="single" w:color="000000" w:sz="2" w:space="0"/>
              <w:bottom w:val="single" w:color="000000" w:sz="2" w:space="0"/>
              <w:right w:val="single" w:color="000000" w:sz="2" w:space="0"/>
            </w:tcBorders>
            <w:vAlign w:val="center"/>
          </w:tcPr>
          <w:p w14:paraId="7CF13290">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bottom w:val="single" w:color="000000" w:sz="2" w:space="0"/>
              <w:right w:val="single" w:color="000000" w:sz="2" w:space="0"/>
            </w:tcBorders>
            <w:vAlign w:val="center"/>
          </w:tcPr>
          <w:p w14:paraId="4C2DCA6E">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邮政编码</w:t>
            </w:r>
          </w:p>
        </w:tc>
        <w:tc>
          <w:tcPr>
            <w:tcW w:w="2116" w:type="dxa"/>
            <w:tcBorders>
              <w:top w:val="single" w:color="000000" w:sz="2" w:space="0"/>
              <w:left w:val="single" w:color="000000" w:sz="2" w:space="0"/>
              <w:bottom w:val="single" w:color="000000" w:sz="2" w:space="0"/>
              <w:right w:val="single" w:color="000000" w:sz="4" w:space="0"/>
            </w:tcBorders>
            <w:vAlign w:val="center"/>
          </w:tcPr>
          <w:p w14:paraId="13BBAB37">
            <w:pPr>
              <w:spacing w:line="300" w:lineRule="exact"/>
              <w:jc w:val="center"/>
              <w:rPr>
                <w:rFonts w:hint="eastAsia" w:ascii="宋体" w:hAnsi="宋体" w:cs="宋体"/>
                <w:color w:val="000000"/>
                <w:spacing w:val="20"/>
                <w:szCs w:val="21"/>
                <w:highlight w:val="none"/>
              </w:rPr>
            </w:pPr>
          </w:p>
        </w:tc>
      </w:tr>
      <w:tr w14:paraId="3261715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2FA7B833">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电子邮箱</w:t>
            </w:r>
          </w:p>
        </w:tc>
        <w:tc>
          <w:tcPr>
            <w:tcW w:w="2412" w:type="dxa"/>
            <w:tcBorders>
              <w:top w:val="single" w:color="000000" w:sz="2" w:space="0"/>
              <w:left w:val="single" w:color="000000" w:sz="2" w:space="0"/>
              <w:bottom w:val="single" w:color="000000" w:sz="2" w:space="0"/>
              <w:right w:val="single" w:color="000000" w:sz="2" w:space="0"/>
            </w:tcBorders>
            <w:vAlign w:val="center"/>
          </w:tcPr>
          <w:p w14:paraId="5052588A">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bottom w:val="single" w:color="000000" w:sz="2" w:space="0"/>
              <w:right w:val="single" w:color="000000" w:sz="2" w:space="0"/>
            </w:tcBorders>
            <w:vAlign w:val="center"/>
          </w:tcPr>
          <w:p w14:paraId="021B8213">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电子邮箱</w:t>
            </w:r>
          </w:p>
        </w:tc>
        <w:tc>
          <w:tcPr>
            <w:tcW w:w="2116" w:type="dxa"/>
            <w:tcBorders>
              <w:top w:val="single" w:color="000000" w:sz="2" w:space="0"/>
              <w:left w:val="single" w:color="000000" w:sz="2" w:space="0"/>
              <w:bottom w:val="single" w:color="000000" w:sz="2" w:space="0"/>
              <w:right w:val="single" w:color="000000" w:sz="4" w:space="0"/>
            </w:tcBorders>
            <w:vAlign w:val="center"/>
          </w:tcPr>
          <w:p w14:paraId="7459C181">
            <w:pPr>
              <w:spacing w:line="300" w:lineRule="exact"/>
              <w:jc w:val="center"/>
              <w:rPr>
                <w:rFonts w:hint="eastAsia" w:ascii="宋体" w:hAnsi="宋体" w:cs="宋体"/>
                <w:color w:val="000000"/>
                <w:spacing w:val="20"/>
                <w:szCs w:val="21"/>
                <w:highlight w:val="none"/>
              </w:rPr>
            </w:pPr>
          </w:p>
        </w:tc>
      </w:tr>
      <w:tr w14:paraId="08CB93D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5F452024">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统一社会信用代码</w:t>
            </w:r>
          </w:p>
        </w:tc>
        <w:tc>
          <w:tcPr>
            <w:tcW w:w="2412" w:type="dxa"/>
            <w:tcBorders>
              <w:top w:val="single" w:color="000000" w:sz="2" w:space="0"/>
              <w:left w:val="single" w:color="000000" w:sz="2" w:space="0"/>
              <w:bottom w:val="single" w:color="000000" w:sz="2" w:space="0"/>
              <w:right w:val="single" w:color="000000" w:sz="2" w:space="0"/>
            </w:tcBorders>
            <w:vAlign w:val="center"/>
          </w:tcPr>
          <w:p w14:paraId="79EEFE9C">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bottom w:val="single" w:color="000000" w:sz="2" w:space="0"/>
              <w:right w:val="single" w:color="000000" w:sz="2" w:space="0"/>
            </w:tcBorders>
            <w:vAlign w:val="center"/>
          </w:tcPr>
          <w:p w14:paraId="60AA9856">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统一社会信用代码</w:t>
            </w:r>
          </w:p>
        </w:tc>
        <w:tc>
          <w:tcPr>
            <w:tcW w:w="2116" w:type="dxa"/>
            <w:tcBorders>
              <w:top w:val="single" w:color="000000" w:sz="2" w:space="0"/>
              <w:left w:val="single" w:color="000000" w:sz="2" w:space="0"/>
              <w:bottom w:val="single" w:color="000000" w:sz="2" w:space="0"/>
              <w:right w:val="single" w:color="000000" w:sz="4" w:space="0"/>
            </w:tcBorders>
            <w:vAlign w:val="center"/>
          </w:tcPr>
          <w:p w14:paraId="0BA30A37">
            <w:pPr>
              <w:spacing w:line="300" w:lineRule="exact"/>
              <w:jc w:val="center"/>
              <w:rPr>
                <w:rFonts w:hint="eastAsia" w:ascii="宋体" w:hAnsi="宋体" w:cs="宋体"/>
                <w:color w:val="000000"/>
                <w:spacing w:val="20"/>
                <w:szCs w:val="21"/>
                <w:highlight w:val="none"/>
              </w:rPr>
            </w:pPr>
          </w:p>
        </w:tc>
      </w:tr>
      <w:tr w14:paraId="5AA592B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04F32088">
            <w:pPr>
              <w:spacing w:line="300" w:lineRule="exact"/>
              <w:jc w:val="center"/>
              <w:rPr>
                <w:rFonts w:hint="eastAsia" w:ascii="宋体" w:hAnsi="宋体" w:cs="宋体"/>
                <w:color w:val="000000"/>
                <w:szCs w:val="21"/>
                <w:highlight w:val="none"/>
              </w:rPr>
            </w:pPr>
          </w:p>
        </w:tc>
        <w:tc>
          <w:tcPr>
            <w:tcW w:w="2412" w:type="dxa"/>
            <w:tcBorders>
              <w:top w:val="single" w:color="000000" w:sz="2" w:space="0"/>
              <w:left w:val="single" w:color="000000" w:sz="2" w:space="0"/>
              <w:bottom w:val="single" w:color="000000" w:sz="2" w:space="0"/>
              <w:right w:val="single" w:color="000000" w:sz="2" w:space="0"/>
            </w:tcBorders>
            <w:vAlign w:val="center"/>
          </w:tcPr>
          <w:p w14:paraId="7E33C630">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bottom w:val="single" w:color="000000" w:sz="2" w:space="0"/>
              <w:right w:val="single" w:color="000000" w:sz="2" w:space="0"/>
            </w:tcBorders>
            <w:vAlign w:val="center"/>
          </w:tcPr>
          <w:p w14:paraId="234715E7">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开户名称</w:t>
            </w:r>
          </w:p>
        </w:tc>
        <w:tc>
          <w:tcPr>
            <w:tcW w:w="2116" w:type="dxa"/>
            <w:tcBorders>
              <w:top w:val="single" w:color="000000" w:sz="2" w:space="0"/>
              <w:left w:val="single" w:color="000000" w:sz="2" w:space="0"/>
              <w:bottom w:val="single" w:color="000000" w:sz="2" w:space="0"/>
              <w:right w:val="single" w:color="000000" w:sz="4" w:space="0"/>
            </w:tcBorders>
            <w:vAlign w:val="center"/>
          </w:tcPr>
          <w:p w14:paraId="791FF922">
            <w:pPr>
              <w:spacing w:line="300" w:lineRule="exact"/>
              <w:jc w:val="center"/>
              <w:rPr>
                <w:rFonts w:hint="eastAsia" w:ascii="宋体" w:hAnsi="宋体" w:cs="宋体"/>
                <w:color w:val="000000"/>
                <w:spacing w:val="20"/>
                <w:szCs w:val="21"/>
                <w:highlight w:val="none"/>
              </w:rPr>
            </w:pPr>
          </w:p>
        </w:tc>
      </w:tr>
      <w:tr w14:paraId="24A8520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1CFAA956">
            <w:pPr>
              <w:spacing w:line="300" w:lineRule="exact"/>
              <w:jc w:val="center"/>
              <w:rPr>
                <w:rFonts w:hint="eastAsia" w:ascii="宋体" w:hAnsi="宋体" w:cs="宋体"/>
                <w:color w:val="000000"/>
                <w:szCs w:val="21"/>
                <w:highlight w:val="none"/>
              </w:rPr>
            </w:pPr>
          </w:p>
        </w:tc>
        <w:tc>
          <w:tcPr>
            <w:tcW w:w="2412" w:type="dxa"/>
            <w:tcBorders>
              <w:top w:val="single" w:color="000000" w:sz="2" w:space="0"/>
              <w:left w:val="single" w:color="000000" w:sz="2" w:space="0"/>
              <w:bottom w:val="single" w:color="000000" w:sz="2" w:space="0"/>
              <w:right w:val="single" w:color="000000" w:sz="2" w:space="0"/>
            </w:tcBorders>
            <w:vAlign w:val="center"/>
          </w:tcPr>
          <w:p w14:paraId="573F11D2">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bottom w:val="single" w:color="000000" w:sz="2" w:space="0"/>
              <w:right w:val="single" w:color="000000" w:sz="2" w:space="0"/>
            </w:tcBorders>
            <w:vAlign w:val="center"/>
          </w:tcPr>
          <w:p w14:paraId="299B8D5E">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开户银行</w:t>
            </w:r>
          </w:p>
        </w:tc>
        <w:tc>
          <w:tcPr>
            <w:tcW w:w="2116" w:type="dxa"/>
            <w:tcBorders>
              <w:top w:val="single" w:color="000000" w:sz="2" w:space="0"/>
              <w:left w:val="single" w:color="000000" w:sz="2" w:space="0"/>
              <w:bottom w:val="single" w:color="000000" w:sz="2" w:space="0"/>
              <w:right w:val="single" w:color="000000" w:sz="4" w:space="0"/>
            </w:tcBorders>
            <w:vAlign w:val="center"/>
          </w:tcPr>
          <w:p w14:paraId="4F8B0E16">
            <w:pPr>
              <w:spacing w:line="300" w:lineRule="exact"/>
              <w:jc w:val="center"/>
              <w:rPr>
                <w:rFonts w:hint="eastAsia" w:ascii="宋体" w:hAnsi="宋体" w:cs="宋体"/>
                <w:color w:val="000000"/>
                <w:spacing w:val="20"/>
                <w:szCs w:val="21"/>
                <w:highlight w:val="none"/>
              </w:rPr>
            </w:pPr>
          </w:p>
        </w:tc>
      </w:tr>
      <w:tr w14:paraId="4F0F218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1" w:type="dxa"/>
            <w:tcBorders>
              <w:top w:val="single" w:color="000000" w:sz="2" w:space="0"/>
              <w:left w:val="single" w:color="000000" w:sz="4" w:space="0"/>
              <w:bottom w:val="single" w:color="000000" w:sz="2" w:space="0"/>
              <w:right w:val="single" w:color="000000" w:sz="2" w:space="0"/>
            </w:tcBorders>
            <w:vAlign w:val="center"/>
          </w:tcPr>
          <w:p w14:paraId="685F05C5">
            <w:pPr>
              <w:spacing w:line="300" w:lineRule="exact"/>
              <w:jc w:val="center"/>
              <w:rPr>
                <w:rFonts w:hint="eastAsia" w:ascii="宋体" w:hAnsi="宋体" w:cs="宋体"/>
                <w:color w:val="000000"/>
                <w:szCs w:val="21"/>
                <w:highlight w:val="none"/>
              </w:rPr>
            </w:pPr>
          </w:p>
        </w:tc>
        <w:tc>
          <w:tcPr>
            <w:tcW w:w="2412" w:type="dxa"/>
            <w:tcBorders>
              <w:top w:val="single" w:color="000000" w:sz="2" w:space="0"/>
              <w:left w:val="single" w:color="000000" w:sz="2" w:space="0"/>
              <w:bottom w:val="single" w:color="000000" w:sz="2" w:space="0"/>
              <w:right w:val="single" w:color="000000" w:sz="2" w:space="0"/>
            </w:tcBorders>
            <w:vAlign w:val="center"/>
          </w:tcPr>
          <w:p w14:paraId="206D37C0">
            <w:pPr>
              <w:spacing w:line="300" w:lineRule="exact"/>
              <w:jc w:val="center"/>
              <w:rPr>
                <w:rFonts w:hint="eastAsia" w:ascii="宋体" w:hAnsi="宋体" w:cs="宋体"/>
                <w:color w:val="000000"/>
                <w:szCs w:val="21"/>
                <w:highlight w:val="none"/>
              </w:rPr>
            </w:pPr>
          </w:p>
        </w:tc>
        <w:tc>
          <w:tcPr>
            <w:tcW w:w="1979" w:type="dxa"/>
            <w:tcBorders>
              <w:top w:val="single" w:color="000000" w:sz="2" w:space="0"/>
              <w:left w:val="single" w:color="000000" w:sz="2" w:space="0"/>
              <w:bottom w:val="single" w:color="000000" w:sz="2" w:space="0"/>
              <w:right w:val="single" w:color="000000" w:sz="2" w:space="0"/>
            </w:tcBorders>
            <w:vAlign w:val="center"/>
          </w:tcPr>
          <w:p w14:paraId="19008AC8">
            <w:pPr>
              <w:spacing w:line="30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银行账号</w:t>
            </w:r>
          </w:p>
        </w:tc>
        <w:tc>
          <w:tcPr>
            <w:tcW w:w="2116" w:type="dxa"/>
            <w:tcBorders>
              <w:top w:val="single" w:color="000000" w:sz="2" w:space="0"/>
              <w:left w:val="single" w:color="000000" w:sz="2" w:space="0"/>
              <w:bottom w:val="single" w:color="000000" w:sz="2" w:space="0"/>
              <w:right w:val="single" w:color="000000" w:sz="4" w:space="0"/>
            </w:tcBorders>
            <w:vAlign w:val="center"/>
          </w:tcPr>
          <w:p w14:paraId="44D8DFD1">
            <w:pPr>
              <w:spacing w:line="300" w:lineRule="exact"/>
              <w:jc w:val="center"/>
              <w:rPr>
                <w:rFonts w:hint="eastAsia" w:ascii="宋体" w:hAnsi="宋体" w:cs="宋体"/>
                <w:color w:val="000000"/>
                <w:spacing w:val="20"/>
                <w:szCs w:val="21"/>
                <w:highlight w:val="none"/>
              </w:rPr>
            </w:pPr>
          </w:p>
        </w:tc>
      </w:tr>
      <w:tr w14:paraId="17D3C21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8398" w:type="dxa"/>
            <w:gridSpan w:val="4"/>
            <w:tcBorders>
              <w:top w:val="single" w:color="000000" w:sz="2" w:space="0"/>
              <w:left w:val="single" w:color="000000" w:sz="4" w:space="0"/>
              <w:bottom w:val="single" w:color="000000" w:sz="4" w:space="0"/>
              <w:right w:val="single" w:color="000000" w:sz="4" w:space="0"/>
            </w:tcBorders>
            <w:vAlign w:val="center"/>
          </w:tcPr>
          <w:p w14:paraId="12851DC5">
            <w:pPr>
              <w:spacing w:before="156" w:line="360" w:lineRule="auto"/>
              <w:ind w:firstLine="420"/>
              <w:jc w:val="left"/>
              <w:rPr>
                <w:rFonts w:hint="eastAsia" w:ascii="宋体" w:hAnsi="宋体" w:cs="宋体"/>
                <w:color w:val="000000"/>
                <w:spacing w:val="20"/>
                <w:szCs w:val="21"/>
                <w:highlight w:val="none"/>
              </w:rPr>
            </w:pPr>
            <w:r>
              <w:rPr>
                <w:rFonts w:hint="eastAsia" w:ascii="宋体" w:hAnsi="宋体" w:cs="宋体"/>
                <w:color w:val="000000"/>
                <w:szCs w:val="21"/>
                <w:highlight w:val="none"/>
              </w:rPr>
              <w:t>注：涉及联合体或其他合同主体的信息应按上表格式加列。</w:t>
            </w:r>
          </w:p>
        </w:tc>
      </w:tr>
    </w:tbl>
    <w:p w14:paraId="31CAD18A">
      <w:pPr>
        <w:keepNext/>
        <w:keepLines/>
        <w:spacing w:before="156" w:line="360" w:lineRule="auto"/>
        <w:ind w:firstLine="420"/>
        <w:jc w:val="center"/>
        <w:rPr>
          <w:rFonts w:hint="eastAsia" w:ascii="宋体" w:hAnsi="宋体" w:cs="宋体"/>
          <w:b/>
          <w:color w:val="000000"/>
          <w:sz w:val="28"/>
          <w:szCs w:val="28"/>
          <w:highlight w:val="none"/>
        </w:rPr>
      </w:pPr>
      <w:r>
        <w:rPr>
          <w:rFonts w:hint="eastAsia" w:ascii="宋体" w:hAnsi="宋体" w:cs="宋体"/>
          <w:b/>
          <w:color w:val="000000"/>
          <w:szCs w:val="21"/>
          <w:highlight w:val="none"/>
          <w:u w:val="single"/>
        </w:rPr>
        <w:br w:type="page"/>
      </w:r>
      <w:bookmarkStart w:id="176" w:name="_Toc27624"/>
      <w:r>
        <w:rPr>
          <w:rFonts w:hint="eastAsia" w:ascii="宋体" w:hAnsi="宋体" w:cs="宋体"/>
          <w:color w:val="000000"/>
          <w:sz w:val="28"/>
          <w:szCs w:val="28"/>
          <w:highlight w:val="none"/>
        </w:rPr>
        <w:t>第二节 政府采购合同通用条款</w:t>
      </w:r>
      <w:bookmarkEnd w:id="176"/>
    </w:p>
    <w:p w14:paraId="4CD57067">
      <w:pPr>
        <w:tabs>
          <w:tab w:val="left" w:pos="8820"/>
          <w:tab w:val="left" w:pos="9345"/>
          <w:tab w:val="left" w:pos="9765"/>
        </w:tabs>
        <w:spacing w:line="400" w:lineRule="exact"/>
        <w:jc w:val="left"/>
        <w:rPr>
          <w:rFonts w:hint="eastAsia" w:ascii="宋体" w:hAnsi="宋体" w:cs="宋体"/>
          <w:b/>
          <w:bCs/>
          <w:color w:val="000000"/>
          <w:sz w:val="24"/>
          <w:szCs w:val="21"/>
          <w:highlight w:val="none"/>
        </w:rPr>
      </w:pPr>
      <w:r>
        <w:rPr>
          <w:rFonts w:hint="eastAsia" w:ascii="宋体" w:hAnsi="宋体" w:cs="宋体"/>
          <w:b/>
          <w:color w:val="000000"/>
          <w:sz w:val="24"/>
          <w:szCs w:val="21"/>
          <w:highlight w:val="none"/>
        </w:rPr>
        <w:t xml:space="preserve">1. </w:t>
      </w:r>
      <w:r>
        <w:rPr>
          <w:rFonts w:hint="eastAsia" w:ascii="宋体" w:hAnsi="宋体" w:cs="宋体"/>
          <w:b/>
          <w:bCs/>
          <w:color w:val="000000"/>
          <w:sz w:val="24"/>
          <w:szCs w:val="21"/>
          <w:highlight w:val="none"/>
        </w:rPr>
        <w:t>定义</w:t>
      </w:r>
    </w:p>
    <w:p w14:paraId="3345EE05">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1.1合同当事人</w:t>
      </w:r>
    </w:p>
    <w:p w14:paraId="1CC8FE0D">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（1）采购人（以下简称甲方）是指使用财政性资金，通过政府采购方式向供应商购买货物及其相关服务的国家机关、事业单位、团体组织。</w:t>
      </w:r>
    </w:p>
    <w:p w14:paraId="65C6F018">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（2）供应商（以下简称乙方）是指参加政府采购活动并且中标（成交），向采购人提供合同约定的货物及其相关服务的法人、非法人组织或者自然人。</w:t>
      </w:r>
    </w:p>
    <w:p w14:paraId="1BF5AB7A">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（3）其他合同主体是指除采购人和供应商以外，</w:t>
      </w:r>
      <w:r>
        <w:rPr>
          <w:rFonts w:hint="eastAsia" w:ascii="宋体" w:hAnsi="宋体" w:cs="宋体"/>
          <w:bCs/>
          <w:color w:val="000000"/>
          <w:szCs w:val="21"/>
          <w:highlight w:val="none"/>
        </w:rPr>
        <w:t>依法参与合同缔结或履行，享有权利、承担义务的合同当事人</w:t>
      </w:r>
      <w:r>
        <w:rPr>
          <w:rFonts w:hint="eastAsia" w:ascii="宋体" w:hAnsi="宋体" w:cs="宋体"/>
          <w:color w:val="000000"/>
          <w:szCs w:val="21"/>
          <w:highlight w:val="none"/>
        </w:rPr>
        <w:t>。</w:t>
      </w:r>
    </w:p>
    <w:p w14:paraId="3AC02A3B">
      <w:pPr>
        <w:tabs>
          <w:tab w:val="left" w:pos="570"/>
          <w:tab w:val="left" w:pos="9240"/>
          <w:tab w:val="left" w:pos="9555"/>
        </w:tabs>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1.2本合同下列术语应解释为：</w:t>
      </w:r>
    </w:p>
    <w:p w14:paraId="7920FB23">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（1）“合同”系指</w:t>
      </w:r>
      <w:r>
        <w:rPr>
          <w:rFonts w:hint="eastAsia" w:ascii="宋体" w:hAnsi="宋体" w:cs="宋体"/>
          <w:bCs/>
          <w:color w:val="000000"/>
          <w:szCs w:val="21"/>
          <w:highlight w:val="none"/>
        </w:rPr>
        <w:t>合同当事人意思表示达成一致的任何协议，包括签署的</w:t>
      </w:r>
      <w:r>
        <w:rPr>
          <w:rFonts w:hint="eastAsia" w:ascii="宋体" w:hAnsi="宋体" w:cs="宋体"/>
          <w:color w:val="000000"/>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14F6887">
      <w:pPr>
        <w:tabs>
          <w:tab w:val="left" w:pos="570"/>
          <w:tab w:val="left" w:pos="9240"/>
          <w:tab w:val="left" w:pos="9555"/>
        </w:tabs>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（2）“合同价款”系指根据本合同规定乙方在全面履行合同义务后甲方应支付给乙方的价款。</w:t>
      </w:r>
    </w:p>
    <w:p w14:paraId="5E69AB6E">
      <w:pPr>
        <w:tabs>
          <w:tab w:val="left" w:pos="570"/>
          <w:tab w:val="left" w:pos="9240"/>
          <w:tab w:val="left" w:pos="9555"/>
        </w:tabs>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（3）“货物”系指乙方根据本合同规定须向甲方提供的各种形态和种类的物品，包括原材料、设备、产品（包括软件）及相关的其他备品备件、工具、手册及</w:t>
      </w:r>
      <w:r>
        <w:rPr>
          <w:rFonts w:hint="eastAsia" w:ascii="宋体" w:hAnsi="宋体" w:cs="宋体"/>
          <w:color w:val="000000"/>
          <w:szCs w:val="21"/>
          <w:highlight w:val="none"/>
          <w:lang w:val="en"/>
        </w:rPr>
        <w:t>其他</w:t>
      </w:r>
      <w:r>
        <w:rPr>
          <w:rFonts w:hint="eastAsia" w:ascii="宋体" w:hAnsi="宋体" w:cs="宋体"/>
          <w:color w:val="000000"/>
          <w:szCs w:val="21"/>
          <w:highlight w:val="none"/>
        </w:rPr>
        <w:t>技术资料和材料等。</w:t>
      </w:r>
    </w:p>
    <w:p w14:paraId="16E27122">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（4）“相关服务”系指根据合同规定，乙方应提供的与货物有关的技术、管理和</w:t>
      </w:r>
      <w:r>
        <w:rPr>
          <w:rFonts w:hint="eastAsia" w:ascii="宋体" w:hAnsi="宋体" w:cs="宋体"/>
          <w:color w:val="000000"/>
          <w:szCs w:val="21"/>
          <w:highlight w:val="none"/>
          <w:lang w:val="en"/>
        </w:rPr>
        <w:t>其他</w:t>
      </w:r>
      <w:r>
        <w:rPr>
          <w:rFonts w:hint="eastAsia" w:ascii="宋体" w:hAnsi="宋体" w:cs="宋体"/>
          <w:color w:val="000000"/>
          <w:szCs w:val="21"/>
          <w:highlight w:val="none"/>
        </w:rPr>
        <w:t>服务，包括但不限于：管理和质量保证、运输、保险、检验、现场准备、安装、集成、调试、培训、维修、废弃处置、技术支持等以及合同中规定乙方应承担的</w:t>
      </w:r>
      <w:r>
        <w:rPr>
          <w:rFonts w:hint="eastAsia" w:ascii="宋体" w:hAnsi="宋体" w:cs="宋体"/>
          <w:color w:val="000000"/>
          <w:szCs w:val="21"/>
          <w:highlight w:val="none"/>
          <w:lang w:val="en"/>
        </w:rPr>
        <w:t>其他</w:t>
      </w:r>
      <w:r>
        <w:rPr>
          <w:rFonts w:hint="eastAsia" w:ascii="宋体" w:hAnsi="宋体" w:cs="宋体"/>
          <w:color w:val="000000"/>
          <w:szCs w:val="21"/>
          <w:highlight w:val="none"/>
        </w:rPr>
        <w:t>义务。</w:t>
      </w:r>
    </w:p>
    <w:p w14:paraId="081ADFF3">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0A0E2268">
      <w:pPr>
        <w:tabs>
          <w:tab w:val="left" w:pos="570"/>
          <w:tab w:val="left" w:pos="9240"/>
          <w:tab w:val="left" w:pos="9555"/>
        </w:tabs>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w:t>
      </w:r>
    </w:p>
    <w:p w14:paraId="5B4A9AF0">
      <w:pPr>
        <w:tabs>
          <w:tab w:val="left" w:pos="570"/>
          <w:tab w:val="left" w:pos="9240"/>
          <w:tab w:val="left" w:pos="9555"/>
        </w:tabs>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（7）其他术语解释，见【</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w:t>
      </w:r>
    </w:p>
    <w:p w14:paraId="5826DB01">
      <w:pPr>
        <w:numPr>
          <w:ilvl w:val="0"/>
          <w:numId w:val="6"/>
        </w:numPr>
        <w:spacing w:line="400" w:lineRule="exact"/>
        <w:jc w:val="left"/>
        <w:rPr>
          <w:rFonts w:hint="eastAsia" w:ascii="宋体" w:hAnsi="宋体" w:cs="宋体"/>
          <w:b/>
          <w:bCs/>
          <w:color w:val="000000"/>
          <w:sz w:val="24"/>
          <w:szCs w:val="21"/>
          <w:highlight w:val="none"/>
        </w:rPr>
      </w:pPr>
      <w:r>
        <w:rPr>
          <w:rFonts w:hint="eastAsia" w:ascii="宋体" w:hAnsi="宋体" w:cs="宋体"/>
          <w:b/>
          <w:color w:val="000000"/>
          <w:sz w:val="24"/>
          <w:szCs w:val="21"/>
          <w:highlight w:val="none"/>
        </w:rPr>
        <w:t>合同标的及金额</w:t>
      </w:r>
    </w:p>
    <w:p w14:paraId="65AC8BD4">
      <w:pPr>
        <w:spacing w:line="400" w:lineRule="exact"/>
        <w:ind w:firstLine="420"/>
        <w:jc w:val="left"/>
        <w:rPr>
          <w:rFonts w:hint="eastAsia" w:ascii="宋体" w:hAnsi="宋体" w:cs="宋体"/>
          <w:b/>
          <w:bCs/>
          <w:i/>
          <w:iCs/>
          <w:color w:val="000000"/>
          <w:szCs w:val="21"/>
          <w:highlight w:val="none"/>
        </w:rPr>
      </w:pPr>
      <w:r>
        <w:rPr>
          <w:rFonts w:hint="eastAsia" w:ascii="宋体" w:hAnsi="宋体" w:cs="宋体"/>
          <w:color w:val="000000"/>
          <w:szCs w:val="21"/>
          <w:highlight w:val="none"/>
        </w:rPr>
        <w:t>2.1 合同标的及金额应与中标（成交）结果一致。乙方为履行本合同而发生的所有费用均应包含在合同价款中，甲方不再另行支付</w:t>
      </w:r>
      <w:r>
        <w:rPr>
          <w:rFonts w:hint="eastAsia" w:ascii="宋体" w:hAnsi="宋体" w:cs="宋体"/>
          <w:color w:val="000000"/>
          <w:szCs w:val="21"/>
          <w:highlight w:val="none"/>
          <w:lang w:val="en"/>
        </w:rPr>
        <w:t>其他</w:t>
      </w:r>
      <w:r>
        <w:rPr>
          <w:rFonts w:hint="eastAsia" w:ascii="宋体" w:hAnsi="宋体" w:cs="宋体"/>
          <w:color w:val="000000"/>
          <w:szCs w:val="21"/>
          <w:highlight w:val="none"/>
        </w:rPr>
        <w:t>任何费用。</w:t>
      </w:r>
    </w:p>
    <w:p w14:paraId="277D3562">
      <w:pPr>
        <w:spacing w:line="400" w:lineRule="exact"/>
        <w:jc w:val="left"/>
        <w:rPr>
          <w:rFonts w:hint="eastAsia" w:ascii="宋体" w:hAnsi="宋体" w:cs="宋体"/>
          <w:b/>
          <w:color w:val="000000"/>
          <w:sz w:val="24"/>
          <w:szCs w:val="21"/>
          <w:highlight w:val="none"/>
        </w:rPr>
      </w:pPr>
      <w:r>
        <w:rPr>
          <w:rFonts w:hint="eastAsia" w:ascii="宋体" w:hAnsi="宋体" w:cs="宋体"/>
          <w:b/>
          <w:color w:val="000000"/>
          <w:sz w:val="24"/>
          <w:szCs w:val="21"/>
          <w:highlight w:val="none"/>
        </w:rPr>
        <w:t>3. 履行合同的时间、地点和方式</w:t>
      </w:r>
    </w:p>
    <w:p w14:paraId="0975C3A0">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3.1 乙方应当在约定的时间、地点，按照约定方式履行合同。</w:t>
      </w:r>
    </w:p>
    <w:p w14:paraId="05DE8E7F">
      <w:p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4. 甲方的权利和义务</w:t>
      </w:r>
    </w:p>
    <w:p w14:paraId="460D488C">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06A4F55C">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4.2 甲方有权要求乙方按时提交各阶段有关安排计划，并有权定期核对乙方提供货物数量、规格、质量等内容。甲方有权督促乙方工作并要求乙方更换不符合要求的货物。</w:t>
      </w:r>
    </w:p>
    <w:p w14:paraId="01657D61">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4.3 甲方有权要求乙方对缺陷部分予以修复，并按合同约定享有货物保修及其他合同约定的权利。</w:t>
      </w:r>
    </w:p>
    <w:p w14:paraId="2D879322">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4.4 甲方应当按照合同约定及时对交付的货物进行验收，未在</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约定的期限内对乙方履约提出任何异议或者向乙方作出任何说明的，视为验收通过。</w:t>
      </w:r>
    </w:p>
    <w:p w14:paraId="45244F3A">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4.5 甲方应当根据合同约定及时向乙方支付合同价款，不得以内部人员变更、履行内部付款流程等为由，拒绝或迟延支付。</w:t>
      </w:r>
    </w:p>
    <w:p w14:paraId="1D003B2D">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4.6 国家法律法规规定及</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约定应由甲方承担的其他义务和责任。</w:t>
      </w:r>
    </w:p>
    <w:p w14:paraId="2CEAFA13">
      <w:p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5. 乙方的权利和义务</w:t>
      </w:r>
    </w:p>
    <w:p w14:paraId="4D8884BE">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5.1 签署合同后，乙方应确定项目负责人（或项目联系人），负责与本合同有关的事务。</w:t>
      </w:r>
    </w:p>
    <w:p w14:paraId="09593EB3">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FC70C0E">
      <w:pPr>
        <w:spacing w:line="400" w:lineRule="exact"/>
        <w:ind w:firstLine="369"/>
        <w:rPr>
          <w:rFonts w:hint="eastAsia" w:ascii="宋体" w:hAnsi="宋体" w:cs="宋体"/>
          <w:color w:val="000000"/>
          <w:szCs w:val="21"/>
          <w:highlight w:val="none"/>
        </w:rPr>
      </w:pPr>
      <w:r>
        <w:rPr>
          <w:rFonts w:hint="eastAsia" w:ascii="宋体" w:hAnsi="宋体" w:cs="宋体"/>
          <w:color w:val="000000"/>
          <w:szCs w:val="21"/>
          <w:highlight w:val="none"/>
        </w:rPr>
        <w:t>5.3乙方有权根据合同约定向甲方收取合同价款。</w:t>
      </w:r>
    </w:p>
    <w:p w14:paraId="5226434F">
      <w:pPr>
        <w:spacing w:line="400" w:lineRule="exact"/>
        <w:ind w:firstLine="369"/>
        <w:rPr>
          <w:rFonts w:hint="eastAsia" w:ascii="宋体" w:hAnsi="宋体" w:cs="宋体"/>
          <w:color w:val="000000"/>
          <w:szCs w:val="21"/>
          <w:highlight w:val="none"/>
        </w:rPr>
      </w:pPr>
      <w:r>
        <w:rPr>
          <w:rFonts w:hint="eastAsia" w:ascii="宋体" w:hAnsi="宋体" w:cs="宋体"/>
          <w:color w:val="000000"/>
          <w:szCs w:val="21"/>
          <w:highlight w:val="none"/>
        </w:rPr>
        <w:t>5.4国家法律法规规定及</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约定应由乙方承担的其他义务和责任。</w:t>
      </w:r>
    </w:p>
    <w:p w14:paraId="20F11FD1">
      <w:p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6.合同履行</w:t>
      </w:r>
    </w:p>
    <w:p w14:paraId="5D5E60E7">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6.1 甲乙双方应当按照</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约定顺序履行合同义务；如果没有先后顺序的，应当同时履行。</w:t>
      </w:r>
    </w:p>
    <w:p w14:paraId="08B85ECE">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419B2FE">
      <w:p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7. 货物包装、运输、保险和交付要求</w:t>
      </w:r>
    </w:p>
    <w:p w14:paraId="08F48FEC">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7.1 本合同</w:t>
      </w:r>
      <w:r>
        <w:rPr>
          <w:rFonts w:hint="eastAsia" w:ascii="宋体" w:hAnsi="宋体" w:cs="宋体"/>
          <w:bCs/>
          <w:color w:val="000000"/>
          <w:szCs w:val="21"/>
          <w:highlight w:val="none"/>
        </w:rPr>
        <w:t>涉及商品包装、快递包装的，</w:t>
      </w:r>
      <w:r>
        <w:rPr>
          <w:rFonts w:hint="eastAsia" w:ascii="宋体" w:hAnsi="宋体" w:cs="宋体"/>
          <w:color w:val="000000"/>
          <w:szCs w:val="21"/>
          <w:highlight w:val="none"/>
        </w:rPr>
        <w:t>除</w:t>
      </w:r>
      <w:r>
        <w:rPr>
          <w:rFonts w:hint="eastAsia" w:ascii="宋体" w:hAnsi="宋体" w:cs="宋体"/>
          <w:b/>
          <w:color w:val="000000"/>
          <w:szCs w:val="21"/>
          <w:highlight w:val="none"/>
        </w:rPr>
        <w:t>【政府采购合同专用条款】</w:t>
      </w:r>
      <w:r>
        <w:rPr>
          <w:rFonts w:hint="eastAsia" w:ascii="宋体" w:hAnsi="宋体" w:cs="宋体"/>
          <w:bCs/>
          <w:color w:val="000000"/>
          <w:szCs w:val="21"/>
          <w:highlight w:val="none"/>
        </w:rPr>
        <w:t>另有约定外，</w:t>
      </w:r>
      <w:r>
        <w:rPr>
          <w:rFonts w:hint="eastAsia" w:ascii="宋体" w:hAnsi="宋体" w:cs="宋体"/>
          <w:color w:val="000000"/>
          <w:szCs w:val="21"/>
          <w:highlight w:val="none"/>
        </w:rPr>
        <w:t>包装应适应远距离运输、防潮、防震、防锈和防野蛮装卸等要求，确保货物安全无损地运抵</w:t>
      </w:r>
      <w:r>
        <w:rPr>
          <w:rFonts w:hint="eastAsia" w:ascii="宋体" w:hAnsi="宋体" w:cs="宋体"/>
          <w:b/>
          <w:color w:val="000000"/>
          <w:szCs w:val="21"/>
          <w:highlight w:val="none"/>
        </w:rPr>
        <w:t>【政府采购合同专用条款】</w:t>
      </w:r>
      <w:r>
        <w:rPr>
          <w:rFonts w:hint="eastAsia" w:ascii="宋体" w:hAnsi="宋体" w:cs="宋体"/>
          <w:bCs/>
          <w:color w:val="000000"/>
          <w:szCs w:val="21"/>
          <w:highlight w:val="none"/>
        </w:rPr>
        <w:t>约定的</w:t>
      </w:r>
      <w:r>
        <w:rPr>
          <w:rFonts w:hint="eastAsia" w:ascii="宋体" w:hAnsi="宋体" w:cs="宋体"/>
          <w:color w:val="000000"/>
          <w:szCs w:val="21"/>
          <w:highlight w:val="none"/>
        </w:rPr>
        <w:t>指定现场。</w:t>
      </w:r>
    </w:p>
    <w:p w14:paraId="2941F573">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7.2 除</w:t>
      </w:r>
      <w:r>
        <w:rPr>
          <w:rFonts w:hint="eastAsia" w:ascii="宋体" w:hAnsi="宋体" w:cs="宋体"/>
          <w:b/>
          <w:color w:val="000000"/>
          <w:szCs w:val="21"/>
          <w:highlight w:val="none"/>
        </w:rPr>
        <w:t>【政府采购合同专用条款】</w:t>
      </w:r>
      <w:r>
        <w:rPr>
          <w:rFonts w:hint="eastAsia" w:ascii="宋体" w:hAnsi="宋体" w:cs="宋体"/>
          <w:bCs/>
          <w:color w:val="000000"/>
          <w:szCs w:val="21"/>
          <w:highlight w:val="none"/>
        </w:rPr>
        <w:t>另有约定外，</w:t>
      </w:r>
      <w:r>
        <w:rPr>
          <w:rFonts w:hint="eastAsia" w:ascii="宋体" w:hAnsi="宋体" w:cs="宋体"/>
          <w:color w:val="000000"/>
          <w:szCs w:val="21"/>
          <w:highlight w:val="none"/>
        </w:rPr>
        <w:t>乙方负责办理将货物运抵本合同规定的交货地点，并装卸、交付至甲方的一切运输事项，相关费用应包含在合同价款中。</w:t>
      </w:r>
    </w:p>
    <w:p w14:paraId="627216C4">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7.3 货物保险要求按</w:t>
      </w:r>
      <w:r>
        <w:rPr>
          <w:rFonts w:hint="eastAsia" w:ascii="宋体" w:hAnsi="宋体" w:cs="宋体"/>
          <w:b/>
          <w:color w:val="000000"/>
          <w:szCs w:val="21"/>
          <w:highlight w:val="none"/>
        </w:rPr>
        <w:t>【政府采购合同专用条款】</w:t>
      </w:r>
      <w:r>
        <w:rPr>
          <w:rFonts w:hint="eastAsia" w:ascii="宋体" w:hAnsi="宋体" w:cs="宋体"/>
          <w:bCs/>
          <w:color w:val="000000"/>
          <w:szCs w:val="21"/>
          <w:highlight w:val="none"/>
        </w:rPr>
        <w:t>规定执行</w:t>
      </w:r>
      <w:r>
        <w:rPr>
          <w:rFonts w:hint="eastAsia" w:ascii="宋体" w:hAnsi="宋体" w:cs="宋体"/>
          <w:color w:val="000000"/>
          <w:szCs w:val="21"/>
          <w:highlight w:val="none"/>
        </w:rPr>
        <w:t>。</w:t>
      </w:r>
    </w:p>
    <w:p w14:paraId="4DE03CD0">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2E89C8B6">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7.5 乙方在运输到达之前应提前通知甲方，并提示货物运输装卸的注意事项，甲方配合乙方做好货物的接收工作。</w:t>
      </w:r>
    </w:p>
    <w:p w14:paraId="76E5BD17">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7.6 如因包装、运输问题导致货物损毁、丢失或者品质下降，甲方有权要求降价、换货、拒收部分或整批货物，由此产生的费用和损失，均由乙方承担。</w:t>
      </w:r>
    </w:p>
    <w:p w14:paraId="6694066D">
      <w:pPr>
        <w:spacing w:line="400" w:lineRule="exact"/>
        <w:jc w:val="left"/>
        <w:rPr>
          <w:rFonts w:hint="eastAsia" w:ascii="宋体" w:hAnsi="宋体" w:cs="宋体"/>
          <w:b/>
          <w:color w:val="000000"/>
          <w:sz w:val="24"/>
          <w:szCs w:val="21"/>
          <w:highlight w:val="none"/>
        </w:rPr>
      </w:pPr>
      <w:r>
        <w:rPr>
          <w:rFonts w:hint="eastAsia" w:ascii="宋体" w:hAnsi="宋体" w:cs="宋体"/>
          <w:b/>
          <w:color w:val="000000"/>
          <w:sz w:val="24"/>
          <w:szCs w:val="21"/>
          <w:highlight w:val="none"/>
        </w:rPr>
        <w:t>8. 质量标准和保证</w:t>
      </w:r>
    </w:p>
    <w:p w14:paraId="57C7732A">
      <w:pPr>
        <w:spacing w:line="400" w:lineRule="exact"/>
        <w:ind w:firstLine="420"/>
        <w:jc w:val="left"/>
        <w:rPr>
          <w:rFonts w:hint="eastAsia" w:ascii="宋体" w:hAnsi="宋体" w:cs="宋体"/>
          <w:b/>
          <w:color w:val="000000"/>
          <w:szCs w:val="21"/>
          <w:highlight w:val="none"/>
        </w:rPr>
      </w:pPr>
      <w:r>
        <w:rPr>
          <w:rFonts w:hint="eastAsia" w:ascii="宋体" w:hAnsi="宋体" w:cs="宋体"/>
          <w:color w:val="000000"/>
          <w:szCs w:val="21"/>
          <w:highlight w:val="none"/>
        </w:rPr>
        <w:t>8.1 质量标准</w:t>
      </w:r>
    </w:p>
    <w:p w14:paraId="1999FDDC">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3AC8E1B">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（2）采用中华人民共和国法定计量单位。</w:t>
      </w:r>
    </w:p>
    <w:p w14:paraId="4DD46997">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（3）乙方所提供的货物应符合国家有关安全、环保、卫生的规定。</w:t>
      </w:r>
    </w:p>
    <w:p w14:paraId="68E3A024">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（4）乙方应向甲方提交所提供货物的技术文件，包括相应的中文技术文件，如：产品目录、图纸、操作手册、使用说明、维护手册或服务指南等。上述文件应包装好随货物一同发运。</w:t>
      </w:r>
    </w:p>
    <w:p w14:paraId="7F83808E">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8.2 保证</w:t>
      </w:r>
    </w:p>
    <w:p w14:paraId="72E7D4F9">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highlight w:val="none"/>
        </w:rPr>
        <w:t>【政府采购合同专用条款】</w:t>
      </w:r>
      <w:r>
        <w:rPr>
          <w:rFonts w:hint="eastAsia" w:ascii="宋体" w:hAnsi="宋体" w:cs="宋体"/>
          <w:color w:val="000000"/>
          <w:szCs w:val="21"/>
          <w:highlight w:val="none"/>
        </w:rPr>
        <w:t>规定或乙方书面承诺（两者以较长的为准）的质量保证期内，本保证保持有效。</w:t>
      </w:r>
    </w:p>
    <w:p w14:paraId="42E24B5E">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（2）在质量保证期内所发现的缺陷，甲方应尽快以书面形式通知乙方。</w:t>
      </w:r>
    </w:p>
    <w:p w14:paraId="7E72392D">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（3）乙方收到通知后，应在</w:t>
      </w:r>
      <w:r>
        <w:rPr>
          <w:rFonts w:hint="eastAsia" w:ascii="宋体" w:hAnsi="宋体" w:cs="宋体"/>
          <w:b/>
          <w:color w:val="000000"/>
          <w:szCs w:val="21"/>
          <w:highlight w:val="none"/>
        </w:rPr>
        <w:t>【政府采购合同专用条款】</w:t>
      </w:r>
      <w:r>
        <w:rPr>
          <w:rFonts w:hint="eastAsia" w:ascii="宋体" w:hAnsi="宋体" w:cs="宋体"/>
          <w:color w:val="000000"/>
          <w:szCs w:val="21"/>
          <w:highlight w:val="none"/>
        </w:rPr>
        <w:t>规定的响应时间内以合理的速度免费维修或更换有缺陷的货物或部件。</w:t>
      </w:r>
    </w:p>
    <w:p w14:paraId="7F085FFD">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7F577BCB">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（5）乙方在约定的时间内未能弥补缺陷，甲方可采取必要的补救措施，但其风险和费用将由乙方承担，甲方根据合同约定对乙方行使的其他权利不受影响。</w:t>
      </w:r>
    </w:p>
    <w:p w14:paraId="5A3529EF">
      <w:p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9. 权利瑕疵担保</w:t>
      </w:r>
    </w:p>
    <w:p w14:paraId="44969429">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9.1 乙方保证对其出售的货物享有合法的权利。</w:t>
      </w:r>
    </w:p>
    <w:p w14:paraId="5FBEB6AB">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9.2 </w:t>
      </w:r>
      <w:r>
        <w:rPr>
          <w:rFonts w:hint="eastAsia" w:ascii="宋体" w:hAnsi="宋体" w:cs="宋体"/>
          <w:color w:val="000000"/>
          <w:szCs w:val="15"/>
          <w:highlight w:val="none"/>
        </w:rPr>
        <w:t>乙方保证在交付的货物上不存在抵押权等担保物权。</w:t>
      </w:r>
    </w:p>
    <w:p w14:paraId="3272ACCB">
      <w:pPr>
        <w:spacing w:line="400" w:lineRule="exact"/>
        <w:ind w:firstLine="420"/>
        <w:jc w:val="left"/>
        <w:rPr>
          <w:rFonts w:hint="eastAsia" w:ascii="宋体" w:hAnsi="宋体" w:cs="宋体"/>
          <w:szCs w:val="21"/>
          <w:highlight w:val="none"/>
        </w:rPr>
      </w:pPr>
      <w:r>
        <w:rPr>
          <w:rFonts w:hint="eastAsia" w:ascii="宋体" w:hAnsi="宋体" w:cs="宋体"/>
          <w:szCs w:val="21"/>
          <w:highlight w:val="none"/>
        </w:rPr>
        <w:t>9.3 如甲方使用上述货物构成对第三人侵权的，则由乙方承担全部责任。</w:t>
      </w:r>
    </w:p>
    <w:p w14:paraId="745BA615">
      <w:pPr>
        <w:spacing w:line="400" w:lineRule="exact"/>
        <w:ind w:firstLine="420"/>
        <w:jc w:val="left"/>
        <w:rPr>
          <w:rFonts w:hint="eastAsia" w:ascii="宋体" w:hAnsi="宋体" w:cs="宋体"/>
          <w:szCs w:val="21"/>
          <w:highlight w:val="none"/>
        </w:rPr>
      </w:pPr>
      <w:r>
        <w:rPr>
          <w:rFonts w:hint="eastAsia" w:ascii="宋体" w:hAnsi="宋体" w:cs="宋体"/>
          <w:szCs w:val="21"/>
          <w:highlight w:val="none"/>
        </w:rPr>
        <w:t>9.4如甲方使用上述货物构成对第三人侵权的，甲方可退货，乙方退还全额货款，并赔偿全额货款的10%作为赔偿金。</w:t>
      </w:r>
    </w:p>
    <w:p w14:paraId="7AFF78A0">
      <w:pPr>
        <w:spacing w:line="400" w:lineRule="exact"/>
        <w:jc w:val="left"/>
        <w:rPr>
          <w:rFonts w:hint="eastAsia" w:ascii="宋体" w:hAnsi="宋体" w:cs="宋体"/>
          <w:b/>
          <w:bCs/>
          <w:sz w:val="24"/>
          <w:szCs w:val="21"/>
          <w:highlight w:val="none"/>
        </w:rPr>
      </w:pPr>
      <w:r>
        <w:rPr>
          <w:rFonts w:hint="eastAsia" w:ascii="宋体" w:hAnsi="宋体" w:cs="宋体"/>
          <w:b/>
          <w:bCs/>
          <w:sz w:val="24"/>
          <w:szCs w:val="21"/>
          <w:highlight w:val="none"/>
        </w:rPr>
        <w:t>10. 知识产权保护</w:t>
      </w:r>
    </w:p>
    <w:p w14:paraId="35C37BDA">
      <w:pPr>
        <w:spacing w:line="400" w:lineRule="exact"/>
        <w:ind w:firstLine="420"/>
        <w:jc w:val="left"/>
        <w:rPr>
          <w:rFonts w:hint="eastAsia" w:ascii="宋体" w:hAnsi="宋体" w:cs="宋体"/>
          <w:szCs w:val="21"/>
          <w:highlight w:val="none"/>
        </w:rPr>
      </w:pPr>
      <w:r>
        <w:rPr>
          <w:rFonts w:hint="eastAsia" w:ascii="宋体" w:hAnsi="宋体" w:cs="宋体"/>
          <w:szCs w:val="21"/>
          <w:highlight w:val="none"/>
        </w:rPr>
        <w:t>10.1 乙方对其所销售的货物应当享有知识产权或经权利人合法授权，保证没有侵犯任何第三人的知识产权等权利。</w:t>
      </w:r>
      <w:bookmarkStart w:id="177"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177"/>
      <w:r>
        <w:rPr>
          <w:rFonts w:hint="eastAsia" w:ascii="宋体" w:hAnsi="宋体" w:cs="宋体"/>
          <w:szCs w:val="21"/>
          <w:highlight w:val="none"/>
        </w:rPr>
        <w:t>。</w:t>
      </w:r>
    </w:p>
    <w:p w14:paraId="27731910">
      <w:pPr>
        <w:spacing w:line="400" w:lineRule="exact"/>
        <w:ind w:firstLine="420"/>
        <w:jc w:val="left"/>
        <w:rPr>
          <w:rFonts w:hint="eastAsia" w:ascii="宋体" w:hAnsi="宋体" w:cs="宋体"/>
          <w:szCs w:val="21"/>
          <w:highlight w:val="none"/>
        </w:rPr>
      </w:pPr>
      <w:r>
        <w:rPr>
          <w:rFonts w:hint="eastAsia" w:ascii="宋体" w:hAnsi="宋体" w:cs="宋体"/>
          <w:szCs w:val="21"/>
          <w:highlight w:val="none"/>
        </w:rPr>
        <w:t>10.2</w:t>
      </w:r>
      <w:r>
        <w:rPr>
          <w:rFonts w:hint="eastAsia" w:ascii="宋体" w:hAnsi="宋体" w:cs="宋体"/>
          <w:szCs w:val="15"/>
          <w:highlight w:val="none"/>
        </w:rPr>
        <w:t>因违反前述约定对第三人构成侵权的，</w:t>
      </w:r>
      <w:r>
        <w:rPr>
          <w:rFonts w:hint="eastAsia" w:ascii="宋体" w:hAnsi="宋体" w:cs="宋体"/>
          <w:szCs w:val="21"/>
          <w:highlight w:val="none"/>
        </w:rPr>
        <w:t>甲方可退货，乙方退还全额货款，并赔偿全额货款的10%作为赔偿金。</w:t>
      </w:r>
    </w:p>
    <w:p w14:paraId="05953D81">
      <w:p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11. 保密义务</w:t>
      </w:r>
    </w:p>
    <w:p w14:paraId="4965244D">
      <w:pPr>
        <w:spacing w:line="400" w:lineRule="exact"/>
        <w:ind w:firstLine="420"/>
        <w:jc w:val="left"/>
        <w:rPr>
          <w:rFonts w:hint="eastAsia" w:ascii="宋体" w:hAnsi="宋体" w:cs="宋体"/>
          <w:color w:val="000000"/>
          <w:szCs w:val="15"/>
          <w:highlight w:val="none"/>
        </w:rPr>
      </w:pPr>
      <w:r>
        <w:rPr>
          <w:rFonts w:hint="eastAsia" w:ascii="宋体" w:hAnsi="宋体" w:cs="宋体"/>
          <w:color w:val="000000"/>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【政府采购合同专用条款】</w:t>
      </w:r>
      <w:r>
        <w:rPr>
          <w:rFonts w:hint="eastAsia" w:ascii="宋体" w:hAnsi="宋体" w:cs="宋体"/>
          <w:color w:val="000000"/>
          <w:szCs w:val="15"/>
          <w:highlight w:val="none"/>
        </w:rPr>
        <w:t>中约定。</w:t>
      </w:r>
    </w:p>
    <w:p w14:paraId="482E7EC8">
      <w:p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12. 合同价款支付</w:t>
      </w:r>
    </w:p>
    <w:p w14:paraId="3AC28C35">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12.1 合同价款支付按照国库集中支付制度及财政管理相关规定执行。</w:t>
      </w:r>
    </w:p>
    <w:p w14:paraId="5489A704">
      <w:pPr>
        <w:keepNext/>
        <w:keepLines/>
        <w:spacing w:line="400" w:lineRule="exact"/>
        <w:ind w:firstLine="420"/>
        <w:jc w:val="left"/>
        <w:rPr>
          <w:rFonts w:hint="eastAsia" w:ascii="宋体" w:hAnsi="宋体" w:cs="宋体"/>
          <w:b/>
          <w:color w:val="000000"/>
          <w:sz w:val="26"/>
          <w:szCs w:val="20"/>
          <w:highlight w:val="none"/>
        </w:rPr>
      </w:pPr>
      <w:r>
        <w:rPr>
          <w:rFonts w:hint="eastAsia" w:ascii="宋体" w:hAnsi="宋体" w:cs="宋体"/>
          <w:color w:val="000000"/>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】中约定。</w:t>
      </w:r>
    </w:p>
    <w:p w14:paraId="3FD93585">
      <w:pPr>
        <w:spacing w:line="400" w:lineRule="exact"/>
        <w:ind w:firstLine="42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13. 履约保证金</w:t>
      </w:r>
    </w:p>
    <w:p w14:paraId="0AE70CD5">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13.1 </w:t>
      </w:r>
      <w:r>
        <w:rPr>
          <w:rFonts w:hint="eastAsia" w:ascii="宋体" w:hAnsi="宋体" w:cs="宋体"/>
          <w:color w:val="000000"/>
          <w:szCs w:val="15"/>
          <w:highlight w:val="none"/>
        </w:rPr>
        <w:t>乙方应当以数字人民币、支票、汇票、本票或者金融机构、担保机构出具的保函等非现金形式提交。</w:t>
      </w:r>
    </w:p>
    <w:p w14:paraId="5CE3EEDD">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13.2 如果乙方出现</w:t>
      </w:r>
      <w:r>
        <w:rPr>
          <w:rFonts w:hint="eastAsia" w:ascii="宋体" w:hAnsi="宋体" w:cs="宋体"/>
          <w:b/>
          <w:bCs/>
          <w:color w:val="000000"/>
          <w:szCs w:val="15"/>
          <w:highlight w:val="none"/>
        </w:rPr>
        <w:t>【政府采购合同专用条款】</w:t>
      </w:r>
      <w:r>
        <w:rPr>
          <w:rFonts w:hint="eastAsia" w:ascii="宋体" w:hAnsi="宋体" w:cs="宋体"/>
          <w:color w:val="000000"/>
          <w:szCs w:val="15"/>
          <w:highlight w:val="none"/>
        </w:rPr>
        <w:t>约定情形的</w:t>
      </w:r>
      <w:r>
        <w:rPr>
          <w:rFonts w:hint="eastAsia" w:ascii="宋体" w:hAnsi="宋体" w:cs="宋体"/>
          <w:color w:val="000000"/>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2F4F89ED">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13.3 甲方在项目通过验收后按照</w:t>
      </w:r>
      <w:r>
        <w:rPr>
          <w:rFonts w:hint="eastAsia" w:ascii="宋体" w:hAnsi="宋体" w:cs="宋体"/>
          <w:b/>
          <w:color w:val="000000"/>
          <w:szCs w:val="21"/>
          <w:highlight w:val="none"/>
        </w:rPr>
        <w:t>【政府采购合同专用条款】</w:t>
      </w:r>
      <w:r>
        <w:rPr>
          <w:rFonts w:hint="eastAsia" w:ascii="宋体" w:hAnsi="宋体" w:cs="宋体"/>
          <w:color w:val="000000"/>
          <w:szCs w:val="21"/>
          <w:highlight w:val="none"/>
        </w:rPr>
        <w:t>规定的时间内将履约保证金退还乙方；逾期退还的，乙方可要求甲方支付违约金，违约金按照</w:t>
      </w:r>
      <w:r>
        <w:rPr>
          <w:rFonts w:hint="eastAsia" w:ascii="宋体" w:hAnsi="宋体" w:cs="宋体"/>
          <w:b/>
          <w:color w:val="000000"/>
          <w:szCs w:val="21"/>
          <w:highlight w:val="none"/>
        </w:rPr>
        <w:t>【政府采购合同专用条款】</w:t>
      </w:r>
      <w:r>
        <w:rPr>
          <w:rFonts w:hint="eastAsia" w:ascii="宋体" w:hAnsi="宋体" w:cs="宋体"/>
          <w:color w:val="000000"/>
          <w:szCs w:val="21"/>
          <w:highlight w:val="none"/>
        </w:rPr>
        <w:t>规定支付。</w:t>
      </w:r>
    </w:p>
    <w:p w14:paraId="196B0352">
      <w:pPr>
        <w:spacing w:line="400" w:lineRule="exact"/>
        <w:jc w:val="left"/>
        <w:rPr>
          <w:rFonts w:hint="eastAsia" w:ascii="宋体" w:hAnsi="宋体" w:cs="宋体"/>
          <w:b/>
          <w:color w:val="000000"/>
          <w:sz w:val="24"/>
          <w:szCs w:val="21"/>
          <w:highlight w:val="none"/>
        </w:rPr>
      </w:pPr>
      <w:r>
        <w:rPr>
          <w:rFonts w:hint="eastAsia" w:ascii="宋体" w:hAnsi="宋体" w:cs="宋体"/>
          <w:b/>
          <w:bCs/>
          <w:color w:val="000000"/>
          <w:sz w:val="24"/>
          <w:szCs w:val="21"/>
          <w:highlight w:val="none"/>
        </w:rPr>
        <w:t xml:space="preserve">14. </w:t>
      </w:r>
      <w:r>
        <w:rPr>
          <w:rFonts w:hint="eastAsia" w:ascii="宋体" w:hAnsi="宋体" w:cs="宋体"/>
          <w:b/>
          <w:color w:val="000000"/>
          <w:sz w:val="24"/>
          <w:szCs w:val="21"/>
          <w:highlight w:val="none"/>
        </w:rPr>
        <w:t>售后服务</w:t>
      </w:r>
    </w:p>
    <w:p w14:paraId="396B1970">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14.1 除项目不涉及或采购活动中明确约定无须承担外，乙方还应提供下列服务：</w:t>
      </w:r>
    </w:p>
    <w:p w14:paraId="5CBB9D73">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（1）货物的现场移动、安装、调试、启动监督及技术支持；</w:t>
      </w:r>
    </w:p>
    <w:p w14:paraId="249434B9">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（2）提供货物组装和维修所需的专用工具和辅助材料；</w:t>
      </w:r>
    </w:p>
    <w:p w14:paraId="64B75EEB">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（3）在</w:t>
      </w:r>
      <w:r>
        <w:rPr>
          <w:rFonts w:hint="eastAsia" w:ascii="宋体" w:hAnsi="宋体" w:cs="宋体"/>
          <w:b/>
          <w:bCs/>
          <w:color w:val="000000"/>
          <w:szCs w:val="15"/>
          <w:highlight w:val="none"/>
        </w:rPr>
        <w:t>【政府采购合同专用条款】</w:t>
      </w:r>
      <w:r>
        <w:rPr>
          <w:rFonts w:hint="eastAsia" w:ascii="宋体" w:hAnsi="宋体" w:cs="宋体"/>
          <w:color w:val="000000"/>
          <w:szCs w:val="21"/>
          <w:highlight w:val="none"/>
        </w:rPr>
        <w:t>约定的期限内对所有的货物实施运行监督、维修，但前提条件是该服务并不能免除乙方在质量保证期内所承担的义务；</w:t>
      </w:r>
    </w:p>
    <w:p w14:paraId="69C142AC">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（4）在制造商所在地或指定现场就货物的安装、启动、运营、维护、废弃处置等对甲方操作人员进行培训</w:t>
      </w:r>
      <w:r>
        <w:rPr>
          <w:rFonts w:hint="eastAsia" w:ascii="宋体" w:hAnsi="宋体" w:cs="宋体"/>
          <w:color w:val="000000"/>
          <w:szCs w:val="15"/>
          <w:highlight w:val="none"/>
        </w:rPr>
        <w:t>；</w:t>
      </w:r>
    </w:p>
    <w:p w14:paraId="3627B081">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（5）依照法律、行政法规的规定或者按照</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约定，货物在有效使用年限届满后应予回收的，乙方负有自行或者委托第三人对货物予以回收的义务；</w:t>
      </w:r>
    </w:p>
    <w:p w14:paraId="2BAB0D8C">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（6）</w:t>
      </w:r>
      <w:r>
        <w:rPr>
          <w:rFonts w:hint="eastAsia" w:ascii="宋体" w:hAnsi="宋体" w:cs="宋体"/>
          <w:b/>
          <w:color w:val="000000"/>
          <w:szCs w:val="21"/>
          <w:highlight w:val="none"/>
        </w:rPr>
        <w:t>【政府采购合同专用条款】</w:t>
      </w:r>
      <w:r>
        <w:rPr>
          <w:rFonts w:hint="eastAsia" w:ascii="宋体" w:hAnsi="宋体" w:cs="宋体"/>
          <w:color w:val="000000"/>
          <w:szCs w:val="21"/>
          <w:highlight w:val="none"/>
        </w:rPr>
        <w:t>规定由乙方提供的其他服务。</w:t>
      </w:r>
    </w:p>
    <w:p w14:paraId="5C336EAD">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14.2 乙方提供的售后服务的费用已包含在合同价款中，甲方不再另行支付。</w:t>
      </w:r>
    </w:p>
    <w:p w14:paraId="3C29D33E">
      <w:p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15. 违约责任</w:t>
      </w:r>
    </w:p>
    <w:p w14:paraId="2B99B6AF">
      <w:pPr>
        <w:spacing w:line="400" w:lineRule="exact"/>
        <w:ind w:firstLine="420"/>
        <w:jc w:val="left"/>
        <w:rPr>
          <w:rFonts w:hint="eastAsia" w:ascii="宋体" w:hAnsi="宋体" w:cs="宋体"/>
          <w:bCs/>
          <w:color w:val="000000"/>
          <w:szCs w:val="21"/>
          <w:highlight w:val="none"/>
        </w:rPr>
      </w:pPr>
      <w:r>
        <w:rPr>
          <w:rFonts w:hint="eastAsia" w:ascii="宋体" w:hAnsi="宋体" w:cs="宋体"/>
          <w:bCs/>
          <w:color w:val="000000"/>
          <w:szCs w:val="21"/>
          <w:highlight w:val="none"/>
        </w:rPr>
        <w:t>15.1质量瑕疵的违约责任</w:t>
      </w:r>
    </w:p>
    <w:p w14:paraId="43022427">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乙方提供的产品不符合合同约定的质量标准或存在产品质量缺陷，甲方有权要求乙方根据</w:t>
      </w:r>
      <w:r>
        <w:rPr>
          <w:rFonts w:hint="eastAsia" w:ascii="宋体" w:hAnsi="宋体" w:cs="宋体"/>
          <w:b/>
          <w:color w:val="000000"/>
          <w:szCs w:val="21"/>
          <w:highlight w:val="none"/>
        </w:rPr>
        <w:t>【政府采购合同专用条款】</w:t>
      </w:r>
      <w:r>
        <w:rPr>
          <w:rFonts w:hint="eastAsia" w:ascii="宋体" w:hAnsi="宋体" w:cs="宋体"/>
          <w:bCs/>
          <w:color w:val="000000"/>
          <w:szCs w:val="21"/>
          <w:highlight w:val="none"/>
        </w:rPr>
        <w:t>要求</w:t>
      </w:r>
      <w:r>
        <w:rPr>
          <w:rFonts w:hint="eastAsia" w:ascii="宋体" w:hAnsi="宋体" w:cs="宋体"/>
          <w:color w:val="000000"/>
          <w:szCs w:val="21"/>
          <w:highlight w:val="none"/>
        </w:rPr>
        <w:t>及时维修、更换，并承担由此给甲方造成的损失。</w:t>
      </w:r>
    </w:p>
    <w:p w14:paraId="4431B812">
      <w:pPr>
        <w:spacing w:line="400" w:lineRule="exact"/>
        <w:ind w:firstLine="420"/>
        <w:jc w:val="left"/>
        <w:rPr>
          <w:rFonts w:hint="eastAsia" w:ascii="宋体" w:hAnsi="宋体" w:cs="宋体"/>
          <w:bCs/>
          <w:color w:val="000000"/>
          <w:szCs w:val="21"/>
          <w:highlight w:val="none"/>
        </w:rPr>
      </w:pPr>
      <w:r>
        <w:rPr>
          <w:rFonts w:hint="eastAsia" w:ascii="宋体" w:hAnsi="宋体" w:cs="宋体"/>
          <w:bCs/>
          <w:color w:val="000000"/>
          <w:szCs w:val="21"/>
          <w:highlight w:val="none"/>
        </w:rPr>
        <w:t>15.2 迟延交货的违约责任</w:t>
      </w:r>
    </w:p>
    <w:p w14:paraId="426F6474">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6D8EC8">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highlight w:val="none"/>
        </w:rPr>
        <w:t>【政府采购合同专用条款】</w:t>
      </w:r>
      <w:r>
        <w:rPr>
          <w:rFonts w:hint="eastAsia" w:ascii="宋体" w:hAnsi="宋体" w:cs="宋体"/>
          <w:color w:val="000000"/>
          <w:szCs w:val="21"/>
          <w:highlight w:val="none"/>
        </w:rPr>
        <w:t>规定执行。如果涉及公共利益，且赔偿金额无法弥补公共利益损失，甲方可要求继续履行或者采取其他补救措施。</w:t>
      </w:r>
    </w:p>
    <w:p w14:paraId="740B63EC">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15.3 迟延支付的违约责任</w:t>
      </w:r>
    </w:p>
    <w:p w14:paraId="740549B2">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甲方存在迟延支付乙方合同款项的，应当承担</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规定的逾期付款利息。</w:t>
      </w:r>
    </w:p>
    <w:p w14:paraId="09E92056">
      <w:pPr>
        <w:spacing w:line="400" w:lineRule="exact"/>
        <w:ind w:firstLine="420"/>
        <w:jc w:val="left"/>
        <w:rPr>
          <w:rFonts w:hint="eastAsia" w:ascii="宋体" w:hAnsi="宋体" w:cs="宋体"/>
          <w:color w:val="000000"/>
          <w:szCs w:val="21"/>
          <w:highlight w:val="none"/>
        </w:rPr>
      </w:pPr>
      <w:r>
        <w:rPr>
          <w:rFonts w:hint="eastAsia" w:ascii="宋体" w:hAnsi="宋体" w:cs="宋体"/>
          <w:bCs/>
          <w:color w:val="000000"/>
          <w:szCs w:val="21"/>
          <w:highlight w:val="none"/>
        </w:rPr>
        <w:t>15.4其他违约责任根据项目实际需要按</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规定执行。</w:t>
      </w:r>
    </w:p>
    <w:p w14:paraId="4F8A41A8">
      <w:pPr>
        <w:numPr>
          <w:ilvl w:val="0"/>
          <w:numId w:val="7"/>
        </w:numPr>
        <w:spacing w:line="400" w:lineRule="exact"/>
        <w:jc w:val="left"/>
        <w:rPr>
          <w:rFonts w:hint="eastAsia" w:ascii="宋体" w:hAnsi="宋体" w:cs="宋体"/>
          <w:b/>
          <w:color w:val="000000"/>
          <w:sz w:val="24"/>
          <w:szCs w:val="21"/>
          <w:highlight w:val="none"/>
        </w:rPr>
      </w:pPr>
      <w:r>
        <w:rPr>
          <w:rFonts w:hint="eastAsia" w:ascii="宋体" w:hAnsi="宋体" w:cs="宋体"/>
          <w:b/>
          <w:color w:val="000000"/>
          <w:sz w:val="24"/>
          <w:szCs w:val="21"/>
          <w:highlight w:val="none"/>
        </w:rPr>
        <w:t>合同变更、中止与终止</w:t>
      </w:r>
    </w:p>
    <w:p w14:paraId="0605AFA3">
      <w:pPr>
        <w:spacing w:line="400" w:lineRule="exact"/>
        <w:jc w:val="left"/>
        <w:rPr>
          <w:rFonts w:hint="eastAsia" w:ascii="宋体" w:hAnsi="宋体" w:cs="宋体"/>
          <w:color w:val="000000"/>
          <w:szCs w:val="21"/>
          <w:highlight w:val="none"/>
        </w:rPr>
      </w:pPr>
      <w:r>
        <w:rPr>
          <w:rFonts w:hint="eastAsia" w:ascii="宋体" w:hAnsi="宋体" w:cs="宋体"/>
          <w:color w:val="000000"/>
          <w:szCs w:val="21"/>
          <w:highlight w:val="none"/>
        </w:rPr>
        <w:t xml:space="preserve">    16.1合同的变更</w:t>
      </w:r>
    </w:p>
    <w:p w14:paraId="232FBF62">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政府采购合同履行中，在不改变合同其他条款的前提下，甲方可以在合同价款10%的范围内追加与合同标的相同的货物，并就此与乙方协商一致后签订补充协议。</w:t>
      </w:r>
    </w:p>
    <w:p w14:paraId="79CDCACB">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16.2合同的中止</w:t>
      </w:r>
    </w:p>
    <w:p w14:paraId="66E9D6CA">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（1）合同履行过程中因供应商就采购文件、采购过程或结果提起投诉的，甲方认为有必要的，可以中止合同的履行。</w:t>
      </w:r>
    </w:p>
    <w:p w14:paraId="33E1E5C4">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C3856A2">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8607B2B">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（4）甲方不得以行政区划调整、政府换届、机构或者职能调整以及相关责任人更替为由中止合同。</w:t>
      </w:r>
    </w:p>
    <w:p w14:paraId="4861CCE7">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16.3合同的终止</w:t>
      </w:r>
    </w:p>
    <w:p w14:paraId="6AFEA12B">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（1）合同因有效期限届满而终止；</w:t>
      </w:r>
    </w:p>
    <w:p w14:paraId="4579D400">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（2）乙方未按合同约定履行，构成根本性违约的，甲方有权终止合同，并追究乙方的违约责任。</w:t>
      </w:r>
    </w:p>
    <w:p w14:paraId="6DC6D4B2">
      <w:pPr>
        <w:spacing w:line="400" w:lineRule="exact"/>
        <w:ind w:firstLine="440"/>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16.4 </w:t>
      </w:r>
      <w:r>
        <w:rPr>
          <w:rFonts w:hint="eastAsia" w:ascii="宋体" w:hAnsi="宋体" w:cs="宋体"/>
          <w:color w:val="000000"/>
          <w:szCs w:val="21"/>
          <w:highlight w:val="none"/>
        </w:rPr>
        <w:t>涉及国家利益、社会公共利益的情形</w:t>
      </w:r>
    </w:p>
    <w:p w14:paraId="7FDAA28D">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政府采购合同继续履行将损害国家利益和社会公共利益的，双方当事人应当变更、中止或者终止合同。有过错的一方应当承担赔偿责任，双方都有过错的，各自承担相应的责任。</w:t>
      </w:r>
    </w:p>
    <w:p w14:paraId="019AFF07">
      <w:p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17. 合同分包</w:t>
      </w:r>
    </w:p>
    <w:p w14:paraId="32365023">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17.1 乙方不得将合同转包给其他供应商。涉及合同分包的，乙方应根据采购文件和投标（响应）文件规定进行合同分包。</w:t>
      </w:r>
    </w:p>
    <w:p w14:paraId="68AD2914">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17.2 乙方执行政府采购政策向中小企业依法分包的，乙方应当按采购文件和投标（响应）文件签订分包意向协议，分包意向协议属于本合同组成部分。</w:t>
      </w:r>
    </w:p>
    <w:p w14:paraId="560DCBDA">
      <w:p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18. 不可抗力</w:t>
      </w:r>
    </w:p>
    <w:p w14:paraId="6A525BC9">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18.1 不可抗力是指合同双方不能预见、不能避免且不能克服的客观情况。</w:t>
      </w:r>
    </w:p>
    <w:p w14:paraId="749815F1">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18.2 任何一方对由于不可抗力造成的部分或全部不能履行合同不承担违约责任。但迟延履行后发生不可抗力的，不能免除责任。</w:t>
      </w:r>
    </w:p>
    <w:p w14:paraId="098EBC49">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3D9E834">
      <w:p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19. 解决争议的方法</w:t>
      </w:r>
    </w:p>
    <w:p w14:paraId="19ADE8C3">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FC73A76">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19.2 选择仲裁的，应在</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中明确仲裁机构及仲裁地；通过诉讼方式解决的，可以在</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中进一步约定选择与争议有实际联系的地点的人民法院管辖，但管辖法院的约定不得违反级别管辖和专属管辖的规定。</w:t>
      </w:r>
    </w:p>
    <w:p w14:paraId="591A8E7E">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19.3 如甲乙双方有争议的事项不影响合同其他部分的履行，在争议解决期间，合同其他部分应当继续履行。</w:t>
      </w:r>
    </w:p>
    <w:p w14:paraId="6AD95881">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20. 政府采购政策</w:t>
      </w:r>
    </w:p>
    <w:p w14:paraId="2F2539CF">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20.1 </w:t>
      </w:r>
      <w:r>
        <w:rPr>
          <w:rFonts w:hint="eastAsia" w:ascii="宋体" w:hAnsi="宋体" w:cs="宋体"/>
          <w:color w:val="000000"/>
          <w:szCs w:val="21"/>
          <w:highlight w:val="none"/>
          <w:lang w:val="en-GB"/>
        </w:rPr>
        <w:t>本合同应当按照规定执行政府采购政策。</w:t>
      </w:r>
    </w:p>
    <w:p w14:paraId="4227983C">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20.2 本合同依法执行政府采购政策的方式和内容，属于合同履约验收的范围。甲乙双方</w:t>
      </w:r>
      <w:r>
        <w:rPr>
          <w:rFonts w:hint="eastAsia" w:ascii="宋体" w:hAnsi="宋体" w:cs="宋体"/>
          <w:color w:val="000000"/>
          <w:szCs w:val="21"/>
          <w:highlight w:val="none"/>
          <w:lang w:val="en-GB"/>
        </w:rPr>
        <w:t>未按规定要求执行政府采购政策造成损失的</w:t>
      </w:r>
      <w:r>
        <w:rPr>
          <w:rFonts w:hint="eastAsia" w:ascii="宋体" w:hAnsi="宋体" w:cs="宋体"/>
          <w:color w:val="000000"/>
          <w:szCs w:val="21"/>
          <w:highlight w:val="none"/>
        </w:rPr>
        <w:t>，有过错的一方应当承担赔偿责任，双方都有过错的，各自承担相应的责任。</w:t>
      </w:r>
    </w:p>
    <w:p w14:paraId="04080E11">
      <w:pPr>
        <w:spacing w:line="400" w:lineRule="exact"/>
        <w:ind w:firstLine="420"/>
        <w:rPr>
          <w:rFonts w:hint="eastAsia" w:ascii="宋体" w:hAnsi="宋体" w:cs="宋体"/>
          <w:color w:val="000000"/>
          <w:sz w:val="22"/>
          <w:szCs w:val="21"/>
          <w:highlight w:val="none"/>
        </w:rPr>
      </w:pPr>
      <w:r>
        <w:rPr>
          <w:rFonts w:hint="eastAsia" w:ascii="宋体" w:hAnsi="宋体" w:cs="宋体"/>
          <w:color w:val="000000"/>
          <w:szCs w:val="21"/>
          <w:highlight w:val="none"/>
        </w:rPr>
        <w:t>20.3 对于为落实中小企业支持政策，通过采购项</w:t>
      </w:r>
      <w:r>
        <w:rPr>
          <w:rFonts w:hint="eastAsia" w:ascii="宋体" w:hAnsi="宋体" w:cs="宋体"/>
          <w:color w:val="000000"/>
          <w:sz w:val="22"/>
          <w:szCs w:val="21"/>
          <w:highlight w:val="none"/>
        </w:rPr>
        <w:t>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410549A">
      <w:pPr>
        <w:spacing w:line="400" w:lineRule="exact"/>
        <w:jc w:val="left"/>
        <w:rPr>
          <w:rFonts w:hint="eastAsia" w:ascii="宋体" w:hAnsi="宋体" w:cs="宋体"/>
          <w:b/>
          <w:color w:val="000000"/>
          <w:sz w:val="24"/>
          <w:szCs w:val="21"/>
          <w:highlight w:val="none"/>
        </w:rPr>
      </w:pPr>
      <w:r>
        <w:rPr>
          <w:rFonts w:hint="eastAsia" w:ascii="宋体" w:hAnsi="宋体" w:cs="宋体"/>
          <w:b/>
          <w:color w:val="000000"/>
          <w:sz w:val="24"/>
          <w:szCs w:val="21"/>
          <w:highlight w:val="none"/>
        </w:rPr>
        <w:t>21. 法律适用</w:t>
      </w:r>
    </w:p>
    <w:p w14:paraId="418A7B27">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21.1 本合同的订立、生效、解释、履行及与本合同有关的争议解决，均适用法律、行政法规。</w:t>
      </w:r>
    </w:p>
    <w:p w14:paraId="78A34D86">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21.2 本合同条款与法律、行政法规的强制性规定不一致的，双方当事人应当按照法律、行政法规的强制性规定修改本合同的相关条款。</w:t>
      </w:r>
    </w:p>
    <w:p w14:paraId="2BE1FD06">
      <w:pPr>
        <w:spacing w:line="400" w:lineRule="exact"/>
        <w:jc w:val="left"/>
        <w:rPr>
          <w:rFonts w:hint="eastAsia" w:ascii="宋体" w:hAnsi="宋体" w:cs="宋体"/>
          <w:b/>
          <w:color w:val="000000"/>
          <w:sz w:val="24"/>
          <w:szCs w:val="21"/>
          <w:highlight w:val="none"/>
        </w:rPr>
      </w:pPr>
      <w:r>
        <w:rPr>
          <w:rFonts w:hint="eastAsia" w:ascii="宋体" w:hAnsi="宋体" w:cs="宋体"/>
          <w:b/>
          <w:color w:val="000000"/>
          <w:sz w:val="24"/>
          <w:szCs w:val="21"/>
          <w:highlight w:val="none"/>
        </w:rPr>
        <w:t>22. 通知</w:t>
      </w:r>
    </w:p>
    <w:p w14:paraId="17B4A606">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22.1 本合同任何一方向对方发出的通知、信件、数据电文等，应当发送至本合同第一部分《政府采购合同协议书》所约定的通讯地址、联系人、联系电话或电子邮箱。</w:t>
      </w:r>
    </w:p>
    <w:p w14:paraId="0851FBAA">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22.2 一方当事人变更名称、住所、联系人、联系电话或电子邮箱等信息的，应当在变更后3日内及时书面通知对方，对方实际收到变更通知前的送达仍为有效送达。</w:t>
      </w:r>
    </w:p>
    <w:p w14:paraId="4C30672C">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22.3本合同一方给另一方的通知均应采用书面形式，传真或快递送到本合同中规定的对方的地址和办理签收手续。</w:t>
      </w:r>
    </w:p>
    <w:p w14:paraId="77F2E896">
      <w:pPr>
        <w:spacing w:line="400" w:lineRule="exact"/>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22.4通知以送达之日或通知书中规定的生效之日起生效，两者中以较迟之日为准。</w:t>
      </w:r>
    </w:p>
    <w:p w14:paraId="3CD1A805">
      <w:pPr>
        <w:numPr>
          <w:ilvl w:val="0"/>
          <w:numId w:val="8"/>
        </w:numPr>
        <w:spacing w:line="400" w:lineRule="exact"/>
        <w:jc w:val="lef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合同未尽事项</w:t>
      </w:r>
    </w:p>
    <w:p w14:paraId="5227A673">
      <w:pPr>
        <w:spacing w:line="400" w:lineRule="exact"/>
        <w:ind w:firstLine="420"/>
        <w:jc w:val="left"/>
        <w:rPr>
          <w:rFonts w:hint="eastAsia" w:ascii="宋体" w:hAnsi="宋体" w:cs="宋体"/>
          <w:bCs/>
          <w:color w:val="000000"/>
          <w:szCs w:val="21"/>
          <w:highlight w:val="none"/>
        </w:rPr>
      </w:pPr>
      <w:r>
        <w:rPr>
          <w:rFonts w:hint="eastAsia" w:ascii="宋体" w:hAnsi="宋体" w:cs="宋体"/>
          <w:bCs/>
          <w:color w:val="000000"/>
          <w:szCs w:val="21"/>
          <w:highlight w:val="none"/>
        </w:rPr>
        <w:t>23.1合同未尽事项见</w:t>
      </w:r>
      <w:r>
        <w:rPr>
          <w:rFonts w:hint="eastAsia" w:ascii="宋体" w:hAnsi="宋体" w:cs="宋体"/>
          <w:b/>
          <w:color w:val="000000"/>
          <w:szCs w:val="21"/>
          <w:highlight w:val="none"/>
        </w:rPr>
        <w:t>【政府采购合同专用条款】</w:t>
      </w:r>
      <w:r>
        <w:rPr>
          <w:rFonts w:hint="eastAsia" w:ascii="宋体" w:hAnsi="宋体" w:cs="宋体"/>
          <w:bCs/>
          <w:color w:val="000000"/>
          <w:szCs w:val="21"/>
          <w:highlight w:val="none"/>
        </w:rPr>
        <w:t>。</w:t>
      </w:r>
    </w:p>
    <w:p w14:paraId="5629736D">
      <w:pPr>
        <w:spacing w:line="400" w:lineRule="exact"/>
        <w:jc w:val="left"/>
        <w:rPr>
          <w:rFonts w:hint="eastAsia" w:ascii="宋体" w:hAnsi="宋体" w:cs="宋体"/>
          <w:color w:val="000000"/>
          <w:sz w:val="28"/>
          <w:szCs w:val="28"/>
          <w:highlight w:val="none"/>
        </w:rPr>
      </w:pPr>
      <w:r>
        <w:rPr>
          <w:rFonts w:hint="eastAsia" w:ascii="宋体" w:hAnsi="宋体" w:cs="宋体"/>
          <w:bCs/>
          <w:color w:val="000000"/>
          <w:szCs w:val="21"/>
          <w:highlight w:val="none"/>
        </w:rPr>
        <w:t xml:space="preserve">    23.2 合同附件与合同正文具有同等的法律效力。</w:t>
      </w:r>
      <w:bookmarkStart w:id="178" w:name="_Toc20313"/>
    </w:p>
    <w:p w14:paraId="0F3DFAC9">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r>
    </w:p>
    <w:p w14:paraId="57CAB0DB">
      <w:pPr>
        <w:keepNext/>
        <w:keepLines/>
        <w:spacing w:line="360" w:lineRule="auto"/>
        <w:ind w:firstLine="42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第三节 政府采购合同专用条款</w:t>
      </w:r>
      <w:bookmarkEnd w:id="178"/>
    </w:p>
    <w:tbl>
      <w:tblPr>
        <w:tblStyle w:val="41"/>
        <w:tblW w:w="0" w:type="auto"/>
        <w:tblInd w:w="11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638"/>
      </w:tblGrid>
      <w:tr w14:paraId="2BFEA22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4" w:space="0"/>
              <w:left w:val="single" w:color="000000" w:sz="4" w:space="0"/>
              <w:bottom w:val="single" w:color="000000" w:sz="6" w:space="0"/>
              <w:right w:val="single" w:color="000000" w:sz="6" w:space="0"/>
            </w:tcBorders>
            <w:vAlign w:val="center"/>
          </w:tcPr>
          <w:p w14:paraId="15EFB879">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2884B78D">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第1.2（6）项</w:t>
            </w:r>
          </w:p>
        </w:tc>
        <w:tc>
          <w:tcPr>
            <w:tcW w:w="1742" w:type="dxa"/>
            <w:tcBorders>
              <w:top w:val="single" w:color="000000" w:sz="4" w:space="0"/>
              <w:left w:val="single" w:color="000000" w:sz="6" w:space="0"/>
              <w:bottom w:val="single" w:color="000000" w:sz="6" w:space="0"/>
              <w:right w:val="single" w:color="000000" w:sz="6" w:space="0"/>
            </w:tcBorders>
            <w:vAlign w:val="center"/>
          </w:tcPr>
          <w:p w14:paraId="06825B8A">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联合体具体要求</w:t>
            </w:r>
          </w:p>
        </w:tc>
        <w:tc>
          <w:tcPr>
            <w:tcW w:w="5638" w:type="dxa"/>
            <w:tcBorders>
              <w:top w:val="single" w:color="000000" w:sz="4" w:space="0"/>
              <w:left w:val="single" w:color="000000" w:sz="6" w:space="0"/>
              <w:bottom w:val="single" w:color="000000" w:sz="6" w:space="0"/>
              <w:right w:val="single" w:color="000000" w:sz="4" w:space="0"/>
            </w:tcBorders>
            <w:vAlign w:val="center"/>
          </w:tcPr>
          <w:p w14:paraId="51FE8344">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w:t>
            </w:r>
          </w:p>
        </w:tc>
      </w:tr>
      <w:tr w14:paraId="7165ADF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629F2222">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0DED5124">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第1.2（7）项</w:t>
            </w:r>
          </w:p>
        </w:tc>
        <w:tc>
          <w:tcPr>
            <w:tcW w:w="1742" w:type="dxa"/>
            <w:tcBorders>
              <w:top w:val="single" w:color="000000" w:sz="6" w:space="0"/>
              <w:left w:val="single" w:color="000000" w:sz="6" w:space="0"/>
              <w:bottom w:val="single" w:color="000000" w:sz="6" w:space="0"/>
              <w:right w:val="single" w:color="000000" w:sz="6" w:space="0"/>
            </w:tcBorders>
            <w:vAlign w:val="center"/>
          </w:tcPr>
          <w:p w14:paraId="644E7CEF">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其他术语解释</w:t>
            </w:r>
          </w:p>
        </w:tc>
        <w:tc>
          <w:tcPr>
            <w:tcW w:w="5638" w:type="dxa"/>
            <w:tcBorders>
              <w:top w:val="single" w:color="000000" w:sz="6" w:space="0"/>
              <w:left w:val="single" w:color="000000" w:sz="6" w:space="0"/>
              <w:bottom w:val="single" w:color="000000" w:sz="6" w:space="0"/>
              <w:right w:val="single" w:color="000000" w:sz="4" w:space="0"/>
            </w:tcBorders>
            <w:vAlign w:val="center"/>
          </w:tcPr>
          <w:p w14:paraId="321BD922">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w:t>
            </w:r>
          </w:p>
        </w:tc>
      </w:tr>
      <w:tr w14:paraId="1FD9961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64CEC00E">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6AAABA44">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第4.4款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32B8B319">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履约验收中甲方提出异议或作出说明的期限</w:t>
            </w:r>
          </w:p>
        </w:tc>
        <w:tc>
          <w:tcPr>
            <w:tcW w:w="5638" w:type="dxa"/>
            <w:tcBorders>
              <w:top w:val="single" w:color="000000" w:sz="6" w:space="0"/>
              <w:left w:val="single" w:color="000000" w:sz="6" w:space="0"/>
              <w:bottom w:val="single" w:color="000000" w:sz="6" w:space="0"/>
              <w:right w:val="single" w:color="000000" w:sz="4" w:space="0"/>
            </w:tcBorders>
            <w:vAlign w:val="center"/>
          </w:tcPr>
          <w:p w14:paraId="72BB8B3D">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如有质量异议，乙方应在接到甲方异议的7天内做出书面答复，逾期则视为乙方同意甲方提出的异议和处理意见</w:t>
            </w:r>
          </w:p>
        </w:tc>
      </w:tr>
      <w:tr w14:paraId="5F0B202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79602F7F">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7A0B02FC">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第4.6款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137E7476">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约定甲方承担的其他义务和责任</w:t>
            </w:r>
          </w:p>
        </w:tc>
        <w:tc>
          <w:tcPr>
            <w:tcW w:w="5638" w:type="dxa"/>
            <w:tcBorders>
              <w:top w:val="single" w:color="000000" w:sz="6" w:space="0"/>
              <w:left w:val="single" w:color="000000" w:sz="6" w:space="0"/>
              <w:bottom w:val="single" w:color="000000" w:sz="6" w:space="0"/>
              <w:right w:val="single" w:color="000000" w:sz="4" w:space="0"/>
            </w:tcBorders>
            <w:vAlign w:val="center"/>
          </w:tcPr>
          <w:p w14:paraId="75469088">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（1）尊重乙方的正当合法权益，按照合同约定的条件，按时支付款项；</w:t>
            </w:r>
          </w:p>
          <w:p w14:paraId="2F239E0E">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（2）接收货物的义务；</w:t>
            </w:r>
          </w:p>
          <w:p w14:paraId="04734140">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（3）根据合同约定的标准和时间，验收货物的义务；</w:t>
            </w:r>
          </w:p>
          <w:p w14:paraId="549AF6A3">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（4）如发生验收不通过，返厂维修、退货时，有相关退货及重新验收的义务；</w:t>
            </w:r>
          </w:p>
          <w:p w14:paraId="57F4A281">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（5）遵守政府采购的各项法律法规和规章制度。</w:t>
            </w:r>
          </w:p>
        </w:tc>
      </w:tr>
      <w:tr w14:paraId="6375AC5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48DD6A95">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714EBDFA">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第5.4款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74DB1694">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约定乙方承担的其他义务和责任</w:t>
            </w:r>
          </w:p>
        </w:tc>
        <w:tc>
          <w:tcPr>
            <w:tcW w:w="5638" w:type="dxa"/>
            <w:tcBorders>
              <w:top w:val="single" w:color="000000" w:sz="6" w:space="0"/>
              <w:left w:val="single" w:color="000000" w:sz="6" w:space="0"/>
              <w:bottom w:val="single" w:color="000000" w:sz="6" w:space="0"/>
              <w:right w:val="single" w:color="000000" w:sz="4" w:space="0"/>
            </w:tcBorders>
            <w:vAlign w:val="center"/>
          </w:tcPr>
          <w:p w14:paraId="13FE2839">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（1）乙方应保证所有货物都是全新、未使用过的原厂合格产品，并完全符合采购文件规定的质量、规格、参数和性能的要求。</w:t>
            </w:r>
          </w:p>
          <w:p w14:paraId="1859E14F">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（2）乙方应保证提供的产品不得侵犯第三方专利权、商标权和设计权、版权等。否则，乙方应负全部责任，并承担由此引起的一切后果。</w:t>
            </w:r>
          </w:p>
          <w:p w14:paraId="4B255BEE">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3）中标产品的技术标准按国家标准执行，无国家标准的，按行业标准执行，无国家和行业标准的，按企业标准执行；但在采购文件中有特别要求的，按采购文件中规定的要求执行，并且符合相关法律法规规定的要求。</w:t>
            </w:r>
          </w:p>
          <w:p w14:paraId="73449732">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（4）乙方提供的产品必须为原包装，在送交采购单位验收前不得拆箱。</w:t>
            </w:r>
          </w:p>
          <w:p w14:paraId="29693BEC">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（5）每一个包装箱内应附有出厂标准配置的有关技术、质量、三包等资料。</w:t>
            </w:r>
          </w:p>
          <w:p w14:paraId="452C8FCC">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（6）乙方必须保证所提供的产品符合国家相应质量要求，所有产品必须具备产品合格证书，并随货同行。</w:t>
            </w:r>
          </w:p>
          <w:p w14:paraId="59954E63">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（7）乙方所提供的物资如出现质量问题，应及时且无条件负责更换为合格产品。</w:t>
            </w:r>
          </w:p>
          <w:p w14:paraId="4FED1E88">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（8）乙方所供货物最终验收后，应对由于设计、工艺或材料的缺陷而发生的任何不足或故障负责，并承担由此引起的一切后果。</w:t>
            </w:r>
          </w:p>
          <w:p w14:paraId="56B916D4">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（9）在质保期内，乙方应对本项目出现的质量问题负责处理解决并承担一切费用。</w:t>
            </w:r>
          </w:p>
          <w:p w14:paraId="15ADB18A">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（10）乙方应采取必要的安全措施保证货物的运输及安装的安全，并承担货物的运输及安装过程中产生的风险。</w:t>
            </w:r>
          </w:p>
          <w:p w14:paraId="4380AB89">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（11）全部货物的外包装必须采用防漏、防潮、防震、防锈、防盗和考虑到可能会发生的野蛮装卸等长途运输及多次装卸之需要。如因乙方包装不当以及其他原因造成损坏或丢失，应由乙方负一切责任。</w:t>
            </w:r>
          </w:p>
          <w:p w14:paraId="3A418DA6">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（12）乙方应对货物质量、安全全面负责，如乙方原因造成质量、安全事故，乙方承担一切法律责任。</w:t>
            </w:r>
          </w:p>
          <w:p w14:paraId="7FE3DBD6">
            <w:pPr>
              <w:spacing w:line="360" w:lineRule="auto"/>
              <w:jc w:val="left"/>
              <w:rPr>
                <w:rFonts w:hint="eastAsia" w:ascii="宋体" w:hAnsi="宋体" w:cs="宋体"/>
                <w:color w:val="000000"/>
                <w:szCs w:val="21"/>
                <w:highlight w:val="none"/>
              </w:rPr>
            </w:pPr>
          </w:p>
        </w:tc>
      </w:tr>
      <w:tr w14:paraId="2D483E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34612201">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0D625423">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第6.1款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1042790B">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履行合同义务的顺序</w:t>
            </w:r>
          </w:p>
        </w:tc>
        <w:tc>
          <w:tcPr>
            <w:tcW w:w="5638" w:type="dxa"/>
            <w:tcBorders>
              <w:top w:val="single" w:color="000000" w:sz="6" w:space="0"/>
              <w:left w:val="single" w:color="000000" w:sz="6" w:space="0"/>
              <w:bottom w:val="single" w:color="000000" w:sz="6" w:space="0"/>
              <w:right w:val="single" w:color="000000" w:sz="4" w:space="0"/>
            </w:tcBorders>
            <w:vAlign w:val="center"/>
          </w:tcPr>
          <w:p w14:paraId="612A428E">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按照国家法律法规要求执行</w:t>
            </w:r>
          </w:p>
        </w:tc>
      </w:tr>
      <w:tr w14:paraId="5D480B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tcBorders>
              <w:top w:val="single" w:color="000000" w:sz="6" w:space="0"/>
              <w:left w:val="single" w:color="000000" w:sz="4" w:space="0"/>
              <w:bottom w:val="single" w:color="000000" w:sz="6" w:space="0"/>
              <w:right w:val="single" w:color="000000" w:sz="6" w:space="0"/>
            </w:tcBorders>
            <w:vAlign w:val="center"/>
          </w:tcPr>
          <w:p w14:paraId="4786BA43">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16A47BBA">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第7.1款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3F2B4AD0">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包装特殊要求</w:t>
            </w:r>
          </w:p>
        </w:tc>
        <w:tc>
          <w:tcPr>
            <w:tcW w:w="5638" w:type="dxa"/>
            <w:tcBorders>
              <w:top w:val="single" w:color="000000" w:sz="6" w:space="0"/>
              <w:left w:val="single" w:color="000000" w:sz="6" w:space="0"/>
              <w:bottom w:val="single" w:color="000000" w:sz="6" w:space="0"/>
              <w:right w:val="single" w:color="000000" w:sz="4" w:space="0"/>
            </w:tcBorders>
            <w:vAlign w:val="center"/>
          </w:tcPr>
          <w:p w14:paraId="7AE1E8E6">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商品包装环保要求：应当按《关于印发〈商品包装政府采购需求标准（试行）〉、〈快递包装政府采购需求标准（试行）〉的通知》（财办库〔2020〕123号）文件执行。</w:t>
            </w:r>
          </w:p>
          <w:p w14:paraId="47B0A981">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（1）商品包装层数不得超过3层，空隙率不大于 40%；</w:t>
            </w:r>
          </w:p>
          <w:p w14:paraId="5F638DB5">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（2）商品包装尽可能使用单一材质的包装材料，如因功能需求必须使用不同材质，不同材质间应便于分离；</w:t>
            </w:r>
          </w:p>
          <w:p w14:paraId="09403C6A">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（3）商品包装中铅、汞、镉、六价铬的总含量应不大于100mg/kg；</w:t>
            </w:r>
          </w:p>
          <w:p w14:paraId="005A51F4">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（4）商品包装印刷使用的油墨中挥发性有机化合物（VOCs）含量应不大于 5%（以重量计）；</w:t>
            </w:r>
          </w:p>
          <w:p w14:paraId="2406ADE5">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（5）塑料材质商品包装上呈现的印刷颜色不得超过6 色；</w:t>
            </w:r>
          </w:p>
          <w:p w14:paraId="2F4A0322">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（6）纸质商品包装应使用75%以上的可再生纤维原料生产；</w:t>
            </w:r>
          </w:p>
          <w:p w14:paraId="45670884">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（7）木质商品包装的原料应来源于可持续性森林。</w:t>
            </w:r>
          </w:p>
          <w:p w14:paraId="1CBE8FA4">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快递包装环保要求：</w:t>
            </w:r>
          </w:p>
          <w:p w14:paraId="55993854">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（1）快递包装中重金属（铅、汞、镉、六价铬）总量应不大于 100mg/kg；</w:t>
            </w:r>
          </w:p>
          <w:p w14:paraId="7212DFBB">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（2）快递包装印刷使用的油墨中不应添加邻苯二甲酸酯，其挥发性有机化合物（VOCs）含量应不大于5%（以重量计）；</w:t>
            </w:r>
          </w:p>
          <w:p w14:paraId="591DF461">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（3）快递包装中使用纸基材的包装材料，纸基材中的有机氯的含量应不大于 150 mg/kg；</w:t>
            </w:r>
          </w:p>
          <w:p w14:paraId="6D35195B">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291ABC62">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（5）快递中使用的塑料包装袋不得使用聚氯乙烯作为原料，且原料应为单一材质制成，生物分解率大于60%；</w:t>
            </w:r>
          </w:p>
          <w:p w14:paraId="01B9CD0E">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（6）快递中使用的充气类填充物不得使用聚氯乙烯作为 原料，且原料为单一材质制成，生物分解率大于60%；</w:t>
            </w:r>
          </w:p>
          <w:p w14:paraId="4FFC3035">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（7）快递中使用的集装袋应为单一材质制成，其重复使用次数应不小于 80 次；</w:t>
            </w:r>
          </w:p>
          <w:p w14:paraId="18D23BD9">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（8）快递中应使用幅宽不大于45mm 的生物降解胶带；</w:t>
            </w:r>
          </w:p>
          <w:p w14:paraId="544EAF19">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（9）快递包装中不得使用溶剂型胶黏剂；</w:t>
            </w:r>
          </w:p>
          <w:p w14:paraId="69A045EB">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（10）快递应使用电子面单；</w:t>
            </w:r>
          </w:p>
          <w:p w14:paraId="44A74188">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（11）直接使用商品包装作为快递包装的商品，其商品包装满足《商品包装政府采购需求标准（试行）》即可；</w:t>
            </w:r>
          </w:p>
          <w:p w14:paraId="5F89CD3B">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（12）快递包装产品质量和封装方式应符合相关国家或行业标准技术指标要求。</w:t>
            </w:r>
          </w:p>
          <w:p w14:paraId="44932D92">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tc>
      </w:tr>
      <w:tr w14:paraId="5FCCFF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tcBorders>
              <w:top w:val="single" w:color="000000" w:sz="6" w:space="0"/>
              <w:left w:val="single" w:color="000000" w:sz="4" w:space="0"/>
              <w:bottom w:val="single" w:color="000000" w:sz="6" w:space="0"/>
              <w:right w:val="single" w:color="000000" w:sz="6" w:space="0"/>
            </w:tcBorders>
            <w:vAlign w:val="center"/>
          </w:tcPr>
          <w:p w14:paraId="2FEA9F06">
            <w:pPr>
              <w:widowControl/>
              <w:jc w:val="left"/>
              <w:rPr>
                <w:rFonts w:hint="eastAsia" w:ascii="宋体" w:hAnsi="宋体" w:cs="宋体"/>
                <w:color w:val="000000"/>
                <w:szCs w:val="21"/>
                <w:highlight w:val="none"/>
              </w:rPr>
            </w:pPr>
          </w:p>
        </w:tc>
        <w:tc>
          <w:tcPr>
            <w:tcW w:w="1742" w:type="dxa"/>
            <w:tcBorders>
              <w:top w:val="single" w:color="000000" w:sz="6" w:space="0"/>
              <w:left w:val="single" w:color="000000" w:sz="6" w:space="0"/>
              <w:bottom w:val="single" w:color="000000" w:sz="6" w:space="0"/>
              <w:right w:val="single" w:color="000000" w:sz="6" w:space="0"/>
            </w:tcBorders>
            <w:vAlign w:val="center"/>
          </w:tcPr>
          <w:p w14:paraId="56E387E3">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指定现场</w:t>
            </w:r>
          </w:p>
        </w:tc>
        <w:tc>
          <w:tcPr>
            <w:tcW w:w="5638" w:type="dxa"/>
            <w:tcBorders>
              <w:top w:val="single" w:color="000000" w:sz="6" w:space="0"/>
              <w:left w:val="single" w:color="000000" w:sz="6" w:space="0"/>
              <w:bottom w:val="single" w:color="000000" w:sz="6" w:space="0"/>
              <w:right w:val="single" w:color="000000" w:sz="4" w:space="0"/>
            </w:tcBorders>
            <w:vAlign w:val="center"/>
          </w:tcPr>
          <w:p w14:paraId="71E10014">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按照甲方要求</w:t>
            </w:r>
          </w:p>
        </w:tc>
      </w:tr>
      <w:tr w14:paraId="1BC50E8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567A1007">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23C5B782">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第7.2款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731DBD55">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运输特殊要求</w:t>
            </w:r>
          </w:p>
        </w:tc>
        <w:tc>
          <w:tcPr>
            <w:tcW w:w="5638" w:type="dxa"/>
            <w:tcBorders>
              <w:top w:val="single" w:color="000000" w:sz="6" w:space="0"/>
              <w:left w:val="single" w:color="000000" w:sz="6" w:space="0"/>
              <w:bottom w:val="single" w:color="000000" w:sz="6" w:space="0"/>
              <w:right w:val="single" w:color="000000" w:sz="4" w:space="0"/>
            </w:tcBorders>
            <w:vAlign w:val="center"/>
          </w:tcPr>
          <w:p w14:paraId="56F54E2E">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运费已包含在合同价内。</w:t>
            </w:r>
          </w:p>
        </w:tc>
      </w:tr>
      <w:tr w14:paraId="610F08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71CC413D">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43EFB154">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第7.3款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5D72BA35">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保险要求</w:t>
            </w:r>
          </w:p>
        </w:tc>
        <w:tc>
          <w:tcPr>
            <w:tcW w:w="5638" w:type="dxa"/>
            <w:tcBorders>
              <w:top w:val="single" w:color="000000" w:sz="6" w:space="0"/>
              <w:left w:val="single" w:color="000000" w:sz="6" w:space="0"/>
              <w:bottom w:val="single" w:color="000000" w:sz="6" w:space="0"/>
              <w:right w:val="single" w:color="000000" w:sz="4" w:space="0"/>
            </w:tcBorders>
            <w:vAlign w:val="center"/>
          </w:tcPr>
          <w:p w14:paraId="155E632A">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乙方应为派往甲方服务的人员投保人身险，保险费用均由乙方负责。如发生安全事故，均由乙方负责承担，甲方不承担连带责任。</w:t>
            </w:r>
          </w:p>
        </w:tc>
      </w:tr>
      <w:tr w14:paraId="5CB66C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18D5DDDD">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5FAD2D7E">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第8.2（1）项</w:t>
            </w:r>
          </w:p>
        </w:tc>
        <w:tc>
          <w:tcPr>
            <w:tcW w:w="1742" w:type="dxa"/>
            <w:tcBorders>
              <w:top w:val="single" w:color="000000" w:sz="6" w:space="0"/>
              <w:left w:val="single" w:color="000000" w:sz="6" w:space="0"/>
              <w:bottom w:val="single" w:color="000000" w:sz="6" w:space="0"/>
              <w:right w:val="single" w:color="000000" w:sz="6" w:space="0"/>
            </w:tcBorders>
            <w:vAlign w:val="center"/>
          </w:tcPr>
          <w:p w14:paraId="11B71C2F">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质量保证期</w:t>
            </w:r>
          </w:p>
        </w:tc>
        <w:tc>
          <w:tcPr>
            <w:tcW w:w="5638" w:type="dxa"/>
            <w:tcBorders>
              <w:top w:val="single" w:color="000000" w:sz="6" w:space="0"/>
              <w:left w:val="single" w:color="000000" w:sz="6" w:space="0"/>
              <w:bottom w:val="single" w:color="000000" w:sz="6" w:space="0"/>
              <w:right w:val="single" w:color="000000" w:sz="4" w:space="0"/>
            </w:tcBorders>
            <w:vAlign w:val="center"/>
          </w:tcPr>
          <w:p w14:paraId="38C0EFA5">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质量保证期不低于采购文件规定的最低期限（测序仪不少于2年，病原微生物分析软件升级维护不少于5年），具体以乙方投标文件中承诺的较长期限为准</w:t>
            </w:r>
          </w:p>
        </w:tc>
      </w:tr>
      <w:tr w14:paraId="441546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5D5DEF25">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77AC4624">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第8.2（3）项</w:t>
            </w:r>
          </w:p>
        </w:tc>
        <w:tc>
          <w:tcPr>
            <w:tcW w:w="1742" w:type="dxa"/>
            <w:tcBorders>
              <w:top w:val="single" w:color="000000" w:sz="6" w:space="0"/>
              <w:left w:val="single" w:color="000000" w:sz="6" w:space="0"/>
              <w:bottom w:val="single" w:color="000000" w:sz="6" w:space="0"/>
              <w:right w:val="single" w:color="000000" w:sz="6" w:space="0"/>
            </w:tcBorders>
            <w:vAlign w:val="center"/>
          </w:tcPr>
          <w:p w14:paraId="270BBBE8">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货物质量缺陷</w:t>
            </w:r>
          </w:p>
          <w:p w14:paraId="08346B42">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响应时间</w:t>
            </w:r>
          </w:p>
        </w:tc>
        <w:tc>
          <w:tcPr>
            <w:tcW w:w="5638" w:type="dxa"/>
            <w:tcBorders>
              <w:top w:val="single" w:color="000000" w:sz="6" w:space="0"/>
              <w:left w:val="single" w:color="000000" w:sz="6" w:space="0"/>
              <w:bottom w:val="single" w:color="000000" w:sz="6" w:space="0"/>
              <w:right w:val="single" w:color="000000" w:sz="4" w:space="0"/>
            </w:tcBorders>
            <w:vAlign w:val="center"/>
          </w:tcPr>
          <w:p w14:paraId="5E036A63">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乙方在接到电话通知后属于货物质量问题的，应在24小时内给予解决。</w:t>
            </w:r>
          </w:p>
        </w:tc>
      </w:tr>
      <w:tr w14:paraId="2AE56A9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7F43998D">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5F66BB38">
            <w:pPr>
              <w:spacing w:line="360" w:lineRule="auto"/>
              <w:jc w:val="center"/>
              <w:rPr>
                <w:rFonts w:hint="eastAsia" w:ascii="宋体" w:hAnsi="宋体" w:cs="宋体"/>
                <w:color w:val="000000"/>
                <w:sz w:val="22"/>
                <w:szCs w:val="21"/>
                <w:highlight w:val="none"/>
              </w:rPr>
            </w:pPr>
            <w:r>
              <w:rPr>
                <w:rFonts w:hint="eastAsia" w:ascii="宋体" w:hAnsi="宋体" w:cs="宋体"/>
                <w:color w:val="000000"/>
                <w:sz w:val="22"/>
                <w:szCs w:val="21"/>
                <w:highlight w:val="none"/>
              </w:rPr>
              <w:t>第11.1款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03293D12">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其他应当保密的信息</w:t>
            </w:r>
          </w:p>
        </w:tc>
        <w:tc>
          <w:tcPr>
            <w:tcW w:w="5638" w:type="dxa"/>
            <w:tcBorders>
              <w:top w:val="single" w:color="000000" w:sz="6" w:space="0"/>
              <w:left w:val="single" w:color="000000" w:sz="6" w:space="0"/>
              <w:bottom w:val="single" w:color="000000" w:sz="6" w:space="0"/>
              <w:right w:val="single" w:color="000000" w:sz="4" w:space="0"/>
            </w:tcBorders>
            <w:vAlign w:val="center"/>
          </w:tcPr>
          <w:p w14:paraId="60189A54">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w:t>
            </w:r>
          </w:p>
        </w:tc>
      </w:tr>
      <w:tr w14:paraId="0BA2BD1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3E375782">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6C24ED97">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第12.2款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5FBBB21D">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合同价款支付时间</w:t>
            </w:r>
          </w:p>
        </w:tc>
        <w:tc>
          <w:tcPr>
            <w:tcW w:w="5638" w:type="dxa"/>
            <w:tcBorders>
              <w:top w:val="single" w:color="000000" w:sz="6" w:space="0"/>
              <w:left w:val="single" w:color="000000" w:sz="6" w:space="0"/>
              <w:bottom w:val="single" w:color="000000" w:sz="6" w:space="0"/>
              <w:right w:val="single" w:color="000000" w:sz="4" w:space="0"/>
            </w:tcBorders>
            <w:vAlign w:val="center"/>
          </w:tcPr>
          <w:p w14:paraId="3EACF0E8">
            <w:pPr>
              <w:spacing w:line="360" w:lineRule="auto"/>
              <w:jc w:val="left"/>
              <w:rPr>
                <w:rFonts w:hint="eastAsia" w:ascii="宋体" w:hAnsi="宋体" w:cs="宋体"/>
                <w:color w:val="000000"/>
                <w:szCs w:val="21"/>
                <w:highlight w:val="none"/>
              </w:rPr>
            </w:pPr>
            <w:r>
              <w:rPr>
                <w:rFonts w:hint="eastAsia" w:ascii="宋体" w:hAnsi="宋体" w:cs="宋体"/>
                <w:bCs/>
                <w:sz w:val="24"/>
                <w:szCs w:val="24"/>
                <w:highlight w:val="none"/>
              </w:rPr>
              <w:t>乙方完成供货、调试并经甲方验收通过后支付合同金额的95%，余款5%在验收合格后一年支付。</w:t>
            </w:r>
          </w:p>
        </w:tc>
      </w:tr>
      <w:tr w14:paraId="437F96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7D3DCA4A">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46866108">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第13.2款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2C455C54">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履约保证金不予退还的情形</w:t>
            </w:r>
          </w:p>
        </w:tc>
        <w:tc>
          <w:tcPr>
            <w:tcW w:w="5638" w:type="dxa"/>
            <w:tcBorders>
              <w:top w:val="single" w:color="000000" w:sz="6" w:space="0"/>
              <w:left w:val="single" w:color="000000" w:sz="6" w:space="0"/>
              <w:bottom w:val="single" w:color="000000" w:sz="6" w:space="0"/>
              <w:right w:val="single" w:color="000000" w:sz="4" w:space="0"/>
            </w:tcBorders>
            <w:vAlign w:val="center"/>
          </w:tcPr>
          <w:p w14:paraId="7BF3D5FB">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发生以下情况的，履约保证金不予退还或部分退还：a.签订合同后，乙方不履行合同义务的，甲方有权全额扣除履约保证金，全额不予退还，同时甲方亦有权终止合同，乙方还须承担相应的法律赔偿责任。</w:t>
            </w:r>
          </w:p>
          <w:p w14:paraId="54650BB9">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b.乙方在履约过程中发生违约行为，给甲方造成损失的，甲方有权在乙方缴纳的履约保证金中予以扣款，以弥补甲方经济损失，不足的部分乙方另外补齐。</w:t>
            </w:r>
          </w:p>
        </w:tc>
      </w:tr>
      <w:tr w14:paraId="62A8EE0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10C4E004">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6BD2B984">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第13.3款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0E23E269">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履约保证金退还时间及逾期退还的违约金</w:t>
            </w:r>
          </w:p>
        </w:tc>
        <w:tc>
          <w:tcPr>
            <w:tcW w:w="5638" w:type="dxa"/>
            <w:tcBorders>
              <w:top w:val="single" w:color="000000" w:sz="6" w:space="0"/>
              <w:left w:val="single" w:color="000000" w:sz="6" w:space="0"/>
              <w:bottom w:val="single" w:color="000000" w:sz="6" w:space="0"/>
              <w:right w:val="single" w:color="000000" w:sz="4" w:space="0"/>
            </w:tcBorders>
            <w:vAlign w:val="center"/>
          </w:tcPr>
          <w:p w14:paraId="11B18787">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乙方全部履约合同义务，经甲方验收合格无质量、进度等问题的，甲方在验收合格后一次性退还履约保证金。甲方若无故逾期退还履约保证金的，按照逾期部分的每日0.05%支付违约金。</w:t>
            </w:r>
          </w:p>
        </w:tc>
      </w:tr>
      <w:tr w14:paraId="6350A47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05C168C7">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67DD5E07">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第14.1（3）项</w:t>
            </w:r>
          </w:p>
        </w:tc>
        <w:tc>
          <w:tcPr>
            <w:tcW w:w="1742" w:type="dxa"/>
            <w:tcBorders>
              <w:top w:val="single" w:color="000000" w:sz="6" w:space="0"/>
              <w:left w:val="single" w:color="000000" w:sz="6" w:space="0"/>
              <w:bottom w:val="single" w:color="000000" w:sz="6" w:space="0"/>
              <w:right w:val="single" w:color="000000" w:sz="6" w:space="0"/>
            </w:tcBorders>
            <w:vAlign w:val="center"/>
          </w:tcPr>
          <w:p w14:paraId="326D142D">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运行监督、维修期限</w:t>
            </w:r>
          </w:p>
        </w:tc>
        <w:tc>
          <w:tcPr>
            <w:tcW w:w="5638" w:type="dxa"/>
            <w:tcBorders>
              <w:top w:val="single" w:color="000000" w:sz="6" w:space="0"/>
              <w:left w:val="single" w:color="000000" w:sz="6" w:space="0"/>
              <w:bottom w:val="single" w:color="000000" w:sz="6" w:space="0"/>
              <w:right w:val="single" w:color="000000" w:sz="4" w:space="0"/>
            </w:tcBorders>
            <w:vAlign w:val="center"/>
          </w:tcPr>
          <w:p w14:paraId="1DABCFD3">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w:t>
            </w:r>
          </w:p>
        </w:tc>
      </w:tr>
      <w:tr w14:paraId="0512AF7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27C19E9B">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49EE5715">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第14.1（5）项</w:t>
            </w:r>
          </w:p>
        </w:tc>
        <w:tc>
          <w:tcPr>
            <w:tcW w:w="1742" w:type="dxa"/>
            <w:tcBorders>
              <w:top w:val="single" w:color="000000" w:sz="6" w:space="0"/>
              <w:left w:val="single" w:color="000000" w:sz="6" w:space="0"/>
              <w:bottom w:val="single" w:color="000000" w:sz="6" w:space="0"/>
              <w:right w:val="single" w:color="000000" w:sz="6" w:space="0"/>
            </w:tcBorders>
            <w:vAlign w:val="center"/>
          </w:tcPr>
          <w:p w14:paraId="578F9200">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货物回收的约定</w:t>
            </w:r>
          </w:p>
        </w:tc>
        <w:tc>
          <w:tcPr>
            <w:tcW w:w="5638" w:type="dxa"/>
            <w:tcBorders>
              <w:top w:val="single" w:color="000000" w:sz="6" w:space="0"/>
              <w:left w:val="single" w:color="000000" w:sz="6" w:space="0"/>
              <w:bottom w:val="single" w:color="000000" w:sz="6" w:space="0"/>
              <w:right w:val="single" w:color="000000" w:sz="4" w:space="0"/>
            </w:tcBorders>
            <w:vAlign w:val="center"/>
          </w:tcPr>
          <w:p w14:paraId="39E0EDE1">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w:t>
            </w:r>
          </w:p>
        </w:tc>
      </w:tr>
      <w:tr w14:paraId="2B778CF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38E19908">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41B8A1F8">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第14.1（6）项</w:t>
            </w:r>
          </w:p>
        </w:tc>
        <w:tc>
          <w:tcPr>
            <w:tcW w:w="1742" w:type="dxa"/>
            <w:tcBorders>
              <w:top w:val="single" w:color="000000" w:sz="6" w:space="0"/>
              <w:left w:val="single" w:color="000000" w:sz="6" w:space="0"/>
              <w:bottom w:val="single" w:color="000000" w:sz="6" w:space="0"/>
              <w:right w:val="single" w:color="000000" w:sz="6" w:space="0"/>
            </w:tcBorders>
            <w:vAlign w:val="center"/>
          </w:tcPr>
          <w:p w14:paraId="632A8DAB">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乙方提供的其他服务</w:t>
            </w:r>
          </w:p>
        </w:tc>
        <w:tc>
          <w:tcPr>
            <w:tcW w:w="5638" w:type="dxa"/>
            <w:tcBorders>
              <w:top w:val="single" w:color="000000" w:sz="6" w:space="0"/>
              <w:left w:val="single" w:color="000000" w:sz="6" w:space="0"/>
              <w:bottom w:val="single" w:color="000000" w:sz="6" w:space="0"/>
              <w:right w:val="single" w:color="000000" w:sz="4" w:space="0"/>
            </w:tcBorders>
            <w:vAlign w:val="center"/>
          </w:tcPr>
          <w:p w14:paraId="7289CC82">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w:t>
            </w:r>
          </w:p>
        </w:tc>
      </w:tr>
      <w:tr w14:paraId="37C02E4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2466BAD1">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14199F6C">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第15.1款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3605AE41">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修理、重做、更换相关具体规定</w:t>
            </w:r>
          </w:p>
        </w:tc>
        <w:tc>
          <w:tcPr>
            <w:tcW w:w="5638" w:type="dxa"/>
            <w:tcBorders>
              <w:top w:val="single" w:color="000000" w:sz="6" w:space="0"/>
              <w:left w:val="single" w:color="000000" w:sz="6" w:space="0"/>
              <w:bottom w:val="single" w:color="000000" w:sz="6" w:space="0"/>
              <w:right w:val="single" w:color="000000" w:sz="4" w:space="0"/>
            </w:tcBorders>
            <w:vAlign w:val="center"/>
          </w:tcPr>
          <w:p w14:paraId="12FABA0D">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乙方提供的设备不符合合同约定的质量标准或存在质量缺陷的，甲方有权要求乙方在收到通知后5日内免费维修、更换或退货，并承担由此给甲方造成的损失。</w:t>
            </w:r>
          </w:p>
        </w:tc>
      </w:tr>
      <w:tr w14:paraId="7484F09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62BD5F45">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15FCBA5A">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第15.2（2）项</w:t>
            </w:r>
          </w:p>
        </w:tc>
        <w:tc>
          <w:tcPr>
            <w:tcW w:w="1742" w:type="dxa"/>
            <w:tcBorders>
              <w:top w:val="single" w:color="000000" w:sz="6" w:space="0"/>
              <w:left w:val="single" w:color="000000" w:sz="6" w:space="0"/>
              <w:bottom w:val="single" w:color="000000" w:sz="6" w:space="0"/>
              <w:right w:val="single" w:color="000000" w:sz="6" w:space="0"/>
            </w:tcBorders>
            <w:vAlign w:val="center"/>
          </w:tcPr>
          <w:p w14:paraId="1B85D1D5">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迟延交货赔偿费</w:t>
            </w:r>
          </w:p>
        </w:tc>
        <w:tc>
          <w:tcPr>
            <w:tcW w:w="5638" w:type="dxa"/>
            <w:tcBorders>
              <w:top w:val="single" w:color="000000" w:sz="6" w:space="0"/>
              <w:left w:val="single" w:color="000000" w:sz="6" w:space="0"/>
              <w:bottom w:val="single" w:color="000000" w:sz="6" w:space="0"/>
              <w:right w:val="single" w:color="000000" w:sz="4" w:space="0"/>
            </w:tcBorders>
            <w:vAlign w:val="center"/>
          </w:tcPr>
          <w:p w14:paraId="77CFA8A0">
            <w:pPr>
              <w:spacing w:line="360" w:lineRule="auto"/>
              <w:jc w:val="left"/>
              <w:rPr>
                <w:rFonts w:hint="eastAsia" w:ascii="宋体" w:hAnsi="宋体" w:cs="宋体"/>
                <w:color w:val="000000"/>
                <w:szCs w:val="21"/>
                <w:highlight w:val="none"/>
                <w:u w:val="single"/>
              </w:rPr>
            </w:pPr>
            <w:r>
              <w:rPr>
                <w:rFonts w:hint="eastAsia" w:ascii="宋体" w:hAnsi="宋体" w:eastAsia="宋体" w:cs="宋体"/>
                <w:color w:val="000000"/>
                <w:sz w:val="21"/>
                <w:szCs w:val="21"/>
                <w:highlight w:val="none"/>
              </w:rPr>
              <w:t>合同签订后45日历天内到货并完成设备安装及调试</w:t>
            </w:r>
            <w:r>
              <w:rPr>
                <w:rFonts w:hint="eastAsia" w:ascii="宋体" w:hAnsi="宋体" w:cs="宋体"/>
                <w:color w:val="000000"/>
                <w:szCs w:val="21"/>
                <w:highlight w:val="none"/>
              </w:rPr>
              <w:t>。乙方逾期交货的，逾期期间每天承担合同总金额3‰的违约金，同时承担甲方因此遭致的损失费用。</w:t>
            </w:r>
          </w:p>
        </w:tc>
      </w:tr>
      <w:tr w14:paraId="5D2EDAE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2B0DE0FD">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4E7D1C8E">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第15.3款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30BD5AD7">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逾期付款利息</w:t>
            </w:r>
          </w:p>
        </w:tc>
        <w:tc>
          <w:tcPr>
            <w:tcW w:w="5638" w:type="dxa"/>
            <w:tcBorders>
              <w:top w:val="single" w:color="000000" w:sz="6" w:space="0"/>
              <w:left w:val="single" w:color="000000" w:sz="6" w:space="0"/>
              <w:bottom w:val="single" w:color="000000" w:sz="6" w:space="0"/>
              <w:right w:val="single" w:color="000000" w:sz="4" w:space="0"/>
            </w:tcBorders>
            <w:vAlign w:val="center"/>
          </w:tcPr>
          <w:p w14:paraId="6B52A91E">
            <w:pPr>
              <w:spacing w:line="360" w:lineRule="auto"/>
              <w:jc w:val="left"/>
              <w:rPr>
                <w:rFonts w:hint="eastAsia" w:ascii="宋体" w:hAnsi="宋体" w:cs="宋体"/>
                <w:color w:val="000000"/>
                <w:szCs w:val="21"/>
                <w:highlight w:val="none"/>
                <w:u w:val="single"/>
              </w:rPr>
            </w:pPr>
            <w:r>
              <w:rPr>
                <w:rFonts w:hint="eastAsia" w:ascii="宋体" w:hAnsi="宋体" w:cs="宋体"/>
                <w:color w:val="000000"/>
                <w:szCs w:val="21"/>
                <w:highlight w:val="none"/>
                <w:u w:val="single"/>
              </w:rPr>
              <w:t>/</w:t>
            </w:r>
          </w:p>
        </w:tc>
      </w:tr>
      <w:tr w14:paraId="6BD213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698FFB06">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539DF6BC">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第15.4款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6E0F772A">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其他违约责任</w:t>
            </w:r>
          </w:p>
        </w:tc>
        <w:tc>
          <w:tcPr>
            <w:tcW w:w="5638" w:type="dxa"/>
            <w:tcBorders>
              <w:top w:val="single" w:color="000000" w:sz="6" w:space="0"/>
              <w:left w:val="single" w:color="000000" w:sz="6" w:space="0"/>
              <w:bottom w:val="single" w:color="000000" w:sz="6" w:space="0"/>
              <w:right w:val="single" w:color="000000" w:sz="4" w:space="0"/>
            </w:tcBorders>
            <w:vAlign w:val="center"/>
          </w:tcPr>
          <w:p w14:paraId="625B8389">
            <w:pPr>
              <w:spacing w:line="360" w:lineRule="auto"/>
              <w:jc w:val="left"/>
              <w:rPr>
                <w:rFonts w:hint="eastAsia" w:ascii="宋体" w:hAnsi="宋体" w:cs="宋体"/>
                <w:color w:val="000000"/>
                <w:szCs w:val="21"/>
                <w:highlight w:val="none"/>
                <w:u w:val="single"/>
              </w:rPr>
            </w:pPr>
            <w:r>
              <w:rPr>
                <w:rFonts w:hint="eastAsia" w:ascii="宋体" w:hAnsi="宋体" w:cs="宋体"/>
                <w:color w:val="000000"/>
                <w:szCs w:val="21"/>
                <w:highlight w:val="none"/>
                <w:u w:val="single"/>
              </w:rPr>
              <w:t>/</w:t>
            </w:r>
          </w:p>
        </w:tc>
      </w:tr>
      <w:tr w14:paraId="6D5A3FB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tcBorders>
              <w:top w:val="single" w:color="000000" w:sz="6" w:space="0"/>
              <w:left w:val="single" w:color="000000" w:sz="4" w:space="0"/>
              <w:bottom w:val="single" w:color="000000" w:sz="6" w:space="0"/>
              <w:right w:val="single" w:color="000000" w:sz="6" w:space="0"/>
            </w:tcBorders>
            <w:vAlign w:val="center"/>
          </w:tcPr>
          <w:p w14:paraId="75461BC9">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1DA4D426">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第19.2款</w:t>
            </w:r>
          </w:p>
        </w:tc>
        <w:tc>
          <w:tcPr>
            <w:tcW w:w="1742" w:type="dxa"/>
            <w:tcBorders>
              <w:top w:val="single" w:color="000000" w:sz="6" w:space="0"/>
              <w:left w:val="single" w:color="000000" w:sz="6" w:space="0"/>
              <w:bottom w:val="single" w:color="000000" w:sz="6" w:space="0"/>
              <w:right w:val="single" w:color="000000" w:sz="6" w:space="0"/>
            </w:tcBorders>
            <w:vAlign w:val="center"/>
          </w:tcPr>
          <w:p w14:paraId="576B7F75">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解决争议的方法</w:t>
            </w:r>
          </w:p>
        </w:tc>
        <w:tc>
          <w:tcPr>
            <w:tcW w:w="5638" w:type="dxa"/>
            <w:tcBorders>
              <w:top w:val="single" w:color="000000" w:sz="6" w:space="0"/>
              <w:left w:val="single" w:color="000000" w:sz="6" w:space="0"/>
              <w:bottom w:val="single" w:color="000000" w:sz="6" w:space="0"/>
              <w:right w:val="single" w:color="000000" w:sz="4" w:space="0"/>
            </w:tcBorders>
            <w:vAlign w:val="center"/>
          </w:tcPr>
          <w:p w14:paraId="52059A8C">
            <w:pPr>
              <w:spacing w:line="360" w:lineRule="auto"/>
              <w:jc w:val="left"/>
              <w:rPr>
                <w:rFonts w:hint="eastAsia" w:ascii="宋体" w:hAnsi="宋体" w:cs="宋体"/>
                <w:iCs/>
                <w:color w:val="000000"/>
                <w:szCs w:val="21"/>
                <w:highlight w:val="none"/>
              </w:rPr>
            </w:pPr>
            <w:r>
              <w:rPr>
                <w:rFonts w:hint="eastAsia" w:ascii="宋体" w:hAnsi="宋体" w:cs="宋体"/>
                <w:iCs/>
                <w:color w:val="000000"/>
                <w:szCs w:val="21"/>
                <w:highlight w:val="none"/>
              </w:rPr>
              <w:t>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种方式解决：</w:t>
            </w:r>
          </w:p>
          <w:p w14:paraId="3C06CE0B">
            <w:pPr>
              <w:spacing w:line="360" w:lineRule="auto"/>
              <w:jc w:val="left"/>
              <w:rPr>
                <w:rFonts w:hint="eastAsia" w:ascii="宋体" w:hAnsi="宋体" w:cs="宋体"/>
                <w:iCs/>
                <w:color w:val="000000"/>
                <w:szCs w:val="21"/>
                <w:highlight w:val="none"/>
              </w:rPr>
            </w:pPr>
            <w:r>
              <w:rPr>
                <w:rFonts w:hint="eastAsia" w:ascii="宋体" w:hAnsi="宋体" w:cs="宋体"/>
                <w:iCs/>
                <w:color w:val="000000"/>
                <w:szCs w:val="21"/>
                <w:highlight w:val="none"/>
              </w:rPr>
              <w:t>（1）向</w:t>
            </w:r>
            <w:r>
              <w:rPr>
                <w:rFonts w:hint="eastAsia" w:ascii="宋体" w:hAnsi="宋体" w:cs="宋体"/>
                <w:iCs/>
                <w:color w:val="000000"/>
                <w:szCs w:val="21"/>
                <w:highlight w:val="none"/>
                <w:u w:val="single"/>
              </w:rPr>
              <w:t>南通</w:t>
            </w:r>
            <w:r>
              <w:rPr>
                <w:rFonts w:hint="eastAsia" w:ascii="宋体" w:hAnsi="宋体" w:cs="宋体"/>
                <w:iCs/>
                <w:color w:val="000000"/>
                <w:szCs w:val="21"/>
                <w:highlight w:val="none"/>
              </w:rPr>
              <w:t>仲裁委员会申请仲裁，仲裁地点为</w:t>
            </w:r>
            <w:r>
              <w:rPr>
                <w:rFonts w:hint="eastAsia" w:ascii="宋体" w:hAnsi="宋体" w:cs="宋体"/>
                <w:iCs/>
                <w:color w:val="000000"/>
                <w:szCs w:val="21"/>
                <w:highlight w:val="none"/>
                <w:u w:val="single"/>
              </w:rPr>
              <w:t xml:space="preserve">   南通市  </w:t>
            </w:r>
            <w:r>
              <w:rPr>
                <w:rFonts w:hint="eastAsia" w:ascii="宋体" w:hAnsi="宋体" w:cs="宋体"/>
                <w:iCs/>
                <w:color w:val="000000"/>
                <w:szCs w:val="21"/>
                <w:highlight w:val="none"/>
              </w:rPr>
              <w:t>；</w:t>
            </w:r>
          </w:p>
          <w:p w14:paraId="6C1B4606">
            <w:pPr>
              <w:spacing w:line="360" w:lineRule="auto"/>
              <w:jc w:val="left"/>
              <w:rPr>
                <w:rFonts w:hint="eastAsia" w:ascii="宋体" w:hAnsi="宋体" w:cs="宋体"/>
                <w:color w:val="000000"/>
                <w:szCs w:val="21"/>
                <w:highlight w:val="none"/>
                <w:u w:val="single"/>
              </w:rPr>
            </w:pPr>
            <w:r>
              <w:rPr>
                <w:rFonts w:hint="eastAsia" w:ascii="宋体" w:hAnsi="宋体" w:cs="宋体"/>
                <w:iCs/>
                <w:color w:val="000000"/>
                <w:szCs w:val="21"/>
                <w:highlight w:val="none"/>
              </w:rPr>
              <w:t>（2）向</w:t>
            </w:r>
            <w:r>
              <w:rPr>
                <w:rFonts w:hint="eastAsia" w:ascii="宋体" w:hAnsi="宋体" w:cs="宋体"/>
                <w:iCs/>
                <w:color w:val="000000"/>
                <w:szCs w:val="21"/>
                <w:highlight w:val="none"/>
                <w:u w:val="single"/>
              </w:rPr>
              <w:t>南通市</w:t>
            </w:r>
            <w:r>
              <w:rPr>
                <w:rFonts w:hint="eastAsia" w:ascii="宋体" w:hAnsi="宋体" w:cs="宋体"/>
                <w:iCs/>
                <w:color w:val="000000"/>
                <w:szCs w:val="21"/>
                <w:highlight w:val="none"/>
              </w:rPr>
              <w:t>人民法院起诉。</w:t>
            </w:r>
          </w:p>
        </w:tc>
      </w:tr>
      <w:tr w14:paraId="283D112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tcBorders>
              <w:top w:val="single" w:color="000000" w:sz="6" w:space="0"/>
              <w:left w:val="single" w:color="000000" w:sz="4" w:space="0"/>
              <w:bottom w:val="single" w:color="000000" w:sz="4" w:space="0"/>
              <w:right w:val="single" w:color="000000" w:sz="6" w:space="0"/>
            </w:tcBorders>
            <w:vAlign w:val="center"/>
          </w:tcPr>
          <w:p w14:paraId="3A4AA90B">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第二节</w:t>
            </w:r>
          </w:p>
          <w:p w14:paraId="5D43DDF1">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第23.1款</w:t>
            </w:r>
          </w:p>
        </w:tc>
        <w:tc>
          <w:tcPr>
            <w:tcW w:w="1742" w:type="dxa"/>
            <w:tcBorders>
              <w:top w:val="single" w:color="000000" w:sz="6" w:space="0"/>
              <w:left w:val="single" w:color="000000" w:sz="6" w:space="0"/>
              <w:bottom w:val="single" w:color="000000" w:sz="4" w:space="0"/>
              <w:right w:val="single" w:color="000000" w:sz="6" w:space="0"/>
            </w:tcBorders>
            <w:vAlign w:val="center"/>
          </w:tcPr>
          <w:p w14:paraId="0FA64351">
            <w:pPr>
              <w:spacing w:line="360" w:lineRule="auto"/>
              <w:jc w:val="left"/>
              <w:rPr>
                <w:rFonts w:hint="eastAsia" w:ascii="宋体" w:hAnsi="宋体" w:cs="宋体"/>
                <w:color w:val="000000"/>
                <w:szCs w:val="21"/>
                <w:highlight w:val="none"/>
              </w:rPr>
            </w:pPr>
            <w:r>
              <w:rPr>
                <w:rFonts w:hint="eastAsia" w:ascii="宋体" w:hAnsi="宋体" w:cs="宋体"/>
                <w:bCs/>
                <w:color w:val="000000"/>
                <w:szCs w:val="21"/>
                <w:highlight w:val="none"/>
              </w:rPr>
              <w:t>其他专用条款</w:t>
            </w:r>
          </w:p>
        </w:tc>
        <w:tc>
          <w:tcPr>
            <w:tcW w:w="5638" w:type="dxa"/>
            <w:tcBorders>
              <w:top w:val="single" w:color="000000" w:sz="6" w:space="0"/>
              <w:left w:val="single" w:color="000000" w:sz="6" w:space="0"/>
              <w:bottom w:val="single" w:color="000000" w:sz="4" w:space="0"/>
              <w:right w:val="single" w:color="000000" w:sz="4" w:space="0"/>
            </w:tcBorders>
            <w:vAlign w:val="center"/>
          </w:tcPr>
          <w:p w14:paraId="787128F4">
            <w:pPr>
              <w:spacing w:line="360" w:lineRule="auto"/>
              <w:jc w:val="left"/>
              <w:rPr>
                <w:highlight w:val="none"/>
              </w:rPr>
            </w:pPr>
            <w:r>
              <w:rPr>
                <w:rFonts w:hint="eastAsia"/>
                <w:highlight w:val="none"/>
              </w:rPr>
              <w:t>/</w:t>
            </w:r>
          </w:p>
        </w:tc>
      </w:tr>
    </w:tbl>
    <w:p w14:paraId="49C6D576">
      <w:pPr>
        <w:widowControl/>
        <w:spacing w:line="360" w:lineRule="auto"/>
        <w:ind w:firstLine="482"/>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发包人保留对合同修改和完善的权利。</w:t>
      </w:r>
    </w:p>
    <w:p w14:paraId="6BF7EBBA">
      <w:pPr>
        <w:pStyle w:val="37"/>
        <w:widowControl w:val="0"/>
        <w:spacing w:before="0" w:beforeAutospacing="0" w:after="0" w:afterAutospacing="0"/>
        <w:jc w:val="center"/>
        <w:rPr>
          <w:rFonts w:hint="eastAsia"/>
          <w:highlight w:val="none"/>
        </w:rPr>
      </w:pPr>
    </w:p>
    <w:p w14:paraId="211B32F0">
      <w:pPr>
        <w:pStyle w:val="37"/>
        <w:widowControl w:val="0"/>
        <w:spacing w:before="0" w:beforeAutospacing="0" w:after="0" w:afterAutospacing="0"/>
        <w:jc w:val="center"/>
        <w:rPr>
          <w:rFonts w:hint="eastAsia"/>
          <w:highlight w:val="none"/>
        </w:rPr>
      </w:pPr>
      <w:r>
        <w:rPr>
          <w:highlight w:val="none"/>
        </w:rPr>
        <w:t> </w:t>
      </w:r>
    </w:p>
    <w:p w14:paraId="2B7DD81D">
      <w:pPr>
        <w:pStyle w:val="37"/>
        <w:widowControl w:val="0"/>
        <w:spacing w:before="0" w:beforeAutospacing="0" w:after="0" w:afterAutospacing="0"/>
        <w:jc w:val="center"/>
        <w:rPr>
          <w:rFonts w:hint="eastAsia"/>
          <w:highlight w:val="none"/>
        </w:rPr>
      </w:pPr>
      <w:r>
        <w:rPr>
          <w:highlight w:val="none"/>
        </w:rPr>
        <w:t> </w:t>
      </w:r>
    </w:p>
    <w:tbl>
      <w:tblPr>
        <w:tblStyle w:val="42"/>
        <w:tblpPr w:leftFromText="180" w:rightFromText="180" w:vertAnchor="text" w:tblpX="15619" w:tblpY="-8349"/>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tblGrid>
      <w:tr w14:paraId="39F37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532" w:type="dxa"/>
          </w:tcPr>
          <w:p w14:paraId="40F2B416">
            <w:pPr>
              <w:rPr>
                <w:rFonts w:hint="eastAsia" w:ascii="宋体" w:hAnsi="宋体" w:cs="宋体"/>
                <w:sz w:val="24"/>
                <w:szCs w:val="24"/>
                <w:highlight w:val="none"/>
              </w:rPr>
            </w:pPr>
            <w:r>
              <w:rPr>
                <w:rFonts w:hint="eastAsia" w:ascii="方正仿宋_GBK" w:hAnsi="方正仿宋_GBK" w:eastAsia="方正仿宋_GBK" w:cs="方正仿宋_GBK"/>
                <w:sz w:val="24"/>
                <w:szCs w:val="24"/>
                <w:highlight w:val="none"/>
              </w:rPr>
              <w:br w:type="page"/>
            </w:r>
            <w:bookmarkEnd w:id="172"/>
          </w:p>
        </w:tc>
      </w:tr>
    </w:tbl>
    <w:tbl>
      <w:tblPr>
        <w:tblStyle w:val="42"/>
        <w:tblpPr w:leftFromText="180" w:rightFromText="180" w:vertAnchor="text" w:tblpX="15619" w:tblpY="-55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2"/>
      </w:tblGrid>
      <w:tr w14:paraId="59683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112" w:type="dxa"/>
          </w:tcPr>
          <w:p w14:paraId="4BB427D0">
            <w:pPr>
              <w:spacing w:after="0" w:line="360" w:lineRule="auto"/>
              <w:rPr>
                <w:rFonts w:hint="eastAsia" w:ascii="宋体" w:hAnsi="宋体" w:cs="宋体"/>
                <w:sz w:val="24"/>
                <w:szCs w:val="24"/>
                <w:highlight w:val="none"/>
              </w:rPr>
            </w:pPr>
          </w:p>
        </w:tc>
      </w:tr>
    </w:tbl>
    <w:p w14:paraId="0F20D98E">
      <w:pPr>
        <w:pStyle w:val="37"/>
        <w:keepNext/>
        <w:pageBreakBefore/>
        <w:widowControl w:val="0"/>
        <w:spacing w:before="0" w:beforeAutospacing="0" w:after="0" w:afterAutospacing="0" w:line="360" w:lineRule="auto"/>
        <w:ind w:firstLine="2642"/>
        <w:outlineLvl w:val="0"/>
        <w:rPr>
          <w:rFonts w:hint="eastAsia"/>
          <w:b/>
          <w:bCs/>
          <w:sz w:val="44"/>
          <w:szCs w:val="44"/>
          <w:highlight w:val="none"/>
        </w:rPr>
      </w:pPr>
      <w:r>
        <w:rPr>
          <w:rFonts w:hint="eastAsia"/>
          <w:b/>
          <w:bCs/>
          <w:sz w:val="44"/>
          <w:szCs w:val="44"/>
          <w:highlight w:val="none"/>
        </w:rPr>
        <w:t>第四章 采购需求</w:t>
      </w:r>
    </w:p>
    <w:p w14:paraId="7A46E0D8">
      <w:pPr>
        <w:spacing w:after="0" w:line="360" w:lineRule="auto"/>
        <w:ind w:firstLine="482" w:firstLineChars="200"/>
        <w:rPr>
          <w:rFonts w:hint="eastAsia" w:ascii="宋体" w:hAnsi="宋体" w:cs="宋体"/>
          <w:b/>
          <w:bCs/>
          <w:sz w:val="24"/>
          <w:szCs w:val="24"/>
          <w:highlight w:val="none"/>
        </w:rPr>
      </w:pPr>
      <w:bookmarkStart w:id="179" w:name="_Toc26554093"/>
      <w:bookmarkStart w:id="180" w:name="_Toc49090575"/>
      <w:bookmarkStart w:id="181" w:name="_Toc120614281"/>
      <w:r>
        <w:rPr>
          <w:rFonts w:hint="eastAsia" w:ascii="宋体" w:hAnsi="宋体" w:cs="宋体"/>
          <w:b/>
          <w:bCs/>
          <w:sz w:val="24"/>
          <w:szCs w:val="24"/>
          <w:highlight w:val="none"/>
        </w:rPr>
        <w:t>项目属性：货物类项目</w:t>
      </w:r>
    </w:p>
    <w:p w14:paraId="28966119">
      <w:pPr>
        <w:spacing w:after="0" w:line="360" w:lineRule="auto"/>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采购需求包括拟采购的标的及其需要满足的技术、商务要求。</w:t>
      </w:r>
    </w:p>
    <w:p w14:paraId="2C17B913">
      <w:pPr>
        <w:spacing w:after="0" w:line="360" w:lineRule="auto"/>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（一）技术要求是指对采购标的功能和质量要求，包括性能、材料、结构、外观、安全，或者服务内容和标准等。</w:t>
      </w:r>
    </w:p>
    <w:p w14:paraId="2523E233">
      <w:pPr>
        <w:spacing w:after="0" w:line="360" w:lineRule="auto"/>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（二）商务要求是指取得采购标的的时间、地点、财务和服务要求，包括交付（实施）的时间（期限）和地点（范围），付款条件（进度和方法），包装和运输，售后服务，保险等。</w:t>
      </w:r>
    </w:p>
    <w:p w14:paraId="21269162">
      <w:pPr>
        <w:spacing w:after="0" w:line="360" w:lineRule="auto"/>
        <w:ind w:firstLine="482"/>
        <w:outlineLvl w:val="2"/>
        <w:rPr>
          <w:rFonts w:hint="eastAsia" w:ascii="宋体" w:hAnsi="宋体" w:cs="宋体"/>
          <w:b/>
          <w:bCs/>
          <w:sz w:val="28"/>
          <w:szCs w:val="28"/>
          <w:highlight w:val="none"/>
        </w:rPr>
      </w:pPr>
      <w:bookmarkStart w:id="182" w:name="_Toc6719"/>
      <w:bookmarkStart w:id="183" w:name="_Toc26058"/>
      <w:bookmarkStart w:id="184" w:name="_Toc16219"/>
      <w:bookmarkStart w:id="185" w:name="_Toc15528"/>
      <w:r>
        <w:rPr>
          <w:rFonts w:hint="eastAsia" w:ascii="宋体" w:hAnsi="宋体" w:cs="宋体"/>
          <w:b/>
          <w:bCs/>
          <w:sz w:val="28"/>
          <w:szCs w:val="28"/>
          <w:highlight w:val="none"/>
        </w:rPr>
        <w:t>一、货物清单及参数</w:t>
      </w:r>
    </w:p>
    <w:tbl>
      <w:tblPr>
        <w:tblStyle w:val="42"/>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3"/>
        <w:gridCol w:w="5229"/>
        <w:gridCol w:w="1618"/>
        <w:gridCol w:w="1619"/>
      </w:tblGrid>
      <w:tr w14:paraId="69DF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tcPr>
          <w:p w14:paraId="55CADED2">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序号</w:t>
            </w:r>
          </w:p>
        </w:tc>
        <w:tc>
          <w:tcPr>
            <w:tcW w:w="2692" w:type="pct"/>
          </w:tcPr>
          <w:p w14:paraId="2D19B2F2">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名称</w:t>
            </w:r>
          </w:p>
        </w:tc>
        <w:tc>
          <w:tcPr>
            <w:tcW w:w="833" w:type="pct"/>
          </w:tcPr>
          <w:p w14:paraId="02065907">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数量</w:t>
            </w:r>
          </w:p>
        </w:tc>
        <w:tc>
          <w:tcPr>
            <w:tcW w:w="833" w:type="pct"/>
          </w:tcPr>
          <w:p w14:paraId="7E59A3D1">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单位</w:t>
            </w:r>
          </w:p>
        </w:tc>
      </w:tr>
      <w:tr w14:paraId="2227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tcPr>
          <w:p w14:paraId="1C8690F3">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设备1</w:t>
            </w:r>
          </w:p>
        </w:tc>
        <w:tc>
          <w:tcPr>
            <w:tcW w:w="2692" w:type="pct"/>
          </w:tcPr>
          <w:p w14:paraId="05EE84DC">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高通量基因测序仪</w:t>
            </w:r>
            <w:r>
              <w:rPr>
                <w:rFonts w:hint="eastAsia" w:ascii="宋体" w:hAnsi="宋体" w:cs="宋体"/>
                <w:b/>
                <w:bCs w:val="0"/>
                <w:color w:val="FF0000"/>
                <w:sz w:val="24"/>
                <w:szCs w:val="24"/>
                <w:highlight w:val="none"/>
              </w:rPr>
              <w:t>（核心产品）</w:t>
            </w:r>
          </w:p>
        </w:tc>
        <w:tc>
          <w:tcPr>
            <w:tcW w:w="833" w:type="pct"/>
          </w:tcPr>
          <w:p w14:paraId="43A2511C">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w:t>
            </w:r>
          </w:p>
        </w:tc>
        <w:tc>
          <w:tcPr>
            <w:tcW w:w="833" w:type="pct"/>
          </w:tcPr>
          <w:p w14:paraId="7E7EDFDD">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台</w:t>
            </w:r>
          </w:p>
        </w:tc>
      </w:tr>
      <w:tr w14:paraId="479DD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tcPr>
          <w:p w14:paraId="40D1476A">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设备2</w:t>
            </w:r>
          </w:p>
        </w:tc>
        <w:tc>
          <w:tcPr>
            <w:tcW w:w="2692" w:type="pct"/>
          </w:tcPr>
          <w:p w14:paraId="7F7FA844">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中通量基因测序仪</w:t>
            </w:r>
          </w:p>
        </w:tc>
        <w:tc>
          <w:tcPr>
            <w:tcW w:w="833" w:type="pct"/>
          </w:tcPr>
          <w:p w14:paraId="2B777FD7">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w:t>
            </w:r>
          </w:p>
        </w:tc>
        <w:tc>
          <w:tcPr>
            <w:tcW w:w="833" w:type="pct"/>
          </w:tcPr>
          <w:p w14:paraId="1011B534">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台</w:t>
            </w:r>
          </w:p>
        </w:tc>
      </w:tr>
      <w:tr w14:paraId="58388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tcPr>
          <w:p w14:paraId="3D66FD2F">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设备3</w:t>
            </w:r>
          </w:p>
        </w:tc>
        <w:tc>
          <w:tcPr>
            <w:tcW w:w="2692" w:type="pct"/>
          </w:tcPr>
          <w:p w14:paraId="7D1F2819">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高通量自动化样本制备系统</w:t>
            </w:r>
          </w:p>
        </w:tc>
        <w:tc>
          <w:tcPr>
            <w:tcW w:w="833" w:type="pct"/>
          </w:tcPr>
          <w:p w14:paraId="537F6CB5">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w:t>
            </w:r>
          </w:p>
        </w:tc>
        <w:tc>
          <w:tcPr>
            <w:tcW w:w="833" w:type="pct"/>
          </w:tcPr>
          <w:p w14:paraId="76539A1A">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台</w:t>
            </w:r>
          </w:p>
        </w:tc>
      </w:tr>
      <w:tr w14:paraId="367AA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tcPr>
          <w:p w14:paraId="4F7176E0">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设备4</w:t>
            </w:r>
          </w:p>
        </w:tc>
        <w:tc>
          <w:tcPr>
            <w:tcW w:w="2692" w:type="pct"/>
          </w:tcPr>
          <w:p w14:paraId="79F7E698">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基因数据分析一体机</w:t>
            </w:r>
          </w:p>
        </w:tc>
        <w:tc>
          <w:tcPr>
            <w:tcW w:w="833" w:type="pct"/>
          </w:tcPr>
          <w:p w14:paraId="7896222B">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w:t>
            </w:r>
          </w:p>
        </w:tc>
        <w:tc>
          <w:tcPr>
            <w:tcW w:w="833" w:type="pct"/>
          </w:tcPr>
          <w:p w14:paraId="6DD533C9">
            <w:pPr>
              <w:spacing w:after="0"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台</w:t>
            </w:r>
          </w:p>
        </w:tc>
      </w:tr>
    </w:tbl>
    <w:p w14:paraId="47338278">
      <w:pPr>
        <w:spacing w:after="0" w:line="360" w:lineRule="auto"/>
        <w:ind w:firstLine="482"/>
        <w:outlineLvl w:val="2"/>
        <w:rPr>
          <w:rFonts w:hint="eastAsia" w:ascii="宋体" w:hAnsi="宋体" w:cs="宋体"/>
          <w:b/>
          <w:bCs/>
          <w:sz w:val="13"/>
          <w:szCs w:val="13"/>
          <w:highlight w:val="none"/>
        </w:rPr>
      </w:pPr>
    </w:p>
    <w:p w14:paraId="1EE7AD06">
      <w:pPr>
        <w:spacing w:after="0" w:line="360" w:lineRule="auto"/>
        <w:ind w:firstLine="482"/>
        <w:outlineLvl w:val="2"/>
        <w:rPr>
          <w:rFonts w:hint="eastAsia" w:ascii="宋体" w:hAnsi="宋体" w:cs="宋体"/>
          <w:b/>
          <w:bCs/>
          <w:sz w:val="24"/>
          <w:szCs w:val="24"/>
          <w:highlight w:val="none"/>
        </w:rPr>
      </w:pPr>
      <w:r>
        <w:rPr>
          <w:rFonts w:hint="eastAsia" w:ascii="宋体" w:hAnsi="宋体" w:cs="宋体"/>
          <w:b/>
          <w:bCs/>
          <w:sz w:val="24"/>
          <w:szCs w:val="24"/>
          <w:highlight w:val="none"/>
        </w:rPr>
        <w:t>设备1.高通量基因测序仪</w:t>
      </w:r>
      <w:r>
        <w:rPr>
          <w:rFonts w:hint="eastAsia" w:ascii="宋体" w:hAnsi="宋体" w:cs="宋体"/>
          <w:b/>
          <w:bCs w:val="0"/>
          <w:color w:val="FF0000"/>
          <w:sz w:val="24"/>
          <w:szCs w:val="24"/>
          <w:highlight w:val="none"/>
        </w:rPr>
        <w:t>（核心产品）</w:t>
      </w:r>
    </w:p>
    <w:p w14:paraId="7989B451">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1.1 ★扩增原理：为降低扩增过程引入的错误累积，文库扩增采用线性扩增等技术路线（每轮扩增均以原始文库分子为模板）；亦可采用滚环复制等具备同等保真性能的非原位扩增技术路线。</w:t>
      </w:r>
    </w:p>
    <w:p w14:paraId="32D789F4">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1.2 ★扩增与加载流程：全部文库扩增反应应在测序芯片（载片）加载文库模板之前完成，加载后不再进行扩增操作，以控制样本间交叉污染。对应性能指标：同一测序芯片内样本间交叉污染率≤1%（以可检出标签污染reads 占比计）；平台须具备防交叉污染设计并能提供验证方案。</w:t>
      </w:r>
    </w:p>
    <w:p w14:paraId="11D4194E">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color w:val="000000"/>
          <w:sz w:val="24"/>
          <w:szCs w:val="24"/>
          <w:highlight w:val="none"/>
        </w:rPr>
        <w:t>1.3 ▲载片类型：支持≥3种不同规格测序载片，大芯片每次运行可生成≥2000M条片段序列（单端模式下）。</w:t>
      </w:r>
    </w:p>
    <w:p w14:paraId="10DB79A4">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1.4 载片：单张载片有≥2个独立的流道，至少可同时运行≥2种不同的检测样本（文库）。</w:t>
      </w:r>
    </w:p>
    <w:p w14:paraId="4ED633D0">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1.5 操作模式：配置双载片平台，每次运行支持2种规格载片灵活搭配上机，支持单载片模式和双载片运行模式；双载片测序平台可相互独立运行，支持双载片平台灵活滚动上机测序。</w:t>
      </w:r>
    </w:p>
    <w:p w14:paraId="0A8E84FD">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1.6 </w:t>
      </w:r>
      <w:r>
        <w:rPr>
          <w:rFonts w:hint="eastAsia" w:ascii="宋体" w:hAnsi="宋体" w:cs="宋体"/>
          <w:color w:val="000000"/>
          <w:sz w:val="24"/>
          <w:szCs w:val="24"/>
          <w:highlight w:val="none"/>
        </w:rPr>
        <w:t>★</w:t>
      </w:r>
      <w:r>
        <w:rPr>
          <w:rFonts w:hint="eastAsia" w:ascii="宋体" w:hAnsi="宋体" w:cs="宋体"/>
          <w:sz w:val="24"/>
          <w:szCs w:val="24"/>
          <w:highlight w:val="none"/>
        </w:rPr>
        <w:t>测序速度：① SE100读长，单次运行时间≤8小时；② SE50读长，单次运行时间≤8小时且单次数据产出≥200Gb保障病原快速鉴定的需求；③ PE150读长，单次运行时间≤24小时且单次数据产出≥1000Gb。均包括样本加载、测序、碱基识别和数据处理时间。</w:t>
      </w:r>
    </w:p>
    <w:p w14:paraId="189089E5">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1.7 测序质量：读长≤300bp时（包括SE50、SE100、PE150），下机数据Q30≥90%、Q40≥90%。</w:t>
      </w:r>
    </w:p>
    <w:p w14:paraId="7C06E191">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1.8 测序数据准确性：测序结果给出严格的Q40质量数据，Q40值≥90%。</w:t>
      </w:r>
    </w:p>
    <w:p w14:paraId="2F086D8A">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1.9 采用试剂预置设计，单端测序模式下无需额外加入液体进试剂槽。</w:t>
      </w:r>
    </w:p>
    <w:p w14:paraId="715F1654">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1.10 仪器维护：测序流程运行结束后可直接进行自动清洗，无需手动干预。</w:t>
      </w:r>
    </w:p>
    <w:p w14:paraId="67E8947E">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1.11 试剂耗材识别：测序仪具有无线射频识别（RFID）或条形码 / 二维码方式，能够对试剂耗材进行精准识别和跟踪。</w:t>
      </w:r>
    </w:p>
    <w:p w14:paraId="609588E7">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1.12 碱基识别：采用不低于4色荧光测序技术，提高碱基识别精准度。</w:t>
      </w:r>
    </w:p>
    <w:p w14:paraId="1AE0811F">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1.13 </w:t>
      </w:r>
      <w:r>
        <w:rPr>
          <w:rFonts w:hint="eastAsia" w:ascii="宋体" w:hAnsi="宋体" w:cs="宋体"/>
          <w:i/>
          <w:iCs/>
          <w:color w:val="000000"/>
          <w:sz w:val="24"/>
          <w:szCs w:val="24"/>
          <w:highlight w:val="none"/>
        </w:rPr>
        <w:t>★</w:t>
      </w:r>
      <w:r>
        <w:rPr>
          <w:rFonts w:hint="eastAsia" w:ascii="宋体" w:hAnsi="宋体" w:cs="宋体"/>
          <w:i/>
          <w:iCs/>
          <w:sz w:val="24"/>
          <w:szCs w:val="24"/>
          <w:highlight w:val="none"/>
        </w:rPr>
        <w:t>试剂有效期：配套测序试剂盒有效期≥12个月，可以更好保障试剂库存，减少试剂过期的风险</w:t>
      </w:r>
      <w:r>
        <w:rPr>
          <w:rFonts w:hint="eastAsia" w:ascii="宋体" w:hAnsi="宋体" w:cs="宋体"/>
          <w:b/>
          <w:bCs/>
          <w:i/>
          <w:iCs/>
          <w:sz w:val="24"/>
          <w:szCs w:val="24"/>
          <w:highlight w:val="none"/>
        </w:rPr>
        <w:t>（</w:t>
      </w:r>
      <w:r>
        <w:rPr>
          <w:rFonts w:hint="eastAsia" w:ascii="宋体" w:hAnsi="宋体" w:cs="宋体"/>
          <w:b/>
          <w:bCs/>
          <w:i/>
          <w:iCs/>
          <w:sz w:val="24"/>
          <w:szCs w:val="24"/>
          <w:highlight w:val="none"/>
          <w:lang w:val="en-US" w:eastAsia="zh-CN"/>
        </w:rPr>
        <w:t>以</w:t>
      </w:r>
      <w:r>
        <w:rPr>
          <w:rFonts w:hint="eastAsia" w:ascii="宋体" w:hAnsi="宋体" w:cs="宋体"/>
          <w:b/>
          <w:bCs/>
          <w:i/>
          <w:iCs/>
          <w:sz w:val="24"/>
          <w:szCs w:val="24"/>
          <w:highlight w:val="none"/>
        </w:rPr>
        <w:t>提供试剂盒上的时间</w:t>
      </w:r>
      <w:r>
        <w:rPr>
          <w:rFonts w:hint="eastAsia" w:ascii="宋体" w:hAnsi="宋体" w:cs="宋体"/>
          <w:b/>
          <w:bCs/>
          <w:i/>
          <w:iCs/>
          <w:sz w:val="24"/>
          <w:szCs w:val="24"/>
          <w:highlight w:val="none"/>
          <w:lang w:val="en-US" w:eastAsia="zh-CN"/>
        </w:rPr>
        <w:t>为准</w:t>
      </w:r>
      <w:r>
        <w:rPr>
          <w:rFonts w:hint="eastAsia" w:ascii="宋体" w:hAnsi="宋体" w:cs="宋体"/>
          <w:b/>
          <w:bCs/>
          <w:i/>
          <w:iCs/>
          <w:sz w:val="24"/>
          <w:szCs w:val="24"/>
          <w:highlight w:val="none"/>
        </w:rPr>
        <w:t>）。</w:t>
      </w:r>
    </w:p>
    <w:p w14:paraId="31C65429">
      <w:pPr>
        <w:widowControl/>
        <w:spacing w:before="200" w:after="120" w:line="360" w:lineRule="auto"/>
        <w:ind w:firstLine="482"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设备2.中通量基因测序仪</w:t>
      </w:r>
    </w:p>
    <w:p w14:paraId="2AF6F23A">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2.1 ★扩增原理：为降低扩增过程引入的错误累积，文库扩增采用线性扩增等技术路线（每轮扩增均以原始文库分子为模板）；亦可采用滚环复制等具备同等保真性能的非原位扩增技术路线。</w:t>
      </w:r>
    </w:p>
    <w:p w14:paraId="6DB25211">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2.2 ★扩增与加载流程：全部文库扩增反应应在测序芯片（载片）加载文库模板之前完成，加载后不再进行扩增操作，以控制样本间交叉污染。对应性能指标：同一测序芯片内样本间交叉污染率≤1%（以可检出标签污染reads 占比计）；平台须具备防交叉污染设计并能提供验证方案。</w:t>
      </w:r>
    </w:p>
    <w:p w14:paraId="56FC5CBC">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2.3 数据通量范围：可满足8～120Gb数据产出范围。</w:t>
      </w:r>
    </w:p>
    <w:p w14:paraId="2A7E6A32">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2.4 测序方式：自动化单端和自动化双端读取序列，读长≥300bp；可支持 1×100bp、2×150bp 等多种读长，并支持以上读长范围内自定义读取长度。</w:t>
      </w:r>
    </w:p>
    <w:p w14:paraId="4EBCC818">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2.5 </w:t>
      </w:r>
      <w:r>
        <w:rPr>
          <w:rFonts w:hint="eastAsia" w:ascii="宋体" w:hAnsi="宋体" w:cs="宋体"/>
          <w:color w:val="000000"/>
          <w:sz w:val="24"/>
          <w:szCs w:val="24"/>
          <w:highlight w:val="none"/>
        </w:rPr>
        <w:t>★</w:t>
      </w:r>
      <w:r>
        <w:rPr>
          <w:rFonts w:hint="eastAsia" w:ascii="宋体" w:hAnsi="宋体" w:cs="宋体"/>
          <w:sz w:val="24"/>
          <w:szCs w:val="24"/>
          <w:highlight w:val="none"/>
        </w:rPr>
        <w:t>操作模式：配置双载片平台，支持单载片模式和双载片模式；每次运行支持灵活滚动上机。</w:t>
      </w:r>
    </w:p>
    <w:p w14:paraId="3B5528F2">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2.6 采用试剂预置设计，单端读长无需额外加入液体进试剂槽。</w:t>
      </w:r>
    </w:p>
    <w:p w14:paraId="4D1098CA">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2.7 数据质量Q30：对于大规格载片，读长≤300bp时，包括SE50、SE100、PE150，Q30＞85%。</w:t>
      </w:r>
    </w:p>
    <w:p w14:paraId="10C26529">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2.8 </w:t>
      </w:r>
      <w:r>
        <w:rPr>
          <w:rFonts w:hint="eastAsia" w:ascii="宋体" w:hAnsi="宋体" w:cs="宋体"/>
          <w:color w:val="000000"/>
          <w:sz w:val="24"/>
          <w:szCs w:val="24"/>
          <w:highlight w:val="none"/>
        </w:rPr>
        <w:t>▲</w:t>
      </w:r>
      <w:r>
        <w:rPr>
          <w:rFonts w:hint="eastAsia" w:ascii="宋体" w:hAnsi="宋体" w:cs="宋体"/>
          <w:sz w:val="24"/>
          <w:szCs w:val="24"/>
          <w:highlight w:val="none"/>
        </w:rPr>
        <w:t>数据质量Q40：测序结果给出严格的Q40质量评判，读长≤300bp时包括SE50、SE100、PE150，测序Q40值＞85%。</w:t>
      </w:r>
    </w:p>
    <w:p w14:paraId="0CAF9F54">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2.9 标签长度：支持样本标签序列≥9个碱基（bp），提高样本识别精确度。</w:t>
      </w:r>
    </w:p>
    <w:p w14:paraId="48800D4A">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2.10 数据通量：每次运行可产生≥120Gb碱基数据。</w:t>
      </w:r>
    </w:p>
    <w:p w14:paraId="738ABD6D">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2.11 </w:t>
      </w:r>
      <w:r>
        <w:rPr>
          <w:rFonts w:hint="eastAsia" w:ascii="宋体" w:hAnsi="宋体" w:cs="宋体"/>
          <w:color w:val="000000"/>
          <w:sz w:val="24"/>
          <w:szCs w:val="24"/>
          <w:highlight w:val="none"/>
        </w:rPr>
        <w:t>▲</w:t>
      </w:r>
      <w:r>
        <w:rPr>
          <w:rFonts w:hint="eastAsia" w:ascii="宋体" w:hAnsi="宋体" w:cs="宋体"/>
          <w:sz w:val="24"/>
          <w:szCs w:val="24"/>
          <w:highlight w:val="none"/>
        </w:rPr>
        <w:t>运行时间：SE100模式下单次运行时间≤5小时，PE150模式下单次运行时间≤12小时（包括样本加载、测序、碱基识别和数据处理时间）。</w:t>
      </w:r>
    </w:p>
    <w:p w14:paraId="2C91EDDE">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2.12 信息分析：测序同时能进行初步数据分析，并产生有质量打分的碱基序列；下机数据为FASTQ通用格式。</w:t>
      </w:r>
    </w:p>
    <w:p w14:paraId="755F2D72">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2.13 </w:t>
      </w:r>
      <w:r>
        <w:rPr>
          <w:rFonts w:hint="eastAsia" w:ascii="宋体" w:hAnsi="宋体" w:cs="宋体"/>
          <w:color w:val="000000"/>
          <w:sz w:val="24"/>
          <w:szCs w:val="24"/>
          <w:highlight w:val="none"/>
        </w:rPr>
        <w:t>▲</w:t>
      </w:r>
      <w:r>
        <w:rPr>
          <w:rFonts w:hint="eastAsia" w:ascii="宋体" w:hAnsi="宋体" w:cs="宋体"/>
          <w:sz w:val="24"/>
          <w:szCs w:val="24"/>
          <w:highlight w:val="none"/>
        </w:rPr>
        <w:t>仪器维护：测序流程运行结束后可直接进行自动清洗，无需手动干预。</w:t>
      </w:r>
    </w:p>
    <w:p w14:paraId="5F5F5969">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2.14 操作便利性：嵌入式操作系统，无需外部电脑即可独立工作；配置触控屏，中英文界面。</w:t>
      </w:r>
    </w:p>
    <w:p w14:paraId="67F5F9AB">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2.15 </w:t>
      </w:r>
      <w:r>
        <w:rPr>
          <w:rFonts w:hint="eastAsia" w:ascii="宋体" w:hAnsi="宋体" w:cs="宋体"/>
          <w:i w:val="0"/>
          <w:iCs w:val="0"/>
          <w:color w:val="000000"/>
          <w:sz w:val="24"/>
          <w:szCs w:val="24"/>
          <w:highlight w:val="none"/>
        </w:rPr>
        <w:t>★</w:t>
      </w:r>
      <w:r>
        <w:rPr>
          <w:rFonts w:hint="eastAsia" w:ascii="宋体" w:hAnsi="宋体" w:cs="宋体"/>
          <w:i w:val="0"/>
          <w:iCs w:val="0"/>
          <w:sz w:val="24"/>
          <w:szCs w:val="24"/>
          <w:highlight w:val="none"/>
        </w:rPr>
        <w:t>试剂有效期：配套测序试剂盒有效期≥12个月，可以更好保障试剂库存，减少试剂过期的风险</w:t>
      </w:r>
      <w:r>
        <w:rPr>
          <w:rFonts w:hint="eastAsia" w:ascii="宋体" w:hAnsi="宋体" w:cs="宋体"/>
          <w:i w:val="0"/>
          <w:iCs w:val="0"/>
          <w:sz w:val="24"/>
          <w:szCs w:val="24"/>
          <w:highlight w:val="none"/>
          <w:lang w:eastAsia="zh-CN"/>
        </w:rPr>
        <w:t>（</w:t>
      </w:r>
      <w:r>
        <w:rPr>
          <w:rFonts w:hint="eastAsia" w:ascii="宋体" w:hAnsi="宋体" w:cs="宋体"/>
          <w:i w:val="0"/>
          <w:iCs w:val="0"/>
          <w:sz w:val="24"/>
          <w:szCs w:val="24"/>
          <w:highlight w:val="none"/>
          <w:lang w:val="en-US" w:eastAsia="zh-CN"/>
        </w:rPr>
        <w:t>以试剂盒标注有效期为准</w:t>
      </w:r>
      <w:r>
        <w:rPr>
          <w:rFonts w:hint="eastAsia" w:ascii="宋体" w:hAnsi="宋体" w:cs="宋体"/>
          <w:i w:val="0"/>
          <w:iCs w:val="0"/>
          <w:sz w:val="24"/>
          <w:szCs w:val="24"/>
          <w:highlight w:val="none"/>
          <w:lang w:eastAsia="zh-CN"/>
        </w:rPr>
        <w:t>）</w:t>
      </w:r>
      <w:r>
        <w:rPr>
          <w:rFonts w:hint="eastAsia" w:ascii="宋体" w:hAnsi="宋体" w:cs="宋体"/>
          <w:i w:val="0"/>
          <w:iCs w:val="0"/>
          <w:sz w:val="24"/>
          <w:szCs w:val="24"/>
          <w:highlight w:val="none"/>
        </w:rPr>
        <w:t>。</w:t>
      </w:r>
    </w:p>
    <w:p w14:paraId="046FBD80">
      <w:pPr>
        <w:widowControl/>
        <w:spacing w:after="40" w:line="360" w:lineRule="auto"/>
        <w:ind w:firstLine="482"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设备3.高通量自动化样本制备系统</w:t>
      </w:r>
    </w:p>
    <w:p w14:paraId="14A56483">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3.1主要功能：用于自动化建库，可精准、灵活、快速、高度自动地完成核酸提取及纯化、文库制备、单链分离、环化等建库工序，与测序仪无缝对接。</w:t>
      </w:r>
    </w:p>
    <w:p w14:paraId="280DC47E">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3.2支持样本类型：血浆、gDNA、FFPE、唾液、WGA产物、杂交产物等。</w:t>
      </w:r>
    </w:p>
    <w:p w14:paraId="3337D384">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3.3 模块配置：配备96通道自动化移液系统及夹爪、高精密机械臂、自动PCR仪、磁力架模块、振荡模块、温控模块、内置紫外消毒模块等功能模块，模块化定制搭配。</w:t>
      </w:r>
    </w:p>
    <w:p w14:paraId="7FBA3C33">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3.4 </w:t>
      </w:r>
      <w:r>
        <w:rPr>
          <w:rFonts w:hint="eastAsia" w:ascii="宋体" w:hAnsi="宋体" w:cs="宋体"/>
          <w:color w:val="000000"/>
          <w:sz w:val="24"/>
          <w:szCs w:val="24"/>
          <w:highlight w:val="none"/>
        </w:rPr>
        <w:t>★</w:t>
      </w:r>
      <w:r>
        <w:rPr>
          <w:rFonts w:hint="eastAsia" w:ascii="宋体" w:hAnsi="宋体" w:cs="宋体"/>
          <w:sz w:val="24"/>
          <w:szCs w:val="24"/>
          <w:highlight w:val="none"/>
        </w:rPr>
        <w:t>板位数量：内置≥24个标准板位，支持模块化定制化搭配组合。</w:t>
      </w:r>
    </w:p>
    <w:p w14:paraId="26A47B26">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3.5 可兼容第三方建库试剂，定制化实验流程。</w:t>
      </w:r>
    </w:p>
    <w:p w14:paraId="0F1515C8">
      <w:pPr>
        <w:widowControl/>
        <w:spacing w:after="40" w:line="360" w:lineRule="auto"/>
        <w:ind w:firstLine="480" w:firstLineChars="200"/>
        <w:jc w:val="left"/>
        <w:rPr>
          <w:rFonts w:hint="eastAsia" w:ascii="宋体" w:hAnsi="宋体" w:cs="宋体"/>
          <w:sz w:val="24"/>
          <w:szCs w:val="24"/>
          <w:highlight w:val="none"/>
          <w:lang w:eastAsia="en-US"/>
        </w:rPr>
      </w:pPr>
      <w:r>
        <w:rPr>
          <w:rFonts w:hint="eastAsia" w:ascii="宋体" w:hAnsi="宋体" w:cs="宋体"/>
          <w:sz w:val="24"/>
          <w:szCs w:val="24"/>
          <w:highlight w:val="none"/>
        </w:rPr>
        <w:t>3</w:t>
      </w:r>
      <w:r>
        <w:rPr>
          <w:rFonts w:hint="eastAsia" w:ascii="宋体" w:hAnsi="宋体" w:cs="宋体"/>
          <w:sz w:val="24"/>
          <w:szCs w:val="24"/>
          <w:highlight w:val="none"/>
          <w:lang w:eastAsia="en-US"/>
        </w:rPr>
        <w:t>.</w:t>
      </w:r>
      <w:r>
        <w:rPr>
          <w:rFonts w:hint="eastAsia" w:ascii="宋体" w:hAnsi="宋体" w:cs="宋体"/>
          <w:sz w:val="24"/>
          <w:szCs w:val="24"/>
          <w:highlight w:val="none"/>
        </w:rPr>
        <w:t>6</w:t>
      </w:r>
      <w:r>
        <w:rPr>
          <w:rFonts w:hint="eastAsia" w:ascii="宋体" w:hAnsi="宋体" w:cs="宋体"/>
          <w:sz w:val="24"/>
          <w:szCs w:val="24"/>
          <w:highlight w:val="none"/>
          <w:lang w:eastAsia="en-US"/>
        </w:rPr>
        <w:t xml:space="preserve"> PCR仪温度范围4～99℃；温度精度±0.3℃@55℃；温度均匀性±0.2℃@72℃。</w:t>
      </w:r>
    </w:p>
    <w:p w14:paraId="36F15D3E">
      <w:pPr>
        <w:widowControl/>
        <w:spacing w:after="40" w:line="360" w:lineRule="auto"/>
        <w:ind w:firstLine="480" w:firstLineChars="200"/>
        <w:jc w:val="left"/>
        <w:rPr>
          <w:rFonts w:hint="eastAsia" w:ascii="宋体" w:hAnsi="宋体" w:cs="宋体"/>
          <w:sz w:val="24"/>
          <w:szCs w:val="24"/>
          <w:highlight w:val="none"/>
          <w:lang w:eastAsia="en-US"/>
        </w:rPr>
      </w:pPr>
      <w:r>
        <w:rPr>
          <w:rFonts w:hint="eastAsia" w:ascii="宋体" w:hAnsi="宋体" w:cs="宋体"/>
          <w:sz w:val="24"/>
          <w:szCs w:val="24"/>
          <w:highlight w:val="none"/>
        </w:rPr>
        <w:t>3</w:t>
      </w:r>
      <w:r>
        <w:rPr>
          <w:rFonts w:hint="eastAsia" w:ascii="宋体" w:hAnsi="宋体" w:cs="宋体"/>
          <w:sz w:val="24"/>
          <w:szCs w:val="24"/>
          <w:highlight w:val="none"/>
          <w:lang w:eastAsia="en-US"/>
        </w:rPr>
        <w:t>.</w:t>
      </w:r>
      <w:r>
        <w:rPr>
          <w:rFonts w:hint="eastAsia" w:ascii="宋体" w:hAnsi="宋体" w:cs="宋体"/>
          <w:sz w:val="24"/>
          <w:szCs w:val="24"/>
          <w:highlight w:val="none"/>
        </w:rPr>
        <w:t>7</w:t>
      </w:r>
      <w:r>
        <w:rPr>
          <w:rFonts w:hint="eastAsia" w:ascii="宋体" w:hAnsi="宋体" w:cs="宋体"/>
          <w:sz w:val="24"/>
          <w:szCs w:val="24"/>
          <w:highlight w:val="none"/>
          <w:lang w:eastAsia="en-US"/>
        </w:rPr>
        <w:t xml:space="preserve"> 温控模块温度范围4～90℃；温度精度±1℃@55℃。</w:t>
      </w:r>
    </w:p>
    <w:p w14:paraId="6492E737">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3.8 工作空间封闭，内置UV灯和高效过滤器（HEPA），有效减少污染。</w:t>
      </w:r>
    </w:p>
    <w:p w14:paraId="72BD250F">
      <w:pPr>
        <w:widowControl/>
        <w:spacing w:after="40" w:line="360" w:lineRule="auto"/>
        <w:ind w:firstLine="480" w:firstLineChars="200"/>
        <w:jc w:val="left"/>
        <w:rPr>
          <w:rFonts w:hint="eastAsia" w:ascii="宋体" w:hAnsi="宋体" w:cs="宋体"/>
          <w:sz w:val="24"/>
          <w:szCs w:val="24"/>
          <w:highlight w:val="none"/>
          <w:lang w:eastAsia="en-US"/>
        </w:rPr>
      </w:pPr>
      <w:r>
        <w:rPr>
          <w:rFonts w:hint="eastAsia" w:ascii="宋体" w:hAnsi="宋体" w:cs="宋体"/>
          <w:sz w:val="24"/>
          <w:szCs w:val="24"/>
          <w:highlight w:val="none"/>
        </w:rPr>
        <w:t>3</w:t>
      </w:r>
      <w:r>
        <w:rPr>
          <w:rFonts w:hint="eastAsia" w:ascii="宋体" w:hAnsi="宋体" w:cs="宋体"/>
          <w:sz w:val="24"/>
          <w:szCs w:val="24"/>
          <w:highlight w:val="none"/>
          <w:lang w:eastAsia="en-US"/>
        </w:rPr>
        <w:t>.</w:t>
      </w:r>
      <w:r>
        <w:rPr>
          <w:rFonts w:hint="eastAsia" w:ascii="宋体" w:hAnsi="宋体" w:cs="宋体"/>
          <w:sz w:val="24"/>
          <w:szCs w:val="24"/>
          <w:highlight w:val="none"/>
        </w:rPr>
        <w:t>9</w:t>
      </w:r>
      <w:r>
        <w:rPr>
          <w:rFonts w:hint="eastAsia" w:ascii="宋体" w:hAnsi="宋体" w:cs="宋体"/>
          <w:sz w:val="24"/>
          <w:szCs w:val="24"/>
          <w:highlight w:val="none"/>
          <w:lang w:eastAsia="en-US"/>
        </w:rPr>
        <w:t xml:space="preserve"> 洁净度：内置高效空气洁净系统，过滤效率99.995%@0.3μm；仪器内部配备紫外消毒装置，消杀剂量高于100,000μW·s/cm²，可杀灭细菌芽孢、病毒和细菌繁殖体。</w:t>
      </w:r>
    </w:p>
    <w:p w14:paraId="5D43A8DC">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3.10 </w:t>
      </w:r>
      <w:r>
        <w:rPr>
          <w:rFonts w:hint="eastAsia" w:ascii="宋体" w:hAnsi="宋体" w:cs="宋体"/>
          <w:color w:val="000000"/>
          <w:sz w:val="24"/>
          <w:szCs w:val="24"/>
          <w:highlight w:val="none"/>
        </w:rPr>
        <w:t>▲</w:t>
      </w:r>
      <w:r>
        <w:rPr>
          <w:rFonts w:hint="eastAsia" w:ascii="宋体" w:hAnsi="宋体" w:cs="宋体"/>
          <w:sz w:val="24"/>
          <w:szCs w:val="24"/>
          <w:highlight w:val="none"/>
        </w:rPr>
        <w:t>移液通道数量96个，采用基于空气置换加样原理，不需要系统液作为媒介，保证加样稳定、准确、快速、避免交叉污染。</w:t>
      </w:r>
    </w:p>
    <w:p w14:paraId="07B1D5DE">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3.11 机械臂重复定位精度±0.1mm，采用智能一次性枪头侦测技术装载一次性吸头。</w:t>
      </w:r>
    </w:p>
    <w:p w14:paraId="4C66663C">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3.12 移液器采用高分子密封活塞技术，移液体积范围1</w:t>
      </w:r>
      <w:r>
        <w:rPr>
          <w:rFonts w:hint="eastAsia" w:ascii="宋体" w:hAnsi="宋体" w:cs="宋体"/>
          <w:sz w:val="24"/>
          <w:szCs w:val="24"/>
          <w:highlight w:val="none"/>
          <w:lang w:eastAsia="en-US"/>
        </w:rPr>
        <w:t>μ</w:t>
      </w:r>
      <w:r>
        <w:rPr>
          <w:rFonts w:hint="eastAsia" w:ascii="宋体" w:hAnsi="宋体" w:cs="宋体"/>
          <w:sz w:val="24"/>
          <w:szCs w:val="24"/>
          <w:highlight w:val="none"/>
        </w:rPr>
        <w:t>L～200</w:t>
      </w:r>
      <w:r>
        <w:rPr>
          <w:rFonts w:hint="eastAsia" w:ascii="宋体" w:hAnsi="宋体" w:cs="宋体"/>
          <w:sz w:val="24"/>
          <w:szCs w:val="24"/>
          <w:highlight w:val="none"/>
          <w:lang w:eastAsia="en-US"/>
        </w:rPr>
        <w:t>μ</w:t>
      </w:r>
      <w:r>
        <w:rPr>
          <w:rFonts w:hint="eastAsia" w:ascii="宋体" w:hAnsi="宋体" w:cs="宋体"/>
          <w:sz w:val="24"/>
          <w:szCs w:val="24"/>
          <w:highlight w:val="none"/>
        </w:rPr>
        <w:t>L，移液分辨率0.1</w:t>
      </w:r>
      <w:r>
        <w:rPr>
          <w:rFonts w:hint="eastAsia" w:ascii="宋体" w:hAnsi="宋体" w:cs="宋体"/>
          <w:sz w:val="24"/>
          <w:szCs w:val="24"/>
          <w:highlight w:val="none"/>
          <w:lang w:eastAsia="en-US"/>
        </w:rPr>
        <w:t>μ</w:t>
      </w:r>
      <w:r>
        <w:rPr>
          <w:rFonts w:hint="eastAsia" w:ascii="宋体" w:hAnsi="宋体" w:cs="宋体"/>
          <w:sz w:val="24"/>
          <w:szCs w:val="24"/>
          <w:highlight w:val="none"/>
        </w:rPr>
        <w:t>L。</w:t>
      </w:r>
    </w:p>
    <w:p w14:paraId="0F6CFBAB">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3.13 加样精密度及准确度：2</w:t>
      </w:r>
      <w:r>
        <w:rPr>
          <w:rFonts w:hint="eastAsia" w:ascii="宋体" w:hAnsi="宋体" w:cs="宋体"/>
          <w:sz w:val="24"/>
          <w:szCs w:val="24"/>
          <w:highlight w:val="none"/>
          <w:lang w:eastAsia="en-US"/>
        </w:rPr>
        <w:t>μ</w:t>
      </w:r>
      <w:r>
        <w:rPr>
          <w:rFonts w:hint="eastAsia" w:ascii="宋体" w:hAnsi="宋体" w:cs="宋体"/>
          <w:sz w:val="24"/>
          <w:szCs w:val="24"/>
          <w:highlight w:val="none"/>
        </w:rPr>
        <w:t>L时CV≤5%（准确度≤±10%），200</w:t>
      </w:r>
      <w:r>
        <w:rPr>
          <w:rFonts w:hint="eastAsia" w:ascii="宋体" w:hAnsi="宋体" w:cs="宋体"/>
          <w:sz w:val="24"/>
          <w:szCs w:val="24"/>
          <w:highlight w:val="none"/>
          <w:lang w:eastAsia="en-US"/>
        </w:rPr>
        <w:t>μ</w:t>
      </w:r>
      <w:r>
        <w:rPr>
          <w:rFonts w:hint="eastAsia" w:ascii="宋体" w:hAnsi="宋体" w:cs="宋体"/>
          <w:sz w:val="24"/>
          <w:szCs w:val="24"/>
          <w:highlight w:val="none"/>
        </w:rPr>
        <w:t>L时CV≤1%（准确度≤±1%）。</w:t>
      </w:r>
    </w:p>
    <w:p w14:paraId="62FF89DD">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3.14 </w:t>
      </w:r>
      <w:r>
        <w:rPr>
          <w:rFonts w:hint="eastAsia" w:ascii="宋体" w:hAnsi="宋体" w:cs="宋体"/>
          <w:color w:val="000000"/>
          <w:sz w:val="24"/>
          <w:szCs w:val="24"/>
          <w:highlight w:val="none"/>
        </w:rPr>
        <w:t>▲</w:t>
      </w:r>
      <w:r>
        <w:rPr>
          <w:rFonts w:hint="eastAsia" w:ascii="宋体" w:hAnsi="宋体" w:cs="宋体"/>
          <w:sz w:val="24"/>
          <w:szCs w:val="24"/>
          <w:highlight w:val="none"/>
        </w:rPr>
        <w:t>提供图形化拖拽式可编程的控制软件，允许用户进行实验流程的定制；提供导引式操作界面指引用户添加试剂、耗材和样本；提供试剂和样本的信息录入功能，记录实验过程信息，进行实验追溯。</w:t>
      </w:r>
    </w:p>
    <w:p w14:paraId="0058CCB7">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3.15 </w:t>
      </w:r>
      <w:r>
        <w:rPr>
          <w:rFonts w:hint="eastAsia" w:ascii="宋体" w:hAnsi="宋体" w:cs="宋体"/>
          <w:color w:val="000000"/>
          <w:sz w:val="24"/>
          <w:szCs w:val="24"/>
          <w:highlight w:val="none"/>
        </w:rPr>
        <w:t>▲</w:t>
      </w:r>
      <w:r>
        <w:rPr>
          <w:rFonts w:hint="eastAsia" w:ascii="宋体" w:hAnsi="宋体" w:cs="宋体"/>
          <w:sz w:val="24"/>
          <w:szCs w:val="24"/>
          <w:highlight w:val="none"/>
        </w:rPr>
        <w:t>仪器厂家可提供自有品牌的酶切/PCR-FREE酶切/单细胞的整体建库方案（仪器—试剂—耗材—自动化脚本，开箱即用）。</w:t>
      </w:r>
    </w:p>
    <w:p w14:paraId="69B22B65">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3.16 配备智能感应夹爪，可对有无夹取实物进行反馈；可在各板位之间转移板类耗材、板盖及胶垫。</w:t>
      </w:r>
    </w:p>
    <w:p w14:paraId="4687E2E0">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3.17 </w:t>
      </w:r>
      <w:r>
        <w:rPr>
          <w:rFonts w:hint="eastAsia" w:ascii="宋体" w:hAnsi="宋体" w:cs="宋体"/>
          <w:b/>
          <w:bCs/>
          <w:i/>
          <w:iCs/>
          <w:sz w:val="24"/>
          <w:szCs w:val="24"/>
          <w:highlight w:val="none"/>
        </w:rPr>
        <w:t>承诺5年内为高通量自动化样本制备系统编写个性化脚本，提供承诺书，加盖投标人电子CA公章（格式自拟）</w:t>
      </w:r>
      <w:r>
        <w:rPr>
          <w:rFonts w:hint="eastAsia" w:ascii="宋体" w:hAnsi="宋体" w:cs="宋体"/>
          <w:i/>
          <w:iCs/>
          <w:sz w:val="24"/>
          <w:szCs w:val="24"/>
          <w:highlight w:val="none"/>
        </w:rPr>
        <w:t>。</w:t>
      </w:r>
    </w:p>
    <w:p w14:paraId="42E29E1A">
      <w:pPr>
        <w:widowControl/>
        <w:spacing w:after="40" w:line="360" w:lineRule="auto"/>
        <w:ind w:firstLine="482"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设备4.基因数据分析一体机</w:t>
      </w:r>
    </w:p>
    <w:p w14:paraId="0AD82177">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4.1 可支持样品管理、实验管理、数据管理、报告管理、信息分析、解读中心、权限设置。</w:t>
      </w:r>
    </w:p>
    <w:p w14:paraId="208899CA">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4.2  可实现项目检测整体概况、送检样本分布、病原及耐药/毒力基因检出阳性率和检出频次、重点关注病原检出等统计功能。</w:t>
      </w:r>
    </w:p>
    <w:p w14:paraId="33809FC4">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4.3  无需联网，实现本地化存储、分析、出具报告。</w:t>
      </w:r>
    </w:p>
    <w:p w14:paraId="687E03AF">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4.4  </w:t>
      </w:r>
      <w:r>
        <w:rPr>
          <w:rFonts w:hint="eastAsia" w:ascii="宋体" w:hAnsi="宋体" w:cs="宋体"/>
          <w:i/>
          <w:iCs/>
          <w:sz w:val="24"/>
          <w:szCs w:val="24"/>
          <w:highlight w:val="none"/>
        </w:rPr>
        <w:t>▲可提供配套使用的病原相关的分析软件有获得二类医疗器械注册证，需提供医疗器械注册证扫描件，并提供软件厂家出具的软件可与所投设备配套使用的承诺函（格式自拟）</w:t>
      </w:r>
      <w:r>
        <w:rPr>
          <w:rFonts w:hint="eastAsia" w:ascii="宋体" w:hAnsi="宋体" w:cs="宋体"/>
          <w:b/>
          <w:bCs/>
          <w:i/>
          <w:iCs/>
          <w:sz w:val="24"/>
          <w:szCs w:val="24"/>
          <w:highlight w:val="none"/>
        </w:rPr>
        <w:t>，加盖投标人电子CA公章</w:t>
      </w:r>
      <w:r>
        <w:rPr>
          <w:rFonts w:hint="eastAsia" w:ascii="宋体" w:hAnsi="宋体" w:cs="宋体"/>
          <w:i/>
          <w:iCs/>
          <w:sz w:val="24"/>
          <w:szCs w:val="24"/>
          <w:highlight w:val="none"/>
        </w:rPr>
        <w:t>。</w:t>
      </w:r>
    </w:p>
    <w:p w14:paraId="369DCA6C">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4.5  </w:t>
      </w:r>
      <w:r>
        <w:rPr>
          <w:rFonts w:hint="eastAsia" w:ascii="宋体" w:hAnsi="宋体" w:cs="宋体"/>
          <w:i/>
          <w:iCs/>
          <w:sz w:val="24"/>
          <w:szCs w:val="24"/>
          <w:highlight w:val="none"/>
        </w:rPr>
        <w:t>▲基于所投设备可分析病原宏基因组高通量测序，涵盖＞35000种病原微生物，＞30种耐药基因，＞60种毒力基因，需提供分析生成的真实的临床检测报告（隐私机密信息可脱敏）。</w:t>
      </w:r>
      <w:r>
        <w:rPr>
          <w:rFonts w:hint="eastAsia" w:ascii="宋体" w:hAnsi="宋体" w:cs="宋体"/>
          <w:b/>
          <w:bCs/>
          <w:i/>
          <w:iCs/>
          <w:sz w:val="24"/>
          <w:szCs w:val="24"/>
          <w:highlight w:val="none"/>
        </w:rPr>
        <w:t>（提供扫描件，加盖投标人电子CA公章）</w:t>
      </w:r>
    </w:p>
    <w:p w14:paraId="28097E44">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4.6  </w:t>
      </w:r>
      <w:r>
        <w:rPr>
          <w:rFonts w:hint="eastAsia" w:ascii="宋体" w:hAnsi="宋体" w:cs="宋体"/>
          <w:i/>
          <w:iCs/>
          <w:sz w:val="24"/>
          <w:szCs w:val="24"/>
          <w:highlight w:val="none"/>
        </w:rPr>
        <w:t>基于所投设备可开展病原靶向高通量测序(tNGS)，基于超多重PCR技术，检测涵盖＞230种病原微生物，＞30 种耐药基因，＞10种毒力基因，需提供分析生成的真实的临床检测报告（隐私机密信息可脱敏）。</w:t>
      </w:r>
      <w:r>
        <w:rPr>
          <w:rFonts w:hint="eastAsia" w:ascii="宋体" w:hAnsi="宋体" w:cs="宋体"/>
          <w:b/>
          <w:bCs/>
          <w:i/>
          <w:iCs/>
          <w:sz w:val="24"/>
          <w:szCs w:val="24"/>
          <w:highlight w:val="none"/>
        </w:rPr>
        <w:t>（提供扫描件，加盖投标人电子CA公章）</w:t>
      </w:r>
    </w:p>
    <w:p w14:paraId="2CF0D342">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4.7  </w:t>
      </w:r>
      <w:r>
        <w:rPr>
          <w:rFonts w:hint="eastAsia" w:ascii="宋体" w:hAnsi="宋体" w:cs="宋体"/>
          <w:i/>
          <w:iCs/>
          <w:sz w:val="24"/>
          <w:szCs w:val="24"/>
          <w:highlight w:val="none"/>
        </w:rPr>
        <w:t>▲基于所投设备可开展泛感染病原靶向高通量测序，可鉴定呼吸、血流、中枢等多种症候群感染的病原微生物＞700种，＞60 种耐药基因，＞60种毒力基因，需提供分析生成的真实的临床检测报告（隐私机密信息可脱敏）。</w:t>
      </w:r>
      <w:r>
        <w:rPr>
          <w:rFonts w:hint="eastAsia" w:ascii="宋体" w:hAnsi="宋体" w:cs="宋体"/>
          <w:b/>
          <w:bCs/>
          <w:i/>
          <w:iCs/>
          <w:sz w:val="24"/>
          <w:szCs w:val="24"/>
          <w:highlight w:val="none"/>
        </w:rPr>
        <w:t>（提供扫描件，加盖投标人电子CA公章）</w:t>
      </w:r>
    </w:p>
    <w:p w14:paraId="476071E2">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4.8  </w:t>
      </w:r>
      <w:r>
        <w:rPr>
          <w:rFonts w:hint="eastAsia" w:ascii="宋体" w:hAnsi="宋体" w:cs="宋体"/>
          <w:i/>
          <w:iCs/>
          <w:sz w:val="24"/>
          <w:szCs w:val="24"/>
          <w:highlight w:val="none"/>
        </w:rPr>
        <w:t>可开展分枝杆菌靶向高通量测序，涵盖结核分枝杆菌复合群（MTBC），非结核分枝杆菌（NTM）＞50种，以及MTBC耐药基因＞20个（位点数＞200个），需提供分析生成的真实的临床检测报告（隐私机密信息可脱敏）。</w:t>
      </w:r>
      <w:r>
        <w:rPr>
          <w:rFonts w:hint="eastAsia" w:ascii="宋体" w:hAnsi="宋体" w:cs="宋体"/>
          <w:b/>
          <w:bCs/>
          <w:i/>
          <w:iCs/>
          <w:sz w:val="24"/>
          <w:szCs w:val="24"/>
          <w:highlight w:val="none"/>
        </w:rPr>
        <w:t>（提供扫描件，加盖投标人电子CA公章）</w:t>
      </w:r>
    </w:p>
    <w:p w14:paraId="1716C15C">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4.9  </w:t>
      </w:r>
      <w:r>
        <w:rPr>
          <w:rFonts w:hint="eastAsia" w:ascii="宋体" w:hAnsi="宋体" w:cs="宋体"/>
          <w:i/>
          <w:iCs/>
          <w:sz w:val="24"/>
          <w:szCs w:val="24"/>
          <w:highlight w:val="none"/>
        </w:rPr>
        <w:t>支持≥4个产品同时分析，至少包括病原微生物宏基因组高通量基因检测（mNGS）、基于多重PCR技术的tNGS、基于探针杂交捕获技术的tNGS、分枝杆菌靶向高通量基因检测，</w:t>
      </w:r>
      <w:r>
        <w:rPr>
          <w:rFonts w:hint="eastAsia" w:ascii="宋体" w:hAnsi="宋体" w:cs="宋体"/>
          <w:b/>
          <w:bCs/>
          <w:i/>
          <w:iCs/>
          <w:sz w:val="24"/>
          <w:szCs w:val="24"/>
          <w:highlight w:val="none"/>
        </w:rPr>
        <w:t>提供系统截图加盖投标人电子CA公章。</w:t>
      </w:r>
    </w:p>
    <w:p w14:paraId="5F04B47F">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4.10  可支持报告模板个性化定制。</w:t>
      </w:r>
    </w:p>
    <w:p w14:paraId="528D5051">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4.11  可适配不少于 4 种高通量测序仪的数据接口，支持多平台测序数据导入与统一分析。</w:t>
      </w:r>
    </w:p>
    <w:p w14:paraId="124F07A6">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4.12  </w:t>
      </w:r>
      <w:r>
        <w:rPr>
          <w:rFonts w:hint="eastAsia" w:ascii="宋体" w:hAnsi="宋体" w:cs="宋体"/>
          <w:i/>
          <w:iCs/>
          <w:sz w:val="24"/>
          <w:szCs w:val="24"/>
          <w:highlight w:val="none"/>
        </w:rPr>
        <w:t>支持样本解读结果汇总表生成、导出，</w:t>
      </w:r>
      <w:r>
        <w:rPr>
          <w:rFonts w:hint="eastAsia" w:ascii="宋体" w:hAnsi="宋体" w:cs="宋体"/>
          <w:b/>
          <w:bCs/>
          <w:i/>
          <w:iCs/>
          <w:sz w:val="24"/>
          <w:szCs w:val="24"/>
          <w:highlight w:val="none"/>
        </w:rPr>
        <w:t>提供系统截图加盖投标人电子CA公章</w:t>
      </w:r>
      <w:r>
        <w:rPr>
          <w:rFonts w:hint="eastAsia" w:ascii="宋体" w:hAnsi="宋体" w:cs="宋体"/>
          <w:i/>
          <w:iCs/>
          <w:sz w:val="24"/>
          <w:szCs w:val="24"/>
          <w:highlight w:val="none"/>
        </w:rPr>
        <w:t>。</w:t>
      </w:r>
    </w:p>
    <w:p w14:paraId="7CE52512">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4.13  前置机CPU性能内存≥8GB，固态硬盘≥512GB。</w:t>
      </w:r>
    </w:p>
    <w:p w14:paraId="7DCC2576">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4.14  ★服务器采用可扩展处理器，CPU数量不少于2个，整机核心数量不低于192核。</w:t>
      </w:r>
    </w:p>
    <w:p w14:paraId="1BC61EE0">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4.15  ★服务器硬盘：系统硬盘不低于150GB固态硬盘，数据硬盘不低于40 TB，可支持扩展。</w:t>
      </w:r>
    </w:p>
    <w:p w14:paraId="10532162">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4.16  服务器内存不低于512GB(DDR5)。</w:t>
      </w:r>
    </w:p>
    <w:p w14:paraId="14F53126">
      <w:pPr>
        <w:widowControl/>
        <w:spacing w:after="40" w:line="360" w:lineRule="auto"/>
        <w:jc w:val="left"/>
        <w:rPr>
          <w:rFonts w:hint="eastAsia" w:ascii="宋体" w:hAnsi="宋体" w:cs="宋体"/>
          <w:b/>
          <w:bCs/>
          <w:sz w:val="24"/>
          <w:szCs w:val="24"/>
          <w:highlight w:val="none"/>
        </w:rPr>
      </w:pPr>
      <w:bookmarkStart w:id="186" w:name="_Toc236409049"/>
      <w:r>
        <w:rPr>
          <w:rFonts w:hint="eastAsia" w:ascii="宋体" w:hAnsi="宋体" w:cs="宋体"/>
          <w:b/>
          <w:bCs/>
          <w:szCs w:val="21"/>
          <w:highlight w:val="none"/>
        </w:rPr>
        <w:t>二</w:t>
      </w:r>
      <w:r>
        <w:rPr>
          <w:rFonts w:hint="eastAsia" w:ascii="宋体" w:hAnsi="宋体" w:cs="宋体"/>
          <w:b/>
          <w:bCs/>
          <w:sz w:val="24"/>
          <w:szCs w:val="24"/>
          <w:highlight w:val="none"/>
        </w:rPr>
        <w:t>、商务要求（交付或者实施的时间和地点等）</w:t>
      </w:r>
      <w:bookmarkEnd w:id="186"/>
    </w:p>
    <w:p w14:paraId="01955E7B">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1.交货时间：</w:t>
      </w:r>
      <w:r>
        <w:rPr>
          <w:rFonts w:hint="eastAsia" w:ascii="宋体" w:hAnsi="宋体" w:eastAsia="宋体" w:cs="宋体"/>
          <w:sz w:val="24"/>
          <w:szCs w:val="24"/>
          <w:highlight w:val="none"/>
        </w:rPr>
        <w:t>合同签订后45日历天内到货并完成设备安装及调试</w:t>
      </w:r>
      <w:r>
        <w:rPr>
          <w:rFonts w:hint="eastAsia" w:ascii="宋体" w:hAnsi="宋体" w:cs="宋体"/>
          <w:sz w:val="24"/>
          <w:szCs w:val="24"/>
          <w:highlight w:val="none"/>
        </w:rPr>
        <w:t>。</w:t>
      </w:r>
    </w:p>
    <w:p w14:paraId="22E6606A">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2.交货地点：南通市疾病预防控制中心。</w:t>
      </w:r>
    </w:p>
    <w:p w14:paraId="4FEC19E2">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3.免费质量保证期：提供不少于2年的质保，其中高通量自动化样本制备系统提供不少于5年的升级维护。</w:t>
      </w:r>
    </w:p>
    <w:p w14:paraId="5EE8E84C">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培训要求：提供免费现场培训服务，并指派专人负责与招标人联系售后服务事宜。主要培训内容为货物的基本结构、性能、主要部件的构造及处理，日常使用操作、保养与管理、常见故障的排除、紧急情况的处理等。</w:t>
      </w:r>
    </w:p>
    <w:p w14:paraId="4CD2D034">
      <w:pPr>
        <w:widowControl/>
        <w:spacing w:after="40"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三、验收标准</w:t>
      </w:r>
    </w:p>
    <w:p w14:paraId="70BF1BB0">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中标单位交付的货物应当完全符合本合同或者招标文件所规定的货物、数量和规格要求。中标单位不得少交或多交货物。中标单位提供的货物不符合招投标文件和合同规定的，招标人有权拒收货物，由此引起的风险由中标单位承担。</w:t>
      </w:r>
    </w:p>
    <w:p w14:paraId="0A5ACA02">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p>
    <w:p w14:paraId="0DF8A7C8">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3.货物和系统调试验收的标准：按行业通行标准、厂方出厂标准和中标单位投标文件的承诺。</w:t>
      </w:r>
    </w:p>
    <w:p w14:paraId="2284CCE4">
      <w:pPr>
        <w:widowControl/>
        <w:spacing w:after="40" w:line="360" w:lineRule="auto"/>
        <w:ind w:firstLine="480" w:firstLineChars="200"/>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4.设备为全新产品，整机无污染，无侵权行为、表面无划损、无任何缺陷隐患，在中国境内可依常规安全合法使用。</w:t>
      </w:r>
    </w:p>
    <w:p w14:paraId="66ABE896">
      <w:pPr>
        <w:widowControl/>
        <w:spacing w:after="40"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四、其他要求</w:t>
      </w:r>
    </w:p>
    <w:p w14:paraId="6C06BCEC">
      <w:pPr>
        <w:spacing w:after="0" w:line="360" w:lineRule="auto"/>
        <w:ind w:firstLine="482" w:firstLineChars="200"/>
        <w:outlineLvl w:val="2"/>
        <w:rPr>
          <w:rFonts w:hint="eastAsia" w:ascii="宋体" w:hAnsi="宋体" w:cs="宋体"/>
          <w:b/>
          <w:bCs/>
          <w:sz w:val="24"/>
          <w:szCs w:val="24"/>
          <w:highlight w:val="none"/>
        </w:rPr>
      </w:pPr>
      <w:r>
        <w:rPr>
          <w:rFonts w:hint="eastAsia" w:ascii="宋体" w:hAnsi="宋体" w:cs="宋体"/>
          <w:b/>
          <w:bCs/>
          <w:sz w:val="24"/>
          <w:szCs w:val="24"/>
          <w:highlight w:val="none"/>
        </w:rPr>
        <w:t>（一）质量要求</w:t>
      </w:r>
    </w:p>
    <w:p w14:paraId="598AA24B">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1.中标供应商应保证所有货物都是全新、未使用过的原厂合格产品，并完全符合采购文件规定的质量、规格、参数和性能的要求。</w:t>
      </w:r>
    </w:p>
    <w:p w14:paraId="3680FB20">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2.中标供应商应保证提供的产品不得侵犯第三方专利权、商标权和设计权、版权等。否则，中标供应商应负全部责任，并承担由此引起的一切后果。</w:t>
      </w:r>
    </w:p>
    <w:p w14:paraId="0D2ED956">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中标产品的技术标准按国家标准执行，无国家标准的，按行业标准执行，无国家和行业标准的，按企业标准执行；但在采购文件中有特别要求的，按采购文件中规定的要求执行，并且符合相关法律法规规定的要求。</w:t>
      </w:r>
    </w:p>
    <w:p w14:paraId="5954827F">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4.中标供应商提供的产品必须为原包装，在送交采购单位验收前不得拆箱。</w:t>
      </w:r>
    </w:p>
    <w:p w14:paraId="1A1F1C34">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5.每一个包装箱内应附有出厂标准配置的有关技术、质量、三包等资料。</w:t>
      </w:r>
    </w:p>
    <w:p w14:paraId="3689B71B">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6.中标供应商必须保证所提供的产品符合国家相应质量要求，所有产品必须具备产品合格证书，并随货同行。</w:t>
      </w:r>
    </w:p>
    <w:p w14:paraId="5C4253D5">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7.中标供应商所提供的物资如出现质量问题，应及时且无条件负责更换为合格产品。</w:t>
      </w:r>
    </w:p>
    <w:p w14:paraId="77970817">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8.中标供应商所供货物最终验收后，应对由于设计、工艺或材料的缺陷而发生的任何不足或故障负责，并承担由此引起的一切后果。</w:t>
      </w:r>
    </w:p>
    <w:p w14:paraId="781E41E7">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9.在质保期内，中标供应商应对本项目出现的质量问题负责处理解决并承担一切费用。</w:t>
      </w:r>
    </w:p>
    <w:p w14:paraId="3BD33C52">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10.中标供应商应采取必要的安全措施保证货物的运输及安装的安全，并承担货物的运输及安装过程中产生的风险。</w:t>
      </w:r>
    </w:p>
    <w:p w14:paraId="31BDE3F1">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11.全部货物的外包装必须采用防漏、防潮、防震、防锈、防盗和考虑到可能会发生的野蛮装卸等长途运输及多次装卸之需要。如因中标供应商包装不当以及其他原因造成损坏或丢失，应由中标供应商负一切责任。</w:t>
      </w:r>
    </w:p>
    <w:p w14:paraId="5CDE5955">
      <w:pPr>
        <w:widowControl/>
        <w:spacing w:after="4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12.中标供应商应对货物质量、安全全面负责，如中标供应商原因造成质量、安全事故，由中标供应商承担一切法律责任。</w:t>
      </w:r>
    </w:p>
    <w:p w14:paraId="16B1E1AA">
      <w:pPr>
        <w:spacing w:after="0" w:line="360" w:lineRule="auto"/>
        <w:ind w:firstLine="482" w:firstLineChars="200"/>
        <w:outlineLvl w:val="2"/>
        <w:rPr>
          <w:rFonts w:hint="eastAsia" w:ascii="宋体" w:hAnsi="宋体" w:cs="宋体"/>
          <w:b/>
          <w:sz w:val="24"/>
          <w:szCs w:val="24"/>
          <w:highlight w:val="none"/>
        </w:rPr>
      </w:pPr>
      <w:r>
        <w:rPr>
          <w:rFonts w:hint="eastAsia" w:ascii="宋体" w:hAnsi="宋体" w:cs="宋体"/>
          <w:b/>
          <w:sz w:val="24"/>
          <w:szCs w:val="24"/>
          <w:highlight w:val="none"/>
        </w:rPr>
        <w:t>（二）报价注意事项</w:t>
      </w:r>
    </w:p>
    <w:p w14:paraId="412AE690">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1.投标人应仔细阅读采购文件的所有内容，按招标文件的要求提供投标文件，并保证所提供的全部资料的真实性，以使其投标对招标文件作出实质性响应。</w:t>
      </w:r>
    </w:p>
    <w:p w14:paraId="25DC0577">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2.各投标人于投标截止时间前自行到现场进行踏勘，以获取本次所需的现场资料及数据。投标人若未到现场踏勘，引起的一切后果均由其自行负责，由此造成投标价的偏差均不予调整，现场踏勘费用自理。</w:t>
      </w:r>
    </w:p>
    <w:p w14:paraId="04CA5DC2">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3.各投标人应按照本招标文件所确定的《采购需求》编制报价文件，本次报价包括全部材料费、服务费、保管费、包装费、机械费、人工费、检测费、运输到指定地点的装运费用（含装卸力资）、成品保护费、原材料涨价风险费、售后服务费、办公设备费、管理费、利润、税金、招标代理费、政策性文件规定及为达到采购人要求所包含的所有风险、责任等各项费用。</w:t>
      </w:r>
    </w:p>
    <w:p w14:paraId="627B7F71">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4.投标人应充分考虑项目实施过程中的各项安全风险，并采取必要的措施予以保障；若项目实施过程中发生任何安全事故或人身伤害，则均由中标供应商自行承担。</w:t>
      </w:r>
    </w:p>
    <w:p w14:paraId="36D4F315">
      <w:pPr>
        <w:spacing w:after="0" w:line="360" w:lineRule="auto"/>
        <w:ind w:firstLine="482" w:firstLineChars="200"/>
        <w:outlineLvl w:val="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（三）付款方式</w:t>
      </w:r>
    </w:p>
    <w:p w14:paraId="227E4F16">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 xml:space="preserve">付款方式：合同签订生效后，采购人向中标人支付合同总金额的 30% 作为预付款；全部货物交付、安装调试完毕并经采购人验收合格后，采购人支付合同总金额剩余的 70%，即累计支付至合同总金额的 100%。 </w:t>
      </w:r>
    </w:p>
    <w:p w14:paraId="62ACCC64">
      <w:pPr>
        <w:spacing w:after="0" w:line="360" w:lineRule="auto"/>
        <w:ind w:firstLine="482" w:firstLineChars="200"/>
        <w:outlineLvl w:val="2"/>
        <w:rPr>
          <w:highlight w:val="none"/>
        </w:rPr>
      </w:pPr>
      <w:r>
        <w:rPr>
          <w:rFonts w:hint="eastAsia" w:ascii="宋体" w:hAnsi="宋体" w:cs="宋体"/>
          <w:b/>
          <w:bCs/>
          <w:sz w:val="24"/>
          <w:szCs w:val="24"/>
          <w:highlight w:val="none"/>
        </w:rPr>
        <w:t>（四）履约保证金</w:t>
      </w:r>
    </w:p>
    <w:p w14:paraId="1A2A0A85">
      <w:pPr>
        <w:spacing w:after="0"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1.中标后的履约保证金为中标价的10%。</w:t>
      </w:r>
      <w:r>
        <w:rPr>
          <w:rFonts w:hint="eastAsia" w:ascii="宋体" w:hAnsi="宋体" w:cs="宋体"/>
          <w:sz w:val="24"/>
          <w:szCs w:val="24"/>
          <w:highlight w:val="none"/>
        </w:rPr>
        <w:t>中标供应商的履约保证金须在中标通知书发出之日起至合同签订前汇入采购单位账户（应当以数字人民币、支票、汇票、本票或者金融机构、担保机构出具的保函等非现金形式提交），中标供应商凭中标通知书与采购单位签订合同。超期或未协商，则视为自动放弃中标资格。</w:t>
      </w:r>
    </w:p>
    <w:p w14:paraId="59E26343">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2.中标供应商全部履行合同义务，经采购单位验收合格无质量、进度等问题的，采购单位在验收合格后一次性退还履约保证金，采购单位若逾期退还履约保证金的，按照逾期部分的每日0.05%支付违约金。</w:t>
      </w:r>
    </w:p>
    <w:p w14:paraId="5D06DE1A">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3.发生以下情况的，履约保证金不予退还或部分退还：</w:t>
      </w:r>
    </w:p>
    <w:p w14:paraId="6B836056">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a.签订合同后，中标供应商不履行合同义务的，采购单位有权全额扣除履约保证金，全额不予退还，同时采购单位亦有权终止合同，中标供应商还须承担相应的法律赔偿责任。</w:t>
      </w:r>
    </w:p>
    <w:p w14:paraId="2A13BBBB">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b.中标供应商在履约过程中发生违约行为，给采购单位造成损失的，采购单位有权在中标供应商缴纳的履约保证金中予以扣款，以弥补采购单位经济损失，不足的部分中标供应商另外补齐。</w:t>
      </w:r>
    </w:p>
    <w:p w14:paraId="5215AB68">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245D90A5">
      <w:pPr>
        <w:spacing w:after="0" w:line="360" w:lineRule="auto"/>
        <w:ind w:firstLine="482" w:firstLineChars="200"/>
        <w:outlineLvl w:val="2"/>
        <w:rPr>
          <w:rFonts w:hint="eastAsia" w:ascii="宋体" w:hAnsi="宋体" w:cs="宋体"/>
          <w:b/>
          <w:sz w:val="24"/>
          <w:szCs w:val="24"/>
          <w:highlight w:val="none"/>
        </w:rPr>
      </w:pPr>
      <w:r>
        <w:rPr>
          <w:rFonts w:hint="eastAsia" w:ascii="宋体" w:hAnsi="宋体" w:cs="宋体"/>
          <w:b/>
          <w:sz w:val="24"/>
          <w:szCs w:val="24"/>
          <w:highlight w:val="none"/>
        </w:rPr>
        <w:t>（五）商品包装环保要求</w:t>
      </w:r>
    </w:p>
    <w:p w14:paraId="3482D7F1">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1.商品包装层数不得超过 3 层，空隙率不大于 40%；</w:t>
      </w:r>
    </w:p>
    <w:p w14:paraId="1AA315C4">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2.商品包装尽可能使用单一材质的包装材料，如因功能需求必须使用不同材质，不同材质间应便于分离；</w:t>
      </w:r>
    </w:p>
    <w:p w14:paraId="7D86B22D">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3.商品包装中铅、汞、镉、六价铬的总含量应不大于100mg/kg；</w:t>
      </w:r>
    </w:p>
    <w:p w14:paraId="336E6E78">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4.商品包装印刷使用的油墨中挥发性有机化合物（VOCs）含量应不大于 5%（以重量计）；</w:t>
      </w:r>
    </w:p>
    <w:p w14:paraId="2E90D0D4">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5.塑料材质商品包装上呈现的印刷颜色不得超过 6 色；</w:t>
      </w:r>
    </w:p>
    <w:p w14:paraId="04A829B0">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6.纸质商品包装应使用 75%以上的可再生纤维原料生产；</w:t>
      </w:r>
    </w:p>
    <w:p w14:paraId="42540227">
      <w:pPr>
        <w:spacing w:after="0"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7.木质商品包装的原料应来源于可持续性森林。</w:t>
      </w:r>
    </w:p>
    <w:p w14:paraId="185F4696">
      <w:pPr>
        <w:pageBreakBefore/>
        <w:spacing w:after="0" w:line="360" w:lineRule="auto"/>
        <w:jc w:val="center"/>
        <w:outlineLvl w:val="0"/>
        <w:rPr>
          <w:rFonts w:hint="eastAsia" w:ascii="宋体" w:hAnsi="宋体" w:cs="宋体"/>
          <w:b/>
          <w:bCs/>
          <w:sz w:val="44"/>
          <w:szCs w:val="44"/>
          <w:highlight w:val="none"/>
        </w:rPr>
      </w:pPr>
      <w:r>
        <w:rPr>
          <w:rFonts w:hint="eastAsia" w:ascii="宋体" w:hAnsi="宋体" w:cs="宋体"/>
          <w:b/>
          <w:bCs/>
          <w:sz w:val="44"/>
          <w:szCs w:val="44"/>
          <w:highlight w:val="none"/>
        </w:rPr>
        <w:t>第五章  评标方法与评标标准</w:t>
      </w:r>
      <w:bookmarkEnd w:id="182"/>
      <w:bookmarkEnd w:id="183"/>
      <w:bookmarkEnd w:id="184"/>
      <w:bookmarkEnd w:id="185"/>
    </w:p>
    <w:p w14:paraId="6625A81B">
      <w:pPr>
        <w:spacing w:after="0" w:line="360" w:lineRule="auto"/>
        <w:ind w:firstLine="512"/>
        <w:rPr>
          <w:rFonts w:hint="eastAsia" w:ascii="宋体" w:hAnsi="宋体" w:cs="宋体"/>
          <w:sz w:val="24"/>
          <w:szCs w:val="24"/>
          <w:highlight w:val="none"/>
        </w:rPr>
      </w:pPr>
      <w:r>
        <w:rPr>
          <w:rFonts w:hint="eastAsia" w:ascii="宋体" w:hAnsi="宋体" w:cs="宋体"/>
          <w:sz w:val="24"/>
          <w:szCs w:val="24"/>
          <w:highlight w:val="none"/>
        </w:rPr>
        <w:t>本项目采用综合评分法的，评标结果按评审后得分由高到低顺序排列。投标文件满足招标文件全部实质性要求，且按照评审因素的量化指标评审得分第一的投标人推荐为中标候选人。得分相同的，按投标报价由低到高顺序排列。得分且投标报价相同的并列，由评标委员会现场随机抽取确定排序。</w:t>
      </w:r>
    </w:p>
    <w:p w14:paraId="5FD9D824">
      <w:pPr>
        <w:spacing w:after="0" w:line="360" w:lineRule="auto"/>
        <w:ind w:firstLine="562"/>
        <w:jc w:val="left"/>
        <w:outlineLvl w:val="2"/>
        <w:rPr>
          <w:rFonts w:hint="eastAsia" w:ascii="宋体" w:hAnsi="宋体" w:cs="宋体"/>
          <w:b/>
          <w:sz w:val="24"/>
          <w:szCs w:val="24"/>
          <w:highlight w:val="none"/>
        </w:rPr>
      </w:pPr>
      <w:r>
        <w:rPr>
          <w:rFonts w:hint="eastAsia" w:ascii="宋体" w:hAnsi="宋体" w:cs="宋体"/>
          <w:b/>
          <w:sz w:val="24"/>
          <w:szCs w:val="24"/>
          <w:highlight w:val="none"/>
        </w:rPr>
        <w:t>一、政府采购政策功能落实</w:t>
      </w:r>
    </w:p>
    <w:p w14:paraId="180133A3">
      <w:pPr>
        <w:spacing w:after="0" w:line="360" w:lineRule="auto"/>
        <w:ind w:firstLine="562"/>
        <w:jc w:val="left"/>
        <w:outlineLvl w:val="2"/>
        <w:rPr>
          <w:rFonts w:hint="eastAsia" w:ascii="宋体" w:hAnsi="宋体" w:cs="宋体"/>
          <w:bCs/>
          <w:sz w:val="24"/>
          <w:szCs w:val="24"/>
          <w:highlight w:val="none"/>
        </w:rPr>
      </w:pPr>
      <w:r>
        <w:rPr>
          <w:rFonts w:hint="eastAsia" w:ascii="宋体" w:hAnsi="宋体" w:cs="宋体"/>
          <w:bCs/>
          <w:sz w:val="24"/>
          <w:szCs w:val="24"/>
          <w:highlight w:val="none"/>
        </w:rPr>
        <w:t>1.中小企业采购政策</w:t>
      </w:r>
    </w:p>
    <w:p w14:paraId="23342491">
      <w:pPr>
        <w:spacing w:after="0" w:line="360" w:lineRule="auto"/>
        <w:ind w:firstLine="512"/>
        <w:rPr>
          <w:rFonts w:hint="eastAsia" w:ascii="宋体" w:hAnsi="宋体" w:cs="宋体"/>
          <w:sz w:val="24"/>
          <w:szCs w:val="24"/>
          <w:highlight w:val="none"/>
        </w:rPr>
      </w:pPr>
      <w:r>
        <w:rPr>
          <w:rFonts w:hint="eastAsia" w:ascii="宋体" w:hAnsi="宋体" w:cs="宋体"/>
          <w:sz w:val="24"/>
          <w:szCs w:val="24"/>
          <w:highlight w:val="none"/>
        </w:rPr>
        <w:t>1.1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采购标的对应的中小企业划分标准所属行业:</w:t>
      </w:r>
      <w:r>
        <w:rPr>
          <w:rFonts w:hint="eastAsia" w:ascii="宋体" w:hAnsi="宋体" w:cs="宋体"/>
          <w:sz w:val="24"/>
          <w:szCs w:val="24"/>
          <w:highlight w:val="none"/>
          <w:lang w:val="en-US" w:eastAsia="zh-CN"/>
        </w:rPr>
        <w:t>工</w:t>
      </w:r>
      <w:r>
        <w:rPr>
          <w:rFonts w:hint="eastAsia" w:ascii="宋体" w:hAnsi="宋体" w:cs="宋体"/>
          <w:sz w:val="24"/>
          <w:szCs w:val="24"/>
          <w:highlight w:val="none"/>
        </w:rPr>
        <w:t>业。</w:t>
      </w:r>
    </w:p>
    <w:p w14:paraId="016ABE54">
      <w:pPr>
        <w:spacing w:after="0" w:line="360" w:lineRule="auto"/>
        <w:ind w:firstLine="512"/>
        <w:rPr>
          <w:rFonts w:hint="eastAsia" w:ascii="宋体" w:hAnsi="宋体" w:cs="宋体"/>
          <w:sz w:val="24"/>
          <w:szCs w:val="24"/>
          <w:highlight w:val="none"/>
        </w:rPr>
      </w:pPr>
      <w:r>
        <w:rPr>
          <w:rFonts w:hint="eastAsia" w:ascii="宋体" w:hAnsi="宋体" w:cs="宋体"/>
          <w:sz w:val="24"/>
          <w:szCs w:val="24"/>
          <w:highlight w:val="none"/>
        </w:rPr>
        <w:t>1.2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3D13AB3">
      <w:pPr>
        <w:spacing w:after="0" w:line="360" w:lineRule="auto"/>
        <w:ind w:firstLine="512"/>
        <w:rPr>
          <w:rFonts w:hint="eastAsia" w:ascii="宋体" w:hAnsi="宋体" w:cs="宋体"/>
          <w:sz w:val="24"/>
          <w:szCs w:val="24"/>
          <w:highlight w:val="none"/>
        </w:rPr>
      </w:pPr>
      <w:r>
        <w:rPr>
          <w:rFonts w:hint="eastAsia" w:ascii="宋体" w:hAnsi="宋体" w:cs="宋体"/>
          <w:sz w:val="24"/>
          <w:szCs w:val="24"/>
          <w:highlight w:val="none"/>
        </w:rPr>
        <w:t>1.3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p>
    <w:p w14:paraId="668C8FC3">
      <w:pPr>
        <w:spacing w:after="0" w:line="360" w:lineRule="auto"/>
        <w:ind w:firstLine="512"/>
        <w:rPr>
          <w:rFonts w:hint="eastAsia" w:ascii="宋体" w:hAnsi="宋体" w:cs="宋体"/>
          <w:sz w:val="24"/>
          <w:szCs w:val="24"/>
          <w:highlight w:val="none"/>
        </w:rPr>
      </w:pPr>
      <w:r>
        <w:rPr>
          <w:rFonts w:hint="eastAsia" w:ascii="宋体" w:hAnsi="宋体" w:cs="宋体"/>
          <w:sz w:val="24"/>
          <w:szCs w:val="24"/>
          <w:highlight w:val="none"/>
        </w:rPr>
        <w:t>2.采购本国产品的支持政策</w:t>
      </w:r>
    </w:p>
    <w:p w14:paraId="39741EB5">
      <w:pPr>
        <w:spacing w:after="0" w:line="360" w:lineRule="auto"/>
        <w:ind w:firstLine="512"/>
        <w:rPr>
          <w:rFonts w:hint="eastAsia" w:ascii="宋体" w:hAnsi="宋体" w:cs="宋体"/>
          <w:sz w:val="24"/>
          <w:szCs w:val="24"/>
          <w:highlight w:val="none"/>
        </w:rPr>
      </w:pPr>
      <w:r>
        <w:rPr>
          <w:rFonts w:hint="eastAsia" w:ascii="宋体" w:hAnsi="宋体" w:cs="宋体"/>
          <w:sz w:val="24"/>
          <w:szCs w:val="24"/>
          <w:highlight w:val="none"/>
        </w:rPr>
        <w:t>2.1本项目政府采购活动中既有本国产品又有非本国产品参与竞争的，依法对本国产品给予价格评审优惠，对本国产品的报价给予20%的价格扣除，用扣除后的价格参与评审。</w:t>
      </w:r>
    </w:p>
    <w:p w14:paraId="36CACAB0">
      <w:pPr>
        <w:spacing w:after="0" w:line="360" w:lineRule="auto"/>
        <w:ind w:firstLine="512"/>
        <w:rPr>
          <w:rFonts w:hint="eastAsia" w:ascii="宋体" w:hAnsi="宋体" w:cs="宋体"/>
          <w:sz w:val="24"/>
          <w:szCs w:val="24"/>
          <w:highlight w:val="none"/>
        </w:rPr>
      </w:pPr>
      <w:r>
        <w:rPr>
          <w:rFonts w:hint="eastAsia" w:ascii="宋体" w:hAnsi="宋体" w:cs="宋体"/>
          <w:sz w:val="24"/>
          <w:szCs w:val="24"/>
          <w:highlight w:val="none"/>
        </w:rPr>
        <w:t>2.2当采购项目或者采购包中含有多种产品，供应商为该采购项目或者采购包提供的符合本国产品标准的产品成本之和占该供应商提供的全部产品成本之和的比例达到80%以上时（供应商需在“第六章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CCE9FFA">
      <w:pPr>
        <w:spacing w:after="0" w:line="360" w:lineRule="auto"/>
        <w:ind w:firstLine="512"/>
        <w:rPr>
          <w:rFonts w:hint="eastAsia" w:ascii="宋体" w:hAnsi="宋体" w:cs="宋体"/>
          <w:sz w:val="24"/>
          <w:szCs w:val="24"/>
          <w:highlight w:val="none"/>
        </w:rPr>
      </w:pPr>
      <w:r>
        <w:rPr>
          <w:rFonts w:hint="eastAsia" w:ascii="宋体" w:hAnsi="宋体" w:cs="宋体"/>
          <w:sz w:val="24"/>
          <w:szCs w:val="24"/>
          <w:highlight w:val="none"/>
        </w:rPr>
        <w:t>2.3供应商需按照招标文件的要求提供《关于符合本国产品标准的声明函》（以下简称《声明函》），如不提供将不享受本国产品价格评审优惠。</w:t>
      </w:r>
    </w:p>
    <w:p w14:paraId="3DDBEBB9">
      <w:pPr>
        <w:spacing w:after="0" w:line="360" w:lineRule="auto"/>
        <w:ind w:firstLine="512"/>
        <w:rPr>
          <w:rFonts w:hint="eastAsia" w:ascii="宋体" w:hAnsi="宋体" w:cs="宋体"/>
          <w:sz w:val="24"/>
          <w:szCs w:val="24"/>
          <w:highlight w:val="none"/>
        </w:rPr>
      </w:pPr>
      <w:r>
        <w:rPr>
          <w:rFonts w:hint="eastAsia" w:ascii="宋体" w:hAnsi="宋体" w:cs="宋体"/>
          <w:sz w:val="24"/>
          <w:szCs w:val="24"/>
          <w:highlight w:val="none"/>
        </w:rPr>
        <w:t>2.4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8EEF0FF">
      <w:pPr>
        <w:spacing w:after="0" w:line="360" w:lineRule="auto"/>
        <w:ind w:firstLine="512"/>
        <w:rPr>
          <w:rFonts w:hint="eastAsia" w:ascii="宋体" w:hAnsi="宋体" w:cs="宋体"/>
          <w:sz w:val="24"/>
          <w:szCs w:val="24"/>
          <w:highlight w:val="none"/>
        </w:rPr>
      </w:pPr>
      <w:r>
        <w:rPr>
          <w:rFonts w:hint="eastAsia" w:ascii="宋体" w:hAnsi="宋体" w:cs="宋体"/>
          <w:sz w:val="24"/>
          <w:szCs w:val="24"/>
          <w:highlight w:val="none"/>
        </w:rPr>
        <w:t>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C5E6762">
      <w:pPr>
        <w:spacing w:after="0" w:line="360" w:lineRule="auto"/>
        <w:ind w:firstLine="512"/>
        <w:rPr>
          <w:rFonts w:hint="eastAsia" w:ascii="宋体" w:hAnsi="宋体" w:cs="宋体"/>
          <w:sz w:val="24"/>
          <w:szCs w:val="24"/>
          <w:highlight w:val="none"/>
        </w:rPr>
      </w:pPr>
    </w:p>
    <w:p w14:paraId="41A049D8">
      <w:pPr>
        <w:spacing w:after="0" w:line="360" w:lineRule="auto"/>
        <w:ind w:firstLine="562"/>
        <w:jc w:val="left"/>
        <w:outlineLvl w:val="2"/>
        <w:rPr>
          <w:rFonts w:hint="eastAsia" w:ascii="宋体" w:hAnsi="宋体" w:cs="宋体"/>
          <w:b/>
          <w:sz w:val="24"/>
          <w:szCs w:val="24"/>
          <w:highlight w:val="none"/>
        </w:rPr>
      </w:pPr>
      <w:r>
        <w:rPr>
          <w:rFonts w:hint="eastAsia" w:ascii="宋体" w:hAnsi="宋体" w:cs="宋体"/>
          <w:b/>
          <w:sz w:val="24"/>
          <w:szCs w:val="24"/>
          <w:highlight w:val="none"/>
        </w:rPr>
        <w:t>二、评标方法与评标标准</w:t>
      </w:r>
    </w:p>
    <w:p w14:paraId="01A8F300">
      <w:pPr>
        <w:spacing w:after="0" w:line="360" w:lineRule="auto"/>
        <w:ind w:firstLine="562"/>
        <w:jc w:val="left"/>
        <w:rPr>
          <w:rFonts w:hint="eastAsia" w:ascii="宋体" w:hAnsi="宋体" w:cs="宋体"/>
          <w:b/>
          <w:sz w:val="24"/>
          <w:szCs w:val="24"/>
          <w:highlight w:val="none"/>
        </w:rPr>
      </w:pPr>
      <w:r>
        <w:rPr>
          <w:rFonts w:hint="eastAsia" w:ascii="宋体" w:hAnsi="宋体" w:cs="宋体"/>
          <w:b/>
          <w:sz w:val="24"/>
          <w:szCs w:val="24"/>
          <w:highlight w:val="none"/>
        </w:rPr>
        <w:t>1.商务技术分（70分）</w:t>
      </w:r>
    </w:p>
    <w:tbl>
      <w:tblPr>
        <w:tblStyle w:val="41"/>
        <w:tblW w:w="4878" w:type="pct"/>
        <w:tblInd w:w="0" w:type="dxa"/>
        <w:tblLayout w:type="fixed"/>
        <w:tblCellMar>
          <w:top w:w="0" w:type="dxa"/>
          <w:left w:w="108" w:type="dxa"/>
          <w:bottom w:w="0" w:type="dxa"/>
          <w:right w:w="108" w:type="dxa"/>
        </w:tblCellMar>
      </w:tblPr>
      <w:tblGrid>
        <w:gridCol w:w="667"/>
        <w:gridCol w:w="1427"/>
        <w:gridCol w:w="5272"/>
        <w:gridCol w:w="584"/>
        <w:gridCol w:w="584"/>
        <w:gridCol w:w="974"/>
      </w:tblGrid>
      <w:tr w14:paraId="111E3906">
        <w:tblPrEx>
          <w:tblCellMar>
            <w:top w:w="0" w:type="dxa"/>
            <w:left w:w="108" w:type="dxa"/>
            <w:bottom w:w="0" w:type="dxa"/>
            <w:right w:w="108" w:type="dxa"/>
          </w:tblCellMar>
        </w:tblPrEx>
        <w:trPr>
          <w:trHeight w:val="405" w:hRule="atLeast"/>
        </w:trPr>
        <w:tc>
          <w:tcPr>
            <w:tcW w:w="350" w:type="pct"/>
            <w:tcBorders>
              <w:top w:val="single" w:color="000000" w:sz="4" w:space="0"/>
              <w:left w:val="single" w:color="000000" w:sz="4" w:space="0"/>
              <w:bottom w:val="single" w:color="000000" w:sz="4" w:space="0"/>
              <w:right w:val="single" w:color="000000" w:sz="4" w:space="0"/>
            </w:tcBorders>
            <w:noWrap/>
            <w:vAlign w:val="center"/>
          </w:tcPr>
          <w:p w14:paraId="497EF754">
            <w:pPr>
              <w:widowControl/>
              <w:spacing w:after="0" w:line="24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序号</w:t>
            </w:r>
          </w:p>
        </w:tc>
        <w:tc>
          <w:tcPr>
            <w:tcW w:w="750" w:type="pct"/>
            <w:tcBorders>
              <w:top w:val="single" w:color="000000" w:sz="4" w:space="0"/>
              <w:left w:val="nil"/>
              <w:bottom w:val="single" w:color="000000" w:sz="4" w:space="0"/>
              <w:right w:val="single" w:color="000000" w:sz="4" w:space="0"/>
            </w:tcBorders>
            <w:noWrap/>
            <w:vAlign w:val="center"/>
          </w:tcPr>
          <w:p w14:paraId="26E3316D">
            <w:pPr>
              <w:widowControl/>
              <w:spacing w:after="0" w:line="24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评审因素</w:t>
            </w:r>
          </w:p>
        </w:tc>
        <w:tc>
          <w:tcPr>
            <w:tcW w:w="2771" w:type="pct"/>
            <w:tcBorders>
              <w:top w:val="single" w:color="000000" w:sz="4" w:space="0"/>
              <w:left w:val="nil"/>
              <w:bottom w:val="single" w:color="000000" w:sz="4" w:space="0"/>
              <w:right w:val="single" w:color="000000" w:sz="4" w:space="0"/>
            </w:tcBorders>
            <w:noWrap/>
            <w:vAlign w:val="center"/>
          </w:tcPr>
          <w:p w14:paraId="74EBF4B7">
            <w:pPr>
              <w:widowControl/>
              <w:spacing w:after="0" w:line="24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评审标准</w:t>
            </w:r>
          </w:p>
        </w:tc>
        <w:tc>
          <w:tcPr>
            <w:tcW w:w="307" w:type="pct"/>
            <w:tcBorders>
              <w:top w:val="single" w:color="000000" w:sz="4" w:space="0"/>
              <w:left w:val="nil"/>
              <w:bottom w:val="single" w:color="000000" w:sz="4" w:space="0"/>
              <w:right w:val="single" w:color="000000" w:sz="4" w:space="0"/>
            </w:tcBorders>
            <w:noWrap/>
            <w:vAlign w:val="center"/>
          </w:tcPr>
          <w:p w14:paraId="1B1813AF">
            <w:pPr>
              <w:widowControl/>
              <w:spacing w:after="0" w:line="24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最高分</w:t>
            </w:r>
          </w:p>
        </w:tc>
        <w:tc>
          <w:tcPr>
            <w:tcW w:w="307" w:type="pct"/>
            <w:tcBorders>
              <w:top w:val="single" w:color="000000" w:sz="4" w:space="0"/>
              <w:left w:val="nil"/>
              <w:bottom w:val="single" w:color="000000" w:sz="4" w:space="0"/>
              <w:right w:val="single" w:color="000000" w:sz="4" w:space="0"/>
            </w:tcBorders>
            <w:noWrap/>
            <w:vAlign w:val="center"/>
          </w:tcPr>
          <w:p w14:paraId="05B7D627">
            <w:pPr>
              <w:widowControl/>
              <w:spacing w:after="0" w:line="24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最低分</w:t>
            </w:r>
          </w:p>
        </w:tc>
        <w:tc>
          <w:tcPr>
            <w:tcW w:w="512" w:type="pct"/>
            <w:tcBorders>
              <w:top w:val="single" w:color="000000" w:sz="4" w:space="0"/>
              <w:left w:val="nil"/>
              <w:bottom w:val="single" w:color="000000" w:sz="4" w:space="0"/>
              <w:right w:val="single" w:color="000000" w:sz="4" w:space="0"/>
            </w:tcBorders>
            <w:noWrap/>
            <w:vAlign w:val="center"/>
          </w:tcPr>
          <w:p w14:paraId="789F44C5">
            <w:pPr>
              <w:widowControl/>
              <w:spacing w:after="0" w:line="24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主/客观分</w:t>
            </w:r>
          </w:p>
        </w:tc>
      </w:tr>
      <w:tr w14:paraId="676D19A6">
        <w:tblPrEx>
          <w:tblCellMar>
            <w:top w:w="0" w:type="dxa"/>
            <w:left w:w="108" w:type="dxa"/>
            <w:bottom w:w="0" w:type="dxa"/>
            <w:right w:w="108" w:type="dxa"/>
          </w:tblCellMar>
        </w:tblPrEx>
        <w:trPr>
          <w:trHeight w:val="1269" w:hRule="atLeast"/>
        </w:trPr>
        <w:tc>
          <w:tcPr>
            <w:tcW w:w="350" w:type="pct"/>
            <w:tcBorders>
              <w:top w:val="nil"/>
              <w:left w:val="single" w:color="000000" w:sz="4" w:space="0"/>
              <w:bottom w:val="single" w:color="000000" w:sz="4" w:space="0"/>
              <w:right w:val="single" w:color="000000" w:sz="4" w:space="0"/>
            </w:tcBorders>
            <w:noWrap/>
            <w:vAlign w:val="center"/>
          </w:tcPr>
          <w:p w14:paraId="4F7E4D9B">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750" w:type="pct"/>
            <w:tcBorders>
              <w:top w:val="nil"/>
              <w:left w:val="nil"/>
              <w:bottom w:val="single" w:color="000000" w:sz="4" w:space="0"/>
              <w:right w:val="single" w:color="000000" w:sz="4" w:space="0"/>
            </w:tcBorders>
            <w:noWrap/>
            <w:vAlign w:val="center"/>
          </w:tcPr>
          <w:p w14:paraId="3B741684">
            <w:pPr>
              <w:spacing w:after="0" w:line="240" w:lineRule="auto"/>
              <w:jc w:val="center"/>
              <w:rPr>
                <w:rFonts w:hint="eastAsia" w:ascii="宋体" w:hAnsi="宋体" w:cs="宋体"/>
                <w:sz w:val="24"/>
                <w:szCs w:val="24"/>
                <w:highlight w:val="none"/>
              </w:rPr>
            </w:pPr>
            <w:r>
              <w:rPr>
                <w:rFonts w:hint="eastAsia" w:ascii="宋体" w:hAnsi="宋体"/>
                <w:sz w:val="24"/>
                <w:szCs w:val="24"/>
                <w:highlight w:val="none"/>
                <w:lang w:bidi="ar"/>
              </w:rPr>
              <w:t>技术指标性能响应</w:t>
            </w:r>
          </w:p>
        </w:tc>
        <w:tc>
          <w:tcPr>
            <w:tcW w:w="2771" w:type="pct"/>
            <w:tcBorders>
              <w:top w:val="nil"/>
              <w:left w:val="nil"/>
              <w:bottom w:val="single" w:color="000000" w:sz="4" w:space="0"/>
              <w:right w:val="single" w:color="000000" w:sz="4" w:space="0"/>
            </w:tcBorders>
            <w:vAlign w:val="center"/>
          </w:tcPr>
          <w:p w14:paraId="0B61A45B">
            <w:pPr>
              <w:pStyle w:val="16"/>
              <w:spacing w:after="0"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供应商所投产品能够完全满足招标文件“第四章  采购需求设备参数”中所提需求的，得满分40分；在此基础上：</w:t>
            </w:r>
          </w:p>
          <w:p w14:paraId="49FBF6EB">
            <w:pPr>
              <w:pStyle w:val="16"/>
              <w:spacing w:after="0"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（1）招标文件中标注“★”的内容为关键指标，每有一项负偏离的，扣3分，扣完为止；</w:t>
            </w:r>
          </w:p>
          <w:p w14:paraId="5BA92F7B">
            <w:pPr>
              <w:pStyle w:val="16"/>
              <w:spacing w:after="0"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（2）招标文件中标注“▲”的内容为重要技术指标，每有一项负偏离的，扣2分，扣完为止；</w:t>
            </w:r>
          </w:p>
          <w:p w14:paraId="656ED902">
            <w:pPr>
              <w:pStyle w:val="16"/>
              <w:spacing w:after="0"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（3）其他未标注“★”或“▲”的内容为普通技术指标，每有一项负偏离的，扣1分，扣完为止。</w:t>
            </w:r>
          </w:p>
          <w:p w14:paraId="4D49734D">
            <w:pPr>
              <w:pStyle w:val="16"/>
              <w:spacing w:after="0"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注：</w:t>
            </w:r>
          </w:p>
          <w:p w14:paraId="0A3D1788">
            <w:pPr>
              <w:pStyle w:val="16"/>
              <w:spacing w:after="0"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（1）凡标有最低一级序号的指标项即为一项技术条款，无论是否隶属于上一级编号；</w:t>
            </w:r>
          </w:p>
          <w:p w14:paraId="79526478">
            <w:pPr>
              <w:pStyle w:val="16"/>
              <w:spacing w:after="0" w:line="240" w:lineRule="auto"/>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（2）</w:t>
            </w:r>
            <w:r>
              <w:rPr>
                <w:rFonts w:hint="eastAsia" w:ascii="宋体" w:hAnsi="宋体" w:eastAsia="宋体" w:cs="宋体"/>
                <w:color w:val="000000"/>
                <w:sz w:val="24"/>
                <w:szCs w:val="24"/>
                <w:highlight w:val="none"/>
                <w:lang w:val="en-US" w:eastAsia="zh-CN" w:bidi="ar"/>
              </w:rPr>
              <w:t>评标委员会根据供应商提供的技术偏离表进行打分。</w:t>
            </w:r>
          </w:p>
          <w:p w14:paraId="644C56D6">
            <w:pPr>
              <w:pStyle w:val="16"/>
              <w:spacing w:after="0"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（3）所有技术指标如招标文件中有另行规定的，须提供对应证明材料；未提供对应证明材料或提供的技术支持资料不能满足采购需求的，视为负偏离。</w:t>
            </w:r>
          </w:p>
        </w:tc>
        <w:tc>
          <w:tcPr>
            <w:tcW w:w="307" w:type="pct"/>
            <w:tcBorders>
              <w:top w:val="nil"/>
              <w:left w:val="nil"/>
              <w:bottom w:val="single" w:color="000000" w:sz="4" w:space="0"/>
              <w:right w:val="single" w:color="000000" w:sz="4" w:space="0"/>
            </w:tcBorders>
            <w:vAlign w:val="center"/>
          </w:tcPr>
          <w:p w14:paraId="5FAC3D96">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40</w:t>
            </w:r>
          </w:p>
        </w:tc>
        <w:tc>
          <w:tcPr>
            <w:tcW w:w="307" w:type="pct"/>
            <w:tcBorders>
              <w:top w:val="nil"/>
              <w:left w:val="nil"/>
              <w:bottom w:val="single" w:color="000000" w:sz="4" w:space="0"/>
              <w:right w:val="single" w:color="000000" w:sz="4" w:space="0"/>
            </w:tcBorders>
            <w:vAlign w:val="center"/>
          </w:tcPr>
          <w:p w14:paraId="6DC38845">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0</w:t>
            </w:r>
          </w:p>
        </w:tc>
        <w:tc>
          <w:tcPr>
            <w:tcW w:w="512" w:type="pct"/>
            <w:tcBorders>
              <w:top w:val="nil"/>
              <w:left w:val="nil"/>
              <w:bottom w:val="single" w:color="000000" w:sz="4" w:space="0"/>
              <w:right w:val="single" w:color="000000" w:sz="4" w:space="0"/>
            </w:tcBorders>
            <w:vAlign w:val="center"/>
          </w:tcPr>
          <w:p w14:paraId="014FA4AC">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客观分</w:t>
            </w:r>
          </w:p>
        </w:tc>
      </w:tr>
      <w:tr w14:paraId="3734A2EE">
        <w:tblPrEx>
          <w:tblCellMar>
            <w:top w:w="0" w:type="dxa"/>
            <w:left w:w="108" w:type="dxa"/>
            <w:bottom w:w="0" w:type="dxa"/>
            <w:right w:w="108" w:type="dxa"/>
          </w:tblCellMar>
        </w:tblPrEx>
        <w:trPr>
          <w:trHeight w:val="1269" w:hRule="atLeast"/>
        </w:trPr>
        <w:tc>
          <w:tcPr>
            <w:tcW w:w="350" w:type="pct"/>
            <w:tcBorders>
              <w:top w:val="nil"/>
              <w:left w:val="single" w:color="000000" w:sz="4" w:space="0"/>
              <w:bottom w:val="single" w:color="000000" w:sz="4" w:space="0"/>
              <w:right w:val="single" w:color="000000" w:sz="4" w:space="0"/>
            </w:tcBorders>
            <w:noWrap/>
            <w:vAlign w:val="center"/>
          </w:tcPr>
          <w:p w14:paraId="09B8CBB2">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750" w:type="pct"/>
            <w:tcBorders>
              <w:top w:val="nil"/>
              <w:left w:val="nil"/>
              <w:bottom w:val="single" w:color="000000" w:sz="4" w:space="0"/>
              <w:right w:val="single" w:color="000000" w:sz="4" w:space="0"/>
            </w:tcBorders>
            <w:noWrap/>
            <w:vAlign w:val="center"/>
          </w:tcPr>
          <w:p w14:paraId="6A54F203">
            <w:pPr>
              <w:spacing w:after="0" w:line="240" w:lineRule="auto"/>
              <w:jc w:val="center"/>
              <w:rPr>
                <w:rFonts w:hint="eastAsia" w:ascii="宋体" w:hAnsi="宋体"/>
                <w:sz w:val="20"/>
                <w:szCs w:val="21"/>
                <w:highlight w:val="none"/>
                <w:lang w:bidi="ar"/>
              </w:rPr>
            </w:pPr>
            <w:r>
              <w:rPr>
                <w:rFonts w:hint="eastAsia" w:ascii="宋体" w:hAnsi="宋体"/>
                <w:sz w:val="24"/>
                <w:szCs w:val="24"/>
                <w:highlight w:val="none"/>
                <w:lang w:bidi="ar"/>
              </w:rPr>
              <w:t>整体技术方案</w:t>
            </w:r>
          </w:p>
        </w:tc>
        <w:tc>
          <w:tcPr>
            <w:tcW w:w="2771" w:type="pct"/>
            <w:tcBorders>
              <w:top w:val="nil"/>
              <w:left w:val="nil"/>
              <w:bottom w:val="single" w:color="000000" w:sz="4" w:space="0"/>
              <w:right w:val="single" w:color="000000" w:sz="4" w:space="0"/>
            </w:tcBorders>
            <w:vAlign w:val="center"/>
          </w:tcPr>
          <w:p w14:paraId="2739ADA1">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投标设备具有科学先进合理的整体技术解决方案，根据实际需求可进行升级开发，整体具有可扩展升级能力。</w:t>
            </w:r>
          </w:p>
          <w:p w14:paraId="51A71C4C">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包括：</w:t>
            </w:r>
          </w:p>
          <w:p w14:paraId="4DDB8803">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①设备核心技术（包括生精准测序、高通量输出、智能控温、抗扰稳定）；</w:t>
            </w:r>
          </w:p>
          <w:p w14:paraId="16E08868">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②系统集成技术（包括模块集成、数据自动采集、智能分析、兼容拓展）</w:t>
            </w:r>
          </w:p>
          <w:p w14:paraId="6409BF2F">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③</w:t>
            </w:r>
            <w:r>
              <w:rPr>
                <w:rFonts w:hint="eastAsia" w:ascii="宋体" w:hAnsi="宋体" w:cs="宋体"/>
                <w:color w:val="000000" w:themeColor="text1"/>
                <w:sz w:val="24"/>
                <w:szCs w:val="24"/>
                <w:highlight w:val="none"/>
                <w14:textFill>
                  <w14:solidFill>
                    <w14:schemeClr w14:val="tx1"/>
                  </w14:solidFill>
                </w14:textFill>
              </w:rPr>
              <w:t>安全防护技术（包括电路防护、防尘防潮、降噪运行、数据安保）。</w:t>
            </w:r>
          </w:p>
          <w:p w14:paraId="3B569A0E">
            <w:pPr>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根据上述内容综合评审，每有一项缺失扣2分，每有一项内容存在缺陷扣1分，不同缺陷可重复扣分，扣完为止，未提供的不得分。</w:t>
            </w:r>
          </w:p>
          <w:p w14:paraId="7F2D72BD">
            <w:pPr>
              <w:keepNext/>
              <w:spacing w:after="0" w:line="240" w:lineRule="auto"/>
              <w:jc w:val="left"/>
              <w:rPr>
                <w:rFonts w:hint="eastAsia" w:ascii="宋体" w:hAnsi="宋体" w:cs="宋体"/>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备注：缺陷是指内容不合理、虽有内容但不完善、内容标书前后不一致、套用其他项目方案或与项目需求不匹配及其他不利于项目实施的等任意一种情形。</w:t>
            </w:r>
          </w:p>
        </w:tc>
        <w:tc>
          <w:tcPr>
            <w:tcW w:w="307" w:type="pct"/>
            <w:tcBorders>
              <w:top w:val="nil"/>
              <w:left w:val="nil"/>
              <w:bottom w:val="single" w:color="000000" w:sz="4" w:space="0"/>
              <w:right w:val="single" w:color="000000" w:sz="4" w:space="0"/>
            </w:tcBorders>
            <w:vAlign w:val="center"/>
          </w:tcPr>
          <w:p w14:paraId="632534A8">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07" w:type="pct"/>
            <w:tcBorders>
              <w:top w:val="nil"/>
              <w:left w:val="nil"/>
              <w:bottom w:val="single" w:color="000000" w:sz="4" w:space="0"/>
              <w:right w:val="single" w:color="000000" w:sz="4" w:space="0"/>
            </w:tcBorders>
            <w:vAlign w:val="center"/>
          </w:tcPr>
          <w:p w14:paraId="01098F1D">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0</w:t>
            </w:r>
          </w:p>
        </w:tc>
        <w:tc>
          <w:tcPr>
            <w:tcW w:w="512" w:type="pct"/>
            <w:tcBorders>
              <w:top w:val="nil"/>
              <w:left w:val="nil"/>
              <w:bottom w:val="single" w:color="000000" w:sz="4" w:space="0"/>
              <w:right w:val="single" w:color="000000" w:sz="4" w:space="0"/>
            </w:tcBorders>
            <w:vAlign w:val="center"/>
          </w:tcPr>
          <w:p w14:paraId="63C3C75F">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主观分</w:t>
            </w:r>
          </w:p>
        </w:tc>
      </w:tr>
      <w:tr w14:paraId="67D632E9">
        <w:tblPrEx>
          <w:tblCellMar>
            <w:top w:w="0" w:type="dxa"/>
            <w:left w:w="108" w:type="dxa"/>
            <w:bottom w:w="0" w:type="dxa"/>
            <w:right w:w="108" w:type="dxa"/>
          </w:tblCellMar>
        </w:tblPrEx>
        <w:trPr>
          <w:trHeight w:val="1269" w:hRule="atLeast"/>
        </w:trPr>
        <w:tc>
          <w:tcPr>
            <w:tcW w:w="350" w:type="pct"/>
            <w:tcBorders>
              <w:top w:val="nil"/>
              <w:left w:val="single" w:color="000000" w:sz="4" w:space="0"/>
              <w:bottom w:val="single" w:color="000000" w:sz="4" w:space="0"/>
              <w:right w:val="single" w:color="000000" w:sz="4" w:space="0"/>
            </w:tcBorders>
            <w:noWrap/>
            <w:vAlign w:val="center"/>
          </w:tcPr>
          <w:p w14:paraId="5F3C036F">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750" w:type="pct"/>
            <w:tcBorders>
              <w:top w:val="nil"/>
              <w:left w:val="nil"/>
              <w:bottom w:val="single" w:color="000000" w:sz="4" w:space="0"/>
              <w:right w:val="single" w:color="000000" w:sz="4" w:space="0"/>
            </w:tcBorders>
            <w:noWrap/>
            <w:vAlign w:val="center"/>
          </w:tcPr>
          <w:p w14:paraId="147393F7">
            <w:pPr>
              <w:spacing w:after="0" w:line="240" w:lineRule="auto"/>
              <w:jc w:val="center"/>
              <w:rPr>
                <w:rFonts w:hint="eastAsia" w:ascii="宋体" w:hAnsi="宋体"/>
                <w:sz w:val="20"/>
                <w:szCs w:val="21"/>
                <w:highlight w:val="none"/>
                <w:lang w:bidi="ar"/>
              </w:rPr>
            </w:pPr>
            <w:r>
              <w:rPr>
                <w:rFonts w:hint="eastAsia" w:ascii="宋体" w:hAnsi="宋体"/>
                <w:sz w:val="24"/>
                <w:szCs w:val="24"/>
                <w:highlight w:val="none"/>
                <w:lang w:bidi="ar"/>
              </w:rPr>
              <w:t>项目实施方案</w:t>
            </w:r>
          </w:p>
        </w:tc>
        <w:tc>
          <w:tcPr>
            <w:tcW w:w="2771" w:type="pct"/>
            <w:tcBorders>
              <w:top w:val="nil"/>
              <w:left w:val="nil"/>
              <w:bottom w:val="single" w:color="000000" w:sz="4" w:space="0"/>
              <w:right w:val="single" w:color="000000" w:sz="4" w:space="0"/>
            </w:tcBorders>
            <w:vAlign w:val="center"/>
          </w:tcPr>
          <w:p w14:paraId="0A371789">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根据供应商提供的项目整体实施方案进行综合评审：</w:t>
            </w:r>
          </w:p>
          <w:p w14:paraId="5E2797AC">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包括：</w:t>
            </w:r>
          </w:p>
          <w:p w14:paraId="6F2EBC6A">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①生产实施管理（包括节点排产、工艺规范、专人定岗、进度可控）；</w:t>
            </w:r>
          </w:p>
          <w:p w14:paraId="1DDEE356">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②质量管控实施（包括原料严控、全程质检、批量对标、防护包装）；</w:t>
            </w:r>
          </w:p>
          <w:p w14:paraId="5E2AB5C5">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③</w:t>
            </w:r>
            <w:r>
              <w:rPr>
                <w:rFonts w:hint="eastAsia" w:ascii="宋体" w:hAnsi="宋体" w:cs="宋体"/>
                <w:color w:val="000000" w:themeColor="text1"/>
                <w:sz w:val="24"/>
                <w:szCs w:val="24"/>
                <w:highlight w:val="none"/>
                <w14:textFill>
                  <w14:solidFill>
                    <w14:schemeClr w14:val="tx1"/>
                  </w14:solidFill>
                </w14:textFill>
              </w:rPr>
              <w:t>现场落地实施（包括场地勘测、方案适配、全程跟单、问题协调）。</w:t>
            </w:r>
          </w:p>
          <w:p w14:paraId="74D65350">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根据上述内容综合评审，每有一项缺失扣2分，每有一项内容存在缺陷扣1分，不同缺陷可重复扣</w:t>
            </w:r>
            <w:r>
              <w:rPr>
                <w:rFonts w:hint="eastAsia" w:ascii="宋体" w:hAnsi="宋体" w:cs="宋体"/>
                <w:color w:val="000000" w:themeColor="text1"/>
                <w:sz w:val="24"/>
                <w:szCs w:val="24"/>
                <w:highlight w:val="none"/>
                <w14:textFill>
                  <w14:solidFill>
                    <w14:schemeClr w14:val="tx1"/>
                  </w14:solidFill>
                </w14:textFill>
              </w:rPr>
              <w:t>分，扣完为止，未提供的不得分。</w:t>
            </w:r>
          </w:p>
          <w:p w14:paraId="1D5C804D">
            <w:pPr>
              <w:keepNext/>
              <w:spacing w:after="0" w:line="240" w:lineRule="auto"/>
              <w:jc w:val="left"/>
              <w:rPr>
                <w:rFonts w:hint="eastAsia" w:ascii="宋体" w:hAnsi="宋体" w:cs="宋体"/>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备注：缺陷是指内容不合理、虽有内容但不完善、内容标书前后不一致、套用其他项目方案或与项目需求不匹配及其他不利于项目实施的等任意一种情形。</w:t>
            </w:r>
          </w:p>
        </w:tc>
        <w:tc>
          <w:tcPr>
            <w:tcW w:w="307" w:type="pct"/>
            <w:tcBorders>
              <w:top w:val="nil"/>
              <w:left w:val="nil"/>
              <w:bottom w:val="single" w:color="000000" w:sz="4" w:space="0"/>
              <w:right w:val="single" w:color="000000" w:sz="4" w:space="0"/>
            </w:tcBorders>
            <w:vAlign w:val="center"/>
          </w:tcPr>
          <w:p w14:paraId="0890CEB0">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07" w:type="pct"/>
            <w:tcBorders>
              <w:top w:val="nil"/>
              <w:left w:val="nil"/>
              <w:bottom w:val="single" w:color="000000" w:sz="4" w:space="0"/>
              <w:right w:val="single" w:color="000000" w:sz="4" w:space="0"/>
            </w:tcBorders>
            <w:vAlign w:val="center"/>
          </w:tcPr>
          <w:p w14:paraId="134C6533">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0</w:t>
            </w:r>
          </w:p>
        </w:tc>
        <w:tc>
          <w:tcPr>
            <w:tcW w:w="512" w:type="pct"/>
            <w:tcBorders>
              <w:top w:val="nil"/>
              <w:left w:val="nil"/>
              <w:bottom w:val="single" w:color="000000" w:sz="4" w:space="0"/>
              <w:right w:val="single" w:color="000000" w:sz="4" w:space="0"/>
            </w:tcBorders>
            <w:vAlign w:val="center"/>
          </w:tcPr>
          <w:p w14:paraId="0043AC4E">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主观分</w:t>
            </w:r>
          </w:p>
        </w:tc>
      </w:tr>
      <w:tr w14:paraId="70CE0501">
        <w:tblPrEx>
          <w:tblCellMar>
            <w:top w:w="0" w:type="dxa"/>
            <w:left w:w="108" w:type="dxa"/>
            <w:bottom w:w="0" w:type="dxa"/>
            <w:right w:w="108" w:type="dxa"/>
          </w:tblCellMar>
        </w:tblPrEx>
        <w:trPr>
          <w:trHeight w:val="1269" w:hRule="atLeast"/>
        </w:trPr>
        <w:tc>
          <w:tcPr>
            <w:tcW w:w="350" w:type="pct"/>
            <w:tcBorders>
              <w:top w:val="nil"/>
              <w:left w:val="single" w:color="000000" w:sz="4" w:space="0"/>
              <w:bottom w:val="single" w:color="000000" w:sz="4" w:space="0"/>
              <w:right w:val="single" w:color="000000" w:sz="4" w:space="0"/>
            </w:tcBorders>
            <w:noWrap/>
            <w:vAlign w:val="center"/>
          </w:tcPr>
          <w:p w14:paraId="652C4823">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750" w:type="pct"/>
            <w:tcBorders>
              <w:top w:val="nil"/>
              <w:left w:val="nil"/>
              <w:bottom w:val="single" w:color="000000" w:sz="4" w:space="0"/>
              <w:right w:val="single" w:color="000000" w:sz="4" w:space="0"/>
            </w:tcBorders>
            <w:noWrap/>
            <w:vAlign w:val="center"/>
          </w:tcPr>
          <w:p w14:paraId="7DC47386">
            <w:pPr>
              <w:spacing w:after="0" w:line="240" w:lineRule="auto"/>
              <w:jc w:val="center"/>
              <w:rPr>
                <w:rFonts w:hint="eastAsia" w:ascii="宋体" w:hAnsi="宋体"/>
                <w:sz w:val="20"/>
                <w:szCs w:val="21"/>
                <w:highlight w:val="none"/>
                <w:lang w:bidi="ar"/>
              </w:rPr>
            </w:pPr>
            <w:r>
              <w:rPr>
                <w:rFonts w:hint="eastAsia" w:ascii="宋体" w:hAnsi="宋体"/>
                <w:sz w:val="24"/>
                <w:szCs w:val="24"/>
                <w:highlight w:val="none"/>
                <w:lang w:bidi="ar"/>
              </w:rPr>
              <w:t>售后服务方案</w:t>
            </w:r>
          </w:p>
        </w:tc>
        <w:tc>
          <w:tcPr>
            <w:tcW w:w="2771" w:type="pct"/>
            <w:tcBorders>
              <w:top w:val="nil"/>
              <w:left w:val="nil"/>
              <w:bottom w:val="single" w:color="000000" w:sz="4" w:space="0"/>
              <w:right w:val="single" w:color="000000" w:sz="4" w:space="0"/>
            </w:tcBorders>
            <w:vAlign w:val="center"/>
          </w:tcPr>
          <w:p w14:paraId="07B9CFA7">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根据供应商是否具有详细、全面且切实可行的服务方案进行综合评审：</w:t>
            </w:r>
          </w:p>
          <w:p w14:paraId="7F39F74D">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包括：</w:t>
            </w:r>
          </w:p>
          <w:p w14:paraId="1A6F6B51">
            <w:pPr>
              <w:keepNext/>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①安装调试服务（包括上门安装、整机调试、参数校准、现场验收）；</w:t>
            </w:r>
          </w:p>
          <w:p w14:paraId="49CD05C3">
            <w:pPr>
              <w:keepNext/>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②日常运维服务（包括定期巡检、设备维保、系统升级、隐患排查）；</w:t>
            </w:r>
          </w:p>
          <w:p w14:paraId="7308FB1D">
            <w:pPr>
              <w:keepNext/>
              <w:spacing w:after="0" w:line="240" w:lineRule="auto"/>
              <w:jc w:val="left"/>
              <w:rPr>
                <w:rFonts w:hint="eastAsia" w:ascii="宋体" w:hAnsi="宋体" w:cs="宋体"/>
                <w:sz w:val="24"/>
                <w:szCs w:val="24"/>
                <w:highlight w:val="none"/>
              </w:rPr>
            </w:pPr>
            <w:r>
              <w:rPr>
                <w:rFonts w:ascii="宋体" w:hAnsi="宋体" w:cs="宋体"/>
                <w:sz w:val="24"/>
                <w:szCs w:val="24"/>
                <w:highlight w:val="none"/>
              </w:rPr>
              <w:t>③</w:t>
            </w:r>
            <w:r>
              <w:rPr>
                <w:rFonts w:hint="eastAsia" w:ascii="宋体" w:hAnsi="宋体" w:cs="宋体"/>
                <w:sz w:val="24"/>
                <w:szCs w:val="24"/>
                <w:highlight w:val="none"/>
              </w:rPr>
              <w:t>故障应急服务（包括快速响应、故障抢修、备件保障、应急兜底）。</w:t>
            </w:r>
          </w:p>
          <w:p w14:paraId="000FD0EF">
            <w:pPr>
              <w:keepNext/>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根据上述内容综合评审，每有一项缺失扣2分，每有一项内容存在缺陷扣1分，不同缺陷可重复扣</w:t>
            </w:r>
            <w:r>
              <w:rPr>
                <w:rFonts w:hint="eastAsia" w:ascii="宋体" w:hAnsi="宋体" w:cs="宋体"/>
                <w:color w:val="000000" w:themeColor="text1"/>
                <w:sz w:val="24"/>
                <w:szCs w:val="24"/>
                <w:highlight w:val="none"/>
                <w14:textFill>
                  <w14:solidFill>
                    <w14:schemeClr w14:val="tx1"/>
                  </w14:solidFill>
                </w14:textFill>
              </w:rPr>
              <w:t>分，扣完为止，未提供的不得分。</w:t>
            </w:r>
          </w:p>
          <w:p w14:paraId="04C2D5F8">
            <w:pPr>
              <w:keepNext/>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备注：缺陷是指内容不合理、虽有内容但不完善、内容标书前后不一致、套用其他项目方案或与项目需求不匹配及其他不利于项目实施的等任意一种情形。</w:t>
            </w:r>
          </w:p>
        </w:tc>
        <w:tc>
          <w:tcPr>
            <w:tcW w:w="307" w:type="pct"/>
            <w:tcBorders>
              <w:top w:val="nil"/>
              <w:left w:val="nil"/>
              <w:bottom w:val="single" w:color="000000" w:sz="4" w:space="0"/>
              <w:right w:val="single" w:color="000000" w:sz="4" w:space="0"/>
            </w:tcBorders>
            <w:vAlign w:val="center"/>
          </w:tcPr>
          <w:p w14:paraId="32CFB730">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07" w:type="pct"/>
            <w:tcBorders>
              <w:top w:val="nil"/>
              <w:left w:val="nil"/>
              <w:bottom w:val="single" w:color="000000" w:sz="4" w:space="0"/>
              <w:right w:val="single" w:color="000000" w:sz="4" w:space="0"/>
            </w:tcBorders>
            <w:vAlign w:val="center"/>
          </w:tcPr>
          <w:p w14:paraId="49902461">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0</w:t>
            </w:r>
          </w:p>
        </w:tc>
        <w:tc>
          <w:tcPr>
            <w:tcW w:w="512" w:type="pct"/>
            <w:tcBorders>
              <w:top w:val="nil"/>
              <w:left w:val="nil"/>
              <w:bottom w:val="single" w:color="000000" w:sz="4" w:space="0"/>
              <w:right w:val="single" w:color="000000" w:sz="4" w:space="0"/>
            </w:tcBorders>
            <w:vAlign w:val="center"/>
          </w:tcPr>
          <w:p w14:paraId="5B6AED65">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主观分</w:t>
            </w:r>
          </w:p>
        </w:tc>
      </w:tr>
      <w:tr w14:paraId="04A06F20">
        <w:tblPrEx>
          <w:tblCellMar>
            <w:top w:w="0" w:type="dxa"/>
            <w:left w:w="108" w:type="dxa"/>
            <w:bottom w:w="0" w:type="dxa"/>
            <w:right w:w="108" w:type="dxa"/>
          </w:tblCellMar>
        </w:tblPrEx>
        <w:trPr>
          <w:trHeight w:val="599" w:hRule="atLeast"/>
        </w:trPr>
        <w:tc>
          <w:tcPr>
            <w:tcW w:w="350" w:type="pct"/>
            <w:tcBorders>
              <w:top w:val="nil"/>
              <w:left w:val="single" w:color="000000" w:sz="4" w:space="0"/>
              <w:bottom w:val="single" w:color="000000" w:sz="4" w:space="0"/>
              <w:right w:val="single" w:color="000000" w:sz="4" w:space="0"/>
            </w:tcBorders>
            <w:noWrap/>
            <w:vAlign w:val="center"/>
          </w:tcPr>
          <w:p w14:paraId="5530472F">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750" w:type="pct"/>
            <w:tcBorders>
              <w:top w:val="nil"/>
              <w:left w:val="nil"/>
              <w:bottom w:val="single" w:color="000000" w:sz="4" w:space="0"/>
              <w:right w:val="single" w:color="000000" w:sz="4" w:space="0"/>
            </w:tcBorders>
            <w:noWrap/>
            <w:vAlign w:val="center"/>
          </w:tcPr>
          <w:p w14:paraId="5C600DB2">
            <w:pPr>
              <w:widowControl/>
              <w:jc w:val="center"/>
              <w:rPr>
                <w:highlight w:val="none"/>
              </w:rPr>
            </w:pPr>
            <w:r>
              <w:rPr>
                <w:rFonts w:ascii="宋体" w:hAnsi="宋体" w:cs="宋体"/>
                <w:sz w:val="24"/>
                <w:szCs w:val="24"/>
                <w:highlight w:val="none"/>
                <w:lang w:bidi="ar"/>
              </w:rPr>
              <w:t>免费培训方案</w:t>
            </w:r>
          </w:p>
          <w:p w14:paraId="4DF6013C">
            <w:pPr>
              <w:spacing w:after="0" w:line="240" w:lineRule="auto"/>
              <w:rPr>
                <w:rFonts w:hint="eastAsia" w:ascii="宋体" w:hAnsi="宋体"/>
                <w:sz w:val="20"/>
                <w:szCs w:val="21"/>
                <w:highlight w:val="none"/>
                <w:lang w:bidi="ar"/>
              </w:rPr>
            </w:pPr>
          </w:p>
        </w:tc>
        <w:tc>
          <w:tcPr>
            <w:tcW w:w="2771" w:type="pct"/>
            <w:tcBorders>
              <w:top w:val="nil"/>
              <w:left w:val="nil"/>
              <w:bottom w:val="single" w:color="000000" w:sz="4" w:space="0"/>
              <w:right w:val="single" w:color="000000" w:sz="4" w:space="0"/>
            </w:tcBorders>
            <w:vAlign w:val="center"/>
          </w:tcPr>
          <w:p w14:paraId="56E41EFE">
            <w:pPr>
              <w:keepNext/>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根据供应商是否为采购人提供设备使用期间的免费培训方案（包括但不限于频次安排和内容安排等）进行综合评审：</w:t>
            </w:r>
          </w:p>
          <w:p w14:paraId="58BD7225">
            <w:pPr>
              <w:keepNext/>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（1）方案详细，可操作性强，完全满足项目需要的，得2分；</w:t>
            </w:r>
          </w:p>
          <w:p w14:paraId="3597AB87">
            <w:pPr>
              <w:keepNext/>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（2）方案较详细，可操作性较强，基本满足项目需要，略有欠缺需要完善的，得1分；</w:t>
            </w:r>
          </w:p>
          <w:p w14:paraId="11B1EDC8">
            <w:pPr>
              <w:keepNext/>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（3）方案简单粗略，可操作性差，基本不能满足项目需要的，得0.5分；</w:t>
            </w:r>
          </w:p>
          <w:p w14:paraId="2FC73964">
            <w:pPr>
              <w:keepNext/>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（4）未提供不得分。</w:t>
            </w:r>
          </w:p>
        </w:tc>
        <w:tc>
          <w:tcPr>
            <w:tcW w:w="307" w:type="pct"/>
            <w:tcBorders>
              <w:top w:val="nil"/>
              <w:left w:val="nil"/>
              <w:bottom w:val="single" w:color="000000" w:sz="4" w:space="0"/>
              <w:right w:val="single" w:color="000000" w:sz="4" w:space="0"/>
            </w:tcBorders>
            <w:vAlign w:val="center"/>
          </w:tcPr>
          <w:p w14:paraId="0EF336B2">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07" w:type="pct"/>
            <w:tcBorders>
              <w:top w:val="nil"/>
              <w:left w:val="nil"/>
              <w:bottom w:val="single" w:color="000000" w:sz="4" w:space="0"/>
              <w:right w:val="single" w:color="000000" w:sz="4" w:space="0"/>
            </w:tcBorders>
            <w:vAlign w:val="center"/>
          </w:tcPr>
          <w:p w14:paraId="75BF8763">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0</w:t>
            </w:r>
          </w:p>
        </w:tc>
        <w:tc>
          <w:tcPr>
            <w:tcW w:w="512" w:type="pct"/>
            <w:tcBorders>
              <w:top w:val="nil"/>
              <w:left w:val="nil"/>
              <w:bottom w:val="single" w:color="000000" w:sz="4" w:space="0"/>
              <w:right w:val="single" w:color="000000" w:sz="4" w:space="0"/>
            </w:tcBorders>
            <w:vAlign w:val="center"/>
          </w:tcPr>
          <w:p w14:paraId="18874388">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主观分</w:t>
            </w:r>
          </w:p>
        </w:tc>
      </w:tr>
      <w:tr w14:paraId="456F6C19">
        <w:tblPrEx>
          <w:tblCellMar>
            <w:top w:w="0" w:type="dxa"/>
            <w:left w:w="108" w:type="dxa"/>
            <w:bottom w:w="0" w:type="dxa"/>
            <w:right w:w="108" w:type="dxa"/>
          </w:tblCellMar>
        </w:tblPrEx>
        <w:trPr>
          <w:trHeight w:val="437" w:hRule="atLeast"/>
        </w:trPr>
        <w:tc>
          <w:tcPr>
            <w:tcW w:w="350" w:type="pct"/>
            <w:tcBorders>
              <w:top w:val="nil"/>
              <w:left w:val="single" w:color="000000" w:sz="4" w:space="0"/>
              <w:bottom w:val="single" w:color="000000" w:sz="4" w:space="0"/>
              <w:right w:val="single" w:color="000000" w:sz="4" w:space="0"/>
            </w:tcBorders>
            <w:noWrap/>
            <w:vAlign w:val="center"/>
          </w:tcPr>
          <w:p w14:paraId="5F7DD3DD">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750" w:type="pct"/>
            <w:tcBorders>
              <w:top w:val="nil"/>
              <w:left w:val="nil"/>
              <w:bottom w:val="single" w:color="000000" w:sz="4" w:space="0"/>
              <w:right w:val="single" w:color="000000" w:sz="4" w:space="0"/>
            </w:tcBorders>
            <w:noWrap/>
            <w:vAlign w:val="center"/>
          </w:tcPr>
          <w:p w14:paraId="7935B36D">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类似业绩</w:t>
            </w:r>
          </w:p>
        </w:tc>
        <w:tc>
          <w:tcPr>
            <w:tcW w:w="2771" w:type="pct"/>
            <w:tcBorders>
              <w:top w:val="nil"/>
              <w:left w:val="nil"/>
              <w:bottom w:val="single" w:color="000000" w:sz="4" w:space="0"/>
              <w:right w:val="single" w:color="000000" w:sz="4" w:space="0"/>
            </w:tcBorders>
          </w:tcPr>
          <w:p w14:paraId="00FF62D4">
            <w:pPr>
              <w:keepNext/>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供应商自2023年1月1日（合同签订时间为准）以来，具备基因数据分析一体机</w:t>
            </w:r>
            <w:r>
              <w:rPr>
                <w:rFonts w:hint="eastAsia" w:ascii="宋体" w:hAnsi="宋体" w:eastAsia="宋体" w:cs="宋体"/>
                <w:sz w:val="24"/>
                <w:szCs w:val="24"/>
                <w:highlight w:val="none"/>
              </w:rPr>
              <w:t>或</w:t>
            </w:r>
            <w:r>
              <w:rPr>
                <w:rFonts w:hint="eastAsia" w:ascii="宋体" w:hAnsi="宋体" w:cs="宋体"/>
                <w:sz w:val="24"/>
                <w:szCs w:val="24"/>
                <w:highlight w:val="none"/>
              </w:rPr>
              <w:t>基因测序仪</w:t>
            </w:r>
            <w:r>
              <w:rPr>
                <w:rFonts w:hint="eastAsia" w:ascii="宋体" w:hAnsi="宋体" w:eastAsia="宋体" w:cs="宋体"/>
                <w:sz w:val="24"/>
                <w:szCs w:val="24"/>
                <w:highlight w:val="none"/>
              </w:rPr>
              <w:t>或</w:t>
            </w:r>
            <w:r>
              <w:rPr>
                <w:rFonts w:hint="eastAsia" w:ascii="宋体" w:hAnsi="宋体" w:cs="宋体"/>
                <w:sz w:val="24"/>
                <w:szCs w:val="24"/>
                <w:highlight w:val="none"/>
              </w:rPr>
              <w:t>自动化样本制备系统同类设备销售供货业绩，每提供1份有效同类业绩合同得0.5分，本项最高得6分。</w:t>
            </w:r>
          </w:p>
          <w:p w14:paraId="7349027B">
            <w:pPr>
              <w:keepNext/>
              <w:spacing w:after="0" w:line="240" w:lineRule="auto"/>
              <w:jc w:val="left"/>
              <w:rPr>
                <w:rFonts w:hint="eastAsia" w:ascii="宋体" w:hAnsi="宋体" w:cs="宋体"/>
                <w:sz w:val="24"/>
                <w:szCs w:val="24"/>
                <w:highlight w:val="none"/>
              </w:rPr>
            </w:pPr>
            <w:r>
              <w:rPr>
                <w:rFonts w:hint="eastAsia" w:ascii="宋体" w:hAnsi="宋体" w:cs="宋体"/>
                <w:b/>
                <w:bCs/>
                <w:sz w:val="24"/>
                <w:szCs w:val="24"/>
                <w:highlight w:val="none"/>
              </w:rPr>
              <w:t>注：每份业绩须同时提供①完整清晰的合同、②项目货物结算发票（任意一张）、③验收合格证明材料。所有证明材料提供扫描件并加盖投标人电子CA公章。未提供或证明材料提供不全的不得分。</w:t>
            </w:r>
          </w:p>
        </w:tc>
        <w:tc>
          <w:tcPr>
            <w:tcW w:w="307" w:type="pct"/>
            <w:tcBorders>
              <w:top w:val="nil"/>
              <w:left w:val="nil"/>
              <w:bottom w:val="single" w:color="000000" w:sz="4" w:space="0"/>
              <w:right w:val="single" w:color="000000" w:sz="4" w:space="0"/>
            </w:tcBorders>
            <w:vAlign w:val="center"/>
          </w:tcPr>
          <w:p w14:paraId="0EAB7EB7">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07" w:type="pct"/>
            <w:tcBorders>
              <w:top w:val="nil"/>
              <w:left w:val="nil"/>
              <w:bottom w:val="single" w:color="000000" w:sz="4" w:space="0"/>
              <w:right w:val="single" w:color="000000" w:sz="4" w:space="0"/>
            </w:tcBorders>
            <w:vAlign w:val="center"/>
          </w:tcPr>
          <w:p w14:paraId="6428E97A">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0</w:t>
            </w:r>
          </w:p>
        </w:tc>
        <w:tc>
          <w:tcPr>
            <w:tcW w:w="512" w:type="pct"/>
            <w:tcBorders>
              <w:top w:val="nil"/>
              <w:left w:val="nil"/>
              <w:bottom w:val="single" w:color="000000" w:sz="4" w:space="0"/>
              <w:right w:val="single" w:color="000000" w:sz="4" w:space="0"/>
            </w:tcBorders>
            <w:vAlign w:val="center"/>
          </w:tcPr>
          <w:p w14:paraId="1091D39A">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客观分</w:t>
            </w:r>
          </w:p>
        </w:tc>
      </w:tr>
      <w:tr w14:paraId="55A33737">
        <w:tblPrEx>
          <w:tblCellMar>
            <w:top w:w="0" w:type="dxa"/>
            <w:left w:w="108" w:type="dxa"/>
            <w:bottom w:w="0" w:type="dxa"/>
            <w:right w:w="108" w:type="dxa"/>
          </w:tblCellMar>
        </w:tblPrEx>
        <w:trPr>
          <w:trHeight w:val="437" w:hRule="atLeast"/>
        </w:trPr>
        <w:tc>
          <w:tcPr>
            <w:tcW w:w="350" w:type="pct"/>
            <w:tcBorders>
              <w:top w:val="nil"/>
              <w:left w:val="single" w:color="000000" w:sz="4" w:space="0"/>
              <w:bottom w:val="single" w:color="000000" w:sz="4" w:space="0"/>
              <w:right w:val="single" w:color="000000" w:sz="4" w:space="0"/>
            </w:tcBorders>
            <w:noWrap/>
            <w:vAlign w:val="center"/>
          </w:tcPr>
          <w:p w14:paraId="59BB4A1F">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750" w:type="pct"/>
            <w:tcBorders>
              <w:top w:val="nil"/>
              <w:left w:val="nil"/>
              <w:bottom w:val="single" w:color="000000" w:sz="4" w:space="0"/>
              <w:right w:val="single" w:color="000000" w:sz="4" w:space="0"/>
            </w:tcBorders>
            <w:noWrap/>
            <w:vAlign w:val="center"/>
          </w:tcPr>
          <w:p w14:paraId="1AAF4AB6">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响应及时性</w:t>
            </w:r>
          </w:p>
        </w:tc>
        <w:tc>
          <w:tcPr>
            <w:tcW w:w="2771" w:type="pct"/>
            <w:tcBorders>
              <w:top w:val="nil"/>
              <w:left w:val="nil"/>
              <w:bottom w:val="single" w:color="000000" w:sz="4" w:space="0"/>
              <w:right w:val="single" w:color="000000" w:sz="4" w:space="0"/>
            </w:tcBorders>
          </w:tcPr>
          <w:p w14:paraId="156CED2A">
            <w:pPr>
              <w:keepNext/>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供应商承诺在设备使用期间（无论是否过保），接到采购人服务需求后，可按以下标准为采购人提供现场技术指导或故障解决服务：</w:t>
            </w:r>
          </w:p>
          <w:p w14:paraId="201DD399">
            <w:pPr>
              <w:keepNext/>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（1）2小时内到达采购人现场并提供技术指导或解决故障的，得2分；</w:t>
            </w:r>
          </w:p>
          <w:p w14:paraId="0B03C832">
            <w:pPr>
              <w:keepNext/>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（2）6小时内到达采购人现场并提供技术指导或解决故障的，得1分；</w:t>
            </w:r>
          </w:p>
          <w:p w14:paraId="31FD5AB1">
            <w:pPr>
              <w:keepNext/>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（3）其他或未提供承诺的，不得分。</w:t>
            </w:r>
          </w:p>
          <w:p w14:paraId="39AEFB80">
            <w:pPr>
              <w:keepNext/>
              <w:spacing w:after="0" w:line="240" w:lineRule="auto"/>
              <w:rPr>
                <w:rFonts w:hint="eastAsia" w:ascii="宋体" w:hAnsi="宋体" w:cs="宋体"/>
                <w:b/>
                <w:bCs/>
                <w:sz w:val="24"/>
                <w:szCs w:val="24"/>
                <w:highlight w:val="none"/>
              </w:rPr>
            </w:pPr>
            <w:r>
              <w:rPr>
                <w:rFonts w:hint="eastAsia" w:ascii="宋体" w:hAnsi="宋体" w:eastAsia="宋体" w:cs="宋体"/>
                <w:b/>
                <w:bCs/>
                <w:sz w:val="24"/>
                <w:szCs w:val="24"/>
                <w:highlight w:val="none"/>
              </w:rPr>
              <w:t>注：“接到采购人服务需求”以采购人通过电话、短信、电子邮件或书面通知等方式发出需求的时间为准。投标人提供承诺函加盖投标人电子CA公章，承诺函格式自拟。</w:t>
            </w:r>
          </w:p>
        </w:tc>
        <w:tc>
          <w:tcPr>
            <w:tcW w:w="307" w:type="pct"/>
            <w:tcBorders>
              <w:top w:val="nil"/>
              <w:left w:val="nil"/>
              <w:bottom w:val="single" w:color="000000" w:sz="4" w:space="0"/>
              <w:right w:val="single" w:color="000000" w:sz="4" w:space="0"/>
            </w:tcBorders>
            <w:vAlign w:val="center"/>
          </w:tcPr>
          <w:p w14:paraId="08F0829C">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07" w:type="pct"/>
            <w:tcBorders>
              <w:top w:val="nil"/>
              <w:left w:val="nil"/>
              <w:bottom w:val="single" w:color="000000" w:sz="4" w:space="0"/>
              <w:right w:val="single" w:color="000000" w:sz="4" w:space="0"/>
            </w:tcBorders>
            <w:vAlign w:val="center"/>
          </w:tcPr>
          <w:p w14:paraId="63B7AEFC">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0</w:t>
            </w:r>
          </w:p>
        </w:tc>
        <w:tc>
          <w:tcPr>
            <w:tcW w:w="512" w:type="pct"/>
            <w:tcBorders>
              <w:top w:val="nil"/>
              <w:left w:val="nil"/>
              <w:bottom w:val="single" w:color="000000" w:sz="4" w:space="0"/>
              <w:right w:val="single" w:color="000000" w:sz="4" w:space="0"/>
            </w:tcBorders>
            <w:vAlign w:val="center"/>
          </w:tcPr>
          <w:p w14:paraId="41138211">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lang w:val="en-US" w:eastAsia="zh-CN"/>
              </w:rPr>
              <w:t>客</w:t>
            </w:r>
            <w:r>
              <w:rPr>
                <w:rFonts w:hint="eastAsia" w:ascii="宋体" w:hAnsi="宋体" w:cs="宋体"/>
                <w:sz w:val="24"/>
                <w:szCs w:val="24"/>
                <w:highlight w:val="none"/>
              </w:rPr>
              <w:t>观分</w:t>
            </w:r>
          </w:p>
        </w:tc>
      </w:tr>
      <w:tr w14:paraId="3C9DB4C6">
        <w:tblPrEx>
          <w:tblCellMar>
            <w:top w:w="0" w:type="dxa"/>
            <w:left w:w="108" w:type="dxa"/>
            <w:bottom w:w="0" w:type="dxa"/>
            <w:right w:w="108" w:type="dxa"/>
          </w:tblCellMar>
        </w:tblPrEx>
        <w:trPr>
          <w:trHeight w:val="437" w:hRule="atLeast"/>
        </w:trPr>
        <w:tc>
          <w:tcPr>
            <w:tcW w:w="350" w:type="pct"/>
            <w:tcBorders>
              <w:top w:val="nil"/>
              <w:left w:val="single" w:color="000000" w:sz="4" w:space="0"/>
              <w:bottom w:val="single" w:color="000000" w:sz="4" w:space="0"/>
              <w:right w:val="single" w:color="000000" w:sz="4" w:space="0"/>
            </w:tcBorders>
            <w:noWrap/>
            <w:vAlign w:val="center"/>
          </w:tcPr>
          <w:p w14:paraId="7F987B7B">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750" w:type="pct"/>
            <w:tcBorders>
              <w:top w:val="nil"/>
              <w:left w:val="nil"/>
              <w:bottom w:val="single" w:color="000000" w:sz="4" w:space="0"/>
              <w:right w:val="single" w:color="000000" w:sz="4" w:space="0"/>
            </w:tcBorders>
            <w:noWrap/>
            <w:vAlign w:val="center"/>
          </w:tcPr>
          <w:p w14:paraId="3AEF1228">
            <w:pPr>
              <w:spacing w:after="0" w:line="240" w:lineRule="auto"/>
              <w:jc w:val="center"/>
              <w:rPr>
                <w:rFonts w:hint="eastAsia" w:ascii="宋体" w:hAnsi="宋体"/>
                <w:sz w:val="20"/>
                <w:szCs w:val="21"/>
                <w:highlight w:val="none"/>
                <w:lang w:bidi="ar"/>
              </w:rPr>
            </w:pPr>
            <w:r>
              <w:rPr>
                <w:rFonts w:hint="eastAsia" w:ascii="宋体" w:hAnsi="宋体" w:cs="宋体"/>
                <w:sz w:val="24"/>
                <w:szCs w:val="24"/>
                <w:highlight w:val="none"/>
              </w:rPr>
              <w:t>免费质保</w:t>
            </w:r>
          </w:p>
        </w:tc>
        <w:tc>
          <w:tcPr>
            <w:tcW w:w="2771" w:type="pct"/>
            <w:tcBorders>
              <w:top w:val="nil"/>
              <w:left w:val="nil"/>
              <w:bottom w:val="single" w:color="000000" w:sz="4" w:space="0"/>
              <w:right w:val="single" w:color="000000" w:sz="4" w:space="0"/>
            </w:tcBorders>
          </w:tcPr>
          <w:p w14:paraId="350652FE">
            <w:pPr>
              <w:keepNext/>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满足采购文件规定的（质保期2年）基础上，每增加1年免费质量保证期的，得1分，最多得2分；若投标文件中出现前后不一致的情况，以最低免费质保期作为评分依据。</w:t>
            </w:r>
          </w:p>
          <w:p w14:paraId="5CC49D64">
            <w:pPr>
              <w:widowControl/>
              <w:spacing w:after="0" w:line="240" w:lineRule="auto"/>
              <w:jc w:val="left"/>
              <w:rPr>
                <w:rFonts w:hint="eastAsia" w:ascii="宋体" w:hAnsi="宋体"/>
                <w:sz w:val="20"/>
                <w:szCs w:val="21"/>
                <w:highlight w:val="none"/>
                <w:lang w:bidi="ar"/>
              </w:rPr>
            </w:pPr>
            <w:r>
              <w:rPr>
                <w:rFonts w:hint="eastAsia" w:ascii="宋体" w:hAnsi="宋体" w:cs="宋体"/>
                <w:b/>
                <w:bCs/>
                <w:sz w:val="24"/>
                <w:szCs w:val="24"/>
                <w:highlight w:val="none"/>
              </w:rPr>
              <w:t>注：投标人提供承诺函加盖投标人电子CA公章，承诺函格式自拟。</w:t>
            </w:r>
          </w:p>
        </w:tc>
        <w:tc>
          <w:tcPr>
            <w:tcW w:w="307" w:type="pct"/>
            <w:tcBorders>
              <w:top w:val="nil"/>
              <w:left w:val="nil"/>
              <w:bottom w:val="single" w:color="000000" w:sz="4" w:space="0"/>
              <w:right w:val="single" w:color="000000" w:sz="4" w:space="0"/>
            </w:tcBorders>
            <w:vAlign w:val="center"/>
          </w:tcPr>
          <w:p w14:paraId="77BF48B7">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07" w:type="pct"/>
            <w:tcBorders>
              <w:top w:val="nil"/>
              <w:left w:val="nil"/>
              <w:bottom w:val="single" w:color="000000" w:sz="4" w:space="0"/>
              <w:right w:val="single" w:color="000000" w:sz="4" w:space="0"/>
            </w:tcBorders>
            <w:vAlign w:val="center"/>
          </w:tcPr>
          <w:p w14:paraId="09FD905D">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0</w:t>
            </w:r>
          </w:p>
        </w:tc>
        <w:tc>
          <w:tcPr>
            <w:tcW w:w="512" w:type="pct"/>
            <w:tcBorders>
              <w:top w:val="nil"/>
              <w:left w:val="nil"/>
              <w:bottom w:val="single" w:color="000000" w:sz="4" w:space="0"/>
              <w:right w:val="single" w:color="000000" w:sz="4" w:space="0"/>
            </w:tcBorders>
            <w:vAlign w:val="center"/>
          </w:tcPr>
          <w:p w14:paraId="5A0544BD">
            <w:pPr>
              <w:spacing w:after="0" w:line="240" w:lineRule="auto"/>
              <w:jc w:val="center"/>
              <w:rPr>
                <w:rFonts w:hint="eastAsia" w:ascii="宋体" w:hAnsi="宋体" w:cs="宋体"/>
                <w:sz w:val="24"/>
                <w:szCs w:val="24"/>
                <w:highlight w:val="none"/>
              </w:rPr>
            </w:pPr>
            <w:r>
              <w:rPr>
                <w:rFonts w:hint="eastAsia" w:ascii="宋体" w:hAnsi="宋体" w:cs="宋体"/>
                <w:sz w:val="24"/>
                <w:szCs w:val="24"/>
                <w:highlight w:val="none"/>
              </w:rPr>
              <w:t>客观分</w:t>
            </w:r>
          </w:p>
        </w:tc>
      </w:tr>
    </w:tbl>
    <w:p w14:paraId="79476055">
      <w:pPr>
        <w:adjustRightInd w:val="0"/>
        <w:spacing w:line="440" w:lineRule="exact"/>
        <w:ind w:firstLine="482" w:firstLineChars="200"/>
        <w:jc w:val="left"/>
        <w:textAlignment w:val="baseline"/>
        <w:rPr>
          <w:rFonts w:hint="eastAsia" w:ascii="宋体" w:hAnsi="宋体" w:cs="宋体"/>
          <w:b/>
          <w:sz w:val="24"/>
          <w:szCs w:val="24"/>
          <w:highlight w:val="none"/>
        </w:rPr>
      </w:pPr>
      <w:r>
        <w:rPr>
          <w:rFonts w:hint="eastAsia" w:ascii="宋体" w:hAnsi="宋体" w:cs="宋体"/>
          <w:b/>
          <w:sz w:val="24"/>
          <w:szCs w:val="24"/>
          <w:highlight w:val="none"/>
        </w:rPr>
        <w:t>注：供应商中标后签订合同前将上述评审细则中提供的</w:t>
      </w:r>
      <w:r>
        <w:rPr>
          <w:rFonts w:hint="eastAsia" w:ascii="宋体" w:hAnsi="宋体" w:cs="宋体"/>
          <w:b/>
          <w:color w:val="FF0000"/>
          <w:sz w:val="24"/>
          <w:szCs w:val="24"/>
          <w:highlight w:val="none"/>
        </w:rPr>
        <w:t>检测报告等</w:t>
      </w:r>
      <w:r>
        <w:rPr>
          <w:rFonts w:hint="eastAsia" w:ascii="宋体" w:hAnsi="宋体" w:cs="宋体"/>
          <w:b/>
          <w:color w:val="auto"/>
          <w:sz w:val="24"/>
          <w:szCs w:val="24"/>
          <w:highlight w:val="none"/>
        </w:rPr>
        <w:t>原件</w:t>
      </w:r>
      <w:r>
        <w:rPr>
          <w:rFonts w:hint="eastAsia" w:ascii="宋体" w:hAnsi="宋体" w:cs="宋体"/>
          <w:b/>
          <w:sz w:val="24"/>
          <w:szCs w:val="24"/>
          <w:highlight w:val="none"/>
        </w:rPr>
        <w:t>交采购人核验。如不能提供可视为该供应商虚假应标，采购人有权不与其签订合同并按政府采购相关规定处理。</w:t>
      </w:r>
    </w:p>
    <w:p w14:paraId="4247A014">
      <w:pPr>
        <w:pStyle w:val="323"/>
        <w:spacing w:before="0" w:after="0"/>
        <w:ind w:firstLine="562"/>
        <w:rPr>
          <w:rFonts w:hint="eastAsia" w:ascii="宋体" w:hAnsi="宋体" w:cs="宋体"/>
          <w:b/>
          <w:highlight w:val="none"/>
        </w:rPr>
      </w:pPr>
      <w:r>
        <w:rPr>
          <w:rFonts w:hint="eastAsia" w:ascii="宋体" w:hAnsi="宋体" w:cs="宋体"/>
          <w:b/>
          <w:highlight w:val="none"/>
        </w:rPr>
        <w:t>2.价格分：30分</w:t>
      </w:r>
    </w:p>
    <w:p w14:paraId="50D4FB34">
      <w:pPr>
        <w:pStyle w:val="323"/>
        <w:spacing w:before="0" w:after="0"/>
        <w:ind w:firstLine="562"/>
        <w:rPr>
          <w:rFonts w:hint="eastAsia" w:ascii="宋体" w:hAnsi="宋体" w:cs="宋体"/>
          <w:b/>
          <w:highlight w:val="none"/>
        </w:rPr>
      </w:pPr>
      <w:r>
        <w:rPr>
          <w:rFonts w:hint="eastAsia" w:ascii="宋体" w:hAnsi="宋体" w:cs="宋体"/>
          <w:bCs/>
          <w:highlight w:val="none"/>
        </w:rPr>
        <w:t>本</w:t>
      </w:r>
      <w:r>
        <w:rPr>
          <w:rFonts w:hint="eastAsia" w:ascii="宋体" w:hAnsi="宋体" w:cs="宋体"/>
          <w:bCs/>
          <w:highlight w:val="none"/>
          <w:lang w:val="en-US" w:eastAsia="zh-CN"/>
        </w:rPr>
        <w:t>项目</w:t>
      </w:r>
      <w:r>
        <w:rPr>
          <w:rFonts w:hint="eastAsia" w:ascii="宋体" w:hAnsi="宋体" w:cs="宋体"/>
          <w:bCs/>
          <w:highlight w:val="none"/>
        </w:rPr>
        <w:t>以投标总价计算价格分。</w:t>
      </w:r>
    </w:p>
    <w:p w14:paraId="15B5CEDD">
      <w:pPr>
        <w:pStyle w:val="323"/>
        <w:spacing w:before="0" w:after="0"/>
        <w:ind w:firstLine="482"/>
        <w:jc w:val="both"/>
        <w:rPr>
          <w:rFonts w:hint="eastAsia" w:ascii="宋体" w:hAnsi="宋体" w:cs="宋体"/>
          <w:highlight w:val="none"/>
        </w:rPr>
      </w:pPr>
      <w:r>
        <w:rPr>
          <w:rFonts w:hint="eastAsia" w:ascii="宋体" w:hAnsi="宋体" w:cs="宋体"/>
          <w:highlight w:val="none"/>
        </w:rPr>
        <w:t>价格分统一采用低价优先法计算，即满足招标文件要求且投标价格最低的投标报价为评标基准价，其价格分为满分。其他投标人的价格分统一按照下列公式计算：</w:t>
      </w:r>
    </w:p>
    <w:p w14:paraId="3E8CF6CE">
      <w:pPr>
        <w:pStyle w:val="323"/>
        <w:spacing w:before="0" w:after="0"/>
        <w:ind w:firstLine="482"/>
        <w:jc w:val="both"/>
        <w:rPr>
          <w:rFonts w:hint="eastAsia" w:ascii="宋体" w:hAnsi="宋体" w:cs="宋体"/>
          <w:b/>
          <w:highlight w:val="none"/>
        </w:rPr>
      </w:pPr>
      <w:r>
        <w:rPr>
          <w:rFonts w:hint="eastAsia" w:ascii="宋体" w:hAnsi="宋体" w:cs="宋体"/>
          <w:highlight w:val="none"/>
        </w:rPr>
        <w:t>投标报价得分=（评标基准价/投标报价）×价格权值×100</w:t>
      </w:r>
    </w:p>
    <w:p w14:paraId="40E51913">
      <w:pPr>
        <w:rPr>
          <w:rFonts w:hint="eastAsia" w:ascii="宋体" w:hAnsi="宋体" w:cs="宋体"/>
          <w:b/>
          <w:sz w:val="24"/>
          <w:szCs w:val="24"/>
          <w:highlight w:val="none"/>
        </w:rPr>
      </w:pPr>
      <w:r>
        <w:rPr>
          <w:rFonts w:hint="eastAsia" w:ascii="宋体" w:hAnsi="宋体" w:cs="宋体"/>
          <w:b/>
          <w:sz w:val="24"/>
          <w:szCs w:val="24"/>
          <w:highlight w:val="none"/>
        </w:rPr>
        <w:br w:type="page"/>
      </w:r>
    </w:p>
    <w:p w14:paraId="02132A39">
      <w:pPr>
        <w:pStyle w:val="49"/>
        <w:pageBreakBefore/>
        <w:spacing w:after="0"/>
        <w:ind w:firstLine="0"/>
        <w:jc w:val="center"/>
        <w:outlineLvl w:val="0"/>
        <w:rPr>
          <w:rFonts w:hint="eastAsia" w:ascii="宋体" w:hAnsi="宋体" w:eastAsia="宋体" w:cs="宋体"/>
          <w:b/>
          <w:bCs/>
          <w:sz w:val="44"/>
          <w:szCs w:val="44"/>
          <w:highlight w:val="none"/>
          <w:lang w:eastAsia="zh-CN"/>
        </w:rPr>
      </w:pPr>
      <w:r>
        <w:rPr>
          <w:rFonts w:hint="eastAsia" w:ascii="宋体" w:hAnsi="宋体" w:eastAsia="宋体" w:cs="宋体"/>
          <w:b/>
          <w:bCs/>
          <w:sz w:val="44"/>
          <w:szCs w:val="44"/>
          <w:highlight w:val="none"/>
          <w:lang w:eastAsia="zh-CN"/>
        </w:rPr>
        <w:t>第六章  投标</w:t>
      </w:r>
      <w:bookmarkEnd w:id="179"/>
      <w:bookmarkEnd w:id="180"/>
      <w:bookmarkEnd w:id="181"/>
      <w:r>
        <w:rPr>
          <w:rFonts w:hint="eastAsia" w:ascii="宋体" w:hAnsi="宋体" w:eastAsia="宋体" w:cs="宋体"/>
          <w:b/>
          <w:bCs/>
          <w:sz w:val="44"/>
          <w:szCs w:val="44"/>
          <w:highlight w:val="none"/>
          <w:lang w:eastAsia="zh-CN"/>
        </w:rPr>
        <w:t>文件格式</w:t>
      </w:r>
    </w:p>
    <w:p w14:paraId="34477000">
      <w:pPr>
        <w:spacing w:after="0" w:line="360" w:lineRule="auto"/>
        <w:jc w:val="center"/>
        <w:rPr>
          <w:rFonts w:hint="eastAsia" w:ascii="宋体" w:hAnsi="宋体" w:cs="宋体"/>
          <w:b/>
          <w:sz w:val="24"/>
          <w:szCs w:val="24"/>
          <w:highlight w:val="none"/>
        </w:rPr>
      </w:pPr>
      <w:bookmarkStart w:id="187" w:name="_Hlt26671244"/>
      <w:bookmarkEnd w:id="187"/>
      <w:bookmarkStart w:id="188" w:name="_Hlt26955039"/>
      <w:bookmarkEnd w:id="188"/>
      <w:bookmarkStart w:id="189" w:name="_Toc120614282"/>
      <w:bookmarkStart w:id="190" w:name="_Toc26554094"/>
      <w:bookmarkStart w:id="191" w:name="_Toc49090576"/>
    </w:p>
    <w:p w14:paraId="33A078AF">
      <w:pPr>
        <w:spacing w:after="0" w:line="360" w:lineRule="auto"/>
        <w:jc w:val="center"/>
        <w:rPr>
          <w:rFonts w:hint="eastAsia" w:ascii="宋体" w:hAnsi="宋体" w:cs="宋体"/>
          <w:b/>
          <w:bCs/>
          <w:sz w:val="44"/>
          <w:szCs w:val="44"/>
          <w:highlight w:val="none"/>
        </w:rPr>
      </w:pPr>
    </w:p>
    <w:p w14:paraId="2E42A366">
      <w:pPr>
        <w:spacing w:after="0" w:line="360" w:lineRule="auto"/>
        <w:jc w:val="center"/>
        <w:rPr>
          <w:rFonts w:hint="eastAsia" w:ascii="宋体" w:hAnsi="宋体" w:cs="宋体"/>
          <w:b/>
          <w:bCs/>
          <w:sz w:val="44"/>
          <w:szCs w:val="44"/>
          <w:highlight w:val="none"/>
        </w:rPr>
      </w:pPr>
    </w:p>
    <w:p w14:paraId="4D834104">
      <w:pPr>
        <w:spacing w:after="0" w:line="360" w:lineRule="auto"/>
        <w:jc w:val="center"/>
        <w:rPr>
          <w:rFonts w:hint="eastAsia" w:ascii="宋体" w:hAnsi="宋体" w:cs="宋体"/>
          <w:b/>
          <w:bCs/>
          <w:sz w:val="44"/>
          <w:szCs w:val="44"/>
          <w:highlight w:val="none"/>
        </w:rPr>
      </w:pPr>
      <w:r>
        <w:rPr>
          <w:rFonts w:hint="eastAsia" w:ascii="宋体" w:hAnsi="宋体" w:cs="宋体"/>
          <w:b/>
          <w:bCs/>
          <w:sz w:val="44"/>
          <w:szCs w:val="44"/>
          <w:highlight w:val="none"/>
        </w:rPr>
        <w:t>投  标  文  件</w:t>
      </w:r>
    </w:p>
    <w:p w14:paraId="3F6222CD">
      <w:pPr>
        <w:spacing w:after="0" w:line="360" w:lineRule="auto"/>
        <w:jc w:val="center"/>
        <w:rPr>
          <w:rFonts w:hint="eastAsia" w:ascii="宋体" w:hAnsi="宋体" w:cs="宋体"/>
          <w:b/>
          <w:sz w:val="24"/>
          <w:szCs w:val="24"/>
          <w:highlight w:val="none"/>
        </w:rPr>
      </w:pPr>
    </w:p>
    <w:p w14:paraId="32DDDEFA">
      <w:pPr>
        <w:spacing w:after="0" w:line="360" w:lineRule="auto"/>
        <w:jc w:val="center"/>
        <w:rPr>
          <w:rFonts w:hint="eastAsia" w:ascii="宋体" w:hAnsi="宋体" w:cs="宋体"/>
          <w:b/>
          <w:sz w:val="24"/>
          <w:szCs w:val="24"/>
          <w:highlight w:val="none"/>
        </w:rPr>
      </w:pPr>
    </w:p>
    <w:p w14:paraId="04BFE1C2">
      <w:pPr>
        <w:spacing w:after="0" w:line="360" w:lineRule="auto"/>
        <w:jc w:val="center"/>
        <w:rPr>
          <w:rFonts w:hint="eastAsia" w:ascii="宋体" w:hAnsi="宋体" w:cs="宋体"/>
          <w:b/>
          <w:sz w:val="24"/>
          <w:szCs w:val="24"/>
          <w:highlight w:val="none"/>
        </w:rPr>
      </w:pPr>
    </w:p>
    <w:p w14:paraId="50448726">
      <w:pPr>
        <w:spacing w:after="0" w:line="360" w:lineRule="auto"/>
        <w:jc w:val="center"/>
        <w:rPr>
          <w:rFonts w:hint="eastAsia" w:ascii="宋体" w:hAnsi="宋体" w:cs="宋体"/>
          <w:b/>
          <w:sz w:val="24"/>
          <w:szCs w:val="24"/>
          <w:highlight w:val="none"/>
        </w:rPr>
      </w:pPr>
    </w:p>
    <w:p w14:paraId="70019511">
      <w:pPr>
        <w:spacing w:after="0" w:line="360" w:lineRule="auto"/>
        <w:jc w:val="center"/>
        <w:rPr>
          <w:rFonts w:hint="eastAsia" w:ascii="宋体" w:hAnsi="宋体" w:cs="宋体"/>
          <w:b/>
          <w:sz w:val="32"/>
          <w:szCs w:val="32"/>
          <w:highlight w:val="none"/>
        </w:rPr>
      </w:pPr>
    </w:p>
    <w:p w14:paraId="07C0AC55">
      <w:pPr>
        <w:spacing w:after="0" w:line="360" w:lineRule="auto"/>
        <w:ind w:firstLine="1084"/>
        <w:rPr>
          <w:rFonts w:hint="eastAsia" w:ascii="宋体" w:hAnsi="宋体" w:cs="宋体"/>
          <w:b/>
          <w:sz w:val="32"/>
          <w:szCs w:val="32"/>
          <w:highlight w:val="none"/>
        </w:rPr>
      </w:pPr>
      <w:r>
        <w:rPr>
          <w:rFonts w:hint="eastAsia" w:ascii="宋体" w:hAnsi="宋体" w:cs="宋体"/>
          <w:b/>
          <w:sz w:val="32"/>
          <w:szCs w:val="32"/>
          <w:highlight w:val="none"/>
        </w:rPr>
        <w:t>项 目 名 称：</w:t>
      </w:r>
      <w:r>
        <w:rPr>
          <w:rFonts w:hint="eastAsia" w:ascii="宋体" w:hAnsi="宋体" w:cs="宋体"/>
          <w:b/>
          <w:sz w:val="32"/>
          <w:szCs w:val="32"/>
          <w:highlight w:val="none"/>
          <w:u w:val="single"/>
        </w:rPr>
        <w:t xml:space="preserve"> 南通市疾病预防控制中心高通量二代测序一体化平台采购项目  </w:t>
      </w:r>
    </w:p>
    <w:p w14:paraId="059FF5CD">
      <w:pPr>
        <w:spacing w:after="0" w:line="360" w:lineRule="auto"/>
        <w:ind w:firstLine="1084"/>
        <w:rPr>
          <w:rFonts w:hint="eastAsia" w:ascii="宋体" w:hAnsi="宋体" w:cs="宋体"/>
          <w:b/>
          <w:sz w:val="32"/>
          <w:szCs w:val="32"/>
          <w:highlight w:val="none"/>
          <w:u w:val="single"/>
        </w:rPr>
      </w:pPr>
      <w:r>
        <w:rPr>
          <w:rFonts w:hint="eastAsia" w:ascii="宋体" w:hAnsi="宋体" w:cs="宋体"/>
          <w:b/>
          <w:sz w:val="32"/>
          <w:szCs w:val="32"/>
          <w:highlight w:val="none"/>
        </w:rPr>
        <w:t>项 目 编 号：</w:t>
      </w:r>
      <w:r>
        <w:rPr>
          <w:rFonts w:hint="eastAsia" w:ascii="宋体" w:hAnsi="宋体" w:cs="宋体"/>
          <w:bCs/>
          <w:sz w:val="32"/>
          <w:szCs w:val="32"/>
          <w:highlight w:val="none"/>
          <w:u w:val="single"/>
        </w:rPr>
        <w:t xml:space="preserve"> </w:t>
      </w:r>
      <w:r>
        <w:rPr>
          <w:rFonts w:hint="eastAsia" w:ascii="宋体" w:hAnsi="宋体" w:cs="宋体"/>
          <w:bCs/>
          <w:sz w:val="32"/>
          <w:szCs w:val="32"/>
          <w:highlight w:val="none"/>
          <w:u w:val="single"/>
          <w:lang w:eastAsia="zh-CN"/>
        </w:rPr>
        <w:t>JSZC-320600-WYKJ-G2026-0041</w:t>
      </w:r>
      <w:r>
        <w:rPr>
          <w:rFonts w:hint="eastAsia" w:ascii="宋体" w:hAnsi="宋体" w:cs="宋体"/>
          <w:b/>
          <w:sz w:val="32"/>
          <w:szCs w:val="32"/>
          <w:highlight w:val="none"/>
          <w:u w:val="single"/>
        </w:rPr>
        <w:t xml:space="preserve"> </w:t>
      </w:r>
    </w:p>
    <w:p w14:paraId="64A5606F">
      <w:pPr>
        <w:spacing w:after="0" w:line="360" w:lineRule="auto"/>
        <w:rPr>
          <w:rFonts w:hint="eastAsia" w:ascii="宋体" w:hAnsi="宋体" w:cs="宋体"/>
          <w:b/>
          <w:sz w:val="32"/>
          <w:szCs w:val="32"/>
          <w:highlight w:val="none"/>
          <w:u w:val="single"/>
        </w:rPr>
      </w:pPr>
      <w:r>
        <w:rPr>
          <w:rFonts w:hint="eastAsia" w:ascii="宋体" w:hAnsi="宋体" w:cs="宋体"/>
          <w:b/>
          <w:sz w:val="32"/>
          <w:szCs w:val="32"/>
          <w:highlight w:val="none"/>
        </w:rPr>
        <w:t xml:space="preserve">       投标人名称 ：</w:t>
      </w:r>
      <w:r>
        <w:rPr>
          <w:rFonts w:hint="eastAsia" w:ascii="宋体" w:hAnsi="宋体" w:cs="宋体"/>
          <w:b/>
          <w:sz w:val="32"/>
          <w:szCs w:val="32"/>
          <w:highlight w:val="none"/>
          <w:u w:val="single"/>
        </w:rPr>
        <w:t xml:space="preserve">（加盖CA电子公章）                  </w:t>
      </w:r>
    </w:p>
    <w:p w14:paraId="37716D8C">
      <w:pPr>
        <w:spacing w:after="0" w:line="360" w:lineRule="auto"/>
        <w:rPr>
          <w:rFonts w:hint="eastAsia" w:ascii="宋体" w:hAnsi="宋体" w:cs="宋体"/>
          <w:b/>
          <w:bCs/>
          <w:sz w:val="32"/>
          <w:szCs w:val="32"/>
          <w:highlight w:val="none"/>
          <w:u w:val="single"/>
        </w:rPr>
      </w:pPr>
      <w:r>
        <w:rPr>
          <w:rFonts w:hint="eastAsia" w:ascii="宋体" w:hAnsi="宋体" w:cs="宋体"/>
          <w:b/>
          <w:sz w:val="32"/>
          <w:szCs w:val="32"/>
          <w:highlight w:val="none"/>
        </w:rPr>
        <w:t xml:space="preserve">       日      期 ：</w:t>
      </w:r>
      <w:r>
        <w:rPr>
          <w:rFonts w:hint="eastAsia" w:ascii="宋体" w:hAnsi="宋体" w:cs="宋体"/>
          <w:b/>
          <w:sz w:val="32"/>
          <w:szCs w:val="32"/>
          <w:highlight w:val="none"/>
          <w:u w:val="single"/>
        </w:rPr>
        <w:t xml:space="preserve">                                     </w:t>
      </w:r>
    </w:p>
    <w:p w14:paraId="15846AEE">
      <w:pPr>
        <w:pageBreakBefore/>
        <w:spacing w:after="0"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投标文件目录</w:t>
      </w:r>
    </w:p>
    <w:p w14:paraId="1406E27D">
      <w:pPr>
        <w:spacing w:after="0" w:line="360" w:lineRule="auto"/>
        <w:jc w:val="center"/>
        <w:rPr>
          <w:rFonts w:hint="eastAsia" w:ascii="宋体" w:hAnsi="宋体" w:cs="宋体"/>
          <w:b/>
          <w:bCs/>
          <w:sz w:val="24"/>
          <w:szCs w:val="24"/>
          <w:highlight w:val="none"/>
        </w:rPr>
      </w:pPr>
    </w:p>
    <w:p w14:paraId="672B8776">
      <w:pPr>
        <w:spacing w:after="0" w:line="360" w:lineRule="auto"/>
        <w:ind w:left="480"/>
        <w:rPr>
          <w:rFonts w:hint="eastAsia" w:ascii="宋体" w:hAnsi="宋体" w:cs="宋体"/>
          <w:b/>
          <w:sz w:val="24"/>
          <w:szCs w:val="24"/>
          <w:highlight w:val="none"/>
        </w:rPr>
      </w:pPr>
      <w:r>
        <w:rPr>
          <w:rFonts w:hint="eastAsia" w:ascii="宋体" w:hAnsi="宋体" w:cs="宋体"/>
          <w:b/>
          <w:sz w:val="24"/>
          <w:szCs w:val="24"/>
          <w:highlight w:val="none"/>
        </w:rPr>
        <w:t>一、基本目录</w:t>
      </w:r>
    </w:p>
    <w:p w14:paraId="0BF8A099">
      <w:pPr>
        <w:spacing w:after="0" w:line="360" w:lineRule="auto"/>
        <w:ind w:left="480"/>
        <w:rPr>
          <w:rFonts w:hint="eastAsia" w:ascii="宋体" w:hAnsi="宋体" w:cs="宋体"/>
          <w:sz w:val="24"/>
          <w:szCs w:val="24"/>
          <w:highlight w:val="none"/>
        </w:rPr>
      </w:pPr>
      <w:r>
        <w:rPr>
          <w:rFonts w:hint="eastAsia" w:ascii="宋体" w:hAnsi="宋体" w:cs="宋体"/>
          <w:sz w:val="24"/>
          <w:szCs w:val="24"/>
          <w:highlight w:val="none"/>
        </w:rPr>
        <w:t>1.开标一览表</w:t>
      </w:r>
    </w:p>
    <w:p w14:paraId="5C35C22E">
      <w:pPr>
        <w:spacing w:after="0" w:line="360" w:lineRule="auto"/>
        <w:ind w:left="480"/>
        <w:rPr>
          <w:rFonts w:hint="eastAsia" w:ascii="宋体" w:hAnsi="宋体" w:cs="宋体"/>
          <w:b/>
          <w:sz w:val="24"/>
          <w:szCs w:val="24"/>
          <w:highlight w:val="none"/>
        </w:rPr>
      </w:pPr>
      <w:r>
        <w:rPr>
          <w:rFonts w:hint="eastAsia" w:ascii="宋体" w:hAnsi="宋体" w:cs="宋体"/>
          <w:b/>
          <w:sz w:val="24"/>
          <w:szCs w:val="24"/>
          <w:highlight w:val="none"/>
        </w:rPr>
        <w:t>二、资格审查内容</w:t>
      </w:r>
    </w:p>
    <w:p w14:paraId="15674C2F">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1.投标人提供符合《中华人民共和国政府采购法》第二十二条规定条件的声明函（格式参见附件）；</w:t>
      </w:r>
    </w:p>
    <w:p w14:paraId="36E26903">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2.供应商具有独立承担民事责任的能力，提供法人或者其他组织的营业执照等证明文件；</w:t>
      </w:r>
    </w:p>
    <w:p w14:paraId="26E36BF0">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3.如为法定代表人参加投标的，必须提供法定代表人身份证明及法定代表人本人身份证扫描件；非法定代表人参加投标的，必须提供法定代表人签字或盖章的授权委托书、法定代表人本人身份证扫描件及被授权人本人身份证扫描件（格式参见附件）；</w:t>
      </w:r>
    </w:p>
    <w:p w14:paraId="7DB0937A">
      <w:pPr>
        <w:spacing w:after="0" w:line="360" w:lineRule="auto"/>
        <w:ind w:firstLine="560"/>
        <w:rPr>
          <w:rFonts w:hint="eastAsia" w:ascii="宋体" w:hAnsi="宋体" w:cs="宋体"/>
          <w:sz w:val="24"/>
          <w:szCs w:val="24"/>
          <w:highlight w:val="none"/>
        </w:rPr>
      </w:pPr>
      <w:r>
        <w:rPr>
          <w:rFonts w:hint="eastAsia" w:ascii="宋体" w:hAnsi="宋体"/>
          <w:sz w:val="24"/>
          <w:szCs w:val="24"/>
          <w:highlight w:val="none"/>
        </w:rPr>
        <w:t>4.在“信用中国”网站（www.creditchina.gov.cn）查询，投标人不存在被列入失信被执行人、重大税收违法案件当事人名单；在“中国政府采购”网站（http://www.ccgp.gov.cn/）查询，投标人不存在被列入政府采购严重违法失信行为信息记录；以及无其他不符合《中华人民共和国政府采购法》第二十二条规定条件的信用记录情形</w:t>
      </w:r>
      <w:r>
        <w:rPr>
          <w:rFonts w:hint="eastAsia" w:ascii="宋体" w:hAnsi="宋体" w:cs="宋体"/>
          <w:sz w:val="24"/>
          <w:szCs w:val="24"/>
          <w:highlight w:val="none"/>
        </w:rPr>
        <w:t>（投标文件中无需提供证明材料）；</w:t>
      </w:r>
    </w:p>
    <w:p w14:paraId="68EB4BCC">
      <w:pPr>
        <w:spacing w:after="0" w:line="360" w:lineRule="auto"/>
        <w:ind w:firstLine="540"/>
        <w:rPr>
          <w:rFonts w:hint="eastAsia" w:ascii="宋体" w:hAnsi="宋体" w:cs="宋体"/>
          <w:b/>
          <w:bCs/>
          <w:color w:val="FF0000"/>
          <w:sz w:val="24"/>
          <w:szCs w:val="24"/>
          <w:highlight w:val="none"/>
        </w:rPr>
      </w:pPr>
      <w:r>
        <w:rPr>
          <w:rFonts w:hint="eastAsia" w:ascii="宋体" w:hAnsi="宋体" w:cs="宋体"/>
          <w:b/>
          <w:bCs/>
          <w:color w:val="FF0000"/>
          <w:sz w:val="24"/>
          <w:szCs w:val="24"/>
          <w:highlight w:val="none"/>
        </w:rPr>
        <w:t>5.特定资格要求的证明文件（</w:t>
      </w:r>
      <w:r>
        <w:rPr>
          <w:rFonts w:hint="eastAsia" w:ascii="宋体" w:hAnsi="宋体" w:cs="宋体"/>
          <w:sz w:val="24"/>
          <w:szCs w:val="24"/>
          <w:highlight w:val="none"/>
        </w:rPr>
        <w:t>供应商若为所投产品制造商的，提供具有有效期内的《医疗器械生产许可证》，设备1、设备2、设备3具有有效的《医疗器械注册证》；供应商若为所投产品代理商的，提供具有有效期内的《医疗器械经营许可证》，设备1、设备2、设备3具有有效的《医疗器械注册证》</w:t>
      </w:r>
      <w:r>
        <w:rPr>
          <w:rFonts w:hint="eastAsia" w:ascii="宋体" w:hAnsi="宋体" w:cs="宋体"/>
          <w:sz w:val="24"/>
          <w:szCs w:val="24"/>
          <w:highlight w:val="none"/>
          <w:lang w:val="en-US" w:eastAsia="zh-CN"/>
        </w:rPr>
        <w:t>或《</w:t>
      </w:r>
      <w:r>
        <w:rPr>
          <w:rFonts w:ascii="Segoe UI" w:hAnsi="Segoe UI" w:eastAsia="Segoe UI" w:cs="Segoe UI"/>
          <w:i w:val="0"/>
          <w:iCs w:val="0"/>
          <w:caps w:val="0"/>
          <w:color w:val="0F1115"/>
          <w:spacing w:val="0"/>
          <w:sz w:val="24"/>
          <w:szCs w:val="24"/>
          <w:shd w:val="clear" w:fill="FFFFFF"/>
        </w:rPr>
        <w:t>医疗器械经营备案凭证</w:t>
      </w:r>
      <w:r>
        <w:rPr>
          <w:rFonts w:hint="eastAsia" w:ascii="宋体" w:hAnsi="宋体" w:cs="宋体"/>
          <w:sz w:val="24"/>
          <w:szCs w:val="24"/>
          <w:highlight w:val="none"/>
          <w:lang w:val="en-US" w:eastAsia="zh-CN"/>
        </w:rPr>
        <w:t>》。</w:t>
      </w:r>
      <w:r>
        <w:rPr>
          <w:rFonts w:hint="eastAsia" w:ascii="宋体" w:hAnsi="宋体" w:cs="宋体"/>
          <w:sz w:val="24"/>
          <w:szCs w:val="24"/>
          <w:highlight w:val="none"/>
          <w:lang w:eastAsia="zh-CN"/>
        </w:rPr>
        <w:t>国家另有规定的从其规定</w:t>
      </w:r>
      <w:r>
        <w:rPr>
          <w:rFonts w:hint="eastAsia" w:ascii="宋体" w:hAnsi="宋体" w:cs="宋体"/>
          <w:b/>
          <w:bCs/>
          <w:color w:val="FF0000"/>
          <w:sz w:val="24"/>
          <w:szCs w:val="24"/>
          <w:highlight w:val="none"/>
        </w:rPr>
        <w:t>）。</w:t>
      </w:r>
    </w:p>
    <w:p w14:paraId="50F1551A">
      <w:pPr>
        <w:spacing w:after="0" w:line="360" w:lineRule="auto"/>
        <w:ind w:left="480"/>
        <w:rPr>
          <w:rFonts w:hint="eastAsia" w:ascii="宋体" w:hAnsi="宋体" w:cs="宋体"/>
          <w:b/>
          <w:sz w:val="24"/>
          <w:szCs w:val="24"/>
          <w:highlight w:val="none"/>
        </w:rPr>
      </w:pPr>
      <w:r>
        <w:rPr>
          <w:rFonts w:hint="eastAsia" w:ascii="宋体" w:hAnsi="宋体" w:cs="宋体"/>
          <w:b/>
          <w:sz w:val="24"/>
          <w:szCs w:val="24"/>
          <w:highlight w:val="none"/>
        </w:rPr>
        <w:t>三、符合性审查内容</w:t>
      </w:r>
    </w:p>
    <w:p w14:paraId="555AA66D">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1.投标函（格式参见附件）；</w:t>
      </w:r>
    </w:p>
    <w:p w14:paraId="671C26DD">
      <w:pPr>
        <w:spacing w:after="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2.开标一览表（格式参见附件）；</w:t>
      </w:r>
    </w:p>
    <w:p w14:paraId="11AF9797">
      <w:pPr>
        <w:spacing w:after="0" w:line="360" w:lineRule="auto"/>
        <w:ind w:left="480"/>
        <w:rPr>
          <w:rFonts w:hint="eastAsia" w:ascii="宋体" w:hAnsi="宋体" w:cs="宋体"/>
          <w:sz w:val="24"/>
          <w:szCs w:val="24"/>
          <w:highlight w:val="none"/>
        </w:rPr>
      </w:pPr>
      <w:r>
        <w:rPr>
          <w:rFonts w:hint="eastAsia" w:ascii="宋体" w:hAnsi="宋体" w:cs="宋体"/>
          <w:sz w:val="24"/>
          <w:szCs w:val="24"/>
          <w:highlight w:val="none"/>
        </w:rPr>
        <w:t>3.投标分项报价表（格式参见附件）；</w:t>
      </w:r>
    </w:p>
    <w:p w14:paraId="1857363A">
      <w:pPr>
        <w:spacing w:after="0" w:line="360" w:lineRule="auto"/>
        <w:ind w:left="480"/>
        <w:rPr>
          <w:rFonts w:hint="eastAsia" w:ascii="宋体" w:hAnsi="宋体" w:cs="宋体"/>
          <w:sz w:val="24"/>
          <w:szCs w:val="24"/>
          <w:highlight w:val="none"/>
        </w:rPr>
      </w:pPr>
      <w:r>
        <w:rPr>
          <w:rFonts w:hint="eastAsia" w:ascii="宋体" w:hAnsi="宋体" w:cs="宋体"/>
          <w:sz w:val="24"/>
          <w:szCs w:val="24"/>
          <w:highlight w:val="none"/>
        </w:rPr>
        <w:t>4.技术要求响应及偏离表（格式参见附件）；</w:t>
      </w:r>
    </w:p>
    <w:p w14:paraId="64C815A7">
      <w:pPr>
        <w:spacing w:after="0" w:line="360" w:lineRule="auto"/>
        <w:ind w:left="480"/>
        <w:rPr>
          <w:rFonts w:hint="eastAsia" w:ascii="宋体" w:hAnsi="宋体" w:cs="宋体"/>
          <w:sz w:val="24"/>
          <w:szCs w:val="24"/>
          <w:highlight w:val="none"/>
        </w:rPr>
      </w:pPr>
      <w:r>
        <w:rPr>
          <w:rFonts w:hint="eastAsia" w:ascii="宋体" w:hAnsi="宋体" w:cs="宋体"/>
          <w:sz w:val="24"/>
          <w:szCs w:val="24"/>
          <w:highlight w:val="none"/>
        </w:rPr>
        <w:t>5.商务要求响应及偏离表（格式参见附件）；</w:t>
      </w:r>
    </w:p>
    <w:p w14:paraId="6AF3858D">
      <w:pPr>
        <w:spacing w:line="360" w:lineRule="auto"/>
        <w:ind w:firstLine="482"/>
        <w:contextualSpacing/>
        <w:rPr>
          <w:rFonts w:hint="eastAsia" w:ascii="宋体" w:hAnsi="宋体" w:cs="宋体"/>
          <w:b/>
          <w:sz w:val="24"/>
          <w:szCs w:val="24"/>
          <w:highlight w:val="none"/>
        </w:rPr>
      </w:pPr>
      <w:r>
        <w:rPr>
          <w:rFonts w:hint="eastAsia" w:ascii="宋体" w:hAnsi="宋体" w:cs="宋体"/>
          <w:b/>
          <w:sz w:val="24"/>
          <w:szCs w:val="24"/>
          <w:highlight w:val="none"/>
        </w:rPr>
        <w:t>四、商务技术标文件</w:t>
      </w:r>
    </w:p>
    <w:p w14:paraId="1B5762EB">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rPr>
        <w:t>1.项目需求及评审办法中所涉及的事项需提供的所有资料；</w:t>
      </w:r>
    </w:p>
    <w:p w14:paraId="027A8C0B">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rPr>
        <w:t>2.采购文件中未涉及的事项，供应商认为需要提交的其他资料。</w:t>
      </w:r>
    </w:p>
    <w:p w14:paraId="325B3E17">
      <w:pPr>
        <w:ind w:firstLine="480"/>
        <w:rPr>
          <w:rFonts w:hint="eastAsia" w:ascii="宋体" w:hAnsi="宋体" w:cs="宋体"/>
          <w:sz w:val="24"/>
          <w:szCs w:val="24"/>
          <w:highlight w:val="none"/>
        </w:rPr>
      </w:pPr>
      <w:r>
        <w:rPr>
          <w:rFonts w:hint="eastAsia" w:ascii="宋体" w:hAnsi="宋体" w:cs="宋体"/>
          <w:bCs/>
          <w:sz w:val="24"/>
          <w:szCs w:val="24"/>
          <w:highlight w:val="none"/>
        </w:rPr>
        <w:t>注：为方便评委评审，请供应商按评审办法中所涉及的事项顺序进行编制，可以补充相关材料。</w:t>
      </w:r>
    </w:p>
    <w:p w14:paraId="7169C5C2">
      <w:pPr>
        <w:spacing w:after="0" w:line="360" w:lineRule="auto"/>
        <w:ind w:firstLine="480"/>
        <w:rPr>
          <w:rFonts w:hint="eastAsia" w:ascii="宋体" w:hAnsi="宋体" w:cs="宋体"/>
          <w:b/>
          <w:sz w:val="24"/>
          <w:szCs w:val="24"/>
          <w:highlight w:val="none"/>
        </w:rPr>
      </w:pPr>
      <w:r>
        <w:rPr>
          <w:rFonts w:hint="eastAsia" w:ascii="宋体" w:hAnsi="宋体" w:cs="宋体"/>
          <w:b/>
          <w:sz w:val="24"/>
          <w:szCs w:val="24"/>
          <w:highlight w:val="none"/>
        </w:rPr>
        <w:t>五、价格扣除证明文件</w:t>
      </w:r>
    </w:p>
    <w:p w14:paraId="6072CC62">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1.中小企业声明函（如涉及则提供，格式见附件）；</w:t>
      </w:r>
    </w:p>
    <w:p w14:paraId="1E61850B">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2.残疾人福利性单位声明函（如涉及则提供，格式见附件）；</w:t>
      </w:r>
    </w:p>
    <w:p w14:paraId="1484E4D6">
      <w:pPr>
        <w:spacing w:after="0" w:line="360" w:lineRule="auto"/>
        <w:ind w:firstLine="560"/>
        <w:jc w:val="left"/>
        <w:rPr>
          <w:rFonts w:hint="eastAsia" w:ascii="宋体" w:hAnsi="宋体" w:cs="宋体"/>
          <w:sz w:val="24"/>
          <w:szCs w:val="24"/>
          <w:highlight w:val="none"/>
        </w:rPr>
      </w:pPr>
      <w:r>
        <w:rPr>
          <w:rFonts w:hint="eastAsia" w:ascii="宋体" w:hAnsi="宋体" w:cs="宋体"/>
          <w:sz w:val="24"/>
          <w:szCs w:val="24"/>
          <w:highlight w:val="none"/>
        </w:rPr>
        <w:t>3.监狱和戒毒企业证明材料（如涉及则提供，格式见附件）；</w:t>
      </w:r>
    </w:p>
    <w:p w14:paraId="01D48650">
      <w:pPr>
        <w:spacing w:after="0" w:line="360" w:lineRule="auto"/>
        <w:ind w:firstLine="560"/>
        <w:rPr>
          <w:rFonts w:hint="eastAsia" w:ascii="宋体" w:hAnsi="宋体" w:cs="宋体"/>
          <w:sz w:val="24"/>
          <w:szCs w:val="24"/>
          <w:highlight w:val="none"/>
        </w:rPr>
      </w:pPr>
      <w:r>
        <w:rPr>
          <w:rFonts w:hint="eastAsia" w:ascii="宋体" w:hAnsi="宋体" w:cs="宋体"/>
          <w:sz w:val="24"/>
          <w:szCs w:val="24"/>
          <w:highlight w:val="none"/>
        </w:rPr>
        <w:t>4.关于符合本国产品标准的声明函（</w:t>
      </w:r>
      <w:r>
        <w:rPr>
          <w:rFonts w:hint="eastAsia" w:ascii="方正魏碑_GBK" w:hAnsi="方正魏碑_GBK" w:eastAsia="方正魏碑_GBK" w:cs="方正魏碑_GBK"/>
          <w:sz w:val="24"/>
          <w:szCs w:val="24"/>
          <w:highlight w:val="none"/>
        </w:rPr>
        <w:t>如涉及则提供，格式见附件</w:t>
      </w:r>
      <w:r>
        <w:rPr>
          <w:rFonts w:hint="eastAsia" w:ascii="宋体" w:hAnsi="宋体" w:cs="宋体"/>
          <w:sz w:val="24"/>
          <w:szCs w:val="24"/>
          <w:highlight w:val="none"/>
        </w:rPr>
        <w:t>）。</w:t>
      </w:r>
    </w:p>
    <w:p w14:paraId="51314EA7">
      <w:pPr>
        <w:spacing w:after="0" w:line="360" w:lineRule="auto"/>
        <w:rPr>
          <w:rFonts w:hint="eastAsia" w:ascii="宋体" w:hAnsi="宋体" w:cs="宋体"/>
          <w:b/>
          <w:sz w:val="24"/>
          <w:szCs w:val="24"/>
          <w:highlight w:val="none"/>
        </w:rPr>
      </w:pPr>
      <w:r>
        <w:rPr>
          <w:rFonts w:hint="eastAsia" w:ascii="宋体" w:hAnsi="宋体" w:cs="宋体"/>
          <w:sz w:val="24"/>
          <w:szCs w:val="24"/>
          <w:highlight w:val="none"/>
        </w:rPr>
        <w:br w:type="page" w:clear="all"/>
      </w:r>
      <w:r>
        <w:rPr>
          <w:rFonts w:hint="eastAsia" w:ascii="宋体" w:hAnsi="宋体" w:cs="宋体"/>
          <w:b/>
          <w:sz w:val="24"/>
          <w:szCs w:val="24"/>
          <w:highlight w:val="none"/>
        </w:rPr>
        <w:t xml:space="preserve">附件1 </w:t>
      </w:r>
    </w:p>
    <w:p w14:paraId="6BA34139">
      <w:pPr>
        <w:spacing w:after="0" w:line="360" w:lineRule="auto"/>
        <w:jc w:val="center"/>
        <w:outlineLvl w:val="2"/>
        <w:rPr>
          <w:rFonts w:hint="eastAsia" w:ascii="宋体" w:hAnsi="宋体" w:cs="宋体"/>
          <w:sz w:val="24"/>
          <w:szCs w:val="24"/>
          <w:highlight w:val="none"/>
        </w:rPr>
      </w:pPr>
      <w:r>
        <w:rPr>
          <w:rFonts w:hint="eastAsia" w:ascii="宋体" w:hAnsi="宋体" w:cs="宋体"/>
          <w:b/>
          <w:sz w:val="24"/>
          <w:szCs w:val="24"/>
          <w:highlight w:val="none"/>
        </w:rPr>
        <w:t>开标一览表</w:t>
      </w:r>
    </w:p>
    <w:p w14:paraId="710A0F68">
      <w:pPr>
        <w:spacing w:after="0" w:line="360" w:lineRule="auto"/>
        <w:ind w:firstLine="482"/>
        <w:rPr>
          <w:rFonts w:hint="eastAsia" w:ascii="宋体" w:hAnsi="宋体" w:cs="宋体"/>
          <w:sz w:val="24"/>
          <w:szCs w:val="24"/>
          <w:highlight w:val="none"/>
        </w:rPr>
      </w:pPr>
      <w:r>
        <w:rPr>
          <w:rFonts w:hint="eastAsia" w:ascii="宋体" w:hAnsi="宋体" w:cs="宋体"/>
          <w:sz w:val="24"/>
          <w:szCs w:val="24"/>
          <w:highlight w:val="none"/>
        </w:rPr>
        <w:t>投标人全称（加盖CA电子签章）：</w:t>
      </w:r>
    </w:p>
    <w:p w14:paraId="29FDF19C">
      <w:pPr>
        <w:spacing w:after="0" w:line="360" w:lineRule="auto"/>
        <w:ind w:firstLine="482"/>
        <w:rPr>
          <w:rFonts w:hint="eastAsia" w:ascii="宋体" w:hAnsi="宋体" w:cs="宋体"/>
          <w:sz w:val="24"/>
          <w:szCs w:val="24"/>
          <w:highlight w:val="none"/>
        </w:rPr>
      </w:pPr>
      <w:r>
        <w:rPr>
          <w:rFonts w:hint="eastAsia" w:ascii="宋体" w:hAnsi="宋体" w:cs="宋体"/>
          <w:sz w:val="24"/>
          <w:szCs w:val="24"/>
          <w:highlight w:val="none"/>
        </w:rPr>
        <w:t>项目名称：</w:t>
      </w:r>
    </w:p>
    <w:p w14:paraId="0E2AA5A6">
      <w:pPr>
        <w:spacing w:after="0" w:line="360" w:lineRule="auto"/>
        <w:ind w:firstLine="482"/>
        <w:rPr>
          <w:rFonts w:hint="eastAsia" w:ascii="宋体" w:hAnsi="宋体" w:cs="宋体"/>
          <w:sz w:val="24"/>
          <w:szCs w:val="24"/>
          <w:highlight w:val="none"/>
        </w:rPr>
      </w:pPr>
      <w:r>
        <w:rPr>
          <w:rFonts w:hint="eastAsia" w:ascii="宋体" w:hAnsi="宋体" w:cs="宋体"/>
          <w:sz w:val="24"/>
          <w:szCs w:val="24"/>
          <w:highlight w:val="none"/>
        </w:rPr>
        <w:t>项目编号：</w:t>
      </w:r>
    </w:p>
    <w:p w14:paraId="2A0CCD7B">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采购包号（如有）：</w:t>
      </w:r>
    </w:p>
    <w:p w14:paraId="547B2D02">
      <w:pPr>
        <w:spacing w:after="0" w:line="360" w:lineRule="auto"/>
        <w:ind w:firstLine="482"/>
        <w:rPr>
          <w:rFonts w:hint="eastAsia" w:ascii="宋体" w:hAnsi="宋体" w:cs="宋体"/>
          <w:sz w:val="24"/>
          <w:szCs w:val="24"/>
          <w:highlight w:val="none"/>
        </w:rPr>
      </w:pPr>
    </w:p>
    <w:tbl>
      <w:tblPr>
        <w:tblStyle w:val="41"/>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4B1CD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gridSpan w:val="2"/>
            <w:vAlign w:val="center"/>
          </w:tcPr>
          <w:p w14:paraId="4020F326">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                      投标总报价</w:t>
            </w:r>
          </w:p>
        </w:tc>
      </w:tr>
      <w:tr w14:paraId="6EF6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gridSpan w:val="2"/>
            <w:vAlign w:val="center"/>
          </w:tcPr>
          <w:p w14:paraId="2D6AA2DD">
            <w:pPr>
              <w:spacing w:after="0" w:line="360" w:lineRule="auto"/>
              <w:jc w:val="left"/>
              <w:rPr>
                <w:rFonts w:hint="eastAsia" w:ascii="宋体" w:hAnsi="宋体" w:cs="宋体"/>
                <w:sz w:val="24"/>
                <w:szCs w:val="24"/>
                <w:highlight w:val="none"/>
              </w:rPr>
            </w:pPr>
            <w:r>
              <w:rPr>
                <w:rFonts w:hint="eastAsia" w:ascii="宋体" w:hAnsi="宋体" w:cs="宋体"/>
                <w:sz w:val="24"/>
                <w:szCs w:val="24"/>
                <w:highlight w:val="none"/>
              </w:rPr>
              <w:t>小写：                             元</w:t>
            </w:r>
          </w:p>
        </w:tc>
      </w:tr>
      <w:tr w14:paraId="24D0E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vAlign w:val="center"/>
          </w:tcPr>
          <w:p w14:paraId="0A86AE3A">
            <w:pPr>
              <w:spacing w:after="0" w:line="360" w:lineRule="auto"/>
              <w:jc w:val="center"/>
              <w:rPr>
                <w:rFonts w:hint="eastAsia" w:ascii="宋体" w:hAnsi="宋体" w:cs="宋体"/>
                <w:sz w:val="24"/>
                <w:szCs w:val="24"/>
                <w:highlight w:val="none"/>
              </w:rPr>
            </w:pPr>
            <w:r>
              <w:rPr>
                <w:rFonts w:hint="eastAsia" w:ascii="宋体" w:hAnsi="宋体" w:cs="宋体"/>
                <w:sz w:val="24"/>
                <w:szCs w:val="24"/>
                <w:highlight w:val="none"/>
              </w:rPr>
              <w:t>核心产品品牌</w:t>
            </w:r>
          </w:p>
        </w:tc>
        <w:tc>
          <w:tcPr>
            <w:tcW w:w="6405" w:type="dxa"/>
            <w:vAlign w:val="center"/>
          </w:tcPr>
          <w:p w14:paraId="6BD6A6FB">
            <w:pPr>
              <w:spacing w:after="0" w:line="360" w:lineRule="auto"/>
              <w:jc w:val="left"/>
              <w:rPr>
                <w:rFonts w:hint="eastAsia" w:ascii="宋体" w:hAnsi="宋体" w:cs="宋体"/>
                <w:sz w:val="24"/>
                <w:szCs w:val="24"/>
                <w:highlight w:val="none"/>
              </w:rPr>
            </w:pPr>
          </w:p>
        </w:tc>
      </w:tr>
    </w:tbl>
    <w:p w14:paraId="7D89EAA4">
      <w:pPr>
        <w:spacing w:after="0" w:line="360" w:lineRule="auto"/>
        <w:rPr>
          <w:rFonts w:hint="eastAsia" w:ascii="宋体" w:hAnsi="宋体" w:cs="宋体"/>
          <w:sz w:val="24"/>
          <w:szCs w:val="24"/>
          <w:highlight w:val="none"/>
        </w:rPr>
      </w:pPr>
    </w:p>
    <w:p w14:paraId="2EFBA1FF">
      <w:pPr>
        <w:spacing w:after="0" w:line="360" w:lineRule="auto"/>
        <w:rPr>
          <w:rFonts w:hint="eastAsia" w:ascii="宋体" w:hAnsi="宋体" w:cs="宋体"/>
          <w:sz w:val="24"/>
          <w:szCs w:val="24"/>
          <w:highlight w:val="none"/>
        </w:rPr>
      </w:pPr>
    </w:p>
    <w:p w14:paraId="5C28A3A1">
      <w:pPr>
        <w:spacing w:after="0" w:line="360" w:lineRule="auto"/>
        <w:rPr>
          <w:rFonts w:hint="eastAsia" w:ascii="宋体" w:hAnsi="宋体" w:cs="宋体"/>
          <w:sz w:val="24"/>
          <w:szCs w:val="24"/>
          <w:highlight w:val="none"/>
        </w:rPr>
      </w:pPr>
    </w:p>
    <w:p w14:paraId="3A26AE55">
      <w:pPr>
        <w:spacing w:after="0" w:line="360" w:lineRule="auto"/>
        <w:rPr>
          <w:rFonts w:hint="eastAsia" w:ascii="宋体" w:hAnsi="宋体" w:cs="宋体"/>
          <w:sz w:val="24"/>
          <w:szCs w:val="24"/>
          <w:highlight w:val="none"/>
        </w:rPr>
      </w:pPr>
    </w:p>
    <w:p w14:paraId="385BFBEF">
      <w:pPr>
        <w:spacing w:after="0" w:line="360" w:lineRule="auto"/>
        <w:rPr>
          <w:rFonts w:hint="eastAsia" w:ascii="宋体" w:hAnsi="宋体" w:cs="宋体"/>
          <w:sz w:val="24"/>
          <w:szCs w:val="24"/>
          <w:highlight w:val="none"/>
        </w:rPr>
      </w:pPr>
    </w:p>
    <w:p w14:paraId="7CB922E6">
      <w:pPr>
        <w:spacing w:after="0" w:line="360" w:lineRule="auto"/>
        <w:rPr>
          <w:rFonts w:hint="eastAsia" w:ascii="宋体" w:hAnsi="宋体" w:cs="宋体"/>
          <w:sz w:val="24"/>
          <w:szCs w:val="24"/>
          <w:highlight w:val="none"/>
        </w:rPr>
      </w:pPr>
    </w:p>
    <w:p w14:paraId="51A62B2B">
      <w:pPr>
        <w:spacing w:after="0" w:line="360" w:lineRule="auto"/>
        <w:rPr>
          <w:rFonts w:hint="eastAsia" w:ascii="宋体" w:hAnsi="宋体" w:cs="宋体"/>
          <w:sz w:val="24"/>
          <w:szCs w:val="24"/>
          <w:highlight w:val="none"/>
        </w:rPr>
      </w:pPr>
    </w:p>
    <w:p w14:paraId="34895EC7">
      <w:pPr>
        <w:spacing w:after="0" w:line="360" w:lineRule="auto"/>
        <w:rPr>
          <w:rFonts w:hint="eastAsia" w:ascii="宋体" w:hAnsi="宋体" w:cs="宋体"/>
          <w:sz w:val="24"/>
          <w:szCs w:val="24"/>
          <w:highlight w:val="none"/>
        </w:rPr>
      </w:pPr>
    </w:p>
    <w:p w14:paraId="5637B47A">
      <w:pPr>
        <w:spacing w:after="0" w:line="360" w:lineRule="auto"/>
        <w:rPr>
          <w:rFonts w:hint="eastAsia" w:ascii="宋体" w:hAnsi="宋体" w:cs="宋体"/>
          <w:sz w:val="24"/>
          <w:szCs w:val="24"/>
          <w:highlight w:val="none"/>
        </w:rPr>
      </w:pPr>
    </w:p>
    <w:p w14:paraId="221C704F">
      <w:pPr>
        <w:spacing w:after="0" w:line="360" w:lineRule="auto"/>
        <w:rPr>
          <w:rFonts w:hint="eastAsia" w:ascii="宋体" w:hAnsi="宋体" w:cs="宋体"/>
          <w:sz w:val="24"/>
          <w:szCs w:val="24"/>
          <w:highlight w:val="none"/>
        </w:rPr>
      </w:pPr>
    </w:p>
    <w:p w14:paraId="4ABA8CF1">
      <w:pPr>
        <w:spacing w:after="0" w:line="360" w:lineRule="auto"/>
        <w:rPr>
          <w:rFonts w:hint="eastAsia" w:ascii="宋体" w:hAnsi="宋体" w:cs="宋体"/>
          <w:sz w:val="24"/>
          <w:szCs w:val="24"/>
          <w:highlight w:val="none"/>
        </w:rPr>
      </w:pPr>
    </w:p>
    <w:p w14:paraId="2EF05E1B">
      <w:pPr>
        <w:spacing w:after="0" w:line="360" w:lineRule="auto"/>
        <w:rPr>
          <w:rFonts w:hint="eastAsia" w:ascii="宋体" w:hAnsi="宋体" w:cs="宋体"/>
          <w:sz w:val="24"/>
          <w:szCs w:val="24"/>
          <w:highlight w:val="none"/>
        </w:rPr>
      </w:pPr>
    </w:p>
    <w:p w14:paraId="3B1FB0EF">
      <w:pPr>
        <w:spacing w:after="0" w:line="360" w:lineRule="auto"/>
        <w:rPr>
          <w:rFonts w:hint="eastAsia" w:ascii="宋体" w:hAnsi="宋体" w:cs="宋体"/>
          <w:sz w:val="24"/>
          <w:szCs w:val="24"/>
          <w:highlight w:val="none"/>
        </w:rPr>
      </w:pPr>
    </w:p>
    <w:p w14:paraId="745CCDC2">
      <w:pPr>
        <w:spacing w:after="0" w:line="360" w:lineRule="auto"/>
        <w:rPr>
          <w:rFonts w:hint="eastAsia" w:ascii="宋体" w:hAnsi="宋体" w:cs="宋体"/>
          <w:sz w:val="24"/>
          <w:szCs w:val="24"/>
          <w:highlight w:val="none"/>
        </w:rPr>
      </w:pPr>
    </w:p>
    <w:p w14:paraId="795AB984">
      <w:pPr>
        <w:spacing w:after="0" w:line="360" w:lineRule="auto"/>
        <w:rPr>
          <w:rFonts w:hint="eastAsia" w:ascii="宋体" w:hAnsi="宋体" w:cs="宋体"/>
          <w:sz w:val="24"/>
          <w:szCs w:val="24"/>
          <w:highlight w:val="none"/>
        </w:rPr>
      </w:pPr>
    </w:p>
    <w:p w14:paraId="1BC10AB2">
      <w:pPr>
        <w:spacing w:after="0" w:line="360" w:lineRule="auto"/>
        <w:rPr>
          <w:rFonts w:hint="eastAsia" w:ascii="宋体" w:hAnsi="宋体" w:cs="宋体"/>
          <w:sz w:val="24"/>
          <w:szCs w:val="24"/>
          <w:highlight w:val="none"/>
        </w:rPr>
      </w:pPr>
    </w:p>
    <w:p w14:paraId="0116694D">
      <w:pPr>
        <w:spacing w:after="0" w:line="360" w:lineRule="auto"/>
        <w:rPr>
          <w:rFonts w:hint="eastAsia" w:ascii="宋体" w:hAnsi="宋体" w:cs="宋体"/>
          <w:sz w:val="24"/>
          <w:szCs w:val="24"/>
          <w:highlight w:val="none"/>
        </w:rPr>
      </w:pPr>
    </w:p>
    <w:p w14:paraId="40C175A3">
      <w:pPr>
        <w:spacing w:after="0" w:line="360" w:lineRule="auto"/>
        <w:rPr>
          <w:rFonts w:hint="eastAsia" w:ascii="宋体" w:hAnsi="宋体" w:cs="宋体"/>
          <w:sz w:val="24"/>
          <w:szCs w:val="24"/>
          <w:highlight w:val="none"/>
        </w:rPr>
      </w:pPr>
    </w:p>
    <w:p w14:paraId="2C9FE913">
      <w:pPr>
        <w:spacing w:after="0" w:line="360" w:lineRule="auto"/>
        <w:rPr>
          <w:rFonts w:hint="eastAsia" w:ascii="宋体" w:hAnsi="宋体" w:cs="宋体"/>
          <w:sz w:val="24"/>
          <w:szCs w:val="24"/>
          <w:highlight w:val="none"/>
        </w:rPr>
      </w:pPr>
    </w:p>
    <w:p w14:paraId="7855A8BF">
      <w:pPr>
        <w:spacing w:after="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附件2 </w:t>
      </w:r>
    </w:p>
    <w:p w14:paraId="0937AF16">
      <w:pPr>
        <w:pStyle w:val="75"/>
        <w:spacing w:before="0" w:after="0" w:line="360" w:lineRule="auto"/>
        <w:jc w:val="center"/>
        <w:outlineLvl w:val="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投标分项报价表</w:t>
      </w:r>
    </w:p>
    <w:p w14:paraId="384490AC">
      <w:pPr>
        <w:spacing w:after="0" w:line="360" w:lineRule="auto"/>
        <w:rPr>
          <w:rFonts w:hint="eastAsia" w:ascii="宋体" w:hAnsi="宋体" w:cs="宋体"/>
          <w:sz w:val="24"/>
          <w:highlight w:val="none"/>
        </w:rPr>
      </w:pPr>
      <w:r>
        <w:rPr>
          <w:rFonts w:hint="eastAsia" w:ascii="宋体" w:hAnsi="宋体" w:cs="宋体"/>
          <w:sz w:val="24"/>
          <w:szCs w:val="24"/>
          <w:highlight w:val="none"/>
        </w:rPr>
        <w:t>投标人</w:t>
      </w:r>
      <w:r>
        <w:rPr>
          <w:rFonts w:hint="eastAsia" w:ascii="宋体" w:hAnsi="宋体" w:cs="宋体"/>
          <w:sz w:val="24"/>
          <w:highlight w:val="none"/>
        </w:rPr>
        <w:t>全称（加盖CA电子公章）：</w:t>
      </w:r>
    </w:p>
    <w:p w14:paraId="396EDA5F">
      <w:pPr>
        <w:spacing w:after="0" w:line="360" w:lineRule="auto"/>
        <w:rPr>
          <w:rFonts w:hint="eastAsia" w:ascii="宋体" w:hAnsi="宋体" w:cs="宋体"/>
          <w:sz w:val="24"/>
          <w:highlight w:val="none"/>
        </w:rPr>
      </w:pPr>
      <w:r>
        <w:rPr>
          <w:rFonts w:hint="eastAsia" w:ascii="宋体" w:hAnsi="宋体" w:cs="宋体"/>
          <w:sz w:val="24"/>
          <w:highlight w:val="none"/>
        </w:rPr>
        <w:t>项目名称：</w:t>
      </w:r>
    </w:p>
    <w:p w14:paraId="6CBC37B7">
      <w:pPr>
        <w:spacing w:after="0" w:line="360" w:lineRule="auto"/>
        <w:rPr>
          <w:rFonts w:hint="eastAsia" w:ascii="宋体" w:hAnsi="宋体" w:cs="宋体"/>
          <w:sz w:val="24"/>
          <w:highlight w:val="none"/>
        </w:rPr>
      </w:pPr>
      <w:r>
        <w:rPr>
          <w:rFonts w:hint="eastAsia" w:ascii="宋体" w:hAnsi="宋体" w:cs="宋体"/>
          <w:sz w:val="24"/>
          <w:highlight w:val="none"/>
        </w:rPr>
        <w:t>项目编号：</w:t>
      </w:r>
    </w:p>
    <w:p w14:paraId="6651914B">
      <w:pPr>
        <w:spacing w:after="0" w:line="360" w:lineRule="auto"/>
        <w:rPr>
          <w:rFonts w:hint="eastAsia" w:ascii="宋体" w:hAnsi="宋体" w:cs="宋体"/>
          <w:sz w:val="24"/>
          <w:highlight w:val="none"/>
        </w:rPr>
      </w:pPr>
      <w:r>
        <w:rPr>
          <w:rFonts w:hint="eastAsia" w:ascii="宋体" w:hAnsi="宋体" w:cs="宋体"/>
          <w:sz w:val="24"/>
          <w:highlight w:val="none"/>
        </w:rPr>
        <w:t>采购包号（如有）：</w:t>
      </w:r>
    </w:p>
    <w:p w14:paraId="7C076B22">
      <w:pPr>
        <w:spacing w:after="0" w:line="360" w:lineRule="auto"/>
        <w:rPr>
          <w:rFonts w:hint="eastAsia" w:ascii="宋体" w:hAnsi="宋体" w:cs="宋体"/>
          <w:sz w:val="24"/>
          <w:highlight w:val="none"/>
        </w:rPr>
      </w:pPr>
    </w:p>
    <w:tbl>
      <w:tblPr>
        <w:tblStyle w:val="41"/>
        <w:tblW w:w="48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747"/>
        <w:gridCol w:w="1025"/>
        <w:gridCol w:w="991"/>
        <w:gridCol w:w="1171"/>
        <w:gridCol w:w="961"/>
        <w:gridCol w:w="665"/>
        <w:gridCol w:w="1168"/>
        <w:gridCol w:w="1084"/>
      </w:tblGrid>
      <w:tr w14:paraId="5EA53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59" w:type="pct"/>
            <w:noWrap/>
            <w:vAlign w:val="center"/>
          </w:tcPr>
          <w:p w14:paraId="0BB25315">
            <w:pPr>
              <w:widowControl/>
              <w:spacing w:after="0" w:line="240" w:lineRule="auto"/>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序号</w:t>
            </w:r>
          </w:p>
        </w:tc>
        <w:tc>
          <w:tcPr>
            <w:tcW w:w="920" w:type="pct"/>
            <w:noWrap/>
            <w:vAlign w:val="center"/>
          </w:tcPr>
          <w:p w14:paraId="5329F9CF">
            <w:pPr>
              <w:widowControl/>
              <w:spacing w:after="0" w:line="240" w:lineRule="auto"/>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名称</w:t>
            </w:r>
          </w:p>
        </w:tc>
        <w:tc>
          <w:tcPr>
            <w:tcW w:w="540" w:type="pct"/>
            <w:noWrap/>
            <w:vAlign w:val="center"/>
          </w:tcPr>
          <w:p w14:paraId="0C616859">
            <w:pPr>
              <w:widowControl/>
              <w:spacing w:after="0" w:line="240" w:lineRule="auto"/>
              <w:jc w:val="center"/>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品牌</w:t>
            </w:r>
          </w:p>
        </w:tc>
        <w:tc>
          <w:tcPr>
            <w:tcW w:w="522" w:type="pct"/>
            <w:noWrap/>
            <w:vAlign w:val="center"/>
          </w:tcPr>
          <w:p w14:paraId="0FECD243">
            <w:pPr>
              <w:widowControl/>
              <w:spacing w:after="0" w:line="240" w:lineRule="auto"/>
              <w:jc w:val="center"/>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型号</w:t>
            </w:r>
          </w:p>
        </w:tc>
        <w:tc>
          <w:tcPr>
            <w:tcW w:w="617" w:type="pct"/>
            <w:noWrap/>
            <w:vAlign w:val="center"/>
          </w:tcPr>
          <w:p w14:paraId="18DCF748">
            <w:pPr>
              <w:widowControl/>
              <w:spacing w:after="0" w:line="240" w:lineRule="auto"/>
              <w:jc w:val="center"/>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生产</w:t>
            </w:r>
          </w:p>
          <w:p w14:paraId="0B4B0319">
            <w:pPr>
              <w:widowControl/>
              <w:spacing w:after="0" w:line="240" w:lineRule="auto"/>
              <w:jc w:val="center"/>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厂家</w:t>
            </w:r>
          </w:p>
        </w:tc>
        <w:tc>
          <w:tcPr>
            <w:tcW w:w="506" w:type="pct"/>
            <w:noWrap/>
            <w:vAlign w:val="center"/>
          </w:tcPr>
          <w:p w14:paraId="5F1DEDDC">
            <w:pPr>
              <w:widowControl/>
              <w:spacing w:after="0" w:line="240" w:lineRule="auto"/>
              <w:jc w:val="center"/>
              <w:rPr>
                <w:rFonts w:hint="eastAsia" w:ascii="宋体" w:hAnsi="宋体" w:cs="宋体"/>
                <w:b/>
                <w:bCs/>
                <w:color w:val="000000"/>
                <w:sz w:val="24"/>
                <w:szCs w:val="24"/>
                <w:highlight w:val="none"/>
              </w:rPr>
            </w:pPr>
            <w:r>
              <w:rPr>
                <w:rFonts w:hint="eastAsia" w:ascii="宋体" w:hAnsi="宋体" w:cs="宋体"/>
                <w:b/>
                <w:bCs/>
                <w:sz w:val="24"/>
                <w:szCs w:val="24"/>
                <w:highlight w:val="none"/>
              </w:rPr>
              <w:t>数量</w:t>
            </w:r>
          </w:p>
        </w:tc>
        <w:tc>
          <w:tcPr>
            <w:tcW w:w="350" w:type="pct"/>
            <w:noWrap/>
            <w:vAlign w:val="center"/>
          </w:tcPr>
          <w:p w14:paraId="1A3AEDE9">
            <w:pPr>
              <w:widowControl/>
              <w:spacing w:after="0" w:line="240" w:lineRule="auto"/>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单位</w:t>
            </w:r>
          </w:p>
        </w:tc>
        <w:tc>
          <w:tcPr>
            <w:tcW w:w="615" w:type="pct"/>
            <w:noWrap/>
            <w:vAlign w:val="center"/>
          </w:tcPr>
          <w:p w14:paraId="61C5C714">
            <w:pPr>
              <w:widowControl/>
              <w:spacing w:after="0" w:line="240" w:lineRule="auto"/>
              <w:jc w:val="center"/>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综合</w:t>
            </w:r>
          </w:p>
          <w:p w14:paraId="7B733662">
            <w:pPr>
              <w:widowControl/>
              <w:spacing w:after="0" w:line="240" w:lineRule="auto"/>
              <w:jc w:val="center"/>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单价</w:t>
            </w:r>
          </w:p>
          <w:p w14:paraId="0DFA51EE">
            <w:pPr>
              <w:widowControl/>
              <w:spacing w:after="0" w:line="240" w:lineRule="auto"/>
              <w:jc w:val="center"/>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（元）</w:t>
            </w:r>
          </w:p>
        </w:tc>
        <w:tc>
          <w:tcPr>
            <w:tcW w:w="567" w:type="pct"/>
            <w:noWrap/>
            <w:vAlign w:val="center"/>
          </w:tcPr>
          <w:p w14:paraId="5725C28B">
            <w:pPr>
              <w:widowControl/>
              <w:spacing w:after="0" w:line="240" w:lineRule="auto"/>
              <w:jc w:val="center"/>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小计（元）</w:t>
            </w:r>
          </w:p>
        </w:tc>
      </w:tr>
      <w:tr w14:paraId="0D7CC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 w:type="pct"/>
            <w:noWrap/>
            <w:vAlign w:val="center"/>
          </w:tcPr>
          <w:p w14:paraId="0395BF90">
            <w:pPr>
              <w:widowControl/>
              <w:spacing w:after="0" w:line="24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920" w:type="pct"/>
            <w:noWrap/>
          </w:tcPr>
          <w:p w14:paraId="3643E0CC">
            <w:pPr>
              <w:spacing w:after="0" w:line="24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高通量基因测序仪</w:t>
            </w:r>
          </w:p>
          <w:p w14:paraId="6A77534E">
            <w:pPr>
              <w:spacing w:after="0" w:line="240" w:lineRule="auto"/>
              <w:jc w:val="center"/>
              <w:rPr>
                <w:rFonts w:hint="eastAsia" w:ascii="宋体" w:hAnsi="宋体" w:cs="宋体"/>
                <w:color w:val="000000"/>
                <w:sz w:val="24"/>
                <w:szCs w:val="24"/>
                <w:highlight w:val="none"/>
              </w:rPr>
            </w:pPr>
            <w:r>
              <w:rPr>
                <w:rFonts w:hint="eastAsia" w:ascii="宋体" w:hAnsi="宋体" w:cs="宋体"/>
                <w:bCs/>
                <w:color w:val="000000"/>
                <w:sz w:val="24"/>
                <w:szCs w:val="24"/>
                <w:highlight w:val="none"/>
              </w:rPr>
              <w:t>（核心产品）</w:t>
            </w:r>
          </w:p>
        </w:tc>
        <w:tc>
          <w:tcPr>
            <w:tcW w:w="540" w:type="pct"/>
            <w:noWrap/>
            <w:vAlign w:val="center"/>
          </w:tcPr>
          <w:p w14:paraId="7EC3CFAB">
            <w:pPr>
              <w:widowControl/>
              <w:spacing w:after="0" w:line="240" w:lineRule="auto"/>
              <w:jc w:val="center"/>
              <w:textAlignment w:val="center"/>
              <w:rPr>
                <w:rFonts w:hint="eastAsia" w:ascii="宋体" w:hAnsi="宋体" w:cs="宋体"/>
                <w:color w:val="000000"/>
                <w:sz w:val="24"/>
                <w:szCs w:val="24"/>
                <w:highlight w:val="none"/>
                <w:lang w:bidi="ar"/>
              </w:rPr>
            </w:pPr>
          </w:p>
        </w:tc>
        <w:tc>
          <w:tcPr>
            <w:tcW w:w="522" w:type="pct"/>
            <w:noWrap/>
            <w:vAlign w:val="center"/>
          </w:tcPr>
          <w:p w14:paraId="3902C862">
            <w:pPr>
              <w:widowControl/>
              <w:spacing w:after="0" w:line="240" w:lineRule="auto"/>
              <w:jc w:val="center"/>
              <w:rPr>
                <w:rFonts w:hint="eastAsia" w:ascii="宋体" w:hAnsi="宋体" w:cs="宋体"/>
                <w:color w:val="000000"/>
                <w:sz w:val="24"/>
                <w:szCs w:val="24"/>
                <w:highlight w:val="none"/>
                <w:lang w:bidi="ar"/>
              </w:rPr>
            </w:pPr>
          </w:p>
        </w:tc>
        <w:tc>
          <w:tcPr>
            <w:tcW w:w="617" w:type="pct"/>
            <w:noWrap/>
            <w:vAlign w:val="center"/>
          </w:tcPr>
          <w:p w14:paraId="3ACE3BC8">
            <w:pPr>
              <w:widowControl/>
              <w:spacing w:after="0" w:line="240" w:lineRule="auto"/>
              <w:jc w:val="center"/>
              <w:rPr>
                <w:rFonts w:hint="eastAsia" w:ascii="宋体" w:hAnsi="宋体" w:cs="宋体"/>
                <w:color w:val="000000"/>
                <w:sz w:val="24"/>
                <w:szCs w:val="24"/>
                <w:highlight w:val="none"/>
                <w:lang w:bidi="ar"/>
              </w:rPr>
            </w:pPr>
          </w:p>
        </w:tc>
        <w:tc>
          <w:tcPr>
            <w:tcW w:w="506" w:type="pct"/>
            <w:noWrap/>
            <w:vAlign w:val="center"/>
          </w:tcPr>
          <w:p w14:paraId="14D83BE1">
            <w:pPr>
              <w:widowControl/>
              <w:spacing w:after="0" w:line="240" w:lineRule="auto"/>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350" w:type="pct"/>
            <w:noWrap/>
            <w:vAlign w:val="center"/>
          </w:tcPr>
          <w:p w14:paraId="467DE082">
            <w:pPr>
              <w:widowControl/>
              <w:spacing w:after="0" w:line="240" w:lineRule="auto"/>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台</w:t>
            </w:r>
          </w:p>
        </w:tc>
        <w:tc>
          <w:tcPr>
            <w:tcW w:w="615" w:type="pct"/>
            <w:noWrap/>
            <w:vAlign w:val="center"/>
          </w:tcPr>
          <w:p w14:paraId="661AB6C9">
            <w:pPr>
              <w:widowControl/>
              <w:spacing w:after="0" w:line="240" w:lineRule="auto"/>
              <w:jc w:val="center"/>
              <w:rPr>
                <w:rFonts w:hint="eastAsia" w:ascii="宋体" w:hAnsi="宋体" w:cs="宋体"/>
                <w:color w:val="000000"/>
                <w:sz w:val="24"/>
                <w:szCs w:val="24"/>
                <w:highlight w:val="none"/>
                <w:lang w:bidi="ar"/>
              </w:rPr>
            </w:pPr>
          </w:p>
        </w:tc>
        <w:tc>
          <w:tcPr>
            <w:tcW w:w="567" w:type="pct"/>
            <w:noWrap/>
            <w:vAlign w:val="center"/>
          </w:tcPr>
          <w:p w14:paraId="29E33BE0">
            <w:pPr>
              <w:widowControl/>
              <w:spacing w:after="0" w:line="240" w:lineRule="auto"/>
              <w:jc w:val="center"/>
              <w:rPr>
                <w:rFonts w:hint="eastAsia" w:ascii="宋体" w:hAnsi="宋体" w:cs="宋体"/>
                <w:color w:val="000000"/>
                <w:sz w:val="24"/>
                <w:szCs w:val="24"/>
                <w:highlight w:val="none"/>
                <w:lang w:bidi="ar"/>
              </w:rPr>
            </w:pPr>
          </w:p>
        </w:tc>
      </w:tr>
      <w:tr w14:paraId="5D5A4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 w:type="pct"/>
            <w:noWrap/>
            <w:vAlign w:val="center"/>
          </w:tcPr>
          <w:p w14:paraId="07064199">
            <w:pPr>
              <w:widowControl/>
              <w:spacing w:after="0" w:line="24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920" w:type="pct"/>
            <w:noWrap/>
          </w:tcPr>
          <w:p w14:paraId="64CC1497">
            <w:pPr>
              <w:spacing w:after="0" w:line="240" w:lineRule="auto"/>
              <w:jc w:val="center"/>
              <w:rPr>
                <w:rFonts w:hint="eastAsia" w:ascii="宋体" w:hAnsi="宋体" w:cs="宋体"/>
                <w:color w:val="000000"/>
                <w:sz w:val="24"/>
                <w:szCs w:val="24"/>
                <w:highlight w:val="none"/>
              </w:rPr>
            </w:pPr>
            <w:r>
              <w:rPr>
                <w:rFonts w:hint="eastAsia" w:ascii="宋体" w:hAnsi="宋体" w:cs="宋体"/>
                <w:bCs/>
                <w:color w:val="000000"/>
                <w:sz w:val="24"/>
                <w:szCs w:val="24"/>
                <w:highlight w:val="none"/>
              </w:rPr>
              <w:t>中通量基因测序仪</w:t>
            </w:r>
          </w:p>
        </w:tc>
        <w:tc>
          <w:tcPr>
            <w:tcW w:w="540" w:type="pct"/>
            <w:noWrap/>
            <w:vAlign w:val="center"/>
          </w:tcPr>
          <w:p w14:paraId="043ECA76">
            <w:pPr>
              <w:widowControl/>
              <w:spacing w:after="0" w:line="240" w:lineRule="auto"/>
              <w:jc w:val="center"/>
              <w:textAlignment w:val="center"/>
              <w:rPr>
                <w:rFonts w:hint="eastAsia" w:ascii="宋体" w:hAnsi="宋体" w:cs="宋体"/>
                <w:color w:val="000000"/>
                <w:sz w:val="24"/>
                <w:szCs w:val="24"/>
                <w:highlight w:val="none"/>
                <w:lang w:bidi="ar"/>
              </w:rPr>
            </w:pPr>
          </w:p>
        </w:tc>
        <w:tc>
          <w:tcPr>
            <w:tcW w:w="522" w:type="pct"/>
            <w:noWrap/>
            <w:vAlign w:val="center"/>
          </w:tcPr>
          <w:p w14:paraId="77E9D007">
            <w:pPr>
              <w:widowControl/>
              <w:spacing w:after="0" w:line="240" w:lineRule="auto"/>
              <w:jc w:val="center"/>
              <w:rPr>
                <w:rFonts w:hint="eastAsia" w:ascii="宋体" w:hAnsi="宋体" w:cs="宋体"/>
                <w:color w:val="000000"/>
                <w:sz w:val="24"/>
                <w:szCs w:val="24"/>
                <w:highlight w:val="none"/>
                <w:lang w:bidi="ar"/>
              </w:rPr>
            </w:pPr>
          </w:p>
        </w:tc>
        <w:tc>
          <w:tcPr>
            <w:tcW w:w="617" w:type="pct"/>
            <w:noWrap/>
            <w:vAlign w:val="center"/>
          </w:tcPr>
          <w:p w14:paraId="5FDEA177">
            <w:pPr>
              <w:widowControl/>
              <w:spacing w:after="0" w:line="240" w:lineRule="auto"/>
              <w:jc w:val="center"/>
              <w:rPr>
                <w:rFonts w:hint="eastAsia" w:ascii="宋体" w:hAnsi="宋体" w:cs="宋体"/>
                <w:color w:val="000000"/>
                <w:sz w:val="24"/>
                <w:szCs w:val="24"/>
                <w:highlight w:val="none"/>
                <w:lang w:bidi="ar"/>
              </w:rPr>
            </w:pPr>
          </w:p>
        </w:tc>
        <w:tc>
          <w:tcPr>
            <w:tcW w:w="506" w:type="pct"/>
            <w:noWrap/>
            <w:vAlign w:val="center"/>
          </w:tcPr>
          <w:p w14:paraId="7AE5350F">
            <w:pPr>
              <w:widowControl/>
              <w:spacing w:after="0" w:line="240" w:lineRule="auto"/>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350" w:type="pct"/>
            <w:noWrap/>
            <w:vAlign w:val="center"/>
          </w:tcPr>
          <w:p w14:paraId="463170B1">
            <w:pPr>
              <w:widowControl/>
              <w:spacing w:after="0" w:line="240" w:lineRule="auto"/>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台</w:t>
            </w:r>
          </w:p>
        </w:tc>
        <w:tc>
          <w:tcPr>
            <w:tcW w:w="615" w:type="pct"/>
            <w:noWrap/>
            <w:vAlign w:val="center"/>
          </w:tcPr>
          <w:p w14:paraId="71BD1409">
            <w:pPr>
              <w:widowControl/>
              <w:spacing w:after="0" w:line="240" w:lineRule="auto"/>
              <w:jc w:val="center"/>
              <w:rPr>
                <w:rFonts w:hint="eastAsia" w:ascii="宋体" w:hAnsi="宋体" w:cs="宋体"/>
                <w:color w:val="000000"/>
                <w:sz w:val="24"/>
                <w:szCs w:val="24"/>
                <w:highlight w:val="none"/>
                <w:lang w:bidi="ar"/>
              </w:rPr>
            </w:pPr>
          </w:p>
        </w:tc>
        <w:tc>
          <w:tcPr>
            <w:tcW w:w="567" w:type="pct"/>
            <w:noWrap/>
            <w:vAlign w:val="center"/>
          </w:tcPr>
          <w:p w14:paraId="7DB68006">
            <w:pPr>
              <w:widowControl/>
              <w:spacing w:after="0" w:line="240" w:lineRule="auto"/>
              <w:jc w:val="center"/>
              <w:rPr>
                <w:rFonts w:hint="eastAsia" w:ascii="宋体" w:hAnsi="宋体" w:cs="宋体"/>
                <w:color w:val="000000"/>
                <w:sz w:val="24"/>
                <w:szCs w:val="24"/>
                <w:highlight w:val="none"/>
                <w:lang w:bidi="ar"/>
              </w:rPr>
            </w:pPr>
          </w:p>
        </w:tc>
      </w:tr>
      <w:tr w14:paraId="59B35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 w:type="pct"/>
            <w:noWrap/>
            <w:vAlign w:val="center"/>
          </w:tcPr>
          <w:p w14:paraId="6CACB6A9">
            <w:pPr>
              <w:widowControl/>
              <w:spacing w:after="0" w:line="24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w:t>
            </w:r>
          </w:p>
        </w:tc>
        <w:tc>
          <w:tcPr>
            <w:tcW w:w="920" w:type="pct"/>
            <w:noWrap/>
          </w:tcPr>
          <w:p w14:paraId="475AF7EA">
            <w:pPr>
              <w:spacing w:after="0" w:line="240" w:lineRule="auto"/>
              <w:jc w:val="center"/>
              <w:rPr>
                <w:rFonts w:hint="eastAsia" w:ascii="宋体" w:hAnsi="宋体" w:cs="宋体"/>
                <w:color w:val="000000"/>
                <w:sz w:val="24"/>
                <w:szCs w:val="24"/>
                <w:highlight w:val="none"/>
              </w:rPr>
            </w:pPr>
            <w:r>
              <w:rPr>
                <w:rFonts w:hint="eastAsia" w:ascii="宋体" w:hAnsi="宋体" w:cs="宋体"/>
                <w:bCs/>
                <w:color w:val="000000"/>
                <w:sz w:val="24"/>
                <w:szCs w:val="24"/>
                <w:highlight w:val="none"/>
              </w:rPr>
              <w:t>高通量自动化样本制备系统</w:t>
            </w:r>
          </w:p>
        </w:tc>
        <w:tc>
          <w:tcPr>
            <w:tcW w:w="540" w:type="pct"/>
            <w:noWrap/>
            <w:vAlign w:val="center"/>
          </w:tcPr>
          <w:p w14:paraId="07E5A27B">
            <w:pPr>
              <w:widowControl/>
              <w:spacing w:after="0" w:line="240" w:lineRule="auto"/>
              <w:jc w:val="center"/>
              <w:rPr>
                <w:rFonts w:hint="eastAsia" w:ascii="宋体" w:hAnsi="宋体" w:cs="宋体"/>
                <w:color w:val="000000"/>
                <w:sz w:val="24"/>
                <w:szCs w:val="24"/>
                <w:highlight w:val="none"/>
                <w:lang w:bidi="ar"/>
              </w:rPr>
            </w:pPr>
          </w:p>
        </w:tc>
        <w:tc>
          <w:tcPr>
            <w:tcW w:w="522" w:type="pct"/>
            <w:noWrap/>
            <w:vAlign w:val="center"/>
          </w:tcPr>
          <w:p w14:paraId="0F96ED54">
            <w:pPr>
              <w:widowControl/>
              <w:spacing w:after="0" w:line="240" w:lineRule="auto"/>
              <w:jc w:val="center"/>
              <w:rPr>
                <w:rFonts w:hint="eastAsia" w:ascii="宋体" w:hAnsi="宋体" w:cs="宋体"/>
                <w:color w:val="000000"/>
                <w:sz w:val="24"/>
                <w:szCs w:val="24"/>
                <w:highlight w:val="none"/>
                <w:lang w:bidi="ar"/>
              </w:rPr>
            </w:pPr>
          </w:p>
        </w:tc>
        <w:tc>
          <w:tcPr>
            <w:tcW w:w="617" w:type="pct"/>
            <w:noWrap/>
            <w:vAlign w:val="center"/>
          </w:tcPr>
          <w:p w14:paraId="2C1B5C2D">
            <w:pPr>
              <w:widowControl/>
              <w:spacing w:after="0" w:line="240" w:lineRule="auto"/>
              <w:jc w:val="center"/>
              <w:rPr>
                <w:rFonts w:hint="eastAsia" w:ascii="宋体" w:hAnsi="宋体" w:cs="宋体"/>
                <w:color w:val="000000"/>
                <w:sz w:val="24"/>
                <w:szCs w:val="24"/>
                <w:highlight w:val="none"/>
                <w:lang w:bidi="ar"/>
              </w:rPr>
            </w:pPr>
          </w:p>
        </w:tc>
        <w:tc>
          <w:tcPr>
            <w:tcW w:w="506" w:type="pct"/>
            <w:noWrap/>
            <w:vAlign w:val="center"/>
          </w:tcPr>
          <w:p w14:paraId="30ABE7B7">
            <w:pPr>
              <w:widowControl/>
              <w:spacing w:after="0" w:line="24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350" w:type="pct"/>
            <w:noWrap/>
            <w:vAlign w:val="center"/>
          </w:tcPr>
          <w:p w14:paraId="4DE52841">
            <w:pPr>
              <w:widowControl/>
              <w:spacing w:after="0" w:line="24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台</w:t>
            </w:r>
          </w:p>
        </w:tc>
        <w:tc>
          <w:tcPr>
            <w:tcW w:w="615" w:type="pct"/>
            <w:noWrap/>
            <w:vAlign w:val="center"/>
          </w:tcPr>
          <w:p w14:paraId="6B46181B">
            <w:pPr>
              <w:widowControl/>
              <w:spacing w:after="0" w:line="240" w:lineRule="auto"/>
              <w:jc w:val="center"/>
              <w:rPr>
                <w:rFonts w:hint="eastAsia" w:ascii="宋体" w:hAnsi="宋体" w:cs="宋体"/>
                <w:color w:val="000000"/>
                <w:sz w:val="24"/>
                <w:szCs w:val="24"/>
                <w:highlight w:val="none"/>
                <w:lang w:bidi="ar"/>
              </w:rPr>
            </w:pPr>
          </w:p>
        </w:tc>
        <w:tc>
          <w:tcPr>
            <w:tcW w:w="567" w:type="pct"/>
            <w:noWrap/>
            <w:vAlign w:val="center"/>
          </w:tcPr>
          <w:p w14:paraId="7B17C37C">
            <w:pPr>
              <w:widowControl/>
              <w:spacing w:after="0" w:line="240" w:lineRule="auto"/>
              <w:jc w:val="center"/>
              <w:rPr>
                <w:rFonts w:hint="eastAsia" w:ascii="宋体" w:hAnsi="宋体" w:cs="宋体"/>
                <w:color w:val="000000"/>
                <w:sz w:val="24"/>
                <w:szCs w:val="24"/>
                <w:highlight w:val="none"/>
                <w:lang w:bidi="ar"/>
              </w:rPr>
            </w:pPr>
          </w:p>
        </w:tc>
      </w:tr>
      <w:tr w14:paraId="09091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 w:type="pct"/>
            <w:noWrap/>
            <w:vAlign w:val="center"/>
          </w:tcPr>
          <w:p w14:paraId="5083C512">
            <w:pPr>
              <w:widowControl/>
              <w:spacing w:after="0" w:line="24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4</w:t>
            </w:r>
          </w:p>
        </w:tc>
        <w:tc>
          <w:tcPr>
            <w:tcW w:w="920" w:type="pct"/>
            <w:noWrap/>
          </w:tcPr>
          <w:p w14:paraId="38591075">
            <w:pPr>
              <w:spacing w:after="0" w:line="240" w:lineRule="auto"/>
              <w:jc w:val="center"/>
              <w:rPr>
                <w:rFonts w:hint="eastAsia" w:ascii="宋体" w:hAnsi="宋体" w:cs="宋体"/>
                <w:color w:val="000000"/>
                <w:sz w:val="24"/>
                <w:szCs w:val="24"/>
                <w:highlight w:val="none"/>
              </w:rPr>
            </w:pPr>
            <w:r>
              <w:rPr>
                <w:rFonts w:hint="eastAsia" w:ascii="宋体" w:hAnsi="宋体" w:cs="宋体"/>
                <w:bCs/>
                <w:color w:val="000000"/>
                <w:sz w:val="24"/>
                <w:szCs w:val="24"/>
                <w:highlight w:val="none"/>
              </w:rPr>
              <w:t>基因数据分析一体机</w:t>
            </w:r>
          </w:p>
        </w:tc>
        <w:tc>
          <w:tcPr>
            <w:tcW w:w="540" w:type="pct"/>
            <w:noWrap/>
            <w:vAlign w:val="center"/>
          </w:tcPr>
          <w:p w14:paraId="4BD91BA4">
            <w:pPr>
              <w:widowControl/>
              <w:spacing w:after="0" w:line="240" w:lineRule="auto"/>
              <w:jc w:val="center"/>
              <w:rPr>
                <w:rFonts w:hint="eastAsia" w:ascii="宋体" w:hAnsi="宋体" w:cs="宋体"/>
                <w:color w:val="000000"/>
                <w:sz w:val="24"/>
                <w:szCs w:val="24"/>
                <w:highlight w:val="none"/>
                <w:lang w:bidi="ar"/>
              </w:rPr>
            </w:pPr>
          </w:p>
        </w:tc>
        <w:tc>
          <w:tcPr>
            <w:tcW w:w="522" w:type="pct"/>
            <w:noWrap/>
            <w:vAlign w:val="center"/>
          </w:tcPr>
          <w:p w14:paraId="630632D3">
            <w:pPr>
              <w:widowControl/>
              <w:spacing w:after="0" w:line="240" w:lineRule="auto"/>
              <w:jc w:val="center"/>
              <w:rPr>
                <w:rFonts w:hint="eastAsia" w:ascii="宋体" w:hAnsi="宋体" w:cs="宋体"/>
                <w:color w:val="000000"/>
                <w:sz w:val="24"/>
                <w:szCs w:val="24"/>
                <w:highlight w:val="none"/>
                <w:lang w:bidi="ar"/>
              </w:rPr>
            </w:pPr>
          </w:p>
        </w:tc>
        <w:tc>
          <w:tcPr>
            <w:tcW w:w="617" w:type="pct"/>
            <w:noWrap/>
            <w:vAlign w:val="center"/>
          </w:tcPr>
          <w:p w14:paraId="7FD8B718">
            <w:pPr>
              <w:widowControl/>
              <w:spacing w:after="0" w:line="240" w:lineRule="auto"/>
              <w:jc w:val="center"/>
              <w:rPr>
                <w:rFonts w:hint="eastAsia" w:ascii="宋体" w:hAnsi="宋体" w:cs="宋体"/>
                <w:color w:val="000000"/>
                <w:sz w:val="24"/>
                <w:szCs w:val="24"/>
                <w:highlight w:val="none"/>
                <w:lang w:bidi="ar"/>
              </w:rPr>
            </w:pPr>
          </w:p>
        </w:tc>
        <w:tc>
          <w:tcPr>
            <w:tcW w:w="506" w:type="pct"/>
            <w:noWrap/>
            <w:vAlign w:val="center"/>
          </w:tcPr>
          <w:p w14:paraId="37F509E2">
            <w:pPr>
              <w:widowControl/>
              <w:spacing w:after="0" w:line="24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350" w:type="pct"/>
            <w:noWrap/>
            <w:vAlign w:val="center"/>
          </w:tcPr>
          <w:p w14:paraId="4E88E7CF">
            <w:pPr>
              <w:widowControl/>
              <w:spacing w:after="0" w:line="24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台</w:t>
            </w:r>
          </w:p>
        </w:tc>
        <w:tc>
          <w:tcPr>
            <w:tcW w:w="615" w:type="pct"/>
            <w:noWrap/>
            <w:vAlign w:val="center"/>
          </w:tcPr>
          <w:p w14:paraId="7531DFB1">
            <w:pPr>
              <w:widowControl/>
              <w:spacing w:after="0" w:line="240" w:lineRule="auto"/>
              <w:jc w:val="center"/>
              <w:rPr>
                <w:rFonts w:hint="eastAsia" w:ascii="宋体" w:hAnsi="宋体" w:cs="宋体"/>
                <w:color w:val="000000"/>
                <w:sz w:val="24"/>
                <w:szCs w:val="24"/>
                <w:highlight w:val="none"/>
                <w:lang w:bidi="ar"/>
              </w:rPr>
            </w:pPr>
          </w:p>
        </w:tc>
        <w:tc>
          <w:tcPr>
            <w:tcW w:w="567" w:type="pct"/>
            <w:noWrap/>
            <w:vAlign w:val="center"/>
          </w:tcPr>
          <w:p w14:paraId="155F6DEF">
            <w:pPr>
              <w:widowControl/>
              <w:spacing w:after="0" w:line="240" w:lineRule="auto"/>
              <w:jc w:val="center"/>
              <w:rPr>
                <w:rFonts w:hint="eastAsia" w:ascii="宋体" w:hAnsi="宋体" w:cs="宋体"/>
                <w:color w:val="000000"/>
                <w:sz w:val="24"/>
                <w:szCs w:val="24"/>
                <w:highlight w:val="none"/>
                <w:lang w:bidi="ar"/>
              </w:rPr>
            </w:pPr>
          </w:p>
        </w:tc>
      </w:tr>
      <w:tr w14:paraId="05C6D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 w:type="pct"/>
            <w:noWrap/>
            <w:vAlign w:val="center"/>
          </w:tcPr>
          <w:p w14:paraId="4FDC9E45">
            <w:pPr>
              <w:widowControl/>
              <w:spacing w:after="0" w:line="240" w:lineRule="auto"/>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合计</w:t>
            </w:r>
          </w:p>
        </w:tc>
        <w:tc>
          <w:tcPr>
            <w:tcW w:w="4640" w:type="pct"/>
            <w:gridSpan w:val="8"/>
            <w:noWrap/>
            <w:vAlign w:val="center"/>
          </w:tcPr>
          <w:p w14:paraId="5DB08A51">
            <w:pPr>
              <w:widowControl/>
              <w:spacing w:after="0" w:line="240" w:lineRule="auto"/>
              <w:jc w:val="left"/>
              <w:rPr>
                <w:rFonts w:hint="eastAsia" w:ascii="宋体" w:hAnsi="宋体" w:cs="宋体"/>
                <w:sz w:val="24"/>
                <w:szCs w:val="24"/>
                <w:highlight w:val="none"/>
              </w:rPr>
            </w:pPr>
            <w:r>
              <w:rPr>
                <w:rFonts w:hint="eastAsia" w:ascii="宋体" w:hAnsi="宋体" w:cs="宋体"/>
                <w:sz w:val="24"/>
                <w:szCs w:val="24"/>
                <w:highlight w:val="none"/>
              </w:rPr>
              <w:t>大写：</w:t>
            </w:r>
          </w:p>
          <w:p w14:paraId="58B729AE">
            <w:pPr>
              <w:widowControl/>
              <w:spacing w:after="0" w:line="240" w:lineRule="auto"/>
              <w:jc w:val="left"/>
              <w:rPr>
                <w:rFonts w:hint="eastAsia" w:ascii="宋体" w:hAnsi="宋体" w:cs="宋体"/>
                <w:color w:val="000000"/>
                <w:sz w:val="24"/>
                <w:szCs w:val="24"/>
                <w:highlight w:val="none"/>
                <w:lang w:bidi="ar"/>
              </w:rPr>
            </w:pPr>
            <w:r>
              <w:rPr>
                <w:rFonts w:hint="eastAsia" w:ascii="宋体" w:hAnsi="宋体" w:cs="宋体"/>
                <w:sz w:val="24"/>
                <w:szCs w:val="24"/>
                <w:highlight w:val="none"/>
              </w:rPr>
              <w:t>小写：</w:t>
            </w:r>
          </w:p>
        </w:tc>
      </w:tr>
      <w:tr w14:paraId="61A98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9"/>
            <w:noWrap/>
            <w:vAlign w:val="center"/>
          </w:tcPr>
          <w:p w14:paraId="37A8CC11">
            <w:pPr>
              <w:widowControl/>
              <w:spacing w:after="0" w:line="240" w:lineRule="auto"/>
              <w:jc w:val="center"/>
              <w:rPr>
                <w:rFonts w:hint="eastAsia" w:ascii="宋体" w:hAnsi="宋体" w:cs="宋体"/>
                <w:color w:val="000000"/>
                <w:sz w:val="24"/>
                <w:szCs w:val="24"/>
                <w:highlight w:val="none"/>
                <w:lang w:bidi="ar"/>
              </w:rPr>
            </w:pPr>
            <w:r>
              <w:rPr>
                <w:rFonts w:hint="eastAsia" w:ascii="宋体" w:hAnsi="宋体" w:cs="宋体"/>
                <w:sz w:val="24"/>
                <w:szCs w:val="24"/>
                <w:highlight w:val="none"/>
              </w:rPr>
              <w:t>本采购包中提供的符合本国产品标准的产品成本之和占该采购包提供的全部产品成本之和的比例为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tc>
      </w:tr>
    </w:tbl>
    <w:p w14:paraId="17707016">
      <w:pPr>
        <w:spacing w:after="0" w:line="360" w:lineRule="auto"/>
        <w:rPr>
          <w:rFonts w:hint="eastAsia" w:ascii="宋体" w:hAnsi="宋体" w:cs="宋体"/>
          <w:b/>
          <w:sz w:val="24"/>
          <w:szCs w:val="24"/>
          <w:highlight w:val="none"/>
        </w:rPr>
      </w:pPr>
    </w:p>
    <w:tbl>
      <w:tblPr>
        <w:tblStyle w:val="42"/>
        <w:tblpPr w:leftFromText="180" w:rightFromText="180" w:vertAnchor="text" w:tblpX="15619" w:tblpY="-8349"/>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tblGrid>
      <w:tr w14:paraId="61B4A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532" w:type="dxa"/>
          </w:tcPr>
          <w:p w14:paraId="4D982AF4">
            <w:pPr>
              <w:spacing w:after="0" w:line="360" w:lineRule="auto"/>
              <w:rPr>
                <w:rFonts w:hint="eastAsia" w:ascii="宋体" w:hAnsi="宋体" w:cs="宋体"/>
                <w:sz w:val="24"/>
                <w:szCs w:val="24"/>
                <w:highlight w:val="none"/>
              </w:rPr>
            </w:pPr>
          </w:p>
        </w:tc>
      </w:tr>
    </w:tbl>
    <w:tbl>
      <w:tblPr>
        <w:tblStyle w:val="42"/>
        <w:tblpPr w:leftFromText="180" w:rightFromText="180" w:vertAnchor="text" w:tblpX="15619" w:tblpY="-55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2"/>
      </w:tblGrid>
      <w:tr w14:paraId="10AB9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112" w:type="dxa"/>
          </w:tcPr>
          <w:p w14:paraId="6B1E9E4B">
            <w:pPr>
              <w:spacing w:after="0" w:line="360" w:lineRule="auto"/>
              <w:rPr>
                <w:rFonts w:hint="eastAsia" w:ascii="宋体" w:hAnsi="宋体" w:cs="宋体"/>
                <w:sz w:val="24"/>
                <w:szCs w:val="24"/>
                <w:highlight w:val="none"/>
              </w:rPr>
            </w:pPr>
          </w:p>
        </w:tc>
      </w:tr>
    </w:tbl>
    <w:p w14:paraId="215CFF1D">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注：</w:t>
      </w:r>
    </w:p>
    <w:p w14:paraId="07B3BD53">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1.“投标分项报价表”中“合计”数额应当与“开标一览表”中“投标总报价”数额一致。</w:t>
      </w:r>
    </w:p>
    <w:p w14:paraId="1572DF10">
      <w:pPr>
        <w:spacing w:after="0"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2.投标人需认真填写本分项报价表，如出现缺项、不填写、更改数量、总价报价超过最高限价的均作无效投标处理。</w:t>
      </w:r>
    </w:p>
    <w:p w14:paraId="72E42E58">
      <w:pPr>
        <w:spacing w:after="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6D2D563">
      <w:pPr>
        <w:spacing w:after="0" w:line="360" w:lineRule="auto"/>
        <w:rPr>
          <w:rFonts w:hint="eastAsia" w:ascii="宋体" w:hAnsi="宋体" w:cs="宋体"/>
          <w:sz w:val="24"/>
          <w:szCs w:val="24"/>
          <w:highlight w:val="none"/>
        </w:rPr>
      </w:pPr>
    </w:p>
    <w:p w14:paraId="515114B3">
      <w:pPr>
        <w:spacing w:after="0" w:line="360" w:lineRule="auto"/>
        <w:rPr>
          <w:rFonts w:hint="eastAsia" w:ascii="宋体" w:hAnsi="宋体" w:cs="宋体"/>
          <w:b/>
          <w:sz w:val="24"/>
          <w:szCs w:val="24"/>
          <w:highlight w:val="none"/>
        </w:rPr>
      </w:pPr>
    </w:p>
    <w:p w14:paraId="2E93F9C9">
      <w:pPr>
        <w:spacing w:after="0" w:line="360" w:lineRule="auto"/>
        <w:rPr>
          <w:rFonts w:hint="eastAsia" w:ascii="宋体" w:hAnsi="宋体" w:cs="宋体"/>
          <w:b/>
          <w:sz w:val="24"/>
          <w:szCs w:val="24"/>
          <w:highlight w:val="none"/>
        </w:rPr>
      </w:pPr>
    </w:p>
    <w:p w14:paraId="35238580">
      <w:pPr>
        <w:spacing w:after="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附件3 </w:t>
      </w:r>
    </w:p>
    <w:p w14:paraId="2EC53E97">
      <w:pPr>
        <w:spacing w:after="0" w:line="360" w:lineRule="auto"/>
        <w:jc w:val="center"/>
        <w:outlineLvl w:val="2"/>
        <w:rPr>
          <w:rFonts w:hint="eastAsia" w:ascii="宋体" w:hAnsi="宋体" w:cs="宋体"/>
          <w:b/>
          <w:sz w:val="24"/>
          <w:szCs w:val="24"/>
          <w:highlight w:val="none"/>
        </w:rPr>
      </w:pPr>
      <w:r>
        <w:rPr>
          <w:rFonts w:hint="eastAsia" w:ascii="宋体" w:hAnsi="宋体" w:cs="宋体"/>
          <w:b/>
          <w:sz w:val="24"/>
          <w:szCs w:val="24"/>
          <w:highlight w:val="none"/>
        </w:rPr>
        <w:t>投标人符合《中华人民共和国政府采购法》第二十二条规定条件的声明函</w:t>
      </w:r>
    </w:p>
    <w:p w14:paraId="5FFEFE72">
      <w:pPr>
        <w:spacing w:after="0"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 xml:space="preserve">                     </w:t>
      </w:r>
    </w:p>
    <w:p w14:paraId="54744237">
      <w:pPr>
        <w:spacing w:after="0" w:line="360" w:lineRule="auto"/>
        <w:ind w:firstLine="480"/>
        <w:rPr>
          <w:rFonts w:hint="eastAsia" w:ascii="宋体" w:hAnsi="宋体" w:cs="宋体"/>
          <w:b/>
          <w:bCs/>
          <w:sz w:val="24"/>
          <w:szCs w:val="24"/>
          <w:highlight w:val="none"/>
        </w:rPr>
      </w:pPr>
      <w:r>
        <w:rPr>
          <w:rFonts w:hint="eastAsia" w:ascii="宋体" w:hAnsi="宋体" w:cs="宋体"/>
          <w:bCs/>
          <w:sz w:val="24"/>
          <w:szCs w:val="24"/>
          <w:highlight w:val="none"/>
        </w:rPr>
        <w:t>我单位参加</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（项目名称），</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（项目编号）投标活动。针对《中华人民共和国政府采购法》第二十二条规定做出如下声明：</w:t>
      </w:r>
    </w:p>
    <w:p w14:paraId="0B1D19EA">
      <w:pPr>
        <w:spacing w:after="0" w:line="360" w:lineRule="auto"/>
        <w:ind w:firstLine="482"/>
        <w:rPr>
          <w:rFonts w:hint="eastAsia" w:ascii="宋体" w:hAnsi="宋体" w:cs="宋体"/>
          <w:sz w:val="24"/>
          <w:szCs w:val="24"/>
          <w:highlight w:val="none"/>
        </w:rPr>
      </w:pPr>
      <w:r>
        <w:rPr>
          <w:rFonts w:hint="eastAsia" w:ascii="宋体" w:hAnsi="宋体" w:cs="宋体"/>
          <w:bCs/>
          <w:sz w:val="24"/>
          <w:szCs w:val="24"/>
          <w:highlight w:val="none"/>
        </w:rPr>
        <w:t>1.我单位具有独立承担民事责任的能力；</w:t>
      </w:r>
    </w:p>
    <w:p w14:paraId="7677E8FE">
      <w:pPr>
        <w:spacing w:after="0" w:line="360" w:lineRule="auto"/>
        <w:ind w:firstLine="482"/>
        <w:rPr>
          <w:rFonts w:hint="eastAsia" w:ascii="宋体" w:hAnsi="宋体" w:cs="宋体"/>
          <w:sz w:val="24"/>
          <w:szCs w:val="24"/>
          <w:highlight w:val="none"/>
        </w:rPr>
      </w:pPr>
      <w:r>
        <w:rPr>
          <w:rFonts w:hint="eastAsia" w:ascii="宋体" w:hAnsi="宋体" w:cs="宋体"/>
          <w:sz w:val="24"/>
          <w:szCs w:val="24"/>
          <w:highlight w:val="none"/>
        </w:rPr>
        <w:t>2.我单位具有良好的商业信誉和健全的财务会计制度；</w:t>
      </w:r>
    </w:p>
    <w:p w14:paraId="713240F2">
      <w:pPr>
        <w:spacing w:after="0" w:line="360" w:lineRule="auto"/>
        <w:ind w:firstLine="482"/>
        <w:rPr>
          <w:rFonts w:hint="eastAsia" w:ascii="宋体" w:hAnsi="宋体" w:cs="宋体"/>
          <w:sz w:val="24"/>
          <w:szCs w:val="24"/>
          <w:highlight w:val="none"/>
        </w:rPr>
      </w:pPr>
      <w:r>
        <w:rPr>
          <w:rFonts w:hint="eastAsia" w:ascii="宋体" w:hAnsi="宋体" w:cs="宋体"/>
          <w:sz w:val="24"/>
          <w:szCs w:val="24"/>
          <w:highlight w:val="none"/>
        </w:rPr>
        <w:t>3.我单位具有履行合同所必需的设备和专业技术能力；</w:t>
      </w:r>
    </w:p>
    <w:p w14:paraId="2FF27AAD">
      <w:pPr>
        <w:spacing w:after="0" w:line="360" w:lineRule="auto"/>
        <w:ind w:firstLine="482"/>
        <w:rPr>
          <w:rFonts w:hint="eastAsia" w:ascii="宋体" w:hAnsi="宋体" w:cs="宋体"/>
          <w:sz w:val="24"/>
          <w:szCs w:val="24"/>
          <w:highlight w:val="none"/>
        </w:rPr>
      </w:pPr>
      <w:r>
        <w:rPr>
          <w:rFonts w:hint="eastAsia" w:ascii="宋体" w:hAnsi="宋体" w:cs="宋体"/>
          <w:sz w:val="24"/>
          <w:szCs w:val="24"/>
          <w:highlight w:val="none"/>
        </w:rPr>
        <w:t>4.我单位有依法缴纳税收和社会保障资金的良好记录；</w:t>
      </w:r>
    </w:p>
    <w:p w14:paraId="045914F2">
      <w:pPr>
        <w:spacing w:after="0" w:line="360" w:lineRule="auto"/>
        <w:ind w:firstLine="482"/>
        <w:rPr>
          <w:rFonts w:hint="eastAsia" w:ascii="宋体" w:hAnsi="宋体" w:cs="宋体"/>
          <w:sz w:val="24"/>
          <w:szCs w:val="24"/>
          <w:highlight w:val="none"/>
        </w:rPr>
      </w:pPr>
      <w:r>
        <w:rPr>
          <w:rFonts w:hint="eastAsia" w:ascii="宋体" w:hAnsi="宋体" w:cs="宋体"/>
          <w:sz w:val="24"/>
          <w:szCs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8853013">
      <w:pPr>
        <w:spacing w:after="0" w:line="360" w:lineRule="auto"/>
        <w:ind w:firstLine="482"/>
        <w:rPr>
          <w:rFonts w:hint="eastAsia" w:ascii="宋体" w:hAnsi="宋体" w:cs="宋体"/>
          <w:sz w:val="24"/>
          <w:szCs w:val="24"/>
          <w:highlight w:val="none"/>
        </w:rPr>
      </w:pPr>
      <w:r>
        <w:rPr>
          <w:rFonts w:hint="eastAsia" w:ascii="宋体" w:hAnsi="宋体" w:cs="宋体"/>
          <w:sz w:val="24"/>
          <w:szCs w:val="24"/>
          <w:highlight w:val="none"/>
        </w:rPr>
        <w:t>6.我单位满足法律、行政法规规定的其他条件。</w:t>
      </w:r>
    </w:p>
    <w:p w14:paraId="58923087">
      <w:pPr>
        <w:spacing w:after="0" w:line="360" w:lineRule="auto"/>
        <w:jc w:val="center"/>
        <w:rPr>
          <w:rFonts w:hint="eastAsia" w:ascii="宋体" w:hAnsi="宋体" w:cs="宋体"/>
          <w:bCs/>
          <w:sz w:val="24"/>
          <w:szCs w:val="24"/>
          <w:highlight w:val="none"/>
        </w:rPr>
      </w:pPr>
      <w:r>
        <w:rPr>
          <w:rFonts w:hint="eastAsia" w:ascii="宋体" w:hAnsi="宋体" w:cs="宋体"/>
          <w:bCs/>
          <w:sz w:val="24"/>
          <w:szCs w:val="24"/>
          <w:highlight w:val="none"/>
        </w:rPr>
        <w:t xml:space="preserve">                                          </w:t>
      </w:r>
    </w:p>
    <w:p w14:paraId="7B5C8CE5">
      <w:pPr>
        <w:spacing w:after="0" w:line="360" w:lineRule="auto"/>
        <w:jc w:val="center"/>
        <w:rPr>
          <w:rFonts w:hint="eastAsia" w:ascii="宋体" w:hAnsi="宋体" w:cs="宋体"/>
          <w:bCs/>
          <w:sz w:val="24"/>
          <w:szCs w:val="24"/>
          <w:highlight w:val="none"/>
        </w:rPr>
      </w:pPr>
    </w:p>
    <w:p w14:paraId="289635F0">
      <w:pPr>
        <w:spacing w:after="0" w:line="360" w:lineRule="auto"/>
        <w:jc w:val="center"/>
        <w:rPr>
          <w:rFonts w:hint="eastAsia" w:ascii="宋体" w:hAnsi="宋体" w:cs="宋体"/>
          <w:bCs/>
          <w:sz w:val="24"/>
          <w:szCs w:val="24"/>
          <w:highlight w:val="none"/>
        </w:rPr>
      </w:pPr>
      <w:r>
        <w:rPr>
          <w:rFonts w:hint="eastAsia" w:ascii="宋体" w:hAnsi="宋体" w:cs="宋体"/>
          <w:bCs/>
          <w:sz w:val="24"/>
          <w:szCs w:val="24"/>
          <w:highlight w:val="none"/>
        </w:rPr>
        <w:t xml:space="preserve">                             承诺人名称（</w:t>
      </w:r>
      <w:r>
        <w:rPr>
          <w:rFonts w:hint="eastAsia" w:ascii="宋体" w:hAnsi="宋体" w:cs="宋体"/>
          <w:sz w:val="24"/>
          <w:highlight w:val="none"/>
        </w:rPr>
        <w:t>加盖CA电子公章</w:t>
      </w:r>
      <w:r>
        <w:rPr>
          <w:rFonts w:hint="eastAsia" w:ascii="宋体" w:hAnsi="宋体" w:cs="宋体"/>
          <w:bCs/>
          <w:sz w:val="24"/>
          <w:szCs w:val="24"/>
          <w:highlight w:val="none"/>
        </w:rPr>
        <w:t>）：</w:t>
      </w:r>
    </w:p>
    <w:p w14:paraId="259FFEB2">
      <w:pPr>
        <w:spacing w:after="0" w:line="360" w:lineRule="auto"/>
        <w:jc w:val="right"/>
        <w:rPr>
          <w:rFonts w:hint="eastAsia" w:ascii="宋体" w:hAnsi="宋体" w:cs="宋体"/>
          <w:bCs/>
          <w:sz w:val="24"/>
          <w:szCs w:val="24"/>
          <w:highlight w:val="none"/>
        </w:rPr>
      </w:pPr>
      <w:r>
        <w:rPr>
          <w:rFonts w:hint="eastAsia" w:ascii="宋体" w:hAnsi="宋体" w:cs="宋体"/>
          <w:bCs/>
          <w:sz w:val="24"/>
          <w:szCs w:val="24"/>
          <w:highlight w:val="none"/>
        </w:rPr>
        <w:t xml:space="preserve">    </w:t>
      </w:r>
    </w:p>
    <w:p w14:paraId="05FAC996">
      <w:pPr>
        <w:spacing w:after="0" w:line="360" w:lineRule="auto"/>
        <w:jc w:val="right"/>
        <w:rPr>
          <w:rFonts w:hint="eastAsia" w:ascii="宋体" w:hAnsi="宋体" w:cs="宋体"/>
          <w:bCs/>
          <w:sz w:val="24"/>
          <w:szCs w:val="24"/>
          <w:highlight w:val="none"/>
        </w:rPr>
      </w:pPr>
      <w:r>
        <w:rPr>
          <w:rFonts w:hint="eastAsia" w:ascii="宋体" w:hAnsi="宋体" w:cs="宋体"/>
          <w:bCs/>
          <w:sz w:val="24"/>
          <w:szCs w:val="24"/>
          <w:highlight w:val="none"/>
        </w:rPr>
        <w:t xml:space="preserve">                                 日期：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日</w:t>
      </w:r>
    </w:p>
    <w:p w14:paraId="01142795">
      <w:pPr>
        <w:spacing w:after="0" w:line="360" w:lineRule="auto"/>
        <w:rPr>
          <w:rFonts w:hint="eastAsia" w:ascii="宋体" w:hAnsi="宋体" w:cs="宋体"/>
          <w:b/>
          <w:sz w:val="24"/>
          <w:szCs w:val="24"/>
          <w:highlight w:val="none"/>
        </w:rPr>
      </w:pPr>
    </w:p>
    <w:p w14:paraId="7D3F396B">
      <w:pPr>
        <w:spacing w:after="0" w:line="360" w:lineRule="auto"/>
        <w:rPr>
          <w:rFonts w:hint="eastAsia"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附件4</w:t>
      </w:r>
    </w:p>
    <w:p w14:paraId="7D8ACA36">
      <w:pPr>
        <w:spacing w:line="360" w:lineRule="auto"/>
        <w:ind w:firstLine="482"/>
        <w:jc w:val="center"/>
        <w:outlineLvl w:val="2"/>
        <w:rPr>
          <w:rFonts w:hint="eastAsia" w:ascii="宋体" w:hAnsi="宋体" w:cs="宋体"/>
          <w:b/>
          <w:bCs/>
          <w:sz w:val="24"/>
          <w:szCs w:val="24"/>
          <w:highlight w:val="none"/>
        </w:rPr>
      </w:pPr>
      <w:r>
        <w:rPr>
          <w:rFonts w:hint="eastAsia" w:ascii="宋体" w:hAnsi="宋体" w:cs="宋体"/>
          <w:b/>
          <w:bCs/>
          <w:sz w:val="24"/>
          <w:szCs w:val="24"/>
          <w:highlight w:val="none"/>
        </w:rPr>
        <w:t>法定代表人身份证明</w:t>
      </w:r>
    </w:p>
    <w:p w14:paraId="507C673D">
      <w:pPr>
        <w:spacing w:line="360" w:lineRule="auto"/>
        <w:ind w:firstLine="482"/>
        <w:jc w:val="center"/>
        <w:rPr>
          <w:rFonts w:hint="eastAsia" w:ascii="宋体" w:hAnsi="宋体" w:cs="宋体"/>
          <w:sz w:val="24"/>
          <w:szCs w:val="24"/>
          <w:highlight w:val="none"/>
          <w:u w:val="single"/>
        </w:rPr>
      </w:pPr>
      <w:r>
        <w:rPr>
          <w:rFonts w:hint="eastAsia" w:ascii="宋体" w:hAnsi="宋体" w:cs="宋体"/>
          <w:sz w:val="24"/>
          <w:szCs w:val="24"/>
          <w:highlight w:val="none"/>
          <w:u w:val="single"/>
        </w:rPr>
        <w:t>（法定代表人参加投标时，须出示此证明）</w:t>
      </w:r>
    </w:p>
    <w:p w14:paraId="4F915F1C">
      <w:pPr>
        <w:spacing w:line="360" w:lineRule="auto"/>
        <w:ind w:firstLine="482"/>
        <w:jc w:val="center"/>
        <w:rPr>
          <w:rFonts w:hint="eastAsia" w:ascii="宋体" w:hAnsi="宋体" w:cs="宋体"/>
          <w:sz w:val="24"/>
          <w:szCs w:val="24"/>
          <w:highlight w:val="none"/>
        </w:rPr>
      </w:pPr>
    </w:p>
    <w:p w14:paraId="16FA87BF">
      <w:pPr>
        <w:spacing w:line="360" w:lineRule="auto"/>
        <w:jc w:val="left"/>
        <w:rPr>
          <w:rFonts w:hint="eastAsia" w:ascii="宋体" w:hAnsi="宋体" w:cs="宋体"/>
          <w:bCs/>
          <w:sz w:val="24"/>
          <w:szCs w:val="24"/>
          <w:highlight w:val="none"/>
        </w:rPr>
      </w:pPr>
      <w:r>
        <w:rPr>
          <w:rFonts w:hint="eastAsia" w:ascii="宋体" w:hAnsi="宋体" w:cs="宋体"/>
          <w:sz w:val="24"/>
          <w:szCs w:val="24"/>
          <w:highlight w:val="none"/>
          <w:u w:val="single"/>
        </w:rPr>
        <w:t>南通市疾病预防控制中心</w:t>
      </w:r>
      <w:r>
        <w:rPr>
          <w:rFonts w:hint="eastAsia" w:ascii="宋体" w:hAnsi="宋体" w:cs="宋体"/>
          <w:bCs/>
          <w:sz w:val="24"/>
          <w:szCs w:val="24"/>
          <w:highlight w:val="none"/>
        </w:rPr>
        <w:t>：</w:t>
      </w:r>
    </w:p>
    <w:p w14:paraId="2436644F">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我公司法定代表人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参加贵单位组织的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（采购项目名称）的项目招标活动，全权代表我公司处理本项目投标的有关事宜。</w:t>
      </w:r>
    </w:p>
    <w:p w14:paraId="55B2EDD5">
      <w:pPr>
        <w:spacing w:line="360" w:lineRule="auto"/>
        <w:ind w:firstLine="482"/>
        <w:rPr>
          <w:rFonts w:hint="eastAsia" w:ascii="宋体" w:hAnsi="宋体" w:cs="宋体"/>
          <w:sz w:val="24"/>
          <w:szCs w:val="24"/>
          <w:highlight w:val="none"/>
        </w:rPr>
      </w:pPr>
    </w:p>
    <w:p w14:paraId="4C5AFAFD">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附：法定代表人情况：</w:t>
      </w:r>
    </w:p>
    <w:p w14:paraId="595BAA5A">
      <w:pPr>
        <w:spacing w:line="360" w:lineRule="auto"/>
        <w:ind w:firstLine="482"/>
        <w:rPr>
          <w:rFonts w:hint="eastAsia" w:ascii="宋体" w:hAnsi="宋体" w:cs="宋体"/>
          <w:sz w:val="24"/>
          <w:szCs w:val="24"/>
          <w:highlight w:val="none"/>
          <w:u w:val="single"/>
        </w:rPr>
      </w:pPr>
      <w:r>
        <w:rPr>
          <w:rFonts w:hint="eastAsia" w:ascii="宋体" w:hAnsi="宋体" w:cs="宋体"/>
          <w:sz w:val="24"/>
          <w:szCs w:val="24"/>
          <w:highlight w:val="none"/>
        </w:rPr>
        <w:t>姓名：    性别：    年龄：    职务：</w:t>
      </w:r>
    </w:p>
    <w:p w14:paraId="2CA334DC">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身份证号码：</w:t>
      </w:r>
    </w:p>
    <w:p w14:paraId="0C2FA08F">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手机：    传真：</w:t>
      </w:r>
    </w:p>
    <w:p w14:paraId="1A2F501D">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 </w:t>
      </w:r>
    </w:p>
    <w:p w14:paraId="24212AEC">
      <w:pPr>
        <w:spacing w:line="360" w:lineRule="auto"/>
        <w:ind w:firstLine="482"/>
        <w:rPr>
          <w:rFonts w:hint="eastAsia" w:ascii="宋体" w:hAnsi="宋体" w:cs="宋体"/>
          <w:sz w:val="24"/>
          <w:szCs w:val="24"/>
          <w:highlight w:val="none"/>
        </w:rPr>
      </w:pPr>
    </w:p>
    <w:p w14:paraId="27787707">
      <w:pPr>
        <w:spacing w:line="360" w:lineRule="auto"/>
        <w:ind w:firstLine="480"/>
        <w:jc w:val="right"/>
        <w:rPr>
          <w:rFonts w:hint="eastAsia" w:ascii="宋体" w:hAnsi="宋体" w:cs="宋体"/>
          <w:sz w:val="24"/>
          <w:szCs w:val="24"/>
          <w:highlight w:val="none"/>
        </w:rPr>
      </w:pPr>
      <w:r>
        <w:rPr>
          <w:rFonts w:hint="eastAsia" w:ascii="宋体" w:hAnsi="宋体" w:cs="宋体"/>
          <w:sz w:val="24"/>
          <w:szCs w:val="24"/>
          <w:highlight w:val="none"/>
        </w:rPr>
        <w:t>供应商全称（加盖CA电子公章）：</w:t>
      </w:r>
    </w:p>
    <w:p w14:paraId="537B1278">
      <w:pPr>
        <w:spacing w:line="360" w:lineRule="auto"/>
        <w:ind w:firstLine="482"/>
        <w:jc w:val="right"/>
        <w:rPr>
          <w:rFonts w:hint="eastAsia" w:ascii="宋体" w:hAnsi="宋体" w:cs="宋体"/>
          <w:sz w:val="24"/>
          <w:szCs w:val="24"/>
          <w:highlight w:val="none"/>
        </w:rPr>
      </w:pPr>
      <w:r>
        <w:rPr>
          <w:rFonts w:hint="eastAsia" w:ascii="宋体" w:hAnsi="宋体" w:cs="宋体"/>
          <w:sz w:val="24"/>
          <w:szCs w:val="24"/>
          <w:highlight w:val="none"/>
        </w:rPr>
        <w:t>法定代表人（签字或盖电子章）：</w:t>
      </w:r>
    </w:p>
    <w:p w14:paraId="33807803">
      <w:pPr>
        <w:spacing w:line="360" w:lineRule="auto"/>
        <w:ind w:firstLine="482"/>
        <w:jc w:val="right"/>
        <w:rPr>
          <w:rFonts w:hint="eastAsia" w:ascii="宋体" w:hAnsi="宋体" w:cs="宋体"/>
          <w:sz w:val="24"/>
          <w:szCs w:val="24"/>
          <w:highlight w:val="none"/>
        </w:rPr>
      </w:pPr>
      <w:r>
        <w:rPr>
          <w:rFonts w:hint="eastAsia" w:ascii="宋体" w:hAnsi="宋体" w:cs="宋体"/>
          <w:sz w:val="24"/>
          <w:szCs w:val="24"/>
          <w:highlight w:val="none"/>
        </w:rPr>
        <w:t xml:space="preserve">年   月   日                             </w:t>
      </w:r>
    </w:p>
    <w:p w14:paraId="6288CC93">
      <w:pPr>
        <w:spacing w:line="360" w:lineRule="auto"/>
        <w:ind w:firstLine="482"/>
        <w:rPr>
          <w:rFonts w:hint="eastAsia" w:ascii="宋体" w:hAnsi="宋体" w:cs="宋体"/>
          <w:sz w:val="24"/>
          <w:szCs w:val="24"/>
          <w:highlight w:val="none"/>
        </w:rPr>
      </w:pPr>
    </w:p>
    <w:p w14:paraId="351D1A2A">
      <w:pPr>
        <w:pStyle w:val="362"/>
        <w:ind w:firstLine="960"/>
        <w:rPr>
          <w:rFonts w:hint="eastAsia"/>
          <w:sz w:val="24"/>
          <w:szCs w:val="24"/>
          <w:highlight w:val="none"/>
        </w:rPr>
      </w:pPr>
    </w:p>
    <w:p w14:paraId="38819347">
      <w:pPr>
        <w:spacing w:line="360" w:lineRule="auto"/>
        <w:ind w:firstLine="482"/>
        <w:jc w:val="center"/>
        <w:rPr>
          <w:rFonts w:hint="eastAsia" w:ascii="宋体" w:hAnsi="宋体" w:cs="宋体"/>
          <w:sz w:val="24"/>
          <w:szCs w:val="24"/>
          <w:highlight w:val="none"/>
        </w:rPr>
      </w:pPr>
      <w:r>
        <w:rPr>
          <w:rFonts w:hint="eastAsia" w:ascii="宋体" w:hAnsi="宋体" w:cs="宋体"/>
          <w:sz w:val="24"/>
          <w:szCs w:val="24"/>
          <w:highlight w:val="none"/>
        </w:rPr>
        <w:t>法定代表人身份证正反面扫描件</w:t>
      </w:r>
    </w:p>
    <w:p w14:paraId="5DFBD259">
      <w:pPr>
        <w:spacing w:line="360" w:lineRule="auto"/>
        <w:ind w:firstLine="482"/>
        <w:jc w:val="center"/>
        <w:rPr>
          <w:rFonts w:hint="eastAsia" w:ascii="宋体" w:hAnsi="宋体" w:cs="宋体"/>
          <w:sz w:val="24"/>
          <w:szCs w:val="24"/>
          <w:highlight w:val="none"/>
        </w:rPr>
      </w:pPr>
      <w:r>
        <w:rPr>
          <w:rFonts w:hint="eastAsia" w:ascii="宋体" w:hAnsi="宋体" w:cs="宋体"/>
          <w:sz w:val="24"/>
          <w:szCs w:val="24"/>
          <w:highlight w:val="none"/>
        </w:rPr>
        <w:t>（粘贴此处）</w:t>
      </w:r>
    </w:p>
    <w:p w14:paraId="20C18C15">
      <w:pPr>
        <w:spacing w:line="460" w:lineRule="exact"/>
        <w:rPr>
          <w:rFonts w:hint="eastAsia" w:ascii="宋体" w:hAnsi="宋体"/>
          <w:bCs/>
          <w:sz w:val="24"/>
          <w:szCs w:val="24"/>
          <w:highlight w:val="none"/>
        </w:rPr>
      </w:pPr>
    </w:p>
    <w:p w14:paraId="3C27BCBF">
      <w:pPr>
        <w:spacing w:line="300" w:lineRule="auto"/>
        <w:rPr>
          <w:sz w:val="24"/>
          <w:szCs w:val="24"/>
          <w:highlight w:val="none"/>
          <w:lang w:val="zh-CN"/>
        </w:rPr>
      </w:pPr>
      <w:r>
        <w:rPr>
          <w:rFonts w:ascii="宋体" w:hAnsi="宋体"/>
          <w:bCs/>
          <w:sz w:val="24"/>
          <w:szCs w:val="24"/>
          <w:highlight w:val="none"/>
        </w:rPr>
        <w:br w:type="page" w:clear="all"/>
      </w:r>
      <w:r>
        <w:rPr>
          <w:rFonts w:hint="eastAsia" w:ascii="宋体" w:hAnsi="宋体" w:cs="宋体"/>
          <w:b/>
          <w:bCs/>
          <w:sz w:val="24"/>
          <w:szCs w:val="24"/>
          <w:highlight w:val="none"/>
          <w:lang w:val="zh-CN"/>
        </w:rPr>
        <w:t>附件</w:t>
      </w:r>
      <w:r>
        <w:rPr>
          <w:rFonts w:hint="eastAsia" w:ascii="宋体" w:hAnsi="宋体" w:cs="宋体"/>
          <w:b/>
          <w:bCs/>
          <w:sz w:val="24"/>
          <w:szCs w:val="24"/>
          <w:highlight w:val="none"/>
        </w:rPr>
        <w:t>5</w:t>
      </w:r>
    </w:p>
    <w:p w14:paraId="5B80D14A">
      <w:pPr>
        <w:spacing w:line="360" w:lineRule="auto"/>
        <w:ind w:firstLine="480"/>
        <w:jc w:val="center"/>
        <w:outlineLvl w:val="2"/>
        <w:rPr>
          <w:rFonts w:hint="eastAsia" w:ascii="宋体" w:hAnsi="宋体" w:cs="宋体"/>
          <w:b/>
          <w:bCs/>
          <w:sz w:val="24"/>
          <w:szCs w:val="24"/>
          <w:highlight w:val="none"/>
        </w:rPr>
      </w:pPr>
      <w:r>
        <w:rPr>
          <w:rFonts w:hint="eastAsia" w:ascii="宋体" w:hAnsi="宋体" w:cs="宋体"/>
          <w:b/>
          <w:bCs/>
          <w:sz w:val="24"/>
          <w:szCs w:val="24"/>
          <w:highlight w:val="none"/>
        </w:rPr>
        <w:t>授权委托书</w:t>
      </w:r>
    </w:p>
    <w:p w14:paraId="77E9DEEB">
      <w:pPr>
        <w:spacing w:line="360" w:lineRule="auto"/>
        <w:ind w:firstLine="482"/>
        <w:jc w:val="center"/>
        <w:rPr>
          <w:rFonts w:hint="eastAsia" w:ascii="宋体" w:hAnsi="宋体" w:cs="宋体"/>
          <w:sz w:val="24"/>
          <w:szCs w:val="24"/>
          <w:highlight w:val="none"/>
          <w:u w:val="single"/>
        </w:rPr>
      </w:pPr>
      <w:r>
        <w:rPr>
          <w:rFonts w:hint="eastAsia" w:ascii="宋体" w:hAnsi="宋体" w:cs="宋体"/>
          <w:sz w:val="24"/>
          <w:szCs w:val="24"/>
          <w:highlight w:val="none"/>
          <w:u w:val="single"/>
        </w:rPr>
        <w:t>（被授权人参加投标时，须出示此证明）</w:t>
      </w:r>
    </w:p>
    <w:p w14:paraId="6219D1CF">
      <w:pPr>
        <w:spacing w:line="360" w:lineRule="auto"/>
        <w:jc w:val="left"/>
        <w:rPr>
          <w:rFonts w:hint="eastAsia" w:ascii="宋体" w:hAnsi="宋体" w:cs="宋体"/>
          <w:bCs/>
          <w:sz w:val="24"/>
          <w:szCs w:val="24"/>
          <w:highlight w:val="none"/>
        </w:rPr>
      </w:pPr>
      <w:r>
        <w:rPr>
          <w:rFonts w:hint="eastAsia" w:ascii="宋体" w:hAnsi="宋体" w:cs="宋体"/>
          <w:sz w:val="24"/>
          <w:szCs w:val="24"/>
          <w:highlight w:val="none"/>
          <w:u w:val="single"/>
        </w:rPr>
        <w:t>南通市疾病预防控制中心</w:t>
      </w:r>
      <w:r>
        <w:rPr>
          <w:rFonts w:hint="eastAsia" w:ascii="宋体" w:hAnsi="宋体" w:cs="宋体"/>
          <w:bCs/>
          <w:sz w:val="24"/>
          <w:szCs w:val="24"/>
          <w:highlight w:val="none"/>
        </w:rPr>
        <w:t>：</w:t>
      </w:r>
    </w:p>
    <w:p w14:paraId="1392D688">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兹授权</w:t>
      </w:r>
      <w:r>
        <w:rPr>
          <w:rFonts w:hint="eastAsia" w:ascii="宋体" w:hAnsi="宋体" w:cs="宋体"/>
          <w:sz w:val="24"/>
          <w:szCs w:val="24"/>
          <w:highlight w:val="none"/>
          <w:u w:val="single"/>
        </w:rPr>
        <w:t xml:space="preserve">               （</w:t>
      </w:r>
      <w:r>
        <w:rPr>
          <w:rFonts w:hint="eastAsia" w:ascii="宋体" w:hAnsi="宋体" w:cs="宋体"/>
          <w:sz w:val="24"/>
          <w:szCs w:val="24"/>
          <w:highlight w:val="none"/>
        </w:rPr>
        <w:t>被授权人的姓名）代表我公司参加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（采购项目名称）项目的投标活动，全权处理一切与该项目投标有关的事务。其在办理上述事宜过程中所签署的所有文件我公司均予以承认。</w:t>
      </w:r>
    </w:p>
    <w:p w14:paraId="033CDB34">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被授权人无转委托权。特此委托。</w:t>
      </w:r>
    </w:p>
    <w:p w14:paraId="50B20B6B">
      <w:pPr>
        <w:spacing w:line="360" w:lineRule="auto"/>
        <w:ind w:firstLine="482"/>
        <w:rPr>
          <w:rFonts w:hint="eastAsia" w:ascii="宋体" w:hAnsi="宋体" w:cs="宋体"/>
          <w:sz w:val="24"/>
          <w:szCs w:val="24"/>
          <w:highlight w:val="none"/>
        </w:rPr>
      </w:pPr>
    </w:p>
    <w:p w14:paraId="596CE42F">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附：被授权人情况：</w:t>
      </w:r>
    </w:p>
    <w:p w14:paraId="417AC786">
      <w:pPr>
        <w:spacing w:line="360" w:lineRule="auto"/>
        <w:ind w:firstLine="482"/>
        <w:rPr>
          <w:rFonts w:hint="eastAsia" w:ascii="宋体" w:hAnsi="宋体" w:cs="宋体"/>
          <w:sz w:val="24"/>
          <w:szCs w:val="24"/>
          <w:highlight w:val="none"/>
          <w:u w:val="single"/>
        </w:rPr>
      </w:pPr>
      <w:r>
        <w:rPr>
          <w:rFonts w:hint="eastAsia" w:ascii="宋体" w:hAnsi="宋体" w:cs="宋体"/>
          <w:sz w:val="24"/>
          <w:szCs w:val="24"/>
          <w:highlight w:val="none"/>
        </w:rPr>
        <w:t>姓名：    性别：    年龄：    职务：</w:t>
      </w:r>
    </w:p>
    <w:p w14:paraId="1E454177">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身份证号码：</w:t>
      </w:r>
    </w:p>
    <w:p w14:paraId="61ED2747">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手机：    传真：</w:t>
      </w:r>
    </w:p>
    <w:p w14:paraId="6208BFB5">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 </w:t>
      </w:r>
    </w:p>
    <w:p w14:paraId="04AF78B2">
      <w:pPr>
        <w:spacing w:line="360" w:lineRule="auto"/>
        <w:ind w:firstLine="480"/>
        <w:jc w:val="right"/>
        <w:rPr>
          <w:rFonts w:hint="eastAsia" w:ascii="宋体" w:hAnsi="宋体" w:cs="宋体"/>
          <w:sz w:val="24"/>
          <w:szCs w:val="24"/>
          <w:highlight w:val="none"/>
        </w:rPr>
      </w:pPr>
      <w:r>
        <w:rPr>
          <w:rFonts w:hint="eastAsia" w:ascii="宋体" w:hAnsi="宋体" w:cs="宋体"/>
          <w:sz w:val="24"/>
          <w:szCs w:val="24"/>
          <w:highlight w:val="none"/>
        </w:rPr>
        <w:t>供应商全称（加盖CA电子公章）：</w:t>
      </w:r>
    </w:p>
    <w:p w14:paraId="5AB5F464">
      <w:pPr>
        <w:spacing w:line="360" w:lineRule="auto"/>
        <w:ind w:firstLine="482"/>
        <w:jc w:val="right"/>
        <w:rPr>
          <w:rFonts w:hint="eastAsia" w:ascii="宋体" w:hAnsi="宋体" w:cs="宋体"/>
          <w:sz w:val="24"/>
          <w:szCs w:val="24"/>
          <w:highlight w:val="none"/>
        </w:rPr>
      </w:pPr>
      <w:r>
        <w:rPr>
          <w:rFonts w:hint="eastAsia" w:ascii="宋体" w:hAnsi="宋体" w:cs="宋体"/>
          <w:sz w:val="24"/>
          <w:szCs w:val="24"/>
          <w:highlight w:val="none"/>
        </w:rPr>
        <w:t>法定代表人（签字或盖电子章）：</w:t>
      </w:r>
    </w:p>
    <w:p w14:paraId="116D9538">
      <w:pPr>
        <w:spacing w:line="360" w:lineRule="auto"/>
        <w:ind w:firstLine="482"/>
        <w:jc w:val="right"/>
        <w:rPr>
          <w:rFonts w:hint="eastAsia" w:ascii="宋体" w:hAnsi="宋体" w:cs="宋体"/>
          <w:sz w:val="24"/>
          <w:szCs w:val="24"/>
          <w:highlight w:val="none"/>
        </w:rPr>
      </w:pPr>
      <w:r>
        <w:rPr>
          <w:rFonts w:hint="eastAsia" w:ascii="宋体" w:hAnsi="宋体" w:cs="宋体"/>
          <w:sz w:val="24"/>
          <w:szCs w:val="24"/>
          <w:highlight w:val="none"/>
        </w:rPr>
        <w:t xml:space="preserve">年   月   日                       </w:t>
      </w:r>
    </w:p>
    <w:p w14:paraId="3402469B">
      <w:pPr>
        <w:spacing w:line="360" w:lineRule="auto"/>
        <w:ind w:firstLine="482"/>
        <w:jc w:val="center"/>
        <w:rPr>
          <w:rFonts w:hint="eastAsia" w:ascii="宋体" w:hAnsi="宋体" w:cs="宋体"/>
          <w:sz w:val="24"/>
          <w:szCs w:val="24"/>
          <w:highlight w:val="none"/>
        </w:rPr>
      </w:pPr>
      <w:r>
        <w:rPr>
          <w:rFonts w:hint="eastAsia" w:ascii="宋体" w:hAnsi="宋体" w:cs="宋体"/>
          <w:sz w:val="24"/>
          <w:szCs w:val="24"/>
          <w:highlight w:val="none"/>
        </w:rPr>
        <w:t>法定代表人身份证正反面扫描件</w:t>
      </w:r>
    </w:p>
    <w:p w14:paraId="565B8A2A">
      <w:pPr>
        <w:spacing w:line="360" w:lineRule="auto"/>
        <w:ind w:firstLine="482"/>
        <w:jc w:val="center"/>
        <w:rPr>
          <w:rFonts w:hint="eastAsia" w:ascii="宋体" w:hAnsi="宋体" w:cs="宋体"/>
          <w:sz w:val="24"/>
          <w:szCs w:val="24"/>
          <w:highlight w:val="none"/>
        </w:rPr>
      </w:pPr>
      <w:r>
        <w:rPr>
          <w:rFonts w:hint="eastAsia" w:ascii="宋体" w:hAnsi="宋体" w:cs="宋体"/>
          <w:sz w:val="24"/>
          <w:szCs w:val="24"/>
          <w:highlight w:val="none"/>
        </w:rPr>
        <w:t>（粘贴此处）</w:t>
      </w:r>
    </w:p>
    <w:p w14:paraId="10D04FA4">
      <w:pPr>
        <w:pStyle w:val="49"/>
        <w:rPr>
          <w:sz w:val="24"/>
          <w:szCs w:val="24"/>
          <w:highlight w:val="none"/>
          <w:lang w:eastAsia="zh-CN"/>
        </w:rPr>
      </w:pPr>
    </w:p>
    <w:p w14:paraId="228C0D03">
      <w:pPr>
        <w:spacing w:line="360" w:lineRule="auto"/>
        <w:ind w:firstLine="482"/>
        <w:jc w:val="center"/>
        <w:rPr>
          <w:rFonts w:hint="eastAsia" w:ascii="宋体" w:hAnsi="宋体" w:cs="宋体"/>
          <w:sz w:val="24"/>
          <w:szCs w:val="24"/>
          <w:highlight w:val="none"/>
        </w:rPr>
      </w:pPr>
      <w:r>
        <w:rPr>
          <w:rFonts w:hint="eastAsia" w:ascii="宋体" w:hAnsi="宋体" w:cs="宋体"/>
          <w:sz w:val="24"/>
          <w:szCs w:val="24"/>
          <w:highlight w:val="none"/>
        </w:rPr>
        <w:t>被授权人身份证正反面扫描件</w:t>
      </w:r>
    </w:p>
    <w:p w14:paraId="71DBFC09">
      <w:pPr>
        <w:spacing w:line="360" w:lineRule="auto"/>
        <w:ind w:firstLine="482"/>
        <w:jc w:val="center"/>
        <w:rPr>
          <w:rFonts w:hint="eastAsia" w:ascii="宋体" w:hAnsi="宋体" w:cs="宋体"/>
          <w:b/>
          <w:bCs/>
          <w:sz w:val="24"/>
          <w:szCs w:val="24"/>
          <w:highlight w:val="none"/>
        </w:rPr>
      </w:pPr>
      <w:r>
        <w:rPr>
          <w:rFonts w:hint="eastAsia" w:ascii="宋体" w:hAnsi="宋体" w:cs="宋体"/>
          <w:sz w:val="24"/>
          <w:szCs w:val="24"/>
          <w:highlight w:val="none"/>
        </w:rPr>
        <w:t>（粘贴此处）</w:t>
      </w:r>
    </w:p>
    <w:p w14:paraId="1F60DE35">
      <w:pPr>
        <w:rPr>
          <w:rFonts w:hint="eastAsia" w:ascii="宋体" w:hAnsi="宋体" w:cs="宋体"/>
          <w:b/>
          <w:sz w:val="24"/>
          <w:szCs w:val="24"/>
          <w:highlight w:val="none"/>
        </w:rPr>
      </w:pPr>
      <w:r>
        <w:rPr>
          <w:rFonts w:hint="eastAsia" w:ascii="宋体" w:hAnsi="宋体" w:cs="宋体"/>
          <w:b/>
          <w:sz w:val="24"/>
          <w:szCs w:val="24"/>
          <w:highlight w:val="none"/>
        </w:rPr>
        <w:br w:type="page"/>
      </w:r>
    </w:p>
    <w:p w14:paraId="1266B8E5">
      <w:pPr>
        <w:tabs>
          <w:tab w:val="left" w:pos="360"/>
        </w:tabs>
        <w:spacing w:after="0" w:line="360" w:lineRule="auto"/>
        <w:jc w:val="left"/>
        <w:rPr>
          <w:rFonts w:hint="eastAsia" w:ascii="宋体" w:hAnsi="宋体" w:cs="宋体"/>
          <w:b/>
          <w:sz w:val="24"/>
          <w:szCs w:val="24"/>
          <w:highlight w:val="none"/>
        </w:rPr>
      </w:pPr>
      <w:r>
        <w:rPr>
          <w:rFonts w:hint="eastAsia" w:ascii="宋体" w:hAnsi="宋体" w:cs="宋体"/>
          <w:b/>
          <w:sz w:val="24"/>
          <w:szCs w:val="24"/>
          <w:highlight w:val="none"/>
        </w:rPr>
        <w:t xml:space="preserve">附件6                    </w:t>
      </w:r>
    </w:p>
    <w:p w14:paraId="09CFEDFB">
      <w:pPr>
        <w:spacing w:line="360" w:lineRule="auto"/>
        <w:ind w:firstLine="480"/>
        <w:jc w:val="center"/>
        <w:outlineLvl w:val="2"/>
        <w:rPr>
          <w:rFonts w:hint="eastAsia" w:ascii="宋体" w:hAnsi="宋体" w:cs="宋体"/>
          <w:b/>
          <w:bCs/>
          <w:sz w:val="24"/>
          <w:szCs w:val="24"/>
          <w:highlight w:val="none"/>
        </w:rPr>
      </w:pPr>
      <w:r>
        <w:rPr>
          <w:rFonts w:hint="eastAsia" w:ascii="宋体" w:hAnsi="宋体" w:cs="宋体"/>
          <w:b/>
          <w:bCs/>
          <w:sz w:val="24"/>
          <w:szCs w:val="24"/>
          <w:highlight w:val="none"/>
        </w:rPr>
        <w:t>投标函</w:t>
      </w:r>
    </w:p>
    <w:p w14:paraId="08E95FEC">
      <w:pPr>
        <w:spacing w:after="0" w:line="400" w:lineRule="exact"/>
        <w:jc w:val="left"/>
        <w:rPr>
          <w:rFonts w:hint="eastAsia" w:ascii="宋体" w:hAnsi="宋体" w:cs="宋体"/>
          <w:sz w:val="24"/>
          <w:szCs w:val="24"/>
          <w:highlight w:val="none"/>
        </w:rPr>
      </w:pPr>
      <w:r>
        <w:rPr>
          <w:rFonts w:hint="eastAsia" w:ascii="宋体" w:hAnsi="宋体" w:cs="宋体"/>
          <w:sz w:val="24"/>
          <w:szCs w:val="24"/>
          <w:highlight w:val="none"/>
        </w:rPr>
        <w:t>致：南通市疾病预防控制中心</w:t>
      </w:r>
    </w:p>
    <w:p w14:paraId="7C119AE0">
      <w:pPr>
        <w:spacing w:line="400" w:lineRule="exact"/>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我方收到贵中心</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）招标文件，经仔细阅读和研究，我方决定参加投标，并向贵中心作出如下承诺：</w:t>
      </w:r>
    </w:p>
    <w:p w14:paraId="4A6F81C7">
      <w:pPr>
        <w:spacing w:line="400" w:lineRule="exact"/>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1</w:t>
      </w:r>
      <w:r>
        <w:rPr>
          <w:rFonts w:hint="eastAsia" w:ascii="宋体" w:hAnsi="宋体" w:cs="宋体"/>
          <w:sz w:val="24"/>
          <w:szCs w:val="24"/>
          <w:highlight w:val="none"/>
        </w:rPr>
        <w:t>.</w:t>
      </w:r>
      <w:r>
        <w:rPr>
          <w:rFonts w:hint="eastAsia" w:ascii="宋体" w:hAnsi="宋体" w:cs="宋体"/>
          <w:sz w:val="24"/>
          <w:szCs w:val="24"/>
          <w:highlight w:val="none"/>
          <w:lang w:val="zh-CN"/>
        </w:rPr>
        <w:t>我方愿意按照招标文件的一切要求，提供本项目的所有内容，我方投标的报价包括完成本项工作所需的一切应有费用。</w:t>
      </w:r>
    </w:p>
    <w:p w14:paraId="32D2999E">
      <w:pPr>
        <w:spacing w:line="400" w:lineRule="exact"/>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2</w:t>
      </w:r>
      <w:r>
        <w:rPr>
          <w:rFonts w:hint="eastAsia" w:ascii="宋体" w:hAnsi="宋体" w:cs="宋体"/>
          <w:sz w:val="24"/>
          <w:szCs w:val="24"/>
          <w:highlight w:val="none"/>
        </w:rPr>
        <w:t>.</w:t>
      </w:r>
      <w:r>
        <w:rPr>
          <w:rFonts w:hint="eastAsia" w:ascii="宋体" w:hAnsi="宋体" w:cs="宋体"/>
          <w:sz w:val="24"/>
          <w:szCs w:val="24"/>
          <w:highlight w:val="none"/>
          <w:lang w:val="zh-CN"/>
        </w:rPr>
        <w:t>如果我方的投标书被接受，我方将严格履行招标文件中规定的每一项要求，严格履行合同的责任和义务，保证按期、按质履行合同，完成合同所规定的全部内容。</w:t>
      </w:r>
    </w:p>
    <w:p w14:paraId="545C1292">
      <w:pPr>
        <w:spacing w:line="400" w:lineRule="exact"/>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3</w:t>
      </w:r>
      <w:r>
        <w:rPr>
          <w:rFonts w:hint="eastAsia" w:ascii="宋体" w:hAnsi="宋体" w:cs="宋体"/>
          <w:sz w:val="24"/>
          <w:szCs w:val="24"/>
          <w:highlight w:val="none"/>
        </w:rPr>
        <w:t>.</w:t>
      </w:r>
      <w:r>
        <w:rPr>
          <w:rFonts w:hint="eastAsia" w:ascii="宋体" w:hAnsi="宋体" w:cs="宋体"/>
          <w:sz w:val="24"/>
          <w:szCs w:val="24"/>
          <w:highlight w:val="none"/>
          <w:lang w:val="zh-CN"/>
        </w:rPr>
        <w:t>我方已详细审查并同意招标文件及更正文件（若有）中的规定。我方完全理解并同意放弃对这方面有不明及误解的权利。</w:t>
      </w:r>
    </w:p>
    <w:p w14:paraId="6B415283">
      <w:pPr>
        <w:spacing w:line="400" w:lineRule="exact"/>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4</w:t>
      </w:r>
      <w:r>
        <w:rPr>
          <w:rFonts w:hint="eastAsia" w:ascii="宋体" w:hAnsi="宋体" w:cs="宋体"/>
          <w:sz w:val="24"/>
          <w:szCs w:val="24"/>
          <w:highlight w:val="none"/>
        </w:rPr>
        <w:t>.</w:t>
      </w:r>
      <w:r>
        <w:rPr>
          <w:rFonts w:hint="eastAsia" w:ascii="宋体" w:hAnsi="宋体" w:cs="宋体"/>
          <w:sz w:val="24"/>
          <w:szCs w:val="24"/>
          <w:highlight w:val="none"/>
          <w:lang w:val="zh-CN"/>
        </w:rPr>
        <w:t>本投标书的有效期限为投标截止时间之日起90天。</w:t>
      </w:r>
    </w:p>
    <w:p w14:paraId="440765DF">
      <w:pPr>
        <w:spacing w:line="400" w:lineRule="exact"/>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5</w:t>
      </w:r>
      <w:r>
        <w:rPr>
          <w:rFonts w:hint="eastAsia" w:ascii="宋体" w:hAnsi="宋体" w:cs="宋体"/>
          <w:sz w:val="24"/>
          <w:szCs w:val="24"/>
          <w:highlight w:val="none"/>
        </w:rPr>
        <w:t>.</w:t>
      </w:r>
      <w:r>
        <w:rPr>
          <w:rFonts w:hint="eastAsia" w:ascii="宋体" w:hAnsi="宋体" w:cs="宋体"/>
          <w:sz w:val="24"/>
          <w:szCs w:val="24"/>
          <w:highlight w:val="none"/>
          <w:lang w:val="zh-CN"/>
        </w:rPr>
        <w:t>我方保证所提交的投标文件中所有资料均是真实的、准确的。若与真实情况不符，我方愿意承担由此而产生的一切后果。</w:t>
      </w:r>
    </w:p>
    <w:p w14:paraId="6ADC06A2">
      <w:pPr>
        <w:spacing w:line="400" w:lineRule="exact"/>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6</w:t>
      </w:r>
      <w:r>
        <w:rPr>
          <w:rFonts w:hint="eastAsia" w:ascii="宋体" w:hAnsi="宋体" w:cs="宋体"/>
          <w:sz w:val="24"/>
          <w:szCs w:val="24"/>
          <w:highlight w:val="none"/>
        </w:rPr>
        <w:t>.</w:t>
      </w:r>
      <w:r>
        <w:rPr>
          <w:rFonts w:hint="eastAsia" w:ascii="宋体" w:hAnsi="宋体" w:cs="宋体"/>
          <w:sz w:val="24"/>
          <w:szCs w:val="24"/>
          <w:highlight w:val="none"/>
          <w:lang w:val="zh-CN"/>
        </w:rPr>
        <w:t>我方承诺若在机器码检查中被查出存在与其他投标供应商机器码一致情形的，愿意承担由此产生的一切后果，包括但不限于不得参与后续本项目因故废标后重新开展的相关采购活动。</w:t>
      </w:r>
    </w:p>
    <w:p w14:paraId="15F760E7">
      <w:pPr>
        <w:spacing w:line="400" w:lineRule="exact"/>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7</w:t>
      </w:r>
      <w:r>
        <w:rPr>
          <w:rFonts w:hint="eastAsia" w:ascii="宋体" w:hAnsi="宋体" w:cs="宋体"/>
          <w:sz w:val="24"/>
          <w:szCs w:val="24"/>
          <w:highlight w:val="none"/>
        </w:rPr>
        <w:t>.</w:t>
      </w:r>
      <w:r>
        <w:rPr>
          <w:rFonts w:hint="eastAsia" w:ascii="宋体" w:hAnsi="宋体" w:cs="宋体"/>
          <w:sz w:val="24"/>
          <w:szCs w:val="24"/>
          <w:highlight w:val="none"/>
          <w:lang w:val="zh-CN"/>
        </w:rPr>
        <w:t>我方承诺该项投标在开标后的全过程中保持有效，不作任何更改和变动。</w:t>
      </w:r>
    </w:p>
    <w:p w14:paraId="4E4D2EB2">
      <w:pPr>
        <w:spacing w:line="400" w:lineRule="exact"/>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8</w:t>
      </w:r>
      <w:r>
        <w:rPr>
          <w:rFonts w:hint="eastAsia" w:ascii="宋体" w:hAnsi="宋体" w:cs="宋体"/>
          <w:sz w:val="24"/>
          <w:szCs w:val="24"/>
          <w:highlight w:val="none"/>
        </w:rPr>
        <w:t>.</w:t>
      </w:r>
      <w:r>
        <w:rPr>
          <w:rFonts w:hint="eastAsia" w:ascii="宋体" w:hAnsi="宋体" w:cs="宋体"/>
          <w:sz w:val="24"/>
          <w:szCs w:val="24"/>
          <w:highlight w:val="none"/>
          <w:lang w:val="zh-CN"/>
        </w:rPr>
        <w:t>我方承诺满足《中华人民共和国政府采购法》第二十二条规定的所有条件。</w:t>
      </w:r>
    </w:p>
    <w:p w14:paraId="02054606">
      <w:pPr>
        <w:spacing w:line="400" w:lineRule="exact"/>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9</w:t>
      </w:r>
      <w:r>
        <w:rPr>
          <w:rFonts w:hint="eastAsia" w:ascii="宋体" w:hAnsi="宋体" w:cs="宋体"/>
          <w:sz w:val="24"/>
          <w:szCs w:val="24"/>
          <w:highlight w:val="none"/>
        </w:rPr>
        <w:t>.</w:t>
      </w:r>
      <w:r>
        <w:rPr>
          <w:rFonts w:hint="eastAsia" w:ascii="宋体" w:hAnsi="宋体" w:cs="宋体"/>
          <w:sz w:val="24"/>
          <w:szCs w:val="24"/>
          <w:highlight w:val="none"/>
          <w:lang w:val="zh-CN"/>
        </w:rPr>
        <w:t>与本投标有关的通讯地址：</w:t>
      </w:r>
    </w:p>
    <w:p w14:paraId="1F5C021D">
      <w:pPr>
        <w:spacing w:line="440" w:lineRule="exact"/>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单   位：                                              联 系 人： </w:t>
      </w:r>
    </w:p>
    <w:p w14:paraId="27C9D347">
      <w:pPr>
        <w:spacing w:line="440" w:lineRule="exact"/>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地   址：                                              邮政编码： </w:t>
      </w:r>
    </w:p>
    <w:p w14:paraId="04BB12E1">
      <w:pPr>
        <w:spacing w:line="440" w:lineRule="exact"/>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联系电话：                                             电子邮箱：</w:t>
      </w:r>
    </w:p>
    <w:p w14:paraId="17CFEB2D">
      <w:pPr>
        <w:spacing w:line="360" w:lineRule="auto"/>
        <w:ind w:firstLine="480"/>
        <w:jc w:val="righ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                                     </w:t>
      </w:r>
    </w:p>
    <w:p w14:paraId="1E7DE1FC">
      <w:pPr>
        <w:spacing w:line="360" w:lineRule="auto"/>
        <w:ind w:firstLine="480"/>
        <w:jc w:val="right"/>
        <w:rPr>
          <w:rFonts w:hint="eastAsia" w:ascii="宋体" w:hAnsi="宋体" w:cs="宋体"/>
          <w:sz w:val="24"/>
          <w:szCs w:val="24"/>
          <w:highlight w:val="none"/>
        </w:rPr>
      </w:pPr>
      <w:r>
        <w:rPr>
          <w:rFonts w:hint="eastAsia" w:ascii="宋体" w:hAnsi="宋体" w:cs="宋体"/>
          <w:sz w:val="24"/>
          <w:szCs w:val="24"/>
          <w:highlight w:val="none"/>
          <w:lang w:val="zh-CN"/>
        </w:rPr>
        <w:t xml:space="preserve"> </w:t>
      </w:r>
      <w:r>
        <w:rPr>
          <w:rFonts w:hint="eastAsia" w:ascii="宋体" w:hAnsi="宋体" w:cs="宋体"/>
          <w:sz w:val="24"/>
          <w:szCs w:val="24"/>
          <w:highlight w:val="none"/>
        </w:rPr>
        <w:t>供应商全称（加盖CA电子公章）：</w:t>
      </w:r>
    </w:p>
    <w:p w14:paraId="5E5342B5">
      <w:pPr>
        <w:spacing w:line="440" w:lineRule="exact"/>
        <w:ind w:firstLine="420"/>
        <w:rPr>
          <w:rFonts w:hint="eastAsia" w:ascii="宋体" w:hAnsi="宋体" w:cs="宋体"/>
          <w:sz w:val="24"/>
          <w:szCs w:val="24"/>
          <w:highlight w:val="none"/>
        </w:rPr>
      </w:pPr>
      <w:r>
        <w:rPr>
          <w:rFonts w:hint="eastAsia" w:ascii="宋体" w:hAnsi="宋体" w:cs="宋体"/>
          <w:sz w:val="24"/>
          <w:szCs w:val="24"/>
          <w:highlight w:val="none"/>
        </w:rPr>
        <w:t xml:space="preserve">                                                  日    期：   年   月  日</w:t>
      </w:r>
    </w:p>
    <w:p w14:paraId="3B330281">
      <w:pPr>
        <w:spacing w:after="0" w:line="360" w:lineRule="auto"/>
        <w:rPr>
          <w:rFonts w:hint="eastAsia" w:ascii="宋体" w:hAnsi="宋体" w:cs="宋体"/>
          <w:b/>
          <w:sz w:val="24"/>
          <w:szCs w:val="24"/>
          <w:highlight w:val="none"/>
        </w:rPr>
      </w:pPr>
      <w:r>
        <w:rPr>
          <w:rFonts w:hint="eastAsia" w:ascii="宋体" w:hAnsi="宋体" w:cs="宋体"/>
          <w:b/>
          <w:sz w:val="24"/>
          <w:szCs w:val="24"/>
          <w:highlight w:val="none"/>
        </w:rPr>
        <w:br w:type="page"/>
      </w:r>
      <w:r>
        <w:rPr>
          <w:rFonts w:hint="eastAsia" w:ascii="宋体" w:hAnsi="宋体" w:cs="宋体"/>
          <w:b/>
          <w:sz w:val="24"/>
          <w:szCs w:val="24"/>
          <w:highlight w:val="none"/>
        </w:rPr>
        <w:t>附件7</w:t>
      </w:r>
    </w:p>
    <w:p w14:paraId="2EF3E628">
      <w:pPr>
        <w:ind w:firstLine="482" w:firstLineChars="200"/>
        <w:jc w:val="center"/>
        <w:rPr>
          <w:rFonts w:hint="eastAsia" w:ascii="宋体" w:hAnsi="宋体" w:cs="宋体"/>
          <w:b/>
          <w:bCs/>
          <w:sz w:val="24"/>
          <w:highlight w:val="none"/>
        </w:rPr>
      </w:pPr>
      <w:r>
        <w:rPr>
          <w:rFonts w:hint="eastAsia" w:ascii="宋体" w:hAnsi="宋体" w:cs="宋体"/>
          <w:b/>
          <w:bCs/>
          <w:sz w:val="24"/>
          <w:highlight w:val="none"/>
        </w:rPr>
        <w:t>商务要求响应及偏离表</w:t>
      </w:r>
    </w:p>
    <w:p w14:paraId="5DD15775">
      <w:pPr>
        <w:ind w:firstLine="480" w:firstLineChars="200"/>
        <w:jc w:val="center"/>
        <w:rPr>
          <w:rFonts w:hint="eastAsia" w:ascii="宋体" w:hAnsi="宋体"/>
          <w:sz w:val="24"/>
          <w:szCs w:val="24"/>
          <w:highlight w:val="none"/>
        </w:rPr>
      </w:pPr>
      <w:r>
        <w:rPr>
          <w:rFonts w:hint="eastAsia" w:ascii="宋体" w:hAnsi="宋体"/>
          <w:sz w:val="24"/>
          <w:szCs w:val="24"/>
          <w:highlight w:val="none"/>
        </w:rPr>
        <w:t>（由</w:t>
      </w:r>
      <w:r>
        <w:rPr>
          <w:rFonts w:hint="eastAsia" w:ascii="宋体" w:hAnsi="宋体" w:cs="宋体"/>
          <w:sz w:val="24"/>
          <w:szCs w:val="24"/>
          <w:highlight w:val="none"/>
        </w:rPr>
        <w:t>投标人</w:t>
      </w:r>
      <w:r>
        <w:rPr>
          <w:rFonts w:hint="eastAsia" w:ascii="宋体" w:hAnsi="宋体"/>
          <w:sz w:val="24"/>
          <w:szCs w:val="24"/>
          <w:highlight w:val="none"/>
        </w:rPr>
        <w:t>据实填写，表格不够自行添加）</w:t>
      </w:r>
    </w:p>
    <w:tbl>
      <w:tblPr>
        <w:tblStyle w:val="4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380578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431515EB">
            <w:pPr>
              <w:spacing w:line="340" w:lineRule="exact"/>
              <w:jc w:val="center"/>
              <w:rPr>
                <w:rFonts w:hint="eastAsia" w:ascii="宋体" w:hAnsi="宋体"/>
                <w:sz w:val="24"/>
                <w:szCs w:val="24"/>
                <w:highlight w:val="none"/>
              </w:rPr>
            </w:pPr>
            <w:r>
              <w:rPr>
                <w:rFonts w:hint="eastAsia" w:ascii="宋体" w:hAnsi="宋体"/>
                <w:sz w:val="24"/>
                <w:szCs w:val="24"/>
                <w:highlight w:val="none"/>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1AF6C039">
            <w:pPr>
              <w:spacing w:line="340" w:lineRule="exact"/>
              <w:jc w:val="center"/>
              <w:rPr>
                <w:rFonts w:hint="eastAsia" w:ascii="宋体" w:hAnsi="宋体"/>
                <w:sz w:val="24"/>
                <w:szCs w:val="24"/>
                <w:highlight w:val="none"/>
              </w:rPr>
            </w:pPr>
            <w:r>
              <w:rPr>
                <w:rFonts w:hint="eastAsia" w:ascii="宋体" w:hAnsi="宋体"/>
                <w:sz w:val="24"/>
                <w:szCs w:val="24"/>
                <w:highlight w:val="none"/>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07391B1C">
            <w:pPr>
              <w:spacing w:line="340" w:lineRule="exact"/>
              <w:jc w:val="center"/>
              <w:rPr>
                <w:rFonts w:hint="eastAsia" w:ascii="宋体" w:hAnsi="宋体"/>
                <w:sz w:val="24"/>
                <w:szCs w:val="24"/>
                <w:highlight w:val="none"/>
              </w:rPr>
            </w:pPr>
            <w:r>
              <w:rPr>
                <w:rFonts w:hint="eastAsia" w:ascii="宋体" w:hAnsi="宋体"/>
                <w:sz w:val="24"/>
                <w:szCs w:val="24"/>
                <w:highlight w:val="none"/>
              </w:rPr>
              <w:t>招标文件要求的商务条款</w:t>
            </w:r>
          </w:p>
        </w:tc>
        <w:tc>
          <w:tcPr>
            <w:tcW w:w="2591" w:type="dxa"/>
            <w:tcBorders>
              <w:top w:val="single" w:color="auto" w:sz="12" w:space="0"/>
              <w:left w:val="single" w:color="auto" w:sz="6" w:space="0"/>
              <w:bottom w:val="single" w:color="auto" w:sz="6" w:space="0"/>
              <w:right w:val="single" w:color="auto" w:sz="6" w:space="0"/>
            </w:tcBorders>
            <w:vAlign w:val="center"/>
          </w:tcPr>
          <w:p w14:paraId="34D1B0D4">
            <w:pPr>
              <w:spacing w:line="340" w:lineRule="exact"/>
              <w:jc w:val="center"/>
              <w:rPr>
                <w:rFonts w:hint="eastAsia" w:ascii="宋体" w:hAnsi="宋体"/>
                <w:sz w:val="24"/>
                <w:szCs w:val="24"/>
                <w:highlight w:val="none"/>
              </w:rPr>
            </w:pPr>
            <w:r>
              <w:rPr>
                <w:rFonts w:hint="eastAsia" w:ascii="宋体" w:hAnsi="宋体"/>
                <w:sz w:val="24"/>
                <w:szCs w:val="24"/>
                <w:highlight w:val="none"/>
              </w:rPr>
              <w:t>投标文件响应情况</w:t>
            </w:r>
          </w:p>
        </w:tc>
        <w:tc>
          <w:tcPr>
            <w:tcW w:w="1427" w:type="dxa"/>
            <w:tcBorders>
              <w:top w:val="single" w:color="auto" w:sz="12" w:space="0"/>
              <w:left w:val="single" w:color="auto" w:sz="6" w:space="0"/>
              <w:bottom w:val="single" w:color="auto" w:sz="6" w:space="0"/>
              <w:right w:val="single" w:color="auto" w:sz="12" w:space="0"/>
            </w:tcBorders>
          </w:tcPr>
          <w:p w14:paraId="6B797C92">
            <w:pPr>
              <w:spacing w:line="340" w:lineRule="exact"/>
              <w:jc w:val="center"/>
              <w:rPr>
                <w:rFonts w:hint="eastAsia" w:ascii="宋体" w:hAnsi="宋体"/>
                <w:sz w:val="24"/>
                <w:szCs w:val="24"/>
                <w:highlight w:val="none"/>
              </w:rPr>
            </w:pPr>
          </w:p>
          <w:p w14:paraId="2EACD8CA">
            <w:pPr>
              <w:spacing w:line="340" w:lineRule="exact"/>
              <w:jc w:val="center"/>
              <w:rPr>
                <w:rFonts w:hint="eastAsia" w:ascii="宋体" w:hAnsi="宋体"/>
                <w:sz w:val="24"/>
                <w:szCs w:val="24"/>
                <w:highlight w:val="none"/>
              </w:rPr>
            </w:pPr>
            <w:r>
              <w:rPr>
                <w:rFonts w:hint="eastAsia" w:ascii="宋体" w:hAnsi="宋体"/>
                <w:sz w:val="24"/>
                <w:szCs w:val="24"/>
                <w:highlight w:val="none"/>
              </w:rPr>
              <w:t>偏离说明</w:t>
            </w:r>
          </w:p>
        </w:tc>
      </w:tr>
      <w:tr w14:paraId="02C7DD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tcPr>
          <w:p w14:paraId="44F26C25">
            <w:pPr>
              <w:spacing w:line="340" w:lineRule="exact"/>
              <w:jc w:val="center"/>
              <w:rPr>
                <w:rFonts w:hint="eastAsia" w:ascii="宋体" w:hAnsi="宋体"/>
                <w:sz w:val="24"/>
                <w:szCs w:val="24"/>
                <w:highlight w:val="none"/>
              </w:rPr>
            </w:pPr>
            <w:r>
              <w:rPr>
                <w:rFonts w:hint="eastAsia" w:ascii="宋体" w:hAnsi="宋体"/>
                <w:sz w:val="24"/>
                <w:szCs w:val="24"/>
                <w:highlight w:val="none"/>
              </w:rPr>
              <w:t>1</w:t>
            </w:r>
          </w:p>
        </w:tc>
        <w:tc>
          <w:tcPr>
            <w:tcW w:w="2300" w:type="dxa"/>
            <w:tcBorders>
              <w:top w:val="single" w:color="auto" w:sz="6" w:space="0"/>
              <w:left w:val="single" w:color="auto" w:sz="6" w:space="0"/>
              <w:bottom w:val="single" w:color="auto" w:sz="6" w:space="0"/>
              <w:right w:val="single" w:color="auto" w:sz="6" w:space="0"/>
            </w:tcBorders>
            <w:vAlign w:val="center"/>
          </w:tcPr>
          <w:p w14:paraId="232B9A3D">
            <w:pPr>
              <w:spacing w:line="340" w:lineRule="exact"/>
              <w:jc w:val="center"/>
              <w:rPr>
                <w:rFonts w:hint="eastAsia" w:ascii="宋体" w:hAnsi="宋体"/>
                <w:sz w:val="24"/>
                <w:szCs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5AC8E4FC">
            <w:pPr>
              <w:spacing w:line="340" w:lineRule="exact"/>
              <w:jc w:val="left"/>
              <w:rPr>
                <w:rFonts w:hint="eastAsia" w:ascii="宋体" w:hAnsi="宋体"/>
                <w:sz w:val="24"/>
                <w:szCs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680574AE">
            <w:pPr>
              <w:spacing w:line="340" w:lineRule="exact"/>
              <w:jc w:val="left"/>
              <w:rPr>
                <w:sz w:val="24"/>
                <w:szCs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345A2EF3">
            <w:pPr>
              <w:spacing w:line="340" w:lineRule="exact"/>
              <w:jc w:val="left"/>
              <w:rPr>
                <w:sz w:val="24"/>
                <w:szCs w:val="24"/>
                <w:highlight w:val="none"/>
              </w:rPr>
            </w:pPr>
          </w:p>
        </w:tc>
      </w:tr>
      <w:tr w14:paraId="7E0949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tcPr>
          <w:p w14:paraId="48949375">
            <w:pPr>
              <w:spacing w:line="340" w:lineRule="exact"/>
              <w:jc w:val="center"/>
              <w:rPr>
                <w:rFonts w:hint="eastAsia" w:ascii="宋体" w:hAnsi="宋体"/>
                <w:sz w:val="24"/>
                <w:szCs w:val="24"/>
                <w:highlight w:val="none"/>
              </w:rPr>
            </w:pPr>
            <w:r>
              <w:rPr>
                <w:rFonts w:hint="eastAsia" w:ascii="宋体" w:hAnsi="宋体"/>
                <w:sz w:val="24"/>
                <w:szCs w:val="24"/>
                <w:highlight w:val="none"/>
              </w:rPr>
              <w:t>2</w:t>
            </w:r>
          </w:p>
        </w:tc>
        <w:tc>
          <w:tcPr>
            <w:tcW w:w="2300" w:type="dxa"/>
            <w:tcBorders>
              <w:top w:val="single" w:color="auto" w:sz="6" w:space="0"/>
              <w:left w:val="single" w:color="auto" w:sz="6" w:space="0"/>
              <w:bottom w:val="single" w:color="auto" w:sz="6" w:space="0"/>
              <w:right w:val="single" w:color="auto" w:sz="6" w:space="0"/>
            </w:tcBorders>
            <w:vAlign w:val="center"/>
          </w:tcPr>
          <w:p w14:paraId="06E9B9C4">
            <w:pPr>
              <w:spacing w:line="340" w:lineRule="exact"/>
              <w:jc w:val="left"/>
              <w:rPr>
                <w:rFonts w:hint="eastAsia" w:ascii="宋体" w:hAnsi="宋体"/>
                <w:sz w:val="24"/>
                <w:szCs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4F88388B">
            <w:pPr>
              <w:spacing w:line="340" w:lineRule="exact"/>
              <w:jc w:val="left"/>
              <w:rPr>
                <w:rFonts w:hint="eastAsia" w:ascii="宋体" w:hAnsi="宋体"/>
                <w:sz w:val="24"/>
                <w:szCs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37EE0A02">
            <w:pPr>
              <w:spacing w:line="340" w:lineRule="exact"/>
              <w:jc w:val="left"/>
              <w:rPr>
                <w:sz w:val="24"/>
                <w:szCs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4202BC94">
            <w:pPr>
              <w:spacing w:line="340" w:lineRule="exact"/>
              <w:jc w:val="left"/>
              <w:rPr>
                <w:sz w:val="24"/>
                <w:szCs w:val="24"/>
                <w:highlight w:val="none"/>
              </w:rPr>
            </w:pPr>
          </w:p>
        </w:tc>
      </w:tr>
      <w:tr w14:paraId="3E6703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tcPr>
          <w:p w14:paraId="4543E537">
            <w:pPr>
              <w:spacing w:line="340" w:lineRule="exact"/>
              <w:jc w:val="center"/>
              <w:rPr>
                <w:rFonts w:hint="eastAsia" w:ascii="宋体" w:hAnsi="宋体"/>
                <w:sz w:val="24"/>
                <w:szCs w:val="24"/>
                <w:highlight w:val="none"/>
              </w:rPr>
            </w:pPr>
            <w:r>
              <w:rPr>
                <w:rFonts w:hint="eastAsia" w:ascii="宋体" w:hAnsi="宋体"/>
                <w:sz w:val="24"/>
                <w:szCs w:val="24"/>
                <w:highlight w:val="none"/>
              </w:rPr>
              <w:t>3</w:t>
            </w:r>
          </w:p>
        </w:tc>
        <w:tc>
          <w:tcPr>
            <w:tcW w:w="2300" w:type="dxa"/>
            <w:tcBorders>
              <w:top w:val="single" w:color="auto" w:sz="6" w:space="0"/>
              <w:left w:val="single" w:color="auto" w:sz="6" w:space="0"/>
              <w:bottom w:val="single" w:color="auto" w:sz="6" w:space="0"/>
              <w:right w:val="single" w:color="auto" w:sz="6" w:space="0"/>
            </w:tcBorders>
            <w:vAlign w:val="center"/>
          </w:tcPr>
          <w:p w14:paraId="58BD4E10">
            <w:pPr>
              <w:spacing w:line="340" w:lineRule="exact"/>
              <w:jc w:val="left"/>
              <w:rPr>
                <w:rFonts w:hint="eastAsia" w:ascii="宋体" w:hAnsi="宋体"/>
                <w:sz w:val="24"/>
                <w:szCs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7168A8E8">
            <w:pPr>
              <w:spacing w:line="340" w:lineRule="exact"/>
              <w:jc w:val="left"/>
              <w:rPr>
                <w:sz w:val="24"/>
                <w:szCs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5724B81A">
            <w:pPr>
              <w:spacing w:line="340" w:lineRule="exact"/>
              <w:jc w:val="left"/>
              <w:rPr>
                <w:sz w:val="24"/>
                <w:szCs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36B7A5F9">
            <w:pPr>
              <w:spacing w:line="340" w:lineRule="exact"/>
              <w:jc w:val="left"/>
              <w:rPr>
                <w:sz w:val="24"/>
                <w:szCs w:val="24"/>
                <w:highlight w:val="none"/>
              </w:rPr>
            </w:pPr>
          </w:p>
        </w:tc>
      </w:tr>
      <w:tr w14:paraId="3A75EC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110B4CC3">
            <w:pPr>
              <w:spacing w:line="340" w:lineRule="exact"/>
              <w:jc w:val="center"/>
              <w:rPr>
                <w:rFonts w:hint="eastAsia" w:ascii="宋体" w:hAnsi="宋体"/>
                <w:sz w:val="24"/>
                <w:szCs w:val="24"/>
                <w:highlight w:val="none"/>
              </w:rPr>
            </w:pPr>
            <w:r>
              <w:rPr>
                <w:rFonts w:ascii="宋体" w:hAnsi="宋体"/>
                <w:sz w:val="24"/>
                <w:szCs w:val="24"/>
                <w:highlight w:val="none"/>
              </w:rPr>
              <w:t>……</w:t>
            </w:r>
          </w:p>
        </w:tc>
        <w:tc>
          <w:tcPr>
            <w:tcW w:w="2300" w:type="dxa"/>
            <w:tcBorders>
              <w:top w:val="single" w:color="auto" w:sz="6" w:space="0"/>
              <w:left w:val="single" w:color="auto" w:sz="6" w:space="0"/>
              <w:bottom w:val="single" w:color="auto" w:sz="6" w:space="0"/>
              <w:right w:val="single" w:color="auto" w:sz="6" w:space="0"/>
            </w:tcBorders>
            <w:vAlign w:val="center"/>
          </w:tcPr>
          <w:p w14:paraId="798C9FC4">
            <w:pPr>
              <w:spacing w:line="340" w:lineRule="exact"/>
              <w:jc w:val="left"/>
              <w:rPr>
                <w:rFonts w:hint="eastAsia" w:ascii="宋体" w:hAnsi="宋体"/>
                <w:sz w:val="24"/>
                <w:szCs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22DA149F">
            <w:pPr>
              <w:spacing w:line="340" w:lineRule="exact"/>
              <w:jc w:val="left"/>
              <w:rPr>
                <w:rFonts w:hint="eastAsia" w:ascii="宋体" w:hAnsi="宋体"/>
                <w:sz w:val="24"/>
                <w:szCs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2355D953">
            <w:pPr>
              <w:spacing w:line="340" w:lineRule="exact"/>
              <w:jc w:val="left"/>
              <w:rPr>
                <w:sz w:val="24"/>
                <w:szCs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2F7F1C85">
            <w:pPr>
              <w:spacing w:line="340" w:lineRule="exact"/>
              <w:jc w:val="left"/>
              <w:rPr>
                <w:sz w:val="24"/>
                <w:szCs w:val="24"/>
                <w:highlight w:val="none"/>
              </w:rPr>
            </w:pPr>
          </w:p>
        </w:tc>
      </w:tr>
    </w:tbl>
    <w:p w14:paraId="58F3C1E9">
      <w:pPr>
        <w:snapToGrid w:val="0"/>
        <w:spacing w:line="560" w:lineRule="exact"/>
        <w:contextualSpacing/>
        <w:rPr>
          <w:rFonts w:hint="eastAsia" w:ascii="宋体" w:hAnsi="宋体"/>
          <w:b/>
          <w:sz w:val="24"/>
          <w:szCs w:val="24"/>
          <w:highlight w:val="none"/>
        </w:rPr>
      </w:pPr>
      <w:r>
        <w:rPr>
          <w:rFonts w:hint="eastAsia" w:ascii="宋体" w:hAnsi="宋体"/>
          <w:b/>
          <w:sz w:val="24"/>
          <w:szCs w:val="24"/>
          <w:highlight w:val="none"/>
        </w:rPr>
        <w:t>注：</w:t>
      </w:r>
    </w:p>
    <w:p w14:paraId="1A62EFDF">
      <w:pPr>
        <w:snapToGrid w:val="0"/>
        <w:spacing w:line="560" w:lineRule="exact"/>
        <w:ind w:firstLine="480" w:firstLineChars="200"/>
        <w:contextualSpacing/>
        <w:rPr>
          <w:rFonts w:hint="eastAsia" w:ascii="宋体" w:hAnsi="宋体"/>
          <w:sz w:val="24"/>
          <w:szCs w:val="24"/>
          <w:highlight w:val="none"/>
        </w:rPr>
      </w:pPr>
      <w:r>
        <w:rPr>
          <w:rFonts w:hint="eastAsia" w:ascii="宋体" w:hAnsi="宋体"/>
          <w:sz w:val="24"/>
          <w:szCs w:val="24"/>
          <w:highlight w:val="none"/>
        </w:rPr>
        <w:t>1.</w:t>
      </w:r>
      <w:r>
        <w:rPr>
          <w:rFonts w:hint="eastAsia" w:ascii="宋体" w:hAnsi="宋体" w:cs="宋体"/>
          <w:sz w:val="24"/>
          <w:szCs w:val="24"/>
          <w:highlight w:val="none"/>
        </w:rPr>
        <w:t>投标人</w:t>
      </w:r>
      <w:r>
        <w:rPr>
          <w:rFonts w:hint="eastAsia" w:ascii="宋体" w:hAnsi="宋体"/>
          <w:sz w:val="24"/>
          <w:szCs w:val="24"/>
          <w:highlight w:val="none"/>
        </w:rPr>
        <w:t>提交的投标文件与招标文件第四章“项目需求”中的商务部分的要求，如有偏离应逐条填列在偏离表中。如无偏离，可空白列示。</w:t>
      </w:r>
    </w:p>
    <w:p w14:paraId="60990AE3">
      <w:pPr>
        <w:snapToGrid w:val="0"/>
        <w:spacing w:line="560" w:lineRule="exact"/>
        <w:ind w:firstLine="480" w:firstLineChars="200"/>
        <w:contextualSpacing/>
        <w:rPr>
          <w:rFonts w:hint="eastAsia" w:ascii="宋体" w:hAnsi="宋体"/>
          <w:sz w:val="24"/>
          <w:szCs w:val="24"/>
          <w:highlight w:val="none"/>
        </w:rPr>
      </w:pPr>
      <w:r>
        <w:rPr>
          <w:rFonts w:hint="eastAsia" w:ascii="宋体" w:hAnsi="宋体"/>
          <w:sz w:val="24"/>
          <w:szCs w:val="24"/>
          <w:highlight w:val="none"/>
        </w:rPr>
        <w:t>2.“偏离说明”一栏选择“正偏离”“无偏离”“负偏离”进行填写。正偏离、无偏离的确认和负偏离的是否响应招标文件，由评标委员会认定。</w:t>
      </w:r>
    </w:p>
    <w:p w14:paraId="6A438E3D">
      <w:pPr>
        <w:snapToGrid w:val="0"/>
        <w:spacing w:line="560" w:lineRule="exact"/>
        <w:ind w:firstLine="480" w:firstLineChars="200"/>
        <w:contextualSpacing/>
        <w:rPr>
          <w:rFonts w:hint="eastAsia" w:ascii="宋体" w:hAnsi="宋体"/>
          <w:sz w:val="24"/>
          <w:szCs w:val="24"/>
          <w:highlight w:val="none"/>
        </w:rPr>
      </w:pPr>
      <w:r>
        <w:rPr>
          <w:rFonts w:hint="eastAsia" w:ascii="宋体" w:hAnsi="宋体"/>
          <w:sz w:val="24"/>
          <w:szCs w:val="24"/>
          <w:highlight w:val="none"/>
        </w:rPr>
        <w:t>3.</w:t>
      </w:r>
      <w:r>
        <w:rPr>
          <w:rFonts w:hint="eastAsia" w:ascii="宋体" w:hAnsi="宋体" w:cs="宋体"/>
          <w:sz w:val="24"/>
          <w:szCs w:val="24"/>
          <w:highlight w:val="none"/>
        </w:rPr>
        <w:t>投标人</w:t>
      </w:r>
      <w:r>
        <w:rPr>
          <w:rFonts w:hint="eastAsia" w:ascii="宋体" w:hAnsi="宋体"/>
          <w:sz w:val="24"/>
          <w:szCs w:val="24"/>
          <w:highlight w:val="none"/>
        </w:rPr>
        <w:t>如果虚假响应，将被暂停参加采购人组织政府采购活动。</w:t>
      </w:r>
    </w:p>
    <w:p w14:paraId="3CB4A9F4">
      <w:pPr>
        <w:snapToGrid w:val="0"/>
        <w:spacing w:line="560" w:lineRule="exact"/>
        <w:ind w:firstLine="480" w:firstLineChars="200"/>
        <w:contextualSpacing/>
        <w:rPr>
          <w:rFonts w:hint="eastAsia" w:ascii="宋体" w:hAnsi="宋体"/>
          <w:bCs/>
          <w:sz w:val="24"/>
          <w:szCs w:val="24"/>
          <w:highlight w:val="none"/>
        </w:rPr>
      </w:pPr>
      <w:r>
        <w:rPr>
          <w:rFonts w:hint="eastAsia" w:ascii="宋体" w:hAnsi="宋体"/>
          <w:bCs/>
          <w:sz w:val="24"/>
          <w:szCs w:val="24"/>
          <w:highlight w:val="none"/>
        </w:rPr>
        <w:t>4.</w:t>
      </w:r>
      <w:r>
        <w:rPr>
          <w:rFonts w:hint="eastAsia" w:ascii="宋体" w:hAnsi="宋体" w:cs="宋体"/>
          <w:sz w:val="24"/>
          <w:szCs w:val="24"/>
          <w:highlight w:val="none"/>
        </w:rPr>
        <w:t>投标人</w:t>
      </w:r>
      <w:r>
        <w:rPr>
          <w:rFonts w:hint="eastAsia" w:ascii="宋体" w:hAnsi="宋体"/>
          <w:bCs/>
          <w:sz w:val="24"/>
          <w:szCs w:val="24"/>
          <w:highlight w:val="none"/>
        </w:rPr>
        <w:t>若提供其他增值服务，可以在表中自行据实填写。</w:t>
      </w:r>
    </w:p>
    <w:p w14:paraId="79E8CFC7">
      <w:pPr>
        <w:snapToGrid w:val="0"/>
        <w:spacing w:line="560" w:lineRule="exact"/>
        <w:ind w:firstLine="540" w:firstLineChars="192"/>
        <w:contextualSpacing/>
        <w:rPr>
          <w:rFonts w:hint="eastAsia" w:ascii="宋体" w:hAnsi="宋体" w:cs="宋体"/>
          <w:b/>
          <w:sz w:val="28"/>
          <w:szCs w:val="28"/>
          <w:highlight w:val="none"/>
        </w:rPr>
      </w:pPr>
    </w:p>
    <w:p w14:paraId="7377F2D6">
      <w:pPr>
        <w:spacing w:line="360" w:lineRule="auto"/>
        <w:ind w:firstLine="480"/>
        <w:jc w:val="right"/>
        <w:rPr>
          <w:rFonts w:hint="eastAsia" w:ascii="宋体" w:hAnsi="宋体" w:cs="宋体"/>
          <w:sz w:val="24"/>
          <w:szCs w:val="24"/>
          <w:highlight w:val="none"/>
        </w:rPr>
      </w:pPr>
      <w:r>
        <w:rPr>
          <w:rFonts w:hint="eastAsia" w:ascii="宋体" w:hAnsi="宋体" w:cs="宋体"/>
          <w:sz w:val="24"/>
          <w:szCs w:val="24"/>
          <w:highlight w:val="none"/>
        </w:rPr>
        <w:t>投标人全称（加盖CA电子公章）：</w:t>
      </w:r>
    </w:p>
    <w:p w14:paraId="5BABEB29">
      <w:pPr>
        <w:spacing w:line="360" w:lineRule="auto"/>
        <w:ind w:firstLine="482"/>
        <w:jc w:val="right"/>
        <w:rPr>
          <w:rFonts w:hint="eastAsia" w:ascii="宋体" w:hAnsi="宋体" w:cs="宋体"/>
          <w:sz w:val="24"/>
          <w:szCs w:val="24"/>
          <w:highlight w:val="none"/>
        </w:rPr>
      </w:pPr>
      <w:r>
        <w:rPr>
          <w:rFonts w:hint="eastAsia" w:ascii="宋体" w:hAnsi="宋体" w:cs="宋体"/>
          <w:sz w:val="24"/>
          <w:szCs w:val="24"/>
          <w:highlight w:val="none"/>
        </w:rPr>
        <w:t>年      月     日</w:t>
      </w:r>
    </w:p>
    <w:p w14:paraId="6D6961A1">
      <w:pPr>
        <w:spacing w:line="460" w:lineRule="exact"/>
        <w:rPr>
          <w:rFonts w:hint="eastAsia" w:ascii="宋体" w:hAnsi="宋体"/>
          <w:bCs/>
          <w:sz w:val="24"/>
          <w:szCs w:val="21"/>
          <w:highlight w:val="none"/>
        </w:rPr>
      </w:pPr>
    </w:p>
    <w:p w14:paraId="7ED3403E">
      <w:pPr>
        <w:spacing w:line="300" w:lineRule="auto"/>
        <w:rPr>
          <w:rFonts w:hint="eastAsia" w:ascii="宋体" w:hAnsi="宋体" w:cs="宋体"/>
          <w:b/>
          <w:bCs/>
          <w:sz w:val="24"/>
          <w:szCs w:val="24"/>
          <w:highlight w:val="none"/>
        </w:rPr>
      </w:pPr>
      <w:r>
        <w:rPr>
          <w:rFonts w:ascii="宋体" w:hAnsi="宋体"/>
          <w:bCs/>
          <w:sz w:val="24"/>
          <w:szCs w:val="21"/>
          <w:highlight w:val="none"/>
        </w:rPr>
        <w:br w:type="page"/>
      </w:r>
      <w:r>
        <w:rPr>
          <w:rFonts w:hint="eastAsia" w:ascii="宋体" w:hAnsi="宋体" w:cs="宋体"/>
          <w:b/>
          <w:bCs/>
          <w:sz w:val="24"/>
          <w:szCs w:val="24"/>
          <w:highlight w:val="none"/>
          <w:lang w:val="zh-CN"/>
        </w:rPr>
        <w:t>附件</w:t>
      </w:r>
      <w:r>
        <w:rPr>
          <w:rFonts w:hint="eastAsia" w:ascii="宋体" w:hAnsi="宋体" w:cs="宋体"/>
          <w:b/>
          <w:bCs/>
          <w:sz w:val="24"/>
          <w:szCs w:val="24"/>
          <w:highlight w:val="none"/>
        </w:rPr>
        <w:t>8</w:t>
      </w:r>
    </w:p>
    <w:p w14:paraId="095473F4">
      <w:pPr>
        <w:spacing w:line="360" w:lineRule="auto"/>
        <w:ind w:firstLine="480"/>
        <w:jc w:val="center"/>
        <w:outlineLvl w:val="2"/>
        <w:rPr>
          <w:rFonts w:hint="eastAsia" w:ascii="宋体" w:hAnsi="宋体" w:cs="宋体"/>
          <w:b/>
          <w:bCs/>
          <w:sz w:val="24"/>
          <w:highlight w:val="none"/>
        </w:rPr>
      </w:pPr>
      <w:r>
        <w:rPr>
          <w:rFonts w:hint="eastAsia" w:ascii="宋体" w:hAnsi="宋体" w:cs="宋体"/>
          <w:b/>
          <w:bCs/>
          <w:sz w:val="24"/>
          <w:highlight w:val="none"/>
        </w:rPr>
        <w:t>技术要求响应及偏离表</w:t>
      </w:r>
    </w:p>
    <w:p w14:paraId="07F0FAA3">
      <w:pPr>
        <w:ind w:firstLine="480" w:firstLineChars="200"/>
        <w:jc w:val="center"/>
        <w:rPr>
          <w:rFonts w:hint="eastAsia" w:ascii="宋体" w:hAnsi="宋体"/>
          <w:sz w:val="24"/>
          <w:szCs w:val="24"/>
          <w:highlight w:val="none"/>
        </w:rPr>
      </w:pPr>
      <w:r>
        <w:rPr>
          <w:rFonts w:hint="eastAsia" w:ascii="宋体" w:hAnsi="宋体"/>
          <w:sz w:val="24"/>
          <w:szCs w:val="24"/>
          <w:highlight w:val="none"/>
        </w:rPr>
        <w:t>（由</w:t>
      </w:r>
      <w:r>
        <w:rPr>
          <w:rFonts w:hint="eastAsia" w:ascii="宋体" w:hAnsi="宋体" w:cs="宋体"/>
          <w:sz w:val="24"/>
          <w:szCs w:val="24"/>
          <w:highlight w:val="none"/>
        </w:rPr>
        <w:t>投标人</w:t>
      </w:r>
      <w:r>
        <w:rPr>
          <w:rFonts w:hint="eastAsia" w:ascii="宋体" w:hAnsi="宋体"/>
          <w:sz w:val="24"/>
          <w:szCs w:val="24"/>
          <w:highlight w:val="none"/>
        </w:rPr>
        <w:t>据实填写，表格不够自行添加）</w:t>
      </w:r>
    </w:p>
    <w:tbl>
      <w:tblPr>
        <w:tblStyle w:val="4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3EABBD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42CBEC06">
            <w:pPr>
              <w:spacing w:line="340" w:lineRule="exact"/>
              <w:jc w:val="center"/>
              <w:rPr>
                <w:rFonts w:hint="eastAsia" w:ascii="宋体" w:hAnsi="宋体"/>
                <w:sz w:val="24"/>
                <w:szCs w:val="24"/>
                <w:highlight w:val="none"/>
              </w:rPr>
            </w:pPr>
            <w:r>
              <w:rPr>
                <w:rFonts w:hint="eastAsia" w:ascii="宋体" w:hAnsi="宋体"/>
                <w:sz w:val="24"/>
                <w:szCs w:val="24"/>
                <w:highlight w:val="none"/>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242A6D7C">
            <w:pPr>
              <w:spacing w:line="340" w:lineRule="exact"/>
              <w:jc w:val="center"/>
              <w:rPr>
                <w:rFonts w:hint="eastAsia" w:ascii="宋体" w:hAnsi="宋体"/>
                <w:sz w:val="24"/>
                <w:szCs w:val="24"/>
                <w:highlight w:val="none"/>
              </w:rPr>
            </w:pPr>
            <w:r>
              <w:rPr>
                <w:rFonts w:hint="eastAsia" w:ascii="宋体" w:hAnsi="宋体"/>
                <w:sz w:val="24"/>
                <w:szCs w:val="24"/>
                <w:highlight w:val="none"/>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0AB6F695">
            <w:pPr>
              <w:spacing w:line="340" w:lineRule="exact"/>
              <w:jc w:val="center"/>
              <w:rPr>
                <w:rFonts w:hint="eastAsia" w:ascii="宋体" w:hAnsi="宋体"/>
                <w:sz w:val="24"/>
                <w:szCs w:val="24"/>
                <w:highlight w:val="none"/>
              </w:rPr>
            </w:pPr>
            <w:r>
              <w:rPr>
                <w:rFonts w:hint="eastAsia" w:ascii="宋体" w:hAnsi="宋体"/>
                <w:sz w:val="24"/>
                <w:szCs w:val="24"/>
                <w:highlight w:val="none"/>
              </w:rPr>
              <w:t>招标文件要求的技术要求</w:t>
            </w:r>
          </w:p>
        </w:tc>
        <w:tc>
          <w:tcPr>
            <w:tcW w:w="2591" w:type="dxa"/>
            <w:tcBorders>
              <w:top w:val="single" w:color="auto" w:sz="12" w:space="0"/>
              <w:left w:val="single" w:color="auto" w:sz="6" w:space="0"/>
              <w:bottom w:val="single" w:color="auto" w:sz="6" w:space="0"/>
              <w:right w:val="single" w:color="auto" w:sz="6" w:space="0"/>
            </w:tcBorders>
            <w:vAlign w:val="center"/>
          </w:tcPr>
          <w:p w14:paraId="281E5F03">
            <w:pPr>
              <w:spacing w:line="340" w:lineRule="exact"/>
              <w:jc w:val="center"/>
              <w:rPr>
                <w:rFonts w:hint="eastAsia" w:ascii="宋体" w:hAnsi="宋体"/>
                <w:sz w:val="24"/>
                <w:szCs w:val="24"/>
                <w:highlight w:val="none"/>
              </w:rPr>
            </w:pPr>
            <w:r>
              <w:rPr>
                <w:rFonts w:hint="eastAsia" w:ascii="宋体" w:hAnsi="宋体"/>
                <w:sz w:val="24"/>
                <w:szCs w:val="24"/>
                <w:highlight w:val="none"/>
              </w:rPr>
              <w:t>投标文件响应情况</w:t>
            </w:r>
          </w:p>
        </w:tc>
        <w:tc>
          <w:tcPr>
            <w:tcW w:w="1427" w:type="dxa"/>
            <w:tcBorders>
              <w:top w:val="single" w:color="auto" w:sz="12" w:space="0"/>
              <w:left w:val="single" w:color="auto" w:sz="6" w:space="0"/>
              <w:bottom w:val="single" w:color="auto" w:sz="6" w:space="0"/>
              <w:right w:val="single" w:color="auto" w:sz="12" w:space="0"/>
            </w:tcBorders>
          </w:tcPr>
          <w:p w14:paraId="302FC85D">
            <w:pPr>
              <w:spacing w:line="340" w:lineRule="exact"/>
              <w:jc w:val="center"/>
              <w:rPr>
                <w:rFonts w:hint="eastAsia" w:ascii="宋体" w:hAnsi="宋体"/>
                <w:sz w:val="24"/>
                <w:szCs w:val="24"/>
                <w:highlight w:val="none"/>
              </w:rPr>
            </w:pPr>
          </w:p>
          <w:p w14:paraId="34265C32">
            <w:pPr>
              <w:spacing w:line="340" w:lineRule="exact"/>
              <w:jc w:val="center"/>
              <w:rPr>
                <w:rFonts w:hint="eastAsia" w:ascii="宋体" w:hAnsi="宋体"/>
                <w:sz w:val="24"/>
                <w:szCs w:val="24"/>
                <w:highlight w:val="none"/>
              </w:rPr>
            </w:pPr>
            <w:r>
              <w:rPr>
                <w:rFonts w:hint="eastAsia" w:ascii="宋体" w:hAnsi="宋体"/>
                <w:sz w:val="24"/>
                <w:szCs w:val="24"/>
                <w:highlight w:val="none"/>
              </w:rPr>
              <w:t>偏离说明</w:t>
            </w:r>
          </w:p>
        </w:tc>
      </w:tr>
      <w:tr w14:paraId="12A4A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tcPr>
          <w:p w14:paraId="5D9C96C5">
            <w:pPr>
              <w:spacing w:line="340" w:lineRule="exact"/>
              <w:jc w:val="center"/>
              <w:rPr>
                <w:rFonts w:hint="eastAsia" w:ascii="宋体" w:hAnsi="宋体"/>
                <w:sz w:val="24"/>
                <w:szCs w:val="24"/>
                <w:highlight w:val="none"/>
              </w:rPr>
            </w:pPr>
            <w:r>
              <w:rPr>
                <w:rFonts w:hint="eastAsia" w:ascii="宋体" w:hAnsi="宋体"/>
                <w:sz w:val="24"/>
                <w:szCs w:val="24"/>
                <w:highlight w:val="none"/>
              </w:rPr>
              <w:t>1</w:t>
            </w:r>
          </w:p>
        </w:tc>
        <w:tc>
          <w:tcPr>
            <w:tcW w:w="2300" w:type="dxa"/>
            <w:tcBorders>
              <w:top w:val="single" w:color="auto" w:sz="6" w:space="0"/>
              <w:left w:val="single" w:color="auto" w:sz="6" w:space="0"/>
              <w:bottom w:val="single" w:color="auto" w:sz="6" w:space="0"/>
              <w:right w:val="single" w:color="auto" w:sz="6" w:space="0"/>
            </w:tcBorders>
            <w:vAlign w:val="center"/>
          </w:tcPr>
          <w:p w14:paraId="5B50D9BC">
            <w:pPr>
              <w:spacing w:line="340" w:lineRule="exact"/>
              <w:jc w:val="center"/>
              <w:rPr>
                <w:rFonts w:hint="eastAsia" w:ascii="宋体" w:hAnsi="宋体"/>
                <w:sz w:val="24"/>
                <w:szCs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47BDD6CA">
            <w:pPr>
              <w:spacing w:line="340" w:lineRule="exact"/>
              <w:jc w:val="left"/>
              <w:rPr>
                <w:rFonts w:hint="eastAsia" w:ascii="宋体" w:hAnsi="宋体"/>
                <w:sz w:val="24"/>
                <w:szCs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58E5E6E3">
            <w:pPr>
              <w:spacing w:line="340" w:lineRule="exact"/>
              <w:jc w:val="left"/>
              <w:rPr>
                <w:sz w:val="24"/>
                <w:szCs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06D774B3">
            <w:pPr>
              <w:spacing w:line="340" w:lineRule="exact"/>
              <w:jc w:val="left"/>
              <w:rPr>
                <w:sz w:val="24"/>
                <w:szCs w:val="24"/>
                <w:highlight w:val="none"/>
              </w:rPr>
            </w:pPr>
          </w:p>
        </w:tc>
      </w:tr>
      <w:tr w14:paraId="5FE3C9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tcPr>
          <w:p w14:paraId="52EE7FDF">
            <w:pPr>
              <w:spacing w:line="340" w:lineRule="exact"/>
              <w:jc w:val="center"/>
              <w:rPr>
                <w:rFonts w:hint="eastAsia" w:ascii="宋体" w:hAnsi="宋体"/>
                <w:sz w:val="24"/>
                <w:szCs w:val="24"/>
                <w:highlight w:val="none"/>
              </w:rPr>
            </w:pPr>
            <w:r>
              <w:rPr>
                <w:rFonts w:hint="eastAsia" w:ascii="宋体" w:hAnsi="宋体"/>
                <w:sz w:val="24"/>
                <w:szCs w:val="24"/>
                <w:highlight w:val="none"/>
              </w:rPr>
              <w:t>2</w:t>
            </w:r>
          </w:p>
        </w:tc>
        <w:tc>
          <w:tcPr>
            <w:tcW w:w="2300" w:type="dxa"/>
            <w:tcBorders>
              <w:top w:val="single" w:color="auto" w:sz="6" w:space="0"/>
              <w:left w:val="single" w:color="auto" w:sz="6" w:space="0"/>
              <w:bottom w:val="single" w:color="auto" w:sz="6" w:space="0"/>
              <w:right w:val="single" w:color="auto" w:sz="6" w:space="0"/>
            </w:tcBorders>
            <w:vAlign w:val="center"/>
          </w:tcPr>
          <w:p w14:paraId="22AC5FD6">
            <w:pPr>
              <w:spacing w:line="340" w:lineRule="exact"/>
              <w:jc w:val="left"/>
              <w:rPr>
                <w:rFonts w:hint="eastAsia" w:ascii="宋体" w:hAnsi="宋体"/>
                <w:sz w:val="24"/>
                <w:szCs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49E555B4">
            <w:pPr>
              <w:spacing w:line="340" w:lineRule="exact"/>
              <w:jc w:val="left"/>
              <w:rPr>
                <w:rFonts w:hint="eastAsia" w:ascii="宋体" w:hAnsi="宋体"/>
                <w:sz w:val="24"/>
                <w:szCs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7E15C6BC">
            <w:pPr>
              <w:spacing w:line="340" w:lineRule="exact"/>
              <w:jc w:val="left"/>
              <w:rPr>
                <w:sz w:val="24"/>
                <w:szCs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24760D2A">
            <w:pPr>
              <w:spacing w:line="340" w:lineRule="exact"/>
              <w:jc w:val="left"/>
              <w:rPr>
                <w:sz w:val="24"/>
                <w:szCs w:val="24"/>
                <w:highlight w:val="none"/>
              </w:rPr>
            </w:pPr>
          </w:p>
        </w:tc>
      </w:tr>
      <w:tr w14:paraId="53FC5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tcPr>
          <w:p w14:paraId="40AD1AB5">
            <w:pPr>
              <w:spacing w:line="340" w:lineRule="exact"/>
              <w:jc w:val="center"/>
              <w:rPr>
                <w:rFonts w:hint="eastAsia" w:ascii="宋体" w:hAnsi="宋体"/>
                <w:sz w:val="24"/>
                <w:szCs w:val="24"/>
                <w:highlight w:val="none"/>
              </w:rPr>
            </w:pPr>
            <w:r>
              <w:rPr>
                <w:rFonts w:hint="eastAsia" w:ascii="宋体" w:hAnsi="宋体"/>
                <w:sz w:val="24"/>
                <w:szCs w:val="24"/>
                <w:highlight w:val="none"/>
              </w:rPr>
              <w:t>3</w:t>
            </w:r>
          </w:p>
        </w:tc>
        <w:tc>
          <w:tcPr>
            <w:tcW w:w="2300" w:type="dxa"/>
            <w:tcBorders>
              <w:top w:val="single" w:color="auto" w:sz="6" w:space="0"/>
              <w:left w:val="single" w:color="auto" w:sz="6" w:space="0"/>
              <w:bottom w:val="single" w:color="auto" w:sz="6" w:space="0"/>
              <w:right w:val="single" w:color="auto" w:sz="6" w:space="0"/>
            </w:tcBorders>
            <w:vAlign w:val="center"/>
          </w:tcPr>
          <w:p w14:paraId="4BE665E6">
            <w:pPr>
              <w:spacing w:line="340" w:lineRule="exact"/>
              <w:jc w:val="left"/>
              <w:rPr>
                <w:rFonts w:hint="eastAsia" w:ascii="宋体" w:hAnsi="宋体"/>
                <w:sz w:val="24"/>
                <w:szCs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60E001B8">
            <w:pPr>
              <w:spacing w:line="340" w:lineRule="exact"/>
              <w:jc w:val="left"/>
              <w:rPr>
                <w:sz w:val="24"/>
                <w:szCs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0CAECF88">
            <w:pPr>
              <w:spacing w:line="340" w:lineRule="exact"/>
              <w:jc w:val="left"/>
              <w:rPr>
                <w:sz w:val="24"/>
                <w:szCs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295C4629">
            <w:pPr>
              <w:spacing w:line="340" w:lineRule="exact"/>
              <w:jc w:val="left"/>
              <w:rPr>
                <w:sz w:val="24"/>
                <w:szCs w:val="24"/>
                <w:highlight w:val="none"/>
              </w:rPr>
            </w:pPr>
          </w:p>
        </w:tc>
      </w:tr>
      <w:tr w14:paraId="1D4847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13A553D6">
            <w:pPr>
              <w:spacing w:line="340" w:lineRule="exact"/>
              <w:jc w:val="center"/>
              <w:rPr>
                <w:rFonts w:hint="eastAsia" w:ascii="宋体" w:hAnsi="宋体"/>
                <w:sz w:val="24"/>
                <w:szCs w:val="24"/>
                <w:highlight w:val="none"/>
              </w:rPr>
            </w:pPr>
            <w:r>
              <w:rPr>
                <w:rFonts w:ascii="宋体" w:hAnsi="宋体"/>
                <w:sz w:val="24"/>
                <w:szCs w:val="24"/>
                <w:highlight w:val="none"/>
              </w:rPr>
              <w:t>……</w:t>
            </w:r>
          </w:p>
        </w:tc>
        <w:tc>
          <w:tcPr>
            <w:tcW w:w="2300" w:type="dxa"/>
            <w:tcBorders>
              <w:top w:val="single" w:color="auto" w:sz="6" w:space="0"/>
              <w:left w:val="single" w:color="auto" w:sz="6" w:space="0"/>
              <w:bottom w:val="single" w:color="auto" w:sz="6" w:space="0"/>
              <w:right w:val="single" w:color="auto" w:sz="6" w:space="0"/>
            </w:tcBorders>
            <w:vAlign w:val="center"/>
          </w:tcPr>
          <w:p w14:paraId="488DFE5A">
            <w:pPr>
              <w:spacing w:line="340" w:lineRule="exact"/>
              <w:jc w:val="left"/>
              <w:rPr>
                <w:rFonts w:hint="eastAsia" w:ascii="宋体" w:hAnsi="宋体"/>
                <w:sz w:val="24"/>
                <w:szCs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0A6392B9">
            <w:pPr>
              <w:spacing w:line="340" w:lineRule="exact"/>
              <w:jc w:val="left"/>
              <w:rPr>
                <w:rFonts w:hint="eastAsia" w:ascii="宋体" w:hAnsi="宋体"/>
                <w:sz w:val="24"/>
                <w:szCs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29007663">
            <w:pPr>
              <w:spacing w:line="340" w:lineRule="exact"/>
              <w:jc w:val="left"/>
              <w:rPr>
                <w:sz w:val="24"/>
                <w:szCs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11CA69C4">
            <w:pPr>
              <w:spacing w:line="340" w:lineRule="exact"/>
              <w:jc w:val="left"/>
              <w:rPr>
                <w:sz w:val="24"/>
                <w:szCs w:val="24"/>
                <w:highlight w:val="none"/>
              </w:rPr>
            </w:pPr>
          </w:p>
        </w:tc>
      </w:tr>
    </w:tbl>
    <w:p w14:paraId="78F40434">
      <w:pPr>
        <w:snapToGrid w:val="0"/>
        <w:spacing w:line="560" w:lineRule="exact"/>
        <w:contextualSpacing/>
        <w:rPr>
          <w:rFonts w:hint="eastAsia" w:ascii="宋体" w:hAnsi="宋体"/>
          <w:b/>
          <w:sz w:val="24"/>
          <w:szCs w:val="24"/>
          <w:highlight w:val="none"/>
        </w:rPr>
      </w:pPr>
      <w:r>
        <w:rPr>
          <w:rFonts w:hint="eastAsia" w:ascii="宋体" w:hAnsi="宋体"/>
          <w:b/>
          <w:sz w:val="24"/>
          <w:szCs w:val="24"/>
          <w:highlight w:val="none"/>
        </w:rPr>
        <w:t>注：</w:t>
      </w:r>
    </w:p>
    <w:p w14:paraId="58BF2631">
      <w:pPr>
        <w:snapToGrid w:val="0"/>
        <w:spacing w:line="560" w:lineRule="exact"/>
        <w:ind w:firstLine="480" w:firstLineChars="200"/>
        <w:contextualSpacing/>
        <w:rPr>
          <w:rFonts w:hint="eastAsia" w:ascii="宋体" w:hAnsi="宋体"/>
          <w:sz w:val="24"/>
          <w:szCs w:val="24"/>
          <w:highlight w:val="none"/>
        </w:rPr>
      </w:pPr>
      <w:r>
        <w:rPr>
          <w:rFonts w:hint="eastAsia" w:ascii="宋体" w:hAnsi="宋体"/>
          <w:sz w:val="24"/>
          <w:szCs w:val="24"/>
          <w:highlight w:val="none"/>
        </w:rPr>
        <w:t>1.</w:t>
      </w:r>
      <w:r>
        <w:rPr>
          <w:rFonts w:hint="eastAsia" w:ascii="宋体" w:hAnsi="宋体" w:cs="宋体"/>
          <w:sz w:val="24"/>
          <w:szCs w:val="24"/>
          <w:highlight w:val="none"/>
        </w:rPr>
        <w:t>投标人</w:t>
      </w:r>
      <w:r>
        <w:rPr>
          <w:rFonts w:hint="eastAsia" w:ascii="宋体" w:hAnsi="宋体"/>
          <w:sz w:val="24"/>
          <w:szCs w:val="24"/>
          <w:highlight w:val="none"/>
        </w:rPr>
        <w:t>提交的投标文件中与招标文件第四章“项目需求”中的技术部分的要求，应</w:t>
      </w:r>
      <w:r>
        <w:rPr>
          <w:rFonts w:hint="eastAsia" w:ascii="宋体" w:hAnsi="宋体"/>
          <w:sz w:val="32"/>
          <w:szCs w:val="32"/>
          <w:highlight w:val="none"/>
        </w:rPr>
        <w:t>逐条</w:t>
      </w:r>
      <w:r>
        <w:rPr>
          <w:rFonts w:hint="eastAsia" w:ascii="宋体" w:hAnsi="宋体"/>
          <w:sz w:val="24"/>
          <w:szCs w:val="24"/>
          <w:highlight w:val="none"/>
        </w:rPr>
        <w:t>填列在偏离表中。</w:t>
      </w:r>
    </w:p>
    <w:p w14:paraId="224B4D78">
      <w:pPr>
        <w:snapToGrid w:val="0"/>
        <w:spacing w:line="560" w:lineRule="exact"/>
        <w:ind w:firstLine="480" w:firstLineChars="200"/>
        <w:contextualSpacing/>
        <w:rPr>
          <w:rFonts w:hint="eastAsia" w:ascii="宋体" w:hAnsi="宋体"/>
          <w:sz w:val="24"/>
          <w:szCs w:val="24"/>
          <w:highlight w:val="none"/>
        </w:rPr>
      </w:pPr>
      <w:r>
        <w:rPr>
          <w:rFonts w:hint="eastAsia" w:ascii="宋体" w:hAnsi="宋体"/>
          <w:sz w:val="24"/>
          <w:szCs w:val="24"/>
          <w:highlight w:val="none"/>
        </w:rPr>
        <w:t>2.“偏离说明”一栏选择“正偏离”“无偏离”“负偏离”进行填写。正偏离、无偏离的确认和负偏离的是否响应采购文件，由评标委员会认定。</w:t>
      </w:r>
    </w:p>
    <w:p w14:paraId="3DE7AE97">
      <w:pPr>
        <w:snapToGrid w:val="0"/>
        <w:spacing w:line="560" w:lineRule="exact"/>
        <w:ind w:firstLine="480" w:firstLineChars="200"/>
        <w:contextualSpacing/>
        <w:rPr>
          <w:rFonts w:hint="eastAsia" w:ascii="宋体" w:hAnsi="宋体"/>
          <w:sz w:val="24"/>
          <w:szCs w:val="24"/>
          <w:highlight w:val="none"/>
        </w:rPr>
      </w:pPr>
      <w:r>
        <w:rPr>
          <w:rFonts w:hint="eastAsia" w:ascii="宋体" w:hAnsi="宋体"/>
          <w:sz w:val="24"/>
          <w:szCs w:val="24"/>
          <w:highlight w:val="none"/>
        </w:rPr>
        <w:t>3.</w:t>
      </w:r>
      <w:r>
        <w:rPr>
          <w:rFonts w:hint="eastAsia" w:ascii="宋体" w:hAnsi="宋体" w:cs="宋体"/>
          <w:sz w:val="24"/>
          <w:szCs w:val="24"/>
          <w:highlight w:val="none"/>
        </w:rPr>
        <w:t>投标人</w:t>
      </w:r>
      <w:r>
        <w:rPr>
          <w:rFonts w:hint="eastAsia" w:ascii="宋体" w:hAnsi="宋体"/>
          <w:sz w:val="24"/>
          <w:szCs w:val="24"/>
          <w:highlight w:val="none"/>
        </w:rPr>
        <w:t>如果虚假响应，将被暂停参加采购人组织政府采购活动。</w:t>
      </w:r>
    </w:p>
    <w:p w14:paraId="7C21A0F5">
      <w:pPr>
        <w:snapToGrid w:val="0"/>
        <w:spacing w:line="560" w:lineRule="exact"/>
        <w:ind w:firstLine="480" w:firstLineChars="200"/>
        <w:contextualSpacing/>
        <w:rPr>
          <w:rFonts w:hint="eastAsia" w:ascii="宋体" w:hAnsi="宋体"/>
          <w:bCs/>
          <w:sz w:val="24"/>
          <w:szCs w:val="24"/>
          <w:highlight w:val="none"/>
        </w:rPr>
      </w:pPr>
      <w:r>
        <w:rPr>
          <w:rFonts w:hint="eastAsia" w:ascii="宋体" w:hAnsi="宋体"/>
          <w:bCs/>
          <w:sz w:val="24"/>
          <w:szCs w:val="24"/>
          <w:highlight w:val="none"/>
        </w:rPr>
        <w:t>4.</w:t>
      </w:r>
      <w:r>
        <w:rPr>
          <w:rFonts w:hint="eastAsia" w:ascii="宋体" w:hAnsi="宋体" w:cs="宋体"/>
          <w:sz w:val="24"/>
          <w:szCs w:val="24"/>
          <w:highlight w:val="none"/>
        </w:rPr>
        <w:t>投标人</w:t>
      </w:r>
      <w:r>
        <w:rPr>
          <w:rFonts w:hint="eastAsia" w:ascii="宋体" w:hAnsi="宋体"/>
          <w:bCs/>
          <w:sz w:val="24"/>
          <w:szCs w:val="24"/>
          <w:highlight w:val="none"/>
        </w:rPr>
        <w:t>若提供其他增值服务，可以在表中自行据实填写。</w:t>
      </w:r>
    </w:p>
    <w:p w14:paraId="3128C97F">
      <w:pPr>
        <w:pStyle w:val="49"/>
        <w:rPr>
          <w:highlight w:val="none"/>
          <w:lang w:eastAsia="zh-CN"/>
        </w:rPr>
      </w:pPr>
    </w:p>
    <w:p w14:paraId="04C6D599">
      <w:pPr>
        <w:spacing w:line="360" w:lineRule="auto"/>
        <w:ind w:firstLine="480"/>
        <w:jc w:val="right"/>
        <w:rPr>
          <w:rFonts w:hint="eastAsia" w:ascii="宋体" w:hAnsi="宋体" w:cs="宋体"/>
          <w:sz w:val="24"/>
          <w:szCs w:val="24"/>
          <w:highlight w:val="none"/>
        </w:rPr>
      </w:pPr>
      <w:r>
        <w:rPr>
          <w:rFonts w:hint="eastAsia" w:ascii="宋体" w:hAnsi="宋体" w:cs="宋体"/>
          <w:sz w:val="24"/>
          <w:szCs w:val="24"/>
          <w:highlight w:val="none"/>
        </w:rPr>
        <w:t>投标人全称（加盖CA电子公章）：</w:t>
      </w:r>
    </w:p>
    <w:p w14:paraId="5AFCF47F">
      <w:pPr>
        <w:spacing w:line="360" w:lineRule="auto"/>
        <w:ind w:firstLine="482"/>
        <w:jc w:val="right"/>
        <w:rPr>
          <w:rFonts w:hint="eastAsia" w:ascii="宋体" w:hAnsi="宋体" w:cs="宋体"/>
          <w:sz w:val="24"/>
          <w:szCs w:val="24"/>
          <w:highlight w:val="none"/>
        </w:rPr>
      </w:pPr>
      <w:r>
        <w:rPr>
          <w:rFonts w:hint="eastAsia" w:ascii="宋体" w:hAnsi="宋体" w:cs="宋体"/>
          <w:sz w:val="24"/>
          <w:szCs w:val="24"/>
          <w:highlight w:val="none"/>
        </w:rPr>
        <w:t>年      月     日</w:t>
      </w:r>
    </w:p>
    <w:p w14:paraId="353C8288">
      <w:pPr>
        <w:rPr>
          <w:rFonts w:hint="eastAsia" w:ascii="宋体" w:hAnsi="宋体" w:cs="宋体"/>
          <w:b/>
          <w:sz w:val="24"/>
          <w:szCs w:val="24"/>
          <w:highlight w:val="none"/>
        </w:rPr>
      </w:pPr>
    </w:p>
    <w:bookmarkEnd w:id="189"/>
    <w:bookmarkEnd w:id="190"/>
    <w:bookmarkEnd w:id="191"/>
    <w:p w14:paraId="6D685F70">
      <w:pPr>
        <w:spacing w:line="560" w:lineRule="exact"/>
        <w:ind w:firstLine="360"/>
        <w:rPr>
          <w:rFonts w:hint="eastAsia" w:ascii="华文新魏" w:hAnsi="宋体" w:eastAsia="华文新魏"/>
          <w:sz w:val="24"/>
          <w:szCs w:val="24"/>
          <w:highlight w:val="none"/>
        </w:rPr>
      </w:pPr>
    </w:p>
    <w:p w14:paraId="58224931">
      <w:pPr>
        <w:tabs>
          <w:tab w:val="left" w:pos="4860"/>
        </w:tabs>
        <w:spacing w:after="0" w:line="360" w:lineRule="auto"/>
        <w:ind w:right="1559" w:firstLine="560"/>
        <w:jc w:val="right"/>
        <w:rPr>
          <w:rFonts w:hint="eastAsia" w:ascii="宋体" w:hAnsi="宋体" w:cs="宋体"/>
          <w:sz w:val="24"/>
          <w:szCs w:val="24"/>
          <w:highlight w:val="none"/>
        </w:rPr>
        <w:sectPr>
          <w:pgSz w:w="11906" w:h="16838"/>
          <w:pgMar w:top="1327" w:right="1080" w:bottom="1327" w:left="1080" w:header="851" w:footer="992" w:gutter="0"/>
          <w:cols w:space="720" w:num="1"/>
          <w:docGrid w:linePitch="360" w:charSpace="0"/>
        </w:sectPr>
      </w:pPr>
      <w:r>
        <w:rPr>
          <w:rFonts w:hint="eastAsia" w:ascii="宋体" w:hAnsi="宋体"/>
          <w:b/>
          <w:sz w:val="24"/>
          <w:szCs w:val="24"/>
          <w:highlight w:val="none"/>
        </w:rPr>
        <w:br w:type="page" w:clear="all"/>
      </w:r>
    </w:p>
    <w:p w14:paraId="669E3B18">
      <w:pPr>
        <w:spacing w:after="0" w:line="360" w:lineRule="auto"/>
        <w:jc w:val="left"/>
        <w:rPr>
          <w:rFonts w:hint="eastAsia" w:ascii="宋体" w:hAnsi="宋体" w:cs="宋体"/>
          <w:b/>
          <w:sz w:val="24"/>
          <w:szCs w:val="24"/>
          <w:highlight w:val="none"/>
        </w:rPr>
      </w:pPr>
      <w:r>
        <w:rPr>
          <w:rFonts w:hint="eastAsia" w:ascii="宋体" w:hAnsi="宋体" w:cs="宋体"/>
          <w:b/>
          <w:sz w:val="24"/>
          <w:szCs w:val="24"/>
          <w:highlight w:val="none"/>
        </w:rPr>
        <w:t xml:space="preserve">附件9 </w:t>
      </w:r>
    </w:p>
    <w:p w14:paraId="64E2BC44">
      <w:pPr>
        <w:spacing w:line="360" w:lineRule="auto"/>
        <w:ind w:firstLine="482"/>
        <w:jc w:val="center"/>
        <w:outlineLvl w:val="2"/>
        <w:rPr>
          <w:rFonts w:hint="eastAsia" w:ascii="宋体" w:hAnsi="宋体" w:cs="宋体"/>
          <w:b/>
          <w:bCs/>
          <w:sz w:val="24"/>
          <w:szCs w:val="24"/>
          <w:highlight w:val="none"/>
        </w:rPr>
      </w:pPr>
      <w:r>
        <w:rPr>
          <w:rFonts w:hint="eastAsia" w:ascii="宋体" w:hAnsi="宋体" w:cs="宋体"/>
          <w:b/>
          <w:bCs/>
          <w:sz w:val="24"/>
          <w:szCs w:val="24"/>
          <w:highlight w:val="none"/>
        </w:rPr>
        <w:t xml:space="preserve">中小企业声明函 </w:t>
      </w:r>
    </w:p>
    <w:p w14:paraId="1C77495D">
      <w:pPr>
        <w:spacing w:line="360" w:lineRule="auto"/>
        <w:ind w:firstLine="560"/>
        <w:rPr>
          <w:rFonts w:hint="eastAsia" w:ascii="宋体" w:hAnsi="宋体" w:cs="宋体"/>
          <w:sz w:val="24"/>
          <w:szCs w:val="24"/>
          <w:highlight w:val="none"/>
          <w:lang w:bidi="zh-CN"/>
        </w:rPr>
      </w:pPr>
      <w:r>
        <w:rPr>
          <w:rFonts w:hint="eastAsia" w:ascii="宋体" w:hAnsi="宋体" w:cs="宋体"/>
          <w:sz w:val="24"/>
          <w:szCs w:val="24"/>
          <w:highlight w:val="none"/>
          <w:lang w:bidi="zh-CN"/>
        </w:rPr>
        <w:t>本公司郑重声明，根据《政府采购促进中小企业发展管理办法》（财库﹝2020﹞46 号）的规定，本公司参加</w:t>
      </w:r>
      <w:r>
        <w:rPr>
          <w:rFonts w:hint="eastAsia" w:ascii="宋体" w:hAnsi="宋体" w:cs="宋体"/>
          <w:sz w:val="24"/>
          <w:szCs w:val="24"/>
          <w:highlight w:val="none"/>
          <w:u w:val="single"/>
          <w:lang w:bidi="zh-CN"/>
        </w:rPr>
        <w:t xml:space="preserve"> 南通市疾病预防控制中心 </w:t>
      </w:r>
      <w:r>
        <w:rPr>
          <w:rFonts w:hint="eastAsia" w:ascii="宋体" w:hAnsi="宋体" w:cs="宋体"/>
          <w:sz w:val="24"/>
          <w:szCs w:val="24"/>
          <w:highlight w:val="none"/>
          <w:lang w:bidi="zh-CN"/>
        </w:rPr>
        <w:t>的</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rPr>
        <w:t>南通市疾病预防控制中心高通量二代测序一体化平台采购项目</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lang w:bidi="zh-CN"/>
        </w:rPr>
        <w:t>采购活动，提供的货物全部由符合政策要求的中小企业制造。相关企业的具体情况如下：</w:t>
      </w:r>
    </w:p>
    <w:p w14:paraId="17CA9024">
      <w:pPr>
        <w:spacing w:line="500" w:lineRule="exact"/>
        <w:ind w:firstLine="480" w:firstLineChars="200"/>
        <w:rPr>
          <w:rFonts w:hint="eastAsia" w:ascii="宋体" w:hAnsi="宋体" w:cs="宋体"/>
          <w:sz w:val="24"/>
          <w:szCs w:val="24"/>
          <w:highlight w:val="none"/>
          <w:lang w:bidi="zh-CN"/>
        </w:rPr>
      </w:pPr>
      <w:r>
        <w:rPr>
          <w:rFonts w:hint="eastAsia" w:ascii="宋体" w:hAnsi="宋体" w:cs="宋体"/>
          <w:sz w:val="24"/>
          <w:szCs w:val="24"/>
          <w:highlight w:val="none"/>
          <w:lang w:bidi="zh-CN"/>
        </w:rPr>
        <w:t>1.</w:t>
      </w:r>
      <w:r>
        <w:rPr>
          <w:rFonts w:hint="eastAsia" w:ascii="宋体" w:hAnsi="宋体" w:cs="宋体"/>
          <w:b/>
          <w:bCs/>
          <w:sz w:val="24"/>
          <w:szCs w:val="24"/>
          <w:highlight w:val="none"/>
          <w:u w:val="single"/>
          <w:lang w:bidi="zh-CN"/>
        </w:rPr>
        <w:t xml:space="preserve">高通量基因测序仪  </w:t>
      </w:r>
      <w:r>
        <w:rPr>
          <w:rFonts w:hint="eastAsia" w:ascii="宋体" w:hAnsi="宋体" w:cs="宋体"/>
          <w:sz w:val="24"/>
          <w:szCs w:val="24"/>
          <w:highlight w:val="none"/>
          <w:lang w:bidi="zh-CN"/>
        </w:rPr>
        <w:t>，属于</w:t>
      </w:r>
      <w:r>
        <w:rPr>
          <w:rFonts w:hint="eastAsia" w:ascii="宋体" w:hAnsi="宋体" w:cs="宋体"/>
          <w:sz w:val="24"/>
          <w:szCs w:val="24"/>
          <w:highlight w:val="none"/>
          <w:u w:val="single"/>
          <w:lang w:bidi="zh-CN"/>
        </w:rPr>
        <w:t>工业</w:t>
      </w:r>
      <w:r>
        <w:rPr>
          <w:rFonts w:hint="eastAsia" w:ascii="宋体" w:hAnsi="宋体" w:cs="宋体"/>
          <w:sz w:val="24"/>
          <w:szCs w:val="24"/>
          <w:highlight w:val="none"/>
          <w:lang w:bidi="zh-CN"/>
        </w:rPr>
        <w:t>行业；制造商为</w:t>
      </w:r>
      <w:r>
        <w:rPr>
          <w:rFonts w:hint="eastAsia" w:ascii="宋体" w:hAnsi="宋体" w:cs="宋体"/>
          <w:sz w:val="24"/>
          <w:szCs w:val="24"/>
          <w:highlight w:val="none"/>
          <w:u w:val="single"/>
          <w:lang w:bidi="zh-CN"/>
        </w:rPr>
        <w:t>（企业名称）</w:t>
      </w:r>
      <w:r>
        <w:rPr>
          <w:rFonts w:hint="eastAsia" w:ascii="宋体" w:hAnsi="宋体" w:cs="宋体"/>
          <w:sz w:val="24"/>
          <w:szCs w:val="24"/>
          <w:highlight w:val="none"/>
          <w:lang w:bidi="zh-CN"/>
        </w:rPr>
        <w:t>，从业人员</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lang w:bidi="zh-CN"/>
        </w:rPr>
        <w:t>人，营业收入为</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lang w:bidi="zh-CN"/>
        </w:rPr>
        <w:t>万元，资产总额为</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lang w:bidi="zh-CN"/>
        </w:rPr>
        <w:t>万元，属于</w:t>
      </w:r>
      <w:r>
        <w:rPr>
          <w:rFonts w:hint="eastAsia" w:ascii="宋体" w:hAnsi="宋体" w:cs="宋体"/>
          <w:sz w:val="24"/>
          <w:szCs w:val="24"/>
          <w:highlight w:val="none"/>
          <w:u w:val="single"/>
          <w:lang w:bidi="zh-CN"/>
        </w:rPr>
        <w:t>（□中型企业、□小型企业、□微型企业）</w:t>
      </w:r>
      <w:r>
        <w:rPr>
          <w:rFonts w:hint="eastAsia" w:ascii="宋体" w:hAnsi="宋体" w:cs="宋体"/>
          <w:sz w:val="24"/>
          <w:szCs w:val="24"/>
          <w:highlight w:val="none"/>
          <w:lang w:bidi="zh-CN"/>
        </w:rPr>
        <w:t>；</w:t>
      </w:r>
    </w:p>
    <w:p w14:paraId="2CC5EE63">
      <w:pPr>
        <w:spacing w:line="500" w:lineRule="exact"/>
        <w:ind w:firstLine="480" w:firstLineChars="200"/>
        <w:rPr>
          <w:rFonts w:hint="eastAsia" w:ascii="宋体" w:hAnsi="宋体" w:cs="宋体"/>
          <w:sz w:val="24"/>
          <w:szCs w:val="24"/>
          <w:highlight w:val="none"/>
          <w:lang w:bidi="zh-CN"/>
        </w:rPr>
      </w:pPr>
      <w:r>
        <w:rPr>
          <w:rFonts w:hint="eastAsia" w:ascii="宋体" w:hAnsi="宋体" w:cs="宋体"/>
          <w:sz w:val="24"/>
          <w:szCs w:val="24"/>
          <w:highlight w:val="none"/>
          <w:lang w:bidi="zh-CN"/>
        </w:rPr>
        <w:t>2.</w:t>
      </w:r>
      <w:r>
        <w:rPr>
          <w:rFonts w:hint="eastAsia" w:ascii="宋体" w:hAnsi="宋体" w:cs="宋体"/>
          <w:b/>
          <w:bCs/>
          <w:sz w:val="24"/>
          <w:szCs w:val="24"/>
          <w:highlight w:val="none"/>
          <w:u w:val="single"/>
          <w:lang w:bidi="zh-CN"/>
        </w:rPr>
        <w:t xml:space="preserve">中通量基因测序仪 </w:t>
      </w:r>
      <w:r>
        <w:rPr>
          <w:rFonts w:hint="eastAsia" w:ascii="宋体" w:hAnsi="宋体" w:cs="宋体"/>
          <w:sz w:val="24"/>
          <w:szCs w:val="24"/>
          <w:highlight w:val="none"/>
          <w:lang w:bidi="zh-CN"/>
        </w:rPr>
        <w:t>，属于</w:t>
      </w:r>
      <w:r>
        <w:rPr>
          <w:rFonts w:hint="eastAsia" w:ascii="宋体" w:hAnsi="宋体" w:cs="宋体"/>
          <w:sz w:val="24"/>
          <w:szCs w:val="24"/>
          <w:highlight w:val="none"/>
          <w:u w:val="single"/>
          <w:lang w:bidi="zh-CN"/>
        </w:rPr>
        <w:t>工业</w:t>
      </w:r>
      <w:r>
        <w:rPr>
          <w:rFonts w:hint="eastAsia" w:ascii="宋体" w:hAnsi="宋体" w:cs="宋体"/>
          <w:sz w:val="24"/>
          <w:szCs w:val="24"/>
          <w:highlight w:val="none"/>
          <w:lang w:bidi="zh-CN"/>
        </w:rPr>
        <w:t>行业；制造商为</w:t>
      </w:r>
      <w:r>
        <w:rPr>
          <w:rFonts w:hint="eastAsia" w:ascii="宋体" w:hAnsi="宋体" w:cs="宋体"/>
          <w:sz w:val="24"/>
          <w:szCs w:val="24"/>
          <w:highlight w:val="none"/>
          <w:u w:val="single"/>
          <w:lang w:bidi="zh-CN"/>
        </w:rPr>
        <w:t>（企业名称）</w:t>
      </w:r>
      <w:r>
        <w:rPr>
          <w:rFonts w:hint="eastAsia" w:ascii="宋体" w:hAnsi="宋体" w:cs="宋体"/>
          <w:sz w:val="24"/>
          <w:szCs w:val="24"/>
          <w:highlight w:val="none"/>
          <w:lang w:bidi="zh-CN"/>
        </w:rPr>
        <w:t>，从业人员</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lang w:bidi="zh-CN"/>
        </w:rPr>
        <w:t>人，营业收入为</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lang w:bidi="zh-CN"/>
        </w:rPr>
        <w:t>万元，资产总额为</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lang w:bidi="zh-CN"/>
        </w:rPr>
        <w:t>万元，属于</w:t>
      </w:r>
      <w:r>
        <w:rPr>
          <w:rFonts w:hint="eastAsia" w:ascii="宋体" w:hAnsi="宋体" w:cs="宋体"/>
          <w:sz w:val="24"/>
          <w:szCs w:val="24"/>
          <w:highlight w:val="none"/>
          <w:u w:val="single"/>
          <w:lang w:bidi="zh-CN"/>
        </w:rPr>
        <w:t>（□中型企业、□小型企业、□微型企业）</w:t>
      </w:r>
      <w:r>
        <w:rPr>
          <w:rFonts w:hint="eastAsia" w:ascii="宋体" w:hAnsi="宋体" w:cs="宋体"/>
          <w:sz w:val="24"/>
          <w:szCs w:val="24"/>
          <w:highlight w:val="none"/>
          <w:lang w:bidi="zh-CN"/>
        </w:rPr>
        <w:t>；</w:t>
      </w:r>
    </w:p>
    <w:p w14:paraId="3C1ECE37">
      <w:pPr>
        <w:spacing w:line="500" w:lineRule="exact"/>
        <w:ind w:firstLine="480" w:firstLineChars="200"/>
        <w:rPr>
          <w:rFonts w:hint="eastAsia" w:ascii="宋体" w:hAnsi="宋体" w:cs="宋体"/>
          <w:sz w:val="24"/>
          <w:szCs w:val="24"/>
          <w:highlight w:val="none"/>
          <w:lang w:bidi="zh-CN"/>
        </w:rPr>
      </w:pPr>
      <w:r>
        <w:rPr>
          <w:rFonts w:hint="eastAsia" w:ascii="宋体" w:hAnsi="宋体" w:cs="宋体"/>
          <w:sz w:val="24"/>
          <w:szCs w:val="24"/>
          <w:highlight w:val="none"/>
          <w:lang w:bidi="zh-CN"/>
        </w:rPr>
        <w:t>3.</w:t>
      </w:r>
      <w:r>
        <w:rPr>
          <w:rFonts w:hint="eastAsia" w:ascii="宋体" w:hAnsi="宋体" w:cs="宋体"/>
          <w:b/>
          <w:bCs/>
          <w:sz w:val="24"/>
          <w:szCs w:val="24"/>
          <w:highlight w:val="none"/>
          <w:u w:val="single"/>
          <w:lang w:bidi="zh-CN"/>
        </w:rPr>
        <w:t xml:space="preserve">高通量自动化样本制备系统 </w:t>
      </w:r>
      <w:r>
        <w:rPr>
          <w:rFonts w:hint="eastAsia" w:ascii="宋体" w:hAnsi="宋体" w:cs="宋体"/>
          <w:sz w:val="24"/>
          <w:szCs w:val="24"/>
          <w:highlight w:val="none"/>
          <w:lang w:bidi="zh-CN"/>
        </w:rPr>
        <w:t>，属于</w:t>
      </w:r>
      <w:r>
        <w:rPr>
          <w:rFonts w:hint="eastAsia" w:ascii="宋体" w:hAnsi="宋体" w:cs="宋体"/>
          <w:sz w:val="24"/>
          <w:szCs w:val="24"/>
          <w:highlight w:val="none"/>
          <w:u w:val="single"/>
          <w:lang w:bidi="zh-CN"/>
        </w:rPr>
        <w:t>工业</w:t>
      </w:r>
      <w:r>
        <w:rPr>
          <w:rFonts w:hint="eastAsia" w:ascii="宋体" w:hAnsi="宋体" w:cs="宋体"/>
          <w:sz w:val="24"/>
          <w:szCs w:val="24"/>
          <w:highlight w:val="none"/>
          <w:lang w:bidi="zh-CN"/>
        </w:rPr>
        <w:t>行业；制造商为</w:t>
      </w:r>
      <w:r>
        <w:rPr>
          <w:rFonts w:hint="eastAsia" w:ascii="宋体" w:hAnsi="宋体" w:cs="宋体"/>
          <w:sz w:val="24"/>
          <w:szCs w:val="24"/>
          <w:highlight w:val="none"/>
          <w:u w:val="single"/>
          <w:lang w:bidi="zh-CN"/>
        </w:rPr>
        <w:t>（企业名称）</w:t>
      </w:r>
      <w:r>
        <w:rPr>
          <w:rFonts w:hint="eastAsia" w:ascii="宋体" w:hAnsi="宋体" w:cs="宋体"/>
          <w:sz w:val="24"/>
          <w:szCs w:val="24"/>
          <w:highlight w:val="none"/>
          <w:lang w:bidi="zh-CN"/>
        </w:rPr>
        <w:t>，从业人员</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lang w:bidi="zh-CN"/>
        </w:rPr>
        <w:t>人，营业收入为</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lang w:bidi="zh-CN"/>
        </w:rPr>
        <w:t>万元，资产总额为</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lang w:bidi="zh-CN"/>
        </w:rPr>
        <w:t>万元，属于</w:t>
      </w:r>
      <w:r>
        <w:rPr>
          <w:rFonts w:hint="eastAsia" w:ascii="宋体" w:hAnsi="宋体" w:cs="宋体"/>
          <w:sz w:val="24"/>
          <w:szCs w:val="24"/>
          <w:highlight w:val="none"/>
          <w:u w:val="single"/>
          <w:lang w:bidi="zh-CN"/>
        </w:rPr>
        <w:t>（□中型企业、□小型企业、□微型企业）</w:t>
      </w:r>
      <w:r>
        <w:rPr>
          <w:rFonts w:hint="eastAsia" w:ascii="宋体" w:hAnsi="宋体" w:cs="宋体"/>
          <w:sz w:val="24"/>
          <w:szCs w:val="24"/>
          <w:highlight w:val="none"/>
          <w:lang w:bidi="zh-CN"/>
        </w:rPr>
        <w:t>；</w:t>
      </w:r>
    </w:p>
    <w:p w14:paraId="1DB5C0E3">
      <w:pPr>
        <w:spacing w:line="500" w:lineRule="exact"/>
        <w:ind w:firstLine="480" w:firstLineChars="200"/>
        <w:rPr>
          <w:rFonts w:hint="eastAsia" w:ascii="宋体" w:hAnsi="宋体" w:cs="宋体"/>
          <w:sz w:val="24"/>
          <w:szCs w:val="24"/>
          <w:highlight w:val="none"/>
          <w:lang w:bidi="zh-CN"/>
        </w:rPr>
      </w:pPr>
      <w:r>
        <w:rPr>
          <w:rFonts w:hint="eastAsia" w:ascii="宋体" w:hAnsi="宋体" w:cs="宋体"/>
          <w:sz w:val="24"/>
          <w:szCs w:val="24"/>
          <w:highlight w:val="none"/>
          <w:lang w:bidi="zh-CN"/>
        </w:rPr>
        <w:t>4.</w:t>
      </w:r>
      <w:r>
        <w:rPr>
          <w:rFonts w:hint="eastAsia" w:ascii="宋体" w:hAnsi="宋体" w:cs="宋体"/>
          <w:b/>
          <w:bCs/>
          <w:sz w:val="24"/>
          <w:szCs w:val="24"/>
          <w:highlight w:val="none"/>
          <w:u w:val="single"/>
          <w:lang w:bidi="zh-CN"/>
        </w:rPr>
        <w:t xml:space="preserve">基因数据分析一体机 </w:t>
      </w:r>
      <w:r>
        <w:rPr>
          <w:rFonts w:hint="eastAsia" w:ascii="宋体" w:hAnsi="宋体" w:cs="宋体"/>
          <w:sz w:val="24"/>
          <w:szCs w:val="24"/>
          <w:highlight w:val="none"/>
          <w:lang w:bidi="zh-CN"/>
        </w:rPr>
        <w:t>，属于</w:t>
      </w:r>
      <w:r>
        <w:rPr>
          <w:rFonts w:hint="eastAsia" w:ascii="宋体" w:hAnsi="宋体" w:cs="宋体"/>
          <w:sz w:val="24"/>
          <w:szCs w:val="24"/>
          <w:highlight w:val="none"/>
          <w:u w:val="single"/>
          <w:lang w:bidi="zh-CN"/>
        </w:rPr>
        <w:t>工业</w:t>
      </w:r>
      <w:r>
        <w:rPr>
          <w:rFonts w:hint="eastAsia" w:ascii="宋体" w:hAnsi="宋体" w:cs="宋体"/>
          <w:sz w:val="24"/>
          <w:szCs w:val="24"/>
          <w:highlight w:val="none"/>
          <w:lang w:bidi="zh-CN"/>
        </w:rPr>
        <w:t>行业；制造商为</w:t>
      </w:r>
      <w:r>
        <w:rPr>
          <w:rFonts w:hint="eastAsia" w:ascii="宋体" w:hAnsi="宋体" w:cs="宋体"/>
          <w:sz w:val="24"/>
          <w:szCs w:val="24"/>
          <w:highlight w:val="none"/>
          <w:u w:val="single"/>
          <w:lang w:bidi="zh-CN"/>
        </w:rPr>
        <w:t>（企业名称）</w:t>
      </w:r>
      <w:r>
        <w:rPr>
          <w:rFonts w:hint="eastAsia" w:ascii="宋体" w:hAnsi="宋体" w:cs="宋体"/>
          <w:sz w:val="24"/>
          <w:szCs w:val="24"/>
          <w:highlight w:val="none"/>
          <w:lang w:bidi="zh-CN"/>
        </w:rPr>
        <w:t>，从业人员</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lang w:bidi="zh-CN"/>
        </w:rPr>
        <w:t>人，营业收入为</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lang w:bidi="zh-CN"/>
        </w:rPr>
        <w:t>万元，资产总额为</w:t>
      </w:r>
      <w:r>
        <w:rPr>
          <w:rFonts w:hint="eastAsia" w:ascii="宋体" w:hAnsi="宋体" w:cs="宋体"/>
          <w:sz w:val="24"/>
          <w:szCs w:val="24"/>
          <w:highlight w:val="none"/>
          <w:u w:val="single"/>
          <w:lang w:bidi="zh-CN"/>
        </w:rPr>
        <w:t xml:space="preserve">  </w:t>
      </w:r>
      <w:r>
        <w:rPr>
          <w:rFonts w:hint="eastAsia" w:ascii="宋体" w:hAnsi="宋体" w:cs="宋体"/>
          <w:sz w:val="24"/>
          <w:szCs w:val="24"/>
          <w:highlight w:val="none"/>
          <w:u w:val="single"/>
          <w:lang w:bidi="zh-CN"/>
        </w:rPr>
        <w:tab/>
      </w:r>
      <w:r>
        <w:rPr>
          <w:rFonts w:hint="eastAsia" w:ascii="宋体" w:hAnsi="宋体" w:cs="宋体"/>
          <w:sz w:val="24"/>
          <w:szCs w:val="24"/>
          <w:highlight w:val="none"/>
          <w:lang w:bidi="zh-CN"/>
        </w:rPr>
        <w:t>万元，属于</w:t>
      </w:r>
      <w:r>
        <w:rPr>
          <w:rFonts w:hint="eastAsia" w:ascii="宋体" w:hAnsi="宋体" w:cs="宋体"/>
          <w:sz w:val="24"/>
          <w:szCs w:val="24"/>
          <w:highlight w:val="none"/>
          <w:u w:val="single"/>
          <w:lang w:bidi="zh-CN"/>
        </w:rPr>
        <w:t>（□中型企业、□小型企业、□微型企业）。</w:t>
      </w:r>
    </w:p>
    <w:p w14:paraId="497A3AA5">
      <w:pPr>
        <w:spacing w:line="360" w:lineRule="auto"/>
        <w:ind w:firstLine="560"/>
        <w:rPr>
          <w:rFonts w:hint="eastAsia" w:ascii="宋体" w:hAnsi="宋体" w:cs="宋体"/>
          <w:sz w:val="24"/>
          <w:szCs w:val="24"/>
          <w:highlight w:val="none"/>
          <w:lang w:bidi="zh-CN"/>
        </w:rPr>
      </w:pPr>
      <w:r>
        <w:rPr>
          <w:rFonts w:hint="eastAsia" w:ascii="宋体" w:hAnsi="宋体" w:cs="宋体"/>
          <w:sz w:val="24"/>
          <w:szCs w:val="24"/>
          <w:highlight w:val="none"/>
          <w:lang w:bidi="zh-CN"/>
        </w:rPr>
        <w:t>以上企业，不属于大企业的分支机构，不存在控股股东为大企业的情形，也不存在与大企业的负责人为同一人的情形。</w:t>
      </w:r>
    </w:p>
    <w:p w14:paraId="722FC6E6">
      <w:pPr>
        <w:spacing w:line="360" w:lineRule="auto"/>
        <w:ind w:firstLine="560"/>
        <w:rPr>
          <w:rFonts w:hint="eastAsia" w:ascii="宋体" w:hAnsi="宋体" w:cs="宋体"/>
          <w:sz w:val="24"/>
          <w:szCs w:val="24"/>
          <w:highlight w:val="none"/>
          <w:lang w:bidi="zh-CN"/>
        </w:rPr>
      </w:pPr>
      <w:r>
        <w:rPr>
          <w:rFonts w:hint="eastAsia" w:ascii="宋体" w:hAnsi="宋体" w:cs="宋体"/>
          <w:sz w:val="24"/>
          <w:szCs w:val="24"/>
          <w:highlight w:val="none"/>
          <w:lang w:bidi="zh-CN"/>
        </w:rPr>
        <w:t>本企业对上述声明内容的真实性负责。如有虚假，将依法承担相应责任。</w:t>
      </w:r>
    </w:p>
    <w:p w14:paraId="5153CAEF">
      <w:pPr>
        <w:spacing w:line="240" w:lineRule="auto"/>
        <w:rPr>
          <w:rFonts w:hint="eastAsia" w:ascii="宋体" w:hAnsi="宋体" w:cs="宋体"/>
          <w:szCs w:val="21"/>
          <w:highlight w:val="none"/>
          <w:lang w:bidi="zh-CN"/>
        </w:rPr>
      </w:pPr>
      <w:r>
        <w:rPr>
          <w:rFonts w:hint="eastAsia" w:ascii="宋体" w:hAnsi="宋体" w:cs="宋体"/>
          <w:szCs w:val="21"/>
          <w:highlight w:val="none"/>
          <w:lang w:bidi="zh-CN"/>
        </w:rPr>
        <w:t>注：1.如项目属性为“货物”，请按本表填写。</w:t>
      </w:r>
    </w:p>
    <w:p w14:paraId="4D445E8D">
      <w:pPr>
        <w:spacing w:line="240" w:lineRule="auto"/>
        <w:ind w:firstLine="420" w:firstLineChars="200"/>
        <w:rPr>
          <w:rFonts w:hint="eastAsia" w:ascii="宋体" w:hAnsi="宋体" w:cs="宋体"/>
          <w:szCs w:val="21"/>
          <w:highlight w:val="none"/>
          <w:lang w:bidi="zh-CN"/>
        </w:rPr>
      </w:pPr>
      <w:r>
        <w:rPr>
          <w:rFonts w:hint="eastAsia" w:ascii="宋体" w:hAnsi="宋体" w:cs="宋体"/>
          <w:szCs w:val="21"/>
          <w:highlight w:val="none"/>
          <w:lang w:bidi="zh-CN"/>
        </w:rPr>
        <w:t>2.从业人员、营业收入、资产总额填报上一年度数据，无上一年度数据的新成立企业可不填报。</w:t>
      </w:r>
    </w:p>
    <w:p w14:paraId="147BE73F">
      <w:pPr>
        <w:spacing w:line="240" w:lineRule="auto"/>
        <w:ind w:firstLine="420" w:firstLineChars="200"/>
        <w:rPr>
          <w:rFonts w:hint="eastAsia" w:ascii="宋体" w:hAnsi="宋体" w:cs="宋体"/>
          <w:szCs w:val="21"/>
          <w:highlight w:val="none"/>
          <w:lang w:bidi="zh-CN"/>
        </w:rPr>
      </w:pPr>
      <w:r>
        <w:rPr>
          <w:rFonts w:hint="eastAsia" w:ascii="宋体" w:hAnsi="宋体" w:cs="宋体"/>
          <w:szCs w:val="21"/>
          <w:highlight w:val="none"/>
          <w:lang w:bidi="zh-CN"/>
        </w:rPr>
        <w:t>3.投标供应商须根据上述要求，</w:t>
      </w:r>
      <w:r>
        <w:rPr>
          <w:rFonts w:hint="eastAsia" w:ascii="宋体" w:hAnsi="宋体" w:cs="宋体"/>
          <w:b/>
          <w:bCs/>
          <w:szCs w:val="21"/>
          <w:highlight w:val="none"/>
          <w:u w:val="single"/>
          <w:lang w:bidi="zh-CN"/>
        </w:rPr>
        <w:t>详细列明货物清单中</w:t>
      </w:r>
      <w:r>
        <w:rPr>
          <w:rFonts w:hint="eastAsia" w:ascii="宋体" w:hAnsi="宋体" w:cs="宋体"/>
          <w:b/>
          <w:bCs/>
          <w:color w:val="FF0000"/>
          <w:szCs w:val="21"/>
          <w:highlight w:val="none"/>
          <w:u w:val="single"/>
          <w:lang w:bidi="zh-CN"/>
        </w:rPr>
        <w:t>所有产品</w:t>
      </w:r>
      <w:r>
        <w:rPr>
          <w:rFonts w:hint="eastAsia" w:ascii="宋体" w:hAnsi="宋体" w:cs="宋体"/>
          <w:b/>
          <w:bCs/>
          <w:szCs w:val="21"/>
          <w:highlight w:val="none"/>
          <w:u w:val="single"/>
          <w:lang w:bidi="zh-CN"/>
        </w:rPr>
        <w:t>制造商的具体情况，</w:t>
      </w:r>
      <w:r>
        <w:rPr>
          <w:rFonts w:hint="eastAsia" w:ascii="宋体" w:hAnsi="宋体" w:cs="宋体"/>
          <w:szCs w:val="21"/>
          <w:highlight w:val="none"/>
          <w:lang w:bidi="zh-CN"/>
        </w:rPr>
        <w:t>否则可能影响资格审查认定。</w:t>
      </w:r>
    </w:p>
    <w:p w14:paraId="1D62A2A3">
      <w:pPr>
        <w:spacing w:line="240" w:lineRule="auto"/>
        <w:ind w:firstLine="420" w:firstLineChars="200"/>
        <w:rPr>
          <w:sz w:val="28"/>
          <w:szCs w:val="28"/>
          <w:highlight w:val="none"/>
          <w:lang w:bidi="zh-CN"/>
        </w:rPr>
      </w:pPr>
      <w:r>
        <w:rPr>
          <w:rFonts w:hint="eastAsia" w:ascii="宋体" w:hAnsi="宋体" w:cs="宋体"/>
          <w:szCs w:val="21"/>
          <w:highlight w:val="none"/>
          <w:lang w:bidi="zh-CN"/>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244A70AE">
      <w:pPr>
        <w:spacing w:line="360" w:lineRule="auto"/>
        <w:ind w:firstLine="480"/>
        <w:jc w:val="right"/>
        <w:rPr>
          <w:rFonts w:hint="eastAsia" w:ascii="宋体" w:hAnsi="宋体" w:cs="宋体"/>
          <w:sz w:val="24"/>
          <w:szCs w:val="24"/>
          <w:highlight w:val="none"/>
        </w:rPr>
      </w:pPr>
      <w:r>
        <w:rPr>
          <w:rFonts w:hint="eastAsia"/>
          <w:sz w:val="28"/>
          <w:szCs w:val="28"/>
          <w:highlight w:val="none"/>
          <w:lang w:bidi="zh-CN"/>
        </w:rPr>
        <w:t xml:space="preserve">               </w:t>
      </w:r>
      <w:r>
        <w:rPr>
          <w:rFonts w:hint="eastAsia" w:ascii="宋体" w:hAnsi="宋体" w:cs="宋体"/>
          <w:sz w:val="24"/>
          <w:szCs w:val="24"/>
          <w:highlight w:val="none"/>
        </w:rPr>
        <w:t xml:space="preserve">   投标人全称（加盖CA电子公章）：</w:t>
      </w:r>
    </w:p>
    <w:p w14:paraId="23300820">
      <w:pPr>
        <w:spacing w:line="360" w:lineRule="auto"/>
        <w:ind w:firstLine="6782" w:firstLineChars="2826"/>
        <w:rPr>
          <w:rFonts w:hint="eastAsia" w:ascii="宋体" w:hAnsi="宋体" w:cs="宋体"/>
          <w:sz w:val="24"/>
          <w:szCs w:val="24"/>
          <w:highlight w:val="none"/>
        </w:rPr>
      </w:pPr>
      <w:r>
        <w:rPr>
          <w:rFonts w:hint="eastAsia" w:ascii="宋体" w:hAnsi="宋体" w:cs="宋体"/>
          <w:sz w:val="24"/>
          <w:szCs w:val="24"/>
          <w:highlight w:val="none"/>
        </w:rPr>
        <w:t>日  期：</w:t>
      </w:r>
    </w:p>
    <w:p w14:paraId="499F5389">
      <w:pPr>
        <w:spacing w:line="360" w:lineRule="auto"/>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r>
      <w:r>
        <w:rPr>
          <w:rFonts w:hint="eastAsia" w:ascii="宋体" w:hAnsi="宋体" w:cs="宋体"/>
          <w:b/>
          <w:color w:val="000000"/>
          <w:sz w:val="30"/>
          <w:szCs w:val="30"/>
          <w:highlight w:val="none"/>
        </w:rPr>
        <w:t>中小企业划型标准规定</w:t>
      </w:r>
    </w:p>
    <w:p w14:paraId="0E6E6905">
      <w:pPr>
        <w:spacing w:line="360" w:lineRule="auto"/>
        <w:ind w:firstLine="480"/>
        <w:rPr>
          <w:rFonts w:hint="eastAsia" w:ascii="宋体" w:hAnsi="宋体" w:cs="宋体"/>
          <w:color w:val="000000"/>
          <w:sz w:val="24"/>
          <w:szCs w:val="21"/>
          <w:highlight w:val="none"/>
        </w:rPr>
      </w:pPr>
      <w:r>
        <w:rPr>
          <w:rFonts w:hint="eastAsia" w:ascii="宋体" w:hAnsi="宋体" w:cs="宋体"/>
          <w:color w:val="000000"/>
          <w:sz w:val="24"/>
          <w:szCs w:val="21"/>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91D2A41">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各行业划型标准为：</w:t>
      </w:r>
    </w:p>
    <w:p w14:paraId="66B4442A">
      <w:pPr>
        <w:spacing w:line="360" w:lineRule="auto"/>
        <w:ind w:firstLine="720"/>
        <w:rPr>
          <w:rFonts w:hint="eastAsia" w:ascii="宋体" w:hAnsi="宋体" w:cs="宋体"/>
          <w:color w:val="000000"/>
          <w:sz w:val="24"/>
          <w:szCs w:val="21"/>
          <w:highlight w:val="none"/>
        </w:rPr>
      </w:pPr>
      <w:r>
        <w:rPr>
          <w:rFonts w:hint="eastAsia" w:ascii="宋体" w:hAnsi="宋体" w:cs="宋体"/>
          <w:color w:val="000000"/>
          <w:sz w:val="24"/>
          <w:szCs w:val="21"/>
          <w:highlight w:val="none"/>
        </w:rPr>
        <w:t>（一）农、林、牧、渔业。营业收入20000万元以下的为中小微型企业。其中，营业收入500万元及以上的为中型企业，营业收入50万元及以上的为小型企业，营业收入50万元以下的为微型企业。</w:t>
      </w:r>
    </w:p>
    <w:p w14:paraId="3FF9371C">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12EBD43">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8A1260F">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92BB683">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6509D59">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6993434">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8D646F8">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8FA0C45">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907D3FB">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AA1DC1E">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F7BF57C">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3E2D8AA">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BC45EC2">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0D30ECA">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7E44EB7">
      <w:pPr>
        <w:spacing w:line="360" w:lineRule="auto"/>
        <w:ind w:firstLine="240"/>
        <w:rPr>
          <w:rFonts w:hint="eastAsia" w:ascii="宋体" w:hAnsi="宋体" w:cs="宋体"/>
          <w:color w:val="000000"/>
          <w:sz w:val="24"/>
          <w:szCs w:val="21"/>
          <w:highlight w:val="none"/>
        </w:rPr>
      </w:pPr>
      <w:r>
        <w:rPr>
          <w:rFonts w:hint="eastAsia" w:ascii="宋体" w:hAnsi="宋体" w:cs="宋体"/>
          <w:color w:val="000000"/>
          <w:sz w:val="24"/>
          <w:szCs w:val="21"/>
          <w:highlight w:val="none"/>
        </w:rPr>
        <w:t>　　（十六）其他未列明行业。从业人员300人以下的为中小微型企业。其中，从业人员100人及以上的为中型企业；从业人员10人及以上的为小型企业；从业人员10人以下的为微型企业。</w:t>
      </w:r>
    </w:p>
    <w:p w14:paraId="39F44518">
      <w:pPr>
        <w:spacing w:line="460" w:lineRule="exact"/>
        <w:jc w:val="left"/>
        <w:rPr>
          <w:sz w:val="32"/>
          <w:szCs w:val="32"/>
          <w:highlight w:val="none"/>
        </w:rPr>
      </w:pPr>
      <w:r>
        <w:rPr>
          <w:rFonts w:eastAsia="方正黑体_GBK"/>
          <w:sz w:val="32"/>
          <w:szCs w:val="32"/>
          <w:highlight w:val="none"/>
        </w:rPr>
        <w:br w:type="page"/>
      </w:r>
      <w:r>
        <w:rPr>
          <w:rFonts w:hint="eastAsia" w:ascii="宋体" w:hAnsi="宋体" w:cs="宋体"/>
          <w:b/>
          <w:bCs/>
          <w:sz w:val="24"/>
          <w:szCs w:val="24"/>
          <w:highlight w:val="none"/>
          <w:lang w:val="zh-CN"/>
        </w:rPr>
        <w:t>附件</w:t>
      </w:r>
      <w:r>
        <w:rPr>
          <w:rFonts w:hint="eastAsia" w:ascii="宋体" w:hAnsi="宋体" w:cs="宋体"/>
          <w:b/>
          <w:bCs/>
          <w:sz w:val="24"/>
          <w:szCs w:val="24"/>
          <w:highlight w:val="none"/>
        </w:rPr>
        <w:t>10</w:t>
      </w:r>
    </w:p>
    <w:p w14:paraId="73BDBFF7">
      <w:pPr>
        <w:spacing w:line="360" w:lineRule="auto"/>
        <w:ind w:firstLine="482"/>
        <w:jc w:val="center"/>
        <w:outlineLvl w:val="2"/>
        <w:rPr>
          <w:rFonts w:hint="eastAsia" w:ascii="宋体" w:hAnsi="宋体" w:cs="宋体"/>
          <w:b/>
          <w:bCs/>
          <w:sz w:val="24"/>
          <w:szCs w:val="24"/>
          <w:highlight w:val="none"/>
        </w:rPr>
      </w:pPr>
      <w:r>
        <w:rPr>
          <w:rFonts w:hint="eastAsia" w:ascii="宋体" w:hAnsi="宋体" w:cs="宋体"/>
          <w:b/>
          <w:bCs/>
          <w:sz w:val="24"/>
          <w:szCs w:val="24"/>
          <w:highlight w:val="none"/>
        </w:rPr>
        <w:t>残疾人福利性单位声明函</w:t>
      </w:r>
    </w:p>
    <w:p w14:paraId="45EE70D6">
      <w:pPr>
        <w:spacing w:line="588" w:lineRule="exact"/>
        <w:ind w:firstLine="480" w:firstLineChars="200"/>
        <w:rPr>
          <w:rFonts w:hint="eastAsia" w:ascii="宋体" w:hAnsi="宋体"/>
          <w:sz w:val="24"/>
          <w:szCs w:val="24"/>
          <w:highlight w:val="none"/>
        </w:rPr>
      </w:pPr>
      <w:r>
        <w:rPr>
          <w:rFonts w:hint="eastAsia" w:ascii="宋体" w:hAnsi="宋体"/>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4"/>
          <w:highlight w:val="none"/>
          <w:u w:val="single"/>
        </w:rPr>
        <w:t xml:space="preserve">       </w:t>
      </w:r>
      <w:r>
        <w:rPr>
          <w:rFonts w:hint="eastAsia" w:ascii="宋体" w:hAnsi="宋体"/>
          <w:sz w:val="24"/>
          <w:szCs w:val="24"/>
          <w:highlight w:val="none"/>
        </w:rPr>
        <w:t>项目采购活动提供本单位制造的货物（由本单位承担工程/提供服务），或者提供其他残疾人福利性单位制造的货物（不包括使用非残疾人福利性单位注册商标的货物）。</w:t>
      </w:r>
    </w:p>
    <w:p w14:paraId="0E5D90F2">
      <w:pPr>
        <w:spacing w:line="588" w:lineRule="exact"/>
        <w:ind w:firstLine="480" w:firstLineChars="200"/>
        <w:rPr>
          <w:rFonts w:hint="eastAsia" w:ascii="宋体" w:hAnsi="宋体"/>
          <w:sz w:val="24"/>
          <w:szCs w:val="24"/>
          <w:highlight w:val="none"/>
        </w:rPr>
      </w:pPr>
      <w:r>
        <w:rPr>
          <w:rFonts w:hint="eastAsia" w:ascii="宋体" w:hAnsi="宋体"/>
          <w:sz w:val="24"/>
          <w:szCs w:val="24"/>
          <w:highlight w:val="none"/>
        </w:rPr>
        <w:t>本单位对上述声明的真实性负责。如有虚假，将依法承担相应责任。</w:t>
      </w:r>
    </w:p>
    <w:p w14:paraId="26E19C71">
      <w:pPr>
        <w:spacing w:line="588" w:lineRule="exact"/>
        <w:ind w:firstLine="480" w:firstLineChars="200"/>
        <w:rPr>
          <w:rFonts w:hint="eastAsia" w:ascii="宋体" w:hAnsi="宋体"/>
          <w:sz w:val="24"/>
          <w:szCs w:val="24"/>
          <w:highlight w:val="none"/>
        </w:rPr>
      </w:pPr>
    </w:p>
    <w:p w14:paraId="686B9DCF">
      <w:pPr>
        <w:tabs>
          <w:tab w:val="left" w:pos="4860"/>
        </w:tabs>
        <w:spacing w:line="588" w:lineRule="exact"/>
        <w:ind w:right="1560" w:firstLine="480" w:firstLineChars="200"/>
        <w:jc w:val="right"/>
        <w:rPr>
          <w:rFonts w:hint="eastAsia" w:ascii="宋体" w:hAnsi="宋体"/>
          <w:sz w:val="24"/>
          <w:szCs w:val="24"/>
          <w:highlight w:val="none"/>
        </w:rPr>
      </w:pPr>
      <w:r>
        <w:rPr>
          <w:rFonts w:hint="eastAsia" w:ascii="宋体" w:hAnsi="宋体" w:cs="宋体"/>
          <w:sz w:val="24"/>
          <w:szCs w:val="24"/>
          <w:highlight w:val="none"/>
        </w:rPr>
        <w:t>投标人全称（加盖CA电子公章）：</w:t>
      </w:r>
    </w:p>
    <w:p w14:paraId="547B20A9">
      <w:pPr>
        <w:tabs>
          <w:tab w:val="left" w:pos="4860"/>
        </w:tabs>
        <w:spacing w:line="588" w:lineRule="exact"/>
        <w:ind w:right="1560" w:firstLine="480" w:firstLineChars="200"/>
        <w:jc w:val="right"/>
        <w:rPr>
          <w:rFonts w:hint="eastAsia" w:ascii="宋体" w:hAnsi="宋体"/>
          <w:sz w:val="24"/>
          <w:szCs w:val="24"/>
          <w:highlight w:val="none"/>
        </w:rPr>
      </w:pPr>
      <w:r>
        <w:rPr>
          <w:rFonts w:hint="eastAsia" w:ascii="宋体" w:hAnsi="宋体"/>
          <w:sz w:val="24"/>
          <w:szCs w:val="24"/>
          <w:highlight w:val="none"/>
        </w:rPr>
        <w:t xml:space="preserve">              日  期：</w:t>
      </w:r>
    </w:p>
    <w:p w14:paraId="6B5B7C13">
      <w:pPr>
        <w:spacing w:line="588" w:lineRule="exact"/>
        <w:ind w:firstLine="480" w:firstLineChars="200"/>
        <w:rPr>
          <w:rFonts w:hint="eastAsia" w:ascii="宋体" w:hAnsi="宋体"/>
          <w:sz w:val="24"/>
          <w:szCs w:val="24"/>
          <w:highlight w:val="none"/>
        </w:rPr>
      </w:pPr>
    </w:p>
    <w:p w14:paraId="5F8ABF08">
      <w:pPr>
        <w:spacing w:line="588" w:lineRule="exact"/>
        <w:ind w:firstLine="480" w:firstLineChars="200"/>
        <w:rPr>
          <w:rFonts w:hint="eastAsia" w:ascii="宋体" w:hAnsi="宋体"/>
          <w:sz w:val="24"/>
          <w:szCs w:val="24"/>
          <w:highlight w:val="none"/>
        </w:rPr>
      </w:pPr>
    </w:p>
    <w:p w14:paraId="11A2C0E1">
      <w:pPr>
        <w:spacing w:line="588" w:lineRule="exact"/>
        <w:ind w:firstLine="480" w:firstLineChars="200"/>
        <w:rPr>
          <w:rFonts w:hint="eastAsia" w:ascii="宋体" w:hAnsi="宋体"/>
          <w:sz w:val="24"/>
          <w:szCs w:val="24"/>
          <w:highlight w:val="none"/>
        </w:rPr>
      </w:pPr>
    </w:p>
    <w:p w14:paraId="0A76C406">
      <w:pPr>
        <w:rPr>
          <w:rFonts w:ascii="仿宋_GB2312" w:eastAsia="仿宋_GB2312"/>
          <w:spacing w:val="6"/>
          <w:sz w:val="24"/>
          <w:szCs w:val="24"/>
          <w:highlight w:val="none"/>
        </w:rPr>
      </w:pPr>
      <w:r>
        <w:rPr>
          <w:rFonts w:hint="eastAsia" w:ascii="宋体" w:hAnsi="宋体" w:cs="宋体"/>
          <w:sz w:val="24"/>
          <w:szCs w:val="24"/>
          <w:highlight w:val="none"/>
          <w:lang w:bidi="zh-CN"/>
        </w:rPr>
        <w:t>注：</w:t>
      </w:r>
      <w:r>
        <w:rPr>
          <w:rFonts w:hint="eastAsia" w:ascii="宋体" w:hAnsi="宋体" w:cs="宋体"/>
          <w:sz w:val="24"/>
          <w:szCs w:val="24"/>
          <w:highlight w:val="none"/>
        </w:rPr>
        <w:t>中标</w:t>
      </w:r>
      <w:r>
        <w:rPr>
          <w:rFonts w:hint="eastAsia" w:ascii="宋体" w:hAnsi="宋体" w:cs="宋体"/>
          <w:sz w:val="24"/>
          <w:szCs w:val="24"/>
          <w:highlight w:val="none"/>
          <w:lang w:bidi="zh-CN"/>
        </w:rPr>
        <w:t>供应商为残疾人福利单位的，此声明函将随</w:t>
      </w:r>
      <w:r>
        <w:rPr>
          <w:rFonts w:hint="eastAsia" w:ascii="宋体" w:hAnsi="宋体" w:cs="宋体"/>
          <w:sz w:val="24"/>
          <w:szCs w:val="24"/>
          <w:highlight w:val="none"/>
        </w:rPr>
        <w:t>成交</w:t>
      </w:r>
      <w:r>
        <w:rPr>
          <w:rFonts w:hint="eastAsia" w:ascii="宋体" w:hAnsi="宋体" w:cs="宋体"/>
          <w:sz w:val="24"/>
          <w:szCs w:val="24"/>
          <w:highlight w:val="none"/>
          <w:lang w:bidi="zh-CN"/>
        </w:rPr>
        <w:t>结果同时公告，接受社会监督。供应商按照本办法规定提供声明函内容不实的，属于提供虚假材料谋取中标、成交，依照《中华人民共和国政府采购法》等国家有关规定追究相应责任。</w:t>
      </w:r>
    </w:p>
    <w:p w14:paraId="74DFF1EC">
      <w:pPr>
        <w:spacing w:line="588" w:lineRule="exact"/>
        <w:ind w:firstLine="504" w:firstLineChars="200"/>
        <w:rPr>
          <w:rFonts w:ascii="仿宋_GB2312" w:eastAsia="仿宋_GB2312"/>
          <w:spacing w:val="6"/>
          <w:sz w:val="24"/>
          <w:szCs w:val="24"/>
          <w:highlight w:val="none"/>
        </w:rPr>
      </w:pPr>
    </w:p>
    <w:p w14:paraId="3A34DF7E">
      <w:pPr>
        <w:tabs>
          <w:tab w:val="left" w:pos="4860"/>
        </w:tabs>
        <w:spacing w:line="588" w:lineRule="exact"/>
        <w:ind w:right="1560" w:firstLine="504" w:firstLineChars="200"/>
        <w:jc w:val="center"/>
        <w:rPr>
          <w:rFonts w:hint="eastAsia" w:ascii="宋体" w:hAnsi="宋体"/>
          <w:sz w:val="24"/>
          <w:szCs w:val="24"/>
          <w:highlight w:val="none"/>
        </w:rPr>
      </w:pPr>
      <w:r>
        <w:rPr>
          <w:rFonts w:hint="eastAsia" w:ascii="仿宋_GB2312" w:eastAsia="仿宋_GB2312"/>
          <w:spacing w:val="6"/>
          <w:sz w:val="24"/>
          <w:szCs w:val="24"/>
          <w:highlight w:val="none"/>
        </w:rPr>
        <w:t xml:space="preserve">             </w:t>
      </w:r>
      <w:r>
        <w:rPr>
          <w:rFonts w:hint="eastAsia" w:ascii="宋体" w:hAnsi="宋体"/>
          <w:sz w:val="24"/>
          <w:szCs w:val="24"/>
          <w:highlight w:val="none"/>
        </w:rPr>
        <w:t xml:space="preserve">     </w:t>
      </w:r>
    </w:p>
    <w:p w14:paraId="73BE8E9A">
      <w:pPr>
        <w:snapToGrid w:val="0"/>
        <w:spacing w:line="300" w:lineRule="auto"/>
        <w:rPr>
          <w:sz w:val="32"/>
          <w:szCs w:val="32"/>
          <w:highlight w:val="none"/>
        </w:rPr>
      </w:pPr>
      <w:r>
        <w:rPr>
          <w:sz w:val="28"/>
          <w:szCs w:val="28"/>
          <w:highlight w:val="none"/>
        </w:rPr>
        <w:br w:type="page"/>
      </w:r>
      <w:r>
        <w:rPr>
          <w:rFonts w:hint="eastAsia" w:ascii="宋体" w:hAnsi="宋体" w:cs="宋体"/>
          <w:b/>
          <w:bCs/>
          <w:sz w:val="24"/>
          <w:szCs w:val="24"/>
          <w:highlight w:val="none"/>
          <w:lang w:val="zh-CN"/>
        </w:rPr>
        <w:t>附件</w:t>
      </w:r>
      <w:r>
        <w:rPr>
          <w:rFonts w:hint="eastAsia" w:ascii="宋体" w:hAnsi="宋体" w:cs="宋体"/>
          <w:b/>
          <w:bCs/>
          <w:sz w:val="24"/>
          <w:szCs w:val="24"/>
          <w:highlight w:val="none"/>
        </w:rPr>
        <w:t>11</w:t>
      </w:r>
    </w:p>
    <w:p w14:paraId="5E52CAD1">
      <w:pPr>
        <w:spacing w:line="360" w:lineRule="auto"/>
        <w:ind w:firstLine="482"/>
        <w:jc w:val="center"/>
        <w:outlineLvl w:val="2"/>
        <w:rPr>
          <w:rFonts w:hint="eastAsia" w:ascii="宋体" w:hAnsi="宋体" w:cs="宋体"/>
          <w:b/>
          <w:bCs/>
          <w:sz w:val="24"/>
          <w:szCs w:val="24"/>
          <w:highlight w:val="none"/>
        </w:rPr>
      </w:pPr>
      <w:r>
        <w:rPr>
          <w:rFonts w:hint="eastAsia" w:ascii="宋体" w:hAnsi="宋体" w:cs="宋体"/>
          <w:b/>
          <w:bCs/>
          <w:sz w:val="24"/>
          <w:szCs w:val="24"/>
          <w:highlight w:val="none"/>
        </w:rPr>
        <w:t>监狱和戒毒企业证明材料</w:t>
      </w:r>
    </w:p>
    <w:p w14:paraId="79D477CC">
      <w:pPr>
        <w:snapToGrid w:val="0"/>
        <w:spacing w:line="420" w:lineRule="exact"/>
        <w:ind w:firstLine="495" w:firstLineChars="177"/>
        <w:rPr>
          <w:rFonts w:hint="eastAsia" w:ascii="宋体" w:hAnsi="宋体" w:cs="宋体"/>
          <w:sz w:val="28"/>
          <w:szCs w:val="28"/>
          <w:highlight w:val="none"/>
        </w:rPr>
      </w:pPr>
    </w:p>
    <w:p w14:paraId="413D3358">
      <w:pPr>
        <w:snapToGrid w:val="0"/>
        <w:spacing w:line="420" w:lineRule="exact"/>
        <w:ind w:firstLine="426" w:firstLineChars="177"/>
        <w:rPr>
          <w:rFonts w:hint="eastAsia" w:ascii="宋体" w:hAnsi="宋体" w:cs="宋体"/>
          <w:b/>
          <w:sz w:val="24"/>
          <w:szCs w:val="24"/>
          <w:highlight w:val="none"/>
        </w:rPr>
      </w:pPr>
      <w:r>
        <w:rPr>
          <w:rFonts w:hint="eastAsia" w:ascii="宋体" w:hAnsi="宋体" w:cs="宋体"/>
          <w:b/>
          <w:sz w:val="24"/>
          <w:szCs w:val="24"/>
          <w:highlight w:val="none"/>
        </w:rPr>
        <w:t>（格式自拟）</w:t>
      </w:r>
    </w:p>
    <w:p w14:paraId="2B459F15">
      <w:pPr>
        <w:snapToGrid w:val="0"/>
        <w:spacing w:line="420" w:lineRule="exact"/>
        <w:ind w:firstLine="424" w:firstLineChars="177"/>
        <w:rPr>
          <w:rFonts w:hint="eastAsia" w:ascii="宋体" w:hAnsi="宋体" w:cs="宋体"/>
          <w:sz w:val="24"/>
          <w:szCs w:val="24"/>
          <w:highlight w:val="none"/>
        </w:rPr>
      </w:pPr>
    </w:p>
    <w:p w14:paraId="467BE49C">
      <w:pPr>
        <w:snapToGrid w:val="0"/>
        <w:spacing w:line="420" w:lineRule="exact"/>
        <w:ind w:firstLine="566" w:firstLineChars="236"/>
        <w:rPr>
          <w:rFonts w:hint="eastAsia" w:ascii="宋体" w:hAnsi="宋体" w:cs="宋体"/>
          <w:sz w:val="24"/>
          <w:szCs w:val="24"/>
          <w:highlight w:val="none"/>
        </w:rPr>
      </w:pPr>
      <w:r>
        <w:rPr>
          <w:rFonts w:hint="eastAsia" w:ascii="宋体" w:hAnsi="宋体" w:cs="宋体"/>
          <w:sz w:val="24"/>
          <w:szCs w:val="24"/>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273B7B61">
      <w:pPr>
        <w:snapToGrid w:val="0"/>
        <w:spacing w:line="300" w:lineRule="auto"/>
        <w:rPr>
          <w:rFonts w:hint="eastAsia" w:ascii="宋体" w:hAnsi="宋体"/>
          <w:sz w:val="24"/>
          <w:szCs w:val="24"/>
          <w:highlight w:val="none"/>
        </w:rPr>
      </w:pPr>
    </w:p>
    <w:p w14:paraId="6D43C399">
      <w:pPr>
        <w:rPr>
          <w:rFonts w:hint="eastAsia" w:ascii="宋体" w:hAnsi="宋体"/>
          <w:sz w:val="24"/>
          <w:szCs w:val="24"/>
          <w:highlight w:val="none"/>
        </w:rPr>
      </w:pPr>
    </w:p>
    <w:p w14:paraId="46CCBE31">
      <w:pPr>
        <w:rPr>
          <w:rFonts w:hint="eastAsia" w:ascii="宋体" w:hAnsi="宋体"/>
          <w:sz w:val="24"/>
          <w:szCs w:val="24"/>
          <w:highlight w:val="none"/>
        </w:rPr>
      </w:pPr>
    </w:p>
    <w:p w14:paraId="3F3A057C">
      <w:pPr>
        <w:rPr>
          <w:rFonts w:hint="eastAsia" w:ascii="宋体" w:hAnsi="宋体"/>
          <w:sz w:val="24"/>
          <w:szCs w:val="24"/>
          <w:highlight w:val="none"/>
        </w:rPr>
      </w:pPr>
    </w:p>
    <w:p w14:paraId="02E492AF">
      <w:pPr>
        <w:rPr>
          <w:rFonts w:hint="eastAsia" w:ascii="宋体" w:hAnsi="宋体"/>
          <w:sz w:val="24"/>
          <w:szCs w:val="24"/>
          <w:highlight w:val="none"/>
        </w:rPr>
      </w:pPr>
    </w:p>
    <w:p w14:paraId="0158EFEF">
      <w:pPr>
        <w:rPr>
          <w:rFonts w:hint="eastAsia" w:ascii="宋体" w:hAnsi="宋体"/>
          <w:sz w:val="24"/>
          <w:szCs w:val="24"/>
          <w:highlight w:val="none"/>
        </w:rPr>
      </w:pPr>
    </w:p>
    <w:p w14:paraId="574EA9E5">
      <w:pPr>
        <w:rPr>
          <w:rFonts w:hint="eastAsia" w:ascii="宋体" w:hAnsi="宋体"/>
          <w:szCs w:val="21"/>
          <w:highlight w:val="none"/>
        </w:rPr>
      </w:pPr>
      <w:r>
        <w:rPr>
          <w:rFonts w:hint="eastAsia" w:ascii="宋体" w:hAnsi="宋体"/>
          <w:szCs w:val="21"/>
          <w:highlight w:val="none"/>
        </w:rPr>
        <w:t>注：</w:t>
      </w:r>
      <w:r>
        <w:rPr>
          <w:rFonts w:hint="eastAsia" w:ascii="宋体" w:hAnsi="宋体" w:cs="宋体"/>
          <w:szCs w:val="21"/>
          <w:highlight w:val="none"/>
        </w:rPr>
        <w:t>中标</w:t>
      </w:r>
      <w:r>
        <w:rPr>
          <w:rFonts w:hint="eastAsia" w:ascii="宋体" w:hAnsi="宋体"/>
          <w:szCs w:val="21"/>
          <w:highlight w:val="none"/>
        </w:rPr>
        <w:t>供应商为监狱企业的，此声明函将随</w:t>
      </w:r>
      <w:r>
        <w:rPr>
          <w:rFonts w:hint="eastAsia" w:ascii="宋体" w:hAnsi="宋体" w:cs="宋体"/>
          <w:szCs w:val="21"/>
          <w:highlight w:val="none"/>
        </w:rPr>
        <w:t>成交</w:t>
      </w:r>
      <w:r>
        <w:rPr>
          <w:rFonts w:hint="eastAsia" w:ascii="宋体" w:hAnsi="宋体"/>
          <w:szCs w:val="21"/>
          <w:highlight w:val="none"/>
        </w:rPr>
        <w:t>结果同时公告，接受社会监督。供应商按照本办法规定提供声明函内容不实的，属于提供虚假材料谋取中标、成交，依照《中华人民共和国政府采购法》等国家有关规定追究相应责任。</w:t>
      </w:r>
    </w:p>
    <w:p w14:paraId="5EDAB4E0">
      <w:pPr>
        <w:spacing w:line="360" w:lineRule="auto"/>
        <w:rPr>
          <w:szCs w:val="21"/>
          <w:highlight w:val="none"/>
        </w:rPr>
      </w:pPr>
    </w:p>
    <w:p w14:paraId="63D0B1E7">
      <w:pPr>
        <w:rPr>
          <w:color w:val="000000"/>
          <w:sz w:val="24"/>
          <w:szCs w:val="24"/>
          <w:highlight w:val="none"/>
        </w:rPr>
      </w:pPr>
    </w:p>
    <w:p w14:paraId="4AF70DC4">
      <w:pPr>
        <w:rPr>
          <w:rFonts w:hint="eastAsia" w:ascii="宋体" w:hAnsi="宋体" w:cs="宋体"/>
          <w:b/>
          <w:sz w:val="24"/>
          <w:szCs w:val="24"/>
          <w:highlight w:val="none"/>
        </w:rPr>
      </w:pPr>
      <w:r>
        <w:rPr>
          <w:rFonts w:hint="eastAsia" w:ascii="宋体" w:hAnsi="宋体" w:cs="宋体"/>
          <w:b/>
          <w:sz w:val="24"/>
          <w:szCs w:val="24"/>
          <w:highlight w:val="none"/>
        </w:rPr>
        <w:br w:type="page"/>
      </w:r>
    </w:p>
    <w:p w14:paraId="2B372D80">
      <w:pPr>
        <w:spacing w:after="0" w:line="360" w:lineRule="auto"/>
        <w:rPr>
          <w:rFonts w:hint="eastAsia" w:ascii="宋体" w:hAnsi="宋体" w:cs="宋体"/>
          <w:bCs/>
          <w:sz w:val="24"/>
          <w:szCs w:val="24"/>
          <w:highlight w:val="none"/>
        </w:rPr>
        <w:sectPr>
          <w:pgSz w:w="11906" w:h="16838"/>
          <w:pgMar w:top="1418" w:right="1021" w:bottom="1418" w:left="1021" w:header="567" w:footer="567" w:gutter="0"/>
          <w:cols w:space="720" w:num="1"/>
          <w:titlePg/>
          <w:docGrid w:linePitch="360" w:charSpace="0"/>
        </w:sectPr>
      </w:pPr>
    </w:p>
    <w:p w14:paraId="365EC03B">
      <w:pPr>
        <w:spacing w:after="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附件12 </w:t>
      </w:r>
    </w:p>
    <w:p w14:paraId="6C0172B2">
      <w:pPr>
        <w:tabs>
          <w:tab w:val="left" w:pos="4860"/>
        </w:tabs>
        <w:spacing w:after="0" w:line="360" w:lineRule="auto"/>
        <w:ind w:right="1559" w:firstLine="560"/>
        <w:jc w:val="right"/>
        <w:rPr>
          <w:rFonts w:hint="eastAsia" w:ascii="宋体" w:hAnsi="宋体" w:cs="宋体"/>
          <w:sz w:val="24"/>
          <w:szCs w:val="24"/>
          <w:highlight w:val="none"/>
        </w:rPr>
      </w:pPr>
    </w:p>
    <w:p w14:paraId="0E99F9A6">
      <w:pPr>
        <w:spacing w:line="360" w:lineRule="auto"/>
        <w:ind w:firstLine="482"/>
        <w:jc w:val="center"/>
        <w:outlineLvl w:val="2"/>
        <w:rPr>
          <w:rFonts w:hint="eastAsia" w:ascii="宋体" w:hAnsi="宋体" w:cs="宋体"/>
          <w:sz w:val="24"/>
          <w:szCs w:val="24"/>
          <w:highlight w:val="none"/>
        </w:rPr>
      </w:pPr>
      <w:r>
        <w:rPr>
          <w:rFonts w:hint="eastAsia" w:ascii="宋体" w:hAnsi="宋体" w:cs="宋体"/>
          <w:b/>
          <w:sz w:val="24"/>
          <w:szCs w:val="24"/>
          <w:highlight w:val="none"/>
        </w:rPr>
        <w:t>关于符合本国产品标准的声明函</w:t>
      </w:r>
    </w:p>
    <w:p w14:paraId="2E3FA862">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0"/>
      </w:pPr>
      <w:r>
        <w:rPr>
          <w:rFonts w:hint="eastAsia" w:ascii="宋体" w:hAnsi="宋体" w:eastAsia="宋体" w:cs="宋体"/>
          <w:color w:val="000000"/>
          <w:sz w:val="24"/>
          <w:szCs w:val="24"/>
        </w:rPr>
        <w:t>公司（单位）郑重声明，根据《国务院办公厅关于在政府采购中实施本国产品标准及相关政策的通知》（国办发〔2025〕34号）的规定，本公司（单位）提供的以下产品属于本国产品。具体情况如下：</w:t>
      </w:r>
    </w:p>
    <w:p w14:paraId="12D8992E">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7C99C410">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61C4ABAF">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w:t>
      </w:r>
    </w:p>
    <w:p w14:paraId="5DCBD750">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本公司（单位）对上述声明内容的真实性负责。如有虚假，愿承担相应法律责任。</w:t>
      </w:r>
    </w:p>
    <w:p w14:paraId="30FCA2E8">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48B6412E">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pPr>
      <w:r>
        <w:rPr>
          <w:rFonts w:hint="eastAsia" w:ascii="宋体" w:hAnsi="宋体" w:eastAsia="宋体" w:cs="宋体"/>
          <w:color w:val="000000"/>
          <w:sz w:val="24"/>
          <w:szCs w:val="24"/>
          <w:shd w:val="clear" w:fill="FFFFFF"/>
        </w:rPr>
        <w:t xml:space="preserve">   公司（单位）名称（加盖CA电子公章）：         </w:t>
      </w:r>
    </w:p>
    <w:p w14:paraId="79BC70AD">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pPr>
      <w:r>
        <w:rPr>
          <w:rFonts w:hint="eastAsia" w:ascii="宋体" w:hAnsi="宋体" w:eastAsia="宋体" w:cs="宋体"/>
          <w:color w:val="000000"/>
          <w:sz w:val="24"/>
          <w:szCs w:val="24"/>
          <w:shd w:val="clear" w:fill="FFFFFF"/>
        </w:rPr>
        <w:t xml:space="preserve">           日期：      年   月   日         </w:t>
      </w:r>
    </w:p>
    <w:p w14:paraId="3766BD00">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0D4B819E">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56F48E4C">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rFonts w:hint="eastAsia" w:ascii="宋体" w:hAnsi="宋体" w:eastAsia="宋体" w:cs="宋体"/>
          <w:color w:val="000000"/>
          <w:sz w:val="24"/>
          <w:szCs w:val="24"/>
          <w:shd w:val="clear" w:fill="FFFFFF"/>
        </w:rPr>
        <w:t>_________________</w:t>
      </w:r>
    </w:p>
    <w:p w14:paraId="05DDB83A">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1.产品如有型号，请在“产品名称”栏一并填写。</w:t>
      </w:r>
    </w:p>
    <w:p w14:paraId="12E756B8">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2.生产厂名与厂址应与生产厂营业执照载明的相关信息保持一致。</w:t>
      </w:r>
    </w:p>
    <w:p w14:paraId="7657CB20">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41C14021">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4.该产品的关键组件要求实施前，“关键组件”栏可不填，下同。</w:t>
      </w:r>
    </w:p>
    <w:p w14:paraId="4EC2B076">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5.该产品的关键工序要求实施前，“关键工序”栏可不填，下同。</w:t>
      </w:r>
    </w:p>
    <w:p w14:paraId="574531D8">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p w14:paraId="07FACB21">
      <w:pPr>
        <w:jc w:val="center"/>
        <w:rPr>
          <w:rFonts w:hint="eastAsia" w:ascii="宋体" w:hAnsi="宋体" w:cs="宋体"/>
          <w:b/>
          <w:bCs/>
          <w:sz w:val="24"/>
          <w:szCs w:val="24"/>
          <w:highlight w:val="none"/>
        </w:rPr>
      </w:pPr>
      <w:r>
        <w:rPr>
          <w:rFonts w:hint="eastAsia" w:ascii="宋体" w:hAnsi="宋体" w:cs="宋体"/>
          <w:b/>
          <w:sz w:val="24"/>
          <w:szCs w:val="24"/>
          <w:highlight w:val="none"/>
        </w:rPr>
        <w:br w:type="page"/>
      </w:r>
      <w:r>
        <w:rPr>
          <w:rFonts w:hint="eastAsia" w:ascii="宋体" w:hAnsi="宋体" w:cs="宋体"/>
          <w:b/>
          <w:bCs/>
          <w:sz w:val="24"/>
          <w:szCs w:val="24"/>
          <w:highlight w:val="none"/>
        </w:rPr>
        <w:t>质疑函范本</w:t>
      </w:r>
    </w:p>
    <w:p w14:paraId="3B4F7181">
      <w:pPr>
        <w:spacing w:after="0" w:line="360" w:lineRule="auto"/>
        <w:rPr>
          <w:rFonts w:hint="eastAsia" w:ascii="宋体" w:hAnsi="宋体" w:cs="宋体"/>
          <w:bCs/>
          <w:sz w:val="24"/>
          <w:szCs w:val="24"/>
          <w:highlight w:val="none"/>
        </w:rPr>
      </w:pPr>
      <w:r>
        <w:rPr>
          <w:rFonts w:hint="eastAsia" w:ascii="宋体" w:hAnsi="宋体" w:cs="宋体"/>
          <w:bCs/>
          <w:sz w:val="24"/>
          <w:szCs w:val="24"/>
          <w:highlight w:val="none"/>
        </w:rPr>
        <w:t>一、质疑供应商基本信息</w:t>
      </w:r>
    </w:p>
    <w:p w14:paraId="71C22466">
      <w:pPr>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rPr>
        <w:t>质疑供应商：</w:t>
      </w:r>
      <w:r>
        <w:rPr>
          <w:rFonts w:hint="eastAsia" w:ascii="宋体" w:hAnsi="宋体" w:cs="宋体"/>
          <w:sz w:val="24"/>
          <w:szCs w:val="24"/>
          <w:highlight w:val="none"/>
          <w:u w:val="single"/>
        </w:rPr>
        <w:t xml:space="preserve">                                                       </w:t>
      </w:r>
    </w:p>
    <w:p w14:paraId="3FFB4248">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邮编：</w:t>
      </w:r>
      <w:r>
        <w:rPr>
          <w:rFonts w:hint="eastAsia" w:ascii="宋体" w:hAnsi="宋体" w:cs="宋体"/>
          <w:sz w:val="24"/>
          <w:szCs w:val="24"/>
          <w:highlight w:val="none"/>
          <w:u w:val="single"/>
        </w:rPr>
        <w:t xml:space="preserve">                          </w:t>
      </w:r>
    </w:p>
    <w:p w14:paraId="252AAD48">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联系人：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single"/>
        </w:rPr>
        <w:t xml:space="preserve">                           </w:t>
      </w:r>
    </w:p>
    <w:p w14:paraId="714676EC">
      <w:pPr>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rPr>
        <w:t>授权代表：</w:t>
      </w:r>
      <w:r>
        <w:rPr>
          <w:rFonts w:hint="eastAsia" w:ascii="宋体" w:hAnsi="宋体" w:cs="宋体"/>
          <w:sz w:val="24"/>
          <w:szCs w:val="24"/>
          <w:highlight w:val="none"/>
          <w:u w:val="single"/>
        </w:rPr>
        <w:t xml:space="preserve">                                                         </w:t>
      </w:r>
    </w:p>
    <w:p w14:paraId="374D3EC9">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xml:space="preserve">                                                         </w:t>
      </w:r>
    </w:p>
    <w:p w14:paraId="296E7306">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u w:val="single"/>
        </w:rPr>
        <w:t xml:space="preserve">                        </w:t>
      </w:r>
      <w:r>
        <w:rPr>
          <w:rFonts w:hint="eastAsia" w:ascii="宋体" w:hAnsi="宋体" w:cs="宋体"/>
          <w:sz w:val="24"/>
          <w:szCs w:val="24"/>
          <w:highlight w:val="none"/>
        </w:rPr>
        <w:t>邮编：</w:t>
      </w:r>
      <w:r>
        <w:rPr>
          <w:rFonts w:hint="eastAsia" w:ascii="宋体" w:hAnsi="宋体" w:cs="宋体"/>
          <w:sz w:val="24"/>
          <w:szCs w:val="24"/>
          <w:highlight w:val="none"/>
          <w:u w:val="single"/>
        </w:rPr>
        <w:t xml:space="preserve">                              </w:t>
      </w:r>
    </w:p>
    <w:p w14:paraId="0D3F6408">
      <w:pPr>
        <w:spacing w:after="0" w:line="360" w:lineRule="auto"/>
        <w:rPr>
          <w:rFonts w:hint="eastAsia" w:ascii="宋体" w:hAnsi="宋体" w:cs="宋体"/>
          <w:bCs/>
          <w:sz w:val="24"/>
          <w:szCs w:val="24"/>
          <w:highlight w:val="none"/>
        </w:rPr>
      </w:pPr>
      <w:r>
        <w:rPr>
          <w:rFonts w:hint="eastAsia" w:ascii="宋体" w:hAnsi="宋体" w:cs="宋体"/>
          <w:bCs/>
          <w:sz w:val="24"/>
          <w:szCs w:val="24"/>
          <w:highlight w:val="none"/>
        </w:rPr>
        <w:t>二、质疑项目基本情况</w:t>
      </w:r>
    </w:p>
    <w:p w14:paraId="53ED38E2">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质疑项目的名称：</w:t>
      </w:r>
      <w:r>
        <w:rPr>
          <w:rFonts w:hint="eastAsia" w:ascii="宋体" w:hAnsi="宋体" w:cs="宋体"/>
          <w:sz w:val="24"/>
          <w:szCs w:val="24"/>
          <w:highlight w:val="none"/>
          <w:u w:val="single"/>
        </w:rPr>
        <w:t xml:space="preserve">                                                   </w:t>
      </w:r>
    </w:p>
    <w:p w14:paraId="4EAC15DC">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质疑项目的编号：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包号：</w:t>
      </w:r>
      <w:r>
        <w:rPr>
          <w:rFonts w:hint="eastAsia" w:ascii="宋体" w:hAnsi="宋体" w:cs="宋体"/>
          <w:sz w:val="24"/>
          <w:szCs w:val="24"/>
          <w:highlight w:val="none"/>
          <w:u w:val="single"/>
        </w:rPr>
        <w:t xml:space="preserve">                    </w:t>
      </w:r>
    </w:p>
    <w:p w14:paraId="3ACF7802">
      <w:pPr>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rPr>
        <w:t>采购人名称：</w:t>
      </w:r>
      <w:r>
        <w:rPr>
          <w:rFonts w:hint="eastAsia" w:ascii="宋体" w:hAnsi="宋体" w:cs="宋体"/>
          <w:sz w:val="24"/>
          <w:szCs w:val="24"/>
          <w:highlight w:val="none"/>
          <w:u w:val="single"/>
        </w:rPr>
        <w:t xml:space="preserve">                                                       </w:t>
      </w:r>
    </w:p>
    <w:p w14:paraId="443BAB75">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采购文件获取日期：</w:t>
      </w:r>
      <w:r>
        <w:rPr>
          <w:rFonts w:hint="eastAsia" w:ascii="宋体" w:hAnsi="宋体" w:cs="宋体"/>
          <w:sz w:val="24"/>
          <w:szCs w:val="24"/>
          <w:highlight w:val="none"/>
          <w:u w:val="single"/>
        </w:rPr>
        <w:t xml:space="preserve">                                                 </w:t>
      </w:r>
    </w:p>
    <w:p w14:paraId="402D9353">
      <w:pPr>
        <w:spacing w:after="0" w:line="360" w:lineRule="auto"/>
        <w:rPr>
          <w:rFonts w:hint="eastAsia" w:ascii="宋体" w:hAnsi="宋体" w:cs="宋体"/>
          <w:bCs/>
          <w:sz w:val="24"/>
          <w:szCs w:val="24"/>
          <w:highlight w:val="none"/>
        </w:rPr>
      </w:pPr>
      <w:r>
        <w:rPr>
          <w:rFonts w:hint="eastAsia" w:ascii="宋体" w:hAnsi="宋体" w:cs="宋体"/>
          <w:bCs/>
          <w:sz w:val="24"/>
          <w:szCs w:val="24"/>
          <w:highlight w:val="none"/>
        </w:rPr>
        <w:t>三、质疑事项具体内容</w:t>
      </w:r>
    </w:p>
    <w:p w14:paraId="2F79BF9B">
      <w:pPr>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rPr>
        <w:t>质疑事项1：</w:t>
      </w:r>
      <w:r>
        <w:rPr>
          <w:rFonts w:hint="eastAsia" w:ascii="宋体" w:hAnsi="宋体" w:cs="宋体"/>
          <w:sz w:val="24"/>
          <w:szCs w:val="24"/>
          <w:highlight w:val="none"/>
          <w:u w:val="single"/>
        </w:rPr>
        <w:t xml:space="preserve">                                                       </w:t>
      </w:r>
    </w:p>
    <w:p w14:paraId="6CB858B9">
      <w:pPr>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rPr>
        <w:t>事实依据：</w:t>
      </w:r>
      <w:r>
        <w:rPr>
          <w:rFonts w:hint="eastAsia" w:ascii="宋体" w:hAnsi="宋体" w:cs="宋体"/>
          <w:sz w:val="24"/>
          <w:szCs w:val="24"/>
          <w:highlight w:val="none"/>
          <w:u w:val="single"/>
        </w:rPr>
        <w:t xml:space="preserve">                                                         </w:t>
      </w:r>
    </w:p>
    <w:p w14:paraId="7730B2FB">
      <w:pPr>
        <w:spacing w:after="0"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                                                                   </w:t>
      </w:r>
    </w:p>
    <w:p w14:paraId="224F381A">
      <w:pPr>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rPr>
        <w:t>法律依据：</w:t>
      </w:r>
      <w:r>
        <w:rPr>
          <w:rFonts w:hint="eastAsia" w:ascii="宋体" w:hAnsi="宋体" w:cs="宋体"/>
          <w:sz w:val="24"/>
          <w:szCs w:val="24"/>
          <w:highlight w:val="none"/>
          <w:u w:val="single"/>
        </w:rPr>
        <w:t xml:space="preserve">                                                         </w:t>
      </w:r>
    </w:p>
    <w:p w14:paraId="54280D18">
      <w:pPr>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p>
    <w:p w14:paraId="1F8B2EC8">
      <w:pPr>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rPr>
        <w:t>质疑事项2</w:t>
      </w:r>
    </w:p>
    <w:p w14:paraId="398E7910">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w:t>
      </w:r>
    </w:p>
    <w:p w14:paraId="29C71C74">
      <w:pPr>
        <w:spacing w:after="0" w:line="360" w:lineRule="auto"/>
        <w:rPr>
          <w:rFonts w:hint="eastAsia" w:ascii="宋体" w:hAnsi="宋体" w:cs="宋体"/>
          <w:bCs/>
          <w:sz w:val="24"/>
          <w:szCs w:val="24"/>
          <w:highlight w:val="none"/>
        </w:rPr>
      </w:pPr>
      <w:r>
        <w:rPr>
          <w:rFonts w:hint="eastAsia" w:ascii="宋体" w:hAnsi="宋体" w:cs="宋体"/>
          <w:bCs/>
          <w:sz w:val="24"/>
          <w:szCs w:val="24"/>
          <w:highlight w:val="none"/>
        </w:rPr>
        <w:t>四、与质疑事项相关的质疑请求</w:t>
      </w:r>
    </w:p>
    <w:p w14:paraId="569B461C">
      <w:pPr>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rPr>
        <w:t>请求：</w:t>
      </w:r>
      <w:r>
        <w:rPr>
          <w:rFonts w:hint="eastAsia" w:ascii="宋体" w:hAnsi="宋体" w:cs="宋体"/>
          <w:sz w:val="24"/>
          <w:szCs w:val="24"/>
          <w:highlight w:val="none"/>
          <w:u w:val="single"/>
        </w:rPr>
        <w:t xml:space="preserve">                                                             </w:t>
      </w:r>
    </w:p>
    <w:p w14:paraId="1DDD9450">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签字（签章）：                   公章：                      </w:t>
      </w:r>
    </w:p>
    <w:p w14:paraId="588F895E">
      <w:pPr>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w:t>
      </w:r>
    </w:p>
    <w:p w14:paraId="1595BFDB">
      <w:pPr>
        <w:spacing w:after="0" w:line="360" w:lineRule="auto"/>
        <w:rPr>
          <w:rFonts w:hint="eastAsia" w:ascii="宋体" w:hAnsi="宋体" w:cs="宋体"/>
          <w:b/>
          <w:sz w:val="24"/>
          <w:szCs w:val="24"/>
          <w:highlight w:val="none"/>
        </w:rPr>
      </w:pPr>
      <w:r>
        <w:rPr>
          <w:rFonts w:hint="eastAsia" w:ascii="宋体" w:hAnsi="宋体" w:cs="宋体"/>
          <w:b/>
          <w:sz w:val="24"/>
          <w:szCs w:val="24"/>
          <w:highlight w:val="none"/>
        </w:rPr>
        <w:t>质疑函制作说明：</w:t>
      </w:r>
    </w:p>
    <w:p w14:paraId="2CEDECD5">
      <w:pPr>
        <w:widowControl/>
        <w:spacing w:after="0" w:line="360" w:lineRule="auto"/>
        <w:ind w:firstLine="561"/>
        <w:jc w:val="left"/>
        <w:rPr>
          <w:rFonts w:hint="eastAsia" w:ascii="宋体" w:hAnsi="宋体" w:cs="宋体"/>
          <w:sz w:val="24"/>
          <w:szCs w:val="24"/>
          <w:highlight w:val="none"/>
        </w:rPr>
      </w:pPr>
      <w:r>
        <w:rPr>
          <w:rFonts w:hint="eastAsia" w:ascii="宋体" w:hAnsi="宋体" w:cs="宋体"/>
          <w:sz w:val="24"/>
          <w:szCs w:val="24"/>
          <w:highlight w:val="none"/>
        </w:rPr>
        <w:t>1.供应商提出质疑时，应提交质疑函和必要的证明材料。</w:t>
      </w:r>
    </w:p>
    <w:p w14:paraId="3EA36AAA">
      <w:pPr>
        <w:widowControl/>
        <w:spacing w:after="0" w:line="360" w:lineRule="auto"/>
        <w:ind w:firstLine="561"/>
        <w:jc w:val="left"/>
        <w:rPr>
          <w:rFonts w:hint="eastAsia" w:ascii="宋体" w:hAnsi="宋体" w:cs="宋体"/>
          <w:sz w:val="24"/>
          <w:szCs w:val="24"/>
          <w:highlight w:val="none"/>
        </w:rPr>
      </w:pPr>
      <w:r>
        <w:rPr>
          <w:rFonts w:hint="eastAsia" w:ascii="宋体" w:hAnsi="宋体" w:cs="宋体"/>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E3FD9F2">
      <w:pPr>
        <w:widowControl/>
        <w:spacing w:after="0" w:line="360" w:lineRule="auto"/>
        <w:ind w:firstLine="561"/>
        <w:jc w:val="left"/>
        <w:rPr>
          <w:rFonts w:hint="eastAsia" w:ascii="宋体" w:hAnsi="宋体" w:cs="宋体"/>
          <w:sz w:val="24"/>
          <w:szCs w:val="24"/>
          <w:highlight w:val="none"/>
        </w:rPr>
      </w:pPr>
      <w:r>
        <w:rPr>
          <w:rFonts w:hint="eastAsia" w:ascii="宋体" w:hAnsi="宋体" w:cs="宋体"/>
          <w:sz w:val="24"/>
          <w:szCs w:val="24"/>
          <w:highlight w:val="none"/>
        </w:rPr>
        <w:t>3.质疑供应商若对项目的某一分包进行质疑，质疑函中应列明具体分包号。</w:t>
      </w:r>
    </w:p>
    <w:p w14:paraId="1298D8C2">
      <w:pPr>
        <w:widowControl/>
        <w:spacing w:after="0" w:line="360" w:lineRule="auto"/>
        <w:ind w:firstLine="561"/>
        <w:jc w:val="left"/>
        <w:rPr>
          <w:rFonts w:hint="eastAsia" w:ascii="宋体" w:hAnsi="宋体" w:cs="宋体"/>
          <w:sz w:val="24"/>
          <w:szCs w:val="24"/>
          <w:highlight w:val="none"/>
        </w:rPr>
      </w:pPr>
      <w:r>
        <w:rPr>
          <w:rFonts w:hint="eastAsia" w:ascii="宋体" w:hAnsi="宋体" w:cs="宋体"/>
          <w:sz w:val="24"/>
          <w:szCs w:val="24"/>
          <w:highlight w:val="none"/>
        </w:rPr>
        <w:t>4.质疑函的质疑事项应具体、明确，并有必要的事实依据和法律依据。</w:t>
      </w:r>
    </w:p>
    <w:p w14:paraId="0CC034AA">
      <w:pPr>
        <w:widowControl/>
        <w:spacing w:after="0" w:line="360" w:lineRule="auto"/>
        <w:ind w:firstLine="561"/>
        <w:jc w:val="left"/>
        <w:rPr>
          <w:rFonts w:hint="eastAsia" w:ascii="宋体" w:hAnsi="宋体" w:cs="宋体"/>
          <w:sz w:val="24"/>
          <w:szCs w:val="24"/>
          <w:highlight w:val="none"/>
        </w:rPr>
      </w:pPr>
      <w:r>
        <w:rPr>
          <w:rFonts w:hint="eastAsia" w:ascii="宋体" w:hAnsi="宋体" w:cs="宋体"/>
          <w:sz w:val="24"/>
          <w:szCs w:val="24"/>
          <w:highlight w:val="none"/>
        </w:rPr>
        <w:t>5.质疑函的质疑请求应与质疑事项相关。</w:t>
      </w:r>
    </w:p>
    <w:p w14:paraId="44B11B59">
      <w:pPr>
        <w:widowControl/>
        <w:spacing w:after="0" w:line="360" w:lineRule="auto"/>
        <w:ind w:firstLine="561"/>
        <w:jc w:val="left"/>
        <w:rPr>
          <w:rFonts w:hint="eastAsia" w:ascii="宋体" w:hAnsi="宋体" w:cs="宋体"/>
          <w:sz w:val="24"/>
          <w:szCs w:val="24"/>
          <w:highlight w:val="none"/>
        </w:rPr>
      </w:pPr>
      <w:r>
        <w:rPr>
          <w:rFonts w:hint="eastAsia" w:ascii="宋体" w:hAnsi="宋体" w:cs="宋体"/>
          <w:sz w:val="24"/>
          <w:szCs w:val="24"/>
          <w:highlight w:val="none"/>
        </w:rPr>
        <w:t>6.质疑供应商为自然人的，质疑函应由本人签字；质疑供应商为法人或者其他组织的，质疑函应由法定代表人、主要负责人，或者其授权代表签字或者盖章，并加盖公章。</w:t>
      </w:r>
    </w:p>
    <w:p w14:paraId="59730B02">
      <w:pPr>
        <w:widowControl/>
        <w:spacing w:after="0" w:line="360" w:lineRule="auto"/>
        <w:ind w:firstLine="561"/>
        <w:jc w:val="left"/>
        <w:rPr>
          <w:rFonts w:hint="eastAsia" w:ascii="宋体" w:hAnsi="宋体" w:cs="宋体"/>
          <w:sz w:val="24"/>
          <w:szCs w:val="24"/>
          <w:highlight w:val="none"/>
        </w:rPr>
      </w:pPr>
    </w:p>
    <w:p w14:paraId="29B7554D">
      <w:pPr>
        <w:spacing w:after="0" w:line="360" w:lineRule="auto"/>
        <w:rPr>
          <w:rFonts w:hint="eastAsia" w:ascii="宋体" w:hAnsi="宋体" w:cs="宋体"/>
          <w:sz w:val="24"/>
          <w:szCs w:val="24"/>
          <w:highlight w:val="none"/>
        </w:rPr>
      </w:pPr>
    </w:p>
    <w:sectPr>
      <w:footerReference r:id="rId10" w:type="first"/>
      <w:headerReference r:id="rId8" w:type="default"/>
      <w:footerReference r:id="rId9" w:type="default"/>
      <w:pgSz w:w="11906" w:h="16838"/>
      <w:pgMar w:top="1418" w:right="1588" w:bottom="1418" w:left="1365" w:header="851" w:footer="90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8913AB1-9F54-4293-9CAF-A1F80E445AB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Mincho">
    <w:altName w:val="MS UI Gothic"/>
    <w:panose1 w:val="02020609040205080304"/>
    <w:charset w:val="80"/>
    <w:family w:val="modern"/>
    <w:pitch w:val="default"/>
    <w:sig w:usb0="00000000" w:usb1="00000000" w:usb2="08000012" w:usb3="00000000" w:csb0="4002009F" w:csb1="DFD70000"/>
  </w:font>
  <w:font w:name="MS UI Gothic">
    <w:panose1 w:val="020B0600070205080204"/>
    <w:charset w:val="80"/>
    <w:family w:val="auto"/>
    <w:pitch w:val="default"/>
    <w:sig w:usb0="E00002FF" w:usb1="6AC7FDFB" w:usb2="08000012" w:usb3="00000000" w:csb0="4002009F" w:csb1="DFD7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embedRegular r:id="rId2" w:fontKey="{3BFE1A94-C8A1-4D9B-9EA0-E49000F8F4E7}"/>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panose1 w:val="02010600010101010101"/>
    <w:charset w:val="86"/>
    <w:family w:val="auto"/>
    <w:pitch w:val="default"/>
    <w:sig w:usb0="00000001" w:usb1="080E0000" w:usb2="00000000" w:usb3="00000000" w:csb0="00040000" w:csb1="00000000"/>
    <w:embedRegular r:id="rId3" w:fontKey="{5DC4444C-C520-4995-B49B-658FFAA3381C}"/>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FuturaA Bk BT">
    <w:altName w:val="Century Gothic"/>
    <w:panose1 w:val="00000000000000000000"/>
    <w:charset w:val="00"/>
    <w:family w:val="auto"/>
    <w:pitch w:val="default"/>
    <w:sig w:usb0="00000000" w:usb1="00000000" w:usb2="00000000" w:usb3="00000000" w:csb0="00000000" w:csb1="00000000"/>
  </w:font>
  <w:font w:name="Century Gothic">
    <w:panose1 w:val="020B0502020202020204"/>
    <w:charset w:val="00"/>
    <w:family w:val="auto"/>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embedRegular r:id="rId4" w:fontKey="{C967B545-0F41-4B27-95AE-792D1D37808D}"/>
  </w:font>
  <w:font w:name="方正仿宋_GBK">
    <w:altName w:val="微软雅黑"/>
    <w:panose1 w:val="00000000000000000000"/>
    <w:charset w:val="86"/>
    <w:family w:val="auto"/>
    <w:pitch w:val="default"/>
    <w:sig w:usb0="00000000" w:usb1="00000000" w:usb2="00000000" w:usb3="00000000" w:csb0="00040000" w:csb1="00000000"/>
    <w:embedRegular r:id="rId5" w:fontKey="{894CB162-E60E-4D95-BA1D-0A99CC9C786B}"/>
  </w:font>
  <w:font w:name="方正魏碑_GBK">
    <w:altName w:val="宋体"/>
    <w:panose1 w:val="00000000000000000000"/>
    <w:charset w:val="86"/>
    <w:family w:val="auto"/>
    <w:pitch w:val="default"/>
    <w:sig w:usb0="00000000" w:usb1="00000000" w:usb2="00082016" w:usb3="00000000" w:csb0="00040001" w:csb1="00000000"/>
    <w:embedRegular r:id="rId6" w:fontKey="{AE80AB02-A7C2-4070-9955-543A475CDC71}"/>
  </w:font>
  <w:font w:name="华文新魏">
    <w:panose1 w:val="02010800040101010101"/>
    <w:charset w:val="86"/>
    <w:family w:val="auto"/>
    <w:pitch w:val="default"/>
    <w:sig w:usb0="00000001" w:usb1="080F0000" w:usb2="00000000" w:usb3="00000000" w:csb0="00040000" w:csb1="00000000"/>
    <w:embedRegular r:id="rId7" w:fontKey="{EBA2A845-91E5-4181-84A3-CA9CBF7DEAE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embedRegular r:id="rId8" w:fontKey="{B1276918-722F-400C-871B-153E55BA25A9}"/>
  </w:font>
  <w:font w:name="Wingdings">
    <w:panose1 w:val="05000000000000000000"/>
    <w:charset w:val="00"/>
    <w:family w:val="auto"/>
    <w:pitch w:val="default"/>
    <w:sig w:usb0="00000000" w:usb1="00000000" w:usb2="00000000" w:usb3="00000000" w:csb0="80000000" w:csb1="00000000"/>
    <w:embedRegular r:id="rId9" w:fontKey="{F1C94B50-A77A-4973-8A19-637F862EE21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9867D">
    <w:pPr>
      <w:pStyle w:val="26"/>
      <w:tabs>
        <w:tab w:val="center" w:pos="4153"/>
        <w:tab w:val="clear" w:pos="714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D924A">
    <w:pPr>
      <w:pStyle w:val="26"/>
      <w:jc w:val="center"/>
    </w:pPr>
    <w:r>
      <w:rPr>
        <w:rFonts w:hint="eastAsia"/>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10F10">
    <w:pPr>
      <w:pStyle w:val="10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54330" cy="222250"/>
              <wp:effectExtent l="0" t="0" r="0" b="0"/>
              <wp:wrapNone/>
              <wp:docPr id="1" name="文本框 60"/>
              <wp:cNvGraphicFramePr/>
              <a:graphic xmlns:a="http://schemas.openxmlformats.org/drawingml/2006/main">
                <a:graphicData uri="http://schemas.microsoft.com/office/word/2010/wordprocessingShape">
                  <wps:wsp>
                    <wps:cNvSpPr txBox="1"/>
                    <wps:spPr bwMode="auto">
                      <a:xfrm>
                        <a:off x="0" y="0"/>
                        <a:ext cx="354330"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F7AFD1">
                          <w:pPr>
                            <w:pStyle w:val="26"/>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1</w:t>
                          </w:r>
                          <w:r>
                            <w:rPr>
                              <w:sz w:val="24"/>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60" o:spid="_x0000_s1026" o:spt="202" type="#_x0000_t202" style="position:absolute;left:0pt;margin-top:0pt;height:17.5pt;width:27.9pt;mso-position-horizontal:center;mso-position-horizontal-relative:margin;z-index:251661312;mso-width-relative:page;mso-height-relative:page;" filled="f" stroked="f" coordsize="21600,21600" o:gfxdata="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7ne+NIAAAADAQAADwAAAAAAAAABACAAAAAiAAAAZHJzL2Rvd25yZXYueG1s&#10;UEsBAhQAFAAAAAgAh07iQIUiP9A3AgAAZAQAAA4AAAAAAAAAAQAgAAAAIQEAAGRycy9lMm9Eb2Mu&#10;eG1sUEsFBgAAAAAGAAYAWQEAAMoFAAAAAA==&#10;">
              <v:fill on="f" focussize="0,0"/>
              <v:stroke on="f" weight="0.5pt"/>
              <v:imagedata o:title=""/>
              <o:lock v:ext="edit" aspectratio="f"/>
              <v:textbox inset="0mm,0mm,0mm,0mm">
                <w:txbxContent>
                  <w:p w14:paraId="7CF7AFD1">
                    <w:pPr>
                      <w:pStyle w:val="26"/>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1</w:t>
                    </w:r>
                    <w:r>
                      <w:rPr>
                        <w:sz w:val="24"/>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19204">
    <w:pPr>
      <w:pStyle w:val="286"/>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5590" cy="32639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75715" cy="326277"/>
                      </a:xfrm>
                      <a:prstGeom prst="rect">
                        <a:avLst/>
                      </a:prstGeom>
                      <a:noFill/>
                      <a:ln>
                        <a:noFill/>
                      </a:ln>
                    </wps:spPr>
                    <wps:txbx>
                      <w:txbxContent>
                        <w:p w14:paraId="2CF76201">
                          <w:pPr>
                            <w:pStyle w:val="286"/>
                            <w:tabs>
                              <w:tab w:val="clear" w:pos="4153"/>
                              <w:tab w:val="clear" w:pos="8306"/>
                            </w:tabs>
                            <w:rPr>
                              <w:rStyle w:val="309"/>
                              <w:sz w:val="21"/>
                              <w:szCs w:val="21"/>
                            </w:rPr>
                          </w:pPr>
                          <w:r>
                            <w:rPr>
                              <w:sz w:val="21"/>
                              <w:szCs w:val="21"/>
                            </w:rPr>
                            <w:fldChar w:fldCharType="begin"/>
                          </w:r>
                          <w:r>
                            <w:rPr>
                              <w:rStyle w:val="309"/>
                              <w:sz w:val="21"/>
                              <w:szCs w:val="21"/>
                            </w:rPr>
                            <w:instrText xml:space="preserve">PAGE  </w:instrText>
                          </w:r>
                          <w:r>
                            <w:rPr>
                              <w:sz w:val="21"/>
                              <w:szCs w:val="21"/>
                            </w:rPr>
                            <w:fldChar w:fldCharType="separate"/>
                          </w:r>
                          <w:r>
                            <w:rPr>
                              <w:rStyle w:val="309"/>
                              <w:sz w:val="21"/>
                              <w:szCs w:val="21"/>
                            </w:rPr>
                            <w:t>４８</w:t>
                          </w:r>
                          <w:r>
                            <w:rPr>
                              <w:sz w:val="21"/>
                              <w:szCs w:val="21"/>
                            </w:rPr>
                            <w:fldChar w:fldCharType="end"/>
                          </w:r>
                        </w:p>
                        <w:p w14:paraId="29778E97"/>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5.7pt;width:21.7pt;mso-position-horizontal:center;mso-position-horizontal-relative:margin;z-index:251659264;mso-width-relative:page;mso-height-relative:page;" filled="f" stroked="f" coordsize="21600,21600" o:gfxdata="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CQzwPUAAAAAwEAAA8AAAAAAAAAAQAg&#10;AAAAIgAAAGRycy9kb3ducmV2LnhtbFBLAQIUABQAAAAIAIdO4kDYgn982QEAAKcDAAAOAAAAAAAA&#10;AAEAIAAAACMBAABkcnMvZTJvRG9jLnhtbFBLBQYAAAAABgAGAFkBAABuBQAAAAA=&#10;">
              <v:fill on="f" focussize="0,0"/>
              <v:stroke on="f"/>
              <v:imagedata o:title=""/>
              <o:lock v:ext="edit" aspectratio="f"/>
              <v:textbox inset="0mm,0mm,0mm,0mm">
                <w:txbxContent>
                  <w:p w14:paraId="2CF76201">
                    <w:pPr>
                      <w:pStyle w:val="286"/>
                      <w:tabs>
                        <w:tab w:val="clear" w:pos="4153"/>
                        <w:tab w:val="clear" w:pos="8306"/>
                      </w:tabs>
                      <w:rPr>
                        <w:rStyle w:val="309"/>
                        <w:sz w:val="21"/>
                        <w:szCs w:val="21"/>
                      </w:rPr>
                    </w:pPr>
                    <w:r>
                      <w:rPr>
                        <w:sz w:val="21"/>
                        <w:szCs w:val="21"/>
                      </w:rPr>
                      <w:fldChar w:fldCharType="begin"/>
                    </w:r>
                    <w:r>
                      <w:rPr>
                        <w:rStyle w:val="309"/>
                        <w:sz w:val="21"/>
                        <w:szCs w:val="21"/>
                      </w:rPr>
                      <w:instrText xml:space="preserve">PAGE  </w:instrText>
                    </w:r>
                    <w:r>
                      <w:rPr>
                        <w:sz w:val="21"/>
                        <w:szCs w:val="21"/>
                      </w:rPr>
                      <w:fldChar w:fldCharType="separate"/>
                    </w:r>
                    <w:r>
                      <w:rPr>
                        <w:rStyle w:val="309"/>
                        <w:sz w:val="21"/>
                        <w:szCs w:val="21"/>
                      </w:rPr>
                      <w:t>４８</w:t>
                    </w:r>
                    <w:r>
                      <w:rPr>
                        <w:sz w:val="21"/>
                        <w:szCs w:val="21"/>
                      </w:rPr>
                      <w:fldChar w:fldCharType="end"/>
                    </w:r>
                  </w:p>
                  <w:p w14:paraId="29778E97"/>
                </w:txbxContent>
              </v:textbox>
            </v:shape>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6EE09">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4B2899">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58Vr8NwIAAGQEAAAOAAAAAAAAAAEAIAAAAB8BAABkcnMvZTJvRG9jLnht&#10;bFBLBQYAAAAABgAGAFkBAADIBQAAAAA=&#10;">
              <v:fill on="f" focussize="0,0"/>
              <v:stroke on="f" weight="0.5pt"/>
              <v:imagedata o:title=""/>
              <o:lock v:ext="edit" aspectratio="f"/>
              <v:textbox inset="0mm,0mm,0mm,0mm" style="mso-fit-shape-to-text:t;">
                <w:txbxContent>
                  <w:p w14:paraId="184B2899">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3C6A0">
    <w:pPr>
      <w:pStyle w:val="28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315"/>
      <w:suff w:val="space"/>
      <w:lvlText w:val="附录%1."/>
      <w:lvlJc w:val="left"/>
      <w:pPr>
        <w:tabs>
          <w:tab w:val="left" w:pos="907"/>
        </w:tabs>
        <w:ind w:left="840" w:hanging="907"/>
      </w:pPr>
      <w:rPr>
        <w:rFonts w:hint="eastAsia"/>
      </w:rPr>
    </w:lvl>
    <w:lvl w:ilvl="1" w:tentative="0">
      <w:start w:val="1"/>
      <w:numFmt w:val="bullet"/>
      <w:suff w:val="space"/>
      <w:lvlText w:val="o"/>
      <w:lvlJc w:val="left"/>
      <w:pPr>
        <w:ind w:left="1373" w:hanging="360"/>
      </w:pPr>
      <w:rPr>
        <w:rFonts w:ascii="Courier New" w:hAnsi="Courier New" w:eastAsia="Courier New" w:cs="Courier New"/>
      </w:rPr>
    </w:lvl>
    <w:lvl w:ilvl="2" w:tentative="0">
      <w:start w:val="1"/>
      <w:numFmt w:val="bullet"/>
      <w:suff w:val="space"/>
      <w:lvlText w:val="§"/>
      <w:lvlJc w:val="left"/>
      <w:pPr>
        <w:ind w:left="2093" w:hanging="360"/>
      </w:pPr>
      <w:rPr>
        <w:rFonts w:ascii="Wingdings" w:hAnsi="Wingdings" w:eastAsia="Wingdings" w:cs="Wingdings"/>
      </w:rPr>
    </w:lvl>
    <w:lvl w:ilvl="3" w:tentative="0">
      <w:start w:val="1"/>
      <w:numFmt w:val="bullet"/>
      <w:suff w:val="space"/>
      <w:lvlText w:val="·"/>
      <w:lvlJc w:val="left"/>
      <w:pPr>
        <w:ind w:left="2813" w:hanging="360"/>
      </w:pPr>
      <w:rPr>
        <w:rFonts w:ascii="Symbol" w:hAnsi="Symbol" w:eastAsia="Symbol" w:cs="Symbol"/>
      </w:rPr>
    </w:lvl>
    <w:lvl w:ilvl="4" w:tentative="0">
      <w:start w:val="1"/>
      <w:numFmt w:val="bullet"/>
      <w:suff w:val="space"/>
      <w:lvlText w:val="o"/>
      <w:lvlJc w:val="left"/>
      <w:pPr>
        <w:ind w:left="3533" w:hanging="360"/>
      </w:pPr>
      <w:rPr>
        <w:rFonts w:ascii="Courier New" w:hAnsi="Courier New" w:eastAsia="Courier New" w:cs="Courier New"/>
      </w:rPr>
    </w:lvl>
    <w:lvl w:ilvl="5" w:tentative="0">
      <w:start w:val="1"/>
      <w:numFmt w:val="bullet"/>
      <w:suff w:val="space"/>
      <w:lvlText w:val="§"/>
      <w:lvlJc w:val="left"/>
      <w:pPr>
        <w:ind w:left="4253" w:hanging="360"/>
      </w:pPr>
      <w:rPr>
        <w:rFonts w:ascii="Wingdings" w:hAnsi="Wingdings" w:eastAsia="Wingdings" w:cs="Wingdings"/>
      </w:rPr>
    </w:lvl>
    <w:lvl w:ilvl="6" w:tentative="0">
      <w:start w:val="1"/>
      <w:numFmt w:val="bullet"/>
      <w:suff w:val="space"/>
      <w:lvlText w:val="·"/>
      <w:lvlJc w:val="left"/>
      <w:pPr>
        <w:ind w:left="4973" w:hanging="360"/>
      </w:pPr>
      <w:rPr>
        <w:rFonts w:ascii="Symbol" w:hAnsi="Symbol" w:eastAsia="Symbol" w:cs="Symbol"/>
      </w:rPr>
    </w:lvl>
    <w:lvl w:ilvl="7" w:tentative="0">
      <w:start w:val="1"/>
      <w:numFmt w:val="bullet"/>
      <w:suff w:val="space"/>
      <w:lvlText w:val="o"/>
      <w:lvlJc w:val="left"/>
      <w:pPr>
        <w:ind w:left="5693" w:hanging="360"/>
      </w:pPr>
      <w:rPr>
        <w:rFonts w:ascii="Courier New" w:hAnsi="Courier New" w:eastAsia="Courier New" w:cs="Courier New"/>
      </w:rPr>
    </w:lvl>
    <w:lvl w:ilvl="8" w:tentative="0">
      <w:start w:val="1"/>
      <w:numFmt w:val="bullet"/>
      <w:suff w:val="space"/>
      <w:lvlText w:val="§"/>
      <w:lvlJc w:val="left"/>
      <w:pPr>
        <w:ind w:left="6413" w:hanging="360"/>
      </w:pPr>
      <w:rPr>
        <w:rFonts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53"/>
      <w:suff w:val="nothing"/>
      <w:lvlText w:val=""/>
      <w:lvlJc w:val="left"/>
      <w:pPr>
        <w:ind w:left="0" w:firstLine="0"/>
      </w:pPr>
      <w:rPr>
        <w:rFonts w:hint="eastAsia"/>
      </w:rPr>
    </w:lvl>
    <w:lvl w:ilvl="6" w:tentative="0">
      <w:start w:val="1"/>
      <w:numFmt w:val="decimal"/>
      <w:pStyle w:val="255"/>
      <w:suff w:val="nothing"/>
      <w:lvlText w:val=""/>
      <w:lvlJc w:val="left"/>
      <w:pPr>
        <w:ind w:left="0" w:firstLine="0"/>
      </w:pPr>
      <w:rPr>
        <w:rFonts w:hint="eastAsia"/>
      </w:rPr>
    </w:lvl>
    <w:lvl w:ilvl="7" w:tentative="0">
      <w:start w:val="1"/>
      <w:numFmt w:val="decimal"/>
      <w:pStyle w:val="257"/>
      <w:suff w:val="nothing"/>
      <w:lvlText w:val=""/>
      <w:lvlJc w:val="left"/>
      <w:pPr>
        <w:ind w:left="0" w:firstLine="0"/>
      </w:pPr>
      <w:rPr>
        <w:rFonts w:hint="eastAsia"/>
      </w:rPr>
    </w:lvl>
    <w:lvl w:ilvl="8" w:tentative="0">
      <w:start w:val="1"/>
      <w:numFmt w:val="decimal"/>
      <w:pStyle w:val="259"/>
      <w:suff w:val="nothing"/>
      <w:lvlText w:val=""/>
      <w:lvlJc w:val="left"/>
      <w:pPr>
        <w:ind w:left="0" w:firstLine="0"/>
      </w:pPr>
      <w:rPr>
        <w:rFonts w:hint="eastAsia"/>
      </w:rPr>
    </w:lvl>
  </w:abstractNum>
  <w:abstractNum w:abstractNumId="3">
    <w:nsid w:val="03D62ECE"/>
    <w:multiLevelType w:val="multilevel"/>
    <w:tmpl w:val="03D62EC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332"/>
      <w:suff w:val="space"/>
      <w:lvlText w:val="%1."/>
      <w:lvlJc w:val="left"/>
      <w:pPr>
        <w:tabs>
          <w:tab w:val="left" w:pos="709"/>
        </w:tabs>
        <w:ind w:left="709" w:hanging="709"/>
      </w:pPr>
      <w:rPr>
        <w:rFonts w:hint="eastAsia"/>
      </w:rPr>
    </w:lvl>
    <w:lvl w:ilvl="1" w:tentative="0">
      <w:start w:val="1"/>
      <w:numFmt w:val="decimal"/>
      <w:suff w:val="space"/>
      <w:lvlText w:val="%1.%2"/>
      <w:lvlJc w:val="left"/>
      <w:pPr>
        <w:tabs>
          <w:tab w:val="left" w:pos="709"/>
        </w:tabs>
        <w:ind w:left="709" w:hanging="709"/>
      </w:pPr>
      <w:rPr>
        <w:rFonts w:hint="eastAsia"/>
      </w:rPr>
    </w:lvl>
    <w:lvl w:ilvl="2" w:tentative="0">
      <w:start w:val="1"/>
      <w:numFmt w:val="decimal"/>
      <w:suff w:val="space"/>
      <w:lvlText w:val="%1.%2.%3."/>
      <w:lvlJc w:val="left"/>
      <w:pPr>
        <w:tabs>
          <w:tab w:val="left" w:pos="425"/>
        </w:tabs>
        <w:ind w:left="425" w:hanging="425"/>
      </w:pPr>
      <w:rPr>
        <w:rFonts w:hint="eastAsia"/>
      </w:rPr>
    </w:lvl>
    <w:lvl w:ilvl="3" w:tentative="0">
      <w:start w:val="1"/>
      <w:numFmt w:val="decimal"/>
      <w:suff w:val="space"/>
      <w:lvlText w:val="%1.%2.%3.%4."/>
      <w:lvlJc w:val="left"/>
      <w:pPr>
        <w:tabs>
          <w:tab w:val="left" w:pos="851"/>
        </w:tabs>
        <w:ind w:left="851" w:hanging="851"/>
      </w:pPr>
      <w:rPr>
        <w:rFonts w:hint="eastAsia"/>
      </w:rPr>
    </w:lvl>
    <w:lvl w:ilvl="4" w:tentative="0">
      <w:start w:val="1"/>
      <w:numFmt w:val="decimal"/>
      <w:suff w:val="space"/>
      <w:lvlText w:val="%1.%2.%3.%4.%5."/>
      <w:lvlJc w:val="left"/>
      <w:pPr>
        <w:tabs>
          <w:tab w:val="left" w:pos="992"/>
        </w:tabs>
        <w:ind w:left="992" w:hanging="992"/>
      </w:pPr>
      <w:rPr>
        <w:rFonts w:hint="eastAsia"/>
      </w:rPr>
    </w:lvl>
    <w:lvl w:ilvl="5" w:tentative="0">
      <w:start w:val="1"/>
      <w:numFmt w:val="decimal"/>
      <w:suff w:val="space"/>
      <w:lvlText w:val="%1.%2.%3.%4.%5.%6."/>
      <w:lvlJc w:val="left"/>
      <w:pPr>
        <w:tabs>
          <w:tab w:val="left" w:pos="1134"/>
        </w:tabs>
        <w:ind w:left="1134" w:hanging="1134"/>
      </w:pPr>
      <w:rPr>
        <w:rFonts w:hint="eastAsia"/>
      </w:rPr>
    </w:lvl>
    <w:lvl w:ilvl="6" w:tentative="0">
      <w:start w:val="1"/>
      <w:numFmt w:val="decimal"/>
      <w:suff w:val="space"/>
      <w:lvlText w:val="%1.%2.%3.%4.%5.%6.%7."/>
      <w:lvlJc w:val="left"/>
      <w:pPr>
        <w:tabs>
          <w:tab w:val="left" w:pos="1276"/>
        </w:tabs>
        <w:ind w:left="1276" w:hanging="1276"/>
      </w:pPr>
      <w:rPr>
        <w:rFonts w:hint="eastAsia"/>
      </w:rPr>
    </w:lvl>
    <w:lvl w:ilvl="7" w:tentative="0">
      <w:start w:val="1"/>
      <w:numFmt w:val="decimal"/>
      <w:suff w:val="space"/>
      <w:lvlText w:val="%1.%2.%3.%4.%5.%6.%7.%8."/>
      <w:lvlJc w:val="left"/>
      <w:pPr>
        <w:tabs>
          <w:tab w:val="left" w:pos="1418"/>
        </w:tabs>
        <w:ind w:left="1418" w:hanging="1418"/>
      </w:pPr>
      <w:rPr>
        <w:rFonts w:hint="eastAsia"/>
      </w:rPr>
    </w:lvl>
    <w:lvl w:ilvl="8" w:tentative="0">
      <w:start w:val="1"/>
      <w:numFmt w:val="decimal"/>
      <w:suff w:val="space"/>
      <w:lvlText w:val="%1.%2.%3.%4.%5.%6.%7.%8.%9."/>
      <w:lvlJc w:val="left"/>
      <w:pPr>
        <w:tabs>
          <w:tab w:val="left" w:pos="1559"/>
        </w:tabs>
        <w:ind w:left="1559" w:hanging="1559"/>
      </w:pPr>
      <w:rPr>
        <w:rFonts w:hint="eastAsia"/>
      </w:rPr>
    </w:lvl>
  </w:abstractNum>
  <w:num w:numId="1">
    <w:abstractNumId w:val="2"/>
  </w:num>
  <w:num w:numId="2">
    <w:abstractNumId w:val="1"/>
  </w:num>
  <w:num w:numId="3">
    <w:abstractNumId w:val="5"/>
  </w:num>
  <w:num w:numId="4">
    <w:abstractNumId w:val="2"/>
    <w:lvlOverride w:ilvl="0">
      <w:startOverride w:val="1"/>
    </w:lvlOverride>
  </w:num>
  <w:num w:numId="5">
    <w:abstractNumId w:val="5"/>
    <w:lvlOverride w:ilvl="0">
      <w:startOverride w:val="1"/>
    </w:lvlOverride>
  </w:num>
  <w:num w:numId="6">
    <w:abstractNumId w:val="0"/>
    <w:lvlOverride w:ilvl="0">
      <w:startOverride w:val="2"/>
    </w:lvlOverride>
  </w:num>
  <w:num w:numId="7">
    <w:abstractNumId w:val="3"/>
    <w:lvlOverride w:ilvl="0">
      <w:startOverride w:val="16"/>
    </w:lvlOverride>
  </w:num>
  <w:num w:numId="8">
    <w:abstractNumId w:val="4"/>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revisionView w:markup="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140"/>
    <w:rsid w:val="000340F1"/>
    <w:rsid w:val="000D2792"/>
    <w:rsid w:val="00185AC6"/>
    <w:rsid w:val="001F44FC"/>
    <w:rsid w:val="00247664"/>
    <w:rsid w:val="00315CCE"/>
    <w:rsid w:val="0044437F"/>
    <w:rsid w:val="004C7140"/>
    <w:rsid w:val="005C1008"/>
    <w:rsid w:val="00686772"/>
    <w:rsid w:val="006B31C3"/>
    <w:rsid w:val="007E4CA5"/>
    <w:rsid w:val="00A74EAE"/>
    <w:rsid w:val="00B535F3"/>
    <w:rsid w:val="00C44682"/>
    <w:rsid w:val="00DD21DB"/>
    <w:rsid w:val="00E41C18"/>
    <w:rsid w:val="00FB4182"/>
    <w:rsid w:val="015679D0"/>
    <w:rsid w:val="01CA3F1A"/>
    <w:rsid w:val="021D04ED"/>
    <w:rsid w:val="02511F45"/>
    <w:rsid w:val="02644444"/>
    <w:rsid w:val="0267745F"/>
    <w:rsid w:val="02682F83"/>
    <w:rsid w:val="028B5457"/>
    <w:rsid w:val="02E20044"/>
    <w:rsid w:val="02FA162C"/>
    <w:rsid w:val="03115E73"/>
    <w:rsid w:val="032904A4"/>
    <w:rsid w:val="03A34A22"/>
    <w:rsid w:val="03BF6481"/>
    <w:rsid w:val="042E2D97"/>
    <w:rsid w:val="043A35D9"/>
    <w:rsid w:val="044A739C"/>
    <w:rsid w:val="04671EF4"/>
    <w:rsid w:val="04742617"/>
    <w:rsid w:val="04B9186D"/>
    <w:rsid w:val="04C2712A"/>
    <w:rsid w:val="04C94995"/>
    <w:rsid w:val="051379D8"/>
    <w:rsid w:val="059211F2"/>
    <w:rsid w:val="05947DC6"/>
    <w:rsid w:val="063A3431"/>
    <w:rsid w:val="06426774"/>
    <w:rsid w:val="069921C2"/>
    <w:rsid w:val="07157C88"/>
    <w:rsid w:val="0748600C"/>
    <w:rsid w:val="07C743D4"/>
    <w:rsid w:val="07E625F3"/>
    <w:rsid w:val="08234384"/>
    <w:rsid w:val="082E3328"/>
    <w:rsid w:val="08684CE0"/>
    <w:rsid w:val="088C500F"/>
    <w:rsid w:val="08A22AF1"/>
    <w:rsid w:val="097F1A18"/>
    <w:rsid w:val="0998431D"/>
    <w:rsid w:val="099946A6"/>
    <w:rsid w:val="099A6A6F"/>
    <w:rsid w:val="099F6530"/>
    <w:rsid w:val="09D842F9"/>
    <w:rsid w:val="0A4F1460"/>
    <w:rsid w:val="0A5B407D"/>
    <w:rsid w:val="0A8940EE"/>
    <w:rsid w:val="0A977CEC"/>
    <w:rsid w:val="0B08742E"/>
    <w:rsid w:val="0B1E5E0C"/>
    <w:rsid w:val="0B6E2CCD"/>
    <w:rsid w:val="0C5774AD"/>
    <w:rsid w:val="0C596B27"/>
    <w:rsid w:val="0C774C9E"/>
    <w:rsid w:val="0C8C0749"/>
    <w:rsid w:val="0CB9368E"/>
    <w:rsid w:val="0D054058"/>
    <w:rsid w:val="0D510BD2"/>
    <w:rsid w:val="0D914C57"/>
    <w:rsid w:val="0DCD6C06"/>
    <w:rsid w:val="0E0662D9"/>
    <w:rsid w:val="0E1D65EE"/>
    <w:rsid w:val="0EFD592E"/>
    <w:rsid w:val="0F16079E"/>
    <w:rsid w:val="0F3B1FB3"/>
    <w:rsid w:val="0F4E1CE6"/>
    <w:rsid w:val="0F4F5DBA"/>
    <w:rsid w:val="0F99027D"/>
    <w:rsid w:val="0FA8754D"/>
    <w:rsid w:val="0FF56606"/>
    <w:rsid w:val="101128B6"/>
    <w:rsid w:val="101979D0"/>
    <w:rsid w:val="109E6C9D"/>
    <w:rsid w:val="10B65D95"/>
    <w:rsid w:val="10C4140D"/>
    <w:rsid w:val="11406EA9"/>
    <w:rsid w:val="11A93B4C"/>
    <w:rsid w:val="11F620F1"/>
    <w:rsid w:val="12047144"/>
    <w:rsid w:val="125D40A5"/>
    <w:rsid w:val="12CD384D"/>
    <w:rsid w:val="132536A6"/>
    <w:rsid w:val="135B3ECB"/>
    <w:rsid w:val="13912AE9"/>
    <w:rsid w:val="1396359D"/>
    <w:rsid w:val="13AC7B0A"/>
    <w:rsid w:val="13B27CB2"/>
    <w:rsid w:val="13BC3DF5"/>
    <w:rsid w:val="145B456B"/>
    <w:rsid w:val="14665D24"/>
    <w:rsid w:val="14D7277E"/>
    <w:rsid w:val="14E12701"/>
    <w:rsid w:val="14ED1FA1"/>
    <w:rsid w:val="15CC565E"/>
    <w:rsid w:val="15EF5C70"/>
    <w:rsid w:val="1639789A"/>
    <w:rsid w:val="16442803"/>
    <w:rsid w:val="1648110E"/>
    <w:rsid w:val="164E5475"/>
    <w:rsid w:val="16C86822"/>
    <w:rsid w:val="16E6314C"/>
    <w:rsid w:val="1706559C"/>
    <w:rsid w:val="173B6FF4"/>
    <w:rsid w:val="1740783F"/>
    <w:rsid w:val="177E3384"/>
    <w:rsid w:val="17925F11"/>
    <w:rsid w:val="17A759DF"/>
    <w:rsid w:val="17AC6144"/>
    <w:rsid w:val="17B17250"/>
    <w:rsid w:val="18A559C2"/>
    <w:rsid w:val="18C96881"/>
    <w:rsid w:val="192D3C0E"/>
    <w:rsid w:val="198D3D53"/>
    <w:rsid w:val="199E1AE9"/>
    <w:rsid w:val="19CF2323"/>
    <w:rsid w:val="19F94F44"/>
    <w:rsid w:val="1A1374E1"/>
    <w:rsid w:val="1A282C67"/>
    <w:rsid w:val="1AB64889"/>
    <w:rsid w:val="1AD559B1"/>
    <w:rsid w:val="1AE87493"/>
    <w:rsid w:val="1B494B83"/>
    <w:rsid w:val="1B79633D"/>
    <w:rsid w:val="1BE07DDA"/>
    <w:rsid w:val="1BE41783"/>
    <w:rsid w:val="1C297D63"/>
    <w:rsid w:val="1CC87B71"/>
    <w:rsid w:val="1CCE7B2D"/>
    <w:rsid w:val="1CEB7914"/>
    <w:rsid w:val="1CF163A7"/>
    <w:rsid w:val="1D181B85"/>
    <w:rsid w:val="1D286E55"/>
    <w:rsid w:val="1D530C7D"/>
    <w:rsid w:val="1D994EC5"/>
    <w:rsid w:val="1D9A259A"/>
    <w:rsid w:val="1E85149C"/>
    <w:rsid w:val="1E8F7C25"/>
    <w:rsid w:val="1EA01E32"/>
    <w:rsid w:val="1ED90310"/>
    <w:rsid w:val="1EFC1096"/>
    <w:rsid w:val="1F205E25"/>
    <w:rsid w:val="1F4E188E"/>
    <w:rsid w:val="1F5F1CED"/>
    <w:rsid w:val="1F6C51A3"/>
    <w:rsid w:val="1F81123C"/>
    <w:rsid w:val="1F95570F"/>
    <w:rsid w:val="1FB931AC"/>
    <w:rsid w:val="1FCB7383"/>
    <w:rsid w:val="1FD95C3A"/>
    <w:rsid w:val="208512E0"/>
    <w:rsid w:val="20A16929"/>
    <w:rsid w:val="20CB6B01"/>
    <w:rsid w:val="2100305C"/>
    <w:rsid w:val="210112AE"/>
    <w:rsid w:val="213056EF"/>
    <w:rsid w:val="213F0832"/>
    <w:rsid w:val="219F0AC7"/>
    <w:rsid w:val="21C36564"/>
    <w:rsid w:val="21D4251F"/>
    <w:rsid w:val="222F3CEA"/>
    <w:rsid w:val="23CD71CE"/>
    <w:rsid w:val="23EF1892"/>
    <w:rsid w:val="24A87C93"/>
    <w:rsid w:val="24C84941"/>
    <w:rsid w:val="252F12B8"/>
    <w:rsid w:val="254A769E"/>
    <w:rsid w:val="25A12397"/>
    <w:rsid w:val="25FC2044"/>
    <w:rsid w:val="26C71AB4"/>
    <w:rsid w:val="26FC533A"/>
    <w:rsid w:val="27252DB6"/>
    <w:rsid w:val="27561C28"/>
    <w:rsid w:val="27870033"/>
    <w:rsid w:val="27A5492C"/>
    <w:rsid w:val="27BC1E12"/>
    <w:rsid w:val="27C941A8"/>
    <w:rsid w:val="27F33914"/>
    <w:rsid w:val="28060F58"/>
    <w:rsid w:val="28081174"/>
    <w:rsid w:val="283006CB"/>
    <w:rsid w:val="28481571"/>
    <w:rsid w:val="28724840"/>
    <w:rsid w:val="289E3886"/>
    <w:rsid w:val="28D90E85"/>
    <w:rsid w:val="28D93889"/>
    <w:rsid w:val="2A0A4667"/>
    <w:rsid w:val="2A4C0059"/>
    <w:rsid w:val="2A61691A"/>
    <w:rsid w:val="2A722643"/>
    <w:rsid w:val="2A8E16D9"/>
    <w:rsid w:val="2A990C28"/>
    <w:rsid w:val="2AA8279A"/>
    <w:rsid w:val="2AD43590"/>
    <w:rsid w:val="2B193698"/>
    <w:rsid w:val="2B494340"/>
    <w:rsid w:val="2B661CD5"/>
    <w:rsid w:val="2BA9157A"/>
    <w:rsid w:val="2BC8783F"/>
    <w:rsid w:val="2BE9443B"/>
    <w:rsid w:val="2C140BB7"/>
    <w:rsid w:val="2C4B162F"/>
    <w:rsid w:val="2CEE645F"/>
    <w:rsid w:val="2D087520"/>
    <w:rsid w:val="2DF6381D"/>
    <w:rsid w:val="2E057DE6"/>
    <w:rsid w:val="2E3D144C"/>
    <w:rsid w:val="2EA119DB"/>
    <w:rsid w:val="2ED450AE"/>
    <w:rsid w:val="2ED54775"/>
    <w:rsid w:val="2EE61AE3"/>
    <w:rsid w:val="2F10090E"/>
    <w:rsid w:val="2F140672"/>
    <w:rsid w:val="2FD302BA"/>
    <w:rsid w:val="300761B5"/>
    <w:rsid w:val="3020510D"/>
    <w:rsid w:val="303A20E7"/>
    <w:rsid w:val="304E7940"/>
    <w:rsid w:val="30B25D68"/>
    <w:rsid w:val="310F1F91"/>
    <w:rsid w:val="31314F2B"/>
    <w:rsid w:val="313F320F"/>
    <w:rsid w:val="318D4498"/>
    <w:rsid w:val="31FB5F68"/>
    <w:rsid w:val="32386BB7"/>
    <w:rsid w:val="33115260"/>
    <w:rsid w:val="3393052E"/>
    <w:rsid w:val="33D22636"/>
    <w:rsid w:val="33D33739"/>
    <w:rsid w:val="342858C4"/>
    <w:rsid w:val="34B77129"/>
    <w:rsid w:val="34D33C65"/>
    <w:rsid w:val="350F7D2D"/>
    <w:rsid w:val="351153E0"/>
    <w:rsid w:val="35417A73"/>
    <w:rsid w:val="358B6F41"/>
    <w:rsid w:val="35A53D8B"/>
    <w:rsid w:val="36044121"/>
    <w:rsid w:val="36465623"/>
    <w:rsid w:val="36985DB9"/>
    <w:rsid w:val="36EE7787"/>
    <w:rsid w:val="37493898"/>
    <w:rsid w:val="37774D6F"/>
    <w:rsid w:val="378400EB"/>
    <w:rsid w:val="378B76CC"/>
    <w:rsid w:val="37A91452"/>
    <w:rsid w:val="37DA5F5D"/>
    <w:rsid w:val="380F20AB"/>
    <w:rsid w:val="382316B2"/>
    <w:rsid w:val="382C1EBC"/>
    <w:rsid w:val="386D6DD1"/>
    <w:rsid w:val="387E3C89"/>
    <w:rsid w:val="38BB6D7A"/>
    <w:rsid w:val="395C1320"/>
    <w:rsid w:val="397D1296"/>
    <w:rsid w:val="39DE1D35"/>
    <w:rsid w:val="3A173CF6"/>
    <w:rsid w:val="3A5550BD"/>
    <w:rsid w:val="3A683C20"/>
    <w:rsid w:val="3AE74C19"/>
    <w:rsid w:val="3B710987"/>
    <w:rsid w:val="3B8454A4"/>
    <w:rsid w:val="3B84690C"/>
    <w:rsid w:val="3C3868B2"/>
    <w:rsid w:val="3C817F93"/>
    <w:rsid w:val="3CB64DB7"/>
    <w:rsid w:val="3CE84C78"/>
    <w:rsid w:val="3D0B1747"/>
    <w:rsid w:val="3D4B6D17"/>
    <w:rsid w:val="3D820C29"/>
    <w:rsid w:val="3DAD16DC"/>
    <w:rsid w:val="3DE1197B"/>
    <w:rsid w:val="3E051B32"/>
    <w:rsid w:val="3E65181F"/>
    <w:rsid w:val="3E6E73FF"/>
    <w:rsid w:val="3EB06037"/>
    <w:rsid w:val="3F4E57AE"/>
    <w:rsid w:val="3FC25C55"/>
    <w:rsid w:val="3FD55595"/>
    <w:rsid w:val="40674EB6"/>
    <w:rsid w:val="40864ED4"/>
    <w:rsid w:val="40E1125B"/>
    <w:rsid w:val="411A40CF"/>
    <w:rsid w:val="41434B73"/>
    <w:rsid w:val="41577B98"/>
    <w:rsid w:val="41E67B20"/>
    <w:rsid w:val="422B136B"/>
    <w:rsid w:val="429D02B3"/>
    <w:rsid w:val="42A96C58"/>
    <w:rsid w:val="42B9333F"/>
    <w:rsid w:val="42E3216A"/>
    <w:rsid w:val="43151963"/>
    <w:rsid w:val="43243286"/>
    <w:rsid w:val="432465C4"/>
    <w:rsid w:val="438A7AD3"/>
    <w:rsid w:val="43917E18"/>
    <w:rsid w:val="43CD4E1C"/>
    <w:rsid w:val="43FB1735"/>
    <w:rsid w:val="444D7D15"/>
    <w:rsid w:val="444E7AB7"/>
    <w:rsid w:val="44623562"/>
    <w:rsid w:val="446B68BB"/>
    <w:rsid w:val="44A27420"/>
    <w:rsid w:val="44E82747"/>
    <w:rsid w:val="44F320E0"/>
    <w:rsid w:val="45171959"/>
    <w:rsid w:val="4540579A"/>
    <w:rsid w:val="46115240"/>
    <w:rsid w:val="462F1B6A"/>
    <w:rsid w:val="46672CBC"/>
    <w:rsid w:val="466960D4"/>
    <w:rsid w:val="466A42B1"/>
    <w:rsid w:val="467D1C2B"/>
    <w:rsid w:val="46D4125D"/>
    <w:rsid w:val="47335611"/>
    <w:rsid w:val="47362BDB"/>
    <w:rsid w:val="47506909"/>
    <w:rsid w:val="47555600"/>
    <w:rsid w:val="47D74267"/>
    <w:rsid w:val="47DE6ACC"/>
    <w:rsid w:val="480212E4"/>
    <w:rsid w:val="4851401A"/>
    <w:rsid w:val="4860425D"/>
    <w:rsid w:val="490177BB"/>
    <w:rsid w:val="499E6528"/>
    <w:rsid w:val="4A3B402A"/>
    <w:rsid w:val="4A731CDA"/>
    <w:rsid w:val="4B141867"/>
    <w:rsid w:val="4B3774F7"/>
    <w:rsid w:val="4B6B71A0"/>
    <w:rsid w:val="4B6D2F19"/>
    <w:rsid w:val="4BA95614"/>
    <w:rsid w:val="4BBD13ED"/>
    <w:rsid w:val="4BF4363A"/>
    <w:rsid w:val="4C2C779B"/>
    <w:rsid w:val="4C494D4A"/>
    <w:rsid w:val="4C6D519A"/>
    <w:rsid w:val="4D1F0243"/>
    <w:rsid w:val="4D241CFD"/>
    <w:rsid w:val="4D73233C"/>
    <w:rsid w:val="4DB3691B"/>
    <w:rsid w:val="4DC26927"/>
    <w:rsid w:val="4E192EE4"/>
    <w:rsid w:val="4E233B24"/>
    <w:rsid w:val="4E30022D"/>
    <w:rsid w:val="4E835E08"/>
    <w:rsid w:val="4ECA2430"/>
    <w:rsid w:val="4EFB083B"/>
    <w:rsid w:val="4EFE7F61"/>
    <w:rsid w:val="4F5450AA"/>
    <w:rsid w:val="4F5F526E"/>
    <w:rsid w:val="4F9873CD"/>
    <w:rsid w:val="4FAC0231"/>
    <w:rsid w:val="4FB603A7"/>
    <w:rsid w:val="4FDB3DF7"/>
    <w:rsid w:val="50445253"/>
    <w:rsid w:val="50963513"/>
    <w:rsid w:val="50E27F05"/>
    <w:rsid w:val="5100038B"/>
    <w:rsid w:val="51826FF2"/>
    <w:rsid w:val="51A90A23"/>
    <w:rsid w:val="51B73AC6"/>
    <w:rsid w:val="51BC0756"/>
    <w:rsid w:val="51CC272C"/>
    <w:rsid w:val="51E11F6A"/>
    <w:rsid w:val="51FF4AE6"/>
    <w:rsid w:val="52426781"/>
    <w:rsid w:val="526606C2"/>
    <w:rsid w:val="52A0174F"/>
    <w:rsid w:val="52AC6580"/>
    <w:rsid w:val="5325232B"/>
    <w:rsid w:val="532F31A9"/>
    <w:rsid w:val="53561256"/>
    <w:rsid w:val="53844AD1"/>
    <w:rsid w:val="53A96AC7"/>
    <w:rsid w:val="53DB482B"/>
    <w:rsid w:val="53EC64E5"/>
    <w:rsid w:val="542425E2"/>
    <w:rsid w:val="54A35BFD"/>
    <w:rsid w:val="54E16725"/>
    <w:rsid w:val="54E54E78"/>
    <w:rsid w:val="55061CE8"/>
    <w:rsid w:val="550763FF"/>
    <w:rsid w:val="55314FB7"/>
    <w:rsid w:val="557B0928"/>
    <w:rsid w:val="55AC288F"/>
    <w:rsid w:val="55B87486"/>
    <w:rsid w:val="55E95892"/>
    <w:rsid w:val="568E01E7"/>
    <w:rsid w:val="56970C86"/>
    <w:rsid w:val="56EF6ED8"/>
    <w:rsid w:val="57323268"/>
    <w:rsid w:val="573E39BB"/>
    <w:rsid w:val="57853398"/>
    <w:rsid w:val="578E2369"/>
    <w:rsid w:val="57914433"/>
    <w:rsid w:val="57A53A3A"/>
    <w:rsid w:val="57A8352A"/>
    <w:rsid w:val="57CA54AD"/>
    <w:rsid w:val="57CF4F52"/>
    <w:rsid w:val="57E624E1"/>
    <w:rsid w:val="58672482"/>
    <w:rsid w:val="587753D7"/>
    <w:rsid w:val="58C12619"/>
    <w:rsid w:val="58FA6008"/>
    <w:rsid w:val="59080725"/>
    <w:rsid w:val="593F537E"/>
    <w:rsid w:val="594159E5"/>
    <w:rsid w:val="59745DBA"/>
    <w:rsid w:val="59973856"/>
    <w:rsid w:val="59AB1393"/>
    <w:rsid w:val="5B24111A"/>
    <w:rsid w:val="5B742BB4"/>
    <w:rsid w:val="5B914594"/>
    <w:rsid w:val="5BBC75A4"/>
    <w:rsid w:val="5C107DE7"/>
    <w:rsid w:val="5C405B46"/>
    <w:rsid w:val="5C4E4D59"/>
    <w:rsid w:val="5C7D31D8"/>
    <w:rsid w:val="5C866026"/>
    <w:rsid w:val="5C965957"/>
    <w:rsid w:val="5E0D2339"/>
    <w:rsid w:val="5E7A5C21"/>
    <w:rsid w:val="5E7A79CF"/>
    <w:rsid w:val="5E824AD5"/>
    <w:rsid w:val="5EA95C2C"/>
    <w:rsid w:val="5EC61DC6"/>
    <w:rsid w:val="5F071D35"/>
    <w:rsid w:val="5F246DF6"/>
    <w:rsid w:val="5F4B0517"/>
    <w:rsid w:val="5F645F89"/>
    <w:rsid w:val="60004B7C"/>
    <w:rsid w:val="6063349B"/>
    <w:rsid w:val="60CE4F7A"/>
    <w:rsid w:val="60DE4400"/>
    <w:rsid w:val="60EC092C"/>
    <w:rsid w:val="61025A59"/>
    <w:rsid w:val="610417D1"/>
    <w:rsid w:val="614B38A4"/>
    <w:rsid w:val="618F4090"/>
    <w:rsid w:val="61A46B11"/>
    <w:rsid w:val="61D45648"/>
    <w:rsid w:val="627E55B4"/>
    <w:rsid w:val="62B611F1"/>
    <w:rsid w:val="63107614"/>
    <w:rsid w:val="63452F36"/>
    <w:rsid w:val="63C17E4E"/>
    <w:rsid w:val="64410F8F"/>
    <w:rsid w:val="646C19F5"/>
    <w:rsid w:val="646D4804"/>
    <w:rsid w:val="64C51E35"/>
    <w:rsid w:val="6518584B"/>
    <w:rsid w:val="65424385"/>
    <w:rsid w:val="656B62C3"/>
    <w:rsid w:val="658904F7"/>
    <w:rsid w:val="65F00576"/>
    <w:rsid w:val="66C67DD9"/>
    <w:rsid w:val="66DC6D4D"/>
    <w:rsid w:val="66FC0096"/>
    <w:rsid w:val="671E7365"/>
    <w:rsid w:val="674E19F8"/>
    <w:rsid w:val="67580AC9"/>
    <w:rsid w:val="67CE63F2"/>
    <w:rsid w:val="67DD2D7C"/>
    <w:rsid w:val="6802064D"/>
    <w:rsid w:val="68433372"/>
    <w:rsid w:val="685A261F"/>
    <w:rsid w:val="6863744D"/>
    <w:rsid w:val="688356D2"/>
    <w:rsid w:val="69683B26"/>
    <w:rsid w:val="699835BA"/>
    <w:rsid w:val="69E71C90"/>
    <w:rsid w:val="69E77B03"/>
    <w:rsid w:val="6A995680"/>
    <w:rsid w:val="6AC50223"/>
    <w:rsid w:val="6AE14931"/>
    <w:rsid w:val="6AED66E2"/>
    <w:rsid w:val="6AF53D1F"/>
    <w:rsid w:val="6AFF6D8C"/>
    <w:rsid w:val="6B6A4244"/>
    <w:rsid w:val="6BA20565"/>
    <w:rsid w:val="6BF85107"/>
    <w:rsid w:val="6C4B48AF"/>
    <w:rsid w:val="6C5A7FF2"/>
    <w:rsid w:val="6C6A3487"/>
    <w:rsid w:val="6CAA578F"/>
    <w:rsid w:val="6D062D75"/>
    <w:rsid w:val="6D321474"/>
    <w:rsid w:val="6D7E0B5E"/>
    <w:rsid w:val="6D8C0517"/>
    <w:rsid w:val="6E151445"/>
    <w:rsid w:val="6E45376A"/>
    <w:rsid w:val="6E843F52"/>
    <w:rsid w:val="6E9C6D26"/>
    <w:rsid w:val="6EA8659C"/>
    <w:rsid w:val="6EE61926"/>
    <w:rsid w:val="6F094457"/>
    <w:rsid w:val="6F375468"/>
    <w:rsid w:val="6F7E6BF3"/>
    <w:rsid w:val="6F947AC5"/>
    <w:rsid w:val="6F9B59F7"/>
    <w:rsid w:val="703F6DF3"/>
    <w:rsid w:val="705F33CF"/>
    <w:rsid w:val="707F0E75"/>
    <w:rsid w:val="711041C2"/>
    <w:rsid w:val="71535E5D"/>
    <w:rsid w:val="71615990"/>
    <w:rsid w:val="71BC1C54"/>
    <w:rsid w:val="71E64695"/>
    <w:rsid w:val="71F72C8D"/>
    <w:rsid w:val="72CA214F"/>
    <w:rsid w:val="72ED4050"/>
    <w:rsid w:val="72F01BB6"/>
    <w:rsid w:val="72F71196"/>
    <w:rsid w:val="73035DFF"/>
    <w:rsid w:val="733460C7"/>
    <w:rsid w:val="73740796"/>
    <w:rsid w:val="73813156"/>
    <w:rsid w:val="73C97E85"/>
    <w:rsid w:val="74003100"/>
    <w:rsid w:val="74A54C22"/>
    <w:rsid w:val="74B44678"/>
    <w:rsid w:val="74B84955"/>
    <w:rsid w:val="74C50E20"/>
    <w:rsid w:val="74CA4688"/>
    <w:rsid w:val="74DD616A"/>
    <w:rsid w:val="75045DEC"/>
    <w:rsid w:val="75091655"/>
    <w:rsid w:val="75120509"/>
    <w:rsid w:val="7561422E"/>
    <w:rsid w:val="75697BF4"/>
    <w:rsid w:val="75AB20CF"/>
    <w:rsid w:val="75B0387E"/>
    <w:rsid w:val="75E33C54"/>
    <w:rsid w:val="76440295"/>
    <w:rsid w:val="765C7562"/>
    <w:rsid w:val="76991D85"/>
    <w:rsid w:val="76A809F9"/>
    <w:rsid w:val="76AE24B4"/>
    <w:rsid w:val="76CC5F4B"/>
    <w:rsid w:val="76D56DDE"/>
    <w:rsid w:val="76FE5105"/>
    <w:rsid w:val="77136E4E"/>
    <w:rsid w:val="77352DB4"/>
    <w:rsid w:val="77371EA0"/>
    <w:rsid w:val="77F35CA4"/>
    <w:rsid w:val="78340796"/>
    <w:rsid w:val="783556CE"/>
    <w:rsid w:val="7855070D"/>
    <w:rsid w:val="78E65F6F"/>
    <w:rsid w:val="78E95D7B"/>
    <w:rsid w:val="790A70CC"/>
    <w:rsid w:val="794E57F6"/>
    <w:rsid w:val="795870CE"/>
    <w:rsid w:val="79B032BC"/>
    <w:rsid w:val="79C23670"/>
    <w:rsid w:val="7A391D27"/>
    <w:rsid w:val="7A7B7CF2"/>
    <w:rsid w:val="7A8F6158"/>
    <w:rsid w:val="7AA43D15"/>
    <w:rsid w:val="7ABA4363"/>
    <w:rsid w:val="7ADA7CBB"/>
    <w:rsid w:val="7AE00762"/>
    <w:rsid w:val="7B3B1E3C"/>
    <w:rsid w:val="7B545C2E"/>
    <w:rsid w:val="7BC2430B"/>
    <w:rsid w:val="7C1441E8"/>
    <w:rsid w:val="7C5145F5"/>
    <w:rsid w:val="7C5B09E8"/>
    <w:rsid w:val="7C80748C"/>
    <w:rsid w:val="7CCD00DF"/>
    <w:rsid w:val="7CCF053E"/>
    <w:rsid w:val="7D2271C6"/>
    <w:rsid w:val="7D3B0A80"/>
    <w:rsid w:val="7D755AD9"/>
    <w:rsid w:val="7D8302D4"/>
    <w:rsid w:val="7DCE51E9"/>
    <w:rsid w:val="7E123F51"/>
    <w:rsid w:val="7E6416AA"/>
    <w:rsid w:val="7EDC3936"/>
    <w:rsid w:val="7EDF693E"/>
    <w:rsid w:val="7F623E3B"/>
    <w:rsid w:val="7F825FB2"/>
    <w:rsid w:val="7FE152E9"/>
    <w:rsid w:val="7FF820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6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366"/>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 w:val="20"/>
      <w:szCs w:val="21"/>
    </w:rPr>
  </w:style>
  <w:style w:type="paragraph" w:styleId="13">
    <w:name w:val="caption"/>
    <w:basedOn w:val="1"/>
    <w:next w:val="1"/>
    <w:semiHidden/>
    <w:unhideWhenUsed/>
    <w:qFormat/>
    <w:uiPriority w:val="0"/>
    <w:pPr>
      <w:spacing w:line="276" w:lineRule="auto"/>
    </w:pPr>
    <w:rPr>
      <w:b/>
      <w:bCs/>
      <w:color w:val="4F81BD" w:themeColor="accent1"/>
      <w:sz w:val="18"/>
      <w:szCs w:val="18"/>
      <w14:textFill>
        <w14:solidFill>
          <w14:schemeClr w14:val="accent1"/>
        </w14:solidFill>
      </w14:textFill>
    </w:rPr>
  </w:style>
  <w:style w:type="paragraph" w:styleId="14">
    <w:name w:val="toa heading"/>
    <w:basedOn w:val="1"/>
    <w:next w:val="1"/>
    <w:qFormat/>
    <w:uiPriority w:val="0"/>
    <w:pPr>
      <w:spacing w:line="360" w:lineRule="atLeast"/>
      <w:jc w:val="center"/>
    </w:pPr>
    <w:rPr>
      <w:rFonts w:ascii="Arial" w:hAnsi="Arial" w:eastAsia="黑体"/>
      <w:sz w:val="36"/>
      <w:szCs w:val="20"/>
    </w:rPr>
  </w:style>
  <w:style w:type="paragraph" w:styleId="15">
    <w:name w:val="annotation text"/>
    <w:basedOn w:val="1"/>
    <w:link w:val="368"/>
    <w:semiHidden/>
    <w:unhideWhenUsed/>
    <w:qFormat/>
    <w:uiPriority w:val="99"/>
    <w:pPr>
      <w:widowControl/>
      <w:spacing w:after="200" w:line="276" w:lineRule="auto"/>
      <w:jc w:val="left"/>
    </w:pPr>
    <w:rPr>
      <w:rFonts w:ascii="Cambria" w:hAnsi="Cambria" w:eastAsia="MS Mincho"/>
      <w:sz w:val="22"/>
    </w:rPr>
  </w:style>
  <w:style w:type="paragraph" w:styleId="16">
    <w:name w:val="Body Text"/>
    <w:basedOn w:val="1"/>
    <w:next w:val="1"/>
    <w:qFormat/>
    <w:uiPriority w:val="0"/>
    <w:rPr>
      <w:rFonts w:ascii="楷体_GB2312" w:hAnsi="Arial" w:eastAsia="楷体_GB2312"/>
      <w:sz w:val="28"/>
      <w:szCs w:val="28"/>
    </w:rPr>
  </w:style>
  <w:style w:type="paragraph" w:styleId="17">
    <w:name w:val="Body Text Indent"/>
    <w:basedOn w:val="1"/>
    <w:next w:val="1"/>
    <w:semiHidden/>
    <w:unhideWhenUsed/>
    <w:qFormat/>
    <w:uiPriority w:val="99"/>
    <w:pPr>
      <w:spacing w:after="120"/>
      <w:ind w:left="420"/>
    </w:pPr>
  </w:style>
  <w:style w:type="paragraph" w:styleId="18">
    <w:name w:val="Block Text"/>
    <w:basedOn w:val="1"/>
    <w:qFormat/>
    <w:uiPriority w:val="0"/>
    <w:pPr>
      <w:ind w:left="256" w:right="6" w:firstLine="624"/>
    </w:pPr>
    <w:rPr>
      <w:rFonts w:eastAsia="仿宋_GB2312"/>
      <w:sz w:val="28"/>
      <w:szCs w:val="20"/>
    </w:rPr>
  </w:style>
  <w:style w:type="paragraph" w:styleId="19">
    <w:name w:val="index 4"/>
    <w:basedOn w:val="1"/>
    <w:next w:val="1"/>
    <w:unhideWhenUsed/>
    <w:qFormat/>
    <w:uiPriority w:val="99"/>
    <w:pPr>
      <w:ind w:left="60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99"/>
    <w:rPr>
      <w:rFonts w:ascii="宋体" w:hAnsi="Courier New" w:cs="Courier New"/>
      <w:szCs w:val="21"/>
    </w:rPr>
  </w:style>
  <w:style w:type="paragraph" w:styleId="23">
    <w:name w:val="toc 8"/>
    <w:basedOn w:val="1"/>
    <w:next w:val="1"/>
    <w:unhideWhenUsed/>
    <w:qFormat/>
    <w:uiPriority w:val="39"/>
    <w:pPr>
      <w:spacing w:after="57"/>
      <w:ind w:left="1984"/>
    </w:pPr>
  </w:style>
  <w:style w:type="paragraph" w:styleId="24">
    <w:name w:val="endnote text"/>
    <w:basedOn w:val="1"/>
    <w:link w:val="364"/>
    <w:semiHidden/>
    <w:unhideWhenUsed/>
    <w:qFormat/>
    <w:uiPriority w:val="99"/>
    <w:pPr>
      <w:spacing w:after="0" w:line="240" w:lineRule="auto"/>
    </w:pPr>
    <w:rPr>
      <w:sz w:val="20"/>
    </w:rPr>
  </w:style>
  <w:style w:type="paragraph" w:styleId="25">
    <w:name w:val="Balloon Text"/>
    <w:basedOn w:val="1"/>
    <w:link w:val="361"/>
    <w:semiHidden/>
    <w:unhideWhenUsed/>
    <w:qFormat/>
    <w:uiPriority w:val="99"/>
    <w:rPr>
      <w:sz w:val="18"/>
    </w:rPr>
  </w:style>
  <w:style w:type="paragraph" w:styleId="26">
    <w:name w:val="footer"/>
    <w:basedOn w:val="1"/>
    <w:unhideWhenUsed/>
    <w:qFormat/>
    <w:uiPriority w:val="99"/>
    <w:pPr>
      <w:tabs>
        <w:tab w:val="center" w:pos="7143"/>
        <w:tab w:val="right" w:pos="14287"/>
      </w:tabs>
      <w:spacing w:after="0" w:line="240" w:lineRule="auto"/>
    </w:pPr>
  </w:style>
  <w:style w:type="paragraph" w:styleId="27">
    <w:name w:val="header"/>
    <w:basedOn w:val="1"/>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qFormat/>
    <w:uiPriority w:val="11"/>
    <w:pPr>
      <w:spacing w:before="200" w:after="200"/>
    </w:pPr>
    <w:rPr>
      <w:sz w:val="24"/>
      <w:szCs w:val="24"/>
    </w:rPr>
  </w:style>
  <w:style w:type="paragraph" w:styleId="31">
    <w:name w:val="footnote text"/>
    <w:basedOn w:val="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pPr>
  </w:style>
  <w:style w:type="paragraph" w:styleId="33">
    <w:name w:val="Body Text Indent 3"/>
    <w:basedOn w:val="1"/>
    <w:next w:val="14"/>
    <w:qFormat/>
    <w:uiPriority w:val="0"/>
    <w:pPr>
      <w:spacing w:line="520" w:lineRule="exact"/>
      <w:ind w:firstLine="539"/>
    </w:pPr>
    <w:rPr>
      <w:rFonts w:ascii="宋体"/>
      <w:b/>
      <w:spacing w:val="6"/>
      <w:sz w:val="28"/>
    </w:rPr>
  </w:style>
  <w:style w:type="paragraph" w:styleId="34">
    <w:name w:val="table of figures"/>
    <w:basedOn w:val="1"/>
    <w:next w:val="1"/>
    <w:unhideWhenUsed/>
    <w:qFormat/>
    <w:uiPriority w:val="99"/>
    <w:pPr>
      <w:spacing w:after="0"/>
    </w:pPr>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8">
    <w:name w:val="Title"/>
    <w:basedOn w:val="1"/>
    <w:next w:val="1"/>
    <w:qFormat/>
    <w:uiPriority w:val="10"/>
    <w:pPr>
      <w:spacing w:before="300" w:after="200"/>
      <w:contextualSpacing/>
    </w:pPr>
    <w:rPr>
      <w:sz w:val="48"/>
      <w:szCs w:val="48"/>
    </w:rPr>
  </w:style>
  <w:style w:type="paragraph" w:styleId="39">
    <w:name w:val="Body Text First Indent"/>
    <w:basedOn w:val="16"/>
    <w:qFormat/>
    <w:uiPriority w:val="0"/>
    <w:pPr>
      <w:spacing w:line="360" w:lineRule="auto"/>
      <w:ind w:firstLine="200"/>
    </w:pPr>
    <w:rPr>
      <w:rFonts w:ascii="仿宋_GB2312" w:hAnsi="Times New Roman" w:eastAsia="仿宋_GB2312"/>
      <w:sz w:val="30"/>
      <w:szCs w:val="30"/>
    </w:rPr>
  </w:style>
  <w:style w:type="paragraph" w:styleId="40">
    <w:name w:val="Body Text First Indent 2"/>
    <w:basedOn w:val="17"/>
    <w:next w:val="33"/>
    <w:unhideWhenUsed/>
    <w:qFormat/>
    <w:uiPriority w:val="99"/>
    <w:pPr>
      <w:ind w:firstLine="200"/>
    </w:pPr>
  </w:style>
  <w:style w:type="table" w:styleId="42">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Emphasis"/>
    <w:qFormat/>
    <w:uiPriority w:val="0"/>
    <w:rPr>
      <w:i/>
    </w:rPr>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annotation reference"/>
    <w:basedOn w:val="43"/>
    <w:semiHidden/>
    <w:unhideWhenUsed/>
    <w:qFormat/>
    <w:uiPriority w:val="99"/>
    <w:rPr>
      <w:sz w:val="21"/>
      <w:szCs w:val="21"/>
    </w:rPr>
  </w:style>
  <w:style w:type="character" w:styleId="48">
    <w:name w:val="footnote reference"/>
    <w:unhideWhenUsed/>
    <w:qFormat/>
    <w:uiPriority w:val="99"/>
    <w:rPr>
      <w:vertAlign w:val="superscript"/>
    </w:rPr>
  </w:style>
  <w:style w:type="paragraph" w:customStyle="1" w:styleId="49">
    <w:name w:val="正文首行缩进11"/>
    <w:basedOn w:val="50"/>
    <w:link w:val="126"/>
    <w:qFormat/>
    <w:uiPriority w:val="0"/>
    <w:pPr>
      <w:spacing w:line="360" w:lineRule="auto"/>
      <w:ind w:firstLine="200"/>
    </w:pPr>
    <w:rPr>
      <w:rFonts w:ascii="仿宋_GB2312" w:hAnsi="Times New Roman" w:eastAsia="仿宋_GB2312"/>
      <w:sz w:val="30"/>
      <w:szCs w:val="30"/>
    </w:rPr>
  </w:style>
  <w:style w:type="paragraph" w:customStyle="1" w:styleId="50">
    <w:name w:val="正文文本1"/>
    <w:basedOn w:val="1"/>
    <w:next w:val="1"/>
    <w:qFormat/>
    <w:uiPriority w:val="0"/>
    <w:rPr>
      <w:rFonts w:ascii="楷体_GB2312" w:hAnsi="Arial" w:eastAsia="楷体_GB2312"/>
      <w:sz w:val="28"/>
      <w:szCs w:val="28"/>
      <w:lang w:eastAsia="en-US"/>
    </w:rPr>
  </w:style>
  <w:style w:type="table" w:customStyle="1" w:styleId="51">
    <w:name w:val="无格式表格 11"/>
    <w:basedOn w:val="41"/>
    <w:qFormat/>
    <w:uiPriority w:val="59"/>
    <w:tblPr>
      <w:tblCellMar>
        <w:left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无格式表格 21"/>
    <w:basedOn w:val="41"/>
    <w:qFormat/>
    <w:uiPriority w:val="59"/>
    <w:tblPr>
      <w:tblCellMar>
        <w:left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无格式表格 31"/>
    <w:basedOn w:val="41"/>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无格式表格 41"/>
    <w:basedOn w:val="41"/>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无格式表格 51"/>
    <w:basedOn w:val="41"/>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网格表 1 浅色1"/>
    <w:basedOn w:val="41"/>
    <w:qFormat/>
    <w:uiPriority w:val="99"/>
    <w:tblPr>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网格表 21"/>
    <w:basedOn w:val="41"/>
    <w:qFormat/>
    <w:uiPriority w:val="99"/>
    <w:tblPr>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网格表 31"/>
    <w:basedOn w:val="41"/>
    <w:qFormat/>
    <w:uiPriority w:val="99"/>
    <w:tblPr>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网格表 41"/>
    <w:basedOn w:val="41"/>
    <w:qFormat/>
    <w:uiPriority w:val="59"/>
    <w:tblPr>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5 深色1"/>
    <w:basedOn w:val="41"/>
    <w:qFormat/>
    <w:uiPriority w:val="99"/>
    <w:tblPr>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1">
    <w:name w:val="网格表 6 彩色1"/>
    <w:basedOn w:val="41"/>
    <w:qFormat/>
    <w:uiPriority w:val="99"/>
    <w:tblPr>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网格表 7 彩色1"/>
    <w:basedOn w:val="41"/>
    <w:qFormat/>
    <w:uiPriority w:val="99"/>
    <w:tblPr>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清单表 1 浅色1"/>
    <w:basedOn w:val="41"/>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4">
    <w:name w:val="清单表 21"/>
    <w:basedOn w:val="41"/>
    <w:qFormat/>
    <w:uiPriority w:val="99"/>
    <w:tblPr>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清单表 31"/>
    <w:basedOn w:val="41"/>
    <w:qFormat/>
    <w:uiPriority w:val="99"/>
    <w:tblPr>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6">
    <w:name w:val="清单表 41"/>
    <w:basedOn w:val="41"/>
    <w:qFormat/>
    <w:uiPriority w:val="99"/>
    <w:tblPr>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清单表 5 深色1"/>
    <w:basedOn w:val="41"/>
    <w:qFormat/>
    <w:uiPriority w:val="99"/>
    <w:tblPr>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8">
    <w:name w:val="清单表 6 彩色1"/>
    <w:basedOn w:val="41"/>
    <w:qFormat/>
    <w:uiPriority w:val="99"/>
    <w:tblPr>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9">
    <w:name w:val="清单表 7 彩色1"/>
    <w:basedOn w:val="41"/>
    <w:qFormat/>
    <w:uiPriority w:val="99"/>
    <w:tblPr>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0">
    <w:name w:val="TOC 标题1"/>
    <w:unhideWhenUsed/>
    <w:qFormat/>
    <w:uiPriority w:val="39"/>
    <w:rPr>
      <w:rFonts w:ascii="Times New Roman" w:hAnsi="Times New Roman" w:eastAsia="宋体" w:cs="Times New Roman"/>
      <w:lang w:val="en-US" w:eastAsia="zh-CN" w:bidi="ar-SA"/>
    </w:rPr>
  </w:style>
  <w:style w:type="paragraph" w:customStyle="1" w:styleId="71">
    <w:name w:val="TOC 标题112"/>
    <w:unhideWhenUsed/>
    <w:qFormat/>
    <w:uiPriority w:val="39"/>
    <w:rPr>
      <w:rFonts w:ascii="Times New Roman" w:hAnsi="Times New Roman" w:eastAsia="宋体" w:cs="Times New Roman"/>
      <w:lang w:val="en-US" w:eastAsia="zh-CN" w:bidi="ar-SA"/>
    </w:rPr>
  </w:style>
  <w:style w:type="character" w:customStyle="1" w:styleId="72">
    <w:name w:val="Quote Char"/>
    <w:qFormat/>
    <w:uiPriority w:val="29"/>
    <w:rPr>
      <w:i/>
    </w:rPr>
  </w:style>
  <w:style w:type="character" w:customStyle="1" w:styleId="73">
    <w:name w:val="Intense Quote Char"/>
    <w:qFormat/>
    <w:uiPriority w:val="30"/>
    <w:rPr>
      <w:i/>
    </w:rPr>
  </w:style>
  <w:style w:type="paragraph" w:customStyle="1" w:styleId="74">
    <w:name w:val="TOC 标题111"/>
    <w:unhideWhenUsed/>
    <w:qFormat/>
    <w:uiPriority w:val="39"/>
    <w:rPr>
      <w:rFonts w:ascii="Times New Roman" w:hAnsi="Times New Roman" w:eastAsia="宋体" w:cs="Times New Roman"/>
      <w:lang w:val="en-US" w:eastAsia="zh-CN" w:bidi="ar-SA"/>
    </w:rPr>
  </w:style>
  <w:style w:type="paragraph" w:customStyle="1" w:styleId="75">
    <w:name w:val="标题 21"/>
    <w:basedOn w:val="1"/>
    <w:next w:val="1"/>
    <w:unhideWhenUsed/>
    <w:qFormat/>
    <w:uiPriority w:val="9"/>
    <w:pPr>
      <w:keepNext/>
      <w:keepLines/>
      <w:spacing w:before="360" w:after="200"/>
      <w:outlineLvl w:val="1"/>
    </w:pPr>
    <w:rPr>
      <w:rFonts w:ascii="Arial" w:hAnsi="Arial" w:eastAsia="Arial"/>
      <w:sz w:val="34"/>
      <w:szCs w:val="20"/>
      <w:lang w:eastAsia="en-US"/>
    </w:rPr>
  </w:style>
  <w:style w:type="paragraph" w:customStyle="1" w:styleId="76">
    <w:name w:val="标题 111"/>
    <w:basedOn w:val="1"/>
    <w:next w:val="1"/>
    <w:link w:val="87"/>
    <w:qFormat/>
    <w:uiPriority w:val="9"/>
    <w:pPr>
      <w:keepNext/>
      <w:keepLines/>
      <w:spacing w:before="480" w:after="200"/>
      <w:outlineLvl w:val="0"/>
    </w:pPr>
    <w:rPr>
      <w:rFonts w:ascii="Arial" w:hAnsi="Arial" w:eastAsia="Arial" w:cs="Arial"/>
      <w:sz w:val="40"/>
      <w:szCs w:val="40"/>
    </w:rPr>
  </w:style>
  <w:style w:type="paragraph" w:customStyle="1" w:styleId="77">
    <w:name w:val="标题 211"/>
    <w:basedOn w:val="1"/>
    <w:next w:val="1"/>
    <w:link w:val="88"/>
    <w:unhideWhenUsed/>
    <w:qFormat/>
    <w:uiPriority w:val="9"/>
    <w:pPr>
      <w:keepNext/>
      <w:keepLines/>
      <w:spacing w:before="360" w:after="200"/>
      <w:outlineLvl w:val="1"/>
    </w:pPr>
    <w:rPr>
      <w:rFonts w:ascii="Arial" w:hAnsi="Arial" w:eastAsia="Arial" w:cs="Arial"/>
      <w:sz w:val="34"/>
    </w:rPr>
  </w:style>
  <w:style w:type="paragraph" w:customStyle="1" w:styleId="78">
    <w:name w:val="标题 311"/>
    <w:basedOn w:val="1"/>
    <w:next w:val="1"/>
    <w:link w:val="89"/>
    <w:unhideWhenUsed/>
    <w:qFormat/>
    <w:uiPriority w:val="9"/>
    <w:pPr>
      <w:keepNext/>
      <w:keepLines/>
      <w:spacing w:before="320" w:after="200"/>
      <w:outlineLvl w:val="2"/>
    </w:pPr>
    <w:rPr>
      <w:rFonts w:ascii="Arial" w:hAnsi="Arial" w:eastAsia="Arial" w:cs="Arial"/>
      <w:sz w:val="30"/>
      <w:szCs w:val="30"/>
    </w:rPr>
  </w:style>
  <w:style w:type="paragraph" w:customStyle="1" w:styleId="79">
    <w:name w:val="标题 411"/>
    <w:basedOn w:val="1"/>
    <w:next w:val="1"/>
    <w:link w:val="90"/>
    <w:unhideWhenUsed/>
    <w:qFormat/>
    <w:uiPriority w:val="9"/>
    <w:pPr>
      <w:keepNext/>
      <w:keepLines/>
      <w:spacing w:before="320" w:after="200"/>
      <w:outlineLvl w:val="3"/>
    </w:pPr>
    <w:rPr>
      <w:rFonts w:ascii="Arial" w:hAnsi="Arial" w:eastAsia="Arial" w:cs="Arial"/>
      <w:b/>
      <w:bCs/>
      <w:sz w:val="26"/>
      <w:szCs w:val="26"/>
    </w:rPr>
  </w:style>
  <w:style w:type="paragraph" w:customStyle="1" w:styleId="80">
    <w:name w:val="标题 511"/>
    <w:basedOn w:val="1"/>
    <w:next w:val="1"/>
    <w:link w:val="91"/>
    <w:unhideWhenUsed/>
    <w:qFormat/>
    <w:uiPriority w:val="9"/>
    <w:pPr>
      <w:keepNext/>
      <w:keepLines/>
      <w:spacing w:before="320" w:after="200"/>
      <w:outlineLvl w:val="4"/>
    </w:pPr>
    <w:rPr>
      <w:rFonts w:ascii="Arial" w:hAnsi="Arial" w:eastAsia="Arial" w:cs="Arial"/>
      <w:b/>
      <w:bCs/>
      <w:sz w:val="24"/>
      <w:szCs w:val="24"/>
    </w:rPr>
  </w:style>
  <w:style w:type="paragraph" w:customStyle="1" w:styleId="81">
    <w:name w:val="标题 611"/>
    <w:basedOn w:val="1"/>
    <w:next w:val="1"/>
    <w:link w:val="92"/>
    <w:unhideWhenUsed/>
    <w:qFormat/>
    <w:uiPriority w:val="9"/>
    <w:pPr>
      <w:keepNext/>
      <w:keepLines/>
      <w:spacing w:before="320" w:after="200"/>
      <w:outlineLvl w:val="5"/>
    </w:pPr>
    <w:rPr>
      <w:rFonts w:ascii="Arial" w:hAnsi="Arial" w:eastAsia="Arial" w:cs="Arial"/>
      <w:b/>
      <w:bCs/>
      <w:sz w:val="22"/>
    </w:rPr>
  </w:style>
  <w:style w:type="paragraph" w:customStyle="1" w:styleId="82">
    <w:name w:val="标题 711"/>
    <w:basedOn w:val="1"/>
    <w:next w:val="1"/>
    <w:link w:val="93"/>
    <w:unhideWhenUsed/>
    <w:qFormat/>
    <w:uiPriority w:val="9"/>
    <w:pPr>
      <w:keepNext/>
      <w:keepLines/>
      <w:spacing w:before="320" w:after="200"/>
      <w:outlineLvl w:val="6"/>
    </w:pPr>
    <w:rPr>
      <w:rFonts w:ascii="Arial" w:hAnsi="Arial" w:eastAsia="Arial" w:cs="Arial"/>
      <w:b/>
      <w:bCs/>
      <w:i/>
      <w:iCs/>
      <w:sz w:val="22"/>
    </w:rPr>
  </w:style>
  <w:style w:type="paragraph" w:customStyle="1" w:styleId="83">
    <w:name w:val="标题 811"/>
    <w:basedOn w:val="1"/>
    <w:next w:val="1"/>
    <w:link w:val="94"/>
    <w:unhideWhenUsed/>
    <w:qFormat/>
    <w:uiPriority w:val="9"/>
    <w:pPr>
      <w:keepNext/>
      <w:keepLines/>
      <w:spacing w:before="320" w:after="200"/>
      <w:outlineLvl w:val="7"/>
    </w:pPr>
    <w:rPr>
      <w:rFonts w:ascii="Arial" w:hAnsi="Arial" w:eastAsia="Arial" w:cs="Arial"/>
      <w:i/>
      <w:iCs/>
      <w:sz w:val="22"/>
    </w:rPr>
  </w:style>
  <w:style w:type="paragraph" w:customStyle="1" w:styleId="84">
    <w:name w:val="标题 911"/>
    <w:basedOn w:val="1"/>
    <w:next w:val="1"/>
    <w:link w:val="95"/>
    <w:unhideWhenUsed/>
    <w:qFormat/>
    <w:uiPriority w:val="9"/>
    <w:pPr>
      <w:keepNext/>
      <w:keepLines/>
      <w:spacing w:before="320" w:after="200"/>
      <w:outlineLvl w:val="8"/>
    </w:pPr>
    <w:rPr>
      <w:rFonts w:ascii="Arial" w:hAnsi="Arial" w:eastAsia="Arial" w:cs="Arial"/>
      <w:i/>
      <w:iCs/>
      <w:szCs w:val="21"/>
    </w:rPr>
  </w:style>
  <w:style w:type="character" w:customStyle="1" w:styleId="85">
    <w:name w:val="默认段落字体11"/>
    <w:unhideWhenUsed/>
    <w:qFormat/>
    <w:uiPriority w:val="1"/>
  </w:style>
  <w:style w:type="table" w:customStyle="1" w:styleId="86">
    <w:name w:val="普通表格11"/>
    <w:unhideWhenUsed/>
    <w:qFormat/>
    <w:uiPriority w:val="99"/>
    <w:tblPr>
      <w:tblCellMar>
        <w:top w:w="0" w:type="dxa"/>
        <w:left w:w="0" w:type="dxa"/>
        <w:bottom w:w="0" w:type="dxa"/>
        <w:right w:w="0" w:type="dxa"/>
      </w:tblCellMar>
    </w:tblPr>
  </w:style>
  <w:style w:type="character" w:customStyle="1" w:styleId="87">
    <w:name w:val="Heading 1 Char"/>
    <w:link w:val="76"/>
    <w:qFormat/>
    <w:uiPriority w:val="9"/>
    <w:rPr>
      <w:rFonts w:ascii="Arial" w:hAnsi="Arial" w:eastAsia="Arial" w:cs="Arial"/>
      <w:sz w:val="40"/>
      <w:szCs w:val="40"/>
    </w:rPr>
  </w:style>
  <w:style w:type="character" w:customStyle="1" w:styleId="88">
    <w:name w:val="Heading 2 Char"/>
    <w:link w:val="77"/>
    <w:qFormat/>
    <w:uiPriority w:val="9"/>
    <w:rPr>
      <w:rFonts w:ascii="Arial" w:hAnsi="Arial" w:eastAsia="Arial" w:cs="Arial"/>
      <w:sz w:val="34"/>
    </w:rPr>
  </w:style>
  <w:style w:type="character" w:customStyle="1" w:styleId="89">
    <w:name w:val="Heading 3 Char"/>
    <w:link w:val="78"/>
    <w:qFormat/>
    <w:uiPriority w:val="9"/>
    <w:rPr>
      <w:rFonts w:ascii="Arial" w:hAnsi="Arial" w:eastAsia="Arial" w:cs="Arial"/>
      <w:sz w:val="30"/>
      <w:szCs w:val="30"/>
    </w:rPr>
  </w:style>
  <w:style w:type="character" w:customStyle="1" w:styleId="90">
    <w:name w:val="Heading 4 Char"/>
    <w:link w:val="79"/>
    <w:qFormat/>
    <w:uiPriority w:val="9"/>
    <w:rPr>
      <w:rFonts w:ascii="Arial" w:hAnsi="Arial" w:eastAsia="Arial" w:cs="Arial"/>
      <w:b/>
      <w:bCs/>
      <w:sz w:val="26"/>
      <w:szCs w:val="26"/>
    </w:rPr>
  </w:style>
  <w:style w:type="character" w:customStyle="1" w:styleId="91">
    <w:name w:val="Heading 5 Char"/>
    <w:link w:val="80"/>
    <w:qFormat/>
    <w:uiPriority w:val="9"/>
    <w:rPr>
      <w:rFonts w:ascii="Arial" w:hAnsi="Arial" w:eastAsia="Arial" w:cs="Arial"/>
      <w:b/>
      <w:bCs/>
      <w:sz w:val="24"/>
      <w:szCs w:val="24"/>
    </w:rPr>
  </w:style>
  <w:style w:type="character" w:customStyle="1" w:styleId="92">
    <w:name w:val="Heading 6 Char"/>
    <w:link w:val="81"/>
    <w:qFormat/>
    <w:uiPriority w:val="9"/>
    <w:rPr>
      <w:rFonts w:ascii="Arial" w:hAnsi="Arial" w:eastAsia="Arial" w:cs="Arial"/>
      <w:b/>
      <w:bCs/>
      <w:sz w:val="22"/>
      <w:szCs w:val="22"/>
    </w:rPr>
  </w:style>
  <w:style w:type="character" w:customStyle="1" w:styleId="93">
    <w:name w:val="Heading 7 Char"/>
    <w:link w:val="82"/>
    <w:qFormat/>
    <w:uiPriority w:val="9"/>
    <w:rPr>
      <w:rFonts w:ascii="Arial" w:hAnsi="Arial" w:eastAsia="Arial" w:cs="Arial"/>
      <w:b/>
      <w:bCs/>
      <w:i/>
      <w:iCs/>
      <w:sz w:val="22"/>
      <w:szCs w:val="22"/>
    </w:rPr>
  </w:style>
  <w:style w:type="character" w:customStyle="1" w:styleId="94">
    <w:name w:val="Heading 8 Char"/>
    <w:link w:val="83"/>
    <w:qFormat/>
    <w:uiPriority w:val="9"/>
    <w:rPr>
      <w:rFonts w:ascii="Arial" w:hAnsi="Arial" w:eastAsia="Arial" w:cs="Arial"/>
      <w:i/>
      <w:iCs/>
      <w:sz w:val="22"/>
      <w:szCs w:val="22"/>
    </w:rPr>
  </w:style>
  <w:style w:type="character" w:customStyle="1" w:styleId="95">
    <w:name w:val="Heading 9 Char"/>
    <w:link w:val="84"/>
    <w:qFormat/>
    <w:uiPriority w:val="9"/>
    <w:rPr>
      <w:rFonts w:ascii="Arial" w:hAnsi="Arial" w:eastAsia="Arial" w:cs="Arial"/>
      <w:i/>
      <w:iCs/>
      <w:sz w:val="21"/>
      <w:szCs w:val="21"/>
    </w:rPr>
  </w:style>
  <w:style w:type="paragraph" w:customStyle="1" w:styleId="96">
    <w:name w:val="目录 711"/>
    <w:basedOn w:val="1"/>
    <w:next w:val="1"/>
    <w:unhideWhenUsed/>
    <w:qFormat/>
    <w:uiPriority w:val="39"/>
    <w:pPr>
      <w:spacing w:after="57"/>
      <w:ind w:left="1701"/>
    </w:pPr>
  </w:style>
  <w:style w:type="paragraph" w:customStyle="1" w:styleId="97">
    <w:name w:val="题注1"/>
    <w:basedOn w:val="1"/>
    <w:next w:val="1"/>
    <w:unhideWhenUsed/>
    <w:qFormat/>
    <w:uiPriority w:val="35"/>
    <w:pPr>
      <w:spacing w:line="276" w:lineRule="auto"/>
    </w:pPr>
    <w:rPr>
      <w:b/>
      <w:bCs/>
      <w:color w:val="4F81BD"/>
      <w:sz w:val="18"/>
      <w:szCs w:val="18"/>
    </w:rPr>
  </w:style>
  <w:style w:type="paragraph" w:customStyle="1" w:styleId="98">
    <w:name w:val="目录 511"/>
    <w:basedOn w:val="1"/>
    <w:next w:val="1"/>
    <w:unhideWhenUsed/>
    <w:qFormat/>
    <w:uiPriority w:val="39"/>
    <w:pPr>
      <w:spacing w:after="57"/>
      <w:ind w:left="1134"/>
    </w:pPr>
  </w:style>
  <w:style w:type="paragraph" w:customStyle="1" w:styleId="99">
    <w:name w:val="目录 311"/>
    <w:basedOn w:val="1"/>
    <w:next w:val="1"/>
    <w:unhideWhenUsed/>
    <w:qFormat/>
    <w:uiPriority w:val="39"/>
    <w:pPr>
      <w:spacing w:after="57"/>
      <w:ind w:left="567"/>
    </w:pPr>
  </w:style>
  <w:style w:type="paragraph" w:customStyle="1" w:styleId="100">
    <w:name w:val="目录 811"/>
    <w:basedOn w:val="1"/>
    <w:next w:val="1"/>
    <w:unhideWhenUsed/>
    <w:qFormat/>
    <w:uiPriority w:val="39"/>
    <w:pPr>
      <w:spacing w:after="57"/>
      <w:ind w:left="1984"/>
    </w:pPr>
  </w:style>
  <w:style w:type="paragraph" w:customStyle="1" w:styleId="101">
    <w:name w:val="尾注文本1"/>
    <w:basedOn w:val="1"/>
    <w:link w:val="102"/>
    <w:unhideWhenUsed/>
    <w:qFormat/>
    <w:uiPriority w:val="99"/>
    <w:pPr>
      <w:spacing w:after="0" w:line="240" w:lineRule="auto"/>
    </w:pPr>
    <w:rPr>
      <w:sz w:val="20"/>
    </w:rPr>
  </w:style>
  <w:style w:type="character" w:customStyle="1" w:styleId="102">
    <w:name w:val="Endnote Text Char"/>
    <w:link w:val="101"/>
    <w:qFormat/>
    <w:uiPriority w:val="99"/>
    <w:rPr>
      <w:sz w:val="20"/>
    </w:rPr>
  </w:style>
  <w:style w:type="paragraph" w:customStyle="1" w:styleId="103">
    <w:name w:val="页脚11"/>
    <w:basedOn w:val="1"/>
    <w:link w:val="123"/>
    <w:unhideWhenUsed/>
    <w:qFormat/>
    <w:uiPriority w:val="99"/>
    <w:pPr>
      <w:tabs>
        <w:tab w:val="center" w:pos="7143"/>
        <w:tab w:val="right" w:pos="14287"/>
      </w:tabs>
      <w:spacing w:after="0" w:line="240" w:lineRule="auto"/>
    </w:pPr>
  </w:style>
  <w:style w:type="character" w:customStyle="1" w:styleId="104">
    <w:name w:val="Caption Char"/>
    <w:qFormat/>
    <w:uiPriority w:val="99"/>
  </w:style>
  <w:style w:type="paragraph" w:customStyle="1" w:styleId="105">
    <w:name w:val="页眉11"/>
    <w:basedOn w:val="1"/>
    <w:link w:val="106"/>
    <w:unhideWhenUsed/>
    <w:qFormat/>
    <w:uiPriority w:val="99"/>
    <w:pPr>
      <w:tabs>
        <w:tab w:val="center" w:pos="7143"/>
        <w:tab w:val="right" w:pos="14287"/>
      </w:tabs>
      <w:spacing w:after="0" w:line="240" w:lineRule="auto"/>
    </w:pPr>
  </w:style>
  <w:style w:type="character" w:customStyle="1" w:styleId="106">
    <w:name w:val="Header Char"/>
    <w:link w:val="105"/>
    <w:qFormat/>
    <w:uiPriority w:val="99"/>
  </w:style>
  <w:style w:type="paragraph" w:customStyle="1" w:styleId="107">
    <w:name w:val="目录 111"/>
    <w:basedOn w:val="1"/>
    <w:next w:val="1"/>
    <w:unhideWhenUsed/>
    <w:qFormat/>
    <w:uiPriority w:val="39"/>
    <w:pPr>
      <w:spacing w:after="57"/>
    </w:pPr>
  </w:style>
  <w:style w:type="paragraph" w:customStyle="1" w:styleId="108">
    <w:name w:val="目录 411"/>
    <w:basedOn w:val="1"/>
    <w:next w:val="1"/>
    <w:unhideWhenUsed/>
    <w:qFormat/>
    <w:uiPriority w:val="39"/>
    <w:pPr>
      <w:spacing w:after="57"/>
      <w:ind w:left="850"/>
    </w:pPr>
  </w:style>
  <w:style w:type="paragraph" w:customStyle="1" w:styleId="109">
    <w:name w:val="副标题1"/>
    <w:basedOn w:val="1"/>
    <w:next w:val="1"/>
    <w:link w:val="110"/>
    <w:qFormat/>
    <w:uiPriority w:val="11"/>
    <w:pPr>
      <w:spacing w:before="200" w:after="200"/>
    </w:pPr>
    <w:rPr>
      <w:sz w:val="24"/>
      <w:szCs w:val="24"/>
    </w:rPr>
  </w:style>
  <w:style w:type="character" w:customStyle="1" w:styleId="110">
    <w:name w:val="Subtitle Char"/>
    <w:link w:val="109"/>
    <w:qFormat/>
    <w:uiPriority w:val="11"/>
    <w:rPr>
      <w:sz w:val="24"/>
      <w:szCs w:val="24"/>
    </w:rPr>
  </w:style>
  <w:style w:type="paragraph" w:customStyle="1" w:styleId="111">
    <w:name w:val="脚注文本1"/>
    <w:basedOn w:val="1"/>
    <w:link w:val="112"/>
    <w:unhideWhenUsed/>
    <w:qFormat/>
    <w:uiPriority w:val="99"/>
    <w:pPr>
      <w:spacing w:after="40" w:line="240" w:lineRule="auto"/>
    </w:pPr>
    <w:rPr>
      <w:sz w:val="18"/>
    </w:rPr>
  </w:style>
  <w:style w:type="character" w:customStyle="1" w:styleId="112">
    <w:name w:val="Footnote Text Char"/>
    <w:link w:val="111"/>
    <w:qFormat/>
    <w:uiPriority w:val="99"/>
    <w:rPr>
      <w:sz w:val="18"/>
    </w:rPr>
  </w:style>
  <w:style w:type="paragraph" w:customStyle="1" w:styleId="113">
    <w:name w:val="目录 611"/>
    <w:basedOn w:val="1"/>
    <w:next w:val="1"/>
    <w:unhideWhenUsed/>
    <w:qFormat/>
    <w:uiPriority w:val="39"/>
    <w:pPr>
      <w:spacing w:after="57"/>
      <w:ind w:left="1417"/>
    </w:pPr>
  </w:style>
  <w:style w:type="paragraph" w:customStyle="1" w:styleId="114">
    <w:name w:val="图表目录11"/>
    <w:basedOn w:val="1"/>
    <w:next w:val="1"/>
    <w:unhideWhenUsed/>
    <w:qFormat/>
    <w:uiPriority w:val="99"/>
    <w:pPr>
      <w:spacing w:after="0"/>
    </w:pPr>
  </w:style>
  <w:style w:type="paragraph" w:customStyle="1" w:styleId="115">
    <w:name w:val="目录 211"/>
    <w:basedOn w:val="1"/>
    <w:next w:val="1"/>
    <w:unhideWhenUsed/>
    <w:qFormat/>
    <w:uiPriority w:val="39"/>
    <w:pPr>
      <w:spacing w:after="57"/>
      <w:ind w:left="283"/>
    </w:pPr>
  </w:style>
  <w:style w:type="paragraph" w:customStyle="1" w:styleId="116">
    <w:name w:val="目录 911"/>
    <w:basedOn w:val="1"/>
    <w:next w:val="1"/>
    <w:unhideWhenUsed/>
    <w:qFormat/>
    <w:uiPriority w:val="39"/>
    <w:pPr>
      <w:spacing w:after="57"/>
      <w:ind w:left="2268"/>
    </w:pPr>
  </w:style>
  <w:style w:type="paragraph" w:customStyle="1" w:styleId="117">
    <w:name w:val="标题11"/>
    <w:basedOn w:val="1"/>
    <w:next w:val="1"/>
    <w:link w:val="118"/>
    <w:qFormat/>
    <w:uiPriority w:val="10"/>
    <w:pPr>
      <w:spacing w:before="300" w:after="200"/>
      <w:contextualSpacing/>
    </w:pPr>
    <w:rPr>
      <w:sz w:val="48"/>
      <w:szCs w:val="48"/>
    </w:rPr>
  </w:style>
  <w:style w:type="character" w:customStyle="1" w:styleId="118">
    <w:name w:val="Title Char"/>
    <w:link w:val="117"/>
    <w:qFormat/>
    <w:uiPriority w:val="10"/>
    <w:rPr>
      <w:sz w:val="48"/>
      <w:szCs w:val="48"/>
    </w:rPr>
  </w:style>
  <w:style w:type="table" w:customStyle="1" w:styleId="119">
    <w:name w:val="网格型11"/>
    <w:qFormat/>
    <w:uiPriority w:val="59"/>
    <w:tblPr>
      <w:tblCellMar>
        <w:top w:w="0" w:type="dxa"/>
        <w:left w:w="0" w:type="dxa"/>
        <w:bottom w:w="0" w:type="dxa"/>
        <w:right w:w="0" w:type="dxa"/>
      </w:tblCellMar>
    </w:tblPr>
  </w:style>
  <w:style w:type="character" w:customStyle="1" w:styleId="120">
    <w:name w:val="尾注引用1"/>
    <w:unhideWhenUsed/>
    <w:qFormat/>
    <w:uiPriority w:val="99"/>
    <w:rPr>
      <w:vertAlign w:val="superscript"/>
    </w:rPr>
  </w:style>
  <w:style w:type="character" w:customStyle="1" w:styleId="121">
    <w:name w:val="超链接111"/>
    <w:unhideWhenUsed/>
    <w:qFormat/>
    <w:uiPriority w:val="99"/>
    <w:rPr>
      <w:color w:val="0000FF"/>
      <w:u w:val="single"/>
    </w:rPr>
  </w:style>
  <w:style w:type="character" w:customStyle="1" w:styleId="122">
    <w:name w:val="脚注引用1"/>
    <w:unhideWhenUsed/>
    <w:qFormat/>
    <w:uiPriority w:val="99"/>
    <w:rPr>
      <w:vertAlign w:val="superscript"/>
    </w:rPr>
  </w:style>
  <w:style w:type="character" w:customStyle="1" w:styleId="123">
    <w:name w:val="Footer Char"/>
    <w:link w:val="103"/>
    <w:qFormat/>
    <w:uiPriority w:val="99"/>
  </w:style>
  <w:style w:type="paragraph" w:customStyle="1" w:styleId="124">
    <w:name w:val="正文文本11"/>
    <w:basedOn w:val="1"/>
    <w:next w:val="1"/>
    <w:link w:val="125"/>
    <w:qFormat/>
    <w:uiPriority w:val="0"/>
    <w:rPr>
      <w:rFonts w:ascii="楷体_GB2312" w:hAnsi="Arial" w:eastAsia="楷体_GB2312"/>
      <w:sz w:val="28"/>
      <w:szCs w:val="28"/>
      <w:lang w:eastAsia="en-US"/>
    </w:rPr>
  </w:style>
  <w:style w:type="character" w:customStyle="1" w:styleId="125">
    <w:name w:val="正文文本 Char"/>
    <w:link w:val="124"/>
    <w:qFormat/>
    <w:uiPriority w:val="0"/>
    <w:rPr>
      <w:rFonts w:ascii="楷体_GB2312" w:hAnsi="Arial" w:eastAsia="楷体_GB2312" w:cs="Times New Roman"/>
      <w:sz w:val="28"/>
      <w:szCs w:val="28"/>
    </w:rPr>
  </w:style>
  <w:style w:type="character" w:customStyle="1" w:styleId="126">
    <w:name w:val="正文首行缩进 Char"/>
    <w:link w:val="49"/>
    <w:qFormat/>
    <w:uiPriority w:val="0"/>
    <w:rPr>
      <w:rFonts w:ascii="仿宋_GB2312" w:hAnsi="Times New Roman" w:eastAsia="仿宋_GB2312" w:cs="Times New Roman"/>
      <w:sz w:val="30"/>
      <w:szCs w:val="30"/>
    </w:rPr>
  </w:style>
  <w:style w:type="character" w:customStyle="1" w:styleId="127">
    <w:name w:val="超链接1"/>
    <w:qFormat/>
    <w:uiPriority w:val="0"/>
    <w:rPr>
      <w:rFonts w:ascii="Times New Roman" w:hAnsi="Times New Roman" w:eastAsia="宋体" w:cs="Times New Roman"/>
      <w:sz w:val="21"/>
      <w:szCs w:val="24"/>
      <w:lang w:val="en-US" w:eastAsia="zh-CN" w:bidi="ar-SA"/>
    </w:rPr>
  </w:style>
  <w:style w:type="paragraph" w:styleId="128">
    <w:name w:val="List Paragraph"/>
    <w:basedOn w:val="1"/>
    <w:qFormat/>
    <w:uiPriority w:val="34"/>
    <w:pPr>
      <w:ind w:left="720"/>
      <w:contextualSpacing/>
    </w:pPr>
  </w:style>
  <w:style w:type="paragraph" w:styleId="129">
    <w:name w:val="No Spacing"/>
    <w:qFormat/>
    <w:uiPriority w:val="1"/>
    <w:rPr>
      <w:rFonts w:ascii="Times New Roman" w:hAnsi="Times New Roman" w:eastAsia="宋体" w:cs="Times New Roman"/>
      <w:lang w:val="en-US" w:eastAsia="zh-CN" w:bidi="ar-SA"/>
    </w:rPr>
  </w:style>
  <w:style w:type="paragraph" w:styleId="130">
    <w:name w:val="Quote"/>
    <w:basedOn w:val="1"/>
    <w:next w:val="1"/>
    <w:link w:val="131"/>
    <w:qFormat/>
    <w:uiPriority w:val="29"/>
    <w:pPr>
      <w:ind w:left="720" w:right="720"/>
    </w:pPr>
    <w:rPr>
      <w:i/>
    </w:rPr>
  </w:style>
  <w:style w:type="character" w:customStyle="1" w:styleId="131">
    <w:name w:val="引用 字符"/>
    <w:link w:val="130"/>
    <w:qFormat/>
    <w:uiPriority w:val="29"/>
    <w:rPr>
      <w:i/>
    </w:rPr>
  </w:style>
  <w:style w:type="paragraph" w:styleId="132">
    <w:name w:val="Intense Quote"/>
    <w:basedOn w:val="1"/>
    <w:next w:val="1"/>
    <w:link w:val="13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3">
    <w:name w:val="明显引用 字符"/>
    <w:link w:val="132"/>
    <w:qFormat/>
    <w:uiPriority w:val="30"/>
    <w:rPr>
      <w:i/>
    </w:rPr>
  </w:style>
  <w:style w:type="table" w:customStyle="1" w:styleId="134">
    <w:name w:val="Table Grid Light"/>
    <w:qFormat/>
    <w:uiPriority w:val="59"/>
    <w:tblPr>
      <w:tblCellMar>
        <w:top w:w="0" w:type="dxa"/>
        <w:left w:w="0" w:type="dxa"/>
        <w:bottom w:w="0" w:type="dxa"/>
        <w:right w:w="0" w:type="dxa"/>
      </w:tblCellMar>
    </w:tblPr>
  </w:style>
  <w:style w:type="table" w:customStyle="1" w:styleId="135">
    <w:name w:val="Grid Table 1 Light - Accent 1"/>
    <w:qFormat/>
    <w:uiPriority w:val="99"/>
    <w:tblPr>
      <w:tblCellMar>
        <w:top w:w="0" w:type="dxa"/>
        <w:left w:w="0" w:type="dxa"/>
        <w:bottom w:w="0" w:type="dxa"/>
        <w:right w:w="0" w:type="dxa"/>
      </w:tblCellMar>
    </w:tblPr>
  </w:style>
  <w:style w:type="table" w:customStyle="1" w:styleId="136">
    <w:name w:val="Grid Table 1 Light - Accent 2"/>
    <w:qFormat/>
    <w:uiPriority w:val="99"/>
    <w:tblPr>
      <w:tblCellMar>
        <w:top w:w="0" w:type="dxa"/>
        <w:left w:w="0" w:type="dxa"/>
        <w:bottom w:w="0" w:type="dxa"/>
        <w:right w:w="0" w:type="dxa"/>
      </w:tblCellMar>
    </w:tblPr>
  </w:style>
  <w:style w:type="table" w:customStyle="1" w:styleId="137">
    <w:name w:val="Grid Table 1 Light - Accent 3"/>
    <w:qFormat/>
    <w:uiPriority w:val="99"/>
    <w:tblPr>
      <w:tblCellMar>
        <w:top w:w="0" w:type="dxa"/>
        <w:left w:w="0" w:type="dxa"/>
        <w:bottom w:w="0" w:type="dxa"/>
        <w:right w:w="0" w:type="dxa"/>
      </w:tblCellMar>
    </w:tblPr>
  </w:style>
  <w:style w:type="table" w:customStyle="1" w:styleId="138">
    <w:name w:val="Grid Table 1 Light - Accent 4"/>
    <w:qFormat/>
    <w:uiPriority w:val="99"/>
    <w:tblPr>
      <w:tblCellMar>
        <w:top w:w="0" w:type="dxa"/>
        <w:left w:w="0" w:type="dxa"/>
        <w:bottom w:w="0" w:type="dxa"/>
        <w:right w:w="0" w:type="dxa"/>
      </w:tblCellMar>
    </w:tblPr>
  </w:style>
  <w:style w:type="table" w:customStyle="1" w:styleId="139">
    <w:name w:val="Grid Table 1 Light - Accent 5"/>
    <w:qFormat/>
    <w:uiPriority w:val="99"/>
    <w:tblPr>
      <w:tblCellMar>
        <w:top w:w="0" w:type="dxa"/>
        <w:left w:w="0" w:type="dxa"/>
        <w:bottom w:w="0" w:type="dxa"/>
        <w:right w:w="0" w:type="dxa"/>
      </w:tblCellMar>
    </w:tblPr>
  </w:style>
  <w:style w:type="table" w:customStyle="1" w:styleId="140">
    <w:name w:val="Grid Table 1 Light - Accent 6"/>
    <w:qFormat/>
    <w:uiPriority w:val="99"/>
    <w:tblPr>
      <w:tblCellMar>
        <w:top w:w="0" w:type="dxa"/>
        <w:left w:w="0" w:type="dxa"/>
        <w:bottom w:w="0" w:type="dxa"/>
        <w:right w:w="0" w:type="dxa"/>
      </w:tblCellMar>
    </w:tblPr>
  </w:style>
  <w:style w:type="table" w:customStyle="1" w:styleId="141">
    <w:name w:val="Grid Table 2 - Accent 1"/>
    <w:qFormat/>
    <w:uiPriority w:val="99"/>
    <w:tblPr>
      <w:tblCellMar>
        <w:top w:w="0" w:type="dxa"/>
        <w:left w:w="0" w:type="dxa"/>
        <w:bottom w:w="0" w:type="dxa"/>
        <w:right w:w="0" w:type="dxa"/>
      </w:tblCellMar>
    </w:tblPr>
  </w:style>
  <w:style w:type="table" w:customStyle="1" w:styleId="142">
    <w:name w:val="Grid Table 2 - Accent 2"/>
    <w:qFormat/>
    <w:uiPriority w:val="99"/>
    <w:tblPr>
      <w:tblCellMar>
        <w:top w:w="0" w:type="dxa"/>
        <w:left w:w="0" w:type="dxa"/>
        <w:bottom w:w="0" w:type="dxa"/>
        <w:right w:w="0" w:type="dxa"/>
      </w:tblCellMar>
    </w:tblPr>
  </w:style>
  <w:style w:type="table" w:customStyle="1" w:styleId="143">
    <w:name w:val="Grid Table 2 - Accent 3"/>
    <w:qFormat/>
    <w:uiPriority w:val="99"/>
    <w:tblPr>
      <w:tblCellMar>
        <w:top w:w="0" w:type="dxa"/>
        <w:left w:w="0" w:type="dxa"/>
        <w:bottom w:w="0" w:type="dxa"/>
        <w:right w:w="0" w:type="dxa"/>
      </w:tblCellMar>
    </w:tblPr>
  </w:style>
  <w:style w:type="table" w:customStyle="1" w:styleId="144">
    <w:name w:val="Grid Table 2 - Accent 4"/>
    <w:qFormat/>
    <w:uiPriority w:val="99"/>
    <w:tblPr>
      <w:tblCellMar>
        <w:top w:w="0" w:type="dxa"/>
        <w:left w:w="0" w:type="dxa"/>
        <w:bottom w:w="0" w:type="dxa"/>
        <w:right w:w="0" w:type="dxa"/>
      </w:tblCellMar>
    </w:tblPr>
  </w:style>
  <w:style w:type="table" w:customStyle="1" w:styleId="145">
    <w:name w:val="Grid Table 2 - Accent 5"/>
    <w:qFormat/>
    <w:uiPriority w:val="99"/>
    <w:tblPr>
      <w:tblCellMar>
        <w:top w:w="0" w:type="dxa"/>
        <w:left w:w="0" w:type="dxa"/>
        <w:bottom w:w="0" w:type="dxa"/>
        <w:right w:w="0" w:type="dxa"/>
      </w:tblCellMar>
    </w:tblPr>
  </w:style>
  <w:style w:type="table" w:customStyle="1" w:styleId="146">
    <w:name w:val="Grid Table 2 - Accent 6"/>
    <w:qFormat/>
    <w:uiPriority w:val="99"/>
    <w:tblPr>
      <w:tblCellMar>
        <w:top w:w="0" w:type="dxa"/>
        <w:left w:w="0" w:type="dxa"/>
        <w:bottom w:w="0" w:type="dxa"/>
        <w:right w:w="0" w:type="dxa"/>
      </w:tblCellMar>
    </w:tblPr>
  </w:style>
  <w:style w:type="table" w:customStyle="1" w:styleId="147">
    <w:name w:val="Grid Table 3 - Accent 1"/>
    <w:qFormat/>
    <w:uiPriority w:val="99"/>
    <w:tblPr>
      <w:tblCellMar>
        <w:top w:w="0" w:type="dxa"/>
        <w:left w:w="0" w:type="dxa"/>
        <w:bottom w:w="0" w:type="dxa"/>
        <w:right w:w="0" w:type="dxa"/>
      </w:tblCellMar>
    </w:tblPr>
  </w:style>
  <w:style w:type="table" w:customStyle="1" w:styleId="148">
    <w:name w:val="Grid Table 3 - Accent 2"/>
    <w:qFormat/>
    <w:uiPriority w:val="99"/>
    <w:tblPr>
      <w:tblCellMar>
        <w:top w:w="0" w:type="dxa"/>
        <w:left w:w="0" w:type="dxa"/>
        <w:bottom w:w="0" w:type="dxa"/>
        <w:right w:w="0" w:type="dxa"/>
      </w:tblCellMar>
    </w:tblPr>
  </w:style>
  <w:style w:type="table" w:customStyle="1" w:styleId="149">
    <w:name w:val="Grid Table 3 - Accent 3"/>
    <w:qFormat/>
    <w:uiPriority w:val="99"/>
    <w:tblPr>
      <w:tblCellMar>
        <w:top w:w="0" w:type="dxa"/>
        <w:left w:w="0" w:type="dxa"/>
        <w:bottom w:w="0" w:type="dxa"/>
        <w:right w:w="0" w:type="dxa"/>
      </w:tblCellMar>
    </w:tblPr>
  </w:style>
  <w:style w:type="table" w:customStyle="1" w:styleId="150">
    <w:name w:val="Grid Table 3 - Accent 4"/>
    <w:qFormat/>
    <w:uiPriority w:val="99"/>
    <w:tblPr>
      <w:tblCellMar>
        <w:top w:w="0" w:type="dxa"/>
        <w:left w:w="0" w:type="dxa"/>
        <w:bottom w:w="0" w:type="dxa"/>
        <w:right w:w="0" w:type="dxa"/>
      </w:tblCellMar>
    </w:tblPr>
  </w:style>
  <w:style w:type="table" w:customStyle="1" w:styleId="151">
    <w:name w:val="Grid Table 3 - Accent 5"/>
    <w:qFormat/>
    <w:uiPriority w:val="99"/>
    <w:tblPr>
      <w:tblCellMar>
        <w:top w:w="0" w:type="dxa"/>
        <w:left w:w="0" w:type="dxa"/>
        <w:bottom w:w="0" w:type="dxa"/>
        <w:right w:w="0" w:type="dxa"/>
      </w:tblCellMar>
    </w:tblPr>
  </w:style>
  <w:style w:type="table" w:customStyle="1" w:styleId="152">
    <w:name w:val="Grid Table 3 - Accent 6"/>
    <w:qFormat/>
    <w:uiPriority w:val="99"/>
    <w:tblPr>
      <w:tblCellMar>
        <w:top w:w="0" w:type="dxa"/>
        <w:left w:w="0" w:type="dxa"/>
        <w:bottom w:w="0" w:type="dxa"/>
        <w:right w:w="0" w:type="dxa"/>
      </w:tblCellMar>
    </w:tblPr>
  </w:style>
  <w:style w:type="table" w:customStyle="1" w:styleId="153">
    <w:name w:val="Grid Table 4 - Accent 1"/>
    <w:qFormat/>
    <w:uiPriority w:val="59"/>
    <w:tblPr>
      <w:tblCellMar>
        <w:top w:w="0" w:type="dxa"/>
        <w:left w:w="0" w:type="dxa"/>
        <w:bottom w:w="0" w:type="dxa"/>
        <w:right w:w="0" w:type="dxa"/>
      </w:tblCellMar>
    </w:tblPr>
  </w:style>
  <w:style w:type="table" w:customStyle="1" w:styleId="154">
    <w:name w:val="Grid Table 4 - Accent 2"/>
    <w:qFormat/>
    <w:uiPriority w:val="59"/>
    <w:tblPr>
      <w:tblCellMar>
        <w:top w:w="0" w:type="dxa"/>
        <w:left w:w="0" w:type="dxa"/>
        <w:bottom w:w="0" w:type="dxa"/>
        <w:right w:w="0" w:type="dxa"/>
      </w:tblCellMar>
    </w:tblPr>
  </w:style>
  <w:style w:type="table" w:customStyle="1" w:styleId="155">
    <w:name w:val="Grid Table 4 - Accent 3"/>
    <w:qFormat/>
    <w:uiPriority w:val="59"/>
    <w:tblPr>
      <w:tblCellMar>
        <w:top w:w="0" w:type="dxa"/>
        <w:left w:w="0" w:type="dxa"/>
        <w:bottom w:w="0" w:type="dxa"/>
        <w:right w:w="0" w:type="dxa"/>
      </w:tblCellMar>
    </w:tblPr>
  </w:style>
  <w:style w:type="table" w:customStyle="1" w:styleId="156">
    <w:name w:val="Grid Table 4 - Accent 4"/>
    <w:qFormat/>
    <w:uiPriority w:val="59"/>
    <w:tblPr>
      <w:tblCellMar>
        <w:top w:w="0" w:type="dxa"/>
        <w:left w:w="0" w:type="dxa"/>
        <w:bottom w:w="0" w:type="dxa"/>
        <w:right w:w="0" w:type="dxa"/>
      </w:tblCellMar>
    </w:tblPr>
  </w:style>
  <w:style w:type="table" w:customStyle="1" w:styleId="157">
    <w:name w:val="Grid Table 4 - Accent 5"/>
    <w:qFormat/>
    <w:uiPriority w:val="59"/>
    <w:tblPr>
      <w:tblCellMar>
        <w:top w:w="0" w:type="dxa"/>
        <w:left w:w="0" w:type="dxa"/>
        <w:bottom w:w="0" w:type="dxa"/>
        <w:right w:w="0" w:type="dxa"/>
      </w:tblCellMar>
    </w:tblPr>
  </w:style>
  <w:style w:type="table" w:customStyle="1" w:styleId="158">
    <w:name w:val="Grid Table 4 - Accent 6"/>
    <w:qFormat/>
    <w:uiPriority w:val="59"/>
    <w:tblPr>
      <w:tblCellMar>
        <w:top w:w="0" w:type="dxa"/>
        <w:left w:w="0" w:type="dxa"/>
        <w:bottom w:w="0" w:type="dxa"/>
        <w:right w:w="0" w:type="dxa"/>
      </w:tblCellMar>
    </w:tblPr>
  </w:style>
  <w:style w:type="table" w:customStyle="1" w:styleId="159">
    <w:name w:val="Grid Table 5 Dark- Accent 1"/>
    <w:qFormat/>
    <w:uiPriority w:val="99"/>
    <w:tblPr>
      <w:tblCellMar>
        <w:top w:w="0" w:type="dxa"/>
        <w:left w:w="0" w:type="dxa"/>
        <w:bottom w:w="0" w:type="dxa"/>
        <w:right w:w="0" w:type="dxa"/>
      </w:tblCellMar>
    </w:tblPr>
  </w:style>
  <w:style w:type="table" w:customStyle="1" w:styleId="160">
    <w:name w:val="Grid Table 5 Dark - Accent 2"/>
    <w:qFormat/>
    <w:uiPriority w:val="99"/>
    <w:tblPr>
      <w:tblCellMar>
        <w:top w:w="0" w:type="dxa"/>
        <w:left w:w="0" w:type="dxa"/>
        <w:bottom w:w="0" w:type="dxa"/>
        <w:right w:w="0" w:type="dxa"/>
      </w:tblCellMar>
    </w:tblPr>
  </w:style>
  <w:style w:type="table" w:customStyle="1" w:styleId="161">
    <w:name w:val="Grid Table 5 Dark - Accent 3"/>
    <w:qFormat/>
    <w:uiPriority w:val="99"/>
    <w:tblPr>
      <w:tblCellMar>
        <w:top w:w="0" w:type="dxa"/>
        <w:left w:w="0" w:type="dxa"/>
        <w:bottom w:w="0" w:type="dxa"/>
        <w:right w:w="0" w:type="dxa"/>
      </w:tblCellMar>
    </w:tblPr>
  </w:style>
  <w:style w:type="table" w:customStyle="1" w:styleId="162">
    <w:name w:val="Grid Table 5 Dark- Accent 4"/>
    <w:qFormat/>
    <w:uiPriority w:val="99"/>
    <w:tblPr>
      <w:tblCellMar>
        <w:top w:w="0" w:type="dxa"/>
        <w:left w:w="0" w:type="dxa"/>
        <w:bottom w:w="0" w:type="dxa"/>
        <w:right w:w="0" w:type="dxa"/>
      </w:tblCellMar>
    </w:tblPr>
  </w:style>
  <w:style w:type="table" w:customStyle="1" w:styleId="163">
    <w:name w:val="Grid Table 5 Dark - Accent 5"/>
    <w:qFormat/>
    <w:uiPriority w:val="99"/>
    <w:tblPr>
      <w:tblCellMar>
        <w:top w:w="0" w:type="dxa"/>
        <w:left w:w="0" w:type="dxa"/>
        <w:bottom w:w="0" w:type="dxa"/>
        <w:right w:w="0" w:type="dxa"/>
      </w:tblCellMar>
    </w:tblPr>
  </w:style>
  <w:style w:type="table" w:customStyle="1" w:styleId="164">
    <w:name w:val="Grid Table 5 Dark - Accent 6"/>
    <w:qFormat/>
    <w:uiPriority w:val="99"/>
    <w:tblPr>
      <w:tblCellMar>
        <w:top w:w="0" w:type="dxa"/>
        <w:left w:w="0" w:type="dxa"/>
        <w:bottom w:w="0" w:type="dxa"/>
        <w:right w:w="0" w:type="dxa"/>
      </w:tblCellMar>
    </w:tblPr>
  </w:style>
  <w:style w:type="table" w:customStyle="1" w:styleId="165">
    <w:name w:val="Grid Table 6 Colorful - Accent 1"/>
    <w:qFormat/>
    <w:uiPriority w:val="99"/>
    <w:tblPr>
      <w:tblCellMar>
        <w:top w:w="0" w:type="dxa"/>
        <w:left w:w="0" w:type="dxa"/>
        <w:bottom w:w="0" w:type="dxa"/>
        <w:right w:w="0" w:type="dxa"/>
      </w:tblCellMar>
    </w:tblPr>
  </w:style>
  <w:style w:type="table" w:customStyle="1" w:styleId="166">
    <w:name w:val="Grid Table 6 Colorful - Accent 2"/>
    <w:qFormat/>
    <w:uiPriority w:val="99"/>
    <w:tblPr>
      <w:tblCellMar>
        <w:top w:w="0" w:type="dxa"/>
        <w:left w:w="0" w:type="dxa"/>
        <w:bottom w:w="0" w:type="dxa"/>
        <w:right w:w="0" w:type="dxa"/>
      </w:tblCellMar>
    </w:tblPr>
  </w:style>
  <w:style w:type="table" w:customStyle="1" w:styleId="167">
    <w:name w:val="Grid Table 6 Colorful - Accent 3"/>
    <w:qFormat/>
    <w:uiPriority w:val="99"/>
    <w:tblPr>
      <w:tblCellMar>
        <w:top w:w="0" w:type="dxa"/>
        <w:left w:w="0" w:type="dxa"/>
        <w:bottom w:w="0" w:type="dxa"/>
        <w:right w:w="0" w:type="dxa"/>
      </w:tblCellMar>
    </w:tblPr>
  </w:style>
  <w:style w:type="table" w:customStyle="1" w:styleId="168">
    <w:name w:val="Grid Table 6 Colorful - Accent 4"/>
    <w:qFormat/>
    <w:uiPriority w:val="99"/>
    <w:tblPr>
      <w:tblCellMar>
        <w:top w:w="0" w:type="dxa"/>
        <w:left w:w="0" w:type="dxa"/>
        <w:bottom w:w="0" w:type="dxa"/>
        <w:right w:w="0" w:type="dxa"/>
      </w:tblCellMar>
    </w:tblPr>
  </w:style>
  <w:style w:type="table" w:customStyle="1" w:styleId="169">
    <w:name w:val="Grid Table 6 Colorful - Accent 5"/>
    <w:qFormat/>
    <w:uiPriority w:val="99"/>
    <w:tblPr>
      <w:tblCellMar>
        <w:top w:w="0" w:type="dxa"/>
        <w:left w:w="0" w:type="dxa"/>
        <w:bottom w:w="0" w:type="dxa"/>
        <w:right w:w="0" w:type="dxa"/>
      </w:tblCellMar>
    </w:tblPr>
  </w:style>
  <w:style w:type="table" w:customStyle="1" w:styleId="170">
    <w:name w:val="Grid Table 6 Colorful - Accent 6"/>
    <w:qFormat/>
    <w:uiPriority w:val="99"/>
    <w:tblPr>
      <w:tblCellMar>
        <w:top w:w="0" w:type="dxa"/>
        <w:left w:w="0" w:type="dxa"/>
        <w:bottom w:w="0" w:type="dxa"/>
        <w:right w:w="0" w:type="dxa"/>
      </w:tblCellMar>
    </w:tblPr>
  </w:style>
  <w:style w:type="table" w:customStyle="1" w:styleId="171">
    <w:name w:val="Grid Table 7 Colorful - Accent 1"/>
    <w:qFormat/>
    <w:uiPriority w:val="99"/>
    <w:tblPr>
      <w:tblCellMar>
        <w:top w:w="0" w:type="dxa"/>
        <w:left w:w="0" w:type="dxa"/>
        <w:bottom w:w="0" w:type="dxa"/>
        <w:right w:w="0" w:type="dxa"/>
      </w:tblCellMar>
    </w:tblPr>
  </w:style>
  <w:style w:type="table" w:customStyle="1" w:styleId="172">
    <w:name w:val="Grid Table 7 Colorful - Accent 2"/>
    <w:qFormat/>
    <w:uiPriority w:val="99"/>
    <w:tblPr>
      <w:tblCellMar>
        <w:top w:w="0" w:type="dxa"/>
        <w:left w:w="0" w:type="dxa"/>
        <w:bottom w:w="0" w:type="dxa"/>
        <w:right w:w="0" w:type="dxa"/>
      </w:tblCellMar>
    </w:tblPr>
  </w:style>
  <w:style w:type="table" w:customStyle="1" w:styleId="173">
    <w:name w:val="Grid Table 7 Colorful - Accent 3"/>
    <w:qFormat/>
    <w:uiPriority w:val="99"/>
    <w:tblPr>
      <w:tblCellMar>
        <w:top w:w="0" w:type="dxa"/>
        <w:left w:w="0" w:type="dxa"/>
        <w:bottom w:w="0" w:type="dxa"/>
        <w:right w:w="0" w:type="dxa"/>
      </w:tblCellMar>
    </w:tblPr>
  </w:style>
  <w:style w:type="table" w:customStyle="1" w:styleId="174">
    <w:name w:val="Grid Table 7 Colorful - Accent 4"/>
    <w:qFormat/>
    <w:uiPriority w:val="99"/>
    <w:tblPr>
      <w:tblCellMar>
        <w:top w:w="0" w:type="dxa"/>
        <w:left w:w="0" w:type="dxa"/>
        <w:bottom w:w="0" w:type="dxa"/>
        <w:right w:w="0" w:type="dxa"/>
      </w:tblCellMar>
    </w:tblPr>
  </w:style>
  <w:style w:type="table" w:customStyle="1" w:styleId="175">
    <w:name w:val="Grid Table 7 Colorful - Accent 5"/>
    <w:qFormat/>
    <w:uiPriority w:val="99"/>
    <w:tblPr>
      <w:tblCellMar>
        <w:top w:w="0" w:type="dxa"/>
        <w:left w:w="0" w:type="dxa"/>
        <w:bottom w:w="0" w:type="dxa"/>
        <w:right w:w="0" w:type="dxa"/>
      </w:tblCellMar>
    </w:tblPr>
  </w:style>
  <w:style w:type="table" w:customStyle="1" w:styleId="176">
    <w:name w:val="Grid Table 7 Colorful - Accent 6"/>
    <w:qFormat/>
    <w:uiPriority w:val="99"/>
    <w:tblPr>
      <w:tblCellMar>
        <w:top w:w="0" w:type="dxa"/>
        <w:left w:w="0" w:type="dxa"/>
        <w:bottom w:w="0" w:type="dxa"/>
        <w:right w:w="0" w:type="dxa"/>
      </w:tblCellMar>
    </w:tblPr>
  </w:style>
  <w:style w:type="table" w:customStyle="1" w:styleId="177">
    <w:name w:val="List Table 1 Light - Accent 1"/>
    <w:qFormat/>
    <w:uiPriority w:val="99"/>
    <w:tblPr>
      <w:tblCellMar>
        <w:top w:w="0" w:type="dxa"/>
        <w:left w:w="0" w:type="dxa"/>
        <w:bottom w:w="0" w:type="dxa"/>
        <w:right w:w="0" w:type="dxa"/>
      </w:tblCellMar>
    </w:tblPr>
  </w:style>
  <w:style w:type="table" w:customStyle="1" w:styleId="178">
    <w:name w:val="List Table 1 Light - Accent 2"/>
    <w:qFormat/>
    <w:uiPriority w:val="99"/>
    <w:tblPr>
      <w:tblCellMar>
        <w:top w:w="0" w:type="dxa"/>
        <w:left w:w="0" w:type="dxa"/>
        <w:bottom w:w="0" w:type="dxa"/>
        <w:right w:w="0" w:type="dxa"/>
      </w:tblCellMar>
    </w:tblPr>
  </w:style>
  <w:style w:type="table" w:customStyle="1" w:styleId="179">
    <w:name w:val="List Table 1 Light - Accent 3"/>
    <w:qFormat/>
    <w:uiPriority w:val="99"/>
    <w:tblPr>
      <w:tblCellMar>
        <w:top w:w="0" w:type="dxa"/>
        <w:left w:w="0" w:type="dxa"/>
        <w:bottom w:w="0" w:type="dxa"/>
        <w:right w:w="0" w:type="dxa"/>
      </w:tblCellMar>
    </w:tblPr>
  </w:style>
  <w:style w:type="table" w:customStyle="1" w:styleId="180">
    <w:name w:val="List Table 1 Light - Accent 4"/>
    <w:qFormat/>
    <w:uiPriority w:val="99"/>
    <w:tblPr>
      <w:tblCellMar>
        <w:top w:w="0" w:type="dxa"/>
        <w:left w:w="0" w:type="dxa"/>
        <w:bottom w:w="0" w:type="dxa"/>
        <w:right w:w="0" w:type="dxa"/>
      </w:tblCellMar>
    </w:tblPr>
  </w:style>
  <w:style w:type="table" w:customStyle="1" w:styleId="181">
    <w:name w:val="List Table 1 Light - Accent 5"/>
    <w:qFormat/>
    <w:uiPriority w:val="99"/>
    <w:tblPr>
      <w:tblCellMar>
        <w:top w:w="0" w:type="dxa"/>
        <w:left w:w="0" w:type="dxa"/>
        <w:bottom w:w="0" w:type="dxa"/>
        <w:right w:w="0" w:type="dxa"/>
      </w:tblCellMar>
    </w:tblPr>
  </w:style>
  <w:style w:type="table" w:customStyle="1" w:styleId="182">
    <w:name w:val="List Table 1 Light - Accent 6"/>
    <w:qFormat/>
    <w:uiPriority w:val="99"/>
    <w:tblPr>
      <w:tblCellMar>
        <w:top w:w="0" w:type="dxa"/>
        <w:left w:w="0" w:type="dxa"/>
        <w:bottom w:w="0" w:type="dxa"/>
        <w:right w:w="0" w:type="dxa"/>
      </w:tblCellMar>
    </w:tblPr>
  </w:style>
  <w:style w:type="table" w:customStyle="1" w:styleId="183">
    <w:name w:val="List Table 2 - Accent 1"/>
    <w:qFormat/>
    <w:uiPriority w:val="99"/>
    <w:tblPr>
      <w:tblCellMar>
        <w:top w:w="0" w:type="dxa"/>
        <w:left w:w="0" w:type="dxa"/>
        <w:bottom w:w="0" w:type="dxa"/>
        <w:right w:w="0" w:type="dxa"/>
      </w:tblCellMar>
    </w:tblPr>
  </w:style>
  <w:style w:type="table" w:customStyle="1" w:styleId="184">
    <w:name w:val="List Table 2 - Accent 2"/>
    <w:qFormat/>
    <w:uiPriority w:val="99"/>
    <w:tblPr>
      <w:tblCellMar>
        <w:top w:w="0" w:type="dxa"/>
        <w:left w:w="0" w:type="dxa"/>
        <w:bottom w:w="0" w:type="dxa"/>
        <w:right w:w="0" w:type="dxa"/>
      </w:tblCellMar>
    </w:tblPr>
  </w:style>
  <w:style w:type="table" w:customStyle="1" w:styleId="185">
    <w:name w:val="List Table 2 - Accent 3"/>
    <w:qFormat/>
    <w:uiPriority w:val="99"/>
    <w:tblPr>
      <w:tblCellMar>
        <w:top w:w="0" w:type="dxa"/>
        <w:left w:w="0" w:type="dxa"/>
        <w:bottom w:w="0" w:type="dxa"/>
        <w:right w:w="0" w:type="dxa"/>
      </w:tblCellMar>
    </w:tblPr>
  </w:style>
  <w:style w:type="table" w:customStyle="1" w:styleId="186">
    <w:name w:val="List Table 2 - Accent 4"/>
    <w:qFormat/>
    <w:uiPriority w:val="99"/>
    <w:tblPr>
      <w:tblCellMar>
        <w:top w:w="0" w:type="dxa"/>
        <w:left w:w="0" w:type="dxa"/>
        <w:bottom w:w="0" w:type="dxa"/>
        <w:right w:w="0" w:type="dxa"/>
      </w:tblCellMar>
    </w:tblPr>
  </w:style>
  <w:style w:type="table" w:customStyle="1" w:styleId="187">
    <w:name w:val="List Table 2 - Accent 5"/>
    <w:qFormat/>
    <w:uiPriority w:val="99"/>
    <w:tblPr>
      <w:tblCellMar>
        <w:top w:w="0" w:type="dxa"/>
        <w:left w:w="0" w:type="dxa"/>
        <w:bottom w:w="0" w:type="dxa"/>
        <w:right w:w="0" w:type="dxa"/>
      </w:tblCellMar>
    </w:tblPr>
  </w:style>
  <w:style w:type="table" w:customStyle="1" w:styleId="188">
    <w:name w:val="List Table 2 - Accent 6"/>
    <w:qFormat/>
    <w:uiPriority w:val="99"/>
    <w:tblPr>
      <w:tblCellMar>
        <w:top w:w="0" w:type="dxa"/>
        <w:left w:w="0" w:type="dxa"/>
        <w:bottom w:w="0" w:type="dxa"/>
        <w:right w:w="0" w:type="dxa"/>
      </w:tblCellMar>
    </w:tblPr>
  </w:style>
  <w:style w:type="table" w:customStyle="1" w:styleId="189">
    <w:name w:val="List Table 3 - Accent 1"/>
    <w:qFormat/>
    <w:uiPriority w:val="99"/>
    <w:tblPr>
      <w:tblCellMar>
        <w:top w:w="0" w:type="dxa"/>
        <w:left w:w="0" w:type="dxa"/>
        <w:bottom w:w="0" w:type="dxa"/>
        <w:right w:w="0" w:type="dxa"/>
      </w:tblCellMar>
    </w:tblPr>
  </w:style>
  <w:style w:type="table" w:customStyle="1" w:styleId="190">
    <w:name w:val="List Table 3 - Accent 2"/>
    <w:qFormat/>
    <w:uiPriority w:val="99"/>
    <w:tblPr>
      <w:tblCellMar>
        <w:top w:w="0" w:type="dxa"/>
        <w:left w:w="0" w:type="dxa"/>
        <w:bottom w:w="0" w:type="dxa"/>
        <w:right w:w="0" w:type="dxa"/>
      </w:tblCellMar>
    </w:tblPr>
  </w:style>
  <w:style w:type="table" w:customStyle="1" w:styleId="191">
    <w:name w:val="List Table 3 - Accent 3"/>
    <w:qFormat/>
    <w:uiPriority w:val="99"/>
    <w:tblPr>
      <w:tblCellMar>
        <w:top w:w="0" w:type="dxa"/>
        <w:left w:w="0" w:type="dxa"/>
        <w:bottom w:w="0" w:type="dxa"/>
        <w:right w:w="0" w:type="dxa"/>
      </w:tblCellMar>
    </w:tblPr>
  </w:style>
  <w:style w:type="table" w:customStyle="1" w:styleId="192">
    <w:name w:val="List Table 3 - Accent 4"/>
    <w:qFormat/>
    <w:uiPriority w:val="99"/>
    <w:tblPr>
      <w:tblCellMar>
        <w:top w:w="0" w:type="dxa"/>
        <w:left w:w="0" w:type="dxa"/>
        <w:bottom w:w="0" w:type="dxa"/>
        <w:right w:w="0" w:type="dxa"/>
      </w:tblCellMar>
    </w:tblPr>
  </w:style>
  <w:style w:type="table" w:customStyle="1" w:styleId="193">
    <w:name w:val="List Table 3 - Accent 5"/>
    <w:qFormat/>
    <w:uiPriority w:val="99"/>
    <w:tblPr>
      <w:tblCellMar>
        <w:top w:w="0" w:type="dxa"/>
        <w:left w:w="0" w:type="dxa"/>
        <w:bottom w:w="0" w:type="dxa"/>
        <w:right w:w="0" w:type="dxa"/>
      </w:tblCellMar>
    </w:tblPr>
  </w:style>
  <w:style w:type="table" w:customStyle="1" w:styleId="194">
    <w:name w:val="List Table 3 - Accent 6"/>
    <w:qFormat/>
    <w:uiPriority w:val="99"/>
    <w:tblPr>
      <w:tblCellMar>
        <w:top w:w="0" w:type="dxa"/>
        <w:left w:w="0" w:type="dxa"/>
        <w:bottom w:w="0" w:type="dxa"/>
        <w:right w:w="0" w:type="dxa"/>
      </w:tblCellMar>
    </w:tblPr>
  </w:style>
  <w:style w:type="table" w:customStyle="1" w:styleId="195">
    <w:name w:val="List Table 4 - Accent 1"/>
    <w:qFormat/>
    <w:uiPriority w:val="99"/>
    <w:tblPr>
      <w:tblCellMar>
        <w:top w:w="0" w:type="dxa"/>
        <w:left w:w="0" w:type="dxa"/>
        <w:bottom w:w="0" w:type="dxa"/>
        <w:right w:w="0" w:type="dxa"/>
      </w:tblCellMar>
    </w:tblPr>
  </w:style>
  <w:style w:type="table" w:customStyle="1" w:styleId="196">
    <w:name w:val="List Table 4 - Accent 2"/>
    <w:qFormat/>
    <w:uiPriority w:val="99"/>
    <w:tblPr>
      <w:tblCellMar>
        <w:top w:w="0" w:type="dxa"/>
        <w:left w:w="0" w:type="dxa"/>
        <w:bottom w:w="0" w:type="dxa"/>
        <w:right w:w="0" w:type="dxa"/>
      </w:tblCellMar>
    </w:tblPr>
  </w:style>
  <w:style w:type="table" w:customStyle="1" w:styleId="197">
    <w:name w:val="List Table 4 - Accent 3"/>
    <w:qFormat/>
    <w:uiPriority w:val="99"/>
    <w:tblPr>
      <w:tblCellMar>
        <w:top w:w="0" w:type="dxa"/>
        <w:left w:w="0" w:type="dxa"/>
        <w:bottom w:w="0" w:type="dxa"/>
        <w:right w:w="0" w:type="dxa"/>
      </w:tblCellMar>
    </w:tblPr>
  </w:style>
  <w:style w:type="table" w:customStyle="1" w:styleId="198">
    <w:name w:val="List Table 4 - Accent 4"/>
    <w:qFormat/>
    <w:uiPriority w:val="99"/>
    <w:tblPr>
      <w:tblCellMar>
        <w:top w:w="0" w:type="dxa"/>
        <w:left w:w="0" w:type="dxa"/>
        <w:bottom w:w="0" w:type="dxa"/>
        <w:right w:w="0" w:type="dxa"/>
      </w:tblCellMar>
    </w:tblPr>
  </w:style>
  <w:style w:type="table" w:customStyle="1" w:styleId="199">
    <w:name w:val="List Table 4 - Accent 5"/>
    <w:qFormat/>
    <w:uiPriority w:val="99"/>
    <w:tblPr>
      <w:tblCellMar>
        <w:top w:w="0" w:type="dxa"/>
        <w:left w:w="0" w:type="dxa"/>
        <w:bottom w:w="0" w:type="dxa"/>
        <w:right w:w="0" w:type="dxa"/>
      </w:tblCellMar>
    </w:tblPr>
  </w:style>
  <w:style w:type="table" w:customStyle="1" w:styleId="200">
    <w:name w:val="List Table 4 - Accent 6"/>
    <w:qFormat/>
    <w:uiPriority w:val="99"/>
    <w:tblPr>
      <w:tblCellMar>
        <w:top w:w="0" w:type="dxa"/>
        <w:left w:w="0" w:type="dxa"/>
        <w:bottom w:w="0" w:type="dxa"/>
        <w:right w:w="0" w:type="dxa"/>
      </w:tblCellMar>
    </w:tblPr>
  </w:style>
  <w:style w:type="table" w:customStyle="1" w:styleId="201">
    <w:name w:val="List Table 5 Dark - Accent 1"/>
    <w:qFormat/>
    <w:uiPriority w:val="99"/>
    <w:tblPr>
      <w:tblCellMar>
        <w:top w:w="0" w:type="dxa"/>
        <w:left w:w="0" w:type="dxa"/>
        <w:bottom w:w="0" w:type="dxa"/>
        <w:right w:w="0" w:type="dxa"/>
      </w:tblCellMar>
    </w:tblPr>
  </w:style>
  <w:style w:type="table" w:customStyle="1" w:styleId="202">
    <w:name w:val="List Table 5 Dark - Accent 2"/>
    <w:qFormat/>
    <w:uiPriority w:val="99"/>
    <w:tblPr>
      <w:tblCellMar>
        <w:top w:w="0" w:type="dxa"/>
        <w:left w:w="0" w:type="dxa"/>
        <w:bottom w:w="0" w:type="dxa"/>
        <w:right w:w="0" w:type="dxa"/>
      </w:tblCellMar>
    </w:tblPr>
  </w:style>
  <w:style w:type="table" w:customStyle="1" w:styleId="203">
    <w:name w:val="List Table 5 Dark - Accent 3"/>
    <w:qFormat/>
    <w:uiPriority w:val="99"/>
    <w:tblPr>
      <w:tblCellMar>
        <w:top w:w="0" w:type="dxa"/>
        <w:left w:w="0" w:type="dxa"/>
        <w:bottom w:w="0" w:type="dxa"/>
        <w:right w:w="0" w:type="dxa"/>
      </w:tblCellMar>
    </w:tblPr>
  </w:style>
  <w:style w:type="table" w:customStyle="1" w:styleId="204">
    <w:name w:val="List Table 5 Dark - Accent 4"/>
    <w:qFormat/>
    <w:uiPriority w:val="99"/>
    <w:tblPr>
      <w:tblCellMar>
        <w:top w:w="0" w:type="dxa"/>
        <w:left w:w="0" w:type="dxa"/>
        <w:bottom w:w="0" w:type="dxa"/>
        <w:right w:w="0" w:type="dxa"/>
      </w:tblCellMar>
    </w:tblPr>
  </w:style>
  <w:style w:type="table" w:customStyle="1" w:styleId="205">
    <w:name w:val="List Table 5 Dark - Accent 5"/>
    <w:qFormat/>
    <w:uiPriority w:val="99"/>
    <w:tblPr>
      <w:tblCellMar>
        <w:top w:w="0" w:type="dxa"/>
        <w:left w:w="0" w:type="dxa"/>
        <w:bottom w:w="0" w:type="dxa"/>
        <w:right w:w="0" w:type="dxa"/>
      </w:tblCellMar>
    </w:tblPr>
  </w:style>
  <w:style w:type="table" w:customStyle="1" w:styleId="206">
    <w:name w:val="List Table 5 Dark - Accent 6"/>
    <w:qFormat/>
    <w:uiPriority w:val="99"/>
    <w:tblPr>
      <w:tblCellMar>
        <w:top w:w="0" w:type="dxa"/>
        <w:left w:w="0" w:type="dxa"/>
        <w:bottom w:w="0" w:type="dxa"/>
        <w:right w:w="0" w:type="dxa"/>
      </w:tblCellMar>
    </w:tblPr>
  </w:style>
  <w:style w:type="table" w:customStyle="1" w:styleId="207">
    <w:name w:val="List Table 6 Colorful - Accent 1"/>
    <w:qFormat/>
    <w:uiPriority w:val="99"/>
    <w:tblPr>
      <w:tblCellMar>
        <w:top w:w="0" w:type="dxa"/>
        <w:left w:w="0" w:type="dxa"/>
        <w:bottom w:w="0" w:type="dxa"/>
        <w:right w:w="0" w:type="dxa"/>
      </w:tblCellMar>
    </w:tblPr>
  </w:style>
  <w:style w:type="table" w:customStyle="1" w:styleId="208">
    <w:name w:val="List Table 6 Colorful - Accent 2"/>
    <w:qFormat/>
    <w:uiPriority w:val="99"/>
    <w:tblPr>
      <w:tblCellMar>
        <w:top w:w="0" w:type="dxa"/>
        <w:left w:w="0" w:type="dxa"/>
        <w:bottom w:w="0" w:type="dxa"/>
        <w:right w:w="0" w:type="dxa"/>
      </w:tblCellMar>
    </w:tblPr>
  </w:style>
  <w:style w:type="table" w:customStyle="1" w:styleId="209">
    <w:name w:val="List Table 6 Colorful - Accent 3"/>
    <w:qFormat/>
    <w:uiPriority w:val="99"/>
    <w:tblPr>
      <w:tblCellMar>
        <w:top w:w="0" w:type="dxa"/>
        <w:left w:w="0" w:type="dxa"/>
        <w:bottom w:w="0" w:type="dxa"/>
        <w:right w:w="0" w:type="dxa"/>
      </w:tblCellMar>
    </w:tblPr>
  </w:style>
  <w:style w:type="table" w:customStyle="1" w:styleId="210">
    <w:name w:val="List Table 6 Colorful - Accent 4"/>
    <w:qFormat/>
    <w:uiPriority w:val="99"/>
    <w:tblPr>
      <w:tblCellMar>
        <w:top w:w="0" w:type="dxa"/>
        <w:left w:w="0" w:type="dxa"/>
        <w:bottom w:w="0" w:type="dxa"/>
        <w:right w:w="0" w:type="dxa"/>
      </w:tblCellMar>
    </w:tblPr>
  </w:style>
  <w:style w:type="table" w:customStyle="1" w:styleId="211">
    <w:name w:val="List Table 6 Colorful - Accent 5"/>
    <w:qFormat/>
    <w:uiPriority w:val="99"/>
    <w:tblPr>
      <w:tblCellMar>
        <w:top w:w="0" w:type="dxa"/>
        <w:left w:w="0" w:type="dxa"/>
        <w:bottom w:w="0" w:type="dxa"/>
        <w:right w:w="0" w:type="dxa"/>
      </w:tblCellMar>
    </w:tblPr>
  </w:style>
  <w:style w:type="table" w:customStyle="1" w:styleId="212">
    <w:name w:val="List Table 6 Colorful - Accent 6"/>
    <w:qFormat/>
    <w:uiPriority w:val="99"/>
    <w:tblPr>
      <w:tblCellMar>
        <w:top w:w="0" w:type="dxa"/>
        <w:left w:w="0" w:type="dxa"/>
        <w:bottom w:w="0" w:type="dxa"/>
        <w:right w:w="0" w:type="dxa"/>
      </w:tblCellMar>
    </w:tblPr>
  </w:style>
  <w:style w:type="table" w:customStyle="1" w:styleId="213">
    <w:name w:val="List Table 7 Colorful - Accent 1"/>
    <w:qFormat/>
    <w:uiPriority w:val="99"/>
    <w:tblPr>
      <w:tblCellMar>
        <w:top w:w="0" w:type="dxa"/>
        <w:left w:w="0" w:type="dxa"/>
        <w:bottom w:w="0" w:type="dxa"/>
        <w:right w:w="0" w:type="dxa"/>
      </w:tblCellMar>
    </w:tblPr>
  </w:style>
  <w:style w:type="table" w:customStyle="1" w:styleId="214">
    <w:name w:val="List Table 7 Colorful - Accent 2"/>
    <w:qFormat/>
    <w:uiPriority w:val="99"/>
    <w:tblPr>
      <w:tblCellMar>
        <w:top w:w="0" w:type="dxa"/>
        <w:left w:w="0" w:type="dxa"/>
        <w:bottom w:w="0" w:type="dxa"/>
        <w:right w:w="0" w:type="dxa"/>
      </w:tblCellMar>
    </w:tblPr>
  </w:style>
  <w:style w:type="table" w:customStyle="1" w:styleId="215">
    <w:name w:val="List Table 7 Colorful - Accent 3"/>
    <w:qFormat/>
    <w:uiPriority w:val="99"/>
    <w:tblPr>
      <w:tblCellMar>
        <w:top w:w="0" w:type="dxa"/>
        <w:left w:w="0" w:type="dxa"/>
        <w:bottom w:w="0" w:type="dxa"/>
        <w:right w:w="0" w:type="dxa"/>
      </w:tblCellMar>
    </w:tblPr>
  </w:style>
  <w:style w:type="table" w:customStyle="1" w:styleId="216">
    <w:name w:val="List Table 7 Colorful - Accent 4"/>
    <w:qFormat/>
    <w:uiPriority w:val="99"/>
    <w:tblPr>
      <w:tblCellMar>
        <w:top w:w="0" w:type="dxa"/>
        <w:left w:w="0" w:type="dxa"/>
        <w:bottom w:w="0" w:type="dxa"/>
        <w:right w:w="0" w:type="dxa"/>
      </w:tblCellMar>
    </w:tblPr>
  </w:style>
  <w:style w:type="table" w:customStyle="1" w:styleId="217">
    <w:name w:val="List Table 7 Colorful - Accent 5"/>
    <w:qFormat/>
    <w:uiPriority w:val="99"/>
    <w:tblPr>
      <w:tblCellMar>
        <w:top w:w="0" w:type="dxa"/>
        <w:left w:w="0" w:type="dxa"/>
        <w:bottom w:w="0" w:type="dxa"/>
        <w:right w:w="0" w:type="dxa"/>
      </w:tblCellMar>
    </w:tblPr>
  </w:style>
  <w:style w:type="table" w:customStyle="1" w:styleId="218">
    <w:name w:val="List Table 7 Colorful - Accent 6"/>
    <w:qFormat/>
    <w:uiPriority w:val="99"/>
    <w:tblPr>
      <w:tblCellMar>
        <w:top w:w="0" w:type="dxa"/>
        <w:left w:w="0" w:type="dxa"/>
        <w:bottom w:w="0" w:type="dxa"/>
        <w:right w:w="0" w:type="dxa"/>
      </w:tblCellMar>
    </w:tblPr>
  </w:style>
  <w:style w:type="table" w:customStyle="1" w:styleId="219">
    <w:name w:val="Lined - Accent"/>
    <w:qFormat/>
    <w:uiPriority w:val="99"/>
    <w:rPr>
      <w:color w:val="404040"/>
    </w:rPr>
    <w:tblPr>
      <w:tblCellMar>
        <w:top w:w="0" w:type="dxa"/>
        <w:left w:w="0" w:type="dxa"/>
        <w:bottom w:w="0" w:type="dxa"/>
        <w:right w:w="0" w:type="dxa"/>
      </w:tblCellMar>
    </w:tblPr>
  </w:style>
  <w:style w:type="table" w:customStyle="1" w:styleId="220">
    <w:name w:val="Lined - Accent 1"/>
    <w:qFormat/>
    <w:uiPriority w:val="99"/>
    <w:rPr>
      <w:color w:val="404040"/>
    </w:rPr>
    <w:tblPr>
      <w:tblCellMar>
        <w:top w:w="0" w:type="dxa"/>
        <w:left w:w="0" w:type="dxa"/>
        <w:bottom w:w="0" w:type="dxa"/>
        <w:right w:w="0" w:type="dxa"/>
      </w:tblCellMar>
    </w:tblPr>
  </w:style>
  <w:style w:type="table" w:customStyle="1" w:styleId="221">
    <w:name w:val="Lined - Accent 2"/>
    <w:qFormat/>
    <w:uiPriority w:val="99"/>
    <w:rPr>
      <w:color w:val="404040"/>
    </w:rPr>
    <w:tblPr>
      <w:tblCellMar>
        <w:top w:w="0" w:type="dxa"/>
        <w:left w:w="0" w:type="dxa"/>
        <w:bottom w:w="0" w:type="dxa"/>
        <w:right w:w="0" w:type="dxa"/>
      </w:tblCellMar>
    </w:tblPr>
  </w:style>
  <w:style w:type="table" w:customStyle="1" w:styleId="222">
    <w:name w:val="Lined - Accent 3"/>
    <w:qFormat/>
    <w:uiPriority w:val="99"/>
    <w:rPr>
      <w:color w:val="404040"/>
    </w:rPr>
    <w:tblPr>
      <w:tblCellMar>
        <w:top w:w="0" w:type="dxa"/>
        <w:left w:w="0" w:type="dxa"/>
        <w:bottom w:w="0" w:type="dxa"/>
        <w:right w:w="0" w:type="dxa"/>
      </w:tblCellMar>
    </w:tblPr>
  </w:style>
  <w:style w:type="table" w:customStyle="1" w:styleId="223">
    <w:name w:val="Lined - Accent 4"/>
    <w:qFormat/>
    <w:uiPriority w:val="99"/>
    <w:rPr>
      <w:color w:val="404040"/>
    </w:rPr>
    <w:tblPr>
      <w:tblCellMar>
        <w:top w:w="0" w:type="dxa"/>
        <w:left w:w="0" w:type="dxa"/>
        <w:bottom w:w="0" w:type="dxa"/>
        <w:right w:w="0" w:type="dxa"/>
      </w:tblCellMar>
    </w:tblPr>
  </w:style>
  <w:style w:type="table" w:customStyle="1" w:styleId="224">
    <w:name w:val="Lined - Accent 5"/>
    <w:qFormat/>
    <w:uiPriority w:val="99"/>
    <w:rPr>
      <w:color w:val="404040"/>
    </w:rPr>
    <w:tblPr>
      <w:tblCellMar>
        <w:top w:w="0" w:type="dxa"/>
        <w:left w:w="0" w:type="dxa"/>
        <w:bottom w:w="0" w:type="dxa"/>
        <w:right w:w="0" w:type="dxa"/>
      </w:tblCellMar>
    </w:tblPr>
  </w:style>
  <w:style w:type="table" w:customStyle="1" w:styleId="225">
    <w:name w:val="Lined - Accent 6"/>
    <w:qFormat/>
    <w:uiPriority w:val="99"/>
    <w:rPr>
      <w:color w:val="404040"/>
    </w:rPr>
    <w:tblPr>
      <w:tblCellMar>
        <w:top w:w="0" w:type="dxa"/>
        <w:left w:w="0" w:type="dxa"/>
        <w:bottom w:w="0" w:type="dxa"/>
        <w:right w:w="0" w:type="dxa"/>
      </w:tblCellMar>
    </w:tblPr>
  </w:style>
  <w:style w:type="table" w:customStyle="1" w:styleId="226">
    <w:name w:val="Bordered &amp; Lined - Accent"/>
    <w:qFormat/>
    <w:uiPriority w:val="99"/>
    <w:rPr>
      <w:color w:val="404040"/>
    </w:rPr>
    <w:tblPr>
      <w:tblCellMar>
        <w:top w:w="0" w:type="dxa"/>
        <w:left w:w="0" w:type="dxa"/>
        <w:bottom w:w="0" w:type="dxa"/>
        <w:right w:w="0" w:type="dxa"/>
      </w:tblCellMar>
    </w:tblPr>
  </w:style>
  <w:style w:type="table" w:customStyle="1" w:styleId="227">
    <w:name w:val="Bordered &amp; Lined - Accent 1"/>
    <w:qFormat/>
    <w:uiPriority w:val="99"/>
    <w:rPr>
      <w:color w:val="404040"/>
    </w:rPr>
    <w:tblPr>
      <w:tblCellMar>
        <w:top w:w="0" w:type="dxa"/>
        <w:left w:w="0" w:type="dxa"/>
        <w:bottom w:w="0" w:type="dxa"/>
        <w:right w:w="0" w:type="dxa"/>
      </w:tblCellMar>
    </w:tblPr>
  </w:style>
  <w:style w:type="table" w:customStyle="1" w:styleId="228">
    <w:name w:val="Bordered &amp; Lined - Accent 2"/>
    <w:qFormat/>
    <w:uiPriority w:val="99"/>
    <w:rPr>
      <w:color w:val="404040"/>
    </w:rPr>
    <w:tblPr>
      <w:tblCellMar>
        <w:top w:w="0" w:type="dxa"/>
        <w:left w:w="0" w:type="dxa"/>
        <w:bottom w:w="0" w:type="dxa"/>
        <w:right w:w="0" w:type="dxa"/>
      </w:tblCellMar>
    </w:tblPr>
  </w:style>
  <w:style w:type="table" w:customStyle="1" w:styleId="229">
    <w:name w:val="Bordered &amp; Lined - Accent 3"/>
    <w:qFormat/>
    <w:uiPriority w:val="99"/>
    <w:rPr>
      <w:color w:val="404040"/>
    </w:rPr>
    <w:tblPr>
      <w:tblCellMar>
        <w:top w:w="0" w:type="dxa"/>
        <w:left w:w="0" w:type="dxa"/>
        <w:bottom w:w="0" w:type="dxa"/>
        <w:right w:w="0" w:type="dxa"/>
      </w:tblCellMar>
    </w:tblPr>
  </w:style>
  <w:style w:type="table" w:customStyle="1" w:styleId="230">
    <w:name w:val="Bordered &amp; Lined - Accent 4"/>
    <w:qFormat/>
    <w:uiPriority w:val="99"/>
    <w:rPr>
      <w:color w:val="404040"/>
    </w:rPr>
    <w:tblPr>
      <w:tblCellMar>
        <w:top w:w="0" w:type="dxa"/>
        <w:left w:w="0" w:type="dxa"/>
        <w:bottom w:w="0" w:type="dxa"/>
        <w:right w:w="0" w:type="dxa"/>
      </w:tblCellMar>
    </w:tblPr>
  </w:style>
  <w:style w:type="table" w:customStyle="1" w:styleId="231">
    <w:name w:val="Bordered &amp; Lined - Accent 5"/>
    <w:qFormat/>
    <w:uiPriority w:val="99"/>
    <w:rPr>
      <w:color w:val="404040"/>
    </w:rPr>
    <w:tblPr>
      <w:tblCellMar>
        <w:top w:w="0" w:type="dxa"/>
        <w:left w:w="0" w:type="dxa"/>
        <w:bottom w:w="0" w:type="dxa"/>
        <w:right w:w="0" w:type="dxa"/>
      </w:tblCellMar>
    </w:tblPr>
  </w:style>
  <w:style w:type="table" w:customStyle="1" w:styleId="232">
    <w:name w:val="Bordered &amp; Lined - Accent 6"/>
    <w:qFormat/>
    <w:uiPriority w:val="99"/>
    <w:rPr>
      <w:color w:val="404040"/>
    </w:rPr>
    <w:tblPr>
      <w:tblCellMar>
        <w:top w:w="0" w:type="dxa"/>
        <w:left w:w="0" w:type="dxa"/>
        <w:bottom w:w="0" w:type="dxa"/>
        <w:right w:w="0" w:type="dxa"/>
      </w:tblCellMar>
    </w:tblPr>
  </w:style>
  <w:style w:type="table" w:customStyle="1" w:styleId="233">
    <w:name w:val="Bordered"/>
    <w:qFormat/>
    <w:uiPriority w:val="99"/>
    <w:tblPr>
      <w:tblCellMar>
        <w:top w:w="0" w:type="dxa"/>
        <w:left w:w="0" w:type="dxa"/>
        <w:bottom w:w="0" w:type="dxa"/>
        <w:right w:w="0" w:type="dxa"/>
      </w:tblCellMar>
    </w:tblPr>
  </w:style>
  <w:style w:type="table" w:customStyle="1" w:styleId="234">
    <w:name w:val="Bordered - Accent 1"/>
    <w:qFormat/>
    <w:uiPriority w:val="99"/>
    <w:tblPr>
      <w:tblCellMar>
        <w:top w:w="0" w:type="dxa"/>
        <w:left w:w="0" w:type="dxa"/>
        <w:bottom w:w="0" w:type="dxa"/>
        <w:right w:w="0" w:type="dxa"/>
      </w:tblCellMar>
    </w:tblPr>
  </w:style>
  <w:style w:type="table" w:customStyle="1" w:styleId="235">
    <w:name w:val="Bordered - Accent 2"/>
    <w:qFormat/>
    <w:uiPriority w:val="99"/>
    <w:tblPr>
      <w:tblCellMar>
        <w:top w:w="0" w:type="dxa"/>
        <w:left w:w="0" w:type="dxa"/>
        <w:bottom w:w="0" w:type="dxa"/>
        <w:right w:w="0" w:type="dxa"/>
      </w:tblCellMar>
    </w:tblPr>
  </w:style>
  <w:style w:type="table" w:customStyle="1" w:styleId="236">
    <w:name w:val="Bordered - Accent 3"/>
    <w:qFormat/>
    <w:uiPriority w:val="99"/>
    <w:tblPr>
      <w:tblCellMar>
        <w:top w:w="0" w:type="dxa"/>
        <w:left w:w="0" w:type="dxa"/>
        <w:bottom w:w="0" w:type="dxa"/>
        <w:right w:w="0" w:type="dxa"/>
      </w:tblCellMar>
    </w:tblPr>
  </w:style>
  <w:style w:type="table" w:customStyle="1" w:styleId="237">
    <w:name w:val="Bordered - Accent 4"/>
    <w:qFormat/>
    <w:uiPriority w:val="99"/>
    <w:tblPr>
      <w:tblCellMar>
        <w:top w:w="0" w:type="dxa"/>
        <w:left w:w="0" w:type="dxa"/>
        <w:bottom w:w="0" w:type="dxa"/>
        <w:right w:w="0" w:type="dxa"/>
      </w:tblCellMar>
    </w:tblPr>
  </w:style>
  <w:style w:type="table" w:customStyle="1" w:styleId="238">
    <w:name w:val="Bordered - Accent 5"/>
    <w:qFormat/>
    <w:uiPriority w:val="99"/>
    <w:tblPr>
      <w:tblCellMar>
        <w:top w:w="0" w:type="dxa"/>
        <w:left w:w="0" w:type="dxa"/>
        <w:bottom w:w="0" w:type="dxa"/>
        <w:right w:w="0" w:type="dxa"/>
      </w:tblCellMar>
    </w:tblPr>
  </w:style>
  <w:style w:type="table" w:customStyle="1" w:styleId="239">
    <w:name w:val="Bordered - Accent 6"/>
    <w:qFormat/>
    <w:uiPriority w:val="99"/>
    <w:tblPr>
      <w:tblCellMar>
        <w:top w:w="0" w:type="dxa"/>
        <w:left w:w="0" w:type="dxa"/>
        <w:bottom w:w="0" w:type="dxa"/>
        <w:right w:w="0" w:type="dxa"/>
      </w:tblCellMar>
    </w:tblPr>
  </w:style>
  <w:style w:type="paragraph" w:customStyle="1" w:styleId="240">
    <w:name w:val="TOC 标题11"/>
    <w:unhideWhenUsed/>
    <w:qFormat/>
    <w:uiPriority w:val="39"/>
    <w:pPr>
      <w:spacing w:after="160" w:line="278" w:lineRule="auto"/>
    </w:pPr>
    <w:rPr>
      <w:rFonts w:ascii="Times New Roman" w:hAnsi="Times New Roman" w:eastAsia="宋体" w:cs="Times New Roman"/>
      <w:lang w:val="en-US" w:eastAsia="zh-CN" w:bidi="ar-SA"/>
    </w:rPr>
  </w:style>
  <w:style w:type="paragraph" w:customStyle="1" w:styleId="241">
    <w:name w:val="标题 11"/>
    <w:basedOn w:val="1"/>
    <w:next w:val="1"/>
    <w:link w:val="242"/>
    <w:qFormat/>
    <w:uiPriority w:val="0"/>
    <w:pPr>
      <w:keepNext/>
      <w:jc w:val="center"/>
      <w:outlineLvl w:val="0"/>
    </w:pPr>
    <w:rPr>
      <w:rFonts w:ascii="楷体_GB2312" w:eastAsia="楷体_GB2312"/>
      <w:sz w:val="28"/>
      <w:szCs w:val="28"/>
      <w:lang w:eastAsia="en-US"/>
    </w:rPr>
  </w:style>
  <w:style w:type="character" w:customStyle="1" w:styleId="242">
    <w:name w:val="标题 1 Char"/>
    <w:link w:val="241"/>
    <w:qFormat/>
    <w:uiPriority w:val="0"/>
    <w:rPr>
      <w:rFonts w:ascii="楷体_GB2312" w:hAnsi="Times New Roman" w:eastAsia="楷体_GB2312" w:cs="Times New Roman"/>
      <w:sz w:val="28"/>
      <w:szCs w:val="28"/>
    </w:rPr>
  </w:style>
  <w:style w:type="paragraph" w:customStyle="1" w:styleId="243">
    <w:name w:val="标题 212"/>
    <w:basedOn w:val="1"/>
    <w:next w:val="244"/>
    <w:link w:val="245"/>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244">
    <w:name w:val="正文缩进1"/>
    <w:basedOn w:val="1"/>
    <w:next w:val="1"/>
    <w:link w:val="246"/>
    <w:qFormat/>
    <w:uiPriority w:val="0"/>
    <w:pPr>
      <w:ind w:firstLine="420"/>
    </w:pPr>
    <w:rPr>
      <w:sz w:val="20"/>
      <w:szCs w:val="21"/>
      <w:lang w:eastAsia="en-US"/>
    </w:rPr>
  </w:style>
  <w:style w:type="character" w:customStyle="1" w:styleId="245">
    <w:name w:val="标题 2 Char"/>
    <w:link w:val="243"/>
    <w:qFormat/>
    <w:uiPriority w:val="0"/>
    <w:rPr>
      <w:rFonts w:ascii="Arial" w:hAnsi="Arial" w:eastAsia="幼圆" w:cs="Arial"/>
      <w:b/>
      <w:bCs/>
      <w:sz w:val="44"/>
      <w:szCs w:val="44"/>
    </w:rPr>
  </w:style>
  <w:style w:type="character" w:customStyle="1" w:styleId="246">
    <w:name w:val="正文缩进 Char"/>
    <w:link w:val="244"/>
    <w:qFormat/>
    <w:uiPriority w:val="0"/>
    <w:rPr>
      <w:szCs w:val="21"/>
    </w:rPr>
  </w:style>
  <w:style w:type="paragraph" w:customStyle="1" w:styleId="247">
    <w:name w:val="标题 31"/>
    <w:basedOn w:val="1"/>
    <w:next w:val="244"/>
    <w:link w:val="248"/>
    <w:qFormat/>
    <w:uiPriority w:val="0"/>
    <w:pPr>
      <w:keepNext/>
      <w:keepLines/>
      <w:spacing w:before="260" w:after="260" w:line="416" w:lineRule="auto"/>
      <w:outlineLvl w:val="2"/>
    </w:pPr>
    <w:rPr>
      <w:b/>
      <w:bCs/>
      <w:sz w:val="32"/>
      <w:szCs w:val="32"/>
      <w:lang w:eastAsia="en-US"/>
    </w:rPr>
  </w:style>
  <w:style w:type="character" w:customStyle="1" w:styleId="248">
    <w:name w:val="标题 3 Char"/>
    <w:link w:val="247"/>
    <w:qFormat/>
    <w:uiPriority w:val="0"/>
    <w:rPr>
      <w:rFonts w:ascii="Times New Roman" w:hAnsi="Times New Roman" w:eastAsia="宋体" w:cs="Times New Roman"/>
      <w:b/>
      <w:bCs/>
      <w:sz w:val="32"/>
      <w:szCs w:val="32"/>
    </w:rPr>
  </w:style>
  <w:style w:type="paragraph" w:customStyle="1" w:styleId="249">
    <w:name w:val="标题 41"/>
    <w:basedOn w:val="1"/>
    <w:next w:val="244"/>
    <w:link w:val="250"/>
    <w:qFormat/>
    <w:uiPriority w:val="0"/>
    <w:pPr>
      <w:keepNext/>
      <w:keepLines/>
      <w:spacing w:before="280" w:after="290" w:line="376" w:lineRule="auto"/>
      <w:outlineLvl w:val="3"/>
    </w:pPr>
    <w:rPr>
      <w:rFonts w:ascii="Arial" w:hAnsi="Arial" w:eastAsia="黑体"/>
      <w:b/>
      <w:bCs/>
      <w:sz w:val="28"/>
      <w:szCs w:val="28"/>
      <w:lang w:eastAsia="en-US"/>
    </w:rPr>
  </w:style>
  <w:style w:type="character" w:customStyle="1" w:styleId="250">
    <w:name w:val="标题 4 Char"/>
    <w:link w:val="249"/>
    <w:qFormat/>
    <w:uiPriority w:val="0"/>
    <w:rPr>
      <w:rFonts w:ascii="Arial" w:hAnsi="Arial" w:eastAsia="黑体" w:cs="Arial"/>
      <w:b/>
      <w:bCs/>
      <w:sz w:val="28"/>
      <w:szCs w:val="28"/>
    </w:rPr>
  </w:style>
  <w:style w:type="paragraph" w:customStyle="1" w:styleId="251">
    <w:name w:val="标题 51"/>
    <w:basedOn w:val="1"/>
    <w:next w:val="244"/>
    <w:link w:val="252"/>
    <w:qFormat/>
    <w:uiPriority w:val="0"/>
    <w:pPr>
      <w:keepNext/>
      <w:outlineLvl w:val="4"/>
    </w:pPr>
    <w:rPr>
      <w:rFonts w:ascii="宋体"/>
      <w:color w:val="000000"/>
      <w:sz w:val="28"/>
      <w:szCs w:val="28"/>
      <w:lang w:eastAsia="en-US"/>
    </w:rPr>
  </w:style>
  <w:style w:type="character" w:customStyle="1" w:styleId="252">
    <w:name w:val="标题 5 Char"/>
    <w:link w:val="251"/>
    <w:qFormat/>
    <w:uiPriority w:val="0"/>
    <w:rPr>
      <w:rFonts w:ascii="宋体" w:hAnsi="Times New Roman" w:eastAsia="宋体" w:cs="Times New Roman"/>
      <w:color w:val="000000"/>
      <w:sz w:val="28"/>
      <w:szCs w:val="28"/>
    </w:rPr>
  </w:style>
  <w:style w:type="paragraph" w:customStyle="1" w:styleId="253">
    <w:name w:val="标题 61"/>
    <w:basedOn w:val="1"/>
    <w:next w:val="1"/>
    <w:link w:val="254"/>
    <w:qFormat/>
    <w:uiPriority w:val="0"/>
    <w:pPr>
      <w:keepNext/>
      <w:keepLines/>
      <w:numPr>
        <w:ilvl w:val="5"/>
        <w:numId w:val="1"/>
      </w:numPr>
      <w:spacing w:before="240" w:after="64" w:line="320" w:lineRule="auto"/>
      <w:outlineLvl w:val="5"/>
    </w:pPr>
    <w:rPr>
      <w:rFonts w:ascii="Arial" w:hAnsi="Arial" w:eastAsia="黑体"/>
      <w:b/>
      <w:bCs/>
      <w:sz w:val="24"/>
      <w:szCs w:val="24"/>
      <w:lang w:eastAsia="en-US"/>
    </w:rPr>
  </w:style>
  <w:style w:type="character" w:customStyle="1" w:styleId="254">
    <w:name w:val="标题 6 Char"/>
    <w:link w:val="253"/>
    <w:qFormat/>
    <w:uiPriority w:val="0"/>
    <w:rPr>
      <w:rFonts w:ascii="Arial" w:hAnsi="Arial" w:eastAsia="黑体" w:cs="Times New Roman"/>
      <w:b/>
      <w:bCs/>
      <w:sz w:val="24"/>
      <w:szCs w:val="24"/>
    </w:rPr>
  </w:style>
  <w:style w:type="paragraph" w:customStyle="1" w:styleId="255">
    <w:name w:val="标题 71"/>
    <w:basedOn w:val="1"/>
    <w:next w:val="1"/>
    <w:link w:val="256"/>
    <w:qFormat/>
    <w:uiPriority w:val="0"/>
    <w:pPr>
      <w:keepNext/>
      <w:keepLines/>
      <w:numPr>
        <w:ilvl w:val="6"/>
        <w:numId w:val="1"/>
      </w:numPr>
      <w:spacing w:before="240" w:after="64" w:line="320" w:lineRule="auto"/>
      <w:outlineLvl w:val="6"/>
    </w:pPr>
    <w:rPr>
      <w:b/>
      <w:bCs/>
      <w:sz w:val="24"/>
      <w:szCs w:val="24"/>
      <w:lang w:eastAsia="en-US"/>
    </w:rPr>
  </w:style>
  <w:style w:type="character" w:customStyle="1" w:styleId="256">
    <w:name w:val="标题 7 Char"/>
    <w:link w:val="255"/>
    <w:qFormat/>
    <w:uiPriority w:val="0"/>
    <w:rPr>
      <w:rFonts w:ascii="Times New Roman" w:hAnsi="Times New Roman" w:eastAsia="宋体" w:cs="Times New Roman"/>
      <w:b/>
      <w:bCs/>
      <w:sz w:val="24"/>
      <w:szCs w:val="24"/>
    </w:rPr>
  </w:style>
  <w:style w:type="paragraph" w:customStyle="1" w:styleId="257">
    <w:name w:val="标题 81"/>
    <w:basedOn w:val="1"/>
    <w:next w:val="1"/>
    <w:link w:val="258"/>
    <w:qFormat/>
    <w:uiPriority w:val="0"/>
    <w:pPr>
      <w:keepNext/>
      <w:keepLines/>
      <w:numPr>
        <w:ilvl w:val="7"/>
        <w:numId w:val="1"/>
      </w:numPr>
      <w:spacing w:before="240" w:after="64" w:line="320" w:lineRule="auto"/>
      <w:outlineLvl w:val="7"/>
    </w:pPr>
    <w:rPr>
      <w:rFonts w:ascii="Arial" w:hAnsi="Arial" w:eastAsia="黑体"/>
      <w:sz w:val="24"/>
      <w:szCs w:val="24"/>
      <w:lang w:eastAsia="en-US"/>
    </w:rPr>
  </w:style>
  <w:style w:type="character" w:customStyle="1" w:styleId="258">
    <w:name w:val="标题 8 Char"/>
    <w:link w:val="257"/>
    <w:qFormat/>
    <w:uiPriority w:val="0"/>
    <w:rPr>
      <w:rFonts w:ascii="Arial" w:hAnsi="Arial" w:eastAsia="黑体" w:cs="Times New Roman"/>
      <w:sz w:val="24"/>
      <w:szCs w:val="24"/>
    </w:rPr>
  </w:style>
  <w:style w:type="paragraph" w:customStyle="1" w:styleId="259">
    <w:name w:val="标题 91"/>
    <w:basedOn w:val="1"/>
    <w:next w:val="1"/>
    <w:link w:val="260"/>
    <w:qFormat/>
    <w:uiPriority w:val="0"/>
    <w:pPr>
      <w:keepNext/>
      <w:keepLines/>
      <w:numPr>
        <w:ilvl w:val="8"/>
        <w:numId w:val="1"/>
      </w:numPr>
      <w:spacing w:before="240" w:after="64" w:line="320" w:lineRule="auto"/>
      <w:outlineLvl w:val="8"/>
    </w:pPr>
    <w:rPr>
      <w:rFonts w:ascii="Arial" w:hAnsi="Arial" w:eastAsia="黑体"/>
      <w:sz w:val="20"/>
      <w:szCs w:val="21"/>
      <w:lang w:eastAsia="en-US"/>
    </w:rPr>
  </w:style>
  <w:style w:type="character" w:customStyle="1" w:styleId="260">
    <w:name w:val="标题 9 Char"/>
    <w:link w:val="259"/>
    <w:qFormat/>
    <w:uiPriority w:val="0"/>
    <w:rPr>
      <w:rFonts w:ascii="Arial" w:hAnsi="Arial" w:eastAsia="黑体" w:cs="Times New Roman"/>
      <w:szCs w:val="21"/>
    </w:rPr>
  </w:style>
  <w:style w:type="character" w:customStyle="1" w:styleId="261">
    <w:name w:val="默认段落字体1"/>
    <w:unhideWhenUsed/>
    <w:qFormat/>
    <w:uiPriority w:val="1"/>
  </w:style>
  <w:style w:type="table" w:customStyle="1" w:styleId="262">
    <w:name w:val="普通表格1"/>
    <w:unhideWhenUsed/>
    <w:qFormat/>
    <w:uiPriority w:val="99"/>
    <w:tblPr>
      <w:tblCellMar>
        <w:top w:w="0" w:type="dxa"/>
        <w:left w:w="0" w:type="dxa"/>
        <w:bottom w:w="0" w:type="dxa"/>
        <w:right w:w="0" w:type="dxa"/>
      </w:tblCellMar>
    </w:tblPr>
  </w:style>
  <w:style w:type="paragraph" w:customStyle="1" w:styleId="263">
    <w:name w:val="列表 31"/>
    <w:basedOn w:val="1"/>
    <w:qFormat/>
    <w:uiPriority w:val="0"/>
    <w:pPr>
      <w:ind w:left="100" w:hanging="200"/>
    </w:pPr>
    <w:rPr>
      <w:szCs w:val="21"/>
    </w:rPr>
  </w:style>
  <w:style w:type="paragraph" w:customStyle="1" w:styleId="264">
    <w:name w:val="目录 71"/>
    <w:basedOn w:val="1"/>
    <w:next w:val="1"/>
    <w:semiHidden/>
    <w:qFormat/>
    <w:uiPriority w:val="0"/>
    <w:pPr>
      <w:ind w:left="1260"/>
      <w:jc w:val="left"/>
    </w:pPr>
    <w:rPr>
      <w:szCs w:val="21"/>
    </w:rPr>
  </w:style>
  <w:style w:type="paragraph" w:customStyle="1" w:styleId="265">
    <w:name w:val="文档结构图1"/>
    <w:basedOn w:val="1"/>
    <w:link w:val="266"/>
    <w:semiHidden/>
    <w:qFormat/>
    <w:uiPriority w:val="0"/>
    <w:pPr>
      <w:shd w:val="clear" w:color="auto" w:fill="000080"/>
    </w:pPr>
    <w:rPr>
      <w:sz w:val="20"/>
      <w:szCs w:val="21"/>
      <w:lang w:eastAsia="en-US"/>
    </w:rPr>
  </w:style>
  <w:style w:type="character" w:customStyle="1" w:styleId="266">
    <w:name w:val="文档结构图 Char"/>
    <w:link w:val="265"/>
    <w:semiHidden/>
    <w:qFormat/>
    <w:uiPriority w:val="0"/>
    <w:rPr>
      <w:rFonts w:ascii="Times New Roman" w:hAnsi="Times New Roman" w:eastAsia="宋体" w:cs="Times New Roman"/>
      <w:szCs w:val="21"/>
      <w:shd w:val="clear" w:color="auto" w:fill="000080"/>
    </w:rPr>
  </w:style>
  <w:style w:type="paragraph" w:customStyle="1" w:styleId="267">
    <w:name w:val="批注文字1"/>
    <w:basedOn w:val="1"/>
    <w:link w:val="268"/>
    <w:unhideWhenUsed/>
    <w:qFormat/>
    <w:uiPriority w:val="99"/>
    <w:pPr>
      <w:jc w:val="left"/>
    </w:pPr>
  </w:style>
  <w:style w:type="character" w:customStyle="1" w:styleId="268">
    <w:name w:val="批注文字 Char"/>
    <w:link w:val="267"/>
    <w:semiHidden/>
    <w:qFormat/>
    <w:uiPriority w:val="99"/>
  </w:style>
  <w:style w:type="paragraph" w:customStyle="1" w:styleId="269">
    <w:name w:val="正文文本 31"/>
    <w:basedOn w:val="1"/>
    <w:link w:val="270"/>
    <w:qFormat/>
    <w:uiPriority w:val="0"/>
    <w:rPr>
      <w:rFonts w:ascii="仿宋_GB2312" w:hAnsi="Arial" w:eastAsia="仿宋_GB2312"/>
      <w:sz w:val="32"/>
      <w:szCs w:val="32"/>
      <w:lang w:eastAsia="en-US"/>
    </w:rPr>
  </w:style>
  <w:style w:type="character" w:customStyle="1" w:styleId="270">
    <w:name w:val="正文文本 3 Char"/>
    <w:link w:val="269"/>
    <w:qFormat/>
    <w:uiPriority w:val="0"/>
    <w:rPr>
      <w:rFonts w:ascii="仿宋_GB2312" w:hAnsi="Arial" w:eastAsia="仿宋_GB2312" w:cs="Times New Roman"/>
      <w:sz w:val="32"/>
      <w:szCs w:val="32"/>
    </w:rPr>
  </w:style>
  <w:style w:type="paragraph" w:customStyle="1" w:styleId="271">
    <w:name w:val="正文文本缩进1"/>
    <w:basedOn w:val="1"/>
    <w:next w:val="272"/>
    <w:link w:val="273"/>
    <w:unhideWhenUsed/>
    <w:qFormat/>
    <w:uiPriority w:val="99"/>
    <w:pPr>
      <w:spacing w:after="120"/>
      <w:ind w:left="420"/>
    </w:pPr>
  </w:style>
  <w:style w:type="paragraph" w:customStyle="1" w:styleId="272">
    <w:name w:val="寄信人地址1"/>
    <w:basedOn w:val="1"/>
    <w:qFormat/>
    <w:uiPriority w:val="99"/>
    <w:rPr>
      <w:rFonts w:ascii="Arial" w:hAnsi="Arial"/>
    </w:rPr>
  </w:style>
  <w:style w:type="character" w:customStyle="1" w:styleId="273">
    <w:name w:val="正文文本缩进 Char"/>
    <w:link w:val="271"/>
    <w:semiHidden/>
    <w:qFormat/>
    <w:uiPriority w:val="99"/>
  </w:style>
  <w:style w:type="paragraph" w:customStyle="1" w:styleId="274">
    <w:name w:val="列表 21"/>
    <w:basedOn w:val="1"/>
    <w:qFormat/>
    <w:uiPriority w:val="0"/>
    <w:pPr>
      <w:ind w:left="100" w:hanging="200"/>
    </w:pPr>
    <w:rPr>
      <w:szCs w:val="21"/>
    </w:rPr>
  </w:style>
  <w:style w:type="paragraph" w:customStyle="1" w:styleId="275">
    <w:name w:val="目录 51"/>
    <w:basedOn w:val="1"/>
    <w:next w:val="1"/>
    <w:semiHidden/>
    <w:qFormat/>
    <w:uiPriority w:val="0"/>
    <w:pPr>
      <w:ind w:left="840"/>
      <w:jc w:val="left"/>
    </w:pPr>
    <w:rPr>
      <w:szCs w:val="21"/>
    </w:rPr>
  </w:style>
  <w:style w:type="paragraph" w:customStyle="1" w:styleId="276">
    <w:name w:val="目录 31"/>
    <w:basedOn w:val="1"/>
    <w:next w:val="1"/>
    <w:semiHidden/>
    <w:qFormat/>
    <w:uiPriority w:val="0"/>
    <w:pPr>
      <w:ind w:left="420"/>
      <w:jc w:val="left"/>
    </w:pPr>
    <w:rPr>
      <w:i/>
      <w:iCs/>
      <w:szCs w:val="24"/>
    </w:rPr>
  </w:style>
  <w:style w:type="paragraph" w:customStyle="1" w:styleId="277">
    <w:name w:val="纯文本1"/>
    <w:basedOn w:val="1"/>
    <w:link w:val="278"/>
    <w:qFormat/>
    <w:uiPriority w:val="0"/>
    <w:rPr>
      <w:rFonts w:ascii="宋体" w:hAnsi="Courier New"/>
      <w:sz w:val="20"/>
      <w:szCs w:val="21"/>
      <w:lang w:eastAsia="en-US"/>
    </w:rPr>
  </w:style>
  <w:style w:type="character" w:customStyle="1" w:styleId="278">
    <w:name w:val="纯文本 Char"/>
    <w:link w:val="277"/>
    <w:qFormat/>
    <w:uiPriority w:val="0"/>
    <w:rPr>
      <w:rFonts w:ascii="宋体" w:hAnsi="Courier New" w:eastAsia="宋体" w:cs="Courier New"/>
      <w:szCs w:val="21"/>
    </w:rPr>
  </w:style>
  <w:style w:type="paragraph" w:customStyle="1" w:styleId="279">
    <w:name w:val="目录 81"/>
    <w:basedOn w:val="1"/>
    <w:next w:val="1"/>
    <w:semiHidden/>
    <w:qFormat/>
    <w:uiPriority w:val="0"/>
    <w:pPr>
      <w:ind w:left="1470"/>
      <w:jc w:val="left"/>
    </w:pPr>
    <w:rPr>
      <w:szCs w:val="21"/>
    </w:rPr>
  </w:style>
  <w:style w:type="paragraph" w:customStyle="1" w:styleId="280">
    <w:name w:val="日期1"/>
    <w:basedOn w:val="1"/>
    <w:next w:val="1"/>
    <w:link w:val="281"/>
    <w:qFormat/>
    <w:uiPriority w:val="0"/>
    <w:rPr>
      <w:sz w:val="24"/>
      <w:szCs w:val="24"/>
      <w:lang w:eastAsia="en-US"/>
    </w:rPr>
  </w:style>
  <w:style w:type="character" w:customStyle="1" w:styleId="281">
    <w:name w:val="日期 Char"/>
    <w:link w:val="280"/>
    <w:qFormat/>
    <w:uiPriority w:val="0"/>
    <w:rPr>
      <w:rFonts w:ascii="Times New Roman" w:hAnsi="Times New Roman" w:eastAsia="宋体" w:cs="Times New Roman"/>
      <w:sz w:val="24"/>
      <w:szCs w:val="24"/>
    </w:rPr>
  </w:style>
  <w:style w:type="paragraph" w:customStyle="1" w:styleId="282">
    <w:name w:val="正文文本缩进 21"/>
    <w:basedOn w:val="1"/>
    <w:link w:val="283"/>
    <w:qFormat/>
    <w:uiPriority w:val="0"/>
    <w:pPr>
      <w:ind w:left="630" w:firstLine="645"/>
    </w:pPr>
    <w:rPr>
      <w:rFonts w:ascii="Arial" w:hAnsi="Arial" w:eastAsia="仿宋_GB2312"/>
      <w:sz w:val="32"/>
      <w:szCs w:val="32"/>
      <w:lang w:eastAsia="en-US"/>
    </w:rPr>
  </w:style>
  <w:style w:type="character" w:customStyle="1" w:styleId="283">
    <w:name w:val="正文文本缩进 2 Char"/>
    <w:link w:val="282"/>
    <w:qFormat/>
    <w:uiPriority w:val="0"/>
    <w:rPr>
      <w:rFonts w:ascii="Arial" w:hAnsi="Arial" w:eastAsia="仿宋_GB2312" w:cs="Arial"/>
      <w:sz w:val="32"/>
      <w:szCs w:val="32"/>
    </w:rPr>
  </w:style>
  <w:style w:type="paragraph" w:customStyle="1" w:styleId="284">
    <w:name w:val="批注框文本1"/>
    <w:basedOn w:val="1"/>
    <w:link w:val="285"/>
    <w:semiHidden/>
    <w:qFormat/>
    <w:uiPriority w:val="0"/>
    <w:rPr>
      <w:sz w:val="18"/>
      <w:szCs w:val="18"/>
      <w:lang w:eastAsia="en-US"/>
    </w:rPr>
  </w:style>
  <w:style w:type="character" w:customStyle="1" w:styleId="285">
    <w:name w:val="批注框文本 Char"/>
    <w:link w:val="284"/>
    <w:semiHidden/>
    <w:qFormat/>
    <w:uiPriority w:val="0"/>
    <w:rPr>
      <w:rFonts w:ascii="Times New Roman" w:hAnsi="Times New Roman" w:eastAsia="宋体" w:cs="Times New Roman"/>
      <w:sz w:val="18"/>
      <w:szCs w:val="18"/>
    </w:rPr>
  </w:style>
  <w:style w:type="paragraph" w:customStyle="1" w:styleId="286">
    <w:name w:val="页脚1"/>
    <w:basedOn w:val="1"/>
    <w:link w:val="287"/>
    <w:qFormat/>
    <w:uiPriority w:val="0"/>
    <w:pPr>
      <w:tabs>
        <w:tab w:val="center" w:pos="4153"/>
        <w:tab w:val="right" w:pos="8306"/>
      </w:tabs>
      <w:jc w:val="left"/>
    </w:pPr>
    <w:rPr>
      <w:sz w:val="18"/>
      <w:szCs w:val="18"/>
      <w:lang w:eastAsia="en-US"/>
    </w:rPr>
  </w:style>
  <w:style w:type="character" w:customStyle="1" w:styleId="287">
    <w:name w:val="页脚 Char"/>
    <w:link w:val="286"/>
    <w:qFormat/>
    <w:uiPriority w:val="0"/>
    <w:rPr>
      <w:rFonts w:ascii="Times New Roman" w:hAnsi="Times New Roman" w:eastAsia="宋体" w:cs="Times New Roman"/>
      <w:sz w:val="18"/>
      <w:szCs w:val="18"/>
    </w:rPr>
  </w:style>
  <w:style w:type="paragraph" w:customStyle="1" w:styleId="288">
    <w:name w:val="页眉1"/>
    <w:basedOn w:val="1"/>
    <w:next w:val="1"/>
    <w:link w:val="289"/>
    <w:qFormat/>
    <w:uiPriority w:val="0"/>
    <w:pPr>
      <w:pBdr>
        <w:bottom w:val="single" w:color="000000" w:sz="6" w:space="1"/>
      </w:pBdr>
      <w:tabs>
        <w:tab w:val="center" w:pos="4153"/>
        <w:tab w:val="right" w:pos="8306"/>
      </w:tabs>
      <w:jc w:val="center"/>
    </w:pPr>
    <w:rPr>
      <w:sz w:val="18"/>
      <w:szCs w:val="18"/>
      <w:lang w:eastAsia="en-US"/>
    </w:rPr>
  </w:style>
  <w:style w:type="character" w:customStyle="1" w:styleId="289">
    <w:name w:val="页眉 Char"/>
    <w:link w:val="288"/>
    <w:qFormat/>
    <w:uiPriority w:val="0"/>
    <w:rPr>
      <w:rFonts w:ascii="Times New Roman" w:hAnsi="Times New Roman" w:eastAsia="宋体" w:cs="Times New Roman"/>
      <w:sz w:val="18"/>
      <w:szCs w:val="18"/>
    </w:rPr>
  </w:style>
  <w:style w:type="paragraph" w:customStyle="1" w:styleId="290">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91">
    <w:name w:val="目录 41"/>
    <w:basedOn w:val="1"/>
    <w:next w:val="1"/>
    <w:semiHidden/>
    <w:qFormat/>
    <w:uiPriority w:val="0"/>
    <w:pPr>
      <w:ind w:left="630"/>
      <w:jc w:val="left"/>
    </w:pPr>
    <w:rPr>
      <w:szCs w:val="21"/>
    </w:rPr>
  </w:style>
  <w:style w:type="paragraph" w:customStyle="1" w:styleId="292">
    <w:name w:val="列表1"/>
    <w:basedOn w:val="1"/>
    <w:qFormat/>
    <w:uiPriority w:val="0"/>
    <w:pPr>
      <w:ind w:left="200" w:hanging="200"/>
    </w:pPr>
    <w:rPr>
      <w:szCs w:val="21"/>
    </w:rPr>
  </w:style>
  <w:style w:type="paragraph" w:customStyle="1" w:styleId="293">
    <w:name w:val="目录 61"/>
    <w:basedOn w:val="1"/>
    <w:next w:val="1"/>
    <w:semiHidden/>
    <w:qFormat/>
    <w:uiPriority w:val="0"/>
    <w:pPr>
      <w:ind w:left="1050"/>
      <w:jc w:val="left"/>
    </w:pPr>
    <w:rPr>
      <w:szCs w:val="21"/>
    </w:rPr>
  </w:style>
  <w:style w:type="paragraph" w:customStyle="1" w:styleId="294">
    <w:name w:val="正文文本缩进 31"/>
    <w:basedOn w:val="1"/>
    <w:link w:val="295"/>
    <w:qFormat/>
    <w:uiPriority w:val="0"/>
    <w:pPr>
      <w:ind w:left="645" w:firstLine="645"/>
    </w:pPr>
    <w:rPr>
      <w:rFonts w:ascii="Arial" w:hAnsi="Arial" w:eastAsia="仿宋_GB2312"/>
      <w:color w:val="FFFF00"/>
      <w:sz w:val="32"/>
      <w:szCs w:val="32"/>
      <w:lang w:eastAsia="en-US"/>
    </w:rPr>
  </w:style>
  <w:style w:type="character" w:customStyle="1" w:styleId="295">
    <w:name w:val="正文文本缩进 3 Char"/>
    <w:link w:val="294"/>
    <w:qFormat/>
    <w:uiPriority w:val="0"/>
    <w:rPr>
      <w:rFonts w:ascii="Arial" w:hAnsi="Arial" w:eastAsia="仿宋_GB2312" w:cs="Arial"/>
      <w:color w:val="FFFF00"/>
      <w:sz w:val="32"/>
      <w:szCs w:val="32"/>
    </w:rPr>
  </w:style>
  <w:style w:type="paragraph" w:customStyle="1" w:styleId="296">
    <w:name w:val="图表目录1"/>
    <w:basedOn w:val="1"/>
    <w:next w:val="1"/>
    <w:semiHidden/>
    <w:qFormat/>
    <w:uiPriority w:val="0"/>
    <w:pPr>
      <w:ind w:left="840" w:hanging="420"/>
    </w:pPr>
    <w:rPr>
      <w:szCs w:val="21"/>
    </w:rPr>
  </w:style>
  <w:style w:type="paragraph" w:customStyle="1" w:styleId="297">
    <w:name w:val="目录 21"/>
    <w:basedOn w:val="1"/>
    <w:next w:val="1"/>
    <w:semiHidden/>
    <w:qFormat/>
    <w:uiPriority w:val="0"/>
    <w:pPr>
      <w:ind w:left="210"/>
      <w:jc w:val="left"/>
    </w:pPr>
    <w:rPr>
      <w:smallCaps/>
      <w:szCs w:val="24"/>
    </w:rPr>
  </w:style>
  <w:style w:type="paragraph" w:customStyle="1" w:styleId="298">
    <w:name w:val="目录 91"/>
    <w:basedOn w:val="1"/>
    <w:next w:val="1"/>
    <w:semiHidden/>
    <w:qFormat/>
    <w:uiPriority w:val="0"/>
    <w:pPr>
      <w:ind w:left="1680"/>
      <w:jc w:val="left"/>
    </w:pPr>
    <w:rPr>
      <w:szCs w:val="21"/>
    </w:rPr>
  </w:style>
  <w:style w:type="paragraph" w:customStyle="1" w:styleId="299">
    <w:name w:val="正文文本 21"/>
    <w:basedOn w:val="1"/>
    <w:link w:val="300"/>
    <w:qFormat/>
    <w:uiPriority w:val="0"/>
    <w:pPr>
      <w:widowControl/>
      <w:jc w:val="center"/>
    </w:pPr>
    <w:rPr>
      <w:rFonts w:ascii="楷体_GB2312" w:eastAsia="楷体_GB2312"/>
      <w:sz w:val="28"/>
      <w:szCs w:val="28"/>
      <w:lang w:eastAsia="en-US"/>
    </w:rPr>
  </w:style>
  <w:style w:type="character" w:customStyle="1" w:styleId="300">
    <w:name w:val="正文文本 2 Char"/>
    <w:link w:val="299"/>
    <w:qFormat/>
    <w:uiPriority w:val="0"/>
    <w:rPr>
      <w:rFonts w:ascii="楷体_GB2312" w:hAnsi="Times New Roman" w:eastAsia="楷体_GB2312" w:cs="Times New Roman"/>
      <w:sz w:val="28"/>
      <w:szCs w:val="28"/>
    </w:rPr>
  </w:style>
  <w:style w:type="paragraph" w:customStyle="1" w:styleId="301">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02">
    <w:name w:val="索引 11"/>
    <w:basedOn w:val="1"/>
    <w:next w:val="1"/>
    <w:semiHidden/>
    <w:qFormat/>
    <w:uiPriority w:val="0"/>
    <w:pPr>
      <w:spacing w:line="240" w:lineRule="atLeast"/>
    </w:pPr>
    <w:rPr>
      <w:b/>
      <w:bCs/>
      <w:szCs w:val="21"/>
    </w:rPr>
  </w:style>
  <w:style w:type="paragraph" w:customStyle="1" w:styleId="303">
    <w:name w:val="批注主题1"/>
    <w:basedOn w:val="267"/>
    <w:next w:val="267"/>
    <w:link w:val="304"/>
    <w:semiHidden/>
    <w:qFormat/>
    <w:uiPriority w:val="0"/>
    <w:rPr>
      <w:b/>
      <w:bCs/>
      <w:sz w:val="20"/>
      <w:szCs w:val="21"/>
      <w:lang w:eastAsia="en-US"/>
    </w:rPr>
  </w:style>
  <w:style w:type="character" w:customStyle="1" w:styleId="304">
    <w:name w:val="批注主题 Char"/>
    <w:link w:val="303"/>
    <w:semiHidden/>
    <w:qFormat/>
    <w:uiPriority w:val="0"/>
    <w:rPr>
      <w:rFonts w:ascii="Times New Roman" w:hAnsi="Times New Roman" w:eastAsia="宋体" w:cs="Times New Roman"/>
      <w:b/>
      <w:bCs/>
      <w:szCs w:val="21"/>
    </w:rPr>
  </w:style>
  <w:style w:type="paragraph" w:customStyle="1" w:styleId="305">
    <w:name w:val="正文首行缩进 21"/>
    <w:basedOn w:val="271"/>
    <w:link w:val="306"/>
    <w:qFormat/>
    <w:uiPriority w:val="0"/>
    <w:pPr>
      <w:spacing w:after="0" w:line="360" w:lineRule="auto"/>
      <w:ind w:left="0" w:firstLine="420"/>
    </w:pPr>
    <w:rPr>
      <w:rFonts w:ascii="宋体" w:hAnsi="宋体"/>
      <w:sz w:val="20"/>
      <w:szCs w:val="20"/>
      <w:lang w:eastAsia="en-US"/>
    </w:rPr>
  </w:style>
  <w:style w:type="character" w:customStyle="1" w:styleId="306">
    <w:name w:val="正文首行缩进 2 Char"/>
    <w:link w:val="305"/>
    <w:qFormat/>
    <w:uiPriority w:val="0"/>
    <w:rPr>
      <w:rFonts w:ascii="宋体" w:hAnsi="宋体" w:eastAsia="宋体" w:cs="Times New Roman"/>
      <w:szCs w:val="20"/>
    </w:rPr>
  </w:style>
  <w:style w:type="table" w:customStyle="1" w:styleId="307">
    <w:name w:val="网格型1"/>
    <w:basedOn w:val="262"/>
    <w:qFormat/>
    <w:uiPriority w:val="0"/>
    <w:pPr>
      <w:widowControl w:val="0"/>
      <w:jc w:val="both"/>
    </w:pPr>
  </w:style>
  <w:style w:type="character" w:customStyle="1" w:styleId="308">
    <w:name w:val="要点1"/>
    <w:qFormat/>
    <w:uiPriority w:val="0"/>
    <w:rPr>
      <w:b/>
      <w:bCs/>
    </w:rPr>
  </w:style>
  <w:style w:type="character" w:customStyle="1" w:styleId="309">
    <w:name w:val="页码1"/>
    <w:qFormat/>
    <w:uiPriority w:val="0"/>
  </w:style>
  <w:style w:type="character" w:customStyle="1" w:styleId="310">
    <w:name w:val="已访问的超链接1"/>
    <w:qFormat/>
    <w:uiPriority w:val="0"/>
    <w:rPr>
      <w:color w:val="800080"/>
      <w:u w:val="single"/>
    </w:rPr>
  </w:style>
  <w:style w:type="character" w:customStyle="1" w:styleId="311">
    <w:name w:val="超链接11"/>
    <w:qFormat/>
    <w:uiPriority w:val="0"/>
    <w:rPr>
      <w:color w:val="0000FF"/>
      <w:u w:val="single"/>
    </w:rPr>
  </w:style>
  <w:style w:type="character" w:customStyle="1" w:styleId="312">
    <w:name w:val="批注引用1"/>
    <w:semiHidden/>
    <w:qFormat/>
    <w:uiPriority w:val="0"/>
    <w:rPr>
      <w:sz w:val="21"/>
      <w:szCs w:val="21"/>
    </w:rPr>
  </w:style>
  <w:style w:type="character" w:customStyle="1" w:styleId="313">
    <w:name w:val="font5 Char"/>
    <w:qFormat/>
    <w:uiPriority w:val="0"/>
    <w:rPr>
      <w:rFonts w:ascii="宋体" w:hAnsi="宋体" w:eastAsia="宋体"/>
      <w:sz w:val="28"/>
      <w:szCs w:val="28"/>
      <w:lang w:val="en-US" w:eastAsia="zh-CN" w:bidi="ar-SA"/>
    </w:rPr>
  </w:style>
  <w:style w:type="character" w:customStyle="1" w:styleId="314">
    <w:name w:val="二级目录 Char"/>
    <w:link w:val="315"/>
    <w:qFormat/>
    <w:uiPriority w:val="0"/>
    <w:rPr>
      <w:b/>
      <w:sz w:val="30"/>
      <w:szCs w:val="28"/>
      <w:lang w:val="en-US" w:eastAsia="zh-CN" w:bidi="ar-SA"/>
    </w:rPr>
  </w:style>
  <w:style w:type="paragraph" w:customStyle="1" w:styleId="315">
    <w:name w:val="二级目录"/>
    <w:next w:val="1"/>
    <w:link w:val="314"/>
    <w:qFormat/>
    <w:uiPriority w:val="0"/>
    <w:pPr>
      <w:numPr>
        <w:ilvl w:val="0"/>
        <w:numId w:val="2"/>
      </w:numPr>
      <w:tabs>
        <w:tab w:val="left" w:pos="1145"/>
      </w:tabs>
      <w:spacing w:after="160" w:line="278" w:lineRule="auto"/>
      <w:outlineLvl w:val="1"/>
    </w:pPr>
    <w:rPr>
      <w:rFonts w:ascii="Times New Roman" w:hAnsi="Times New Roman" w:eastAsia="宋体" w:cs="Times New Roman"/>
      <w:b/>
      <w:sz w:val="30"/>
      <w:szCs w:val="28"/>
      <w:lang w:val="en-US" w:eastAsia="zh-CN" w:bidi="ar-SA"/>
    </w:rPr>
  </w:style>
  <w:style w:type="character" w:customStyle="1" w:styleId="316">
    <w:name w:val="列出段落 Char"/>
    <w:link w:val="317"/>
    <w:qFormat/>
    <w:uiPriority w:val="0"/>
    <w:rPr>
      <w:rFonts w:ascii="Calibri" w:hAnsi="Calibri"/>
      <w:sz w:val="24"/>
      <w:szCs w:val="24"/>
      <w:lang w:eastAsia="en-US" w:bidi="en-US"/>
    </w:rPr>
  </w:style>
  <w:style w:type="paragraph" w:customStyle="1" w:styleId="317">
    <w:name w:val="列出段落1"/>
    <w:basedOn w:val="1"/>
    <w:link w:val="316"/>
    <w:qFormat/>
    <w:uiPriority w:val="0"/>
    <w:pPr>
      <w:widowControl/>
      <w:ind w:left="720"/>
      <w:contextualSpacing/>
      <w:jc w:val="left"/>
    </w:pPr>
    <w:rPr>
      <w:rFonts w:ascii="Calibri" w:hAnsi="Calibri"/>
      <w:sz w:val="24"/>
      <w:szCs w:val="24"/>
      <w:lang w:eastAsia="en-US" w:bidi="en-US"/>
    </w:rPr>
  </w:style>
  <w:style w:type="paragraph" w:customStyle="1" w:styleId="318">
    <w:name w:val="Body Text(ch)"/>
    <w:basedOn w:val="1"/>
    <w:next w:val="124"/>
    <w:qFormat/>
    <w:uiPriority w:val="0"/>
    <w:pPr>
      <w:spacing w:after="120"/>
    </w:pPr>
    <w:rPr>
      <w:rFonts w:ascii="宋体" w:hAnsi="Arial"/>
      <w:bCs/>
      <w:iCs/>
      <w:szCs w:val="24"/>
    </w:rPr>
  </w:style>
  <w:style w:type="paragraph" w:customStyle="1" w:styleId="31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21">
    <w:name w:val="Char"/>
    <w:basedOn w:val="1"/>
    <w:qFormat/>
    <w:uiPriority w:val="0"/>
    <w:pPr>
      <w:tabs>
        <w:tab w:val="left" w:pos="360"/>
      </w:tabs>
      <w:ind w:firstLine="200"/>
    </w:pPr>
    <w:rPr>
      <w:sz w:val="28"/>
      <w:szCs w:val="30"/>
    </w:rPr>
  </w:style>
  <w:style w:type="paragraph" w:customStyle="1" w:styleId="322">
    <w:name w:val="Char1"/>
    <w:basedOn w:val="265"/>
    <w:qFormat/>
    <w:uiPriority w:val="0"/>
    <w:rPr>
      <w:rFonts w:ascii="Tahoma" w:hAnsi="Tahoma"/>
      <w:sz w:val="24"/>
      <w:szCs w:val="24"/>
    </w:rPr>
  </w:style>
  <w:style w:type="paragraph" w:customStyle="1" w:styleId="32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4">
    <w:name w:val="table_lines"/>
    <w:basedOn w:val="1"/>
    <w:qFormat/>
    <w:uiPriority w:val="0"/>
    <w:pPr>
      <w:widowControl/>
      <w:jc w:val="left"/>
    </w:pPr>
    <w:rPr>
      <w:sz w:val="20"/>
      <w:szCs w:val="20"/>
      <w:lang w:val="de-DE" w:eastAsia="de-DE"/>
    </w:rPr>
  </w:style>
  <w:style w:type="paragraph" w:customStyle="1" w:styleId="325">
    <w:name w:val="附录1"/>
    <w:qFormat/>
    <w:uiPriority w:val="0"/>
    <w:pPr>
      <w:tabs>
        <w:tab w:val="left" w:pos="907"/>
      </w:tabs>
      <w:spacing w:before="240" w:after="160" w:line="600" w:lineRule="atLeast"/>
      <w:ind w:left="907" w:hanging="907"/>
    </w:pPr>
    <w:rPr>
      <w:rFonts w:ascii="Times New Roman" w:hAnsi="Times New Roman" w:eastAsia="宋体" w:cs="Times New Roman"/>
      <w:b/>
      <w:i/>
      <w:sz w:val="28"/>
      <w:lang w:val="en-US" w:eastAsia="zh-CN" w:bidi="ar-SA"/>
    </w:rPr>
  </w:style>
  <w:style w:type="paragraph" w:customStyle="1" w:styleId="32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7">
    <w:name w:val="Char Char Char Char"/>
    <w:basedOn w:val="265"/>
    <w:qFormat/>
    <w:uiPriority w:val="0"/>
    <w:pPr>
      <w:spacing w:line="360" w:lineRule="auto"/>
    </w:pPr>
    <w:rPr>
      <w:rFonts w:ascii="Tahoma" w:hAnsi="Tahoma"/>
      <w:sz w:val="24"/>
      <w:szCs w:val="24"/>
    </w:rPr>
  </w:style>
  <w:style w:type="paragraph" w:customStyle="1" w:styleId="328">
    <w:name w:val="列出段落"/>
    <w:basedOn w:val="1"/>
    <w:qFormat/>
    <w:uiPriority w:val="34"/>
    <w:pPr>
      <w:widowControl/>
      <w:ind w:left="720"/>
      <w:contextualSpacing/>
      <w:jc w:val="left"/>
    </w:pPr>
    <w:rPr>
      <w:rFonts w:ascii="Calibri" w:hAnsi="Calibri"/>
      <w:sz w:val="24"/>
      <w:szCs w:val="24"/>
      <w:lang w:eastAsia="en-US" w:bidi="en-US"/>
    </w:rPr>
  </w:style>
  <w:style w:type="paragraph" w:customStyle="1" w:styleId="329">
    <w:name w:val="4"/>
    <w:basedOn w:val="1"/>
    <w:next w:val="294"/>
    <w:qFormat/>
    <w:uiPriority w:val="0"/>
    <w:pPr>
      <w:spacing w:line="360" w:lineRule="auto"/>
      <w:ind w:firstLine="420"/>
    </w:pPr>
    <w:rPr>
      <w:color w:val="FF0000"/>
      <w:sz w:val="24"/>
      <w:szCs w:val="24"/>
    </w:rPr>
  </w:style>
  <w:style w:type="paragraph" w:customStyle="1" w:styleId="33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31">
    <w:name w:val="Char Char Char Char Char Char Char Char Char Char"/>
    <w:basedOn w:val="1"/>
    <w:qFormat/>
    <w:uiPriority w:val="0"/>
    <w:pPr>
      <w:spacing w:line="360" w:lineRule="auto"/>
    </w:pPr>
    <w:rPr>
      <w:sz w:val="24"/>
      <w:szCs w:val="20"/>
    </w:rPr>
  </w:style>
  <w:style w:type="paragraph" w:customStyle="1" w:styleId="332">
    <w:name w:val="样式1"/>
    <w:basedOn w:val="1"/>
    <w:qFormat/>
    <w:uiPriority w:val="0"/>
    <w:pPr>
      <w:numPr>
        <w:ilvl w:val="0"/>
        <w:numId w:val="3"/>
      </w:numPr>
    </w:pPr>
    <w:rPr>
      <w:rFonts w:ascii="宋体" w:hAnsi="宋体"/>
      <w:szCs w:val="21"/>
    </w:rPr>
  </w:style>
  <w:style w:type="paragraph" w:customStyle="1" w:styleId="33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9">
    <w:name w:val="Char Char Char Char Char Char Char Char"/>
    <w:basedOn w:val="1"/>
    <w:qFormat/>
    <w:uiPriority w:val="0"/>
    <w:pPr>
      <w:widowControl/>
      <w:spacing w:line="240" w:lineRule="exact"/>
      <w:jc w:val="left"/>
    </w:pPr>
    <w:rPr>
      <w:rFonts w:ascii="Verdana" w:hAnsi="Verdana"/>
      <w:sz w:val="20"/>
      <w:szCs w:val="20"/>
      <w:lang w:eastAsia="en-US"/>
    </w:rPr>
  </w:style>
  <w:style w:type="paragraph" w:customStyle="1" w:styleId="34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41">
    <w:name w:val="Char Char Char Char Char Char Char Char1"/>
    <w:basedOn w:val="1"/>
    <w:qFormat/>
    <w:uiPriority w:val="0"/>
    <w:pPr>
      <w:widowControl/>
      <w:spacing w:line="240" w:lineRule="exact"/>
      <w:jc w:val="left"/>
    </w:pPr>
    <w:rPr>
      <w:rFonts w:ascii="Verdana" w:hAnsi="Verdana"/>
      <w:sz w:val="20"/>
      <w:szCs w:val="20"/>
      <w:lang w:eastAsia="en-US"/>
    </w:rPr>
  </w:style>
  <w:style w:type="paragraph" w:customStyle="1" w:styleId="34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43">
    <w:name w:val="Char Char Char Char1"/>
    <w:basedOn w:val="265"/>
    <w:qFormat/>
    <w:uiPriority w:val="0"/>
    <w:pPr>
      <w:spacing w:line="360" w:lineRule="auto"/>
    </w:pPr>
    <w:rPr>
      <w:rFonts w:ascii="Tahoma" w:hAnsi="Tahoma"/>
      <w:sz w:val="24"/>
      <w:szCs w:val="24"/>
    </w:rPr>
  </w:style>
  <w:style w:type="paragraph" w:customStyle="1" w:styleId="344">
    <w:name w:val="table_1stline"/>
    <w:basedOn w:val="1"/>
    <w:qFormat/>
    <w:uiPriority w:val="0"/>
    <w:pPr>
      <w:widowControl/>
      <w:spacing w:before="120"/>
      <w:jc w:val="left"/>
    </w:pPr>
    <w:rPr>
      <w:bCs/>
      <w:sz w:val="20"/>
      <w:szCs w:val="20"/>
      <w:lang w:val="de-DE" w:eastAsia="de-DE"/>
    </w:rPr>
  </w:style>
  <w:style w:type="paragraph" w:customStyle="1" w:styleId="34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4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7">
    <w:name w:val="修订1"/>
    <w:semiHidden/>
    <w:qFormat/>
    <w:uiPriority w:val="99"/>
    <w:pPr>
      <w:spacing w:after="160" w:line="278" w:lineRule="auto"/>
    </w:pPr>
    <w:rPr>
      <w:rFonts w:ascii="Times New Roman" w:hAnsi="Times New Roman" w:eastAsia="宋体" w:cs="Times New Roman"/>
      <w:sz w:val="21"/>
      <w:szCs w:val="21"/>
      <w:lang w:val="en-US" w:eastAsia="zh-CN" w:bidi="ar-SA"/>
    </w:rPr>
  </w:style>
  <w:style w:type="paragraph" w:customStyle="1" w:styleId="348">
    <w:name w:val="无间隔1"/>
    <w:qFormat/>
    <w:uiPriority w:val="99"/>
    <w:pPr>
      <w:widowControl w:val="0"/>
      <w:spacing w:after="160" w:line="278" w:lineRule="auto"/>
      <w:jc w:val="both"/>
    </w:pPr>
    <w:rPr>
      <w:rFonts w:ascii="Times New Roman" w:hAnsi="Times New Roman" w:eastAsia="宋体" w:cs="Times New Roman"/>
      <w:sz w:val="21"/>
      <w:szCs w:val="21"/>
      <w:lang w:val="en-US" w:eastAsia="zh-CN" w:bidi="ar-SA"/>
    </w:rPr>
  </w:style>
  <w:style w:type="paragraph" w:customStyle="1" w:styleId="349">
    <w:name w:val="引文目录标题1"/>
    <w:basedOn w:val="1"/>
    <w:next w:val="1"/>
    <w:qFormat/>
    <w:uiPriority w:val="0"/>
    <w:pPr>
      <w:spacing w:before="120"/>
    </w:pPr>
    <w:rPr>
      <w:rFonts w:ascii="Arial" w:hAnsi="Arial"/>
      <w:sz w:val="24"/>
    </w:rPr>
  </w:style>
  <w:style w:type="paragraph" w:customStyle="1" w:styleId="350">
    <w:name w:val="段"/>
    <w:next w:val="1"/>
    <w:qFormat/>
    <w:uiPriority w:val="0"/>
    <w:pPr>
      <w:spacing w:after="160" w:line="278" w:lineRule="auto"/>
      <w:ind w:firstLine="200"/>
      <w:jc w:val="both"/>
    </w:pPr>
    <w:rPr>
      <w:rFonts w:ascii="宋体" w:hAnsi="Times New Roman" w:eastAsia="Times New Roman" w:cs="Times New Roman"/>
      <w:sz w:val="21"/>
      <w:lang w:val="en-US" w:eastAsia="zh-CN" w:bidi="ar-SA"/>
    </w:rPr>
  </w:style>
  <w:style w:type="paragraph" w:customStyle="1" w:styleId="351">
    <w:name w:val="正文首行缩进1"/>
    <w:basedOn w:val="16"/>
    <w:qFormat/>
    <w:uiPriority w:val="0"/>
    <w:pPr>
      <w:spacing w:line="360" w:lineRule="auto"/>
      <w:ind w:firstLine="200"/>
    </w:pPr>
    <w:rPr>
      <w:rFonts w:ascii="仿宋_GB2312" w:hAnsi="Times New Roman" w:eastAsia="仿宋_GB2312"/>
      <w:sz w:val="30"/>
      <w:szCs w:val="30"/>
    </w:rPr>
  </w:style>
  <w:style w:type="paragraph" w:customStyle="1" w:styleId="352">
    <w:name w:val="正文缩进2格"/>
    <w:basedOn w:val="1"/>
    <w:qFormat/>
    <w:uiPriority w:val="0"/>
    <w:pPr>
      <w:spacing w:line="600" w:lineRule="exact"/>
      <w:ind w:firstLine="639"/>
    </w:pPr>
    <w:rPr>
      <w:rFonts w:ascii="仿宋_GB2312" w:hAnsi="宋体" w:eastAsia="仿宋_GB2312"/>
      <w:sz w:val="31"/>
      <w:szCs w:val="28"/>
      <w:lang w:eastAsia="en-US"/>
    </w:rPr>
  </w:style>
  <w:style w:type="paragraph" w:customStyle="1" w:styleId="353">
    <w:name w:val="AONormal"/>
    <w:qFormat/>
    <w:uiPriority w:val="0"/>
    <w:pPr>
      <w:spacing w:after="160" w:line="400" w:lineRule="exact"/>
      <w:ind w:firstLine="440"/>
    </w:pPr>
    <w:rPr>
      <w:rFonts w:ascii="华文楷体" w:hAnsi="华文楷体" w:eastAsia="华文楷体" w:cs="华文楷体"/>
      <w:sz w:val="22"/>
      <w:szCs w:val="21"/>
      <w:lang w:val="en-US" w:eastAsia="zh-CN" w:bidi="ar-SA"/>
    </w:rPr>
  </w:style>
  <w:style w:type="paragraph" w:customStyle="1" w:styleId="354">
    <w:name w:val="普通(网站) Char"/>
    <w:basedOn w:val="1"/>
    <w:qFormat/>
    <w:uiPriority w:val="0"/>
    <w:pPr>
      <w:widowControl/>
      <w:spacing w:before="100" w:beforeAutospacing="1" w:after="100" w:afterAutospacing="1"/>
      <w:jc w:val="left"/>
    </w:pPr>
    <w:rPr>
      <w:rFonts w:ascii="宋体" w:hAnsi="宋体" w:cs="宋体"/>
      <w:sz w:val="24"/>
      <w:szCs w:val="24"/>
    </w:rPr>
  </w:style>
  <w:style w:type="paragraph" w:customStyle="1" w:styleId="355">
    <w:name w:val="普通(网站) Char Char"/>
    <w:basedOn w:val="1"/>
    <w:qFormat/>
    <w:uiPriority w:val="0"/>
    <w:pPr>
      <w:widowControl/>
      <w:spacing w:before="100" w:beforeAutospacing="1" w:after="100" w:afterAutospacing="1"/>
      <w:jc w:val="left"/>
    </w:pPr>
    <w:rPr>
      <w:rFonts w:hint="eastAsia" w:ascii="宋体" w:hAnsi="宋体"/>
      <w:sz w:val="24"/>
      <w:szCs w:val="24"/>
    </w:rPr>
  </w:style>
  <w:style w:type="paragraph" w:customStyle="1" w:styleId="356">
    <w:name w:val="正文文本2"/>
    <w:basedOn w:val="1"/>
    <w:next w:val="1"/>
    <w:qFormat/>
    <w:uiPriority w:val="0"/>
    <w:rPr>
      <w:rFonts w:ascii="楷体_GB2312" w:hAnsi="Arial" w:eastAsia="楷体_GB2312"/>
      <w:sz w:val="28"/>
      <w:szCs w:val="28"/>
    </w:rPr>
  </w:style>
  <w:style w:type="paragraph" w:customStyle="1" w:styleId="357">
    <w:name w:val="Default"/>
    <w:qFormat/>
    <w:uiPriority w:val="99"/>
    <w:pPr>
      <w:widowControl w:val="0"/>
      <w:spacing w:after="160" w:line="278" w:lineRule="auto"/>
    </w:pPr>
    <w:rPr>
      <w:rFonts w:ascii="宋体" w:hAnsi="Tahoma" w:eastAsia="宋体" w:cs="宋体"/>
      <w:b/>
      <w:bCs/>
      <w:color w:val="000000"/>
      <w:sz w:val="24"/>
      <w:szCs w:val="24"/>
      <w:lang w:val="en-US" w:eastAsia="zh-CN" w:bidi="ar-SA"/>
    </w:rPr>
  </w:style>
  <w:style w:type="paragraph" w:customStyle="1" w:styleId="358">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pPr>
    <w:rPr>
      <w:rFonts w:ascii="黑体" w:hAnsi="Courier New" w:eastAsia="黑体"/>
      <w:sz w:val="20"/>
      <w:szCs w:val="20"/>
    </w:rPr>
  </w:style>
  <w:style w:type="paragraph" w:customStyle="1" w:styleId="359">
    <w:name w:val="纯文本11"/>
    <w:basedOn w:val="1"/>
    <w:qFormat/>
    <w:uiPriority w:val="0"/>
    <w:rPr>
      <w:rFonts w:ascii="宋体" w:hAnsi="Courier New" w:cs="Courier New"/>
      <w:szCs w:val="21"/>
    </w:rPr>
  </w:style>
  <w:style w:type="paragraph" w:customStyle="1" w:styleId="360">
    <w:name w:val="标题 22"/>
    <w:basedOn w:val="1"/>
    <w:next w:val="1"/>
    <w:unhideWhenUsed/>
    <w:qFormat/>
    <w:uiPriority w:val="9"/>
    <w:pPr>
      <w:keepNext/>
      <w:keepLines/>
      <w:spacing w:before="360" w:after="200"/>
      <w:outlineLvl w:val="1"/>
    </w:pPr>
    <w:rPr>
      <w:rFonts w:ascii="Arial" w:hAnsi="Arial" w:eastAsia="Arial"/>
      <w:sz w:val="34"/>
      <w:szCs w:val="20"/>
      <w:lang w:eastAsia="en-US"/>
    </w:rPr>
  </w:style>
  <w:style w:type="character" w:customStyle="1" w:styleId="361">
    <w:name w:val="批注框文本 字符"/>
    <w:basedOn w:val="43"/>
    <w:link w:val="25"/>
    <w:qFormat/>
    <w:uiPriority w:val="0"/>
    <w:rPr>
      <w:sz w:val="18"/>
      <w:szCs w:val="18"/>
    </w:rPr>
  </w:style>
  <w:style w:type="paragraph" w:customStyle="1" w:styleId="362">
    <w:name w:val="正文首行缩进 211"/>
    <w:basedOn w:val="271"/>
    <w:unhideWhenUsed/>
    <w:qFormat/>
    <w:uiPriority w:val="0"/>
    <w:pPr>
      <w:spacing w:line="360" w:lineRule="auto"/>
      <w:ind w:left="0"/>
      <w:jc w:val="center"/>
    </w:pPr>
    <w:rPr>
      <w:rFonts w:ascii="宋体" w:hAnsi="宋体"/>
      <w:sz w:val="20"/>
    </w:rPr>
  </w:style>
  <w:style w:type="character" w:customStyle="1" w:styleId="363">
    <w:name w:val="标题 2 字符1"/>
    <w:basedOn w:val="43"/>
    <w:link w:val="3"/>
    <w:qFormat/>
    <w:uiPriority w:val="0"/>
  </w:style>
  <w:style w:type="character" w:customStyle="1" w:styleId="364">
    <w:name w:val="尾注文本 字符"/>
    <w:basedOn w:val="43"/>
    <w:link w:val="24"/>
    <w:qFormat/>
    <w:uiPriority w:val="0"/>
    <w:rPr>
      <w:rFonts w:hint="default" w:ascii="FuturaA Bk BT" w:hAnsi="FuturaA Bk BT" w:eastAsia="FuturaA Bk BT" w:cs="FuturaA Bk BT"/>
    </w:rPr>
  </w:style>
  <w:style w:type="character" w:customStyle="1" w:styleId="365">
    <w:name w:val="标题 2 字符"/>
    <w:basedOn w:val="43"/>
    <w:qFormat/>
    <w:uiPriority w:val="0"/>
    <w:rPr>
      <w:rFonts w:ascii="Arial" w:hAnsi="Arial" w:eastAsia="黑体" w:cs="Times New Roman"/>
      <w:color w:val="365F91"/>
      <w:sz w:val="40"/>
      <w:szCs w:val="40"/>
    </w:rPr>
  </w:style>
  <w:style w:type="character" w:customStyle="1" w:styleId="366">
    <w:name w:val="标题 7 字符"/>
    <w:basedOn w:val="43"/>
    <w:link w:val="8"/>
    <w:qFormat/>
    <w:uiPriority w:val="0"/>
  </w:style>
  <w:style w:type="character" w:customStyle="1" w:styleId="367">
    <w:name w:val="标题 4 字符"/>
    <w:basedOn w:val="43"/>
    <w:link w:val="5"/>
    <w:qFormat/>
    <w:uiPriority w:val="0"/>
    <w:rPr>
      <w:rFonts w:hint="default" w:ascii="Arial" w:hAnsi="Arial" w:eastAsia="宋体" w:cs="Times New Roman"/>
      <w:color w:val="365F91"/>
      <w:sz w:val="28"/>
      <w:szCs w:val="28"/>
    </w:rPr>
  </w:style>
  <w:style w:type="character" w:customStyle="1" w:styleId="368">
    <w:name w:val="批注文字 字符"/>
    <w:basedOn w:val="43"/>
    <w:link w:val="15"/>
    <w:qFormat/>
    <w:uiPriority w:val="0"/>
    <w:rPr>
      <w:rFonts w:hint="default" w:ascii="Cambria" w:hAnsi="Cambria" w:eastAsia="MS Mincho" w:cs="Times New Roman"/>
      <w:sz w:val="22"/>
      <w:szCs w:val="22"/>
      <w:lang w:eastAsia="en-US"/>
    </w:rPr>
  </w:style>
  <w:style w:type="paragraph" w:customStyle="1" w:styleId="369">
    <w:name w:val="Revision"/>
    <w:hidden/>
    <w:unhideWhenUsed/>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aa78b98c-825b-444e-b4f8-96defbdf0cdc</errorID>
      <errorWord>(</errorWord>
      <group>L1_Format</group>
      <groupName>格式问题</groupName>
      <ability>L2_HalfPunc_CN</ability>
      <abilityName>全半角问题</abilityName>
      <candidateList>
        <item>（</item>
      </candidateList>
      <explain>文本全半角错误。</explain>
      <paraID>4290660C</paraID>
      <start>41</start>
      <end>42</end>
      <status>modified</status>
      <modifiedWord>（</modifiedWord>
      <trackRevisions>false</trackRevisions>
    </reviewItem>
    <reviewItem>
      <errorID>ad0d635b-fceb-495b-ad3f-60e5d9115d67</errorID>
      <errorWord>)</errorWord>
      <group>L1_Format</group>
      <groupName>格式问题</groupName>
      <ability>L2_HalfPunc_CN</ability>
      <abilityName>全半角问题</abilityName>
      <candidateList>
        <item>）</item>
      </candidateList>
      <explain>文本全半角错误。</explain>
      <paraID>4290660C</paraID>
      <start>50</start>
      <end>51</end>
      <status>modified</status>
      <modifiedWord>）</modifiedWord>
      <trackRevisions>false</trackRevisions>
    </reviewItem>
    <reviewItem>
      <errorID>fc225a3b-5452-4d0b-a0b5-c080c4165355</errorID>
      <errorWord>(</errorWord>
      <group>L1_Format</group>
      <groupName>格式问题</groupName>
      <ability>L2_HalfPunc_CN</ability>
      <abilityName>全半角问题</abilityName>
      <candidateList>
        <item>（</item>
      </candidateList>
      <explain>文本全半角错误。</explain>
      <paraID>1B805E5F</paraID>
      <start>104</start>
      <end>105</end>
      <status>modified</status>
      <modifiedWord>（</modifiedWord>
      <trackRevisions>false</trackRevisions>
    </reviewItem>
    <reviewItem>
      <errorID>f007117e-e291-46e4-9142-3b1c97e954f9</errorID>
      <errorWord>)</errorWord>
      <group>L1_Format</group>
      <groupName>格式问题</groupName>
      <ability>L2_HalfPunc_CN</ability>
      <abilityName>全半角问题</abilityName>
      <candidateList>
        <item>）</item>
      </candidateList>
      <explain>文本全半角错误。</explain>
      <paraID>1B805E5F</paraID>
      <start>114</start>
      <end>115</end>
      <status>modified</status>
      <modifiedWord>）</modifiedWord>
      <trackRevisions>false</trackRevisions>
    </reviewItem>
    <reviewItem>
      <errorID>73ce635a-a03e-437d-8b8a-c19e0cb20b6f</errorID>
      <errorWord>09:30分</errorWord>
      <group>L1_Knowledge</group>
      <groupName>知识性问题</groupName>
      <ability>L2_Time</ability>
      <abilityName>日期时间</abilityName>
      <candidateList>
        <item>09:30</item>
      </candidateList>
      <explain>冒号时间格式（XX:XX）后不需要加“分”。</explain>
      <paraID>4CB2E26E</paraID>
      <start>11</start>
      <end>16</end>
      <status>modified</status>
      <modifiedWord>09:30</modifiedWord>
      <trackRevisions>false</trackRevisions>
    </reviewItem>
    <reviewItem>
      <errorID>c3013377-5cb5-4099-a7c9-0a798fbf4070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50FB078D</paraID>
      <start>29</start>
      <end>31</end>
      <status>modified</status>
      <modifiedWord>”“</modifiedWord>
      <trackRevisions>false</trackRevisions>
    </reviewItem>
    <reviewItem>
      <errorID>44d94c4c-ef06-424b-a8f3-7de974b70c67</errorID>
      <errorWord>(</errorWord>
      <group>L1_Format</group>
      <groupName>格式问题</groupName>
      <ability>L2_HalfPunc_CN</ability>
      <abilityName>全半角问题</abilityName>
      <candidateList>
        <item>（</item>
      </candidateList>
      <explain>文本全半角错误。</explain>
      <paraID>642580B9</paraID>
      <start>65</start>
      <end>66</end>
      <status>modified</status>
      <modifiedWord>（</modifiedWord>
      <trackRevisions>false</trackRevisions>
    </reviewItem>
    <reviewItem>
      <errorID>a33f2393-4cf4-4c09-a481-bc6ebc6cb224</errorID>
      <errorWord>)</errorWord>
      <group>L1_Format</group>
      <groupName>格式问题</groupName>
      <ability>L2_HalfPunc_CN</ability>
      <abilityName>全半角问题</abilityName>
      <candidateList>
        <item>）</item>
      </candidateList>
      <explain>文本全半角错误。</explain>
      <paraID>642580B9</paraID>
      <start>69</start>
      <end>70</end>
      <status>modified</status>
      <modifiedWord>）</modifiedWord>
      <trackRevisions>false</trackRevisions>
    </reviewItem>
    <reviewItem>
      <errorID>01b7802b-3193-4aa0-a70b-c12960bce92b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642580B9</paraID>
      <start>82</start>
      <end>83</end>
      <status>ignored</status>
      <modifiedWord/>
      <trackRevisions>false</trackRevisions>
    </reviewItem>
    <reviewItem>
      <errorID>70bfa9e9-90a0-4485-affa-5ae8fcc847bc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5138A91B</paraID>
      <start>0</start>
      <end>2</end>
      <status>modified</status>
      <modifiedWord>6.</modifiedWord>
      <trackRevisions>false</trackRevisions>
    </reviewItem>
    <reviewItem>
      <errorID>35e39338-a56f-4f34-aa65-deb1e6422d03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3B54207A</paraID>
      <start>0</start>
      <end>2</end>
      <status>modified</status>
      <modifiedWord>7.</modifiedWord>
      <trackRevisions>false</trackRevisions>
    </reviewItem>
    <reviewItem>
      <errorID>dbb42484-3b5f-4c1a-857e-6f94549beade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69F58EF</paraID>
      <start>0</start>
      <end>2</end>
      <status>modified</status>
      <modifiedWord>8.</modifiedWord>
      <trackRevisions>false</trackRevisions>
    </reviewItem>
    <reviewItem>
      <errorID>71a41b22-cffd-457a-ab76-210b158c15fb</errorID>
      <errorWord>间</errorWord>
      <group>L1_Word</group>
      <groupName>字词问题</groupName>
      <ability>L2_Typo</ability>
      <abilityName>字词错误</abilityName>
      <candidateList>
        <item>间之</item>
      </candidateList>
      <explain/>
      <paraID> 35E466B</paraID>
      <start>10</start>
      <end>12</end>
      <status>modified</status>
      <modifiedWord>间之</modifiedWord>
      <trackRevisions>false</trackRevisions>
    </reviewItem>
    <reviewItem>
      <errorID>2c3d9b1f-0fad-4eb8-ad96-4f7c37813619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3C6A74EE</paraID>
      <start>0</start>
      <end>2</end>
      <status>modified</status>
      <modifiedWord>9.</modifiedWord>
      <trackRevisions>false</trackRevisions>
    </reviewItem>
    <reviewItem>
      <errorID>9b982de1-6a3d-4333-aecb-ec769b4878fa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2C15282A</paraID>
      <start>0</start>
      <end>3</end>
      <status>modified</status>
      <modifiedWord>10.</modifiedWord>
      <trackRevisions>false</trackRevisions>
    </reviewItem>
    <reviewItem>
      <errorID>447a85c7-6427-40ea-9a3f-aef9b1f03049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6E385723</paraID>
      <start>0</start>
      <end>3</end>
      <status>modified</status>
      <modifiedWord>11.</modifiedWord>
      <trackRevisions>false</trackRevisions>
    </reviewItem>
    <reviewItem>
      <errorID>60154587-6db3-46ec-b064-a7ac954e48cf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207A9E70</paraID>
      <start>0</start>
      <end>3</end>
      <status>modified</status>
      <modifiedWord>12.</modifiedWord>
      <trackRevisions>false</trackRevisions>
    </reviewItem>
    <reviewItem>
      <errorID>d8b7bb23-fa9d-4e68-8ee5-06c229b77e93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31DFCD32</paraID>
      <start>0</start>
      <end>3</end>
      <status>modified</status>
      <modifiedWord>13.</modifiedWord>
      <trackRevisions>false</trackRevisions>
    </reviewItem>
    <reviewItem>
      <errorID>53b053a2-807b-4d3d-84d1-1877858c4a8c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2887810E</paraID>
      <start>0</start>
      <end>3</end>
      <status>modified</status>
      <modifiedWord>14.</modifiedWord>
      <trackRevisions>false</trackRevisions>
    </reviewItem>
    <reviewItem>
      <errorID>f7756abf-3982-417f-b842-277725042513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127FF4E8</paraID>
      <start>0</start>
      <end>3</end>
      <status>modified</status>
      <modifiedWord>15.</modifiedWord>
      <trackRevisions>false</trackRevisions>
    </reviewItem>
    <reviewItem>
      <errorID>6e119a98-a3bd-4593-b331-3eae5d6871a5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3B222A65</paraID>
      <start>0</start>
      <end>3</end>
      <status>modified</status>
      <modifiedWord>16.</modifiedWord>
      <trackRevisions>false</trackRevisions>
    </reviewItem>
    <reviewItem>
      <errorID>36013c78-f502-429d-9fe5-acde44c4a6e7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5EA816E0</paraID>
      <start>0</start>
      <end>3</end>
      <status>modified</status>
      <modifiedWord>17.</modifiedWord>
      <trackRevisions>false</trackRevisions>
    </reviewItem>
    <reviewItem>
      <errorID>283cc2f0-0fc0-44ca-a30e-2f99c13eb5ad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567A5AA0</paraID>
      <start>0</start>
      <end>3</end>
      <status>modified</status>
      <modifiedWord>18.</modifiedWord>
      <trackRevisions>false</trackRevisions>
    </reviewItem>
    <reviewItem>
      <errorID>9931c112-3f9d-4bde-b9b8-7b410c1a0570</errorID>
      <errorWord>做无效投标</errorWord>
      <group>L1_Word</group>
      <groupName>字词问题</groupName>
      <ability>L2_Typo</ability>
      <abilityName>字词错误</abilityName>
      <candidateList>
        <item>作无效投标</item>
      </candidateList>
      <explain/>
      <paraID> 8066A9A</paraID>
      <start>68</start>
      <end>73</end>
      <status>modified</status>
      <modifiedWord>作无效投标</modifiedWord>
      <trackRevisions>false</trackRevisions>
    </reviewItem>
    <reviewItem>
      <errorID>ff1030b8-4410-408a-8f48-a1807e072295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77690F43</paraID>
      <start>0</start>
      <end>3</end>
      <status>modified</status>
      <modifiedWord>19.</modifiedWord>
      <trackRevisions>false</trackRevisions>
    </reviewItem>
    <reviewItem>
      <errorID>e66c2c13-4707-4b99-82ce-14e7b0f2a558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50562D94</paraID>
      <start>0</start>
      <end>3</end>
      <status>modified</status>
      <modifiedWord>20.</modifiedWord>
      <trackRevisions>false</trackRevisions>
    </reviewItem>
    <reviewItem>
      <errorID>9608c5e5-6252-4cae-aee9-66e55fa3901c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2C95C8DC</paraID>
      <start>0</start>
      <end>3</end>
      <status>modified</status>
      <modifiedWord>21.</modifiedWord>
      <trackRevisions>false</trackRevisions>
    </reviewItem>
    <reviewItem>
      <errorID>72ff8aae-f266-44c7-942a-0283510d705f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52940F87</paraID>
      <start>13</start>
      <end>15</end>
      <status>modified</status>
      <modifiedWord>涉及</modifiedWord>
      <trackRevisions>false</trackRevisions>
    </reviewItem>
    <reviewItem>
      <errorID>3fb10bed-b7b9-4810-bc25-319ab9b8645b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2224FDD5</paraID>
      <start>0</start>
      <end>3</end>
      <status>modified</status>
      <modifiedWord>22.</modifiedWord>
      <trackRevisions>false</trackRevisions>
    </reviewItem>
    <reviewItem>
      <errorID>e563125c-6bb5-4ded-80c8-a714954f5f3e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13D17909</paraID>
      <start>0</start>
      <end>3</end>
      <status>modified</status>
      <modifiedWord>23.</modifiedWord>
      <trackRevisions>false</trackRevisions>
    </reviewItem>
    <reviewItem>
      <errorID>af7ed9f0-11d1-4a1d-a9e4-171100f709c5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58D081D9</paraID>
      <start>0</start>
      <end>3</end>
      <status>modified</status>
      <modifiedWord>24.</modifiedWord>
      <trackRevisions>false</trackRevisions>
    </reviewItem>
    <reviewItem>
      <errorID>1c1a6199-3a65-44ba-804a-8c8f4d46f4b1</errorID>
      <errorWord>做出</errorWord>
      <group>L1_Word</group>
      <groupName>字词问题</groupName>
      <ability>L2_Typo</ability>
      <abilityName>字词错误</abilityName>
      <candidateList>
        <item>作出</item>
      </candidateList>
      <explain/>
      <paraID>2253E910</paraID>
      <start>28</start>
      <end>30</end>
      <status>modified</status>
      <modifiedWord>作出</modifiedWord>
      <trackRevisions>false</trackRevisions>
    </reviewItem>
    <reviewItem>
      <errorID>8ea01492-fdc9-456a-886c-51b991e7d4a7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3C453377</paraID>
      <start>0</start>
      <end>3</end>
      <status>modified</status>
      <modifiedWord>25.</modifiedWord>
      <trackRevisions>false</trackRevisions>
    </reviewItem>
    <reviewItem>
      <errorID>5ab8564e-1849-4dc1-8a27-d6d87b60166b</errorID>
      <errorWord>,</errorWord>
      <group>L1_Format</group>
      <groupName>格式问题</groupName>
      <ability>L2_HalfPunc_CN</ability>
      <abilityName>全半角问题</abilityName>
      <candidateList>
        <item>，</item>
      </candidateList>
      <explain>文本全半角错误。</explain>
      <paraID>32F36AC1</paraID>
      <start>74</start>
      <end>75</end>
      <status>modified</status>
      <modifiedWord>，</modifiedWord>
      <trackRevisions>false</trackRevisions>
    </reviewItem>
    <reviewItem>
      <errorID>dda9ed90-a9ea-4bb0-9ff3-c9a176484936</errorID>
      <errorWord>,</errorWord>
      <group>L1_Format</group>
      <groupName>格式问题</groupName>
      <ability>L2_HalfPunc_CN</ability>
      <abilityName>全半角问题</abilityName>
      <candidateList>
        <item>，</item>
      </candidateList>
      <explain>文本全半角错误。</explain>
      <paraID>67735A87</paraID>
      <start>54</start>
      <end>55</end>
      <status>modified</status>
      <modifiedWord>，</modifiedWord>
      <trackRevisions>false</trackRevisions>
    </reviewItem>
    <reviewItem>
      <errorID>32847a80-e223-4261-b7e4-9c7604d399d0</errorID>
      <errorWord>保持通讯畅通</errorWord>
      <group>L1_Word</group>
      <groupName>字词问题</groupName>
      <ability>L2_Typo</ability>
      <abilityName>字词错误</abilityName>
      <candidateList>
        <item>保持通信畅通</item>
      </candidateList>
      <explain/>
      <paraID> 984F33B</paraID>
      <start>17</start>
      <end>23</end>
      <status>modified</status>
      <modifiedWord>保持通信畅通</modifiedWord>
      <trackRevisions>false</trackRevisions>
    </reviewItem>
    <reviewItem>
      <errorID>fe9f590a-e95a-44a6-af51-0667ca5e004b</errorID>
      <errorWord>&lt;</errorWord>
      <group>L1_Format</group>
      <groupName>格式问题</groupName>
      <ability>L2_HalfPunc_CN</ability>
      <abilityName>全半角问题</abilityName>
      <candidateList>
        <item>〈</item>
      </candidateList>
      <explain>文本全半角错误。</explain>
      <paraID>6A37F33B</paraID>
      <start>50</start>
      <end>51</end>
      <status>ignored</status>
      <modifiedWord/>
      <trackRevisions>false</trackRevisions>
    </reviewItem>
    <reviewItem>
      <errorID>a5f8ad83-a92b-4a01-b4d7-335f57c2b09d</errorID>
      <errorWord>&lt;</errorWord>
      <group>L1_Format</group>
      <groupName>格式问题</groupName>
      <ability>L2_HalfPunc_CN</ability>
      <abilityName>全半角问题</abilityName>
      <candidateList>
        <item>〈</item>
      </candidateList>
      <explain>文本全半角错误。</explain>
      <paraID> 7F1C07B</paraID>
      <start>35</start>
      <end>36</end>
      <status>ignored</status>
      <modifiedWord/>
      <trackRevisions>false</trackRevisions>
    </reviewItem>
    <reviewItem>
      <errorID>421521b1-117e-4632-a4e6-241fcbd10318</errorID>
      <errorWord>(</errorWord>
      <group>L1_Format</group>
      <groupName>格式问题</groupName>
      <ability>L2_HalfPunc_CN</ability>
      <abilityName>全半角问题</abilityName>
      <candidateList>
        <item>（</item>
      </candidateList>
      <explain>文本全半角错误。</explain>
      <paraID>51BC6576</paraID>
      <start>12</start>
      <end>13</end>
      <status>modified</status>
      <modifiedWord>（</modifiedWord>
      <trackRevisions>false</trackRevisions>
    </reviewItem>
    <reviewItem>
      <errorID>cf7c15f0-25ee-456a-b017-75bfc2c36363</errorID>
      <errorWord>)</errorWord>
      <group>L1_Format</group>
      <groupName>格式问题</groupName>
      <ability>L2_HalfPunc_CN</ability>
      <abilityName>全半角问题</abilityName>
      <candidateList>
        <item>）</item>
      </candidateList>
      <explain>文本全半角错误。</explain>
      <paraID>51BC6576</paraID>
      <start>15</start>
      <end>16</end>
      <status>modified</status>
      <modifiedWord>）</modifiedWord>
      <trackRevisions>false</trackRevisions>
    </reviewItem>
    <reviewItem>
      <errorID>cc586050-aa96-4878-947b-f247e7c0ceca</errorID>
      <errorWord>(</errorWord>
      <group>L1_Format</group>
      <groupName>格式问题</groupName>
      <ability>L2_HalfPunc_CN</ability>
      <abilityName>全半角问题</abilityName>
      <candidateList>
        <item>（</item>
      </candidateList>
      <explain>文本全半角错误。</explain>
      <paraID>51BC6576</paraID>
      <start>80</start>
      <end>81</end>
      <status>modified</status>
      <modifiedWord>（</modifiedWord>
      <trackRevisions>false</trackRevisions>
    </reviewItem>
    <reviewItem>
      <errorID>6a72edcc-dcfa-45de-a6b9-232adefb6f19</errorID>
      <errorWord>)</errorWord>
      <group>L1_Format</group>
      <groupName>格式问题</groupName>
      <ability>L2_HalfPunc_CN</ability>
      <abilityName>全半角问题</abilityName>
      <candidateList>
        <item>）</item>
      </candidateList>
      <explain>文本全半角错误。</explain>
      <paraID>51BC6576</paraID>
      <start>83</start>
      <end>84</end>
      <status>modified</status>
      <modifiedWord>）</modifiedWord>
      <trackRevisions>false</trackRevisions>
    </reviewItem>
    <reviewItem>
      <errorID>930aa047-d235-49a3-92dd-86ce5d9f4ecf</errorID>
      <errorWord>(</errorWord>
      <group>L1_Format</group>
      <groupName>格式问题</groupName>
      <ability>L2_HalfPunc_CN</ability>
      <abilityName>全半角问题</abilityName>
      <candidateList>
        <item>（</item>
      </candidateList>
      <explain>文本全半角错误。</explain>
      <paraID>51BC6576</paraID>
      <start>149</start>
      <end>150</end>
      <status>modified</status>
      <modifiedWord>（</modifiedWord>
      <trackRevisions>false</trackRevisions>
    </reviewItem>
    <reviewItem>
      <errorID>21462e5c-de5b-4568-91b4-f82eaaeb5624</errorID>
      <errorWord>)</errorWord>
      <group>L1_Format</group>
      <groupName>格式问题</groupName>
      <ability>L2_HalfPunc_CN</ability>
      <abilityName>全半角问题</abilityName>
      <candidateList>
        <item>）</item>
      </candidateList>
      <explain>文本全半角错误。</explain>
      <paraID>51BC6576</paraID>
      <start>152</start>
      <end>153</end>
      <status>modified</status>
      <modifiedWord>）</modifiedWord>
      <trackRevisions>false</trackRevisions>
    </reviewItem>
    <reviewItem>
      <errorID>0a790868-cfb0-4d56-9415-3f57ffd02ee9</errorID>
      <errorWord>(</errorWord>
      <group>L1_Format</group>
      <groupName>格式问题</groupName>
      <ability>L2_HalfPunc_CN</ability>
      <abilityName>全半角问题</abilityName>
      <candidateList>
        <item>（</item>
      </candidateList>
      <explain>文本全半角错误。</explain>
      <paraID>51BC6576</paraID>
      <start>210</start>
      <end>211</end>
      <status>modified</status>
      <modifiedWord>（</modifiedWord>
      <trackRevisions>false</trackRevisions>
    </reviewItem>
    <reviewItem>
      <errorID>dcf3d4bc-d056-4033-bdbf-1f3ca87b9e09</errorID>
      <errorWord>)</errorWord>
      <group>L1_Format</group>
      <groupName>格式问题</groupName>
      <ability>L2_HalfPunc_CN</ability>
      <abilityName>全半角问题</abilityName>
      <candidateList>
        <item>）</item>
      </candidateList>
      <explain>文本全半角错误。</explain>
      <paraID>51BC6576</paraID>
      <start>213</start>
      <end>214</end>
      <status>modified</status>
      <modifiedWord>）</modifiedWord>
      <trackRevisions>false</trackRevisions>
    </reviewItem>
    <reviewItem>
      <errorID>c18a63aa-2537-4138-a953-bb780aa3f1a0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3B520817</paraID>
      <start>0</start>
      <end>3</end>
      <status>modified</status>
      <modifiedWord>27.</modifiedWord>
      <trackRevisions>false</trackRevisions>
    </reviewItem>
    <reviewItem>
      <errorID>da69e43c-3c6e-42d5-8189-52943ff911b2</errorID>
      <errorWord>国家发改委</errorWord>
      <group>L1_Knowledge</group>
      <groupName>知识性问题</groupName>
      <ability>L2_Knowledge</ability>
      <abilityName>其他知识</abilityName>
      <candidateList>
        <item>国家发展改革委</item>
      </candidateList>
      <explain/>
      <paraID>72C962B5</paraID>
      <start>19</start>
      <end>26</end>
      <status>modified</status>
      <modifiedWord>国家发展改革委</modifiedWord>
      <trackRevisions>false</trackRevisions>
    </reviewItem>
    <reviewItem>
      <errorID>671d2615-8080-4e9a-bc11-b55d478229df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72C962B5</paraID>
      <start>44</start>
      <end>46</end>
      <status>modified</status>
      <modifiedWord>”“</modifiedWord>
      <trackRevisions>false</trackRevisions>
    </reviewItem>
    <reviewItem>
      <errorID>2f3eeb21-6ee9-4266-989f-6b60dd8fba6f</errorID>
      <errorWord>,</errorWord>
      <group>L1_Format</group>
      <groupName>格式问题</groupName>
      <ability>L2_HalfPunc_CN</ability>
      <abilityName>全半角问题</abilityName>
      <candidateList>
        <item>，</item>
      </candidateList>
      <explain>文本全半角错误。</explain>
      <paraID> 95A411B</paraID>
      <start>18</start>
      <end>19</end>
      <status>modified</status>
      <modifiedWord>，</modifiedWord>
      <trackRevisions>false</trackRevisions>
    </reviewItem>
    <reviewItem>
      <errorID>b908a47d-91fc-414a-a6b1-41c6ecf19b4b</errorID>
      <errorWord>法律、法规</errorWord>
      <group>L1_Word</group>
      <groupName>字词问题</groupName>
      <ability>L2_Typo</ability>
      <abilityName>字词错误</abilityName>
      <candidateList>
        <item>法律法规</item>
      </candidateList>
      <explain/>
      <paraID>53B00B02</paraID>
      <start>9</start>
      <end>13</end>
      <status>modified</status>
      <modifiedWord>法律法规</modifiedWord>
      <trackRevisions>false</trackRevisions>
    </reviewItem>
    <reviewItem>
      <errorID>e7fadb1f-af36-421d-99fa-6d1edecfa186</errorID>
      <errorWord>属</errorWord>
      <group>L1_Word</group>
      <groupName>字词问题</groupName>
      <ability>L2_Typo</ability>
      <abilityName>字词错误</abilityName>
      <candidateList>
        <item>属于</item>
      </candidateList>
      <explain/>
      <paraID>53B00B02</paraID>
      <start>22</start>
      <end>24</end>
      <status>modified</status>
      <modifiedWord>属于</modifiedWord>
      <trackRevisions>false</trackRevisions>
    </reviewItem>
    <reviewItem>
      <errorID>24b44586-05e3-4534-9fb0-8f2377a1eef0</errorID>
      <errorWord>系统系统故障</errorWord>
      <group>L1_Word</group>
      <groupName>字词问题</groupName>
      <ability>L2_Typo</ability>
      <abilityName>字词错误</abilityName>
      <candidateList>
        <item>系统故障</item>
      </candidateList>
      <explain/>
      <paraID>751DE92E</paraID>
      <start>11</start>
      <end>15</end>
      <status>modified</status>
      <modifiedWord>系统故障</modifiedWord>
      <trackRevisions>false</trackRevisions>
    </reviewItem>
    <reviewItem>
      <errorID>ac0ea675-7801-4fd5-82c6-4fe35ac2fcdd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3211E399</paraID>
      <start>0</start>
      <end>3</end>
      <status>modified</status>
      <modifiedWord>28.</modifiedWord>
      <trackRevisions>false</trackRevisions>
    </reviewItem>
    <reviewItem>
      <errorID>b27c68aa-e7d2-4a99-8165-d7c2dd0230b8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6BE405A9</paraID>
      <start>0</start>
      <end>3</end>
      <status>modified</status>
      <modifiedWord>29.</modifiedWord>
      <trackRevisions>false</trackRevisions>
    </reviewItem>
    <reviewItem>
      <errorID>5172e1ab-7e0b-43b9-bbbe-65d29e460f48</errorID>
      <errorWord>,</errorWord>
      <group>L1_Format</group>
      <groupName>格式问题</groupName>
      <ability>L2_HalfPunc_CN</ability>
      <abilityName>全半角问题</abilityName>
      <candidateList>
        <item>，</item>
      </candidateList>
      <explain>文本全半角错误。</explain>
      <paraID>4F9F7722</paraID>
      <start>23</start>
      <end>24</end>
      <status>modified</status>
      <modifiedWord>，</modifiedWord>
      <trackRevisions>false</trackRevisions>
    </reviewItem>
    <reviewItem>
      <errorID>47e63d61-4fdf-4e38-8099-d9b64d07e29c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41201B8F</paraID>
      <start>0</start>
      <end>3</end>
      <status>modified</status>
      <modifiedWord>30.</modifiedWord>
      <trackRevisions>false</trackRevisions>
    </reviewItem>
    <reviewItem>
      <errorID>a1c15349-b50b-4051-bc0c-8aa75a0a64a8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27CCD1EF</paraID>
      <start>0</start>
      <end>3</end>
      <status>modified</status>
      <modifiedWord>32.</modifiedWord>
      <trackRevisions>false</trackRevisions>
    </reviewItem>
    <reviewItem>
      <errorID>60e34fbf-7733-4a56-ad1a-4917191e988f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58DFF986</paraID>
      <start>0</start>
      <end>3</end>
      <status>modified</status>
      <modifiedWord>33.</modifiedWord>
      <trackRevisions>false</trackRevisions>
    </reviewItem>
    <reviewItem>
      <errorID>c58f8b9a-27f4-4920-bc31-11215bc86825</errorID>
      <errorWord>登陆</errorWord>
      <group>L1_Word</group>
      <groupName>字词问题</groupName>
      <ability>L2_Typo</ability>
      <abilityName>字词错误</abilityName>
      <candidateList>
        <item>登录</item>
      </candidateList>
      <explain>存在发音相同字词的误用。</explain>
      <paraID>7677CB92</paraID>
      <start>91</start>
      <end>93</end>
      <status>modified</status>
      <modifiedWord>登录</modifiedWord>
      <trackRevisions>false</trackRevisions>
    </reviewItem>
    <reviewItem>
      <errorID>a97d04f8-d6ff-4a3d-b44b-68ced4eb5396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7677CB92</paraID>
      <start>110</start>
      <end>111</end>
      <status>ignored</status>
      <modifiedWord/>
      <trackRevisions>false</trackRevisions>
    </reviewItem>
    <reviewItem>
      <errorID>2bee8d73-6fd0-4fc3-ae60-fb6122a5776b</errorID>
      <errorWord>红章</errorWord>
      <group>L1_Word</group>
      <groupName>字词问题</groupName>
      <ability>L2_Typo</ability>
      <abilityName>字词错误</abilityName>
      <candidateList>
        <item>公章</item>
      </candidateList>
      <explain/>
      <paraID>27BDD415</paraID>
      <start>26</start>
      <end>28</end>
      <status>modified</status>
      <modifiedWord>公章</modifiedWord>
      <trackRevisions>false</trackRevisions>
    </reviewItem>
    <reviewItem>
      <errorID>2b067114-27e3-42da-b849-2093043fd462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384700A2</paraID>
      <start>13</start>
      <end>15</end>
      <status>modified</status>
      <modifiedWord>》《</modifiedWord>
      <trackRevisions>false</trackRevisions>
    </reviewItem>
    <reviewItem>
      <errorID>4f7616ec-fe0c-4482-84c4-145af151c729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3DF1C17A</paraID>
      <start>42</start>
      <end>44</end>
      <status>modified</status>
      <modifiedWord>》《</modifiedWord>
      <trackRevisions>false</trackRevisions>
    </reviewItem>
    <reviewItem>
      <errorID>b9a0e767-f77e-4c8e-8b1d-e4762eaed1c4</errorID>
      <errorWord>起</errorWord>
      <group>L1_Word</group>
      <groupName>字词问题</groupName>
      <ability>L2_Typo</ability>
      <abilityName>字词错误</abilityName>
      <candidateList>
        <item>起至</item>
      </candidateList>
      <explain/>
      <paraID>6F02F098</paraID>
      <start>41</start>
      <end>43</end>
      <status>modified</status>
      <modifiedWord>起至</modifiedWord>
      <trackRevisions>false</trackRevisions>
    </reviewItem>
    <reviewItem>
      <errorID>6f28cd02-d48c-40fc-8186-be9214226d77</errorID>
      <errorWord>下</errorWord>
      <group>L1_Word</group>
      <groupName>字词问题</groupName>
      <ability>L2_Typo</ability>
      <abilityName>字词错误</abilityName>
      <candidateList>
        <item>下简</item>
      </candidateList>
      <explain/>
      <paraID> 7CCBB3C</paraID>
      <start>8</start>
      <end>10</end>
      <status>modified</status>
      <modifiedWord>下简</modifiedWord>
      <trackRevisions>false</trackRevisions>
    </reviewItem>
    <reviewItem>
      <errorID>5df8b0d0-3ec8-41a2-a45e-41e5b92b0b90</errorID>
      <errorWord>下</errorWord>
      <group>L1_Word</group>
      <groupName>字词问题</groupName>
      <ability>L2_Typo</ability>
      <abilityName>字词错误</abilityName>
      <candidateList>
        <item>下简</item>
      </candidateList>
      <explain/>
      <paraID> 97129E8</paraID>
      <start>8</start>
      <end>10</end>
      <status>modified</status>
      <modifiedWord>下简</modifiedWord>
      <trackRevisions>false</trackRevisions>
    </reviewItem>
    <reviewItem>
      <errorID>1aa4dfb5-50c6-43a6-8fd7-821b6db1f4d0</errorID>
      <errorWord>其</errorWord>
      <group>L1_Word</group>
      <groupName>字词问题</groupName>
      <ability>L2_Typo</ability>
      <abilityName>字词错误</abilityName>
      <candidateList>
        <item>其他</item>
      </candidateList>
      <explain/>
      <paraID>44D77BB3</paraID>
      <start>57</start>
      <end>59</end>
      <status>modified</status>
      <modifiedWord>其他</modifiedWord>
      <trackRevisions>false</trackRevisions>
    </reviewItem>
    <reviewItem>
      <errorID>e4860f2d-d400-4c79-b881-2d75520f2c3c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5BB02C3E</paraID>
      <start>40</start>
      <end>42</end>
      <status>modified</status>
      <modifiedWord>涉及</modifiedWord>
      <trackRevisions>false</trackRevisions>
    </reviewItem>
    <reviewItem>
      <errorID>6e24cc33-b294-47b5-89b8-71d9041295f9</errorID>
      <errorWord>应</errorWord>
      <group>L1_Word</group>
      <groupName>字词问题</groupName>
      <ability>L2_Typo</ability>
      <abilityName>字词错误</abilityName>
      <candidateList>
        <item>应当</item>
      </candidateList>
      <explain/>
      <paraID>329A4A2E</paraID>
      <start>34</start>
      <end>36</end>
      <status>modified</status>
      <modifiedWord>应当</modifiedWord>
      <trackRevisions>false</trackRevisions>
    </reviewItem>
    <reviewItem>
      <errorID>23e10efd-de99-40c5-ab08-3ed9a3b92e28</errorID>
      <errorWord>,</errorWord>
      <group>L1_Format</group>
      <groupName>格式问题</groupName>
      <ability>L2_HalfPunc_CN</ability>
      <abilityName>全半角问题</abilityName>
      <candidateList>
        <item>，</item>
      </candidateList>
      <explain>文本全半角错误。</explain>
      <paraID>116133D4</paraID>
      <start>6</start>
      <end>7</end>
      <status>modified</status>
      <modifiedWord>，</modifiedWord>
      <trackRevisions>false</trackRevisions>
    </reviewItem>
    <reviewItem>
      <errorID>3dad7b60-c302-4f07-8e59-a8f626575815</errorID>
      <errorWord>,</errorWord>
      <group>L1_Format</group>
      <groupName>格式问题</groupName>
      <ability>L2_HalfPunc_CN</ability>
      <abilityName>全半角问题</abilityName>
      <candidateList>
        <item>，</item>
      </candidateList>
      <explain>文本全半角错误。</explain>
      <paraID>116133D4</paraID>
      <start>27</start>
      <end>28</end>
      <status>modified</status>
      <modifiedWord>，</modifiedWord>
      <trackRevisions>false</trackRevisions>
    </reviewItem>
    <reviewItem>
      <errorID>65adbf88-d019-4d5f-a09e-029682b356f8</errorID>
      <errorWord>法律、法规</errorWord>
      <group>L1_Word</group>
      <groupName>字词问题</groupName>
      <ability>L2_Typo</ability>
      <abilityName>字词错误</abilityName>
      <candidateList>
        <item>法律法规</item>
      </candidateList>
      <explain/>
      <paraID>615BB2E8</paraID>
      <start>87</start>
      <end>91</end>
      <status>modified</status>
      <modifiedWord>法律法规</modifiedWord>
      <trackRevisions>false</trackRevisions>
    </reviewItem>
    <reviewItem>
      <errorID>e1778b3b-4c3d-458b-ae67-9f89441f03a9</errorID>
      <errorWord>其它</errorWord>
      <group>L1_Word</group>
      <groupName>字词问题</groupName>
      <ability>L2_Alias</ability>
      <abilityName>也作/曾用词</abilityName>
      <candidateList>
        <item>其他</item>
      </candidateList>
      <explain>词汇[其它]为不规范表述或旧称，其规范书面表述为[其他]。</explain>
      <paraID>54E19FF5</paraID>
      <start>68</start>
      <end>70</end>
      <status>modified</status>
      <modifiedWord>其他</modifiedWord>
      <trackRevisions>false</trackRevisions>
    </reviewItem>
    <reviewItem>
      <errorID>6336edf7-f5e4-4801-ae14-815ff88b6c2e</errorID>
      <errorWord>必需</errorWord>
      <group>L1_Word</group>
      <groupName>字词问题</groupName>
      <ability>L2_Typo</ability>
      <abilityName>字词错误</abilityName>
      <candidateList>
        <item>必须</item>
      </candidateList>
      <explain>存在发音相同字词的误用。</explain>
      <paraID>336B2184</paraID>
      <start>28</start>
      <end>30</end>
      <status>modified</status>
      <modifiedWord>必须</modifiedWord>
      <trackRevisions>false</trackRevisions>
    </reviewItem>
    <reviewItem>
      <errorID>dee85c60-a96a-4e5b-90a8-c19a6d5e3129</errorID>
      <errorWord>(</errorWord>
      <group>L1_Format</group>
      <groupName>格式问题</groupName>
      <ability>L2_HalfPunc_CN</ability>
      <abilityName>全半角问题</abilityName>
      <candidateList>
        <item>（</item>
      </candidateList>
      <explain>文本全半角错误。</explain>
      <paraID>63F9DB51</paraID>
      <start>23</start>
      <end>24</end>
      <status>modified</status>
      <modifiedWord>（</modifiedWord>
      <trackRevisions>false</trackRevisions>
    </reviewItem>
    <reviewItem>
      <errorID>9adaf4dc-3c13-4680-a429-f26130036553</errorID>
      <errorWord>)</errorWord>
      <group>L1_Format</group>
      <groupName>格式问题</groupName>
      <ability>L2_HalfPunc_CN</ability>
      <abilityName>全半角问题</abilityName>
      <candidateList>
        <item>）</item>
      </candidateList>
      <explain>文本全半角错误。</explain>
      <paraID>63F9DB51</paraID>
      <start>28</start>
      <end>29</end>
      <status>modified</status>
      <modifiedWord>）</modifiedWord>
      <trackRevisions>false</trackRevisions>
    </reviewItem>
    <reviewItem>
      <errorID>f0099df3-bfb0-4f18-a073-68e7acd8d381</errorID>
      <errorWord>(</errorWord>
      <group>L1_Format</group>
      <groupName>格式问题</groupName>
      <ability>L2_HalfPunc_CN</ability>
      <abilityName>全半角问题</abilityName>
      <candidateList>
        <item>（</item>
      </candidateList>
      <explain>文本全半角错误。</explain>
      <paraID>58020567</paraID>
      <start>35</start>
      <end>36</end>
      <status>modified</status>
      <modifiedWord>（</modifiedWord>
      <trackRevisions>false</trackRevisions>
    </reviewItem>
    <reviewItem>
      <errorID>aecaf6d9-b361-4099-9705-8af483503762</errorID>
      <errorWord>)</errorWord>
      <group>L1_Format</group>
      <groupName>格式问题</groupName>
      <ability>L2_HalfPunc_CN</ability>
      <abilityName>全半角问题</abilityName>
      <candidateList>
        <item>）</item>
      </candidateList>
      <explain>文本全半角错误。</explain>
      <paraID>58020567</paraID>
      <start>40</start>
      <end>41</end>
      <status>modified</status>
      <modifiedWord>）</modifiedWord>
      <trackRevisions>false</trackRevisions>
    </reviewItem>
    <reviewItem>
      <errorID>314c3bfd-2629-4aa9-ad06-452e8aef5576</errorID>
      <errorWord>(</errorWord>
      <group>L1_Format</group>
      <groupName>格式问题</groupName>
      <ability>L2_HalfPunc_CN</ability>
      <abilityName>全半角问题</abilityName>
      <candidateList>
        <item>（</item>
      </candidateList>
      <explain>文本全半角错误。</explain>
      <paraID>4751CD09</paraID>
      <start>49</start>
      <end>50</end>
      <status>modified</status>
      <modifiedWord>（</modifiedWord>
      <trackRevisions>false</trackRevisions>
    </reviewItem>
    <reviewItem>
      <errorID>4d068625-7f0e-40f6-b05d-a2b6093e549f</errorID>
      <errorWord>-</errorWord>
      <group>L1_Format</group>
      <groupName>格式问题</groupName>
      <ability>L2_HalfPunc_CN</ability>
      <abilityName>全半角问题</abilityName>
      <candidateList>
        <item>－</item>
      </candidateList>
      <explain>文本全半角错误。</explain>
      <paraID>4751CD09</paraID>
      <start>51</start>
      <end>52</end>
      <status>modified</status>
      <modifiedWord>－</modifiedWord>
      <trackRevisions>false</trackRevisions>
    </reviewItem>
    <reviewItem>
      <errorID>c2dd7662-5112-4868-9ef9-9bdf5005b86e</errorID>
      <errorWord>)</errorWord>
      <group>L1_Format</group>
      <groupName>格式问题</groupName>
      <ability>L2_HalfPunc_CN</ability>
      <abilityName>全半角问题</abilityName>
      <candidateList>
        <item>）</item>
      </candidateList>
      <explain>文本全半角错误。</explain>
      <paraID>4751CD09</paraID>
      <start>54</start>
      <end>55</end>
      <status>modified</status>
      <modifiedWord>）</modifiedWord>
      <trackRevisions>false</trackRevisions>
    </reviewItem>
    <reviewItem>
      <errorID>0c2786aa-8670-4591-827a-c9b6fffbd125</errorID>
      <errorWord>胶粘剂</errorWord>
      <group>L1_Word</group>
      <groupName>字词问题</groupName>
      <ability>L2_Typo</ability>
      <abilityName>字词错误</abilityName>
      <candidateList>
        <item>胶黏剂</item>
      </candidateList>
      <explain/>
      <paraID>2ED47AB0</paraID>
      <start>15</start>
      <end>18</end>
      <status>modified</status>
      <modifiedWord>胶黏剂</modifiedWord>
      <trackRevisions>false</trackRevisions>
    </reviewItem>
    <reviewItem>
      <errorID>1baa84c5-aad8-4a90-ad9a-cd7ebe7185b4</errorID>
      <errorWord>如在</errorWord>
      <group>L1_Word</group>
      <groupName>字词问题</groupName>
      <ability>L2_Typo</ability>
      <abilityName>字词错误</abilityName>
      <candidateList>
        <item>如</item>
      </candidateList>
      <explain/>
      <paraID>6A03E3FB</paraID>
      <start>30</start>
      <end>31</end>
      <status>modified</status>
      <modifiedWord>如</modifiedWord>
      <trackRevisions>false</trackRevisions>
    </reviewItem>
    <reviewItem>
      <errorID>eb413d56-3f41-4c43-b688-a96ddc913c9c</errorID>
      <errorWord>有</errorWord>
      <group>L1_Word</group>
      <groupName>字词问题</groupName>
      <ability>L2_Typo</ability>
      <abilityName>字词错误</abilityName>
      <candidateList>
        <item>由</item>
      </candidateList>
      <explain/>
      <paraID>6A03E3FB</paraID>
      <start>39</start>
      <end>40</end>
      <status>modified</status>
      <modifiedWord>由</modifiedWord>
      <trackRevisions>false</trackRevisions>
    </reviewItem>
    <reviewItem>
      <errorID>581e8b31-7d22-4fd2-a7e0-f8c0d0c0db94</errorID>
      <errorWord>属</errorWord>
      <group>L1_Word</group>
      <groupName>字词问题</groupName>
      <ability>L2_Typo</ability>
      <abilityName>字词错误</abilityName>
      <candidateList>
        <item>属于</item>
      </candidateList>
      <explain/>
      <paraID>1ED4F293</paraID>
      <start>10</start>
      <end>12</end>
      <status>modified</status>
      <modifiedWord>属于</modifiedWord>
      <trackRevisions>false</trackRevisions>
    </reviewItem>
    <reviewItem>
      <errorID>c87e23b2-ae8b-4476-b5b6-53d229a7f5ef</errorID>
      <errorWord>作</errorWord>
      <group>L1_Word</group>
      <groupName>字词问题</groupName>
      <ability>L2_Typo</ability>
      <abilityName>字词错误</abilityName>
      <candidateList>
        <item>做</item>
      </candidateList>
      <explain>存在发音相同字词的误用。</explain>
      <paraID>416709D3</paraID>
      <start>4</start>
      <end>5</end>
      <status>modified</status>
      <modifiedWord>做</modifiedWord>
      <trackRevisions>false</trackRevisions>
    </reviewItem>
    <reviewItem>
      <errorID>72c2e113-2299-4dd8-b500-1f2d974c70b7</errorID>
      <errorWord>为为</errorWord>
      <group>L1_Word</group>
      <groupName>字词问题</groupName>
      <ability>L2_Typo</ability>
      <abilityName>字词错误</abilityName>
      <candidateList>
        <item>为</item>
      </candidateList>
      <explain/>
      <paraID>28B0C1D1</paraID>
      <start>13</start>
      <end>14</end>
      <status>modified</status>
      <modifiedWord>为</modifiedWord>
      <trackRevisions>false</trackRevisions>
    </reviewItem>
    <reviewItem>
      <errorID>f210753e-237b-45ae-90b1-4488e16f411a</errorID>
      <errorWord>(</errorWord>
      <group>L1_Format</group>
      <groupName>格式问题</groupName>
      <ability>L2_HalfPunc_CN</ability>
      <abilityName>全半角问题</abilityName>
      <candidateList>
        <item>（</item>
      </candidateList>
      <explain>文本全半角错误。</explain>
      <paraID>6969EEA4</paraID>
      <start>27</start>
      <end>28</end>
      <status>modified</status>
      <modifiedWord>（</modifiedWord>
      <trackRevisions>false</trackRevisions>
    </reviewItem>
    <reviewItem>
      <errorID>5bf4f1f3-37ad-45ac-93d0-b5804bbb872c</errorID>
      <errorWord>)</errorWord>
      <group>L1_Format</group>
      <groupName>格式问题</groupName>
      <ability>L2_HalfPunc_CN</ability>
      <abilityName>全半角问题</abilityName>
      <candidateList>
        <item>）</item>
      </candidateList>
      <explain>文本全半角错误。</explain>
      <paraID>6969EEA4</paraID>
      <start>30</start>
      <end>31</end>
      <status>modified</status>
      <modifiedWord>）</modifiedWord>
      <trackRevisions>false</trackRevisions>
    </reviewItem>
    <reviewItem>
      <errorID>569309a2-3e96-42f3-8743-d145faaf6cf3</errorID>
      <errorWord>PH值</errorWord>
      <group>L1_Word</group>
      <groupName>字词问题</groupName>
      <ability>L2_Typo</ability>
      <abilityName>字词错误</abilityName>
      <candidateList>
        <item>pH值</item>
      </candidateList>
      <explain/>
      <paraID>6527DD7C</paraID>
      <start>104</start>
      <end>107</end>
      <status>modified</status>
      <modifiedWord>pH值</modifiedWord>
      <trackRevisions>false</trackRevisions>
    </reviewItem>
    <reviewItem>
      <errorID>bf9e677d-6c6a-4ac2-9379-b2749669d9cd</errorID>
      <errorWord>PH值</errorWord>
      <group>L1_Word</group>
      <groupName>字词问题</groupName>
      <ability>L2_Typo</ability>
      <abilityName>字词错误</abilityName>
      <candidateList>
        <item>pH值</item>
      </candidateList>
      <explain/>
      <paraID>44267673</paraID>
      <start>104</start>
      <end>107</end>
      <status>modified</status>
      <modifiedWord>pH值</modifiedWord>
      <trackRevisions>false</trackRevisions>
    </reviewItem>
    <reviewItem>
      <errorID>35cef593-62bd-4f6d-8d46-6dab99869fca</errorID>
      <errorWord>PH值</errorWord>
      <group>L1_Word</group>
      <groupName>字词问题</groupName>
      <ability>L2_Typo</ability>
      <abilityName>字词错误</abilityName>
      <candidateList>
        <item>pH值</item>
      </candidateList>
      <explain/>
      <paraID>32B95D38</paraID>
      <start>97</start>
      <end>100</end>
      <status>modified</status>
      <modifiedWord>pH值</modifiedWord>
      <trackRevisions>false</trackRevisions>
    </reviewItem>
    <reviewItem>
      <errorID>321a35e8-4229-4386-92e0-8a1fbfe1a799</errorID>
      <errorWord>PH值</errorWord>
      <group>L1_Word</group>
      <groupName>字词问题</groupName>
      <ability>L2_Typo</ability>
      <abilityName>字词错误</abilityName>
      <candidateList>
        <item>pH值</item>
      </candidateList>
      <explain/>
      <paraID>44A32D61</paraID>
      <start>115</start>
      <end>118</end>
      <status>modified</status>
      <modifiedWord>pH值</modifiedWord>
      <trackRevisions>false</trackRevisions>
    </reviewItem>
    <reviewItem>
      <errorID>2a097170-0cf9-471c-b8b9-cacc6a2bbe9b</errorID>
      <errorWord>PH值</errorWord>
      <group>L1_Word</group>
      <groupName>字词问题</groupName>
      <ability>L2_Typo</ability>
      <abilityName>字词错误</abilityName>
      <candidateList>
        <item>pH值</item>
      </candidateList>
      <explain/>
      <paraID>78D9B227</paraID>
      <start>115</start>
      <end>118</end>
      <status>modified</status>
      <modifiedWord>pH值</modifiedWord>
      <trackRevisions>false</trackRevisions>
    </reviewItem>
    <reviewItem>
      <errorID>0764927c-e535-4394-9515-65452a13534f</errorID>
      <errorWord>PH值</errorWord>
      <group>L1_Word</group>
      <groupName>字词问题</groupName>
      <ability>L2_Typo</ability>
      <abilityName>字词错误</abilityName>
      <candidateList>
        <item>pH值</item>
      </candidateList>
      <explain/>
      <paraID>1132CFEA</paraID>
      <start>104</start>
      <end>107</end>
      <status>modified</status>
      <modifiedWord>pH值</modifiedWord>
      <trackRevisions>false</trackRevisions>
    </reviewItem>
    <reviewItem>
      <errorID>0cd287b9-0ee4-4e71-80b1-5ef129ebb29b</errorID>
      <errorWord>PH值</errorWord>
      <group>L1_Word</group>
      <groupName>字词问题</groupName>
      <ability>L2_Typo</ability>
      <abilityName>字词错误</abilityName>
      <candidateList>
        <item>pH值</item>
      </candidateList>
      <explain/>
      <paraID>20AC96F8</paraID>
      <start>104</start>
      <end>107</end>
      <status>modified</status>
      <modifiedWord>pH值</modifiedWord>
      <trackRevisions>false</trackRevisions>
    </reviewItem>
    <reviewItem>
      <errorID>a08ac267-b76e-48ff-aedf-80c440c0cab2</errorID>
      <errorWord>PH值</errorWord>
      <group>L1_Word</group>
      <groupName>字词问题</groupName>
      <ability>L2_Typo</ability>
      <abilityName>字词错误</abilityName>
      <candidateList>
        <item>pH值</item>
      </candidateList>
      <explain/>
      <paraID>20E9F2BD</paraID>
      <start>105</start>
      <end>108</end>
      <status>modified</status>
      <modifiedWord>pH值</modifiedWord>
      <trackRevisions>false</trackRevisions>
    </reviewItem>
    <reviewItem>
      <errorID>d35f1071-0e07-43b2-ae73-1855da11339a</errorID>
      <errorWord>:</errorWord>
      <group>L1_Format</group>
      <groupName>格式问题</groupName>
      <ability>L2_HalfPunc_CN</ability>
      <abilityName>全半角问题</abilityName>
      <candidateList>
        <item>：</item>
      </candidateList>
      <explain>文本全半角错误。</explain>
      <paraID>3D637D1A</paraID>
      <start>85</start>
      <end>86</end>
      <status>modified</status>
      <modifiedWord>：</modifiedWord>
      <trackRevisions>false</trackRevisions>
    </reviewItem>
    <reviewItem>
      <errorID>f439fc47-940b-4a81-8bbd-c859ba3bb487</errorID>
      <errorWord>PH值</errorWord>
      <group>L1_Word</group>
      <groupName>字词问题</groupName>
      <ability>L2_Typo</ability>
      <abilityName>字词错误</abilityName>
      <candidateList>
        <item>pH值</item>
      </candidateList>
      <explain/>
      <paraID>3D637D1A</paraID>
      <start>113</start>
      <end>116</end>
      <status>modified</status>
      <modifiedWord>pH值</modifiedWord>
      <trackRevisions>false</trackRevisions>
    </reviewItem>
    <reviewItem>
      <errorID>35e6d895-6614-4cb1-8579-9849e694f9e8</errorID>
      <errorWord>PH值</errorWord>
      <group>L1_Word</group>
      <groupName>字词问题</groupName>
      <ability>L2_Typo</ability>
      <abilityName>字词错误</abilityName>
      <candidateList>
        <item>pH值</item>
      </candidateList>
      <explain/>
      <paraID>6FCDFC80</paraID>
      <start>100</start>
      <end>103</end>
      <status>modified</status>
      <modifiedWord>pH值</modifiedWord>
      <trackRevisions>false</trackRevisions>
    </reviewItem>
    <reviewItem>
      <errorID>ed8984f4-9fec-4b46-a383-7ca34f7b4e3c</errorID>
      <errorWord>PH值</errorWord>
      <group>L1_Word</group>
      <groupName>字词问题</groupName>
      <ability>L2_Typo</ability>
      <abilityName>字词错误</abilityName>
      <candidateList>
        <item>pH值</item>
      </candidateList>
      <explain/>
      <paraID>603934E7</paraID>
      <start>100</start>
      <end>103</end>
      <status>modified</status>
      <modifiedWord>pH值</modifiedWord>
      <trackRevisions>false</trackRevisions>
    </reviewItem>
    <reviewItem>
      <errorID>875c69f0-bfc2-458c-ac46-049757fca014</errorID>
      <errorWord>PH值</errorWord>
      <group>L1_Word</group>
      <groupName>字词问题</groupName>
      <ability>L2_Typo</ability>
      <abilityName>字词错误</abilityName>
      <candidateList>
        <item>pH值</item>
      </candidateList>
      <explain/>
      <paraID>45404842</paraID>
      <start>39</start>
      <end>42</end>
      <status>modified</status>
      <modifiedWord>pH值</modifiedWord>
      <trackRevisions>false</trackRevisions>
    </reviewItem>
    <reviewItem>
      <errorID>ea4e60d5-c89c-4c82-bd7c-440d07027df6</errorID>
      <errorWord>)</errorWord>
      <group>L1_Format</group>
      <groupName>格式问题</groupName>
      <ability>L2_HalfPunc_CN</ability>
      <abilityName>全半角问题</abilityName>
      <candidateList>
        <item>）</item>
      </candidateList>
      <explain>文本全半角错误。</explain>
      <paraID>45404842</paraID>
      <start>145</start>
      <end>146</end>
      <status>modified</status>
      <modifiedWord>）</modifiedWord>
      <trackRevisions>false</trackRevisions>
    </reviewItem>
    <reviewItem>
      <errorID>c4bdfb9e-31ac-45aa-98ad-9d22c7380df3</errorID>
      <errorWord>;</errorWord>
      <group>L1_Format</group>
      <groupName>格式问题</groupName>
      <ability>L2_HalfPunc_CN</ability>
      <abilityName>全半角问题</abilityName>
      <candidateList>
        <item>；</item>
      </candidateList>
      <explain>文本全半角错误。</explain>
      <paraID>45404842</paraID>
      <start>222</start>
      <end>223</end>
      <status>modified</status>
      <modifiedWord>；</modifiedWord>
      <trackRevisions>false</trackRevisions>
    </reviewItem>
    <reviewItem>
      <errorID>09030f93-c7c8-46dc-bda9-590aa1884fa2</errorID>
      <errorWord>PH值</errorWord>
      <group>L1_Word</group>
      <groupName>字词问题</groupName>
      <ability>L2_Typo</ability>
      <abilityName>字词错误</abilityName>
      <candidateList>
        <item>pH值</item>
      </candidateList>
      <explain/>
      <paraID> DBA2665</paraID>
      <start>2</start>
      <end>5</end>
      <status>modified</status>
      <modifiedWord>pH值</modifiedWord>
      <trackRevisions>false</trackRevisions>
    </reviewItem>
    <reviewItem>
      <errorID>73db20f7-e39a-4ebd-bb74-1c68fe25e77c</errorID>
      <errorWord>)</errorWord>
      <group>L1_Format</group>
      <groupName>格式问题</groupName>
      <ability>L2_HalfPunc_CN</ability>
      <abilityName>全半角问题</abilityName>
      <candidateList>
        <item>）</item>
      </candidateList>
      <explain>文本全半角错误。</explain>
      <paraID>7B74C95A</paraID>
      <start>14</start>
      <end>15</end>
      <status>modified</status>
      <modifiedWord>）</modifiedWord>
      <trackRevisions>false</trackRevisions>
    </reviewItem>
    <reviewItem>
      <errorID>28a984cf-2bd5-45b9-bc94-09449c4b74e2</errorID>
      <errorWord>;</errorWord>
      <group>L1_Format</group>
      <groupName>格式问题</groupName>
      <ability>L2_HalfPunc_CN</ability>
      <abilityName>全半角问题</abilityName>
      <candidateList>
        <item>；</item>
      </candidateList>
      <explain>文本全半角错误。</explain>
      <paraID>3D354FEC</paraID>
      <start>9</start>
      <end>10</end>
      <status>modified</status>
      <modifiedWord>；</modifiedWord>
      <trackRevisions>false</trackRevisions>
    </reviewItem>
    <reviewItem>
      <errorID>c4177a9b-1f6a-44df-bc70-e6417cb59144</errorID>
      <errorWord>:</errorWord>
      <group>L1_Format</group>
      <groupName>格式问题</groupName>
      <ability>L2_HalfPunc_CN</ability>
      <abilityName>全半角问题</abilityName>
      <candidateList>
        <item>：</item>
      </candidateList>
      <explain>文本全半角错误。</explain>
      <paraID>28BDB482</paraID>
      <start>9</start>
      <end>10</end>
      <status>modified</status>
      <modifiedWord>：</modifiedWord>
      <trackRevisions>false</trackRevisions>
    </reviewItem>
    <reviewItem>
      <errorID>e6976cc6-6421-4ddb-a7c9-d9b3de1d26fe</errorID>
      <errorWord>:</errorWord>
      <group>L1_Format</group>
      <groupName>格式问题</groupName>
      <ability>L2_HalfPunc_CN</ability>
      <abilityName>全半角问题</abilityName>
      <candidateList>
        <item>：</item>
      </candidateList>
      <explain>文本全半角错误。</explain>
      <paraID>274E8960</paraID>
      <start>4</start>
      <end>5</end>
      <status>modified</status>
      <modifiedWord>：</modifiedWord>
      <trackRevisions>false</trackRevisions>
    </reviewItem>
    <reviewItem>
      <errorID>fcda005b-95a0-4a55-ace2-92d33dd010c4</errorID>
      <errorWord>PH值</errorWord>
      <group>L1_Word</group>
      <groupName>字词问题</groupName>
      <ability>L2_Typo</ability>
      <abilityName>字词错误</abilityName>
      <candidateList>
        <item>pH值</item>
      </candidateList>
      <explain/>
      <paraID>274E8960</paraID>
      <start>36</start>
      <end>39</end>
      <status>modified</status>
      <modifiedWord>pH值</modifiedWord>
      <trackRevisions>false</trackRevisions>
    </reviewItem>
    <reviewItem>
      <errorID>47e78648-fc69-4125-a1e7-8769f3d73b78</errorID>
      <errorWord>PH值</errorWord>
      <group>L1_Word</group>
      <groupName>字词问题</groupName>
      <ability>L2_Typo</ability>
      <abilityName>字词错误</abilityName>
      <candidateList>
        <item>pH值</item>
      </candidateList>
      <explain/>
      <paraID>2FAB5B78</paraID>
      <start>70</start>
      <end>73</end>
      <status>modified</status>
      <modifiedWord>pH值</modifiedWord>
      <trackRevisions>false</trackRevisions>
    </reviewItem>
    <reviewItem>
      <errorID>864cd7fa-07c4-4d51-8dd3-e8218a651cf3</errorID>
      <errorWord>PH值</errorWord>
      <group>L1_Word</group>
      <groupName>字词问题</groupName>
      <ability>L2_Typo</ability>
      <abilityName>字词错误</abilityName>
      <candidateList>
        <item>pH值</item>
      </candidateList>
      <explain/>
      <paraID>325E97A1</paraID>
      <start>73</start>
      <end>76</end>
      <status>modified</status>
      <modifiedWord>pH值</modifiedWord>
      <trackRevisions>false</trackRevisions>
    </reviewItem>
    <reviewItem>
      <errorID>b20524f2-c768-4d20-8391-8b7452e034d2</errorID>
      <errorWord>(</errorWord>
      <group>L1_Format</group>
      <groupName>格式问题</groupName>
      <ability>L2_HalfPunc_CN</ability>
      <abilityName>全半角问题</abilityName>
      <candidateList>
        <item>（</item>
      </candidateList>
      <explain>文本全半角错误。</explain>
      <paraID>17C9AC4A</paraID>
      <start>114</start>
      <end>115</end>
      <status>modified</status>
      <modifiedWord>（</modifiedWord>
      <trackRevisions>false</trackRevisions>
    </reviewItem>
    <reviewItem>
      <errorID>8ed7cf94-3263-4e01-89e3-189d9d9ab8fe</errorID>
      <errorWord>)</errorWord>
      <group>L1_Format</group>
      <groupName>格式问题</groupName>
      <ability>L2_HalfPunc_CN</ability>
      <abilityName>全半角问题</abilityName>
      <candidateList>
        <item>）</item>
      </candidateList>
      <explain>文本全半角错误。</explain>
      <paraID>17C9AC4A</paraID>
      <start>118</start>
      <end>119</end>
      <status>modified</status>
      <modifiedWord>）</modifiedWord>
      <trackRevisions>false</trackRevisions>
    </reviewItem>
    <reviewItem>
      <errorID>62802a00-c2fd-49dc-ab1c-6e2398674c4f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7953F8C3</paraID>
      <start>28</start>
      <end>30</end>
      <status>modified</status>
      <modifiedWord>”“</modifiedWord>
      <trackRevisions>false</trackRevisions>
    </reviewItem>
    <reviewItem>
      <errorID>9f6c8eea-0a8a-466d-a61b-2fb7e1f7abaa</errorID>
      <errorWord>必须严格按</errorWord>
      <group>L1_Word</group>
      <groupName>字词问题</groupName>
      <ability>L2_Typo</ability>
      <abilityName>字词错误</abilityName>
      <candidateList>
        <item>必须严格按照</item>
      </candidateList>
      <explain/>
      <paraID>6344B30F</paraID>
      <start>25</start>
      <end>31</end>
      <status>modified</status>
      <modifiedWord>必须严格按照</modifiedWord>
      <trackRevisions>false</trackRevisions>
    </reviewItem>
    <reviewItem>
      <errorID>637c8db8-85a6-4382-940f-93370d9cc376</errorID>
      <errorWord>(</errorWord>
      <group>L1_Format</group>
      <groupName>格式问题</groupName>
      <ability>L2_HalfPunc_CN</ability>
      <abilityName>全半角问题</abilityName>
      <candidateList>
        <item>（</item>
      </candidateList>
      <explain>文本全半角错误。</explain>
      <paraID>1DE634AF</paraID>
      <start>13</start>
      <end>14</end>
      <status>modified</status>
      <modifiedWord>（</modifiedWord>
      <trackRevisions>false</trackRevisions>
    </reviewItem>
    <reviewItem>
      <errorID>ed5dc5fb-39e0-4570-bd9b-7d2a9e3ea8ab</errorID>
      <errorWord>)</errorWord>
      <group>L1_Format</group>
      <groupName>格式问题</groupName>
      <ability>L2_HalfPunc_CN</ability>
      <abilityName>全半角问题</abilityName>
      <candidateList>
        <item>）</item>
      </candidateList>
      <explain>文本全半角错误。</explain>
      <paraID>1DE634AF</paraID>
      <start>16</start>
      <end>17</end>
      <status>modified</status>
      <modifiedWord>）</modifiedWord>
      <trackRevisions>false</trackRevisions>
    </reviewItem>
    <reviewItem>
      <errorID>73f41f9f-5f7c-44a0-9dfa-e004514ecab3</errorID>
      <errorWord>品</errorWord>
      <group>L1_Word</group>
      <groupName>字词问题</groupName>
      <ability>L2_Typo</ability>
      <abilityName>字词错误</abilityName>
      <candidateList>
        <item>品在</item>
      </candidateList>
      <explain/>
      <paraID>1DE634AF</paraID>
      <start>40</start>
      <end>42</end>
      <status>modified</status>
      <modifiedWord>品在</modifiedWord>
      <trackRevisions>false</trackRevisions>
    </reviewItem>
    <reviewItem>
      <errorID>e5f9708f-986f-4f9f-aba4-878e02d8f41f</errorID>
      <errorWord>(</errorWord>
      <group>L1_Format</group>
      <groupName>格式问题</groupName>
      <ability>L2_HalfPunc_CN</ability>
      <abilityName>全半角问题</abilityName>
      <candidateList>
        <item>（</item>
      </candidateList>
      <explain>文本全半角错误。</explain>
      <paraID>1DE634AF</paraID>
      <start>44</start>
      <end>45</end>
      <status>modified</status>
      <modifiedWord>（</modifiedWord>
      <trackRevisions>false</trackRevisions>
    </reviewItem>
    <reviewItem>
      <errorID>c2242c9d-a1c8-487f-8b86-84e7b161ec5b</errorID>
      <errorWord>)</errorWord>
      <group>L1_Format</group>
      <groupName>格式问题</groupName>
      <ability>L2_HalfPunc_CN</ability>
      <abilityName>全半角问题</abilityName>
      <candidateList>
        <item>）</item>
      </candidateList>
      <explain>文本全半角错误。</explain>
      <paraID>1DE634AF</paraID>
      <start>47</start>
      <end>48</end>
      <status>modified</status>
      <modifiedWord>）</modifiedWord>
      <trackRevisions>false</trackRevisions>
    </reviewItem>
    <reviewItem>
      <errorID>b5acec01-7c98-4927-b164-5be17743779c</errorID>
      <errorWord>(</errorWord>
      <group>L1_Format</group>
      <groupName>格式问题</groupName>
      <ability>L2_HalfPunc_CN</ability>
      <abilityName>全半角问题</abilityName>
      <candidateList>
        <item>（</item>
      </candidateList>
      <explain>文本全半角错误。</explain>
      <paraID>1DE634AF</paraID>
      <start>103</start>
      <end>104</end>
      <status>modified</status>
      <modifiedWord>（</modifiedWord>
      <trackRevisions>false</trackRevisions>
    </reviewItem>
    <reviewItem>
      <errorID>2639685d-2521-4c75-9ba6-99252de8cccf</errorID>
      <errorWord>)</errorWord>
      <group>L1_Format</group>
      <groupName>格式问题</groupName>
      <ability>L2_HalfPunc_CN</ability>
      <abilityName>全半角问题</abilityName>
      <candidateList>
        <item>）</item>
      </candidateList>
      <explain>文本全半角错误。</explain>
      <paraID>1DE634AF</paraID>
      <start>117</start>
      <end>118</end>
      <status>modified</status>
      <modifiedWord>）</modifiedWord>
      <trackRevisions>false</trackRevisions>
    </reviewItem>
    <reviewItem>
      <errorID>30d93ec5-3502-4e13-9bd9-737d9c33dfde</errorID>
      <errorWord>(</errorWord>
      <group>L1_Format</group>
      <groupName>格式问题</groupName>
      <ability>L2_HalfPunc_CN</ability>
      <abilityName>全半角问题</abilityName>
      <candidateList>
        <item>（</item>
      </candidateList>
      <explain>文本全半角错误。</explain>
      <paraID>790B44B4</paraID>
      <start>27</start>
      <end>28</end>
      <status>modified</status>
      <modifiedWord>（</modifiedWord>
      <trackRevisions>false</trackRevisions>
    </reviewItem>
    <reviewItem>
      <errorID>41b3f259-bfbe-42a4-b5f3-30f7b37516eb</errorID>
      <errorWord>)</errorWord>
      <group>L1_Format</group>
      <groupName>格式问题</groupName>
      <ability>L2_HalfPunc_CN</ability>
      <abilityName>全半角问题</abilityName>
      <candidateList>
        <item>）</item>
      </candidateList>
      <explain>文本全半角错误。</explain>
      <paraID>790B44B4</paraID>
      <start>30</start>
      <end>31</end>
      <status>modified</status>
      <modifiedWord>）</modifiedWord>
      <trackRevisions>false</trackRevisions>
    </reviewItem>
    <reviewItem>
      <errorID>e35a7481-1dc6-4e13-a15d-528f493a5393</errorID>
      <errorWord>粘</errorWord>
      <group>L1_Word</group>
      <groupName>字词问题</groupName>
      <ability>L2_Typo</ability>
      <abilityName>字词错误</abilityName>
      <candidateList>
        <item>黏</item>
      </candidateList>
      <explain>存在发音相同字词的误用。</explain>
      <paraID> 27B8D13</paraID>
      <start>5</start>
      <end>6</end>
      <status>ignored</status>
      <modifiedWord/>
      <trackRevisions>false</trackRevisions>
    </reviewItem>
    <reviewItem>
      <errorID>bc56c7be-8dd9-4ee8-bd0a-e35a89fee428</errorID>
      <errorWord>粘</errorWord>
      <group>L1_Word</group>
      <groupName>字词问题</groupName>
      <ability>L2_Typo</ability>
      <abilityName>字词错误</abilityName>
      <candidateList>
        <item>黏</item>
      </candidateList>
      <explain>存在发音相同字词的误用。</explain>
      <paraID>36A1A32B</paraID>
      <start>5</start>
      <end>6</end>
      <status>ignored</status>
      <modifiedWord/>
      <trackRevisions>false</trackRevisions>
    </reviewItem>
    <reviewItem>
      <errorID>516eddec-4263-4a3a-adea-184f8778864d</errorID>
      <errorWord>粘</errorWord>
      <group>L1_Word</group>
      <groupName>字词问题</groupName>
      <ability>L2_Typo</ability>
      <abilityName>字词错误</abilityName>
      <candidateList>
        <item>黏</item>
      </candidateList>
      <explain>存在发音相同字词的误用。</explain>
      <paraID>663BA590</paraID>
      <start>5</start>
      <end>6</end>
      <status>ignored</status>
      <modifiedWord/>
      <trackRevisions>false</trackRevisions>
    </reviewItem>
    <reviewItem>
      <errorID>b0164d84-7e95-4f30-b502-b001acc721eb</errorID>
      <errorWord>作法</errorWord>
      <group>L1_Word</group>
      <groupName>字词问题</groupName>
      <ability>L2_Typo</ability>
      <abilityName>字词错误</abilityName>
      <candidateList>
        <item>做法</item>
      </candidateList>
      <explain>存在发音相同字词的误用。</explain>
      <paraID>1DB445EA</paraID>
      <start>34</start>
      <end>36</end>
      <status>ignored</status>
      <modifiedWord/>
      <trackRevisions>false</trackRevisions>
    </reviewItem>
    <reviewItem>
      <errorID>2ba5eda0-9575-4b21-aab4-85598005dfe7</errorID>
      <errorWord>)</errorWord>
      <group>L1_Format</group>
      <groupName>格式问题</groupName>
      <ability>L2_HalfPunc_CN</ability>
      <abilityName>全半角问题</abilityName>
      <candidateList>
        <item>）</item>
      </candidateList>
      <explain>文本全半角错误。</explain>
      <paraID>543086DE</paraID>
      <start>118</start>
      <end>119</end>
      <status>modified</status>
      <modifiedWord>）</modifiedWord>
      <trackRevisions>false</trackRevisions>
    </reviewItem>
    <reviewItem>
      <errorID>2a262273-85e8-411d-88e6-1a0c054c435b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3B6F8E88</paraID>
      <start>28</start>
      <end>30</end>
      <status>modified</status>
      <modifiedWord>”“</modifiedWord>
      <trackRevisions>false</trackRevisions>
    </reviewItem>
    <reviewItem>
      <errorID>d55507b2-36e5-4325-9871-5563a7130ad6</errorID>
      <errorWord>必须严格按</errorWord>
      <group>L1_Word</group>
      <groupName>字词问题</groupName>
      <ability>L2_Typo</ability>
      <abilityName>字词错误</abilityName>
      <candidateList>
        <item>必须严格按照</item>
      </candidateList>
      <explain/>
      <paraID>4DB340E2</paraID>
      <start>26</start>
      <end>32</end>
      <status>modified</status>
      <modifiedWord>必须严格按照</modifiedWord>
      <trackRevisions>false</trackRevisions>
    </reviewItem>
    <reviewItem>
      <errorID>e23572fb-3e3d-4ea7-b439-5e4e2fcffbc9</errorID>
      <errorWord>(</errorWord>
      <group>L1_Format</group>
      <groupName>格式问题</groupName>
      <ability>L2_HalfPunc_CN</ability>
      <abilityName>全半角问题</abilityName>
      <candidateList>
        <item>（</item>
      </candidateList>
      <explain>文本全半角错误。</explain>
      <paraID>6B572798</paraID>
      <start>13</start>
      <end>14</end>
      <status>modified</status>
      <modifiedWord>（</modifiedWord>
      <trackRevisions>false</trackRevisions>
    </reviewItem>
    <reviewItem>
      <errorID>4b796d46-5b39-4b01-a351-805e9b514afd</errorID>
      <errorWord>)</errorWord>
      <group>L1_Format</group>
      <groupName>格式问题</groupName>
      <ability>L2_HalfPunc_CN</ability>
      <abilityName>全半角问题</abilityName>
      <candidateList>
        <item>）</item>
      </candidateList>
      <explain>文本全半角错误。</explain>
      <paraID>6B572798</paraID>
      <start>16</start>
      <end>17</end>
      <status>modified</status>
      <modifiedWord>）</modifiedWord>
      <trackRevisions>false</trackRevisions>
    </reviewItem>
    <reviewItem>
      <errorID>209b17fe-0e04-4b39-9a86-d53520310155</errorID>
      <errorWord>品</errorWord>
      <group>L1_Word</group>
      <groupName>字词问题</groupName>
      <ability>L2_Typo</ability>
      <abilityName>字词错误</abilityName>
      <candidateList>
        <item>品在</item>
      </candidateList>
      <explain/>
      <paraID>6B572798</paraID>
      <start>40</start>
      <end>42</end>
      <status>modified</status>
      <modifiedWord>品在</modifiedWord>
      <trackRevisions>false</trackRevisions>
    </reviewItem>
    <reviewItem>
      <errorID>ec8b1381-236e-4be2-bea1-153b01bdc65a</errorID>
      <errorWord>(</errorWord>
      <group>L1_Format</group>
      <groupName>格式问题</groupName>
      <ability>L2_HalfPunc_CN</ability>
      <abilityName>全半角问题</abilityName>
      <candidateList>
        <item>（</item>
      </candidateList>
      <explain>文本全半角错误。</explain>
      <paraID>6B572798</paraID>
      <start>44</start>
      <end>45</end>
      <status>modified</status>
      <modifiedWord>（</modifiedWord>
      <trackRevisions>false</trackRevisions>
    </reviewItem>
    <reviewItem>
      <errorID>0986b8b7-ef66-46f8-85df-7168f340c9ea</errorID>
      <errorWord>)</errorWord>
      <group>L1_Format</group>
      <groupName>格式问题</groupName>
      <ability>L2_HalfPunc_CN</ability>
      <abilityName>全半角问题</abilityName>
      <candidateList>
        <item>）</item>
      </candidateList>
      <explain>文本全半角错误。</explain>
      <paraID>6B572798</paraID>
      <start>47</start>
      <end>48</end>
      <status>modified</status>
      <modifiedWord>）</modifiedWord>
      <trackRevisions>false</trackRevisions>
    </reviewItem>
    <reviewItem>
      <errorID>3fa3640f-0303-4baf-8804-303f34d37eaf</errorID>
      <errorWord>后二个</errorWord>
      <group>L1_Word</group>
      <groupName>字词问题</groupName>
      <ability>L2_Alias</ability>
      <abilityName>也作/曾用词</abilityName>
      <candidateList>
        <item>后两个</item>
      </candidateList>
      <explain>词汇[后二个]为不规范表述或旧称，其规范书面表述为[后两个]。</explain>
      <paraID>6B572798</paraID>
      <start>52</start>
      <end>55</end>
      <status>modified</status>
      <modifiedWord>后两个</modifiedWord>
      <trackRevisions>false</trackRevisions>
    </reviewItem>
    <reviewItem>
      <errorID>b632a03d-b249-4380-a9f0-8a842c1fc82e</errorID>
      <errorWord>(</errorWord>
      <group>L1_Format</group>
      <groupName>格式问题</groupName>
      <ability>L2_HalfPunc_CN</ability>
      <abilityName>全半角问题</abilityName>
      <candidateList>
        <item>（</item>
      </candidateList>
      <explain>文本全半角错误。</explain>
      <paraID>6B572798</paraID>
      <start>103</start>
      <end>104</end>
      <status>modified</status>
      <modifiedWord>（</modifiedWord>
      <trackRevisions>false</trackRevisions>
    </reviewItem>
    <reviewItem>
      <errorID>aa9176f5-a322-4a80-b1b3-f76246eb90ee</errorID>
      <errorWord>)</errorWord>
      <group>L1_Format</group>
      <groupName>格式问题</groupName>
      <ability>L2_HalfPunc_CN</ability>
      <abilityName>全半角问题</abilityName>
      <candidateList>
        <item>）</item>
      </candidateList>
      <explain>文本全半角错误。</explain>
      <paraID>6B572798</paraID>
      <start>117</start>
      <end>118</end>
      <status>modified</status>
      <modifiedWord>）</modifiedWord>
      <trackRevisions>false</trackRevisions>
    </reviewItem>
    <reviewItem>
      <errorID>337b0aa6-207a-4b23-8d3f-a555ab1bfae3</errorID>
      <errorWord>法律、法规</errorWord>
      <group>L1_Word</group>
      <groupName>字词问题</groupName>
      <ability>L2_Typo</ability>
      <abilityName>字词错误</abilityName>
      <candidateList>
        <item>法律法规</item>
      </candidateList>
      <explain/>
      <paraID>5AF5882F</paraID>
      <start>86</start>
      <end>90</end>
      <status>modified</status>
      <modifiedWord>法律法规</modifiedWord>
      <trackRevisions>false</trackRevisions>
    </reviewItem>
    <reviewItem>
      <errorID>f57d00fe-e70c-4c1a-b173-e33dbb66e3e1</errorID>
      <errorWord>其它</errorWord>
      <group>L1_Word</group>
      <groupName>字词问题</groupName>
      <ability>L2_Alias</ability>
      <abilityName>也作/曾用词</abilityName>
      <candidateList>
        <item>其他</item>
      </candidateList>
      <explain>词汇[其它]为不规范表述或旧称，其规范书面表述为[其他]。</explain>
      <paraID>46B8EBF2</paraID>
      <start>70</start>
      <end>72</end>
      <status>modified</status>
      <modifiedWord>其他</modifiedWord>
      <trackRevisions>false</trackRevisions>
    </reviewItem>
    <reviewItem>
      <errorID>ca6e1d50-8dd1-4846-8927-f6a02a3db089</errorID>
      <errorWord>，</errorWord>
      <group>L1_Word</group>
      <groupName>字词问题</groupName>
      <ability>L2_Typo</ability>
      <abilityName>字词错误</abilityName>
      <candidateList>
        <item>，由</item>
      </candidateList>
      <explain/>
      <paraID>618E12BC</paraID>
      <start>39</start>
      <end>41</end>
      <status>modified</status>
      <modifiedWord>，由</modifiedWord>
      <trackRevisions>false</trackRevisions>
    </reviewItem>
    <reviewItem>
      <errorID>9b5c468d-0c44-490a-8b8f-28ff402f03d2</errorID>
      <errorWord>(</errorWord>
      <group>L1_Format</group>
      <groupName>格式问题</groupName>
      <ability>L2_HalfPunc_CN</ability>
      <abilityName>全半角问题</abilityName>
      <candidateList>
        <item>（</item>
      </candidateList>
      <explain>文本全半角错误。</explain>
      <paraID>23105207</paraID>
      <start>34</start>
      <end>35</end>
      <status>modified</status>
      <modifiedWord>（</modifiedWord>
      <trackRevisions>false</trackRevisions>
    </reviewItem>
    <reviewItem>
      <errorID>33620ca5-9447-45c1-9678-6899d311c1d4</errorID>
      <errorWord>属</errorWord>
      <group>L1_Word</group>
      <groupName>字词问题</groupName>
      <ability>L2_Typo</ability>
      <abilityName>字词错误</abilityName>
      <candidateList>
        <item>属于</item>
      </candidateList>
      <explain/>
      <paraID>3107AECF</paraID>
      <start>56</start>
      <end>58</end>
      <status>modified</status>
      <modifiedWord>属于</modifiedWord>
      <trackRevisions>false</trackRevisions>
    </reviewItem>
    <reviewItem>
      <errorID>8215d26f-4eee-4442-a0c6-2c9677995dfb</errorID>
      <errorWord>未有</errorWord>
      <group>L1_Word</group>
      <groupName>字词问题</groupName>
      <ability>L2_Typo</ability>
      <abilityName>字词错误</abilityName>
      <candidateList>
        <item>未</item>
      </candidateList>
      <explain/>
      <paraID>2F6525BB</paraID>
      <start>135</start>
      <end>136</end>
      <status>modified</status>
      <modifiedWord>未</modifiedWord>
      <trackRevisions>false</trackRevisions>
    </reviewItem>
    <reviewItem>
      <errorID>a372c91b-a177-4cd3-a281-8c9963885ca2</errorID>
      <errorWord>履约合同</errorWord>
      <group>L1_Word</group>
      <groupName>字词问题</groupName>
      <ability>L2_Typo</ability>
      <abilityName>字词错误</abilityName>
      <candidateList>
        <item>履行合同</item>
      </candidateList>
      <explain/>
      <paraID>19A8BA70</paraID>
      <start>9</start>
      <end>13</end>
      <status>modified</status>
      <modifiedWord>履行合同</modifiedWord>
      <trackRevisions>false</trackRevisions>
    </reviewItem>
    <reviewItem>
      <errorID>63270682-5f7e-4aae-b081-10872b99286f</errorID>
      <errorWord>必需</errorWord>
      <group>L1_Word</group>
      <groupName>字词问题</groupName>
      <ability>L2_Typo</ability>
      <abilityName>字词错误</abilityName>
      <candidateList>
        <item>必须</item>
      </candidateList>
      <explain>存在发音相同字词的误用。</explain>
      <paraID>5F8744B3</paraID>
      <start>27</start>
      <end>29</end>
      <status>modified</status>
      <modifiedWord>必须</modifiedWord>
      <trackRevisions>false</trackRevisions>
    </reviewItem>
    <reviewItem>
      <errorID>c3ab6cc8-4649-4d2d-b27c-607d9b48625f</errorID>
      <errorWord>(</errorWord>
      <group>L1_Format</group>
      <groupName>格式问题</groupName>
      <ability>L2_HalfPunc_CN</ability>
      <abilityName>全半角问题</abilityName>
      <candidateList>
        <item>（</item>
      </candidateList>
      <explain>文本全半角错误。</explain>
      <paraID>1C650AD2</paraID>
      <start>22</start>
      <end>23</end>
      <status>modified</status>
      <modifiedWord>（</modifiedWord>
      <trackRevisions>false</trackRevisions>
    </reviewItem>
    <reviewItem>
      <errorID>c0e0caeb-7063-463b-a368-f566399a28cf</errorID>
      <errorWord>)</errorWord>
      <group>L1_Format</group>
      <groupName>格式问题</groupName>
      <ability>L2_HalfPunc_CN</ability>
      <abilityName>全半角问题</abilityName>
      <candidateList>
        <item>）</item>
      </candidateList>
      <explain>文本全半角错误。</explain>
      <paraID>1C650AD2</paraID>
      <start>27</start>
      <end>28</end>
      <status>modified</status>
      <modifiedWord>）</modifiedWord>
      <trackRevisions>false</trackRevisions>
    </reviewItem>
    <reviewItem>
      <errorID>99715f49-e09b-4a61-9b35-3f380c315884</errorID>
      <errorWord>(</errorWord>
      <group>L1_Format</group>
      <groupName>格式问题</groupName>
      <ability>L2_HalfPunc_CN</ability>
      <abilityName>全半角问题</abilityName>
      <candidateList>
        <item>（</item>
      </candidateList>
      <explain>文本全半角错误。</explain>
      <paraID>2B260A44</paraID>
      <start>34</start>
      <end>35</end>
      <status>modified</status>
      <modifiedWord>（</modifiedWord>
      <trackRevisions>false</trackRevisions>
    </reviewItem>
    <reviewItem>
      <errorID>49ef5813-84f7-4734-8fee-e4be0012e1dc</errorID>
      <errorWord>)</errorWord>
      <group>L1_Format</group>
      <groupName>格式问题</groupName>
      <ability>L2_HalfPunc_CN</ability>
      <abilityName>全半角问题</abilityName>
      <candidateList>
        <item>）</item>
      </candidateList>
      <explain>文本全半角错误。</explain>
      <paraID>2B260A44</paraID>
      <start>39</start>
      <end>40</end>
      <status>modified</status>
      <modifiedWord>）</modifiedWord>
      <trackRevisions>false</trackRevisions>
    </reviewItem>
    <reviewItem>
      <errorID>cc903952-7137-4fc0-9d46-cd0ce9439df1</errorID>
      <errorWord>(</errorWord>
      <group>L1_Format</group>
      <groupName>格式问题</groupName>
      <ability>L2_HalfPunc_CN</ability>
      <abilityName>全半角问题</abilityName>
      <candidateList>
        <item>（</item>
      </candidateList>
      <explain>文本全半角错误。</explain>
      <paraID>11A29AB4</paraID>
      <start>48</start>
      <end>49</end>
      <status>modified</status>
      <modifiedWord>（</modifiedWord>
      <trackRevisions>false</trackRevisions>
    </reviewItem>
    <reviewItem>
      <errorID>069aa52a-2d5d-4bf3-9916-51599cb6bbe3</errorID>
      <errorWord>-</errorWord>
      <group>L1_Format</group>
      <groupName>格式问题</groupName>
      <ability>L2_HalfPunc_CN</ability>
      <abilityName>全半角问题</abilityName>
      <candidateList>
        <item>－</item>
      </candidateList>
      <explain>文本全半角错误。</explain>
      <paraID>11A29AB4</paraID>
      <start>50</start>
      <end>51</end>
      <status>modified</status>
      <modifiedWord>－</modifiedWord>
      <trackRevisions>false</trackRevisions>
    </reviewItem>
    <reviewItem>
      <errorID>f6a30057-a341-4da8-b67b-c5c133a6dd78</errorID>
      <errorWord>)</errorWord>
      <group>L1_Format</group>
      <groupName>格式问题</groupName>
      <ability>L2_HalfPunc_CN</ability>
      <abilityName>全半角问题</abilityName>
      <candidateList>
        <item>）</item>
      </candidateList>
      <explain>文本全半角错误。</explain>
      <paraID>11A29AB4</paraID>
      <start>53</start>
      <end>54</end>
      <status>modified</status>
      <modifiedWord>）</modifiedWord>
      <trackRevisions>false</trackRevisions>
    </reviewItem>
    <reviewItem>
      <errorID>4baba8c9-e52b-4b34-b68d-a3c253765e99</errorID>
      <errorWord>胶粘剂</errorWord>
      <group>L1_Word</group>
      <groupName>字词问题</groupName>
      <ability>L2_Typo</ability>
      <abilityName>字词错误</abilityName>
      <candidateList>
        <item>胶黏剂</item>
      </candidateList>
      <explain/>
      <paraID>3A5C2C9F</paraID>
      <start>14</start>
      <end>17</end>
      <status>modified</status>
      <modifiedWord>胶黏剂</modifiedWord>
      <trackRevisions>false</trackRevisions>
    </reviewItem>
    <reviewItem>
      <errorID>8023ca3f-bedb-46a8-856f-badc2b9e1d1f</errorID>
      <errorWord>空挡</errorWord>
      <group>L1_Word</group>
      <groupName>字词问题</groupName>
      <ability>L2_Typo</ability>
      <abilityName>字词错误</abilityName>
      <candidateList>
        <item>空档</item>
      </candidateList>
      <explain>存在发音相同字词的误用。</explain>
      <paraID>57E3DAD2</paraID>
      <start>237</start>
      <end>239</end>
      <status>ignored</status>
      <modifiedWord/>
      <trackRevisions>false</trackRevisions>
    </reviewItem>
    <reviewItem>
      <errorID>7f15ebef-e170-4f64-afb5-31107e6246c9</errorID>
      <errorWord>空挡</errorWord>
      <group>L1_Word</group>
      <groupName>字词问题</groupName>
      <ability>L2_Typo</ability>
      <abilityName>字词错误</abilityName>
      <candidateList>
        <item>空档</item>
      </candidateList>
      <explain>存在发音相同字词的误用。</explain>
      <paraID> BAAFA8E</paraID>
      <start>240</start>
      <end>242</end>
      <status>ignored</status>
      <modifiedWord/>
      <trackRevisions>false</trackRevisions>
    </reviewItem>
    <reviewItem>
      <errorID>ba49d196-c393-4027-aef9-0b0c97ebe3fa</errorID>
      <errorWord>空挡</errorWord>
      <group>L1_Word</group>
      <groupName>字词问题</groupName>
      <ability>L2_Typo</ability>
      <abilityName>字词错误</abilityName>
      <candidateList>
        <item>空档</item>
      </candidateList>
      <explain>存在发音相同字词的误用。</explain>
      <paraID>44F2ABB9</paraID>
      <start>189</start>
      <end>191</end>
      <status>ignored</status>
      <modifiedWord/>
      <trackRevisions>false</trackRevisions>
    </reviewItem>
    <reviewItem>
      <errorID>cc1f1a47-e7b7-400a-9350-771def915712</errorID>
      <errorWord>(</errorWord>
      <group>L1_Format</group>
      <groupName>格式问题</groupName>
      <ability>L2_HalfPunc_CN</ability>
      <abilityName>全半角问题</abilityName>
      <candidateList>
        <item>（</item>
      </candidateList>
      <explain>文本全半角错误。</explain>
      <paraID>238C8388</paraID>
      <start>7</start>
      <end>8</end>
      <status>modified</status>
      <modifiedWord>（</modifiedWord>
      <trackRevisions>false</trackRevisions>
    </reviewItem>
    <reviewItem>
      <errorID>6a895e3f-f275-4818-95fc-d39d8c8e3279</errorID>
      <errorWord>)</errorWord>
      <group>L1_Format</group>
      <groupName>格式问题</groupName>
      <ability>L2_HalfPunc_CN</ability>
      <abilityName>全半角问题</abilityName>
      <candidateList>
        <item>）</item>
      </candidateList>
      <explain>文本全半角错误。</explain>
      <paraID>238C8388</paraID>
      <start>32</start>
      <end>33</end>
      <status>modified</status>
      <modifiedWord>）</modifiedWord>
      <trackRevisions>false</trackRevisions>
    </reviewItem>
    <reviewItem>
      <errorID>829c6924-a087-40bb-9824-b7333e96d4ff</errorID>
      <errorWord>(</errorWord>
      <group>L1_Format</group>
      <groupName>格式问题</groupName>
      <ability>L2_HalfPunc_CN</ability>
      <abilityName>全半角问题</abilityName>
      <candidateList>
        <item>（</item>
      </candidateList>
      <explain>文本全半角错误。</explain>
      <paraID>251D1C9D</paraID>
      <start>7</start>
      <end>8</end>
      <status>modified</status>
      <modifiedWord>（</modifiedWord>
      <trackRevisions>false</trackRevisions>
    </reviewItem>
    <reviewItem>
      <errorID>d1a60b97-3352-4f1c-9909-ffef1f23793b</errorID>
      <errorWord>)</errorWord>
      <group>L1_Format</group>
      <groupName>格式问题</groupName>
      <ability>L2_HalfPunc_CN</ability>
      <abilityName>全半角问题</abilityName>
      <candidateList>
        <item>）</item>
      </candidateList>
      <explain>文本全半角错误。</explain>
      <paraID>251D1C9D</paraID>
      <start>35</start>
      <end>36</end>
      <status>modified</status>
      <modifiedWord>）</modifiedWord>
      <trackRevisions>false</trackRevisions>
    </reviewItem>
    <reviewItem>
      <errorID>f2bd9f61-8731-4c1b-bc03-1c4cf27c464e</errorID>
      <errorWord>(</errorWord>
      <group>L1_Format</group>
      <groupName>格式问题</groupName>
      <ability>L2_HalfPunc_CN</ability>
      <abilityName>全半角问题</abilityName>
      <candidateList>
        <item>（</item>
      </candidateList>
      <explain>文本全半角错误。</explain>
      <paraID>742289FA</paraID>
      <start>9</start>
      <end>10</end>
      <status>modified</status>
      <modifiedWord>（</modifiedWord>
      <trackRevisions>false</trackRevisions>
    </reviewItem>
    <reviewItem>
      <errorID>6d915499-4f67-4d22-83e0-500a0c7e6f21</errorID>
      <errorWord>)</errorWord>
      <group>L1_Format</group>
      <groupName>格式问题</groupName>
      <ability>L2_HalfPunc_CN</ability>
      <abilityName>全半角问题</abilityName>
      <candidateList>
        <item>）</item>
      </candidateList>
      <explain>文本全半角错误。</explain>
      <paraID>742289FA</paraID>
      <start>30</start>
      <end>31</end>
      <status>modified</status>
      <modifiedWord>）</modifiedWord>
      <trackRevisions>false</trackRevisions>
    </reviewItem>
    <reviewItem>
      <errorID>da0c6dc1-5c78-446d-b14c-aff5db5d2f06</errorID>
      <errorWord>(</errorWord>
      <group>L1_Format</group>
      <groupName>格式问题</groupName>
      <ability>L2_HalfPunc_CN</ability>
      <abilityName>全半角问题</abilityName>
      <candidateList>
        <item>（</item>
      </candidateList>
      <explain>文本全半角错误。</explain>
      <paraID> 6518F50</paraID>
      <start>7</start>
      <end>8</end>
      <status>modified</status>
      <modifiedWord>（</modifiedWord>
      <trackRevisions>false</trackRevisions>
    </reviewItem>
    <reviewItem>
      <errorID>86daa222-16af-4403-8798-dc7eb649f504</errorID>
      <errorWord>)</errorWord>
      <group>L1_Format</group>
      <groupName>格式问题</groupName>
      <ability>L2_HalfPunc_CN</ability>
      <abilityName>全半角问题</abilityName>
      <candidateList>
        <item>）</item>
      </candidateList>
      <explain>文本全半角错误。</explain>
      <paraID> 6518F50</paraID>
      <start>34</start>
      <end>35</end>
      <status>modified</status>
      <modifiedWord>）</modifiedWord>
      <trackRevisions>false</trackRevisions>
    </reviewItem>
    <reviewItem>
      <errorID>f984c3f0-e2b9-4a11-9205-d872639da71f</errorID>
      <errorWord>(</errorWord>
      <group>L1_Format</group>
      <groupName>格式问题</groupName>
      <ability>L2_HalfPunc_CN</ability>
      <abilityName>全半角问题</abilityName>
      <candidateList>
        <item>（</item>
      </candidateList>
      <explain>文本全半角错误。</explain>
      <paraID>4297AFDF</paraID>
      <start>7</start>
      <end>8</end>
      <status>modified</status>
      <modifiedWord>（</modifiedWord>
      <trackRevisions>false</trackRevisions>
    </reviewItem>
    <reviewItem>
      <errorID>b04d71b5-655f-4420-86a8-42a71740e2d3</errorID>
      <errorWord>)</errorWord>
      <group>L1_Format</group>
      <groupName>格式问题</groupName>
      <ability>L2_HalfPunc_CN</ability>
      <abilityName>全半角问题</abilityName>
      <candidateList>
        <item>）</item>
      </candidateList>
      <explain>文本全半角错误。</explain>
      <paraID>4297AFDF</paraID>
      <start>28</start>
      <end>29</end>
      <status>modified</status>
      <modifiedWord>）</modifiedWord>
      <trackRevisions>false</trackRevisions>
    </reviewItem>
    <reviewItem>
      <errorID>5917eae5-2eb1-42d5-a5a1-1e01642974dd</errorID>
      <errorWord>(</errorWord>
      <group>L1_Format</group>
      <groupName>格式问题</groupName>
      <ability>L2_HalfPunc_CN</ability>
      <abilityName>全半角问题</abilityName>
      <candidateList>
        <item>（</item>
      </candidateList>
      <explain>文本全半角错误。</explain>
      <paraID>20A88D01</paraID>
      <start>11</start>
      <end>12</end>
      <status>modified</status>
      <modifiedWord>（</modifiedWord>
      <trackRevisions>false</trackRevisions>
    </reviewItem>
    <reviewItem>
      <errorID>f02aa6c0-c092-4795-859d-cf207fda62a4</errorID>
      <errorWord>)</errorWord>
      <group>L1_Format</group>
      <groupName>格式问题</groupName>
      <ability>L2_HalfPunc_CN</ability>
      <abilityName>全半角问题</abilityName>
      <candidateList>
        <item>）</item>
      </candidateList>
      <explain>文本全半角错误。</explain>
      <paraID>20A88D01</paraID>
      <start>33</start>
      <end>34</end>
      <status>modified</status>
      <modifiedWord>）</modifiedWord>
      <trackRevisions>false</trackRevisions>
    </reviewItem>
    <reviewItem>
      <errorID>89f41d27-7e05-4fc3-8dde-50907fbf0694</errorID>
      <errorWord>粘合</errorWord>
      <group>L1_Word</group>
      <groupName>字词问题</groupName>
      <ability>L2_Alias</ability>
      <abilityName>也作/曾用词</abilityName>
      <candidateList>
        <item>黏合</item>
      </candidateList>
      <explain>词汇[粘合]为不规范表述或旧称，其规范书面表述为[黏合]。</explain>
      <paraID>20C87D7A</paraID>
      <start>52</start>
      <end>54</end>
      <status>ignored</status>
      <modifiedWord/>
      <trackRevisions>false</trackRevisions>
    </reviewItem>
    <reviewItem>
      <errorID>44116c17-8de3-4637-84ef-399d97e33e49</errorID>
      <errorWord>(</errorWord>
      <group>L1_Format</group>
      <groupName>格式问题</groupName>
      <ability>L2_HalfPunc_CN</ability>
      <abilityName>全半角问题</abilityName>
      <candidateList>
        <item>（</item>
      </candidateList>
      <explain>文本全半角错误。</explain>
      <paraID>19304383</paraID>
      <start>7</start>
      <end>8</end>
      <status>modified</status>
      <modifiedWord>（</modifiedWord>
      <trackRevisions>false</trackRevisions>
    </reviewItem>
    <reviewItem>
      <errorID>b334c0ab-62cc-4e04-b0ab-61f89218ad5b</errorID>
      <errorWord>)</errorWord>
      <group>L1_Format</group>
      <groupName>格式问题</groupName>
      <ability>L2_HalfPunc_CN</ability>
      <abilityName>全半角问题</abilityName>
      <candidateList>
        <item>）</item>
      </candidateList>
      <explain>文本全半角错误。</explain>
      <paraID>19304383</paraID>
      <start>32</start>
      <end>33</end>
      <status>modified</status>
      <modifiedWord>）</modifiedWord>
      <trackRevisions>false</trackRevisions>
    </reviewItem>
    <reviewItem>
      <errorID>63b463ea-8590-4732-afa9-825c2866eecd</errorID>
      <errorWord>(</errorWord>
      <group>L1_Format</group>
      <groupName>格式问题</groupName>
      <ability>L2_HalfPunc_CN</ability>
      <abilityName>全半角问题</abilityName>
      <candidateList>
        <item>（</item>
      </candidateList>
      <explain>文本全半角错误。</explain>
      <paraID>6C14C240</paraID>
      <start>7</start>
      <end>8</end>
      <status>modified</status>
      <modifiedWord>（</modifiedWord>
      <trackRevisions>false</trackRevisions>
    </reviewItem>
    <reviewItem>
      <errorID>ccdba492-c07a-4783-9a6c-2e55387c23c6</errorID>
      <errorWord>)</errorWord>
      <group>L1_Format</group>
      <groupName>格式问题</groupName>
      <ability>L2_HalfPunc_CN</ability>
      <abilityName>全半角问题</abilityName>
      <candidateList>
        <item>）</item>
      </candidateList>
      <explain>文本全半角错误。</explain>
      <paraID>6C14C240</paraID>
      <start>32</start>
      <end>33</end>
      <status>modified</status>
      <modifiedWord>）</modifiedWord>
      <trackRevisions>false</trackRevisions>
    </reviewItem>
    <reviewItem>
      <errorID>a0118643-afe1-4b3b-ab4a-f0482b7c9abd</errorID>
      <errorWord>(</errorWord>
      <group>L1_Format</group>
      <groupName>格式问题</groupName>
      <ability>L2_HalfPunc_CN</ability>
      <abilityName>全半角问题</abilityName>
      <candidateList>
        <item>（</item>
      </candidateList>
      <explain>文本全半角错误。</explain>
      <paraID> 349E327</paraID>
      <start>9</start>
      <end>10</end>
      <status>modified</status>
      <modifiedWord>（</modifiedWord>
      <trackRevisions>false</trackRevisions>
    </reviewItem>
    <reviewItem>
      <errorID>c0827c02-66c5-49c1-97ec-15e0fa8061d3</errorID>
      <errorWord>)</errorWord>
      <group>L1_Format</group>
      <groupName>格式问题</groupName>
      <ability>L2_HalfPunc_CN</ability>
      <abilityName>全半角问题</abilityName>
      <candidateList>
        <item>）</item>
      </candidateList>
      <explain>文本全半角错误。</explain>
      <paraID> 349E327</paraID>
      <start>30</start>
      <end>31</end>
      <status>modified</status>
      <modifiedWord>）</modifiedWord>
      <trackRevisions>false</trackRevisions>
    </reviewItem>
    <reviewItem>
      <errorID>57c05adb-d9c8-4473-9f9b-4bcc15555fa8</errorID>
      <errorWord>(</errorWord>
      <group>L1_Format</group>
      <groupName>格式问题</groupName>
      <ability>L2_HalfPunc_CN</ability>
      <abilityName>全半角问题</abilityName>
      <candidateList>
        <item>（</item>
      </candidateList>
      <explain>文本全半角错误。</explain>
      <paraID>7EE40F28</paraID>
      <start>7</start>
      <end>8</end>
      <status>modified</status>
      <modifiedWord>（</modifiedWord>
      <trackRevisions>false</trackRevisions>
    </reviewItem>
    <reviewItem>
      <errorID>a9783c97-2776-4886-a710-8fd59fff5d46</errorID>
      <errorWord>)</errorWord>
      <group>L1_Format</group>
      <groupName>格式问题</groupName>
      <ability>L2_HalfPunc_CN</ability>
      <abilityName>全半角问题</abilityName>
      <candidateList>
        <item>）</item>
      </candidateList>
      <explain>文本全半角错误。</explain>
      <paraID>7EE40F28</paraID>
      <start>34</start>
      <end>35</end>
      <status>modified</status>
      <modifiedWord>）</modifiedWord>
      <trackRevisions>false</trackRevisions>
    </reviewItem>
    <reviewItem>
      <errorID>670104f8-d8f3-4ed1-92c2-ef980afb20ec</errorID>
      <errorWord>(</errorWord>
      <group>L1_Format</group>
      <groupName>格式问题</groupName>
      <ability>L2_HalfPunc_CN</ability>
      <abilityName>全半角问题</abilityName>
      <candidateList>
        <item>（</item>
      </candidateList>
      <explain>文本全半角错误。</explain>
      <paraID>48A13EB6</paraID>
      <start>7</start>
      <end>8</end>
      <status>modified</status>
      <modifiedWord>（</modifiedWord>
      <trackRevisions>false</trackRevisions>
    </reviewItem>
    <reviewItem>
      <errorID>6024c80c-71c8-40f1-a576-a86b1bfd4e9e</errorID>
      <errorWord>)</errorWord>
      <group>L1_Format</group>
      <groupName>格式问题</groupName>
      <ability>L2_HalfPunc_CN</ability>
      <abilityName>全半角问题</abilityName>
      <candidateList>
        <item>）</item>
      </candidateList>
      <explain>文本全半角错误。</explain>
      <paraID>48A13EB6</paraID>
      <start>28</start>
      <end>29</end>
      <status>modified</status>
      <modifiedWord>）</modifiedWord>
      <trackRevisions>false</trackRevisions>
    </reviewItem>
    <reviewItem>
      <errorID>a4b236e0-579c-43d1-b990-27b42f25153d</errorID>
      <errorWord>(</errorWord>
      <group>L1_Format</group>
      <groupName>格式问题</groupName>
      <ability>L2_HalfPunc_CN</ability>
      <abilityName>全半角问题</abilityName>
      <candidateList>
        <item>（</item>
      </candidateList>
      <explain>文本全半角错误。</explain>
      <paraID>5C2819F8</paraID>
      <start>11</start>
      <end>12</end>
      <status>modified</status>
      <modifiedWord>（</modifiedWord>
      <trackRevisions>false</trackRevisions>
    </reviewItem>
    <reviewItem>
      <errorID>5f303e46-7feb-4fba-a829-08101feb4068</errorID>
      <errorWord>)</errorWord>
      <group>L1_Format</group>
      <groupName>格式问题</groupName>
      <ability>L2_HalfPunc_CN</ability>
      <abilityName>全半角问题</abilityName>
      <candidateList>
        <item>）</item>
      </candidateList>
      <explain>文本全半角错误。</explain>
      <paraID>5C2819F8</paraID>
      <start>33</start>
      <end>34</end>
      <status>modified</status>
      <modifiedWord>）</modifiedWord>
      <trackRevisions>false</trackRevisions>
    </reviewItem>
    <reviewItem>
      <errorID>b920baea-2060-4265-85a5-667ff04ddedc</errorID>
      <errorWord>(</errorWord>
      <group>L1_Format</group>
      <groupName>格式问题</groupName>
      <ability>L2_HalfPunc_CN</ability>
      <abilityName>全半角问题</abilityName>
      <candidateList>
        <item>（</item>
      </candidateList>
      <explain>文本全半角错误。</explain>
      <paraID>2F01C883</paraID>
      <start>57</start>
      <end>58</end>
      <status>modified</status>
      <modifiedWord>（</modifiedWord>
      <trackRevisions>false</trackRevisions>
    </reviewItem>
    <reviewItem>
      <errorID>574f0381-e039-4d47-a53d-c6ae05716249</errorID>
      <errorWord>)</errorWord>
      <group>L1_Format</group>
      <groupName>格式问题</groupName>
      <ability>L2_HalfPunc_CN</ability>
      <abilityName>全半角问题</abilityName>
      <candidateList>
        <item>）</item>
      </candidateList>
      <explain>文本全半角错误。</explain>
      <paraID>2F01C883</paraID>
      <start>67</start>
      <end>68</end>
      <status>modified</status>
      <modifiedWord>）</modifiedWord>
      <trackRevisions>false</trackRevisions>
    </reviewItem>
    <reviewItem>
      <errorID>a7450aea-687d-44ad-9caf-c73e898c61a1</errorID>
      <errorWord>:</errorWord>
      <group>L1_Format</group>
      <groupName>格式问题</groupName>
      <ability>L2_HalfPunc_CN</ability>
      <abilityName>全半角问题</abilityName>
      <candidateList>
        <item>：</item>
      </candidateList>
      <explain>文本全半角错误。</explain>
      <paraID>375565F8</paraID>
      <start>13</start>
      <end>14</end>
      <status>modified</status>
      <modifiedWord>：</modifiedWord>
      <trackRevisions>false</trackRevisions>
    </reviewItem>
    <reviewItem>
      <errorID>0a1ac1ec-26d5-4e96-822c-2aa8591e7f2c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9E602C5</paraID>
      <start>16</start>
      <end>18</end>
      <status>modified</status>
      <modifiedWord>”“</modifiedWord>
      <trackRevisions>false</trackRevisions>
    </reviewItem>
    <reviewItem>
      <errorID>ec53322e-cd52-4902-a7f3-df9c21a3f891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9E602C5</paraID>
      <start>21</start>
      <end>23</end>
      <status>modified</status>
      <modifiedWord>”“</modifiedWord>
      <trackRevisions>false</trackRevisions>
    </reviewItem>
    <reviewItem>
      <errorID>c9935a68-104a-45d0-881b-a37a66ca670d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40E3E6B8</paraID>
      <start>16</start>
      <end>18</end>
      <status>modified</status>
      <modifiedWord>”“</modifiedWord>
      <trackRevisions>false</trackRevisions>
    </reviewItem>
    <reviewItem>
      <errorID>bb32cfbf-760e-48b7-b798-0bdce98978d9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40E3E6B8</paraID>
      <start>21</start>
      <end>23</end>
      <status>modified</status>
      <modifiedWord>”“</modifiedWord>
      <trackRevisions>false</trackRevisions>
    </reviewItem>
    <reviewItem>
      <errorID>01663fdf-70a0-4b37-b101-49532bc87855</errorID>
      <errorWord>:</errorWord>
      <group>L1_Format</group>
      <groupName>格式问题</groupName>
      <ability>L2_HalfPunc_CN</ability>
      <abilityName>全半角问题</abilityName>
      <candidateList>
        <item>：</item>
      </candidateList>
      <explain>文本全半角错误。</explain>
      <paraID>793577FB</paraID>
      <start>2</start>
      <end>3</end>
      <status>modified</status>
      <modifiedWord>：</modifiedWord>
      <trackRevisions>false</trackRevisions>
    </reviewItem>
    <reviewItem>
      <errorID>63a908f2-2406-447d-bb57-55e315657378</errorID>
      <errorWord>(</errorWord>
      <group>L1_Format</group>
      <groupName>格式问题</groupName>
      <ability>L2_HalfPunc_CN</ability>
      <abilityName>全半角问题</abilityName>
      <candidateList>
        <item>（</item>
      </candidateList>
      <explain>文本全半角错误。</explain>
      <paraID>5DE66AE9</paraID>
      <start>2</start>
      <end>3</end>
      <status>modified</status>
      <modifiedWord>（</modifiedWord>
      <trackRevisions>false</trackRevisions>
    </reviewItem>
    <reviewItem>
      <errorID>f4ddb1ed-9855-4546-bcd9-17b2d2f31113</errorID>
      <errorWord>)</errorWord>
      <group>L1_Format</group>
      <groupName>格式问题</groupName>
      <ability>L2_HalfPunc_CN</ability>
      <abilityName>全半角问题</abilityName>
      <candidateList>
        <item>）</item>
      </candidateList>
      <explain>文本全半角错误。</explain>
      <paraID>5DE66AE9</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B9A7E3-C3AF-47F9-BE46-7B0831020B84}">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72</Pages>
  <Words>18204</Words>
  <Characters>19341</Characters>
  <Lines>333</Lines>
  <Paragraphs>93</Paragraphs>
  <TotalTime>20</TotalTime>
  <ScaleCrop>false</ScaleCrop>
  <LinksUpToDate>false</LinksUpToDate>
  <CharactersWithSpaces>20765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2026-10-05T11:12:00Z</dcterms:created>
  <dc:creator>赵国</dc:creator>
  <cp:lastModifiedBy>A</cp:lastModifiedBy>
  <dcterms:modified xsi:type="dcterms:W3CDTF">2026-10-09T01:44:31Z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3230EA8131C84DF285086EA4520ADB98_13</vt:lpwstr>
  </property>
  <property fmtid="{D5CDD505-2E9C-101B-9397-08002B2CF9AE}" pid="4" name="KSOTemplateDocerSaveRecord">
    <vt:lpwstr>eyJoZGlkIjoiNjVjOWJkZGZkNjAxN2FhNzg0NTQwNTNkNGJmNzk1ODEiLCJ1c2VySWQiOiI1MDQyNDA0NjkifQ==</vt:lpwstr>
  </property>
</Properties>
</file>