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1"/>
        <w:spacing w:before="120" w:beforeAutospacing="0" w:after="120" w:afterAutospacing="0" w:line="360" w:lineRule="auto"/>
        <w:rPr>
          <w:highlight w:val="none"/>
        </w:rPr>
      </w:pPr>
      <w:r>
        <w:rPr>
          <w:highlight w:val="none"/>
        </w:rPr>
        <w:t xml:space="preserve"> </w:t>
      </w:r>
      <w:r/>
    </w:p>
    <w:p>
      <w:pPr>
        <w:pStyle w:val="821"/>
        <w:jc w:val="center"/>
        <w:spacing w:before="120" w:beforeAutospacing="0" w:after="120" w:afterAutospacing="0" w:line="360" w:lineRule="auto"/>
        <w:rPr>
          <w:highlight w:val="none"/>
        </w:rPr>
        <w:outlineLvl w:val="0"/>
      </w:pPr>
      <w:r/>
      <w:bookmarkStart w:id="0" w:name="_Toc26286"/>
      <w:r/>
      <w:bookmarkStart w:id="1" w:name="_Toc12175"/>
      <w:r>
        <w:rPr>
          <w:rFonts w:ascii="Arial" w:hAnsi="Arial" w:cs="Arial"/>
          <w:b/>
          <w:sz w:val="84"/>
          <w:szCs w:val="84"/>
          <w:highlight w:val="none"/>
        </w:rPr>
        <w:t xml:space="preserve">竞争性磋商文件</w:t>
      </w:r>
      <w:bookmarkEnd w:id="0"/>
      <w:r/>
      <w:bookmarkEnd w:id="1"/>
      <w:r/>
      <w:r/>
    </w:p>
    <w:p>
      <w:pPr>
        <w:pStyle w:val="821"/>
        <w:ind w:left="420" w:firstLine="420"/>
        <w:spacing w:before="120" w:beforeAutospacing="0" w:after="120" w:afterAutospacing="0" w:line="360" w:lineRule="auto"/>
        <w:rPr>
          <w:rFonts w:ascii="Arial" w:hAnsi="Arial" w:cs="Arial"/>
          <w:b/>
          <w:sz w:val="32"/>
          <w:szCs w:val="32"/>
          <w:highlight w:val="none"/>
        </w:rPr>
      </w:pPr>
      <w:r>
        <w:rPr>
          <w:rFonts w:ascii="Arial" w:hAnsi="Arial" w:cs="Arial"/>
          <w:b/>
          <w:sz w:val="32"/>
          <w:szCs w:val="32"/>
          <w:highlight w:val="none"/>
        </w:rPr>
      </w:r>
      <w:r/>
    </w:p>
    <w:p>
      <w:pPr>
        <w:pStyle w:val="821"/>
        <w:ind w:left="420" w:firstLine="420"/>
        <w:spacing w:before="120" w:beforeAutospacing="0" w:after="120" w:afterAutospacing="0" w:line="360" w:lineRule="auto"/>
        <w:rPr>
          <w:rFonts w:ascii="Arial" w:hAnsi="Arial" w:cs="Arial"/>
          <w:b/>
          <w:sz w:val="32"/>
          <w:szCs w:val="32"/>
          <w:highlight w:val="none"/>
        </w:rPr>
      </w:pPr>
      <w:r>
        <w:rPr>
          <w:rFonts w:ascii="Arial" w:hAnsi="Arial" w:cs="Arial"/>
          <w:b/>
          <w:sz w:val="32"/>
          <w:szCs w:val="32"/>
          <w:highlight w:val="none"/>
        </w:rPr>
      </w:r>
      <w:r/>
    </w:p>
    <w:p>
      <w:pPr>
        <w:pStyle w:val="821"/>
        <w:ind w:left="420" w:firstLine="420"/>
        <w:spacing w:before="120" w:beforeAutospacing="0" w:after="120" w:afterAutospacing="0" w:line="360" w:lineRule="auto"/>
        <w:rPr>
          <w:rFonts w:ascii="Arial" w:hAnsi="Arial" w:cs="Arial"/>
          <w:b/>
          <w:sz w:val="32"/>
          <w:szCs w:val="32"/>
          <w:highlight w:val="none"/>
        </w:rPr>
      </w:pPr>
      <w:r>
        <w:rPr>
          <w:rFonts w:ascii="Arial" w:hAnsi="Arial" w:cs="Arial"/>
          <w:b/>
          <w:sz w:val="32"/>
          <w:szCs w:val="32"/>
          <w:highlight w:val="none"/>
        </w:rPr>
      </w:r>
      <w:r/>
    </w:p>
    <w:p>
      <w:pPr>
        <w:pStyle w:val="821"/>
        <w:ind w:left="420" w:firstLine="420"/>
        <w:spacing w:before="120" w:beforeAutospacing="0" w:after="120" w:afterAutospacing="0" w:line="360" w:lineRule="auto"/>
        <w:rPr>
          <w:rFonts w:ascii="Arial" w:hAnsi="Arial" w:cs="Arial"/>
          <w:b/>
          <w:sz w:val="32"/>
          <w:szCs w:val="32"/>
          <w:highlight w:val="none"/>
        </w:rPr>
      </w:pPr>
      <w:r>
        <w:rPr>
          <w:rFonts w:ascii="Arial" w:hAnsi="Arial" w:cs="Arial"/>
          <w:b/>
          <w:sz w:val="32"/>
          <w:szCs w:val="32"/>
          <w:highlight w:val="none"/>
        </w:rPr>
      </w:r>
      <w:r/>
    </w:p>
    <w:p>
      <w:pPr>
        <w:pStyle w:val="821"/>
        <w:jc w:val="center"/>
        <w:spacing w:before="120" w:beforeAutospacing="0" w:after="120" w:afterAutospacing="0" w:line="360" w:lineRule="auto"/>
        <w:rPr>
          <w:rFonts w:hint="eastAsia" w:ascii="Arial" w:hAnsi="Arial" w:cs="Arial" w:eastAsiaTheme="minorEastAsia"/>
          <w:b/>
          <w:sz w:val="32"/>
          <w:szCs w:val="32"/>
          <w:highlight w:val="none"/>
          <w:lang w:eastAsia="zh-CN"/>
        </w:rPr>
        <w:outlineLvl w:val="0"/>
      </w:pPr>
      <w:r/>
      <w:bookmarkStart w:id="2" w:name="_Toc6322"/>
      <w:r/>
      <w:bookmarkStart w:id="3" w:name="_Toc16637"/>
      <w:r>
        <w:rPr>
          <w:rFonts w:ascii="Arial" w:hAnsi="Arial" w:cs="Arial"/>
          <w:b/>
          <w:sz w:val="32"/>
          <w:szCs w:val="32"/>
          <w:highlight w:val="none"/>
        </w:rPr>
        <w:t xml:space="preserve">项目名称：</w:t>
      </w:r>
      <w:bookmarkEnd w:id="2"/>
      <w:r/>
      <w:bookmarkEnd w:id="3"/>
      <w:r>
        <w:rPr>
          <w:rFonts w:hint="eastAsia" w:ascii="Arial" w:hAnsi="Arial" w:cs="Arial"/>
          <w:b/>
          <w:sz w:val="32"/>
          <w:szCs w:val="32"/>
          <w:highlight w:val="none"/>
          <w:lang w:eastAsia="zh-CN"/>
        </w:rPr>
        <w:t xml:space="preserve">大冈镇老旧小区改造项目</w:t>
      </w:r>
      <w:r/>
    </w:p>
    <w:p>
      <w:pPr>
        <w:pStyle w:val="821"/>
        <w:jc w:val="center"/>
        <w:spacing w:beforeAutospacing="0" w:afterAutospacing="0" w:line="360" w:lineRule="auto"/>
        <w:rPr>
          <w:rFonts w:hint="eastAsia" w:eastAsiaTheme="minorEastAsia"/>
          <w:highlight w:val="none"/>
          <w:lang w:eastAsia="zh-CN"/>
        </w:rPr>
      </w:pPr>
      <w:r>
        <w:rPr>
          <w:rFonts w:ascii="Arial" w:hAnsi="Arial" w:cs="Arial"/>
          <w:b/>
          <w:sz w:val="32"/>
          <w:szCs w:val="32"/>
          <w:highlight w:val="none"/>
        </w:rPr>
        <w:t xml:space="preserve">项目编号：</w:t>
      </w:r>
      <w:r>
        <w:rPr>
          <w:rFonts w:hint="eastAsia" w:ascii="Arial" w:hAnsi="Arial" w:cs="Arial"/>
          <w:b/>
          <w:sz w:val="32"/>
          <w:szCs w:val="32"/>
          <w:highlight w:val="none"/>
          <w:lang w:eastAsia="zh-CN"/>
        </w:rPr>
        <w:t xml:space="preserve">JSZC-320903-RJXM-C2026-0013</w:t>
      </w:r>
      <w:r/>
    </w:p>
    <w:p>
      <w:pPr>
        <w:pStyle w:val="821"/>
        <w:spacing w:beforeAutospacing="0" w:afterAutospacing="0" w:line="360" w:lineRule="auto"/>
        <w:rPr>
          <w:highlight w:val="none"/>
        </w:rPr>
      </w:pPr>
      <w:r>
        <w:rPr>
          <w:highlight w:val="none"/>
        </w:rPr>
        <w:t xml:space="preserve"> </w:t>
      </w:r>
      <w:r/>
    </w:p>
    <w:p>
      <w:pPr>
        <w:pStyle w:val="821"/>
        <w:spacing w:beforeAutospacing="0" w:afterAutospacing="0" w:line="360" w:lineRule="auto"/>
        <w:rPr>
          <w:highlight w:val="none"/>
        </w:rPr>
      </w:pPr>
      <w:r>
        <w:rPr>
          <w:highlight w:val="none"/>
        </w:rPr>
      </w:r>
      <w:r/>
    </w:p>
    <w:p>
      <w:pPr>
        <w:pStyle w:val="821"/>
        <w:spacing w:beforeAutospacing="0" w:afterAutospacing="0" w:line="360" w:lineRule="auto"/>
        <w:rPr>
          <w:highlight w:val="none"/>
        </w:rPr>
      </w:pPr>
      <w:r>
        <w:rPr>
          <w:highlight w:val="none"/>
        </w:rPr>
      </w:r>
      <w:r/>
    </w:p>
    <w:p>
      <w:pPr>
        <w:pStyle w:val="821"/>
        <w:spacing w:beforeAutospacing="0" w:afterAutospacing="0" w:line="360" w:lineRule="auto"/>
        <w:rPr>
          <w:highlight w:val="none"/>
        </w:rPr>
      </w:pPr>
      <w:r>
        <w:rPr>
          <w:highlight w:val="none"/>
        </w:rPr>
      </w:r>
      <w:r/>
    </w:p>
    <w:p>
      <w:pPr>
        <w:pStyle w:val="821"/>
        <w:spacing w:beforeAutospacing="0" w:afterAutospacing="0" w:line="360" w:lineRule="auto"/>
        <w:rPr>
          <w:highlight w:val="none"/>
        </w:rPr>
      </w:pPr>
      <w:r>
        <w:rPr>
          <w:highlight w:val="none"/>
        </w:rPr>
        <w:t xml:space="preserve"> </w:t>
      </w:r>
      <w:r/>
    </w:p>
    <w:p>
      <w:pPr>
        <w:pStyle w:val="821"/>
        <w:spacing w:beforeAutospacing="0" w:afterAutospacing="0" w:line="360" w:lineRule="auto"/>
        <w:rPr>
          <w:highlight w:val="none"/>
        </w:rPr>
      </w:pPr>
      <w:r>
        <w:rPr>
          <w:highlight w:val="none"/>
        </w:rPr>
        <w:t xml:space="preserve"> </w:t>
      </w:r>
      <w:r/>
    </w:p>
    <w:p>
      <w:pPr>
        <w:pStyle w:val="821"/>
        <w:spacing w:beforeAutospacing="0" w:afterAutospacing="0" w:line="360" w:lineRule="auto"/>
        <w:rPr>
          <w:highlight w:val="none"/>
        </w:rPr>
      </w:pPr>
      <w:r>
        <w:rPr>
          <w:highlight w:val="none"/>
        </w:rPr>
        <w:t xml:space="preserve"> </w:t>
      </w:r>
      <w:r/>
    </w:p>
    <w:p>
      <w:pPr>
        <w:pStyle w:val="821"/>
        <w:jc w:val="center"/>
        <w:spacing w:before="120" w:beforeAutospacing="0" w:after="120" w:afterAutospacing="0" w:line="360" w:lineRule="auto"/>
        <w:rPr>
          <w:rFonts w:ascii="Arial" w:hAnsi="Arial" w:cs="Arial"/>
          <w:b/>
          <w:sz w:val="32"/>
          <w:szCs w:val="32"/>
          <w:highlight w:val="none"/>
        </w:rPr>
      </w:pPr>
      <w:r>
        <w:rPr>
          <w:rFonts w:hint="eastAsia" w:ascii="Arial" w:hAnsi="Arial" w:cs="Arial"/>
          <w:b/>
          <w:sz w:val="32"/>
          <w:szCs w:val="32"/>
          <w:highlight w:val="none"/>
        </w:rPr>
        <w:t xml:space="preserve">盐城市盐都区</w:t>
      </w:r>
      <w:r>
        <w:rPr>
          <w:rFonts w:hint="eastAsia" w:ascii="Arial" w:hAnsi="Arial" w:cs="Arial"/>
          <w:b/>
          <w:sz w:val="32"/>
          <w:szCs w:val="32"/>
          <w:highlight w:val="none"/>
          <w:lang w:eastAsia="zh-CN"/>
        </w:rPr>
        <w:t xml:space="preserve">大冈</w:t>
      </w:r>
      <w:r>
        <w:rPr>
          <w:rFonts w:hint="eastAsia" w:ascii="Arial" w:hAnsi="Arial" w:cs="Arial"/>
          <w:b/>
          <w:sz w:val="32"/>
          <w:szCs w:val="32"/>
          <w:highlight w:val="none"/>
        </w:rPr>
        <w:t xml:space="preserve">镇人民政府</w:t>
      </w:r>
      <w:r/>
    </w:p>
    <w:p>
      <w:pPr>
        <w:pStyle w:val="821"/>
        <w:jc w:val="center"/>
        <w:spacing w:before="120" w:beforeAutospacing="0" w:after="120" w:afterAutospacing="0" w:line="360" w:lineRule="auto"/>
        <w:rPr>
          <w:highlight w:val="none"/>
        </w:rPr>
      </w:pPr>
      <w:r>
        <w:rPr>
          <w:rFonts w:hint="eastAsia" w:ascii="Arial" w:hAnsi="Arial" w:cs="Arial"/>
          <w:b/>
          <w:sz w:val="32"/>
          <w:szCs w:val="32"/>
          <w:highlight w:val="none"/>
        </w:rPr>
        <w:t xml:space="preserve">2026年</w:t>
      </w:r>
      <w:r>
        <w:rPr>
          <w:rFonts w:hint="eastAsia" w:ascii="Arial" w:hAnsi="Arial" w:cs="Arial"/>
          <w:b/>
          <w:sz w:val="32"/>
          <w:szCs w:val="32"/>
          <w:highlight w:val="none"/>
          <w:lang w:val="en-US" w:eastAsia="zh-CN"/>
        </w:rPr>
        <w:t xml:space="preserve">11</w:t>
      </w:r>
      <w:r>
        <w:rPr>
          <w:rFonts w:hint="eastAsia" w:ascii="Arial" w:hAnsi="Arial" w:cs="Arial"/>
          <w:b/>
          <w:sz w:val="32"/>
          <w:szCs w:val="32"/>
          <w:highlight w:val="none"/>
        </w:rPr>
        <w:t xml:space="preserve">月</w:t>
      </w:r>
      <w:r/>
    </w:p>
    <w:p>
      <w:pPr>
        <w:pStyle w:val="821"/>
        <w:spacing w:before="120" w:beforeAutospacing="0" w:after="120" w:afterAutospacing="0" w:line="360" w:lineRule="auto"/>
        <w:rPr>
          <w:highlight w:val="none"/>
        </w:rPr>
      </w:pPr>
      <w:r>
        <w:rPr>
          <w:rFonts w:ascii="Arial" w:hAnsi="Arial" w:cs="Arial"/>
          <w:highlight w:val="none"/>
        </w:rPr>
        <w:t xml:space="preserve">                        </w:t>
      </w:r>
      <w:r/>
    </w:p>
    <w:p>
      <w:pPr>
        <w:pStyle w:val="821"/>
        <w:jc w:val="center"/>
        <w:spacing w:before="120" w:beforeAutospacing="0" w:after="120" w:afterAutospacing="0" w:line="360" w:lineRule="auto"/>
        <w:rPr>
          <w:highlight w:val="none"/>
        </w:rPr>
      </w:pPr>
      <w:r>
        <w:rPr>
          <w:highlight w:val="none"/>
        </w:rPr>
        <w:t xml:space="preserve"> </w:t>
      </w:r>
      <w:r/>
    </w:p>
    <w:p>
      <w:pPr>
        <w:pStyle w:val="821"/>
        <w:jc w:val="center"/>
        <w:spacing w:beforeAutospacing="0" w:afterAutospacing="0" w:line="480" w:lineRule="auto"/>
        <w:rPr>
          <w:rFonts w:ascii="Times New Roman" w:hAnsi="Times New Roman"/>
          <w:sz w:val="21"/>
          <w:szCs w:val="21"/>
          <w:highlight w:val="none"/>
        </w:rPr>
        <w:sectPr>
          <w:headerReference w:type="even" r:id="rId9"/>
          <w:headerReference w:type="first" r:id="rId10"/>
          <w:footerReference w:type="even" r:id="rId12"/>
          <w:footerReference w:type="first" r:id="rId13"/>
          <w:footnotePr/>
          <w:endnotePr/>
          <w:type w:val="nextPage"/>
          <w:pgSz w:w="11907" w:h="16840" w:orient="portrait"/>
          <w:pgMar w:top="1474" w:right="1134" w:bottom="1418" w:left="1134" w:header="851" w:footer="992" w:gutter="0"/>
          <w:pgNumType w:start="1"/>
          <w:cols w:num="1" w:sep="0" w:space="720" w:equalWidth="1"/>
          <w:docGrid w:linePitch="360"/>
        </w:sectPr>
      </w:pPr>
      <w:r>
        <w:rPr>
          <w:rFonts w:ascii="Times New Roman" w:hAnsi="Times New Roman"/>
          <w:sz w:val="21"/>
          <w:szCs w:val="21"/>
          <w:highlight w:val="none"/>
        </w:rPr>
      </w:r>
      <w:r/>
    </w:p>
    <w:p>
      <w:pPr>
        <w:pStyle w:val="821"/>
        <w:jc w:val="center"/>
        <w:spacing w:beforeAutospacing="0" w:afterAutospacing="0" w:line="480" w:lineRule="auto"/>
        <w:rPr>
          <w:highlight w:val="none"/>
        </w:rPr>
      </w:pPr>
      <w:r>
        <w:rPr>
          <w:rFonts w:ascii="Times New Roman" w:hAnsi="Times New Roman"/>
          <w:sz w:val="21"/>
          <w:szCs w:val="21"/>
          <w:highlight w:val="none"/>
        </w:rPr>
        <w:t xml:space="preserve"> </w:t>
      </w:r>
      <w:bookmarkStart w:id="4" w:name="_Toc20823272"/>
      <w:r/>
      <w:bookmarkStart w:id="5" w:name="_Toc479757206"/>
      <w:r/>
      <w:bookmarkStart w:id="6" w:name="_Toc523127445"/>
      <w:r/>
      <w:bookmarkStart w:id="7" w:name="_Toc513029200"/>
      <w:r/>
      <w:bookmarkStart w:id="8" w:name="_Toc120614210"/>
      <w:r/>
      <w:bookmarkStart w:id="9" w:name="_Toc16938516"/>
      <w:r>
        <w:rPr>
          <w:rFonts w:ascii="黑体" w:hAnsi="宋体" w:eastAsia="黑体" w:cs="黑体"/>
          <w:b/>
          <w:sz w:val="44"/>
          <w:szCs w:val="44"/>
          <w:highlight w:val="none"/>
        </w:rPr>
        <w:t xml:space="preserve">总  目  录</w:t>
      </w:r>
      <w:bookmarkEnd w:id="4"/>
      <w:r/>
      <w:bookmarkEnd w:id="5"/>
      <w:r/>
      <w:bookmarkEnd w:id="6"/>
      <w:r/>
      <w:bookmarkEnd w:id="7"/>
      <w:r/>
      <w:bookmarkEnd w:id="8"/>
      <w:r/>
      <w:bookmarkEnd w:id="9"/>
      <w:r/>
      <w:r/>
    </w:p>
    <w:p>
      <w:pPr>
        <w:pStyle w:val="821"/>
        <w:jc w:val="both"/>
        <w:spacing w:beforeAutospacing="0" w:afterAutospacing="0" w:line="480" w:lineRule="auto"/>
        <w:rPr>
          <w:highlight w:val="none"/>
        </w:rPr>
      </w:pPr>
      <w:r>
        <w:rPr>
          <w:highlight w:val="none"/>
        </w:rPr>
        <w:t xml:space="preserve"> </w:t>
      </w:r>
      <w:r/>
    </w:p>
    <w:sdt>
      <w:sdtPr>
        <w15:appearance w15:val="boundingBox"/>
        <w15:color w:val="dbdbdb"/>
        <w:id w:val="147467548"/>
        <w:docPartObj>
          <w:docPartGallery w:val="Table of Contents"/>
          <w:docPartUnique w:val="true"/>
        </w:docPartObj>
        <w:rPr>
          <w:rFonts w:ascii="宋体" w:hAnsi="宋体" w:eastAsia="宋体"/>
          <w:highlight w:val="none"/>
        </w:rPr>
      </w:sdtPr>
      <w:sdtContent>
        <w:p>
          <w:pPr>
            <w:pStyle w:val="813"/>
            <w:tabs>
              <w:tab w:val="right" w:pos="8504" w:leader="dot"/>
            </w:tabs>
            <w:rPr>
              <w:highlight w:val="none"/>
            </w:rPr>
          </w:pPr>
          <w:r>
            <w:rPr>
              <w:rFonts w:hint="eastAsia" w:ascii="黑体" w:hAnsi="黑体" w:eastAsia="黑体" w:cs="黑体"/>
              <w:sz w:val="36"/>
              <w:szCs w:val="36"/>
              <w:highlight w:val="none"/>
            </w:rPr>
            <w:fldChar w:fldCharType="begin"/>
          </w:r>
          <w:r>
            <w:rPr>
              <w:rFonts w:hint="eastAsia" w:ascii="黑体" w:hAnsi="黑体" w:eastAsia="黑体" w:cs="黑体"/>
              <w:sz w:val="36"/>
              <w:szCs w:val="36"/>
              <w:highlight w:val="none"/>
            </w:rPr>
            <w:instrText xml:space="preserve">TOC \o "1-1" \h \u </w:instrText>
          </w:r>
          <w:r>
            <w:rPr>
              <w:rFonts w:hint="eastAsia" w:ascii="黑体" w:hAnsi="黑体" w:eastAsia="黑体" w:cs="黑体"/>
              <w:sz w:val="36"/>
              <w:szCs w:val="36"/>
              <w:highlight w:val="none"/>
            </w:rPr>
            <w:fldChar w:fldCharType="separate"/>
          </w:r>
          <w:r/>
        </w:p>
        <w:p>
          <w:pPr>
            <w:pStyle w:val="813"/>
            <w:spacing w:line="360" w:lineRule="auto"/>
            <w:tabs>
              <w:tab w:val="right" w:pos="8504" w:leader="dot"/>
            </w:tabs>
            <w:rPr>
              <w:rFonts w:hint="eastAsia" w:ascii="黑体" w:hAnsi="黑体" w:eastAsia="黑体" w:cs="黑体"/>
              <w:sz w:val="36"/>
              <w:szCs w:val="36"/>
              <w:highlight w:val="none"/>
            </w:rPr>
          </w:pPr>
          <w:r>
            <w:rPr>
              <w:highlight w:val="none"/>
            </w:rPr>
            <w:fldChar w:fldCharType="begin"/>
          </w:r>
          <w:r>
            <w:rPr>
              <w:highlight w:val="none"/>
            </w:rPr>
            <w:instrText xml:space="preserve"> HYPERLINK \l "_Toc14496" </w:instrText>
          </w:r>
          <w:r>
            <w:rPr>
              <w:highlight w:val="none"/>
            </w:rPr>
            <w:fldChar w:fldCharType="separate"/>
          </w:r>
          <w:r>
            <w:rPr>
              <w:rFonts w:hint="eastAsia" w:ascii="黑体" w:hAnsi="黑体" w:eastAsia="黑体" w:cs="黑体"/>
              <w:sz w:val="36"/>
              <w:szCs w:val="36"/>
              <w:highlight w:val="none"/>
            </w:rPr>
            <w:t xml:space="preserve">第一章  竞争性磋商公告</w:t>
          </w:r>
          <w:r>
            <w:rPr>
              <w:rFonts w:hint="eastAsia" w:ascii="黑体" w:hAnsi="黑体" w:eastAsia="黑体" w:cs="黑体"/>
              <w:sz w:val="36"/>
              <w:szCs w:val="36"/>
              <w:highlight w:val="none"/>
            </w:rPr>
            <w:tab/>
          </w:r>
          <w:r>
            <w:rPr>
              <w:rFonts w:hint="eastAsia" w:ascii="黑体" w:hAnsi="黑体" w:eastAsia="黑体" w:cs="黑体"/>
              <w:sz w:val="36"/>
              <w:szCs w:val="36"/>
              <w:highlight w:val="none"/>
            </w:rPr>
            <w:t xml:space="preserve">2</w:t>
          </w:r>
          <w:r>
            <w:rPr>
              <w:rFonts w:hint="eastAsia" w:ascii="黑体" w:hAnsi="黑体" w:eastAsia="黑体" w:cs="黑体"/>
              <w:sz w:val="36"/>
              <w:szCs w:val="36"/>
              <w:highlight w:val="none"/>
            </w:rPr>
            <w:fldChar w:fldCharType="end"/>
          </w:r>
          <w:r/>
        </w:p>
        <w:p>
          <w:pPr>
            <w:pStyle w:val="813"/>
            <w:spacing w:line="360" w:lineRule="auto"/>
            <w:tabs>
              <w:tab w:val="right" w:pos="8504" w:leader="dot"/>
            </w:tabs>
            <w:rPr>
              <w:rFonts w:hint="eastAsia" w:ascii="黑体" w:hAnsi="黑体" w:eastAsia="黑体" w:cs="黑体"/>
              <w:sz w:val="36"/>
              <w:szCs w:val="36"/>
              <w:highlight w:val="none"/>
            </w:rPr>
          </w:pPr>
          <w:r>
            <w:rPr>
              <w:highlight w:val="none"/>
            </w:rPr>
            <w:fldChar w:fldCharType="begin"/>
          </w:r>
          <w:r>
            <w:rPr>
              <w:highlight w:val="none"/>
            </w:rPr>
            <w:instrText xml:space="preserve"> HYPERLINK \l "_Toc21039" </w:instrText>
          </w:r>
          <w:r>
            <w:rPr>
              <w:highlight w:val="none"/>
            </w:rPr>
            <w:fldChar w:fldCharType="separate"/>
          </w:r>
          <w:r>
            <w:rPr>
              <w:rFonts w:hint="eastAsia" w:ascii="黑体" w:hAnsi="黑体" w:eastAsia="黑体" w:cs="黑体"/>
              <w:sz w:val="36"/>
              <w:szCs w:val="36"/>
              <w:highlight w:val="none"/>
            </w:rPr>
            <w:t xml:space="preserve">第二章  供应商须知</w:t>
          </w:r>
          <w:r>
            <w:rPr>
              <w:rFonts w:hint="eastAsia" w:ascii="黑体" w:hAnsi="黑体" w:eastAsia="黑体" w:cs="黑体"/>
              <w:sz w:val="36"/>
              <w:szCs w:val="36"/>
              <w:highlight w:val="none"/>
            </w:rPr>
            <w:tab/>
          </w:r>
          <w:r>
            <w:rPr>
              <w:rFonts w:hint="eastAsia" w:ascii="黑体" w:hAnsi="黑体" w:eastAsia="黑体" w:cs="黑体"/>
              <w:sz w:val="36"/>
              <w:szCs w:val="36"/>
              <w:highlight w:val="none"/>
            </w:rPr>
            <w:t xml:space="preserve">6</w:t>
          </w:r>
          <w:r>
            <w:rPr>
              <w:rFonts w:hint="eastAsia" w:ascii="黑体" w:hAnsi="黑体" w:eastAsia="黑体" w:cs="黑体"/>
              <w:sz w:val="36"/>
              <w:szCs w:val="36"/>
              <w:highlight w:val="none"/>
            </w:rPr>
            <w:fldChar w:fldCharType="end"/>
          </w:r>
          <w:r/>
        </w:p>
        <w:p>
          <w:pPr>
            <w:pStyle w:val="813"/>
            <w:spacing w:line="360" w:lineRule="auto"/>
            <w:tabs>
              <w:tab w:val="right" w:pos="8504" w:leader="dot"/>
            </w:tabs>
            <w:rPr>
              <w:rFonts w:hint="eastAsia" w:ascii="黑体" w:hAnsi="黑体" w:eastAsia="黑体" w:cs="黑体"/>
              <w:sz w:val="36"/>
              <w:szCs w:val="36"/>
              <w:highlight w:val="none"/>
            </w:rPr>
          </w:pPr>
          <w:r>
            <w:rPr>
              <w:highlight w:val="none"/>
            </w:rPr>
            <w:fldChar w:fldCharType="begin"/>
          </w:r>
          <w:r>
            <w:rPr>
              <w:highlight w:val="none"/>
            </w:rPr>
            <w:instrText xml:space="preserve"> HYPERLINK \l "_Toc3582" </w:instrText>
          </w:r>
          <w:r>
            <w:rPr>
              <w:highlight w:val="none"/>
            </w:rPr>
            <w:fldChar w:fldCharType="separate"/>
          </w:r>
          <w:r>
            <w:rPr>
              <w:rFonts w:hint="eastAsia" w:ascii="黑体" w:hAnsi="黑体" w:eastAsia="黑体" w:cs="黑体"/>
              <w:sz w:val="36"/>
              <w:szCs w:val="36"/>
              <w:highlight w:val="none"/>
            </w:rPr>
            <w:t xml:space="preserve">第三章  合同条款及格式</w:t>
          </w:r>
          <w:r>
            <w:rPr>
              <w:rFonts w:hint="eastAsia" w:ascii="黑体" w:hAnsi="黑体" w:eastAsia="黑体" w:cs="黑体"/>
              <w:sz w:val="36"/>
              <w:szCs w:val="36"/>
              <w:highlight w:val="none"/>
            </w:rPr>
            <w:tab/>
          </w:r>
          <w:r>
            <w:rPr>
              <w:rFonts w:hint="eastAsia" w:ascii="黑体" w:hAnsi="黑体" w:eastAsia="黑体" w:cs="黑体"/>
              <w:sz w:val="36"/>
              <w:szCs w:val="36"/>
              <w:highlight w:val="none"/>
            </w:rPr>
            <w:fldChar w:fldCharType="begin"/>
          </w:r>
          <w:r>
            <w:rPr>
              <w:rFonts w:hint="eastAsia" w:ascii="黑体" w:hAnsi="黑体" w:eastAsia="黑体" w:cs="黑体"/>
              <w:sz w:val="36"/>
              <w:szCs w:val="36"/>
              <w:highlight w:val="none"/>
            </w:rPr>
            <w:instrText xml:space="preserve"> PAGEREF _Toc3582 \h </w:instrText>
          </w:r>
          <w:r>
            <w:rPr>
              <w:rFonts w:hint="eastAsia" w:ascii="黑体" w:hAnsi="黑体" w:eastAsia="黑体" w:cs="黑体"/>
              <w:sz w:val="36"/>
              <w:szCs w:val="36"/>
              <w:highlight w:val="none"/>
            </w:rPr>
            <w:fldChar w:fldCharType="separate"/>
          </w:r>
          <w:r>
            <w:rPr>
              <w:rFonts w:hint="eastAsia" w:ascii="黑体" w:hAnsi="黑体" w:eastAsia="黑体" w:cs="黑体"/>
              <w:sz w:val="36"/>
              <w:szCs w:val="36"/>
              <w:highlight w:val="none"/>
            </w:rPr>
            <w:t xml:space="preserve">20</w:t>
          </w:r>
          <w:r>
            <w:rPr>
              <w:rFonts w:hint="eastAsia" w:ascii="黑体" w:hAnsi="黑体" w:eastAsia="黑体" w:cs="黑体"/>
              <w:sz w:val="36"/>
              <w:szCs w:val="36"/>
              <w:highlight w:val="none"/>
            </w:rPr>
            <w:fldChar w:fldCharType="end"/>
          </w:r>
          <w:r>
            <w:rPr>
              <w:rFonts w:hint="eastAsia" w:ascii="黑体" w:hAnsi="黑体" w:eastAsia="黑体" w:cs="黑体"/>
              <w:sz w:val="36"/>
              <w:szCs w:val="36"/>
              <w:highlight w:val="none"/>
            </w:rPr>
            <w:fldChar w:fldCharType="end"/>
          </w:r>
          <w:r/>
        </w:p>
        <w:p>
          <w:pPr>
            <w:pStyle w:val="813"/>
            <w:spacing w:line="360" w:lineRule="auto"/>
            <w:tabs>
              <w:tab w:val="right" w:pos="8504" w:leader="dot"/>
            </w:tabs>
            <w:rPr>
              <w:rFonts w:hint="eastAsia" w:ascii="黑体" w:hAnsi="黑体" w:eastAsia="黑体" w:cs="黑体"/>
              <w:sz w:val="36"/>
              <w:szCs w:val="36"/>
              <w:highlight w:val="none"/>
            </w:rPr>
          </w:pPr>
          <w:r>
            <w:rPr>
              <w:highlight w:val="none"/>
            </w:rPr>
            <w:fldChar w:fldCharType="begin"/>
          </w:r>
          <w:r>
            <w:rPr>
              <w:highlight w:val="none"/>
            </w:rPr>
            <w:instrText xml:space="preserve"> HYPERLINK \l "_Toc1169" </w:instrText>
          </w:r>
          <w:r>
            <w:rPr>
              <w:highlight w:val="none"/>
            </w:rPr>
            <w:fldChar w:fldCharType="separate"/>
          </w:r>
          <w:r>
            <w:rPr>
              <w:rFonts w:hint="eastAsia" w:ascii="黑体" w:hAnsi="黑体" w:eastAsia="黑体" w:cs="黑体"/>
              <w:sz w:val="36"/>
              <w:szCs w:val="36"/>
              <w:highlight w:val="none"/>
            </w:rPr>
            <w:t xml:space="preserve">第四章  采购需求</w:t>
          </w:r>
          <w:r>
            <w:rPr>
              <w:rFonts w:hint="eastAsia" w:ascii="黑体" w:hAnsi="黑体" w:eastAsia="黑体" w:cs="黑体"/>
              <w:sz w:val="36"/>
              <w:szCs w:val="36"/>
              <w:highlight w:val="none"/>
            </w:rPr>
            <w:tab/>
          </w:r>
          <w:r>
            <w:rPr>
              <w:rFonts w:hint="eastAsia" w:ascii="黑体" w:hAnsi="黑体" w:eastAsia="黑体" w:cs="黑体"/>
              <w:sz w:val="36"/>
              <w:szCs w:val="36"/>
              <w:highlight w:val="none"/>
            </w:rPr>
            <w:fldChar w:fldCharType="begin"/>
          </w:r>
          <w:r>
            <w:rPr>
              <w:rFonts w:hint="eastAsia" w:ascii="黑体" w:hAnsi="黑体" w:eastAsia="黑体" w:cs="黑体"/>
              <w:sz w:val="36"/>
              <w:szCs w:val="36"/>
              <w:highlight w:val="none"/>
            </w:rPr>
            <w:instrText xml:space="preserve"> PAGEREF _Toc1169 \h </w:instrText>
          </w:r>
          <w:r>
            <w:rPr>
              <w:rFonts w:hint="eastAsia" w:ascii="黑体" w:hAnsi="黑体" w:eastAsia="黑体" w:cs="黑体"/>
              <w:sz w:val="36"/>
              <w:szCs w:val="36"/>
              <w:highlight w:val="none"/>
            </w:rPr>
            <w:fldChar w:fldCharType="separate"/>
          </w:r>
          <w:r>
            <w:rPr>
              <w:rFonts w:hint="eastAsia" w:ascii="黑体" w:hAnsi="黑体" w:eastAsia="黑体" w:cs="黑体"/>
              <w:sz w:val="36"/>
              <w:szCs w:val="36"/>
              <w:highlight w:val="none"/>
            </w:rPr>
            <w:t xml:space="preserve">67</w:t>
          </w:r>
          <w:r>
            <w:rPr>
              <w:rFonts w:hint="eastAsia" w:ascii="黑体" w:hAnsi="黑体" w:eastAsia="黑体" w:cs="黑体"/>
              <w:sz w:val="36"/>
              <w:szCs w:val="36"/>
              <w:highlight w:val="none"/>
            </w:rPr>
            <w:fldChar w:fldCharType="end"/>
          </w:r>
          <w:r>
            <w:rPr>
              <w:rFonts w:hint="eastAsia" w:ascii="黑体" w:hAnsi="黑体" w:eastAsia="黑体" w:cs="黑体"/>
              <w:sz w:val="36"/>
              <w:szCs w:val="36"/>
              <w:highlight w:val="none"/>
            </w:rPr>
            <w:fldChar w:fldCharType="end"/>
          </w:r>
          <w:r/>
        </w:p>
        <w:p>
          <w:pPr>
            <w:pStyle w:val="813"/>
            <w:spacing w:line="360" w:lineRule="auto"/>
            <w:tabs>
              <w:tab w:val="right" w:pos="8504" w:leader="dot"/>
            </w:tabs>
            <w:rPr>
              <w:rFonts w:hint="eastAsia" w:ascii="黑体" w:hAnsi="黑体" w:eastAsia="黑体" w:cs="黑体"/>
              <w:sz w:val="36"/>
              <w:szCs w:val="36"/>
              <w:highlight w:val="none"/>
            </w:rPr>
          </w:pPr>
          <w:r>
            <w:rPr>
              <w:highlight w:val="none"/>
            </w:rPr>
            <w:fldChar w:fldCharType="begin"/>
          </w:r>
          <w:r>
            <w:rPr>
              <w:highlight w:val="none"/>
            </w:rPr>
            <w:instrText xml:space="preserve"> HYPERLINK \l "_Toc6274" </w:instrText>
          </w:r>
          <w:r>
            <w:rPr>
              <w:highlight w:val="none"/>
            </w:rPr>
            <w:fldChar w:fldCharType="separate"/>
          </w:r>
          <w:r>
            <w:rPr>
              <w:rFonts w:hint="eastAsia" w:ascii="黑体" w:hAnsi="黑体" w:eastAsia="黑体" w:cs="黑体"/>
              <w:sz w:val="36"/>
              <w:szCs w:val="36"/>
              <w:highlight w:val="none"/>
            </w:rPr>
            <w:t xml:space="preserve">第五章  评审方法与评审标准</w:t>
          </w:r>
          <w:r>
            <w:rPr>
              <w:rFonts w:hint="eastAsia" w:ascii="黑体" w:hAnsi="黑体" w:eastAsia="黑体" w:cs="黑体"/>
              <w:sz w:val="36"/>
              <w:szCs w:val="36"/>
              <w:highlight w:val="none"/>
            </w:rPr>
            <w:tab/>
          </w:r>
          <w:r>
            <w:rPr>
              <w:rFonts w:hint="eastAsia" w:ascii="黑体" w:hAnsi="黑体" w:eastAsia="黑体" w:cs="黑体"/>
              <w:sz w:val="36"/>
              <w:szCs w:val="36"/>
              <w:highlight w:val="none"/>
            </w:rPr>
            <w:fldChar w:fldCharType="begin"/>
          </w:r>
          <w:r>
            <w:rPr>
              <w:rFonts w:hint="eastAsia" w:ascii="黑体" w:hAnsi="黑体" w:eastAsia="黑体" w:cs="黑体"/>
              <w:sz w:val="36"/>
              <w:szCs w:val="36"/>
              <w:highlight w:val="none"/>
            </w:rPr>
            <w:instrText xml:space="preserve"> PAGEREF _Toc6274 \h </w:instrText>
          </w:r>
          <w:r>
            <w:rPr>
              <w:rFonts w:hint="eastAsia" w:ascii="黑体" w:hAnsi="黑体" w:eastAsia="黑体" w:cs="黑体"/>
              <w:sz w:val="36"/>
              <w:szCs w:val="36"/>
              <w:highlight w:val="none"/>
            </w:rPr>
            <w:fldChar w:fldCharType="separate"/>
          </w:r>
          <w:r>
            <w:rPr>
              <w:rFonts w:hint="eastAsia" w:ascii="黑体" w:hAnsi="黑体" w:eastAsia="黑体" w:cs="黑体"/>
              <w:sz w:val="36"/>
              <w:szCs w:val="36"/>
              <w:highlight w:val="none"/>
            </w:rPr>
            <w:t xml:space="preserve">72</w:t>
          </w:r>
          <w:r>
            <w:rPr>
              <w:rFonts w:hint="eastAsia" w:ascii="黑体" w:hAnsi="黑体" w:eastAsia="黑体" w:cs="黑体"/>
              <w:sz w:val="36"/>
              <w:szCs w:val="36"/>
              <w:highlight w:val="none"/>
            </w:rPr>
            <w:fldChar w:fldCharType="end"/>
          </w:r>
          <w:r>
            <w:rPr>
              <w:rFonts w:hint="eastAsia" w:ascii="黑体" w:hAnsi="黑体" w:eastAsia="黑体" w:cs="黑体"/>
              <w:sz w:val="36"/>
              <w:szCs w:val="36"/>
              <w:highlight w:val="none"/>
            </w:rPr>
            <w:fldChar w:fldCharType="end"/>
          </w:r>
          <w:r/>
        </w:p>
        <w:p>
          <w:pPr>
            <w:pStyle w:val="813"/>
            <w:spacing w:line="360" w:lineRule="auto"/>
            <w:tabs>
              <w:tab w:val="right" w:pos="8504" w:leader="dot"/>
            </w:tabs>
            <w:rPr>
              <w:rFonts w:hint="eastAsia" w:ascii="黑体" w:hAnsi="黑体" w:eastAsia="黑体" w:cs="黑体"/>
              <w:sz w:val="36"/>
              <w:szCs w:val="36"/>
              <w:highlight w:val="none"/>
            </w:rPr>
          </w:pPr>
          <w:r>
            <w:rPr>
              <w:highlight w:val="none"/>
            </w:rPr>
            <w:fldChar w:fldCharType="begin"/>
          </w:r>
          <w:r>
            <w:rPr>
              <w:highlight w:val="none"/>
            </w:rPr>
            <w:instrText xml:space="preserve"> HYPERLINK \l "_Toc21664" </w:instrText>
          </w:r>
          <w:r>
            <w:rPr>
              <w:highlight w:val="none"/>
            </w:rPr>
            <w:fldChar w:fldCharType="separate"/>
          </w:r>
          <w:r>
            <w:rPr>
              <w:rFonts w:hint="eastAsia" w:ascii="黑体" w:hAnsi="黑体" w:eastAsia="黑体" w:cs="黑体"/>
              <w:sz w:val="36"/>
              <w:szCs w:val="36"/>
              <w:highlight w:val="none"/>
            </w:rPr>
            <w:t xml:space="preserve">第六章  响应文件格式</w:t>
          </w:r>
          <w:r>
            <w:rPr>
              <w:rFonts w:hint="eastAsia" w:ascii="黑体" w:hAnsi="黑体" w:eastAsia="黑体" w:cs="黑体"/>
              <w:sz w:val="36"/>
              <w:szCs w:val="36"/>
              <w:highlight w:val="none"/>
            </w:rPr>
            <w:tab/>
          </w:r>
          <w:r>
            <w:rPr>
              <w:rFonts w:hint="eastAsia" w:ascii="黑体" w:hAnsi="黑体" w:eastAsia="黑体" w:cs="黑体"/>
              <w:sz w:val="36"/>
              <w:szCs w:val="36"/>
              <w:highlight w:val="none"/>
            </w:rPr>
            <w:fldChar w:fldCharType="begin"/>
          </w:r>
          <w:r>
            <w:rPr>
              <w:rFonts w:hint="eastAsia" w:ascii="黑体" w:hAnsi="黑体" w:eastAsia="黑体" w:cs="黑体"/>
              <w:sz w:val="36"/>
              <w:szCs w:val="36"/>
              <w:highlight w:val="none"/>
            </w:rPr>
            <w:instrText xml:space="preserve"> PAGEREF _Toc21664 \h </w:instrText>
          </w:r>
          <w:r>
            <w:rPr>
              <w:rFonts w:hint="eastAsia" w:ascii="黑体" w:hAnsi="黑体" w:eastAsia="黑体" w:cs="黑体"/>
              <w:sz w:val="36"/>
              <w:szCs w:val="36"/>
              <w:highlight w:val="none"/>
            </w:rPr>
            <w:fldChar w:fldCharType="separate"/>
          </w:r>
          <w:r>
            <w:rPr>
              <w:rFonts w:hint="eastAsia" w:ascii="黑体" w:hAnsi="黑体" w:eastAsia="黑体" w:cs="黑体"/>
              <w:sz w:val="36"/>
              <w:szCs w:val="36"/>
              <w:highlight w:val="none"/>
            </w:rPr>
            <w:t xml:space="preserve">76</w:t>
          </w:r>
          <w:r>
            <w:rPr>
              <w:rFonts w:hint="eastAsia" w:ascii="黑体" w:hAnsi="黑体" w:eastAsia="黑体" w:cs="黑体"/>
              <w:sz w:val="36"/>
              <w:szCs w:val="36"/>
              <w:highlight w:val="none"/>
            </w:rPr>
            <w:fldChar w:fldCharType="end"/>
          </w:r>
          <w:r>
            <w:rPr>
              <w:rFonts w:hint="eastAsia" w:ascii="黑体" w:hAnsi="黑体" w:eastAsia="黑体" w:cs="黑体"/>
              <w:sz w:val="36"/>
              <w:szCs w:val="36"/>
              <w:highlight w:val="none"/>
            </w:rPr>
            <w:fldChar w:fldCharType="end"/>
          </w:r>
          <w:r/>
        </w:p>
        <w:p>
          <w:pPr>
            <w:jc w:val="center"/>
            <w:rPr>
              <w:rFonts w:hint="eastAsia" w:ascii="黑体" w:hAnsi="黑体" w:eastAsia="黑体" w:cs="黑体"/>
              <w:sz w:val="36"/>
              <w:szCs w:val="36"/>
              <w:highlight w:val="none"/>
            </w:rPr>
          </w:pPr>
          <w:r>
            <w:rPr>
              <w:rFonts w:hint="eastAsia" w:ascii="黑体" w:hAnsi="黑体" w:eastAsia="黑体" w:cs="黑体"/>
              <w:sz w:val="36"/>
              <w:szCs w:val="36"/>
              <w:highlight w:val="none"/>
            </w:rPr>
            <w:fldChar w:fldCharType="end"/>
          </w:r>
          <w:r/>
        </w:p>
      </w:sdtContent>
    </w:sdt>
    <w:p>
      <w:pPr>
        <w:rPr>
          <w:highlight w:val="none"/>
        </w:rPr>
      </w:pPr>
      <w:r>
        <w:rPr>
          <w:highlight w:val="none"/>
        </w:rPr>
        <w:br w:type="page" w:clear="all"/>
      </w:r>
      <w:r/>
    </w:p>
    <w:p>
      <w:pPr>
        <w:pStyle w:val="821"/>
        <w:jc w:val="center"/>
        <w:keepNext/>
        <w:spacing w:beforeAutospacing="0" w:afterAutospacing="0"/>
        <w:rPr>
          <w:rFonts w:hint="eastAsia" w:ascii="仿宋" w:hAnsi="仿宋" w:eastAsia="仿宋" w:cs="仿宋"/>
          <w:sz w:val="28"/>
          <w:szCs w:val="28"/>
          <w:highlight w:val="none"/>
        </w:rPr>
        <w:outlineLvl w:val="0"/>
      </w:pPr>
      <w:r/>
      <w:bookmarkStart w:id="10" w:name="_Toc14496"/>
      <w:r/>
      <w:bookmarkStart w:id="11" w:name="_Toc28359086"/>
      <w:r>
        <w:rPr>
          <w:rFonts w:hint="eastAsia" w:ascii="黑体" w:hAnsi="宋体" w:eastAsia="黑体" w:cs="黑体"/>
          <w:sz w:val="44"/>
          <w:szCs w:val="44"/>
          <w:highlight w:val="none"/>
        </w:rPr>
        <w:t xml:space="preserve">第一章  竞争性磋商公告</w:t>
      </w:r>
      <w:bookmarkEnd w:id="10"/>
      <w:r/>
      <w:r/>
    </w:p>
    <w:p>
      <w:pPr>
        <w:pStyle w:val="821"/>
        <w:ind w:firstLine="480"/>
        <w:jc w:val="both"/>
        <w:spacing w:beforeAutospacing="0" w:afterAutospacing="0"/>
        <w:rPr>
          <w:rFonts w:hint="eastAsia" w:ascii="宋体" w:hAnsi="宋体" w:eastAsia="宋体" w:cs="宋体"/>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highlight w:val="none"/>
        </w:rPr>
        <w:t xml:space="preserve">项目概况</w:t>
      </w:r>
      <w:r/>
    </w:p>
    <w:p>
      <w:pPr>
        <w:pStyle w:val="821"/>
        <w:ind w:firstLine="480"/>
        <w:jc w:val="both"/>
        <w:spacing w:beforeAutospacing="0" w:afterAutospacing="0"/>
        <w:rPr>
          <w:rFonts w:hint="eastAsia" w:ascii="宋体" w:hAnsi="宋体" w:eastAsia="宋体" w:cs="宋体"/>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highlight w:val="none"/>
          <w:u w:val="single"/>
          <w:lang w:eastAsia="zh-CN"/>
        </w:rPr>
        <w:t xml:space="preserve">大冈镇老旧小区改造项目</w:t>
      </w:r>
      <w:r>
        <w:rPr>
          <w:rFonts w:hint="eastAsia" w:ascii="宋体" w:hAnsi="宋体" w:eastAsia="宋体" w:cs="宋体"/>
          <w:highlight w:val="none"/>
          <w:u w:val="single"/>
        </w:rPr>
        <w:t xml:space="preserve">采购项目的潜在供应商应在“苏采云”系统内免费下载（投标人必须在苏采云系统中获取磋商文件，方能参与政府采购项目）；并于2026年11</w:t>
      </w:r>
      <w:r>
        <w:rPr>
          <w:rFonts w:hint="eastAsia" w:ascii="宋体" w:hAnsi="宋体" w:eastAsia="宋体" w:cs="宋体"/>
          <w:highlight w:val="none"/>
          <w:u w:val="single"/>
        </w:rPr>
        <w:t xml:space="preserve">月16</w:t>
      </w:r>
      <w:r>
        <w:rPr>
          <w:rFonts w:hint="eastAsia" w:ascii="宋体" w:hAnsi="宋体" w:eastAsia="宋体" w:cs="宋体"/>
          <w:highlight w:val="none"/>
          <w:u w:val="single"/>
        </w:rPr>
        <w:t xml:space="preserve">日09点00分（北京时间）前递交响应文件。</w:t>
      </w:r>
      <w:r/>
    </w:p>
    <w:p>
      <w:pPr>
        <w:pStyle w:val="821"/>
        <w:ind w:firstLine="499"/>
        <w:jc w:val="both"/>
        <w:keepLines/>
        <w:keepNext/>
        <w:spacing w:before="120" w:beforeAutospacing="0" w:after="120" w:afterAutospacing="0" w:line="440" w:lineRule="exact"/>
        <w:rPr>
          <w:rFonts w:hint="eastAsia" w:ascii="宋体" w:hAnsi="宋体" w:eastAsia="宋体" w:cs="宋体"/>
          <w:b/>
          <w:highlight w:val="none"/>
        </w:rPr>
        <w:outlineLvl w:val="1"/>
      </w:pPr>
      <w:r/>
      <w:bookmarkStart w:id="12" w:name="_Toc35393621"/>
      <w:r/>
      <w:bookmarkStart w:id="13" w:name="_Toc35393790"/>
      <w:r/>
      <w:bookmarkStart w:id="14" w:name="_Toc28359079"/>
      <w:r/>
      <w:bookmarkStart w:id="15" w:name="_Toc38985263"/>
      <w:r/>
      <w:bookmarkStart w:id="16" w:name="_Toc28359002"/>
      <w:r/>
      <w:bookmarkStart w:id="17" w:name="_Hlk24379207"/>
      <w:r>
        <w:rPr>
          <w:rFonts w:hint="eastAsia" w:ascii="宋体" w:hAnsi="宋体" w:eastAsia="宋体" w:cs="宋体"/>
          <w:b/>
          <w:highlight w:val="none"/>
        </w:rPr>
        <w:t xml:space="preserve">一、项目基本情况</w:t>
      </w:r>
      <w:bookmarkEnd w:id="12"/>
      <w:r/>
      <w:bookmarkEnd w:id="13"/>
      <w:r/>
      <w:bookmarkEnd w:id="14"/>
      <w:r/>
      <w:bookmarkEnd w:id="15"/>
      <w:r/>
      <w:bookmarkEnd w:id="16"/>
      <w:r/>
      <w:bookmarkEnd w:id="17"/>
      <w:r/>
      <w:r/>
    </w:p>
    <w:p>
      <w:pPr>
        <w:pStyle w:val="821"/>
        <w:ind w:firstLine="482"/>
        <w:jc w:val="both"/>
        <w:spacing w:beforeAutospacing="0" w:afterAutospacing="0" w:line="420" w:lineRule="exact"/>
        <w:rPr>
          <w:rFonts w:hint="eastAsia" w:ascii="宋体" w:hAnsi="宋体" w:eastAsia="宋体" w:cs="宋体"/>
          <w:highlight w:val="none"/>
          <w:lang w:eastAsia="zh-CN"/>
        </w:rPr>
      </w:pPr>
      <w:r>
        <w:rPr>
          <w:rFonts w:hint="eastAsia" w:ascii="宋体" w:hAnsi="宋体" w:eastAsia="宋体" w:cs="宋体"/>
          <w:highlight w:val="none"/>
        </w:rPr>
        <w:t xml:space="preserve">1.项目编号</w:t>
      </w:r>
      <w:r>
        <w:rPr>
          <w:rFonts w:hint="eastAsia" w:ascii="宋体" w:hAnsi="宋体" w:eastAsia="宋体" w:cs="宋体"/>
          <w:highlight w:val="none"/>
          <w:lang w:eastAsia="zh-CN"/>
        </w:rPr>
        <w:t xml:space="preserve">JSZC-320903-RJXM-C2026-0013</w:t>
      </w:r>
      <w:r/>
    </w:p>
    <w:p>
      <w:pPr>
        <w:pStyle w:val="821"/>
        <w:ind w:firstLine="482"/>
        <w:jc w:val="both"/>
        <w:spacing w:beforeAutospacing="0" w:afterAutospacing="0" w:line="420" w:lineRule="exact"/>
        <w:rPr>
          <w:rFonts w:hint="eastAsia" w:ascii="宋体" w:hAnsi="宋体" w:eastAsia="宋体" w:cs="宋体"/>
          <w:highlight w:val="none"/>
          <w:lang w:eastAsia="zh-CN"/>
        </w:rPr>
      </w:pPr>
      <w:r>
        <w:rPr>
          <w:rFonts w:hint="eastAsia" w:ascii="宋体" w:hAnsi="宋体" w:eastAsia="宋体" w:cs="宋体"/>
          <w:highlight w:val="none"/>
        </w:rPr>
        <w:t xml:space="preserve">2.项目名称：</w:t>
      </w:r>
      <w:r>
        <w:rPr>
          <w:rFonts w:hint="eastAsia" w:ascii="宋体" w:hAnsi="宋体" w:eastAsia="宋体" w:cs="宋体"/>
          <w:highlight w:val="none"/>
          <w:lang w:eastAsia="zh-CN"/>
        </w:rPr>
        <w:t xml:space="preserve">大冈镇老旧小区改造项目</w:t>
      </w:r>
      <w:r/>
    </w:p>
    <w:p>
      <w:pPr>
        <w:pStyle w:val="821"/>
        <w:ind w:firstLine="482"/>
        <w:jc w:val="both"/>
        <w:spacing w:beforeAutospacing="0" w:afterAutospacing="0" w:line="420" w:lineRule="exact"/>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 xml:space="preserve">3.采购方式：竞争性磋商</w:t>
      </w:r>
      <w:r/>
    </w:p>
    <w:p>
      <w:pPr>
        <w:pStyle w:val="821"/>
        <w:ind w:firstLine="482"/>
        <w:jc w:val="both"/>
        <w:spacing w:beforeAutospacing="0" w:afterAutospacing="0" w:line="420" w:lineRule="exact"/>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 xml:space="preserve">4.预算金额：</w:t>
      </w:r>
      <w:r>
        <w:rPr>
          <w:rFonts w:hint="eastAsia" w:ascii="宋体" w:hAnsi="宋体" w:eastAsia="宋体" w:cs="宋体"/>
          <w:highlight w:val="none"/>
          <w:lang w:eastAsia="zh-CN"/>
        </w:rPr>
        <w:t xml:space="preserve">1439107.37</w:t>
      </w:r>
      <w:r>
        <w:rPr>
          <w:rFonts w:hint="eastAsia" w:ascii="宋体" w:hAnsi="宋体" w:eastAsia="宋体" w:cs="宋体"/>
          <w:highlight w:val="none"/>
          <w:shd w:val="clear" w:color="auto" w:fill="ffffff"/>
        </w:rPr>
        <w:t xml:space="preserve">元 </w:t>
      </w:r>
      <w:r/>
    </w:p>
    <w:p>
      <w:pPr>
        <w:pStyle w:val="821"/>
        <w:ind w:firstLine="482"/>
        <w:jc w:val="both"/>
        <w:spacing w:beforeAutospacing="0" w:afterAutospacing="0" w:line="420" w:lineRule="exact"/>
        <w:rPr>
          <w:rFonts w:hint="eastAsia" w:ascii="宋体" w:hAnsi="宋体" w:eastAsia="宋体" w:cs="宋体"/>
          <w:highlight w:val="none"/>
        </w:rPr>
      </w:pPr>
      <w:r>
        <w:rPr>
          <w:rFonts w:hint="eastAsia" w:ascii="宋体" w:hAnsi="宋体" w:eastAsia="宋体" w:cs="宋体"/>
          <w:highlight w:val="none"/>
        </w:rPr>
        <w:t xml:space="preserve">5.最高限价：</w:t>
      </w:r>
      <w:r>
        <w:rPr>
          <w:rFonts w:hint="eastAsia" w:ascii="宋体" w:hAnsi="宋体" w:eastAsia="宋体" w:cs="宋体"/>
          <w:highlight w:val="none"/>
          <w:lang w:eastAsia="zh-CN"/>
        </w:rPr>
        <w:t xml:space="preserve">1439107.37</w:t>
      </w:r>
      <w:r>
        <w:rPr>
          <w:rFonts w:hint="eastAsia" w:ascii="宋体" w:hAnsi="宋体" w:eastAsia="宋体" w:cs="宋体"/>
          <w:highlight w:val="none"/>
        </w:rPr>
        <w:t xml:space="preserve">元。投标人投标报价超出招标人设定最高投标限价的，其投标文件按无效标书处理。</w:t>
      </w:r>
      <w:r/>
    </w:p>
    <w:p>
      <w:pPr>
        <w:pStyle w:val="821"/>
        <w:ind w:firstLine="482"/>
        <w:jc w:val="both"/>
        <w:spacing w:beforeAutospacing="0" w:afterAutospacing="0" w:line="420" w:lineRule="exact"/>
        <w:rPr>
          <w:rFonts w:hint="eastAsia" w:ascii="宋体" w:hAnsi="宋体" w:eastAsia="宋体" w:cs="宋体"/>
          <w:highlight w:val="none"/>
        </w:rPr>
      </w:pPr>
      <w:r>
        <w:rPr>
          <w:rFonts w:hint="eastAsia" w:ascii="宋体" w:hAnsi="宋体" w:eastAsia="宋体" w:cs="宋体"/>
          <w:highlight w:val="none"/>
        </w:rPr>
        <w:t xml:space="preserve">6.采购需求：</w:t>
      </w:r>
      <w:r>
        <w:rPr>
          <w:rFonts w:hint="eastAsia" w:ascii="宋体" w:hAnsi="宋体" w:eastAsia="宋体" w:cs="宋体"/>
          <w:highlight w:val="none"/>
          <w:lang w:eastAsia="zh-CN"/>
        </w:rPr>
        <w:t xml:space="preserve">大冈镇老旧小区改造项目</w:t>
      </w:r>
      <w:r>
        <w:rPr>
          <w:rFonts w:ascii="宋体" w:hAnsi="宋体" w:eastAsia="宋体" w:cs="宋体"/>
          <w:highlight w:val="none"/>
        </w:rPr>
        <w:t xml:space="preserve">，主要内容为</w:t>
      </w:r>
      <w:r>
        <w:rPr>
          <w:rFonts w:hint="eastAsia" w:ascii="宋体" w:hAnsi="宋体" w:eastAsia="宋体" w:cs="宋体"/>
          <w:highlight w:val="none"/>
          <w:lang w:eastAsia="zh-CN"/>
        </w:rPr>
        <w:t xml:space="preserve">玻璃厂住宅区、教师新村进行改造，包括道路工程、雨污水改造等</w:t>
      </w:r>
      <w:r>
        <w:rPr>
          <w:rFonts w:hint="eastAsia" w:ascii="宋体" w:hAnsi="宋体" w:eastAsia="宋体" w:cs="宋体"/>
          <w:highlight w:val="none"/>
        </w:rPr>
        <w:t xml:space="preserve">。详见发包人提供的工程量清单和图纸，发包人保留对上述承包范围进行调整的权利。（详细内容见本磋商文件第四章）</w:t>
      </w:r>
      <w:r/>
    </w:p>
    <w:p>
      <w:pPr>
        <w:pStyle w:val="821"/>
        <w:ind w:firstLine="482"/>
        <w:jc w:val="both"/>
        <w:spacing w:beforeAutospacing="0" w:afterAutospacing="0" w:line="420" w:lineRule="exact"/>
        <w:rPr>
          <w:rFonts w:hint="eastAsia" w:ascii="宋体" w:hAnsi="宋体" w:eastAsia="宋体" w:cs="宋体"/>
          <w:highlight w:val="none"/>
          <w:lang w:eastAsia="zh-CN"/>
        </w:rPr>
      </w:pPr>
      <w:r>
        <w:rPr>
          <w:rFonts w:hint="eastAsia" w:ascii="宋体" w:hAnsi="宋体" w:eastAsia="宋体" w:cs="宋体"/>
          <w:highlight w:val="none"/>
        </w:rPr>
        <w:t xml:space="preserve">7.合同履行期限：60日历天，具体开工日期以监理签发的开工通知为准。</w:t>
      </w:r>
      <w:r/>
    </w:p>
    <w:p>
      <w:pPr>
        <w:ind w:firstLine="480"/>
        <w:spacing w:line="440" w:lineRule="exact"/>
        <w:widowControl/>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8.质量要求：合格</w:t>
      </w:r>
      <w:r/>
    </w:p>
    <w:p>
      <w:pPr>
        <w:ind w:firstLine="480"/>
        <w:spacing w:line="440" w:lineRule="exact"/>
        <w:widowControl/>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9.安全目标：无安全生产责任事故</w:t>
      </w:r>
      <w:r/>
    </w:p>
    <w:p>
      <w:pPr>
        <w:pStyle w:val="821"/>
        <w:ind w:firstLine="482"/>
        <w:jc w:val="both"/>
        <w:spacing w:beforeAutospacing="0" w:afterAutospacing="0" w:line="420" w:lineRule="exact"/>
        <w:rPr>
          <w:rFonts w:hint="eastAsia" w:ascii="宋体" w:hAnsi="宋体" w:eastAsia="宋体" w:cs="宋体"/>
          <w:highlight w:val="none"/>
        </w:rPr>
        <w:outlineLvl w:val="2"/>
      </w:pPr>
      <w:r>
        <w:rPr>
          <w:rFonts w:hint="eastAsia" w:ascii="宋体" w:hAnsi="宋体" w:eastAsia="宋体" w:cs="宋体"/>
          <w:highlight w:val="none"/>
        </w:rPr>
        <w:t xml:space="preserve">10.本项目</w:t>
      </w:r>
      <w:r>
        <w:rPr>
          <w:rFonts w:hint="eastAsia" w:ascii="宋体" w:hAnsi="宋体" w:eastAsia="宋体" w:cs="宋体"/>
          <w:highlight w:val="none"/>
          <w:u w:val="single"/>
        </w:rPr>
        <w:t xml:space="preserve"> 不</w:t>
      </w:r>
      <w:r>
        <w:rPr>
          <w:rFonts w:hint="eastAsia" w:ascii="宋体" w:hAnsi="宋体" w:eastAsia="宋体" w:cs="宋体"/>
          <w:b/>
          <w:bCs/>
          <w:highlight w:val="none"/>
          <w:u w:val="single"/>
        </w:rPr>
        <w:t xml:space="preserve"> </w:t>
      </w:r>
      <w:r>
        <w:rPr>
          <w:rFonts w:hint="eastAsia" w:ascii="宋体" w:hAnsi="宋体" w:eastAsia="宋体" w:cs="宋体"/>
          <w:highlight w:val="none"/>
        </w:rPr>
        <w:t xml:space="preserve">接受联合体参与磋商。</w:t>
      </w:r>
      <w:r/>
    </w:p>
    <w:p>
      <w:pPr>
        <w:pStyle w:val="821"/>
        <w:ind w:firstLine="499"/>
        <w:jc w:val="both"/>
        <w:keepLines/>
        <w:keepNext/>
        <w:spacing w:before="120" w:beforeAutospacing="0" w:after="120" w:afterAutospacing="0" w:line="440" w:lineRule="exact"/>
        <w:rPr>
          <w:rFonts w:hint="eastAsia" w:ascii="宋体" w:hAnsi="宋体" w:eastAsia="宋体" w:cs="宋体"/>
          <w:b/>
          <w:highlight w:val="none"/>
        </w:rPr>
        <w:outlineLvl w:val="1"/>
      </w:pPr>
      <w:r/>
      <w:bookmarkStart w:id="18" w:name="_Toc28359080"/>
      <w:r/>
      <w:bookmarkStart w:id="19" w:name="_Toc28359003"/>
      <w:r/>
      <w:bookmarkStart w:id="20" w:name="_Toc35393622"/>
      <w:r/>
      <w:bookmarkStart w:id="21" w:name="_Toc35393791"/>
      <w:r/>
      <w:bookmarkStart w:id="22" w:name="_Toc38985264"/>
      <w:r>
        <w:rPr>
          <w:rFonts w:hint="eastAsia" w:ascii="宋体" w:hAnsi="宋体" w:eastAsia="宋体" w:cs="宋体"/>
          <w:b/>
          <w:highlight w:val="none"/>
        </w:rPr>
        <w:t xml:space="preserve">二、申请人的资格要求：</w:t>
      </w:r>
      <w:bookmarkEnd w:id="18"/>
      <w:r/>
      <w:bookmarkEnd w:id="19"/>
      <w:r/>
      <w:bookmarkEnd w:id="20"/>
      <w:r/>
      <w:bookmarkEnd w:id="21"/>
      <w:r/>
      <w:bookmarkEnd w:id="22"/>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1.满足《中华人民共和国政府采购法》第二十二条规定，并提供下列材料：</w:t>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1.1 法人或者其他组织的营业执照等证明文件，自然人的身份证明；</w:t>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1.2上一年度的财务状况报告（成立不满一年无需提供）；</w:t>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1.3具备履行合同所必需的设备和专业技术能力的书面声明；</w:t>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1.5参加政府采购活动前3年内在经营活动中没有重大违法记录的书面声明。</w:t>
      </w:r>
      <w:r/>
    </w:p>
    <w:p>
      <w:pPr>
        <w:pStyle w:val="821"/>
        <w:ind w:firstLine="480"/>
        <w:jc w:val="both"/>
        <w:spacing w:beforeAutospacing="0" w:afterAutospacing="0" w:line="440" w:lineRule="exact"/>
        <w:rPr>
          <w:rFonts w:hint="eastAsia" w:ascii="宋体" w:hAnsi="宋体" w:eastAsia="宋体" w:cs="宋体"/>
          <w:highlight w:val="none"/>
        </w:rPr>
        <w:outlineLvl w:val="2"/>
      </w:pPr>
      <w:r>
        <w:rPr>
          <w:rFonts w:hint="eastAsia" w:ascii="宋体" w:hAnsi="宋体" w:eastAsia="宋体" w:cs="宋体"/>
          <w:highlight w:val="none"/>
        </w:rPr>
        <w:t xml:space="preserve">1.6法律、行政法规规定的其他条件。</w:t>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1.8单位负责人为同一人或者存在直接控股、管理关系的不同供应商，不得参加同一合同项下的政府采购活动。</w:t>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落实政府采购政策需满足的资格要求：本项目专门面向中小企业采购。采购标的的所属行业为建筑业，投标人需按照采购文件的要求提供相应的《中小企业声明函》。企业标准请参照《关于印发中小企业划型标准规定的通知》（工信部联企业[2011]300号）文件规定自行填写。</w:t>
      </w:r>
      <w:r/>
    </w:p>
    <w:p>
      <w:pPr>
        <w:pStyle w:val="821"/>
        <w:ind w:firstLine="560"/>
        <w:jc w:val="both"/>
        <w:pageBreakBefore w:val="0"/>
        <w:spacing w:beforeAutospacing="0" w:afterAutospacing="0" w:line="360" w:lineRule="auto"/>
        <w:shd w:val="clear" w:color="auto" w:fill="ffffff"/>
        <w:widowControl/>
        <w:rPr>
          <w:rFonts w:hint="eastAsia" w:ascii="宋体" w:hAnsi="宋体" w:eastAsia="宋体" w:cs="宋体"/>
          <w:highlight w:val="none"/>
        </w:rPr>
        <w:outlineLvl w:val="3"/>
      </w:pPr>
      <w:r>
        <w:rPr>
          <w:rFonts w:hint="eastAsia" w:ascii="宋体" w:hAnsi="宋体" w:eastAsia="宋体" w:cs="宋体"/>
          <w:highlight w:val="none"/>
        </w:rPr>
        <w:t xml:space="preserve">3.本项目的特定资格要求：</w:t>
      </w:r>
      <w:r/>
    </w:p>
    <w:p>
      <w:pPr>
        <w:pStyle w:val="821"/>
        <w:ind w:firstLine="480"/>
        <w:jc w:val="both"/>
        <w:pageBreakBefore w:val="0"/>
        <w:spacing w:beforeAutospacing="0" w:afterAutospacing="0" w:line="360" w:lineRule="auto"/>
        <w:rPr>
          <w:rFonts w:hint="eastAsia" w:ascii="宋体" w:hAnsi="宋体" w:eastAsia="宋体" w:cs="宋体"/>
          <w:b w:val="0"/>
          <w:bCs w:val="0"/>
          <w:i/>
          <w:iCs/>
          <w:highlight w:val="none"/>
          <w:u w:val="single"/>
        </w:rPr>
      </w:pPr>
      <w:r>
        <w:rPr>
          <w:rFonts w:hint="eastAsia" w:ascii="宋体" w:hAnsi="宋体" w:eastAsia="宋体" w:cs="宋体"/>
          <w:b w:val="0"/>
          <w:bCs w:val="0"/>
          <w:i/>
          <w:iCs/>
          <w:highlight w:val="none"/>
          <w:u w:val="single"/>
        </w:rPr>
        <w:t xml:space="preserve">3.1投标人要求：</w:t>
      </w:r>
      <w:r>
        <w:rPr>
          <w:rFonts w:ascii="宋体" w:hAnsi="宋体" w:eastAsia="宋体" w:cs="宋体"/>
          <w:b w:val="0"/>
          <w:bCs w:val="0"/>
          <w:i/>
          <w:iCs/>
          <w:highlight w:val="none"/>
          <w:u w:val="single"/>
        </w:rPr>
        <w:t xml:space="preserve">投标人须具有建设行政主管部门核发的市政公用工程施工总承包三级及以上资质的独立法人，并具有有效的安全生产许可证</w:t>
      </w:r>
      <w:r>
        <w:rPr>
          <w:rFonts w:hint="eastAsia" w:ascii="宋体" w:hAnsi="宋体" w:eastAsia="宋体" w:cs="宋体"/>
          <w:b w:val="0"/>
          <w:bCs w:val="0"/>
          <w:i/>
          <w:iCs/>
          <w:highlight w:val="none"/>
          <w:u w:val="single"/>
        </w:rPr>
        <w:t xml:space="preserve">。</w:t>
      </w:r>
      <w:r/>
    </w:p>
    <w:p>
      <w:pPr>
        <w:pStyle w:val="821"/>
        <w:ind w:firstLine="480"/>
        <w:jc w:val="both"/>
        <w:pageBreakBefore w:val="0"/>
        <w:spacing w:beforeAutospacing="0" w:afterAutospacing="0" w:line="360" w:lineRule="auto"/>
        <w:rPr>
          <w:rFonts w:hint="eastAsia" w:ascii="宋体" w:hAnsi="宋体" w:eastAsia="宋体" w:cs="宋体"/>
          <w:b w:val="0"/>
          <w:bCs w:val="0"/>
          <w:i/>
          <w:iCs/>
          <w:highlight w:val="none"/>
          <w:u w:val="single"/>
        </w:rPr>
      </w:pPr>
      <w:r>
        <w:rPr>
          <w:rFonts w:hint="eastAsia" w:ascii="宋体" w:hAnsi="宋体" w:eastAsia="宋体" w:cs="宋体"/>
          <w:b w:val="0"/>
          <w:bCs w:val="0"/>
          <w:i/>
          <w:iCs/>
          <w:highlight w:val="none"/>
          <w:u w:val="single"/>
        </w:rPr>
        <w:t xml:space="preserve">3.2项目负责人要求：</w:t>
      </w:r>
      <w:r>
        <w:rPr>
          <w:rFonts w:ascii="宋体" w:hAnsi="宋体" w:eastAsia="宋体" w:cs="宋体"/>
          <w:b w:val="0"/>
          <w:bCs w:val="0"/>
          <w:i/>
          <w:iCs/>
          <w:highlight w:val="none"/>
          <w:u w:val="single"/>
        </w:rPr>
        <w:t xml:space="preserve">项目负责人具有市政公用工程专业二级及以上注册建造师资格，并取得有效的安全生产考核合格证（B类）证书</w:t>
      </w:r>
      <w:r>
        <w:rPr>
          <w:rFonts w:hint="eastAsia" w:ascii="宋体" w:hAnsi="宋体" w:eastAsia="宋体" w:cs="宋体"/>
          <w:b w:val="0"/>
          <w:bCs w:val="0"/>
          <w:i/>
          <w:iCs/>
          <w:highlight w:val="none"/>
          <w:u w:val="single"/>
        </w:rPr>
        <w:t xml:space="preserve">；</w:t>
      </w:r>
      <w:r/>
    </w:p>
    <w:p>
      <w:pPr>
        <w:ind w:firstLine="420"/>
        <w:pageBreakBefore w:val="0"/>
        <w:spacing w:line="360" w:lineRule="auto"/>
        <w:widowControl/>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3.3其他要求：</w:t>
      </w:r>
      <w:r/>
    </w:p>
    <w:p>
      <w:pPr>
        <w:ind w:firstLine="420"/>
        <w:pageBreakBefore w:val="0"/>
        <w:spacing w:line="360" w:lineRule="auto"/>
        <w:widowControl/>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3.3.1 项目负责人从本工程投标文件递交截止之日起必须满足下列条件：</w:t>
      </w:r>
      <w:r/>
    </w:p>
    <w:p>
      <w:pPr>
        <w:ind w:firstLine="420"/>
        <w:pageBreakBefore w:val="0"/>
        <w:spacing w:line="360" w:lineRule="auto"/>
        <w:widowControl/>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项目负责人不得同时在两个或者两个以上单位受聘或者执业。</w:t>
      </w:r>
      <w:r/>
    </w:p>
    <w:p>
      <w:pPr>
        <w:ind w:firstLine="420"/>
        <w:pageBreakBefore w:val="0"/>
        <w:spacing w:line="360" w:lineRule="auto"/>
        <w:widowControl/>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20"/>
        <w:pageBreakBefore w:val="0"/>
        <w:spacing w:line="360" w:lineRule="auto"/>
        <w:widowControl/>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在建工程：处于中标结果公告（直接发包的项目以网上合同备案或归集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ind w:firstLine="420"/>
        <w:pageBreakBefore w:val="0"/>
        <w:spacing w:line="360" w:lineRule="auto"/>
        <w:widowControl/>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本项目招标文件项目负责人有在养护期内的绿化养护、市政养护项目的，不属于招标公告及文件规定的有在建工程。绿化养护、市政养护工程招标，对项目负责人是否有在建工程不作要求。</w:t>
      </w:r>
      <w:r/>
    </w:p>
    <w:p>
      <w:pPr>
        <w:ind w:firstLine="420"/>
        <w:pageBreakBefore w:val="0"/>
        <w:spacing w:line="360" w:lineRule="auto"/>
        <w:widowControl/>
        <w:rPr>
          <w:rFonts w:hint="eastAsia" w:ascii="宋体" w:hAnsi="宋体" w:eastAsia="宋体" w:cs="宋体"/>
          <w:i/>
          <w:iCs/>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sz w:val="24"/>
          <w:highlight w:val="none"/>
          <w:u w:val="single"/>
        </w:rPr>
        <w:t xml:space="preserve">3.3.2 投标申请人代理人及投标承诺的项目负责人均为本单位的正式职工，投标时提供从2026年8月开始至投标截止之日当月内至少1个月在本单位缴纳养老保险缴费记录证明（退休人员提供在本单位相关证明）。</w:t>
      </w:r>
      <w:r/>
    </w:p>
    <w:p>
      <w:pPr>
        <w:pStyle w:val="821"/>
        <w:ind w:firstLine="499"/>
        <w:jc w:val="both"/>
        <w:keepLines/>
        <w:keepNext/>
        <w:pageBreakBefore w:val="0"/>
        <w:spacing w:before="120" w:beforeAutospacing="0" w:after="120" w:afterAutospacing="0" w:line="360" w:lineRule="auto"/>
        <w:rPr>
          <w:rFonts w:hint="eastAsia" w:ascii="宋体" w:hAnsi="宋体" w:eastAsia="宋体" w:cs="宋体"/>
          <w:b/>
          <w:highlight w:val="none"/>
        </w:rPr>
        <w:outlineLvl w:val="1"/>
      </w:pPr>
      <w:r>
        <w:rPr>
          <w:rFonts w:hint="eastAsia" w:ascii="宋体" w:hAnsi="宋体" w:eastAsia="宋体" w:cs="宋体"/>
          <w:b/>
          <w:highlight w:val="none"/>
        </w:rPr>
        <w:t xml:space="preserve">三、获取磋商文件</w:t>
      </w:r>
      <w:r/>
    </w:p>
    <w:p>
      <w:pPr>
        <w:ind w:firstLine="480"/>
        <w:pageBreakBefore w:val="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outlineLvl w:val="2"/>
      </w:pPr>
      <w:r/>
      <w:bookmarkStart w:id="23" w:name="_Toc35393793"/>
      <w:r/>
      <w:bookmarkStart w:id="24" w:name="_Toc35393624"/>
      <w:r/>
      <w:bookmarkStart w:id="25" w:name="_Toc28359005"/>
      <w:r/>
      <w:bookmarkStart w:id="26" w:name="_Toc38985266"/>
      <w:r/>
      <w:bookmarkStart w:id="27" w:name="_Toc28359082"/>
      <w:r>
        <w:rPr>
          <w:rFonts w:hint="eastAsia" w:ascii="宋体" w:hAnsi="宋体" w:eastAsia="宋体" w:cs="宋体"/>
          <w:sz w:val="24"/>
          <w:highlight w:val="none"/>
        </w:rPr>
        <w:t xml:space="preserve">1.时间：自磋商文件公告发布之日起5个工作日。</w:t>
      </w:r>
      <w:bookmarkEnd w:id="23"/>
      <w:r/>
      <w:bookmarkEnd w:id="24"/>
      <w:r/>
      <w:bookmarkEnd w:id="25"/>
      <w:r/>
      <w:bookmarkEnd w:id="26"/>
      <w:r/>
      <w:bookmarkEnd w:id="27"/>
      <w:r/>
      <w:r/>
    </w:p>
    <w:p>
      <w:pPr>
        <w:ind w:firstLine="480"/>
        <w:jc w:val="left"/>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2.地点：“苏采云”系统内免费下载（投标人必须在苏采云系统中获取磋商文件，方能参与政府采购项目）；</w:t>
      </w:r>
      <w:r/>
    </w:p>
    <w:p>
      <w:pPr>
        <w:ind w:firstLine="480"/>
        <w:jc w:val="left"/>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3.方式：本项目采用网上注册登记方式。 </w:t>
      </w:r>
      <w:r/>
    </w:p>
    <w:p>
      <w:pPr>
        <w:ind w:firstLine="480"/>
        <w:jc w:val="left"/>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4.售价：0元</w:t>
      </w:r>
      <w:r/>
    </w:p>
    <w:p>
      <w:pPr>
        <w:pStyle w:val="821"/>
        <w:ind w:firstLine="499"/>
        <w:jc w:val="both"/>
        <w:keepLines/>
        <w:keepNext/>
        <w:pageBreakBefore w:val="0"/>
        <w:spacing w:before="120" w:beforeAutospacing="0" w:after="120" w:afterAutospacing="0" w:line="360" w:lineRule="auto"/>
        <w:rPr>
          <w:rFonts w:hint="eastAsia" w:ascii="宋体" w:hAnsi="宋体" w:eastAsia="宋体" w:cs="宋体"/>
          <w:b/>
          <w:highlight w:val="none"/>
        </w:rPr>
        <w:outlineLvl w:val="1"/>
      </w:pPr>
      <w:r>
        <w:rPr>
          <w:rFonts w:hint="eastAsia" w:ascii="宋体" w:hAnsi="宋体" w:eastAsia="宋体" w:cs="宋体"/>
          <w:b/>
          <w:highlight w:val="none"/>
        </w:rPr>
        <w:t xml:space="preserve">四、响应文件提交</w:t>
      </w:r>
      <w:r/>
    </w:p>
    <w:p>
      <w:pPr>
        <w:pStyle w:val="821"/>
        <w:ind w:firstLine="482"/>
        <w:jc w:val="both"/>
        <w:pageBreakBefore w:val="0"/>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1.截止时间：2026年11</w:t>
      </w:r>
      <w:r>
        <w:rPr>
          <w:rFonts w:hint="eastAsia" w:ascii="宋体" w:hAnsi="宋体" w:eastAsia="宋体" w:cs="宋体"/>
          <w:highlight w:val="none"/>
        </w:rPr>
        <w:t xml:space="preserve">月16</w:t>
      </w:r>
      <w:r>
        <w:rPr>
          <w:rFonts w:hint="eastAsia" w:ascii="宋体" w:hAnsi="宋体" w:eastAsia="宋体" w:cs="宋体"/>
          <w:highlight w:val="none"/>
        </w:rPr>
        <w:t xml:space="preserve">日09点00分（北京时间）。</w:t>
      </w:r>
      <w:r/>
    </w:p>
    <w:p>
      <w:pPr>
        <w:pStyle w:val="821"/>
        <w:ind w:firstLine="482"/>
        <w:jc w:val="both"/>
        <w:pageBreakBefore w:val="0"/>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2.地点：苏采云“不见面”开标大厅 。</w:t>
      </w:r>
      <w:r/>
    </w:p>
    <w:p>
      <w:pPr>
        <w:pStyle w:val="821"/>
        <w:ind w:firstLine="499"/>
        <w:jc w:val="both"/>
        <w:keepLines/>
        <w:keepNext/>
        <w:pageBreakBefore w:val="0"/>
        <w:spacing w:beforeAutospacing="0" w:afterAutospacing="0" w:line="360" w:lineRule="auto"/>
        <w:rPr>
          <w:rFonts w:hint="eastAsia" w:ascii="宋体" w:hAnsi="宋体" w:eastAsia="宋体" w:cs="宋体"/>
          <w:b/>
          <w:highlight w:val="none"/>
        </w:rPr>
        <w:outlineLvl w:val="1"/>
      </w:pPr>
      <w:r/>
      <w:bookmarkStart w:id="28" w:name="_Toc38985268"/>
      <w:r/>
      <w:bookmarkStart w:id="29" w:name="_Toc35393795"/>
      <w:r/>
      <w:bookmarkStart w:id="30" w:name="_Toc35393626"/>
      <w:r>
        <w:rPr>
          <w:rFonts w:hint="eastAsia" w:ascii="宋体" w:hAnsi="宋体" w:eastAsia="宋体" w:cs="宋体"/>
          <w:b/>
          <w:highlight w:val="none"/>
        </w:rPr>
        <w:t xml:space="preserve">五、开启</w:t>
      </w:r>
      <w:r/>
    </w:p>
    <w:p>
      <w:pPr>
        <w:pStyle w:val="821"/>
        <w:ind w:firstLine="480"/>
        <w:jc w:val="both"/>
        <w:pageBreakBefore w:val="0"/>
        <w:spacing w:beforeAutospacing="0" w:afterAutospacing="0" w:line="360" w:lineRule="auto"/>
        <w:shd w:val="clear" w:color="auto" w:fill="ffffff"/>
        <w:widowControl/>
        <w:rPr>
          <w:rFonts w:hint="eastAsia" w:ascii="宋体" w:hAnsi="宋体" w:eastAsia="宋体" w:cs="宋体"/>
          <w:highlight w:val="none"/>
        </w:rPr>
      </w:pPr>
      <w:r>
        <w:rPr>
          <w:rFonts w:hint="eastAsia" w:ascii="宋体" w:hAnsi="宋体" w:eastAsia="宋体" w:cs="宋体"/>
          <w:highlight w:val="none"/>
        </w:rPr>
        <w:t xml:space="preserve">1.时间：2026年11</w:t>
      </w:r>
      <w:r>
        <w:rPr>
          <w:rFonts w:hint="eastAsia" w:ascii="宋体" w:hAnsi="宋体" w:eastAsia="宋体" w:cs="宋体"/>
          <w:highlight w:val="none"/>
        </w:rPr>
        <w:t xml:space="preserve">月16</w:t>
      </w:r>
      <w:r>
        <w:rPr>
          <w:rFonts w:hint="eastAsia" w:ascii="宋体" w:hAnsi="宋体" w:eastAsia="宋体" w:cs="宋体"/>
          <w:highlight w:val="none"/>
        </w:rPr>
        <w:t xml:space="preserve">日09点00分（北京时间）。</w:t>
      </w:r>
      <w:bookmarkEnd w:id="28"/>
      <w:r/>
      <w:bookmarkEnd w:id="29"/>
      <w:r/>
      <w:bookmarkEnd w:id="30"/>
      <w:r/>
      <w:r/>
    </w:p>
    <w:p>
      <w:pPr>
        <w:pStyle w:val="821"/>
        <w:ind w:firstLine="480"/>
        <w:jc w:val="both"/>
        <w:pageBreakBefore w:val="0"/>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2.地点：苏采云“不见面”开标大厅 。</w:t>
      </w:r>
      <w:r/>
    </w:p>
    <w:p>
      <w:pPr>
        <w:pStyle w:val="821"/>
        <w:ind w:firstLine="499"/>
        <w:jc w:val="both"/>
        <w:keepLines/>
        <w:keepNext/>
        <w:pageBreakBefore w:val="0"/>
        <w:spacing w:beforeAutospacing="0" w:afterAutospacing="0" w:line="360" w:lineRule="auto"/>
        <w:rPr>
          <w:rFonts w:hint="eastAsia" w:ascii="宋体" w:hAnsi="宋体" w:eastAsia="宋体" w:cs="宋体"/>
          <w:b/>
          <w:highlight w:val="none"/>
        </w:rPr>
        <w:outlineLvl w:val="1"/>
      </w:pPr>
      <w:r/>
      <w:bookmarkStart w:id="31" w:name="_Toc28359094"/>
      <w:r>
        <w:rPr>
          <w:rFonts w:hint="eastAsia" w:ascii="宋体" w:hAnsi="宋体" w:eastAsia="宋体" w:cs="宋体"/>
          <w:b/>
          <w:highlight w:val="none"/>
        </w:rPr>
        <w:t xml:space="preserve">六、公告期限</w:t>
      </w:r>
      <w:bookmarkEnd w:id="31"/>
      <w:r/>
      <w:r/>
    </w:p>
    <w:p>
      <w:pPr>
        <w:pStyle w:val="821"/>
        <w:ind w:firstLine="560"/>
        <w:jc w:val="both"/>
        <w:pageBreakBefore w:val="0"/>
        <w:spacing w:beforeAutospacing="0" w:afterAutospacing="0" w:line="360" w:lineRule="auto"/>
        <w:shd w:val="clear" w:color="auto" w:fill="ffffff"/>
        <w:widowControl/>
        <w:rPr>
          <w:rFonts w:hint="eastAsia" w:ascii="宋体" w:hAnsi="宋体" w:eastAsia="宋体" w:cs="宋体"/>
          <w:highlight w:val="none"/>
        </w:rPr>
      </w:pPr>
      <w:r>
        <w:rPr>
          <w:rFonts w:hint="eastAsia" w:ascii="宋体" w:hAnsi="宋体" w:eastAsia="宋体" w:cs="宋体"/>
          <w:highlight w:val="none"/>
        </w:rPr>
        <w:t xml:space="preserve">自本公告发布之日起3个工作日。</w:t>
      </w:r>
      <w:r/>
    </w:p>
    <w:p>
      <w:pPr>
        <w:pStyle w:val="821"/>
        <w:ind w:firstLine="499"/>
        <w:jc w:val="both"/>
        <w:keepLines/>
        <w:keepNext/>
        <w:pageBreakBefore w:val="0"/>
        <w:spacing w:beforeAutospacing="0" w:afterAutospacing="0" w:line="360" w:lineRule="auto"/>
        <w:rPr>
          <w:rFonts w:hint="eastAsia" w:ascii="宋体" w:hAnsi="宋体" w:eastAsia="宋体" w:cs="宋体"/>
          <w:b/>
          <w:highlight w:val="none"/>
        </w:rPr>
        <w:outlineLvl w:val="1"/>
      </w:pPr>
      <w:r>
        <w:rPr>
          <w:rFonts w:hint="eastAsia" w:ascii="宋体" w:hAnsi="宋体" w:eastAsia="宋体" w:cs="宋体"/>
          <w:b/>
          <w:highlight w:val="none"/>
        </w:rPr>
        <w:t xml:space="preserve">七、其他补充事宜</w:t>
      </w:r>
      <w:r/>
    </w:p>
    <w:p>
      <w:pPr>
        <w:pStyle w:val="821"/>
        <w:ind w:firstLine="560"/>
        <w:jc w:val="both"/>
        <w:pageBreakBefore w:val="0"/>
        <w:spacing w:beforeAutospacing="0" w:afterAutospacing="0" w:line="360" w:lineRule="auto"/>
        <w:shd w:val="clear" w:color="auto" w:fill="ffffff"/>
        <w:widowControl/>
        <w:rPr>
          <w:rFonts w:hint="eastAsia" w:ascii="宋体" w:hAnsi="宋体" w:eastAsia="宋体" w:cs="宋体"/>
          <w:highlight w:val="none"/>
        </w:rPr>
      </w:pPr>
      <w:r/>
      <w:bookmarkStart w:id="32" w:name="_Toc28359018"/>
      <w:r>
        <w:rPr>
          <w:rFonts w:hint="eastAsia" w:ascii="宋体" w:hAnsi="宋体" w:eastAsia="宋体" w:cs="宋体"/>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821"/>
        <w:ind w:firstLine="560"/>
        <w:jc w:val="both"/>
        <w:pageBreakBefore w:val="0"/>
        <w:spacing w:beforeAutospacing="0" w:afterAutospacing="0" w:line="360" w:lineRule="auto"/>
        <w:shd w:val="clear" w:color="auto" w:fill="ffffff"/>
        <w:widowControl/>
        <w:rPr>
          <w:rFonts w:hint="eastAsia" w:ascii="宋体" w:hAnsi="宋体" w:eastAsia="宋体" w:cs="宋体"/>
          <w:highlight w:val="none"/>
        </w:rPr>
      </w:pPr>
      <w:r>
        <w:rPr>
          <w:rFonts w:hint="eastAsia" w:ascii="宋体" w:hAnsi="宋体" w:eastAsia="宋体" w:cs="宋体"/>
          <w:highlight w:val="none"/>
        </w:rPr>
        <w:t xml:space="preserve">领取CA和办理电子签章（请至盐城市政务服务中心四楼窗口办理，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r/>
    </w:p>
    <w:p>
      <w:pPr>
        <w:ind w:firstLine="480"/>
        <w:jc w:val="left"/>
        <w:pageBreakBefore w:val="0"/>
        <w:spacing w:line="360" w:lineRule="auto"/>
        <w:widowControl/>
        <w:rPr>
          <w:rFonts w:hint="eastAsia" w:ascii="宋体" w:hAnsi="宋体" w:eastAsia="宋体" w:cs="宋体"/>
          <w:sz w:val="24"/>
          <w:highlight w:val="none"/>
        </w:rPr>
        <w:outlineLvl w:val="2"/>
      </w:pPr>
      <w:r>
        <w:rPr>
          <w:rFonts w:hint="eastAsia" w:ascii="宋体" w:hAnsi="宋体" w:eastAsia="宋体" w:cs="宋体"/>
          <w:sz w:val="24"/>
          <w:highlight w:val="none"/>
        </w:rPr>
        <w:t xml:space="preserve">2.潜在供应商访问电子招标响应交易平台的网络地址和方法： </w:t>
      </w:r>
      <w:r/>
    </w:p>
    <w:p>
      <w:pPr>
        <w:ind w:firstLine="480"/>
        <w:jc w:val="left"/>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2.1“苏采云”系统用户注册--获取“CA 数字证书”--CA 绑定与登录--参与投 标--下载磋商文件（后缀名为“.kedt”）--将后缀名为“.kedt”的磋商文件导入政府采购客户端工具--制作响应文件--导出加密的响应文件（后缀名为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2.2 潜在投标人访问“苏采云”系统方法：江苏省政府采购网首页-“苏采云”链接。 </w:t>
      </w:r>
      <w:r/>
    </w:p>
    <w:p>
      <w:pPr>
        <w:ind w:firstLine="480"/>
        <w:jc w:val="left"/>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2.3 磋商文件（后缀名为“.kedt”）、供应商操作手册及政府采购客户端 工具可通过“苏采云”系统相应链接进行下载。 </w:t>
      </w:r>
      <w:r/>
    </w:p>
    <w:p>
      <w:pPr>
        <w:ind w:firstLine="480"/>
        <w:jc w:val="left"/>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2.4 采购代理机构将数据电文形式的磋商文件加载至“苏采云”系统，供潜在供应商下载或者查阅。 </w:t>
      </w:r>
      <w:r/>
    </w:p>
    <w:p>
      <w:pPr>
        <w:ind w:firstLine="480"/>
        <w:jc w:val="left"/>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2.5 请潜在投标单位提前安装相应的控件（详见《“苏采云”系统供应商操作手册》）并使用谷歌浏览器登录“苏采云”系统参与不见面开评标。 </w:t>
      </w:r>
      <w:r/>
    </w:p>
    <w:p>
      <w:pPr>
        <w:ind w:firstLine="480"/>
        <w:jc w:val="left"/>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如潜在投标人未按上述要求操作，将自行承担所产生的风险。</w:t>
      </w:r>
      <w:r/>
    </w:p>
    <w:p>
      <w:pPr>
        <w:pStyle w:val="821"/>
        <w:ind w:firstLine="480"/>
        <w:jc w:val="both"/>
        <w:pageBreakBefore w:val="0"/>
        <w:spacing w:beforeAutospacing="0" w:afterAutospacing="0" w:line="360" w:lineRule="auto"/>
        <w:shd w:val="clear" w:color="auto" w:fill="ffffff"/>
        <w:widowControl/>
        <w:rPr>
          <w:rFonts w:hint="eastAsia" w:ascii="宋体" w:hAnsi="宋体" w:eastAsia="宋体" w:cs="宋体"/>
          <w:highlight w:val="none"/>
        </w:rPr>
      </w:pPr>
      <w:r>
        <w:rPr>
          <w:rFonts w:hint="eastAsia" w:ascii="宋体" w:hAnsi="宋体" w:eastAsia="宋体" w:cs="宋体"/>
          <w:highlight w:val="none"/>
        </w:rPr>
        <w:t xml:space="preserve">3. 有关本次磋商的事项若存在变动或修改，敬请及时关注盐城市盐都区</w:t>
      </w:r>
      <w:r>
        <w:rPr>
          <w:rFonts w:hint="eastAsia" w:ascii="宋体" w:hAnsi="宋体" w:eastAsia="宋体" w:cs="宋体"/>
          <w:highlight w:val="none"/>
          <w:lang w:eastAsia="zh-CN"/>
        </w:rPr>
        <w:t xml:space="preserve">大冈</w:t>
      </w:r>
      <w:r>
        <w:rPr>
          <w:rFonts w:hint="eastAsia" w:ascii="宋体" w:hAnsi="宋体" w:eastAsia="宋体" w:cs="宋体"/>
          <w:highlight w:val="none"/>
        </w:rPr>
        <w:t xml:space="preserve">镇人民政府在“中国政府采购网”“江苏政府采购网”“盐城市政府采购网”发布的更正公告。</w:t>
      </w:r>
      <w:r/>
    </w:p>
    <w:p>
      <w:pPr>
        <w:ind w:firstLine="480"/>
        <w:jc w:val="left"/>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4. 本次磋商不收取磋商保证金，不收取质量保证金。</w:t>
      </w:r>
      <w:r/>
    </w:p>
    <w:p>
      <w:pPr>
        <w:ind w:firstLine="480"/>
        <w:jc w:val="left"/>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5.电子投标文件一份(通过系统提交)；纸质投标文件正本一份，副本四份（评审结束后由中标候选人邮寄至</w:t>
      </w:r>
      <w:r>
        <w:rPr>
          <w:rFonts w:hint="eastAsia" w:ascii="宋体" w:hAnsi="宋体" w:eastAsia="宋体" w:cs="宋体"/>
          <w:sz w:val="24"/>
          <w:highlight w:val="none"/>
          <w:lang w:eastAsia="zh-CN"/>
        </w:rPr>
        <w:t xml:space="preserve">江苏瑞杰项目管理顾问有限公司</w:t>
      </w:r>
      <w:r>
        <w:rPr>
          <w:rFonts w:hint="eastAsia" w:ascii="宋体" w:hAnsi="宋体" w:eastAsia="宋体" w:cs="宋体"/>
          <w:sz w:val="24"/>
          <w:highlight w:val="none"/>
        </w:rPr>
        <w:t xml:space="preserve">，未中标单位不需要提供）。</w:t>
      </w:r>
      <w:r/>
    </w:p>
    <w:p>
      <w:pPr>
        <w:pStyle w:val="821"/>
        <w:ind w:firstLine="499"/>
        <w:jc w:val="both"/>
        <w:keepLines/>
        <w:keepNext/>
        <w:pageBreakBefore w:val="0"/>
        <w:spacing w:before="120" w:beforeAutospacing="0" w:after="120" w:afterAutospacing="0" w:line="360" w:lineRule="auto"/>
        <w:rPr>
          <w:rFonts w:hint="eastAsia" w:ascii="宋体" w:hAnsi="宋体" w:eastAsia="宋体" w:cs="宋体"/>
          <w:b/>
          <w:highlight w:val="none"/>
        </w:rPr>
        <w:outlineLvl w:val="1"/>
      </w:pPr>
      <w:r>
        <w:rPr>
          <w:rFonts w:hint="eastAsia" w:ascii="宋体" w:hAnsi="宋体" w:eastAsia="宋体" w:cs="宋体"/>
          <w:b/>
          <w:highlight w:val="none"/>
        </w:rPr>
        <w:t xml:space="preserve">八、凡对本次采购提出询问，请按以下方式联系。</w:t>
      </w:r>
      <w:bookmarkEnd w:id="32"/>
      <w:r/>
      <w:r/>
    </w:p>
    <w:p>
      <w:pPr>
        <w:pStyle w:val="821"/>
        <w:ind w:firstLine="561"/>
        <w:jc w:val="both"/>
        <w:pageBreakBefore w:val="0"/>
        <w:spacing w:beforeAutospacing="0" w:afterAutospacing="0" w:line="360" w:lineRule="auto"/>
        <w:shd w:val="clear" w:color="auto" w:fill="ffffff"/>
        <w:widowControl/>
        <w:rPr>
          <w:rFonts w:hint="eastAsia" w:ascii="宋体" w:hAnsi="宋体" w:eastAsia="宋体" w:cs="宋体"/>
          <w:highlight w:val="none"/>
        </w:rPr>
        <w:outlineLvl w:val="2"/>
      </w:pPr>
      <w:r>
        <w:rPr>
          <w:rFonts w:hint="eastAsia" w:ascii="宋体" w:hAnsi="宋体" w:eastAsia="宋体" w:cs="宋体"/>
          <w:highlight w:val="none"/>
        </w:rPr>
        <w:t xml:space="preserve">1.采购人信息</w:t>
      </w:r>
      <w:r/>
    </w:p>
    <w:p>
      <w:pPr>
        <w:pStyle w:val="821"/>
        <w:ind w:firstLine="561"/>
        <w:jc w:val="both"/>
        <w:pageBreakBefore w:val="0"/>
        <w:spacing w:beforeAutospacing="0" w:afterAutospacing="0" w:line="360" w:lineRule="auto"/>
        <w:shd w:val="clear" w:color="auto" w:fill="ffffff"/>
        <w:widowControl/>
        <w:rPr>
          <w:rFonts w:hint="eastAsia" w:ascii="宋体" w:hAnsi="宋体" w:eastAsia="宋体" w:cs="宋体"/>
          <w:highlight w:val="none"/>
        </w:rPr>
      </w:pPr>
      <w:r>
        <w:rPr>
          <w:rFonts w:hint="eastAsia" w:ascii="宋体" w:hAnsi="宋体" w:eastAsia="宋体" w:cs="宋体"/>
          <w:highlight w:val="none"/>
        </w:rPr>
        <w:t xml:space="preserve">名 称：盐城市盐都区</w:t>
      </w:r>
      <w:r>
        <w:rPr>
          <w:rFonts w:hint="eastAsia" w:ascii="宋体" w:hAnsi="宋体" w:eastAsia="宋体" w:cs="宋体"/>
          <w:highlight w:val="none"/>
          <w:lang w:eastAsia="zh-CN"/>
        </w:rPr>
        <w:t xml:space="preserve">大冈</w:t>
      </w:r>
      <w:r>
        <w:rPr>
          <w:rFonts w:hint="eastAsia" w:ascii="宋体" w:hAnsi="宋体" w:eastAsia="宋体" w:cs="宋体"/>
          <w:highlight w:val="none"/>
        </w:rPr>
        <w:t xml:space="preserve">镇人民政府 </w:t>
      </w:r>
      <w:r/>
    </w:p>
    <w:p>
      <w:pPr>
        <w:pStyle w:val="821"/>
        <w:ind w:firstLine="561"/>
        <w:jc w:val="both"/>
        <w:pageBreakBefore w:val="0"/>
        <w:spacing w:beforeAutospacing="0" w:afterAutospacing="0" w:line="360" w:lineRule="auto"/>
        <w:shd w:val="clear" w:color="auto" w:fill="ffffff"/>
        <w:widowControl/>
        <w:rPr>
          <w:rFonts w:hint="eastAsia" w:ascii="宋体" w:hAnsi="宋体" w:eastAsia="宋体" w:cs="宋体"/>
          <w:highlight w:val="none"/>
          <w:lang w:eastAsia="zh-CN"/>
        </w:rPr>
      </w:pPr>
      <w:r>
        <w:rPr>
          <w:rFonts w:hint="eastAsia" w:ascii="宋体" w:hAnsi="宋体" w:eastAsia="宋体" w:cs="宋体"/>
          <w:highlight w:val="none"/>
        </w:rPr>
        <w:t xml:space="preserve">地址：</w:t>
      </w:r>
      <w:r>
        <w:rPr>
          <w:rFonts w:hint="eastAsia" w:ascii="宋体" w:hAnsi="宋体" w:eastAsia="宋体" w:cs="宋体"/>
          <w:highlight w:val="none"/>
          <w:lang w:eastAsia="zh-CN"/>
        </w:rPr>
        <w:t xml:space="preserve">盐城市盐都区大冈镇卧龙西路28号</w:t>
      </w:r>
      <w:r/>
    </w:p>
    <w:p>
      <w:pPr>
        <w:pStyle w:val="821"/>
        <w:ind w:firstLine="561"/>
        <w:jc w:val="both"/>
        <w:pageBreakBefore w:val="0"/>
        <w:spacing w:beforeAutospacing="0" w:afterAutospacing="0" w:line="360" w:lineRule="auto"/>
        <w:shd w:val="clear" w:color="auto" w:fill="ffffff"/>
        <w:widowControl/>
        <w:rPr>
          <w:rFonts w:hint="eastAsia" w:ascii="宋体" w:hAnsi="宋体" w:eastAsia="宋体" w:cs="宋体"/>
          <w:highlight w:val="none"/>
        </w:rPr>
      </w:pPr>
      <w:r>
        <w:rPr>
          <w:rFonts w:hint="eastAsia" w:ascii="宋体" w:hAnsi="宋体" w:eastAsia="宋体" w:cs="宋体"/>
          <w:highlight w:val="none"/>
        </w:rPr>
        <w:t xml:space="preserve">联系人：</w:t>
      </w:r>
      <w:r>
        <w:rPr>
          <w:rFonts w:hint="eastAsia" w:ascii="宋体" w:hAnsi="宋体" w:eastAsia="宋体" w:cs="宋体"/>
          <w:highlight w:val="none"/>
          <w:lang w:eastAsia="zh-CN"/>
        </w:rPr>
        <w:t xml:space="preserve">王先生</w:t>
      </w:r>
      <w:r>
        <w:rPr>
          <w:rFonts w:hint="eastAsia" w:ascii="宋体" w:hAnsi="宋体" w:eastAsia="宋体" w:cs="宋体"/>
          <w:highlight w:val="none"/>
        </w:rPr>
        <w:t xml:space="preserve">              </w:t>
      </w:r>
      <w:r/>
    </w:p>
    <w:p>
      <w:pPr>
        <w:pStyle w:val="821"/>
        <w:ind w:firstLine="561"/>
        <w:jc w:val="both"/>
        <w:pageBreakBefore w:val="0"/>
        <w:spacing w:beforeAutospacing="0" w:afterAutospacing="0" w:line="360" w:lineRule="auto"/>
        <w:shd w:val="clear" w:color="auto" w:fill="ffffff"/>
        <w:widowControl/>
        <w:rPr>
          <w:rFonts w:hint="eastAsia" w:ascii="宋体" w:hAnsi="宋体" w:eastAsia="宋体" w:cs="宋体"/>
          <w:highlight w:val="none"/>
        </w:rPr>
      </w:pPr>
      <w:r>
        <w:rPr>
          <w:rFonts w:hint="eastAsia" w:ascii="宋体" w:hAnsi="宋体" w:eastAsia="宋体" w:cs="宋体"/>
          <w:highlight w:val="none"/>
        </w:rPr>
        <w:t xml:space="preserve">联系方式：</w:t>
      </w:r>
      <w:r>
        <w:rPr>
          <w:rFonts w:hint="eastAsia" w:ascii="宋体" w:hAnsi="宋体" w:eastAsia="宋体" w:cs="宋体"/>
          <w:highlight w:val="none"/>
          <w:lang w:eastAsia="zh-CN"/>
        </w:rPr>
        <w:t xml:space="preserve">13962000339</w:t>
      </w:r>
      <w:r>
        <w:rPr>
          <w:rFonts w:hint="eastAsia" w:ascii="宋体" w:hAnsi="宋体" w:eastAsia="宋体" w:cs="宋体"/>
          <w:highlight w:val="none"/>
        </w:rPr>
        <w:t xml:space="preserve">            </w:t>
      </w:r>
      <w:bookmarkStart w:id="33" w:name="_Toc28359009"/>
      <w:r/>
      <w:bookmarkEnd w:id="33"/>
      <w:r/>
      <w:r/>
    </w:p>
    <w:p>
      <w:pPr>
        <w:pStyle w:val="821"/>
        <w:ind w:firstLine="561"/>
        <w:jc w:val="both"/>
        <w:pageBreakBefore w:val="0"/>
        <w:spacing w:beforeAutospacing="0" w:afterAutospacing="0" w:line="360" w:lineRule="auto"/>
        <w:shd w:val="clear" w:color="auto" w:fill="ffffff"/>
        <w:widowControl/>
        <w:rPr>
          <w:rFonts w:hint="eastAsia" w:ascii="宋体" w:hAnsi="宋体" w:eastAsia="宋体" w:cs="宋体"/>
          <w:highlight w:val="none"/>
        </w:rPr>
        <w:outlineLvl w:val="2"/>
      </w:pPr>
      <w:r>
        <w:rPr>
          <w:rFonts w:hint="eastAsia" w:ascii="宋体" w:hAnsi="宋体" w:eastAsia="宋体" w:cs="宋体"/>
          <w:highlight w:val="none"/>
        </w:rPr>
        <w:t xml:space="preserve">2.采购代理机构信息</w:t>
      </w:r>
      <w:r/>
    </w:p>
    <w:p>
      <w:pPr>
        <w:pStyle w:val="821"/>
        <w:ind w:firstLine="561"/>
        <w:jc w:val="both"/>
        <w:pageBreakBefore w:val="0"/>
        <w:spacing w:beforeAutospacing="0" w:afterAutospacing="0" w:line="360" w:lineRule="auto"/>
        <w:shd w:val="clear" w:color="auto" w:fill="ffffff"/>
        <w:widowControl/>
        <w:rPr>
          <w:rFonts w:hint="eastAsia" w:ascii="宋体" w:hAnsi="宋体" w:eastAsia="宋体" w:cs="宋体"/>
          <w:highlight w:val="none"/>
          <w:lang w:eastAsia="zh-CN"/>
        </w:rPr>
      </w:pPr>
      <w:r>
        <w:rPr>
          <w:rFonts w:hint="eastAsia" w:ascii="宋体" w:hAnsi="宋体" w:eastAsia="宋体" w:cs="宋体"/>
          <w:highlight w:val="none"/>
        </w:rPr>
        <w:t xml:space="preserve">名 称：</w:t>
      </w:r>
      <w:r>
        <w:rPr>
          <w:rFonts w:hint="eastAsia" w:ascii="宋体" w:hAnsi="宋体" w:eastAsia="宋体" w:cs="宋体"/>
          <w:highlight w:val="none"/>
          <w:lang w:eastAsia="zh-CN"/>
        </w:rPr>
        <w:t xml:space="preserve">江苏瑞杰项目管理顾问有限公司</w:t>
      </w:r>
      <w:r/>
    </w:p>
    <w:p>
      <w:pPr>
        <w:pStyle w:val="821"/>
        <w:ind w:firstLine="561"/>
        <w:jc w:val="both"/>
        <w:pageBreakBefore w:val="0"/>
        <w:spacing w:beforeAutospacing="0" w:afterAutospacing="0" w:line="360" w:lineRule="auto"/>
        <w:shd w:val="clear" w:color="auto" w:fill="ffffff"/>
        <w:widowControl/>
        <w:rPr>
          <w:rFonts w:hint="eastAsia" w:ascii="宋体" w:hAnsi="宋体" w:eastAsia="宋体" w:cs="宋体"/>
          <w:highlight w:val="none"/>
          <w:lang w:eastAsia="zh-CN"/>
        </w:rPr>
      </w:pPr>
      <w:r>
        <w:rPr>
          <w:rFonts w:hint="eastAsia" w:ascii="宋体" w:hAnsi="宋体" w:eastAsia="宋体" w:cs="宋体"/>
          <w:highlight w:val="none"/>
        </w:rPr>
        <w:t xml:space="preserve">地 址：</w:t>
      </w:r>
      <w:r>
        <w:rPr>
          <w:rFonts w:hint="eastAsia" w:ascii="宋体" w:hAnsi="宋体" w:eastAsia="宋体" w:cs="宋体"/>
          <w:highlight w:val="none"/>
          <w:lang w:eastAsia="zh-CN"/>
        </w:rPr>
        <w:t xml:space="preserve">盐城市盐都区盐渎路787号恩源电子商务园3#楼805、806室</w:t>
      </w:r>
      <w:r/>
    </w:p>
    <w:p>
      <w:pPr>
        <w:pStyle w:val="821"/>
        <w:ind w:firstLine="561"/>
        <w:jc w:val="both"/>
        <w:pageBreakBefore w:val="0"/>
        <w:spacing w:beforeAutospacing="0" w:afterAutospacing="0" w:line="360" w:lineRule="auto"/>
        <w:shd w:val="clear" w:color="auto" w:fill="ffffff"/>
        <w:widowControl/>
        <w:rPr>
          <w:rFonts w:hint="eastAsia" w:ascii="宋体" w:hAnsi="宋体" w:eastAsia="宋体" w:cs="宋体"/>
          <w:highlight w:val="none"/>
        </w:rPr>
      </w:pPr>
      <w:r>
        <w:rPr>
          <w:rFonts w:hint="eastAsia" w:ascii="宋体" w:hAnsi="宋体" w:eastAsia="宋体" w:cs="宋体"/>
          <w:highlight w:val="none"/>
        </w:rPr>
        <w:t xml:space="preserve">联系人：</w:t>
      </w:r>
      <w:r>
        <w:rPr>
          <w:rFonts w:hint="eastAsia" w:ascii="宋体" w:hAnsi="宋体" w:eastAsia="宋体" w:cs="宋体"/>
          <w:highlight w:val="none"/>
          <w:lang w:eastAsia="zh-CN"/>
        </w:rPr>
        <w:t xml:space="preserve">万先生</w:t>
      </w:r>
      <w:r>
        <w:rPr>
          <w:rFonts w:hint="eastAsia" w:ascii="宋体" w:hAnsi="宋体" w:eastAsia="宋体" w:cs="宋体"/>
          <w:highlight w:val="none"/>
        </w:rPr>
        <w:t xml:space="preserve">                     </w:t>
      </w:r>
      <w:r/>
    </w:p>
    <w:p>
      <w:pPr>
        <w:pStyle w:val="821"/>
        <w:ind w:firstLine="561"/>
        <w:jc w:val="both"/>
        <w:pageBreakBefore w:val="0"/>
        <w:spacing w:beforeAutospacing="0" w:afterAutospacing="0" w:line="360" w:lineRule="auto"/>
        <w:shd w:val="clear" w:color="auto" w:fill="ffffff"/>
        <w:widowControl/>
        <w:rPr>
          <w:rFonts w:hint="eastAsia" w:ascii="宋体" w:hAnsi="宋体" w:eastAsia="宋体" w:cs="宋体"/>
          <w:highlight w:val="none"/>
        </w:rPr>
      </w:pPr>
      <w:r>
        <w:rPr>
          <w:rFonts w:hint="eastAsia" w:ascii="宋体" w:hAnsi="宋体" w:eastAsia="宋体" w:cs="宋体"/>
          <w:highlight w:val="none"/>
        </w:rPr>
        <w:t xml:space="preserve">联系方式：</w:t>
      </w:r>
      <w:r>
        <w:rPr>
          <w:rFonts w:hint="eastAsia" w:ascii="宋体" w:hAnsi="宋体" w:eastAsia="宋体" w:cs="宋体"/>
          <w:highlight w:val="none"/>
          <w:lang w:eastAsia="zh-CN"/>
        </w:rPr>
        <w:t xml:space="preserve">17751564941</w:t>
      </w:r>
      <w:r>
        <w:rPr>
          <w:rFonts w:hint="eastAsia" w:ascii="宋体" w:hAnsi="宋体" w:eastAsia="宋体" w:cs="宋体"/>
          <w:highlight w:val="none"/>
        </w:rPr>
        <w:t xml:space="preserve">                </w:t>
      </w:r>
      <w:bookmarkStart w:id="34" w:name="_Toc28359087"/>
      <w:r/>
      <w:bookmarkEnd w:id="34"/>
      <w:r/>
      <w:bookmarkStart w:id="35" w:name="_Toc28359010"/>
      <w:r/>
      <w:bookmarkEnd w:id="35"/>
      <w:r/>
      <w:r/>
    </w:p>
    <w:p>
      <w:pPr>
        <w:pStyle w:val="821"/>
        <w:ind w:firstLine="561"/>
        <w:jc w:val="both"/>
        <w:pageBreakBefore w:val="0"/>
        <w:spacing w:beforeAutospacing="0" w:afterAutospacing="0" w:line="360" w:lineRule="auto"/>
        <w:shd w:val="clear" w:color="auto" w:fill="ffffff"/>
        <w:widowControl/>
        <w:rPr>
          <w:rFonts w:hint="eastAsia" w:ascii="宋体" w:hAnsi="宋体" w:eastAsia="宋体" w:cs="宋体"/>
          <w:highlight w:val="none"/>
        </w:rPr>
        <w:outlineLvl w:val="2"/>
      </w:pPr>
      <w:r/>
      <w:bookmarkStart w:id="36" w:name="_Toc28359021"/>
      <w:r>
        <w:rPr>
          <w:rFonts w:hint="eastAsia" w:ascii="宋体" w:hAnsi="宋体" w:eastAsia="宋体" w:cs="宋体"/>
          <w:highlight w:val="none"/>
        </w:rPr>
        <w:t xml:space="preserve">3.</w:t>
      </w:r>
      <w:bookmarkEnd w:id="36"/>
      <w:r>
        <w:rPr>
          <w:rFonts w:hint="eastAsia" w:ascii="宋体" w:hAnsi="宋体" w:eastAsia="宋体" w:cs="宋体"/>
          <w:highlight w:val="none"/>
        </w:rPr>
        <w:t xml:space="preserve">项目联系方式</w:t>
      </w:r>
      <w:r/>
    </w:p>
    <w:p>
      <w:pPr>
        <w:pStyle w:val="821"/>
        <w:ind w:firstLine="561"/>
        <w:jc w:val="both"/>
        <w:pageBreakBefore w:val="0"/>
        <w:spacing w:beforeAutospacing="0" w:afterAutospacing="0" w:line="360" w:lineRule="auto"/>
        <w:shd w:val="clear" w:color="auto" w:fill="ffffff"/>
        <w:widowControl/>
        <w:rPr>
          <w:rFonts w:hint="eastAsia" w:ascii="宋体" w:hAnsi="宋体" w:eastAsia="宋体" w:cs="宋体"/>
          <w:highlight w:val="none"/>
          <w:lang w:eastAsia="zh-CN"/>
        </w:rPr>
      </w:pPr>
      <w:r>
        <w:rPr>
          <w:rFonts w:hint="eastAsia" w:ascii="宋体" w:hAnsi="宋体" w:eastAsia="宋体" w:cs="宋体"/>
          <w:highlight w:val="none"/>
        </w:rPr>
        <w:t xml:space="preserve">项目联系人：</w:t>
      </w:r>
      <w:r>
        <w:rPr>
          <w:rFonts w:hint="eastAsia" w:ascii="宋体" w:hAnsi="宋体" w:eastAsia="宋体" w:cs="宋体"/>
          <w:highlight w:val="none"/>
          <w:lang w:eastAsia="zh-CN"/>
        </w:rPr>
        <w:t xml:space="preserve">王先生</w:t>
      </w:r>
      <w:r/>
    </w:p>
    <w:p>
      <w:pPr>
        <w:pStyle w:val="821"/>
        <w:ind w:firstLine="561"/>
        <w:jc w:val="both"/>
        <w:pageBreakBefore w:val="0"/>
        <w:spacing w:beforeAutospacing="0" w:afterAutospacing="0" w:line="360" w:lineRule="auto"/>
        <w:shd w:val="clear" w:color="auto" w:fill="ffffff"/>
        <w:widowControl/>
        <w:rPr>
          <w:rFonts w:hint="eastAsia" w:ascii="宋体" w:hAnsi="宋体" w:eastAsia="宋体" w:cs="宋体"/>
          <w:highlight w:val="none"/>
        </w:rPr>
      </w:pPr>
      <w:r>
        <w:rPr>
          <w:rFonts w:hint="eastAsia" w:ascii="宋体" w:hAnsi="宋体" w:eastAsia="宋体" w:cs="宋体"/>
          <w:highlight w:val="none"/>
        </w:rPr>
        <w:t xml:space="preserve">电　　 话：</w:t>
      </w:r>
      <w:r>
        <w:rPr>
          <w:rFonts w:hint="eastAsia" w:ascii="宋体" w:hAnsi="宋体" w:eastAsia="宋体" w:cs="宋体"/>
          <w:highlight w:val="none"/>
          <w:lang w:eastAsia="zh-CN"/>
        </w:rPr>
        <w:t xml:space="preserve">13962000339</w:t>
      </w:r>
      <w:r>
        <w:rPr>
          <w:rFonts w:hint="eastAsia" w:ascii="宋体" w:hAnsi="宋体" w:eastAsia="宋体" w:cs="宋体"/>
          <w:highlight w:val="none"/>
        </w:rPr>
        <w:t xml:space="preserve">　　　　　　　　　　　</w:t>
      </w:r>
      <w:r/>
    </w:p>
    <w:p>
      <w:pPr>
        <w:rPr>
          <w:highlight w:val="none"/>
        </w:rPr>
      </w:pPr>
      <w:r>
        <w:rPr>
          <w:highlight w:val="none"/>
        </w:rPr>
        <w:t xml:space="preserve"> </w:t>
      </w:r>
      <w:r/>
    </w:p>
    <w:p>
      <w:pPr>
        <w:jc w:val="center"/>
        <w:rPr>
          <w:rFonts w:hint="eastAsia" w:ascii="黑体" w:hAnsi="宋体" w:eastAsia="黑体" w:cs="黑体"/>
          <w:b/>
          <w:sz w:val="44"/>
          <w:szCs w:val="44"/>
          <w:highlight w:val="none"/>
        </w:rPr>
      </w:pPr>
      <w:r/>
      <w:bookmarkStart w:id="37" w:name="_Toc120614211"/>
      <w:r/>
      <w:bookmarkStart w:id="38" w:name="_Toc21039"/>
      <w:r>
        <w:rPr>
          <w:rFonts w:hint="eastAsia" w:ascii="黑体" w:hAnsi="宋体" w:eastAsia="黑体" w:cs="黑体"/>
          <w:b/>
          <w:sz w:val="44"/>
          <w:szCs w:val="44"/>
          <w:highlight w:val="none"/>
        </w:rPr>
        <w:br w:type="page" w:clear="all"/>
      </w:r>
      <w:r>
        <w:rPr>
          <w:rFonts w:hint="eastAsia" w:ascii="黑体" w:hAnsi="宋体" w:eastAsia="黑体" w:cs="黑体"/>
          <w:b/>
          <w:sz w:val="44"/>
          <w:szCs w:val="44"/>
          <w:highlight w:val="none"/>
        </w:rPr>
        <w:t xml:space="preserve">第二章  </w:t>
      </w:r>
      <w:bookmarkEnd w:id="37"/>
      <w:r>
        <w:rPr>
          <w:rFonts w:hint="eastAsia" w:ascii="黑体" w:hAnsi="宋体" w:eastAsia="黑体" w:cs="黑体"/>
          <w:b/>
          <w:sz w:val="44"/>
          <w:szCs w:val="44"/>
          <w:highlight w:val="none"/>
        </w:rPr>
        <w:t xml:space="preserve">供应商须知</w:t>
      </w:r>
      <w:bookmarkEnd w:id="38"/>
      <w:r/>
      <w:r/>
    </w:p>
    <w:p>
      <w:pPr>
        <w:pStyle w:val="821"/>
        <w:ind w:firstLine="499"/>
        <w:jc w:val="both"/>
        <w:keepLines/>
        <w:keepNext/>
        <w:spacing w:before="120" w:beforeAutospacing="0" w:after="120" w:afterAutospacing="0" w:line="440" w:lineRule="exact"/>
        <w:rPr>
          <w:rFonts w:hint="eastAsia" w:ascii="宋体" w:hAnsi="宋体" w:eastAsia="宋体" w:cs="宋体"/>
          <w:b/>
          <w:highlight w:val="none"/>
        </w:rPr>
        <w:outlineLvl w:val="1"/>
      </w:pPr>
      <w:r/>
      <w:bookmarkStart w:id="39" w:name="_Toc120614214"/>
      <w:r/>
      <w:bookmarkStart w:id="40" w:name="_Toc20823275"/>
      <w:r/>
      <w:bookmarkStart w:id="41" w:name="_Toc513029203"/>
      <w:r/>
      <w:bookmarkStart w:id="42" w:name="_Toc16938519"/>
      <w:r>
        <w:rPr>
          <w:rFonts w:hint="eastAsia" w:ascii="宋体" w:hAnsi="宋体" w:eastAsia="宋体" w:cs="宋体"/>
          <w:b/>
          <w:highlight w:val="none"/>
        </w:rPr>
        <w:t xml:space="preserve">一、总则</w:t>
      </w:r>
      <w:bookmarkEnd w:id="39"/>
      <w:r/>
      <w:bookmarkEnd w:id="40"/>
      <w:r/>
      <w:bookmarkEnd w:id="41"/>
      <w:r/>
      <w:bookmarkEnd w:id="42"/>
      <w:r/>
      <w:r/>
    </w:p>
    <w:p>
      <w:pPr>
        <w:pStyle w:val="821"/>
        <w:ind w:firstLine="420"/>
        <w:jc w:val="both"/>
        <w:keepLines/>
        <w:keepNext/>
        <w:spacing w:beforeAutospacing="0" w:afterAutospacing="0" w:line="440" w:lineRule="exact"/>
        <w:rPr>
          <w:rFonts w:hint="eastAsia" w:ascii="宋体" w:hAnsi="宋体" w:eastAsia="宋体" w:cs="宋体"/>
          <w:highlight w:val="none"/>
        </w:rPr>
        <w:outlineLvl w:val="2"/>
      </w:pPr>
      <w:r/>
      <w:bookmarkStart w:id="43" w:name="_Toc20823276"/>
      <w:r/>
      <w:bookmarkStart w:id="44" w:name="_Toc458694821"/>
      <w:r/>
      <w:bookmarkStart w:id="45" w:name="_Toc16938520"/>
      <w:r/>
      <w:bookmarkStart w:id="46" w:name="_Toc513029204"/>
      <w:r/>
      <w:bookmarkStart w:id="47" w:name="_Hlt16619475"/>
      <w:r>
        <w:rPr>
          <w:rFonts w:hint="eastAsia" w:ascii="宋体" w:hAnsi="宋体" w:eastAsia="宋体" w:cs="宋体"/>
          <w:highlight w:val="none"/>
        </w:rPr>
        <w:t xml:space="preserve">1</w:t>
      </w:r>
      <w:bookmarkEnd w:id="43"/>
      <w:r>
        <w:rPr>
          <w:rFonts w:hint="eastAsia" w:ascii="宋体" w:hAnsi="宋体" w:eastAsia="宋体" w:cs="宋体"/>
          <w:highlight w:val="none"/>
        </w:rPr>
        <w:t xml:space="preserve">、采购方式</w:t>
      </w:r>
      <w:bookmarkEnd w:id="44"/>
      <w:r/>
      <w:bookmarkEnd w:id="45"/>
      <w:r/>
      <w:bookmarkEnd w:id="46"/>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1.1 本次政府采购活动采取竞争性磋商(以下简称磋商)方式，本磋商文件仅适用于磋商公告中所述项目。</w:t>
      </w:r>
      <w:r/>
    </w:p>
    <w:p>
      <w:pPr>
        <w:pStyle w:val="821"/>
        <w:ind w:firstLine="420"/>
        <w:jc w:val="both"/>
        <w:keepLines/>
        <w:keepNext/>
        <w:spacing w:beforeAutospacing="0" w:afterAutospacing="0" w:line="440" w:lineRule="exact"/>
        <w:rPr>
          <w:rFonts w:hint="eastAsia" w:ascii="宋体" w:hAnsi="宋体" w:eastAsia="宋体" w:cs="宋体"/>
          <w:highlight w:val="none"/>
        </w:rPr>
        <w:outlineLvl w:val="2"/>
      </w:pPr>
      <w:r/>
      <w:bookmarkStart w:id="48" w:name="_Toc20823277"/>
      <w:r/>
      <w:bookmarkStart w:id="49" w:name="_Toc16938521"/>
      <w:r/>
      <w:bookmarkStart w:id="50" w:name="_Toc513029205"/>
      <w:r>
        <w:rPr>
          <w:rFonts w:hint="eastAsia" w:ascii="宋体" w:hAnsi="宋体" w:eastAsia="宋体" w:cs="宋体"/>
          <w:highlight w:val="none"/>
        </w:rPr>
        <w:t xml:space="preserve">2、合格的</w:t>
      </w:r>
      <w:bookmarkEnd w:id="48"/>
      <w:r/>
      <w:bookmarkEnd w:id="49"/>
      <w:r/>
      <w:bookmarkEnd w:id="50"/>
      <w:r>
        <w:rPr>
          <w:rFonts w:hint="eastAsia" w:ascii="宋体" w:hAnsi="宋体" w:eastAsia="宋体" w:cs="宋体"/>
          <w:highlight w:val="none"/>
        </w:rPr>
        <w:t xml:space="preserve">供应商</w:t>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2.1满足磋商公告中供应商资格要求的规定。</w:t>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2.2 满足本磋商文件实质性要求和条件的规定。</w:t>
      </w:r>
      <w:r/>
    </w:p>
    <w:p>
      <w:pPr>
        <w:pStyle w:val="821"/>
        <w:ind w:firstLine="420"/>
        <w:jc w:val="both"/>
        <w:keepLines/>
        <w:keepNext/>
        <w:spacing w:beforeAutospacing="0" w:afterAutospacing="0" w:line="440" w:lineRule="exact"/>
        <w:rPr>
          <w:rFonts w:hint="eastAsia" w:ascii="宋体" w:hAnsi="宋体" w:eastAsia="宋体" w:cs="宋体"/>
          <w:highlight w:val="none"/>
        </w:rPr>
        <w:outlineLvl w:val="2"/>
      </w:pPr>
      <w:r/>
      <w:bookmarkStart w:id="51" w:name="_Toc20823278"/>
      <w:r/>
      <w:bookmarkStart w:id="52" w:name="_Toc513029206"/>
      <w:r/>
      <w:bookmarkStart w:id="53" w:name="_Toc16938522"/>
      <w:r>
        <w:rPr>
          <w:rFonts w:hint="eastAsia" w:ascii="宋体" w:hAnsi="宋体" w:eastAsia="宋体" w:cs="宋体"/>
          <w:highlight w:val="none"/>
        </w:rPr>
        <w:t xml:space="preserve">3、适用法律</w:t>
      </w:r>
      <w:bookmarkEnd w:id="51"/>
      <w:r/>
      <w:bookmarkEnd w:id="52"/>
      <w:r/>
      <w:bookmarkEnd w:id="53"/>
      <w:r/>
      <w:r/>
    </w:p>
    <w:p>
      <w:pPr>
        <w:pStyle w:val="821"/>
        <w:ind w:firstLine="42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3.1 本次磋商及由此产生的合同受中华人民共和国有关的法律法规制约和保护。</w:t>
      </w:r>
      <w:r/>
    </w:p>
    <w:p>
      <w:pPr>
        <w:pStyle w:val="821"/>
        <w:ind w:firstLine="420"/>
        <w:jc w:val="both"/>
        <w:keepLines/>
        <w:keepNext/>
        <w:spacing w:beforeAutospacing="0" w:afterAutospacing="0" w:line="440" w:lineRule="exact"/>
        <w:rPr>
          <w:rFonts w:hint="eastAsia" w:ascii="宋体" w:hAnsi="宋体" w:eastAsia="宋体" w:cs="宋体"/>
          <w:highlight w:val="none"/>
        </w:rPr>
        <w:outlineLvl w:val="2"/>
      </w:pPr>
      <w:r/>
      <w:bookmarkStart w:id="54" w:name="_Toc20823279"/>
      <w:r/>
      <w:bookmarkStart w:id="55" w:name="_Toc462564067"/>
      <w:r/>
      <w:bookmarkStart w:id="56" w:name="_Toc16938523"/>
      <w:r/>
      <w:bookmarkStart w:id="57" w:name="_Toc513029207"/>
      <w:r>
        <w:rPr>
          <w:rFonts w:hint="eastAsia" w:ascii="宋体" w:hAnsi="宋体" w:eastAsia="宋体" w:cs="宋体"/>
          <w:highlight w:val="none"/>
        </w:rPr>
        <w:t xml:space="preserve">4、磋商费用</w:t>
      </w:r>
      <w:bookmarkEnd w:id="54"/>
      <w:r/>
      <w:bookmarkEnd w:id="55"/>
      <w:r/>
      <w:bookmarkEnd w:id="56"/>
      <w:r/>
      <w:bookmarkEnd w:id="57"/>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4.1供应商应自行承担所有与参加本次磋商有关的费用，无论磋商过程中的做法和结果如何，采购人及代理机构在任何情况下均无义务和责任承担这些费用。</w:t>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4.2本次磋商不收取标书工本费。</w:t>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5、磋商文件的约束力</w:t>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5.1供应商一旦参加本项目采购活动，即被认为接受了本磋商文件的规定和约束。</w:t>
      </w:r>
      <w:r/>
    </w:p>
    <w:p>
      <w:pPr>
        <w:pStyle w:val="821"/>
        <w:ind w:firstLine="499"/>
        <w:jc w:val="both"/>
        <w:keepLines/>
        <w:keepNext/>
        <w:spacing w:before="120" w:beforeAutospacing="0" w:after="120" w:afterAutospacing="0" w:line="440" w:lineRule="exact"/>
        <w:rPr>
          <w:rFonts w:hint="eastAsia" w:ascii="宋体" w:hAnsi="宋体" w:eastAsia="宋体" w:cs="宋体"/>
          <w:b/>
          <w:highlight w:val="none"/>
        </w:rPr>
        <w:outlineLvl w:val="1"/>
      </w:pPr>
      <w:r/>
      <w:bookmarkStart w:id="58" w:name="_Toc20823281"/>
      <w:r/>
      <w:bookmarkStart w:id="59" w:name="_Toc16938525"/>
      <w:r/>
      <w:bookmarkStart w:id="60" w:name="_Toc513029209"/>
      <w:r/>
      <w:bookmarkStart w:id="61" w:name="_Toc120614215"/>
      <w:r>
        <w:rPr>
          <w:rFonts w:hint="eastAsia" w:ascii="宋体" w:hAnsi="宋体" w:eastAsia="宋体" w:cs="宋体"/>
          <w:b/>
          <w:highlight w:val="none"/>
        </w:rPr>
        <w:t xml:space="preserve">二、</w:t>
      </w:r>
      <w:bookmarkEnd w:id="58"/>
      <w:r/>
      <w:bookmarkEnd w:id="59"/>
      <w:r/>
      <w:bookmarkEnd w:id="60"/>
      <w:r/>
      <w:bookmarkEnd w:id="61"/>
      <w:r>
        <w:rPr>
          <w:rFonts w:hint="eastAsia" w:ascii="宋体" w:hAnsi="宋体" w:eastAsia="宋体" w:cs="宋体"/>
          <w:b/>
          <w:highlight w:val="none"/>
        </w:rPr>
        <w:t xml:space="preserve">磋商文件</w:t>
      </w:r>
      <w:r/>
    </w:p>
    <w:p>
      <w:pPr>
        <w:pStyle w:val="821"/>
        <w:ind w:firstLine="420"/>
        <w:jc w:val="both"/>
        <w:keepLines/>
        <w:keepNext/>
        <w:spacing w:beforeAutospacing="0" w:afterAutospacing="0" w:line="440" w:lineRule="exact"/>
        <w:rPr>
          <w:rFonts w:hint="eastAsia" w:ascii="宋体" w:hAnsi="宋体" w:eastAsia="宋体" w:cs="宋体"/>
          <w:highlight w:val="none"/>
        </w:rPr>
        <w:outlineLvl w:val="2"/>
      </w:pPr>
      <w:r/>
      <w:bookmarkStart w:id="62" w:name="_Toc16938526"/>
      <w:r/>
      <w:bookmarkStart w:id="63" w:name="_Toc513029210"/>
      <w:r/>
      <w:bookmarkStart w:id="64" w:name="_Toc20823282"/>
      <w:r>
        <w:rPr>
          <w:rFonts w:hint="eastAsia" w:ascii="宋体" w:hAnsi="宋体" w:eastAsia="宋体" w:cs="宋体"/>
          <w:highlight w:val="none"/>
        </w:rPr>
        <w:t xml:space="preserve">6、磋商文件构成</w:t>
      </w:r>
      <w:bookmarkEnd w:id="62"/>
      <w:r/>
      <w:bookmarkEnd w:id="63"/>
      <w:r/>
      <w:bookmarkEnd w:id="64"/>
      <w:r/>
      <w:r/>
    </w:p>
    <w:p>
      <w:pPr>
        <w:pStyle w:val="821"/>
        <w:ind w:firstLine="480"/>
        <w:jc w:val="both"/>
        <w:spacing w:beforeAutospacing="0" w:afterAutospacing="0" w:line="440" w:lineRule="exact"/>
        <w:rPr>
          <w:rFonts w:hint="eastAsia" w:ascii="宋体" w:hAnsi="宋体" w:eastAsia="宋体" w:cs="宋体"/>
          <w:highlight w:val="none"/>
        </w:rPr>
        <w:outlineLvl w:val="3"/>
      </w:pPr>
      <w:r>
        <w:rPr>
          <w:rFonts w:hint="eastAsia" w:ascii="宋体" w:hAnsi="宋体" w:eastAsia="宋体" w:cs="宋体"/>
          <w:highlight w:val="none"/>
        </w:rPr>
        <w:t xml:space="preserve">6.1磋商文件由以下部分组成：</w:t>
      </w:r>
      <w:r/>
    </w:p>
    <w:p>
      <w:pPr>
        <w:pStyle w:val="821"/>
        <w:ind w:firstLine="36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（1）磋商公告</w:t>
      </w:r>
      <w:r/>
    </w:p>
    <w:p>
      <w:pPr>
        <w:pStyle w:val="821"/>
        <w:ind w:firstLine="36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（2）供应商须知</w:t>
      </w:r>
      <w:r/>
    </w:p>
    <w:p>
      <w:pPr>
        <w:pStyle w:val="821"/>
        <w:ind w:firstLine="36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（3）合同文本</w:t>
      </w:r>
      <w:r/>
    </w:p>
    <w:p>
      <w:pPr>
        <w:pStyle w:val="821"/>
        <w:ind w:firstLine="36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（4）采购需求</w:t>
      </w:r>
      <w:r/>
    </w:p>
    <w:p>
      <w:pPr>
        <w:pStyle w:val="821"/>
        <w:ind w:firstLine="36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（5）评审方法与评审标准</w:t>
      </w:r>
      <w:r/>
    </w:p>
    <w:p>
      <w:pPr>
        <w:pStyle w:val="821"/>
        <w:ind w:firstLine="36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（6）响应文件格式</w:t>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请仔细检查磋商文件是否齐全，如有缺漏请立即与采购人联系解决。</w:t>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821"/>
        <w:ind w:firstLine="560"/>
        <w:jc w:val="both"/>
        <w:keepLines/>
        <w:keepNext/>
        <w:spacing w:beforeAutospacing="0" w:afterAutospacing="0" w:line="440" w:lineRule="exact"/>
        <w:rPr>
          <w:rFonts w:hint="eastAsia" w:ascii="宋体" w:hAnsi="宋体" w:eastAsia="宋体" w:cs="宋体"/>
          <w:highlight w:val="none"/>
        </w:rPr>
        <w:outlineLvl w:val="2"/>
      </w:pPr>
      <w:r/>
      <w:bookmarkStart w:id="65" w:name="_Toc513029211"/>
      <w:r/>
      <w:bookmarkStart w:id="66" w:name="_Toc462564070"/>
      <w:r/>
      <w:bookmarkStart w:id="67" w:name="_Toc16938527"/>
      <w:r/>
      <w:bookmarkStart w:id="68" w:name="_Toc20823283"/>
      <w:r>
        <w:rPr>
          <w:rFonts w:hint="eastAsia" w:ascii="宋体" w:hAnsi="宋体" w:eastAsia="宋体" w:cs="宋体"/>
          <w:highlight w:val="none"/>
        </w:rPr>
        <w:t xml:space="preserve">7、磋商文件的澄清</w:t>
      </w:r>
      <w:bookmarkEnd w:id="65"/>
      <w:r/>
      <w:bookmarkEnd w:id="66"/>
      <w:r/>
      <w:bookmarkEnd w:id="67"/>
      <w:r/>
      <w:bookmarkEnd w:id="68"/>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7.1 任何要求对磋商文件进行澄清的供应商，应在磋商截止期5日前按磋商公告中的通讯地址，以书面形式通知采购人。</w:t>
      </w:r>
      <w:r/>
    </w:p>
    <w:p>
      <w:pPr>
        <w:pStyle w:val="821"/>
        <w:ind w:firstLine="560"/>
        <w:jc w:val="both"/>
        <w:keepLines/>
        <w:keepNext/>
        <w:spacing w:beforeAutospacing="0" w:afterAutospacing="0" w:line="440" w:lineRule="exact"/>
        <w:rPr>
          <w:rFonts w:hint="eastAsia" w:ascii="宋体" w:hAnsi="宋体" w:eastAsia="宋体" w:cs="宋体"/>
          <w:highlight w:val="none"/>
        </w:rPr>
        <w:outlineLvl w:val="2"/>
      </w:pPr>
      <w:r/>
      <w:bookmarkStart w:id="69" w:name="_Toc513029212"/>
      <w:r/>
      <w:bookmarkStart w:id="70" w:name="_Toc16938528"/>
      <w:r/>
      <w:bookmarkStart w:id="71" w:name="_Toc462564071"/>
      <w:r/>
      <w:bookmarkStart w:id="72" w:name="_Toc20823284"/>
      <w:r>
        <w:rPr>
          <w:rFonts w:hint="eastAsia" w:ascii="宋体" w:hAnsi="宋体" w:eastAsia="宋体" w:cs="宋体"/>
          <w:highlight w:val="none"/>
        </w:rPr>
        <w:t xml:space="preserve">8、磋商文件的澄清和修改</w:t>
      </w:r>
      <w:bookmarkEnd w:id="69"/>
      <w:r/>
      <w:bookmarkEnd w:id="70"/>
      <w:r/>
      <w:bookmarkEnd w:id="71"/>
      <w:r/>
      <w:bookmarkEnd w:id="72"/>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8.1在响应文件提交截止时间前，采购人可以对磋商文件进行澄清和修改，澄清或者修改的内容作为磋商文件的组成部分。澄清或者修改的内容可能影响响应文件编制的，采购人将在提交首次响应文件截止时间至少5日前，在“中国政府采购网”“江苏政府采购网”“盐城市政府采购网”上发布书面更正公告形式通知所有获取磋商文件的供应商，更正公告内容将作为磋商文件的组成部分，并对供应商具有约束力。不足5日的，采购人将顺延提交首次响应文件截止时间。</w:t>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8.2采购人可以视采购项目的具体情况，组织供应商进行现场考察或召开磋商前答疑会，但不单独或分别组织只有一个供应商参加的现场考察和答疑会。</w:t>
      </w:r>
      <w:r/>
    </w:p>
    <w:p>
      <w:pPr>
        <w:pStyle w:val="821"/>
        <w:ind w:firstLine="499"/>
        <w:jc w:val="both"/>
        <w:keepLines/>
        <w:keepNext/>
        <w:spacing w:before="120" w:beforeAutospacing="0" w:after="120" w:afterAutospacing="0" w:line="440" w:lineRule="exact"/>
        <w:rPr>
          <w:rFonts w:hint="eastAsia" w:ascii="宋体" w:hAnsi="宋体" w:eastAsia="宋体" w:cs="宋体"/>
          <w:b/>
          <w:highlight w:val="none"/>
        </w:rPr>
        <w:outlineLvl w:val="1"/>
      </w:pPr>
      <w:r/>
      <w:bookmarkStart w:id="73" w:name="_Toc16938529"/>
      <w:r/>
      <w:bookmarkStart w:id="74" w:name="_Toc120614216"/>
      <w:r/>
      <w:bookmarkStart w:id="75" w:name="_Toc513029213"/>
      <w:r/>
      <w:bookmarkStart w:id="76" w:name="_Toc20823285"/>
      <w:r/>
      <w:bookmarkStart w:id="77" w:name="_Toc462564072"/>
      <w:r>
        <w:rPr>
          <w:rFonts w:hint="eastAsia" w:ascii="宋体" w:hAnsi="宋体" w:eastAsia="宋体" w:cs="宋体"/>
          <w:b/>
          <w:highlight w:val="none"/>
        </w:rPr>
        <w:t xml:space="preserve">三、响应文件的编制</w:t>
      </w:r>
      <w:bookmarkEnd w:id="73"/>
      <w:r/>
      <w:bookmarkEnd w:id="74"/>
      <w:r/>
      <w:bookmarkEnd w:id="75"/>
      <w:r/>
      <w:bookmarkEnd w:id="76"/>
      <w:r/>
      <w:bookmarkEnd w:id="77"/>
      <w:r/>
      <w:r/>
    </w:p>
    <w:p>
      <w:pPr>
        <w:pStyle w:val="821"/>
        <w:ind w:firstLine="420"/>
        <w:jc w:val="both"/>
        <w:keepLines/>
        <w:keepNext/>
        <w:spacing w:beforeAutospacing="0" w:afterAutospacing="0" w:line="440" w:lineRule="exact"/>
        <w:rPr>
          <w:rFonts w:hint="eastAsia" w:ascii="宋体" w:hAnsi="宋体" w:eastAsia="宋体" w:cs="宋体"/>
          <w:highlight w:val="none"/>
        </w:rPr>
        <w:outlineLvl w:val="2"/>
      </w:pPr>
      <w:r/>
      <w:bookmarkStart w:id="78" w:name="_Toc20823286"/>
      <w:r/>
      <w:bookmarkStart w:id="79" w:name="_Toc16938530"/>
      <w:r/>
      <w:bookmarkStart w:id="80" w:name="_Toc462564073"/>
      <w:r/>
      <w:bookmarkStart w:id="81" w:name="_Toc513029214"/>
      <w:r>
        <w:rPr>
          <w:rFonts w:hint="eastAsia" w:ascii="宋体" w:hAnsi="宋体" w:eastAsia="宋体" w:cs="宋体"/>
          <w:highlight w:val="none"/>
        </w:rPr>
        <w:t xml:space="preserve">9、响应文件的语言及度量衡单位</w:t>
      </w:r>
      <w:bookmarkEnd w:id="78"/>
      <w:r/>
      <w:bookmarkEnd w:id="79"/>
      <w:r/>
      <w:bookmarkEnd w:id="80"/>
      <w:r/>
      <w:bookmarkEnd w:id="81"/>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9.1供应商提交的响应文件以及供应商与采购人就有关磋商的所有来往通知、函件和文件均应使用</w:t>
      </w:r>
      <w:r>
        <w:rPr>
          <w:rFonts w:hint="eastAsia" w:ascii="宋体" w:hAnsi="宋体" w:eastAsia="宋体" w:cs="宋体"/>
          <w:b/>
          <w:highlight w:val="none"/>
        </w:rPr>
        <w:t xml:space="preserve">简体中文</w:t>
      </w:r>
      <w:r>
        <w:rPr>
          <w:rFonts w:hint="eastAsia" w:ascii="宋体" w:hAnsi="宋体" w:eastAsia="宋体" w:cs="宋体"/>
          <w:highlight w:val="none"/>
        </w:rPr>
        <w:t xml:space="preserve">。</w:t>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9.2 除技术性能另有规定外，响应文件所使用的度量衡单位，均须采用国家法定计量单位。</w:t>
      </w:r>
      <w:r/>
    </w:p>
    <w:p>
      <w:pPr>
        <w:pStyle w:val="821"/>
        <w:ind w:firstLine="420"/>
        <w:jc w:val="both"/>
        <w:keepLines/>
        <w:keepNext/>
        <w:spacing w:beforeAutospacing="0" w:afterAutospacing="0" w:line="440" w:lineRule="exact"/>
        <w:rPr>
          <w:rFonts w:hint="eastAsia" w:ascii="宋体" w:hAnsi="宋体" w:eastAsia="宋体" w:cs="宋体"/>
          <w:highlight w:val="none"/>
        </w:rPr>
        <w:outlineLvl w:val="2"/>
      </w:pPr>
      <w:r/>
      <w:bookmarkStart w:id="82" w:name="_Toc513029215"/>
      <w:r/>
      <w:bookmarkStart w:id="83" w:name="_Toc16938531"/>
      <w:r/>
      <w:bookmarkStart w:id="84" w:name="_Toc20823287"/>
      <w:r/>
      <w:bookmarkStart w:id="85" w:name="_Toc462564074"/>
      <w:r>
        <w:rPr>
          <w:rFonts w:hint="eastAsia" w:ascii="宋体" w:hAnsi="宋体" w:eastAsia="宋体" w:cs="宋体"/>
          <w:highlight w:val="none"/>
        </w:rPr>
        <w:t xml:space="preserve">10、响应文件构成</w:t>
      </w:r>
      <w:bookmarkEnd w:id="82"/>
      <w:r/>
      <w:bookmarkEnd w:id="83"/>
      <w:r/>
      <w:bookmarkEnd w:id="84"/>
      <w:r/>
      <w:bookmarkEnd w:id="85"/>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10.1供应商编写的响应文件应包括资格证明文件、符合性证明文件、分项报价表、技术要求响应及偏离表、商务要求响应及偏离表、其他证明文件、磋商响应函等部分。</w:t>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10.2如标书制作工具中格式和内容与“中国政府采购网”、“江苏政府采购网”“盐城市政府采购网”发布的磋商文件不一致，请以“中国政府采购网”“江苏政府采购网”“盐城市政府采购网”发布的磋商文件为准。</w:t>
      </w:r>
      <w:r/>
    </w:p>
    <w:p>
      <w:pPr>
        <w:pStyle w:val="821"/>
        <w:ind w:firstLine="420"/>
        <w:jc w:val="both"/>
        <w:keepLines/>
        <w:keepNext/>
        <w:spacing w:beforeAutospacing="0" w:afterAutospacing="0" w:line="440" w:lineRule="exact"/>
        <w:rPr>
          <w:rFonts w:hint="eastAsia" w:ascii="宋体" w:hAnsi="宋体" w:eastAsia="宋体" w:cs="宋体"/>
          <w:highlight w:val="none"/>
        </w:rPr>
        <w:outlineLvl w:val="2"/>
      </w:pPr>
      <w:r/>
      <w:bookmarkStart w:id="86" w:name="_Toc14577354"/>
      <w:r/>
      <w:bookmarkStart w:id="87" w:name="_Toc49090509"/>
      <w:r/>
      <w:bookmarkStart w:id="88" w:name="_Toc49090507"/>
      <w:r/>
      <w:bookmarkStart w:id="89" w:name="_Toc14577357"/>
      <w:r/>
      <w:bookmarkStart w:id="90" w:name="_Toc513029216"/>
      <w:r/>
      <w:bookmarkStart w:id="91" w:name="_Toc513029219"/>
      <w:r/>
      <w:bookmarkStart w:id="92" w:name="_Toc49090508"/>
      <w:r/>
      <w:bookmarkStart w:id="93" w:name="_Toc14577355"/>
      <w:r/>
      <w:bookmarkStart w:id="94" w:name="_Hlt26668975"/>
      <w:r/>
      <w:bookmarkStart w:id="95" w:name="_Hlt26670360"/>
      <w:r/>
      <w:bookmarkStart w:id="96" w:name="_Hlt26954838"/>
      <w:r>
        <w:rPr>
          <w:rFonts w:hint="eastAsia" w:ascii="宋体" w:hAnsi="宋体" w:eastAsia="宋体" w:cs="宋体"/>
          <w:highlight w:val="none"/>
        </w:rPr>
        <w:t xml:space="preserve">11、证明磋商响应标的符合磋商文件规定的文件</w:t>
      </w:r>
      <w:bookmarkEnd w:id="86"/>
      <w:r/>
      <w:bookmarkEnd w:id="87"/>
      <w:r/>
      <w:bookmarkEnd w:id="88"/>
      <w:r/>
      <w:bookmarkEnd w:id="89"/>
      <w:r/>
      <w:bookmarkEnd w:id="90"/>
      <w:r/>
      <w:bookmarkEnd w:id="91"/>
      <w:r/>
      <w:bookmarkEnd w:id="92"/>
      <w:r/>
      <w:bookmarkEnd w:id="93"/>
      <w:r/>
      <w:r/>
    </w:p>
    <w:p>
      <w:pPr>
        <w:pStyle w:val="821"/>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    11.1供应商应按照磋商文件要求提交证明文件，证明其及磋商响应标的符合磋商文件规定。</w:t>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11.2磋商文件对证明文件无明确形式要求的，证明文件可以以文字资料、图纸和数据等形式提交。</w:t>
      </w:r>
      <w:r/>
    </w:p>
    <w:p>
      <w:pPr>
        <w:pStyle w:val="821"/>
        <w:ind w:firstLine="420"/>
        <w:jc w:val="both"/>
        <w:keepLines/>
        <w:keepNext/>
        <w:spacing w:beforeAutospacing="0" w:afterAutospacing="0" w:line="440" w:lineRule="exact"/>
        <w:rPr>
          <w:rFonts w:hint="eastAsia" w:ascii="宋体" w:hAnsi="宋体" w:eastAsia="宋体" w:cs="宋体"/>
          <w:highlight w:val="none"/>
        </w:rPr>
        <w:outlineLvl w:val="2"/>
      </w:pPr>
      <w:r>
        <w:rPr>
          <w:rFonts w:hint="eastAsia" w:ascii="宋体" w:hAnsi="宋体" w:eastAsia="宋体" w:cs="宋体"/>
          <w:highlight w:val="none"/>
        </w:rPr>
        <w:t xml:space="preserve">12、分项报价表</w:t>
      </w:r>
      <w:r/>
    </w:p>
    <w:p>
      <w:pPr>
        <w:pStyle w:val="821"/>
        <w:ind w:firstLine="480"/>
        <w:jc w:val="both"/>
        <w:spacing w:beforeAutospacing="0" w:afterAutospacing="0" w:line="440" w:lineRule="exact"/>
        <w:rPr>
          <w:rFonts w:hint="eastAsia" w:ascii="宋体" w:hAnsi="宋体" w:eastAsia="宋体" w:cs="宋体"/>
          <w:highlight w:val="none"/>
        </w:rPr>
        <w:outlineLvl w:val="3"/>
      </w:pPr>
      <w:r>
        <w:rPr>
          <w:rFonts w:hint="eastAsia" w:ascii="宋体" w:hAnsi="宋体" w:eastAsia="宋体" w:cs="宋体"/>
          <w:highlight w:val="none"/>
        </w:rPr>
        <w:t xml:space="preserve">12.1供应商应按照磋商文件规定格式填报分项报价表。</w:t>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12.2磋商货币。响应文件中的单价和总价无特殊规定的采用人民币报价，以元为单位标注。磋商文件中另有规定的按规定执行。</w:t>
      </w:r>
      <w:r/>
    </w:p>
    <w:p>
      <w:pPr>
        <w:pStyle w:val="821"/>
        <w:ind w:firstLine="420"/>
        <w:jc w:val="both"/>
        <w:keepLines/>
        <w:keepNext/>
        <w:spacing w:beforeAutospacing="0" w:afterAutospacing="0" w:line="440" w:lineRule="exact"/>
        <w:rPr>
          <w:rFonts w:hint="eastAsia" w:ascii="宋体" w:hAnsi="宋体" w:eastAsia="宋体" w:cs="宋体"/>
          <w:highlight w:val="none"/>
        </w:rPr>
        <w:outlineLvl w:val="2"/>
      </w:pPr>
      <w:r/>
      <w:bookmarkStart w:id="97" w:name="_Hlt26670486"/>
      <w:r/>
      <w:bookmarkStart w:id="98" w:name="_Hlt26954846"/>
      <w:r/>
      <w:bookmarkStart w:id="99" w:name="_Hlt26954848"/>
      <w:r/>
      <w:bookmarkStart w:id="100" w:name="_Hlt26954731"/>
      <w:r/>
      <w:bookmarkStart w:id="101" w:name="_Hlt26670482"/>
      <w:r>
        <w:rPr>
          <w:rFonts w:hint="eastAsia" w:ascii="宋体" w:hAnsi="宋体" w:eastAsia="宋体" w:cs="宋体"/>
          <w:highlight w:val="none"/>
        </w:rPr>
        <w:t xml:space="preserve">13、技术要求响应及偏离表、商务要求响应及偏离表</w:t>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13.1供应商需对磋商文件中的技术要求与商务要求逐项作出响应或偏离，并说明原因。</w:t>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13.2供应商可在响应文件中提供认为需要的其他技术文件或说明。</w:t>
      </w:r>
      <w:r/>
    </w:p>
    <w:p>
      <w:pPr>
        <w:pStyle w:val="821"/>
        <w:ind w:firstLine="420"/>
        <w:jc w:val="both"/>
        <w:keepLines/>
        <w:keepNext/>
        <w:spacing w:beforeAutospacing="0" w:afterAutospacing="0" w:line="440" w:lineRule="exact"/>
        <w:rPr>
          <w:rFonts w:hint="eastAsia" w:ascii="宋体" w:hAnsi="宋体" w:eastAsia="宋体" w:cs="宋体"/>
          <w:highlight w:val="none"/>
        </w:rPr>
        <w:outlineLvl w:val="2"/>
      </w:pPr>
      <w:r>
        <w:rPr>
          <w:rFonts w:hint="eastAsia" w:ascii="宋体" w:hAnsi="宋体" w:eastAsia="宋体" w:cs="宋体"/>
          <w:highlight w:val="none"/>
        </w:rPr>
        <w:t xml:space="preserve">14、服务承诺、培训计划、人员安排及其他</w:t>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14.1供应商需根据磋商文件要求提供有关售后服务的管理制度，售后服务机构的分布情况，售后服务人员的数量、素质、技术水平及售后服务的反应能力等。</w:t>
      </w:r>
      <w:r/>
    </w:p>
    <w:p>
      <w:pPr>
        <w:pStyle w:val="821"/>
        <w:ind w:firstLine="480"/>
        <w:jc w:val="both"/>
        <w:spacing w:beforeAutospacing="0" w:afterAutospacing="0" w:line="440" w:lineRule="exact"/>
        <w:rPr>
          <w:rFonts w:hint="eastAsia" w:ascii="宋体" w:hAnsi="宋体" w:eastAsia="宋体" w:cs="宋体"/>
          <w:highlight w:val="none"/>
        </w:rPr>
        <w:outlineLvl w:val="3"/>
      </w:pPr>
      <w:r>
        <w:rPr>
          <w:rFonts w:hint="eastAsia" w:ascii="宋体" w:hAnsi="宋体" w:eastAsia="宋体" w:cs="宋体"/>
          <w:highlight w:val="none"/>
        </w:rPr>
        <w:t xml:space="preserve">14.2供应商需根据磋商文件要求提供培训计划。</w:t>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14.3供应商需根据磋商文件要求提供磋商响应标的的主要组成部分、功能设计、实现思路及关键技术等。</w:t>
      </w:r>
      <w:r/>
    </w:p>
    <w:p>
      <w:pPr>
        <w:pStyle w:val="821"/>
        <w:ind w:firstLine="420"/>
        <w:jc w:val="both"/>
        <w:keepLines/>
        <w:keepNext/>
        <w:spacing w:beforeAutospacing="0" w:afterAutospacing="0" w:line="440" w:lineRule="exact"/>
        <w:rPr>
          <w:rFonts w:hint="eastAsia" w:ascii="宋体" w:hAnsi="宋体" w:eastAsia="宋体" w:cs="宋体"/>
          <w:highlight w:val="none"/>
        </w:rPr>
        <w:outlineLvl w:val="2"/>
      </w:pPr>
      <w:r/>
      <w:bookmarkStart w:id="102" w:name="_Toc49090510"/>
      <w:r/>
      <w:bookmarkStart w:id="103" w:name="_Toc14577359"/>
      <w:r>
        <w:rPr>
          <w:rFonts w:hint="eastAsia" w:ascii="宋体" w:hAnsi="宋体" w:eastAsia="宋体" w:cs="宋体"/>
          <w:highlight w:val="none"/>
        </w:rPr>
        <w:t xml:space="preserve">15、磋商响应函</w:t>
      </w:r>
      <w:bookmarkEnd w:id="102"/>
      <w:r/>
      <w:bookmarkEnd w:id="103"/>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15.1供应商应按照磋商文件中提供的格式完整、正确填写磋商响应函。</w:t>
      </w:r>
      <w:r/>
    </w:p>
    <w:p>
      <w:pPr>
        <w:pStyle w:val="821"/>
        <w:ind w:firstLine="420"/>
        <w:jc w:val="both"/>
        <w:keepLines/>
        <w:keepNext/>
        <w:spacing w:beforeAutospacing="0" w:afterAutospacing="0" w:line="440" w:lineRule="exact"/>
        <w:rPr>
          <w:rFonts w:hint="eastAsia" w:ascii="宋体" w:hAnsi="宋体" w:eastAsia="宋体" w:cs="宋体"/>
          <w:highlight w:val="none"/>
        </w:rPr>
        <w:outlineLvl w:val="2"/>
      </w:pPr>
      <w:r/>
      <w:bookmarkStart w:id="104" w:name="_Toc14577360"/>
      <w:r/>
      <w:bookmarkStart w:id="105" w:name="_Toc49090511"/>
      <w:r>
        <w:rPr>
          <w:rFonts w:hint="eastAsia" w:ascii="宋体" w:hAnsi="宋体" w:eastAsia="宋体" w:cs="宋体"/>
          <w:highlight w:val="none"/>
        </w:rPr>
        <w:t xml:space="preserve">16、磋商有效期</w:t>
      </w:r>
      <w:bookmarkEnd w:id="104"/>
      <w:r/>
      <w:bookmarkEnd w:id="105"/>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16.1磋商有效期为采购人规定的提交响应文件截止之日后</w:t>
      </w:r>
      <w:r>
        <w:rPr>
          <w:rFonts w:hint="eastAsia" w:ascii="宋体" w:hAnsi="宋体" w:eastAsia="宋体" w:cs="宋体"/>
          <w:b/>
          <w:highlight w:val="none"/>
          <w:u w:val="single"/>
        </w:rPr>
        <w:t xml:space="preserve">九十（90）天</w:t>
      </w:r>
      <w:r>
        <w:rPr>
          <w:rFonts w:hint="eastAsia" w:ascii="宋体" w:hAnsi="宋体" w:eastAsia="宋体" w:cs="宋体"/>
          <w:highlight w:val="none"/>
        </w:rPr>
        <w:t xml:space="preserve">。磋商有效期比规定短的将被视为非实质性响应磋商文件而予以拒绝。</w:t>
      </w:r>
      <w:r/>
    </w:p>
    <w:p>
      <w:pPr>
        <w:pStyle w:val="821"/>
        <w:ind w:firstLine="420"/>
        <w:jc w:val="both"/>
        <w:keepLines/>
        <w:keepNext/>
        <w:spacing w:beforeAutospacing="0" w:afterAutospacing="0" w:line="440" w:lineRule="exact"/>
        <w:rPr>
          <w:rFonts w:hint="eastAsia" w:ascii="宋体" w:hAnsi="宋体" w:eastAsia="宋体" w:cs="宋体"/>
          <w:highlight w:val="none"/>
        </w:rPr>
        <w:outlineLvl w:val="2"/>
      </w:pPr>
      <w:r>
        <w:rPr>
          <w:rFonts w:hint="eastAsia" w:ascii="宋体" w:hAnsi="宋体" w:eastAsia="宋体" w:cs="宋体"/>
          <w:highlight w:val="none"/>
        </w:rPr>
        <w:t xml:space="preserve">17、磋商有效期的延长</w:t>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p>
    <w:p>
      <w:pPr>
        <w:pStyle w:val="821"/>
        <w:ind w:firstLine="499"/>
        <w:jc w:val="both"/>
        <w:keepLines/>
        <w:keepNext/>
        <w:spacing w:before="120" w:beforeAutospacing="0" w:after="120" w:afterAutospacing="0" w:line="440" w:lineRule="exact"/>
        <w:rPr>
          <w:rFonts w:hint="eastAsia" w:ascii="宋体" w:hAnsi="宋体" w:eastAsia="宋体" w:cs="宋体"/>
          <w:b/>
          <w:highlight w:val="none"/>
        </w:rPr>
        <w:outlineLvl w:val="1"/>
      </w:pPr>
      <w:r/>
      <w:bookmarkStart w:id="106" w:name="_Toc20823296"/>
      <w:r/>
      <w:bookmarkStart w:id="107" w:name="_Toc513029224"/>
      <w:r/>
      <w:bookmarkStart w:id="108" w:name="_Toc120614217"/>
      <w:r/>
      <w:bookmarkStart w:id="109" w:name="_Toc16938540"/>
      <w:r/>
      <w:bookmarkStart w:id="110" w:name="_Hlt26954852"/>
      <w:r/>
      <w:bookmarkStart w:id="111" w:name="_Hlt26954739"/>
      <w:r>
        <w:rPr>
          <w:rFonts w:hint="eastAsia" w:ascii="宋体" w:hAnsi="宋体" w:eastAsia="宋体" w:cs="宋体"/>
          <w:b/>
          <w:highlight w:val="none"/>
        </w:rPr>
        <w:t xml:space="preserve">四、响应文件的递交</w:t>
      </w:r>
      <w:bookmarkEnd w:id="106"/>
      <w:r/>
      <w:bookmarkEnd w:id="107"/>
      <w:r/>
      <w:bookmarkEnd w:id="108"/>
      <w:r/>
      <w:bookmarkEnd w:id="109"/>
      <w:r/>
      <w:r/>
    </w:p>
    <w:p>
      <w:pPr>
        <w:pStyle w:val="821"/>
        <w:ind w:firstLine="560"/>
        <w:jc w:val="both"/>
        <w:keepLines/>
        <w:keepNext/>
        <w:spacing w:beforeAutospacing="0" w:afterAutospacing="0" w:line="440" w:lineRule="exact"/>
        <w:rPr>
          <w:rFonts w:hint="eastAsia" w:ascii="宋体" w:hAnsi="宋体" w:eastAsia="宋体" w:cs="宋体"/>
          <w:highlight w:val="none"/>
        </w:rPr>
        <w:outlineLvl w:val="2"/>
      </w:pPr>
      <w:r/>
      <w:bookmarkStart w:id="112" w:name="_Toc16938541"/>
      <w:r/>
      <w:bookmarkStart w:id="113" w:name="_Toc513029225"/>
      <w:r/>
      <w:bookmarkStart w:id="114" w:name="_Toc462564084"/>
      <w:r/>
      <w:bookmarkStart w:id="115" w:name="_Toc20823297"/>
      <w:r>
        <w:rPr>
          <w:rFonts w:hint="eastAsia" w:ascii="宋体" w:hAnsi="宋体" w:eastAsia="宋体" w:cs="宋体"/>
          <w:highlight w:val="none"/>
        </w:rPr>
        <w:t xml:space="preserve">18、电子磋商</w:t>
      </w:r>
      <w:bookmarkEnd w:id="112"/>
      <w:r/>
      <w:bookmarkEnd w:id="113"/>
      <w:r/>
      <w:bookmarkEnd w:id="114"/>
      <w:r/>
      <w:bookmarkEnd w:id="115"/>
      <w:r>
        <w:rPr>
          <w:rFonts w:hint="eastAsia" w:ascii="宋体" w:hAnsi="宋体" w:eastAsia="宋体" w:cs="宋体"/>
          <w:highlight w:val="none"/>
        </w:rPr>
        <w:t xml:space="preserve">响应文件的递交</w:t>
      </w:r>
      <w:r/>
    </w:p>
    <w:p>
      <w:pPr>
        <w:pStyle w:val="821"/>
        <w:ind w:firstLine="60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18.1供应商应当按照《操作手册》规定，在提交响应文件截止时间前制作并上传电子响应文件。</w:t>
      </w:r>
      <w:bookmarkStart w:id="116" w:name="_Toc16938542"/>
      <w:r/>
      <w:bookmarkEnd w:id="116"/>
      <w:r/>
      <w:bookmarkStart w:id="117" w:name="_Toc20823298"/>
      <w:r/>
      <w:bookmarkEnd w:id="117"/>
      <w:r/>
      <w:bookmarkStart w:id="118" w:name="_Toc513029226"/>
      <w:r/>
      <w:r/>
    </w:p>
    <w:p>
      <w:pPr>
        <w:pStyle w:val="821"/>
        <w:ind w:firstLine="560"/>
        <w:jc w:val="both"/>
        <w:keepLines/>
        <w:keepNext/>
        <w:spacing w:beforeAutospacing="0" w:afterAutospacing="0" w:line="440" w:lineRule="exact"/>
        <w:rPr>
          <w:rFonts w:hint="eastAsia" w:ascii="宋体" w:hAnsi="宋体" w:eastAsia="宋体" w:cs="宋体"/>
          <w:highlight w:val="none"/>
        </w:rPr>
        <w:outlineLvl w:val="2"/>
      </w:pPr>
      <w:r>
        <w:rPr>
          <w:rFonts w:hint="eastAsia" w:ascii="宋体" w:hAnsi="宋体" w:eastAsia="宋体" w:cs="宋体"/>
          <w:highlight w:val="none"/>
        </w:rPr>
        <w:t xml:space="preserve">19、提交响应文件截止时间</w:t>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i/>
          <w:highlight w:val="none"/>
          <w:u w:val="single"/>
        </w:rPr>
        <w:t xml:space="preserve">19.1供应商上传电子响应文件的时间不得迟于磋商公告中规定的提交响应文件截止时间。</w:t>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供应商应充分考虑到网络环境、网络带宽等风险因素，如因供应商自身原因造成的电子响应文件上传不成功的按照本磋商文件第二章第26.3.2条规定做无效响应处理。</w:t>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19.2采购人可以按照规定，通过修改磋商文件酌情延长提交响应文件截止日期，在此情况下，供应商的所有权利和义务以及供应商受制的截止日期均应以延长后新的截止日期为准。</w:t>
      </w:r>
      <w:r/>
    </w:p>
    <w:p>
      <w:pPr>
        <w:pStyle w:val="821"/>
        <w:ind w:firstLine="420"/>
        <w:jc w:val="both"/>
        <w:keepLines/>
        <w:keepNext/>
        <w:spacing w:beforeAutospacing="0" w:afterAutospacing="0" w:line="440" w:lineRule="exact"/>
        <w:rPr>
          <w:rFonts w:hint="eastAsia" w:ascii="宋体" w:hAnsi="宋体" w:eastAsia="宋体" w:cs="宋体"/>
          <w:highlight w:val="none"/>
        </w:rPr>
        <w:outlineLvl w:val="2"/>
      </w:pPr>
      <w:r/>
      <w:bookmarkStart w:id="119" w:name="_Toc513029227"/>
      <w:r/>
      <w:bookmarkStart w:id="120" w:name="_Toc16938543"/>
      <w:r/>
      <w:bookmarkStart w:id="121" w:name="_Toc20823299"/>
      <w:r>
        <w:rPr>
          <w:rFonts w:hint="eastAsia" w:ascii="宋体" w:hAnsi="宋体" w:eastAsia="宋体" w:cs="宋体"/>
          <w:highlight w:val="none"/>
        </w:rPr>
        <w:t xml:space="preserve">20、响应文件</w:t>
      </w:r>
      <w:bookmarkEnd w:id="119"/>
      <w:r/>
      <w:bookmarkEnd w:id="120"/>
      <w:r/>
      <w:bookmarkEnd w:id="121"/>
      <w:r>
        <w:rPr>
          <w:rFonts w:hint="eastAsia" w:ascii="宋体" w:hAnsi="宋体" w:eastAsia="宋体" w:cs="宋体"/>
          <w:highlight w:val="none"/>
        </w:rPr>
        <w:t xml:space="preserve">的拒收</w:t>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20.1采购人拒绝接收在其规定的提交响应文件截止时间后上传的任何电子响应文件。</w:t>
      </w:r>
      <w:r/>
    </w:p>
    <w:p>
      <w:pPr>
        <w:pStyle w:val="821"/>
        <w:ind w:firstLine="420"/>
        <w:jc w:val="both"/>
        <w:keepLines/>
        <w:keepNext/>
        <w:spacing w:beforeAutospacing="0" w:afterAutospacing="0" w:line="440" w:lineRule="exact"/>
        <w:rPr>
          <w:rFonts w:hint="eastAsia" w:ascii="宋体" w:hAnsi="宋体" w:eastAsia="宋体" w:cs="宋体"/>
          <w:highlight w:val="none"/>
        </w:rPr>
        <w:outlineLvl w:val="2"/>
      </w:pPr>
      <w:r/>
      <w:bookmarkStart w:id="122" w:name="_Toc20823300"/>
      <w:r/>
      <w:bookmarkStart w:id="123" w:name="_Toc513029228"/>
      <w:r/>
      <w:bookmarkStart w:id="124" w:name="_Toc16938544"/>
      <w:r>
        <w:rPr>
          <w:rFonts w:hint="eastAsia" w:ascii="宋体" w:hAnsi="宋体" w:eastAsia="宋体" w:cs="宋体"/>
          <w:highlight w:val="none"/>
        </w:rPr>
        <w:t xml:space="preserve">21、响应文件的撤回和修改</w:t>
      </w:r>
      <w:bookmarkEnd w:id="122"/>
      <w:r/>
      <w:bookmarkEnd w:id="123"/>
      <w:r/>
      <w:bookmarkEnd w:id="124"/>
      <w:r/>
      <w:r/>
    </w:p>
    <w:p>
      <w:pPr>
        <w:pStyle w:val="821"/>
        <w:ind w:firstLine="480"/>
        <w:jc w:val="both"/>
        <w:spacing w:beforeAutospacing="0" w:afterAutospacing="0" w:line="440" w:lineRule="exact"/>
        <w:rPr>
          <w:rFonts w:hint="eastAsia" w:ascii="宋体" w:hAnsi="宋体" w:eastAsia="宋体" w:cs="宋体"/>
          <w:highlight w:val="none"/>
        </w:rPr>
        <w:outlineLvl w:val="3"/>
      </w:pPr>
      <w:r>
        <w:rPr>
          <w:rFonts w:hint="eastAsia" w:ascii="宋体" w:hAnsi="宋体" w:eastAsia="宋体" w:cs="宋体"/>
          <w:highlight w:val="none"/>
        </w:rPr>
        <w:t xml:space="preserve">21.1响应文件的撤回</w:t>
      </w:r>
      <w:r/>
    </w:p>
    <w:p>
      <w:pPr>
        <w:pStyle w:val="821"/>
        <w:ind w:firstLine="480"/>
        <w:jc w:val="both"/>
        <w:spacing w:beforeAutospacing="0" w:afterAutospacing="0" w:line="440" w:lineRule="exact"/>
        <w:rPr>
          <w:rFonts w:hint="eastAsia" w:ascii="宋体" w:hAnsi="宋体" w:eastAsia="宋体" w:cs="宋体"/>
          <w:highlight w:val="none"/>
        </w:rPr>
        <w:outlineLvl w:val="4"/>
      </w:pPr>
      <w:r>
        <w:rPr>
          <w:rFonts w:hint="eastAsia" w:ascii="宋体" w:hAnsi="宋体" w:eastAsia="宋体" w:cs="宋体"/>
          <w:highlight w:val="none"/>
        </w:rPr>
        <w:t xml:space="preserve">21.1.1 电子响应文件的撤回</w:t>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供应商可在提交响应文件截止时间前，撤回其电子响应文件，具体操作方法见《操作手册》。</w:t>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21.1.2供应商撤回电子响应文件，则认为其不再参与本项目磋商活动。</w:t>
      </w:r>
      <w:r/>
    </w:p>
    <w:p>
      <w:pPr>
        <w:pStyle w:val="821"/>
        <w:ind w:firstLine="480"/>
        <w:jc w:val="both"/>
        <w:spacing w:beforeAutospacing="0" w:afterAutospacing="0" w:line="440" w:lineRule="exact"/>
        <w:rPr>
          <w:rFonts w:hint="eastAsia" w:ascii="宋体" w:hAnsi="宋体" w:eastAsia="宋体" w:cs="宋体"/>
          <w:highlight w:val="none"/>
        </w:rPr>
        <w:outlineLvl w:val="3"/>
      </w:pPr>
      <w:r>
        <w:rPr>
          <w:rFonts w:hint="eastAsia" w:ascii="宋体" w:hAnsi="宋体" w:eastAsia="宋体" w:cs="宋体"/>
          <w:highlight w:val="none"/>
        </w:rPr>
        <w:t xml:space="preserve">21.2响应文件的修改</w:t>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供应商可在提交响应文件截止时间前，对其电子响应文件进行修改，具体操作方法见《操作手册》。</w:t>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21.3在提交响应文件截止时间之后，供应商不得对其电子响应文件作任何修改。</w:t>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21.4 在提交响应文件截止时间至磋商文件中规定的磋商有效期满之间的这段时间内，供应商不得撤回其响应文件。</w:t>
      </w:r>
      <w:r/>
    </w:p>
    <w:p>
      <w:pPr>
        <w:pStyle w:val="821"/>
        <w:ind w:firstLine="499"/>
        <w:jc w:val="both"/>
        <w:keepLines/>
        <w:keepNext/>
        <w:spacing w:before="120" w:beforeAutospacing="0" w:after="120" w:afterAutospacing="0" w:line="440" w:lineRule="exact"/>
        <w:rPr>
          <w:rFonts w:hint="eastAsia" w:ascii="宋体" w:hAnsi="宋体" w:eastAsia="宋体" w:cs="宋体"/>
          <w:b/>
          <w:highlight w:val="none"/>
        </w:rPr>
        <w:outlineLvl w:val="1"/>
      </w:pPr>
      <w:r/>
      <w:bookmarkStart w:id="125" w:name="_Toc16938545"/>
      <w:r/>
      <w:bookmarkStart w:id="126" w:name="_Toc20823301"/>
      <w:r/>
      <w:bookmarkStart w:id="127" w:name="_Toc120614218"/>
      <w:r/>
      <w:bookmarkStart w:id="128" w:name="_Toc513029229"/>
      <w:r>
        <w:rPr>
          <w:rFonts w:hint="eastAsia" w:ascii="宋体" w:hAnsi="宋体" w:eastAsia="宋体" w:cs="宋体"/>
          <w:b/>
          <w:highlight w:val="none"/>
        </w:rPr>
        <w:t xml:space="preserve">五、响应文件的解密与评审</w:t>
      </w:r>
      <w:bookmarkEnd w:id="125"/>
      <w:r/>
      <w:bookmarkEnd w:id="126"/>
      <w:r/>
      <w:bookmarkEnd w:id="127"/>
      <w:r/>
      <w:bookmarkEnd w:id="128"/>
      <w:r/>
      <w:r/>
    </w:p>
    <w:p>
      <w:pPr>
        <w:pStyle w:val="821"/>
        <w:ind w:firstLine="420"/>
        <w:jc w:val="both"/>
        <w:keepLines/>
        <w:keepNext/>
        <w:spacing w:beforeAutospacing="0" w:afterAutospacing="0" w:line="440" w:lineRule="exact"/>
        <w:rPr>
          <w:rFonts w:hint="eastAsia" w:ascii="宋体" w:hAnsi="宋体" w:eastAsia="宋体" w:cs="宋体"/>
          <w:highlight w:val="none"/>
        </w:rPr>
        <w:outlineLvl w:val="2"/>
      </w:pPr>
      <w:r/>
      <w:bookmarkStart w:id="129" w:name="_Toc513029230"/>
      <w:r/>
      <w:bookmarkStart w:id="130" w:name="_Toc20823302"/>
      <w:r/>
      <w:bookmarkStart w:id="131" w:name="_Toc16938546"/>
      <w:r>
        <w:rPr>
          <w:rFonts w:hint="eastAsia" w:ascii="宋体" w:hAnsi="宋体" w:eastAsia="宋体" w:cs="宋体"/>
          <w:highlight w:val="none"/>
        </w:rPr>
        <w:t xml:space="preserve">22、</w:t>
      </w:r>
      <w:bookmarkEnd w:id="129"/>
      <w:r/>
      <w:bookmarkEnd w:id="130"/>
      <w:r/>
      <w:bookmarkEnd w:id="131"/>
      <w:r>
        <w:rPr>
          <w:rFonts w:hint="eastAsia" w:ascii="宋体" w:hAnsi="宋体" w:eastAsia="宋体" w:cs="宋体"/>
          <w:highlight w:val="none"/>
        </w:rPr>
        <w:t xml:space="preserve">响应文件解密</w:t>
      </w:r>
      <w:r/>
    </w:p>
    <w:p>
      <w:pPr>
        <w:pStyle w:val="821"/>
        <w:ind w:firstLine="36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22.1供应商应当按照《操作手册》规定，在苏采云系统规定的时间内对磋商响应文件进行解密。</w:t>
      </w:r>
      <w:r/>
    </w:p>
    <w:p>
      <w:pPr>
        <w:pStyle w:val="821"/>
        <w:ind w:firstLine="420"/>
        <w:jc w:val="both"/>
        <w:keepLines/>
        <w:keepNext/>
        <w:spacing w:beforeAutospacing="0" w:afterAutospacing="0" w:line="440" w:lineRule="exact"/>
        <w:rPr>
          <w:rFonts w:hint="eastAsia" w:ascii="宋体" w:hAnsi="宋体" w:eastAsia="宋体" w:cs="宋体"/>
          <w:highlight w:val="none"/>
        </w:rPr>
        <w:outlineLvl w:val="2"/>
      </w:pPr>
      <w:r/>
      <w:bookmarkStart w:id="132" w:name="_Toc16938547"/>
      <w:r/>
      <w:bookmarkStart w:id="133" w:name="_Toc20823303"/>
      <w:r/>
      <w:bookmarkStart w:id="134" w:name="_Toc513029231"/>
      <w:r>
        <w:rPr>
          <w:rFonts w:hint="eastAsia" w:ascii="宋体" w:hAnsi="宋体" w:eastAsia="宋体" w:cs="宋体"/>
          <w:highlight w:val="none"/>
        </w:rPr>
        <w:t xml:space="preserve">23、磋商小组</w:t>
      </w:r>
      <w:bookmarkEnd w:id="132"/>
      <w:r/>
      <w:bookmarkEnd w:id="133"/>
      <w:r/>
      <w:bookmarkEnd w:id="134"/>
      <w:r/>
      <w:r/>
    </w:p>
    <w:p>
      <w:pPr>
        <w:pStyle w:val="821"/>
        <w:jc w:val="both"/>
        <w:spacing w:beforeAutospacing="0" w:afterAutospacing="0" w:line="440" w:lineRule="exact"/>
        <w:rPr>
          <w:rFonts w:hint="eastAsia" w:ascii="宋体" w:hAnsi="宋体" w:eastAsia="宋体" w:cs="宋体"/>
          <w:highlight w:val="none"/>
        </w:rPr>
      </w:pPr>
      <w:r>
        <w:rPr>
          <w:rFonts w:hint="eastAsia" w:ascii="宋体" w:hAnsi="宋体" w:eastAsia="宋体" w:cs="宋体"/>
          <w:b/>
          <w:highlight w:val="none"/>
        </w:rPr>
        <w:t xml:space="preserve">  </w:t>
      </w:r>
      <w:r>
        <w:rPr>
          <w:rFonts w:hint="eastAsia" w:ascii="宋体" w:hAnsi="宋体" w:eastAsia="宋体" w:cs="宋体"/>
          <w:highlight w:val="none"/>
        </w:rPr>
        <w:t xml:space="preserve">23.1采购人将组织磋商小组对响应文件进行评审。磋商小组由采购人代表和有关技术、经济等方面的专家组成，且人员构成符合政府采购有关规定。</w:t>
      </w:r>
      <w:r/>
    </w:p>
    <w:p>
      <w:pPr>
        <w:pStyle w:val="821"/>
        <w:jc w:val="both"/>
        <w:spacing w:beforeAutospacing="0" w:afterAutospacing="0" w:line="440" w:lineRule="exact"/>
        <w:rPr>
          <w:rFonts w:hint="eastAsia" w:ascii="宋体" w:hAnsi="宋体" w:eastAsia="宋体" w:cs="宋体"/>
          <w:highlight w:val="none"/>
        </w:rPr>
      </w:pPr>
      <w:r>
        <w:rPr>
          <w:rFonts w:hint="eastAsia" w:ascii="宋体" w:hAnsi="宋体" w:eastAsia="宋体" w:cs="宋体"/>
          <w:b/>
          <w:highlight w:val="none"/>
        </w:rPr>
        <w:t xml:space="preserve">  </w:t>
      </w:r>
      <w:r>
        <w:rPr>
          <w:rFonts w:hint="eastAsia" w:ascii="宋体" w:hAnsi="宋体" w:eastAsia="宋体" w:cs="宋体"/>
          <w:highlight w:val="none"/>
        </w:rPr>
        <w:t xml:space="preserve">23.2磋商小组独立工作，负责评审所有响应文件并确定成交候选人。</w:t>
      </w:r>
      <w:r/>
    </w:p>
    <w:p>
      <w:pPr>
        <w:pStyle w:val="821"/>
        <w:ind w:firstLine="420"/>
        <w:jc w:val="both"/>
        <w:keepLines/>
        <w:keepNext/>
        <w:spacing w:beforeAutospacing="0" w:afterAutospacing="0" w:line="440" w:lineRule="exact"/>
        <w:rPr>
          <w:rFonts w:hint="eastAsia" w:ascii="宋体" w:hAnsi="宋体" w:eastAsia="宋体" w:cs="宋体"/>
          <w:highlight w:val="none"/>
        </w:rPr>
        <w:outlineLvl w:val="2"/>
      </w:pPr>
      <w:r>
        <w:rPr>
          <w:rFonts w:hint="eastAsia" w:ascii="宋体" w:hAnsi="宋体" w:eastAsia="宋体" w:cs="宋体"/>
          <w:highlight w:val="none"/>
        </w:rPr>
        <w:t xml:space="preserve">24、评审过程的保密与公正</w:t>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24.1磋商小组、采购人和采购人工作人员、相关监督人员等与评审工作有关的人员，对评审情况以及在评审过程中获悉的国家秘密、商业秘密负有保密责任。</w:t>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24.2在评审过程中，供应商不得以任何行为影响磋商评审过程，否则其响应文件将被视为无效响应文件。</w:t>
      </w:r>
      <w:r/>
    </w:p>
    <w:p>
      <w:pPr>
        <w:pStyle w:val="821"/>
        <w:ind w:firstLine="480"/>
        <w:jc w:val="both"/>
        <w:spacing w:beforeAutospacing="0" w:afterAutospacing="0" w:line="440" w:lineRule="exact"/>
        <w:rPr>
          <w:rFonts w:hint="eastAsia" w:ascii="宋体" w:hAnsi="宋体" w:eastAsia="宋体" w:cs="宋体"/>
          <w:highlight w:val="none"/>
        </w:rPr>
        <w:outlineLvl w:val="3"/>
      </w:pPr>
      <w:r>
        <w:rPr>
          <w:rFonts w:hint="eastAsia" w:ascii="宋体" w:hAnsi="宋体" w:eastAsia="宋体" w:cs="宋体"/>
          <w:highlight w:val="none"/>
        </w:rPr>
        <w:t xml:space="preserve">24.3在项目评审期间，采购人将设专门人员与供应商联系。</w:t>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24.4 采购人和磋商小组不向未成交的供应商解释未成交原因，也不公布评审过程中的相关细节。</w:t>
      </w:r>
      <w:r/>
    </w:p>
    <w:p>
      <w:pPr>
        <w:pStyle w:val="821"/>
        <w:ind w:firstLine="420"/>
        <w:jc w:val="both"/>
        <w:keepLines/>
        <w:keepNext/>
        <w:spacing w:beforeAutospacing="0" w:afterAutospacing="0" w:line="440" w:lineRule="exact"/>
        <w:rPr>
          <w:rFonts w:hint="eastAsia" w:ascii="宋体" w:hAnsi="宋体" w:eastAsia="宋体" w:cs="宋体"/>
          <w:highlight w:val="none"/>
        </w:rPr>
        <w:outlineLvl w:val="2"/>
      </w:pPr>
      <w:r/>
      <w:bookmarkStart w:id="135" w:name="_Toc513029232"/>
      <w:r/>
      <w:bookmarkStart w:id="136" w:name="_Toc20823304"/>
      <w:r/>
      <w:bookmarkStart w:id="137" w:name="_Toc16938548"/>
      <w:r>
        <w:rPr>
          <w:rFonts w:hint="eastAsia" w:ascii="宋体" w:hAnsi="宋体" w:eastAsia="宋体" w:cs="宋体"/>
          <w:highlight w:val="none"/>
        </w:rPr>
        <w:t xml:space="preserve">25、评审过程中的澄清</w:t>
      </w:r>
      <w:bookmarkEnd w:id="135"/>
      <w:r/>
      <w:bookmarkEnd w:id="136"/>
      <w:r/>
      <w:bookmarkEnd w:id="137"/>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磋商小组并非对每个供应商都作澄清要求。</w:t>
      </w:r>
      <w:r/>
    </w:p>
    <w:p>
      <w:pPr>
        <w:pStyle w:val="821"/>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821"/>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  25.3 接到磋商小组澄清、说明和更正要求的供应商如未按规定作出澄清、说明和 更正，其风险由供应商自行承担。</w:t>
      </w:r>
      <w:r/>
    </w:p>
    <w:p>
      <w:pPr>
        <w:pStyle w:val="821"/>
        <w:ind w:firstLine="420"/>
        <w:jc w:val="both"/>
        <w:keepLines/>
        <w:keepNext/>
        <w:spacing w:beforeAutospacing="0" w:afterAutospacing="0" w:line="440" w:lineRule="exact"/>
        <w:rPr>
          <w:rFonts w:hint="eastAsia" w:ascii="宋体" w:hAnsi="宋体" w:eastAsia="宋体" w:cs="宋体"/>
          <w:highlight w:val="none"/>
        </w:rPr>
        <w:outlineLvl w:val="2"/>
      </w:pPr>
      <w:r/>
      <w:bookmarkStart w:id="138" w:name="_Toc16938549"/>
      <w:r/>
      <w:bookmarkStart w:id="139" w:name="_Toc513029233"/>
      <w:r/>
      <w:bookmarkStart w:id="140" w:name="_Toc20823305"/>
      <w:r>
        <w:rPr>
          <w:rFonts w:hint="eastAsia" w:ascii="宋体" w:hAnsi="宋体" w:eastAsia="宋体" w:cs="宋体"/>
          <w:highlight w:val="none"/>
        </w:rPr>
        <w:t xml:space="preserve">26、对响应文件的审</w:t>
      </w:r>
      <w:bookmarkEnd w:id="138"/>
      <w:r/>
      <w:bookmarkEnd w:id="139"/>
      <w:r/>
      <w:bookmarkEnd w:id="140"/>
      <w:r>
        <w:rPr>
          <w:rFonts w:hint="eastAsia" w:ascii="宋体" w:hAnsi="宋体" w:eastAsia="宋体" w:cs="宋体"/>
          <w:highlight w:val="none"/>
        </w:rPr>
        <w:t xml:space="preserve">查</w:t>
      </w:r>
      <w:r/>
    </w:p>
    <w:p>
      <w:pPr>
        <w:pStyle w:val="821"/>
        <w:ind w:firstLine="480"/>
        <w:jc w:val="both"/>
        <w:spacing w:beforeAutospacing="0" w:afterAutospacing="0" w:line="440" w:lineRule="exact"/>
        <w:rPr>
          <w:rFonts w:hint="eastAsia" w:ascii="宋体" w:hAnsi="宋体" w:eastAsia="宋体" w:cs="宋体"/>
          <w:highlight w:val="none"/>
        </w:rPr>
        <w:outlineLvl w:val="3"/>
      </w:pPr>
      <w:r>
        <w:rPr>
          <w:rFonts w:hint="eastAsia" w:ascii="宋体" w:hAnsi="宋体" w:eastAsia="宋体" w:cs="宋体"/>
          <w:highlight w:val="none"/>
        </w:rPr>
        <w:t xml:space="preserve">26.1响应文件审查分为资格审查和符合性审查。</w:t>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26.1.1 资格审查：由磋商小组依据法律法规和磋商文件的规定，对响应文件中的资格证明文件进行审查，以确定供应商是否具备参加磋商的资格。</w:t>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磋商小组在进行资格审查的同时，将在“信用中国”网站（www.creditchina.gov.cn）查询供应商的信用记录，以确定供应商是否具备磋商资格,查询结果留存并归档。</w:t>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26.1.2符合性审查：依据磋商文件的规定，由磋商小组从响应文件的有效性、完整性和对磋商文件的响应程度进行审查，以确定是否对磋商文件的实质性要求作出响应。</w:t>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821"/>
        <w:ind w:firstLine="480"/>
        <w:jc w:val="both"/>
        <w:spacing w:beforeAutospacing="0" w:afterAutospacing="0" w:line="440" w:lineRule="exact"/>
        <w:rPr>
          <w:rFonts w:hint="eastAsia" w:ascii="宋体" w:hAnsi="宋体" w:eastAsia="宋体" w:cs="宋体"/>
          <w:highlight w:val="none"/>
        </w:rPr>
        <w:outlineLvl w:val="3"/>
      </w:pPr>
      <w:r>
        <w:rPr>
          <w:rFonts w:hint="eastAsia" w:ascii="宋体" w:hAnsi="宋体" w:eastAsia="宋体" w:cs="宋体"/>
          <w:highlight w:val="none"/>
        </w:rPr>
        <w:t xml:space="preserve">26.3未实质性响应磋商文件的情形</w:t>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26.3.1供应商在苏采云系统规定的时间内未成功解密电子响应文件的。</w:t>
      </w:r>
      <w:r/>
    </w:p>
    <w:p>
      <w:pPr>
        <w:pStyle w:val="821"/>
        <w:ind w:firstLine="480"/>
        <w:jc w:val="both"/>
        <w:spacing w:beforeAutospacing="0" w:afterAutospacing="0" w:line="440" w:lineRule="exact"/>
        <w:rPr>
          <w:rFonts w:hint="eastAsia" w:ascii="宋体" w:hAnsi="宋体" w:eastAsia="宋体" w:cs="宋体"/>
          <w:highlight w:val="none"/>
        </w:rPr>
        <w:outlineLvl w:val="4"/>
      </w:pPr>
      <w:r>
        <w:rPr>
          <w:rFonts w:hint="eastAsia" w:ascii="宋体" w:hAnsi="宋体" w:eastAsia="宋体" w:cs="宋体"/>
          <w:highlight w:val="none"/>
        </w:rPr>
        <w:t xml:space="preserve">26.3.2供应商未按照磋商文件要求上传电子响应文件的。</w:t>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26.3.3同一供应商提交两个（含两个）以上不同的响应文件或者最后报价的。</w:t>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26.3.4供应商不具备磋商文件中规定资格要求的。</w:t>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26.3.5供应商的最后报价超过了采购预算。</w:t>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26.3.6不符合磋商文件中规定的实质性要求和条件的</w:t>
      </w:r>
      <w:r>
        <w:rPr>
          <w:rFonts w:hint="eastAsia" w:ascii="宋体" w:hAnsi="宋体" w:eastAsia="宋体" w:cs="宋体"/>
          <w:i/>
          <w:highlight w:val="none"/>
          <w:u w:val="single"/>
        </w:rPr>
        <w:t xml:space="preserve">（本磋商文件中斜体且有下划线部分为实质性要求和条件）。</w:t>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821"/>
        <w:ind w:firstLine="480"/>
        <w:jc w:val="both"/>
        <w:spacing w:beforeAutospacing="0" w:afterAutospacing="0" w:line="440" w:lineRule="exact"/>
        <w:rPr>
          <w:rFonts w:hint="eastAsia" w:ascii="宋体" w:hAnsi="宋体" w:eastAsia="宋体" w:cs="宋体"/>
          <w:highlight w:val="none"/>
        </w:rPr>
        <w:outlineLvl w:val="4"/>
      </w:pPr>
      <w:r>
        <w:rPr>
          <w:rFonts w:hint="eastAsia" w:ascii="宋体" w:hAnsi="宋体" w:eastAsia="宋体" w:cs="宋体"/>
          <w:highlight w:val="none"/>
        </w:rPr>
        <w:t xml:space="preserve">26.3.8响应文件含有采购人不能接受的附加条件的。</w:t>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26.3.9本项目采购产品被财政部、国家发展改革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26.3.10供应商不能证明其报价合理性的，磋商小组应当将其作为无效响应处理。</w:t>
      </w:r>
      <w:r/>
    </w:p>
    <w:p>
      <w:pPr>
        <w:pStyle w:val="821"/>
        <w:ind w:firstLine="480"/>
        <w:jc w:val="both"/>
        <w:spacing w:beforeAutospacing="0" w:afterAutospacing="0" w:line="440" w:lineRule="exact"/>
        <w:rPr>
          <w:rFonts w:hint="eastAsia" w:ascii="宋体" w:hAnsi="宋体" w:eastAsia="宋体" w:cs="宋体"/>
          <w:highlight w:val="none"/>
        </w:rPr>
        <w:outlineLvl w:val="4"/>
      </w:pPr>
      <w:r>
        <w:rPr>
          <w:rFonts w:hint="eastAsia" w:ascii="宋体" w:hAnsi="宋体" w:eastAsia="宋体" w:cs="宋体"/>
          <w:highlight w:val="none"/>
        </w:rPr>
        <w:t xml:space="preserve">（1）评审过程中出现下列情形之一的，评标委员会应当启动异常低价响应审查程序：</w:t>
      </w:r>
      <w:r/>
    </w:p>
    <w:p>
      <w:pPr>
        <w:pStyle w:val="821"/>
        <w:ind w:firstLine="480"/>
        <w:jc w:val="both"/>
        <w:spacing w:beforeAutospacing="0" w:afterAutospacing="0" w:line="440" w:lineRule="exact"/>
        <w:rPr>
          <w:rFonts w:hint="eastAsia" w:ascii="宋体" w:hAnsi="宋体" w:eastAsia="宋体" w:cs="宋体"/>
          <w:highlight w:val="none"/>
        </w:rPr>
        <w:outlineLvl w:val="4"/>
      </w:pPr>
      <w:r>
        <w:rPr>
          <w:rFonts w:hint="eastAsia" w:ascii="宋体" w:hAnsi="宋体" w:eastAsia="宋体" w:cs="宋体"/>
          <w:highlight w:val="none"/>
        </w:rPr>
        <w:t xml:space="preserve">1.投标（响应）报价低于全部通过符合性审查供应商投标（响应）报价平均值50%的，即投标（响应）报价&lt;全部通过符合性审查供应商投标（响应）报价平均值×50%；</w:t>
      </w:r>
      <w:r/>
    </w:p>
    <w:p>
      <w:pPr>
        <w:pStyle w:val="821"/>
        <w:ind w:firstLine="480"/>
        <w:jc w:val="both"/>
        <w:spacing w:beforeAutospacing="0" w:afterAutospacing="0" w:line="440" w:lineRule="exact"/>
        <w:rPr>
          <w:rFonts w:hint="eastAsia" w:ascii="宋体" w:hAnsi="宋体" w:eastAsia="宋体" w:cs="宋体"/>
          <w:highlight w:val="none"/>
        </w:rPr>
        <w:outlineLvl w:val="4"/>
      </w:pPr>
      <w:r>
        <w:rPr>
          <w:rFonts w:hint="eastAsia" w:ascii="宋体" w:hAnsi="宋体" w:eastAsia="宋体" w:cs="宋体"/>
          <w:highlight w:val="none"/>
        </w:rPr>
        <w:t xml:space="preserve">2.投标（响应）报价低于通过符合性审查的次低报价供应商投标（响应）报价50%的，即投标（响应）报价&lt;通过符合性审查的次低报价供应商投标（响应）报价×50%；</w:t>
      </w:r>
      <w:r/>
    </w:p>
    <w:p>
      <w:pPr>
        <w:pStyle w:val="821"/>
        <w:ind w:firstLine="480"/>
        <w:jc w:val="both"/>
        <w:spacing w:beforeAutospacing="0" w:afterAutospacing="0" w:line="440" w:lineRule="exact"/>
        <w:rPr>
          <w:rFonts w:hint="eastAsia" w:ascii="宋体" w:hAnsi="宋体" w:eastAsia="宋体" w:cs="宋体"/>
          <w:highlight w:val="none"/>
        </w:rPr>
        <w:outlineLvl w:val="4"/>
      </w:pPr>
      <w:r>
        <w:rPr>
          <w:rFonts w:hint="eastAsia" w:ascii="宋体" w:hAnsi="宋体" w:eastAsia="宋体" w:cs="宋体"/>
          <w:highlight w:val="none"/>
        </w:rPr>
        <w:t xml:space="preserve">3.投标（响应）报价低于采购项目</w:t>
      </w:r>
      <w:r>
        <w:rPr>
          <w:rFonts w:hint="eastAsia" w:ascii="宋体" w:hAnsi="宋体" w:eastAsia="宋体" w:cs="宋体"/>
          <w:color w:val="ee0000"/>
          <w:highlight w:val="none"/>
        </w:rPr>
        <w:t xml:space="preserve">最高限价</w:t>
      </w:r>
      <w:r>
        <w:rPr>
          <w:rFonts w:hint="eastAsia" w:ascii="宋体" w:hAnsi="宋体" w:eastAsia="宋体" w:cs="宋体"/>
          <w:highlight w:val="none"/>
        </w:rPr>
        <w:t xml:space="preserve">45%的，即投标（响应）报价&lt;采购项目</w:t>
      </w:r>
      <w:r>
        <w:rPr>
          <w:rFonts w:hint="eastAsia" w:ascii="宋体" w:hAnsi="宋体" w:eastAsia="宋体" w:cs="宋体"/>
          <w:color w:val="ff0000"/>
          <w:highlight w:val="none"/>
        </w:rPr>
        <w:t xml:space="preserve">最高限价</w:t>
      </w:r>
      <w:r>
        <w:rPr>
          <w:rFonts w:hint="eastAsia" w:ascii="宋体" w:hAnsi="宋体" w:eastAsia="宋体" w:cs="宋体"/>
          <w:highlight w:val="none"/>
        </w:rPr>
        <w:t xml:space="preserve">×45%；</w:t>
      </w:r>
      <w:r/>
    </w:p>
    <w:p>
      <w:pPr>
        <w:pStyle w:val="821"/>
        <w:ind w:firstLine="480"/>
        <w:jc w:val="both"/>
        <w:spacing w:beforeAutospacing="0" w:afterAutospacing="0" w:line="440" w:lineRule="exact"/>
        <w:rPr>
          <w:rFonts w:hint="eastAsia" w:ascii="宋体" w:hAnsi="宋体" w:eastAsia="宋体" w:cs="宋体"/>
          <w:highlight w:val="none"/>
        </w:rPr>
        <w:outlineLvl w:val="4"/>
      </w:pPr>
      <w:r>
        <w:rPr>
          <w:rFonts w:hint="eastAsia" w:ascii="宋体" w:hAnsi="宋体" w:eastAsia="宋体" w:cs="宋体"/>
          <w:highlight w:val="none"/>
        </w:rPr>
        <w:t xml:space="preserve">4.评审委员会基于专业判断，认为供应商报价过低，有可能影响产品质量或者不能诚信履约的其他情形。</w:t>
      </w:r>
      <w:r/>
    </w:p>
    <w:p>
      <w:pPr>
        <w:pStyle w:val="821"/>
        <w:ind w:firstLine="480"/>
        <w:jc w:val="both"/>
        <w:spacing w:beforeAutospacing="0" w:afterAutospacing="0" w:line="440" w:lineRule="exact"/>
        <w:rPr>
          <w:rFonts w:hint="eastAsia" w:ascii="宋体" w:hAnsi="宋体" w:eastAsia="宋体" w:cs="宋体"/>
          <w:highlight w:val="none"/>
        </w:rPr>
        <w:outlineLvl w:val="4"/>
      </w:pPr>
      <w:r>
        <w:rPr>
          <w:rFonts w:hint="eastAsia" w:ascii="宋体" w:hAnsi="宋体" w:eastAsia="宋体" w:cs="宋体"/>
          <w:highlight w:val="none"/>
        </w:rPr>
        <w:t xml:space="preserve">相关法律法规对供应商报价有规定的，从其规定。</w:t>
      </w:r>
      <w:r/>
    </w:p>
    <w:p>
      <w:pPr>
        <w:pStyle w:val="821"/>
        <w:ind w:firstLine="480"/>
        <w:jc w:val="both"/>
        <w:spacing w:beforeAutospacing="0" w:afterAutospacing="0" w:line="440" w:lineRule="exact"/>
        <w:rPr>
          <w:rFonts w:hint="eastAsia" w:ascii="宋体" w:hAnsi="宋体" w:eastAsia="宋体" w:cs="宋体"/>
          <w:highlight w:val="none"/>
        </w:rPr>
        <w:outlineLvl w:val="4"/>
      </w:pPr>
      <w:r>
        <w:rPr>
          <w:rFonts w:hint="eastAsia" w:ascii="宋体" w:hAnsi="宋体" w:eastAsia="宋体" w:cs="宋体"/>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21"/>
        <w:ind w:firstLine="480"/>
        <w:jc w:val="both"/>
        <w:spacing w:beforeAutospacing="0" w:afterAutospacing="0" w:line="440" w:lineRule="exact"/>
        <w:rPr>
          <w:rFonts w:hint="eastAsia" w:ascii="宋体" w:hAnsi="宋体" w:eastAsia="宋体" w:cs="宋体"/>
          <w:highlight w:val="none"/>
        </w:rPr>
        <w:outlineLvl w:val="4"/>
      </w:pPr>
      <w:r>
        <w:rPr>
          <w:rFonts w:hint="eastAsia" w:ascii="宋体" w:hAnsi="宋体" w:eastAsia="宋体" w:cs="宋体"/>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21"/>
        <w:ind w:firstLine="480"/>
        <w:jc w:val="both"/>
        <w:spacing w:beforeAutospacing="0" w:afterAutospacing="0" w:line="440" w:lineRule="exact"/>
        <w:rPr>
          <w:rFonts w:hint="eastAsia" w:ascii="宋体" w:hAnsi="宋体" w:eastAsia="宋体" w:cs="宋体"/>
          <w:highlight w:val="none"/>
        </w:rPr>
        <w:outlineLvl w:val="4"/>
      </w:pPr>
      <w:r>
        <w:rPr>
          <w:rFonts w:hint="eastAsia" w:ascii="宋体" w:hAnsi="宋体" w:eastAsia="宋体" w:cs="宋体"/>
          <w:highlight w:val="none"/>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21"/>
        <w:ind w:firstLine="480"/>
        <w:jc w:val="both"/>
        <w:spacing w:beforeAutospacing="0" w:afterAutospacing="0" w:line="440" w:lineRule="exact"/>
        <w:rPr>
          <w:rFonts w:hint="eastAsia" w:ascii="宋体" w:hAnsi="宋体" w:eastAsia="宋体" w:cs="宋体"/>
          <w:highlight w:val="none"/>
        </w:rPr>
        <w:outlineLvl w:val="4"/>
      </w:pPr>
      <w:r>
        <w:rPr>
          <w:rFonts w:hint="eastAsia" w:ascii="宋体" w:hAnsi="宋体" w:eastAsia="宋体" w:cs="宋体"/>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21"/>
        <w:ind w:firstLine="480"/>
        <w:jc w:val="both"/>
        <w:spacing w:beforeAutospacing="0" w:afterAutospacing="0" w:line="440" w:lineRule="exact"/>
        <w:rPr>
          <w:rFonts w:hint="eastAsia" w:ascii="宋体" w:hAnsi="宋体" w:eastAsia="宋体" w:cs="宋体"/>
          <w:highlight w:val="none"/>
        </w:rPr>
        <w:outlineLvl w:val="4"/>
      </w:pPr>
      <w:r>
        <w:rPr>
          <w:rFonts w:hint="eastAsia" w:ascii="宋体" w:hAnsi="宋体" w:eastAsia="宋体" w:cs="宋体"/>
          <w:highlight w:val="none"/>
        </w:rPr>
        <w:t xml:space="preserve">26.3.11响应文件未按照磋商文件要求加盖CA电子公章的。</w:t>
      </w:r>
      <w:r/>
    </w:p>
    <w:p>
      <w:pPr>
        <w:pStyle w:val="821"/>
        <w:ind w:firstLine="480"/>
        <w:jc w:val="both"/>
        <w:spacing w:beforeAutospacing="0" w:afterAutospacing="0" w:line="440" w:lineRule="exact"/>
        <w:rPr>
          <w:rFonts w:hint="eastAsia" w:ascii="宋体" w:hAnsi="宋体" w:eastAsia="宋体" w:cs="宋体"/>
          <w:highlight w:val="none"/>
        </w:rPr>
        <w:outlineLvl w:val="3"/>
      </w:pPr>
      <w:r>
        <w:rPr>
          <w:rFonts w:hint="eastAsia" w:ascii="宋体" w:hAnsi="宋体" w:eastAsia="宋体" w:cs="宋体"/>
          <w:highlight w:val="none"/>
        </w:rPr>
        <w:t xml:space="preserve">26.4未实质性响应磋商文件的响应文件按无效响应处理。</w:t>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26.5如果响应文件实质上没有响应磋商文件的要求，磋商小组将予以拒绝，供应商不得通过修改或撤销不符合要求的偏离或保留而使其成为实质性响应的文件。</w:t>
      </w:r>
      <w:r/>
    </w:p>
    <w:p>
      <w:pPr>
        <w:pStyle w:val="821"/>
        <w:ind w:firstLine="480"/>
        <w:jc w:val="both"/>
        <w:spacing w:beforeAutospacing="0" w:afterAutospacing="0" w:line="440" w:lineRule="exact"/>
        <w:rPr>
          <w:rFonts w:hint="eastAsia" w:ascii="宋体" w:hAnsi="宋体" w:eastAsia="宋体" w:cs="宋体"/>
          <w:highlight w:val="none"/>
        </w:rPr>
      </w:pPr>
      <w:r/>
      <w:bookmarkStart w:id="141" w:name="_Toc513029234"/>
      <w:r/>
      <w:bookmarkStart w:id="142" w:name="_Toc16938550"/>
      <w:r/>
      <w:bookmarkStart w:id="143" w:name="_Toc20823306"/>
      <w:r>
        <w:rPr>
          <w:rFonts w:hint="eastAsia" w:ascii="宋体" w:hAnsi="宋体" w:eastAsia="宋体" w:cs="宋体"/>
          <w:highlight w:val="none"/>
        </w:rPr>
        <w:t xml:space="preserve">26.6供应商在项目评审全过程中应保持通信畅通，并安排专人与采购人及磋商小组联系。</w:t>
      </w:r>
      <w:bookmarkEnd w:id="141"/>
      <w:r/>
      <w:bookmarkEnd w:id="142"/>
      <w:r/>
      <w:bookmarkEnd w:id="143"/>
      <w:r/>
      <w:r/>
    </w:p>
    <w:p>
      <w:pPr>
        <w:pStyle w:val="821"/>
        <w:ind w:firstLine="420"/>
        <w:jc w:val="both"/>
        <w:keepLines/>
        <w:keepNext/>
        <w:spacing w:beforeAutospacing="0" w:afterAutospacing="0" w:line="440" w:lineRule="exact"/>
        <w:rPr>
          <w:rFonts w:hint="eastAsia" w:ascii="宋体" w:hAnsi="宋体" w:eastAsia="宋体" w:cs="宋体"/>
          <w:highlight w:val="none"/>
        </w:rPr>
        <w:outlineLvl w:val="2"/>
      </w:pPr>
      <w:r>
        <w:rPr>
          <w:rFonts w:hint="eastAsia" w:ascii="宋体" w:hAnsi="宋体" w:eastAsia="宋体" w:cs="宋体"/>
          <w:highlight w:val="none"/>
        </w:rPr>
        <w:t xml:space="preserve">27、磋商程序及评审方法和评审标准</w:t>
      </w:r>
      <w:r/>
    </w:p>
    <w:p>
      <w:pPr>
        <w:pStyle w:val="821"/>
        <w:ind w:firstLine="478"/>
        <w:jc w:val="both"/>
        <w:spacing w:beforeAutospacing="0" w:after="145" w:afterAutospacing="0" w:line="440" w:lineRule="exact"/>
        <w:tabs>
          <w:tab w:val="left" w:pos="901" w:leader="none"/>
        </w:tabs>
        <w:rPr>
          <w:rFonts w:hint="eastAsia" w:ascii="宋体" w:hAnsi="宋体" w:eastAsia="宋体" w:cs="宋体"/>
          <w:highlight w:val="none"/>
        </w:rPr>
        <w:outlineLvl w:val="3"/>
      </w:pPr>
      <w:r>
        <w:rPr>
          <w:rFonts w:hint="eastAsia" w:ascii="宋体" w:hAnsi="宋体" w:eastAsia="宋体" w:cs="宋体"/>
          <w:highlight w:val="none"/>
        </w:rPr>
        <w:t xml:space="preserve">27.1磋商程序</w:t>
      </w:r>
      <w:r/>
    </w:p>
    <w:p>
      <w:pPr>
        <w:pStyle w:val="821"/>
        <w:ind w:firstLine="478"/>
        <w:jc w:val="both"/>
        <w:spacing w:beforeAutospacing="0" w:after="145" w:afterAutospacing="0" w:line="440" w:lineRule="exact"/>
        <w:tabs>
          <w:tab w:val="left" w:pos="901" w:leader="none"/>
        </w:tabs>
        <w:rPr>
          <w:rFonts w:hint="eastAsia" w:ascii="宋体" w:hAnsi="宋体" w:eastAsia="宋体" w:cs="宋体"/>
          <w:highlight w:val="none"/>
        </w:rPr>
      </w:pPr>
      <w:r>
        <w:rPr>
          <w:rFonts w:hint="eastAsia" w:ascii="宋体" w:hAnsi="宋体" w:eastAsia="宋体" w:cs="宋体"/>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821"/>
        <w:ind w:firstLine="478"/>
        <w:jc w:val="both"/>
        <w:spacing w:beforeAutospacing="0" w:after="145" w:afterAutospacing="0" w:line="440" w:lineRule="exact"/>
        <w:tabs>
          <w:tab w:val="left" w:pos="901" w:leader="none"/>
        </w:tabs>
        <w:rPr>
          <w:rFonts w:hint="eastAsia" w:ascii="宋体" w:hAnsi="宋体" w:eastAsia="宋体" w:cs="宋体"/>
          <w:highlight w:val="none"/>
        </w:rPr>
      </w:pPr>
      <w:r>
        <w:rPr>
          <w:rFonts w:hint="eastAsia" w:ascii="宋体" w:hAnsi="宋体" w:eastAsia="宋体" w:cs="宋体"/>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821"/>
        <w:ind w:firstLine="478"/>
        <w:jc w:val="both"/>
        <w:spacing w:beforeAutospacing="0" w:after="145" w:afterAutospacing="0" w:line="440" w:lineRule="exact"/>
        <w:tabs>
          <w:tab w:val="left" w:pos="901" w:leader="none"/>
        </w:tabs>
        <w:rPr>
          <w:rFonts w:hint="eastAsia" w:ascii="宋体" w:hAnsi="宋体" w:eastAsia="宋体" w:cs="宋体"/>
          <w:highlight w:val="none"/>
        </w:rPr>
      </w:pPr>
      <w:r>
        <w:rPr>
          <w:rFonts w:hint="eastAsia" w:ascii="宋体" w:hAnsi="宋体" w:eastAsia="宋体" w:cs="宋体"/>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821"/>
        <w:ind w:firstLine="478"/>
        <w:jc w:val="both"/>
        <w:spacing w:beforeAutospacing="0" w:after="145" w:afterAutospacing="0" w:line="440" w:lineRule="exact"/>
        <w:tabs>
          <w:tab w:val="left" w:pos="901" w:leader="none"/>
        </w:tabs>
        <w:rPr>
          <w:rFonts w:hint="eastAsia" w:ascii="宋体" w:hAnsi="宋体" w:eastAsia="宋体" w:cs="宋体"/>
          <w:highlight w:val="none"/>
        </w:rPr>
      </w:pPr>
      <w:r>
        <w:rPr>
          <w:rFonts w:hint="eastAsia" w:ascii="宋体" w:hAnsi="宋体" w:eastAsia="宋体" w:cs="宋体"/>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821"/>
        <w:ind w:firstLine="480"/>
        <w:jc w:val="both"/>
        <w:spacing w:beforeAutospacing="0" w:after="145" w:afterAutospacing="0" w:line="440" w:lineRule="exact"/>
        <w:tabs>
          <w:tab w:val="left" w:pos="901" w:leader="none"/>
        </w:tabs>
        <w:rPr>
          <w:rFonts w:hint="eastAsia" w:ascii="宋体" w:hAnsi="宋体" w:eastAsia="宋体" w:cs="宋体"/>
          <w:highlight w:val="none"/>
        </w:rPr>
      </w:pPr>
      <w:r>
        <w:rPr>
          <w:rFonts w:hint="eastAsia" w:ascii="宋体" w:hAnsi="宋体" w:eastAsia="宋体" w:cs="宋体"/>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pStyle w:val="821"/>
        <w:ind w:firstLine="478"/>
        <w:jc w:val="both"/>
        <w:spacing w:beforeAutospacing="0" w:after="145" w:afterAutospacing="0" w:line="440" w:lineRule="exact"/>
        <w:tabs>
          <w:tab w:val="left" w:pos="901" w:leader="none"/>
        </w:tabs>
        <w:rPr>
          <w:rFonts w:hint="eastAsia" w:ascii="宋体" w:hAnsi="宋体" w:eastAsia="宋体" w:cs="宋体"/>
          <w:highlight w:val="none"/>
        </w:rPr>
      </w:pPr>
      <w:r>
        <w:rPr>
          <w:rFonts w:hint="eastAsia" w:ascii="宋体" w:hAnsi="宋体" w:eastAsia="宋体" w:cs="宋体"/>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821"/>
        <w:ind w:firstLine="478"/>
        <w:jc w:val="both"/>
        <w:spacing w:beforeAutospacing="0" w:after="145" w:afterAutospacing="0" w:line="440" w:lineRule="exact"/>
        <w:tabs>
          <w:tab w:val="left" w:pos="901" w:leader="none"/>
        </w:tabs>
        <w:rPr>
          <w:rFonts w:hint="eastAsia" w:ascii="宋体" w:hAnsi="宋体" w:eastAsia="宋体" w:cs="宋体"/>
          <w:highlight w:val="none"/>
        </w:rPr>
        <w:outlineLvl w:val="3"/>
      </w:pPr>
      <w:r>
        <w:rPr>
          <w:rFonts w:hint="eastAsia" w:ascii="宋体" w:hAnsi="宋体" w:eastAsia="宋体" w:cs="宋体"/>
          <w:highlight w:val="none"/>
        </w:rPr>
        <w:t xml:space="preserve">27.2 评审方法和评审标准</w:t>
      </w:r>
      <w:r/>
    </w:p>
    <w:p>
      <w:pPr>
        <w:pStyle w:val="821"/>
        <w:ind w:firstLine="478"/>
        <w:jc w:val="both"/>
        <w:spacing w:beforeAutospacing="0" w:after="145" w:afterAutospacing="0" w:line="440" w:lineRule="exact"/>
        <w:tabs>
          <w:tab w:val="left" w:pos="901" w:leader="none"/>
        </w:tabs>
        <w:rPr>
          <w:rFonts w:hint="eastAsia" w:ascii="宋体" w:hAnsi="宋体" w:eastAsia="宋体" w:cs="宋体"/>
          <w:highlight w:val="none"/>
        </w:rPr>
      </w:pPr>
      <w:r>
        <w:rPr>
          <w:rFonts w:hint="eastAsia" w:ascii="宋体" w:hAnsi="宋体" w:eastAsia="宋体" w:cs="宋体"/>
          <w:highlight w:val="none"/>
        </w:rPr>
        <w:t xml:space="preserve">27.2.1评审方法。经磋商确定最终采购需求和提交最后报价的供应商后，由磋商小组采用综合评分法对提交最后报价的供应商的响应文件和最后报价进行综合评分。</w:t>
      </w:r>
      <w:r/>
    </w:p>
    <w:p>
      <w:pPr>
        <w:pStyle w:val="821"/>
        <w:ind w:firstLine="478"/>
        <w:jc w:val="both"/>
        <w:spacing w:beforeAutospacing="0" w:after="145" w:afterAutospacing="0" w:line="440" w:lineRule="exact"/>
        <w:tabs>
          <w:tab w:val="left" w:pos="901" w:leader="none"/>
        </w:tabs>
        <w:rPr>
          <w:rFonts w:hint="eastAsia" w:ascii="宋体" w:hAnsi="宋体" w:eastAsia="宋体" w:cs="宋体"/>
          <w:highlight w:val="none"/>
        </w:rPr>
      </w:pPr>
      <w:r>
        <w:rPr>
          <w:rFonts w:hint="eastAsia" w:ascii="宋体" w:hAnsi="宋体" w:eastAsia="宋体" w:cs="宋体"/>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821"/>
        <w:ind w:firstLine="478"/>
        <w:jc w:val="both"/>
        <w:spacing w:beforeAutospacing="0" w:after="145" w:afterAutospacing="0" w:line="440" w:lineRule="exact"/>
        <w:tabs>
          <w:tab w:val="left" w:pos="901" w:leader="none"/>
        </w:tabs>
        <w:rPr>
          <w:rFonts w:hint="eastAsia" w:ascii="宋体" w:hAnsi="宋体" w:eastAsia="宋体" w:cs="宋体"/>
          <w:highlight w:val="none"/>
        </w:rPr>
        <w:outlineLvl w:val="4"/>
      </w:pPr>
      <w:r>
        <w:rPr>
          <w:rFonts w:hint="eastAsia" w:ascii="宋体" w:hAnsi="宋体" w:eastAsia="宋体" w:cs="宋体"/>
          <w:highlight w:val="none"/>
        </w:rPr>
        <w:t xml:space="preserve">27.2.2评审标准</w:t>
      </w:r>
      <w:r/>
    </w:p>
    <w:p>
      <w:pPr>
        <w:pStyle w:val="821"/>
        <w:ind w:firstLine="478"/>
        <w:jc w:val="both"/>
        <w:spacing w:beforeAutospacing="0" w:after="145" w:afterAutospacing="0" w:line="440" w:lineRule="exact"/>
        <w:tabs>
          <w:tab w:val="left" w:pos="901" w:leader="none"/>
        </w:tabs>
        <w:rPr>
          <w:rFonts w:hint="eastAsia" w:ascii="宋体" w:hAnsi="宋体" w:eastAsia="宋体" w:cs="宋体"/>
          <w:highlight w:val="none"/>
        </w:rPr>
      </w:pPr>
      <w:r>
        <w:rPr>
          <w:rFonts w:hint="eastAsia" w:ascii="宋体" w:hAnsi="宋体" w:eastAsia="宋体" w:cs="宋体"/>
          <w:highlight w:val="none"/>
        </w:rPr>
        <w:t xml:space="preserve">见本磋商文件第五章规定。</w:t>
      </w:r>
      <w:r/>
    </w:p>
    <w:p>
      <w:pPr>
        <w:pStyle w:val="821"/>
        <w:ind w:firstLine="478"/>
        <w:jc w:val="both"/>
        <w:spacing w:beforeAutospacing="0" w:after="145" w:afterAutospacing="0" w:line="440" w:lineRule="exact"/>
        <w:tabs>
          <w:tab w:val="left" w:pos="901" w:leader="none"/>
        </w:tabs>
        <w:rPr>
          <w:rFonts w:hint="eastAsia" w:ascii="宋体" w:hAnsi="宋体" w:eastAsia="宋体" w:cs="宋体"/>
          <w:highlight w:val="none"/>
        </w:rPr>
        <w:outlineLvl w:val="3"/>
      </w:pPr>
      <w:r>
        <w:rPr>
          <w:rFonts w:hint="eastAsia" w:ascii="宋体" w:hAnsi="宋体" w:eastAsia="宋体" w:cs="宋体"/>
          <w:highlight w:val="none"/>
        </w:rPr>
        <w:t xml:space="preserve">27.3采购活动终止的情况</w:t>
      </w:r>
      <w:r/>
    </w:p>
    <w:p>
      <w:pPr>
        <w:pStyle w:val="821"/>
        <w:ind w:firstLine="360"/>
        <w:jc w:val="both"/>
        <w:spacing w:beforeAutospacing="0" w:after="145" w:afterAutospacing="0" w:line="440" w:lineRule="exact"/>
        <w:tabs>
          <w:tab w:val="left" w:pos="901" w:leader="none"/>
        </w:tabs>
        <w:rPr>
          <w:rFonts w:hint="eastAsia" w:ascii="宋体" w:hAnsi="宋体" w:eastAsia="宋体" w:cs="宋体"/>
          <w:highlight w:val="none"/>
        </w:rPr>
      </w:pPr>
      <w:r>
        <w:rPr>
          <w:rFonts w:hint="eastAsia" w:ascii="宋体" w:hAnsi="宋体" w:eastAsia="宋体" w:cs="宋体"/>
          <w:highlight w:val="none"/>
        </w:rPr>
        <w:t xml:space="preserve">出现下列情形之一的，本次竞争性磋商采购活动将被终止：</w:t>
      </w:r>
      <w:r/>
    </w:p>
    <w:p>
      <w:pPr>
        <w:pStyle w:val="821"/>
        <w:ind w:firstLine="360"/>
        <w:jc w:val="both"/>
        <w:spacing w:beforeAutospacing="0" w:after="145" w:afterAutospacing="0" w:line="440" w:lineRule="exact"/>
        <w:tabs>
          <w:tab w:val="left" w:pos="901" w:leader="none"/>
        </w:tabs>
        <w:rPr>
          <w:rFonts w:hint="eastAsia" w:ascii="宋体" w:hAnsi="宋体" w:eastAsia="宋体" w:cs="宋体"/>
          <w:highlight w:val="none"/>
        </w:rPr>
      </w:pPr>
      <w:r>
        <w:rPr>
          <w:rFonts w:hint="eastAsia" w:ascii="宋体" w:hAnsi="宋体" w:eastAsia="宋体" w:cs="宋体"/>
          <w:highlight w:val="none"/>
        </w:rPr>
        <w:t xml:space="preserve">27.3.1因情况变化，不再符合规定的竞争性磋商采购方式适用情形的。</w:t>
      </w:r>
      <w:r/>
    </w:p>
    <w:p>
      <w:pPr>
        <w:pStyle w:val="821"/>
        <w:ind w:firstLine="360"/>
        <w:jc w:val="both"/>
        <w:spacing w:beforeAutospacing="0" w:after="145" w:afterAutospacing="0" w:line="440" w:lineRule="exact"/>
        <w:tabs>
          <w:tab w:val="left" w:pos="901" w:leader="none"/>
        </w:tabs>
        <w:rPr>
          <w:rFonts w:hint="eastAsia" w:ascii="宋体" w:hAnsi="宋体" w:eastAsia="宋体" w:cs="宋体"/>
          <w:highlight w:val="none"/>
        </w:rPr>
        <w:outlineLvl w:val="4"/>
      </w:pPr>
      <w:r>
        <w:rPr>
          <w:rFonts w:hint="eastAsia" w:ascii="宋体" w:hAnsi="宋体" w:eastAsia="宋体" w:cs="宋体"/>
          <w:highlight w:val="none"/>
        </w:rPr>
        <w:t xml:space="preserve">27.3.2出现影响采购公正的违法、违规行为的。</w:t>
      </w:r>
      <w:r/>
    </w:p>
    <w:p>
      <w:pPr>
        <w:pStyle w:val="821"/>
        <w:ind w:firstLine="360"/>
        <w:jc w:val="both"/>
        <w:spacing w:beforeAutospacing="0" w:after="145" w:afterAutospacing="0" w:line="440" w:lineRule="exact"/>
        <w:tabs>
          <w:tab w:val="left" w:pos="901" w:leader="none"/>
        </w:tabs>
        <w:rPr>
          <w:rFonts w:hint="eastAsia" w:ascii="宋体" w:hAnsi="宋体" w:eastAsia="宋体" w:cs="宋体"/>
          <w:highlight w:val="none"/>
        </w:rPr>
      </w:pPr>
      <w:r>
        <w:rPr>
          <w:rFonts w:hint="eastAsia" w:ascii="宋体" w:hAnsi="宋体" w:eastAsia="宋体" w:cs="宋体"/>
          <w:highlight w:val="none"/>
        </w:rPr>
        <w:t xml:space="preserve">27.3.3除本磋商文件第二章第27.1.2条第三款规定的情形外，在磋商过程中符合要求的供应商或者最后报价未超过采购预算的供应商不足3家的。</w:t>
      </w:r>
      <w:r/>
    </w:p>
    <w:p>
      <w:pPr>
        <w:pStyle w:val="821"/>
        <w:ind w:firstLine="360"/>
        <w:jc w:val="both"/>
        <w:spacing w:beforeAutospacing="0" w:after="145" w:afterAutospacing="0" w:line="440" w:lineRule="exact"/>
        <w:tabs>
          <w:tab w:val="left" w:pos="901" w:leader="none"/>
        </w:tabs>
        <w:rPr>
          <w:rFonts w:hint="eastAsia" w:ascii="宋体" w:hAnsi="宋体" w:eastAsia="宋体" w:cs="宋体"/>
          <w:highlight w:val="none"/>
        </w:rPr>
      </w:pPr>
      <w:r>
        <w:rPr>
          <w:rFonts w:hint="eastAsia" w:ascii="宋体" w:hAnsi="宋体" w:eastAsia="宋体" w:cs="宋体"/>
          <w:highlight w:val="none"/>
        </w:rPr>
        <w:t xml:space="preserve">27.3.4在苏采云系统规定时间内成功解密电子响应文件的供应商不足3家的。</w:t>
      </w:r>
      <w:r/>
    </w:p>
    <w:p>
      <w:pPr>
        <w:pStyle w:val="821"/>
        <w:ind w:firstLine="499"/>
        <w:jc w:val="both"/>
        <w:keepLines/>
        <w:keepNext/>
        <w:spacing w:before="120" w:beforeAutospacing="0" w:after="120" w:afterAutospacing="0" w:line="440" w:lineRule="exact"/>
        <w:rPr>
          <w:rFonts w:hint="eastAsia" w:ascii="宋体" w:hAnsi="宋体" w:eastAsia="宋体" w:cs="宋体"/>
          <w:b/>
          <w:highlight w:val="none"/>
        </w:rPr>
        <w:outlineLvl w:val="1"/>
      </w:pPr>
      <w:r/>
      <w:bookmarkStart w:id="144" w:name="_Toc120614219"/>
      <w:r/>
      <w:bookmarkStart w:id="145" w:name="_Toc513029235"/>
      <w:r/>
      <w:bookmarkStart w:id="146" w:name="_Toc20823307"/>
      <w:r/>
      <w:bookmarkStart w:id="147" w:name="_Toc16938551"/>
      <w:r>
        <w:rPr>
          <w:rFonts w:hint="eastAsia" w:ascii="宋体" w:hAnsi="宋体" w:eastAsia="宋体" w:cs="宋体"/>
          <w:b/>
          <w:highlight w:val="none"/>
        </w:rPr>
        <w:t xml:space="preserve">六、</w:t>
      </w:r>
      <w:bookmarkEnd w:id="144"/>
      <w:r/>
      <w:bookmarkEnd w:id="145"/>
      <w:r/>
      <w:bookmarkEnd w:id="146"/>
      <w:r/>
      <w:bookmarkEnd w:id="147"/>
      <w:r>
        <w:rPr>
          <w:rFonts w:hint="eastAsia" w:ascii="宋体" w:hAnsi="宋体" w:eastAsia="宋体" w:cs="宋体"/>
          <w:b/>
          <w:highlight w:val="none"/>
        </w:rPr>
        <w:t xml:space="preserve">成交</w:t>
      </w:r>
      <w:r/>
    </w:p>
    <w:p>
      <w:pPr>
        <w:pStyle w:val="821"/>
        <w:ind w:firstLine="600"/>
        <w:jc w:val="both"/>
        <w:keepLines/>
        <w:keepNext/>
        <w:spacing w:beforeAutospacing="0" w:afterAutospacing="0" w:line="440" w:lineRule="exact"/>
        <w:rPr>
          <w:rFonts w:hint="eastAsia" w:ascii="宋体" w:hAnsi="宋体" w:eastAsia="宋体" w:cs="宋体"/>
          <w:highlight w:val="none"/>
        </w:rPr>
        <w:outlineLvl w:val="2"/>
      </w:pPr>
      <w:r/>
      <w:bookmarkStart w:id="148" w:name="_Toc20823310"/>
      <w:r/>
      <w:bookmarkStart w:id="149" w:name="_Toc513029238"/>
      <w:r/>
      <w:bookmarkStart w:id="150" w:name="_Toc16938554"/>
      <w:r>
        <w:rPr>
          <w:rFonts w:hint="eastAsia" w:ascii="宋体" w:hAnsi="宋体" w:eastAsia="宋体" w:cs="宋体"/>
          <w:highlight w:val="none"/>
        </w:rPr>
        <w:t xml:space="preserve">28、</w:t>
      </w:r>
      <w:bookmarkEnd w:id="148"/>
      <w:r>
        <w:rPr>
          <w:rFonts w:hint="eastAsia" w:ascii="宋体" w:hAnsi="宋体" w:eastAsia="宋体" w:cs="宋体"/>
          <w:highlight w:val="none"/>
        </w:rPr>
        <w:t xml:space="preserve">确定</w:t>
      </w:r>
      <w:bookmarkEnd w:id="149"/>
      <w:r/>
      <w:bookmarkEnd w:id="150"/>
      <w:r>
        <w:rPr>
          <w:rFonts w:hint="eastAsia" w:ascii="宋体" w:hAnsi="宋体" w:eastAsia="宋体" w:cs="宋体"/>
          <w:highlight w:val="none"/>
        </w:rPr>
        <w:t xml:space="preserve">成交单位</w:t>
      </w:r>
      <w:r/>
    </w:p>
    <w:p>
      <w:pPr>
        <w:pStyle w:val="821"/>
        <w:ind w:firstLine="478"/>
        <w:jc w:val="both"/>
        <w:spacing w:beforeAutospacing="0" w:after="145" w:afterAutospacing="0" w:line="440" w:lineRule="exact"/>
        <w:tabs>
          <w:tab w:val="left" w:pos="901" w:leader="none"/>
        </w:tabs>
        <w:rPr>
          <w:rFonts w:hint="eastAsia" w:ascii="宋体" w:hAnsi="宋体" w:eastAsia="宋体" w:cs="宋体"/>
          <w:highlight w:val="none"/>
        </w:rPr>
      </w:pPr>
      <w:r>
        <w:rPr>
          <w:rFonts w:hint="eastAsia" w:ascii="宋体" w:hAnsi="宋体" w:eastAsia="宋体" w:cs="宋体"/>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28.2采购人从评审报告提出的成交候选供应商中，按照排序由高到低的原则确定成交供应商。采购人确定成交供应商后，采购人将在“中国政府采购网”、“江苏政府采购网”“盐城市政府采购网”发布成交结果公告，公告期限为1个工作日。</w:t>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28.3若有充分证据证明，成交供应商出现下列情况之一的，一经查实，将被取消成交资格：</w:t>
      </w:r>
      <w:r/>
    </w:p>
    <w:p>
      <w:pPr>
        <w:pStyle w:val="821"/>
        <w:ind w:firstLine="480"/>
        <w:jc w:val="both"/>
        <w:spacing w:beforeAutospacing="0" w:afterAutospacing="0" w:line="440" w:lineRule="exact"/>
        <w:rPr>
          <w:rFonts w:hint="eastAsia" w:ascii="宋体" w:hAnsi="宋体" w:eastAsia="宋体" w:cs="宋体"/>
          <w:highlight w:val="none"/>
        </w:rPr>
        <w:outlineLvl w:val="3"/>
      </w:pPr>
      <w:r>
        <w:rPr>
          <w:rFonts w:hint="eastAsia" w:ascii="宋体" w:hAnsi="宋体" w:eastAsia="宋体" w:cs="宋体"/>
          <w:highlight w:val="none"/>
        </w:rPr>
        <w:t xml:space="preserve">28.3.1提供虚假材料谋取成交的。</w:t>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28.3.2与评审专家、采购人、其他供应商或者采购人工作人员恶意串通的。</w:t>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28.3.3向评审专家、采购人或采购人工作人员行贿或者提供其他不正当利益的。</w:t>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28.3.4恶意竞争，最后报价明显低于其自身合理成本且又无法提供证明的。</w:t>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28.3.5不满足本磋商文件规定的实质性要求，但在评审过程中又未被磋商小组发现的。</w:t>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28.3.6成交后无正当理由拒不与采购人签订政府采购合同或者未按照磋商文件确定的事项签订政府采购合同的。</w:t>
      </w:r>
      <w:r/>
    </w:p>
    <w:p>
      <w:pPr>
        <w:pStyle w:val="821"/>
        <w:ind w:firstLine="480"/>
        <w:jc w:val="both"/>
        <w:spacing w:beforeAutospacing="0" w:afterAutospacing="0" w:line="440" w:lineRule="exact"/>
        <w:rPr>
          <w:rFonts w:hint="eastAsia" w:ascii="宋体" w:hAnsi="宋体" w:eastAsia="宋体" w:cs="宋体"/>
          <w:highlight w:val="none"/>
        </w:rPr>
        <w:outlineLvl w:val="3"/>
      </w:pPr>
      <w:r>
        <w:rPr>
          <w:rFonts w:hint="eastAsia" w:ascii="宋体" w:hAnsi="宋体" w:eastAsia="宋体" w:cs="宋体"/>
          <w:highlight w:val="none"/>
        </w:rPr>
        <w:t xml:space="preserve">28.3.7将政府采购合同转包的。</w:t>
      </w:r>
      <w:r/>
    </w:p>
    <w:p>
      <w:pPr>
        <w:pStyle w:val="821"/>
        <w:ind w:firstLine="600"/>
        <w:jc w:val="both"/>
        <w:keepLines/>
        <w:keepNext/>
        <w:spacing w:beforeAutospacing="0" w:afterAutospacing="0" w:line="440" w:lineRule="exact"/>
        <w:rPr>
          <w:rFonts w:hint="eastAsia" w:ascii="宋体" w:hAnsi="宋体" w:eastAsia="宋体" w:cs="宋体"/>
          <w:highlight w:val="none"/>
        </w:rPr>
        <w:outlineLvl w:val="2"/>
      </w:pPr>
      <w:r/>
      <w:bookmarkStart w:id="151" w:name="_Toc200451960"/>
      <w:r>
        <w:rPr>
          <w:rFonts w:hint="eastAsia" w:ascii="宋体" w:hAnsi="宋体" w:eastAsia="宋体" w:cs="宋体"/>
          <w:highlight w:val="none"/>
        </w:rPr>
        <w:t xml:space="preserve">29、质疑处理</w:t>
      </w:r>
      <w:bookmarkEnd w:id="151"/>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29.1 提出质疑的供应商应当是参与所质疑项目采购活动的供应商。潜在供应商依法获取其可质疑的磋商文件的，可以对磋商文件提出质疑。</w:t>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29.2供应商认为磋商文件、磋商过程和磋商结果使自己的权益受到损害的，可以在知道或应知其权益受到损害之日起七个工作日内，以书面形式根据下述29.4条款的规定向采购人或采购人提出质疑。上述应知其权益受到损害之日，是指：</w:t>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29.2.1对可以质疑的磋商文件提出质疑的，为收到磋商文件之日或者磋商文件公告期限届满之日。</w:t>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 29.2.2对磋商过程提出质疑的，为各采购程序环节结束之日。</w:t>
      </w:r>
      <w:r/>
    </w:p>
    <w:p>
      <w:pPr>
        <w:pStyle w:val="821"/>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   29.2.3对成交结果提出质疑的，为成交结果公告期限届满之日。</w:t>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29.4 供应商（含潜在供应商）对采购方式、采购需求、供应商资格条件、评审方法与评审标准、合同文本的询问、质疑请向采购人提出，由采购人负责答复。供应商对其他事项的询问、质疑请向代理公司提出，由代理公司负责答复。</w:t>
      </w:r>
      <w:r/>
    </w:p>
    <w:p>
      <w:pPr>
        <w:pStyle w:val="821"/>
        <w:ind w:firstLine="480"/>
        <w:jc w:val="both"/>
        <w:spacing w:beforeAutospacing="0" w:afterAutospacing="0" w:line="440" w:lineRule="exact"/>
        <w:rPr>
          <w:rFonts w:hint="eastAsia" w:ascii="宋体" w:hAnsi="宋体" w:eastAsia="宋体" w:cs="宋体"/>
          <w:b/>
          <w:bCs/>
          <w:highlight w:val="none"/>
        </w:rPr>
      </w:pPr>
      <w:r>
        <w:rPr>
          <w:rFonts w:hint="eastAsia" w:ascii="宋体" w:hAnsi="宋体" w:cs="宋体"/>
          <w:highlight w:val="none"/>
        </w:rPr>
        <w:t xml:space="preserve">采购人及代理公司只接收以纸质原件形式送达的质疑,采购人和代理公司不接受未填写快递运单的快件。质疑接收部门为</w:t>
      </w:r>
      <w:r>
        <w:rPr>
          <w:rFonts w:hint="eastAsia" w:ascii="宋体" w:hAnsi="宋体" w:cs="宋体"/>
          <w:highlight w:val="none"/>
          <w:lang w:eastAsia="zh-CN"/>
        </w:rPr>
        <w:t xml:space="preserve">江苏瑞杰项目管理顾问有限公司</w:t>
      </w:r>
      <w:r>
        <w:rPr>
          <w:rFonts w:hint="eastAsia" w:ascii="宋体" w:hAnsi="宋体" w:cs="宋体"/>
          <w:highlight w:val="none"/>
        </w:rPr>
        <w:t xml:space="preserve">，联系地址：</w:t>
      </w:r>
      <w:r>
        <w:rPr>
          <w:rFonts w:hint="eastAsia" w:ascii="宋体" w:hAnsi="宋体" w:cs="宋体"/>
          <w:highlight w:val="none"/>
          <w:lang w:eastAsia="zh-CN"/>
        </w:rPr>
        <w:t xml:space="preserve">盐城市盐都区盐渎路787号恩源电子商务园3#楼805、806室</w:t>
      </w:r>
      <w:r>
        <w:rPr>
          <w:rFonts w:hint="eastAsia" w:ascii="宋体" w:hAnsi="宋体" w:cs="宋体"/>
          <w:highlight w:val="none"/>
        </w:rPr>
        <w:t xml:space="preserve">，联系电话：</w:t>
      </w:r>
      <w:r>
        <w:rPr>
          <w:rFonts w:hint="eastAsia" w:ascii="宋体" w:hAnsi="宋体" w:cs="宋体"/>
          <w:highlight w:val="none"/>
          <w:lang w:eastAsia="zh-CN"/>
        </w:rPr>
        <w:t xml:space="preserve">17751564941</w:t>
      </w:r>
      <w:r>
        <w:rPr>
          <w:rFonts w:hint="eastAsia" w:ascii="宋体" w:hAnsi="宋体" w:cs="宋体"/>
          <w:highlight w:val="none"/>
        </w:rPr>
        <w:t xml:space="preserve">。</w:t>
      </w:r>
      <w:r/>
    </w:p>
    <w:p>
      <w:pPr>
        <w:pStyle w:val="821"/>
        <w:ind w:firstLine="480"/>
        <w:jc w:val="both"/>
        <w:spacing w:beforeAutospacing="0" w:afterAutospacing="0" w:line="440" w:lineRule="exact"/>
        <w:rPr>
          <w:rFonts w:hint="eastAsia" w:ascii="宋体" w:hAnsi="宋体" w:eastAsia="宋体" w:cs="宋体"/>
          <w:highlight w:val="none"/>
        </w:rPr>
        <w:outlineLvl w:val="3"/>
      </w:pPr>
      <w:r>
        <w:rPr>
          <w:rFonts w:hint="eastAsia" w:ascii="宋体" w:hAnsi="宋体" w:eastAsia="宋体" w:cs="宋体"/>
          <w:highlight w:val="none"/>
        </w:rPr>
        <w:t xml:space="preserve">29.5 以下情形的质疑不予受理</w:t>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29.5.1 内容不符合《政府采购质疑和投诉办法》第十二条规定的质疑。</w:t>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29.5.2 超出政府采购法定期限的质疑。</w:t>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29.5.3 以传真、电子邮件等方式递交的非原件形式的质疑。</w:t>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29.5.4 未参加磋商活动的供应商或在磋商活动中自身权益未受到损害的供应商所提出的质疑。</w:t>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29.5.5供应商组成联合体参加磋商，联合体中任何一方或多方未按要求签字、盖章、加盖公章的质疑。</w:t>
      </w:r>
      <w:r/>
    </w:p>
    <w:p>
      <w:pPr>
        <w:pStyle w:val="821"/>
        <w:ind w:firstLine="468"/>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821"/>
        <w:ind w:firstLine="600"/>
        <w:jc w:val="both"/>
        <w:keepLines/>
        <w:keepNext/>
        <w:spacing w:beforeAutospacing="0" w:afterAutospacing="0" w:line="440" w:lineRule="exact"/>
        <w:rPr>
          <w:rFonts w:hint="eastAsia" w:ascii="宋体" w:hAnsi="宋体" w:eastAsia="宋体" w:cs="宋体"/>
          <w:highlight w:val="none"/>
        </w:rPr>
        <w:outlineLvl w:val="2"/>
      </w:pPr>
      <w:r>
        <w:rPr>
          <w:rFonts w:hint="eastAsia" w:ascii="宋体" w:hAnsi="宋体" w:eastAsia="宋体" w:cs="宋体"/>
          <w:highlight w:val="none"/>
        </w:rPr>
        <w:t xml:space="preserve">30、成交通知书</w:t>
      </w:r>
      <w:r/>
    </w:p>
    <w:p>
      <w:pPr>
        <w:pStyle w:val="821"/>
        <w:ind w:firstLine="60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30.1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821"/>
        <w:ind w:firstLine="60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821"/>
        <w:ind w:firstLine="499"/>
        <w:jc w:val="both"/>
        <w:keepLines/>
        <w:keepNext/>
        <w:spacing w:before="120" w:beforeAutospacing="0" w:after="120" w:afterAutospacing="0" w:line="440" w:lineRule="exact"/>
        <w:rPr>
          <w:rFonts w:hint="eastAsia" w:ascii="宋体" w:hAnsi="宋体" w:eastAsia="宋体" w:cs="宋体"/>
          <w:b/>
          <w:highlight w:val="none"/>
        </w:rPr>
        <w:outlineLvl w:val="1"/>
      </w:pPr>
      <w:r/>
      <w:bookmarkStart w:id="152" w:name="_Toc16938552"/>
      <w:r/>
      <w:bookmarkStart w:id="153" w:name="_Toc20823308"/>
      <w:r/>
      <w:bookmarkStart w:id="154" w:name="_Toc513029236"/>
      <w:r/>
      <w:bookmarkStart w:id="155" w:name="_Toc120614220"/>
      <w:r>
        <w:rPr>
          <w:rFonts w:hint="eastAsia" w:ascii="宋体" w:hAnsi="宋体" w:eastAsia="宋体" w:cs="宋体"/>
          <w:b/>
          <w:highlight w:val="none"/>
        </w:rPr>
        <w:t xml:space="preserve">七、授予合同</w:t>
      </w:r>
      <w:bookmarkEnd w:id="152"/>
      <w:r/>
      <w:bookmarkEnd w:id="153"/>
      <w:r/>
      <w:bookmarkEnd w:id="154"/>
      <w:r/>
      <w:bookmarkEnd w:id="155"/>
      <w:r/>
      <w:r/>
    </w:p>
    <w:p>
      <w:pPr>
        <w:pStyle w:val="821"/>
        <w:ind w:firstLine="600"/>
        <w:jc w:val="both"/>
        <w:keepLines/>
        <w:keepNext/>
        <w:spacing w:beforeAutospacing="0" w:afterAutospacing="0" w:line="440" w:lineRule="exact"/>
        <w:rPr>
          <w:rFonts w:hint="eastAsia" w:ascii="宋体" w:hAnsi="宋体" w:eastAsia="宋体" w:cs="宋体"/>
          <w:highlight w:val="none"/>
        </w:rPr>
        <w:outlineLvl w:val="2"/>
      </w:pPr>
      <w:r/>
      <w:bookmarkStart w:id="156" w:name="_Toc513029237"/>
      <w:r/>
      <w:bookmarkStart w:id="157" w:name="_Toc16938553"/>
      <w:r/>
      <w:bookmarkStart w:id="158" w:name="_Toc20823309"/>
      <w:r>
        <w:rPr>
          <w:rFonts w:hint="eastAsia" w:ascii="宋体" w:hAnsi="宋体" w:eastAsia="宋体" w:cs="宋体"/>
          <w:highlight w:val="none"/>
        </w:rPr>
        <w:t xml:space="preserve">31.签订合同</w:t>
      </w:r>
      <w:bookmarkEnd w:id="156"/>
      <w:r/>
      <w:bookmarkEnd w:id="157"/>
      <w:r/>
      <w:bookmarkEnd w:id="158"/>
      <w:r/>
      <w:r/>
    </w:p>
    <w:p>
      <w:pPr>
        <w:pStyle w:val="821"/>
        <w:ind w:firstLine="60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31.l成交供应商应当在成交通知书发出之日起三十日内，按照磋商文件确定的事项与采购人签订政府采购合同。</w:t>
      </w:r>
      <w:r/>
    </w:p>
    <w:p>
      <w:pPr>
        <w:pStyle w:val="821"/>
        <w:ind w:firstLine="60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31.2磋商文件、成交供应商的响应文件及磋商过程中有关澄清、承诺文件均应作为合同附件。</w:t>
      </w:r>
      <w:r/>
    </w:p>
    <w:p>
      <w:pPr>
        <w:pStyle w:val="821"/>
        <w:ind w:firstLine="60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31.3 签订合同后，</w:t>
      </w:r>
      <w:r>
        <w:rPr>
          <w:rFonts w:hint="eastAsia" w:ascii="宋体" w:hAnsi="宋体" w:eastAsia="宋体" w:cs="宋体"/>
          <w:i/>
          <w:highlight w:val="none"/>
          <w:u w:val="single"/>
        </w:rPr>
        <w:t xml:space="preserve">成交供应商不得将合同标的进行转包</w:t>
      </w:r>
      <w:r>
        <w:rPr>
          <w:rFonts w:hint="eastAsia" w:ascii="宋体" w:hAnsi="宋体" w:eastAsia="宋体" w:cs="宋体"/>
          <w:highlight w:val="none"/>
        </w:rPr>
        <w:t xml:space="preserve">。未经采购人同意，成交供应商也不得采用分包形式履行合同,否则采购人有权终止合同。转包或分包造成采购人损失的，成交供应商应承担相应赔偿责任。</w:t>
      </w:r>
      <w:r/>
    </w:p>
    <w:p>
      <w:pPr>
        <w:pStyle w:val="821"/>
        <w:ind w:firstLine="480"/>
        <w:jc w:val="both"/>
        <w:keepLines/>
        <w:keepNext/>
        <w:spacing w:beforeAutospacing="0" w:afterAutospacing="0" w:line="440" w:lineRule="exact"/>
        <w:rPr>
          <w:rFonts w:hint="eastAsia" w:ascii="宋体" w:hAnsi="宋体" w:eastAsia="宋体" w:cs="宋体"/>
          <w:highlight w:val="none"/>
        </w:rPr>
        <w:outlineLvl w:val="2"/>
      </w:pPr>
      <w:r>
        <w:rPr>
          <w:rFonts w:hint="eastAsia" w:ascii="宋体" w:hAnsi="宋体" w:eastAsia="宋体" w:cs="宋体"/>
          <w:highlight w:val="none"/>
        </w:rPr>
        <w:t xml:space="preserve">32.标的物的追加</w:t>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821"/>
        <w:ind w:left="474"/>
        <w:jc w:val="both"/>
        <w:spacing w:beforeAutospacing="0" w:afterAutospacing="0" w:line="440" w:lineRule="exact"/>
        <w:rPr>
          <w:rFonts w:hint="eastAsia" w:ascii="宋体" w:hAnsi="宋体" w:eastAsia="宋体" w:cs="宋体"/>
          <w:highlight w:val="none"/>
        </w:rPr>
        <w:outlineLvl w:val="2"/>
      </w:pPr>
      <w:r>
        <w:rPr>
          <w:rFonts w:hint="eastAsia" w:ascii="宋体" w:hAnsi="宋体" w:eastAsia="宋体" w:cs="宋体"/>
          <w:highlight w:val="none"/>
        </w:rPr>
        <w:t xml:space="preserve">33.政府采购政策功能落实</w:t>
      </w:r>
      <w:r/>
    </w:p>
    <w:p>
      <w:pPr>
        <w:pStyle w:val="821"/>
        <w:ind w:firstLine="480"/>
        <w:jc w:val="both"/>
        <w:keepLines/>
        <w:keepNext/>
        <w:spacing w:beforeAutospacing="0" w:afterAutospacing="0" w:line="440" w:lineRule="exact"/>
        <w:rPr>
          <w:rFonts w:hint="eastAsia" w:ascii="宋体" w:hAnsi="宋体" w:eastAsia="宋体" w:cs="宋体"/>
          <w:highlight w:val="none"/>
        </w:rPr>
        <w:outlineLvl w:val="3"/>
      </w:pPr>
      <w:r>
        <w:rPr>
          <w:rFonts w:hint="eastAsia" w:ascii="宋体" w:hAnsi="宋体" w:eastAsia="宋体" w:cs="宋体"/>
          <w:highlight w:val="none"/>
        </w:rPr>
        <w:t xml:space="preserve">33.1政府采购线上合同信用融资政策</w:t>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440" w:lineRule="exact"/>
        <w:tabs>
          <w:tab w:val="left" w:pos="1381" w:leader="none"/>
        </w:tabs>
        <w:rPr>
          <w:rFonts w:hint="eastAsia" w:ascii="宋体" w:hAnsi="宋体" w:eastAsia="宋体" w:cs="宋体"/>
          <w:sz w:val="24"/>
          <w:highlight w:val="none"/>
        </w:rPr>
        <w:outlineLvl w:val="3"/>
      </w:pPr>
      <w:r>
        <w:rPr>
          <w:rFonts w:hint="eastAsia" w:ascii="宋体" w:hAnsi="宋体" w:eastAsia="宋体" w:cs="宋体"/>
          <w:sz w:val="24"/>
          <w:highlight w:val="none"/>
        </w:rPr>
        <w:t xml:space="preserve">33.2进口产品</w:t>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40" w:lineRule="exact"/>
        <w:tabs>
          <w:tab w:val="left" w:pos="1381" w:leader="none"/>
        </w:tabs>
        <w:rPr>
          <w:rFonts w:hint="eastAsia" w:ascii="宋体" w:hAnsi="宋体" w:eastAsia="宋体" w:cs="宋体"/>
          <w:sz w:val="24"/>
          <w:highlight w:val="none"/>
        </w:rPr>
        <w:outlineLvl w:val="3"/>
      </w:pPr>
      <w:r>
        <w:rPr>
          <w:rFonts w:hint="eastAsia" w:ascii="宋体" w:hAnsi="宋体" w:eastAsia="宋体" w:cs="宋体"/>
          <w:sz w:val="24"/>
          <w:highlight w:val="none"/>
        </w:rPr>
        <w:t xml:space="preserve">33.3中小企业、监狱企业及残疾人福利性单位</w:t>
      </w:r>
      <w:r/>
    </w:p>
    <w:p>
      <w:pPr>
        <w:ind w:firstLine="480"/>
        <w:spacing w:line="440" w:lineRule="exact"/>
        <w:rPr>
          <w:rFonts w:hint="eastAsia" w:ascii="宋体" w:hAnsi="宋体" w:eastAsia="宋体" w:cs="宋体"/>
          <w:sz w:val="24"/>
          <w:highlight w:val="none"/>
        </w:rPr>
        <w:outlineLvl w:val="4"/>
      </w:pPr>
      <w:r>
        <w:rPr>
          <w:rFonts w:hint="eastAsia" w:ascii="宋体" w:hAnsi="宋体" w:eastAsia="宋体" w:cs="宋体"/>
          <w:sz w:val="24"/>
          <w:highlight w:val="none"/>
        </w:rPr>
        <w:t xml:space="preserve">33.3.1中小企业定义：</w:t>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中小企业</w:t>
      </w:r>
      <w:r>
        <w:rPr>
          <w:rFonts w:hint="eastAsia" w:ascii="宋体" w:hAnsi="宋体" w:eastAsia="宋体" w:cs="宋体"/>
          <w:highlight w:val="none"/>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 号）。</w:t>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33.3.2供应商提供的货物、工程或者服务符合下列情形的，享受中小企业扶持政策：</w:t>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33.3.2.1在货物采购项目中，货物由中小企业制造，即货物由中小企业生产且使用该中小企业商号或者注册商标；</w:t>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33.3.2.2在工程采购项目中，工程由中小企业承建，即工程施工单位为中小企业；</w:t>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33.3.2.3在服务采购项目中，服务由中小企业承接，即提供服务的人员为中小企业依照《中华人民共和国劳动合同法》订立劳动合同的从业人员。</w:t>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33.3.3在货物采购项目中，供应商提供的货物既有中小企业制造货物，也有大型企业制造货物的，不享受中小企业扶持政策。</w:t>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33.3.4以联合体形式参加政府采购活动，联合体各方均为中小企业的，联合体视同中小企业。其中，联合体各方均为小微企业的，联合体视同小微企业。</w:t>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33.3.6残疾人福利单位定义：享受政府采购支持政策的残疾人福利性单位应当同时满足以下条件：</w:t>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33.3.6.1安置的残疾人占本单位在职职工人数的比例不低于25%（含25%），并且安置的残疾人人数不少于10 人（含10 人）；</w:t>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33.3.6.2依法与安置的每位残疾人签订了一年以上（含一年）的劳动合同或服务协议；</w:t>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33.3.6.3为安置的每位残疾人按月足额缴纳了基本养老保险、基本医疗保险、失业保险、工伤保险和生育保险等社会保险费；</w:t>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33.3.6.4通过银行等金融机构向安置的每位残疾人，按月支付了不低于单位所在区县适用的经省级人民政府批准的月最低工资标准的工资；</w:t>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33.3.6.5提供本单位制造的货物、承担的工程或者服务（以下简称产品），或者提供其他残疾人福利性单位制造的货物（不包括使用非残疾人福利性单位注册商标的货物）；</w:t>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33.3.7本项目是否专门面向中小企业预留采购份额见第一章《竞争性磋商公告》。</w:t>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33.3.8采购标的对应的中小企业划分标准所属行业见第四章《采购需求》。</w:t>
      </w:r>
      <w:r/>
    </w:p>
    <w:p>
      <w:pPr>
        <w:pStyle w:val="821"/>
        <w:ind w:firstLine="480"/>
        <w:jc w:val="both"/>
        <w:spacing w:beforeAutospacing="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33.3.9小微企业价格评审优惠的政策：见第五章《评标方法和评标标准》。</w:t>
      </w:r>
      <w:r/>
    </w:p>
    <w:p>
      <w:pPr>
        <w:ind w:firstLine="482"/>
        <w:spacing w:line="440" w:lineRule="exact"/>
        <w:tabs>
          <w:tab w:val="left" w:pos="1381" w:leader="none"/>
        </w:tabs>
        <w:rPr>
          <w:rFonts w:hint="eastAsia" w:ascii="宋体" w:hAnsi="宋体" w:eastAsia="宋体" w:cs="宋体"/>
          <w:sz w:val="24"/>
          <w:highlight w:val="none"/>
        </w:rPr>
        <w:outlineLvl w:val="3"/>
      </w:pPr>
      <w:r>
        <w:rPr>
          <w:rFonts w:hint="eastAsia" w:ascii="宋体" w:hAnsi="宋体" w:eastAsia="宋体" w:cs="宋体"/>
          <w:sz w:val="24"/>
          <w:highlight w:val="none"/>
        </w:rPr>
        <w:t xml:space="preserve">33.4政府采购节能产品、环境标志产品</w:t>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highlight w:val="none"/>
        </w:rPr>
        <w:t xml:space="preserve">如属政府强制采购产品未提供认证证书的或认证证书提供不全的将视为未实质性响应采购要求</w:t>
      </w:r>
      <w:r>
        <w:rPr>
          <w:rFonts w:hint="eastAsia" w:ascii="宋体" w:hAnsi="宋体" w:eastAsia="宋体" w:cs="宋体"/>
          <w:i/>
          <w:sz w:val="24"/>
          <w:highlight w:val="none"/>
        </w:rPr>
        <w:t xml:space="preserve">。</w:t>
      </w:r>
      <w:r>
        <w:rPr>
          <w:rFonts w:hint="eastAsia" w:ascii="宋体" w:hAnsi="宋体" w:eastAsia="宋体" w:cs="宋体"/>
          <w:sz w:val="24"/>
          <w:highlight w:val="none"/>
        </w:rPr>
        <w:t xml:space="preserve">其他条件相同情况下，应当优先采购节能产品、环境标志产品。</w:t>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440" w:lineRule="exact"/>
        <w:tabs>
          <w:tab w:val="left" w:pos="1381" w:leader="none"/>
        </w:tabs>
        <w:rPr>
          <w:rFonts w:hint="eastAsia" w:ascii="宋体" w:hAnsi="宋体" w:eastAsia="宋体" w:cs="宋体"/>
          <w:sz w:val="24"/>
          <w:highlight w:val="none"/>
        </w:rPr>
        <w:outlineLvl w:val="3"/>
      </w:pPr>
      <w:r>
        <w:rPr>
          <w:rFonts w:hint="eastAsia" w:ascii="宋体" w:hAnsi="宋体" w:eastAsia="宋体" w:cs="宋体"/>
          <w:sz w:val="24"/>
          <w:highlight w:val="none"/>
        </w:rPr>
        <w:t xml:space="preserve">33.5绿色包装</w:t>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440" w:lineRule="exact"/>
        <w:tabs>
          <w:tab w:val="left" w:pos="1381" w:leader="none"/>
        </w:tabs>
        <w:rPr>
          <w:rFonts w:hint="eastAsia" w:ascii="宋体" w:hAnsi="宋体" w:eastAsia="宋体" w:cs="宋体"/>
          <w:sz w:val="24"/>
          <w:highlight w:val="none"/>
        </w:rPr>
        <w:outlineLvl w:val="3"/>
      </w:pPr>
      <w:r>
        <w:rPr>
          <w:rFonts w:hint="eastAsia" w:ascii="宋体" w:hAnsi="宋体" w:eastAsia="宋体" w:cs="宋体"/>
          <w:sz w:val="24"/>
          <w:highlight w:val="none"/>
        </w:rPr>
        <w:t xml:space="preserve">33.6政府采购创新产品</w:t>
      </w:r>
      <w:r/>
    </w:p>
    <w:p>
      <w:pPr>
        <w:ind w:firstLine="478"/>
        <w:spacing w:line="440" w:lineRule="exact"/>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采购人优先采购各级政府部门公开发布的有效期内的创新产品、创新服务、首台套、首购首用等《目录》的创新产品。</w:t>
      </w:r>
      <w:r/>
    </w:p>
    <w:p>
      <w:pPr>
        <w:ind w:firstLine="482"/>
        <w:spacing w:line="440" w:lineRule="exact"/>
        <w:tabs>
          <w:tab w:val="left" w:pos="1381" w:leader="none"/>
        </w:tabs>
        <w:rPr>
          <w:rFonts w:hint="eastAsia" w:ascii="宋体" w:hAnsi="宋体" w:eastAsia="宋体" w:cs="宋体"/>
          <w:sz w:val="24"/>
          <w:highlight w:val="none"/>
        </w:rPr>
        <w:outlineLvl w:val="3"/>
      </w:pPr>
      <w:r>
        <w:rPr>
          <w:rFonts w:hint="eastAsia" w:ascii="宋体" w:hAnsi="宋体" w:eastAsia="宋体" w:cs="宋体"/>
          <w:sz w:val="24"/>
          <w:highlight w:val="none"/>
        </w:rPr>
        <w:t xml:space="preserve">33.7绿色数据中心政策 </w:t>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本文件中若涉及到数据中心采购，采购人应依据《绿色数据中心政府采购需求标准（试行）》（财办库〔2023〕7号）文件精神</w:t>
      </w:r>
      <w:r>
        <w:rPr>
          <w:rFonts w:hint="eastAsia" w:ascii="宋体" w:hAnsi="宋体" w:eastAsia="宋体" w:cs="宋体"/>
          <w:sz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40" w:lineRule="exact"/>
        <w:tabs>
          <w:tab w:val="left" w:pos="1381" w:leader="none"/>
        </w:tabs>
        <w:rPr>
          <w:rFonts w:hint="eastAsia" w:ascii="宋体" w:hAnsi="宋体" w:eastAsia="宋体" w:cs="宋体"/>
          <w:sz w:val="24"/>
          <w:highlight w:val="none"/>
        </w:rPr>
        <w:outlineLvl w:val="3"/>
      </w:pPr>
      <w:r>
        <w:rPr>
          <w:rFonts w:hint="eastAsia" w:ascii="宋体" w:hAnsi="宋体" w:eastAsia="宋体" w:cs="宋体"/>
          <w:sz w:val="24"/>
          <w:highlight w:val="none"/>
        </w:rPr>
        <w:t xml:space="preserve">33.8履约保证金政策</w:t>
      </w:r>
      <w:r/>
    </w:p>
    <w:p>
      <w:pPr>
        <w:pStyle w:val="996"/>
        <w:ind w:left="0" w:firstLine="560"/>
        <w:spacing w:after="0"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履约保证金的缴纳形式：</w:t>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 如以履约保函（保险）形式缴纳履约保证金，供应商可通过政府采购电子履约保函（保险）平台（www.jsdzbh.com）在线申请履约保函（保险）。</w:t>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履约保证金金额为合同金额的10%，采购人对第三方信用服务机构依据标准规范评定为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本项目约定降低履约保证金缴纳比例，履约保证金调整为合同价的5%）。</w:t>
      </w:r>
      <w:r/>
    </w:p>
    <w:p>
      <w:pPr>
        <w:ind w:firstLine="482"/>
        <w:spacing w:line="440" w:lineRule="exact"/>
        <w:tabs>
          <w:tab w:val="left" w:pos="1381" w:leader="none"/>
        </w:tabs>
        <w:rPr>
          <w:rFonts w:hint="eastAsia" w:ascii="宋体" w:hAnsi="宋体" w:eastAsia="宋体" w:cs="宋体"/>
          <w:sz w:val="24"/>
          <w:highlight w:val="none"/>
        </w:rPr>
        <w:outlineLvl w:val="2"/>
      </w:pPr>
      <w:r>
        <w:rPr>
          <w:rFonts w:hint="eastAsia" w:ascii="宋体" w:hAnsi="宋体" w:eastAsia="宋体" w:cs="宋体"/>
          <w:sz w:val="24"/>
          <w:highlight w:val="none"/>
        </w:rPr>
        <w:t xml:space="preserve">33.9预付款制度</w:t>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本项目落实预付款制度，预付款比例为</w:t>
      </w:r>
      <w:r>
        <w:rPr>
          <w:rFonts w:hint="eastAsia" w:ascii="宋体" w:hAnsi="宋体" w:eastAsia="宋体" w:cs="宋体"/>
          <w:sz w:val="24"/>
          <w:highlight w:val="none"/>
          <w:u w:val="single"/>
        </w:rPr>
        <w:t xml:space="preserve">10%</w:t>
      </w:r>
      <w:r>
        <w:rPr>
          <w:rFonts w:hint="eastAsia" w:ascii="宋体" w:hAnsi="宋体" w:eastAsia="宋体" w:cs="宋体"/>
          <w:sz w:val="24"/>
          <w:highlight w:val="none"/>
        </w:rPr>
        <w:t xml:space="preserve">。在签订合同时，中标、成交供应商明确书面表示无需预付款或者主动要求降低预付款比例的，采购人可就预付款比例作相应调整。</w:t>
      </w:r>
      <w:r/>
    </w:p>
    <w:p>
      <w:pPr>
        <w:rPr>
          <w:rFonts w:hint="eastAsia" w:ascii="宋体" w:hAnsi="宋体" w:eastAsia="宋体" w:cs="宋体"/>
          <w:sz w:val="24"/>
          <w:highlight w:val="none"/>
        </w:rPr>
      </w:pPr>
      <w:r>
        <w:rPr>
          <w:rFonts w:hint="eastAsia" w:ascii="宋体" w:hAnsi="宋体" w:eastAsia="宋体" w:cs="宋体"/>
          <w:sz w:val="24"/>
          <w:highlight w:val="none"/>
        </w:rPr>
        <w:br w:type="page" w:clear="all"/>
      </w:r>
      <w:r/>
    </w:p>
    <w:p>
      <w:pPr>
        <w:pStyle w:val="787"/>
        <w:jc w:val="center"/>
        <w:rPr>
          <w:rFonts w:cs="宋体"/>
          <w:color w:val="000000"/>
          <w:sz w:val="44"/>
          <w:szCs w:val="44"/>
          <w:highlight w:val="none"/>
        </w:rPr>
        <w:pBdr>
          <w:top w:val="none" w:color="000000" w:sz="0" w:space="0"/>
          <w:left w:val="none" w:color="000000" w:sz="0" w:space="0"/>
          <w:bottom w:val="none" w:color="000000" w:sz="0" w:space="0"/>
          <w:right w:val="none" w:color="000000" w:sz="0" w:space="0"/>
        </w:pBdr>
      </w:pPr>
      <w:r/>
      <w:bookmarkStart w:id="159" w:name="_Toc3582"/>
      <w:r>
        <w:rPr>
          <w:rFonts w:cs="宋体"/>
          <w:color w:val="000000"/>
          <w:sz w:val="44"/>
          <w:highlight w:val="none"/>
        </w:rPr>
        <w:t xml:space="preserve">第三章 合同条款及格式</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highlight w:val="none"/>
        </w:rPr>
        <w:t xml:space="preserve"> </w:t>
      </w:r>
      <w:r/>
    </w:p>
    <w:p>
      <w:pPr>
        <w:spacing w:before="104" w:line="236" w:lineRule="auto"/>
        <w:rPr>
          <w:rFonts w:hint="eastAsia" w:ascii="宋体" w:hAnsi="宋体" w:eastAsia="宋体" w:cs="宋体"/>
          <w:sz w:val="32"/>
          <w:szCs w:val="32"/>
          <w:highlight w:val="none"/>
        </w:rPr>
      </w:pPr>
      <w:r>
        <w:rPr>
          <w:rFonts w:hint="eastAsia" w:ascii="宋体" w:hAnsi="宋体" w:eastAsia="宋体" w:cs="宋体"/>
          <w:spacing w:val="-2"/>
          <w:sz w:val="32"/>
          <w:szCs w:val="32"/>
          <w:highlight w:val="none"/>
        </w:rPr>
        <w:t xml:space="preserve">（GF—2017—0201）</w:t>
      </w:r>
      <w:r/>
    </w:p>
    <w:p>
      <w:pPr>
        <w:pStyle w:val="803"/>
        <w:spacing w:line="245" w:lineRule="auto"/>
        <w:rPr>
          <w:rFonts w:hint="eastAsia" w:ascii="宋体" w:eastAsia="宋体" w:cs="宋体"/>
          <w:highlight w:val="none"/>
        </w:rPr>
      </w:pPr>
      <w:r>
        <w:rPr>
          <w:rFonts w:hint="eastAsia" w:ascii="宋体" w:eastAsia="宋体" w:cs="宋体"/>
          <w:highlight w:val="none"/>
        </w:rPr>
      </w:r>
      <w:r/>
    </w:p>
    <w:p>
      <w:pPr>
        <w:pStyle w:val="803"/>
        <w:spacing w:line="246" w:lineRule="auto"/>
        <w:rPr>
          <w:rFonts w:hint="eastAsia" w:ascii="宋体" w:eastAsia="宋体" w:cs="宋体"/>
          <w:highlight w:val="none"/>
        </w:rPr>
      </w:pPr>
      <w:r>
        <w:rPr>
          <w:rFonts w:hint="eastAsia" w:ascii="宋体" w:eastAsia="宋体" w:cs="宋体"/>
          <w:highlight w:val="none"/>
        </w:rPr>
      </w:r>
      <w:r/>
    </w:p>
    <w:p>
      <w:pPr>
        <w:pStyle w:val="803"/>
        <w:spacing w:line="246" w:lineRule="auto"/>
        <w:rPr>
          <w:rFonts w:hint="eastAsia" w:ascii="宋体" w:eastAsia="宋体" w:cs="宋体"/>
          <w:highlight w:val="none"/>
        </w:rPr>
      </w:pPr>
      <w:r>
        <w:rPr>
          <w:rFonts w:hint="eastAsia" w:ascii="宋体" w:eastAsia="宋体" w:cs="宋体"/>
          <w:highlight w:val="none"/>
        </w:rPr>
      </w:r>
      <w:r/>
    </w:p>
    <w:p>
      <w:pPr>
        <w:pStyle w:val="803"/>
        <w:spacing w:line="246" w:lineRule="auto"/>
        <w:rPr>
          <w:rFonts w:hint="eastAsia" w:ascii="宋体" w:eastAsia="宋体" w:cs="宋体"/>
          <w:highlight w:val="none"/>
        </w:rPr>
      </w:pPr>
      <w:r>
        <w:rPr>
          <w:rFonts w:hint="eastAsia" w:ascii="宋体" w:eastAsia="宋体" w:cs="宋体"/>
          <w:highlight w:val="none"/>
        </w:rPr>
      </w:r>
      <w:r/>
    </w:p>
    <w:p>
      <w:pPr>
        <w:pStyle w:val="803"/>
        <w:spacing w:line="246" w:lineRule="auto"/>
        <w:rPr>
          <w:rFonts w:hint="eastAsia" w:ascii="宋体" w:eastAsia="宋体" w:cs="宋体"/>
          <w:highlight w:val="none"/>
        </w:rPr>
      </w:pPr>
      <w:r>
        <w:rPr>
          <w:rFonts w:hint="eastAsia" w:ascii="宋体" w:eastAsia="宋体" w:cs="宋体"/>
          <w:highlight w:val="none"/>
        </w:rPr>
      </w:r>
      <w:r/>
    </w:p>
    <w:p>
      <w:pPr>
        <w:pStyle w:val="803"/>
        <w:spacing w:line="246" w:lineRule="auto"/>
        <w:rPr>
          <w:rFonts w:hint="eastAsia" w:ascii="宋体" w:eastAsia="宋体" w:cs="宋体"/>
          <w:highlight w:val="none"/>
        </w:rPr>
      </w:pPr>
      <w:r>
        <w:rPr>
          <w:rFonts w:hint="eastAsia" w:ascii="宋体" w:eastAsia="宋体" w:cs="宋体"/>
          <w:highlight w:val="none"/>
        </w:rPr>
      </w:r>
      <w:r/>
    </w:p>
    <w:p>
      <w:pPr>
        <w:pStyle w:val="992"/>
        <w:rPr>
          <w:rFonts w:hint="eastAsia" w:hAnsi="宋体" w:eastAsia="宋体"/>
          <w:color w:val="auto"/>
          <w:highlight w:val="none"/>
        </w:rPr>
      </w:pPr>
      <w:r>
        <w:rPr>
          <w:rFonts w:hint="eastAsia" w:hAnsi="宋体" w:eastAsia="宋体"/>
          <w:color w:val="auto"/>
          <w:highlight w:val="none"/>
        </w:rPr>
      </w:r>
      <w:r/>
    </w:p>
    <w:p>
      <w:pPr>
        <w:pStyle w:val="992"/>
        <w:rPr>
          <w:rFonts w:hint="eastAsia" w:hAnsi="宋体" w:eastAsia="宋体"/>
          <w:color w:val="auto"/>
          <w:highlight w:val="none"/>
        </w:rPr>
      </w:pPr>
      <w:r>
        <w:rPr>
          <w:rFonts w:hint="eastAsia" w:hAnsi="宋体" w:eastAsia="宋体"/>
          <w:color w:val="auto"/>
          <w:highlight w:val="none"/>
        </w:rPr>
      </w:r>
      <w:r/>
    </w:p>
    <w:p>
      <w:pPr>
        <w:pStyle w:val="803"/>
        <w:spacing w:line="246" w:lineRule="auto"/>
        <w:rPr>
          <w:rFonts w:hint="eastAsia" w:ascii="宋体" w:eastAsia="宋体" w:cs="宋体"/>
          <w:highlight w:val="none"/>
        </w:rPr>
      </w:pPr>
      <w:r>
        <w:rPr>
          <w:rFonts w:hint="eastAsia" w:ascii="宋体" w:eastAsia="宋体" w:cs="宋体"/>
          <w:highlight w:val="none"/>
        </w:rPr>
      </w:r>
      <w:r/>
    </w:p>
    <w:p>
      <w:pPr>
        <w:ind w:left="2091"/>
        <w:spacing w:before="234" w:line="220" w:lineRule="auto"/>
        <w:rPr>
          <w:rFonts w:hint="eastAsia" w:ascii="宋体" w:hAnsi="宋体" w:eastAsia="宋体" w:cs="宋体"/>
          <w:sz w:val="72"/>
          <w:szCs w:val="72"/>
          <w:highlight w:val="none"/>
        </w:rPr>
      </w:pPr>
      <w:r>
        <w:rPr>
          <w:rFonts w:hint="eastAsia" w:ascii="宋体" w:hAnsi="宋体" w:eastAsia="宋体" w:cs="宋体"/>
          <w:b/>
          <w:bCs/>
          <w:spacing w:val="-10"/>
          <w:sz w:val="72"/>
          <w:szCs w:val="72"/>
          <w:highlight w:val="none"/>
        </w:rPr>
        <w:t xml:space="preserve">建设工程施工合同</w:t>
      </w:r>
      <w:r/>
    </w:p>
    <w:p>
      <w:pPr>
        <w:ind w:left="3414"/>
        <w:spacing w:before="42" w:line="219" w:lineRule="auto"/>
        <w:rPr>
          <w:rFonts w:hint="eastAsia" w:ascii="宋体" w:hAnsi="宋体" w:eastAsia="宋体" w:cs="宋体"/>
          <w:sz w:val="52"/>
          <w:szCs w:val="52"/>
          <w:highlight w:val="none"/>
        </w:rPr>
      </w:pPr>
      <w:r>
        <w:rPr>
          <w:rFonts w:hint="eastAsia" w:ascii="宋体" w:hAnsi="宋体" w:eastAsia="宋体" w:cs="宋体"/>
          <w:b/>
          <w:bCs/>
          <w:spacing w:val="-10"/>
          <w:sz w:val="52"/>
          <w:szCs w:val="52"/>
          <w:highlight w:val="none"/>
        </w:rPr>
        <w:t xml:space="preserve">（示范文本）</w:t>
      </w:r>
      <w:r/>
    </w:p>
    <w:p>
      <w:pPr>
        <w:pStyle w:val="803"/>
        <w:spacing w:line="242" w:lineRule="auto"/>
        <w:rPr>
          <w:rFonts w:hint="eastAsia" w:ascii="宋体" w:eastAsia="宋体" w:cs="宋体"/>
          <w:highlight w:val="none"/>
        </w:rPr>
      </w:pPr>
      <w:r>
        <w:rPr>
          <w:rFonts w:hint="eastAsia" w:ascii="宋体" w:eastAsia="宋体" w:cs="宋体"/>
          <w:highlight w:val="none"/>
        </w:rPr>
      </w:r>
      <w:r/>
    </w:p>
    <w:p>
      <w:pPr>
        <w:pStyle w:val="803"/>
        <w:spacing w:line="242" w:lineRule="auto"/>
        <w:rPr>
          <w:rFonts w:hint="eastAsia" w:ascii="宋体" w:eastAsia="宋体" w:cs="宋体"/>
          <w:highlight w:val="none"/>
        </w:rPr>
      </w:pPr>
      <w:r>
        <w:rPr>
          <w:rFonts w:hint="eastAsia" w:ascii="宋体" w:eastAsia="宋体" w:cs="宋体"/>
          <w:highlight w:val="none"/>
        </w:rPr>
      </w:r>
      <w:r/>
    </w:p>
    <w:p>
      <w:pPr>
        <w:pStyle w:val="803"/>
        <w:spacing w:line="242" w:lineRule="auto"/>
        <w:rPr>
          <w:rFonts w:hint="eastAsia" w:ascii="宋体" w:eastAsia="宋体" w:cs="宋体"/>
          <w:highlight w:val="none"/>
        </w:rPr>
      </w:pPr>
      <w:r>
        <w:rPr>
          <w:rFonts w:hint="eastAsia" w:ascii="宋体" w:eastAsia="宋体" w:cs="宋体"/>
          <w:highlight w:val="none"/>
        </w:rPr>
      </w:r>
      <w:r/>
    </w:p>
    <w:p>
      <w:pPr>
        <w:pStyle w:val="803"/>
        <w:spacing w:line="242" w:lineRule="auto"/>
        <w:rPr>
          <w:rFonts w:hint="eastAsia" w:ascii="宋体" w:eastAsia="宋体" w:cs="宋体"/>
          <w:highlight w:val="none"/>
        </w:rPr>
      </w:pPr>
      <w:r>
        <w:rPr>
          <w:rFonts w:hint="eastAsia" w:ascii="宋体" w:eastAsia="宋体" w:cs="宋体"/>
          <w:highlight w:val="none"/>
        </w:rPr>
      </w:r>
      <w:r/>
    </w:p>
    <w:p>
      <w:pPr>
        <w:pStyle w:val="803"/>
        <w:spacing w:line="242" w:lineRule="auto"/>
        <w:rPr>
          <w:rFonts w:hint="eastAsia" w:ascii="宋体" w:eastAsia="宋体" w:cs="宋体"/>
          <w:highlight w:val="none"/>
        </w:rPr>
      </w:pPr>
      <w:r>
        <w:rPr>
          <w:rFonts w:hint="eastAsia" w:ascii="宋体" w:eastAsia="宋体" w:cs="宋体"/>
          <w:highlight w:val="none"/>
        </w:rPr>
      </w:r>
      <w:r/>
    </w:p>
    <w:p>
      <w:pPr>
        <w:pStyle w:val="803"/>
        <w:spacing w:line="242" w:lineRule="auto"/>
        <w:rPr>
          <w:rFonts w:hint="eastAsia" w:ascii="宋体" w:eastAsia="宋体" w:cs="宋体"/>
          <w:highlight w:val="none"/>
        </w:rPr>
      </w:pPr>
      <w:r>
        <w:rPr>
          <w:rFonts w:hint="eastAsia" w:ascii="宋体" w:eastAsia="宋体" w:cs="宋体"/>
          <w:highlight w:val="none"/>
        </w:rPr>
      </w:r>
      <w:r/>
    </w:p>
    <w:p>
      <w:pPr>
        <w:pStyle w:val="803"/>
        <w:spacing w:line="242" w:lineRule="auto"/>
        <w:rPr>
          <w:rFonts w:hint="eastAsia" w:ascii="宋体" w:eastAsia="宋体" w:cs="宋体"/>
          <w:highlight w:val="none"/>
        </w:rPr>
      </w:pPr>
      <w:r>
        <w:rPr>
          <w:rFonts w:hint="eastAsia" w:ascii="宋体" w:eastAsia="宋体" w:cs="宋体"/>
          <w:highlight w:val="none"/>
        </w:rPr>
      </w:r>
      <w:r/>
    </w:p>
    <w:p>
      <w:pPr>
        <w:pStyle w:val="803"/>
        <w:spacing w:line="243" w:lineRule="auto"/>
        <w:rPr>
          <w:rFonts w:hint="eastAsia" w:ascii="宋体" w:eastAsia="宋体" w:cs="宋体"/>
          <w:highlight w:val="none"/>
        </w:rPr>
      </w:pPr>
      <w:r>
        <w:rPr>
          <w:rFonts w:hint="eastAsia" w:ascii="宋体" w:eastAsia="宋体" w:cs="宋体"/>
          <w:highlight w:val="none"/>
        </w:rPr>
      </w:r>
      <w:r/>
    </w:p>
    <w:p>
      <w:pPr>
        <w:pStyle w:val="992"/>
        <w:rPr>
          <w:rFonts w:hint="eastAsia" w:hAnsi="宋体" w:eastAsia="宋体"/>
          <w:color w:val="auto"/>
          <w:highlight w:val="none"/>
        </w:rPr>
      </w:pPr>
      <w:r>
        <w:rPr>
          <w:rFonts w:hint="eastAsia" w:hAnsi="宋体" w:eastAsia="宋体"/>
          <w:color w:val="auto"/>
          <w:highlight w:val="none"/>
        </w:rPr>
      </w:r>
      <w:r/>
    </w:p>
    <w:p>
      <w:pPr>
        <w:pStyle w:val="992"/>
        <w:rPr>
          <w:rFonts w:hint="eastAsia" w:hAnsi="宋体" w:eastAsia="宋体"/>
          <w:color w:val="auto"/>
          <w:highlight w:val="none"/>
        </w:rPr>
      </w:pPr>
      <w:r>
        <w:rPr>
          <w:rFonts w:hint="eastAsia" w:hAnsi="宋体" w:eastAsia="宋体"/>
          <w:color w:val="auto"/>
          <w:highlight w:val="none"/>
        </w:rPr>
      </w:r>
      <w:r/>
    </w:p>
    <w:p>
      <w:pPr>
        <w:pStyle w:val="992"/>
        <w:rPr>
          <w:rFonts w:hint="eastAsia" w:hAnsi="宋体" w:eastAsia="宋体"/>
          <w:color w:val="auto"/>
          <w:highlight w:val="none"/>
        </w:rPr>
      </w:pPr>
      <w:r>
        <w:rPr>
          <w:rFonts w:hint="eastAsia" w:hAnsi="宋体" w:eastAsia="宋体"/>
          <w:color w:val="auto"/>
          <w:highlight w:val="none"/>
        </w:rPr>
      </w:r>
      <w:r/>
    </w:p>
    <w:p>
      <w:pPr>
        <w:pStyle w:val="992"/>
        <w:rPr>
          <w:rFonts w:hint="eastAsia" w:hAnsi="宋体" w:eastAsia="宋体"/>
          <w:color w:val="auto"/>
          <w:highlight w:val="none"/>
        </w:rPr>
      </w:pPr>
      <w:r>
        <w:rPr>
          <w:rFonts w:hint="eastAsia" w:hAnsi="宋体" w:eastAsia="宋体"/>
          <w:color w:val="auto"/>
          <w:highlight w:val="none"/>
        </w:rPr>
      </w:r>
      <w:r/>
    </w:p>
    <w:p>
      <w:pPr>
        <w:pStyle w:val="803"/>
        <w:spacing w:line="243" w:lineRule="auto"/>
        <w:rPr>
          <w:rFonts w:hint="eastAsia" w:ascii="宋体" w:eastAsia="宋体" w:cs="宋体"/>
          <w:highlight w:val="none"/>
        </w:rPr>
      </w:pPr>
      <w:r>
        <w:rPr>
          <w:rFonts w:hint="eastAsia" w:ascii="宋体" w:eastAsia="宋体" w:cs="宋体"/>
          <w:highlight w:val="none"/>
        </w:rPr>
      </w:r>
      <w:r/>
    </w:p>
    <w:p>
      <w:pPr>
        <w:ind w:right="3280"/>
        <w:jc w:val="right"/>
        <w:spacing w:before="104" w:line="241" w:lineRule="auto"/>
        <w:rPr>
          <w:rFonts w:hint="eastAsia" w:ascii="宋体" w:hAnsi="宋体" w:eastAsia="宋体" w:cs="宋体"/>
          <w:b/>
          <w:bCs/>
          <w:spacing w:val="-20"/>
          <w:sz w:val="32"/>
          <w:szCs w:val="32"/>
          <w:highlight w:val="none"/>
        </w:rPr>
      </w:pPr>
      <w:r>
        <w:rPr>
          <w:rFonts w:hint="eastAsia" w:ascii="宋体" w:hAnsi="宋体" w:eastAsia="宋体" w:cs="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4188460</wp:posOffset>
                </wp:positionH>
                <wp:positionV relativeFrom="paragraph">
                  <wp:posOffset>170815</wp:posOffset>
                </wp:positionV>
                <wp:extent cx="900430" cy="550545"/>
                <wp:effectExtent l="0" t="0" r="13970" b="1905"/>
                <wp:wrapNone/>
                <wp:docPr id="4" name="文本框 5"/>
                <wp:cNvGraphicFramePr/>
                <a:graphic xmlns:a="http://schemas.openxmlformats.org/drawingml/2006/main">
                  <a:graphicData uri="http://schemas.microsoft.com/office/word/2010/wordprocessingShape">
                    <wps:wsp>
                      <wps:cNvPr id="0" name=""/>
                      <wps:cNvSpPr txBox="1"/>
                      <wps:spPr bwMode="auto">
                        <a:xfrm flipH="1">
                          <a:off x="0" y="0"/>
                          <a:ext cx="900430" cy="550545"/>
                        </a:xfrm>
                        <a:prstGeom prst="rect">
                          <a:avLst/>
                        </a:prstGeom>
                        <a:noFill/>
                        <a:ln>
                          <a:noFill/>
                        </a:ln>
                      </wps:spPr>
                      <wps:txbx>
                        <w:txbxContent>
                          <w:p>
                            <w:pPr>
                              <w:spacing w:line="20" w:lineRule="exact"/>
                            </w:pPr>
                            <w:r/>
                            <w:r/>
                          </w:p>
                          <w:p>
                            <w:pPr>
                              <w:pStyle w:val="1007"/>
                              <w:ind w:left="157"/>
                              <w:spacing w:before="122" w:line="220" w:lineRule="auto"/>
                              <w:rPr>
                                <w:rFonts w:hint="eastAsia"/>
                                <w:sz w:val="32"/>
                                <w:szCs w:val="32"/>
                              </w:rPr>
                            </w:pPr>
                            <w:r>
                              <w:rPr>
                                <w:b/>
                                <w:bCs/>
                                <w:spacing w:val="-10"/>
                                <w:sz w:val="32"/>
                                <w:szCs w:val="32"/>
                              </w:rPr>
                              <w:t xml:space="preserve">制定</w:t>
                            </w:r>
                            <w:r/>
                          </w:p>
                          <w:p>
                            <w:r/>
                            <w:r/>
                          </w:p>
                          <w:p>
                            <w:pPr>
                              <w:pStyle w:val="803"/>
                              <w:rPr>
                                <w:rFonts w:hint="eastAsia"/>
                              </w:rPr>
                            </w:pPr>
                            <w:r>
                              <w:rPr>
                                <w:rFonts w:hint="eastAsia"/>
                              </w:rPr>
                            </w:r>
                            <w:r/>
                          </w:p>
                        </w:txbxContent>
                      </wps:txbx>
                      <wps:bodyPr lIns="0" tIns="0" rIns="0" bIns="0" upright="1"/>
                    </wps:wsp>
                  </a:graphicData>
                </a:graphic>
              </wp:anchor>
            </w:drawing>
          </mc:Choice>
          <mc:Fallback>
            <w:pict>
              <v:shape id="shape 3" o:spid="_x0000_s3" o:spt="202" type="#_x0000_t202" style="position:absolute;z-index:251660288;o:allowoverlap:true;o:allowincell:true;mso-position-horizontal-relative:text;margin-left:329.8pt;mso-position-horizontal:absolute;mso-position-vertical-relative:text;margin-top:13.4pt;mso-position-vertical:absolute;width:70.9pt;height:43.4pt;mso-wrap-distance-left:9.0pt;mso-wrap-distance-top:0.0pt;mso-wrap-distance-right:9.0pt;mso-wrap-distance-bottom:0.0pt;flip:x;visibility:visible;" filled="f" stroked="f">
                <v:textbox inset="0,0,0,0">
                  <w:txbxContent>
                    <w:p>
                      <w:pPr>
                        <w:spacing w:line="20" w:lineRule="exact"/>
                      </w:pPr>
                      <w:r/>
                      <w:r/>
                    </w:p>
                    <w:p>
                      <w:pPr>
                        <w:pStyle w:val="1007"/>
                        <w:ind w:left="157"/>
                        <w:spacing w:before="122" w:line="220" w:lineRule="auto"/>
                        <w:rPr>
                          <w:rFonts w:hint="eastAsia"/>
                          <w:sz w:val="32"/>
                          <w:szCs w:val="32"/>
                        </w:rPr>
                      </w:pPr>
                      <w:r>
                        <w:rPr>
                          <w:b/>
                          <w:bCs/>
                          <w:spacing w:val="-10"/>
                          <w:sz w:val="32"/>
                          <w:szCs w:val="32"/>
                        </w:rPr>
                        <w:t xml:space="preserve">制定</w:t>
                      </w:r>
                      <w:r/>
                    </w:p>
                    <w:p>
                      <w:r/>
                      <w:r/>
                    </w:p>
                    <w:p>
                      <w:pPr>
                        <w:pStyle w:val="803"/>
                        <w:rPr>
                          <w:rFonts w:hint="eastAsia"/>
                        </w:rPr>
                      </w:pPr>
                      <w:r>
                        <w:rPr>
                          <w:rFonts w:hint="eastAsia"/>
                        </w:rPr>
                      </w:r>
                      <w:r/>
                    </w:p>
                  </w:txbxContent>
                </v:textbox>
              </v:shape>
            </w:pict>
          </mc:Fallback>
        </mc:AlternateContent>
      </w:r>
      <w:r>
        <w:rPr>
          <w:rFonts w:hint="eastAsia" w:ascii="宋体" w:hAnsi="宋体" w:eastAsia="宋体" w:cs="宋体"/>
          <w:b/>
          <w:bCs/>
          <w:spacing w:val="-20"/>
          <w:sz w:val="32"/>
          <w:szCs w:val="32"/>
          <w:highlight w:val="none"/>
        </w:rPr>
        <w:t xml:space="preserve">住</w:t>
      </w:r>
      <w:r>
        <w:rPr>
          <w:rFonts w:hint="eastAsia" w:ascii="宋体" w:hAnsi="宋体" w:eastAsia="宋体" w:cs="宋体"/>
          <w:spacing w:val="42"/>
          <w:sz w:val="32"/>
          <w:szCs w:val="32"/>
          <w:highlight w:val="none"/>
        </w:rPr>
        <w:t xml:space="preserve"> </w:t>
      </w:r>
      <w:r>
        <w:rPr>
          <w:rFonts w:hint="eastAsia" w:ascii="宋体" w:hAnsi="宋体" w:eastAsia="宋体" w:cs="宋体"/>
          <w:b/>
          <w:bCs/>
          <w:spacing w:val="-20"/>
          <w:sz w:val="32"/>
          <w:szCs w:val="32"/>
          <w:highlight w:val="none"/>
        </w:rPr>
        <w:t xml:space="preserve">房</w:t>
      </w:r>
      <w:r>
        <w:rPr>
          <w:rFonts w:hint="eastAsia" w:ascii="宋体" w:hAnsi="宋体" w:eastAsia="宋体" w:cs="宋体"/>
          <w:spacing w:val="39"/>
          <w:sz w:val="32"/>
          <w:szCs w:val="32"/>
          <w:highlight w:val="none"/>
        </w:rPr>
        <w:t xml:space="preserve"> </w:t>
      </w:r>
      <w:r>
        <w:rPr>
          <w:rFonts w:hint="eastAsia" w:ascii="宋体" w:hAnsi="宋体" w:eastAsia="宋体" w:cs="宋体"/>
          <w:b/>
          <w:bCs/>
          <w:spacing w:val="-20"/>
          <w:sz w:val="32"/>
          <w:szCs w:val="32"/>
          <w:highlight w:val="none"/>
        </w:rPr>
        <w:t xml:space="preserve">城</w:t>
      </w:r>
      <w:r>
        <w:rPr>
          <w:rFonts w:hint="eastAsia" w:ascii="宋体" w:hAnsi="宋体" w:eastAsia="宋体" w:cs="宋体"/>
          <w:spacing w:val="53"/>
          <w:sz w:val="32"/>
          <w:szCs w:val="32"/>
          <w:highlight w:val="none"/>
        </w:rPr>
        <w:t xml:space="preserve"> </w:t>
      </w:r>
      <w:r>
        <w:rPr>
          <w:rFonts w:hint="eastAsia" w:ascii="宋体" w:hAnsi="宋体" w:eastAsia="宋体" w:cs="宋体"/>
          <w:b/>
          <w:bCs/>
          <w:spacing w:val="-20"/>
          <w:sz w:val="32"/>
          <w:szCs w:val="32"/>
          <w:highlight w:val="none"/>
        </w:rPr>
        <w:t xml:space="preserve">乡</w:t>
      </w:r>
      <w:r>
        <w:rPr>
          <w:rFonts w:hint="eastAsia" w:ascii="宋体" w:hAnsi="宋体" w:eastAsia="宋体" w:cs="宋体"/>
          <w:spacing w:val="43"/>
          <w:sz w:val="32"/>
          <w:szCs w:val="32"/>
          <w:highlight w:val="none"/>
        </w:rPr>
        <w:t xml:space="preserve"> </w:t>
      </w:r>
      <w:r>
        <w:rPr>
          <w:rFonts w:hint="eastAsia" w:ascii="宋体" w:hAnsi="宋体" w:eastAsia="宋体" w:cs="宋体"/>
          <w:b/>
          <w:bCs/>
          <w:spacing w:val="-20"/>
          <w:sz w:val="32"/>
          <w:szCs w:val="32"/>
          <w:highlight w:val="none"/>
        </w:rPr>
        <w:t xml:space="preserve">建</w:t>
      </w:r>
      <w:r>
        <w:rPr>
          <w:rFonts w:hint="eastAsia" w:ascii="宋体" w:hAnsi="宋体" w:eastAsia="宋体" w:cs="宋体"/>
          <w:spacing w:val="45"/>
          <w:sz w:val="32"/>
          <w:szCs w:val="32"/>
          <w:highlight w:val="none"/>
        </w:rPr>
        <w:t xml:space="preserve"> </w:t>
      </w:r>
      <w:r>
        <w:rPr>
          <w:rFonts w:hint="eastAsia" w:ascii="宋体" w:hAnsi="宋体" w:eastAsia="宋体" w:cs="宋体"/>
          <w:b/>
          <w:bCs/>
          <w:spacing w:val="-20"/>
          <w:sz w:val="32"/>
          <w:szCs w:val="32"/>
          <w:highlight w:val="none"/>
        </w:rPr>
        <w:t xml:space="preserve">设</w:t>
      </w:r>
      <w:r>
        <w:rPr>
          <w:rFonts w:hint="eastAsia" w:ascii="宋体" w:hAnsi="宋体" w:eastAsia="宋体" w:cs="宋体"/>
          <w:spacing w:val="42"/>
          <w:sz w:val="32"/>
          <w:szCs w:val="32"/>
          <w:highlight w:val="none"/>
        </w:rPr>
        <w:t xml:space="preserve"> </w:t>
      </w:r>
      <w:r>
        <w:rPr>
          <w:rFonts w:hint="eastAsia" w:ascii="宋体" w:hAnsi="宋体" w:eastAsia="宋体" w:cs="宋体"/>
          <w:b/>
          <w:bCs/>
          <w:spacing w:val="-20"/>
          <w:sz w:val="32"/>
          <w:szCs w:val="32"/>
          <w:highlight w:val="none"/>
        </w:rPr>
        <w:t xml:space="preserve">部</w:t>
      </w:r>
      <w:r/>
    </w:p>
    <w:p>
      <w:pPr>
        <w:ind w:right="3280"/>
        <w:jc w:val="right"/>
        <w:spacing w:before="104" w:line="241" w:lineRule="auto"/>
        <w:rPr>
          <w:rFonts w:hint="eastAsia" w:ascii="宋体" w:hAnsi="宋体" w:eastAsia="宋体" w:cs="宋体"/>
          <w:sz w:val="32"/>
          <w:szCs w:val="32"/>
          <w:highlight w:val="none"/>
        </w:rPr>
      </w:pPr>
      <w:r>
        <w:rPr>
          <w:rFonts w:hint="eastAsia" w:ascii="宋体" w:hAnsi="宋体" w:eastAsia="宋体" w:cs="宋体"/>
          <w:b/>
          <w:bCs/>
          <w:spacing w:val="8"/>
          <w:sz w:val="32"/>
          <w:szCs w:val="32"/>
          <w:highlight w:val="none"/>
        </w:rPr>
        <w:t xml:space="preserve">国家工商行政管理总局</w:t>
      </w:r>
      <w:r/>
    </w:p>
    <w:p>
      <w:pPr>
        <w:spacing w:line="439" w:lineRule="atLeast"/>
        <w:rPr>
          <w:rFonts w:eastAsia="黑体"/>
          <w:b/>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bookmarkEnd w:id="159"/>
      <w:r/>
      <w:bookmarkStart w:id="160" w:name="_Toc488071324"/>
      <w:r/>
      <w:bookmarkEnd w:id="160"/>
      <w:r/>
      <w:bookmarkStart w:id="161" w:name="_Toc419443852"/>
      <w:r/>
      <w:bookmarkEnd w:id="161"/>
      <w:r/>
      <w:r/>
    </w:p>
    <w:p>
      <w:pPr>
        <w:jc w:val="center"/>
        <w:widowControl/>
        <w:rPr>
          <w:rFonts w:hint="eastAsia" w:ascii="黑体" w:hAnsi="宋体" w:eastAsia="黑体" w:cs="黑体"/>
          <w:sz w:val="44"/>
          <w:szCs w:val="44"/>
          <w:highlight w:val="none"/>
        </w:rPr>
      </w:pPr>
      <w:r/>
      <w:bookmarkStart w:id="162" w:name="_Toc20823346"/>
      <w:r/>
      <w:bookmarkStart w:id="163" w:name="_Toc462564139"/>
      <w:r/>
      <w:bookmarkStart w:id="164" w:name="_Toc1169"/>
      <w:r/>
      <w:bookmarkStart w:id="165" w:name="_Toc16938590"/>
      <w:r/>
      <w:bookmarkStart w:id="166" w:name="_Toc120614244"/>
      <w:r/>
      <w:bookmarkStart w:id="167" w:name="_Hlt16619350"/>
      <w:r/>
      <w:bookmarkStart w:id="168" w:name="_Hlt16619369"/>
      <w:r>
        <w:rPr>
          <w:rFonts w:hint="eastAsia" w:ascii="宋体" w:hAnsi="宋体" w:eastAsia="宋体" w:cs="宋体"/>
          <w:sz w:val="44"/>
          <w:szCs w:val="44"/>
          <w:highlight w:val="none"/>
        </w:rPr>
        <w:t xml:space="preserve">说  明</w:t>
      </w:r>
      <w:r/>
    </w:p>
    <w:p>
      <w:p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为了指导建设工程施工合同当事人的签约行为，维护合同当事人的合法权益，依据《中华人民共和国民法典》、《中华人民共和国建筑法》、《中华人民共和国招标投标法》以及相关法律法规，住房和城乡建设部、国家工商行政管理总局对《建设工程施工合同（示范文本）》（GF-2013-0201）进行了修订，制定了《建设工程施工合同（示范文本）》（GF-2017-0201）（以下简称《示范文本》）。为了便于合同当事人使用《示范文本》，现就有关问题说明如下：</w:t>
      </w:r>
      <w:r/>
    </w:p>
    <w:p>
      <w:p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一、《示范文本》的组成</w:t>
      </w:r>
      <w:r/>
    </w:p>
    <w:p>
      <w:p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《示范文本》由合同协议书、通用合同条款和专用合同条款三部分组成。</w:t>
      </w:r>
      <w:r/>
    </w:p>
    <w:p>
      <w:p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（一）合同协议书</w:t>
      </w:r>
      <w:r/>
    </w:p>
    <w:p>
      <w:p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p>
    <w:p>
      <w:p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（二）通用合同条款</w:t>
      </w:r>
      <w:r/>
    </w:p>
    <w:p>
      <w:p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通用合同条款是合同当事人根据《中华人民共和国建筑法》《中华人民共和国民法典》等法律法规的规定，就工程建设的实施及相关事项，对合同当事人的权利义务作出的原则性约定。</w:t>
      </w:r>
      <w:r/>
    </w:p>
    <w:p>
      <w:p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p>
    <w:p>
      <w:p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（三）专用合同条款</w:t>
      </w:r>
      <w:r/>
    </w:p>
    <w:p>
      <w:p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p>
    <w:p>
      <w:p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1.专用合同条款的编号应与相应的通用合同条款的编号一致；</w:t>
      </w:r>
      <w:r/>
    </w:p>
    <w:p>
      <w:p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2.合同当事人可以通过对专用合同条款的修改，满足具体建设工程的特殊要求，避免直接修改通用合同条款；</w:t>
      </w:r>
      <w:r/>
    </w:p>
    <w:p>
      <w:p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3.在专用合同条款中有横道线的地方，合同当事人可针对相应的通用合同条款进行细化、完善、补充、修改或另行约定；如无细化、完善、补充、修改或另行约定，则填写“无”或划“/”。</w:t>
      </w:r>
      <w:r/>
    </w:p>
    <w:p>
      <w:pPr>
        <w:ind w:firstLine="420"/>
        <w:rPr>
          <w:rFonts w:hint="eastAsia" w:ascii="宋体" w:hAnsi="宋体" w:eastAsia="宋体" w:cs="宋体"/>
          <w:szCs w:val="21"/>
          <w:highlight w:val="none"/>
        </w:rPr>
      </w:pPr>
      <w:r>
        <w:rPr>
          <w:rFonts w:hint="eastAsia" w:ascii="宋体" w:hAnsi="宋体" w:eastAsia="宋体" w:cs="宋体"/>
          <w:szCs w:val="21"/>
          <w:highlight w:val="none"/>
        </w:rPr>
        <w:t xml:space="preserve">二、《示范文本》的性质和适用范围</w:t>
      </w:r>
      <w:r/>
    </w:p>
    <w:p>
      <w:pPr>
        <w:ind w:firstLine="420"/>
        <w:rPr>
          <w:rFonts w:hint="eastAsia" w:ascii="宋体" w:hAnsi="宋体" w:eastAsia="宋体" w:cs="宋体"/>
          <w:szCs w:val="21"/>
          <w:highlight w:val="none"/>
        </w:rPr>
        <w:sectPr>
          <w:footerReference w:type="default" r:id="rId14"/>
          <w:footnotePr/>
          <w:endnotePr/>
          <w:type w:val="nextPage"/>
          <w:pgSz w:w="11906" w:h="16838" w:orient="portrait"/>
          <w:pgMar w:top="1418" w:right="1555" w:bottom="1418" w:left="1531" w:header="851" w:footer="992" w:gutter="0"/>
          <w:pgNumType w:start="1"/>
          <w:cols w:num="1" w:sep="0" w:space="720" w:equalWidth="1"/>
          <w:docGrid w:linePitch="360"/>
        </w:sectPr>
      </w:pPr>
      <w:r>
        <w:rPr>
          <w:rFonts w:hint="eastAsia" w:ascii="宋体" w:hAnsi="宋体" w:eastAsia="宋体" w:cs="宋体"/>
          <w:szCs w:val="21"/>
          <w:highlight w:val="none"/>
        </w:rPr>
        <w:t xml:space="preserve">《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r/>
    </w:p>
    <w:p>
      <w:pPr>
        <w:ind w:firstLine="216"/>
        <w:jc w:val="center"/>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第一部分 合同协议书</w:t>
      </w:r>
      <w:r/>
    </w:p>
    <w:p>
      <w:pPr>
        <w:spacing w:line="420" w:lineRule="exact"/>
        <w:rPr>
          <w:rFonts w:hint="eastAsia" w:ascii="宋体" w:hAnsi="宋体" w:eastAsia="宋体" w:cs="宋体"/>
          <w:sz w:val="24"/>
          <w:highlight w:val="none"/>
        </w:rPr>
      </w:pPr>
      <w:r>
        <w:rPr>
          <w:rFonts w:hint="eastAsia" w:ascii="宋体" w:hAnsi="宋体" w:eastAsia="宋体" w:cs="宋体"/>
          <w:b/>
          <w:szCs w:val="21"/>
          <w:highlight w:val="none"/>
        </w:rPr>
        <w:t xml:space="preserve">发包人（全称）：</w:t>
      </w:r>
      <w:r>
        <w:rPr>
          <w:rFonts w:hint="eastAsia" w:ascii="宋体" w:hAnsi="宋体" w:cs="宋体"/>
          <w:szCs w:val="21"/>
          <w:highlight w:val="none"/>
          <w:u w:val="single"/>
        </w:rPr>
        <w:t xml:space="preserve">盐城市盐都区</w:t>
      </w:r>
      <w:r>
        <w:rPr>
          <w:rFonts w:hint="eastAsia" w:ascii="宋体" w:hAnsi="宋体" w:cs="宋体"/>
          <w:szCs w:val="21"/>
          <w:highlight w:val="none"/>
          <w:u w:val="single"/>
          <w:lang w:eastAsia="zh-CN"/>
        </w:rPr>
        <w:t xml:space="preserve">大冈</w:t>
      </w:r>
      <w:r>
        <w:rPr>
          <w:rFonts w:hint="eastAsia" w:ascii="宋体" w:hAnsi="宋体" w:cs="宋体"/>
          <w:szCs w:val="21"/>
          <w:highlight w:val="none"/>
          <w:u w:val="single"/>
        </w:rPr>
        <w:t xml:space="preserve">镇人民政府</w:t>
      </w:r>
      <w:r/>
    </w:p>
    <w:p>
      <w:pPr>
        <w:spacing w:line="420" w:lineRule="exact"/>
        <w:rPr>
          <w:rFonts w:hint="eastAsia" w:ascii="宋体" w:hAnsi="宋体" w:eastAsia="宋体" w:cs="宋体"/>
          <w:b/>
          <w:szCs w:val="21"/>
          <w:highlight w:val="none"/>
          <w:u w:val="single"/>
        </w:rPr>
      </w:pPr>
      <w:r>
        <w:rPr>
          <w:rFonts w:hint="eastAsia" w:ascii="宋体" w:hAnsi="宋体" w:eastAsia="宋体" w:cs="宋体"/>
          <w:b/>
          <w:szCs w:val="21"/>
          <w:highlight w:val="none"/>
        </w:rPr>
        <w:t xml:space="preserve">承包人（全称）：</w:t>
      </w:r>
      <w:r>
        <w:rPr>
          <w:rFonts w:hint="eastAsia" w:ascii="宋体" w:hAnsi="宋体" w:eastAsia="宋体" w:cs="宋体"/>
          <w:b/>
          <w:szCs w:val="21"/>
          <w:highlight w:val="none"/>
          <w:u w:val="single"/>
        </w:rPr>
        <w:t xml:space="preserve">                 </w:t>
      </w:r>
      <w:r/>
    </w:p>
    <w:p>
      <w:pPr>
        <w:ind w:firstLine="420"/>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根据《中华人民共和国民法典》、《中华人民共和国建筑法》及有关法律规定，遵循平等、自愿、公平和诚实信用的原则，双方就</w:t>
      </w:r>
      <w:r>
        <w:rPr>
          <w:rFonts w:hint="eastAsia" w:ascii="宋体" w:hAnsi="宋体" w:eastAsia="宋体" w:cs="宋体"/>
          <w:szCs w:val="21"/>
          <w:highlight w:val="none"/>
          <w:u w:val="single"/>
          <w:lang w:eastAsia="zh-CN"/>
        </w:rPr>
        <w:t xml:space="preserve">大冈镇老旧小区改造项目</w:t>
      </w:r>
      <w:r>
        <w:rPr>
          <w:rFonts w:hint="eastAsia" w:ascii="宋体" w:hAnsi="宋体" w:eastAsia="宋体" w:cs="宋体"/>
          <w:szCs w:val="21"/>
          <w:highlight w:val="none"/>
        </w:rPr>
        <w:t xml:space="preserve">施工及有关事项协商一致，共同达成如下协议：</w:t>
      </w:r>
      <w:r/>
    </w:p>
    <w:p>
      <w:pPr>
        <w:keepLines/>
        <w:keepNext/>
        <w:spacing w:line="42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    </w:t>
      </w:r>
      <w:bookmarkStart w:id="169" w:name="_Toc351203481"/>
      <w:r>
        <w:rPr>
          <w:rFonts w:hint="eastAsia" w:ascii="宋体" w:hAnsi="宋体" w:eastAsia="宋体" w:cs="宋体"/>
          <w:b/>
          <w:szCs w:val="21"/>
          <w:highlight w:val="none"/>
        </w:rPr>
        <w:t xml:space="preserve">一、工程概况</w:t>
      </w:r>
      <w:bookmarkEnd w:id="169"/>
      <w:r/>
      <w:r/>
    </w:p>
    <w:p>
      <w:pPr>
        <w:ind w:firstLine="411"/>
        <w:spacing w:line="420" w:lineRule="exact"/>
        <w:rPr>
          <w:rFonts w:hint="eastAsia" w:ascii="宋体" w:hAnsi="宋体" w:eastAsia="宋体" w:cs="宋体"/>
          <w:szCs w:val="21"/>
          <w:highlight w:val="none"/>
          <w:u w:val="single"/>
        </w:rPr>
      </w:pPr>
      <w:r>
        <w:rPr>
          <w:rFonts w:hint="eastAsia" w:ascii="宋体" w:hAnsi="宋体" w:eastAsia="宋体" w:cs="宋体"/>
          <w:bCs/>
          <w:szCs w:val="21"/>
          <w:highlight w:val="none"/>
        </w:rPr>
        <w:t xml:space="preserve">1.工程名称</w:t>
      </w:r>
      <w:r>
        <w:rPr>
          <w:rFonts w:hint="eastAsia" w:ascii="宋体" w:hAnsi="宋体" w:eastAsia="宋体" w:cs="宋体"/>
          <w:szCs w:val="21"/>
          <w:highlight w:val="none"/>
        </w:rPr>
        <w:t xml:space="preserve">：</w:t>
      </w:r>
      <w:r>
        <w:rPr>
          <w:rFonts w:hint="eastAsia" w:ascii="宋体" w:hAnsi="宋体" w:eastAsia="宋体" w:cs="宋体"/>
          <w:szCs w:val="21"/>
          <w:highlight w:val="none"/>
          <w:u w:val="single"/>
          <w:lang w:eastAsia="zh-CN"/>
        </w:rPr>
        <w:t xml:space="preserve">大冈镇老旧小区改造项目</w:t>
      </w:r>
      <w:r>
        <w:rPr>
          <w:rFonts w:hint="eastAsia" w:ascii="宋体" w:hAnsi="宋体" w:eastAsia="宋体" w:cs="宋体"/>
          <w:szCs w:val="21"/>
          <w:highlight w:val="none"/>
        </w:rPr>
        <w:t xml:space="preserve">。</w:t>
      </w:r>
      <w:r/>
    </w:p>
    <w:p>
      <w:pPr>
        <w:ind w:firstLine="411"/>
        <w:spacing w:line="42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2.工程地点：</w:t>
      </w:r>
      <w:r>
        <w:rPr>
          <w:rFonts w:hint="eastAsia" w:ascii="宋体" w:hAnsi="宋体" w:cs="宋体"/>
          <w:szCs w:val="21"/>
          <w:highlight w:val="none"/>
          <w:u w:val="single"/>
        </w:rPr>
        <w:t xml:space="preserve">盐都区</w:t>
      </w:r>
      <w:r>
        <w:rPr>
          <w:rFonts w:hint="eastAsia" w:ascii="宋体" w:hAnsi="宋体" w:cs="宋体"/>
          <w:szCs w:val="21"/>
          <w:highlight w:val="none"/>
          <w:u w:val="single"/>
          <w:lang w:eastAsia="zh-CN"/>
        </w:rPr>
        <w:t xml:space="preserve">大冈</w:t>
      </w:r>
      <w:r>
        <w:rPr>
          <w:rFonts w:hint="eastAsia" w:ascii="宋体" w:hAnsi="宋体" w:cs="宋体"/>
          <w:szCs w:val="21"/>
          <w:highlight w:val="none"/>
          <w:u w:val="single"/>
        </w:rPr>
        <w:t xml:space="preserve">镇境内</w:t>
      </w:r>
      <w:r>
        <w:rPr>
          <w:rFonts w:hint="eastAsia" w:ascii="宋体" w:hAnsi="宋体" w:eastAsia="宋体" w:cs="宋体"/>
          <w:szCs w:val="21"/>
          <w:highlight w:val="none"/>
        </w:rPr>
        <w:t xml:space="preserve">。</w:t>
      </w:r>
      <w:r/>
    </w:p>
    <w:p>
      <w:pPr>
        <w:ind w:firstLine="411"/>
        <w:spacing w:line="42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3.工程立项批准文号：</w:t>
      </w:r>
      <w:r>
        <w:rPr>
          <w:rFonts w:hint="eastAsia" w:ascii="宋体" w:hAnsi="宋体" w:cs="宋体"/>
          <w:szCs w:val="21"/>
          <w:highlight w:val="none"/>
          <w:u w:val="single"/>
        </w:rPr>
        <w:t xml:space="preserve">都政服投资复(2026)290号</w:t>
      </w:r>
      <w:r>
        <w:rPr>
          <w:rFonts w:hint="eastAsia" w:ascii="宋体" w:hAnsi="宋体" w:eastAsia="宋体" w:cs="宋体"/>
          <w:bCs/>
          <w:szCs w:val="21"/>
          <w:highlight w:val="none"/>
        </w:rPr>
        <w:t xml:space="preserve">。</w:t>
      </w:r>
      <w:r/>
    </w:p>
    <w:p>
      <w:pPr>
        <w:ind w:firstLine="411"/>
        <w:spacing w:line="42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4.资金来源：</w:t>
      </w:r>
      <w:r>
        <w:rPr>
          <w:rFonts w:hint="eastAsia" w:ascii="宋体" w:hAnsi="宋体" w:eastAsia="宋体" w:cs="宋体"/>
          <w:bCs/>
          <w:szCs w:val="21"/>
          <w:highlight w:val="none"/>
          <w:u w:val="single"/>
        </w:rPr>
        <w:t xml:space="preserve">财政资金</w:t>
      </w:r>
      <w:r>
        <w:rPr>
          <w:rFonts w:hint="eastAsia" w:ascii="宋体" w:hAnsi="宋体" w:cs="宋体"/>
          <w:bCs/>
          <w:szCs w:val="21"/>
          <w:highlight w:val="none"/>
          <w:u w:val="single"/>
        </w:rPr>
        <w:t xml:space="preserve">，</w:t>
      </w:r>
      <w:r>
        <w:rPr>
          <w:rFonts w:hint="eastAsia" w:ascii="宋体" w:hAnsi="宋体" w:eastAsia="宋体" w:cs="宋体"/>
          <w:bCs/>
          <w:szCs w:val="21"/>
          <w:highlight w:val="none"/>
          <w:u w:val="single"/>
        </w:rPr>
        <w:t xml:space="preserve">已落实。</w:t>
      </w:r>
      <w:r/>
    </w:p>
    <w:p>
      <w:pPr>
        <w:ind w:firstLine="411"/>
        <w:spacing w:line="42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5.工程内容：</w:t>
      </w:r>
      <w:r>
        <w:rPr>
          <w:rFonts w:hint="eastAsia" w:ascii="宋体" w:hAnsi="宋体" w:eastAsia="宋体" w:cs="宋体"/>
          <w:szCs w:val="21"/>
          <w:highlight w:val="none"/>
          <w:u w:val="single"/>
          <w:lang w:eastAsia="zh-CN"/>
        </w:rPr>
        <w:t xml:space="preserve">大冈镇老旧小区改造项目</w:t>
      </w:r>
      <w:r>
        <w:rPr>
          <w:rFonts w:hint="eastAsia" w:ascii="宋体" w:hAnsi="宋体" w:eastAsia="宋体" w:cs="宋体"/>
          <w:szCs w:val="21"/>
          <w:highlight w:val="none"/>
          <w:u w:val="single"/>
        </w:rPr>
        <w:t xml:space="preserve">的施工，具体以发包人提供的工程量清单、图纸及采购人现场要求为准，发包人保留对上述工程量及范围适当调整的权利。</w:t>
      </w:r>
      <w:r/>
    </w:p>
    <w:p>
      <w:pPr>
        <w:ind w:firstLine="411"/>
        <w:spacing w:line="42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6.工程承包范围：</w:t>
      </w:r>
      <w:r/>
    </w:p>
    <w:p>
      <w:pPr>
        <w:ind w:firstLine="420"/>
        <w:spacing w:line="420" w:lineRule="exact"/>
        <w:rPr>
          <w:rFonts w:hint="eastAsia" w:ascii="宋体" w:hAnsi="宋体" w:eastAsia="宋体" w:cs="宋体"/>
          <w:b/>
          <w:bCs/>
          <w:szCs w:val="21"/>
          <w:highlight w:val="none"/>
        </w:rPr>
      </w:pPr>
      <w:r>
        <w:rPr>
          <w:rFonts w:hint="eastAsia" w:ascii="宋体" w:hAnsi="宋体" w:eastAsia="宋体" w:cs="宋体"/>
          <w:szCs w:val="21"/>
          <w:highlight w:val="none"/>
          <w:u w:val="single"/>
          <w:lang w:eastAsia="zh-CN"/>
        </w:rPr>
        <w:t xml:space="preserve">大冈镇老旧小区改造项目</w:t>
      </w:r>
      <w:r>
        <w:rPr>
          <w:rFonts w:hint="eastAsia" w:ascii="宋体" w:hAnsi="宋体" w:eastAsia="宋体" w:cs="宋体"/>
          <w:szCs w:val="21"/>
          <w:highlight w:val="none"/>
          <w:u w:val="single"/>
        </w:rPr>
        <w:t xml:space="preserve">，具体以发包人提供的施工图纸和工程量清单为准。工程总承包的施工内容为包工、包料、包工期、包质量、包安全、包文明施工、包交付、包工程竣工验收备案、包整体移交（含档案移交）及竣工验收合格及缺陷责任期内的保修。发包人保留调整部分工程量的权利。</w:t>
      </w:r>
      <w:r/>
    </w:p>
    <w:p>
      <w:pPr>
        <w:ind w:firstLine="422"/>
        <w:keepLines/>
        <w:keepNext/>
        <w:spacing w:line="420" w:lineRule="exact"/>
        <w:rPr>
          <w:rFonts w:hint="eastAsia" w:ascii="宋体" w:hAnsi="宋体" w:eastAsia="宋体" w:cs="宋体"/>
          <w:b/>
          <w:szCs w:val="21"/>
          <w:highlight w:val="none"/>
        </w:rPr>
      </w:pPr>
      <w:r/>
      <w:bookmarkStart w:id="170" w:name="_Toc351203482"/>
      <w:r>
        <w:rPr>
          <w:rFonts w:hint="eastAsia" w:ascii="宋体" w:hAnsi="宋体" w:eastAsia="宋体" w:cs="宋体"/>
          <w:b/>
          <w:szCs w:val="21"/>
          <w:highlight w:val="none"/>
        </w:rPr>
        <w:t xml:space="preserve">二、合同工期</w:t>
      </w:r>
      <w:bookmarkEnd w:id="170"/>
      <w:r/>
      <w:r/>
    </w:p>
    <w:p>
      <w:pPr>
        <w:ind w:firstLine="459"/>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计划开工日期：</w:t>
      </w:r>
      <w:r>
        <w:rPr>
          <w:rFonts w:hint="eastAsia" w:ascii="宋体" w:hAnsi="宋体" w:cs="宋体"/>
          <w:szCs w:val="21"/>
          <w:highlight w:val="none"/>
          <w:u w:val="single"/>
        </w:rPr>
        <w:t xml:space="preserve">2026</w:t>
      </w:r>
      <w:r>
        <w:rPr>
          <w:rFonts w:hint="eastAsia" w:ascii="宋体" w:hAnsi="宋体" w:eastAsia="宋体" w:cs="宋体"/>
          <w:szCs w:val="21"/>
          <w:highlight w:val="none"/>
          <w:u w:val="single"/>
        </w:rPr>
        <w:t xml:space="preserve">年  </w:t>
      </w:r>
      <w:r>
        <w:rPr>
          <w:rFonts w:hint="eastAsia" w:ascii="宋体" w:hAnsi="宋体" w:eastAsia="宋体" w:cs="宋体"/>
          <w:szCs w:val="21"/>
          <w:highlight w:val="none"/>
          <w:u w:val="single"/>
        </w:rPr>
        <w:t xml:space="preserve">月  </w:t>
      </w:r>
      <w:r>
        <w:rPr>
          <w:rFonts w:hint="eastAsia" w:ascii="宋体" w:hAnsi="宋体" w:eastAsia="宋体" w:cs="宋体"/>
          <w:szCs w:val="21"/>
          <w:highlight w:val="none"/>
          <w:u w:val="single"/>
        </w:rPr>
        <w:t xml:space="preserve">日</w:t>
      </w:r>
      <w:r>
        <w:rPr>
          <w:rFonts w:hint="eastAsia" w:ascii="宋体" w:hAnsi="宋体" w:eastAsia="宋体" w:cs="宋体"/>
          <w:szCs w:val="21"/>
          <w:highlight w:val="none"/>
        </w:rPr>
        <w:t xml:space="preserve">。</w:t>
      </w:r>
      <w:r/>
    </w:p>
    <w:p>
      <w:pPr>
        <w:ind w:firstLine="459"/>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计划竣工日期：</w:t>
      </w:r>
      <w:r>
        <w:rPr>
          <w:rFonts w:hint="eastAsia" w:ascii="宋体" w:hAnsi="宋体" w:cs="宋体"/>
          <w:szCs w:val="21"/>
          <w:highlight w:val="none"/>
          <w:u w:val="single"/>
        </w:rPr>
        <w:t xml:space="preserve">2026</w:t>
      </w:r>
      <w:r>
        <w:rPr>
          <w:rFonts w:hint="eastAsia" w:ascii="宋体" w:hAnsi="宋体" w:eastAsia="宋体" w:cs="宋体"/>
          <w:szCs w:val="21"/>
          <w:highlight w:val="none"/>
          <w:u w:val="single"/>
        </w:rPr>
        <w:t xml:space="preserve">年  </w:t>
      </w:r>
      <w:r>
        <w:rPr>
          <w:rFonts w:hint="eastAsia" w:ascii="宋体" w:hAnsi="宋体" w:eastAsia="宋体" w:cs="宋体"/>
          <w:szCs w:val="21"/>
          <w:highlight w:val="none"/>
          <w:u w:val="single"/>
        </w:rPr>
        <w:t xml:space="preserve">月  </w:t>
      </w:r>
      <w:r>
        <w:rPr>
          <w:rFonts w:hint="eastAsia" w:ascii="宋体" w:hAnsi="宋体" w:eastAsia="宋体" w:cs="宋体"/>
          <w:szCs w:val="21"/>
          <w:highlight w:val="none"/>
          <w:u w:val="single"/>
        </w:rPr>
        <w:t xml:space="preserve">日</w:t>
      </w:r>
      <w:r>
        <w:rPr>
          <w:rFonts w:hint="eastAsia" w:ascii="宋体" w:hAnsi="宋体" w:eastAsia="宋体" w:cs="宋体"/>
          <w:szCs w:val="21"/>
          <w:highlight w:val="none"/>
        </w:rPr>
        <w:t xml:space="preserve">。</w:t>
      </w:r>
      <w:r/>
    </w:p>
    <w:p>
      <w:pPr>
        <w:ind w:firstLine="459"/>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工期总日历天数：60</w:t>
      </w:r>
      <w:r>
        <w:rPr>
          <w:rFonts w:hint="eastAsia" w:ascii="宋体" w:hAnsi="宋体" w:eastAsia="宋体" w:cs="宋体"/>
          <w:szCs w:val="21"/>
          <w:highlight w:val="none"/>
        </w:rPr>
        <w:t xml:space="preserve">日历天</w:t>
      </w:r>
      <w:r>
        <w:rPr>
          <w:rFonts w:hint="eastAsia" w:ascii="宋体" w:hAnsi="宋体" w:eastAsia="宋体" w:cs="宋体"/>
          <w:szCs w:val="21"/>
          <w:highlight w:val="none"/>
        </w:rPr>
        <w:t xml:space="preserve">。工期总日历天数与根据前述计划开竣工日期计算的工期天数不一致的，以工期总日历天数为准。</w:t>
      </w:r>
      <w:r/>
    </w:p>
    <w:p>
      <w:pPr>
        <w:pStyle w:val="992"/>
        <w:ind w:firstLine="420"/>
        <w:spacing w:line="42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特别说明：</w:t>
      </w:r>
      <w:r/>
    </w:p>
    <w:p>
      <w:pPr>
        <w:pStyle w:val="992"/>
        <w:ind w:firstLine="420"/>
        <w:spacing w:line="42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1.具体开工日期以发包人或监理人的书面开工通知为准。</w:t>
      </w:r>
      <w:r/>
    </w:p>
    <w:p>
      <w:pPr>
        <w:pStyle w:val="992"/>
        <w:ind w:firstLine="420"/>
        <w:spacing w:line="42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2.若因土地征收或响应政府要求等客观原因造成无法正常开工，发包人可无条件将工期延后或终止项目。</w:t>
      </w:r>
      <w:r/>
    </w:p>
    <w:p>
      <w:pPr>
        <w:pStyle w:val="992"/>
        <w:ind w:firstLine="420"/>
        <w:spacing w:line="42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3.如因政策调整等不可预见原因项目取消或终止，自动解除合同，承包人不得以此对发包人要求经济补偿，双方互不承担责任。</w:t>
      </w:r>
      <w:r/>
    </w:p>
    <w:p>
      <w:pPr>
        <w:pStyle w:val="992"/>
        <w:ind w:firstLine="420"/>
        <w:spacing w:line="42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4.实际施工过程中如因交通封闭分幅施工等客观原因造成多次进场分段施工的，所产生的费用由承包人自行承担，发包人不另行增加费用。</w:t>
      </w:r>
      <w:r/>
    </w:p>
    <w:p>
      <w:pPr>
        <w:ind w:firstLine="422"/>
        <w:keepLines/>
        <w:keepNext/>
        <w:spacing w:line="420" w:lineRule="exact"/>
        <w:rPr>
          <w:rFonts w:hint="eastAsia" w:ascii="宋体" w:hAnsi="宋体" w:eastAsia="宋体" w:cs="宋体"/>
          <w:b/>
          <w:szCs w:val="21"/>
          <w:highlight w:val="none"/>
        </w:rPr>
      </w:pPr>
      <w:r/>
      <w:bookmarkStart w:id="171" w:name="_Toc351203483"/>
      <w:r>
        <w:rPr>
          <w:rFonts w:hint="eastAsia" w:ascii="宋体" w:hAnsi="宋体" w:eastAsia="宋体" w:cs="宋体"/>
          <w:b/>
          <w:szCs w:val="21"/>
          <w:highlight w:val="none"/>
        </w:rPr>
        <w:t xml:space="preserve">三、质量标准</w:t>
      </w:r>
      <w:bookmarkEnd w:id="171"/>
      <w:r/>
      <w:r/>
    </w:p>
    <w:p>
      <w:pPr>
        <w:ind w:firstLine="459"/>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工程质量符合</w:t>
      </w:r>
      <w:r>
        <w:rPr>
          <w:rFonts w:hint="eastAsia" w:ascii="宋体" w:hAnsi="宋体" w:eastAsia="宋体" w:cs="宋体"/>
          <w:szCs w:val="21"/>
          <w:highlight w:val="none"/>
          <w:u w:val="single"/>
        </w:rPr>
        <w:t xml:space="preserve">合格</w:t>
      </w:r>
      <w:r>
        <w:rPr>
          <w:rFonts w:hint="eastAsia" w:ascii="宋体" w:hAnsi="宋体" w:eastAsia="宋体" w:cs="宋体"/>
          <w:szCs w:val="21"/>
          <w:highlight w:val="none"/>
        </w:rPr>
        <w:t xml:space="preserve">标准。</w:t>
      </w:r>
      <w:bookmarkStart w:id="172" w:name="_Toc351203484"/>
      <w:r>
        <w:rPr>
          <w:rFonts w:hint="eastAsia" w:ascii="宋体" w:hAnsi="宋体" w:eastAsia="宋体" w:cs="宋体"/>
          <w:szCs w:val="21"/>
          <w:highlight w:val="none"/>
        </w:rPr>
        <w:t xml:space="preserve">满足合同及图纸设计要求，达到国家、所在省市现行有关施工质量验收规范要求和该类工程质量验收的标准，并验收合格。</w:t>
      </w:r>
      <w:r/>
    </w:p>
    <w:p>
      <w:pPr>
        <w:ind w:firstLine="459"/>
        <w:spacing w:line="420" w:lineRule="exact"/>
        <w:rPr>
          <w:rFonts w:hint="eastAsia" w:ascii="宋体" w:hAnsi="宋体" w:eastAsia="宋体" w:cs="宋体"/>
          <w:szCs w:val="21"/>
          <w:highlight w:val="none"/>
        </w:rPr>
      </w:pPr>
      <w:r>
        <w:rPr>
          <w:rFonts w:hint="eastAsia" w:ascii="宋体" w:hAnsi="宋体" w:eastAsia="宋体" w:cs="宋体"/>
          <w:b/>
          <w:szCs w:val="21"/>
          <w:highlight w:val="none"/>
        </w:rPr>
        <w:t xml:space="preserve">四、签约合同价与合同价格形式</w:t>
      </w:r>
      <w:bookmarkEnd w:id="172"/>
      <w:r>
        <w:rPr>
          <w:rFonts w:hint="eastAsia" w:ascii="宋体" w:hAnsi="宋体" w:eastAsia="宋体" w:cs="宋体"/>
          <w:szCs w:val="21"/>
          <w:highlight w:val="none"/>
        </w:rPr>
        <w:tab/>
      </w:r>
      <w:r/>
    </w:p>
    <w:p>
      <w:pPr>
        <w:ind w:firstLine="420"/>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1.签约合同价为：</w:t>
      </w:r>
      <w:r/>
    </w:p>
    <w:p>
      <w:pPr>
        <w:ind w:firstLine="420"/>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人民币（大写）</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元)；</w:t>
      </w:r>
      <w:r/>
    </w:p>
    <w:p>
      <w:pPr>
        <w:ind w:firstLine="420"/>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其中：</w:t>
      </w:r>
      <w:r/>
    </w:p>
    <w:p>
      <w:pPr>
        <w:ind w:firstLine="420"/>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（1）安全文明施工费：</w:t>
      </w:r>
      <w:r/>
    </w:p>
    <w:p>
      <w:pPr>
        <w:ind w:firstLine="945"/>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人民币（大写）</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元)；</w:t>
      </w:r>
      <w:r/>
    </w:p>
    <w:p>
      <w:pPr>
        <w:ind w:firstLine="420"/>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（2）材料和工程设备暂估价金额：</w:t>
      </w:r>
      <w:r/>
    </w:p>
    <w:p>
      <w:pPr>
        <w:ind w:firstLine="945"/>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人民币（大写）</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元)；</w:t>
      </w:r>
      <w:r/>
    </w:p>
    <w:p>
      <w:pPr>
        <w:ind w:firstLine="420"/>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（3）专业工程暂估价金额：</w:t>
      </w:r>
      <w:r/>
    </w:p>
    <w:p>
      <w:pPr>
        <w:ind w:firstLine="945"/>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人民币（大写）</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元)；</w:t>
      </w:r>
      <w:r/>
    </w:p>
    <w:p>
      <w:pPr>
        <w:ind w:firstLine="420"/>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（4）暂列金额：</w:t>
      </w:r>
      <w:r/>
    </w:p>
    <w:p>
      <w:pPr>
        <w:ind w:firstLine="945"/>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人民币（大写）</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元)；</w:t>
      </w:r>
      <w:r/>
    </w:p>
    <w:p>
      <w:pPr>
        <w:ind w:firstLine="420"/>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2.合同价格形式：</w:t>
      </w:r>
      <w:r>
        <w:rPr>
          <w:rFonts w:hint="eastAsia" w:ascii="宋体" w:hAnsi="宋体" w:eastAsia="宋体" w:cs="宋体"/>
          <w:szCs w:val="21"/>
          <w:highlight w:val="none"/>
          <w:u w:val="single"/>
        </w:rPr>
        <w:t xml:space="preserve">固定单价合同</w:t>
      </w:r>
      <w:r>
        <w:rPr>
          <w:rFonts w:hint="eastAsia" w:ascii="宋体" w:hAnsi="宋体" w:eastAsia="宋体" w:cs="宋体"/>
          <w:szCs w:val="21"/>
          <w:highlight w:val="none"/>
        </w:rPr>
        <w:t xml:space="preserve">。</w:t>
      </w:r>
      <w:r/>
    </w:p>
    <w:p>
      <w:pPr>
        <w:keepLines/>
        <w:keepNext/>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  </w:t>
      </w:r>
      <w:r>
        <w:rPr>
          <w:rFonts w:hint="eastAsia" w:ascii="宋体" w:hAnsi="宋体" w:eastAsia="宋体" w:cs="宋体"/>
          <w:b/>
          <w:szCs w:val="21"/>
          <w:highlight w:val="none"/>
        </w:rPr>
        <w:t xml:space="preserve">  </w:t>
      </w:r>
      <w:bookmarkStart w:id="173" w:name="_Toc351203485"/>
      <w:r>
        <w:rPr>
          <w:rFonts w:hint="eastAsia" w:ascii="宋体" w:hAnsi="宋体" w:eastAsia="宋体" w:cs="宋体"/>
          <w:b/>
          <w:szCs w:val="21"/>
          <w:highlight w:val="none"/>
        </w:rPr>
        <w:t xml:space="preserve">五、</w:t>
      </w:r>
      <w:bookmarkEnd w:id="173"/>
      <w:r>
        <w:rPr>
          <w:rFonts w:hint="eastAsia" w:ascii="宋体" w:hAnsi="宋体" w:eastAsia="宋体" w:cs="宋体"/>
          <w:b/>
          <w:szCs w:val="21"/>
          <w:highlight w:val="none"/>
        </w:rPr>
        <w:t xml:space="preserve">项目经理</w:t>
      </w:r>
      <w:r/>
    </w:p>
    <w:p>
      <w:pPr>
        <w:ind w:firstLine="420"/>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承包人项目经理：</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keepLines/>
        <w:keepNext/>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    </w:t>
      </w:r>
      <w:bookmarkStart w:id="174" w:name="_Toc351203486"/>
      <w:r>
        <w:rPr>
          <w:rFonts w:hint="eastAsia" w:ascii="宋体" w:hAnsi="宋体" w:eastAsia="宋体" w:cs="宋体"/>
          <w:szCs w:val="21"/>
          <w:highlight w:val="none"/>
        </w:rPr>
        <w:t xml:space="preserve">六、合同文件构成</w:t>
      </w:r>
      <w:bookmarkEnd w:id="174"/>
      <w:r/>
      <w:r/>
    </w:p>
    <w:p>
      <w:pPr>
        <w:ind w:firstLine="420"/>
        <w:spacing w:line="42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本协议书与下列文件一起构成合同文件：</w:t>
      </w:r>
      <w:r/>
    </w:p>
    <w:p>
      <w:pPr>
        <w:ind w:firstLine="420"/>
        <w:jc w:val="left"/>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（1）中标通知书；</w:t>
      </w:r>
      <w:r/>
    </w:p>
    <w:p>
      <w:pPr>
        <w:ind w:firstLine="420"/>
        <w:jc w:val="left"/>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（2）投标函及其附录； </w:t>
      </w:r>
      <w:r/>
    </w:p>
    <w:p>
      <w:pPr>
        <w:ind w:firstLine="420"/>
        <w:jc w:val="left"/>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（3）专用合同条款及其附件；</w:t>
      </w:r>
      <w:r/>
    </w:p>
    <w:p>
      <w:pPr>
        <w:ind w:firstLine="420"/>
        <w:jc w:val="left"/>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（4）通用合同条款；</w:t>
      </w:r>
      <w:r/>
    </w:p>
    <w:p>
      <w:pPr>
        <w:ind w:firstLine="420"/>
        <w:jc w:val="left"/>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（5）技术标准和要求；</w:t>
      </w:r>
      <w:r/>
    </w:p>
    <w:p>
      <w:pPr>
        <w:ind w:firstLine="420"/>
        <w:jc w:val="left"/>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（6）图纸；</w:t>
      </w:r>
      <w:r/>
    </w:p>
    <w:p>
      <w:pPr>
        <w:ind w:firstLine="420"/>
        <w:jc w:val="left"/>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（7）已标价工程量清单或预算书；</w:t>
      </w:r>
      <w:r/>
    </w:p>
    <w:p>
      <w:pPr>
        <w:ind w:firstLine="420"/>
        <w:jc w:val="left"/>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（8）其他合同文件。</w:t>
      </w:r>
      <w:r/>
    </w:p>
    <w:p>
      <w:pPr>
        <w:ind w:firstLine="420"/>
        <w:jc w:val="left"/>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在合同订立及履行过程中形成的与合同有关的文件均构成合同文件组成部分。</w:t>
      </w:r>
      <w:r/>
    </w:p>
    <w:p>
      <w:pPr>
        <w:ind w:firstLine="420"/>
        <w:jc w:val="left"/>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  </w:t>
      </w:r>
      <w:r>
        <w:rPr>
          <w:rFonts w:hint="eastAsia" w:ascii="宋体" w:hAnsi="宋体" w:eastAsia="宋体" w:cs="宋体"/>
          <w:b/>
          <w:szCs w:val="21"/>
          <w:highlight w:val="none"/>
        </w:rPr>
        <w:t xml:space="preserve">  </w:t>
      </w:r>
      <w:bookmarkStart w:id="175" w:name="_Toc351203487"/>
      <w:r>
        <w:rPr>
          <w:rFonts w:hint="eastAsia" w:ascii="宋体" w:hAnsi="宋体" w:eastAsia="宋体" w:cs="宋体"/>
          <w:b/>
          <w:szCs w:val="21"/>
          <w:highlight w:val="none"/>
        </w:rPr>
        <w:t xml:space="preserve">七、承诺</w:t>
      </w:r>
      <w:bookmarkEnd w:id="175"/>
      <w:r/>
      <w:r/>
    </w:p>
    <w:p>
      <w:pPr>
        <w:ind w:firstLine="420"/>
        <w:spacing w:line="42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1.发包人承诺按照法律规定履行项目审批手续、筹集工程建设资金并按照合同约定的期限和方式支付合同价款。</w:t>
      </w:r>
      <w:r/>
    </w:p>
    <w:p>
      <w:pPr>
        <w:ind w:firstLine="420"/>
        <w:spacing w:line="42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spacing w:line="42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3.发包人和承包人通过招投标形式签订合同的，双方理解并承诺不再就同一工程另行签订与合同实质性内容相背离的协议。</w:t>
      </w:r>
      <w:r/>
    </w:p>
    <w:p>
      <w:pPr>
        <w:spacing w:line="420" w:lineRule="exact"/>
        <w:rPr>
          <w:rFonts w:hint="eastAsia" w:ascii="宋体" w:hAnsi="宋体" w:eastAsia="宋体" w:cs="宋体"/>
          <w:bCs/>
          <w:szCs w:val="21"/>
          <w:highlight w:val="none"/>
        </w:rPr>
      </w:pPr>
      <w:r/>
      <w:bookmarkStart w:id="176" w:name="_Toc351203488"/>
      <w:r>
        <w:rPr>
          <w:rFonts w:hint="eastAsia" w:ascii="宋体" w:hAnsi="宋体" w:eastAsia="宋体" w:cs="宋体"/>
          <w:b/>
          <w:szCs w:val="21"/>
          <w:highlight w:val="none"/>
        </w:rPr>
        <w:t xml:space="preserve">    八、词语含义</w:t>
      </w:r>
      <w:bookmarkEnd w:id="176"/>
      <w:r/>
      <w:r/>
    </w:p>
    <w:p>
      <w:pPr>
        <w:ind w:firstLine="420"/>
        <w:spacing w:line="42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本协议书中词语含义与第二部分通用合同条款中赋予的含义相同。</w:t>
      </w:r>
      <w:r/>
    </w:p>
    <w:p>
      <w:pPr>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 </w:t>
      </w:r>
      <w:r>
        <w:rPr>
          <w:rFonts w:hint="eastAsia" w:ascii="宋体" w:hAnsi="宋体" w:eastAsia="宋体" w:cs="宋体"/>
          <w:b/>
          <w:szCs w:val="21"/>
          <w:highlight w:val="none"/>
        </w:rPr>
        <w:t xml:space="preserve">   </w:t>
      </w:r>
      <w:bookmarkStart w:id="177" w:name="_Toc351203489"/>
      <w:r>
        <w:rPr>
          <w:rFonts w:hint="eastAsia" w:ascii="宋体" w:hAnsi="宋体" w:eastAsia="宋体" w:cs="宋体"/>
          <w:b/>
          <w:szCs w:val="21"/>
          <w:highlight w:val="none"/>
        </w:rPr>
        <w:t xml:space="preserve">九、签订时间</w:t>
      </w:r>
      <w:bookmarkEnd w:id="177"/>
      <w:r/>
      <w:r/>
    </w:p>
    <w:p>
      <w:pPr>
        <w:ind w:firstLine="420"/>
        <w:spacing w:line="42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本合同于</w:t>
      </w:r>
      <w:r>
        <w:rPr>
          <w:rFonts w:hint="eastAsia" w:ascii="宋体" w:hAnsi="宋体" w:eastAsia="宋体" w:cs="宋体"/>
          <w:bCs/>
          <w:szCs w:val="21"/>
          <w:highlight w:val="none"/>
          <w:u w:val="single"/>
        </w:rPr>
        <w:t xml:space="preserve">202</w:t>
      </w:r>
      <w:r>
        <w:rPr>
          <w:rFonts w:hint="eastAsia" w:ascii="宋体" w:hAnsi="宋体" w:cs="宋体"/>
          <w:bCs/>
          <w:szCs w:val="21"/>
          <w:highlight w:val="none"/>
          <w:u w:val="single"/>
        </w:rPr>
        <w:t xml:space="preserve">6</w:t>
      </w:r>
      <w:r>
        <w:rPr>
          <w:rFonts w:hint="eastAsia" w:ascii="宋体" w:hAnsi="宋体" w:eastAsia="宋体" w:cs="宋体"/>
          <w:bCs/>
          <w:szCs w:val="21"/>
          <w:highlight w:val="none"/>
        </w:rPr>
        <w:t xml:space="preserve">年</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rPr>
        <w:t xml:space="preserve">月</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rPr>
        <w:t xml:space="preserve">日签订。</w:t>
      </w:r>
      <w:r/>
    </w:p>
    <w:p>
      <w:pPr>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  </w:t>
      </w:r>
      <w:r>
        <w:rPr>
          <w:rFonts w:hint="eastAsia" w:ascii="宋体" w:hAnsi="宋体" w:eastAsia="宋体" w:cs="宋体"/>
          <w:b/>
          <w:szCs w:val="21"/>
          <w:highlight w:val="none"/>
        </w:rPr>
        <w:t xml:space="preserve">  </w:t>
      </w:r>
      <w:bookmarkStart w:id="178" w:name="_Toc351203490"/>
      <w:r>
        <w:rPr>
          <w:rFonts w:hint="eastAsia" w:ascii="宋体" w:hAnsi="宋体" w:eastAsia="宋体" w:cs="宋体"/>
          <w:b/>
          <w:szCs w:val="21"/>
          <w:highlight w:val="none"/>
        </w:rPr>
        <w:t xml:space="preserve">十、签订地点</w:t>
      </w:r>
      <w:bookmarkEnd w:id="178"/>
      <w:r/>
      <w:r/>
    </w:p>
    <w:p>
      <w:pPr>
        <w:ind w:firstLine="420"/>
        <w:spacing w:line="42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本合同在</w:t>
      </w:r>
      <w:r>
        <w:rPr>
          <w:rFonts w:hint="eastAsia" w:ascii="宋体" w:hAnsi="宋体" w:cs="宋体"/>
          <w:bCs/>
          <w:szCs w:val="21"/>
          <w:highlight w:val="none"/>
          <w:u w:val="single"/>
        </w:rPr>
        <w:t xml:space="preserve">盐城市盐都区</w:t>
      </w:r>
      <w:r>
        <w:rPr>
          <w:rFonts w:hint="eastAsia" w:ascii="宋体" w:hAnsi="宋体" w:cs="宋体"/>
          <w:bCs/>
          <w:szCs w:val="21"/>
          <w:highlight w:val="none"/>
          <w:u w:val="single"/>
          <w:lang w:eastAsia="zh-CN"/>
        </w:rPr>
        <w:t xml:space="preserve">大冈</w:t>
      </w:r>
      <w:r>
        <w:rPr>
          <w:rFonts w:hint="eastAsia" w:ascii="宋体" w:hAnsi="宋体" w:cs="宋体"/>
          <w:bCs/>
          <w:szCs w:val="21"/>
          <w:highlight w:val="none"/>
          <w:u w:val="single"/>
        </w:rPr>
        <w:t xml:space="preserve">镇人民政府</w:t>
      </w:r>
      <w:r>
        <w:rPr>
          <w:rFonts w:hint="eastAsia" w:ascii="宋体" w:hAnsi="宋体" w:eastAsia="宋体" w:cs="宋体"/>
          <w:bCs/>
          <w:szCs w:val="21"/>
          <w:highlight w:val="none"/>
        </w:rPr>
        <w:t xml:space="preserve">签订。</w:t>
      </w:r>
      <w:r/>
    </w:p>
    <w:p>
      <w:pPr>
        <w:spacing w:line="42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    </w:t>
      </w:r>
      <w:bookmarkStart w:id="179" w:name="_Toc351203491"/>
      <w:r>
        <w:rPr>
          <w:rFonts w:hint="eastAsia" w:ascii="宋体" w:hAnsi="宋体" w:eastAsia="宋体" w:cs="宋体"/>
          <w:b/>
          <w:szCs w:val="21"/>
          <w:highlight w:val="none"/>
        </w:rPr>
        <w:t xml:space="preserve">十一、补充协议</w:t>
      </w:r>
      <w:bookmarkEnd w:id="179"/>
      <w:r/>
      <w:r/>
    </w:p>
    <w:p>
      <w:pPr>
        <w:ind w:firstLine="420"/>
        <w:spacing w:line="420" w:lineRule="exact"/>
        <w:rPr>
          <w:rFonts w:hint="eastAsia" w:ascii="宋体" w:hAnsi="宋体" w:eastAsia="宋体" w:cs="宋体"/>
          <w:b/>
          <w:bCs/>
          <w:szCs w:val="21"/>
          <w:highlight w:val="none"/>
        </w:rPr>
      </w:pPr>
      <w:r>
        <w:rPr>
          <w:rFonts w:hint="eastAsia" w:ascii="宋体" w:hAnsi="宋体" w:eastAsia="宋体" w:cs="宋体"/>
          <w:bCs/>
          <w:szCs w:val="21"/>
          <w:highlight w:val="none"/>
        </w:rPr>
        <w:t xml:space="preserve">合同未尽事宜，合同当事人另行签订补充协议，补充协议是合同的组成部分。</w:t>
      </w:r>
      <w:r/>
    </w:p>
    <w:p>
      <w:pPr>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 </w:t>
      </w:r>
      <w:r>
        <w:rPr>
          <w:rFonts w:hint="eastAsia" w:ascii="宋体" w:hAnsi="宋体" w:eastAsia="宋体" w:cs="宋体"/>
          <w:b/>
          <w:szCs w:val="21"/>
          <w:highlight w:val="none"/>
        </w:rPr>
        <w:t xml:space="preserve">   </w:t>
      </w:r>
      <w:bookmarkStart w:id="180" w:name="_Toc351203492"/>
      <w:r>
        <w:rPr>
          <w:rFonts w:hint="eastAsia" w:ascii="宋体" w:hAnsi="宋体" w:eastAsia="宋体" w:cs="宋体"/>
          <w:b/>
          <w:szCs w:val="21"/>
          <w:highlight w:val="none"/>
        </w:rPr>
        <w:t xml:space="preserve">十二、合同生效</w:t>
      </w:r>
      <w:bookmarkEnd w:id="180"/>
      <w:r/>
      <w:r/>
    </w:p>
    <w:p>
      <w:pPr>
        <w:ind w:firstLine="420"/>
        <w:spacing w:line="42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本合同自</w:t>
      </w:r>
      <w:r>
        <w:rPr>
          <w:rFonts w:hint="eastAsia" w:ascii="宋体" w:hAnsi="宋体" w:eastAsia="宋体" w:cs="宋体"/>
          <w:bCs/>
          <w:szCs w:val="21"/>
          <w:highlight w:val="none"/>
          <w:u w:val="single"/>
        </w:rPr>
        <w:t xml:space="preserve">双方法定代表人或其委托代理人签字并加盖单位公章</w:t>
      </w:r>
      <w:r>
        <w:rPr>
          <w:rFonts w:hint="eastAsia" w:ascii="宋体" w:hAnsi="宋体" w:eastAsia="宋体" w:cs="宋体"/>
          <w:bCs/>
          <w:szCs w:val="21"/>
          <w:highlight w:val="none"/>
        </w:rPr>
        <w:t xml:space="preserve">生效。</w:t>
      </w:r>
      <w:r/>
    </w:p>
    <w:p>
      <w:pPr>
        <w:spacing w:line="420" w:lineRule="exact"/>
        <w:rPr>
          <w:rFonts w:hint="eastAsia" w:ascii="宋体" w:hAnsi="宋体" w:eastAsia="宋体" w:cs="宋体"/>
          <w:b/>
          <w:bCs/>
          <w:szCs w:val="21"/>
          <w:highlight w:val="none"/>
        </w:rPr>
      </w:pPr>
      <w:r>
        <w:rPr>
          <w:rFonts w:hint="eastAsia" w:ascii="宋体" w:hAnsi="宋体" w:eastAsia="宋体" w:cs="宋体"/>
          <w:szCs w:val="21"/>
          <w:highlight w:val="none"/>
        </w:rPr>
        <w:t xml:space="preserve">  </w:t>
      </w:r>
      <w:r>
        <w:rPr>
          <w:rFonts w:hint="eastAsia" w:ascii="宋体" w:hAnsi="宋体" w:eastAsia="宋体" w:cs="宋体"/>
          <w:b/>
          <w:bCs/>
          <w:szCs w:val="21"/>
          <w:highlight w:val="none"/>
        </w:rPr>
        <w:t xml:space="preserve">  </w:t>
      </w:r>
      <w:bookmarkStart w:id="181" w:name="_Toc351203493"/>
      <w:r>
        <w:rPr>
          <w:rFonts w:hint="eastAsia" w:ascii="宋体" w:hAnsi="宋体" w:eastAsia="宋体" w:cs="宋体"/>
          <w:b/>
          <w:bCs/>
          <w:szCs w:val="21"/>
          <w:highlight w:val="none"/>
        </w:rPr>
        <w:t xml:space="preserve">十三、合同份数</w:t>
      </w:r>
      <w:bookmarkEnd w:id="181"/>
      <w:r/>
      <w:r/>
    </w:p>
    <w:p>
      <w:pPr>
        <w:ind w:firstLine="420"/>
        <w:spacing w:line="42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本合同一式</w:t>
      </w:r>
      <w:r>
        <w:rPr>
          <w:rFonts w:hint="eastAsia" w:ascii="宋体" w:hAnsi="宋体" w:eastAsia="宋体" w:cs="宋体"/>
          <w:bCs/>
          <w:szCs w:val="21"/>
          <w:highlight w:val="none"/>
          <w:u w:val="single"/>
        </w:rPr>
        <w:t xml:space="preserve">  捌  </w:t>
      </w:r>
      <w:r>
        <w:rPr>
          <w:rFonts w:hint="eastAsia" w:ascii="宋体" w:hAnsi="宋体" w:eastAsia="宋体" w:cs="宋体"/>
          <w:bCs/>
          <w:szCs w:val="21"/>
          <w:highlight w:val="none"/>
        </w:rPr>
        <w:t xml:space="preserve">份，均具有同等法律效力，发包人执</w:t>
      </w:r>
      <w:r>
        <w:rPr>
          <w:rFonts w:hint="eastAsia" w:ascii="宋体" w:hAnsi="宋体" w:eastAsia="宋体" w:cs="宋体"/>
          <w:bCs/>
          <w:szCs w:val="21"/>
          <w:highlight w:val="none"/>
          <w:u w:val="single"/>
        </w:rPr>
        <w:t xml:space="preserve">  肆  </w:t>
      </w:r>
      <w:r>
        <w:rPr>
          <w:rFonts w:hint="eastAsia" w:ascii="宋体" w:hAnsi="宋体" w:eastAsia="宋体" w:cs="宋体"/>
          <w:bCs/>
          <w:szCs w:val="21"/>
          <w:highlight w:val="none"/>
        </w:rPr>
        <w:t xml:space="preserve">份，承包人执</w:t>
      </w:r>
      <w:r>
        <w:rPr>
          <w:rFonts w:hint="eastAsia" w:ascii="宋体" w:hAnsi="宋体" w:eastAsia="宋体" w:cs="宋体"/>
          <w:bCs/>
          <w:szCs w:val="21"/>
          <w:highlight w:val="none"/>
          <w:u w:val="single"/>
        </w:rPr>
        <w:t xml:space="preserve">  肆  </w:t>
      </w:r>
      <w:r>
        <w:rPr>
          <w:rFonts w:hint="eastAsia" w:ascii="宋体" w:hAnsi="宋体" w:eastAsia="宋体" w:cs="宋体"/>
          <w:bCs/>
          <w:szCs w:val="21"/>
          <w:highlight w:val="none"/>
        </w:rPr>
        <w:t xml:space="preserve">份。</w:t>
      </w:r>
      <w:r/>
    </w:p>
    <w:p>
      <w:pPr>
        <w:ind w:firstLine="420"/>
        <w:spacing w:line="420" w:lineRule="exact"/>
        <w:rPr>
          <w:rFonts w:hint="eastAsia" w:ascii="宋体" w:hAnsi="宋体" w:eastAsia="宋体" w:cs="宋体"/>
          <w:bCs/>
          <w:szCs w:val="21"/>
          <w:highlight w:val="none"/>
        </w:rPr>
      </w:pPr>
      <w:r>
        <w:rPr>
          <w:rFonts w:hint="eastAsia" w:ascii="宋体" w:hAnsi="宋体" w:eastAsia="宋体" w:cs="宋体"/>
          <w:bCs/>
          <w:szCs w:val="21"/>
          <w:highlight w:val="none"/>
        </w:rPr>
      </w:r>
      <w:r/>
    </w:p>
    <w:p>
      <w:pPr>
        <w:ind w:firstLine="420"/>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发包人：  (公章)                     承包人：  (公章)</w:t>
      </w:r>
      <w:r/>
    </w:p>
    <w:p>
      <w:pPr>
        <w:spacing w:line="420" w:lineRule="exact"/>
        <w:rPr>
          <w:rFonts w:hint="eastAsia" w:ascii="宋体" w:hAnsi="宋体" w:eastAsia="宋体" w:cs="宋体"/>
          <w:szCs w:val="21"/>
          <w:highlight w:val="none"/>
          <w:u w:val="single"/>
        </w:rPr>
      </w:pPr>
      <w:r>
        <w:rPr>
          <w:rFonts w:hint="eastAsia" w:ascii="宋体" w:hAnsi="宋体" w:eastAsia="宋体" w:cs="宋体"/>
          <w:szCs w:val="21"/>
          <w:highlight w:val="none"/>
        </w:rPr>
        <w:t xml:space="preserve">                                 </w:t>
      </w:r>
      <w:r/>
    </w:p>
    <w:p>
      <w:pPr>
        <w:ind w:firstLine="420"/>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法定代表人或其委托代理人：           法定代表人或其委托代理人：</w:t>
      </w:r>
      <w:r/>
    </w:p>
    <w:p>
      <w:pPr>
        <w:spacing w:line="420" w:lineRule="exact"/>
        <w:rPr>
          <w:rFonts w:hint="eastAsia" w:ascii="宋体" w:hAnsi="宋体" w:eastAsia="宋体" w:cs="宋体"/>
          <w:szCs w:val="21"/>
          <w:highlight w:val="none"/>
          <w:u w:val="single"/>
        </w:rPr>
      </w:pPr>
      <w:r>
        <w:rPr>
          <w:rFonts w:hint="eastAsia" w:ascii="宋体" w:hAnsi="宋体" w:eastAsia="宋体" w:cs="宋体"/>
          <w:szCs w:val="21"/>
          <w:highlight w:val="none"/>
        </w:rPr>
        <w:t xml:space="preserve">（签字）                                （签字）</w:t>
      </w:r>
      <w:r/>
    </w:p>
    <w:p>
      <w:pPr>
        <w:ind w:firstLine="420"/>
        <w:spacing w:line="420" w:lineRule="exact"/>
        <w:tabs>
          <w:tab w:val="left" w:pos="441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组织机构代码：</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组织机构代码：</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p>
    <w:p>
      <w:pPr>
        <w:ind w:firstLine="420"/>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地  址：</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地  址：</w:t>
      </w:r>
      <w:r>
        <w:rPr>
          <w:rFonts w:hint="eastAsia" w:ascii="宋体" w:hAnsi="宋体" w:eastAsia="宋体" w:cs="宋体"/>
          <w:szCs w:val="21"/>
          <w:highlight w:val="none"/>
          <w:u w:val="single"/>
        </w:rPr>
        <w:t xml:space="preserve">      </w:t>
      </w:r>
      <w:r/>
    </w:p>
    <w:p>
      <w:pPr>
        <w:ind w:firstLine="420"/>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邮政编码：</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邮政编码：</w:t>
      </w:r>
      <w:r>
        <w:rPr>
          <w:rFonts w:hint="eastAsia" w:ascii="宋体" w:hAnsi="宋体" w:eastAsia="宋体" w:cs="宋体"/>
          <w:szCs w:val="21"/>
          <w:highlight w:val="none"/>
          <w:u w:val="single"/>
        </w:rPr>
        <w:t xml:space="preserve">   </w:t>
      </w:r>
      <w:r/>
    </w:p>
    <w:p>
      <w:pPr>
        <w:ind w:firstLine="420"/>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法定代表人：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法定代表人：</w:t>
      </w:r>
      <w:r>
        <w:rPr>
          <w:rFonts w:hint="eastAsia" w:ascii="宋体" w:hAnsi="宋体" w:eastAsia="宋体" w:cs="宋体"/>
          <w:szCs w:val="21"/>
          <w:highlight w:val="none"/>
          <w:u w:val="single"/>
        </w:rPr>
        <w:t xml:space="preserve">       </w:t>
      </w:r>
      <w:r/>
    </w:p>
    <w:p>
      <w:pPr>
        <w:ind w:firstLine="420"/>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委托代理人：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委托代理人：</w:t>
      </w:r>
      <w:r>
        <w:rPr>
          <w:rFonts w:hint="eastAsia" w:ascii="宋体" w:hAnsi="宋体" w:eastAsia="宋体" w:cs="宋体"/>
          <w:szCs w:val="21"/>
          <w:highlight w:val="none"/>
          <w:u w:val="single"/>
        </w:rPr>
        <w:t xml:space="preserve">             </w:t>
      </w:r>
      <w:r/>
    </w:p>
    <w:p>
      <w:pPr>
        <w:ind w:firstLine="420"/>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电  话：</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电  话：</w:t>
      </w:r>
      <w:r>
        <w:rPr>
          <w:rFonts w:hint="eastAsia" w:ascii="宋体" w:hAnsi="宋体" w:eastAsia="宋体" w:cs="宋体"/>
          <w:szCs w:val="21"/>
          <w:highlight w:val="none"/>
          <w:u w:val="single"/>
        </w:rPr>
        <w:t xml:space="preserve">     </w:t>
      </w:r>
      <w:r/>
    </w:p>
    <w:p>
      <w:pPr>
        <w:ind w:firstLine="420"/>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传  真：</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传  真：</w:t>
      </w:r>
      <w:r>
        <w:rPr>
          <w:rFonts w:hint="eastAsia" w:ascii="宋体" w:hAnsi="宋体" w:eastAsia="宋体" w:cs="宋体"/>
          <w:szCs w:val="21"/>
          <w:highlight w:val="none"/>
          <w:u w:val="single"/>
        </w:rPr>
        <w:t xml:space="preserve">   </w:t>
      </w:r>
      <w:r/>
    </w:p>
    <w:p>
      <w:pPr>
        <w:ind w:firstLine="420"/>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电子信箱：</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电子信箱：</w:t>
      </w:r>
      <w:r>
        <w:rPr>
          <w:rFonts w:hint="eastAsia" w:ascii="宋体" w:hAnsi="宋体" w:eastAsia="宋体" w:cs="宋体"/>
          <w:szCs w:val="21"/>
          <w:highlight w:val="none"/>
          <w:u w:val="single"/>
        </w:rPr>
        <w:t xml:space="preserve">          </w:t>
      </w:r>
      <w:r/>
    </w:p>
    <w:p>
      <w:pPr>
        <w:ind w:firstLine="420"/>
        <w:spacing w:line="420" w:lineRule="exact"/>
        <w:rPr>
          <w:rFonts w:hint="eastAsia" w:ascii="宋体" w:hAnsi="宋体" w:eastAsia="宋体" w:cs="宋体"/>
          <w:szCs w:val="21"/>
          <w:highlight w:val="none"/>
        </w:rPr>
      </w:pPr>
      <w:r>
        <w:rPr>
          <w:rFonts w:hint="eastAsia" w:ascii="宋体" w:hAnsi="宋体" w:eastAsia="宋体" w:cs="宋体"/>
          <w:szCs w:val="21"/>
          <w:highlight w:val="none"/>
        </w:rPr>
        <w:t xml:space="preserve">开户银行：</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开户银行：</w:t>
      </w:r>
      <w:r>
        <w:rPr>
          <w:rFonts w:hint="eastAsia" w:ascii="宋体" w:hAnsi="宋体" w:eastAsia="宋体" w:cs="宋体"/>
          <w:szCs w:val="21"/>
          <w:highlight w:val="none"/>
          <w:u w:val="single"/>
        </w:rPr>
        <w:t xml:space="preserve">          </w:t>
      </w:r>
      <w:r/>
    </w:p>
    <w:p>
      <w:pPr>
        <w:ind w:firstLine="420"/>
        <w:spacing w:line="420" w:lineRule="exact"/>
        <w:rPr>
          <w:rFonts w:hint="eastAsia" w:ascii="宋体" w:hAnsi="宋体" w:eastAsia="宋体" w:cs="宋体"/>
          <w:b/>
          <w:sz w:val="32"/>
          <w:szCs w:val="32"/>
          <w:highlight w:val="none"/>
          <w:lang w:val="zh-CN"/>
        </w:rPr>
      </w:pPr>
      <w:r>
        <w:rPr>
          <w:rFonts w:hint="eastAsia" w:ascii="宋体" w:hAnsi="宋体" w:eastAsia="宋体" w:cs="宋体"/>
          <w:szCs w:val="21"/>
          <w:highlight w:val="none"/>
        </w:rPr>
        <w:t xml:space="preserve">账  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账  号：</w:t>
      </w:r>
      <w:r>
        <w:rPr>
          <w:rFonts w:hint="eastAsia" w:ascii="宋体" w:hAnsi="宋体" w:eastAsia="宋体" w:cs="宋体"/>
          <w:szCs w:val="21"/>
          <w:highlight w:val="none"/>
          <w:u w:val="single"/>
        </w:rPr>
        <w:t xml:space="preserve">           </w:t>
      </w:r>
      <w:r/>
    </w:p>
    <w:p>
      <w:pPr>
        <w:ind w:firstLine="2233"/>
        <w:spacing w:line="460" w:lineRule="exact"/>
        <w:rPr>
          <w:rFonts w:hint="eastAsia" w:ascii="宋体" w:hAnsi="宋体" w:eastAsia="宋体" w:cs="宋体"/>
          <w:b/>
          <w:sz w:val="32"/>
          <w:szCs w:val="32"/>
          <w:highlight w:val="none"/>
          <w:lang w:val="zh-CN"/>
        </w:rPr>
      </w:pPr>
      <w:r>
        <w:rPr>
          <w:rFonts w:hint="eastAsia" w:ascii="宋体" w:hAnsi="宋体" w:eastAsia="宋体" w:cs="宋体"/>
          <w:b/>
          <w:sz w:val="32"/>
          <w:szCs w:val="32"/>
          <w:highlight w:val="none"/>
          <w:lang w:val="zh-CN"/>
        </w:rPr>
        <w:br w:type="page" w:clear="all"/>
      </w:r>
      <w:r>
        <w:rPr>
          <w:rFonts w:hint="eastAsia" w:ascii="宋体" w:hAnsi="宋体" w:eastAsia="宋体" w:cs="宋体"/>
          <w:b/>
          <w:sz w:val="32"/>
          <w:szCs w:val="32"/>
          <w:highlight w:val="none"/>
          <w:lang w:val="zh-CN"/>
        </w:rPr>
        <w:t xml:space="preserve">第二部分 通用合同条款</w:t>
      </w:r>
      <w:r/>
    </w:p>
    <w:p>
      <w:pPr>
        <w:spacing w:line="460" w:lineRule="exact"/>
        <w:rPr>
          <w:rFonts w:hint="eastAsia" w:ascii="宋体" w:hAnsi="宋体" w:eastAsia="宋体" w:cs="宋体"/>
          <w:b/>
          <w:szCs w:val="21"/>
          <w:highlight w:val="none"/>
        </w:rPr>
      </w:pPr>
      <w:r>
        <w:rPr>
          <w:rFonts w:hint="eastAsia" w:ascii="宋体" w:hAnsi="宋体" w:eastAsia="宋体" w:cs="宋体"/>
          <w:b/>
          <w:szCs w:val="21"/>
          <w:highlight w:val="none"/>
        </w:rPr>
      </w:r>
      <w:r/>
    </w:p>
    <w:p>
      <w:pPr>
        <w:ind w:firstLine="411"/>
        <w:spacing w:line="460" w:lineRule="exact"/>
        <w:rPr>
          <w:rFonts w:hint="eastAsia" w:ascii="宋体" w:hAnsi="宋体" w:eastAsia="宋体" w:cs="宋体"/>
          <w:szCs w:val="21"/>
          <w:highlight w:val="none"/>
        </w:rPr>
      </w:pPr>
      <w:r>
        <w:rPr>
          <w:rFonts w:hint="eastAsia" w:ascii="宋体" w:hAnsi="宋体" w:eastAsia="宋体" w:cs="宋体"/>
          <w:szCs w:val="21"/>
          <w:highlight w:val="none"/>
        </w:rPr>
        <w:t xml:space="preserve">同建设工程施工合同（示范文本）（GF—2017—0201）内的通用合同条款</w:t>
      </w:r>
      <w:r/>
    </w:p>
    <w:p>
      <w:pPr>
        <w:ind w:firstLine="216"/>
        <w:spacing w:line="460" w:lineRule="exact"/>
        <w:rPr>
          <w:rFonts w:hint="eastAsia" w:ascii="宋体" w:hAnsi="宋体" w:eastAsia="宋体" w:cs="宋体"/>
          <w:szCs w:val="21"/>
          <w:highlight w:val="none"/>
          <w:lang w:val="zh-CN"/>
        </w:rPr>
      </w:pPr>
      <w:r>
        <w:rPr>
          <w:rFonts w:hint="eastAsia" w:ascii="宋体" w:hAnsi="宋体" w:eastAsia="宋体" w:cs="宋体"/>
          <w:szCs w:val="21"/>
          <w:highlight w:val="none"/>
          <w:lang w:val="zh-CN"/>
        </w:rPr>
      </w:r>
      <w:r/>
    </w:p>
    <w:p>
      <w:pPr>
        <w:ind w:left="0" w:firstLine="1459"/>
        <w:jc w:val="center"/>
        <w:pageBreakBefore w:val="0"/>
        <w:spacing w:line="460" w:lineRule="exact"/>
        <w:widowControl w:val="off"/>
        <w:rPr>
          <w:rFonts w:hint="eastAsia" w:ascii="宋体" w:hAnsi="宋体" w:eastAsia="宋体" w:cs="宋体"/>
          <w:sz w:val="44"/>
          <w:szCs w:val="44"/>
          <w:highlight w:val="none"/>
        </w:rPr>
      </w:pPr>
      <w:r>
        <w:rPr>
          <w:rFonts w:hint="eastAsia" w:ascii="宋体" w:hAnsi="宋体" w:eastAsia="宋体" w:cs="宋体"/>
          <w:szCs w:val="21"/>
          <w:highlight w:val="none"/>
        </w:rPr>
        <w:br w:type="page" w:clear="all"/>
      </w:r>
      <w:r>
        <w:rPr>
          <w:rFonts w:hint="eastAsia" w:ascii="宋体" w:hAnsi="宋体" w:eastAsia="宋体" w:cs="宋体"/>
          <w:b/>
          <w:sz w:val="32"/>
          <w:szCs w:val="32"/>
          <w:highlight w:val="none"/>
          <w:lang w:val="zh-CN"/>
        </w:rPr>
        <w:t xml:space="preserve">第三部分 专用合同条款</w:t>
      </w:r>
      <w:r/>
    </w:p>
    <w:p>
      <w:pPr>
        <w:ind w:left="0" w:firstLine="422"/>
        <w:keepLines/>
        <w:keepNext/>
        <w:pageBreakBefore w:val="0"/>
        <w:spacing w:line="420" w:lineRule="exact"/>
        <w:widowControl w:val="off"/>
        <w:rPr>
          <w:rFonts w:hint="eastAsia" w:ascii="宋体" w:hAnsi="宋体" w:eastAsia="宋体" w:cs="宋体"/>
          <w:b/>
          <w:szCs w:val="21"/>
          <w:highlight w:val="none"/>
        </w:rPr>
      </w:pPr>
      <w:r/>
      <w:bookmarkStart w:id="182" w:name="_Toc351203633"/>
      <w:r>
        <w:rPr>
          <w:rFonts w:hint="eastAsia" w:ascii="宋体" w:hAnsi="宋体" w:eastAsia="宋体" w:cs="宋体"/>
          <w:b/>
          <w:szCs w:val="21"/>
          <w:highlight w:val="none"/>
        </w:rPr>
        <w:t xml:space="preserve">1</w:t>
      </w:r>
      <w:bookmarkStart w:id="183" w:name="_Toc296347155"/>
      <w:r/>
      <w:bookmarkStart w:id="184" w:name="_Toc297120456"/>
      <w:r/>
      <w:bookmarkStart w:id="185" w:name="_Toc296891196"/>
      <w:r/>
      <w:bookmarkStart w:id="186" w:name="_Toc292559866"/>
      <w:r/>
      <w:bookmarkStart w:id="187" w:name="_Toc296944495"/>
      <w:r/>
      <w:bookmarkStart w:id="188" w:name="_Toc292559361"/>
      <w:r/>
      <w:bookmarkStart w:id="189" w:name="_Toc296503156"/>
      <w:r/>
      <w:bookmarkStart w:id="190" w:name="_Toc297048342"/>
      <w:r/>
      <w:bookmarkStart w:id="191" w:name="_Toc296346657"/>
      <w:r/>
      <w:bookmarkStart w:id="192" w:name="_Toc296890984"/>
      <w:r>
        <w:rPr>
          <w:rFonts w:hint="eastAsia" w:ascii="宋体" w:hAnsi="宋体" w:eastAsia="宋体" w:cs="宋体"/>
          <w:b/>
          <w:szCs w:val="21"/>
          <w:highlight w:val="none"/>
        </w:rPr>
        <w:t xml:space="preserve">. 一般约定</w:t>
      </w:r>
      <w:bookmarkEnd w:id="182"/>
      <w:r/>
      <w:bookmarkEnd w:id="183"/>
      <w:r/>
      <w:bookmarkEnd w:id="184"/>
      <w:r/>
      <w:bookmarkEnd w:id="185"/>
      <w:r/>
      <w:bookmarkEnd w:id="186"/>
      <w:r/>
      <w:bookmarkEnd w:id="187"/>
      <w:r/>
      <w:bookmarkEnd w:id="188"/>
      <w:r/>
      <w:bookmarkEnd w:id="189"/>
      <w:r/>
      <w:bookmarkEnd w:id="190"/>
      <w:r/>
      <w:bookmarkEnd w:id="191"/>
      <w:r/>
      <w:bookmarkEnd w:id="192"/>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1.1 词语定义</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1.1.1合同</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1.1.1.10其他合同文件包括：</w:t>
      </w:r>
      <w:r>
        <w:rPr>
          <w:rFonts w:hint="eastAsia" w:ascii="宋体" w:hAnsi="宋体" w:eastAsia="宋体" w:cs="宋体"/>
          <w:szCs w:val="21"/>
          <w:highlight w:val="none"/>
          <w:u w:val="single"/>
        </w:rPr>
        <w:t xml:space="preserve">本合同协议书、中标通知书、本合同专用条款、本合同通用条款、招标文件、投标文件、发包人的工程量清单及招标控制价文件（预算书）、现行标准规范及有关技术文件、其他合同文件、工程量清单、施工图纸。合同履行中，发包人承包人有关工程的洽商、变更等书面协议或文件及本工程招标文件、合同履行过程中双方确认的对合同有影响的会议纪要、签证、施工方案、设计变更等相关材料视为本合同专用条款的组成部分。</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1.1.2 合同当事人及其他相关方</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1.1.2.4监理人：</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名    称：</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资质类别和等级：</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1.1.2.5 设计人：</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名    称：</w:t>
      </w:r>
      <w:r>
        <w:rPr>
          <w:rFonts w:hint="eastAsia" w:ascii="宋体" w:hAnsi="宋体" w:eastAsia="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资质类别和等级：</w:t>
      </w:r>
      <w:r>
        <w:rPr>
          <w:rFonts w:hint="eastAsia" w:ascii="宋体" w:hAnsi="宋体" w:cs="宋体"/>
          <w:szCs w:val="21"/>
          <w:highlight w:val="none"/>
          <w:u w:val="single"/>
        </w:rPr>
        <w:t xml:space="preserve">              </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1.1.3 工程和设备</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1.1.3.7 作为施工现场组成部分的其他场所包括：</w:t>
      </w:r>
      <w:r>
        <w:rPr>
          <w:rFonts w:hint="eastAsia" w:ascii="宋体" w:hAnsi="宋体" w:eastAsia="宋体" w:cs="宋体"/>
          <w:szCs w:val="21"/>
          <w:highlight w:val="none"/>
          <w:u w:val="single"/>
        </w:rPr>
        <w:t xml:space="preserve"> 作为施工现场组成部分的其他场所包括：承包人自行配备办公用房，同时须为建设、监理、跟审、设计等单位提供满足办公与使用要求的办公及生活设施用房，此费用由承包人投标报价时在临时设施费用中自行考虑，发包人不另支付此项费用。承包人搭设、布置的临时设施等应经发包人同意，不得影响发包人后续专项工程的施工，否则，承包人必须无条件拆除、重建或者变更线路等，且发生的费用一律由承包人自行承担，与发包人无关。</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1.1.3.9 永久占地包括：</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1.1.3.10 临时占地包括：</w:t>
      </w:r>
      <w:r>
        <w:rPr>
          <w:rFonts w:hint="eastAsia" w:ascii="宋体" w:hAnsi="宋体" w:eastAsia="宋体" w:cs="宋体"/>
          <w:szCs w:val="21"/>
          <w:highlight w:val="none"/>
          <w:u w:val="single"/>
        </w:rPr>
        <w:t xml:space="preserve"> 为实施本合同工程而需要的一切临时占用的土地，包括施工所用的临时支线和现场的临时出入通道，以及生产（办公）、生活等临时设施用地。承包人应根据施工组织计划确定本工程施工所必需的临时用地数量，并承担相应费用。临时占地的费用含入工程量清单各细目的单价或总额价中，发包人不单独计列。</w:t>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1.3法律 </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适用于合同的其他规范性文件：</w:t>
      </w:r>
      <w:r>
        <w:rPr>
          <w:rFonts w:hint="eastAsia" w:ascii="宋体" w:hAnsi="宋体" w:eastAsia="宋体" w:cs="宋体"/>
          <w:szCs w:val="21"/>
          <w:highlight w:val="none"/>
          <w:u w:val="single"/>
        </w:rPr>
        <w:t xml:space="preserve">《中华人民共和国民法典》、《中华人民共和国建筑法》、《中华人民共和国招标投标法》、《建设工程质量管理条例》、《中华人民共和国安全生产法》及国家、省和所在市关于建设工程款结算的有关规定；部省市建设主管部门现行的法律、法规，盐城市相关的法规和政策文件等。</w:t>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1.4 标准和规范</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1.4.1适用于工程的标准规范包括：</w:t>
      </w:r>
      <w:r>
        <w:rPr>
          <w:rFonts w:hint="eastAsia" w:ascii="宋体" w:hAnsi="宋体" w:eastAsia="宋体" w:cs="宋体"/>
          <w:szCs w:val="21"/>
          <w:highlight w:val="none"/>
          <w:u w:val="single"/>
        </w:rPr>
        <w:t xml:space="preserve">中华人民共和国建设部颁发的现行有关标准、规范；国家标准、行业标准、工程所在地的地方标准以及相应的规范、规程等，前述标准规范规定不一致的，以较高标准者为准。</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1.4.2 发包人提供国外标准、规范的名称：</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发包人提供国外标准、规范的份数：</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发包人提供国外标准、规范的名称：</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left="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1.4.3发包人对工程的技术标准和功能要求的特殊要求：</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 。         </w:t>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1.5 合同文件的优先顺序</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合同文件组成及优先顺序为：</w:t>
      </w:r>
      <w:r>
        <w:rPr>
          <w:rFonts w:hint="eastAsia" w:ascii="宋体" w:hAnsi="宋体" w:eastAsia="宋体" w:cs="宋体"/>
          <w:szCs w:val="21"/>
          <w:highlight w:val="none"/>
          <w:u w:val="single"/>
        </w:rPr>
        <w:t xml:space="preserve">①本合同协议书；②中标通知书；③招投标书及</w:t>
      </w:r>
      <w:r>
        <w:rPr>
          <w:rFonts w:hint="eastAsia" w:ascii="宋体" w:hAnsi="宋体" w:eastAsia="宋体" w:cs="宋体"/>
          <w:szCs w:val="21"/>
          <w:highlight w:val="none"/>
          <w:u w:val="single"/>
        </w:rPr>
        <w:t xml:space="preserve">其附件(含投标函及其附录)；④本合同专用条款；⑤本合同通用条款；⑥现行标准、规范及有关技术文件；⑦图纸；⑧工程量清单；⑨招标预算价或最高投标限价；⑩合同履行中，发包人和承包人有关工程的洽商、变更等书面协议和文件及本工程招标文件、合同履行过程中双方确认的对合同有影响的会议纪要、签证、施工方案、设计变更等相关材料视为本合同专用条款的组成部分。若对同一问题合同文件出现矛盾或含糊，则以时间在后的文件或条款为准。上述各项合同文件包括合同当事人就该项合同文件所作出的补充和修改，属于同一类内容的文件，应以最新签署的为准。</w:t>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1.6 图纸和承包人文件</w:t>
      </w:r>
      <w:r>
        <w:rPr>
          <w:rFonts w:hint="eastAsia" w:ascii="宋体" w:hAnsi="宋体" w:eastAsia="宋体" w:cs="宋体"/>
          <w:szCs w:val="21"/>
          <w:highlight w:val="none"/>
        </w:rPr>
        <w:tab/>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1.6.1 图纸的提供</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发包人向承包人提供图纸的期限：</w:t>
      </w:r>
      <w:r>
        <w:rPr>
          <w:rFonts w:hint="eastAsia" w:ascii="宋体" w:hAnsi="宋体" w:eastAsia="宋体" w:cs="宋体"/>
          <w:szCs w:val="21"/>
          <w:highlight w:val="none"/>
          <w:u w:val="single"/>
        </w:rPr>
        <w:t xml:space="preserve">签订施工合同后5天内</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发包人向承包人提供图纸的数量：</w:t>
      </w:r>
      <w:r>
        <w:rPr>
          <w:rFonts w:hint="eastAsia" w:ascii="宋体" w:hAnsi="宋体" w:eastAsia="宋体" w:cs="宋体"/>
          <w:szCs w:val="21"/>
          <w:highlight w:val="none"/>
          <w:u w:val="single"/>
        </w:rPr>
        <w:t xml:space="preserve">发包人向承包人提供叁套完整的施工图纸，未经发包人书面同意不得复制。不得向承包人以外的人员泄露图纸的有关内容或透露于第三人，否则承包人须承担由此造成的一切损失</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发包人向承包人提供图纸的内容：</w:t>
      </w:r>
      <w:r>
        <w:rPr>
          <w:rFonts w:hint="eastAsia" w:ascii="宋体" w:hAnsi="宋体" w:eastAsia="宋体" w:cs="宋体"/>
          <w:szCs w:val="21"/>
          <w:highlight w:val="none"/>
          <w:u w:val="single"/>
        </w:rPr>
        <w:t xml:space="preserve">全套施工图。未经发包人书面同意，不得向承包人以外的人员泄露图纸的有关内容。</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1.6.4 承包人文件</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需要由承包人提供的文件，包括：项目开工报验的全套资料，包括但不限于施工进度计划、 材料清单、材料进场计划、劳动力计划以及发包人、监理及相关主管部门要求提供相关资料。应付款 7 天前申报本批工程款使用计划以及发包人、监理人要求提供的其他资料 ；</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承包人提供的文件的期限为：</w:t>
      </w:r>
      <w:r>
        <w:rPr>
          <w:rFonts w:hint="eastAsia" w:ascii="宋体" w:hAnsi="宋体" w:eastAsia="宋体" w:cs="宋体"/>
          <w:szCs w:val="21"/>
          <w:highlight w:val="none"/>
          <w:u w:val="single"/>
        </w:rPr>
        <w:t xml:space="preserve">按监理交底 </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承包人提供的文件的数量为：</w:t>
      </w:r>
      <w:r>
        <w:rPr>
          <w:rFonts w:hint="eastAsia" w:ascii="宋体" w:hAnsi="宋体" w:eastAsia="宋体" w:cs="宋体"/>
          <w:szCs w:val="21"/>
          <w:highlight w:val="none"/>
          <w:u w:val="single"/>
        </w:rPr>
        <w:t xml:space="preserve">根据发包人要求</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承包人提供的文件的形式为：</w:t>
      </w:r>
      <w:r>
        <w:rPr>
          <w:rFonts w:hint="eastAsia" w:ascii="宋体" w:hAnsi="宋体" w:eastAsia="宋体" w:cs="宋体"/>
          <w:szCs w:val="21"/>
          <w:highlight w:val="none"/>
          <w:u w:val="single"/>
        </w:rPr>
        <w:t xml:space="preserve">书面及电子版 </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发包人审批承包人文件的期限：</w:t>
      </w:r>
      <w:r>
        <w:rPr>
          <w:rFonts w:hint="eastAsia" w:ascii="宋体" w:hAnsi="宋体" w:eastAsia="宋体" w:cs="宋体"/>
          <w:szCs w:val="21"/>
          <w:highlight w:val="none"/>
          <w:u w:val="single"/>
        </w:rPr>
        <w:t xml:space="preserve">收到文件后 7 日内  </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1.6.5 现场图纸准备</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关于现场图纸准备的约定：</w:t>
      </w:r>
      <w:r>
        <w:rPr>
          <w:rFonts w:hint="eastAsia" w:ascii="宋体" w:hAnsi="宋体" w:eastAsia="宋体" w:cs="宋体"/>
          <w:szCs w:val="21"/>
          <w:highlight w:val="none"/>
          <w:u w:val="single"/>
        </w:rPr>
        <w:t xml:space="preserve">所有施工必须以发包人提供的图纸为准，发包人须向承包人提供经审查的有效的图纸。</w:t>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1.7 联络</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1.7.1发包人和承包人应当在</w:t>
      </w:r>
      <w:r>
        <w:rPr>
          <w:rFonts w:hint="eastAsia" w:ascii="宋体" w:hAnsi="宋体" w:eastAsia="宋体" w:cs="宋体"/>
          <w:szCs w:val="21"/>
          <w:highlight w:val="none"/>
          <w:u w:val="single"/>
        </w:rPr>
        <w:t xml:space="preserve"> 5   </w:t>
      </w:r>
      <w:r>
        <w:rPr>
          <w:rFonts w:hint="eastAsia" w:ascii="宋体" w:hAnsi="宋体" w:eastAsia="宋体" w:cs="宋体"/>
          <w:szCs w:val="21"/>
          <w:highlight w:val="none"/>
        </w:rPr>
        <w:t xml:space="preserve">天内将与合同有关的通知、批准、证明、证书、指示、指令、要求、请求、同意、意见、确定和决定等书面函件送达对方当事人。</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1.7.2 发包人接收文件的地点：</w:t>
      </w:r>
      <w:r>
        <w:rPr>
          <w:rFonts w:hint="eastAsia" w:ascii="宋体" w:hAnsi="宋体" w:eastAsia="宋体" w:cs="宋体"/>
          <w:szCs w:val="21"/>
          <w:highlight w:val="none"/>
          <w:u w:val="single"/>
        </w:rPr>
        <w:t xml:space="preserve">  施工现场</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发包人指定的接收人为：</w:t>
      </w:r>
      <w:r>
        <w:rPr>
          <w:rFonts w:hint="eastAsia" w:ascii="宋体" w:hAnsi="宋体" w:eastAsia="宋体" w:cs="宋体"/>
          <w:szCs w:val="21"/>
          <w:highlight w:val="none"/>
          <w:u w:val="single"/>
        </w:rPr>
        <w:t xml:space="preserve">  施工现场</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承包人接收文件的地点：</w:t>
      </w:r>
      <w:r>
        <w:rPr>
          <w:rFonts w:hint="eastAsia" w:ascii="宋体" w:hAnsi="宋体" w:eastAsia="宋体" w:cs="宋体"/>
          <w:szCs w:val="21"/>
          <w:highlight w:val="none"/>
          <w:u w:val="single"/>
        </w:rPr>
        <w:t xml:space="preserve">  施工现场</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承包人指定的接收人为：</w:t>
      </w:r>
      <w:r>
        <w:rPr>
          <w:rFonts w:hint="eastAsia" w:ascii="宋体" w:hAnsi="宋体" w:eastAsia="宋体" w:cs="宋体"/>
          <w:szCs w:val="21"/>
          <w:highlight w:val="none"/>
          <w:u w:val="single"/>
        </w:rPr>
        <w:t xml:space="preserve">  施工现场</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监理人接收文件的地点：</w:t>
      </w:r>
      <w:r>
        <w:rPr>
          <w:rFonts w:hint="eastAsia" w:ascii="宋体" w:hAnsi="宋体" w:eastAsia="宋体" w:cs="宋体"/>
          <w:szCs w:val="21"/>
          <w:highlight w:val="none"/>
          <w:u w:val="single"/>
        </w:rPr>
        <w:t xml:space="preserve">  施工现场</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监理人指定的接收人为：</w:t>
      </w:r>
      <w:r>
        <w:rPr>
          <w:rFonts w:hint="eastAsia" w:ascii="宋体" w:hAnsi="宋体" w:eastAsia="宋体" w:cs="宋体"/>
          <w:szCs w:val="21"/>
          <w:highlight w:val="none"/>
          <w:u w:val="single"/>
        </w:rPr>
        <w:t xml:space="preserve">总监理工程师</w:t>
      </w:r>
      <w:r>
        <w:rPr>
          <w:rFonts w:hint="eastAsia" w:ascii="宋体" w:hAnsi="宋体" w:eastAsia="宋体" w:cs="宋体"/>
          <w:szCs w:val="21"/>
          <w:highlight w:val="none"/>
        </w:rPr>
        <w:t xml:space="preserve">。</w:t>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1.10 交通运输</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w:t>
      </w:r>
      <w:bookmarkStart w:id="193" w:name="_Toc304295521"/>
      <w:r/>
      <w:bookmarkStart w:id="194" w:name="_Toc300934943"/>
      <w:r/>
      <w:bookmarkStart w:id="195" w:name="_Toc312677986"/>
      <w:r/>
      <w:bookmarkStart w:id="196" w:name="_Toc303539100"/>
      <w:r/>
      <w:bookmarkStart w:id="197" w:name="_Toc318581155"/>
      <w:r>
        <w:rPr>
          <w:rFonts w:hint="eastAsia" w:ascii="宋体" w:hAnsi="宋体" w:eastAsia="宋体" w:cs="宋体"/>
          <w:szCs w:val="21"/>
          <w:highlight w:val="none"/>
        </w:rPr>
        <w:t xml:space="preserve">.10.1 出入现场的权利</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关于出入现场的权利的约定：</w:t>
      </w:r>
      <w:r>
        <w:rPr>
          <w:rFonts w:hint="eastAsia" w:ascii="宋体" w:hAnsi="宋体" w:eastAsia="宋体" w:cs="宋体"/>
          <w:szCs w:val="21"/>
          <w:highlight w:val="none"/>
          <w:u w:val="single"/>
        </w:rPr>
        <w:t xml:space="preserve">根据施工需要，承包人负责取得出入施工现场所需的批准手续和全部权利，以及取得因施工所需修建道路、桥梁以及其他基础设施的权利，并承担相关手续费用和建设费用。承包人应在订</w:t>
      </w:r>
      <w:r>
        <w:rPr>
          <w:rFonts w:hint="eastAsia" w:ascii="宋体" w:hAnsi="宋体" w:eastAsia="宋体" w:cs="宋体"/>
          <w:szCs w:val="21"/>
          <w:highlight w:val="none"/>
          <w:u w:val="single"/>
        </w:rPr>
        <w:t xml:space="preserve">立合同前自行查勘施工现场，并根据工程规模及技术参数合理预见工程施工所需的进出施工，费用由承包人承担。承包人应遵守有关交通法规，严格按照道路和桥梁的限制荷载行驶，执行有关道路限速、限行、禁止超载的规定，并配合交通管理部门的监督和检查。场内、外交通设施无法满足工程施工需要的，由承包人负责完善并承担相关费用。承包人负责办理施工期间一切有关公安（交通）的行政许可，并承担费用。承包人使用周边道路或者其它设施时，不得损坏，承包人负责保护，如发生损坏由承包人自行修复并承担相关费用。同时做好现场环境保护和安全文明，在影响主</w:t>
      </w:r>
      <w:r>
        <w:rPr>
          <w:rFonts w:hint="eastAsia" w:ascii="宋体" w:hAnsi="宋体" w:eastAsia="宋体" w:cs="宋体"/>
          <w:szCs w:val="21"/>
          <w:highlight w:val="none"/>
          <w:u w:val="single"/>
        </w:rPr>
        <w:t xml:space="preserve">要道路交通时及时向发包人汇报并听从发包人安排。承包人已自行踏勘现场，索取地质勘探资料，充分了解工地位置情况、道路、储存空间、装卸限制、水电接入，以及任何其它足以影响承包价的因素，并已将涉及的相关费用(包括地方矛盾、赶工措施、克服冬、雨季施工费用等)考虑到合同价中。发包人向承包人提供的数据和资料，仅作参考。承包人任何因忽视或误解工地情况(用电、用水、出入口、地方矛盾等)而导致的索赔申请将不被批准。本项目竣工后，如有临时设施（含但不限于临时道路、临时围墙等）的拆除及处理由承包人自行考虑，结算时相关费用不予增加。</w:t>
      </w:r>
      <w:bookmarkEnd w:id="193"/>
      <w:r/>
      <w:bookmarkEnd w:id="194"/>
      <w:r/>
      <w:bookmarkEnd w:id="195"/>
      <w:r/>
      <w:bookmarkEnd w:id="196"/>
      <w:r/>
      <w:bookmarkEnd w:id="197"/>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w:t>
      </w:r>
      <w:bookmarkStart w:id="198" w:name="_Toc300934944"/>
      <w:r/>
      <w:bookmarkStart w:id="199" w:name="_Toc312677987"/>
      <w:r/>
      <w:bookmarkStart w:id="200" w:name="_Toc304295522"/>
      <w:r/>
      <w:bookmarkStart w:id="201" w:name="_Toc318581156"/>
      <w:r/>
      <w:bookmarkStart w:id="202" w:name="_Toc303539101"/>
      <w:r>
        <w:rPr>
          <w:rFonts w:hint="eastAsia" w:ascii="宋体" w:hAnsi="宋体" w:eastAsia="宋体" w:cs="宋体"/>
          <w:szCs w:val="21"/>
          <w:highlight w:val="none"/>
        </w:rPr>
        <w:t xml:space="preserve">.10.3 场内交通</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关于场外交通和场内交通的边界的约定：</w:t>
      </w:r>
      <w:r>
        <w:rPr>
          <w:rFonts w:hint="eastAsia" w:ascii="宋体" w:hAnsi="宋体" w:eastAsia="宋体" w:cs="宋体"/>
          <w:szCs w:val="21"/>
          <w:highlight w:val="none"/>
          <w:u w:val="single"/>
        </w:rPr>
        <w:t xml:space="preserve">场内、外交通均由承包人自行负责解决并承担费用，承包人应遵守有关交通法规，严格按照道路和桥梁的限制荷载行驶，执行有关道路限速、限行、禁止超载的规定，并配合</w:t>
      </w:r>
      <w:r>
        <w:rPr>
          <w:rFonts w:hint="eastAsia" w:ascii="宋体" w:hAnsi="宋体" w:eastAsia="宋体" w:cs="宋体"/>
          <w:szCs w:val="21"/>
          <w:highlight w:val="none"/>
          <w:u w:val="single"/>
        </w:rPr>
        <w:t xml:space="preserve">交通管理部门的监督和检查。场内、外交通设施无法满足工程施工需要的，由承包人负责完善并承担相关费用。承包人负责修建、维修、养护和管理施工所需的其他场内临时道路和交通设施，相关费用由承包人自行承担。发包人和监理人为实现合同目的，可无偿使用承包人修建的场内临时道路和交通设施。因承包人原因造成上述道路或交通设施损坏的，承包人负责修复并承担由此增加的费用。承包人必须符合施工现场之外的道路交通安全相关规定。本项目竣工后，如有临时设施（含但不限于临时道路、临时围墙等）的拆除及处理由承包人自行考虑，结算时相关费用不予增加。</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关于发包人向承包人免费提供满足工程施工需要的场内道路和交通设施的约定：</w:t>
      </w:r>
      <w:r>
        <w:rPr>
          <w:rFonts w:hint="eastAsia" w:ascii="宋体" w:hAnsi="宋体" w:eastAsia="宋体" w:cs="宋体"/>
          <w:szCs w:val="21"/>
          <w:highlight w:val="none"/>
          <w:u w:val="single"/>
        </w:rPr>
        <w:t xml:space="preserve">承包人已充分踏勘现场，已确认临时运输道路是否能满足要求等，承包人均已自行考虑并包含合同价款中，包干使用。发包人按现状交给承包人。其它由承包人自行办理，费用由承包人承担，发包人不再另行承担该项费用。</w:t>
      </w:r>
      <w:bookmarkEnd w:id="198"/>
      <w:r/>
      <w:bookmarkEnd w:id="199"/>
      <w:r/>
      <w:bookmarkEnd w:id="200"/>
      <w:r/>
      <w:bookmarkEnd w:id="201"/>
      <w:r/>
      <w:bookmarkEnd w:id="202"/>
      <w:r>
        <w:rPr>
          <w:rFonts w:hint="eastAsia" w:ascii="宋体" w:hAnsi="宋体" w:eastAsia="宋体" w:cs="宋体"/>
          <w:szCs w:val="21"/>
          <w:highlight w:val="none"/>
        </w:rPr>
        <w:t xml:space="preserve"> </w:t>
      </w:r>
      <w:bookmarkStart w:id="203" w:name="_Toc318581157"/>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1.10.4超大件和超重件的运输</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运输超大件或超重件所需的道路和桥梁临时加固改造费用和其他有关费用由</w:t>
      </w:r>
      <w:r>
        <w:rPr>
          <w:rFonts w:hint="eastAsia" w:ascii="宋体" w:hAnsi="宋体" w:eastAsia="宋体" w:cs="宋体"/>
          <w:szCs w:val="21"/>
          <w:highlight w:val="none"/>
          <w:u w:val="single"/>
        </w:rPr>
        <w:t xml:space="preserve">承包人</w:t>
      </w:r>
      <w:r>
        <w:rPr>
          <w:rFonts w:hint="eastAsia" w:ascii="宋体" w:hAnsi="宋体" w:eastAsia="宋体" w:cs="宋体"/>
          <w:szCs w:val="21"/>
          <w:highlight w:val="none"/>
        </w:rPr>
        <w:t xml:space="preserve">承担。</w:t>
      </w:r>
      <w:bookmarkEnd w:id="203"/>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1.11 知识产权</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Cs w:val="21"/>
          <w:highlight w:val="none"/>
          <w:u w:val="single"/>
        </w:rPr>
        <w:t xml:space="preserve">发包人，工程竣工验收合格后全部图纸、技术规范等资料等归还发包人；未经发包人书面许可不得将图纸、技术规范等资料等泄露给第三方，否则应当承担严重违约责任。保密信息的具体范围包括但不限于施工图纸、技术规范、工程量清单、工程报价单及预算书、工程进行中的有关洽商、变更等书面协议及本工程招标文件、合同履行过程中双方确认的对合同有影响的会议纪要、签证、施工方案、设计变更等相关材料。</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关于发包人提供的上述文件的使用限制的要求：</w:t>
      </w:r>
      <w:r>
        <w:rPr>
          <w:rFonts w:hint="eastAsia" w:ascii="宋体" w:hAnsi="宋体" w:eastAsia="宋体" w:cs="宋体"/>
          <w:szCs w:val="21"/>
          <w:highlight w:val="none"/>
          <w:u w:val="single"/>
        </w:rPr>
        <w:t xml:space="preserve">承包人可以为实现合同目的而复制、使用此类文件，但不能用于与合同无关的其他事项。未经发包人书面同意，承包人不得为了合同以外的目的而复制、使用上述文件或将之提供给任何第三方。</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1.11.2 关于承包人为实施工程所编制文件的著作权的归属：</w:t>
      </w:r>
      <w:r>
        <w:rPr>
          <w:rFonts w:hint="eastAsia" w:ascii="宋体" w:hAnsi="宋体" w:eastAsia="宋体" w:cs="宋体"/>
          <w:szCs w:val="21"/>
          <w:highlight w:val="none"/>
          <w:u w:val="single"/>
        </w:rPr>
        <w:t xml:space="preserve">发包人 </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关于承包人提供的上述文件的使用限制的要求：</w:t>
      </w:r>
      <w:r>
        <w:rPr>
          <w:rFonts w:hint="eastAsia" w:ascii="宋体" w:hAnsi="宋体" w:eastAsia="宋体" w:cs="宋体"/>
          <w:szCs w:val="21"/>
          <w:highlight w:val="none"/>
          <w:u w:val="single"/>
        </w:rPr>
        <w:t xml:space="preserve">承包人可因实施工程的运行等目的而复制、使用此类文件，但不能用于与合同无关的其他事项。承包人为实施工程所编制的文件，除署名权以外的著作权属于发包人，未经发包人书面同意不得复制、使用上述文件，不得向承包人以外的人员泄露为实施工程所编制文件的有关内容。</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承包人违反 1.11.1 以及 1.11.2 条的约定的，需承担与本合同约定的总价款等额的违约金。</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1.11.4 承包人在施工过程中所采用的专利、专有技术、技术秘密的使用费的承担方式：</w:t>
      </w:r>
      <w:r>
        <w:rPr>
          <w:rFonts w:hint="eastAsia" w:ascii="宋体" w:hAnsi="宋体" w:eastAsia="宋体" w:cs="宋体"/>
          <w:szCs w:val="21"/>
          <w:highlight w:val="none"/>
          <w:u w:val="single"/>
        </w:rPr>
        <w:t xml:space="preserve">                    承包人承担，费用含在合同价中。</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1.13工程量清单错误的修正</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出现工程量清单错误时，是否调整合同价格：</w:t>
      </w:r>
      <w:r>
        <w:rPr>
          <w:rFonts w:hint="eastAsia" w:ascii="宋体" w:hAnsi="宋体" w:eastAsia="宋体" w:cs="宋体"/>
          <w:szCs w:val="21"/>
          <w:highlight w:val="none"/>
          <w:u w:val="single"/>
        </w:rPr>
        <w:t xml:space="preserve">无论招标时工程量清单中项目特征描述是否完整或准确，发包人要求承包人的投标报价应为完成该清单项目和施工图纸内全部内容，若无相关设计变更，除本招标文件及施工合同中约定允许调整外，中标综合单价不予调整。</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工程量按实际完成的工程量结算。最终以按相关审计要求审核确认后的工程竣工结算价为准。其中，由承包人代交纳的相关规费等费用，在最终结算时凭缴费发票进入结算总价中。</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允许调整合同价格的工程量偏差范围：无论招标时工程量清单中项目特征描述是否完整或准确，发包人要求承包人的投标报价应为完成该清单项目和施工图纸内全部内容，若无相关设计变更，除本招标文件及施工合同中约定允许调整外，中标综合单价不予调整；</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 工程量按实际完成的工程量结算。最终以按相关审计要求审核确认后的工程竣工结算价为准。其中，由承包人代交纳的相关规费等费用，在最终结算时凭缴费发票进入结算总价中。</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1.13.2 允许调整合同价格的工程量偏差范围：原工程量清单的误差、漏项、非承包人原因造成的工程变更（含设计变更、工程数量调整）或其它不可预见的工程量，最终经发包人确认后作为结算依据；</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 1.13.3 凡实施工作量增加超过招标工作量15%的，其超过部分的结算单价一律按市场价重新会商确定；</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凡实施工作量减少超过招标工作量15%的，超过部分按照市场价重新核定后扣除； 当技术参数改变时，除对变更部分的结算单价按市场价会商确定外，对原投标单价也要按市 场价重新核定后扣。 调整公式如下： </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ab/>
      </w:r>
      <w:r>
        <w:rPr>
          <w:rFonts w:hint="eastAsia" w:ascii="宋体" w:hAnsi="宋体" w:eastAsia="宋体" w:cs="宋体"/>
          <w:szCs w:val="21"/>
          <w:highlight w:val="none"/>
          <w:u w:val="single"/>
        </w:rPr>
        <w:t xml:space="preserve">（1）数量增加型：中标量×中标价+中标量×15%×中标价+（实际量-中标量×15%-中标量）×重新组价</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ab/>
      </w:r>
      <w:r>
        <w:rPr>
          <w:rFonts w:hint="eastAsia" w:ascii="宋体" w:hAnsi="宋体" w:eastAsia="宋体" w:cs="宋体"/>
          <w:szCs w:val="21"/>
          <w:highlight w:val="none"/>
          <w:u w:val="single"/>
        </w:rPr>
        <w:t xml:space="preserve">（2）数量减少型：中标量×中标价-中标量×15%×中标价-（中标量-中标量×15%-实际量）×重新组价</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ab/>
      </w:r>
      <w:r>
        <w:rPr>
          <w:rFonts w:hint="eastAsia" w:ascii="宋体" w:hAnsi="宋体" w:eastAsia="宋体" w:cs="宋体"/>
          <w:szCs w:val="21"/>
          <w:highlight w:val="none"/>
          <w:u w:val="single"/>
        </w:rPr>
        <w:t xml:space="preserve">（3）设计变更型：实际量×中标价+实际量×（变更后的-变更前的）重新组价注解：</w:t>
      </w:r>
      <w:r/>
    </w:p>
    <w:p>
      <w:pPr>
        <w:ind w:left="0" w:firstLine="84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①本条款不平衡报价是指相对应单项投标报价与标底预算审核价按照中标下浮率相比上下浮动超过一定范围的。按照专业工程划分：土建工程为 15%；园林景观绿化工程为 30%；其他工程为20%。</w:t>
      </w:r>
      <w:r/>
    </w:p>
    <w:p>
      <w:pPr>
        <w:ind w:left="0" w:firstLine="84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②本条款重新组价原则是按照标底价格执行中标下浮率。若标底价格失真或者不存在则由承包人提出新的综合单价（按照招标文件约定套用相应定额，执行中标下浮率，材料价格执行招标时招标文件中明确的《盐城工程造价》的市场指导价或市场信息价），经发包人确认后调整；若套定额下浮后费用与市场价误差 15%以上的（比如，顶管、拉管、零星工程、市场上按照独立费招标的项目等）或没有定额要套的项目，则按照市场价进行调整。</w:t>
      </w:r>
      <w:r/>
    </w:p>
    <w:p>
      <w:pPr>
        <w:ind w:left="0" w:firstLine="420"/>
        <w:keepLines/>
        <w:keepNext/>
        <w:pageBreakBefore w:val="0"/>
        <w:spacing w:line="420" w:lineRule="exact"/>
        <w:widowControl w:val="off"/>
        <w:rPr>
          <w:rFonts w:hint="eastAsia" w:ascii="宋体" w:hAnsi="宋体" w:eastAsia="宋体" w:cs="宋体"/>
          <w:szCs w:val="21"/>
          <w:highlight w:val="none"/>
        </w:rPr>
      </w:pPr>
      <w:r/>
      <w:bookmarkStart w:id="204" w:name="_Toc351203634"/>
      <w:r>
        <w:rPr>
          <w:rFonts w:hint="eastAsia" w:ascii="宋体" w:hAnsi="宋体" w:eastAsia="宋体" w:cs="宋体"/>
          <w:szCs w:val="21"/>
          <w:highlight w:val="none"/>
        </w:rPr>
        <w:t xml:space="preserve">2</w:t>
      </w:r>
      <w:bookmarkStart w:id="205" w:name="_Toc296347156"/>
      <w:r/>
      <w:bookmarkStart w:id="206" w:name="_Toc296503157"/>
      <w:r/>
      <w:bookmarkStart w:id="207" w:name="_Toc296944496"/>
      <w:r/>
      <w:bookmarkStart w:id="208" w:name="_Toc297120457"/>
      <w:r/>
      <w:bookmarkStart w:id="209" w:name="_Toc296346658"/>
      <w:r/>
      <w:bookmarkStart w:id="210" w:name="_Toc292559362"/>
      <w:r/>
      <w:bookmarkStart w:id="211" w:name="_Toc296890985"/>
      <w:r/>
      <w:bookmarkStart w:id="212" w:name="_Toc292559867"/>
      <w:r/>
      <w:bookmarkStart w:id="213" w:name="_Toc297048343"/>
      <w:r/>
      <w:bookmarkStart w:id="214" w:name="_Toc296891197"/>
      <w:r>
        <w:rPr>
          <w:rFonts w:hint="eastAsia" w:ascii="宋体" w:hAnsi="宋体" w:eastAsia="宋体" w:cs="宋体"/>
          <w:szCs w:val="21"/>
          <w:highlight w:val="none"/>
        </w:rPr>
        <w:t xml:space="preserve">. 发包人</w:t>
      </w:r>
      <w:bookmarkEnd w:id="204"/>
      <w:r/>
      <w:bookmarkEnd w:id="205"/>
      <w:r/>
      <w:bookmarkEnd w:id="206"/>
      <w:r/>
      <w:bookmarkEnd w:id="207"/>
      <w:r/>
      <w:bookmarkEnd w:id="208"/>
      <w:r/>
      <w:bookmarkEnd w:id="209"/>
      <w:r/>
      <w:bookmarkEnd w:id="210"/>
      <w:r/>
      <w:bookmarkEnd w:id="211"/>
      <w:r/>
      <w:bookmarkEnd w:id="212"/>
      <w:r/>
      <w:bookmarkEnd w:id="213"/>
      <w:r/>
      <w:bookmarkEnd w:id="214"/>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2.2 发包人代表</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发包人代表：</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姓    名：</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身份证号：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职    务：</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联系电话：</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发包人对发包人代表的授权范围如下：</w:t>
      </w:r>
      <w:r>
        <w:rPr>
          <w:rFonts w:hint="eastAsia" w:ascii="宋体" w:hAnsi="宋体" w:eastAsia="宋体" w:cs="宋体"/>
          <w:szCs w:val="21"/>
          <w:highlight w:val="none"/>
          <w:u w:val="single"/>
        </w:rPr>
        <w:t xml:space="preserve">代表发包人负责整体工程协调管理、确认现场工程量，按程序办理签证及变更方案实施。对工程质量、施工进度、造价控制、合同管理、信息管理及组织协调等各方面全面监督和管理。</w:t>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2.4 施工现场、施工条件和基础资料的提供</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2.4.1 提供施工现场</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关于发包人移交施工现场的期限要求：</w:t>
      </w:r>
      <w:r>
        <w:rPr>
          <w:rFonts w:hint="eastAsia" w:ascii="宋体" w:hAnsi="宋体" w:eastAsia="宋体" w:cs="宋体"/>
          <w:szCs w:val="21"/>
          <w:highlight w:val="none"/>
          <w:u w:val="single"/>
        </w:rPr>
        <w:t xml:space="preserve">书面正式通知后三天内。开工前由发包人按现状交给承包人，其它由承包人负责，满足工程施工需要，费用由承包人承担。</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2.4.2 提供施工条件</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关于发包人应负责提供施工所需要的条件，包括：</w:t>
      </w:r>
      <w:r>
        <w:rPr>
          <w:rFonts w:hint="eastAsia" w:ascii="宋体" w:hAnsi="宋体" w:eastAsia="宋体" w:cs="宋体"/>
          <w:szCs w:val="21"/>
          <w:highlight w:val="none"/>
          <w:u w:val="single"/>
        </w:rPr>
        <w:t xml:space="preserve">施工队伍进场后，首先由发包人和监理人与承包人进行现场工作面现状分界、交接，书面交接后方可进行现场施工。</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u w:val="single"/>
        </w:rPr>
        <w:t xml:space="preserve">施工用水、电由承包人现场单独挂表计量，费用由承包人负责，水、电费用由发包人代缴</w:t>
      </w:r>
      <w:r>
        <w:rPr>
          <w:rFonts w:hint="eastAsia" w:ascii="宋体" w:hAnsi="宋体" w:eastAsia="宋体" w:cs="宋体"/>
          <w:szCs w:val="21"/>
          <w:highlight w:val="none"/>
          <w:u w:val="single"/>
        </w:rPr>
        <w:t xml:space="preserve">的部分结算时按实际缴纳金额进行扣回；水、电管线搭拆费用、水电费（含线路损耗）及用水用电产生的事故责任由承包人自行承担；施工场地与公共道路的通道开通，开工前由发包人配合承包人进行，费用由承包人负责；开工前 5 天内协调处理施工场地周围地下管线和邻近建筑物、构筑物（含文物保护建筑）、古树名木的保护工作，费用由承包人负责。承包人充分考虑进场后需要对道路红线内的障碍物的拆除及可能发生的地方矛盾的处理（发包人仅负责协助处理），费用由承包人自行承担。承包人自行勘探现场，并自行承担相关费用。承包人应主动向发包人了解地形情</w:t>
      </w:r>
      <w:r>
        <w:rPr>
          <w:rFonts w:hint="eastAsia" w:ascii="宋体" w:hAnsi="宋体" w:eastAsia="宋体" w:cs="宋体"/>
          <w:szCs w:val="21"/>
          <w:highlight w:val="none"/>
          <w:u w:val="single"/>
        </w:rPr>
        <w:t xml:space="preserve">况，索取地质勘探资料，了解施工现场区域划分位置。承包人应充分了解工地位置、地形地貌情况（工地现场的地形对施工可能造成的影响）、道路、储存空间、装卸限制及任何其它足以影响承包价的情况。施工用水源、电源，由承包人自行解决，该费用由承包人在投标报价中考虑，在投标报价时承包人同时需考虑各种地方矛盾协调费；施工现场场内交通条件，如不具备，则由承包人实施，并承担费用；所有现场的成品保护由承包人负责，损坏的无条件恢复至原状，所发生的一切费用由承包人承担。任何因承包人忽视或误解工地情况而导致的索赔或工期延长申请将不被批准。</w:t>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2.5 资金来源证明及支付担保</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发包人提供资金来源证明的期限要求：</w:t>
      </w:r>
      <w:r>
        <w:rPr>
          <w:rFonts w:hint="eastAsia" w:ascii="宋体" w:hAnsi="宋体" w:eastAsia="宋体" w:cs="宋体"/>
          <w:szCs w:val="21"/>
          <w:highlight w:val="none"/>
          <w:u w:val="single"/>
        </w:rPr>
        <w:t xml:space="preserve">已提供 </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发包人是否提供支付担保：</w:t>
      </w:r>
      <w:r>
        <w:rPr>
          <w:rFonts w:hint="eastAsia" w:ascii="宋体" w:hAnsi="宋体" w:eastAsia="宋体" w:cs="宋体"/>
          <w:szCs w:val="21"/>
          <w:highlight w:val="none"/>
          <w:u w:val="single"/>
        </w:rPr>
        <w:t xml:space="preserve">发包人依法向施工单位提供工程款支付担保。</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发包人提供支付担保的形式：</w:t>
      </w:r>
      <w:r>
        <w:rPr>
          <w:rFonts w:hint="eastAsia" w:ascii="宋体" w:hAnsi="宋体" w:eastAsia="宋体" w:cs="宋体"/>
          <w:szCs w:val="21"/>
          <w:highlight w:val="none"/>
          <w:u w:val="single"/>
        </w:rPr>
        <w:t xml:space="preserve">担保形式不限，对于资金落实到位的政府投资项目，建设单位可以根据合同约定将有权部门出具的相应资金来源证明作为支付担保凭证。</w:t>
      </w:r>
      <w:r/>
    </w:p>
    <w:p>
      <w:pPr>
        <w:ind w:left="0" w:firstLine="420"/>
        <w:keepLines/>
        <w:keepNext/>
        <w:pageBreakBefore w:val="0"/>
        <w:spacing w:line="420" w:lineRule="exact"/>
        <w:widowControl w:val="off"/>
        <w:rPr>
          <w:rFonts w:hint="eastAsia" w:ascii="宋体" w:hAnsi="宋体" w:eastAsia="宋体" w:cs="宋体"/>
          <w:szCs w:val="21"/>
          <w:highlight w:val="none"/>
        </w:rPr>
      </w:pPr>
      <w:r/>
      <w:bookmarkStart w:id="215" w:name="_Toc351203635"/>
      <w:r>
        <w:rPr>
          <w:rFonts w:hint="eastAsia" w:ascii="宋体" w:hAnsi="宋体" w:eastAsia="宋体" w:cs="宋体"/>
          <w:szCs w:val="21"/>
          <w:highlight w:val="none"/>
        </w:rPr>
        <w:t xml:space="preserve">3</w:t>
      </w:r>
      <w:bookmarkStart w:id="216" w:name="_Toc296890986"/>
      <w:r/>
      <w:bookmarkStart w:id="217" w:name="_Toc296891198"/>
      <w:r/>
      <w:bookmarkStart w:id="218" w:name="_Toc292559363"/>
      <w:r/>
      <w:bookmarkStart w:id="219" w:name="_Toc297120458"/>
      <w:r/>
      <w:bookmarkStart w:id="220" w:name="_Toc296503158"/>
      <w:r/>
      <w:bookmarkStart w:id="221" w:name="_Toc296346659"/>
      <w:r/>
      <w:bookmarkStart w:id="222" w:name="_Toc296944497"/>
      <w:r/>
      <w:bookmarkStart w:id="223" w:name="_Toc296347157"/>
      <w:r/>
      <w:bookmarkStart w:id="224" w:name="_Toc292559868"/>
      <w:r/>
      <w:bookmarkStart w:id="225" w:name="_Toc297048344"/>
      <w:r>
        <w:rPr>
          <w:rFonts w:hint="eastAsia" w:ascii="宋体" w:hAnsi="宋体" w:eastAsia="宋体" w:cs="宋体"/>
          <w:szCs w:val="21"/>
          <w:highlight w:val="none"/>
        </w:rPr>
        <w:t xml:space="preserve">. 承包人</w:t>
      </w:r>
      <w:bookmarkEnd w:id="215"/>
      <w:r/>
      <w:bookmarkEnd w:id="216"/>
      <w:r/>
      <w:bookmarkEnd w:id="217"/>
      <w:r/>
      <w:bookmarkEnd w:id="218"/>
      <w:r/>
      <w:bookmarkEnd w:id="219"/>
      <w:r/>
      <w:bookmarkEnd w:id="220"/>
      <w:r/>
      <w:bookmarkEnd w:id="221"/>
      <w:r/>
      <w:bookmarkEnd w:id="222"/>
      <w:r/>
      <w:bookmarkEnd w:id="223"/>
      <w:r/>
      <w:bookmarkEnd w:id="224"/>
      <w:r/>
      <w:bookmarkEnd w:id="225"/>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3.1 承包人的一般义务</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承包人在履行合同过程中应遵守法律和工程建设标准规范，并履行以下义务：</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（1）办理法律规定应由承包人办理的施工许可和批准（包括但不限于合同归集、质安监手续、农民工专户等手续），发包人协助，费用由承包人承担，办理结果书面报送发包人留存（如需办理）；</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（2）按法律规定和合同约定完成工程施工，并在保修期内承担保修义务；</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（3）按法律规定和合同约定采取施工安全和环境保护措施，办理工伤保险，确保工程及人员、材料、设备和设施的安全；</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（4）按合同约定的工作内容和施工进度要求，编制施工组织设计和施工措施计划，并对所有施工作业和施工方法的完备性和安全可靠性负责；</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6）负责施工场地及其周边环境与生态以及施工场地周围地下管线和构筑物（含文物保护建筑）、树木的保护，费用由承包人承担，如发现有重点文物等，应及时报告当地政府及相关部门，如因承包人没有及时报告和保护而造成的一切经济损失和法律责任由承包人承担；</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（7）采取施工安全措施，确保工程及其人员、材料、设备和设施的安全， 防止因工程施工造成的人身伤害和财产损失；</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（8）及时支付农民工工资和机械设备租用费、分包项价款，不得因此造成矛盾。</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（9）承包人提交的竣工资料的内容：</w:t>
      </w:r>
      <w:r>
        <w:rPr>
          <w:rFonts w:hint="eastAsia" w:ascii="宋体" w:hAnsi="宋体" w:eastAsia="宋体" w:cs="宋体"/>
          <w:szCs w:val="21"/>
          <w:highlight w:val="none"/>
          <w:u w:val="single"/>
        </w:rPr>
        <w:t xml:space="preserve">按发包人要求提交全套施工资料及竣工图等材料以及发包人根据工程情况要求提供的其他资料。包括但不限于竣工图（如需）、施工过程中主要材料的合格证和检测报告、设备的合格证（如有）等</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承包人需要提交的竣工资料套数：</w:t>
      </w:r>
      <w:r>
        <w:rPr>
          <w:rFonts w:hint="eastAsia" w:ascii="宋体" w:hAnsi="宋体" w:eastAsia="宋体" w:cs="宋体"/>
          <w:szCs w:val="21"/>
          <w:highlight w:val="none"/>
          <w:u w:val="single"/>
        </w:rPr>
        <w:t xml:space="preserve">  竣工资料和竣工图 4 套  </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承包人提交的竣工资料的费用承担：</w:t>
      </w:r>
      <w:r>
        <w:rPr>
          <w:rFonts w:hint="eastAsia" w:ascii="宋体" w:hAnsi="宋体" w:eastAsia="宋体" w:cs="宋体"/>
          <w:szCs w:val="21"/>
          <w:highlight w:val="none"/>
          <w:u w:val="single"/>
        </w:rPr>
        <w:t xml:space="preserve">由承包人承担 </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承包人提交的竣工资料移交时间：</w:t>
      </w:r>
      <w:r>
        <w:rPr>
          <w:rFonts w:hint="eastAsia" w:ascii="宋体" w:hAnsi="宋体" w:eastAsia="宋体" w:cs="宋体"/>
          <w:szCs w:val="21"/>
          <w:highlight w:val="none"/>
          <w:u w:val="single"/>
        </w:rPr>
        <w:t xml:space="preserve">施工结束，竣工验收前，先验收资料，后验收工程实体，不影响发包人整体移交</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承包人提交的竣工资料形式要求：</w:t>
      </w:r>
      <w:r>
        <w:rPr>
          <w:rFonts w:hint="eastAsia" w:ascii="宋体" w:hAnsi="宋体" w:eastAsia="宋体" w:cs="宋体"/>
          <w:szCs w:val="21"/>
          <w:highlight w:val="none"/>
          <w:u w:val="single"/>
        </w:rPr>
        <w:t xml:space="preserve">书面资料及电子档资料，满足主管部门及档案管理部门的要求。</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承包人应履行的其他义务：</w:t>
      </w:r>
      <w:r>
        <w:rPr>
          <w:rFonts w:hint="eastAsia" w:ascii="宋体" w:hAnsi="宋体" w:eastAsia="宋体" w:cs="宋体"/>
          <w:szCs w:val="21"/>
          <w:highlight w:val="none"/>
          <w:u w:val="single"/>
        </w:rPr>
        <w:t xml:space="preserve">1）安排专人 24 小时负责安全保卫工作，非夜间施工照明应注意安全要求，费用由承包人承担；承包人在投标时已充分考虑在施工期间必须设置醒目的交通安全标志、标牌及警示灯，同时保证道路正常通行。施工场地要设立标语、标牌，做到文明施工，树立企业形象，主动接受社会监督和有关部门的管理。承包人在各种危险部位设置明显的安全警示标志，安全警示标志必须符合国家标准。如发生安全事故，责任概由承包人承担，非因承包人过错导致的第三方责任除外，发包人有权根据事故严重程度单方解除合同，没收全部履约保证金，由此造成的损失由承包人承担。</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承包人必须按规定对施工现场成品进行保护，自施工项目验收合格之日起交付给发包人止，专业工程施工现场成品保护由专业工程施工单位负责，损坏的无条件恢复至原状，所发生的一切费用由承包人承担；任何因忽视或误解工地情况而导致的索赔或工期延长申请将不被批准。</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3）承包人必须对施工场地周围地下管线和构筑（含文物保护建筑）、古树名木进行保护，费用由承包人负责；如因承包人没有及时报告和保护而造成的一切经济损失和法律责任由承包人承担；</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4）承包人必须按文明施工要求组织施工，保持场地整洁卫生，费用由承包人负责；施工垃圾在指定区域定点堆放，及时清运，费用由承包人承担；如不及时清运的，由发包人指定其他单位代为实施，费用由承包人承担。  </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5）承包人在本工程竣工验收后七日内拆除所有临时设施，并清运出现场，费用由承包人负责。否则，如发生相关费用由发包人在工程竣工结算价款中扣除；</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6）如发包人代扣代缴本工程应由承包人缴纳的各种费用，承包人必须履行发包人要求的各项手续，费用由承包人负责；</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7）本工程向建设主管部门办理的工程施工许可手续，由承包人代为办理，由发包人协助，费用按规定承担。</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承包人无条件服从发包人管理工作的要求。自行协调与其它专业工程施工承包人（如有）之间的矛盾，如发生相关费用，由承包人自行承担。</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8）承包人须对施工现场所有从业人员，建立电脑用工台账，实行日常考勤管理，必须第一时间内向建设单位、监理单位，主动提供与劳动公司签订的用工合同，或主动提供班组人员与承包人签订的用工合同。项目部管理人员按招投标文件、合同及相关规定配备到岗，按规定到发包人处进行打卡、考勤。（人脸识别考勤机由承包人采购、安装在施工现场，费用包含在合同价中。</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9）进场后自觉服从发包人对工地安全、标准化现场、总平面布置的管理， 如出现不服从、不配合等现象，发包人有权按违约处理，要求承包人承担违约责任。</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10）本项目施工过程中遇到的一切地方矛盾及由此发生的费用与发包人无涉，均由承包人自行负责，并在投标报价中考虑，结算时不调整。</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11）施工前，承包人自行到建设、城管、交警等部门办理各类可能涉及的相关手续、缴纳押金和办理备案，需缴纳的费用和涉及的所有费用自行考虑在投标报价中，结算时不另计。</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12）材料的堆放、二次运输以及施工单位现场驻地等需由承包人自行考虑，且不得破坏现场已建设完成的道路、绿化等，如破坏的，均由本工程承包人负责及时修复至原状。上述费用承包人自行考虑在投标报价中，发包人不另行支付此费用。</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13）工程施工中开挖、破除等施工手续的申请，由承包人按盐都区主管部门要求履行申请手续取得批准后方可施工，如申请时需缴纳保证金等有关费用的，均由承包人缴纳并承担费用，发包人不另行支付此费用。</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15）本项目施工如对现有道路交通造成一定影响，承包人需在项目实施前自行将施工方案、交通分流方案及临时设施、便道搭设方案等报发包人、交警、城管等相关部门审批，审批通过后方可施工，涉及到的一切费用（含保证金、交通疏导、警示牌制作等费用）及相关手续办理均由承包人负责，费用由承包人在投标报价中充分考虑，结算时不另计。</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16）本项目在施工期间现场雾炮、洒水车数量均须满足发包人及相关主管部门要求，裸土必须全覆盖，相关费用在投标报价中充分考虑。</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17）本项目施工范围内如有地下电缆等管线，供电、供水等管道，对施工造成影响的，承包人需根据权属部门要求组织施工，相关施工方案调整及施工措施增加等引起的费用由承包人自行考虑在综合报价中，发包人不再增加此项费用。</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18）雨季，承包人在报价时须考虑雨季施工的相关措施费，包括搭设防雨棚、抽排水等措施， 须无条件服从发包人统一调度和排水安排，对施工区域进行临时应急抽水，相关费用自行考虑在报价中，结算时不另计。</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19）承包人报价时需考虑送检第三方检测等需要现场破坏性检测的材料费用，分摊在清单报价中。如发生第三方材料检测结果不合格，检测费用由承包人支付。</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20）本项目施工范围内如有临近供水、供电、供热等管线，或将对施工造成影响，承包人需根据管线权属部门要求编写施工方案组织施工，相关施工方案调整及施工措施增加等引起的费用由承包人自行考虑在综合报价中，发包人不再增加此项费用。</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21）需承包人办理的有关施工场地交通、环卫环保和施工噪音管理等手续遵守政府有关主管部门对施工场地交通、施工噪音、环境保护和安全生产等的管理规定，按规定办理有关手续，并以书面形式通知发包人，所有费用均已包含在合同价中。</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22）发包人因工作需要，可向承包人就有关资料提出查询、索取要求，承包人不得以任何理由拖延和隐瞒；否则，承包人应承担 5000 元/次的违约金。在工程施工过程中，若本工程由于出现施工质量问题、安全事故或者因承包人造成的其它原因，受到报纸、电视等媒体的曝光或被政府有关主管部门的通报批评，给本工程的社会形象损失，每次由承包人向发包人支付贰万元违约金，发包人有权从承包人工程进度款或保修款中扣除并赔偿发包人因此受到的一切损失。</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23）承包人在合同签订后10日内主动向发包人、监理单位，提供用工合同，并确保合同的合法性、有效性，签约的相关主体具有签约资格。</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24）本项目农民工工资按《关于进一步做好建筑施工拖欠农民工工资治理工作的通知》（盐建建筑〔2016〕35 号）文件执行，承包人应每周、每月对进场班组人员信息、联系方式、工资信息进行登记造册，并将农民工工资支付情况定时或不定时报建设单位，承包人应按时支付农民工工资，不得发生因未按时支付农民工工资造成的投诉和上访事宜。</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25）为了配合发包人做好建设局及相关主管部门要求的相关备案手续，承包人保证在发包人要求时间内及时向发包人出具无拖欠工程款证明，确保发包人备案手续的顺利及时地完成。</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26）如承包人拒绝提供无拖欠工程款证明材料造成发包人备案延误，承包人应承担由此造成的损失，并按规定承担违约责任。</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27）施工垃圾指定区域定点堆放，由承包人及时清运，费用由承包人承担；如不及时清运的，由发包人指定其他单位代为实施，费用由承包人承担。  </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28）施工过程严格执行国家、本区域相关防疫规定，防疫用品配备到位，防疫措施实施到位，否则不得进行现场施工，相关费用全部包含在价款内，由承包人承担。</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29）需承包人办理的有关施工场地交通、环卫环保和施工噪音管理等手续遵守政府有关主管部门对施工场地交通、施工噪音、环境保护和安全生产等的管理规定，按规定办理有关手续，并以书面形式通知发包人，所有费用均已包含在合同价中。</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30）承包人自行承担工程施工过程中的工程质量、任何状况下的安全责任。非发包人原因，发生的一切 问题和责任与发包人无关，相关一切费用或民事、刑事责任均由承包人自理。若承包人不能及时处理所发生的问题和责任，并且影响到工程进度时，发包人有权处理相关事务，所发生的费用在支付工程款时扣除或向承包人追偿。如因承包人没有及时报告施工情况和保护施工人员安全、施工现场财产安全而造成的一切经济损失和法律责任由承包人承担。</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31）承包人须接受现场不一定完全具备施工条件的现状，穿插施工，合理组织安排工期，确保按期完成。由此带来的损失由承包人自行承担。</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32）承包人不得以不了解现场或场地受限可能造成影响等情况为借口，做出额外索赔或延长工期的要求。妥善做好与所在街道、社区等当地部门的对接、协调可能需要的临时施工场地的使用。相关临时租用场地发生的费用，已综合考虑进临时设施费，发包人不另行支付。</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u w:val="single"/>
        </w:rPr>
        <w:t xml:space="preserve">33）承包人必须遵守建设工程施工等方面的相关规定，服从行政主管部门的管理。凡涉及到承包人的施工备案、夜间施工、车辆准运、排污、环保、市容、城建城管、消防、治安、人口管理等相关手续，均由承包人自行办理，发包人给予配合，所发生的费用均由承包人承担。</w:t>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3.2 项目经理</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3.2.1 项目经理：</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姓    名：</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身份证号：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建造师执业资格等级:</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建造师注册证书号：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建造师执业印章号：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安全生产考核合格证书号：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联系电话：</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电子信箱：</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通信地址：</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承包人对项目经理的授权范围如下：</w:t>
      </w:r>
      <w:r>
        <w:rPr>
          <w:rFonts w:hint="eastAsia" w:ascii="宋体" w:hAnsi="宋体" w:eastAsia="宋体" w:cs="宋体"/>
          <w:szCs w:val="21"/>
          <w:highlight w:val="none"/>
          <w:u w:val="single"/>
        </w:rPr>
        <w:t xml:space="preserve">代表承包人全面负责施工合同的履行，对本工程的施工、进度、质量、安全、工期、付款、以及设计变更等全面跟踪监督及服务，协调各方面矛盾负责工程的施工安全，文件的签署、接收等。</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关于项目经理每月在施工现场的时间要求：</w:t>
      </w:r>
      <w:r>
        <w:rPr>
          <w:rFonts w:hint="eastAsia" w:ascii="宋体" w:hAnsi="宋体" w:eastAsia="宋体" w:cs="宋体"/>
          <w:szCs w:val="21"/>
          <w:highlight w:val="none"/>
          <w:u w:val="single"/>
        </w:rPr>
        <w:t xml:space="preserve">该工程施工过程中项目负责人和投标时确认的项目部人员必须常驻现场实施施工管理。中途如须离开，必须经发包人书面同意，否则发包人有权终止合同，扣除履约保证金，并要求承包人支付合同协议书中约定的合同总价 20%的违约金。因此给发包人造成损失的，承包人需予以全部赔偿。</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承包人未提交劳动合同，以及没有为项目经理缴纳社会保险证明的违约责任：</w:t>
      </w:r>
      <w:r>
        <w:rPr>
          <w:rFonts w:hint="eastAsia" w:ascii="宋体" w:hAnsi="宋体" w:eastAsia="宋体" w:cs="宋体"/>
          <w:szCs w:val="21"/>
          <w:highlight w:val="none"/>
          <w:u w:val="single"/>
        </w:rPr>
        <w:t xml:space="preserve">经发包人提出后，承包人未整改的，发包人有权终止合同，扣除履约保证金，承包人应承担合同总价20%违约金，并赔偿由此给发包人造成的全部损失。</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项目经理未经批准，擅自离开施工现场的违约责任：</w:t>
      </w:r>
      <w:r>
        <w:rPr>
          <w:rFonts w:hint="eastAsia" w:ascii="宋体" w:hAnsi="宋体" w:eastAsia="宋体" w:cs="宋体"/>
          <w:szCs w:val="21"/>
          <w:highlight w:val="none"/>
          <w:u w:val="single"/>
        </w:rPr>
        <w:t xml:space="preserve">施工过程中项目负责人和投标时确认的项目部人员必须常驻现场实施施工管理，并参与发包人的日常考勤。中途项目负责人和项目部人员需离岗必须履行书面请假手续并经发包人书面同意。若未经发包人书面同意而擅自离岗的，将处以每人每天（擅自离岗超过2小时即视为一天，下同）5000元的违约金，发包人有权在当期工程款支付时或履约保证金中直接扣除。若擅自离岗累计达 2天以上的，发包人有权解除合同，扣除履约保证金，承包人应向发包人支付合同协议书中约定的合同总价20%的违约金。因此给发包人造成损失的，承包人需予以全部赔偿。</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发包人将对本项目项目负责人进行考勤，时间为上午 8：30—9:30，下午 5:00—6:00 到发包人进行打卡（上下午都满足打卡要求的，为 1个有效考勤日期），如有特殊情况请假的，需提前3天向发包人提出书面申请，在得到书面同意后请假的，视为有效考勤日期。      </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3.2.3 承包人擅自更换项目经理的违约责任：</w:t>
      </w:r>
      <w:r>
        <w:rPr>
          <w:rFonts w:hint="eastAsia" w:ascii="宋体" w:hAnsi="宋体" w:eastAsia="宋体" w:cs="宋体"/>
          <w:szCs w:val="21"/>
          <w:highlight w:val="none"/>
          <w:u w:val="single"/>
        </w:rPr>
        <w:t xml:space="preserve">未经发包人书面同意，发包人有权解除合同，扣除履约保证金，承包人应向发包人支付合同协议书中约定的合同总价20%的违约金。因此给发包人造成损失的，承包人需予以全部赔偿。</w:t>
      </w:r>
      <w:r/>
    </w:p>
    <w:p>
      <w:pPr>
        <w:ind w:left="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    3.2.4 承包人无正当理由拒绝更换项目经理的违约责任：</w:t>
      </w:r>
      <w:r>
        <w:rPr>
          <w:rFonts w:hint="eastAsia" w:ascii="宋体" w:hAnsi="宋体" w:eastAsia="宋体" w:cs="宋体"/>
          <w:szCs w:val="21"/>
          <w:highlight w:val="none"/>
          <w:u w:val="single"/>
        </w:rPr>
        <w:t xml:space="preserve">未经发包人书面同意，发包人有权解除合同，扣除履约保证金，承包人应向发包人支付合同协议书中约定的合同总价 20%的违约金。因此给发包人造成损失的，承包人需予以全部赔偿。</w:t>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3.3 承包人人员</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3.3.1 承包人提交项目管理机构及施工现场管理人员安排报告的期限：</w:t>
      </w:r>
      <w:r>
        <w:rPr>
          <w:rFonts w:hint="eastAsia" w:ascii="宋体" w:hAnsi="宋体" w:eastAsia="宋体" w:cs="宋体"/>
          <w:szCs w:val="21"/>
          <w:highlight w:val="none"/>
          <w:u w:val="single"/>
        </w:rPr>
        <w:t xml:space="preserve"> 进场 3 日内 </w:t>
      </w:r>
      <w:r>
        <w:rPr>
          <w:rFonts w:hint="eastAsia" w:ascii="宋体" w:hAnsi="宋体" w:eastAsia="宋体" w:cs="宋体"/>
          <w:szCs w:val="21"/>
          <w:highlight w:val="none"/>
        </w:rPr>
        <w:t xml:space="preserve"> 。其中必须包括投标时确认的项目部成员，承包人应将人员名单报发包人备案。</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3.3.3 承包人无正当理由拒绝撤换主要施工管理人员的违约责任：</w:t>
      </w:r>
      <w:r>
        <w:rPr>
          <w:rFonts w:hint="eastAsia" w:ascii="宋体" w:hAnsi="宋体" w:eastAsia="宋体" w:cs="宋体"/>
          <w:szCs w:val="21"/>
          <w:highlight w:val="none"/>
          <w:u w:val="single"/>
        </w:rPr>
        <w:t xml:space="preserve">经发包人提出后，承包人拒绝更换的，发包人有权解除合同，扣除履约保证金，承包人应向发包人支付合同协议书中约定的合同总价20%的违约金。因此给发包人造成损失的，承包人需予以全部赔偿。</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3.3.4 承包人主要施工管理人员离开施工现场的批准要求：</w:t>
      </w:r>
      <w:r>
        <w:rPr>
          <w:rFonts w:hint="eastAsia" w:ascii="宋体" w:hAnsi="宋体" w:eastAsia="宋体" w:cs="宋体"/>
          <w:szCs w:val="21"/>
          <w:highlight w:val="none"/>
          <w:u w:val="single"/>
        </w:rPr>
        <w:t xml:space="preserve">项目部人员必须全部到施工现场参与工程施工管理，并接受发包人的考核，不得随意更换，须满足工程需要。发包人保留更换不称职的项目经理及其他管理人员的权利。中途施工管理人员需离岗必须履行书面请假手续并经发包人书面同意。未经发包人书面同意，发包人有权解除合同，扣除履约保证金，承包人应向发包人支付合同协议书中约定的合同总价20%的违约金。因此给发包人造成损失的，承包人需予以全部赔偿</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3.3.5承包人擅自更换主要施工管理人员的违约责任：</w:t>
      </w:r>
      <w:r>
        <w:rPr>
          <w:rFonts w:hint="eastAsia" w:ascii="宋体" w:hAnsi="宋体" w:eastAsia="宋体" w:cs="宋体"/>
          <w:szCs w:val="21"/>
          <w:highlight w:val="none"/>
          <w:u w:val="single"/>
        </w:rPr>
        <w:t xml:space="preserve">未经发包人书面同意擅自更换的，发包人有权解除合同，扣除履约保证金，承包人应向发包人支付合同协议书中约定的合同总价20%的违约金。因此给发包人造成损失的，承包人需予以全部赔偿。</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工程开工时，承包人应出具书面授权委托书明确工程负责人，并按投标文件要求明确现场管理机构。项目负责人和项目部人员必须和投标文件一致并常驻现场，如项目实施过程中，经备案或发包人认可的主要施工管理人员不能胜任工作的，发包人有权要求更换，直至更换至能胜任现场管理工作为止，并且发包人有权要求承包人每人每次承担不少于5000元的违约</w:t>
      </w:r>
      <w:r>
        <w:rPr>
          <w:rFonts w:hint="eastAsia" w:ascii="宋体" w:hAnsi="宋体" w:eastAsia="宋体" w:cs="宋体"/>
          <w:szCs w:val="21"/>
          <w:highlight w:val="none"/>
          <w:u w:val="single"/>
        </w:rPr>
        <w:t xml:space="preserve">金，发包人有权在当期工程款支付时或履约保证金直接扣除；项目负责人和项目部人员中途如需离开，必须书面申请，若未经发包人书面同意而擅自离岗的，将有权要求承包人承担每人每天3000元的违约金，承包人必须在发包人处罚决定后2日内以现金形式交由发包人。逾期未交的发包人有权在支付工程款时从应付的工程款中或从履约保证金中扣除，若拒绝更换的或更换后依然不符合的，经发包人提出仍未改正的，发包人有权解除合同，扣除履约保证金，并要求承包人支付合同协议书中约定的合同总价20%的违约金。因此给发包人造成损失的，承包人需予以全部赔偿。</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承包人主要施工管理人员擅自离开施工现场的违约责任：</w:t>
      </w:r>
      <w:r>
        <w:rPr>
          <w:rFonts w:hint="eastAsia" w:ascii="宋体" w:hAnsi="宋体" w:eastAsia="宋体" w:cs="宋体"/>
          <w:szCs w:val="21"/>
          <w:highlight w:val="none"/>
          <w:u w:val="single"/>
        </w:rPr>
        <w:t xml:space="preserve">若未经发包人书面同意而擅自离岗的，承包人应承担每人每天5000元的违约金，承包人必须在2日内以现金形式交由发包人，逾期未交的发包人有权在支付工程款时从应付的工程款中或从履约保证金中扣除。若擅自离岗累计达2天以上的，发包人有权解除合同，扣除履约保证金，承包人应向发包人支付合同协议书中约定的合同总价20%的违约金。因此给发包人造成损失的，承包人需予以全部赔偿。 </w:t>
      </w:r>
      <w:r/>
    </w:p>
    <w:p>
      <w:pPr>
        <w:ind w:left="0" w:firstLine="414"/>
        <w:pageBreakBefore w:val="0"/>
        <w:spacing w:line="420" w:lineRule="exact"/>
        <w:widowControl w:val="off"/>
        <w:rPr>
          <w:rFonts w:hint="eastAsia" w:ascii="宋体" w:hAnsi="宋体" w:eastAsia="宋体" w:cs="宋体"/>
          <w:b/>
          <w:bCs/>
          <w:spacing w:val="-2"/>
          <w:szCs w:val="21"/>
          <w:highlight w:val="none"/>
          <w:u w:val="single"/>
        </w:rPr>
      </w:pPr>
      <w:r>
        <w:rPr>
          <w:rFonts w:hint="eastAsia" w:ascii="宋体" w:hAnsi="宋体" w:eastAsia="宋体" w:cs="宋体"/>
          <w:b/>
          <w:bCs/>
          <w:spacing w:val="-2"/>
          <w:szCs w:val="21"/>
          <w:highlight w:val="none"/>
        </w:rPr>
        <w:t xml:space="preserve">注：工程项目部管理人员必须严格按招投标文件和苏建建管〔2017〕236号文件要求及时配备到位。所有人员有持证要求的必须持证上岗，在项目经理的统一领导下，尽心尽职地做好本职工作。如不能胜任工作的，发包人将有权建议更换，直到更换至能胜任现场管理工作为止，承包人应无条件予以配合。</w:t>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w:t>
      </w:r>
      <w:bookmarkStart w:id="226" w:name="_Toc292559869"/>
      <w:r/>
      <w:bookmarkStart w:id="227" w:name="_Toc296891199"/>
      <w:r/>
      <w:bookmarkStart w:id="228" w:name="_Toc296347158"/>
      <w:r/>
      <w:bookmarkStart w:id="229" w:name="_Toc297048345"/>
      <w:r/>
      <w:bookmarkStart w:id="230" w:name="_Toc296503159"/>
      <w:r/>
      <w:bookmarkStart w:id="231" w:name="_Toc297123492"/>
      <w:r/>
      <w:bookmarkStart w:id="232" w:name="_Toc304295523"/>
      <w:r/>
      <w:bookmarkStart w:id="233" w:name="_Toc297216151"/>
      <w:r/>
      <w:bookmarkStart w:id="234" w:name="_Toc300934945"/>
      <w:r/>
      <w:bookmarkStart w:id="235" w:name="_Toc296346660"/>
      <w:r/>
      <w:bookmarkStart w:id="236" w:name="_Toc292559364"/>
      <w:r/>
      <w:bookmarkStart w:id="237" w:name="_Toc303539102"/>
      <w:r/>
      <w:bookmarkStart w:id="238" w:name="_Toc296890987"/>
      <w:r/>
      <w:bookmarkStart w:id="239" w:name="_Toc297120459"/>
      <w:r/>
      <w:bookmarkStart w:id="240" w:name="_Toc296944498"/>
      <w:r/>
      <w:bookmarkStart w:id="241" w:name="_Toc312677988"/>
      <w:r>
        <w:rPr>
          <w:rFonts w:hint="eastAsia" w:ascii="宋体" w:hAnsi="宋体" w:eastAsia="宋体" w:cs="宋体"/>
          <w:szCs w:val="21"/>
          <w:highlight w:val="none"/>
        </w:rPr>
        <w:t xml:space="preserve">.5 分包</w:t>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w:t>
      </w:r>
      <w:bookmarkStart w:id="242" w:name="_Toc296890988"/>
      <w:r/>
      <w:bookmarkStart w:id="243" w:name="_Toc296891200"/>
      <w:r/>
      <w:bookmarkStart w:id="244" w:name="_Toc318581158"/>
      <w:r/>
      <w:bookmarkStart w:id="245" w:name="_Toc292559870"/>
      <w:r/>
      <w:bookmarkStart w:id="246" w:name="_Toc296347159"/>
      <w:r/>
      <w:bookmarkStart w:id="247" w:name="_Toc297216152"/>
      <w:r/>
      <w:bookmarkStart w:id="248" w:name="_Toc296346661"/>
      <w:r/>
      <w:bookmarkStart w:id="249" w:name="_Toc312677989"/>
      <w:r/>
      <w:bookmarkStart w:id="250" w:name="_Toc303539103"/>
      <w:r/>
      <w:bookmarkStart w:id="251" w:name="_Toc304295524"/>
      <w:r/>
      <w:bookmarkStart w:id="252" w:name="_Toc297123493"/>
      <w:r/>
      <w:bookmarkStart w:id="253" w:name="_Toc297048346"/>
      <w:r/>
      <w:bookmarkStart w:id="254" w:name="_Toc296503160"/>
      <w:r/>
      <w:bookmarkStart w:id="255" w:name="_Toc297120460"/>
      <w:r/>
      <w:bookmarkStart w:id="256" w:name="_Toc296944499"/>
      <w:r/>
      <w:bookmarkStart w:id="257" w:name="_Toc300934946"/>
      <w:r/>
      <w:bookmarkStart w:id="258" w:name="_Toc292559365"/>
      <w:r>
        <w:rPr>
          <w:rFonts w:hint="eastAsia" w:ascii="宋体" w:hAnsi="宋体" w:eastAsia="宋体" w:cs="宋体"/>
          <w:szCs w:val="21"/>
          <w:highlight w:val="none"/>
        </w:rPr>
        <w:t xml:space="preserve">.5.1 分包的一般约定</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禁止分包的工程包括：</w:t>
      </w:r>
      <w:r>
        <w:rPr>
          <w:rFonts w:hint="eastAsia" w:ascii="宋体" w:hAnsi="宋体" w:eastAsia="宋体" w:cs="宋体"/>
          <w:szCs w:val="21"/>
          <w:highlight w:val="none"/>
          <w:u w:val="single"/>
        </w:rPr>
        <w:t xml:space="preserve">本工程承包人严禁一切形式的转包和分包，如发现承包人有违法转包或分包行为，限令改正。否则，发包人有权立即解除合同，扣除履约保证金，承包人并负违约责任,并向发包人承担合同协议书中约定的合同总价 20%的违约金,以及赔偿由此给发包人造成的一切损失。</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主体结构、关键性工作的范围：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Start w:id="259" w:name="_Toc296503161"/>
      <w:r/>
      <w:bookmarkEnd w:id="259"/>
      <w:r/>
      <w:bookmarkStart w:id="260" w:name="_Toc297048347"/>
      <w:r/>
      <w:bookmarkEnd w:id="260"/>
      <w:r/>
      <w:bookmarkStart w:id="261" w:name="_Toc296347160"/>
      <w:r/>
      <w:bookmarkEnd w:id="261"/>
      <w:r/>
      <w:bookmarkStart w:id="262" w:name="_Toc297123494"/>
      <w:r/>
      <w:bookmarkEnd w:id="262"/>
      <w:r/>
      <w:bookmarkStart w:id="263" w:name="_Toc296944500"/>
      <w:r/>
      <w:bookmarkEnd w:id="263"/>
      <w:r/>
      <w:bookmarkStart w:id="264" w:name="_Toc296891201"/>
      <w:r/>
      <w:bookmarkEnd w:id="264"/>
      <w:r/>
      <w:bookmarkStart w:id="265" w:name="_Toc300934947"/>
      <w:r/>
      <w:bookmarkEnd w:id="265"/>
      <w:r/>
      <w:bookmarkStart w:id="266" w:name="_Toc296346662"/>
      <w:r/>
      <w:bookmarkEnd w:id="266"/>
      <w:r/>
      <w:bookmarkStart w:id="267" w:name="_Toc296890989"/>
      <w:r/>
      <w:bookmarkEnd w:id="267"/>
      <w:r/>
      <w:bookmarkStart w:id="268" w:name="_Toc303539104"/>
      <w:r/>
      <w:bookmarkEnd w:id="268"/>
      <w:r/>
      <w:bookmarkStart w:id="269" w:name="_Toc297120461"/>
      <w:r/>
      <w:bookmarkEnd w:id="269"/>
      <w:r/>
      <w:bookmarkStart w:id="270" w:name="_Toc304295525"/>
      <w:r/>
      <w:bookmarkEnd w:id="270"/>
      <w:r/>
      <w:bookmarkStart w:id="271" w:name="_Toc297216153"/>
      <w:r/>
      <w:bookmarkEnd w:id="271"/>
      <w:r/>
      <w:r/>
    </w:p>
    <w:p>
      <w:pPr>
        <w:ind w:left="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    3</w:t>
      </w:r>
      <w:bookmarkStart w:id="272" w:name="_Toc318581159"/>
      <w:r/>
      <w:bookmarkStart w:id="273" w:name="_Toc312677990"/>
      <w:r>
        <w:rPr>
          <w:rFonts w:hint="eastAsia" w:ascii="宋体" w:hAnsi="宋体" w:eastAsia="宋体" w:cs="宋体"/>
          <w:szCs w:val="21"/>
          <w:highlight w:val="none"/>
        </w:rPr>
        <w:t xml:space="preserve">.5.2分包的确定</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允许分包的专业工程包括：</w:t>
      </w:r>
      <w:r>
        <w:rPr>
          <w:rFonts w:hint="eastAsia" w:ascii="宋体" w:hAnsi="宋体" w:eastAsia="宋体" w:cs="宋体"/>
          <w:szCs w:val="21"/>
          <w:highlight w:val="none"/>
        </w:rPr>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rPr>
        <w:t xml:space="preserve">/  </w:t>
      </w:r>
      <w:r/>
      <w:r>
        <w:rPr>
          <w:rFonts w:hint="eastAsia" w:ascii="宋体" w:hAnsi="宋体" w:eastAsia="宋体" w:cs="宋体"/>
          <w:szCs w:val="21"/>
          <w:highlight w:val="none"/>
        </w:rPr>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其他关于分包的约定：</w:t>
      </w:r>
      <w:r>
        <w:rPr>
          <w:rFonts w:hint="eastAsia" w:ascii="宋体" w:hAnsi="宋体" w:eastAsia="宋体" w:cs="宋体"/>
          <w:szCs w:val="21"/>
          <w:highlight w:val="none"/>
        </w:rPr>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rPr>
        <w:t xml:space="preserve">/  </w:t>
      </w:r>
      <w:r/>
      <w:r>
        <w:rPr>
          <w:rFonts w:hint="eastAsia" w:ascii="宋体" w:hAnsi="宋体" w:eastAsia="宋体" w:cs="宋体"/>
          <w:szCs w:val="21"/>
          <w:highlight w:val="none"/>
        </w:rPr>
      </w:r>
      <w:r>
        <w:rPr>
          <w:rFonts w:hint="eastAsia" w:ascii="宋体" w:hAnsi="宋体" w:eastAsia="宋体" w:cs="宋体"/>
          <w:szCs w:val="21"/>
          <w:highlight w:val="none"/>
        </w:rPr>
        <w:t xml:space="preserve">。</w:t>
      </w:r>
      <w:bookmarkEnd w:id="272"/>
      <w:r/>
      <w:bookmarkEnd w:id="273"/>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3.6 工程照管与成品、半成品保护</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承包人负责照管工程及工程相关的材料、工程设备的起始时间：</w:t>
      </w:r>
      <w:r>
        <w:rPr>
          <w:rFonts w:hint="eastAsia" w:ascii="宋体" w:hAnsi="宋体" w:eastAsia="宋体" w:cs="宋体"/>
          <w:szCs w:val="21"/>
          <w:highlight w:val="none"/>
          <w:u w:val="single"/>
        </w:rPr>
        <w:t xml:space="preserve">进场直至施工完成交付使用，相关保护费用由承包人承担。承包人应为任何已完工、施工中和将要进行的任何永久和临时工程、 材料、设备以及因永久工程施工而暴露的任何毗邻财产提供有效的覆盖和保护措施，以避免恶劣天气对工程施工的任何影响和减少可能的损失，费用由承包人承担。成品保护按相关要求执行，工程施工不得随意破坏已完工的项目，如破坏需及时按原状修复，否则由发包人另行安排施工队伍修复，费用由发包人安排的施工单位报价，在承包人结算总价中按 3 倍的价格扣除。</w:t>
      </w:r>
      <w:r/>
    </w:p>
    <w:p>
      <w:pPr>
        <w:ind w:left="0" w:firstLine="422"/>
        <w:pageBreakBefore w:val="0"/>
        <w:spacing w:line="420" w:lineRule="exact"/>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3.7 履约担保</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3.7.1承包人是否提供履约担保：</w:t>
      </w:r>
      <w:r>
        <w:rPr>
          <w:rFonts w:hint="eastAsia" w:ascii="宋体" w:hAnsi="宋体" w:eastAsia="宋体" w:cs="宋体"/>
          <w:szCs w:val="21"/>
          <w:highlight w:val="none"/>
          <w:u w:val="single"/>
        </w:rPr>
        <w:t xml:space="preserve">  是  </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3.7.2承包人提供履约担保的形式、金额及期限的：</w:t>
      </w:r>
      <w:r>
        <w:rPr>
          <w:rFonts w:hint="eastAsia" w:ascii="宋体" w:hAnsi="宋体" w:eastAsia="宋体" w:cs="宋体"/>
          <w:szCs w:val="21"/>
          <w:highlight w:val="none"/>
          <w:u w:val="single"/>
        </w:rPr>
        <w:t xml:space="preserve">本工程履约保证金为中标金额的10%，承包人在收到中标通知书后七日内，并在签订合同前，承包人将履约保证金按招标文件约定形式汇转至指定账户。合同须在招标文件规定时间内</w:t>
      </w:r>
      <w:r>
        <w:rPr>
          <w:rFonts w:hint="eastAsia" w:ascii="宋体" w:hAnsi="宋体" w:eastAsia="宋体" w:cs="宋体"/>
          <w:szCs w:val="21"/>
          <w:highlight w:val="none"/>
          <w:u w:val="single"/>
        </w:rPr>
        <w:t xml:space="preserve">办理和签订。发包人对承包人不能遵守招标文件约定，不能按时办理中标手续和交纳履约保证金等费用，影响或者推迟签订合同的，发包人有权在中标结果公示后第八日起宣布该中标人废标，有权没收其投标保证金，并按照国家现行相关法律、法规和规章的规定，建议行政主管部门予以处罚，因此产生的一切责任均由承包人自行承担。 【备注：采购人对第三方信用服务机构依据标准规范评定为 AA 级及以上的政府采购供应商（需在签订采购合同前提供信用管理部门备案的第三方信用报告，且信用报告通过“信用盐城网”可查实），降低履约保证金缴纳比例为5%。】 </w:t>
      </w:r>
      <w:bookmarkStart w:id="274" w:name="_Toc351203636"/>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3.7.2.1履约保证金的缴纳形式：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如以履约保函（保险）形式缴纳履约保证金，供应商可通过政府采购电子履约保函（保险）平台（www.jsdzbh.com）在线申请履约保函（保险）。</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3.7.2.2履约保证金的退还：</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方式：无息退还至投标人缴纳履约保证金的账户。如为保函，在到期时自行失效。</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条件：按合同要求全部履约完成工程竣工验收合格且无违约、无农民工工资拖欠情形下一次性无息退还。</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不予退还情形：</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除不可抗力情况外，投标人出现下列情形之一的，其履约保证金，招标人将视情节决定不予退还或部分不予退还。</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（1）</w:t>
      </w:r>
      <w:r>
        <w:rPr>
          <w:rFonts w:hint="eastAsia" w:ascii="宋体" w:hAnsi="宋体" w:eastAsia="宋体" w:cs="宋体"/>
          <w:szCs w:val="21"/>
          <w:highlight w:val="none"/>
          <w:u w:val="single"/>
        </w:rPr>
        <w:t xml:space="preserve">中标人无正当理由拒绝签订合同的，或者在签订合同时向采购人提出附加条件或者更改合同实质性内容要求的；</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（2）中标人不履行与采购人订立的合同的；</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（3）中标人所供货物不符合招标文件规定要求的；</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（4）中标人采取欺骗、弄虚作假方式投标的或与其它投标人串通投标的；</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（5）中标人将合同内容转包、违法分包的；</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（6）中标人故意捏造事实或伪造证明材料，进行虚假恶意投诉或反映的。</w:t>
      </w:r>
      <w:r/>
    </w:p>
    <w:p>
      <w:pPr>
        <w:ind w:left="0" w:firstLine="420"/>
        <w:keepLines/>
        <w:keepNex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逾期退还的违约责任：采购人逾期无故未退还履约保证金的，按中国人民银行同期贷款基准利率上浮20%后的利率支付超期资金占用费，但因供应商自身原因导致无法及时退还的除外。</w:t>
      </w:r>
      <w:r/>
    </w:p>
    <w:p>
      <w:pPr>
        <w:ind w:left="0" w:firstLine="422"/>
        <w:keepLines/>
        <w:keepNext/>
        <w:pageBreakBefore w:val="0"/>
        <w:spacing w:line="420" w:lineRule="exact"/>
        <w:widowControl w:val="off"/>
        <w:rPr>
          <w:rFonts w:hint="eastAsia" w:ascii="宋体" w:hAnsi="宋体" w:eastAsia="宋体" w:cs="宋体"/>
          <w:b/>
          <w:szCs w:val="21"/>
          <w:highlight w:val="none"/>
        </w:rPr>
      </w:pPr>
      <w:r>
        <w:rPr>
          <w:rFonts w:hint="eastAsia" w:ascii="宋体" w:hAnsi="宋体" w:eastAsia="宋体" w:cs="宋体"/>
          <w:b/>
          <w:szCs w:val="21"/>
          <w:highlight w:val="none"/>
        </w:rPr>
        <w:t xml:space="preserve">4</w:t>
      </w:r>
      <w:bookmarkStart w:id="275" w:name="_Toc296347161"/>
      <w:r/>
      <w:bookmarkStart w:id="276" w:name="_Toc296891202"/>
      <w:r/>
      <w:bookmarkStart w:id="277" w:name="_Toc292559871"/>
      <w:r/>
      <w:bookmarkStart w:id="278" w:name="_Toc296503162"/>
      <w:r/>
      <w:bookmarkStart w:id="279" w:name="_Toc296346663"/>
      <w:r/>
      <w:bookmarkStart w:id="280" w:name="_Toc297048348"/>
      <w:r/>
      <w:bookmarkStart w:id="281" w:name="_Toc267251413"/>
      <w:r/>
      <w:bookmarkStart w:id="282" w:name="_Toc292559366"/>
      <w:r/>
      <w:bookmarkStart w:id="283" w:name="_Toc297120462"/>
      <w:r/>
      <w:bookmarkStart w:id="284" w:name="_Toc296944501"/>
      <w:r/>
      <w:bookmarkStart w:id="285" w:name="_Toc296890990"/>
      <w:r>
        <w:rPr>
          <w:rFonts w:hint="eastAsia" w:ascii="宋体" w:hAnsi="宋体" w:eastAsia="宋体" w:cs="宋体"/>
          <w:b/>
          <w:szCs w:val="21"/>
          <w:highlight w:val="none"/>
        </w:rPr>
        <w:t xml:space="preserve">. 监</w:t>
      </w:r>
      <w:bookmarkEnd w:id="275"/>
      <w:r/>
      <w:bookmarkEnd w:id="276"/>
      <w:r/>
      <w:bookmarkEnd w:id="277"/>
      <w:r/>
      <w:bookmarkEnd w:id="278"/>
      <w:r/>
      <w:bookmarkEnd w:id="279"/>
      <w:r/>
      <w:bookmarkEnd w:id="280"/>
      <w:r/>
      <w:bookmarkEnd w:id="281"/>
      <w:r/>
      <w:bookmarkEnd w:id="282"/>
      <w:r/>
      <w:bookmarkEnd w:id="283"/>
      <w:r/>
      <w:bookmarkEnd w:id="284"/>
      <w:r/>
      <w:bookmarkEnd w:id="285"/>
      <w:r>
        <w:rPr>
          <w:rFonts w:hint="eastAsia" w:ascii="宋体" w:hAnsi="宋体" w:eastAsia="宋体" w:cs="宋体"/>
          <w:b/>
          <w:szCs w:val="21"/>
          <w:highlight w:val="none"/>
        </w:rPr>
        <w:t xml:space="preserve">理人</w:t>
      </w:r>
      <w:bookmarkEnd w:id="274"/>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4.1监理人的一般规定</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关于监理人的监理内容：</w:t>
      </w:r>
      <w:r>
        <w:rPr>
          <w:rFonts w:hint="eastAsia" w:ascii="宋体" w:hAnsi="宋体" w:eastAsia="宋体" w:cs="宋体"/>
          <w:szCs w:val="21"/>
          <w:highlight w:val="none"/>
          <w:u w:val="single"/>
        </w:rPr>
        <w:t xml:space="preserve"> 监理人代理人的委托，依照法律法规、工程建设标准、勘察设计文件及合同，在施工阶段对工程投资、质量、进度及变更等全面控制，做好分部分项工程检验、验收及签证，对现场材料、设备进行检查、验收并签证。对合同、信息进行管理，对工程建设相关方的关系进行协调，并履行建设工程安全生产管理法定职责的服务活动。</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关于监理人的监理权限：</w:t>
      </w:r>
      <w:r>
        <w:rPr>
          <w:rFonts w:hint="eastAsia" w:ascii="宋体" w:hAnsi="宋体" w:eastAsia="宋体" w:cs="宋体"/>
          <w:szCs w:val="21"/>
          <w:highlight w:val="none"/>
          <w:u w:val="single"/>
        </w:rPr>
        <w:t xml:space="preserve">按发包人与监理公司所签订的《建设工程监理合同》内容规定权限为准，监理合同内容以外的权限须经发包人授权后方可行使。</w:t>
      </w:r>
      <w:r/>
    </w:p>
    <w:p>
      <w:pPr>
        <w:ind w:left="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关于监理人在施工现场的办公场所、生活场所的提供和费用承担的约定：</w:t>
      </w:r>
      <w:r>
        <w:rPr>
          <w:rFonts w:hint="eastAsia" w:ascii="宋体" w:hAnsi="宋体" w:eastAsia="宋体" w:cs="宋体"/>
          <w:szCs w:val="21"/>
          <w:highlight w:val="none"/>
          <w:u w:val="single"/>
        </w:rPr>
        <w:t xml:space="preserve">由承包人提供费用包含在合同价中 。</w:t>
      </w:r>
      <w:r/>
    </w:p>
    <w:p>
      <w:pPr>
        <w:ind w:left="0" w:firstLine="422"/>
        <w:keepLines/>
        <w:keepNext/>
        <w:pageBreakBefore w:val="0"/>
        <w:spacing w:line="420" w:lineRule="exact"/>
        <w:widowControl w:val="off"/>
        <w:rPr>
          <w:rFonts w:hint="eastAsia" w:ascii="宋体" w:hAnsi="宋体" w:eastAsia="宋体" w:cs="宋体"/>
          <w:b/>
          <w:szCs w:val="21"/>
          <w:highlight w:val="none"/>
        </w:rPr>
      </w:pPr>
      <w:r>
        <w:rPr>
          <w:rFonts w:hint="eastAsia" w:ascii="宋体" w:hAnsi="宋体" w:eastAsia="宋体" w:cs="宋体"/>
          <w:b/>
          <w:szCs w:val="21"/>
          <w:highlight w:val="none"/>
        </w:rPr>
        <w:t xml:space="preserve">4.2 监理人员</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总监理工程师：</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姓    名：</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职    务：</w:t>
      </w:r>
      <w:r>
        <w:rPr>
          <w:rFonts w:hint="eastAsia" w:ascii="宋体" w:hAnsi="宋体" w:eastAsia="宋体" w:cs="宋体"/>
          <w:szCs w:val="21"/>
          <w:highlight w:val="none"/>
        </w:rPr>
      </w:r>
      <w:r>
        <w:rPr>
          <w:rFonts w:hint="eastAsia" w:ascii="宋体" w:hAnsi="宋体" w:eastAsia="宋体" w:cs="宋体"/>
          <w:szCs w:val="21"/>
          <w:highlight w:val="none"/>
          <w:u w:val="single"/>
        </w:rPr>
        <w:t xml:space="preserve">           </w:t>
      </w:r>
      <w:r/>
      <w:r>
        <w:rPr>
          <w:rFonts w:hint="eastAsia" w:ascii="宋体" w:hAnsi="宋体" w:eastAsia="宋体" w:cs="宋体"/>
          <w:szCs w:val="21"/>
          <w:highlight w:val="none"/>
        </w:rPr>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监理工程师执业资格证书号：</w:t>
      </w:r>
      <w:r>
        <w:rPr>
          <w:rFonts w:hint="eastAsia" w:ascii="宋体" w:hAnsi="宋体" w:eastAsia="宋体" w:cs="宋体"/>
          <w:szCs w:val="21"/>
          <w:highlight w:val="none"/>
        </w:rPr>
      </w:r>
      <w:r>
        <w:rPr>
          <w:rFonts w:hint="eastAsia" w:ascii="宋体" w:hAnsi="宋体" w:eastAsia="宋体" w:cs="宋体"/>
          <w:szCs w:val="21"/>
          <w:highlight w:val="none"/>
          <w:u w:val="single"/>
        </w:rPr>
        <w:t xml:space="preserve">           </w:t>
      </w:r>
      <w:r/>
      <w:r>
        <w:rPr>
          <w:rFonts w:hint="eastAsia" w:ascii="宋体" w:hAnsi="宋体" w:eastAsia="宋体" w:cs="宋体"/>
          <w:szCs w:val="21"/>
          <w:highlight w:val="none"/>
        </w:rPr>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联系电话：</w:t>
      </w:r>
      <w:r>
        <w:rPr>
          <w:rFonts w:hint="eastAsia" w:ascii="宋体" w:hAnsi="宋体" w:eastAsia="宋体" w:cs="宋体"/>
          <w:szCs w:val="21"/>
          <w:highlight w:val="none"/>
        </w:rPr>
      </w:r>
      <w:r>
        <w:rPr>
          <w:rFonts w:hint="eastAsia" w:ascii="宋体" w:hAnsi="宋体" w:eastAsia="宋体" w:cs="宋体"/>
          <w:szCs w:val="21"/>
          <w:highlight w:val="none"/>
          <w:u w:val="single"/>
        </w:rPr>
        <w:t xml:space="preserve">           </w:t>
      </w:r>
      <w:r/>
      <w:r>
        <w:rPr>
          <w:rFonts w:hint="eastAsia" w:ascii="宋体" w:hAnsi="宋体" w:eastAsia="宋体" w:cs="宋体"/>
          <w:szCs w:val="21"/>
          <w:highlight w:val="none"/>
        </w:rPr>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电子信箱：</w:t>
      </w:r>
      <w:r>
        <w:rPr>
          <w:rFonts w:hint="eastAsia" w:ascii="宋体" w:hAnsi="宋体" w:eastAsia="宋体" w:cs="宋体"/>
          <w:szCs w:val="21"/>
          <w:highlight w:val="none"/>
        </w:rPr>
      </w:r>
      <w:r>
        <w:rPr>
          <w:rFonts w:hint="eastAsia" w:ascii="宋体" w:hAnsi="宋体" w:eastAsia="宋体" w:cs="宋体"/>
          <w:szCs w:val="21"/>
          <w:highlight w:val="none"/>
          <w:u w:val="single"/>
        </w:rPr>
        <w:t xml:space="preserve">           </w:t>
      </w:r>
      <w:r/>
      <w:r>
        <w:rPr>
          <w:rFonts w:hint="eastAsia" w:ascii="宋体" w:hAnsi="宋体" w:eastAsia="宋体" w:cs="宋体"/>
          <w:szCs w:val="21"/>
          <w:highlight w:val="none"/>
        </w:rPr>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通信地址：</w:t>
      </w:r>
      <w:r>
        <w:rPr>
          <w:rFonts w:hint="eastAsia" w:ascii="宋体" w:hAnsi="宋体" w:eastAsia="宋体" w:cs="宋体"/>
          <w:szCs w:val="21"/>
          <w:highlight w:val="none"/>
        </w:rPr>
      </w:r>
      <w:r>
        <w:rPr>
          <w:rFonts w:hint="eastAsia" w:ascii="宋体" w:hAnsi="宋体" w:eastAsia="宋体" w:cs="宋体"/>
          <w:szCs w:val="21"/>
          <w:highlight w:val="none"/>
          <w:u w:val="single"/>
        </w:rPr>
        <w:t xml:space="preserve">           </w:t>
      </w:r>
      <w:r/>
      <w:r>
        <w:rPr>
          <w:rFonts w:hint="eastAsia" w:ascii="宋体" w:hAnsi="宋体" w:eastAsia="宋体" w:cs="宋体"/>
          <w:szCs w:val="21"/>
          <w:highlight w:val="none"/>
        </w:rPr>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关于监理人的其他约定：</w:t>
      </w:r>
      <w:r>
        <w:rPr>
          <w:rFonts w:hint="eastAsia" w:ascii="宋体" w:hAnsi="宋体" w:eastAsia="宋体" w:cs="宋体"/>
          <w:szCs w:val="21"/>
          <w:highlight w:val="none"/>
          <w:u w:val="single"/>
        </w:rPr>
        <w:t xml:space="preserve">凡涉及到设计变更、开工令、停工令、复工令及与工程造价有关的所有签证等事项，需要取得发包人批准才能行使的职权。</w:t>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4.4 商定或确定</w:t>
      </w:r>
      <w:r/>
    </w:p>
    <w:p>
      <w:pPr>
        <w:ind w:left="0" w:firstLine="420"/>
        <w:pageBreakBefore w:val="0"/>
        <w:spacing w:line="420" w:lineRule="exact"/>
        <w:widowControl w:val="off"/>
        <w:rPr>
          <w:rFonts w:hint="eastAsia" w:ascii="宋体" w:hAnsi="宋体" w:eastAsia="宋体" w:cs="宋体"/>
          <w:szCs w:val="21"/>
          <w:highlight w:val="none"/>
        </w:rPr>
      </w:pPr>
      <w:r/>
      <w:bookmarkStart w:id="286" w:name="_Toc267251418"/>
      <w:r>
        <w:rPr>
          <w:rFonts w:hint="eastAsia" w:ascii="宋体" w:hAnsi="宋体" w:eastAsia="宋体" w:cs="宋体"/>
          <w:szCs w:val="21"/>
          <w:highlight w:val="none"/>
        </w:rPr>
        <w:t xml:space="preserve">在发包人和承包人不能通过协商达成一致意见时，发包人授权监理人对以下事项进行确定：</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u w:val="single"/>
        </w:rPr>
        <w:t xml:space="preserve">根据监理合同约定进行</w:t>
      </w:r>
      <w:r>
        <w:rPr>
          <w:rFonts w:hint="eastAsia" w:ascii="宋体" w:hAnsi="宋体" w:eastAsia="宋体" w:cs="宋体"/>
          <w:szCs w:val="21"/>
          <w:highlight w:val="none"/>
        </w:rPr>
        <w:t xml:space="preserve">。</w:t>
      </w:r>
      <w:r/>
    </w:p>
    <w:p>
      <w:pPr>
        <w:ind w:left="0" w:firstLine="422"/>
        <w:keepLines/>
        <w:keepNext/>
        <w:pageBreakBefore w:val="0"/>
        <w:spacing w:line="420" w:lineRule="exact"/>
        <w:widowControl w:val="off"/>
        <w:rPr>
          <w:rFonts w:hint="eastAsia" w:ascii="宋体" w:hAnsi="宋体" w:eastAsia="宋体" w:cs="宋体"/>
          <w:b/>
          <w:szCs w:val="21"/>
          <w:highlight w:val="none"/>
        </w:rPr>
      </w:pPr>
      <w:r/>
      <w:bookmarkStart w:id="287" w:name="_Toc351203637"/>
      <w:r>
        <w:rPr>
          <w:rFonts w:hint="eastAsia" w:ascii="宋体" w:hAnsi="宋体" w:eastAsia="宋体" w:cs="宋体"/>
          <w:b/>
          <w:szCs w:val="21"/>
          <w:highlight w:val="none"/>
        </w:rPr>
        <w:t xml:space="preserve">5</w:t>
      </w:r>
      <w:bookmarkEnd w:id="286"/>
      <w:r/>
      <w:bookmarkStart w:id="288" w:name="_Toc296890991"/>
      <w:r/>
      <w:bookmarkStart w:id="289" w:name="_Toc292559872"/>
      <w:r/>
      <w:bookmarkStart w:id="290" w:name="_Toc292559367"/>
      <w:r/>
      <w:bookmarkStart w:id="291" w:name="_Toc297120463"/>
      <w:r/>
      <w:bookmarkStart w:id="292" w:name="_Toc297048349"/>
      <w:r/>
      <w:bookmarkStart w:id="293" w:name="_Toc296347162"/>
      <w:r/>
      <w:bookmarkStart w:id="294" w:name="_Toc296346664"/>
      <w:r/>
      <w:bookmarkStart w:id="295" w:name="_Toc296944502"/>
      <w:r/>
      <w:bookmarkStart w:id="296" w:name="_Toc296891203"/>
      <w:r/>
      <w:bookmarkStart w:id="297" w:name="_Toc296503163"/>
      <w:r>
        <w:rPr>
          <w:rFonts w:hint="eastAsia" w:ascii="宋体" w:hAnsi="宋体" w:eastAsia="宋体" w:cs="宋体"/>
          <w:b/>
          <w:szCs w:val="21"/>
          <w:highlight w:val="none"/>
        </w:rPr>
        <w:t xml:space="preserve">. 工程质量</w:t>
      </w:r>
      <w:bookmarkEnd w:id="287"/>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5.1 质量要求</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w:t>
      </w:r>
      <w:bookmarkStart w:id="298" w:name="_Toc304295527"/>
      <w:r/>
      <w:bookmarkStart w:id="299" w:name="_Toc318581164"/>
      <w:r/>
      <w:bookmarkStart w:id="300" w:name="_Toc312677997"/>
      <w:r/>
      <w:bookmarkStart w:id="301" w:name="_Toc297123496"/>
      <w:r/>
      <w:bookmarkStart w:id="302" w:name="_Toc300934949"/>
      <w:r/>
      <w:bookmarkStart w:id="303" w:name="_Toc297216155"/>
      <w:r/>
      <w:bookmarkStart w:id="304" w:name="_Toc303539106"/>
      <w:r>
        <w:rPr>
          <w:rFonts w:hint="eastAsia" w:ascii="宋体" w:hAnsi="宋体" w:eastAsia="宋体" w:cs="宋体"/>
          <w:szCs w:val="21"/>
          <w:highlight w:val="none"/>
        </w:rPr>
        <w:t xml:space="preserve">.1.1 特殊质量标准和要求：</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1、</w:t>
      </w:r>
      <w:r>
        <w:rPr>
          <w:rFonts w:hint="eastAsia" w:ascii="宋体" w:hAnsi="宋体" w:eastAsia="宋体" w:cs="宋体"/>
          <w:szCs w:val="21"/>
          <w:highlight w:val="none"/>
          <w:u w:val="single"/>
        </w:rPr>
        <w:t xml:space="preserve">本工程质量标准为国家“合格 ”标准。合同质量目标以承包人投标时承诺的质量目标为准。工程竣工验收实际质量目标达“合格”以上者，发包人也不另支付质量奖励费用。工程质量必须达到承包人中标时承诺的质量目标，并符合国家现行有关施工质量验收规范要求和该类工程质量验收的标准。实际施工过程中，如果达不到承诺质量目标，承包人必须无偿整改达到承诺质量目标，另按合同协议书中约定的合同总价10%向发包人支付违约金，发包人有权直接从本工程的履约保证金或工程款中扣除，同时扣除投标报价时已计</w:t>
      </w:r>
      <w:r>
        <w:rPr>
          <w:rFonts w:hint="eastAsia" w:ascii="宋体" w:hAnsi="宋体" w:eastAsia="宋体" w:cs="宋体"/>
          <w:szCs w:val="21"/>
          <w:highlight w:val="none"/>
          <w:u w:val="single"/>
        </w:rPr>
        <w:t xml:space="preserve">取的工程按质论价费；如一次性验收不合格的，承包人按分部分项工程费的3%向发包人支付违约金，发包人有权直接从本工程的履约保证金或工程款中扣除。由此造成的工期延误将不予顺延，给发包人造成的损失的还将承担经济赔偿责任，若承包人整改后仍达不到承诺质量目标的，发包人有权解除合同，扣除履约保证金，承包人按合同协议书中约定的合同总价20%向发包人支付违约金，发包人有权直接从本工程的履约保证金或工程款中扣除，同时扣除投标报价时已计取的工程按质计价费。由此造成的工期延误将不予顺延，给发包人造成实际损失的还将承担经济赔偿责任。</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分部分项工程施工如一次性验收不合格的，承包人按分部分项工程费的3%向发包人支付违约金，发包人有权直接从本工程的履约保证金或工程款中扣除。由此造成的工期延误将不予顺延，给发包人造成实际损失的还将承担经济赔偿责任。若整改后仍达不到承诺质量目标的，发包人有权解除合同，扣除履约保证金，承包人按合同协议书中约定的合同总价20%向发包人支付违约金，发包人有权直接从本工程的履约保证金或工程款中扣除，给发包人造成实际损失的还将承担经济赔偿责任。</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非发包人原因，质量整改所发生的费用不予增加。工程质量须满足设计图纸、工程量清单、相关施工规范。施工和验收按照相关施工规范执行。上述因施工规范可能增加的工程费用已包含在合同价款中，结算时不额外增加费用。本项目技术规范要求与常规清单或定额的差异已包含在合同价款中，结算时不因此调整单价。</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3、质量管理：承包人须严格按照招标文件、设计图纸、质量标准、验收规范等组织施工，接受发包人、监理单位的检查。若发生工序、检验批等验收不符合质量目标要求的，每发生一次每次向发包人支付 5000 元/次的违约金，发包人有权在当期工程款支付时直接扣除。若发生分项工程验收不符合质量目标要求的，每发生一次承包人向发包人支付10000元的违约金，另外承包人在执行上述要求的同时，并不免除在限期内整改到位、继续履行其他合同条款的义务，由此</w:t>
      </w:r>
      <w:r>
        <w:rPr>
          <w:rFonts w:hint="eastAsia" w:ascii="宋体" w:hAnsi="宋体" w:eastAsia="宋体" w:cs="宋体"/>
          <w:szCs w:val="21"/>
          <w:highlight w:val="none"/>
          <w:u w:val="single"/>
        </w:rPr>
        <w:t xml:space="preserve">发生的所有费用均由承包人承担,工期、造价不给予补偿。违约金发包人可直接在支付工程款或履约保证金中扣除，发包人也可要求承包人在接到支付违约金通知之日起3日内另行支付。若未按照发包人要求及时整改到位的,发包人有权委托第三方代为实施，所发生的费用由承包人承担。拒不整改的发包人有权终止施工合同，已经发生的工作量按照70%结算。承包人必须按发包人提供的工程量清单及图纸（如有）要求进行施工（如清单描述与图纸（如有）不一致时，需经发包人确认相关做法后再进行施工，否则因承包人擅自施工而引起的返工及损失由承包人自行承担），除</w:t>
      </w:r>
      <w:r>
        <w:rPr>
          <w:rFonts w:hint="eastAsia" w:ascii="宋体" w:hAnsi="宋体" w:eastAsia="宋体" w:cs="宋体"/>
          <w:szCs w:val="21"/>
          <w:highlight w:val="none"/>
          <w:u w:val="single"/>
        </w:rPr>
        <w:t xml:space="preserve">发包人要求变更外，承包人未按上述要求施工，发包人有权要求承包人按合同协议书中约定的合同总价的5倍支付违约金，在当期工程款支付时扣除；材料品种、规格、数量等必须按图实施，如发包方需要调整工程内容时，承包人在接到书面通知后，必须按发包人的要求进行施工，且不得有任何理由拖延工期，确保按期完工；承包人确保竣工验收必须一次性验收合格，如承包人未按设计图纸及发包人要求进行施工的，导致竣工验收不合格，承包人必须无条件返工至合格，且每处向发包人支付 20000 元的违约金，上述违约金直接从本工程的履约保证金或工程款中扣除。</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4、为确保工程质量，本工程已委托监理公司进行工程建设监理。具体负责质量、工期、投资的控制及相关单位关系的协调、安全和文明施工的监督。承包人必须按有关规定，自觉配合，接受监理关键工序应进行旁站把关，发现不符合设计和国家现行施工规范、验收标准，承包人应立即整改，否则发包人将追究承包人的责任，并承担由此造成的损失。</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5、确保工程通过各类主管部门的验收，如不能通过，一切整改费用由承包人承担，直至通过验收为止，同时承担合同约定的违约并赔偿发包人因此遭受的全部损失</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6、发包人和监理人保留对主要设备及材料、重大构件等进行监督、驻厂监造的权利，承包人须无条件配合，且所产生的相关费用由承包人承担。对主要设备使用的培训工作由承包人负责并承担所有费用。</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7、承包人须按法律法规及相关规定要求将建筑材料、建筑构配件、设备，涉及安全的试块、试件及有关材料等送有相应资质的检测单位检测，最终以具有相应资质的检测单位出具的检测报告作为对工程质量评定的依据。对关键部位、关键工序及隐蔽部位须按相关规定要求报质量监督部门验收，并出具合格的质量监督证明，否则发包人不予认可。工程质量应达到质量检验评定标准的合格条件，承包人应认真按照所有适用的标准、规范和设计的要求以及发包人、监理人依据合同发出的指令要求组织施工。</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关于工程奖项的约定：</w:t>
      </w:r>
      <w:r>
        <w:rPr>
          <w:rFonts w:hint="eastAsia" w:ascii="宋体" w:hAnsi="宋体" w:eastAsia="宋体" w:cs="宋体"/>
          <w:szCs w:val="21"/>
          <w:highlight w:val="none"/>
          <w:u w:val="single"/>
        </w:rPr>
        <w:t xml:space="preserve">/。</w:t>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5.3 隐蔽工程检查</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5.3.2承包人提前通知监理人隐蔽工程检查的期限的约定：</w:t>
      </w:r>
      <w:r>
        <w:rPr>
          <w:rFonts w:hint="eastAsia" w:ascii="宋体" w:hAnsi="宋体" w:eastAsia="宋体" w:cs="宋体"/>
          <w:szCs w:val="21"/>
          <w:highlight w:val="none"/>
          <w:u w:val="single"/>
        </w:rPr>
        <w:t xml:space="preserve">施工过程中所有隐蔽工程，承包人应进行自检，并在隐蔽或中间验收前 48 </w:t>
      </w:r>
      <w:r>
        <w:rPr>
          <w:rFonts w:hint="eastAsia" w:ascii="宋体" w:hAnsi="宋体" w:eastAsia="宋体" w:cs="宋体"/>
          <w:szCs w:val="21"/>
          <w:highlight w:val="none"/>
          <w:u w:val="single"/>
        </w:rPr>
        <w:t xml:space="preserve">小时以书面形式通知监理工程师验收，通知中应载明隐蔽检查的内容、时间和地点，并应附有自检记录和必要的检查资料，未经监理工程师验收合格，不得进入下道工序的施工。检查验收不合格时，影响正常施工的费用由承包人承担。如果承包人未自检合格就报验，对存在问题蒙混、侥幸，发现一次，承包人需支付违约金 2000 元，在当期工程款支付时扣除。所有质量问题均由承包人负责，如使用后，发现质量问题，承包人应及时维修、答复沟通，因承包人维修不及时、不到位的一切责任由承包人负责。非发包人原因，质量整改所发生的费用不予增加，工期不予顺延。</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监理人不能按时进行检查时，应提前</w:t>
      </w:r>
      <w:r>
        <w:rPr>
          <w:rFonts w:hint="eastAsia" w:ascii="宋体" w:hAnsi="宋体" w:eastAsia="宋体" w:cs="宋体"/>
          <w:szCs w:val="21"/>
          <w:highlight w:val="none"/>
          <w:u w:val="single"/>
        </w:rPr>
        <w:t xml:space="preserve"> 24 </w:t>
      </w:r>
      <w:r>
        <w:rPr>
          <w:rFonts w:hint="eastAsia" w:ascii="宋体" w:hAnsi="宋体" w:eastAsia="宋体" w:cs="宋体"/>
          <w:szCs w:val="21"/>
          <w:highlight w:val="none"/>
        </w:rPr>
        <w:t xml:space="preserve">小时提交书面延期要求。</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关于延期最长不得超过：</w:t>
      </w:r>
      <w:r>
        <w:rPr>
          <w:rFonts w:hint="eastAsia" w:ascii="宋体" w:hAnsi="宋体" w:eastAsia="宋体" w:cs="宋体"/>
          <w:szCs w:val="21"/>
          <w:highlight w:val="none"/>
          <w:u w:val="single"/>
        </w:rPr>
        <w:t xml:space="preserve">48</w:t>
      </w:r>
      <w:r>
        <w:rPr>
          <w:rFonts w:hint="eastAsia" w:ascii="宋体" w:hAnsi="宋体" w:eastAsia="宋体" w:cs="宋体"/>
          <w:szCs w:val="21"/>
          <w:highlight w:val="none"/>
        </w:rPr>
        <w:t xml:space="preserve">小时。</w:t>
      </w:r>
      <w:r/>
    </w:p>
    <w:p>
      <w:pPr>
        <w:ind w:left="0" w:firstLine="422"/>
        <w:keepLines/>
        <w:keepNext/>
        <w:pageBreakBefore w:val="0"/>
        <w:spacing w:line="420" w:lineRule="exact"/>
        <w:widowControl w:val="off"/>
        <w:rPr>
          <w:rFonts w:hint="eastAsia" w:ascii="宋体" w:hAnsi="宋体" w:eastAsia="宋体" w:cs="宋体"/>
          <w:b/>
          <w:szCs w:val="21"/>
          <w:highlight w:val="none"/>
        </w:rPr>
      </w:pPr>
      <w:r/>
      <w:bookmarkStart w:id="305" w:name="_Toc351203638"/>
      <w:r>
        <w:rPr>
          <w:rFonts w:hint="eastAsia" w:ascii="宋体" w:hAnsi="宋体" w:eastAsia="宋体" w:cs="宋体"/>
          <w:b/>
          <w:szCs w:val="21"/>
          <w:highlight w:val="none"/>
        </w:rPr>
        <w:t xml:space="preserve">6. 安全文明施工与环境保护</w:t>
      </w:r>
      <w:bookmarkEnd w:id="305"/>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6.1安全文明施工</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6.1.1 项目安全生产的达标目标及相应事项的约定</w:t>
      </w:r>
      <w:r>
        <w:rPr>
          <w:rFonts w:hint="eastAsia" w:ascii="宋体" w:hAnsi="宋体" w:eastAsia="宋体" w:cs="宋体"/>
          <w:szCs w:val="21"/>
          <w:highlight w:val="none"/>
          <w:u w:val="single"/>
        </w:rPr>
        <w:t xml:space="preserve">：①本工程承包人必须确保安全，承包人自行承担工程施工过程中的工程质量、任何状况下的安全责任。非发包人原因，发生的一切问题和责任与发包人无关，相关一切费用或民事、刑事责任均由承包人自理并同时向发包人承担合同价的 3%违约金。若承包人不能及时处理所发生的问题和责任，并且影响到工程进度时，发包人有权处理相关事务，所发生的费用在支付工程款时扣除。如发生安全事故，承包人除赔偿受害者外，还须向发包人缴纳与赔偿受害者同等金额的违约金，同时还需赔偿发包人的全部损失。</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②承包人进场后，必须服从发包人、监理单位对施工场地总平面的规划，服从发包人、监理单位的统一调度和指挥。如不服从指挥和调度，则每发生一次承包人承担 5000 元/次的违约金，该违约金发包人有权直接在当期工程款或履约保证金时扣除。</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③发包人、监理单位将不定期对承包人的施工质量、安全、文明施工进行检查，如发现工程现场及生活区内安全、文明施工管理较差，有权要求承包单位整改并通报批评，承包人应承担 5000元/次的违约金，该违约金发包人有权直接在当期工程款或履约保证金时扣除。如发生二次通报批评情况，承包人按照合同协议书中约定的合同总价0.1%承担违约金。如发生三次及以上， 发包人有权解除合同，扣除履约保证金，并要求承包人支付合同协议书中约定的合同总价20%的违约金。因此给发包人造成损失的，承包人需予以全部赔偿。</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④承包人在组织施工时需及时清运施工废弃物，材料堆放整齐有序，保持施工场地整洁、交通畅通。服从发包人及相关主管部门的管理要求，主动协调、解决问题，若在施工期间出现因场地清洁、交通不畅等违反文明施工管理规定的情况，所发生的整改费用由承包人承担，同时还需向发包人支付每次3万元的违约金，该违约金发包人有权直接从应付工程款中直接扣除或要求承包人另行交付。</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⑤若承包人不能及时整改存在的问题，并影响到工程进度时，发包人有权要求承包人承担1000元—5000元/次的违约金，处以经济处罚，所发生的费用发包人有权在支付工程款时或在履约保证金中扣除。承包人拒不整改或整改后仍达不到要求的,发包人有权委托第三方代为整改,所发生的费用由承包人双倍承担,在应付的工程款中扣除。</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⑥施工过程中如遇地下管线、电缆等破坏修复费用、施工过程中及保修期内未及时修复而发生的一切安全责任，均由承包人自行承担。</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⑦承包人应保障施工现场过往车辆及行人的安全，对安全生产负全责。</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⑧承包人应按有关规定采取严格的安全防护措施，确保工程施工安全管理到位，并接受发包人及相关部门不定时的安全监督和检查，后者的安全监督和检查应以不影响施工单位的工程施工为前提，对于发包人及相关部门在监督和检查过程中发现安全隐患，承包人必须在限期内进行整改。由于整改造成工期延误的责任由承包人承担。发包人及相关部门对于本项目的监督和检查不能免除承包人对于项目建设期间可能发生的安全事故的责任承担，施工期间发生重大伤亡事故时，承包人应按有关规定立即上报有关部门并通知发包人，同时按相关规定处理。</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⑨承包人应按有关规定</w:t>
      </w:r>
      <w:r>
        <w:rPr>
          <w:rFonts w:hint="eastAsia" w:ascii="宋体" w:hAnsi="宋体" w:eastAsia="宋体" w:cs="宋体"/>
          <w:szCs w:val="21"/>
          <w:highlight w:val="none"/>
          <w:u w:val="single"/>
        </w:rPr>
        <w:t xml:space="preserve">编制施工组织设计方案和安全专项方案，采取严格的安全防护措施，确保工程施工安全管理到位，并接受发包人、监理人及相关部门的安全监督和检查，对于发包人、监理人及相关部门在监督和检查过程中发现的安全隐患，承包人必须在限期内进行整改，承包人承担2000元/次违约金。由于整改造成工期延误的责任由承包人承担。对发现的安全隐患，承包人逾期不整改的，承包人将承担5000元/次的违约金。施工期间如发生安全生产伤亡事故时，承包人应按规定及时上报有关部门并通知发包人，同时按相关规定处理，因此遭受发包人损失的，由承包人负责全部赔偿。</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⑩其它：（1）承包人须按国家、地方相关法律、法规及相关管理规定要求，完成各项安全文明施工管理工作。（2）承包人未按国家、地方相关法律、法规及相关管理规定要求完成安全文明施工管理工作的，发包人有权在应付工程款中扣除招标文件和合</w:t>
      </w:r>
      <w:r>
        <w:rPr>
          <w:rFonts w:hint="eastAsia" w:ascii="宋体" w:hAnsi="宋体" w:eastAsia="宋体" w:cs="宋体"/>
          <w:szCs w:val="21"/>
          <w:highlight w:val="none"/>
          <w:u w:val="single"/>
        </w:rPr>
        <w:t xml:space="preserve">同规定的未按要求完成部分的安全文明施 工措施管理费用。（3）承包人未按国家及地方相关规定要求完成安全文明管理工程的，须限期改正到位。承包人拒不整改或整改后仍达不到要求的，发包人有权解除施工合同，扣除履约保证金，并委托第三方按国家及地方相关规定进行代为整改，所发生的费用由承包人承担，承包人必须在发包人通知后 3 日内以现金形式交由发包人。给发包人造成损失的，还需赔偿发包人损失。（4）出现安全事故的，承包人须依法承担相关法律责任，与发包人无关，并须依法承担给发包人带来的损失。非因承包人过错导致的第三方责任除外。</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6.1.4 关于治安保卫的特别约定：由承包人在现场建立治安管理机构或联防组织，统一管理施工场地的治安保卫事项，履行合同工程的治安保卫职责 。</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关于编制施工场地治安管理计划的约定：按通用条款。发包人和承包人在工程开工后3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6.1.5 文明施工</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6.1.5.1 承包人必须遵守江苏省建设厅及盐城市建设主管部门颁布的《建设工程施工安全管理规定》和《建设工程文明施工管理规定》；承包人进场后，必须服从发包人和监理单位对施工场地总规划，服从发包人和监理单位的统一调度和指挥。如出现不服从管理和下列现象的，发包人将视情节轻重认定承包人是否违约，并根据情况要求承包人承担违约责任，支付违约金，不少于5000元/次。</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u w:val="single"/>
        </w:rPr>
        <w:t xml:space="preserve">6.1.5.2 </w:t>
      </w:r>
      <w:r>
        <w:rPr>
          <w:rFonts w:hint="eastAsia" w:ascii="宋体" w:hAnsi="宋体" w:eastAsia="宋体" w:cs="宋体"/>
          <w:szCs w:val="21"/>
          <w:highlight w:val="none"/>
          <w:u w:val="single"/>
        </w:rPr>
        <w:t xml:space="preserve">施工现场应在适当位置悬挂施工标识和文明施工标语，危险区域应当设置危险警示标牌和警示灯。施工现场围护要求坚固、稳定、整洁、美观，施工现场车辆应当采取有效措施，确保不污染道路和环境，发包人和监理人有权监督承包人的文明施工措施按照相关管理规定实施到位。由于承包人疏于采取文明施工措施所造成的必要费用的支出，应由承包人自行承担。承包人未支付或迟延支付的，发包人可从到期工程款或履约保证金中予以扣除。发包人将对承包人的现场安全文明施工措施费基本费进行考核，未按规定使用到位的，即使有造价管理部门的核定单，结算时也不予计算。</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6.1.5.3 承包人必须确保工程安全（施工场地内及施工运输过程中），若发生安全问题，自行负责处理并承担一切责任，并同时向发包人承担合同协议书中约定的合同价的3%违约金，给发包人造成损失的，还需赔偿发包人的全部损失。</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6.1.5.4 承包人进场后，必须服从发包人和监理单位对施工场地总平面的规划，服从发</w:t>
      </w:r>
      <w:r>
        <w:rPr>
          <w:rFonts w:hint="eastAsia" w:ascii="宋体" w:hAnsi="宋体" w:eastAsia="宋体" w:cs="宋体"/>
          <w:szCs w:val="21"/>
          <w:highlight w:val="none"/>
          <w:u w:val="single"/>
        </w:rPr>
        <w:t xml:space="preserve">包人、监理单位的统一调度和指挥。如出现不服从管理和下列现象的，发包人将视情节轻重认定承包人是否违约，并根据情况要求承包人承担违约责任。并支付合同协议书中约定的合同总价1%～5%违约金。工程必须确保安全，承包人自行承担工程施工过程中的工程质量、任何状况下的安全责任。非发包人原因，发生的一切问题和责任与发包人无关，相关一切费用或民事、刑事责任均由承包人自理。若承包人不能及时处理所发生的问题和责任，并且影响到工程进度时，发包人有权处理相关事务，所发生的费用，承包人必须在发包人通知后 3 日内以现金形式交由发包人。</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6.1.5.5 发包人将定期对承包人的施工质量、安全、文明施工进行检查，如发现工程现场及生活区内安全、文明施工管理较差的，有权要求承包人整改并通报批评，承包人应承担 5000 元/次的违约金，发包人有权在当期工程款支付时扣除。如发生二次通报批评情况，承包人应按照合同协议书中约定合同总价 0.1%承担违约金。如发生三次及以上， 发包人有权解除合同，扣除履约保证金，并要求承包人支付合同协议书中约定的合同总价 20%的违约金。因此给发包人造成损失的，承包人需予以全部赔偿。</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6.1.5.6 严禁在施工现场焚烧垃圾,如发现一次, 承包人应按照合同协议书中约定合同总价 0.2%承担违约金。</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6.1.5.7进入施工现场的所有施工人员必须戴好安全帽,如发现有一人次进入施工现场未戴安全帽,承包人应按 50 元/人次承担违约金，如一天发现 3 人以上进入施工现场未戴安全帽， 承包人应按 200 元/人次承担违约金。</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6.1.5.8承包人不得在施工现场发生打架、斗殴、偷窃行为，发生一次，承包人应按5000元/人次承担违约金。</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6.1.5.9 施工现场应在适当位置悬挂施工标识和文明施工标语，危险区域应当设置危险警示标牌和警示灯。现场维护高度设置不低于 2.5 米，按盐建城【2015】4 号文要求执行（具体要求由发包人将文件内容传承包</w:t>
      </w:r>
      <w:r>
        <w:rPr>
          <w:rFonts w:hint="eastAsia" w:ascii="宋体" w:hAnsi="宋体" w:eastAsia="宋体" w:cs="宋体"/>
          <w:szCs w:val="21"/>
          <w:highlight w:val="none"/>
          <w:u w:val="single"/>
        </w:rPr>
        <w:t xml:space="preserve">人，长度根据发包人要求执行）；施工现场车辆按盐市建管字〔2013〕2号文执行；施工道路进出口和现场内主要交通道路和物料堆放地点全部敷设硬化路面，车辆进出需要有专门的地方进行自动冲洗，施工材料、裸土须进行有效覆盖，对现场产生的扬尘采取遮盖、洒水、封闭等有效控制措施，并不间断洒水降尘。发包人和监理单位有权监督承包人的文明施工措施按照相关管理规定实施到位。现场必须用硬质隔音材料全封闭。由于承包人疏于采取文明施工措施所造成的责任和其它费用的支出，应由承包人支付，承包人未支付或延迟支付的，发包人可从履约保证金中扣取。</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6.1.5.10 施工过程中须考虑成品保护措施费用以及材料运输过程中防尘、密闭运输、安全等措施费用、路面清洁、洒水等相关费用及与建设、城管等部门之间的矛盾协调、处罚及应上缴的相关规费等费用，承包人须自行考虑，与发包人无涉。</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6.1.5.11 承包人竣工清场前，必须将现场的建筑垃圾及生产、生活等临时设施拆除、清运出施工现场，并运至发包人指定地点，否则发包人有权让第三方代为实施，但所发生的费用由发包人直接在承包人到期工程款中扣除。</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6.1.5.12 承包人在施工中污染周围环境、施工噪音干扰他人等所引起的政府职能部门罚款或停工整改或引起周围居民纠纷和索赔时，其所有发生的费用与损失将全部由承包人自行承担，并赔偿发包人因此受到的一切损失。</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6.1.5.13 施工现场应在适当位置悬挂施工标识和文明施工标语，危险区域应当设置危险警示标牌和警示灯。现场围护要求坚固、稳定、整洁、美观，施工现场车辆应当采取有效措施，确保不污染道路和环境，发包人和监理单位有权监督承包人的文明施工措施按照相关管理规定实施到位。由于承包人疏于采取文明施工措施所造成的必要费用的支出，应由承包人支付，承包人未支付或迟延支付的，发包人可从到期工程款中予以扣除。</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6.1.5.14 本工程施工期间发生的一切安全事故，其责任由承包人承担，非因承包</w:t>
      </w:r>
      <w:r>
        <w:rPr>
          <w:rFonts w:hint="eastAsia" w:ascii="宋体" w:hAnsi="宋体" w:eastAsia="宋体" w:cs="宋体"/>
          <w:szCs w:val="21"/>
          <w:highlight w:val="none"/>
          <w:u w:val="single"/>
        </w:rPr>
        <w:t xml:space="preserve">人过错导致的第三方责任除外。承包人应按有关规定采取严格的安全防护措施，确保工程施工安全管理到位，并接受发包人及相关部门不定时的安全监督和检查，后者的安全监督和检查应以不影响施工单位的工程施工为前提，对于发包人及相关部门在监督和检查过程中发现安全隐患，承包人必须在限期内进行整改。由于整改造成工期延误的责任由承包人承担。发包人及相关部门对于本项目的监督和检查不能免除承包人对于项目建设期间可能发生的安全事故的责任承担，施工期间发生重大伤亡事故时，承包人应按有关规定立即上报有关部门并通知发包人，同时按相关规定处理。</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6.1.5.14 承包人应负责整个场地的安全文明卫生管理,做到文明施工、保持施工场地清洁。本工程所有施工建筑垃圾均应全部清运出现场。服从发包人、监理单位及相关主管部门的管理要求，主动协调、解决问题，若在施工期间出现因场地不清洁、交通不畅等违反文明施工管理规定的情况，所发生的一切费用均由承包人承担，同时承包人承担每次5000元的违约金。承包人必须遵守江苏省建设厅及盐城市建设主管部门颁布的《建设工程施工安全管理规定》和《建设工程文明施工管理规定》。</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施工过程中须考虑成品保护措施费用以及材料运输过程中防尘、密闭运输、安全等措施费用、路面清洁、洒水等相关费用及与建设、城管等部门之间的矛盾协调、处罚及应上缴的相关规费等费用，承包人须自行考虑，与发包人无涉。</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承包人竣工清场前，必须将现场的建筑垃圾及生产、生活等临时设施拆除、清运出施工现场，并运至发包人指定地点，否则发包人有权让第三方代为实施，但所发生的费用由发包人直接在承包人到期工程款中扣除。</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承包人应当遵守国家及省市有关环境保护的法律法规，采取措施控制施工现场的各种粉尘、废气、废水、固体废物以及噪声、振动对环境的污染和危害。若因承包人釆取措施不力，造成投诉或受到管理部门处理的，承包人承担违约金0.5万元/次。</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在施工期间，凡影响或涉及各居民小区、工地、邻近区域出入口的，均设置减速驳。凡在施工期间，只要是双向通车的区域，其双向通行分隔均采用中型连续水马隔离墩，使用时间为整个施工期间，且施工期间发生损坏的应及时更换。每个转弯路口应考虑设置交通标识标牌、弧面镜、路灯等照明安全设施。上述费用包含在签约合同价中。结算不另行增加费用。</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承包人必须加强开放社会交通的临时道路交通组织管理，因管理不善造成交通安全事故，承包人承担违约金 1 万元/次，并承担由此产生的所有责任。</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承包人在施工过程中应严格执行国家、省、市、行业主管部门关于文明施工的有关规定，加强文明施工、扬尘控制、噪声污染控制等管理。发包人、监理人、行业主管部门有权监督检查承包人文明施工措施的落实情况。承包人未按国家、地方相关法律、法规及相关管理规定要求完成安全文明施工管理工作的，须限期改正到位。承包人拒不整改或整改后仍达不到要求的，发包人有权委托第三方按国家及地方相关规定进行代为整改，所发生的费用由承包人承担，发包人可在应付的工程款中扣除。</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工程施工过程中遇到的施工矛盾、地方矛盾引起的工期延误不予顺延，由此产生的一切费用均由承包人承担，发包人不另行增加此项费用。</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其它：</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（1）承包人须按国家、地方相关法律、法规及相关管理规定要求，完成各项安全文明施工管理工作。</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（2）承包人未按国家、地方相关法律、法规及相关管理规定要求完成安全文明施工管理工作的，发包人有权在应付工程款中扣除招标文件和合同规定的未按要求完成部分的安全文明施工措施管理费用。  </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承包人未按国家及地方相关规定要求完成安全文明管理工程的，须限期改正到位。承包人拒不整改或整改后仍达不到要求的，发包人有权终止施工合同，扣除履约保证金，并委托第三方按国家及地方相关规定进行代为整改，承包人须无条件配合，且费用由承包人按实际发生费用的 1.5 倍承担，该违约金发包人有权直接在当期工程款或履约保证金时扣除。</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（4）承包人必须服从发包人统一管理，发包人可根</w:t>
      </w:r>
      <w:r>
        <w:rPr>
          <w:rFonts w:hint="eastAsia" w:ascii="宋体" w:hAnsi="宋体" w:eastAsia="宋体" w:cs="宋体"/>
          <w:szCs w:val="21"/>
          <w:highlight w:val="none"/>
          <w:u w:val="single"/>
        </w:rPr>
        <w:t xml:space="preserve">据现场考核制度对工程的质量、安全、工程等方面进行考核，如未达到发包人要求或国家验收规范标准的，该工程的本期工程款发包人有权不付或缓付、少付并要求承包人按照合同约定承担违约责任。承包人施工时，不得对已建道路进行破坏和污染，同时承包人必须对自己施工的各分项工程在合同期间进行保洁管理和安全维护。承包人施工车辆通行必须服从发包人指定路线通行，否则将承担违约金 2000 元/车次。如导致道路破坏或损坏，承包人必须及时修整完好，同时发包人有权要求承包人按实际恢复工程造价的 2倍支付违约金。承包人必须严格执行盐政办发【2</w:t>
      </w:r>
      <w:r>
        <w:rPr>
          <w:rFonts w:hint="eastAsia" w:ascii="宋体" w:hAnsi="宋体" w:eastAsia="宋体" w:cs="宋体"/>
          <w:szCs w:val="21"/>
          <w:highlight w:val="none"/>
          <w:u w:val="single"/>
        </w:rPr>
        <w:t xml:space="preserve">013】38 号文件《盐城市人民政府办公室转发市城乡建设局关于市区建设工程施工现场扬尘污染治理工作方案和市公安局市城市管理局关于市区建设工程渣土运输联合整治工作方案的通知》要求，如违反规定，除整改外，发包人有权要求承包人支付每次不少于2000元的违约金，承包人必须在发包人处罚决定后 3 日内以现金形式交由发包人。承包人须充分考虑发包人各种（如廉政文化进工地等）需要的现场打扫、清洗、横幅、宣传等费用，如不积极配合，则发包人有权要求承包人支付每次不少于2000元的违约金，承包人必须在3日内以现金形式交由发包人。</w:t>
      </w:r>
      <w:r/>
    </w:p>
    <w:p>
      <w:pPr>
        <w:ind w:left="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5）本工程实施期间，施工场地内做到道路平坦畅通，无积水，建筑材料堆放有序；施工区域裸露地块、易形成扬尘的建筑材料等均须覆盖处理；生活垃圾、建筑垃圾等日产日清，及时清运出场地，如不能清运出场地的，必须覆盖处理，减少扬尘；其他应严格按照文明工地的要求组织施工。覆盖用材料及其他和本工程有关的各项措施费承包人自行考虑，承包人充分考虑各项措施所涉及的费用，并将其考虑至投标报价措施项目费中，不考虑或考虑不足均视为承包人让利，实施过程中不再增加相关费用。</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（6）承包人自行承担工程施工过程中的质量、安全责任。</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（7）承包人考虑按中标通知书发出之日起的时间进场，接受现场不一定完全具备施工条件，套插施工，合理组织安排工期，确保按期完成。</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8）承包人除做好自身已完工程的保护及进场材料、设备的管护外，还要做好其他施工单位、交叉施工单位的已完工程的保护，如有损坏、污染或其他影响，承包人无偿修复到位。承包人还应考虑保护其他施工单位已经做好的管道或井，或进场施工前及期间和可预见的工程进展变化而完成的管道或井，包干在综合报价中，并不再提出额外要求。否则发包人另行安排施工队伍恢复，无须得到承包人确认的前提下，在监理、审计见证下，承包人需支付恢复费用二倍的违约金。发包人有权在承包人工程总价中直接扣除。</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（9）承包人须服从发包人委托的监理单位管理，材料、设备进场提供产品合格证和检验报告，每道工序完成后隐蔽前提请发包人及监理单位验收合格才能进入下一道工序。</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10）与其他专业承包等单位现场施工工作面交叉矛盾由承包人自行协调处理，相关费用包含在投标报价中；涉及现场产生的垃圾如不及时清理，发包人有权安排其他单位清理，费用按照实际发生的双倍费用在工程款中扣除。</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6.1.5 条所涉违约金，发包人也有权直接从应付工程中扣除或要求承包人另行支付。</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6.1.6 关于安全文明施工费支付比例和支付期限的约定：</w:t>
      </w:r>
      <w:r>
        <w:rPr>
          <w:rFonts w:hint="eastAsia" w:ascii="宋体" w:hAnsi="宋体" w:eastAsia="宋体" w:cs="宋体"/>
          <w:szCs w:val="21"/>
          <w:highlight w:val="none"/>
          <w:u w:val="single"/>
        </w:rPr>
        <w:t xml:space="preserve">本工程安全文明施工费不单独支付，包含在工程款中支付。</w:t>
      </w:r>
      <w:bookmarkEnd w:id="298"/>
      <w:r/>
      <w:bookmarkEnd w:id="299"/>
      <w:r/>
      <w:bookmarkEnd w:id="300"/>
      <w:r/>
      <w:bookmarkEnd w:id="301"/>
      <w:r/>
      <w:bookmarkEnd w:id="302"/>
      <w:r/>
      <w:bookmarkEnd w:id="303"/>
      <w:r/>
      <w:bookmarkEnd w:id="304"/>
      <w:r/>
      <w:r/>
    </w:p>
    <w:p>
      <w:pPr>
        <w:ind w:left="0" w:firstLine="422"/>
        <w:keepLines/>
        <w:keepNext/>
        <w:pageBreakBefore w:val="0"/>
        <w:spacing w:line="420" w:lineRule="exact"/>
        <w:widowControl w:val="off"/>
        <w:rPr>
          <w:rFonts w:hint="eastAsia" w:ascii="宋体" w:hAnsi="宋体" w:eastAsia="宋体" w:cs="宋体"/>
          <w:b/>
          <w:szCs w:val="21"/>
          <w:highlight w:val="none"/>
        </w:rPr>
      </w:pPr>
      <w:r/>
      <w:bookmarkStart w:id="306" w:name="_Toc351203639"/>
      <w:r>
        <w:rPr>
          <w:rFonts w:hint="eastAsia" w:ascii="宋体" w:hAnsi="宋体" w:eastAsia="宋体" w:cs="宋体"/>
          <w:b/>
          <w:szCs w:val="21"/>
          <w:highlight w:val="none"/>
        </w:rPr>
        <w:t xml:space="preserve">7. 工期和进度</w:t>
      </w:r>
      <w:bookmarkEnd w:id="306"/>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7.1 施工组织设计</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7.1.1 合同当事人约定的施工组织设计应包括的其他内容：</w:t>
      </w:r>
      <w:r>
        <w:rPr>
          <w:rFonts w:hint="eastAsia" w:ascii="宋体" w:hAnsi="宋体" w:eastAsia="宋体" w:cs="宋体"/>
          <w:szCs w:val="21"/>
          <w:highlight w:val="none"/>
          <w:u w:val="single"/>
        </w:rPr>
        <w:t xml:space="preserve">（1）施工方案；（2）施工现场平面布置图；（3）施工进度计划和保证措施；（4）劳动力及材料供应计划；（5）施工机械设备的选用；（6）质量保证体系及措施；（7）安全生产、文明施工措施；（8）环境保护、成本控制措施；（9）合同当事人约定的其他内容。</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7.1.2 施工组织设计的提交和修改</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承包人提交详细施工组织设计的期限的约定：</w:t>
      </w:r>
      <w:r>
        <w:rPr>
          <w:rFonts w:hint="eastAsia" w:ascii="宋体" w:hAnsi="宋体" w:eastAsia="宋体" w:cs="宋体"/>
          <w:szCs w:val="21"/>
          <w:highlight w:val="none"/>
          <w:u w:val="single"/>
        </w:rPr>
        <w:t xml:space="preserve">收到中标通知书三天内向发包人和监理工程师提供本工程详细的《施工组织设计》和施工总进度计划各一式四份；工程实施过程中，承包人严格按照经批准的施工组织设计组织施工，接受发包人、监理单位对进度的检查、监督。发包人和监理单位将对照确认的施工方案和进度计划对承包人的施工进度进行严格考核，每十天为一个考核周期。承包人应严格按照进度计划组织施工，如在一个考核周期内发生未能按照进度计划表约定的节点工期建设，发包人有权</w:t>
      </w:r>
      <w:r>
        <w:rPr>
          <w:rFonts w:hint="eastAsia" w:ascii="宋体" w:hAnsi="宋体" w:eastAsia="宋体" w:cs="宋体"/>
          <w:szCs w:val="21"/>
          <w:highlight w:val="none"/>
          <w:u w:val="single"/>
        </w:rPr>
        <w:t xml:space="preserve">要求承包人在限期内整改，承包人同时承担每次5000元的违约金，发包人有权在当期工程款支付时或履约保证金中扣除，并要求承包人在下一个考核周期内抢工补救上一个考核周期内的施工任务和本考核周期内的施工任务。如在下一个考核周期内没有完成既定施工任务的，承包人将承担违约责任，承包人应承担每个考核周期不少于10000元的违约金，直至施工任务完成达到施工方案和进度计划的要求。如承包人的实际进度与进度计划不符，又不能按发包人提出的要求组织抢工改进，导致实际工期拖延，发包人可在不征求承包人意见及不需要承包人同意签订补充协议的</w:t>
      </w:r>
      <w:r>
        <w:rPr>
          <w:rFonts w:hint="eastAsia" w:ascii="宋体" w:hAnsi="宋体" w:eastAsia="宋体" w:cs="宋体"/>
          <w:szCs w:val="21"/>
          <w:highlight w:val="none"/>
          <w:u w:val="single"/>
        </w:rPr>
        <w:t xml:space="preserve">前提下另行自行组织其他施工队伍帮助承包人抢工，承包人按照抢工发生费用的 1.5 倍承担费用，发包人有权在当期工程款支付时扣除。如承包人拒绝执行上述条款的，发包人有权清退解除合同，已完工作量按70%结算，同时由此造成的损失均由承包人承担。如因承包人的原因导致工程不能按期开工，承包人应当向发包人支付违约金，违约金每延期一日以人民币10000元计。连续达到两个（不含）以上考核周期没按工程进度计划，发包人有权解除合同，扣除履约保证金，承包人按照合同协议书约定的合同总价的20%承担违约金并赔偿甲方因此遭受的全部损失。</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发包人和监理人在收到详细的施工组织设计后确认或提出修改意见的期限：</w:t>
      </w:r>
      <w:r>
        <w:rPr>
          <w:rFonts w:hint="eastAsia" w:ascii="宋体" w:hAnsi="宋体" w:eastAsia="宋体" w:cs="宋体"/>
          <w:szCs w:val="21"/>
          <w:highlight w:val="none"/>
          <w:u w:val="single"/>
        </w:rPr>
        <w:t xml:space="preserve">  7 天  </w:t>
      </w:r>
      <w:r>
        <w:rPr>
          <w:rFonts w:hint="eastAsia" w:ascii="宋体" w:hAnsi="宋体" w:eastAsia="宋体" w:cs="宋体"/>
          <w:szCs w:val="21"/>
          <w:highlight w:val="none"/>
        </w:rPr>
        <w:t xml:space="preserve">。</w:t>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7</w:t>
      </w:r>
      <w:bookmarkStart w:id="307" w:name="_Toc304295541"/>
      <w:r/>
      <w:bookmarkStart w:id="308" w:name="_Toc297216173"/>
      <w:r/>
      <w:bookmarkStart w:id="309" w:name="_Toc312678005"/>
      <w:r/>
      <w:bookmarkStart w:id="310" w:name="_Toc300934966"/>
      <w:r/>
      <w:bookmarkStart w:id="311" w:name="_Toc297123514"/>
      <w:r/>
      <w:bookmarkStart w:id="312" w:name="_Toc312677479"/>
      <w:r/>
      <w:bookmarkStart w:id="313" w:name="_Toc303539123"/>
      <w:r>
        <w:rPr>
          <w:rFonts w:hint="eastAsia" w:ascii="宋体" w:hAnsi="宋体" w:eastAsia="宋体" w:cs="宋体"/>
          <w:szCs w:val="21"/>
          <w:highlight w:val="none"/>
        </w:rPr>
        <w:t xml:space="preserve">.2 施工进度计划</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7.2.2 施工进度计划的修订</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发包人和监理人在收到修订的施工进度计划后确认或提出修改意见的期限：</w:t>
      </w:r>
      <w:r>
        <w:rPr>
          <w:rFonts w:hint="eastAsia" w:ascii="宋体" w:hAnsi="宋体" w:eastAsia="宋体" w:cs="宋体"/>
          <w:szCs w:val="21"/>
          <w:highlight w:val="none"/>
          <w:u w:val="single"/>
        </w:rPr>
        <w:t xml:space="preserve">  3天内  </w:t>
      </w:r>
      <w:r>
        <w:rPr>
          <w:rFonts w:hint="eastAsia" w:ascii="宋体" w:hAnsi="宋体" w:eastAsia="宋体" w:cs="宋体"/>
          <w:szCs w:val="21"/>
          <w:highlight w:val="none"/>
        </w:rPr>
        <w:t xml:space="preserve">。</w:t>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7.3 开工</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7.3.1 开工准备</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关于承包人提交工程开工报审表的期限：</w:t>
      </w:r>
      <w:r>
        <w:rPr>
          <w:rFonts w:hint="eastAsia" w:ascii="宋体" w:hAnsi="宋体" w:eastAsia="宋体" w:cs="宋体"/>
          <w:szCs w:val="21"/>
          <w:highlight w:val="none"/>
          <w:u w:val="single"/>
        </w:rPr>
        <w:t xml:space="preserve"> 计划开工日期前3天提交开工报审表或开工报告 。实际开工时间以发包人发出的开工通知日期为准。</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关于发包人应完成的其他开工准备工作及期限：</w:t>
      </w:r>
      <w:r>
        <w:rPr>
          <w:rFonts w:hint="eastAsia" w:ascii="宋体" w:hAnsi="宋体" w:eastAsia="宋体" w:cs="宋体"/>
          <w:szCs w:val="21"/>
          <w:highlight w:val="none"/>
          <w:u w:val="single"/>
        </w:rPr>
        <w:t xml:space="preserve">开工前配合承包人将施工所需的水、电、电讯线路接至施工场地，费用由承包人承担；开工前提供工程地质和地下管线资料；办理施工所需证件、批件；交验水准点与坐标控制点交验，费用由承包人承担。</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关于承包人应完成的其他开工准备工作及期限：</w:t>
      </w:r>
      <w:r>
        <w:rPr>
          <w:rFonts w:hint="eastAsia" w:ascii="宋体" w:hAnsi="宋体" w:eastAsia="宋体" w:cs="宋体"/>
          <w:szCs w:val="21"/>
          <w:highlight w:val="none"/>
          <w:u w:val="single"/>
        </w:rPr>
        <w:t xml:space="preserve">开工前三日内，承包人自行完善施工用接水、接电及场内外运输、通行所需的条件，由此发生的费用在投标报价的措施费中自行考虑。开工前必须向发包人提供施工进度计划、材料清单、材料进场计划、劳动力计划以及发包人、监理</w:t>
      </w:r>
      <w:r>
        <w:rPr>
          <w:rFonts w:hint="eastAsia" w:ascii="宋体" w:hAnsi="宋体" w:eastAsia="宋体" w:cs="宋体"/>
          <w:szCs w:val="21"/>
          <w:highlight w:val="none"/>
          <w:u w:val="single"/>
        </w:rPr>
        <w:t xml:space="preserve">、建设主管部门要求提供相关资料等。承包人在中标后须派专人配合发包人办理相关手续，该人员办理手续期间，服从发包人工作安排，相关费用已在合同价款中考虑。承包人未按照发包人要求办理的，发包人有权要求承包人承担 5000 元/次的违约金。承包人须根据工程建设进度需要派专人负责工程所有相关资料的填写、审签、完善工作，服从发包人检查的需要，相关费用已在投标报价时考虑。承包人未按照发包人要求及时完成的，每发生一次承包人须向发包人支付 2000 元的违约金。前述违约发包人有权在应付工程款中直接扣除，也可要求承包人另行支付。</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7.3.2开工通知</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因发包人原因造成监理人未能在计划开工日期之日起</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天内发出开工通知的，承包人有权提出价格调整要求，或者解除合同。</w:t>
      </w:r>
      <w:bookmarkEnd w:id="307"/>
      <w:r/>
      <w:bookmarkEnd w:id="308"/>
      <w:r/>
      <w:bookmarkEnd w:id="309"/>
      <w:r/>
      <w:bookmarkEnd w:id="310"/>
      <w:r/>
      <w:bookmarkEnd w:id="311"/>
      <w:r/>
      <w:bookmarkEnd w:id="312"/>
      <w:r/>
      <w:bookmarkEnd w:id="313"/>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7.4 测量放线</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7.4.1发包人通过监理人向承包人提供测量基准点、基准线和水准点及其书面资料的期限：</w:t>
      </w:r>
      <w:r>
        <w:rPr>
          <w:rFonts w:hint="eastAsia" w:ascii="宋体" w:hAnsi="宋体" w:eastAsia="宋体" w:cs="宋体"/>
          <w:szCs w:val="21"/>
          <w:highlight w:val="none"/>
          <w:u w:val="single"/>
        </w:rPr>
        <w:t xml:space="preserve"> 开工前现场交验</w:t>
      </w:r>
      <w:r>
        <w:rPr>
          <w:rFonts w:hint="eastAsia" w:ascii="宋体" w:hAnsi="宋体" w:eastAsia="宋体" w:cs="宋体"/>
          <w:szCs w:val="21"/>
          <w:highlight w:val="none"/>
        </w:rPr>
        <w:t xml:space="preserve">。</w:t>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7</w:t>
      </w:r>
      <w:bookmarkStart w:id="314" w:name="_Toc312678010"/>
      <w:r/>
      <w:bookmarkStart w:id="315" w:name="_Toc303539125"/>
      <w:r/>
      <w:bookmarkStart w:id="316" w:name="_Toc304295546"/>
      <w:r/>
      <w:bookmarkStart w:id="317" w:name="_Toc297123516"/>
      <w:r/>
      <w:bookmarkStart w:id="318" w:name="_Toc297216175"/>
      <w:r/>
      <w:bookmarkStart w:id="319" w:name="_Toc312677484"/>
      <w:r/>
      <w:bookmarkStart w:id="320" w:name="_Toc300934968"/>
      <w:r>
        <w:rPr>
          <w:rFonts w:hint="eastAsia" w:ascii="宋体" w:hAnsi="宋体" w:eastAsia="宋体" w:cs="宋体"/>
          <w:szCs w:val="21"/>
          <w:highlight w:val="none"/>
        </w:rPr>
        <w:t xml:space="preserve">.5 工期延误</w:t>
      </w:r>
      <w:bookmarkEnd w:id="314"/>
      <w:r/>
      <w:bookmarkEnd w:id="315"/>
      <w:r/>
      <w:bookmarkEnd w:id="316"/>
      <w:r/>
      <w:bookmarkEnd w:id="317"/>
      <w:r/>
      <w:bookmarkEnd w:id="318"/>
      <w:r/>
      <w:bookmarkEnd w:id="319"/>
      <w:r/>
      <w:bookmarkEnd w:id="320"/>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7.5.1 因发包人原因导致工期延误</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因发包人原因导致工期延误的其他情形：</w:t>
      </w:r>
      <w:r>
        <w:rPr>
          <w:rFonts w:hint="eastAsia" w:ascii="宋体" w:hAnsi="宋体" w:eastAsia="宋体" w:cs="宋体"/>
          <w:szCs w:val="21"/>
          <w:highlight w:val="none"/>
          <w:u w:val="single"/>
        </w:rPr>
        <w:t xml:space="preserve">①发包人未能及时提供施工图纸，经催告后在合理时间内仍未提供的；②经发包人书面确认的不可抗力因素；③合同中约定的或发包人同意工期顺延的其他情况。上述情况必须经发包人书面确认，确认后工期可相应顺延并且承包人自愿放弃因发包方原因导致工期延误期间所有损失。</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7</w:t>
      </w:r>
      <w:bookmarkStart w:id="321" w:name="_Toc318581169"/>
      <w:r/>
      <w:bookmarkStart w:id="322" w:name="_Toc312677486"/>
      <w:r/>
      <w:bookmarkStart w:id="323" w:name="_Toc312678012"/>
      <w:r/>
      <w:bookmarkStart w:id="324" w:name="_Toc300934970"/>
      <w:r/>
      <w:bookmarkStart w:id="325" w:name="_Toc297216177"/>
      <w:r/>
      <w:bookmarkStart w:id="326" w:name="_Toc303539127"/>
      <w:r/>
      <w:bookmarkStart w:id="327" w:name="_Toc304295548"/>
      <w:r/>
      <w:bookmarkStart w:id="328" w:name="_Toc297123518"/>
      <w:r>
        <w:rPr>
          <w:rFonts w:hint="eastAsia" w:ascii="宋体" w:hAnsi="宋体" w:eastAsia="宋体" w:cs="宋体"/>
          <w:szCs w:val="21"/>
          <w:highlight w:val="none"/>
        </w:rPr>
        <w:t xml:space="preserve">.5.2 因承包人原因导致工期延误</w:t>
      </w:r>
      <w:bookmarkEnd w:id="321"/>
      <w:r/>
      <w:bookmarkEnd w:id="322"/>
      <w:r/>
      <w:bookmarkEnd w:id="323"/>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因</w:t>
      </w:r>
      <w:bookmarkStart w:id="329" w:name="_Toc312678013"/>
      <w:r/>
      <w:bookmarkStart w:id="330" w:name="_Toc318581170"/>
      <w:r/>
      <w:bookmarkStart w:id="331" w:name="_Toc312677487"/>
      <w:r>
        <w:rPr>
          <w:rFonts w:hint="eastAsia" w:ascii="宋体" w:hAnsi="宋体" w:eastAsia="宋体" w:cs="宋体"/>
          <w:szCs w:val="21"/>
          <w:highlight w:val="none"/>
        </w:rPr>
        <w:t xml:space="preserve">承包人原因造成工期延误，逾期竣工违约金的计算方法为：</w:t>
      </w:r>
      <w:r>
        <w:rPr>
          <w:rFonts w:hint="eastAsia" w:ascii="宋体" w:hAnsi="宋体" w:eastAsia="宋体" w:cs="宋体"/>
          <w:szCs w:val="21"/>
          <w:highlight w:val="none"/>
          <w:u w:val="single"/>
        </w:rPr>
        <w:t xml:space="preserve">承包人应按照投标文件承诺的工期确保工程验收，满足工程竣</w:t>
      </w:r>
      <w:r>
        <w:rPr>
          <w:rFonts w:hint="eastAsia" w:ascii="宋体" w:hAnsi="宋体" w:eastAsia="宋体" w:cs="宋体"/>
          <w:szCs w:val="21"/>
          <w:highlight w:val="none"/>
          <w:u w:val="single"/>
        </w:rPr>
        <w:t xml:space="preserve">工要求，必须在承诺工期内完成全部工程量，不得以任何借口停工怠工，如因承包人原因延误工期的（含不按期开工等情形），按每拖延一天向发包人支付人民币5000元的违约金，延期超过三天的，发包人有权解除合同，扣除履约保证金，并要求承包人承担合同协议书约定的总价20%的违约金，同时对发包人的全部损失承担赔偿责任。如因发包人原因并且符合工程工期顺延的情况，经发包人签证确认后仅顺延工期,承包人不得向发包人提出其他索赔要求。如承包人无故提出停工、怠工二天以上，发包人有权解除合同，扣除履约保证金，清退出场，已完工程量不予结算。</w:t>
      </w:r>
      <w:bookmarkEnd w:id="324"/>
      <w:r/>
      <w:bookmarkEnd w:id="325"/>
      <w:r/>
      <w:bookmarkEnd w:id="326"/>
      <w:r/>
      <w:bookmarkEnd w:id="327"/>
      <w:r/>
      <w:bookmarkEnd w:id="328"/>
      <w:r/>
      <w:bookmarkEnd w:id="329"/>
      <w:r/>
      <w:bookmarkEnd w:id="330"/>
      <w:r/>
      <w:bookmarkEnd w:id="331"/>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签订合同后，承包方应编制施工组织设计报监理工程师批准。工程实施过程中,承包方严格按照经批准的施工组织设计组织施工，接受发包方对进度的检查、监督。发包方和监理单位将对照确认的施工方案和进度计划对承包方的施工进度进行严格考核，每一周为一个考核周期。承包方将严格按照进度计划组织施工，如在一个考核周期内发生未能按照进度计划表约定的节点工期建设，将在限期内整改，同时向发包</w:t>
      </w:r>
      <w:r>
        <w:rPr>
          <w:rFonts w:hint="eastAsia" w:ascii="宋体" w:hAnsi="宋体" w:eastAsia="宋体" w:cs="宋体"/>
          <w:szCs w:val="21"/>
          <w:highlight w:val="none"/>
          <w:u w:val="single"/>
        </w:rPr>
        <w:t xml:space="preserve">人支付每次 10000 元的违约金，相关费用发包人有权直接从工程款项中扣除，并要求承包方在下一个考核周期内抢工补救上一个考核周期内的施工任务和本考核周期内的施工任务。如在下一个考核周期内没有完成既定施工任务的，承包方将承担违约责任，承包方应承担每个考核周期不少于 20000 元的违约金，直至施工任务完成达到施工方案和进度计划的要求。如承包方拒绝执行上述条款的， 建设单位有权清退承包单位，已完工作量按 70%结算，发包人有权扣除履约保证金，并要求承包人承担 20%的违约金，同时对发包人的全部损失承担赔偿责任。</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因承包人原因造成工期延误，逾</w:t>
      </w:r>
      <w:bookmarkStart w:id="332" w:name="_Toc318581171"/>
      <w:r/>
      <w:bookmarkStart w:id="333" w:name="_Toc312678014"/>
      <w:r>
        <w:rPr>
          <w:rFonts w:hint="eastAsia" w:ascii="宋体" w:hAnsi="宋体" w:eastAsia="宋体" w:cs="宋体"/>
          <w:szCs w:val="21"/>
          <w:highlight w:val="none"/>
        </w:rPr>
        <w:t xml:space="preserve">期竣工违约金的上限：</w:t>
      </w:r>
      <w:r>
        <w:rPr>
          <w:rFonts w:hint="eastAsia" w:ascii="宋体" w:hAnsi="宋体" w:eastAsia="宋体" w:cs="宋体"/>
          <w:szCs w:val="21"/>
          <w:highlight w:val="none"/>
          <w:u w:val="single"/>
        </w:rPr>
        <w:t xml:space="preserve">  / 。</w:t>
      </w:r>
      <w:bookmarkEnd w:id="332"/>
      <w:r/>
      <w:bookmarkEnd w:id="333"/>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7</w:t>
      </w:r>
      <w:bookmarkStart w:id="334" w:name="_Toc304295549"/>
      <w:r/>
      <w:bookmarkStart w:id="335" w:name="_Toc297216178"/>
      <w:r/>
      <w:bookmarkStart w:id="336" w:name="_Toc303539128"/>
      <w:r/>
      <w:bookmarkStart w:id="337" w:name="_Toc297123519"/>
      <w:r/>
      <w:bookmarkStart w:id="338" w:name="_Toc312678015"/>
      <w:r/>
      <w:bookmarkStart w:id="339" w:name="_Toc300934971"/>
      <w:r>
        <w:rPr>
          <w:rFonts w:hint="eastAsia" w:ascii="宋体" w:hAnsi="宋体" w:eastAsia="宋体" w:cs="宋体"/>
          <w:szCs w:val="21"/>
          <w:highlight w:val="none"/>
        </w:rPr>
        <w:t xml:space="preserve">.6 不</w:t>
      </w:r>
      <w:bookmarkEnd w:id="334"/>
      <w:r/>
      <w:bookmarkEnd w:id="335"/>
      <w:r/>
      <w:bookmarkEnd w:id="336"/>
      <w:r/>
      <w:bookmarkEnd w:id="337"/>
      <w:r/>
      <w:bookmarkEnd w:id="338"/>
      <w:r/>
      <w:bookmarkEnd w:id="339"/>
      <w:r>
        <w:rPr>
          <w:rFonts w:hint="eastAsia" w:ascii="宋体" w:hAnsi="宋体" w:eastAsia="宋体" w:cs="宋体"/>
          <w:szCs w:val="21"/>
          <w:highlight w:val="none"/>
        </w:rPr>
        <w:t xml:space="preserve">利物质条件</w:t>
      </w:r>
      <w:r/>
    </w:p>
    <w:p>
      <w:pPr>
        <w:ind w:left="0" w:firstLine="420"/>
        <w:jc w:val="left"/>
        <w:pageBreakBefore w:val="0"/>
        <w:spacing w:line="420" w:lineRule="exact"/>
        <w:widowControl w:val="off"/>
        <w:rPr>
          <w:rFonts w:hint="eastAsia" w:ascii="宋体" w:hAnsi="宋体" w:eastAsia="宋体" w:cs="宋体"/>
          <w:szCs w:val="21"/>
          <w:highlight w:val="none"/>
        </w:rPr>
      </w:pPr>
      <w:r/>
      <w:bookmarkStart w:id="340" w:name="_Toc303539129"/>
      <w:r/>
      <w:bookmarkStart w:id="341" w:name="_Toc297216179"/>
      <w:r/>
      <w:bookmarkStart w:id="342" w:name="_Toc304295550"/>
      <w:r/>
      <w:bookmarkStart w:id="343" w:name="_Toc312678016"/>
      <w:r/>
      <w:bookmarkStart w:id="344" w:name="_Toc318581172"/>
      <w:r/>
      <w:bookmarkStart w:id="345" w:name="_Toc300934972"/>
      <w:r/>
      <w:bookmarkStart w:id="346" w:name="_Toc297123520"/>
      <w:r>
        <w:rPr>
          <w:rFonts w:hint="eastAsia" w:ascii="宋体" w:hAnsi="宋体" w:eastAsia="宋体" w:cs="宋体"/>
          <w:szCs w:val="21"/>
          <w:highlight w:val="none"/>
        </w:rPr>
        <w:t xml:space="preserve">不利物质条件的其他情形和有关约定：执行通用条款。</w:t>
      </w:r>
      <w:bookmarkEnd w:id="340"/>
      <w:r/>
      <w:bookmarkEnd w:id="341"/>
      <w:r/>
      <w:bookmarkEnd w:id="342"/>
      <w:r/>
      <w:bookmarkEnd w:id="343"/>
      <w:r/>
      <w:bookmarkEnd w:id="344"/>
      <w:r/>
      <w:bookmarkEnd w:id="345"/>
      <w:r/>
      <w:bookmarkEnd w:id="346"/>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7</w:t>
      </w:r>
      <w:bookmarkStart w:id="347" w:name="_Toc300934973"/>
      <w:r/>
      <w:bookmarkStart w:id="348" w:name="_Toc297123521"/>
      <w:r/>
      <w:bookmarkStart w:id="349" w:name="_Toc303539130"/>
      <w:r/>
      <w:bookmarkStart w:id="350" w:name="_Toc312678017"/>
      <w:r/>
      <w:bookmarkStart w:id="351" w:name="_Toc304295551"/>
      <w:r/>
      <w:bookmarkStart w:id="352" w:name="_Toc297216180"/>
      <w:r>
        <w:rPr>
          <w:rFonts w:hint="eastAsia" w:ascii="宋体" w:hAnsi="宋体" w:eastAsia="宋体" w:cs="宋体"/>
          <w:szCs w:val="21"/>
          <w:highlight w:val="none"/>
        </w:rPr>
        <w:t xml:space="preserve">.7异常恶劣的气候条件</w:t>
      </w:r>
      <w:bookmarkEnd w:id="347"/>
      <w:r/>
      <w:bookmarkEnd w:id="348"/>
      <w:r/>
      <w:bookmarkEnd w:id="349"/>
      <w:r/>
      <w:bookmarkEnd w:id="350"/>
      <w:r/>
      <w:bookmarkEnd w:id="351"/>
      <w:r/>
      <w:bookmarkEnd w:id="352"/>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发包人和承包人同意以下情形视为异常恶劣的气候条件：</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（1）持续高温：连续三日日最高气温 35℃以上；</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（2）持续低温：连续三日日最低气温-10℃以下；</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（3）大风天气：施工区域日风力在 6 级以上且持续时间不少于 4 小时，或阵风大于8 级；</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u w:val="single"/>
        </w:rPr>
        <w:t xml:space="preserve">（4）暴雨天气：日降雨量 50mm 及以上，或降雨强度大于20mm/h。</w:t>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7.9 提前竣工的奖励</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7.9.2提前竣工的奖励：</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left="0" w:firstLine="422"/>
        <w:keepLines/>
        <w:keepNext/>
        <w:pageBreakBefore w:val="0"/>
        <w:spacing w:line="420" w:lineRule="exact"/>
        <w:widowControl w:val="off"/>
        <w:rPr>
          <w:rFonts w:hint="eastAsia" w:ascii="宋体" w:hAnsi="宋体" w:eastAsia="宋体" w:cs="宋体"/>
          <w:b/>
          <w:szCs w:val="21"/>
          <w:highlight w:val="none"/>
        </w:rPr>
      </w:pPr>
      <w:r/>
      <w:bookmarkStart w:id="353" w:name="_Toc351203640"/>
      <w:r>
        <w:rPr>
          <w:rFonts w:hint="eastAsia" w:ascii="宋体" w:hAnsi="宋体" w:eastAsia="宋体" w:cs="宋体"/>
          <w:b/>
          <w:szCs w:val="21"/>
          <w:highlight w:val="none"/>
        </w:rPr>
        <w:t xml:space="preserve">8. 材料与设备</w:t>
      </w:r>
      <w:bookmarkEnd w:id="288"/>
      <w:r/>
      <w:bookmarkEnd w:id="289"/>
      <w:r/>
      <w:bookmarkEnd w:id="290"/>
      <w:r/>
      <w:bookmarkEnd w:id="291"/>
      <w:r/>
      <w:bookmarkEnd w:id="292"/>
      <w:r/>
      <w:bookmarkEnd w:id="293"/>
      <w:r/>
      <w:bookmarkEnd w:id="294"/>
      <w:r/>
      <w:bookmarkEnd w:id="295"/>
      <w:r/>
      <w:bookmarkEnd w:id="296"/>
      <w:r/>
      <w:bookmarkEnd w:id="297"/>
      <w:r/>
      <w:bookmarkEnd w:id="353"/>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8</w:t>
      </w:r>
      <w:bookmarkStart w:id="354" w:name="_Toc297123527"/>
      <w:r/>
      <w:bookmarkStart w:id="355" w:name="_Toc292559372"/>
      <w:r/>
      <w:bookmarkStart w:id="356" w:name="_Toc312678019"/>
      <w:r/>
      <w:bookmarkStart w:id="357" w:name="_Toc300934979"/>
      <w:r/>
      <w:bookmarkStart w:id="358" w:name="_Toc296503167"/>
      <w:r/>
      <w:bookmarkStart w:id="359" w:name="_Toc297216186"/>
      <w:r/>
      <w:bookmarkStart w:id="360" w:name="_Toc297048353"/>
      <w:r/>
      <w:bookmarkStart w:id="361" w:name="_Toc296346668"/>
      <w:r/>
      <w:bookmarkStart w:id="362" w:name="_Toc296890995"/>
      <w:r/>
      <w:bookmarkStart w:id="363" w:name="_Toc297120467"/>
      <w:r/>
      <w:bookmarkStart w:id="364" w:name="_Toc296347166"/>
      <w:r/>
      <w:bookmarkStart w:id="365" w:name="_Toc280868654"/>
      <w:r/>
      <w:bookmarkStart w:id="366" w:name="_Toc296944506"/>
      <w:r/>
      <w:bookmarkStart w:id="367" w:name="_Toc296891207"/>
      <w:r/>
      <w:bookmarkStart w:id="368" w:name="_Toc312677493"/>
      <w:r/>
      <w:bookmarkStart w:id="369" w:name="_Toc303539136"/>
      <w:r/>
      <w:bookmarkStart w:id="370" w:name="_Toc304295556"/>
      <w:r/>
      <w:bookmarkStart w:id="371" w:name="_Toc292559877"/>
      <w:r/>
      <w:bookmarkStart w:id="372" w:name="_Toc280868655"/>
      <w:r/>
      <w:bookmarkStart w:id="373" w:name="_Toc280868656"/>
      <w:r/>
      <w:bookmarkStart w:id="374" w:name="_Toc267251424"/>
      <w:r>
        <w:rPr>
          <w:rFonts w:hint="eastAsia" w:ascii="宋体" w:hAnsi="宋体" w:eastAsia="宋体" w:cs="宋体"/>
          <w:szCs w:val="21"/>
          <w:highlight w:val="none"/>
        </w:rPr>
        <w:t xml:space="preserve">.4材料与工程设备的保管与使用</w:t>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8</w:t>
      </w:r>
      <w:bookmarkStart w:id="375" w:name="_Toc292559373"/>
      <w:r/>
      <w:bookmarkStart w:id="376" w:name="_Toc292559878"/>
      <w:r/>
      <w:bookmarkStart w:id="377" w:name="_Toc303539137"/>
      <w:r/>
      <w:bookmarkStart w:id="378" w:name="_Toc318581173"/>
      <w:r/>
      <w:bookmarkStart w:id="379" w:name="_Toc296347167"/>
      <w:r/>
      <w:bookmarkStart w:id="380" w:name="_Toc304295557"/>
      <w:r/>
      <w:bookmarkStart w:id="381" w:name="_Toc300934980"/>
      <w:r/>
      <w:bookmarkStart w:id="382" w:name="_Toc297120468"/>
      <w:r/>
      <w:bookmarkStart w:id="383" w:name="_Toc296346669"/>
      <w:r/>
      <w:bookmarkStart w:id="384" w:name="_Toc312678020"/>
      <w:r/>
      <w:bookmarkStart w:id="385" w:name="_Toc296944507"/>
      <w:r/>
      <w:bookmarkStart w:id="386" w:name="_Toc296891208"/>
      <w:r/>
      <w:bookmarkStart w:id="387" w:name="_Toc296890996"/>
      <w:r/>
      <w:bookmarkStart w:id="388" w:name="_Toc297048354"/>
      <w:r/>
      <w:bookmarkStart w:id="389" w:name="_Toc297216187"/>
      <w:r/>
      <w:bookmarkStart w:id="390" w:name="_Toc312677494"/>
      <w:r/>
      <w:bookmarkStart w:id="391" w:name="_Toc296503168"/>
      <w:r/>
      <w:bookmarkStart w:id="392" w:name="_Toc297123528"/>
      <w:r>
        <w:rPr>
          <w:rFonts w:hint="eastAsia" w:ascii="宋体" w:hAnsi="宋体" w:eastAsia="宋体" w:cs="宋体"/>
          <w:szCs w:val="21"/>
          <w:highlight w:val="none"/>
        </w:rPr>
        <w:t xml:space="preserve">.4.1发包人供应的材料设备的保管费用的承担：</w:t>
      </w:r>
      <w:r>
        <w:rPr>
          <w:rFonts w:hint="eastAsia" w:ascii="宋体" w:hAnsi="宋体" w:eastAsia="宋体" w:cs="宋体"/>
          <w:szCs w:val="21"/>
          <w:highlight w:val="none"/>
          <w:u w:val="single"/>
        </w:rPr>
        <w:t xml:space="preserve">/。</w:t>
      </w:r>
      <w:bookmarkEnd w:id="375"/>
      <w:r/>
      <w:bookmarkEnd w:id="376"/>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（1）除合同工程量清单确定的《其他项目清单计价与汇总表》中的“暂估价”的</w:t>
      </w:r>
      <w:r>
        <w:rPr>
          <w:rFonts w:hint="eastAsia" w:ascii="宋体" w:hAnsi="宋体" w:eastAsia="宋体" w:cs="宋体"/>
          <w:szCs w:val="21"/>
          <w:highlight w:val="none"/>
          <w:u w:val="single"/>
        </w:rPr>
        <w:t xml:space="preserve">材料外，其它材料均由承包人自行组织采购。凡由承包人采购的材料，承包人应按照设计要求、技术标准及合同的约定采购符合上述要求的材料。并向发包人提供质量保证书、出厂合格证及现场抽样检测报告等证明材料，对材料质量负责。如不符合质量及技术标准要求或规格有差异的，承包人应按发包人要求的时间将不符合要求的材料运出施工场地，重新采购符合要求的材料。若已使用，由承包人负责整改处理，确保达到要求的质量目标。因使用不符合要求的材料对工程造成的损失由承包人负责，由此延误的工期不予顺延，造成工期延误的，按照施工合同约定承担违约责任。</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（2）对本合同工程量清单《其他项目清单与计价汇总表》 中确定为“暂估价”的设备材料和专业工程，发包人应根据国家发改委令第 16 号要求，施工单项合同估算价在400万元以上的专业工程或单项合同估算价在200万元以上的重要设备材料等货物的采购，达此限额及以上的发包人应依法组织公开招标。单项合同估算价在上述限额标准以下的项目，根据区级主管部门规定执行。</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（3）如在施工过程中监管人员（发包人及监理人员等）一旦发现承包人未按发包人及设计</w:t>
      </w:r>
      <w:r>
        <w:rPr>
          <w:rFonts w:hint="eastAsia" w:ascii="宋体" w:hAnsi="宋体" w:eastAsia="宋体" w:cs="宋体"/>
          <w:szCs w:val="21"/>
          <w:highlight w:val="none"/>
          <w:u w:val="single"/>
        </w:rPr>
        <w:t xml:space="preserve">人员书面确认材料及规格型号进行采购的或出现以劣充优、以次充好、贴牌等谋取不正当利益的情况，根据质量管理条例的相关规定，承包人在施工中偷工减料的，使用不合格的建筑材料、建筑构配件和设备的，或者有不按照工程设计图纸或者施工技术标准施工的其他行为的，责令改正，每发现 1 次承包人应承担签约合同价款百分之一的违约金； 造成建设工程质量不符合规定的质量标准的，承包人负责返工、修理， 根据合同约定承担违约责任并赔偿发包人因此造成的所有损失；情节严重的，报相关建设行政主管部门，责令停业整顿，降低资质等级或者吊销资质证书。</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（4）承包人未对建筑材料、建筑构配件、设备和商品混凝土进行检验， 或者未对涉及结构安全的试块、试件以及有关材料取样检测的，责令改正，承包人应承担1万元以上5万元以下的违约金；情节严重的，移交相关部门处理。</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（5）采用甲供的材料、设备，承包人应提前 30 天向发包人提供所需材料、设备的情况，包括：材料、设备的品种、规格、型号、数量、质量等级、提供时间和地点等，发包人在所供材料、设备到货前 24 小时，以书面形式通知承包人，由承包人派人和发包人共同清点，其材料、设备的质量由承包人把关，如甲供的设备材料发生现场保管的，发包人须给付甲供设备材料总价款 1%的现场保管费用。  </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6）所选用材料必须符合相关国家强制性标准和规范要求，保证材料符合相关安全、环保等要求。主材如未按合同约定，以次充优，擅自更换品牌或使用假冒、贴牌产品的，必须全部无条件清退出场。所造成的一切责任和后果均由承包人承担，对于已发生的还将进行“以一罚十”的赔偿 。</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（7）承包人采购材料设备的约定：⑴符合施工图纸要</w:t>
      </w:r>
      <w:r>
        <w:rPr>
          <w:rFonts w:hint="eastAsia" w:ascii="宋体" w:hAnsi="宋体" w:eastAsia="宋体" w:cs="宋体"/>
          <w:szCs w:val="21"/>
          <w:highlight w:val="none"/>
          <w:u w:val="single"/>
        </w:rPr>
        <w:t xml:space="preserve">求、满足国家及相关部门有关规定、保质保量并按相关规定进行检验、验收；⑵须向发包人提供质量保证书、出厂合格证及现场抽样送检的复试报告等证明材料，对材料质量负责；⑶如不符合质量及相关规定要求或规格有差异的，应禁止使用。若已使用，对工程造成的损失由承包人负责。发包人保留对承包人所供材料随机抽查送检的权利，如经相关部门检测不合格，承包人应无条件更换不合格产品，并赔偿不合格产品价值 3 倍的违约金，一切损失和责任均由承包人承担。如不服从或拒绝更换的，发包人有权单独采购符合要求的产品，其一切费用均在承包人款项中扣除 。</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8）本项目所有设备、材料在采购前须列出详细的采购清单，采购清单须注明设备、材料的品牌、规格型号、产地等主要内容，并在采购前将书面设备、材料采购清单报发包人审批，经发包人书面同意后方可进行采购，否则所采购的设备、材料不予认可，如设备材料已运至施工现场的，须无条件退场（如已施工，须自行拆除），由此造成的损失由承包人自行承担，工期不因此类原因顺延。</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9）本工程如发现采用贴牌产品、假冒伪劣产品，一经发现须立即无条件清退出场（如已施工，须自行拆除，造成损失的由其自行承担），并按原招标要求重新采购和安装施工，同时承包人按该设备、材料投标价的20%承担违约金；如在审计过程中发现贴牌产品，则承包人按该设备、材料投标价的70%承担违约金,同时该设备、材料的售后、维修等服务仍由承包人负责。以上违约金费用均在结算时予以扣除，并由承包人承担相应的违约责任。</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为了防止承包人所选用的材料、设备以劣充优，以次充好，谋取不正当利益情况，所有设备必须都有厂家铭牌，设备必须与铭牌一致，发包人拒绝贴牌设备，如发现并经查实承包人贴牌设备，发包人有权要求承包人立即退场，同时承包人承担设备实际采购价与合同价差价为基准计算最高不超过 2 倍的违约金，发包人有权在履约保证金或到期工程款中予以扣除。</w:t>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8.6 样品</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8.6.1</w:t>
      </w:r>
      <w:r>
        <w:rPr>
          <w:rFonts w:hint="eastAsia" w:ascii="宋体" w:hAnsi="宋体" w:eastAsia="宋体" w:cs="宋体"/>
          <w:szCs w:val="21"/>
          <w:highlight w:val="none"/>
        </w:rPr>
        <w:tab/>
      </w:r>
      <w:r>
        <w:rPr>
          <w:rFonts w:hint="eastAsia" w:ascii="宋体" w:hAnsi="宋体" w:eastAsia="宋体" w:cs="宋体"/>
          <w:szCs w:val="21"/>
          <w:highlight w:val="none"/>
        </w:rPr>
        <w:t xml:space="preserve">样品的报送与封存</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需要承包人报送样品的材料或工程设备，样品的种类、名称、规格、数量要求：</w:t>
      </w:r>
      <w:r>
        <w:rPr>
          <w:rFonts w:hint="eastAsia" w:ascii="宋体" w:hAnsi="宋体" w:eastAsia="宋体" w:cs="宋体"/>
          <w:szCs w:val="21"/>
          <w:highlight w:val="none"/>
          <w:u w:val="single"/>
        </w:rPr>
        <w:t xml:space="preserve">按规范要求招标文件及招标过程中的补充文件执行。发包人不因此另行支付样品费用，样品费用含在合同价中。</w:t>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8.8 施工设备和临时设施</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8.8.1 承包人提供的施工设备和临时设施</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关于修建临时设施费用承担的约定：</w:t>
      </w:r>
      <w:r>
        <w:rPr>
          <w:rFonts w:hint="eastAsia" w:ascii="宋体" w:hAnsi="宋体" w:eastAsia="宋体" w:cs="宋体"/>
          <w:szCs w:val="21"/>
          <w:highlight w:val="none"/>
          <w:u w:val="single"/>
        </w:rPr>
        <w:t xml:space="preserve">承包人自行修建施工设备和临时设施，费用自理 </w:t>
      </w:r>
      <w:r>
        <w:rPr>
          <w:rFonts w:hint="eastAsia" w:ascii="宋体" w:hAnsi="宋体" w:eastAsia="宋体" w:cs="宋体"/>
          <w:szCs w:val="21"/>
          <w:highlight w:val="none"/>
        </w:rPr>
        <w:t xml:space="preserve">。</w:t>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r/>
    </w:p>
    <w:p>
      <w:pPr>
        <w:ind w:left="0" w:firstLine="420"/>
        <w:keepLines/>
        <w:keepNext/>
        <w:pageBreakBefore w:val="0"/>
        <w:spacing w:line="420" w:lineRule="exact"/>
        <w:widowControl w:val="off"/>
        <w:rPr>
          <w:rFonts w:hint="eastAsia" w:ascii="宋体" w:hAnsi="宋体" w:eastAsia="宋体" w:cs="宋体"/>
          <w:szCs w:val="21"/>
          <w:highlight w:val="none"/>
        </w:rPr>
      </w:pPr>
      <w:r/>
      <w:bookmarkStart w:id="393" w:name="_Toc351203641"/>
      <w:r>
        <w:rPr>
          <w:rFonts w:hint="eastAsia" w:ascii="宋体" w:hAnsi="宋体" w:eastAsia="宋体" w:cs="宋体"/>
          <w:szCs w:val="21"/>
          <w:highlight w:val="none"/>
        </w:rPr>
        <w:t xml:space="preserve">9</w:t>
      </w:r>
      <w:bookmarkEnd w:id="372"/>
      <w:r/>
      <w:bookmarkEnd w:id="373"/>
      <w:r/>
      <w:bookmarkEnd w:id="374"/>
      <w:r/>
      <w:bookmarkStart w:id="394" w:name="_Toc297216192"/>
      <w:r/>
      <w:bookmarkStart w:id="395" w:name="_Toc312678021"/>
      <w:r/>
      <w:bookmarkStart w:id="396" w:name="_Toc297123533"/>
      <w:r/>
      <w:bookmarkStart w:id="397" w:name="_Toc300934982"/>
      <w:r/>
      <w:bookmarkStart w:id="398" w:name="_Toc312677495"/>
      <w:r/>
      <w:bookmarkStart w:id="399" w:name="_Toc303539139"/>
      <w:r/>
      <w:bookmarkStart w:id="400" w:name="_Toc304295559"/>
      <w:r/>
      <w:bookmarkStart w:id="401" w:name="_Toc296346674"/>
      <w:r/>
      <w:bookmarkStart w:id="402" w:name="_Toc267251428"/>
      <w:r/>
      <w:bookmarkStart w:id="403" w:name="_Toc292559378"/>
      <w:r/>
      <w:bookmarkStart w:id="404" w:name="_Toc296891213"/>
      <w:r/>
      <w:bookmarkStart w:id="405" w:name="_Toc267251427"/>
      <w:r/>
      <w:bookmarkStart w:id="406" w:name="_Toc296347172"/>
      <w:r/>
      <w:bookmarkStart w:id="407" w:name="_Toc296944512"/>
      <w:r/>
      <w:bookmarkStart w:id="408" w:name="_Toc297120473"/>
      <w:r/>
      <w:bookmarkStart w:id="409" w:name="_Toc292559883"/>
      <w:r/>
      <w:bookmarkStart w:id="410" w:name="_Toc296891001"/>
      <w:r/>
      <w:bookmarkStart w:id="411" w:name="_Toc297048359"/>
      <w:r/>
      <w:bookmarkStart w:id="412" w:name="_Toc296503173"/>
      <w:r>
        <w:rPr>
          <w:rFonts w:hint="eastAsia" w:ascii="宋体" w:hAnsi="宋体" w:eastAsia="宋体" w:cs="宋体"/>
          <w:szCs w:val="21"/>
          <w:highlight w:val="none"/>
        </w:rPr>
        <w:t xml:space="preserve">. 试验与检验</w:t>
      </w:r>
      <w:bookmarkEnd w:id="393"/>
      <w:r/>
      <w:bookmarkEnd w:id="394"/>
      <w:r/>
      <w:bookmarkEnd w:id="395"/>
      <w:r/>
      <w:bookmarkEnd w:id="396"/>
      <w:r/>
      <w:bookmarkEnd w:id="397"/>
      <w:r/>
      <w:bookmarkEnd w:id="398"/>
      <w:r/>
      <w:bookmarkEnd w:id="399"/>
      <w:r/>
      <w:bookmarkEnd w:id="400"/>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9</w:t>
      </w:r>
      <w:bookmarkStart w:id="413" w:name="_Toc303539140"/>
      <w:r/>
      <w:bookmarkStart w:id="414" w:name="_Toc312677496"/>
      <w:r/>
      <w:bookmarkStart w:id="415" w:name="_Toc297216193"/>
      <w:r/>
      <w:bookmarkStart w:id="416" w:name="_Toc297123534"/>
      <w:r/>
      <w:bookmarkStart w:id="417" w:name="_Toc312678022"/>
      <w:r/>
      <w:bookmarkStart w:id="418" w:name="_Toc304295560"/>
      <w:r/>
      <w:bookmarkStart w:id="419" w:name="_Toc300934983"/>
      <w:r>
        <w:rPr>
          <w:rFonts w:hint="eastAsia" w:ascii="宋体" w:hAnsi="宋体" w:eastAsia="宋体" w:cs="宋体"/>
          <w:szCs w:val="21"/>
          <w:highlight w:val="none"/>
        </w:rPr>
        <w:t xml:space="preserve">.1试验设备与试验人员</w:t>
      </w:r>
      <w:bookmarkEnd w:id="413"/>
      <w:r/>
      <w:bookmarkEnd w:id="414"/>
      <w:r/>
      <w:bookmarkEnd w:id="415"/>
      <w:r/>
      <w:bookmarkEnd w:id="416"/>
      <w:r/>
      <w:bookmarkEnd w:id="417"/>
      <w:r/>
      <w:bookmarkEnd w:id="418"/>
      <w:r/>
      <w:bookmarkEnd w:id="419"/>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9</w:t>
      </w:r>
      <w:bookmarkStart w:id="420" w:name="_Toc297123535"/>
      <w:r/>
      <w:bookmarkStart w:id="421" w:name="_Toc297216194"/>
      <w:r/>
      <w:bookmarkStart w:id="422" w:name="_Toc300934984"/>
      <w:r/>
      <w:bookmarkStart w:id="423" w:name="_Toc303539141"/>
      <w:r/>
      <w:bookmarkStart w:id="424" w:name="_Toc304295561"/>
      <w:r/>
      <w:bookmarkStart w:id="425" w:name="_Toc312678023"/>
      <w:r/>
      <w:bookmarkStart w:id="426" w:name="_Toc312677497"/>
      <w:r/>
      <w:bookmarkStart w:id="427" w:name="_Toc318581174"/>
      <w:r>
        <w:rPr>
          <w:rFonts w:hint="eastAsia" w:ascii="宋体" w:hAnsi="宋体" w:eastAsia="宋体" w:cs="宋体"/>
          <w:szCs w:val="21"/>
          <w:highlight w:val="none"/>
        </w:rPr>
        <w:t xml:space="preserve">.1.2 试验设备</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施工现场需要配置的试验场所：</w:t>
      </w:r>
      <w:bookmarkEnd w:id="420"/>
      <w:r/>
      <w:bookmarkEnd w:id="421"/>
      <w:r/>
      <w:bookmarkEnd w:id="422"/>
      <w:r/>
      <w:bookmarkEnd w:id="423"/>
      <w:r/>
      <w:bookmarkEnd w:id="424"/>
      <w:r/>
      <w:bookmarkEnd w:id="425"/>
      <w:r/>
      <w:bookmarkEnd w:id="426"/>
      <w:r/>
      <w:bookmarkStart w:id="428" w:name="_Toc312678024"/>
      <w:r/>
      <w:bookmarkStart w:id="429" w:name="_Toc312677498"/>
      <w:r/>
      <w:bookmarkStart w:id="430" w:name="_Toc303539142"/>
      <w:r/>
      <w:bookmarkStart w:id="431" w:name="_Toc300934985"/>
      <w:r/>
      <w:bookmarkStart w:id="432" w:name="_Toc304295562"/>
      <w:r/>
      <w:bookmarkStart w:id="433" w:name="_Toc297123536"/>
      <w:r/>
      <w:bookmarkStart w:id="434" w:name="_Toc297216195"/>
      <w:r>
        <w:rPr>
          <w:rFonts w:hint="eastAsia" w:ascii="宋体" w:hAnsi="宋体" w:eastAsia="宋体" w:cs="宋体"/>
          <w:szCs w:val="21"/>
          <w:highlight w:val="none"/>
          <w:u w:val="single"/>
        </w:rPr>
        <w:t xml:space="preserve">由承包人提供</w:t>
      </w:r>
      <w:r>
        <w:rPr>
          <w:rFonts w:hint="eastAsia" w:ascii="宋体" w:hAnsi="宋体" w:eastAsia="宋体" w:cs="宋体"/>
          <w:szCs w:val="21"/>
          <w:highlight w:val="none"/>
        </w:rPr>
        <w:t xml:space="preserve">。 </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施工现场需要配备的试验设备：</w:t>
      </w:r>
      <w:r>
        <w:rPr>
          <w:rFonts w:hint="eastAsia" w:ascii="宋体" w:hAnsi="宋体" w:eastAsia="宋体" w:cs="宋体"/>
          <w:szCs w:val="21"/>
          <w:highlight w:val="none"/>
          <w:u w:val="single"/>
        </w:rPr>
        <w:t xml:space="preserve">由承包人提供</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施工现场需要具备的其他试验条件：</w:t>
      </w:r>
      <w:r>
        <w:rPr>
          <w:rFonts w:hint="eastAsia" w:ascii="宋体" w:hAnsi="宋体" w:eastAsia="宋体" w:cs="宋体"/>
          <w:szCs w:val="21"/>
          <w:highlight w:val="none"/>
          <w:u w:val="single"/>
        </w:rPr>
        <w:t xml:space="preserve">由承包人提供</w:t>
      </w:r>
      <w:r>
        <w:rPr>
          <w:rFonts w:hint="eastAsia" w:ascii="宋体" w:hAnsi="宋体" w:eastAsia="宋体" w:cs="宋体"/>
          <w:szCs w:val="21"/>
          <w:highlight w:val="none"/>
        </w:rPr>
        <w:t xml:space="preserve">。</w:t>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9.4 现场工艺试验 </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现场工艺试验的有关约定：</w:t>
      </w:r>
      <w:r>
        <w:rPr>
          <w:rFonts w:hint="eastAsia" w:ascii="宋体" w:hAnsi="宋体" w:eastAsia="宋体" w:cs="宋体"/>
          <w:szCs w:val="21"/>
          <w:highlight w:val="none"/>
          <w:u w:val="single"/>
        </w:rPr>
        <w:t xml:space="preserve"> 执行通用条款。</w:t>
      </w:r>
      <w:bookmarkEnd w:id="427"/>
      <w:r/>
      <w:bookmarkEnd w:id="428"/>
      <w:r/>
      <w:bookmarkEnd w:id="429"/>
      <w:r/>
      <w:bookmarkEnd w:id="430"/>
      <w:r/>
      <w:bookmarkEnd w:id="431"/>
      <w:r/>
      <w:bookmarkEnd w:id="432"/>
      <w:r/>
      <w:bookmarkEnd w:id="433"/>
      <w:r/>
      <w:bookmarkEnd w:id="434"/>
      <w:r/>
      <w:r/>
    </w:p>
    <w:p>
      <w:pPr>
        <w:ind w:left="0" w:firstLine="420"/>
        <w:keepLines/>
        <w:keepNext/>
        <w:pageBreakBefore w:val="0"/>
        <w:spacing w:line="420" w:lineRule="exact"/>
        <w:widowControl w:val="off"/>
        <w:rPr>
          <w:rFonts w:hint="eastAsia" w:ascii="宋体" w:hAnsi="宋体" w:eastAsia="宋体" w:cs="宋体"/>
          <w:szCs w:val="21"/>
          <w:highlight w:val="none"/>
        </w:rPr>
      </w:pPr>
      <w:r/>
      <w:bookmarkStart w:id="435" w:name="_Toc351203642"/>
      <w:r>
        <w:rPr>
          <w:rFonts w:hint="eastAsia" w:ascii="宋体" w:hAnsi="宋体" w:eastAsia="宋体" w:cs="宋体"/>
          <w:szCs w:val="21"/>
          <w:highlight w:val="none"/>
        </w:rPr>
        <w:t xml:space="preserve">1</w:t>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Start w:id="436" w:name="_Toc296891233"/>
      <w:r/>
      <w:bookmarkStart w:id="437" w:name="_Toc297120493"/>
      <w:r/>
      <w:bookmarkStart w:id="438" w:name="_Toc297048379"/>
      <w:r/>
      <w:bookmarkStart w:id="439" w:name="_Toc304295566"/>
      <w:r/>
      <w:bookmarkStart w:id="440" w:name="_Toc292559398"/>
      <w:r/>
      <w:bookmarkStart w:id="441" w:name="_Toc300934989"/>
      <w:r/>
      <w:bookmarkStart w:id="442" w:name="_Toc312678025"/>
      <w:r/>
      <w:bookmarkStart w:id="443" w:name="_Toc296944532"/>
      <w:r/>
      <w:bookmarkStart w:id="444" w:name="_Toc296347192"/>
      <w:r/>
      <w:bookmarkStart w:id="445" w:name="_Toc297216199"/>
      <w:r/>
      <w:bookmarkStart w:id="446" w:name="_Toc296891021"/>
      <w:r/>
      <w:bookmarkStart w:id="447" w:name="_Toc312677499"/>
      <w:r/>
      <w:bookmarkStart w:id="448" w:name="_Toc297123540"/>
      <w:r/>
      <w:bookmarkStart w:id="449" w:name="_Toc296346694"/>
      <w:r/>
      <w:bookmarkStart w:id="450" w:name="_Toc296503193"/>
      <w:r/>
      <w:bookmarkStart w:id="451" w:name="_Toc292559903"/>
      <w:r/>
      <w:bookmarkStart w:id="452" w:name="_Toc303539146"/>
      <w:r/>
      <w:bookmarkStart w:id="453" w:name="_Toc267251440"/>
      <w:r/>
      <w:bookmarkStart w:id="454" w:name="_Toc267251437"/>
      <w:r/>
      <w:bookmarkStart w:id="455" w:name="_Toc267251439"/>
      <w:r/>
      <w:bookmarkStart w:id="456" w:name="_Toc267251435"/>
      <w:r/>
      <w:bookmarkStart w:id="457" w:name="_Toc267251441"/>
      <w:r/>
      <w:bookmarkStart w:id="458" w:name="_Toc267251433"/>
      <w:r/>
      <w:bookmarkStart w:id="459" w:name="_Toc267251442"/>
      <w:r>
        <w:rPr>
          <w:rFonts w:hint="eastAsia" w:ascii="宋体" w:hAnsi="宋体" w:eastAsia="宋体" w:cs="宋体"/>
          <w:szCs w:val="21"/>
          <w:highlight w:val="none"/>
        </w:rPr>
        <w:t xml:space="preserve">0. 变更</w:t>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w:t>
      </w:r>
      <w:bookmarkStart w:id="460" w:name="_Toc292559399"/>
      <w:r/>
      <w:bookmarkStart w:id="461" w:name="_Toc296891022"/>
      <w:r/>
      <w:bookmarkStart w:id="462" w:name="_Toc292559904"/>
      <w:r/>
      <w:bookmarkStart w:id="463" w:name="_Toc303539147"/>
      <w:r/>
      <w:bookmarkStart w:id="464" w:name="_Toc297216200"/>
      <w:r/>
      <w:bookmarkStart w:id="465" w:name="_Toc296347193"/>
      <w:r/>
      <w:bookmarkStart w:id="466" w:name="_Toc312678026"/>
      <w:r/>
      <w:bookmarkStart w:id="467" w:name="_Toc297048380"/>
      <w:r/>
      <w:bookmarkStart w:id="468" w:name="_Toc296944533"/>
      <w:r/>
      <w:bookmarkStart w:id="469" w:name="_Toc297120494"/>
      <w:r/>
      <w:bookmarkStart w:id="470" w:name="_Toc312677500"/>
      <w:r/>
      <w:bookmarkStart w:id="471" w:name="_Toc300934990"/>
      <w:r/>
      <w:bookmarkStart w:id="472" w:name="_Toc296891234"/>
      <w:r/>
      <w:bookmarkStart w:id="473" w:name="_Toc296503194"/>
      <w:r/>
      <w:bookmarkStart w:id="474" w:name="_Toc296346695"/>
      <w:r/>
      <w:bookmarkStart w:id="475" w:name="_Toc304295567"/>
      <w:r/>
      <w:bookmarkStart w:id="476" w:name="_Toc297123541"/>
      <w:r>
        <w:rPr>
          <w:rFonts w:hint="eastAsia" w:ascii="宋体" w:hAnsi="宋体" w:eastAsia="宋体" w:cs="宋体"/>
          <w:szCs w:val="21"/>
          <w:highlight w:val="none"/>
        </w:rPr>
        <w:t xml:space="preserve">0.1变更的范围</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关于变更的范围的约定：</w:t>
      </w:r>
      <w:r>
        <w:rPr>
          <w:rFonts w:hint="eastAsia" w:ascii="宋体" w:hAnsi="宋体" w:eastAsia="宋体" w:cs="宋体"/>
          <w:szCs w:val="21"/>
          <w:highlight w:val="none"/>
          <w:u w:val="single"/>
        </w:rPr>
        <w:t xml:space="preserve">工程变更须经发包人、设计单位及监理人确定后，承包人按书面文件要求实施。承包人必须无条件服从发包人对工程的设计变更，不得以因发包人设计变更减少了工程利润为由要挟发包人追加其它费用。设计变更按发包人书面签证确认为准，否则一律不予确认。</w:t>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10.4 变更估价</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10.4.1 变更估价原则</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承包人必须无条件服从发包人对工程的设计变更，不得以因发包人设计变更减少了工程利润为由要挟发包人追加其它费用。设计变更按发包人书面签证确认为准，否则一律不予确认。</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关于变更估价的约定: </w:t>
      </w:r>
      <w:r>
        <w:rPr>
          <w:rFonts w:hint="eastAsia" w:ascii="宋体" w:hAnsi="宋体" w:eastAsia="宋体" w:cs="宋体"/>
          <w:szCs w:val="21"/>
          <w:highlight w:val="none"/>
          <w:u w:val="single"/>
        </w:rPr>
        <w:t xml:space="preserve"> 1) 工程变更签证的资料要求。属于工程变更（含设计变更和合同外增加工程等）的签证工程，必须同时提供程序完善的变更缘由、工程业务联系单、签证单（须附上竣工图及验收单），如承包人原因造成资料不全，工程结算时不得补充资料，则工程造价增加的视为承包人放弃此项权利，工程造价减少的按实结算扣除 。</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 签证的时限要求。发生设计变更、经济签证事件时, 承包人须在事件发生 28 日内将书面变更资料（变更工程量、变更部分综合单价、拟增加的经济费用缘由、计取方式及依据）书面报送经监理方、发包人签字认可后作为结算依据，过期不予认可，责任由承包人自行承担。因不可抗力或发包人原因导致超期的，承包人可申请延期。</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 由于承包人原因导致的工程变更，承包人无权要求签证赔偿。   </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4) 签证单的签证程序必须严格按照发包人规定执行，否则，视为无效签证单。无效签证单发包人不予承认，责任由承包人自负。</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5) 若发包人有明确的工作指令，承包人不应以工程签证未办理</w:t>
      </w:r>
      <w:r>
        <w:rPr>
          <w:rFonts w:hint="eastAsia" w:ascii="宋体" w:hAnsi="宋体" w:eastAsia="宋体" w:cs="宋体"/>
          <w:szCs w:val="21"/>
          <w:highlight w:val="none"/>
          <w:u w:val="single"/>
        </w:rPr>
        <w:t xml:space="preserve">完成为借口，延误工作进展。承包人必须无条件服从发包人对工程的设计变更，不得以因发包人设计变更减少了工程利润为由要挟发包人追加其它费用。设计变更按发包人书面签证确认为准。合同中已有适用的综合单价，按合同中已有的综合单价确定；合同中有类似的综合单价，参照类似的综合单价确定；合同中没有适用或类似的综合单价，由承包人依据市场行情提出建议价，经发包人确认后，作为结算依据。如合同中没有适用或类似的综合单价，其相应综合单价由承包人依据招标文件约定的计价方式及标准提出，并根据中标的下浮率下浮后，经发包人确认后作为结算依据。</w:t>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w:t>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Start w:id="477" w:name="_Toc296891237"/>
      <w:r/>
      <w:bookmarkStart w:id="478" w:name="_Toc296944536"/>
      <w:r/>
      <w:bookmarkStart w:id="479" w:name="_Toc296503197"/>
      <w:r/>
      <w:bookmarkStart w:id="480" w:name="_Toc297048383"/>
      <w:r/>
      <w:bookmarkStart w:id="481" w:name="_Toc292559907"/>
      <w:r/>
      <w:bookmarkStart w:id="482" w:name="_Toc296347196"/>
      <w:r/>
      <w:bookmarkStart w:id="483" w:name="_Toc297120497"/>
      <w:r/>
      <w:bookmarkStart w:id="484" w:name="_Toc292559402"/>
      <w:r/>
      <w:bookmarkStart w:id="485" w:name="_Toc296891025"/>
      <w:r/>
      <w:bookmarkStart w:id="486" w:name="_Toc300934993"/>
      <w:r/>
      <w:bookmarkStart w:id="487" w:name="_Toc297216203"/>
      <w:r/>
      <w:bookmarkStart w:id="488" w:name="_Toc303539150"/>
      <w:r/>
      <w:bookmarkStart w:id="489" w:name="_Toc296346698"/>
      <w:r/>
      <w:bookmarkStart w:id="490" w:name="_Toc297123544"/>
      <w:r/>
      <w:bookmarkStart w:id="491" w:name="_Toc312677503"/>
      <w:r/>
      <w:bookmarkStart w:id="492" w:name="_Toc304295570"/>
      <w:r/>
      <w:bookmarkStart w:id="493" w:name="_Toc312678029"/>
      <w:r>
        <w:rPr>
          <w:rFonts w:hint="eastAsia" w:ascii="宋体" w:hAnsi="宋体" w:eastAsia="宋体" w:cs="宋体"/>
          <w:szCs w:val="21"/>
          <w:highlight w:val="none"/>
        </w:rPr>
        <w:t xml:space="preserve">0.5承</w:t>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Start w:id="494" w:name="_Toc292559408"/>
      <w:r/>
      <w:bookmarkStart w:id="495" w:name="_Toc296347202"/>
      <w:r/>
      <w:bookmarkStart w:id="496" w:name="_Toc300934994"/>
      <w:r/>
      <w:bookmarkStart w:id="497" w:name="_Toc297216204"/>
      <w:r/>
      <w:bookmarkStart w:id="498" w:name="_Toc296346704"/>
      <w:r/>
      <w:bookmarkStart w:id="499" w:name="_Toc303539151"/>
      <w:r/>
      <w:bookmarkStart w:id="500" w:name="_Toc296891031"/>
      <w:r/>
      <w:bookmarkStart w:id="501" w:name="_Toc296891243"/>
      <w:r/>
      <w:bookmarkStart w:id="502" w:name="_Toc296503203"/>
      <w:r/>
      <w:bookmarkStart w:id="503" w:name="_Toc292559913"/>
      <w:r/>
      <w:bookmarkStart w:id="504" w:name="_Toc297048389"/>
      <w:r/>
      <w:bookmarkStart w:id="505" w:name="_Toc297123545"/>
      <w:r/>
      <w:bookmarkStart w:id="506" w:name="_Toc297120503"/>
      <w:r/>
      <w:bookmarkStart w:id="507" w:name="_Toc296944542"/>
      <w:r>
        <w:rPr>
          <w:rFonts w:hint="eastAsia" w:ascii="宋体" w:hAnsi="宋体" w:eastAsia="宋体" w:cs="宋体"/>
          <w:szCs w:val="21"/>
          <w:highlight w:val="none"/>
        </w:rPr>
        <w:t xml:space="preserve">包人的合理化建议</w:t>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监理人审查承包人合理化建议的期限：</w:t>
      </w:r>
      <w:r>
        <w:rPr>
          <w:rFonts w:hint="eastAsia" w:ascii="宋体" w:hAnsi="宋体" w:eastAsia="宋体" w:cs="宋体"/>
          <w:szCs w:val="21"/>
          <w:highlight w:val="none"/>
          <w:u w:val="single"/>
        </w:rPr>
        <w:t xml:space="preserve">     7 天   </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发包人审批承包人合理化建议的期限：</w:t>
      </w:r>
      <w:r>
        <w:rPr>
          <w:rFonts w:hint="eastAsia" w:ascii="宋体" w:hAnsi="宋体" w:eastAsia="宋体" w:cs="宋体"/>
          <w:szCs w:val="21"/>
          <w:highlight w:val="none"/>
          <w:u w:val="single"/>
        </w:rPr>
        <w:t xml:space="preserve">     7 天   </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承</w:t>
      </w:r>
      <w:bookmarkStart w:id="508" w:name="_Toc300934995"/>
      <w:r/>
      <w:bookmarkStart w:id="509" w:name="_Toc297048390"/>
      <w:r/>
      <w:bookmarkStart w:id="510" w:name="_Toc296891244"/>
      <w:r/>
      <w:bookmarkStart w:id="511" w:name="_Toc296346705"/>
      <w:r/>
      <w:bookmarkStart w:id="512" w:name="_Toc292559914"/>
      <w:r/>
      <w:bookmarkStart w:id="513" w:name="_Toc297123546"/>
      <w:r/>
      <w:bookmarkStart w:id="514" w:name="_Toc312677504"/>
      <w:r/>
      <w:bookmarkStart w:id="515" w:name="_Toc297120504"/>
      <w:r/>
      <w:bookmarkStart w:id="516" w:name="_Toc296503204"/>
      <w:r/>
      <w:bookmarkStart w:id="517" w:name="_Toc292559409"/>
      <w:r/>
      <w:bookmarkStart w:id="518" w:name="_Toc296347203"/>
      <w:r/>
      <w:bookmarkStart w:id="519" w:name="_Toc318581175"/>
      <w:r/>
      <w:bookmarkStart w:id="520" w:name="_Toc303539152"/>
      <w:r/>
      <w:bookmarkStart w:id="521" w:name="_Toc304295571"/>
      <w:r/>
      <w:bookmarkStart w:id="522" w:name="_Toc312678030"/>
      <w:r/>
      <w:bookmarkStart w:id="523" w:name="_Toc297216205"/>
      <w:r/>
      <w:bookmarkStart w:id="524" w:name="_Toc296944543"/>
      <w:r/>
      <w:bookmarkStart w:id="525" w:name="_Toc296891032"/>
      <w:r>
        <w:rPr>
          <w:rFonts w:hint="eastAsia" w:ascii="宋体" w:hAnsi="宋体" w:eastAsia="宋体" w:cs="宋体"/>
          <w:szCs w:val="21"/>
          <w:highlight w:val="none"/>
        </w:rPr>
        <w:t xml:space="preserve">包人提出的合理化建议降低了合同价格或者提高了工程经济效益的奖励的方法和金额为：</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w:t>
      </w:r>
      <w:bookmarkStart w:id="526" w:name="_Toc300934997"/>
      <w:r/>
      <w:bookmarkStart w:id="527" w:name="_Toc303539154"/>
      <w:r/>
      <w:bookmarkStart w:id="528" w:name="_Toc296346700"/>
      <w:r/>
      <w:bookmarkStart w:id="529" w:name="_Toc312678033"/>
      <w:r/>
      <w:bookmarkStart w:id="530" w:name="_Toc296891239"/>
      <w:r/>
      <w:bookmarkStart w:id="531" w:name="_Toc296944538"/>
      <w:r/>
      <w:bookmarkStart w:id="532" w:name="_Toc297123548"/>
      <w:r/>
      <w:bookmarkStart w:id="533" w:name="_Toc297120499"/>
      <w:r/>
      <w:bookmarkStart w:id="534" w:name="_Toc292559909"/>
      <w:r/>
      <w:bookmarkStart w:id="535" w:name="_Toc292559404"/>
      <w:r/>
      <w:bookmarkStart w:id="536" w:name="_Toc304295574"/>
      <w:r/>
      <w:bookmarkStart w:id="537" w:name="_Toc312677507"/>
      <w:r/>
      <w:bookmarkStart w:id="538" w:name="_Toc296347198"/>
      <w:r/>
      <w:bookmarkStart w:id="539" w:name="_Toc296503199"/>
      <w:r/>
      <w:bookmarkStart w:id="540" w:name="_Toc297048385"/>
      <w:r/>
      <w:bookmarkStart w:id="541" w:name="_Toc297216207"/>
      <w:r/>
      <w:bookmarkStart w:id="542" w:name="_Toc296891027"/>
      <w:r>
        <w:rPr>
          <w:rFonts w:hint="eastAsia" w:ascii="宋体" w:hAnsi="宋体" w:eastAsia="宋体" w:cs="宋体"/>
          <w:szCs w:val="21"/>
          <w:highlight w:val="none"/>
        </w:rPr>
        <w:t xml:space="preserve">0.7 暂估价</w:t>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暂</w:t>
      </w:r>
      <w:bookmarkStart w:id="543" w:name="_Toc312677508"/>
      <w:r/>
      <w:bookmarkStart w:id="544" w:name="_Toc312678034"/>
      <w:r/>
      <w:bookmarkStart w:id="545" w:name="_Toc318581176"/>
      <w:r>
        <w:rPr>
          <w:rFonts w:hint="eastAsia" w:ascii="宋体" w:hAnsi="宋体" w:eastAsia="宋体" w:cs="宋体"/>
          <w:szCs w:val="21"/>
          <w:highlight w:val="none"/>
        </w:rPr>
        <w:t xml:space="preserve">估价材料和工程设备的明细详见附件11：《暂估价一览表》。</w:t>
      </w:r>
      <w:bookmarkEnd w:id="543"/>
      <w:r/>
      <w:bookmarkEnd w:id="544"/>
      <w:r/>
      <w:bookmarkEnd w:id="545"/>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w:t>
      </w:r>
      <w:bookmarkStart w:id="546" w:name="_Toc318581177"/>
      <w:r/>
      <w:bookmarkStart w:id="547" w:name="_Toc312678035"/>
      <w:r/>
      <w:bookmarkStart w:id="548" w:name="_Toc312677509"/>
      <w:r>
        <w:rPr>
          <w:rFonts w:hint="eastAsia" w:ascii="宋体" w:hAnsi="宋体" w:eastAsia="宋体" w:cs="宋体"/>
          <w:szCs w:val="21"/>
          <w:highlight w:val="none"/>
        </w:rPr>
        <w:t xml:space="preserve">0.7.1 依法必须招标的暂估价项目</w:t>
      </w:r>
      <w:bookmarkEnd w:id="546"/>
      <w:r/>
      <w:bookmarkEnd w:id="547"/>
      <w:r/>
      <w:bookmarkEnd w:id="548"/>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对于依法必须招标的暂估价项目的确认和批准采取第</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种方式确定。</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10.7.2 不属于依法必须招标的暂估价项目</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对于不属于依法必须招标的暂估价项目的确认和批准采取第</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种方式确定。</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第3种方式：承包人直接实施的暂估价项目</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承包人直接实施的暂估价项目的约定：</w:t>
      </w:r>
      <w:r>
        <w:rPr>
          <w:rFonts w:hint="eastAsia" w:ascii="宋体" w:hAnsi="宋体" w:eastAsia="宋体" w:cs="宋体"/>
          <w:szCs w:val="21"/>
          <w:highlight w:val="none"/>
          <w:u w:val="single"/>
        </w:rPr>
        <w:t xml:space="preserve">与本工程合同条件一致</w:t>
      </w:r>
      <w:r>
        <w:rPr>
          <w:rFonts w:hint="eastAsia" w:ascii="宋体" w:hAnsi="宋体" w:eastAsia="宋体" w:cs="宋体"/>
          <w:szCs w:val="21"/>
          <w:highlight w:val="none"/>
        </w:rPr>
        <w:t xml:space="preserve">。</w:t>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10.8 暂列金额</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合同当事人关于暂列金额使用的约定：</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left="0" w:firstLine="420"/>
        <w:keepLines/>
        <w:keepNext/>
        <w:pageBreakBefore w:val="0"/>
        <w:spacing w:line="420" w:lineRule="exact"/>
        <w:widowControl w:val="off"/>
        <w:rPr>
          <w:rFonts w:hint="eastAsia" w:ascii="宋体" w:hAnsi="宋体" w:eastAsia="宋体" w:cs="宋体"/>
          <w:szCs w:val="21"/>
          <w:highlight w:val="none"/>
        </w:rPr>
      </w:pPr>
      <w:r/>
      <w:bookmarkStart w:id="549" w:name="_Toc351203643"/>
      <w:r>
        <w:rPr>
          <w:rFonts w:hint="eastAsia" w:ascii="宋体" w:hAnsi="宋体" w:eastAsia="宋体" w:cs="宋体"/>
          <w:szCs w:val="21"/>
          <w:highlight w:val="none"/>
        </w:rPr>
        <w:t xml:space="preserve">11. 价格调整</w:t>
      </w:r>
      <w:bookmarkEnd w:id="549"/>
      <w:r/>
      <w:r/>
    </w:p>
    <w:p>
      <w:pPr>
        <w:ind w:left="0" w:firstLine="420"/>
        <w:keepLines/>
        <w:keepNext/>
        <w:pageBreakBefore w:val="0"/>
        <w:spacing w:line="420" w:lineRule="exact"/>
        <w:widowControl w:val="off"/>
        <w:rPr>
          <w:rFonts w:hint="eastAsia" w:ascii="宋体" w:hAnsi="宋体" w:eastAsia="宋体" w:cs="宋体"/>
          <w:szCs w:val="21"/>
          <w:highlight w:val="none"/>
        </w:rPr>
      </w:pPr>
      <w:r/>
      <w:bookmarkStart w:id="550" w:name="_Toc296346702"/>
      <w:r/>
      <w:bookmarkStart w:id="551" w:name="_Toc312678039"/>
      <w:r/>
      <w:bookmarkStart w:id="552" w:name="_Toc296347200"/>
      <w:r/>
      <w:bookmarkStart w:id="553" w:name="_Toc296891029"/>
      <w:r/>
      <w:bookmarkStart w:id="554" w:name="_Toc303539157"/>
      <w:r/>
      <w:bookmarkStart w:id="555" w:name="_Toc300935000"/>
      <w:r/>
      <w:bookmarkStart w:id="556" w:name="_Toc297048387"/>
      <w:r/>
      <w:bookmarkStart w:id="557" w:name="_Toc292559406"/>
      <w:r/>
      <w:bookmarkStart w:id="558" w:name="_Toc292559911"/>
      <w:r/>
      <w:bookmarkStart w:id="559" w:name="_Toc304295577"/>
      <w:r/>
      <w:bookmarkStart w:id="560" w:name="_Toc297216209"/>
      <w:r/>
      <w:bookmarkStart w:id="561" w:name="_Toc296891241"/>
      <w:r/>
      <w:bookmarkStart w:id="562" w:name="_Toc296503201"/>
      <w:r/>
      <w:bookmarkStart w:id="563" w:name="_Toc297120501"/>
      <w:r/>
      <w:bookmarkStart w:id="564" w:name="_Toc296944540"/>
      <w:r/>
      <w:bookmarkStart w:id="565" w:name="_Toc297123550"/>
      <w:r>
        <w:rPr>
          <w:rFonts w:hint="eastAsia" w:ascii="宋体" w:hAnsi="宋体" w:eastAsia="宋体" w:cs="宋体"/>
          <w:szCs w:val="21"/>
          <w:highlight w:val="none"/>
        </w:rPr>
        <w:t xml:space="preserve">11.1 市场价格波动引起的调整</w:t>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市场价格波动是否调整合同价格的约定：</w:t>
      </w:r>
      <w:r>
        <w:rPr>
          <w:rFonts w:hint="eastAsia" w:ascii="宋体" w:hAnsi="宋体" w:eastAsia="宋体" w:cs="宋体"/>
          <w:szCs w:val="21"/>
          <w:highlight w:val="none"/>
          <w:u w:val="single"/>
        </w:rPr>
        <w:t xml:space="preserve">否</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因市场价格波动调整合同价格，采用以下第</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种方式对合同价格进行调整：</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第1种方式：采用价格指数进行价格调整。</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关于各可调因子、定值和变值权重，以及基本价格指数及其来源的约定：</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  </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第2种方式：采用造价信息进行价格调整。</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（2）关于基准价格的约定：</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%时，或材料单价跌幅以已标价工程量清单或预算书中载明材料单价为基础超过</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%时，其超过部分据实调整。</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%时，材料单价涨幅以已标价工程量清单或预算书中载明材料单价为基础超过</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%时，其超过部分据实调整。</w:t>
      </w:r>
      <w:r/>
    </w:p>
    <w:p>
      <w:pPr>
        <w:ind w:left="0" w:firstLine="645"/>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%时，其超过部分据实调整。</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第3种方式：其他价格调整方式：</w:t>
      </w:r>
      <w:r>
        <w:rPr>
          <w:rFonts w:hint="eastAsia" w:ascii="宋体" w:hAnsi="宋体" w:eastAsia="宋体" w:cs="宋体"/>
          <w:szCs w:val="21"/>
          <w:highlight w:val="none"/>
          <w:u w:val="single"/>
        </w:rPr>
        <w:t xml:space="preserve">/</w:t>
      </w:r>
      <w:bookmarkEnd w:id="453"/>
      <w:r/>
      <w:bookmarkEnd w:id="454"/>
      <w:r/>
      <w:bookmarkEnd w:id="455"/>
      <w:r/>
      <w:bookmarkEnd w:id="456"/>
      <w:r/>
      <w:bookmarkEnd w:id="457"/>
      <w:r/>
      <w:bookmarkEnd w:id="458"/>
      <w:r/>
      <w:r/>
    </w:p>
    <w:p>
      <w:pPr>
        <w:ind w:left="0" w:firstLine="420"/>
        <w:pageBreakBefore w:val="0"/>
        <w:spacing w:line="420" w:lineRule="exact"/>
        <w:widowControl w:val="off"/>
        <w:tabs>
          <w:tab w:val="left" w:pos="790" w:leader="none"/>
        </w:tabs>
        <w:rPr>
          <w:rFonts w:hint="eastAsia" w:ascii="宋体" w:hAnsi="宋体" w:eastAsia="宋体" w:cs="宋体"/>
          <w:szCs w:val="21"/>
          <w:highlight w:val="none"/>
          <w:u w:val="single"/>
        </w:rPr>
      </w:pPr>
      <w:r>
        <w:rPr>
          <w:rFonts w:hint="eastAsia" w:ascii="宋体" w:hAnsi="宋体" w:eastAsia="宋体" w:cs="宋体"/>
          <w:szCs w:val="21"/>
          <w:highlight w:val="none"/>
        </w:rPr>
        <w:t xml:space="preserve">12. 合同价格、计量与支付</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12.1 合同价格形式：固定单价合同。</w:t>
      </w:r>
      <w:r/>
    </w:p>
    <w:p>
      <w:pPr>
        <w:ind w:left="0" w:firstLine="315"/>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综合单价包含的风险范围：</w:t>
      </w:r>
      <w:r>
        <w:rPr>
          <w:rFonts w:hint="eastAsia" w:ascii="宋体" w:hAnsi="宋体" w:eastAsia="宋体" w:cs="宋体"/>
          <w:szCs w:val="21"/>
          <w:highlight w:val="none"/>
          <w:u w:val="single"/>
        </w:rPr>
        <w:t xml:space="preserve">无论招标时工程量清单中项目特征描述是否准确，发包人要求承包人的投标报价应为完成施工图纸（如有）的全部内容，若无相关设计变更，除本招标文件及施工合同约定允许调整外中标的综合单价不予调整，工程量按实际完成并经发包人确认的合格工程量结算。</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风险费用的计算方法：</w:t>
      </w:r>
      <w:r>
        <w:rPr>
          <w:rFonts w:hint="eastAsia" w:ascii="宋体" w:hAnsi="宋体" w:eastAsia="宋体" w:cs="宋体"/>
          <w:szCs w:val="21"/>
          <w:highlight w:val="none"/>
          <w:u w:val="single"/>
        </w:rPr>
        <w:t xml:space="preserve">按招标文件约定</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风险范围以外合同价格的调整方法： </w:t>
      </w:r>
      <w:r/>
    </w:p>
    <w:p>
      <w:pPr>
        <w:ind w:left="0" w:firstLine="420"/>
        <w:jc w:val="left"/>
        <w:pageBreakBefore w:val="0"/>
        <w:spacing w:line="420" w:lineRule="exact"/>
        <w:widowControl w:val="off"/>
        <w:tabs>
          <w:tab w:val="left" w:pos="734" w:leader="none"/>
        </w:tabs>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12.1.1本工程采用“固定单价”合同，合同实施过程中除招标文件和合同约定允许调整外，其余的综合单价不作调整。</w:t>
      </w:r>
      <w:r/>
    </w:p>
    <w:p>
      <w:pPr>
        <w:ind w:left="0" w:firstLine="420"/>
        <w:jc w:val="left"/>
        <w:pageBreakBefore w:val="0"/>
        <w:spacing w:line="420" w:lineRule="exact"/>
        <w:widowControl w:val="off"/>
        <w:tabs>
          <w:tab w:val="left" w:pos="734" w:leader="none"/>
        </w:tabs>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12.1.2工程结算方式为： </w:t>
      </w:r>
      <w:r/>
    </w:p>
    <w:p>
      <w:pPr>
        <w:ind w:left="0" w:firstLine="420"/>
        <w:jc w:val="left"/>
        <w:pageBreakBefore w:val="0"/>
        <w:spacing w:line="420" w:lineRule="exact"/>
        <w:widowControl w:val="off"/>
        <w:tabs>
          <w:tab w:val="left" w:pos="734" w:leader="none"/>
        </w:tabs>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本招标项目工程竣工结算价=分部分项工程费用（实际数量*中标综合单价）+措施项目费用+其他项目费用+规费+税金+招标文件和合同约定可以调整的价格。</w:t>
      </w:r>
      <w:r/>
    </w:p>
    <w:p>
      <w:pPr>
        <w:ind w:left="0" w:firstLine="420"/>
        <w:jc w:val="left"/>
        <w:pageBreakBefore w:val="0"/>
        <w:spacing w:line="420" w:lineRule="exact"/>
        <w:widowControl w:val="off"/>
        <w:tabs>
          <w:tab w:val="left" w:pos="734" w:leader="none"/>
        </w:tabs>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1、因招标工程量清单缺项</w:t>
      </w:r>
      <w:r>
        <w:rPr>
          <w:rFonts w:hint="eastAsia" w:ascii="宋体" w:hAnsi="宋体" w:eastAsia="宋体" w:cs="宋体"/>
          <w:szCs w:val="21"/>
          <w:highlight w:val="none"/>
          <w:u w:val="single"/>
        </w:rPr>
        <w:t xml:space="preserve">、设计图纸（含设计变更）与招标工程量清单项目的特征描述不符、工程变更，造成增加新的工程量清单项目 ，风险范围以外合同价格的调整方法：（1）已标价工程量清单中有适用于变更工程项目的，采用该项目的单价；（2）已标价工程量清单中没有适用但有类似于变更工程项目的，在合理范围内参照类似项目的单价；（3）已标价工程量清单中没有适用也没有类似于变更工程项目的，由承包人按招标文件预算价约定的计价依据、程序（不计风险费）和取费标准提出变更工程项目的单价，经发包人确认后作为结算依据(该项目单价的下浮率按照中标时的下浮率执行)。</w:t>
      </w:r>
      <w:r/>
    </w:p>
    <w:p>
      <w:pPr>
        <w:ind w:left="2520" w:hanging="2520"/>
        <w:jc w:val="left"/>
        <w:pageBreakBefore w:val="0"/>
        <w:spacing w:line="420" w:lineRule="exact"/>
        <w:widowControl w:val="off"/>
        <w:tabs>
          <w:tab w:val="left" w:pos="734"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             中标价（扣除预算审核价中暂列金额、专业工程暂估价、暂估材料总价及上述三项的规费和税金） </w:t>
      </w:r>
      <w:r/>
    </w:p>
    <w:p>
      <w:pPr>
        <w:numPr>
          <w:ilvl w:val="0"/>
          <w:numId w:val="1"/>
        </w:numPr>
        <w:ind w:left="0" w:firstLine="420"/>
        <w:jc w:val="left"/>
        <w:pageBreakBefore w:val="0"/>
        <w:spacing w:line="420" w:lineRule="exact"/>
        <w:widowControl w:val="off"/>
        <w:tabs>
          <w:tab w:val="left" w:pos="734"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中标下浮率 ＝</w:t>
      </w:r>
      <w:r>
        <w:rPr>
          <w:rFonts w:hint="eastAsia" w:ascii="宋体" w:hAnsi="宋体" w:eastAsia="宋体" w:cs="宋体"/>
          <w:sz w:val="24"/>
          <w:highlight w:val="none"/>
        </w:rPr>
        <w:t xml:space="preserve">1－  </w:t>
      </w:r>
      <w:r>
        <w:rPr>
          <w:rFonts w:hint="eastAsia" w:ascii="宋体" w:hAnsi="宋体" w:eastAsia="宋体" w:cs="宋体"/>
          <w:szCs w:val="21"/>
          <w:highlight w:val="none"/>
        </w:rPr>
        <w:t xml:space="preserve">----------------------------------------------×100% </w:t>
      </w:r>
      <w:r/>
    </w:p>
    <w:p>
      <w:pPr>
        <w:ind w:left="0" w:firstLine="1890"/>
        <w:jc w:val="left"/>
        <w:pageBreakBefore w:val="0"/>
        <w:spacing w:line="420" w:lineRule="exact"/>
        <w:widowControl w:val="off"/>
        <w:tabs>
          <w:tab w:val="left" w:pos="734"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预算审核价（扣除预算审核价中暂列金额、专业工程暂估价、暂估材料 </w:t>
      </w:r>
      <w:r/>
    </w:p>
    <w:p>
      <w:pPr>
        <w:ind w:left="0" w:firstLine="3150"/>
        <w:jc w:val="left"/>
        <w:pageBreakBefore w:val="0"/>
        <w:spacing w:line="420" w:lineRule="exact"/>
        <w:widowControl w:val="off"/>
        <w:tabs>
          <w:tab w:val="left" w:pos="734"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总价及上述三项的规费和税金</w:t>
      </w:r>
      <w:r/>
    </w:p>
    <w:p>
      <w:pPr>
        <w:ind w:left="0" w:firstLine="420"/>
        <w:jc w:val="left"/>
        <w:pageBreakBefore w:val="0"/>
        <w:spacing w:line="420" w:lineRule="exact"/>
        <w:widowControl w:val="off"/>
        <w:tabs>
          <w:tab w:val="left" w:pos="734"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3、措施项目费</w:t>
      </w:r>
      <w:r/>
    </w:p>
    <w:p>
      <w:pPr>
        <w:ind w:left="0" w:firstLine="420"/>
        <w:jc w:val="left"/>
        <w:pageBreakBefore w:val="0"/>
        <w:spacing w:line="420" w:lineRule="exact"/>
        <w:widowControl w:val="off"/>
        <w:tabs>
          <w:tab w:val="left" w:pos="734" w:leader="none"/>
        </w:tabs>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3.1现场安全文明施工措施费调整方式：工程竣工后，由市、县（市）工程造价管理机构根据施工合同、省市级建筑安全文明施工标准化示范项目创建和通报情况等办理核定手续，出具《现场安全文明施工措施费费率核定表》，竣工结算时上述费用根据核定结果调整。未经核定，不予计算。</w:t>
      </w:r>
      <w:r/>
    </w:p>
    <w:p>
      <w:pPr>
        <w:ind w:left="0" w:firstLine="420"/>
        <w:jc w:val="left"/>
        <w:pageBreakBefore w:val="0"/>
        <w:spacing w:line="420" w:lineRule="exact"/>
        <w:widowControl w:val="off"/>
        <w:tabs>
          <w:tab w:val="left" w:pos="734" w:leader="none"/>
        </w:tabs>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3.2单价措施项目：执行投标时的综合单价。</w:t>
      </w:r>
      <w:r/>
    </w:p>
    <w:p>
      <w:pPr>
        <w:ind w:left="0" w:firstLine="420"/>
        <w:jc w:val="left"/>
        <w:pageBreakBefore w:val="0"/>
        <w:spacing w:line="420" w:lineRule="exact"/>
        <w:widowControl w:val="off"/>
        <w:tabs>
          <w:tab w:val="left" w:pos="734" w:leader="none"/>
        </w:tabs>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3.3总价措施项目：采用费率报价的按原组价方式执行投标时的费率。未按费率报价的，按《计价定额》规定组价的措施项目按原组价方法调整，未按《计价定额》规定组价的措施项目按投标时价格折算成费率调整。</w:t>
      </w:r>
      <w:r/>
    </w:p>
    <w:p>
      <w:pPr>
        <w:ind w:left="0" w:firstLine="420"/>
        <w:jc w:val="left"/>
        <w:pageBreakBefore w:val="0"/>
        <w:spacing w:line="420" w:lineRule="exact"/>
        <w:widowControl w:val="off"/>
        <w:tabs>
          <w:tab w:val="left" w:pos="734" w:leader="none"/>
        </w:tabs>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3.4因分部分项工程量清单缺项或非承包人原因的工程变更，引起施工方案改变并使措施项目发生变化时，拟实施的方案经发承包双方确认后执行，并按照下列规定调整措施项目费：</w:t>
      </w:r>
      <w:r/>
    </w:p>
    <w:p>
      <w:pPr>
        <w:ind w:left="0" w:firstLine="420"/>
        <w:jc w:val="left"/>
        <w:pageBreakBefore w:val="0"/>
        <w:spacing w:line="420" w:lineRule="exact"/>
        <w:widowControl w:val="off"/>
        <w:tabs>
          <w:tab w:val="left" w:pos="734" w:leader="none"/>
        </w:tabs>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3.4.1安全文明施工措施费按照实际发生的措施项目调整。</w:t>
      </w:r>
      <w:r/>
    </w:p>
    <w:p>
      <w:pPr>
        <w:ind w:left="0" w:firstLine="420"/>
        <w:jc w:val="left"/>
        <w:pageBreakBefore w:val="0"/>
        <w:spacing w:line="420" w:lineRule="exact"/>
        <w:widowControl w:val="off"/>
        <w:tabs>
          <w:tab w:val="left" w:pos="734" w:leader="none"/>
        </w:tabs>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3.4.2单价措施项目变更原则同分部分项工程。</w:t>
      </w:r>
      <w:r/>
    </w:p>
    <w:p>
      <w:pPr>
        <w:ind w:left="0" w:firstLine="420"/>
        <w:jc w:val="left"/>
        <w:pageBreakBefore w:val="0"/>
        <w:spacing w:line="420" w:lineRule="exact"/>
        <w:widowControl w:val="off"/>
        <w:tabs>
          <w:tab w:val="left" w:pos="734" w:leader="none"/>
        </w:tabs>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3.4.3总价措施项目费中以费率报价的，执行投标时的费率。总价项目中未按费率报价的，按《计价定额》规定组价的措施项目按原组价方法调整，未按《计价定额》规定组价的措施项目按投标时价格折算成费率调整；原措施费中没有的措施项目，由承包人按招标文件最高投标限价约定的计价依据、程序（不计风险费）提出变更工程项目的单价，经发包人确认后作为结算依据(该项目单价的下浮率按照中标时的下浮率执行)。</w:t>
      </w:r>
      <w:r/>
    </w:p>
    <w:p>
      <w:pPr>
        <w:ind w:left="0" w:firstLine="420"/>
        <w:jc w:val="left"/>
        <w:pageBreakBefore w:val="0"/>
        <w:spacing w:line="420" w:lineRule="exact"/>
        <w:widowControl w:val="off"/>
        <w:tabs>
          <w:tab w:val="left" w:pos="734" w:leader="none"/>
        </w:tabs>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4、以投标截止日前28天为基准日，其后国家的法律、法规、规章和政策发生变化导致工程税金、规费、人工发生变化，并由省级或行业建设行政主管部门或其授权的工程造价管理机构根据上述变化发布了政策性调整，影响工程造价的，相应调整工程价款。</w:t>
      </w:r>
      <w:r/>
    </w:p>
    <w:p>
      <w:pPr>
        <w:ind w:left="0" w:firstLine="420"/>
        <w:jc w:val="left"/>
        <w:pageBreakBefore w:val="0"/>
        <w:spacing w:line="420" w:lineRule="exact"/>
        <w:widowControl w:val="off"/>
        <w:tabs>
          <w:tab w:val="left" w:pos="734" w:leader="none"/>
        </w:tabs>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5、招标时暂定（暂估）价格在结算时按实调整。① 计日工按发包人实际签证确认的事项计算；② 暂估价中的材料单价按发、承包双方最终确认价在综合单价中调整；③ 专业工程暂估价按专业工程招标中标价或发包人、承包人与分包人最终确认价计算；本工程承包人与其他专业工程之间的协调、配合由本工程承包人自行协调处理，若发生费用由本工程承包人承担，发包人不支付此项费用。暂列金额减去工程价款调整与索赔、现场签证金额计算，如有余额归发包人。</w:t>
      </w:r>
      <w:r/>
    </w:p>
    <w:p>
      <w:pPr>
        <w:ind w:left="0" w:firstLine="420"/>
        <w:jc w:val="left"/>
        <w:pageBreakBefore w:val="0"/>
        <w:spacing w:line="420" w:lineRule="exact"/>
        <w:widowControl w:val="off"/>
        <w:tabs>
          <w:tab w:val="left" w:pos="734" w:leader="none"/>
        </w:tabs>
        <w:rPr>
          <w:rFonts w:hint="eastAsia" w:ascii="宋体" w:hAnsi="宋体" w:eastAsia="宋体" w:cs="宋体"/>
          <w:szCs w:val="21"/>
          <w:highlight w:val="none"/>
          <w:u w:val="single"/>
        </w:rPr>
      </w:pPr>
      <w:r/>
      <w:bookmarkStart w:id="566" w:name="page84"/>
      <w:r/>
      <w:bookmarkEnd w:id="566"/>
      <w:r>
        <w:rPr>
          <w:rFonts w:hint="eastAsia" w:ascii="宋体" w:hAnsi="宋体" w:eastAsia="宋体" w:cs="宋体"/>
          <w:szCs w:val="21"/>
          <w:highlight w:val="none"/>
          <w:u w:val="single"/>
        </w:rPr>
        <w:t xml:space="preserve">6、竣工结算时若承包人完成了发包人所要求的且为合同以外的零星工作或发生非承包人责任事件的工程量按现场实际完成的工程量经发包人签证确定。</w:t>
      </w:r>
      <w:r/>
    </w:p>
    <w:p>
      <w:pPr>
        <w:ind w:left="0" w:firstLine="420"/>
        <w:jc w:val="left"/>
        <w:pageBreakBefore w:val="0"/>
        <w:spacing w:line="420" w:lineRule="exact"/>
        <w:widowControl w:val="off"/>
        <w:tabs>
          <w:tab w:val="left" w:pos="734" w:leader="none"/>
        </w:tabs>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7、双方约定合同价款不予调整的情形，包括但不仅限于下列情形：① 发包人提供的图纸如果存</w:t>
      </w:r>
      <w:r>
        <w:rPr>
          <w:rFonts w:hint="eastAsia" w:ascii="宋体" w:hAnsi="宋体" w:eastAsia="宋体" w:cs="宋体"/>
          <w:szCs w:val="21"/>
          <w:highlight w:val="none"/>
          <w:u w:val="single"/>
        </w:rPr>
        <w:t xml:space="preserve">在明显错误或疏忽，承包人作为合格的承包商应当发现并及时通知监理人。如果承包人不能发现或发现后不及时通知监理人，由此引起的停工索赔与返工经济签证发包人不予认可，结算价款不予调整；② 承包人原因造成工期延误，延误期间发生的材料价格上涨差额由承包人承担，不予调整；③ 因承包人自身原因导致的工程变更、返工，造成工程价款增加的，不予调整；④ 签证内容不全、与事实不符或不技术标准规范要求、施工常规、正常施工方法及已在招标文件要求计入投标报价范围的不予调整；⑤不符合工程结算相关的法律、法规、规范性文件规定的价款不予调整。</w:t>
      </w:r>
      <w:r/>
    </w:p>
    <w:p>
      <w:pPr>
        <w:ind w:left="0" w:firstLine="420"/>
        <w:jc w:val="left"/>
        <w:pageBreakBefore w:val="0"/>
        <w:spacing w:line="420" w:lineRule="exact"/>
        <w:widowControl w:val="off"/>
        <w:tabs>
          <w:tab w:val="left" w:pos="734" w:leader="none"/>
        </w:tabs>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8、所有的设计变更均须发包人、设计单位和监理单位三方签字后方可生效；变更的工程量签证均须发包人、承包人、造价咨询单位和监理单位四方签字后方可生效，未经书面确认的工程量发包人有权不予结算。</w:t>
      </w:r>
      <w:r/>
    </w:p>
    <w:p>
      <w:pPr>
        <w:ind w:left="0" w:firstLine="420"/>
        <w:jc w:val="left"/>
        <w:pageBreakBefore w:val="0"/>
        <w:spacing w:line="420" w:lineRule="exact"/>
        <w:widowControl w:val="off"/>
        <w:tabs>
          <w:tab w:val="left" w:pos="734" w:leader="none"/>
        </w:tabs>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9、发生设计变更、经济签证事件时,承包人须在事件发生7日内将变更工程量、变更部分综合单价、拟增加的经济费用说明原由、计取方式及依据书面报送经造价咨询单位及项目管理或监理方签字认可后、并经发包人书面确认后作为结算依据，过期不予认可，责任由承包人自行承担。</w:t>
      </w:r>
      <w:r/>
    </w:p>
    <w:p>
      <w:pPr>
        <w:ind w:left="0" w:firstLine="420"/>
        <w:jc w:val="left"/>
        <w:pageBreakBefore w:val="0"/>
        <w:spacing w:line="420" w:lineRule="exact"/>
        <w:widowControl w:val="off"/>
        <w:tabs>
          <w:tab w:val="left" w:pos="734" w:leader="none"/>
        </w:tabs>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10、由于承包人管理不善，在施工中污染周围环境、施工噪音干扰他人等所引起的政府职能部门罚</w:t>
      </w:r>
      <w:bookmarkStart w:id="567" w:name="page85"/>
      <w:r/>
      <w:bookmarkEnd w:id="567"/>
      <w:r>
        <w:rPr>
          <w:rFonts w:hint="eastAsia" w:ascii="宋体" w:hAnsi="宋体" w:eastAsia="宋体" w:cs="宋体"/>
          <w:szCs w:val="21"/>
          <w:highlight w:val="none"/>
          <w:u w:val="single"/>
        </w:rPr>
        <w:t xml:space="preserve">款或停工整改或引起周围居民纠纷和索赔时，其所有发生的费用与损失由承包人，自行承担。</w:t>
      </w:r>
      <w:r/>
    </w:p>
    <w:p>
      <w:pPr>
        <w:ind w:left="0" w:firstLine="420"/>
        <w:jc w:val="left"/>
        <w:pageBreakBefore w:val="0"/>
        <w:spacing w:line="420" w:lineRule="exact"/>
        <w:widowControl w:val="off"/>
        <w:tabs>
          <w:tab w:val="left" w:pos="734" w:leader="none"/>
        </w:tabs>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11、本项目发包人要求承包人严格按照盐建建筑〔2016〕35号《关于进一步做好建筑施工拖欠农民工工资治理工作的通知》文件要求执行。承包人进场前必须在发包人指定的银行开设农民工工资支付专用账户，用于支付农民工工资。在项目基础、主体、装修三个分部工程开工前，发包人应将相应比例的人工工资划拨到承包人本项目的农民工工资支付专用账户, 发包人不按进度支付民工工资的，承包人应主动联系发包人询问情况。发包人要求承包人实行农民工实名制用工管理，在施工现场要设置脸谱和指纹考勤仪，承包人应在工程项目部配置专</w:t>
      </w:r>
      <w:r>
        <w:rPr>
          <w:rFonts w:hint="eastAsia" w:ascii="宋体" w:hAnsi="宋体" w:eastAsia="宋体" w:cs="宋体"/>
          <w:szCs w:val="21"/>
          <w:highlight w:val="none"/>
          <w:u w:val="single"/>
        </w:rPr>
        <w:t xml:space="preserve">职劳务员，对进场农民工实施考勤，同时建立农民工进出场登记和劳动考勤计量等台账，并为农民工申办个人工资帐户和银行卡，按月编制工资支付书面记录，逐月向农民工提供工资清单，由农民工签字查收并保存两年以上备查。在工程基础、主体、装修三个部分工程或专业工程自验合格后，及时向发包人报送民工工资支付申请表并附民工工资清单，开户银行凭施工和发包人共同盖章确认的民工工资支付申请表及民工工资清单，将民工工资直接转入民工的个人工资帐户。若承包人不能执行关于农民工工资的相关文件规定，发包人有权向主管部门申请与其单方面解除施工合同。</w:t>
      </w:r>
      <w:r/>
    </w:p>
    <w:p>
      <w:pPr>
        <w:ind w:left="0" w:firstLine="420"/>
        <w:jc w:val="left"/>
        <w:pageBreakBefore w:val="0"/>
        <w:spacing w:line="420" w:lineRule="exact"/>
        <w:widowControl w:val="off"/>
        <w:tabs>
          <w:tab w:val="left" w:pos="734" w:leader="none"/>
        </w:tabs>
        <w:rPr>
          <w:rFonts w:hint="eastAsia" w:ascii="宋体" w:hAnsi="宋体" w:eastAsia="宋体" w:cs="宋体"/>
          <w:szCs w:val="21"/>
          <w:highlight w:val="none"/>
        </w:rPr>
      </w:pPr>
      <w:r>
        <w:rPr>
          <w:rFonts w:hint="eastAsia" w:ascii="宋体" w:hAnsi="宋体" w:eastAsia="宋体" w:cs="宋体"/>
          <w:szCs w:val="21"/>
          <w:highlight w:val="none"/>
          <w:u w:val="single"/>
        </w:rPr>
        <w:t xml:space="preserve">12、其他：以上关于合同定价与结算方式主要条款中未尽事宜由甲乙双方依据《建设工程工程量清单计价规范》（GB50500－2013）、建设部标准定额研究所关于其有关问题解释答疑及苏建定（2004）290号文中 关于合同与结算的条款等进行协商，并另行约定。</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2、总价合同。</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总价包含的风险范围：</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风险费用的计算方法：</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风险范围以外合同价格的调整方法：</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3、其他价格方式：</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left="0" w:firstLine="420"/>
        <w:keepLines/>
        <w:keepNext/>
        <w:pageBreakBefore w:val="0"/>
        <w:spacing w:line="420" w:lineRule="exact"/>
        <w:widowControl w:val="off"/>
        <w:rPr>
          <w:rFonts w:hint="eastAsia" w:ascii="宋体" w:hAnsi="宋体" w:eastAsia="宋体" w:cs="宋体"/>
          <w:szCs w:val="21"/>
          <w:highlight w:val="none"/>
        </w:rPr>
      </w:pPr>
      <w:r/>
      <w:bookmarkStart w:id="568" w:name="_Toc297216213"/>
      <w:r/>
      <w:bookmarkStart w:id="569" w:name="_Toc312678042"/>
      <w:r/>
      <w:bookmarkStart w:id="570" w:name="_Toc304295581"/>
      <w:r/>
      <w:bookmarkStart w:id="571" w:name="_Toc297123554"/>
      <w:r/>
      <w:bookmarkStart w:id="572" w:name="_Toc300935004"/>
      <w:r/>
      <w:bookmarkStart w:id="573" w:name="_Toc303539161"/>
      <w:r/>
      <w:bookmarkStart w:id="574" w:name="_Toc296346708"/>
      <w:r/>
      <w:bookmarkStart w:id="575" w:name="_Toc296503207"/>
      <w:r/>
      <w:bookmarkStart w:id="576" w:name="_Toc296891247"/>
      <w:r/>
      <w:bookmarkStart w:id="577" w:name="_Toc297048393"/>
      <w:r/>
      <w:bookmarkStart w:id="578" w:name="_Toc296944546"/>
      <w:r/>
      <w:bookmarkStart w:id="579" w:name="_Toc296347206"/>
      <w:r/>
      <w:bookmarkStart w:id="580" w:name="_Toc296891035"/>
      <w:r/>
      <w:bookmarkStart w:id="581" w:name="_Toc292559917"/>
      <w:r/>
      <w:bookmarkStart w:id="582" w:name="_Toc297120507"/>
      <w:r/>
      <w:bookmarkStart w:id="583" w:name="_Toc292559412"/>
      <w:r>
        <w:rPr>
          <w:rFonts w:hint="eastAsia" w:ascii="宋体" w:hAnsi="宋体" w:eastAsia="宋体" w:cs="宋体"/>
          <w:szCs w:val="21"/>
          <w:highlight w:val="none"/>
        </w:rPr>
        <w:t xml:space="preserve">12.2 预付款</w:t>
      </w:r>
      <w:bookmarkEnd w:id="568"/>
      <w:r/>
      <w:bookmarkEnd w:id="569"/>
      <w:r/>
      <w:bookmarkEnd w:id="570"/>
      <w:r/>
      <w:bookmarkEnd w:id="571"/>
      <w:r/>
      <w:bookmarkEnd w:id="572"/>
      <w:r/>
      <w:bookmarkEnd w:id="573"/>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12.2.1 预付款的支付</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预付款支付比例或金额：</w:t>
      </w:r>
      <w:r>
        <w:rPr>
          <w:rFonts w:hint="eastAsia" w:ascii="宋体" w:hAnsi="宋体" w:eastAsia="宋体" w:cs="宋体"/>
          <w:szCs w:val="21"/>
          <w:highlight w:val="none"/>
          <w:u w:val="single"/>
        </w:rPr>
        <w:t xml:space="preserve"> 合同价款的 10%，含发包人打入农民工工资专用账户的保证金，发包人不另行支付农民工工资保证金。</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预付款支付期限：</w:t>
      </w:r>
      <w:r>
        <w:rPr>
          <w:rFonts w:hint="eastAsia" w:ascii="宋体" w:hAnsi="宋体" w:eastAsia="宋体" w:cs="宋体"/>
          <w:szCs w:val="21"/>
          <w:highlight w:val="none"/>
          <w:u w:val="single"/>
        </w:rPr>
        <w:t xml:space="preserve"> 合同签订后，工程开工前 </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预付款扣回的方式：</w:t>
      </w:r>
      <w:r>
        <w:rPr>
          <w:rFonts w:hint="eastAsia" w:ascii="宋体" w:hAnsi="宋体" w:eastAsia="宋体" w:cs="宋体"/>
          <w:szCs w:val="21"/>
          <w:highlight w:val="none"/>
          <w:u w:val="single"/>
        </w:rPr>
        <w:t xml:space="preserve">   竣工验收合格付工程款时一次性扣除    </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12.2.2 预付款担保</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承包人提交预付款担保的期限：</w:t>
      </w:r>
      <w:r>
        <w:rPr>
          <w:rFonts w:hint="eastAsia" w:ascii="宋体" w:hAnsi="宋体" w:eastAsia="宋体" w:cs="宋体"/>
          <w:spacing w:val="-1"/>
          <w:szCs w:val="21"/>
          <w:highlight w:val="none"/>
          <w:u w:val="single"/>
        </w:rPr>
        <w:t xml:space="preserve">预付款支付之前</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预付款担保的形式为：</w:t>
      </w:r>
      <w:r>
        <w:rPr>
          <w:rFonts w:hint="eastAsia" w:ascii="宋体" w:hAnsi="宋体" w:eastAsia="宋体" w:cs="宋体"/>
          <w:szCs w:val="21"/>
          <w:highlight w:val="none"/>
          <w:u w:val="single"/>
        </w:rPr>
        <w:t xml:space="preserve">同履约保证金形式。</w:t>
      </w:r>
      <w:bookmarkEnd w:id="574"/>
      <w:r/>
      <w:bookmarkEnd w:id="575"/>
      <w:r/>
      <w:bookmarkEnd w:id="576"/>
      <w:r/>
      <w:bookmarkEnd w:id="577"/>
      <w:r/>
      <w:bookmarkEnd w:id="578"/>
      <w:r/>
      <w:bookmarkEnd w:id="579"/>
      <w:r/>
      <w:bookmarkEnd w:id="580"/>
      <w:r/>
      <w:bookmarkEnd w:id="581"/>
      <w:r/>
      <w:bookmarkEnd w:id="582"/>
      <w:r/>
      <w:bookmarkEnd w:id="583"/>
      <w:r/>
      <w:r/>
    </w:p>
    <w:p>
      <w:pPr>
        <w:ind w:left="0" w:firstLine="422"/>
        <w:jc w:val="left"/>
        <w:pageBreakBefore w:val="0"/>
        <w:spacing w:line="420" w:lineRule="exact"/>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12.3 计量</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12.3.1 计量原则</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工程量计算规则：</w:t>
      </w:r>
      <w:r>
        <w:rPr>
          <w:rFonts w:hint="eastAsia" w:ascii="宋体" w:hAnsi="宋体" w:eastAsia="宋体" w:cs="宋体"/>
          <w:szCs w:val="21"/>
          <w:highlight w:val="none"/>
          <w:u w:val="single"/>
        </w:rPr>
        <w:t xml:space="preserve">《建设工程工程量清单计价规范》（GB50500-2013）</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12.3.2 计量周期</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关于计量周期的约定：</w:t>
      </w:r>
      <w:r>
        <w:rPr>
          <w:rFonts w:hint="eastAsia" w:ascii="宋体" w:hAnsi="宋体" w:eastAsia="宋体" w:cs="宋体"/>
          <w:szCs w:val="21"/>
          <w:highlight w:val="none"/>
          <w:u w:val="single"/>
        </w:rPr>
        <w:t xml:space="preserve">根据工程每周工程进度向发包人工程师提交已完工程量报表，经工程师、监理、审计单位签字后提交发包人审核和确认。</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12.3.3 单价合同的计量</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关于单价合同计量的约定：</w:t>
      </w:r>
      <w:r>
        <w:rPr>
          <w:rFonts w:hint="eastAsia" w:ascii="宋体" w:hAnsi="宋体" w:eastAsia="宋体" w:cs="宋体"/>
          <w:szCs w:val="21"/>
          <w:highlight w:val="none"/>
          <w:u w:val="single"/>
        </w:rPr>
        <w:t xml:space="preserve">工程量按 2013 清单计量规范计算。</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12.3.4 总价合同的计量</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关于总价合同计量的约定：</w:t>
      </w:r>
      <w:r>
        <w:rPr>
          <w:rFonts w:hint="eastAsia" w:ascii="宋体" w:hAnsi="宋体" w:eastAsia="宋体" w:cs="宋体"/>
          <w:spacing w:val="-1"/>
          <w:szCs w:val="21"/>
          <w:highlight w:val="none"/>
          <w:u w:val="single"/>
        </w:rPr>
        <w:t xml:space="preserve">/</w:t>
      </w:r>
      <w:r>
        <w:rPr>
          <w:rFonts w:hint="eastAsia" w:ascii="宋体" w:hAnsi="宋体" w:eastAsia="宋体" w:cs="宋体"/>
          <w:spacing w:val="-1"/>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12.3.5总价合同采用支付分解表计量支付的，是否适用第12.3.4 项〔总价合同的计量〕约定进行计量：</w:t>
      </w:r>
      <w:r>
        <w:rPr>
          <w:rFonts w:hint="eastAsia" w:ascii="宋体" w:hAnsi="宋体" w:eastAsia="宋体" w:cs="宋体"/>
          <w:spacing w:val="-1"/>
          <w:szCs w:val="21"/>
          <w:highlight w:val="none"/>
          <w:u w:val="single"/>
        </w:rPr>
        <w:t xml:space="preserve">/</w:t>
      </w:r>
      <w:r>
        <w:rPr>
          <w:rFonts w:hint="eastAsia" w:ascii="宋体" w:hAnsi="宋体" w:eastAsia="宋体" w:cs="宋体"/>
          <w:spacing w:val="-1"/>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12.3.6 其他价格形式合同的计量</w:t>
      </w:r>
      <w:r/>
    </w:p>
    <w:p>
      <w:pPr>
        <w:ind w:left="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其他价格形式的计量方式和程序：</w:t>
      </w:r>
      <w:r>
        <w:rPr>
          <w:rFonts w:hint="eastAsia" w:ascii="宋体" w:hAnsi="宋体" w:eastAsia="宋体" w:cs="宋体"/>
          <w:spacing w:val="-1"/>
          <w:szCs w:val="21"/>
          <w:highlight w:val="none"/>
          <w:u w:val="single"/>
        </w:rPr>
        <w:t xml:space="preserve">/</w:t>
      </w:r>
      <w:r>
        <w:rPr>
          <w:rFonts w:hint="eastAsia" w:ascii="宋体" w:hAnsi="宋体" w:eastAsia="宋体" w:cs="宋体"/>
          <w:spacing w:val="-1"/>
          <w:szCs w:val="21"/>
          <w:highlight w:val="none"/>
        </w:rPr>
        <w:t xml:space="preserve">。</w:t>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12.4 工程进度款支付</w:t>
      </w:r>
      <w:r/>
    </w:p>
    <w:p>
      <w:pPr>
        <w:ind w:left="0" w:firstLine="420"/>
        <w:jc w:val="left"/>
        <w:pageBreakBefore w:val="0"/>
        <w:spacing w:line="420" w:lineRule="exact"/>
        <w:widowControl w:val="off"/>
        <w:rPr>
          <w:rFonts w:hint="eastAsia" w:ascii="宋体" w:hAnsi="宋体" w:eastAsia="宋体" w:cs="宋体"/>
          <w:szCs w:val="21"/>
          <w:highlight w:val="none"/>
        </w:rPr>
      </w:pPr>
      <w:r/>
      <w:bookmarkStart w:id="584" w:name="_Toc296891039"/>
      <w:r/>
      <w:bookmarkStart w:id="585" w:name="_Toc297216215"/>
      <w:r/>
      <w:bookmarkStart w:id="586" w:name="_Toc297123556"/>
      <w:r/>
      <w:bookmarkStart w:id="587" w:name="_Toc297048397"/>
      <w:r/>
      <w:bookmarkStart w:id="588" w:name="_Toc297120511"/>
      <w:r/>
      <w:bookmarkStart w:id="589" w:name="_Toc296346712"/>
      <w:r/>
      <w:bookmarkStart w:id="590" w:name="_Toc303539163"/>
      <w:r/>
      <w:bookmarkStart w:id="591" w:name="_Toc296347210"/>
      <w:r/>
      <w:bookmarkStart w:id="592" w:name="_Toc296503211"/>
      <w:r/>
      <w:bookmarkStart w:id="593" w:name="_Toc300935006"/>
      <w:r/>
      <w:bookmarkStart w:id="594" w:name="_Toc296944550"/>
      <w:r/>
      <w:bookmarkStart w:id="595" w:name="_Toc296891251"/>
      <w:r/>
      <w:bookmarkStart w:id="596" w:name="_Toc292559921"/>
      <w:r/>
      <w:bookmarkStart w:id="597" w:name="_Toc292559416"/>
      <w:r>
        <w:rPr>
          <w:rFonts w:hint="eastAsia" w:ascii="宋体" w:hAnsi="宋体" w:eastAsia="宋体" w:cs="宋体"/>
          <w:szCs w:val="21"/>
          <w:highlight w:val="none"/>
        </w:rPr>
        <w:t xml:space="preserve">12.4.1 付款周期</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关于付款周期的约定：</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工程款指合同价（即中标价）扣除暂列金额、专业工程暂估价、发包人供应材料设备价格及上述三项的规费和税金后的工程价款。具体付款幅度如下：</w:t>
      </w:r>
      <w:r/>
    </w:p>
    <w:p>
      <w:pPr>
        <w:ind w:left="0" w:firstLine="420"/>
        <w:jc w:val="left"/>
        <w:pageBreakBefore w:val="0"/>
        <w:spacing w:line="420" w:lineRule="exact"/>
        <w:widowControl w:val="off"/>
        <w:rPr>
          <w:rFonts w:hint="eastAsia" w:ascii="宋体" w:hAnsi="宋体" w:eastAsia="宋体" w:cs="宋体"/>
          <w:szCs w:val="21"/>
          <w:highlight w:val="yellow"/>
          <w:u w:val="single"/>
        </w:rPr>
      </w:pPr>
      <w:r>
        <w:rPr>
          <w:rFonts w:hint="eastAsia" w:ascii="宋体" w:hAnsi="宋体" w:eastAsia="宋体" w:cs="宋体"/>
          <w:szCs w:val="21"/>
          <w:highlight w:val="yellow"/>
          <w:u w:val="single"/>
        </w:rPr>
        <w:t xml:space="preserve">1、本工程施工合同签订后,支付合同总价的10%为预付款（中标人同时须提供同等金额的预付款银行保函）；</w:t>
      </w:r>
      <w:r/>
    </w:p>
    <w:p>
      <w:pPr>
        <w:ind w:left="0" w:firstLine="420"/>
        <w:jc w:val="left"/>
        <w:pageBreakBefore w:val="0"/>
        <w:spacing w:line="420" w:lineRule="exact"/>
        <w:widowControl w:val="off"/>
        <w:rPr>
          <w:rFonts w:hint="eastAsia" w:ascii="宋体" w:hAnsi="宋体" w:eastAsia="宋体" w:cs="宋体"/>
          <w:szCs w:val="21"/>
          <w:highlight w:val="yellow"/>
          <w:u w:val="single"/>
        </w:rPr>
      </w:pPr>
      <w:r>
        <w:rPr>
          <w:rFonts w:hint="eastAsia" w:ascii="宋体" w:hAnsi="宋体" w:eastAsia="宋体" w:cs="宋体"/>
          <w:szCs w:val="21"/>
          <w:highlight w:val="yellow"/>
          <w:u w:val="single"/>
        </w:rPr>
        <w:t xml:space="preserve">2、</w:t>
      </w:r>
      <w:r>
        <w:rPr>
          <w:rFonts w:hint="eastAsia" w:ascii="宋体" w:hAnsi="宋体" w:eastAsia="宋体" w:cs="宋体"/>
          <w:szCs w:val="21"/>
          <w:highlight w:val="yellow"/>
          <w:u w:val="single"/>
          <w:lang w:val="en-US" w:eastAsia="zh-CN"/>
        </w:rPr>
        <w:t xml:space="preserve">工程竣工验收合格后付至合同价的40%</w:t>
      </w:r>
      <w:r>
        <w:rPr>
          <w:rFonts w:hint="eastAsia" w:ascii="宋体" w:hAnsi="宋体" w:eastAsia="宋体" w:cs="宋体"/>
          <w:szCs w:val="21"/>
          <w:highlight w:val="yellow"/>
          <w:u w:val="single"/>
        </w:rPr>
        <w:t xml:space="preserve">；</w:t>
      </w:r>
      <w:r/>
    </w:p>
    <w:p>
      <w:pPr>
        <w:ind w:left="0" w:firstLine="420"/>
        <w:jc w:val="left"/>
        <w:pageBreakBefore w:val="0"/>
        <w:spacing w:line="420" w:lineRule="exact"/>
        <w:widowControl w:val="off"/>
        <w:rPr>
          <w:rFonts w:hint="eastAsia" w:ascii="宋体" w:hAnsi="宋体" w:eastAsia="宋体" w:cs="宋体"/>
          <w:szCs w:val="21"/>
          <w:highlight w:val="yellow"/>
          <w:u w:val="single"/>
        </w:rPr>
      </w:pPr>
      <w:r>
        <w:rPr>
          <w:rFonts w:hint="eastAsia" w:ascii="宋体" w:hAnsi="宋体" w:eastAsia="宋体" w:cs="宋体"/>
          <w:szCs w:val="21"/>
          <w:highlight w:val="yellow"/>
          <w:u w:val="single"/>
        </w:rPr>
        <w:t xml:space="preserve">3、</w:t>
      </w:r>
      <w:r>
        <w:rPr>
          <w:rFonts w:hint="eastAsia" w:ascii="宋体" w:hAnsi="宋体" w:eastAsia="宋体" w:cs="宋体"/>
          <w:szCs w:val="21"/>
          <w:highlight w:val="yellow"/>
          <w:u w:val="single"/>
          <w:lang w:val="en-US" w:eastAsia="zh-CN"/>
        </w:rPr>
        <w:t xml:space="preserve">工程竣工验收合格满一年后付至合同价的70%；</w:t>
      </w:r>
      <w:r/>
    </w:p>
    <w:p>
      <w:pPr>
        <w:ind w:left="0" w:firstLine="420"/>
        <w:jc w:val="left"/>
        <w:pageBreakBefore w:val="0"/>
        <w:spacing w:line="420" w:lineRule="exact"/>
        <w:widowControl w:val="off"/>
        <w:rPr>
          <w:rFonts w:hint="eastAsia" w:ascii="宋体" w:hAnsi="宋体" w:eastAsia="宋体" w:cs="宋体"/>
          <w:szCs w:val="21"/>
          <w:highlight w:val="yellow"/>
          <w:u w:val="single"/>
        </w:rPr>
      </w:pPr>
      <w:r>
        <w:rPr>
          <w:rFonts w:hint="eastAsia" w:ascii="宋体" w:hAnsi="宋体" w:eastAsia="宋体" w:cs="宋体"/>
          <w:szCs w:val="21"/>
          <w:highlight w:val="yellow"/>
          <w:u w:val="single"/>
        </w:rPr>
        <w:t xml:space="preserve">4、</w:t>
      </w:r>
      <w:r>
        <w:rPr>
          <w:rFonts w:hint="eastAsia" w:ascii="宋体" w:hAnsi="宋体" w:eastAsia="宋体" w:cs="宋体"/>
          <w:szCs w:val="21"/>
          <w:highlight w:val="yellow"/>
          <w:u w:val="single"/>
          <w:lang w:val="en-US" w:eastAsia="zh-CN"/>
        </w:rPr>
        <w:t xml:space="preserve">工程竣工验收合格满两年经审计后按审定价付清余款。</w:t>
      </w:r>
      <w:r/>
    </w:p>
    <w:p>
      <w:pPr>
        <w:ind w:left="0" w:firstLine="422"/>
        <w:jc w:val="left"/>
        <w:pageBreakBefore w:val="0"/>
        <w:spacing w:line="420" w:lineRule="exact"/>
        <w:widowControl w:val="off"/>
        <w:rPr>
          <w:rFonts w:hint="eastAsia" w:ascii="宋体" w:hAnsi="宋体" w:eastAsia="宋体" w:cs="宋体"/>
          <w:b/>
          <w:bCs/>
          <w:szCs w:val="21"/>
          <w:highlight w:val="none"/>
          <w:u w:val="single"/>
        </w:rPr>
      </w:pPr>
      <w:r>
        <w:rPr>
          <w:rFonts w:hint="eastAsia" w:ascii="宋体" w:hAnsi="宋体" w:eastAsia="宋体" w:cs="宋体"/>
          <w:b/>
          <w:bCs/>
          <w:szCs w:val="21"/>
          <w:highlight w:val="none"/>
          <w:u w:val="single"/>
        </w:rPr>
        <w:t xml:space="preserve">注：本工程为中央财政资金，如未在规定节点前完成相应工程内容，导致付款延迟，承包人自行承担相应后果；</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注：按以上付款进度，无任何利息补偿。本工程价款一律通过银行非现金结算。因承包人未及时递交已完工程结算资料，而影响工程款支付的，一切后果由承包人自行负责。</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以上价款一律通过银行非现金结算，承包人提供增值税务发票。按以上付款进度，无任何利息补偿。承包人在达到付款条件时应首先提供增值税务发票，发包人在收到增值税务发票后经审核无误后将款项汇入指定账户，如承包人提供的发票不符合合同规定或不及时或存在其它瑕疵，则承包人应当重新补足提交审核，发包人付款时间相应顺延，并不承担任何责任。如因承包人提供的发票给发包人造成的经济损失，一切损失由承包人承担。</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本工程提交审计时，承包人应在发包人约定的时间内完成资料整理，并积极配合，要求资料齐全，计算准确不得虚报，要求与审计价差距不得超过5%。</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1、若承包人的结算报审价与最终审定价≤5%，审计费由发包人承担。</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承包人报送价与终审审核价误差率＞5%且≤10%时，超出5%部分的审计费由承包人承担；误差率＞10%时，所有审计费用均由承包人承担；误差率≥20%时，承包人除承担所有审计费用外，还将承担该项目核减额5%的违约金，发包方有权要求承包人在审计报告出具后二十日内支付，或发包人可直接从工程款中扣除。</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关于农民工工资支付等的约定：</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1）承包人必须遵守“关于转发省清欠办《关于印</w:t>
      </w:r>
      <w:r>
        <w:rPr>
          <w:rFonts w:hint="eastAsia" w:ascii="宋体" w:hAnsi="宋体" w:eastAsia="宋体" w:cs="宋体"/>
          <w:szCs w:val="21"/>
          <w:highlight w:val="none"/>
          <w:u w:val="single"/>
        </w:rPr>
        <w:t xml:space="preserve">发〈江苏省建设领域农民工工资保证金实施办法〉的通知》的通知”等有关文件规定，及时到有关部门交纳农民工工资担保金，并向发包人提供有效的交纳凭证（不及时提供有效的交纳凭证将不支付工程进度款），保证按月支付农民工工资，发包人或发包人现场代表可定期或不定期对承包人施工期间的农民工工资发放进行调查，每发现一次未及时发放农民工工资的情况，承包人应承担 5-10 万元/次的违约金。承包人若拖欠民工工资引起农民工上访事件将视为承包人违约，发包人将扣除承包人工程款用于支付民工工资，或启用银行履约保函（或保证金）支付民工工资。</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2）严格落实农民工工资专用帐户制度，施工企业项目开工前，按规定开设农民工工资专用帐户，发包人按工程施工合同约定向农民工工资专用帐户存入不低于进度款 20%的资金，应发工资高于进度款 20%的，则按照实际工资数额存入工资专户。</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3）工程竣工验收后且在合同约定付款时，承包人应当优先全额结清包括但不限于农民工在内的工人工资。</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4）承包人须对施工现场所有从业人员，建立电脑用工台账，实行日常考勤管理。</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5）承包人必须在第一时间内主动向发包人、监理单位， 提供与劳务公司签订的用工合同，或提供班组人员与施工单位签订的用工合同。</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6）由监理单位全程实施检查、监督和管理承包人的农民工工资支付发放工作及信息反馈工作。发现存在拖欠农民工工资现象的，及时向发包人反映。</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7）在履行合同过程中，承包人应遵守国家或地方的法律、法规、规章、条例、规范性文件或任何对工程有管辖权的部门的规章，并按要求支付有关费用。</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8）无论发包人是否给予了批准或同意，承包人应对现场作业、施工方法及所施工工程的完备性、稳定性和安全性承担全部责任，负责完成对工程的稳定、完整、安全、可靠及有效运行所必须的全部工作。</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9）农民工工资管理办法详见《农民工工资条例》盐建建筑〔2016〕35 号《关于进一步做好建筑施工拖欠农民工工资治理工作的通知》。 </w:t>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12.4.2 进度付款申请单的编制</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关于进度付款申请单编制的约定：</w:t>
      </w:r>
      <w:r>
        <w:rPr>
          <w:rFonts w:hint="eastAsia" w:ascii="宋体" w:hAnsi="宋体" w:eastAsia="宋体" w:cs="宋体"/>
          <w:szCs w:val="21"/>
          <w:highlight w:val="none"/>
          <w:u w:val="single"/>
        </w:rPr>
        <w:t xml:space="preserve"> 根据发包人统一格式报批 </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12.4.3 进度付款申请单的提交</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（1）单价合同进度付款申请单提交的约定： </w:t>
      </w:r>
      <w:r>
        <w:rPr>
          <w:rFonts w:hint="eastAsia" w:ascii="宋体" w:hAnsi="宋体" w:eastAsia="宋体" w:cs="宋体"/>
          <w:szCs w:val="21"/>
          <w:highlight w:val="none"/>
          <w:u w:val="single"/>
        </w:rPr>
        <w:t xml:space="preserve">按通用条款 </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（2）总价合同进度付款申请单提交的约定：</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（3）其他价格形式合同进度付款申请单提交的约定：</w:t>
      </w:r>
      <w:r>
        <w:rPr>
          <w:rFonts w:hint="eastAsia" w:ascii="宋体" w:hAnsi="宋体" w:eastAsia="宋体" w:cs="宋体"/>
          <w:szCs w:val="21"/>
          <w:highlight w:val="none"/>
          <w:u w:val="single"/>
        </w:rPr>
        <w:t xml:space="preserve"> 根据发包人统一格式报批</w:t>
      </w:r>
      <w:r>
        <w:rPr>
          <w:rFonts w:hint="eastAsia" w:ascii="宋体" w:hAnsi="宋体" w:eastAsia="宋体" w:cs="宋体"/>
          <w:szCs w:val="21"/>
          <w:highlight w:val="none"/>
        </w:rPr>
        <w:t xml:space="preserve"> 。</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12.4.4 进度款审核和支付</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（1）监理人审查并报送发包人的期限：</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发包人完成审批并签发进度款支付证书的期限：</w:t>
      </w:r>
      <w:r>
        <w:rPr>
          <w:rFonts w:hint="eastAsia" w:ascii="宋体" w:hAnsi="宋体" w:eastAsia="宋体" w:cs="宋体"/>
          <w:szCs w:val="21"/>
          <w:highlight w:val="none"/>
          <w:u w:val="single"/>
        </w:rPr>
        <w:t xml:space="preserve">  30 天</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（2）发包人支付进度款的期限：</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发包人逾期支付进度款的违约金的计算方式：</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12.4.6 支付分解表的编制</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2、总价合同支付分解表的编制与审批：</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3、单价合同的总价项目支付分解表的编制与审批：</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left="0" w:firstLine="422"/>
        <w:jc w:val="left"/>
        <w:pageBreakBefore w:val="0"/>
        <w:spacing w:line="420" w:lineRule="exact"/>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13. 验收和工程试车</w:t>
      </w:r>
      <w:r/>
    </w:p>
    <w:p>
      <w:pPr>
        <w:ind w:left="0" w:firstLine="422"/>
        <w:jc w:val="left"/>
        <w:pageBreakBefore w:val="0"/>
        <w:spacing w:line="420" w:lineRule="exact"/>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13.1 分部分项工程验收</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13.1.2 监理人不能按时进行验收时，应提前</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 xml:space="preserve">小时提交书面延期要求。</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关于延期最长不得超过：</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 xml:space="preserve">小时。</w:t>
      </w:r>
      <w:r/>
    </w:p>
    <w:p>
      <w:pPr>
        <w:ind w:left="0" w:firstLine="422"/>
        <w:jc w:val="left"/>
        <w:pageBreakBefore w:val="0"/>
        <w:spacing w:line="420" w:lineRule="exact"/>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13.2 竣工验收</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13.2.2 竣工验收程序</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关于竣工验收程序的约定:</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13.2.2.1 进行工程移交验收的条件：</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（1）缺陷责任期满后施工单位根据合同约定对工程质量进行检查，确认工程质量符合有关法律、法规和工程建设强制性标准，提出工程移交报告；</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（2）经监理、施工等单位共同验收，存在的问题已整改到位；</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（3）监理单位对工程进行复查，并已提出工程移交评估报告；</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13.2.2.2 发包人收到工程移交验收报告 15 天内组织工程移交验收。</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13.2.2.3 工程移交验收标准：工程移交验收标准为国家工程建设强制性标准、现行施工验收规范及相关标准、经审查通过的设计文件以及有关的法律、法规、规章和规范性文件规定。</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13.2.2.4 工程移交验收程序及内容：</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（1）由发包人派驻的现场负责人主持移交验收；</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（2）检测、施工、监理等单位分别书面汇报工程项目在缺陷责任期内的建设质量状况、工程养护、维修情况；</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（3）验收组分为三部分分别进行检查验收 :</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①检查工程实体及外观质量；</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②对工程的使用功能进行抽查、试验；</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③对工程移交验收情况进行汇总讨论，形成工程移交综合验收结论，填写《工程移交验收证书》，验收组人员分别签字、单位盖章；</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④当在验收过程中发现严重问题，达不到竣工验收标准时，验收组将责成责任单位立即整改，并宣布本次验收无效，重新确定时间组织工程移交验收；</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⑤当在工程移交验收过程中发现一般需整改的质量问题，验收组可形成初步验收意见，填写《工程移交验收证书》，验收组人员分别签字，但各单位不加盖公章。验收组责成有关责任单位整改，并由发包人和 监理单位项目负责人组织复查，整改完毕符合要求后，加盖各单位公章；</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⑥当工程移交验收组各方不能形成一致验收意见，重新确定时间组织工程移交验收。</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⑦最终验收结果需经发包人书面确认，发包人对验收结果拥有最终决定权。</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其他：</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1、本工程施工过程中遇到的一切地方矛盾及由此发生的费用均由承包人自行负责，与发包人无涉。</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2、本工程价款一律通过银行非现金结算，工程款汇入企业基本帐户，实行专款专用。</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3、承包人自行承担工程施工过程中的质量、安全责任。</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4、在本合同履行过程中，如承包人发生如下情形之一，发包人将视承包人严重违约，立即解除合同，冻结专户资金，承包人承担合同协议书约定的合同总价20%的违约金并承担由此造成的一切损失，承包人在现场的人员无条件退场，承包人在现场的设备和材料无条件供发包人使用，其设备租金和材料价值待诉讼裁决后，如有剩余，在裁决后7天内支付。</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① 不同意本工程合同条件；</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② 自认合同价款比例和时间；</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③ 停工累计达2天或故意拖延施工进度或影响施工质量；</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④ 要挟发包人提高合同价款；</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⑤ 要挟发包人给予某种补偿者。</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13.2.2.5、关于农民工工资支付等的约定：</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1）工程竣工验收后且在合同约定付款时，承包人应当优先全额结清包括但不限于农民工在内的工人工资。</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工程竣工验收后且在合同约定付款时，承包人未按上条约定履行的，或在工程施工过程中、竣工后发生一起包括但不限于农民工在内的工人上访讨薪事件的均视为承包人违约，若由发包人垫付，承包人除需返还发包人垫付的金额外，承包人还需承担垫付的金额5倍的违约金。</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3）承包人须对施工现场所有从业人员，建立电脑用工台账，实行日常考勤管理。</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4）承包人必须在第一时间内主动向发包人、监理单位，提供与劳务公司签订的用工合同，或提供班组人员与施工单位签订的用工合同。</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5）由监理单位全程实施检查、监督和管理承包人的农民工工资支付发放工作及信息反馈工作。发现存在拖欠农民工工资现象的，及时向发包人反映。</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6）在履行合同过程中，承包人应遵守国家或地方的法律、法规、规章、条例、规范性文件或任何对工程有管辖的部门的规章，并按要求支付有关费用。</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7）无论发包人是否给予了批准或同意，承包人应对现场作业、施工方法及所施工工程的完备性、稳定性和安全性承担全部责任，负责完成对工程的稳定、完整、安全、可靠及有效运行所必须的全部工作。</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8）承包人必须遵守“ 关于转发省清欠办《关于印发〈江苏省建设领域农民工工资保证</w:t>
      </w:r>
      <w:r>
        <w:rPr>
          <w:rFonts w:hint="eastAsia" w:ascii="宋体" w:hAnsi="宋体" w:eastAsia="宋体" w:cs="宋体"/>
          <w:szCs w:val="21"/>
          <w:highlight w:val="none"/>
          <w:u w:val="single"/>
        </w:rPr>
        <w:t xml:space="preserve">金实施办法〉的通知》的通知 ”等有关文件规定，及时到有关部门交纳农民工工资担保金，并向发包人提供有效的交纳凭证（不及时提供有效的交纳凭证将不支付工程进度款），保证按月支付农民工工资，发包人或发包人现场代表可定期或不定期对承包人施工期间的农民工工资发放进行调查，每发现一次未及时发放农民工工资的情况，承包人应承担 5-10 万元/次的违约金。承包人若拖欠民工工资引起农民工上访事件将视为承包人违约，发包人将扣除承包人工程款用于支付民工工资，或启用银行履约保函（或保证金）支付民工工资，并要求承包人按约承担违约责任。</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农民工工资管理办法详见《农民工工资条例》》盐建建筑〔 2016〕35 号《关于进一 步做好建筑施工拖欠农民工工资治理工作的通知》。</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13.2.2.6、施工过程中的排污、环保、市容、城建城管、消防、治安、人口管理等办理相关手续以及对临近居民、行人的影响等，由承包人负责协调处理，并承担相关的费用。</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13.2.5 移交、接收全部与部分工程</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承包人向发包人移交工程的期限： 按通用条款 。</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发包人未按本合同约定接收全部或部分工程的，违约金的计算方法为：无。</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承包人未按时移交工程的，违约金的计算方法为：按每拖延一天向发包人支付人民币 5000 元的违约金。拖延超过三天，发包人有权单方解除合同，扣除履约保证金，承包人应承担总合同价款20%违约金，以及赔偿由此给发包人造成的一切损失。</w:t>
      </w:r>
      <w:bookmarkEnd w:id="459"/>
      <w:r/>
      <w:r/>
    </w:p>
    <w:p>
      <w:pPr>
        <w:ind w:left="0" w:firstLine="420"/>
        <w:keepLines/>
        <w:keepNext/>
        <w:pageBreakBefore w:val="0"/>
        <w:spacing w:line="420" w:lineRule="exact"/>
        <w:widowControl w:val="off"/>
        <w:rPr>
          <w:rFonts w:hint="eastAsia" w:ascii="宋体" w:hAnsi="宋体" w:eastAsia="宋体" w:cs="宋体"/>
          <w:szCs w:val="21"/>
          <w:highlight w:val="none"/>
        </w:rPr>
      </w:pPr>
      <w:r/>
      <w:bookmarkStart w:id="598" w:name="_Toc280868708"/>
      <w:r/>
      <w:bookmarkStart w:id="599" w:name="_Toc267251471"/>
      <w:r/>
      <w:bookmarkStart w:id="600" w:name="_Toc267251474"/>
      <w:r/>
      <w:bookmarkStart w:id="601" w:name="_Toc267251476"/>
      <w:r/>
      <w:bookmarkStart w:id="602" w:name="_Toc267251470"/>
      <w:r/>
      <w:bookmarkStart w:id="603" w:name="_Toc267251475"/>
      <w:r/>
      <w:bookmarkStart w:id="604" w:name="_Toc267251472"/>
      <w:r/>
      <w:bookmarkStart w:id="605" w:name="_Toc267251473"/>
      <w:r/>
      <w:bookmarkStart w:id="606" w:name="_Toc280868709"/>
      <w:r>
        <w:rPr>
          <w:rFonts w:hint="eastAsia" w:ascii="宋体" w:hAnsi="宋体" w:eastAsia="宋体" w:cs="宋体"/>
          <w:szCs w:val="21"/>
          <w:highlight w:val="none"/>
        </w:rPr>
        <w:t xml:space="preserve">13.3 工程试车</w:t>
      </w:r>
      <w:bookmarkEnd w:id="598"/>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13.3.1 试车程序</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工程试车内容：</w:t>
      </w:r>
      <w:r>
        <w:rPr>
          <w:rFonts w:hint="eastAsia" w:ascii="宋体" w:hAnsi="宋体" w:eastAsia="宋体" w:cs="宋体"/>
          <w:spacing w:val="-2"/>
          <w:szCs w:val="21"/>
          <w:highlight w:val="none"/>
          <w:u w:val="single"/>
        </w:rPr>
        <w:t xml:space="preserve">/ </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（1）单机无负荷试车费用由</w:t>
      </w:r>
      <w:r>
        <w:rPr>
          <w:rFonts w:hint="eastAsia" w:ascii="宋体" w:hAnsi="宋体" w:eastAsia="宋体" w:cs="宋体"/>
          <w:szCs w:val="21"/>
          <w:highlight w:val="none"/>
          <w:u w:val="single"/>
        </w:rPr>
        <w:t xml:space="preserve">   承包人  </w:t>
      </w:r>
      <w:r>
        <w:rPr>
          <w:rFonts w:hint="eastAsia" w:ascii="宋体" w:hAnsi="宋体" w:eastAsia="宋体" w:cs="宋体"/>
          <w:szCs w:val="21"/>
          <w:highlight w:val="none"/>
        </w:rPr>
        <w:t xml:space="preserve">承担；</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（2）无负荷联动试车费用由</w:t>
      </w:r>
      <w:r>
        <w:rPr>
          <w:rFonts w:hint="eastAsia" w:ascii="宋体" w:hAnsi="宋体" w:eastAsia="宋体" w:cs="宋体"/>
          <w:szCs w:val="21"/>
          <w:highlight w:val="none"/>
          <w:u w:val="single"/>
        </w:rPr>
        <w:t xml:space="preserve">  承包人 </w:t>
      </w:r>
      <w:r>
        <w:rPr>
          <w:rFonts w:hint="eastAsia" w:ascii="宋体" w:hAnsi="宋体" w:eastAsia="宋体" w:cs="宋体"/>
          <w:szCs w:val="21"/>
          <w:highlight w:val="none"/>
        </w:rPr>
        <w:t xml:space="preserve">承担。</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13.3.3 投料试车</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关于投料试车相关事项的约定：</w:t>
      </w:r>
      <w:r>
        <w:rPr>
          <w:rFonts w:hint="eastAsia" w:ascii="宋体" w:hAnsi="宋体" w:eastAsia="宋体" w:cs="宋体"/>
          <w:spacing w:val="-1"/>
          <w:szCs w:val="21"/>
          <w:highlight w:val="none"/>
          <w:u w:val="single"/>
        </w:rPr>
        <w:t xml:space="preserve">/ </w:t>
      </w:r>
      <w:r>
        <w:rPr>
          <w:rFonts w:hint="eastAsia" w:ascii="宋体" w:hAnsi="宋体" w:eastAsia="宋体" w:cs="宋体"/>
          <w:szCs w:val="21"/>
          <w:highlight w:val="none"/>
        </w:rPr>
        <w:t xml:space="preserve">。</w:t>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13.6 竣工退场</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13.6.1 竣工退场</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承包人完成竣工退场的期限：</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1）工程竣工验收前，承包人应完成场地清理（包括建筑物周围的堆积物及红线内的淤泥清运，临时生产和生活设施的拆除），并将现场清扫干净。</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工程竣工验收通过后7天内承包人将竣工工程交付发包人，撤离除收尾工程所需的施工、人员、材料和设备，承包人不得以任何理由拖延交付及退场时间。承包人完成撤场并填写工程移交书，经发包人签署后，视为工程移交完毕。承包人逾期未向发包人完成移交手续造成发包人使用时间延误的，视为竣工日期拖延，承包人按专用条款 7.5.2 条向发包人支付违约金，并承担由此造成发包人的一切损失。工程竣工验收按备案规定执行。  </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u w:val="single"/>
        </w:rPr>
        <w:t xml:space="preserve">3）工程移交发包人之前，承包人负责维护。如发包人提前使用，由此造成的损坏所需的维修费用由发包人承担。</w:t>
      </w:r>
      <w:r/>
    </w:p>
    <w:p>
      <w:pPr>
        <w:ind w:left="0" w:firstLine="422"/>
        <w:keepLines/>
        <w:keepNext/>
        <w:pageBreakBefore w:val="0"/>
        <w:spacing w:line="420" w:lineRule="exact"/>
        <w:widowControl w:val="off"/>
        <w:rPr>
          <w:rFonts w:hint="eastAsia" w:ascii="宋体" w:hAnsi="宋体" w:eastAsia="宋体" w:cs="宋体"/>
          <w:b/>
          <w:szCs w:val="21"/>
          <w:highlight w:val="none"/>
        </w:rPr>
      </w:pPr>
      <w:r/>
      <w:bookmarkStart w:id="607" w:name="_Toc351203646"/>
      <w:r>
        <w:rPr>
          <w:rFonts w:hint="eastAsia" w:ascii="宋体" w:hAnsi="宋体" w:eastAsia="宋体" w:cs="宋体"/>
          <w:b/>
          <w:szCs w:val="21"/>
          <w:highlight w:val="none"/>
        </w:rPr>
        <w:t xml:space="preserve">14. 竣工结算</w:t>
      </w:r>
      <w:bookmarkEnd w:id="607"/>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14.1 竣工结算申请</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承包人提交竣工结算申请单的期限：</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竣工结算申请单应包括的内容：</w:t>
      </w:r>
      <w:r>
        <w:rPr>
          <w:rFonts w:hint="eastAsia" w:ascii="宋体" w:hAnsi="宋体" w:eastAsia="宋体" w:cs="宋体"/>
          <w:szCs w:val="21"/>
          <w:highlight w:val="none"/>
          <w:u w:val="single"/>
        </w:rPr>
        <w:t xml:space="preserve">除通用条款约定外，还包括施工图、竣工资料等原件，要求随竣工结算申请单一同提交发包人 ，同时须确保提交的所有竣工资料一次性通过档案馆归档验收。申报结算资料时必须提供每道工序的影像，图片等资料，否则不予结算。</w:t>
      </w:r>
      <w:r/>
    </w:p>
    <w:p>
      <w:pPr>
        <w:ind w:left="0" w:firstLine="422"/>
        <w:keepLines/>
        <w:keepNext/>
        <w:pageBreakBefore w:val="0"/>
        <w:spacing w:line="420" w:lineRule="exact"/>
        <w:widowControl w:val="off"/>
        <w:rPr>
          <w:rFonts w:hint="eastAsia" w:ascii="宋体" w:hAnsi="宋体" w:eastAsia="宋体" w:cs="宋体"/>
          <w:b/>
          <w:szCs w:val="21"/>
          <w:highlight w:val="none"/>
        </w:rPr>
      </w:pPr>
      <w:r>
        <w:rPr>
          <w:rFonts w:hint="eastAsia" w:ascii="宋体" w:hAnsi="宋体" w:eastAsia="宋体" w:cs="宋体"/>
          <w:b/>
          <w:szCs w:val="21"/>
          <w:highlight w:val="none"/>
        </w:rPr>
        <w:t xml:space="preserve">14.2 竣工结算审核</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发包人审批竣工付款申请单的期限：</w:t>
      </w:r>
      <w:r>
        <w:rPr>
          <w:rFonts w:hint="eastAsia" w:ascii="宋体" w:hAnsi="宋体" w:eastAsia="宋体" w:cs="宋体"/>
          <w:szCs w:val="21"/>
          <w:highlight w:val="none"/>
          <w:u w:val="single"/>
        </w:rPr>
        <w:t xml:space="preserve">按付款约定</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发包人完成竣工付款的期限：</w:t>
      </w:r>
      <w:r>
        <w:rPr>
          <w:rFonts w:hint="eastAsia" w:ascii="宋体" w:hAnsi="宋体" w:eastAsia="宋体" w:cs="宋体"/>
          <w:szCs w:val="21"/>
          <w:highlight w:val="none"/>
          <w:u w:val="single"/>
        </w:rPr>
        <w:t xml:space="preserve"> 按招标文件约定的工程款支付条款约定付款 </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关于竣工付款证书异议部分复核的方式和程序：</w:t>
      </w:r>
      <w:r>
        <w:rPr>
          <w:rFonts w:hint="eastAsia" w:ascii="宋体" w:hAnsi="宋体" w:eastAsia="宋体" w:cs="宋体"/>
          <w:szCs w:val="21"/>
          <w:highlight w:val="none"/>
          <w:u w:val="single"/>
        </w:rPr>
        <w:t xml:space="preserve">按通用条款</w:t>
      </w:r>
      <w:r>
        <w:rPr>
          <w:rFonts w:hint="eastAsia" w:ascii="宋体" w:hAnsi="宋体" w:eastAsia="宋体" w:cs="宋体"/>
          <w:szCs w:val="21"/>
          <w:highlight w:val="none"/>
        </w:rPr>
        <w:t xml:space="preserve">。</w:t>
      </w:r>
      <w:r/>
    </w:p>
    <w:p>
      <w:pPr>
        <w:ind w:left="0" w:firstLine="422"/>
        <w:keepLines/>
        <w:keepNext/>
        <w:pageBreakBefore w:val="0"/>
        <w:spacing w:line="420" w:lineRule="exact"/>
        <w:widowControl w:val="off"/>
        <w:rPr>
          <w:rFonts w:hint="eastAsia" w:ascii="宋体" w:hAnsi="宋体" w:eastAsia="宋体" w:cs="宋体"/>
          <w:b/>
          <w:szCs w:val="21"/>
          <w:highlight w:val="none"/>
        </w:rPr>
      </w:pPr>
      <w:r>
        <w:rPr>
          <w:rFonts w:hint="eastAsia" w:ascii="宋体" w:hAnsi="宋体" w:eastAsia="宋体" w:cs="宋体"/>
          <w:b/>
          <w:szCs w:val="21"/>
          <w:highlight w:val="none"/>
        </w:rPr>
        <w:t xml:space="preserve">14.4 最终结清</w:t>
      </w:r>
      <w:r/>
    </w:p>
    <w:p>
      <w:pPr>
        <w:ind w:left="0" w:firstLine="420"/>
        <w:keepLines/>
        <w:keepNext/>
        <w:pageBreakBefore w:val="0"/>
        <w:spacing w:line="420" w:lineRule="exact"/>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14.4.1 最终结清申请单</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承包人提交最终结清申请单的份数：</w:t>
      </w:r>
      <w:r>
        <w:rPr>
          <w:rFonts w:hint="eastAsia" w:ascii="宋体" w:hAnsi="宋体" w:eastAsia="宋体" w:cs="宋体"/>
          <w:spacing w:val="-1"/>
          <w:szCs w:val="21"/>
          <w:highlight w:val="none"/>
          <w:u w:val="single"/>
        </w:rPr>
        <w:t xml:space="preserve">按通用条款</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承包人提交最终结算申请单的期限：</w:t>
      </w:r>
      <w:r>
        <w:rPr>
          <w:rFonts w:hint="eastAsia" w:ascii="宋体" w:hAnsi="宋体" w:eastAsia="宋体" w:cs="宋体"/>
          <w:spacing w:val="-1"/>
          <w:szCs w:val="21"/>
          <w:highlight w:val="none"/>
          <w:u w:val="single"/>
        </w:rPr>
        <w:t xml:space="preserve">按通用条款</w:t>
      </w:r>
      <w:r>
        <w:rPr>
          <w:rFonts w:hint="eastAsia" w:ascii="宋体" w:hAnsi="宋体" w:eastAsia="宋体" w:cs="宋体"/>
          <w:szCs w:val="21"/>
          <w:highlight w:val="none"/>
        </w:rPr>
        <w:t xml:space="preserve">。 </w:t>
      </w:r>
      <w:r/>
    </w:p>
    <w:p>
      <w:pPr>
        <w:ind w:left="0" w:firstLine="420"/>
        <w:keepLines/>
        <w:keepNext/>
        <w:pageBreakBefore w:val="0"/>
        <w:spacing w:line="420" w:lineRule="exact"/>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14.4.2 最终结清证书和支付</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（1）发包人完成最终结清申请单的审批并颁发最终结清证书的期限：</w:t>
      </w:r>
      <w:r>
        <w:rPr>
          <w:rFonts w:hint="eastAsia" w:ascii="宋体" w:hAnsi="宋体" w:eastAsia="宋体" w:cs="宋体"/>
          <w:spacing w:val="-1"/>
          <w:szCs w:val="21"/>
          <w:highlight w:val="none"/>
          <w:u w:val="single"/>
        </w:rPr>
        <w:t xml:space="preserve">按通用条款</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（2）发包人完成支付的期限：</w:t>
      </w:r>
      <w:r>
        <w:rPr>
          <w:rFonts w:hint="eastAsia" w:ascii="宋体" w:hAnsi="宋体" w:eastAsia="宋体" w:cs="宋体"/>
          <w:spacing w:val="-1"/>
          <w:szCs w:val="21"/>
          <w:highlight w:val="none"/>
          <w:u w:val="single"/>
        </w:rPr>
        <w:t xml:space="preserve">按通用条款</w:t>
      </w:r>
      <w:r>
        <w:rPr>
          <w:rFonts w:hint="eastAsia" w:ascii="宋体" w:hAnsi="宋体" w:eastAsia="宋体" w:cs="宋体"/>
          <w:szCs w:val="21"/>
          <w:highlight w:val="none"/>
        </w:rPr>
        <w:t xml:space="preserve">。</w:t>
      </w:r>
      <w:bookmarkEnd w:id="599"/>
      <w:r/>
      <w:bookmarkEnd w:id="600"/>
      <w:r/>
      <w:bookmarkEnd w:id="601"/>
      <w:r/>
      <w:bookmarkEnd w:id="602"/>
      <w:r/>
      <w:bookmarkEnd w:id="603"/>
      <w:r/>
      <w:bookmarkEnd w:id="604"/>
      <w:r/>
      <w:bookmarkEnd w:id="605"/>
      <w:r/>
      <w:bookmarkEnd w:id="606"/>
      <w:r/>
      <w:r/>
    </w:p>
    <w:p>
      <w:pPr>
        <w:ind w:left="0" w:firstLine="422"/>
        <w:keepLines/>
        <w:keepNext/>
        <w:pageBreakBefore w:val="0"/>
        <w:spacing w:line="420" w:lineRule="exact"/>
        <w:widowControl w:val="off"/>
        <w:rPr>
          <w:rFonts w:hint="eastAsia" w:ascii="宋体" w:hAnsi="宋体" w:eastAsia="宋体" w:cs="宋体"/>
          <w:b/>
          <w:szCs w:val="21"/>
          <w:highlight w:val="none"/>
        </w:rPr>
      </w:pPr>
      <w:r/>
      <w:bookmarkStart w:id="608" w:name="_Toc351203647"/>
      <w:r/>
      <w:bookmarkStart w:id="609" w:name="_Toc267251483"/>
      <w:r/>
      <w:bookmarkStart w:id="610" w:name="_Toc267251484"/>
      <w:r/>
      <w:bookmarkStart w:id="611" w:name="_Toc267251482"/>
      <w:r/>
      <w:bookmarkStart w:id="612" w:name="_Toc267251485"/>
      <w:r/>
      <w:bookmarkStart w:id="613" w:name="_Toc267251486"/>
      <w:r/>
      <w:bookmarkStart w:id="614" w:name="_Toc267251488"/>
      <w:r/>
      <w:bookmarkStart w:id="615" w:name="_Toc267251489"/>
      <w:r/>
      <w:bookmarkStart w:id="616" w:name="_Toc267251490"/>
      <w:r/>
      <w:bookmarkStart w:id="617" w:name="_Toc267251498"/>
      <w:r/>
      <w:bookmarkStart w:id="618" w:name="_Toc267251494"/>
      <w:r/>
      <w:bookmarkStart w:id="619" w:name="_Toc267251503"/>
      <w:r/>
      <w:bookmarkStart w:id="620" w:name="_Toc267251501"/>
      <w:r/>
      <w:bookmarkStart w:id="621" w:name="_Toc267251491"/>
      <w:r/>
      <w:bookmarkStart w:id="622" w:name="_Toc267251492"/>
      <w:r/>
      <w:bookmarkStart w:id="623" w:name="_Toc267251495"/>
      <w:r/>
      <w:bookmarkStart w:id="624" w:name="_Toc267251499"/>
      <w:r/>
      <w:bookmarkStart w:id="625" w:name="_Toc267251497"/>
      <w:r/>
      <w:bookmarkStart w:id="626" w:name="_Toc267251493"/>
      <w:r/>
      <w:bookmarkStart w:id="627" w:name="_Toc267251502"/>
      <w:r/>
      <w:bookmarkStart w:id="628" w:name="_Toc267251496"/>
      <w:r/>
      <w:bookmarkStart w:id="629" w:name="_Toc267251504"/>
      <w:r/>
      <w:bookmarkStart w:id="630" w:name="_Toc267251506"/>
      <w:r/>
      <w:bookmarkStart w:id="631" w:name="_Toc267251507"/>
      <w:r/>
      <w:bookmarkStart w:id="632" w:name="_Toc267251508"/>
      <w:r/>
      <w:bookmarkStart w:id="633" w:name="_Toc267251515"/>
      <w:r/>
      <w:bookmarkStart w:id="634" w:name="_Toc267251509"/>
      <w:r/>
      <w:bookmarkStart w:id="635" w:name="_Toc267251513"/>
      <w:r/>
      <w:bookmarkStart w:id="636" w:name="_Toc267251514"/>
      <w:r/>
      <w:bookmarkStart w:id="637" w:name="_Toc267251510"/>
      <w:r/>
      <w:bookmarkStart w:id="638" w:name="_Toc267251511"/>
      <w:r>
        <w:rPr>
          <w:rFonts w:hint="eastAsia" w:ascii="宋体" w:hAnsi="宋体" w:eastAsia="宋体" w:cs="宋体"/>
          <w:b/>
          <w:szCs w:val="21"/>
          <w:highlight w:val="none"/>
        </w:rPr>
        <w:t xml:space="preserve">15. 缺陷责任期与保修</w:t>
      </w:r>
      <w:bookmarkEnd w:id="608"/>
      <w:r/>
      <w:r/>
    </w:p>
    <w:p>
      <w:pPr>
        <w:ind w:left="0" w:firstLine="422"/>
        <w:keepLines/>
        <w:keepNext/>
        <w:pageBreakBefore w:val="0"/>
        <w:spacing w:line="420" w:lineRule="exact"/>
        <w:widowControl w:val="off"/>
        <w:rPr>
          <w:rFonts w:hint="eastAsia" w:ascii="宋体" w:hAnsi="宋体" w:eastAsia="宋体" w:cs="宋体"/>
          <w:b/>
          <w:szCs w:val="21"/>
          <w:highlight w:val="none"/>
        </w:rPr>
      </w:pPr>
      <w:r>
        <w:rPr>
          <w:rFonts w:hint="eastAsia" w:ascii="宋体" w:hAnsi="宋体" w:eastAsia="宋体" w:cs="宋体"/>
          <w:b/>
          <w:szCs w:val="21"/>
          <w:highlight w:val="none"/>
        </w:rPr>
        <w:t xml:space="preserve">15.2缺陷责任期</w:t>
      </w:r>
      <w:bookmarkEnd w:id="609"/>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缺陷责任期的具体期限：</w:t>
      </w:r>
      <w:r>
        <w:rPr>
          <w:rFonts w:hint="eastAsia" w:ascii="宋体" w:hAnsi="宋体" w:eastAsia="宋体" w:cs="宋体"/>
          <w:szCs w:val="21"/>
          <w:highlight w:val="none"/>
          <w:u w:val="single"/>
        </w:rPr>
        <w:t xml:space="preserve">按国家规定执行。</w:t>
      </w:r>
      <w:r/>
    </w:p>
    <w:p>
      <w:pPr>
        <w:ind w:left="0" w:firstLine="422"/>
        <w:keepLines/>
        <w:keepNext/>
        <w:pageBreakBefore w:val="0"/>
        <w:spacing w:line="420" w:lineRule="exact"/>
        <w:widowControl w:val="off"/>
        <w:rPr>
          <w:rFonts w:hint="eastAsia" w:ascii="宋体" w:hAnsi="宋体" w:eastAsia="宋体" w:cs="宋体"/>
          <w:b/>
          <w:szCs w:val="21"/>
          <w:highlight w:val="none"/>
        </w:rPr>
      </w:pPr>
      <w:r>
        <w:rPr>
          <w:rFonts w:hint="eastAsia" w:ascii="宋体" w:hAnsi="宋体" w:eastAsia="宋体" w:cs="宋体"/>
          <w:b/>
          <w:szCs w:val="21"/>
          <w:highlight w:val="none"/>
        </w:rPr>
        <w:t xml:space="preserve">15.3 质量保证金</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关于是否扣留质量保证金的约定：</w:t>
      </w:r>
      <w:r>
        <w:rPr>
          <w:rFonts w:hint="eastAsia" w:ascii="宋体" w:hAnsi="宋体" w:eastAsia="宋体" w:cs="宋体"/>
          <w:szCs w:val="21"/>
          <w:highlight w:val="none"/>
          <w:u w:val="single"/>
        </w:rPr>
        <w:t xml:space="preserve">是。工程缺陷责任期根据《建设工程质量保证金管理暂行办法》规定。在缺陷责任期内，承包人应定时、不定时地对工程进行巡查，及时更换、维修破损的设施，在缺陷责任期内因承包人未能及时更换、维修破损的设施而发生的因缺陷所造成的质量、安全等一切责任均由承包人承担。发包人通知承包人对缺陷问题限期修复，如承包人不能及时修复，发包人可以指定单位修复，直接在质量保证金中扣除相关费用，承包人承担修复费2倍的违约金，从质保金中扣除。承包人未接到通知，不排除其应承担的责任。缺陷责任期满但未履行工程移交手续，一切责任仍由承包人负责。</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15.3.1 承包人提供质量保证金的方式</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质量保证金采用以下第</w:t>
      </w:r>
      <w:r>
        <w:rPr>
          <w:rFonts w:hint="eastAsia" w:ascii="宋体" w:hAnsi="宋体" w:eastAsia="宋体" w:cs="宋体"/>
          <w:szCs w:val="21"/>
          <w:highlight w:val="none"/>
          <w:u w:val="single"/>
        </w:rPr>
        <w:t xml:space="preserve"> （2）</w:t>
      </w:r>
      <w:r>
        <w:rPr>
          <w:rFonts w:hint="eastAsia" w:ascii="宋体" w:hAnsi="宋体" w:eastAsia="宋体" w:cs="宋体"/>
          <w:szCs w:val="21"/>
          <w:highlight w:val="none"/>
        </w:rPr>
        <w:t xml:space="preserve">种方式：</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（1）质量保证金保函，保证金额为：</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 </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b/>
          <w:bCs/>
          <w:szCs w:val="21"/>
          <w:highlight w:val="none"/>
          <w:u w:val="single"/>
        </w:rPr>
        <w:t xml:space="preserve"> 3 </w:t>
      </w:r>
      <w:r>
        <w:rPr>
          <w:rFonts w:hint="eastAsia" w:ascii="宋体" w:hAnsi="宋体" w:eastAsia="宋体" w:cs="宋体"/>
          <w:b/>
          <w:bCs/>
          <w:szCs w:val="21"/>
          <w:highlight w:val="none"/>
        </w:rPr>
        <w:t xml:space="preserve">%</w:t>
      </w:r>
      <w:r>
        <w:rPr>
          <w:rFonts w:hint="eastAsia" w:ascii="宋体" w:hAnsi="宋体" w:eastAsia="宋体" w:cs="宋体"/>
          <w:szCs w:val="21"/>
          <w:highlight w:val="none"/>
        </w:rPr>
        <w:t xml:space="preserve">的工程款；</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（3）其他方式:</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15.3.2 质量保证金的扣留 </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质量保证金的扣留采取以下第</w:t>
      </w:r>
      <w:r>
        <w:rPr>
          <w:rFonts w:hint="eastAsia" w:ascii="宋体" w:hAnsi="宋体" w:eastAsia="宋体" w:cs="宋体"/>
          <w:szCs w:val="21"/>
          <w:highlight w:val="none"/>
          <w:u w:val="single"/>
        </w:rPr>
        <w:t xml:space="preserve">  2   </w:t>
      </w:r>
      <w:r>
        <w:rPr>
          <w:rFonts w:hint="eastAsia" w:ascii="宋体" w:hAnsi="宋体" w:eastAsia="宋体" w:cs="宋体"/>
          <w:szCs w:val="21"/>
          <w:highlight w:val="none"/>
        </w:rPr>
        <w:t xml:space="preserve">种方式：</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（1）在支付工程进度款时逐次扣留，在此情形下，质量保证金的计算基数不包括预付款的支付、扣回以及价格调整的金额；</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（2）工程竣工结算时一次性扣留质量保证金；</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（3）其他扣留方式 :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关于质量保证金的补充约定：</w:t>
      </w:r>
      <w:r>
        <w:rPr>
          <w:rFonts w:hint="eastAsia" w:ascii="宋体" w:hAnsi="宋体" w:eastAsia="宋体" w:cs="宋体"/>
          <w:szCs w:val="21"/>
          <w:highlight w:val="none"/>
          <w:u w:val="single"/>
        </w:rPr>
        <w:t xml:space="preserve">在缺陷责任期内，因承包人原因造成工程缺陷、损坏的，承包人未能及时修复的，发包人可以直接委托第三方修复，所需费用由承包人承担，缺陷责任期满将扣除修复费用、违约金（如有）部分无息退还承包人。</w:t>
      </w:r>
      <w:bookmarkEnd w:id="610"/>
      <w:r/>
      <w:bookmarkEnd w:id="611"/>
      <w:r/>
      <w:r/>
    </w:p>
    <w:p>
      <w:pPr>
        <w:ind w:left="0" w:firstLine="420"/>
        <w:keepLines/>
        <w:keepNex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15.4保修</w:t>
      </w:r>
      <w:bookmarkEnd w:id="612"/>
      <w:r/>
      <w:r/>
    </w:p>
    <w:p>
      <w:pPr>
        <w:ind w:left="0" w:firstLine="409"/>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15.4.1 保修责任</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工程保修期为：</w:t>
      </w:r>
      <w:r>
        <w:rPr>
          <w:rFonts w:hint="eastAsia" w:ascii="宋体" w:hAnsi="宋体" w:eastAsia="宋体" w:cs="宋体"/>
          <w:szCs w:val="21"/>
          <w:highlight w:val="none"/>
          <w:u w:val="single"/>
        </w:rPr>
        <w:t xml:space="preserve">按国家相关规定。</w:t>
      </w:r>
      <w:r/>
    </w:p>
    <w:p>
      <w:pPr>
        <w:ind w:left="0" w:firstLine="409"/>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15.4.3 修复通知</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承包人收到保修通知并到达工程现场的合理时间：</w:t>
      </w:r>
      <w:r>
        <w:rPr>
          <w:rFonts w:hint="eastAsia" w:ascii="宋体" w:hAnsi="宋体" w:eastAsia="宋体" w:cs="宋体"/>
          <w:szCs w:val="21"/>
          <w:highlight w:val="none"/>
          <w:u w:val="single"/>
        </w:rPr>
        <w:t xml:space="preserve">1、属于保修范围、内容的项目，承包人应当在接到保修通知之日起2天内派人保修。承包人不在约定期限内派人保修的，发包人可以委 托他人修理。2、发生紧急抢修事故的，承包人在接到事故通知后，应当立即到达事故现场抢修；承包人不按时派人保修的，发包人可以委托他人修理，所发生的费用由承包人承担。</w:t>
      </w:r>
      <w:bookmarkEnd w:id="613"/>
      <w:r/>
      <w:bookmarkEnd w:id="614"/>
      <w:r/>
      <w:bookmarkEnd w:id="615"/>
      <w:r/>
      <w:bookmarkEnd w:id="616"/>
      <w:r/>
      <w:bookmarkStart w:id="639" w:name="_Toc351203648"/>
      <w:r/>
      <w:bookmarkStart w:id="640" w:name="_Toc280868717"/>
      <w:r/>
      <w:bookmarkStart w:id="641" w:name="_Toc280868718"/>
      <w:r/>
      <w:r/>
    </w:p>
    <w:p>
      <w:pPr>
        <w:numPr>
          <w:ilvl w:val="0"/>
          <w:numId w:val="2"/>
        </w:numPr>
        <w:ind w:left="0" w:firstLine="422"/>
        <w:jc w:val="left"/>
        <w:pageBreakBefore w:val="0"/>
        <w:spacing w:line="420" w:lineRule="exact"/>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违约</w:t>
      </w:r>
      <w:bookmarkEnd w:id="639"/>
      <w:r/>
      <w:r/>
    </w:p>
    <w:p>
      <w:pPr>
        <w:ind w:left="0" w:firstLine="422"/>
        <w:jc w:val="left"/>
        <w:pageBreakBefore w:val="0"/>
        <w:spacing w:line="420" w:lineRule="exact"/>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16.1 发包人违约</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16.1.1 发包人违约的情形</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发包人违约的其他情形： / 。</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16.1.2 发包人违约的责任</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发包人违约责任的承担方式和计算方法：</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（1）因发包人原因未能在计划开工日期前 7 天内下达开工通知的违约责任：</w:t>
      </w:r>
      <w:r>
        <w:rPr>
          <w:rFonts w:hint="eastAsia" w:ascii="宋体" w:hAnsi="宋体" w:eastAsia="宋体" w:cs="宋体"/>
          <w:szCs w:val="21"/>
          <w:highlight w:val="none"/>
          <w:u w:val="single"/>
        </w:rPr>
        <w:t xml:space="preserve"> / 。</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（2）因发包人原因未能按合同约定支付合同价款的违约责任：</w:t>
      </w:r>
      <w:r>
        <w:rPr>
          <w:rFonts w:hint="eastAsia" w:ascii="宋体" w:hAnsi="宋体" w:eastAsia="宋体" w:cs="宋体"/>
          <w:szCs w:val="21"/>
          <w:highlight w:val="none"/>
          <w:u w:val="single"/>
        </w:rPr>
        <w:t xml:space="preserve"> / 。</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（3）发包人违反第 10.1 款〔变更的范围〕第（2）项约定，自行实施被取消的工作或转由他人实施的违约责任：</w:t>
      </w:r>
      <w:r>
        <w:rPr>
          <w:rFonts w:hint="eastAsia" w:ascii="宋体" w:hAnsi="宋体" w:eastAsia="宋体" w:cs="宋体"/>
          <w:szCs w:val="21"/>
          <w:highlight w:val="none"/>
          <w:u w:val="singl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（4）发包人提供的材料、工程设备的规格、数量或质量不符合合同约定， 或因发包人原因导致交货日期延误或交货地点变更等情况的违约责任：</w:t>
      </w:r>
      <w:r>
        <w:rPr>
          <w:rFonts w:hint="eastAsia" w:ascii="宋体" w:hAnsi="宋体" w:eastAsia="宋体" w:cs="宋体"/>
          <w:szCs w:val="21"/>
          <w:highlight w:val="none"/>
          <w:u w:val="single"/>
        </w:rPr>
        <w:t xml:space="preserve"> / 。</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（5）因发包人违反合同约定造成暂停施工的违约责任：</w:t>
      </w:r>
      <w:r>
        <w:rPr>
          <w:rFonts w:hint="eastAsia" w:ascii="宋体" w:hAnsi="宋体" w:eastAsia="宋体" w:cs="宋体"/>
          <w:szCs w:val="21"/>
          <w:highlight w:val="none"/>
          <w:u w:val="singl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（6）发包人无正当理由没有在约定期限内发出复工指示，导致承包人无法复工的违约责任： </w:t>
      </w:r>
      <w:r>
        <w:rPr>
          <w:rFonts w:hint="eastAsia" w:ascii="宋体" w:hAnsi="宋体" w:eastAsia="宋体" w:cs="宋体"/>
          <w:szCs w:val="21"/>
          <w:highlight w:val="none"/>
          <w:u w:val="singl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（7）其他：发包人发出书面开工通知前，承包人不得提前备工备料，承包人擅自投入造成损失的，发包人不作任何形式的补偿或赔偿。</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项目因故未能实施，中标后至可以将项目负责人解锁期间的企业管理费中的人员费用，发包人不做任何形式的补偿或赔偿。</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16.1.3 因发包人违约解除合同</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承包人按16.1.1项〔发包人违约的情形〕约定暂停施工满</w:t>
      </w:r>
      <w:r>
        <w:rPr>
          <w:rFonts w:hint="eastAsia" w:ascii="宋体" w:hAnsi="宋体" w:eastAsia="宋体" w:cs="宋体"/>
          <w:szCs w:val="21"/>
          <w:highlight w:val="none"/>
          <w:u w:val="single"/>
        </w:rPr>
        <w:t xml:space="preserve">/天</w:t>
      </w:r>
      <w:r>
        <w:rPr>
          <w:rFonts w:hint="eastAsia" w:ascii="宋体" w:hAnsi="宋体" w:eastAsia="宋体" w:cs="宋体"/>
          <w:szCs w:val="21"/>
          <w:highlight w:val="none"/>
        </w:rPr>
        <w:t xml:space="preserve">后发包人仍不纠正其违约行为并致使合同目的不能实现的，承包人有权解除合同。</w:t>
      </w:r>
      <w:r/>
    </w:p>
    <w:p>
      <w:pPr>
        <w:ind w:left="0" w:firstLine="422"/>
        <w:jc w:val="left"/>
        <w:pageBreakBefore w:val="0"/>
        <w:spacing w:line="420" w:lineRule="exact"/>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16.2 承包人违约</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16.2.1 承包人违约的情形:</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承包人违约的其他情形：违反合同约定进行转包或违法分包，违反合同约定采购不合格的材料和工程设备，在缺陷责任期及保修期内未能在合理期限内对工程缺陷进行修复或拒绝修复，未能按合同约定工期按期交付工程，工程质量不能达到合同约定质量，不服从发包人安排，接到发包人通知不按时进场，接到发包人通知不按时进场未能按投标文件承诺工期按期交付工程，工程质量不能达到投标文件承诺质量，不服从发包人安排，接到发包人通知不按时进场以及因工程施工中，安全、质量、文明施工、环境保护等各方面被媒体曝光，对发包人造成不良影响等。</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承包人须保证农民工工资及时发放到位，不得截留和拖欠。若发包人发现一次承包人因农民工工资未及时发放而造成矛盾，发包人有权扣除承包人应得工程款而直接用于发放，承包人需向发包人支付垫付的金额 5 倍的违约金并赔偿发包人的损失。情节严重的，发包人有权单方解除合同，冻结专户资金。承包人除承担违约责任并承担由此造成的一切损失，承包人在现场的人员无条件退场，承包人在现场的设备和材料在限期内不搬离的，视为放弃所有权，发包人有权自行处置，由此产生的损失由承包人承担。</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承包人不得转包、不得以任何形式进行挂靠施工及违法分包。如承包人以挂靠、转包或变相挂靠转包的，发包人有权</w:t>
      </w:r>
      <w:r>
        <w:rPr>
          <w:rFonts w:hint="eastAsia" w:ascii="宋体" w:hAnsi="宋体" w:eastAsia="宋体" w:cs="宋体"/>
          <w:szCs w:val="21"/>
          <w:highlight w:val="none"/>
          <w:u w:val="single"/>
        </w:rPr>
        <w:t xml:space="preserve">解除合同，已完工的工程量无偿归发包人所有。发包人有权没收承包人履约保证金，清退其出场；对发包人的损失，由承包人加倍赔偿。无论发包人是否给予了批准或同意，承包人应对现场作业、施工方法及所施工工程的完备性、稳定性和安全性承担全部责任，负责完成对工程的稳定、完整、安全、可靠及有效运行所必须的全部工作，如在施工过程中发现承包人对上述工作内容存在不负责任的现象，发包人可给予警告和要求其承担违约金，情节严重，发包人可单方终止合同，并没收其履约保证金，承包人应承担合同总金额 30%的违约金并赔偿因此造成发包人的一切损失。</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16.2.2 承包人违约的责任</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承包人违约责任的承担方式和计算方法：</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本工程开工时间以发包人和监理工程师批准的开工报告日期为准。如遇特殊情况推迟开工，经发包人确认，合同工期相应顺延。承包人应按照投标文件承诺的工期确保工程验收，不得以任何借口停工怠工。如因承包人原因延误工期的，承包人应承担违约责任，按每拖延一天向发包人支付合同约定的违约金，此违约金发包人有权在履约保证金或工程款中扣除。如因不可抗力或发包人原因造成工期延误的，工期相应顺延，但承包人必须有发包人的书面签证作为依据，否则视为承包人延期处理。如因发包人原因并且符合工程工期顺延的情况，经监理和发包人签证确认后顺延。</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中标后，承包人应重新编制详细的工程施工进度计划报发包人批准。承包人严格按照经发包人批准的施工计划组织工程施工。接受发包人对进度的检查、监督，工程实际进度与经确认的进度计划不符时，承包人应按发包人的要求提出书面改进措施方案，并经发包人确认后执行。</w:t>
      </w:r>
      <w:r>
        <w:rPr>
          <w:rFonts w:hint="eastAsia" w:ascii="宋体" w:hAnsi="宋体" w:eastAsia="宋体" w:cs="宋体"/>
          <w:szCs w:val="21"/>
          <w:highlight w:val="none"/>
          <w:u w:val="single"/>
        </w:rPr>
        <w:tab/>
      </w:r>
      <w:r>
        <w:rPr>
          <w:rFonts w:hint="eastAsia" w:ascii="宋体" w:hAnsi="宋体" w:eastAsia="宋体" w:cs="宋体"/>
          <w:szCs w:val="21"/>
          <w:highlight w:val="none"/>
          <w:u w:val="single"/>
        </w:rPr>
        <w:t xml:space="preserve"> 因承包人的原因导致实际进度与进度计划不符，承包人无权就改进措施提出追加合同价款，并按合同约定承担违约责任；</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（3）承包人在中标后须派专人配合发包人办理相关手续，该人员办理手续期间，服从发包人工作安排，相关费用已在签约合同价中考虑。承包人未按照发包人要求办理的，发包人有权要求承包人承担 5000 元的违约金。须根据工程建设进度需要派专人负责工程所有相关资料的填写、审签、完善工作，服从发包人检查的需要，相关费用已在签约合同价中考虑。承包人未按照发包人要求及时完成的，每发生一次承包人须向发包人承担 2000 元的违约金；</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（4）承包人需服从发包人对施工现场的统筹管理，合理组织，推进工程建设，参加发包人定期开展的工作例会，并按照要求定期向承包人及现场监理上报进度计划，承包人应对照进度计划定 期与实际工程量做比较，如未能按照进度计划完成施工，承包人应做具体分析，并且采取弥补措施，赶上原进度计划，赶工费用由承包人自行承担；如承包人不服从承包人管理、无故缺席工作例会、未能按照进度计划完成工作的，发包人有权要求承包人承担 5000 元/次的违约金并按照合同专用条款 7.5.2 条处理；</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（5）发包人根据现场进展情况有权要求承包人增加机械、人员，所发生的费用由承包人自行承担，不服从管理的，发包人有权要求承包人承担 5000 元每次的违约金；</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6）承包人自行勘查现场，考虑地块位置的局限性及施工场地较小因素，并充分考虑工期及质量影响，项目现场矛盾由承包人自行协调解决，费用由承包人自行考虑在签约合同价中，发包人不另行签证，工期不顺延，确保质量符合要求；</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7）承包人完成合同约定及发包人要求的全部工作量后，向发包人提交竣工验收申请报告，发包人及时组织工程竣工验收。如因工程质量问题导致的验收延误，责任由承包人承担，如因发包人原因导致的验收延误，责任由发包人承担，工期顺延。工程验收必须在质量合格的基础上进行，承包人须自检合格；</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（8）无论是货物、材料还是施工如有质量问题，承包人必须按发包人或监理提出整改意见整改到位后，提请验收；</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（9）工程质保期按现行相关规定执行，并从工程竣工验收合格之日起计算。在质保期内如出现产品质量问题或安装施工质量问题，责任由承包人负责；</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（10）承包人须考虑保护地下设施, 费用由承包人承担；</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（11）对于招标文件、清单或图纸中的表述不清、有矛盾的地方，承包人在规定的时间内提出答疑，未提出答疑，施工进场时，按照发包人的解释执行；</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（12）承包人报送的结算资料是复印件的，报审时携带原件核对。审核过程中，承包人保证密切配合，以确保及时、准确地完成工程结算审核工作；</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13）本合同中所有涉及应当由承包人承担的违约金，在结算价中直接扣除。其他：以上关于合同定价与结算方式主要条款中未尽事宜由双方依据《建设工程工程量清单计价规范》（GB50500-2013）以及相关配套文件中关于工程价款调整结算的内容进行协商,并在合同中具体约定；</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（14）承包人应当按照开工令的开工日期开工。承包人不能按时开工，应当不迟于合同约定的开工日期前 7 天，以书面形式向发包人提出延期开工的理由和要求。发包人应当在接到延期开工申请后的 48 小时内以书面形式答复承包人，发包人在接到延期开工申请后的 48 小时内不答复，视为不同意承包人的要求。发包人不同意延期要求或承包人未在规定时间内提出延期开工要求，工期不予顺延；</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（15）承包人施工时必须服从发包人和监理工程师对施工场地和施工时间的统一管理。与相关施工单位密切配合绝不扯皮，如有问题以发包人意见为准，如不服从根据实际情况每次支付违约金 10000 元，如造成工期延误的，视为承包人违约，并按照合同约定承担逾期违约责任。承包人应充分考虑施工环境、施工部位和施工季节的特殊性，在遵守地方政府规定的前提下确保工期和质量，自行处理各方关系，费用自理；</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（16）因承包人原因，工程在中间交验过程中，不能达到招标和合同要求（工期、质量），累计拖延工期达 2 天以上，且承包人拿不出让发包人满意的追赶工期计划，承包人除承担违约责任外，发包人有权拒付（缓付）工程款，并酌情调整施工队伍直至清除出场，发包人也有权单方解除合同， 扣除履约保证金，承包人需承担合同协议书约定的总价 20%的违约金，承包人承诺无条件服从并承担由此发生的一切费用和损失；</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17）本合同涉及的承包人需承担的违约金、赔偿金等费用，发包人也有权直接在应付工程款或履约保证金等待付款项中直接扣除。如仍不能弥补发包人损失的，发包人有权暂停支付承包人在发包人处其它工程的应付款项。</w:t>
      </w:r>
      <w:r>
        <w:rPr>
          <w:rFonts w:hint="eastAsia" w:ascii="宋体" w:hAnsi="宋体" w:eastAsia="宋体" w:cs="宋体"/>
          <w:szCs w:val="21"/>
          <w:highlight w:val="none"/>
        </w:rPr>
        <w:t xml:space="preserve"> </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16.2.3 因承包人违约解除合同</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关于承包人违约解除合同的特别约定：</w:t>
      </w:r>
      <w:r>
        <w:rPr>
          <w:rFonts w:hint="eastAsia" w:ascii="宋体" w:hAnsi="宋体" w:eastAsia="宋体" w:cs="宋体"/>
          <w:szCs w:val="21"/>
          <w:highlight w:val="none"/>
          <w:u w:val="single"/>
        </w:rPr>
        <w:t xml:space="preserve">在本合同履行过程中，如承包人发生如下情形之一，发包人将视承包人严重违约，立即解除合同，没收全部履约保证金，承包人承担合同协议书约定的合同总价20%的违约金并承担由此造成的一切损失，承包人在现场的人员无条件退场，承包人在现场的设备和材料无条件供发包人使用，其设备租金和材料价值待法院裁定后，如有剩余，在裁判生效后7天内支付</w:t>
      </w:r>
      <w:r>
        <w:rPr>
          <w:rFonts w:hint="eastAsia" w:ascii="宋体" w:hAnsi="宋体" w:eastAsia="宋体" w:cs="宋体"/>
          <w:szCs w:val="21"/>
          <w:highlight w:val="none"/>
        </w:rPr>
        <w:t xml:space="preserve">。</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①不同意本工程合同条件；</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②停工累计达 2 天或拖延施工进度或影响施工质量；</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③无正当理由，单方面要挟发包人提高合同价款；</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④无正当理由，单方面要挟发包人给予某种补偿；</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⑤承包人未在合同签订后 15 日内完成施工许可证办理的。</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⑥承包人未在合同签订后 10 日内向发包人、监理单位，提供与劳务公司（水电安装、消防、装修、室外附属工程）签订的用工合同，或提供班组人员与施工单位签订的用工合同的。</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⑦因主要材料不到场而解除合同，承包人无条件退场（包括已进场的材料等一切投入），发包人不承担任何责任。</w:t>
      </w:r>
      <w:r/>
    </w:p>
    <w:p>
      <w:pPr>
        <w:ind w:left="0" w:firstLine="420"/>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其他：未能按投标文件承诺工期按期交付工程，工程质量不能达到投标文件承诺质量，不服从发包人安排，接到发包人通知不按时进场等。工程竣工验收后且在合同约定付款比例时，施工单位未全额付清所有农民工工资，引起农民工上访讨薪事件产生负面影响的。</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szCs w:val="21"/>
          <w:highlight w:val="none"/>
          <w:u w:val="single"/>
        </w:rPr>
        <w:t xml:space="preserve">按通用条款执行</w:t>
      </w:r>
      <w:r>
        <w:rPr>
          <w:rFonts w:hint="eastAsia" w:ascii="宋体" w:hAnsi="宋体" w:eastAsia="宋体" w:cs="宋体"/>
          <w:szCs w:val="21"/>
          <w:highlight w:val="none"/>
        </w:rPr>
        <w:t xml:space="preserve">。</w:t>
      </w:r>
      <w:r/>
    </w:p>
    <w:p>
      <w:pPr>
        <w:ind w:left="0" w:firstLine="422"/>
        <w:keepLines/>
        <w:keepNext/>
        <w:pageBreakBefore w:val="0"/>
        <w:spacing w:line="420" w:lineRule="exact"/>
        <w:widowControl w:val="off"/>
        <w:rPr>
          <w:rFonts w:hint="eastAsia" w:ascii="宋体" w:hAnsi="宋体" w:eastAsia="宋体" w:cs="宋体"/>
          <w:b/>
          <w:szCs w:val="21"/>
          <w:highlight w:val="none"/>
        </w:rPr>
      </w:pPr>
      <w:r/>
      <w:bookmarkStart w:id="642" w:name="_Toc351203649"/>
      <w:r>
        <w:rPr>
          <w:rFonts w:hint="eastAsia" w:ascii="宋体" w:hAnsi="宋体" w:eastAsia="宋体" w:cs="宋体"/>
          <w:b/>
          <w:szCs w:val="21"/>
          <w:highlight w:val="none"/>
        </w:rPr>
        <w:t xml:space="preserve">17. 不可抗力</w:t>
      </w:r>
      <w:bookmarkEnd w:id="642"/>
      <w:r>
        <w:rPr>
          <w:rFonts w:hint="eastAsia" w:ascii="宋体" w:hAnsi="宋体" w:eastAsia="宋体" w:cs="宋体"/>
          <w:b/>
          <w:szCs w:val="21"/>
          <w:highlight w:val="none"/>
        </w:rPr>
        <w:t xml:space="preserve"> </w:t>
      </w:r>
      <w:bookmarkEnd w:id="640"/>
      <w:r/>
      <w:r/>
    </w:p>
    <w:p>
      <w:pPr>
        <w:ind w:left="0" w:firstLine="422"/>
        <w:keepLines/>
        <w:keepNext/>
        <w:pageBreakBefore w:val="0"/>
        <w:spacing w:line="420" w:lineRule="exact"/>
        <w:widowControl w:val="off"/>
        <w:rPr>
          <w:rFonts w:hint="eastAsia" w:ascii="宋体" w:hAnsi="宋体" w:eastAsia="宋体" w:cs="宋体"/>
          <w:b/>
          <w:szCs w:val="21"/>
          <w:highlight w:val="none"/>
        </w:rPr>
      </w:pPr>
      <w:r>
        <w:rPr>
          <w:rFonts w:hint="eastAsia" w:ascii="宋体" w:hAnsi="宋体" w:eastAsia="宋体" w:cs="宋体"/>
          <w:b/>
          <w:szCs w:val="21"/>
          <w:highlight w:val="none"/>
        </w:rPr>
        <w:t xml:space="preserve">17.1 不可抗力的确认</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除通用合同条款约定的不可抗力事件之外，视为不可抗力的其他情形： </w:t>
      </w:r>
      <w:r>
        <w:rPr>
          <w:rFonts w:hint="eastAsia" w:ascii="宋体" w:hAnsi="宋体" w:eastAsia="宋体" w:cs="宋体"/>
          <w:szCs w:val="21"/>
          <w:highlight w:val="none"/>
          <w:u w:val="single"/>
        </w:rPr>
        <w:t xml:space="preserve">政府行为、流行病、罢工等社会异常事件 。</w:t>
      </w:r>
      <w:r/>
    </w:p>
    <w:p>
      <w:pPr>
        <w:ind w:left="0" w:firstLine="422"/>
        <w:keepLines/>
        <w:keepNext/>
        <w:pageBreakBefore w:val="0"/>
        <w:spacing w:line="420" w:lineRule="exact"/>
        <w:widowControl w:val="off"/>
        <w:rPr>
          <w:rFonts w:hint="eastAsia" w:ascii="宋体" w:hAnsi="宋体" w:eastAsia="宋体" w:cs="宋体"/>
          <w:b/>
          <w:szCs w:val="21"/>
          <w:highlight w:val="none"/>
        </w:rPr>
      </w:pPr>
      <w:r>
        <w:rPr>
          <w:rFonts w:hint="eastAsia" w:ascii="宋体" w:hAnsi="宋体" w:eastAsia="宋体" w:cs="宋体"/>
          <w:b/>
          <w:szCs w:val="21"/>
          <w:highlight w:val="none"/>
        </w:rPr>
        <w:t xml:space="preserve">17.4 因不可抗力解除合同</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合同解除后，发包人应在商定或确定发包人应支付款项后</w:t>
      </w:r>
      <w:r>
        <w:rPr>
          <w:rFonts w:hint="eastAsia" w:ascii="宋体" w:hAnsi="宋体" w:eastAsia="宋体" w:cs="宋体"/>
          <w:szCs w:val="21"/>
          <w:highlight w:val="none"/>
          <w:u w:val="single"/>
        </w:rPr>
        <w:t xml:space="preserve"> 30 </w:t>
      </w:r>
      <w:r>
        <w:rPr>
          <w:rFonts w:hint="eastAsia" w:ascii="宋体" w:hAnsi="宋体" w:eastAsia="宋体" w:cs="宋体"/>
          <w:szCs w:val="21"/>
          <w:highlight w:val="none"/>
        </w:rPr>
        <w:t xml:space="preserve">天内完成款项的支付。</w:t>
      </w:r>
      <w:r/>
    </w:p>
    <w:p>
      <w:pPr>
        <w:ind w:left="0" w:firstLine="422"/>
        <w:keepLines/>
        <w:keepNext/>
        <w:pageBreakBefore w:val="0"/>
        <w:spacing w:line="420" w:lineRule="exact"/>
        <w:widowControl w:val="off"/>
        <w:rPr>
          <w:rFonts w:hint="eastAsia" w:ascii="宋体" w:hAnsi="宋体" w:eastAsia="宋体" w:cs="宋体"/>
          <w:b/>
          <w:szCs w:val="21"/>
          <w:highlight w:val="none"/>
        </w:rPr>
      </w:pPr>
      <w:r/>
      <w:bookmarkStart w:id="643" w:name="_Toc351203650"/>
      <w:r>
        <w:rPr>
          <w:rFonts w:hint="eastAsia" w:ascii="宋体" w:hAnsi="宋体" w:eastAsia="宋体" w:cs="宋体"/>
          <w:b/>
          <w:szCs w:val="21"/>
          <w:highlight w:val="none"/>
        </w:rPr>
        <w:t xml:space="preserve">18. 保险</w:t>
      </w:r>
      <w:bookmarkEnd w:id="641"/>
      <w:r/>
      <w:bookmarkEnd w:id="643"/>
      <w:r/>
      <w:r/>
    </w:p>
    <w:p>
      <w:pPr>
        <w:ind w:left="0" w:firstLine="422"/>
        <w:keepLines/>
        <w:keepNext/>
        <w:pageBreakBefore w:val="0"/>
        <w:spacing w:line="420" w:lineRule="exact"/>
        <w:widowControl w:val="off"/>
        <w:rPr>
          <w:rFonts w:hint="eastAsia" w:ascii="宋体" w:hAnsi="宋体" w:eastAsia="宋体" w:cs="宋体"/>
          <w:b/>
          <w:szCs w:val="21"/>
          <w:highlight w:val="none"/>
        </w:rPr>
      </w:pPr>
      <w:r>
        <w:rPr>
          <w:rFonts w:hint="eastAsia" w:ascii="宋体" w:hAnsi="宋体" w:eastAsia="宋体" w:cs="宋体"/>
          <w:b/>
          <w:szCs w:val="21"/>
          <w:highlight w:val="none"/>
        </w:rPr>
        <w:t xml:space="preserve">18.1 工程保险</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关于工程保险的特别约定：</w:t>
      </w:r>
      <w:r>
        <w:rPr>
          <w:rFonts w:hint="eastAsia" w:ascii="宋体" w:hAnsi="宋体" w:eastAsia="宋体" w:cs="宋体"/>
          <w:szCs w:val="21"/>
          <w:highlight w:val="none"/>
          <w:u w:val="single"/>
        </w:rPr>
        <w:t xml:space="preserve">承包人投保安装工程一切险并承担保</w:t>
      </w:r>
      <w:bookmarkStart w:id="686" w:name="_GoBack"/>
      <w:r/>
      <w:bookmarkEnd w:id="686"/>
      <w:r>
        <w:rPr>
          <w:rFonts w:hint="eastAsia" w:ascii="宋体" w:hAnsi="宋体" w:eastAsia="宋体" w:cs="宋体"/>
          <w:szCs w:val="21"/>
          <w:highlight w:val="none"/>
          <w:u w:val="single"/>
        </w:rPr>
        <w:t xml:space="preserve">险费用 </w:t>
      </w:r>
      <w:r>
        <w:rPr>
          <w:rFonts w:hint="eastAsia" w:ascii="宋体" w:hAnsi="宋体" w:eastAsia="宋体" w:cs="宋体"/>
          <w:szCs w:val="21"/>
          <w:highlight w:val="none"/>
        </w:rPr>
        <w:t xml:space="preserve">。</w:t>
      </w:r>
      <w:r/>
    </w:p>
    <w:p>
      <w:pPr>
        <w:ind w:left="0" w:firstLine="422"/>
        <w:keepLines/>
        <w:keepNext/>
        <w:pageBreakBefore w:val="0"/>
        <w:spacing w:line="420" w:lineRule="exact"/>
        <w:widowControl w:val="off"/>
        <w:rPr>
          <w:rFonts w:hint="eastAsia" w:ascii="宋体" w:hAnsi="宋体" w:eastAsia="宋体" w:cs="宋体"/>
          <w:b/>
          <w:szCs w:val="21"/>
          <w:highlight w:val="none"/>
        </w:rPr>
      </w:pPr>
      <w:r>
        <w:rPr>
          <w:rFonts w:hint="eastAsia" w:ascii="宋体" w:hAnsi="宋体" w:eastAsia="宋体" w:cs="宋体"/>
          <w:b/>
          <w:szCs w:val="21"/>
          <w:highlight w:val="none"/>
        </w:rPr>
        <w:t xml:space="preserve">18.3 其他保险</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关于其他保险的约定：</w:t>
      </w:r>
      <w:r>
        <w:rPr>
          <w:rFonts w:hint="eastAsia" w:ascii="宋体" w:hAnsi="宋体" w:eastAsia="宋体" w:cs="宋体"/>
          <w:szCs w:val="21"/>
          <w:highlight w:val="none"/>
          <w:u w:val="single"/>
        </w:rPr>
        <w:t xml:space="preserve">由承包人按相应规定办理，相关费用由承包人承担  </w:t>
      </w:r>
      <w:r>
        <w:rPr>
          <w:rFonts w:hint="eastAsia" w:ascii="宋体" w:hAnsi="宋体" w:eastAsia="宋体" w:cs="宋体"/>
          <w:szCs w:val="21"/>
          <w:highlight w:val="none"/>
        </w:rPr>
        <w:t xml:space="preserve">。</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承包人是否应为其施工设备等办理财产保险：</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 xml:space="preserve">。</w:t>
      </w:r>
      <w:r/>
    </w:p>
    <w:p>
      <w:pPr>
        <w:ind w:left="0" w:firstLine="422"/>
        <w:keepLines/>
        <w:keepNext/>
        <w:pageBreakBefore w:val="0"/>
        <w:spacing w:line="420" w:lineRule="exact"/>
        <w:widowControl w:val="off"/>
        <w:rPr>
          <w:rFonts w:hint="eastAsia" w:ascii="宋体" w:hAnsi="宋体" w:eastAsia="宋体" w:cs="宋体"/>
          <w:b/>
          <w:szCs w:val="21"/>
          <w:highlight w:val="none"/>
        </w:rPr>
      </w:pPr>
      <w:r>
        <w:rPr>
          <w:rFonts w:hint="eastAsia" w:ascii="宋体" w:hAnsi="宋体" w:eastAsia="宋体" w:cs="宋体"/>
          <w:b/>
          <w:szCs w:val="21"/>
          <w:highlight w:val="none"/>
        </w:rPr>
        <w:t xml:space="preserve">18.7 通知义务</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关于变更保险合同时的通知义务的约定：</w:t>
      </w:r>
      <w:r>
        <w:rPr>
          <w:rFonts w:hint="eastAsia" w:ascii="宋体" w:hAnsi="宋体" w:eastAsia="宋体" w:cs="宋体"/>
          <w:szCs w:val="21"/>
          <w:highlight w:val="none"/>
          <w:u w:val="single"/>
        </w:rPr>
        <w:t xml:space="preserve">按通用条款  </w:t>
      </w:r>
      <w:r>
        <w:rPr>
          <w:rFonts w:hint="eastAsia" w:ascii="宋体" w:hAnsi="宋体" w:eastAsia="宋体" w:cs="宋体"/>
          <w:szCs w:val="21"/>
          <w:highlight w:val="none"/>
        </w:rPr>
        <w:t xml:space="preserve">。</w:t>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r/>
    </w:p>
    <w:p>
      <w:pPr>
        <w:ind w:left="0" w:firstLine="422"/>
        <w:keepLines/>
        <w:keepNext/>
        <w:pageBreakBefore w:val="0"/>
        <w:spacing w:line="420" w:lineRule="exact"/>
        <w:widowControl w:val="off"/>
        <w:rPr>
          <w:rFonts w:hint="eastAsia" w:ascii="宋体" w:hAnsi="宋体" w:eastAsia="宋体" w:cs="宋体"/>
          <w:b/>
          <w:szCs w:val="21"/>
          <w:highlight w:val="none"/>
        </w:rPr>
      </w:pPr>
      <w:r/>
      <w:bookmarkStart w:id="644" w:name="_Toc351203651"/>
      <w:r>
        <w:rPr>
          <w:rFonts w:hint="eastAsia" w:ascii="宋体" w:hAnsi="宋体" w:eastAsia="宋体" w:cs="宋体"/>
          <w:b/>
          <w:szCs w:val="21"/>
          <w:highlight w:val="none"/>
        </w:rPr>
        <w:t xml:space="preserve">20. 争议解决</w:t>
      </w:r>
      <w:bookmarkEnd w:id="629"/>
      <w:r/>
      <w:bookmarkEnd w:id="630"/>
      <w:r/>
      <w:bookmarkEnd w:id="644"/>
      <w:r/>
      <w:r/>
    </w:p>
    <w:p>
      <w:pPr>
        <w:ind w:left="0" w:firstLine="422"/>
        <w:keepLines/>
        <w:keepNext/>
        <w:pageBreakBefore w:val="0"/>
        <w:spacing w:line="420" w:lineRule="exact"/>
        <w:widowControl w:val="off"/>
        <w:rPr>
          <w:rFonts w:hint="eastAsia" w:ascii="宋体" w:hAnsi="宋体" w:eastAsia="宋体" w:cs="宋体"/>
          <w:b/>
          <w:szCs w:val="21"/>
          <w:highlight w:val="none"/>
        </w:rPr>
      </w:pPr>
      <w:r>
        <w:rPr>
          <w:rFonts w:hint="eastAsia" w:ascii="宋体" w:hAnsi="宋体" w:eastAsia="宋体" w:cs="宋体"/>
          <w:b/>
          <w:szCs w:val="21"/>
          <w:highlight w:val="none"/>
        </w:rPr>
        <w:t xml:space="preserve">20.3 争</w:t>
      </w:r>
      <w:bookmarkEnd w:id="631"/>
      <w:r>
        <w:rPr>
          <w:rFonts w:hint="eastAsia" w:ascii="宋体" w:hAnsi="宋体" w:eastAsia="宋体" w:cs="宋体"/>
          <w:b/>
          <w:szCs w:val="21"/>
          <w:highlight w:val="none"/>
        </w:rPr>
        <w:t xml:space="preserve">议评审</w:t>
      </w:r>
      <w:r/>
    </w:p>
    <w:p>
      <w:pPr>
        <w:ind w:left="0" w:firstLine="315"/>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合同当事人是否同意将工程争议提交争议评审小组决定：</w:t>
      </w:r>
      <w:r>
        <w:rPr>
          <w:rFonts w:hint="eastAsia" w:ascii="宋体" w:hAnsi="宋体" w:eastAsia="宋体" w:cs="宋体"/>
          <w:szCs w:val="21"/>
          <w:highlight w:val="none"/>
          <w:u w:val="single"/>
        </w:rPr>
        <w:t xml:space="preserve"> / 。</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20.3.1 争议评审小组的确定</w:t>
      </w:r>
      <w:r/>
    </w:p>
    <w:p>
      <w:pPr>
        <w:ind w:left="0" w:firstLine="420"/>
        <w:jc w:val="left"/>
        <w:pageBreakBefore w:val="0"/>
        <w:spacing w:line="420" w:lineRule="exact"/>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争议评审小组成员的确定：</w:t>
      </w:r>
      <w:r>
        <w:rPr>
          <w:rFonts w:hint="eastAsia" w:ascii="宋体" w:hAnsi="宋体" w:eastAsia="宋体" w:cs="宋体"/>
          <w:szCs w:val="21"/>
          <w:highlight w:val="none"/>
          <w:u w:val="single"/>
        </w:rPr>
        <w:t xml:space="preserve"> / 。</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选定争议评审员的期限：</w:t>
      </w:r>
      <w:r>
        <w:rPr>
          <w:rFonts w:hint="eastAsia" w:ascii="宋体" w:hAnsi="宋体" w:eastAsia="宋体" w:cs="宋体"/>
          <w:szCs w:val="21"/>
          <w:highlight w:val="none"/>
          <w:u w:val="single"/>
        </w:rPr>
        <w:t xml:space="preserve"> / 。</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争议评审小组成员的报酬承担方式：</w:t>
      </w:r>
      <w:r>
        <w:rPr>
          <w:rFonts w:hint="eastAsia" w:ascii="宋体" w:hAnsi="宋体" w:eastAsia="宋体" w:cs="宋体"/>
          <w:szCs w:val="21"/>
          <w:highlight w:val="none"/>
          <w:u w:val="single"/>
        </w:rPr>
        <w:t xml:space="preserve"> / 。</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其他事项的约定：</w:t>
      </w:r>
      <w:r>
        <w:rPr>
          <w:rFonts w:hint="eastAsia" w:ascii="宋体" w:hAnsi="宋体" w:eastAsia="宋体" w:cs="宋体"/>
          <w:szCs w:val="21"/>
          <w:highlight w:val="none"/>
          <w:u w:val="single"/>
        </w:rPr>
        <w:t xml:space="preserve"> / 。</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20.3.2 争议评审小组的决定</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合同当事人关于本项的约定：</w:t>
      </w:r>
      <w:r>
        <w:rPr>
          <w:rFonts w:hint="eastAsia" w:ascii="宋体" w:hAnsi="宋体" w:eastAsia="宋体" w:cs="宋体"/>
          <w:szCs w:val="21"/>
          <w:highlight w:val="none"/>
          <w:u w:val="single"/>
        </w:rPr>
        <w:t xml:space="preserve"> / 。</w:t>
      </w:r>
      <w:r/>
    </w:p>
    <w:p>
      <w:pPr>
        <w:ind w:left="0" w:firstLine="422"/>
        <w:keepLines/>
        <w:keepNext/>
        <w:pageBreakBefore w:val="0"/>
        <w:spacing w:line="420" w:lineRule="exact"/>
        <w:widowControl w:val="off"/>
        <w:rPr>
          <w:rFonts w:hint="eastAsia" w:ascii="宋体" w:hAnsi="宋体" w:eastAsia="宋体" w:cs="宋体"/>
          <w:b/>
          <w:szCs w:val="21"/>
          <w:highlight w:val="none"/>
        </w:rPr>
      </w:pPr>
      <w:r>
        <w:rPr>
          <w:rFonts w:hint="eastAsia" w:ascii="宋体" w:hAnsi="宋体" w:eastAsia="宋体" w:cs="宋体"/>
          <w:b/>
          <w:szCs w:val="21"/>
          <w:highlight w:val="none"/>
        </w:rPr>
        <w:t xml:space="preserve">20.4仲裁或诉讼</w:t>
      </w:r>
      <w:bookmarkEnd w:id="632"/>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因合同及合同有关事项发生的争议，按下列第</w:t>
      </w:r>
      <w:r>
        <w:rPr>
          <w:rFonts w:hint="eastAsia" w:ascii="宋体" w:hAnsi="宋体" w:eastAsia="宋体" w:cs="宋体"/>
          <w:szCs w:val="21"/>
          <w:highlight w:val="none"/>
          <w:u w:val="single"/>
        </w:rPr>
        <w:t xml:space="preserve">  2   </w:t>
      </w:r>
      <w:r>
        <w:rPr>
          <w:rFonts w:hint="eastAsia" w:ascii="宋体" w:hAnsi="宋体" w:eastAsia="宋体" w:cs="宋体"/>
          <w:szCs w:val="21"/>
          <w:highlight w:val="none"/>
        </w:rPr>
        <w:t xml:space="preserve">种方式解决：</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（1）向</w:t>
      </w:r>
      <w:r>
        <w:rPr>
          <w:rFonts w:hint="eastAsia" w:ascii="宋体" w:hAnsi="宋体" w:eastAsia="宋体" w:cs="宋体"/>
          <w:szCs w:val="21"/>
          <w:highlight w:val="none"/>
          <w:u w:val="single"/>
        </w:rPr>
        <w:t xml:space="preserve">盐城 </w:t>
      </w:r>
      <w:r>
        <w:rPr>
          <w:rFonts w:hint="eastAsia" w:ascii="宋体" w:hAnsi="宋体" w:eastAsia="宋体" w:cs="宋体"/>
          <w:szCs w:val="21"/>
          <w:highlight w:val="none"/>
        </w:rPr>
        <w:t xml:space="preserve">仲裁委员会申请仲裁；</w:t>
      </w:r>
      <w:r/>
    </w:p>
    <w:p>
      <w:pPr>
        <w:ind w:left="0" w:firstLine="420"/>
        <w:jc w:val="left"/>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（2）向</w:t>
      </w:r>
      <w:r>
        <w:rPr>
          <w:rFonts w:hint="eastAsia" w:ascii="宋体" w:hAnsi="宋体" w:eastAsia="宋体" w:cs="宋体"/>
          <w:szCs w:val="21"/>
          <w:highlight w:val="none"/>
          <w:u w:val="single"/>
        </w:rPr>
        <w:t xml:space="preserve"> 工程所在地</w:t>
      </w:r>
      <w:r>
        <w:rPr>
          <w:rFonts w:hint="eastAsia" w:ascii="宋体" w:hAnsi="宋体" w:eastAsia="宋体" w:cs="宋体"/>
          <w:szCs w:val="21"/>
          <w:highlight w:val="none"/>
        </w:rPr>
        <w:t xml:space="preserve">人民法院起诉。</w:t>
      </w:r>
      <w:bookmarkEnd w:id="633"/>
      <w:r/>
      <w:bookmarkEnd w:id="634"/>
      <w:r/>
      <w:bookmarkEnd w:id="635"/>
      <w:r/>
      <w:bookmarkEnd w:id="636"/>
      <w:r/>
      <w:bookmarkEnd w:id="637"/>
      <w:r/>
      <w:bookmarkEnd w:id="638"/>
      <w:r/>
      <w:r/>
    </w:p>
    <w:p>
      <w:pPr>
        <w:ind w:left="0" w:firstLine="422"/>
        <w:keepLines/>
        <w:keepNext/>
        <w:pageBreakBefore w:val="0"/>
        <w:spacing w:line="420" w:lineRule="exact"/>
        <w:widowControl w:val="off"/>
        <w:rPr>
          <w:rFonts w:hint="eastAsia" w:ascii="宋体" w:hAnsi="宋体" w:eastAsia="宋体" w:cs="宋体"/>
          <w:b/>
          <w:szCs w:val="21"/>
          <w:highlight w:val="none"/>
        </w:rPr>
      </w:pPr>
      <w:r>
        <w:rPr>
          <w:rFonts w:hint="eastAsia" w:ascii="宋体" w:hAnsi="宋体" w:eastAsia="宋体" w:cs="宋体"/>
          <w:b/>
          <w:szCs w:val="21"/>
          <w:highlight w:val="none"/>
        </w:rPr>
        <w:t xml:space="preserve">21.通知</w:t>
      </w:r>
      <w:r/>
    </w:p>
    <w:p>
      <w:pPr>
        <w:ind w:left="0" w:firstLine="42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发包人向承包人发送的通知，以邮寄方式发出的，自邮寄之日起第3日视为送达，以电子邮件或传真发出的，自发出之时即视为送达。</w:t>
      </w:r>
      <w:r/>
    </w:p>
    <w:p>
      <w:pPr>
        <w:ind w:left="0" w:firstLine="42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r>
      <w:r/>
    </w:p>
    <w:p>
      <w:pPr>
        <w:ind w:left="0"/>
        <w:pageBreakBefore w:val="0"/>
        <w:spacing w:line="219" w:lineRule="auto"/>
        <w:widowControl w:val="off"/>
        <w:rPr>
          <w:rFonts w:hint="eastAsia" w:ascii="宋体" w:hAnsi="宋体" w:eastAsia="宋体" w:cs="宋体"/>
          <w:szCs w:val="21"/>
          <w:highlight w:val="none"/>
        </w:rPr>
      </w:pPr>
      <w:r>
        <w:rPr>
          <w:rFonts w:hint="eastAsia" w:ascii="宋体" w:hAnsi="宋体" w:eastAsia="宋体" w:cs="宋体"/>
          <w:spacing w:val="-5"/>
          <w:szCs w:val="21"/>
          <w:highlight w:val="none"/>
        </w:rPr>
        <w:t xml:space="preserve">发包人（盖章</w:t>
      </w:r>
      <w:r>
        <w:rPr>
          <w:rFonts w:hint="eastAsia" w:ascii="宋体" w:hAnsi="宋体" w:eastAsia="宋体" w:cs="宋体"/>
          <w:spacing w:val="-1"/>
          <w:szCs w:val="21"/>
          <w:highlight w:val="none"/>
        </w:rPr>
        <w:t xml:space="preserve">）：</w:t>
      </w:r>
      <w:r>
        <w:rPr>
          <w:rFonts w:hint="eastAsia" w:ascii="宋体" w:hAnsi="宋体" w:eastAsia="宋体" w:cs="宋体"/>
          <w:szCs w:val="21"/>
          <w:highlight w:val="none"/>
        </w:rPr>
        <w:t xml:space="preserve">                         </w:t>
      </w:r>
      <w:r>
        <w:rPr>
          <w:rFonts w:hint="eastAsia" w:ascii="宋体" w:hAnsi="宋体" w:eastAsia="宋体" w:cs="宋体"/>
          <w:spacing w:val="-5"/>
          <w:szCs w:val="21"/>
          <w:highlight w:val="none"/>
        </w:rPr>
        <w:t xml:space="preserve">承包人（盖章</w:t>
      </w:r>
      <w:r>
        <w:rPr>
          <w:rFonts w:hint="eastAsia" w:ascii="宋体" w:hAnsi="宋体" w:eastAsia="宋体" w:cs="宋体"/>
          <w:spacing w:val="-1"/>
          <w:szCs w:val="21"/>
          <w:highlight w:val="none"/>
        </w:rPr>
        <w:t xml:space="preserve">）：</w:t>
      </w:r>
      <w:r/>
    </w:p>
    <w:p>
      <w:pPr>
        <w:pStyle w:val="803"/>
        <w:ind w:left="0"/>
        <w:pageBreakBefore w:val="0"/>
        <w:spacing w:line="321" w:lineRule="auto"/>
        <w:widowControl w:val="off"/>
        <w:rPr>
          <w:rFonts w:hint="eastAsia" w:ascii="宋体" w:eastAsia="宋体" w:cs="宋体"/>
          <w:highlight w:val="none"/>
        </w:rPr>
      </w:pPr>
      <w:r>
        <w:rPr>
          <w:rFonts w:hint="eastAsia" w:ascii="宋体" w:eastAsia="宋体" w:cs="宋体"/>
          <w:highlight w:val="none"/>
        </w:rPr>
      </w:r>
      <w:r/>
    </w:p>
    <w:p>
      <w:pPr>
        <w:pStyle w:val="803"/>
        <w:ind w:left="0"/>
        <w:pageBreakBefore w:val="0"/>
        <w:spacing w:line="321" w:lineRule="auto"/>
        <w:widowControl w:val="off"/>
        <w:rPr>
          <w:rFonts w:hint="eastAsia" w:ascii="宋体" w:eastAsia="宋体" w:cs="宋体"/>
          <w:highlight w:val="none"/>
        </w:rPr>
      </w:pPr>
      <w:r>
        <w:rPr>
          <w:rFonts w:hint="eastAsia" w:ascii="宋体" w:eastAsia="宋体" w:cs="宋体"/>
          <w:highlight w:val="none"/>
        </w:rPr>
      </w:r>
      <w:r/>
    </w:p>
    <w:p>
      <w:pPr>
        <w:ind w:left="0"/>
        <w:pageBreakBefore w:val="0"/>
        <w:spacing w:line="220" w:lineRule="auto"/>
        <w:widowControl w:val="off"/>
        <w:rPr>
          <w:rFonts w:hint="eastAsia" w:ascii="宋体" w:hAnsi="宋体" w:eastAsia="宋体" w:cs="宋体"/>
          <w:szCs w:val="21"/>
          <w:highlight w:val="none"/>
        </w:rPr>
      </w:pPr>
      <w:r>
        <w:rPr>
          <w:rFonts w:hint="eastAsia" w:ascii="宋体" w:hAnsi="宋体" w:eastAsia="宋体" w:cs="宋体"/>
          <w:spacing w:val="-10"/>
          <w:szCs w:val="21"/>
          <w:highlight w:val="none"/>
        </w:rPr>
        <w:t xml:space="preserve">日期：</w:t>
      </w:r>
      <w:r>
        <w:rPr>
          <w:rFonts w:hint="eastAsia" w:ascii="宋体" w:hAnsi="宋体" w:eastAsia="宋体" w:cs="宋体"/>
          <w:spacing w:val="9"/>
          <w:szCs w:val="21"/>
          <w:highlight w:val="none"/>
        </w:rPr>
        <w:t xml:space="preserve">   </w:t>
      </w:r>
      <w:r>
        <w:rPr>
          <w:rFonts w:hint="eastAsia" w:ascii="宋体" w:hAnsi="宋体" w:eastAsia="宋体" w:cs="宋体"/>
          <w:spacing w:val="-10"/>
          <w:szCs w:val="21"/>
          <w:highlight w:val="none"/>
        </w:rPr>
        <w:t xml:space="preserve">年</w:t>
      </w:r>
      <w:r>
        <w:rPr>
          <w:rFonts w:hint="eastAsia" w:ascii="宋体" w:hAnsi="宋体" w:eastAsia="宋体" w:cs="宋体"/>
          <w:spacing w:val="6"/>
          <w:szCs w:val="21"/>
          <w:highlight w:val="none"/>
        </w:rPr>
        <w:t xml:space="preserve">  </w:t>
      </w:r>
      <w:r>
        <w:rPr>
          <w:rFonts w:hint="eastAsia" w:ascii="宋体" w:hAnsi="宋体" w:eastAsia="宋体" w:cs="宋体"/>
          <w:spacing w:val="-10"/>
          <w:szCs w:val="21"/>
          <w:highlight w:val="none"/>
        </w:rPr>
        <w:t xml:space="preserve">月</w:t>
      </w:r>
      <w:r>
        <w:rPr>
          <w:rFonts w:hint="eastAsia" w:ascii="宋体" w:hAnsi="宋体" w:eastAsia="宋体" w:cs="宋体"/>
          <w:spacing w:val="23"/>
          <w:szCs w:val="21"/>
          <w:highlight w:val="none"/>
        </w:rPr>
        <w:t xml:space="preserve">  </w:t>
      </w:r>
      <w:r>
        <w:rPr>
          <w:rFonts w:hint="eastAsia" w:ascii="宋体" w:hAnsi="宋体" w:eastAsia="宋体" w:cs="宋体"/>
          <w:spacing w:val="-10"/>
          <w:szCs w:val="21"/>
          <w:highlight w:val="none"/>
        </w:rPr>
        <w:t xml:space="preserve">日                        日期：</w:t>
      </w:r>
      <w:r>
        <w:rPr>
          <w:rFonts w:hint="eastAsia" w:ascii="宋体" w:hAnsi="宋体" w:eastAsia="宋体" w:cs="宋体"/>
          <w:spacing w:val="2"/>
          <w:szCs w:val="21"/>
          <w:highlight w:val="none"/>
        </w:rPr>
        <w:t xml:space="preserve">    </w:t>
      </w:r>
      <w:r>
        <w:rPr>
          <w:rFonts w:hint="eastAsia" w:ascii="宋体" w:hAnsi="宋体" w:eastAsia="宋体" w:cs="宋体"/>
          <w:spacing w:val="-10"/>
          <w:szCs w:val="21"/>
          <w:highlight w:val="none"/>
        </w:rPr>
        <w:t xml:space="preserve">年  月   日</w:t>
      </w:r>
      <w:r/>
    </w:p>
    <w:p>
      <w:pPr>
        <w:spacing w:line="360" w:lineRule="auto"/>
        <w:rPr>
          <w:rFonts w:hint="eastAsia" w:ascii="宋体" w:hAnsi="宋体" w:eastAsia="宋体" w:cs="宋体"/>
          <w:sz w:val="24"/>
          <w:highlight w:val="none"/>
        </w:rPr>
      </w:pPr>
      <w:r>
        <w:rPr>
          <w:rFonts w:hint="eastAsia" w:ascii="宋体" w:hAnsi="宋体" w:eastAsia="宋体" w:cs="宋体"/>
          <w:sz w:val="44"/>
          <w:szCs w:val="44"/>
          <w:highlight w:val="none"/>
        </w:rPr>
        <w:br w:type="page" w:clear="all"/>
      </w:r>
      <w:r>
        <w:rPr>
          <w:rFonts w:hint="eastAsia" w:ascii="宋体" w:hAnsi="宋体" w:eastAsia="宋体" w:cs="宋体"/>
          <w:sz w:val="24"/>
          <w:highlight w:val="none"/>
        </w:rPr>
        <w:t xml:space="preserve">附件</w:t>
      </w:r>
      <w:r/>
    </w:p>
    <w:p>
      <w:pPr>
        <w:pStyle w:val="821"/>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highlight w:val="none"/>
        </w:rPr>
        <w:t xml:space="preserve">附件1：工程质量保修书</w:t>
      </w:r>
      <w:r/>
    </w:p>
    <w:p>
      <w:pPr>
        <w:rPr>
          <w:rFonts w:hint="eastAsia" w:ascii="宋体" w:hAnsi="宋体" w:eastAsia="宋体" w:cs="宋体"/>
          <w:sz w:val="24"/>
          <w:highlight w:val="none"/>
        </w:rPr>
      </w:pPr>
      <w:r>
        <w:rPr>
          <w:rFonts w:hint="eastAsia" w:ascii="宋体" w:hAnsi="宋体" w:eastAsia="宋体" w:cs="宋体"/>
          <w:sz w:val="24"/>
          <w:highlight w:val="none"/>
        </w:rPr>
        <w:t xml:space="preserve">附件2：安全生产合同</w:t>
      </w:r>
      <w:r/>
    </w:p>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left="171"/>
        <w:spacing w:before="97" w:line="222" w:lineRule="auto"/>
        <w:rPr>
          <w:rFonts w:hint="eastAsia" w:ascii="宋体" w:hAnsi="宋体" w:eastAsia="宋体" w:cs="宋体"/>
          <w:szCs w:val="21"/>
          <w:highlight w:val="none"/>
        </w:rPr>
      </w:pPr>
      <w:r>
        <w:rPr>
          <w:rFonts w:hint="eastAsia" w:ascii="宋体" w:hAnsi="宋体" w:eastAsia="宋体" w:cs="宋体"/>
          <w:spacing w:val="-12"/>
          <w:sz w:val="30"/>
          <w:szCs w:val="30"/>
          <w:highlight w:val="none"/>
        </w:rPr>
        <w:br w:type="page" w:clear="all"/>
      </w:r>
      <w:r>
        <w:rPr>
          <w:rFonts w:hint="eastAsia" w:ascii="宋体" w:hAnsi="宋体" w:eastAsia="宋体" w:cs="宋体"/>
          <w:spacing w:val="-12"/>
          <w:szCs w:val="21"/>
          <w:highlight w:val="none"/>
        </w:rPr>
        <w:t xml:space="preserve">附件</w:t>
      </w:r>
      <w:r>
        <w:rPr>
          <w:rFonts w:hint="eastAsia" w:ascii="宋体" w:hAnsi="宋体" w:eastAsia="宋体" w:cs="宋体"/>
          <w:spacing w:val="-61"/>
          <w:szCs w:val="21"/>
          <w:highlight w:val="none"/>
        </w:rPr>
        <w:t xml:space="preserve"> </w:t>
      </w:r>
      <w:r>
        <w:rPr>
          <w:rFonts w:hint="eastAsia" w:ascii="宋体" w:hAnsi="宋体" w:eastAsia="宋体" w:cs="宋体"/>
          <w:spacing w:val="-12"/>
          <w:szCs w:val="21"/>
          <w:highlight w:val="none"/>
        </w:rPr>
        <w:t xml:space="preserve">1：</w:t>
      </w:r>
      <w:r/>
    </w:p>
    <w:p>
      <w:p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工程质量保修书</w:t>
      </w:r>
      <w:r/>
    </w:p>
    <w:p>
      <w:pPr>
        <w:ind w:firstLine="42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发包人（全称）：</w:t>
      </w:r>
      <w:r>
        <w:rPr>
          <w:rFonts w:ascii="宋体" w:hAnsi="宋体" w:eastAsia="宋体" w:cs="宋体"/>
          <w:sz w:val="22"/>
          <w:szCs w:val="22"/>
          <w:highlight w:val="none"/>
        </w:rPr>
        <w:t xml:space="preserve">盐城市盐都区</w:t>
      </w:r>
      <w:r>
        <w:rPr>
          <w:rFonts w:hint="eastAsia" w:ascii="宋体" w:hAnsi="宋体" w:eastAsia="宋体" w:cs="宋体"/>
          <w:sz w:val="22"/>
          <w:szCs w:val="22"/>
          <w:highlight w:val="none"/>
          <w:lang w:eastAsia="zh-CN"/>
        </w:rPr>
        <w:t xml:space="preserve">大冈</w:t>
      </w:r>
      <w:r>
        <w:rPr>
          <w:rFonts w:ascii="宋体" w:hAnsi="宋体" w:eastAsia="宋体" w:cs="宋体"/>
          <w:sz w:val="22"/>
          <w:szCs w:val="22"/>
          <w:highlight w:val="none"/>
        </w:rPr>
        <w:t xml:space="preserve">镇人民政府</w:t>
      </w:r>
      <w:r/>
    </w:p>
    <w:p>
      <w:pPr>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　　承包人（全称）：</w:t>
      </w:r>
      <w:r/>
    </w:p>
    <w:p>
      <w:pPr>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　　发包人和承包人根据《中华人民共和国建筑法》和《建设工程质量管理条例》，经协商一致就签订工程质量保修书。</w:t>
      </w:r>
      <w:r/>
    </w:p>
    <w:p>
      <w:pPr>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　　一、工程质量保修范围和内容</w:t>
      </w:r>
      <w:r/>
    </w:p>
    <w:p>
      <w:pPr>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　　承包人在质量保修期内，按照有关法律规定和合同约定，承担工程质量保修责任。</w:t>
      </w:r>
      <w:r>
        <w:rPr>
          <w:rFonts w:hint="eastAsia" w:ascii="宋体" w:hAnsi="宋体" w:eastAsia="宋体" w:cs="宋体"/>
          <w:sz w:val="22"/>
          <w:szCs w:val="22"/>
          <w:highlight w:val="none"/>
        </w:rPr>
      </w:r>
      <w:r/>
    </w:p>
    <w:p>
      <w:pPr>
        <w:ind w:firstLine="420"/>
        <w:spacing w:line="480" w:lineRule="exact"/>
        <w:rPr>
          <w:rFonts w:hint="eastAsia" w:ascii="宋体" w:hAnsi="宋体" w:eastAsia="宋体" w:cs="宋体"/>
          <w:sz w:val="22"/>
          <w:szCs w:val="22"/>
          <w:highlight w:val="none"/>
          <w:u w:val="single"/>
        </w:rPr>
      </w:pPr>
      <w:r>
        <w:rPr>
          <w:rFonts w:hint="eastAsia" w:ascii="宋体" w:hAnsi="宋体" w:eastAsia="宋体" w:cs="宋体"/>
          <w:sz w:val="22"/>
          <w:szCs w:val="22"/>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本工程保修按中华人民共和国国务院279号《建设工程质量管理条例》等法律法规规定执行。</w:t>
      </w:r>
      <w:r/>
    </w:p>
    <w:p>
      <w:pPr>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　　二、质量保修期</w:t>
      </w:r>
      <w:r/>
    </w:p>
    <w:p>
      <w:pPr>
        <w:ind w:firstLine="42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根据《建设工程质量管理条例》及有关规定，工程的质量保修期如下：</w:t>
      </w:r>
      <w:r/>
    </w:p>
    <w:p>
      <w:pPr>
        <w:ind w:left="420" w:firstLine="105"/>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1．地基基础工程和主体结构工程为设计文件规定的工程合理使用年限；</w:t>
      </w:r>
      <w:r/>
    </w:p>
    <w:p>
      <w:pPr>
        <w:ind w:left="420" w:firstLine="105"/>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2．屋面防水工程、有防水要求的卫生间、房间和外墙面的防渗为</w:t>
      </w:r>
      <w:r>
        <w:rPr>
          <w:rFonts w:hint="eastAsia" w:ascii="宋体" w:hAnsi="宋体" w:eastAsia="宋体" w:cs="宋体"/>
          <w:sz w:val="22"/>
          <w:szCs w:val="22"/>
          <w:highlight w:val="none"/>
          <w:u w:val="single"/>
        </w:rPr>
        <w:t xml:space="preserve">5</w:t>
      </w:r>
      <w:r>
        <w:rPr>
          <w:rFonts w:hint="eastAsia" w:ascii="宋体" w:hAnsi="宋体" w:eastAsia="宋体" w:cs="宋体"/>
          <w:sz w:val="22"/>
          <w:szCs w:val="22"/>
          <w:highlight w:val="none"/>
        </w:rPr>
        <w:t xml:space="preserve">年；</w:t>
      </w:r>
      <w:r/>
    </w:p>
    <w:p>
      <w:pPr>
        <w:ind w:left="420" w:firstLine="105"/>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3．装修工程为</w:t>
      </w:r>
      <w:r>
        <w:rPr>
          <w:rFonts w:hint="eastAsia" w:ascii="宋体" w:hAnsi="宋体" w:eastAsia="宋体" w:cs="宋体"/>
          <w:sz w:val="22"/>
          <w:szCs w:val="22"/>
          <w:highlight w:val="none"/>
          <w:u w:val="single"/>
        </w:rPr>
        <w:t xml:space="preserve">2</w:t>
      </w:r>
      <w:r>
        <w:rPr>
          <w:rFonts w:hint="eastAsia" w:ascii="宋体" w:hAnsi="宋体" w:eastAsia="宋体" w:cs="宋体"/>
          <w:sz w:val="22"/>
          <w:szCs w:val="22"/>
          <w:highlight w:val="none"/>
        </w:rPr>
        <w:t xml:space="preserve">年；</w:t>
      </w:r>
      <w:r/>
    </w:p>
    <w:p>
      <w:pPr>
        <w:ind w:left="420" w:firstLine="105"/>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4．电气管线、给排水管道、设备安装工程为</w:t>
      </w:r>
      <w:r>
        <w:rPr>
          <w:rFonts w:hint="eastAsia" w:ascii="宋体" w:hAnsi="宋体" w:eastAsia="宋体" w:cs="宋体"/>
          <w:sz w:val="22"/>
          <w:szCs w:val="22"/>
          <w:highlight w:val="none"/>
          <w:u w:val="single"/>
        </w:rPr>
        <w:t xml:space="preserve">  2</w:t>
      </w:r>
      <w:r>
        <w:rPr>
          <w:rFonts w:hint="eastAsia" w:ascii="宋体" w:hAnsi="宋体" w:eastAsia="宋体" w:cs="宋体"/>
          <w:sz w:val="22"/>
          <w:szCs w:val="22"/>
          <w:highlight w:val="none"/>
        </w:rPr>
        <w:t xml:space="preserve">年；</w:t>
      </w:r>
      <w:r/>
    </w:p>
    <w:p>
      <w:pPr>
        <w:ind w:left="420" w:firstLine="105"/>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5．供热与供冷系统为</w:t>
      </w:r>
      <w:r>
        <w:rPr>
          <w:rFonts w:hint="eastAsia" w:ascii="宋体" w:hAnsi="宋体" w:eastAsia="宋体" w:cs="宋体"/>
          <w:sz w:val="22"/>
          <w:szCs w:val="22"/>
          <w:highlight w:val="none"/>
          <w:u w:val="single"/>
        </w:rPr>
        <w:t xml:space="preserve">  2</w:t>
      </w:r>
      <w:r>
        <w:rPr>
          <w:rFonts w:hint="eastAsia" w:ascii="宋体" w:hAnsi="宋体" w:eastAsia="宋体" w:cs="宋体"/>
          <w:sz w:val="22"/>
          <w:szCs w:val="22"/>
          <w:highlight w:val="none"/>
        </w:rPr>
        <w:t xml:space="preserve">个采暖期、供冷期；</w:t>
      </w:r>
      <w:r/>
    </w:p>
    <w:p>
      <w:pPr>
        <w:ind w:left="420" w:firstLine="105"/>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6．住宅小区内的给排水设施、道路等配套工程为</w:t>
      </w:r>
      <w:r>
        <w:rPr>
          <w:rFonts w:hint="eastAsia" w:ascii="宋体" w:hAnsi="宋体" w:eastAsia="宋体" w:cs="宋体"/>
          <w:sz w:val="22"/>
          <w:szCs w:val="22"/>
          <w:highlight w:val="none"/>
          <w:u w:val="single"/>
        </w:rPr>
        <w:t xml:space="preserve">  2  </w:t>
      </w:r>
      <w:r>
        <w:rPr>
          <w:rFonts w:hint="eastAsia" w:ascii="宋体" w:hAnsi="宋体" w:eastAsia="宋体" w:cs="宋体"/>
          <w:sz w:val="22"/>
          <w:szCs w:val="22"/>
          <w:highlight w:val="none"/>
        </w:rPr>
        <w:t xml:space="preserve">年；</w:t>
      </w:r>
      <w:r/>
    </w:p>
    <w:p>
      <w:pPr>
        <w:ind w:left="420" w:firstLine="105"/>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7．其他项目保修期限约定如下：</w:t>
      </w:r>
      <w:r>
        <w:rPr>
          <w:rFonts w:hint="eastAsia" w:ascii="宋体" w:hAnsi="宋体" w:eastAsia="宋体" w:cs="宋体"/>
          <w:sz w:val="22"/>
          <w:szCs w:val="22"/>
          <w:highlight w:val="none"/>
          <w:u w:val="single"/>
        </w:rPr>
        <w:t xml:space="preserve">两年</w:t>
      </w:r>
      <w:r>
        <w:rPr>
          <w:rFonts w:hint="eastAsia" w:ascii="宋体" w:hAnsi="宋体" w:eastAsia="宋体" w:cs="宋体"/>
          <w:sz w:val="22"/>
          <w:szCs w:val="22"/>
          <w:highlight w:val="none"/>
        </w:rPr>
        <w:t xml:space="preserve">。</w:t>
      </w:r>
      <w:r/>
    </w:p>
    <w:p>
      <w:pPr>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　　质量保修期自工程竣工验收合格之日起计算。</w:t>
      </w:r>
      <w:r/>
    </w:p>
    <w:p>
      <w:pPr>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三、缺陷责任期</w:t>
      </w:r>
      <w:r/>
    </w:p>
    <w:p>
      <w:pPr>
        <w:ind w:firstLine="42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工程缺陷责任期为24个月，缺陷责任期自工程通过竣工验收之日起计算。单位工程先于全部工程进行验收，单位工程缺陷责任期自单位工程验收合格之日起算。</w:t>
      </w:r>
      <w:r/>
    </w:p>
    <w:p>
      <w:pPr>
        <w:ind w:firstLine="42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缺陷责任期终止后，发包人无息退还剩余的质量保证金。</w:t>
      </w:r>
      <w:r/>
    </w:p>
    <w:p>
      <w:pPr>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  四、质量保修责任</w:t>
      </w:r>
      <w:r/>
    </w:p>
    <w:p>
      <w:pPr>
        <w:ind w:left="105" w:firstLine="43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1．属于保修范围、内容的项目，承包人应当在接到保修通知之日起2天内派人保修。承包人不在约定期限内派人保修的，发包人可以委托他人修理。</w:t>
      </w:r>
      <w:r/>
    </w:p>
    <w:p>
      <w:pPr>
        <w:ind w:left="105" w:firstLine="43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2．发生紧急事故需抢修的，承包人在接到事故通知后，应当立即到达事故现场抢修。</w:t>
      </w:r>
      <w:r/>
    </w:p>
    <w:p>
      <w:pPr>
        <w:ind w:left="105" w:firstLine="43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05"/>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4．质量保修完成后，由发包人组织验收。</w:t>
      </w:r>
      <w:r/>
    </w:p>
    <w:p>
      <w:pPr>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　　五、保修费用</w:t>
      </w:r>
      <w:r/>
    </w:p>
    <w:p>
      <w:pPr>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　　保修费用由造成质量缺陷的责任方承担。</w:t>
      </w:r>
      <w:r/>
    </w:p>
    <w:p>
      <w:pPr>
        <w:ind w:firstLine="42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六、双方约定的其他工程质量保修事项：</w:t>
      </w:r>
      <w:r>
        <w:rPr>
          <w:rFonts w:hint="eastAsia" w:ascii="宋体" w:hAnsi="宋体" w:eastAsia="宋体" w:cs="宋体"/>
          <w:sz w:val="22"/>
          <w:szCs w:val="22"/>
          <w:highlight w:val="none"/>
          <w:u w:val="single"/>
        </w:rPr>
        <w:t xml:space="preserve">承包人收到保修通知并到达工程现场的合理时间：1、属于保修范围、内容的项目，承包人应当在接到保修通知之日起2天内派人保修。承包人不在约定期限内派人保修的，发包人可以委托他人修理，所发生的费用由承包人承担，在承包人的质量保证金中扣除，质量保证金不足支付的，由承包人支付。2、发生紧急抢修事故的，承包人在接到事故通知后，应当立即到达事故现场抢修；承包人不按时派人保修的，发包人可以委托他人修理，所发生的费用由承包人承担，在承包人的质量保证金中扣除，质量保证金不足支付的，由承包人支付。</w:t>
      </w:r>
      <w:r/>
    </w:p>
    <w:p>
      <w:pPr>
        <w:ind w:firstLine="399"/>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工程质量保修书由发包人、承包人在工程竣工验收前共同签署，作为施工合同附件，其有效期限至保修期满。</w:t>
      </w:r>
      <w:r/>
    </w:p>
    <w:p>
      <w:pPr>
        <w:ind w:firstLine="420"/>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发包人(公章)：</w:t>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rPr>
        <w:t xml:space="preserve">                承包人(公章)：</w:t>
      </w:r>
      <w:r>
        <w:rPr>
          <w:rFonts w:hint="eastAsia" w:ascii="宋体" w:hAnsi="宋体" w:eastAsia="宋体" w:cs="宋体"/>
          <w:sz w:val="22"/>
          <w:szCs w:val="22"/>
          <w:highlight w:val="none"/>
          <w:u w:val="single"/>
        </w:rPr>
        <w:t xml:space="preserve">            </w:t>
      </w:r>
      <w:r/>
    </w:p>
    <w:p>
      <w:pPr>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地  址：</w:t>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rPr>
        <w:t xml:space="preserve">              地  址：</w:t>
      </w:r>
      <w:r>
        <w:rPr>
          <w:rFonts w:hint="eastAsia" w:ascii="宋体" w:hAnsi="宋体" w:eastAsia="宋体" w:cs="宋体"/>
          <w:sz w:val="22"/>
          <w:szCs w:val="22"/>
          <w:highlight w:val="none"/>
          <w:u w:val="single"/>
        </w:rPr>
        <w:t xml:space="preserve">        </w:t>
      </w:r>
      <w:r/>
    </w:p>
    <w:p>
      <w:pPr>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法定代表人(签字)：</w:t>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rPr>
        <w:t xml:space="preserve">            法定代表人(签字)：</w:t>
      </w:r>
      <w:r>
        <w:rPr>
          <w:rFonts w:hint="eastAsia" w:ascii="宋体" w:hAnsi="宋体" w:eastAsia="宋体" w:cs="宋体"/>
          <w:sz w:val="22"/>
          <w:szCs w:val="22"/>
          <w:highlight w:val="none"/>
          <w:u w:val="single"/>
        </w:rPr>
        <w:t xml:space="preserve">        </w:t>
      </w:r>
      <w:r/>
    </w:p>
    <w:p>
      <w:pPr>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委托代理人(签字)：</w:t>
      </w:r>
      <w:r>
        <w:rPr>
          <w:rFonts w:hint="eastAsia" w:ascii="宋体" w:hAnsi="宋体" w:eastAsia="宋体" w:cs="宋体"/>
          <w:sz w:val="22"/>
          <w:szCs w:val="22"/>
          <w:highlight w:val="none"/>
        </w:rPr>
      </w:r>
      <w:r>
        <w:rPr>
          <w:rFonts w:hint="eastAsia" w:ascii="宋体" w:hAnsi="宋体" w:eastAsia="宋体" w:cs="宋体"/>
          <w:sz w:val="22"/>
          <w:szCs w:val="22"/>
          <w:highlight w:val="none"/>
          <w:u w:val="single"/>
        </w:rPr>
        <w:t xml:space="preserve">             </w:t>
      </w:r>
      <w:r/>
      <w:r>
        <w:rPr>
          <w:rFonts w:hint="eastAsia" w:ascii="宋体" w:hAnsi="宋体" w:eastAsia="宋体" w:cs="宋体"/>
          <w:sz w:val="22"/>
          <w:szCs w:val="22"/>
          <w:highlight w:val="none"/>
        </w:rPr>
      </w:r>
      <w:r>
        <w:rPr>
          <w:rFonts w:hint="eastAsia" w:ascii="宋体" w:hAnsi="宋体" w:eastAsia="宋体" w:cs="宋体"/>
          <w:sz w:val="22"/>
          <w:szCs w:val="22"/>
          <w:highlight w:val="none"/>
        </w:rPr>
        <w:t xml:space="preserve">            委托代理人(签字)：</w:t>
      </w:r>
      <w:r>
        <w:rPr>
          <w:rFonts w:hint="eastAsia" w:ascii="宋体" w:hAnsi="宋体" w:eastAsia="宋体" w:cs="宋体"/>
          <w:sz w:val="22"/>
          <w:szCs w:val="22"/>
          <w:highlight w:val="none"/>
          <w:u w:val="single"/>
        </w:rPr>
      </w:r>
      <w:r>
        <w:rPr>
          <w:rFonts w:hint="eastAsia" w:ascii="宋体" w:hAnsi="宋体" w:eastAsia="宋体" w:cs="宋体"/>
          <w:sz w:val="22"/>
          <w:szCs w:val="22"/>
          <w:highlight w:val="none"/>
        </w:rPr>
      </w:r>
      <w:r>
        <w:rPr>
          <w:rFonts w:hint="eastAsia" w:ascii="宋体" w:hAnsi="宋体" w:eastAsia="宋体" w:cs="宋体"/>
          <w:sz w:val="22"/>
          <w:szCs w:val="22"/>
          <w:highlight w:val="none"/>
          <w:u w:val="single"/>
        </w:rPr>
        <w:t xml:space="preserve">             </w:t>
      </w:r>
      <w:r/>
      <w:r>
        <w:rPr>
          <w:rFonts w:hint="eastAsia" w:ascii="宋体" w:hAnsi="宋体" w:eastAsia="宋体" w:cs="宋体"/>
          <w:sz w:val="22"/>
          <w:szCs w:val="22"/>
          <w:highlight w:val="none"/>
          <w:u w:val="single"/>
        </w:rPr>
      </w:r>
      <w:r/>
    </w:p>
    <w:p>
      <w:pPr>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电  话：</w:t>
      </w:r>
      <w:r>
        <w:rPr>
          <w:rFonts w:hint="eastAsia" w:ascii="宋体" w:hAnsi="宋体" w:eastAsia="宋体" w:cs="宋体"/>
          <w:sz w:val="22"/>
          <w:szCs w:val="22"/>
          <w:highlight w:val="none"/>
        </w:rPr>
      </w:r>
      <w:r>
        <w:rPr>
          <w:rFonts w:hint="eastAsia" w:ascii="宋体" w:hAnsi="宋体" w:eastAsia="宋体" w:cs="宋体"/>
          <w:sz w:val="22"/>
          <w:szCs w:val="22"/>
          <w:highlight w:val="none"/>
          <w:u w:val="single"/>
        </w:rPr>
        <w:t xml:space="preserve">             </w:t>
      </w:r>
      <w:r/>
      <w:r>
        <w:rPr>
          <w:rFonts w:hint="eastAsia" w:ascii="宋体" w:hAnsi="宋体" w:eastAsia="宋体" w:cs="宋体"/>
          <w:sz w:val="22"/>
          <w:szCs w:val="22"/>
          <w:highlight w:val="none"/>
        </w:rPr>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rPr>
        <w:t xml:space="preserve">           电  话：</w:t>
      </w:r>
      <w:r>
        <w:rPr>
          <w:rFonts w:hint="eastAsia" w:ascii="宋体" w:hAnsi="宋体" w:eastAsia="宋体" w:cs="宋体"/>
          <w:sz w:val="22"/>
          <w:szCs w:val="22"/>
          <w:highlight w:val="none"/>
        </w:rPr>
      </w:r>
      <w:r>
        <w:rPr>
          <w:rFonts w:hint="eastAsia" w:ascii="宋体" w:hAnsi="宋体" w:eastAsia="宋体" w:cs="宋体"/>
          <w:sz w:val="22"/>
          <w:szCs w:val="22"/>
          <w:highlight w:val="none"/>
          <w:u w:val="single"/>
        </w:rPr>
        <w:t xml:space="preserve">             </w:t>
      </w:r>
      <w:r/>
      <w:r>
        <w:rPr>
          <w:rFonts w:hint="eastAsia" w:ascii="宋体" w:hAnsi="宋体" w:eastAsia="宋体" w:cs="宋体"/>
          <w:sz w:val="22"/>
          <w:szCs w:val="22"/>
          <w:highlight w:val="none"/>
        </w:rPr>
      </w:r>
      <w:r>
        <w:rPr>
          <w:rFonts w:hint="eastAsia" w:ascii="宋体" w:hAnsi="宋体" w:eastAsia="宋体" w:cs="宋体"/>
          <w:sz w:val="22"/>
          <w:szCs w:val="22"/>
          <w:highlight w:val="none"/>
          <w:u w:val="single"/>
        </w:rPr>
      </w:r>
      <w:r/>
    </w:p>
    <w:p>
      <w:pPr>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传  真：</w:t>
      </w:r>
      <w:r>
        <w:rPr>
          <w:rFonts w:hint="eastAsia" w:ascii="宋体" w:hAnsi="宋体" w:eastAsia="宋体" w:cs="宋体"/>
          <w:sz w:val="22"/>
          <w:szCs w:val="22"/>
          <w:highlight w:val="none"/>
        </w:rPr>
      </w:r>
      <w:r>
        <w:rPr>
          <w:rFonts w:hint="eastAsia" w:ascii="宋体" w:hAnsi="宋体" w:eastAsia="宋体" w:cs="宋体"/>
          <w:sz w:val="22"/>
          <w:szCs w:val="22"/>
          <w:highlight w:val="none"/>
          <w:u w:val="single"/>
        </w:rPr>
        <w:t xml:space="preserve">             </w:t>
      </w:r>
      <w:r/>
      <w:r>
        <w:rPr>
          <w:rFonts w:hint="eastAsia" w:ascii="宋体" w:hAnsi="宋体" w:eastAsia="宋体" w:cs="宋体"/>
          <w:sz w:val="22"/>
          <w:szCs w:val="22"/>
          <w:highlight w:val="none"/>
        </w:rPr>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rPr>
        <w:t xml:space="preserve">          传  真：</w:t>
      </w:r>
      <w:r>
        <w:rPr>
          <w:rFonts w:hint="eastAsia" w:ascii="宋体" w:hAnsi="宋体" w:eastAsia="宋体" w:cs="宋体"/>
          <w:sz w:val="22"/>
          <w:szCs w:val="22"/>
          <w:highlight w:val="none"/>
        </w:rPr>
      </w:r>
      <w:r>
        <w:rPr>
          <w:rFonts w:hint="eastAsia" w:ascii="宋体" w:hAnsi="宋体" w:eastAsia="宋体" w:cs="宋体"/>
          <w:sz w:val="22"/>
          <w:szCs w:val="22"/>
          <w:highlight w:val="none"/>
          <w:u w:val="single"/>
        </w:rPr>
        <w:t xml:space="preserve">             </w:t>
      </w:r>
      <w:r/>
      <w:r>
        <w:rPr>
          <w:rFonts w:hint="eastAsia" w:ascii="宋体" w:hAnsi="宋体" w:eastAsia="宋体" w:cs="宋体"/>
          <w:sz w:val="22"/>
          <w:szCs w:val="22"/>
          <w:highlight w:val="none"/>
        </w:rPr>
      </w:r>
      <w:r>
        <w:rPr>
          <w:rFonts w:hint="eastAsia" w:ascii="宋体" w:hAnsi="宋体" w:eastAsia="宋体" w:cs="宋体"/>
          <w:sz w:val="22"/>
          <w:szCs w:val="22"/>
          <w:highlight w:val="none"/>
          <w:u w:val="single"/>
        </w:rPr>
      </w:r>
      <w:r/>
    </w:p>
    <w:p>
      <w:pPr>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开户银行：</w:t>
      </w:r>
      <w:r>
        <w:rPr>
          <w:rFonts w:hint="eastAsia" w:ascii="宋体" w:hAnsi="宋体" w:eastAsia="宋体" w:cs="宋体"/>
          <w:sz w:val="22"/>
          <w:szCs w:val="22"/>
          <w:highlight w:val="none"/>
        </w:rPr>
      </w:r>
      <w:r>
        <w:rPr>
          <w:rFonts w:hint="eastAsia" w:ascii="宋体" w:hAnsi="宋体" w:eastAsia="宋体" w:cs="宋体"/>
          <w:sz w:val="22"/>
          <w:szCs w:val="22"/>
          <w:highlight w:val="none"/>
          <w:u w:val="single"/>
        </w:rPr>
        <w:t xml:space="preserve">             </w:t>
      </w:r>
      <w:r/>
      <w:r>
        <w:rPr>
          <w:rFonts w:hint="eastAsia" w:ascii="宋体" w:hAnsi="宋体" w:eastAsia="宋体" w:cs="宋体"/>
          <w:sz w:val="22"/>
          <w:szCs w:val="22"/>
          <w:highlight w:val="none"/>
        </w:rPr>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rPr>
        <w:t xml:space="preserve">        开户银行：</w:t>
      </w:r>
      <w:r>
        <w:rPr>
          <w:rFonts w:hint="eastAsia" w:ascii="宋体" w:hAnsi="宋体" w:eastAsia="宋体" w:cs="宋体"/>
          <w:sz w:val="22"/>
          <w:szCs w:val="22"/>
          <w:highlight w:val="none"/>
        </w:rPr>
      </w:r>
      <w:r>
        <w:rPr>
          <w:rFonts w:hint="eastAsia" w:ascii="宋体" w:hAnsi="宋体" w:eastAsia="宋体" w:cs="宋体"/>
          <w:sz w:val="22"/>
          <w:szCs w:val="22"/>
          <w:highlight w:val="none"/>
          <w:u w:val="single"/>
        </w:rPr>
        <w:t xml:space="preserve">             </w:t>
      </w:r>
      <w:r/>
      <w:r>
        <w:rPr>
          <w:rFonts w:hint="eastAsia" w:ascii="宋体" w:hAnsi="宋体" w:eastAsia="宋体" w:cs="宋体"/>
          <w:sz w:val="22"/>
          <w:szCs w:val="22"/>
          <w:highlight w:val="none"/>
        </w:rPr>
      </w:r>
      <w:r>
        <w:rPr>
          <w:rFonts w:hint="eastAsia" w:ascii="宋体" w:hAnsi="宋体" w:eastAsia="宋体" w:cs="宋体"/>
          <w:sz w:val="22"/>
          <w:szCs w:val="22"/>
          <w:highlight w:val="none"/>
          <w:u w:val="single"/>
        </w:rPr>
        <w:t xml:space="preserve">   </w:t>
      </w:r>
      <w:r/>
    </w:p>
    <w:p>
      <w:pPr>
        <w:spacing w:line="48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账  号：</w:t>
      </w:r>
      <w:r>
        <w:rPr>
          <w:rFonts w:hint="eastAsia" w:ascii="宋体" w:hAnsi="宋体" w:eastAsia="宋体" w:cs="宋体"/>
          <w:sz w:val="22"/>
          <w:szCs w:val="22"/>
          <w:highlight w:val="none"/>
        </w:rPr>
      </w:r>
      <w:r>
        <w:rPr>
          <w:rFonts w:hint="eastAsia" w:ascii="宋体" w:hAnsi="宋体" w:eastAsia="宋体" w:cs="宋体"/>
          <w:sz w:val="22"/>
          <w:szCs w:val="22"/>
          <w:highlight w:val="none"/>
          <w:u w:val="single"/>
        </w:rPr>
        <w:t xml:space="preserve">             </w:t>
      </w:r>
      <w:r/>
      <w:r>
        <w:rPr>
          <w:rFonts w:hint="eastAsia" w:ascii="宋体" w:hAnsi="宋体" w:eastAsia="宋体" w:cs="宋体"/>
          <w:sz w:val="22"/>
          <w:szCs w:val="22"/>
          <w:highlight w:val="none"/>
        </w:rPr>
      </w:r>
      <w:r>
        <w:rPr>
          <w:rFonts w:hint="eastAsia" w:ascii="宋体" w:hAnsi="宋体" w:eastAsia="宋体" w:cs="宋体"/>
          <w:sz w:val="22"/>
          <w:szCs w:val="22"/>
          <w:highlight w:val="none"/>
          <w:u w:val="single"/>
        </w:rPr>
        <w:t xml:space="preserve">      </w:t>
      </w:r>
      <w:bookmarkStart w:id="645" w:name="OLE_LINK19"/>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rPr>
        <w:t xml:space="preserve">       账</w:t>
      </w:r>
      <w:bookmarkEnd w:id="645"/>
      <w:r>
        <w:rPr>
          <w:rFonts w:hint="eastAsia" w:ascii="宋体" w:hAnsi="宋体" w:eastAsia="宋体" w:cs="宋体"/>
          <w:sz w:val="22"/>
          <w:szCs w:val="22"/>
          <w:highlight w:val="none"/>
        </w:rPr>
        <w:t xml:space="preserve"> 号：</w:t>
      </w:r>
      <w:r>
        <w:rPr>
          <w:rFonts w:hint="eastAsia" w:ascii="宋体" w:hAnsi="宋体" w:eastAsia="宋体" w:cs="宋体"/>
          <w:sz w:val="22"/>
          <w:szCs w:val="22"/>
          <w:highlight w:val="none"/>
        </w:rPr>
      </w:r>
      <w:r>
        <w:rPr>
          <w:rFonts w:hint="eastAsia" w:ascii="宋体" w:hAnsi="宋体" w:eastAsia="宋体" w:cs="宋体"/>
          <w:sz w:val="22"/>
          <w:szCs w:val="22"/>
          <w:highlight w:val="none"/>
          <w:u w:val="single"/>
        </w:rPr>
        <w:t xml:space="preserve">             </w:t>
      </w:r>
      <w:r/>
      <w:r>
        <w:rPr>
          <w:rFonts w:hint="eastAsia" w:ascii="宋体" w:hAnsi="宋体" w:eastAsia="宋体" w:cs="宋体"/>
          <w:sz w:val="22"/>
          <w:szCs w:val="22"/>
          <w:highlight w:val="none"/>
        </w:rPr>
      </w:r>
      <w:r>
        <w:rPr>
          <w:rFonts w:hint="eastAsia" w:ascii="宋体" w:hAnsi="宋体" w:eastAsia="宋体" w:cs="宋体"/>
          <w:sz w:val="22"/>
          <w:szCs w:val="22"/>
          <w:highlight w:val="none"/>
          <w:u w:val="single"/>
        </w:rPr>
      </w:r>
      <w:r/>
    </w:p>
    <w:p>
      <w:pPr>
        <w:spacing w:line="480" w:lineRule="exact"/>
        <w:rPr>
          <w:rFonts w:hint="eastAsia" w:ascii="宋体" w:hAnsi="宋体" w:eastAsia="宋体" w:cs="宋体"/>
          <w:sz w:val="22"/>
          <w:szCs w:val="22"/>
          <w:highlight w:val="none"/>
          <w:u w:val="single"/>
        </w:rPr>
      </w:pPr>
      <w:r>
        <w:rPr>
          <w:rFonts w:hint="eastAsia" w:ascii="宋体" w:hAnsi="宋体" w:eastAsia="宋体" w:cs="宋体"/>
          <w:sz w:val="22"/>
          <w:szCs w:val="22"/>
          <w:highlight w:val="none"/>
        </w:rPr>
        <w:t xml:space="preserve">邮政编码：</w:t>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rPr>
      </w:r>
      <w:r>
        <w:rPr>
          <w:rFonts w:hint="eastAsia" w:ascii="宋体" w:hAnsi="宋体" w:eastAsia="宋体" w:cs="宋体"/>
          <w:sz w:val="22"/>
          <w:szCs w:val="22"/>
          <w:highlight w:val="none"/>
          <w:u w:val="single"/>
        </w:rPr>
        <w:t xml:space="preserve">             </w:t>
      </w:r>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rPr>
        <w:t xml:space="preserve">      邮政编码：</w:t>
      </w:r>
      <w:r>
        <w:rPr>
          <w:rFonts w:hint="eastAsia" w:ascii="宋体" w:hAnsi="宋体" w:eastAsia="宋体" w:cs="宋体"/>
          <w:sz w:val="22"/>
          <w:szCs w:val="22"/>
          <w:highlight w:val="none"/>
          <w:u w:val="single"/>
        </w:rPr>
        <w:t xml:space="preserve">             </w:t>
      </w:r>
      <w:r/>
      <w:r>
        <w:rPr>
          <w:rFonts w:hint="eastAsia" w:ascii="宋体" w:hAnsi="宋体" w:eastAsia="宋体" w:cs="宋体"/>
          <w:sz w:val="22"/>
          <w:szCs w:val="22"/>
          <w:highlight w:val="none"/>
        </w:rPr>
      </w:r>
      <w:r>
        <w:rPr>
          <w:rFonts w:hint="eastAsia" w:ascii="宋体" w:hAnsi="宋体" w:eastAsia="宋体" w:cs="宋体"/>
          <w:sz w:val="22"/>
          <w:szCs w:val="22"/>
          <w:highlight w:val="none"/>
          <w:u w:val="single"/>
        </w:rPr>
        <w:t xml:space="preserve">    </w:t>
      </w:r>
      <w:r/>
    </w:p>
    <w:p>
      <w:pPr>
        <w:ind w:left="166"/>
        <w:spacing w:before="183" w:line="22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spacing w:val="-13"/>
          <w:sz w:val="24"/>
          <w:highlight w:val="none"/>
        </w:rPr>
      </w:pPr>
      <w:r>
        <w:rPr>
          <w:rFonts w:hint="eastAsia" w:ascii="宋体" w:hAnsi="宋体" w:eastAsia="宋体" w:cs="宋体"/>
          <w:sz w:val="24"/>
          <w:szCs w:val="32"/>
          <w:highlight w:val="none"/>
        </w:rPr>
        <w:br w:type="page" w:clear="all"/>
      </w:r>
      <w:r>
        <w:rPr>
          <w:rFonts w:hint="eastAsia" w:ascii="宋体" w:hAnsi="宋体" w:eastAsia="宋体" w:cs="宋体"/>
          <w:spacing w:val="-13"/>
          <w:sz w:val="24"/>
          <w:highlight w:val="none"/>
        </w:rPr>
        <w:t xml:space="preserve">附件</w:t>
      </w:r>
      <w:r>
        <w:rPr>
          <w:rFonts w:hint="eastAsia" w:ascii="宋体" w:hAnsi="宋体" w:eastAsia="宋体" w:cs="宋体"/>
          <w:spacing w:val="-37"/>
          <w:sz w:val="24"/>
          <w:highlight w:val="none"/>
        </w:rPr>
        <w:t xml:space="preserve"> </w:t>
      </w:r>
      <w:r>
        <w:rPr>
          <w:rFonts w:hint="eastAsia" w:ascii="宋体" w:hAnsi="宋体" w:eastAsia="宋体" w:cs="宋体"/>
          <w:spacing w:val="-13"/>
          <w:sz w:val="24"/>
          <w:highlight w:val="none"/>
        </w:rPr>
        <w:t xml:space="preserve">2</w:t>
      </w:r>
      <w:r/>
    </w:p>
    <w:p>
      <w:p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安全生产合同</w:t>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甲方（发包方）：</w:t>
      </w:r>
      <w:r>
        <w:rPr>
          <w:rFonts w:hint="eastAsia" w:ascii="宋体" w:hAnsi="宋体" w:cs="宋体"/>
          <w:sz w:val="24"/>
          <w:highlight w:val="none"/>
          <w:u w:val="single"/>
          <w:lang w:bidi="en-US"/>
        </w:rPr>
        <w:t xml:space="preserve">盐城市盐都区</w:t>
      </w:r>
      <w:r>
        <w:rPr>
          <w:rFonts w:hint="eastAsia" w:ascii="宋体" w:hAnsi="宋体" w:cs="宋体"/>
          <w:sz w:val="24"/>
          <w:highlight w:val="none"/>
          <w:u w:val="single"/>
          <w:lang w:eastAsia="zh-CN" w:bidi="en-US"/>
        </w:rPr>
        <w:t xml:space="preserve">大冈</w:t>
      </w:r>
      <w:r>
        <w:rPr>
          <w:rFonts w:hint="eastAsia" w:ascii="宋体" w:hAnsi="宋体" w:cs="宋体"/>
          <w:sz w:val="24"/>
          <w:highlight w:val="none"/>
          <w:u w:val="single"/>
          <w:lang w:bidi="en-US"/>
        </w:rPr>
        <w:t xml:space="preserve">镇人民政府</w:t>
      </w:r>
      <w:r>
        <w:rPr>
          <w:rFonts w:hint="eastAsia" w:ascii="宋体" w:hAnsi="宋体" w:eastAsia="宋体" w:cs="宋体"/>
          <w:sz w:val="24"/>
          <w:highlight w:val="none"/>
          <w:lang w:bidi="en-US"/>
        </w:rPr>
        <w:t xml:space="preserve">                          </w:t>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乙方（承包方）：</w:t>
      </w:r>
      <w:r>
        <w:rPr>
          <w:rFonts w:hint="eastAsia" w:ascii="宋体" w:hAnsi="宋体" w:eastAsia="宋体" w:cs="宋体"/>
          <w:sz w:val="24"/>
          <w:highlight w:val="none"/>
          <w:u w:val="single"/>
          <w:lang w:bidi="en-US"/>
        </w:rPr>
        <w:t xml:space="preserve">                                   </w:t>
      </w:r>
      <w:r>
        <w:rPr>
          <w:rFonts w:hint="eastAsia" w:ascii="宋体" w:hAnsi="宋体" w:eastAsia="宋体" w:cs="宋体"/>
          <w:sz w:val="24"/>
          <w:highlight w:val="none"/>
          <w:lang w:bidi="en-US"/>
        </w:rPr>
        <w:t xml:space="preserve">       </w:t>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为积极贯彻“安全第一，预防为主”的建设方针，保证本工程的安全生产，有效控制各类生产安全事故，保障从业人员安全、健康和国家财产免遭损失，根据《中华人民共和国劳动法》、《中华人民共和国建筑法》、《中华人民共和国安全生产法》和《建设工程安全生产管理条例》等有关规定，就</w:t>
      </w:r>
      <w:r>
        <w:rPr>
          <w:rFonts w:hint="eastAsia" w:ascii="宋体" w:hAnsi="宋体" w:eastAsia="宋体" w:cs="宋体"/>
          <w:sz w:val="24"/>
          <w:highlight w:val="none"/>
          <w:u w:val="single"/>
          <w:lang w:eastAsia="zh-CN" w:bidi="en-US"/>
        </w:rPr>
        <w:t xml:space="preserve">大冈镇老旧小区改造项目</w:t>
      </w:r>
      <w:r>
        <w:rPr>
          <w:rFonts w:hint="eastAsia" w:ascii="宋体" w:hAnsi="宋体" w:eastAsia="宋体" w:cs="宋体"/>
          <w:sz w:val="24"/>
          <w:highlight w:val="none"/>
          <w:lang w:bidi="en-US"/>
        </w:rPr>
        <w:t xml:space="preserve">施工过程中甲乙双方安全责任问题，经双方协商，签订本责任书。本责任书为承包合同的附件，在签订承包合同的同时签订本责任书，两者具有同等法律效力，双方应认真履行。</w:t>
      </w:r>
      <w:r/>
    </w:p>
    <w:p>
      <w:pPr>
        <w:ind w:firstLine="482"/>
        <w:spacing w:line="360" w:lineRule="auto"/>
        <w:widowControl/>
        <w:rPr>
          <w:rFonts w:hint="eastAsia" w:ascii="宋体" w:hAnsi="宋体" w:eastAsia="宋体" w:cs="宋体"/>
          <w:b/>
          <w:sz w:val="24"/>
          <w:highlight w:val="none"/>
          <w:lang w:bidi="en-US"/>
        </w:rPr>
      </w:pPr>
      <w:r>
        <w:rPr>
          <w:rFonts w:hint="eastAsia" w:ascii="宋体" w:hAnsi="宋体" w:eastAsia="宋体" w:cs="宋体"/>
          <w:b/>
          <w:sz w:val="24"/>
          <w:highlight w:val="none"/>
          <w:lang w:bidi="en-US"/>
        </w:rPr>
        <w:t xml:space="preserve">一、工程概况</w:t>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工程名称：</w:t>
      </w:r>
      <w:r>
        <w:rPr>
          <w:rFonts w:hint="eastAsia" w:ascii="宋体" w:hAnsi="宋体" w:eastAsia="宋体" w:cs="宋体"/>
          <w:sz w:val="24"/>
          <w:highlight w:val="none"/>
          <w:u w:val="single"/>
          <w:lang w:eastAsia="zh-CN" w:bidi="en-US"/>
        </w:rPr>
        <w:t xml:space="preserve">大冈镇老旧小区改造项目</w:t>
      </w:r>
      <w:r>
        <w:rPr>
          <w:rFonts w:hint="eastAsia" w:ascii="宋体" w:hAnsi="宋体" w:eastAsia="宋体" w:cs="宋体"/>
          <w:sz w:val="24"/>
          <w:highlight w:val="none"/>
          <w:lang w:bidi="en-US"/>
        </w:rPr>
        <w:t xml:space="preserve">                 </w:t>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工程地点：</w:t>
      </w:r>
      <w:r>
        <w:rPr>
          <w:rFonts w:hint="eastAsia" w:ascii="宋体" w:hAnsi="宋体" w:cs="宋体"/>
          <w:sz w:val="24"/>
          <w:highlight w:val="none"/>
          <w:u w:val="single"/>
          <w:lang w:bidi="en-US"/>
        </w:rPr>
        <w:t xml:space="preserve">盐都区</w:t>
      </w:r>
      <w:r>
        <w:rPr>
          <w:rFonts w:hint="eastAsia" w:ascii="宋体" w:hAnsi="宋体" w:cs="宋体"/>
          <w:sz w:val="24"/>
          <w:highlight w:val="none"/>
          <w:u w:val="single"/>
          <w:lang w:eastAsia="zh-CN" w:bidi="en-US"/>
        </w:rPr>
        <w:t xml:space="preserve">大冈</w:t>
      </w:r>
      <w:r>
        <w:rPr>
          <w:rFonts w:hint="eastAsia" w:ascii="宋体" w:hAnsi="宋体" w:cs="宋体"/>
          <w:sz w:val="24"/>
          <w:highlight w:val="none"/>
          <w:u w:val="single"/>
          <w:lang w:bidi="en-US"/>
        </w:rPr>
        <w:t xml:space="preserve">镇境内</w:t>
      </w:r>
      <w:r>
        <w:rPr>
          <w:rFonts w:hint="eastAsia" w:ascii="宋体" w:hAnsi="宋体" w:eastAsia="宋体" w:cs="宋体"/>
          <w:sz w:val="24"/>
          <w:highlight w:val="none"/>
          <w:lang w:bidi="en-US"/>
        </w:rPr>
        <w:t xml:space="preserve">                         </w:t>
      </w:r>
      <w:r/>
    </w:p>
    <w:p>
      <w:pPr>
        <w:ind w:firstLine="482"/>
        <w:spacing w:line="360" w:lineRule="auto"/>
        <w:widowControl/>
        <w:rPr>
          <w:rFonts w:hint="eastAsia" w:ascii="宋体" w:hAnsi="宋体" w:eastAsia="宋体" w:cs="宋体"/>
          <w:sz w:val="24"/>
          <w:highlight w:val="none"/>
          <w:lang w:bidi="en-US"/>
        </w:rPr>
      </w:pPr>
      <w:r>
        <w:rPr>
          <w:rFonts w:hint="eastAsia" w:ascii="宋体" w:hAnsi="宋体" w:eastAsia="宋体" w:cs="宋体"/>
          <w:b/>
          <w:sz w:val="24"/>
          <w:highlight w:val="none"/>
          <w:lang w:bidi="en-US"/>
        </w:rPr>
        <w:t xml:space="preserve">二、合同履行期限：</w:t>
      </w:r>
      <w:r>
        <w:rPr>
          <w:rFonts w:hint="eastAsia" w:ascii="宋体" w:hAnsi="宋体" w:cs="宋体"/>
          <w:bCs/>
          <w:sz w:val="24"/>
          <w:highlight w:val="none"/>
          <w:lang w:bidi="en-US"/>
        </w:rPr>
        <w:t xml:space="preserve">60日历天</w:t>
      </w:r>
      <w:r>
        <w:rPr>
          <w:rFonts w:hint="eastAsia" w:ascii="宋体" w:hAnsi="宋体" w:eastAsia="宋体" w:cs="宋体"/>
          <w:bCs/>
          <w:sz w:val="24"/>
          <w:highlight w:val="none"/>
          <w:lang w:bidi="en-US"/>
        </w:rPr>
        <w:t xml:space="preserve">。  </w:t>
      </w:r>
      <w:r>
        <w:rPr>
          <w:rFonts w:hint="eastAsia" w:ascii="宋体" w:hAnsi="宋体" w:eastAsia="宋体" w:cs="宋体"/>
          <w:sz w:val="24"/>
          <w:highlight w:val="none"/>
          <w:lang w:bidi="en-US"/>
        </w:rPr>
        <w:t xml:space="preserve">                    </w:t>
      </w:r>
      <w:r/>
    </w:p>
    <w:p>
      <w:pPr>
        <w:ind w:firstLine="482"/>
        <w:spacing w:line="360" w:lineRule="auto"/>
        <w:widowControl/>
        <w:rPr>
          <w:rFonts w:hint="eastAsia" w:ascii="宋体" w:hAnsi="宋体" w:eastAsia="宋体" w:cs="宋体"/>
          <w:b/>
          <w:sz w:val="24"/>
          <w:highlight w:val="none"/>
          <w:lang w:bidi="en-US"/>
        </w:rPr>
      </w:pPr>
      <w:r>
        <w:rPr>
          <w:rFonts w:hint="eastAsia" w:ascii="宋体" w:hAnsi="宋体" w:eastAsia="宋体" w:cs="宋体"/>
          <w:b/>
          <w:sz w:val="24"/>
          <w:highlight w:val="none"/>
          <w:lang w:bidi="en-US"/>
        </w:rPr>
        <w:t xml:space="preserve">三、安全生产</w:t>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1、乙方必须学习、掌握，并执行甲方发行的有关安全生产的各项规章制度和管理方式。</w:t>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2、乙方必须执行甲方与乙方共同制定的与项目有关的总体工程施工组织设计和安全技术方案。</w:t>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3、乙方必须执行三级安全教育制度，项目经理、承包项目负责人及特种作业人员必须持证上岗。</w:t>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4、乙方必须执行安全生产检查整改制度，认真开展日常和定期、不定期的安全及治安保卫工作检查，及时发现隐患，落实整改措施，不断提高安全防范能力。</w:t>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5、乙方必须接受甲方或甲方上级主管部门、政府有关部门的安全生产检查，对于甲方查处的隐患，乙方必须限期整改。</w:t>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6、乙方必须执行安全防护设施、设备验收制度。</w:t>
      </w:r>
      <w:r/>
    </w:p>
    <w:p>
      <w:pPr>
        <w:ind w:firstLine="480"/>
        <w:spacing w:line="360" w:lineRule="auto"/>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7、乙方自带的施工机械设备，必须符合国家标准、规定，且机械性能良好、安全防护装置齐全、灵敏、有效。</w:t>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8、乙方必须按规定为作业人员配发合格的劳动防护用品。</w:t>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9、乙方必须执行“因公伤亡事故报告制度”，如乙方施工现场发生因公伤亡事故，必须立即向甲方及有关部门报告，不准隐瞒不报，并全力抢救伤员，保护施工现场。如因抢救伤员必须移动现场设备、设施时，要做好记录或拍照，不准破坏事故现场。乙方须积极配合甲方上级部门、当地政府部门对事故的调查和现场勘查，不得提供伪证。</w:t>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10、乙方须承担因为乙方的原因造成事故的经济责任和法律责任。</w:t>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11、乙方有权拒绝甲方的违章指挥。</w:t>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12、乙方发生人员伤亡事故时，不管事故的责任在何方，乙方必须做好事故的善后处理工作。当甲方对事故的发生负有一定管理责任时，甲方应积极协助乙方做好善后工作。</w:t>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13、乙方应做好重点要害部位的治安管理工作，达到制度全、管理严、设施齐，岗位人员责任性强。</w:t>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14、乙方应严格执行国家有关暂住人口管理规定，外地施工人员进驻现场必须按规定办理暂住证；人员管理必须要做到：底数清、情况明、证件齐、登记申报及时。</w:t>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15、乙方应保证工地不发生安全责任事故；不发生刑事案件和破坏生产设施事件；不发生火灾、爆炸、违章施工作业、交通违章等治安灾害事故；不发生职工违法犯罪，若在承诺施工期间发生任何安全事故，均与甲方无关。</w:t>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16、当乙方出现安全、文明施工严重失控情况下，在甲方认为确定有必要暂停施工并提出要求乙方暂停施工的书面意见后，乙方应当按甲方要求停止施工。乙方实施处理意见后，以书面形式向甲方提出复工要求。在甲方组织验收并签字同意后，乙方重新施工。</w:t>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17、乙方必须坚持文明施工，对所承担工程区域的文明施工负责，做到工完料尽场地清。</w:t>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18、甲方应为乙方创造良好的作业环境，完全因甲方的设施、设备不良造成的事故，应由甲方负责。</w:t>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19、甲方有监督、纠正乙方人员违章、违规、违纪行为的权力，对不服管理的有权命令其停止作业。</w:t>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20、甲方有权审查乙方的安全资质和人员的安全教育情况。</w:t>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21、乙方承诺以本合同的履约保证金同时作为本项目安全担保金，在工程进行期间，当出现安全、保卫违规情况或发生安全、保卫事故等情况，因乙方原因造成甲方经济、信誉损失的，甲方据实计算扣款额，在履约保证金中予以扣除，累计扣款总额如超过履约保证金总额的，超出部份乙方仍须承担。</w:t>
      </w:r>
      <w:r/>
    </w:p>
    <w:p>
      <w:pPr>
        <w:ind w:firstLine="482"/>
        <w:spacing w:line="360" w:lineRule="auto"/>
        <w:widowControl/>
        <w:rPr>
          <w:rFonts w:hint="eastAsia" w:ascii="宋体" w:hAnsi="宋体" w:eastAsia="宋体" w:cs="宋体"/>
          <w:b/>
          <w:sz w:val="24"/>
          <w:highlight w:val="none"/>
          <w:lang w:bidi="en-US"/>
        </w:rPr>
      </w:pPr>
      <w:r>
        <w:rPr>
          <w:rFonts w:hint="eastAsia" w:ascii="宋体" w:hAnsi="宋体" w:eastAsia="宋体" w:cs="宋体"/>
          <w:b/>
          <w:sz w:val="24"/>
          <w:highlight w:val="none"/>
          <w:lang w:bidi="en-US"/>
        </w:rPr>
        <w:t xml:space="preserve">四、违 约</w:t>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1、达不到约定条件的，甲方一经发现，可要求乙方立即进行改正和补充完善，乙方应按甲方要求改正和补充完善，直到符合约定条件。</w:t>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2、因乙方原因达不到约定条件的，由乙方承担违约责任和经济支出。</w:t>
      </w:r>
      <w:r/>
    </w:p>
    <w:p>
      <w:pPr>
        <w:ind w:firstLine="482"/>
        <w:spacing w:line="360" w:lineRule="auto"/>
        <w:widowControl/>
        <w:rPr>
          <w:rFonts w:hint="eastAsia" w:ascii="宋体" w:hAnsi="宋体" w:eastAsia="宋体" w:cs="宋体"/>
          <w:b/>
          <w:sz w:val="24"/>
          <w:highlight w:val="none"/>
          <w:lang w:bidi="en-US"/>
        </w:rPr>
      </w:pPr>
      <w:r>
        <w:rPr>
          <w:rFonts w:hint="eastAsia" w:ascii="宋体" w:hAnsi="宋体" w:eastAsia="宋体" w:cs="宋体"/>
          <w:b/>
          <w:sz w:val="24"/>
          <w:highlight w:val="none"/>
          <w:lang w:bidi="en-US"/>
        </w:rPr>
        <w:t xml:space="preserve">五、争 议</w:t>
      </w:r>
      <w:r/>
    </w:p>
    <w:p>
      <w:pPr>
        <w:ind w:firstLine="48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en-US"/>
        </w:rPr>
        <w:t xml:space="preserve">1、本合同在执行过程中如遇有与国家、地方政府的有关规定不一致时，按照国家、地方的有关规定执行。</w:t>
      </w:r>
      <w:r>
        <w:rPr>
          <w:rFonts w:hint="eastAsia" w:ascii="宋体" w:hAnsi="宋体" w:eastAsia="宋体" w:cs="宋体"/>
          <w:sz w:val="24"/>
          <w:highlight w:val="none"/>
        </w:rPr>
        <w:t xml:space="preserve"> </w:t>
      </w:r>
      <w:r/>
    </w:p>
    <w:p>
      <w:pPr>
        <w:ind w:firstLine="48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2、本合同争议进行调解时，可提交进行调解。</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3、仲裁或诉讼合同争议的最终解决方式为下列第</w:t>
      </w:r>
      <w:r>
        <w:rPr>
          <w:rFonts w:hint="eastAsia" w:ascii="宋体" w:hAnsi="宋体" w:eastAsia="宋体" w:cs="宋体"/>
          <w:sz w:val="24"/>
          <w:highlight w:val="none"/>
          <w:u w:val="single"/>
        </w:rPr>
        <w:t xml:space="preserve"> 2 </w:t>
      </w:r>
      <w:r>
        <w:rPr>
          <w:rFonts w:hint="eastAsia" w:ascii="宋体" w:hAnsi="宋体" w:eastAsia="宋体" w:cs="宋体"/>
          <w:sz w:val="24"/>
          <w:highlight w:val="none"/>
        </w:rPr>
        <w:t xml:space="preserve">种方式：</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（1）提请</w:t>
      </w:r>
      <w:r>
        <w:rPr>
          <w:rFonts w:hint="eastAsia" w:ascii="宋体" w:hAnsi="宋体" w:eastAsia="宋体" w:cs="宋体"/>
          <w:sz w:val="24"/>
          <w:highlight w:val="none"/>
          <w:u w:val="single"/>
        </w:rPr>
        <w:t xml:space="preserve">盐城</w:t>
      </w:r>
      <w:r>
        <w:rPr>
          <w:rFonts w:hint="eastAsia" w:ascii="宋体" w:hAnsi="宋体" w:eastAsia="宋体" w:cs="宋体"/>
          <w:sz w:val="24"/>
          <w:highlight w:val="none"/>
        </w:rPr>
        <w:t xml:space="preserve">仲裁委员会进行仲裁。</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（2）向工程所在地人民法院提起诉讼。由此产生的包括但不限于律师费、诉讼费、鉴定费、保全费、保全保函费用等一切费用均由违约方承担。 </w:t>
      </w:r>
      <w:r/>
    </w:p>
    <w:p>
      <w:pPr>
        <w:ind w:firstLine="482"/>
        <w:spacing w:line="360" w:lineRule="auto"/>
        <w:rPr>
          <w:rFonts w:hint="eastAsia" w:ascii="宋体" w:hAnsi="宋体" w:eastAsia="宋体" w:cs="宋体"/>
          <w:b/>
          <w:sz w:val="24"/>
          <w:highlight w:val="none"/>
          <w:lang w:bidi="en-US"/>
        </w:rPr>
      </w:pPr>
      <w:r>
        <w:rPr>
          <w:rFonts w:hint="eastAsia" w:ascii="宋体" w:hAnsi="宋体" w:eastAsia="宋体" w:cs="宋体"/>
          <w:b/>
          <w:sz w:val="24"/>
          <w:highlight w:val="none"/>
          <w:lang w:bidi="en-US"/>
        </w:rPr>
        <w:t xml:space="preserve">六、</w:t>
      </w:r>
      <w:r>
        <w:rPr>
          <w:rFonts w:hint="eastAsia" w:ascii="宋体" w:hAnsi="宋体" w:eastAsia="宋体" w:cs="宋体"/>
          <w:sz w:val="24"/>
          <w:highlight w:val="none"/>
          <w:lang w:bidi="en-US"/>
        </w:rPr>
        <w:t xml:space="preserve">本合同作为甲方与乙方签署的《</w:t>
      </w:r>
      <w:r>
        <w:rPr>
          <w:rFonts w:hint="eastAsia" w:ascii="宋体" w:hAnsi="宋体" w:cs="宋体"/>
          <w:sz w:val="24"/>
          <w:highlight w:val="none"/>
          <w:lang w:bidi="en-US"/>
        </w:rPr>
        <w:t xml:space="preserve">盐城市盐都区</w:t>
      </w:r>
      <w:r>
        <w:rPr>
          <w:rFonts w:hint="eastAsia" w:ascii="宋体" w:hAnsi="宋体" w:cs="宋体"/>
          <w:sz w:val="24"/>
          <w:highlight w:val="none"/>
          <w:lang w:eastAsia="zh-CN" w:bidi="en-US"/>
        </w:rPr>
        <w:t xml:space="preserve">大冈</w:t>
      </w:r>
      <w:r>
        <w:rPr>
          <w:rFonts w:hint="eastAsia" w:ascii="宋体" w:hAnsi="宋体" w:cs="宋体"/>
          <w:sz w:val="24"/>
          <w:highlight w:val="none"/>
          <w:lang w:bidi="en-US"/>
        </w:rPr>
        <w:t xml:space="preserve">镇人民政府</w:t>
      </w:r>
      <w:r>
        <w:rPr>
          <w:rFonts w:hint="eastAsia" w:ascii="宋体" w:hAnsi="宋体" w:eastAsia="宋体" w:cs="宋体"/>
          <w:sz w:val="24"/>
          <w:highlight w:val="none"/>
          <w:lang w:bidi="en-US"/>
        </w:rPr>
        <w:t xml:space="preserve">承包合同》 的附件，与《</w:t>
      </w:r>
      <w:r>
        <w:rPr>
          <w:rFonts w:hint="eastAsia" w:ascii="宋体" w:hAnsi="宋体" w:cs="宋体"/>
          <w:sz w:val="24"/>
          <w:highlight w:val="none"/>
          <w:lang w:bidi="en-US"/>
        </w:rPr>
        <w:t xml:space="preserve">盐城市盐都区</w:t>
      </w:r>
      <w:r>
        <w:rPr>
          <w:rFonts w:hint="eastAsia" w:ascii="宋体" w:hAnsi="宋体" w:cs="宋体"/>
          <w:sz w:val="24"/>
          <w:highlight w:val="none"/>
          <w:lang w:eastAsia="zh-CN" w:bidi="en-US"/>
        </w:rPr>
        <w:t xml:space="preserve">大冈</w:t>
      </w:r>
      <w:r>
        <w:rPr>
          <w:rFonts w:hint="eastAsia" w:ascii="宋体" w:hAnsi="宋体" w:cs="宋体"/>
          <w:sz w:val="24"/>
          <w:highlight w:val="none"/>
          <w:lang w:bidi="en-US"/>
        </w:rPr>
        <w:t xml:space="preserve">镇人民政府</w:t>
      </w:r>
      <w:r>
        <w:rPr>
          <w:rFonts w:hint="eastAsia" w:ascii="宋体" w:hAnsi="宋体" w:eastAsia="宋体" w:cs="宋体"/>
          <w:sz w:val="24"/>
          <w:highlight w:val="none"/>
          <w:lang w:bidi="en-US"/>
        </w:rPr>
        <w:t xml:space="preserve">承包合同》具有同样的法律效力。经协议双方法定代表人或其委托代理人签字并加盖单位公司后立即生效。</w:t>
      </w:r>
      <w:r/>
    </w:p>
    <w:p>
      <w:pPr>
        <w:ind w:firstLine="482"/>
        <w:spacing w:line="360" w:lineRule="auto"/>
        <w:widowControl/>
        <w:rPr>
          <w:rFonts w:hint="eastAsia" w:ascii="宋体" w:hAnsi="宋体" w:eastAsia="宋体" w:cs="宋体"/>
          <w:sz w:val="24"/>
          <w:highlight w:val="none"/>
          <w:lang w:bidi="en-US"/>
        </w:rPr>
      </w:pPr>
      <w:r>
        <w:rPr>
          <w:rFonts w:hint="eastAsia" w:ascii="宋体" w:hAnsi="宋体" w:eastAsia="宋体" w:cs="宋体"/>
          <w:b/>
          <w:sz w:val="24"/>
          <w:highlight w:val="none"/>
          <w:lang w:bidi="en-US"/>
        </w:rPr>
        <w:t xml:space="preserve">七、</w:t>
      </w:r>
      <w:r>
        <w:rPr>
          <w:rFonts w:hint="eastAsia" w:ascii="宋体" w:hAnsi="宋体" w:eastAsia="宋体" w:cs="宋体"/>
          <w:sz w:val="24"/>
          <w:highlight w:val="none"/>
          <w:lang w:bidi="en-US"/>
        </w:rPr>
        <w:t xml:space="preserve">本合同一式陆份，甲方执叁份，乙方执贰份，监理单位执壹份。</w:t>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甲方（盖章）：                    乙方（盖章）：</w:t>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法定代表人：                         法定代表人：</w:t>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（或委托代理人签字或盖章）</w:t>
      </w:r>
      <w:r>
        <w:rPr>
          <w:rFonts w:hint="eastAsia" w:ascii="宋体" w:hAnsi="宋体" w:eastAsia="宋体" w:cs="宋体"/>
          <w:sz w:val="24"/>
          <w:highlight w:val="none"/>
          <w:u w:val="single"/>
          <w:lang w:bidi="en-US"/>
        </w:rPr>
        <w:t xml:space="preserve">       </w:t>
      </w:r>
      <w:r>
        <w:rPr>
          <w:rFonts w:hint="eastAsia" w:ascii="宋体" w:hAnsi="宋体" w:eastAsia="宋体" w:cs="宋体"/>
          <w:sz w:val="24"/>
          <w:highlight w:val="none"/>
          <w:lang w:bidi="en-US"/>
        </w:rPr>
        <w:t xml:space="preserve">   （或委托代理人签字或盖章）</w:t>
      </w:r>
      <w:r>
        <w:rPr>
          <w:rFonts w:hint="eastAsia" w:ascii="宋体" w:hAnsi="宋体" w:eastAsia="宋体" w:cs="宋体"/>
          <w:sz w:val="24"/>
          <w:highlight w:val="none"/>
          <w:u w:val="single"/>
          <w:lang w:bidi="en-US"/>
        </w:rPr>
        <w:t xml:space="preserve">          </w:t>
      </w:r>
      <w:r/>
    </w:p>
    <w:p>
      <w:pPr>
        <w:ind w:firstLine="480"/>
        <w:spacing w:line="360" w:lineRule="auto"/>
        <w:widowControl/>
        <w:rPr>
          <w:rFonts w:hint="eastAsia" w:ascii="宋体" w:hAnsi="宋体" w:eastAsia="宋体" w:cs="宋体"/>
          <w:sz w:val="24"/>
          <w:highlight w:val="none"/>
          <w:lang w:bidi="en-US"/>
        </w:rPr>
      </w:pPr>
      <w:r>
        <w:rPr>
          <w:rFonts w:hint="eastAsia" w:ascii="宋体" w:hAnsi="宋体" w:eastAsia="宋体" w:cs="宋体"/>
          <w:sz w:val="24"/>
          <w:highlight w:val="none"/>
          <w:lang w:bidi="en-US"/>
        </w:rPr>
      </w:r>
      <w:r/>
    </w:p>
    <w:p>
      <w:pPr>
        <w:ind w:firstLine="480"/>
        <w:spacing w:line="360" w:lineRule="auto"/>
        <w:rPr>
          <w:rFonts w:hint="eastAsia" w:ascii="宋体" w:hAnsi="宋体" w:eastAsia="宋体" w:cs="宋体"/>
          <w:sz w:val="24"/>
          <w:highlight w:val="none"/>
          <w:lang w:bidi="en-US"/>
        </w:rPr>
      </w:pPr>
      <w:r>
        <w:rPr>
          <w:rFonts w:hint="eastAsia" w:ascii="宋体" w:hAnsi="宋体" w:eastAsia="宋体" w:cs="宋体"/>
          <w:sz w:val="24"/>
          <w:highlight w:val="none"/>
          <w:lang w:bidi="en-US"/>
        </w:rPr>
        <w:t xml:space="preserve">日期：                               日期：</w:t>
      </w:r>
      <w:r/>
    </w:p>
    <w:p>
      <w:pPr>
        <w:pStyle w:val="824"/>
        <w:rPr>
          <w:rFonts w:hint="eastAsia"/>
          <w:highlight w:val="none"/>
          <w:lang w:bidi="en-US"/>
        </w:rPr>
      </w:pPr>
      <w:r>
        <w:rPr>
          <w:rFonts w:hint="eastAsia"/>
          <w:highlight w:val="none"/>
          <w:lang w:bidi="en-US"/>
        </w:rPr>
        <w:br w:type="page" w:clear="all"/>
      </w:r>
      <w:r/>
    </w:p>
    <w:p>
      <w:pPr>
        <w:pStyle w:val="821"/>
        <w:numPr>
          <w:ilvl w:val="0"/>
          <w:numId w:val="3"/>
        </w:numPr>
        <w:jc w:val="center"/>
        <w:spacing w:before="120" w:beforeAutospacing="0" w:after="120" w:afterAutospacing="0" w:line="0" w:lineRule="atLeast"/>
        <w:rPr>
          <w:rFonts w:hint="eastAsia" w:ascii="黑体" w:hAnsi="宋体" w:eastAsia="黑体" w:cs="黑体"/>
          <w:sz w:val="44"/>
          <w:szCs w:val="44"/>
          <w:highlight w:val="none"/>
        </w:rPr>
        <w:outlineLvl w:val="0"/>
      </w:pPr>
      <w:r>
        <w:rPr>
          <w:rFonts w:hint="eastAsia" w:ascii="黑体" w:hAnsi="宋体" w:eastAsia="黑体" w:cs="黑体"/>
          <w:sz w:val="44"/>
          <w:szCs w:val="44"/>
          <w:highlight w:val="none"/>
        </w:rPr>
        <w:t xml:space="preserve">采购需求</w:t>
      </w:r>
      <w:bookmarkEnd w:id="162"/>
      <w:r/>
      <w:bookmarkEnd w:id="163"/>
      <w:r/>
      <w:bookmarkEnd w:id="164"/>
      <w:r/>
      <w:bookmarkEnd w:id="165"/>
      <w:r/>
      <w:bookmarkEnd w:id="166"/>
      <w:r/>
      <w:bookmarkStart w:id="646" w:name="_Toc49090575"/>
      <w:r/>
      <w:bookmarkEnd w:id="646"/>
      <w:r/>
      <w:bookmarkStart w:id="647" w:name="_Toc26554093"/>
      <w:r/>
      <w:bookmarkEnd w:id="647"/>
      <w:r/>
      <w:r/>
    </w:p>
    <w:p>
      <w:pPr>
        <w:ind w:firstLine="498"/>
        <w:keepLines w:val="0"/>
        <w:keepNext w:val="0"/>
        <w:pageBreakBefore w:val="0"/>
        <w:spacing w:line="360" w:lineRule="auto"/>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none"/>
        </w:rPr>
        <w:t xml:space="preserve">一、项目基本情况</w:t>
      </w:r>
      <w:r/>
    </w:p>
    <w:p>
      <w:pPr>
        <w:ind w:firstLine="480"/>
        <w:keepLines w:val="0"/>
        <w:keepNext w:val="0"/>
        <w:pageBreakBefore w:val="0"/>
        <w:spacing w:line="360" w:lineRule="auto"/>
        <w:rPr>
          <w:rFonts w:hint="eastAsia" w:ascii="宋体" w:hAnsi="宋体" w:eastAsia="宋体" w:cs="宋体"/>
          <w:szCs w:val="21"/>
          <w:highlight w:val="none"/>
          <w:lang w:eastAsia="zh-CN"/>
        </w:rPr>
      </w:pPr>
      <w:r>
        <w:rPr>
          <w:rFonts w:hint="eastAsia" w:ascii="宋体" w:hAnsi="宋体" w:eastAsia="宋体" w:cs="宋体"/>
          <w:color w:val="000000"/>
          <w:highlight w:val="none"/>
        </w:rPr>
        <w:t xml:space="preserve">1.项目名称：</w:t>
      </w:r>
      <w:r>
        <w:rPr>
          <w:rFonts w:hint="eastAsia" w:ascii="宋体" w:hAnsi="宋体" w:eastAsia="宋体" w:cs="宋体"/>
          <w:color w:val="000000"/>
          <w:highlight w:val="none"/>
          <w:lang w:eastAsia="zh-CN"/>
        </w:rPr>
        <w:t xml:space="preserve">大冈镇老旧小区改造项目</w:t>
      </w:r>
      <w:r/>
    </w:p>
    <w:p>
      <w:pPr>
        <w:ind w:firstLine="480"/>
        <w:keepLines w:val="0"/>
        <w:keepNext w:val="0"/>
        <w:pageBreakBefore w:val="0"/>
        <w:spacing w:line="360" w:lineRule="auto"/>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2</w:t>
      </w:r>
      <w:r>
        <w:rPr>
          <w:rFonts w:ascii="宋体" w:hAnsi="宋体" w:eastAsia="宋体" w:cs="宋体"/>
          <w:color w:val="000000"/>
          <w:highlight w:val="none"/>
        </w:rPr>
        <w:t xml:space="preserve">.采购方式：竞争性磋商</w:t>
      </w:r>
      <w:r/>
    </w:p>
    <w:p>
      <w:pPr>
        <w:ind w:firstLine="480"/>
        <w:keepLines w:val="0"/>
        <w:keepNext w:val="0"/>
        <w:pageBreakBefore w:val="0"/>
        <w:spacing w:line="360" w:lineRule="auto"/>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3.采购需求：</w:t>
      </w:r>
      <w:r>
        <w:rPr>
          <w:rFonts w:hint="eastAsia" w:ascii="宋体" w:hAnsi="宋体" w:eastAsia="宋体" w:cs="宋体"/>
          <w:color w:val="000000"/>
          <w:highlight w:val="none"/>
          <w:lang w:eastAsia="zh-CN"/>
        </w:rPr>
        <w:t xml:space="preserve">大冈镇老旧小区改造项目</w:t>
      </w:r>
      <w:r>
        <w:rPr>
          <w:rFonts w:hint="eastAsia" w:ascii="宋体" w:hAnsi="宋体" w:eastAsia="宋体" w:cs="宋体"/>
          <w:color w:val="000000"/>
          <w:highlight w:val="none"/>
        </w:rPr>
        <w:t xml:space="preserve">的施工，具体招标内容详见工程量清单和施工图纸。</w:t>
      </w:r>
      <w:r/>
    </w:p>
    <w:p>
      <w:pPr>
        <w:ind w:firstLine="480"/>
        <w:keepLines w:val="0"/>
        <w:keepNext w:val="0"/>
        <w:pageBreakBefore w:val="0"/>
        <w:spacing w:line="360" w:lineRule="auto"/>
        <w:widowControl/>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4.合同履行期限：60日历天，具体开工日期以采购人的书面通知为准。</w:t>
      </w:r>
      <w:r/>
    </w:p>
    <w:p>
      <w:pPr>
        <w:ind w:firstLine="480"/>
        <w:keepLines w:val="0"/>
        <w:keepNext w:val="0"/>
        <w:pageBreakBefore w:val="0"/>
        <w:spacing w:line="360" w:lineRule="auto"/>
        <w:widowControl/>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5</w:t>
      </w:r>
      <w:r>
        <w:rPr>
          <w:rFonts w:ascii="宋体" w:hAnsi="宋体" w:eastAsia="宋体" w:cs="宋体"/>
          <w:color w:val="000000"/>
          <w:highlight w:val="none"/>
        </w:rPr>
        <w:t xml:space="preserve">.质量要求：合格。</w:t>
      </w:r>
      <w:r/>
    </w:p>
    <w:p>
      <w:pPr>
        <w:ind w:firstLine="480"/>
        <w:keepLines w:val="0"/>
        <w:keepNext w:val="0"/>
        <w:pageBreakBefore w:val="0"/>
        <w:spacing w:line="360" w:lineRule="auto"/>
        <w:widowControl/>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6</w:t>
      </w:r>
      <w:r>
        <w:rPr>
          <w:rFonts w:ascii="宋体" w:hAnsi="宋体" w:eastAsia="宋体" w:cs="宋体"/>
          <w:color w:val="000000"/>
          <w:highlight w:val="none"/>
        </w:rPr>
        <w:t xml:space="preserve">.安全目标：无安全生产责任事故。</w:t>
      </w:r>
      <w:r/>
    </w:p>
    <w:p>
      <w:pPr>
        <w:ind w:firstLine="480"/>
        <w:keepLines w:val="0"/>
        <w:keepNext w:val="0"/>
        <w:pageBreakBefore w:val="0"/>
        <w:spacing w:line="360" w:lineRule="auto"/>
        <w:widowControl/>
        <w:rPr>
          <w:rFonts w:hint="eastAsia" w:ascii="黑体" w:hAnsi="宋体" w:eastAsia="黑体" w:cs="黑体"/>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7</w:t>
      </w:r>
      <w:r>
        <w:rPr>
          <w:rFonts w:ascii="宋体" w:hAnsi="宋体" w:eastAsia="宋体" w:cs="宋体"/>
          <w:color w:val="000000"/>
          <w:highlight w:val="none"/>
        </w:rPr>
        <w:t xml:space="preserve">.缺陷责任期：工程交工验收合格后2年。</w:t>
      </w:r>
      <w:r/>
    </w:p>
    <w:p>
      <w:pPr>
        <w:contextualSpacing/>
        <w:ind w:firstLine="482"/>
        <w:keepLines w:val="0"/>
        <w:keepNext w:val="0"/>
        <w:pageBreakBefore w:val="0"/>
        <w:spacing w:line="360" w:lineRule="auto"/>
        <w:rPr>
          <w:rFonts w:hint="eastAsia" w:ascii="宋体" w:hAnsi="宋体" w:eastAsia="宋体" w:cs="宋体"/>
          <w:b/>
          <w:szCs w:val="21"/>
          <w:highlight w:val="none"/>
        </w:rPr>
        <w:outlineLvl w:val="1"/>
      </w:pPr>
      <w:r/>
      <w:bookmarkStart w:id="648" w:name="_Toc300834969"/>
      <w:r/>
      <w:bookmarkStart w:id="649" w:name="_Toc144974516"/>
      <w:r/>
      <w:bookmarkStart w:id="650" w:name="_Toc247513972"/>
      <w:r/>
      <w:bookmarkStart w:id="651" w:name="_Toc247527573"/>
      <w:r/>
      <w:bookmarkStart w:id="652" w:name="_Toc152042324"/>
      <w:r/>
      <w:bookmarkStart w:id="653" w:name="_Toc152045548"/>
      <w:r>
        <w:rPr>
          <w:rFonts w:hint="eastAsia" w:ascii="宋体" w:hAnsi="宋体" w:eastAsia="宋体" w:cs="宋体"/>
          <w:b/>
          <w:szCs w:val="21"/>
          <w:highlight w:val="none"/>
        </w:rPr>
        <w:t xml:space="preserve">二、踏勘现场</w:t>
      </w:r>
      <w:r/>
    </w:p>
    <w:p>
      <w:pPr>
        <w:ind w:firstLine="480"/>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1.各磋商投标人应在递交磋商响应文件截止日前至工程实施现场进行现场踏勘，如因未踏勘现场造成的一切后果自负。</w:t>
      </w:r>
      <w:r/>
    </w:p>
    <w:p>
      <w:pPr>
        <w:ind w:firstLine="480"/>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2.磋商投标人踏勘现场发生的费用自理，自行承担在踏勘现场中所发生的人员伤亡和财产损失。</w:t>
      </w:r>
      <w:r/>
    </w:p>
    <w:p>
      <w:pPr>
        <w:ind w:firstLine="480"/>
        <w:keepLines w:val="0"/>
        <w:keepNext w:val="0"/>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磋商投标人到工程实施现场进行踏勘时，应当充分了解工地位置、情况、道路、储存空间、装卸限制及任何其它足以影响报价的情况，并根据现场的实际情况将本工程可预见的相关费用（包括地方矛盾）自行考虑到投标报价中，磋商投标人中标后可预见的相关费用包干使用。任何因忽视或误解工地情况而导致的索赔或工期延长申请将不被批准。因磋商投标人未踏勘现场所引起的一切后果由磋商投标人自负。</w:t>
      </w:r>
      <w:r/>
    </w:p>
    <w:p>
      <w:pPr>
        <w:ind w:firstLine="422"/>
        <w:keepLines w:val="0"/>
        <w:keepNext w:val="0"/>
        <w:pageBreakBefore w:val="0"/>
        <w:spacing w:line="360" w:lineRule="auto"/>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highlight w:val="none"/>
        </w:rPr>
        <w:t xml:space="preserve">三、投标报价要求</w:t>
      </w:r>
      <w:r/>
    </w:p>
    <w:p>
      <w:pPr>
        <w:ind w:firstLine="422"/>
        <w:keepLines w:val="0"/>
        <w:keepNext w:val="0"/>
        <w:pageBreakBefore w:val="0"/>
        <w:spacing w:line="360" w:lineRule="auto"/>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1.投标人应按招标人提供的“招标工程量清单”的要求填写价格清单。</w:t>
      </w:r>
      <w:r/>
    </w:p>
    <w:p>
      <w:pPr>
        <w:ind w:firstLine="422"/>
        <w:keepLines w:val="0"/>
        <w:keepNext w:val="0"/>
        <w:pageBreakBefore w:val="0"/>
        <w:spacing w:line="360" w:lineRule="auto"/>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2.投标人应充分了解完成本工程所必须的附属工程、临时工程、直接和间接成本、利润、税金、风险费、材料损耗、劳务、垃圾清运、成品保护以及各种管线、建筑物、构筑物的加固围护、施工场地的位置、周边环境、道路、装卸、保管、安装限制以及影响投标报价的其他要素。投标人根据投标施工组织设计，结合市场情况进行投标报价。</w:t>
      </w:r>
      <w:r/>
    </w:p>
    <w:p>
      <w:pPr>
        <w:ind w:firstLine="422"/>
        <w:keepLines w:val="0"/>
        <w:keepNext w:val="0"/>
        <w:pageBreakBefore w:val="0"/>
        <w:spacing w:line="360" w:lineRule="auto"/>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3.投标人需自行勘查现场，结合招标人的施工工艺要求，以及现场施工难度，进行投标报价，投标报价需包含按照招标人工艺要求进行施工的所有费用。</w:t>
      </w:r>
      <w:r/>
    </w:p>
    <w:p>
      <w:pPr>
        <w:ind w:firstLine="422"/>
        <w:keepLines w:val="0"/>
        <w:keepNext w:val="0"/>
        <w:pageBreakBefore w:val="0"/>
        <w:spacing w:line="360" w:lineRule="auto"/>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4.投标人须考虑现场情况，部分材料可能需要人工二次倒运，投标人须将此费用考虑在投标综合报价中。</w:t>
      </w:r>
      <w:r/>
    </w:p>
    <w:p>
      <w:pPr>
        <w:ind w:firstLine="422"/>
        <w:keepLines w:val="0"/>
        <w:keepNext w:val="0"/>
        <w:pageBreakBefore w:val="0"/>
        <w:spacing w:line="360" w:lineRule="auto"/>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5.投标人应充分考虑验收前所有可能产生的费用，招标人向投标人提供的有关现场的数据和资料，是招标人现有的能够被投标人利用的资料，招标人对投标人做出的任何推论、理解和结论均不负责任。</w:t>
      </w:r>
      <w:r/>
    </w:p>
    <w:p>
      <w:pPr>
        <w:ind w:firstLine="422"/>
        <w:keepLines w:val="0"/>
        <w:keepNext w:val="0"/>
        <w:pageBreakBefore w:val="0"/>
        <w:spacing w:line="360" w:lineRule="auto"/>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6.成品保护按相关要求执行，工程施工不得随意破坏已完工的项目，如破坏需及时按原状修复，否则由招标人另行安排施工单位修复，费用由招标人安排的施工单位报价，在中标人结算总价中按2倍的价格扣减。</w:t>
      </w:r>
      <w:r/>
    </w:p>
    <w:p>
      <w:pPr>
        <w:ind w:firstLine="422"/>
        <w:keepLines w:val="0"/>
        <w:keepNext w:val="0"/>
        <w:pageBreakBefore w:val="0"/>
        <w:spacing w:line="360" w:lineRule="auto"/>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7.工程施工过程中须服从招标人的管理，不得对周围的各种活动造成影响，不得对环境产生污染，施工过程中产生的垃圾清理必须每天及时清运出现场，不得对周边造成污染，在施工过程中必须严格控制施工噪音，如因上述原因由此所产生的全部费用或者被行政处罚所产生的费用均由投标人承担。</w:t>
      </w:r>
      <w:r/>
    </w:p>
    <w:p>
      <w:pPr>
        <w:ind w:firstLine="422"/>
        <w:keepLines w:val="0"/>
        <w:keepNext w:val="0"/>
        <w:pageBreakBefore w:val="0"/>
        <w:spacing w:line="360" w:lineRule="auto"/>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8.工程必须确保安全，投标人自行承担工程施工过程中的工程质量、任何状况下的安全责任。</w:t>
      </w:r>
      <w:r/>
    </w:p>
    <w:p>
      <w:pPr>
        <w:ind w:firstLine="422"/>
        <w:keepLines w:val="0"/>
        <w:keepNext w:val="0"/>
        <w:pageBreakBefore w:val="0"/>
        <w:spacing w:line="360" w:lineRule="auto"/>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9.本工程施工过程中遇到的地方矛盾、与其他施工单位的矛盾协调、环保，城管，环卫，附近居民等相关矛盾协调，均由投标人自行解决，并不支付任何额外费用。</w:t>
      </w:r>
      <w:r/>
    </w:p>
    <w:p>
      <w:pPr>
        <w:ind w:firstLine="422"/>
        <w:keepLines w:val="0"/>
        <w:keepNext w:val="0"/>
        <w:pageBreakBefore w:val="0"/>
        <w:spacing w:line="360" w:lineRule="auto"/>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10.本项目施工用水、用电由投标人自行解决，投标人投标报价时应将施工用水、用电充分考虑到投标报价的综合单价中，结算时，此部分费用不再另行计取。</w:t>
      </w:r>
      <w:r/>
    </w:p>
    <w:p>
      <w:pPr>
        <w:ind w:firstLine="422"/>
        <w:keepLines w:val="0"/>
        <w:keepNext w:val="0"/>
        <w:pageBreakBefore w:val="0"/>
        <w:spacing w:line="360" w:lineRule="auto"/>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11.本项目具体开工时间以招标人通知为准，投标人不得以项目开始实施时间太迟为由要求招标人调整价格，投标人投标时应将此风险充分考虑到投标报价中。</w:t>
      </w:r>
      <w:r/>
    </w:p>
    <w:p>
      <w:pPr>
        <w:ind w:firstLine="422"/>
        <w:keepLines w:val="0"/>
        <w:keepNext w:val="0"/>
        <w:pageBreakBefore w:val="0"/>
        <w:spacing w:line="360" w:lineRule="auto"/>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12.工程量现场实测计量，招标人保留增加或减少工作量的权利，合同价相应调整，但投标的综合单价不变。</w:t>
      </w:r>
      <w:r/>
    </w:p>
    <w:p>
      <w:pPr>
        <w:ind w:firstLine="422"/>
        <w:keepLines w:val="0"/>
        <w:keepNext w:val="0"/>
        <w:pageBreakBefore w:val="0"/>
        <w:spacing w:line="360" w:lineRule="auto"/>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13.材料进场前投标人必须送样品给招标人确认，经招标人确认后方可实施。如施工时提供的样品不能满足招标人要求，招标人有权要求更换。</w:t>
      </w:r>
      <w:r/>
    </w:p>
    <w:p>
      <w:pPr>
        <w:ind w:firstLine="422"/>
        <w:keepLines w:val="0"/>
        <w:keepNext w:val="0"/>
        <w:pageBreakBefore w:val="0"/>
        <w:spacing w:line="360" w:lineRule="auto"/>
        <w:widowControl/>
        <w:rPr>
          <w:rFonts w:hint="eastAsia" w:ascii="宋体" w:hAnsi="宋体" w:eastAsia="宋体" w:cs="宋体"/>
          <w:b/>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rPr>
        <w:t xml:space="preserve">四、投标报价的方式</w:t>
      </w:r>
      <w:bookmarkEnd w:id="648"/>
      <w:r/>
      <w:bookmarkEnd w:id="649"/>
      <w:r/>
      <w:bookmarkEnd w:id="650"/>
      <w:r/>
      <w:bookmarkEnd w:id="651"/>
      <w:r/>
      <w:bookmarkEnd w:id="652"/>
      <w:r/>
      <w:bookmarkEnd w:id="653"/>
      <w:r/>
      <w:r/>
    </w:p>
    <w:p>
      <w:pPr>
        <w:contextualSpacing/>
        <w:ind w:firstLine="482"/>
        <w:keepLines w:val="0"/>
        <w:keepNext w:val="0"/>
        <w:pageBreakBefore w:val="0"/>
        <w:spacing w:line="360" w:lineRule="auto"/>
        <w:rPr>
          <w:rFonts w:ascii="Arial" w:hAnsi="Arial" w:cs="Arial"/>
          <w:color w:val="000000" w:themeColor="text1"/>
          <w:szCs w:val="21"/>
          <w:highlight w:val="none"/>
          <w14:textFill>
            <w14:solidFill>
              <w14:schemeClr w14:val="tx1"/>
            </w14:solidFill>
          </w14:textFill>
        </w:rPr>
        <w:outlineLvl w:val="1"/>
      </w:pPr>
      <w:r>
        <w:rPr>
          <w:rFonts w:hint="eastAsia" w:ascii="Arial" w:hAnsi="Arial" w:cs="Arial"/>
          <w:color w:val="000000" w:themeColor="text1"/>
          <w:szCs w:val="21"/>
          <w:highlight w:val="none"/>
          <w14:textFill>
            <w14:solidFill>
              <w14:schemeClr w14:val="tx1"/>
            </w14:solidFill>
          </w14:textFill>
        </w:rPr>
        <w:t xml:space="preserve">1.固定单价报价。本工程实行《建设工程量清单计价规范》（GB50500-2013）招标。建设工程合同采用“固定单价合同”，以体现风险共担的原则。由采购人提供招标工程量清单，投标人以招标工程量清单为基础填报相应的单价并计算合价。投标人应充分考虑施工期间各类建材的市场风险和国家政策性调整风险系数和招标人对工期、质量等的要求，并计入综合单价，中标后竣工结算时除施工合同约定允许调整外综合单价不予调整。</w:t>
      </w:r>
      <w:r/>
    </w:p>
    <w:p>
      <w:pPr>
        <w:contextualSpacing/>
        <w:ind w:firstLine="482"/>
        <w:keepLines w:val="0"/>
        <w:keepNext w:val="0"/>
        <w:pageBreakBefore w:val="0"/>
        <w:spacing w:line="360" w:lineRule="auto"/>
        <w:rPr>
          <w:rFonts w:ascii="Arial" w:hAnsi="Arial" w:cs="Arial"/>
          <w:color w:val="000000" w:themeColor="text1"/>
          <w:szCs w:val="21"/>
          <w:highlight w:val="none"/>
          <w14:textFill>
            <w14:solidFill>
              <w14:schemeClr w14:val="tx1"/>
            </w14:solidFill>
          </w14:textFill>
        </w:rPr>
        <w:outlineLvl w:val="1"/>
      </w:pPr>
      <w:r>
        <w:rPr>
          <w:rFonts w:hint="eastAsia" w:ascii="Arial" w:hAnsi="Arial" w:cs="Arial"/>
          <w:color w:val="000000" w:themeColor="text1"/>
          <w:szCs w:val="21"/>
          <w:highlight w:val="none"/>
          <w14:textFill>
            <w14:solidFill>
              <w14:schemeClr w14:val="tx1"/>
            </w14:solidFill>
          </w14:textFill>
        </w:rPr>
        <w:t xml:space="preserve">2.投标报价的计价方法</w:t>
      </w:r>
      <w:r/>
    </w:p>
    <w:p>
      <w:pPr>
        <w:contextualSpacing/>
        <w:ind w:firstLine="482"/>
        <w:keepLines w:val="0"/>
        <w:keepNext w:val="0"/>
        <w:pageBreakBefore w:val="0"/>
        <w:spacing w:line="360" w:lineRule="auto"/>
        <w:rPr>
          <w:rFonts w:ascii="Arial" w:hAnsi="Arial" w:cs="Arial"/>
          <w:color w:val="000000" w:themeColor="text1"/>
          <w:szCs w:val="21"/>
          <w:highlight w:val="none"/>
          <w14:textFill>
            <w14:solidFill>
              <w14:schemeClr w14:val="tx1"/>
            </w14:solidFill>
          </w14:textFill>
        </w:rPr>
        <w:outlineLvl w:val="1"/>
      </w:pPr>
      <w:r>
        <w:rPr>
          <w:rFonts w:hint="eastAsia" w:ascii="Arial" w:hAnsi="Arial" w:cs="Arial"/>
          <w:color w:val="000000" w:themeColor="text1"/>
          <w:szCs w:val="21"/>
          <w:highlight w:val="none"/>
          <w14:textFill>
            <w14:solidFill>
              <w14:schemeClr w14:val="tx1"/>
            </w14:solidFill>
          </w14:textFill>
        </w:rPr>
        <w:t xml:space="preserve">本工程投标报价采用“工程量清单计价”法（工程量计算规则依据《建设工程量清单计价规范》（GB50500-2013）、《 市 政 工 程 工 程 量 计 算 规 范 》（ GB50857-2013 ）及其工程量计算规范）。投标人应根据采购人提供的招标工程量清单计算工程项目的综合单价和合价。</w:t>
      </w:r>
      <w:r/>
    </w:p>
    <w:p>
      <w:pPr>
        <w:contextualSpacing/>
        <w:ind w:firstLine="482"/>
        <w:keepLines w:val="0"/>
        <w:keepNext w:val="0"/>
        <w:pageBreakBefore w:val="0"/>
        <w:spacing w:line="360" w:lineRule="auto"/>
        <w:rPr>
          <w:rFonts w:ascii="Arial" w:hAnsi="Arial" w:cs="Arial"/>
          <w:color w:val="000000" w:themeColor="text1"/>
          <w:szCs w:val="21"/>
          <w:highlight w:val="none"/>
          <w14:textFill>
            <w14:solidFill>
              <w14:schemeClr w14:val="tx1"/>
            </w14:solidFill>
          </w14:textFill>
        </w:rPr>
        <w:outlineLvl w:val="1"/>
      </w:pPr>
      <w:r>
        <w:rPr>
          <w:rFonts w:hint="eastAsia" w:ascii="Arial" w:hAnsi="Arial" w:cs="Arial"/>
          <w:color w:val="000000" w:themeColor="text1"/>
          <w:szCs w:val="21"/>
          <w:highlight w:val="none"/>
          <w14:textFill>
            <w14:solidFill>
              <w14:schemeClr w14:val="tx1"/>
            </w14:solidFill>
          </w14:textFill>
        </w:rPr>
        <w:t xml:space="preserve">工程量清单中每一个清单项均需计算并填写综合单价、合价。对施工中发生的所有措施费及可预见费用等，由施工单位自行考虑，计入单价和总价。</w:t>
      </w:r>
      <w:r/>
    </w:p>
    <w:p>
      <w:pPr>
        <w:contextualSpacing/>
        <w:ind w:firstLine="482"/>
        <w:keepLines w:val="0"/>
        <w:keepNext w:val="0"/>
        <w:pageBreakBefore w:val="0"/>
        <w:spacing w:line="360" w:lineRule="auto"/>
        <w:rPr>
          <w:rFonts w:ascii="Arial" w:hAnsi="Arial" w:cs="Arial"/>
          <w:color w:val="000000" w:themeColor="text1"/>
          <w:szCs w:val="21"/>
          <w:highlight w:val="none"/>
          <w14:textFill>
            <w14:solidFill>
              <w14:schemeClr w14:val="tx1"/>
            </w14:solidFill>
          </w14:textFill>
        </w:rPr>
        <w:outlineLvl w:val="1"/>
      </w:pPr>
      <w:r>
        <w:rPr>
          <w:rFonts w:hint="eastAsia" w:ascii="Arial" w:hAnsi="Arial" w:cs="Arial"/>
          <w:color w:val="000000" w:themeColor="text1"/>
          <w:szCs w:val="21"/>
          <w:highlight w:val="none"/>
          <w14:textFill>
            <w14:solidFill>
              <w14:schemeClr w14:val="tx1"/>
            </w14:solidFill>
          </w14:textFill>
        </w:rPr>
        <w:t xml:space="preserve">3.投标报价文件编制的依据</w:t>
      </w:r>
      <w:r/>
    </w:p>
    <w:p>
      <w:pPr>
        <w:contextualSpacing/>
        <w:ind w:firstLine="482"/>
        <w:keepLines w:val="0"/>
        <w:keepNext w:val="0"/>
        <w:pageBreakBefore w:val="0"/>
        <w:spacing w:line="360" w:lineRule="auto"/>
        <w:rPr>
          <w:rFonts w:ascii="Arial" w:hAnsi="Arial" w:cs="Arial"/>
          <w:color w:val="000000" w:themeColor="text1"/>
          <w:szCs w:val="21"/>
          <w:highlight w:val="none"/>
          <w14:textFill>
            <w14:solidFill>
              <w14:schemeClr w14:val="tx1"/>
            </w14:solidFill>
          </w14:textFill>
        </w:rPr>
        <w:outlineLvl w:val="1"/>
      </w:pPr>
      <w:r>
        <w:rPr>
          <w:rFonts w:hint="eastAsia" w:ascii="Arial" w:hAnsi="Arial" w:cs="Arial"/>
          <w:color w:val="000000" w:themeColor="text1"/>
          <w:szCs w:val="21"/>
          <w:highlight w:val="none"/>
          <w14:textFill>
            <w14:solidFill>
              <w14:schemeClr w14:val="tx1"/>
            </w14:solidFill>
          </w14:textFill>
        </w:rPr>
        <w:t xml:space="preserve">3.1 招标人提供的招标文件、招标工程量清单及其补充通知；</w:t>
      </w:r>
      <w:r/>
    </w:p>
    <w:p>
      <w:pPr>
        <w:contextualSpacing/>
        <w:ind w:firstLine="482"/>
        <w:keepLines w:val="0"/>
        <w:keepNext w:val="0"/>
        <w:pageBreakBefore w:val="0"/>
        <w:spacing w:line="360" w:lineRule="auto"/>
        <w:rPr>
          <w:rFonts w:ascii="Arial" w:hAnsi="Arial" w:cs="Arial"/>
          <w:color w:val="000000" w:themeColor="text1"/>
          <w:szCs w:val="21"/>
          <w:highlight w:val="none"/>
          <w14:textFill>
            <w14:solidFill>
              <w14:schemeClr w14:val="tx1"/>
            </w14:solidFill>
          </w14:textFill>
        </w:rPr>
        <w:outlineLvl w:val="1"/>
      </w:pPr>
      <w:r>
        <w:rPr>
          <w:rFonts w:hint="eastAsia" w:ascii="Arial" w:hAnsi="Arial" w:cs="Arial"/>
          <w:color w:val="000000" w:themeColor="text1"/>
          <w:szCs w:val="21"/>
          <w:highlight w:val="none"/>
          <w14:textFill>
            <w14:solidFill>
              <w14:schemeClr w14:val="tx1"/>
            </w14:solidFill>
          </w14:textFill>
        </w:rPr>
        <w:t xml:space="preserve">3.2 招标人设定的最高限价；</w:t>
      </w:r>
      <w:r/>
    </w:p>
    <w:p>
      <w:pPr>
        <w:contextualSpacing/>
        <w:ind w:firstLine="482"/>
        <w:keepLines w:val="0"/>
        <w:keepNext w:val="0"/>
        <w:pageBreakBefore w:val="0"/>
        <w:spacing w:line="360" w:lineRule="auto"/>
        <w:rPr>
          <w:rFonts w:ascii="Arial" w:hAnsi="Arial" w:cs="Arial"/>
          <w:color w:val="000000" w:themeColor="text1"/>
          <w:szCs w:val="21"/>
          <w:highlight w:val="none"/>
          <w14:textFill>
            <w14:solidFill>
              <w14:schemeClr w14:val="tx1"/>
            </w14:solidFill>
          </w14:textFill>
        </w:rPr>
        <w:outlineLvl w:val="1"/>
      </w:pPr>
      <w:r>
        <w:rPr>
          <w:rFonts w:hint="eastAsia" w:ascii="Arial" w:hAnsi="Arial" w:cs="Arial"/>
          <w:color w:val="000000" w:themeColor="text1"/>
          <w:szCs w:val="21"/>
          <w:highlight w:val="none"/>
          <w14:textFill>
            <w14:solidFill>
              <w14:schemeClr w14:val="tx1"/>
            </w14:solidFill>
          </w14:textFill>
        </w:rPr>
        <w:t xml:space="preserve">3.3《建设工程量清单计价规范》(GB50500-2013) 、《 市 政 工 程 工 程 量 计 算 规 范 》（ GB50857-2013 ）及其工程量计算规范； </w:t>
      </w:r>
      <w:r/>
    </w:p>
    <w:p>
      <w:pPr>
        <w:contextualSpacing/>
        <w:ind w:firstLine="482"/>
        <w:keepLines w:val="0"/>
        <w:keepNext w:val="0"/>
        <w:pageBreakBefore w:val="0"/>
        <w:spacing w:line="360" w:lineRule="auto"/>
        <w:rPr>
          <w:rFonts w:ascii="Arial" w:hAnsi="Arial" w:cs="Arial"/>
          <w:color w:val="000000" w:themeColor="text1"/>
          <w:szCs w:val="21"/>
          <w:highlight w:val="none"/>
          <w14:textFill>
            <w14:solidFill>
              <w14:schemeClr w14:val="tx1"/>
            </w14:solidFill>
          </w14:textFill>
        </w:rPr>
        <w:outlineLvl w:val="1"/>
      </w:pPr>
      <w:r>
        <w:rPr>
          <w:rFonts w:hint="eastAsia" w:ascii="Arial" w:hAnsi="Arial" w:cs="Arial"/>
          <w:color w:val="000000" w:themeColor="text1"/>
          <w:szCs w:val="21"/>
          <w:highlight w:val="none"/>
          <w14:textFill>
            <w14:solidFill>
              <w14:schemeClr w14:val="tx1"/>
            </w14:solidFill>
          </w14:textFill>
        </w:rPr>
        <w:t xml:space="preserve">3.4 有关的施工规范与工程验收规范；</w:t>
      </w:r>
      <w:r/>
    </w:p>
    <w:p>
      <w:pPr>
        <w:contextualSpacing/>
        <w:ind w:firstLine="482"/>
        <w:keepLines w:val="0"/>
        <w:keepNext w:val="0"/>
        <w:pageBreakBefore w:val="0"/>
        <w:spacing w:line="360" w:lineRule="auto"/>
        <w:rPr>
          <w:rFonts w:ascii="Arial" w:hAnsi="Arial" w:cs="Arial"/>
          <w:color w:val="000000" w:themeColor="text1"/>
          <w:szCs w:val="21"/>
          <w:highlight w:val="none"/>
          <w14:textFill>
            <w14:solidFill>
              <w14:schemeClr w14:val="tx1"/>
            </w14:solidFill>
          </w14:textFill>
        </w:rPr>
        <w:outlineLvl w:val="1"/>
      </w:pPr>
      <w:r>
        <w:rPr>
          <w:rFonts w:hint="eastAsia" w:ascii="Arial" w:hAnsi="Arial" w:cs="Arial"/>
          <w:color w:val="000000" w:themeColor="text1"/>
          <w:szCs w:val="21"/>
          <w:highlight w:val="none"/>
          <w14:textFill>
            <w14:solidFill>
              <w14:schemeClr w14:val="tx1"/>
            </w14:solidFill>
          </w14:textFill>
        </w:rPr>
        <w:t xml:space="preserve">3.5 施工现场情况、工程特点及投标人拟采用的施工组织设计和施工方案；</w:t>
      </w:r>
      <w:r/>
    </w:p>
    <w:p>
      <w:pPr>
        <w:contextualSpacing/>
        <w:ind w:firstLine="482"/>
        <w:keepLines w:val="0"/>
        <w:keepNext w:val="0"/>
        <w:pageBreakBefore w:val="0"/>
        <w:spacing w:line="360" w:lineRule="auto"/>
        <w:rPr>
          <w:rFonts w:ascii="Arial" w:hAnsi="Arial" w:cs="Arial"/>
          <w:color w:val="000000" w:themeColor="text1"/>
          <w:szCs w:val="21"/>
          <w:highlight w:val="none"/>
          <w14:textFill>
            <w14:solidFill>
              <w14:schemeClr w14:val="tx1"/>
            </w14:solidFill>
          </w14:textFill>
        </w:rPr>
        <w:outlineLvl w:val="1"/>
      </w:pPr>
      <w:r>
        <w:rPr>
          <w:rFonts w:hint="eastAsia" w:ascii="Arial" w:hAnsi="Arial" w:cs="Arial"/>
          <w:color w:val="000000" w:themeColor="text1"/>
          <w:szCs w:val="21"/>
          <w:highlight w:val="none"/>
          <w14:textFill>
            <w14:solidFill>
              <w14:schemeClr w14:val="tx1"/>
            </w14:solidFill>
          </w14:textFill>
        </w:rPr>
        <w:t xml:space="preserve">3.6 投标人的企业定额；</w:t>
      </w:r>
      <w:r/>
    </w:p>
    <w:p>
      <w:pPr>
        <w:contextualSpacing/>
        <w:ind w:firstLine="482"/>
        <w:keepLines w:val="0"/>
        <w:keepNext w:val="0"/>
        <w:pageBreakBefore w:val="0"/>
        <w:spacing w:line="360" w:lineRule="auto"/>
        <w:rPr>
          <w:rFonts w:ascii="Arial" w:hAnsi="Arial" w:cs="Arial"/>
          <w:color w:val="000000" w:themeColor="text1"/>
          <w:szCs w:val="21"/>
          <w:highlight w:val="none"/>
          <w14:textFill>
            <w14:solidFill>
              <w14:schemeClr w14:val="tx1"/>
            </w14:solidFill>
          </w14:textFill>
        </w:rPr>
        <w:outlineLvl w:val="1"/>
      </w:pPr>
      <w:r>
        <w:rPr>
          <w:rFonts w:hint="eastAsia" w:ascii="Arial" w:hAnsi="Arial" w:cs="Arial"/>
          <w:color w:val="000000" w:themeColor="text1"/>
          <w:szCs w:val="21"/>
          <w:highlight w:val="none"/>
          <w14:textFill>
            <w14:solidFill>
              <w14:schemeClr w14:val="tx1"/>
            </w14:solidFill>
          </w14:textFill>
        </w:rPr>
        <w:t xml:space="preserve">3.7 投标人可同时参考2014年《江苏省建筑与装饰工程计价定额》、2014年《江苏省安装工程计价定额》、《江苏省市政工程计价定额》（2014版）、《江苏省建设工程费用定额（2014年）》及江苏省关于营改增的计价文件等最高限价（预算）的编制依据。</w:t>
      </w:r>
      <w:r/>
    </w:p>
    <w:p>
      <w:pPr>
        <w:contextualSpacing/>
        <w:ind w:firstLine="482"/>
        <w:keepLines w:val="0"/>
        <w:keepNext w:val="0"/>
        <w:pageBreakBefore w:val="0"/>
        <w:spacing w:line="360" w:lineRule="auto"/>
        <w:rPr>
          <w:rFonts w:ascii="Arial" w:hAnsi="Arial" w:cs="Arial"/>
          <w:color w:val="000000" w:themeColor="text1"/>
          <w:szCs w:val="21"/>
          <w:highlight w:val="none"/>
          <w14:textFill>
            <w14:solidFill>
              <w14:schemeClr w14:val="tx1"/>
            </w14:solidFill>
          </w14:textFill>
        </w:rPr>
        <w:outlineLvl w:val="1"/>
      </w:pPr>
      <w:r>
        <w:rPr>
          <w:rFonts w:hint="eastAsia" w:ascii="Arial" w:hAnsi="Arial" w:cs="Arial"/>
          <w:color w:val="000000" w:themeColor="text1"/>
          <w:szCs w:val="21"/>
          <w:highlight w:val="none"/>
          <w14:textFill>
            <w14:solidFill>
              <w14:schemeClr w14:val="tx1"/>
            </w14:solidFill>
          </w14:textFill>
        </w:rPr>
        <w:t xml:space="preserve">4.投标报价文件编制的要求</w:t>
      </w:r>
      <w:r/>
    </w:p>
    <w:p>
      <w:pPr>
        <w:contextualSpacing/>
        <w:ind w:firstLine="482"/>
        <w:keepLines w:val="0"/>
        <w:keepNext w:val="0"/>
        <w:pageBreakBefore w:val="0"/>
        <w:spacing w:line="360" w:lineRule="auto"/>
        <w:rPr>
          <w:rFonts w:ascii="Arial" w:hAnsi="Arial" w:cs="Arial"/>
          <w:color w:val="000000" w:themeColor="text1"/>
          <w:szCs w:val="21"/>
          <w:highlight w:val="none"/>
          <w14:textFill>
            <w14:solidFill>
              <w14:schemeClr w14:val="tx1"/>
            </w14:solidFill>
          </w14:textFill>
        </w:rPr>
        <w:outlineLvl w:val="1"/>
      </w:pPr>
      <w:r>
        <w:rPr>
          <w:rFonts w:hint="eastAsia" w:ascii="Arial" w:hAnsi="Arial" w:cs="Arial"/>
          <w:color w:val="000000" w:themeColor="text1"/>
          <w:szCs w:val="21"/>
          <w:highlight w:val="none"/>
          <w14:textFill>
            <w14:solidFill>
              <w14:schemeClr w14:val="tx1"/>
            </w14:solidFill>
          </w14:textFill>
        </w:rPr>
        <w:t xml:space="preserve">4.1招标人提供的施工图纸、招标工程量清单应与招标文件一起参照阅读；</w:t>
      </w:r>
      <w:r/>
    </w:p>
    <w:p>
      <w:pPr>
        <w:contextualSpacing/>
        <w:ind w:firstLine="482"/>
        <w:keepLines w:val="0"/>
        <w:keepNext w:val="0"/>
        <w:pageBreakBefore w:val="0"/>
        <w:spacing w:line="360" w:lineRule="auto"/>
        <w:rPr>
          <w:rFonts w:ascii="Arial" w:hAnsi="Arial" w:cs="Arial"/>
          <w:color w:val="000000" w:themeColor="text1"/>
          <w:szCs w:val="21"/>
          <w:highlight w:val="none"/>
          <w14:textFill>
            <w14:solidFill>
              <w14:schemeClr w14:val="tx1"/>
            </w14:solidFill>
          </w14:textFill>
        </w:rPr>
        <w:outlineLvl w:val="1"/>
      </w:pPr>
      <w:r>
        <w:rPr>
          <w:rFonts w:hint="eastAsia" w:ascii="Arial" w:hAnsi="Arial" w:cs="Arial"/>
          <w:color w:val="000000" w:themeColor="text1"/>
          <w:szCs w:val="21"/>
          <w:highlight w:val="none"/>
          <w14:textFill>
            <w14:solidFill>
              <w14:schemeClr w14:val="tx1"/>
            </w14:solidFill>
          </w14:textFill>
        </w:rPr>
        <w:t xml:space="preserve">4.2工程质量、材料、施工等特殊要求详见招标文件和清单等；</w:t>
      </w:r>
      <w:r/>
    </w:p>
    <w:p>
      <w:pPr>
        <w:contextualSpacing/>
        <w:ind w:firstLine="482"/>
        <w:keepLines w:val="0"/>
        <w:keepNext w:val="0"/>
        <w:pageBreakBefore w:val="0"/>
        <w:spacing w:line="360" w:lineRule="auto"/>
        <w:rPr>
          <w:rFonts w:ascii="Arial" w:hAnsi="Arial" w:cs="Arial"/>
          <w:color w:val="000000" w:themeColor="text1"/>
          <w:szCs w:val="21"/>
          <w:highlight w:val="none"/>
          <w14:textFill>
            <w14:solidFill>
              <w14:schemeClr w14:val="tx1"/>
            </w14:solidFill>
          </w14:textFill>
        </w:rPr>
        <w:outlineLvl w:val="1"/>
      </w:pPr>
      <w:r>
        <w:rPr>
          <w:rFonts w:hint="eastAsia" w:ascii="Arial" w:hAnsi="Arial" w:cs="Arial"/>
          <w:color w:val="000000" w:themeColor="text1"/>
          <w:szCs w:val="21"/>
          <w:highlight w:val="none"/>
          <w14:textFill>
            <w14:solidFill>
              <w14:schemeClr w14:val="tx1"/>
            </w14:solidFill>
          </w14:textFill>
        </w:rPr>
        <w:t xml:space="preserve">4.3本工程使用预拌砂浆；</w:t>
      </w:r>
      <w:r/>
    </w:p>
    <w:p>
      <w:pPr>
        <w:contextualSpacing/>
        <w:ind w:firstLine="482"/>
        <w:keepLines w:val="0"/>
        <w:keepNext w:val="0"/>
        <w:pageBreakBefore w:val="0"/>
        <w:spacing w:line="360" w:lineRule="auto"/>
        <w:rPr>
          <w:rFonts w:ascii="Arial" w:hAnsi="Arial" w:cs="Arial"/>
          <w:color w:val="000000" w:themeColor="text1"/>
          <w:szCs w:val="21"/>
          <w:highlight w:val="none"/>
          <w14:textFill>
            <w14:solidFill>
              <w14:schemeClr w14:val="tx1"/>
            </w14:solidFill>
          </w14:textFill>
        </w:rPr>
        <w:outlineLvl w:val="1"/>
      </w:pPr>
      <w:r>
        <w:rPr>
          <w:rFonts w:hint="eastAsia" w:ascii="Arial" w:hAnsi="Arial" w:cs="Arial"/>
          <w:color w:val="000000" w:themeColor="text1"/>
          <w:szCs w:val="21"/>
          <w:highlight w:val="none"/>
          <w14:textFill>
            <w14:solidFill>
              <w14:schemeClr w14:val="tx1"/>
            </w14:solidFill>
          </w14:textFill>
        </w:rPr>
        <w:t xml:space="preserve">4.4本工程混凝土使用商品混凝土，是否泵送由投标人自行考虑，结算时不因输送方式不同而调整综合单价；</w:t>
      </w:r>
      <w:r/>
    </w:p>
    <w:p>
      <w:pPr>
        <w:contextualSpacing/>
        <w:ind w:firstLine="482"/>
        <w:keepLines w:val="0"/>
        <w:keepNext w:val="0"/>
        <w:pageBreakBefore w:val="0"/>
        <w:spacing w:line="360" w:lineRule="auto"/>
        <w:rPr>
          <w:rFonts w:ascii="Arial" w:hAnsi="Arial" w:cs="Arial"/>
          <w:color w:val="000000" w:themeColor="text1"/>
          <w:szCs w:val="21"/>
          <w:highlight w:val="none"/>
          <w14:textFill>
            <w14:solidFill>
              <w14:schemeClr w14:val="tx1"/>
            </w14:solidFill>
          </w14:textFill>
        </w:rPr>
        <w:outlineLvl w:val="1"/>
      </w:pPr>
      <w:r>
        <w:rPr>
          <w:rFonts w:hint="eastAsia" w:ascii="Arial" w:hAnsi="Arial" w:cs="Arial"/>
          <w:color w:val="000000" w:themeColor="text1"/>
          <w:szCs w:val="21"/>
          <w:highlight w:val="none"/>
          <w14:textFill>
            <w14:solidFill>
              <w14:schemeClr w14:val="tx1"/>
            </w14:solidFill>
          </w14:textFill>
        </w:rPr>
        <w:t xml:space="preserve">4.5本工程中伸缩缝、沉降缝由投标单位自行在综合单价中考虑，结算时不调整综合单价；</w:t>
      </w:r>
      <w:r/>
    </w:p>
    <w:p>
      <w:pPr>
        <w:contextualSpacing/>
        <w:ind w:firstLine="482"/>
        <w:keepLines w:val="0"/>
        <w:keepNext w:val="0"/>
        <w:pageBreakBefore w:val="0"/>
        <w:spacing w:line="360" w:lineRule="auto"/>
        <w:rPr>
          <w:rFonts w:ascii="Arial" w:hAnsi="Arial" w:cs="Arial"/>
          <w:color w:val="000000" w:themeColor="text1"/>
          <w:szCs w:val="21"/>
          <w:highlight w:val="none"/>
          <w14:textFill>
            <w14:solidFill>
              <w14:schemeClr w14:val="tx1"/>
            </w14:solidFill>
          </w14:textFill>
        </w:rPr>
        <w:outlineLvl w:val="1"/>
      </w:pPr>
      <w:r>
        <w:rPr>
          <w:rFonts w:hint="eastAsia" w:ascii="Arial" w:hAnsi="Arial" w:cs="Arial"/>
          <w:color w:val="000000" w:themeColor="text1"/>
          <w:szCs w:val="21"/>
          <w:highlight w:val="none"/>
          <w14:textFill>
            <w14:solidFill>
              <w14:schemeClr w14:val="tx1"/>
            </w14:solidFill>
          </w14:textFill>
        </w:rPr>
        <w:t xml:space="preserve">4.6施工现场外露部分防尘遮挡可能防尘费用不够的部分由投标人在报价中考虑，不另行结算；</w:t>
      </w:r>
      <w:r/>
    </w:p>
    <w:p>
      <w:pPr>
        <w:contextualSpacing/>
        <w:ind w:firstLine="482"/>
        <w:keepLines w:val="0"/>
        <w:keepNext w:val="0"/>
        <w:pageBreakBefore w:val="0"/>
        <w:spacing w:line="360" w:lineRule="auto"/>
        <w:rPr>
          <w:rFonts w:ascii="Arial" w:hAnsi="Arial" w:cs="Arial"/>
          <w:color w:val="000000" w:themeColor="text1"/>
          <w:szCs w:val="21"/>
          <w:highlight w:val="none"/>
          <w14:textFill>
            <w14:solidFill>
              <w14:schemeClr w14:val="tx1"/>
            </w14:solidFill>
          </w14:textFill>
        </w:rPr>
        <w:outlineLvl w:val="1"/>
      </w:pPr>
      <w:r>
        <w:rPr>
          <w:rFonts w:hint="eastAsia" w:ascii="Arial" w:hAnsi="Arial" w:cs="Arial"/>
          <w:color w:val="000000" w:themeColor="text1"/>
          <w:szCs w:val="21"/>
          <w:highlight w:val="none"/>
          <w14:textFill>
            <w14:solidFill>
              <w14:schemeClr w14:val="tx1"/>
            </w14:solidFill>
          </w14:textFill>
        </w:rPr>
        <w:t xml:space="preserve">4.7工程量清单中未明确的做法、施工及技术要求，各投标人应结合施工图纸进行报价；</w:t>
      </w:r>
      <w:r/>
    </w:p>
    <w:p>
      <w:pPr>
        <w:contextualSpacing/>
        <w:ind w:firstLine="482"/>
        <w:keepLines w:val="0"/>
        <w:keepNext w:val="0"/>
        <w:pageBreakBefore w:val="0"/>
        <w:spacing w:line="360" w:lineRule="auto"/>
        <w:rPr>
          <w:rFonts w:ascii="Arial" w:hAnsi="Arial" w:cs="Arial"/>
          <w:color w:val="000000" w:themeColor="text1"/>
          <w:szCs w:val="21"/>
          <w:highlight w:val="none"/>
          <w14:textFill>
            <w14:solidFill>
              <w14:schemeClr w14:val="tx1"/>
            </w14:solidFill>
          </w14:textFill>
        </w:rPr>
        <w:outlineLvl w:val="1"/>
      </w:pPr>
      <w:r>
        <w:rPr>
          <w:rFonts w:hint="eastAsia" w:ascii="Arial" w:hAnsi="Arial" w:cs="Arial"/>
          <w:color w:val="000000" w:themeColor="text1"/>
          <w:szCs w:val="21"/>
          <w:highlight w:val="none"/>
          <w14:textFill>
            <w14:solidFill>
              <w14:schemeClr w14:val="tx1"/>
            </w14:solidFill>
          </w14:textFill>
        </w:rPr>
        <w:t xml:space="preserve">4.8涉及混凝土的模板的制作、安装、搭设、拆除等费用在对应的分部分项工程量清单单价中考虑，不再单独列模板清单项计取；</w:t>
      </w:r>
      <w:r/>
    </w:p>
    <w:p>
      <w:pPr>
        <w:contextualSpacing/>
        <w:ind w:firstLine="482"/>
        <w:keepLines w:val="0"/>
        <w:keepNext w:val="0"/>
        <w:pageBreakBefore w:val="0"/>
        <w:spacing w:line="360" w:lineRule="auto"/>
        <w:rPr>
          <w:rFonts w:ascii="Arial" w:hAnsi="Arial" w:cs="Arial"/>
          <w:color w:val="000000" w:themeColor="text1"/>
          <w:szCs w:val="21"/>
          <w:highlight w:val="none"/>
          <w14:textFill>
            <w14:solidFill>
              <w14:schemeClr w14:val="tx1"/>
            </w14:solidFill>
          </w14:textFill>
        </w:rPr>
        <w:outlineLvl w:val="1"/>
      </w:pPr>
      <w:r>
        <w:rPr>
          <w:rFonts w:hint="eastAsia" w:ascii="Arial" w:hAnsi="Arial" w:cs="Arial"/>
          <w:color w:val="000000" w:themeColor="text1"/>
          <w:szCs w:val="21"/>
          <w:highlight w:val="none"/>
          <w14:textFill>
            <w14:solidFill>
              <w14:schemeClr w14:val="tx1"/>
            </w14:solidFill>
          </w14:textFill>
        </w:rPr>
        <w:t xml:space="preserve">4.9拆除沥青混凝土路面及基层、水泥混凝土路面及基层残值请投标人自行考虑报价；</w:t>
      </w:r>
      <w:r/>
    </w:p>
    <w:p>
      <w:pPr>
        <w:contextualSpacing/>
        <w:ind w:firstLine="482"/>
        <w:keepLines w:val="0"/>
        <w:keepNext w:val="0"/>
        <w:pageBreakBefore w:val="0"/>
        <w:spacing w:line="360" w:lineRule="auto"/>
        <w:rPr>
          <w:rFonts w:ascii="Arial" w:hAnsi="Arial" w:cs="Arial"/>
          <w:color w:val="000000" w:themeColor="text1"/>
          <w:szCs w:val="21"/>
          <w:highlight w:val="none"/>
          <w14:textFill>
            <w14:solidFill>
              <w14:schemeClr w14:val="tx1"/>
            </w14:solidFill>
          </w14:textFill>
        </w:rPr>
        <w:outlineLvl w:val="1"/>
      </w:pPr>
      <w:r>
        <w:rPr>
          <w:rFonts w:hint="eastAsia" w:ascii="Arial" w:hAnsi="Arial" w:cs="Arial"/>
          <w:color w:val="000000" w:themeColor="text1"/>
          <w:szCs w:val="21"/>
          <w:highlight w:val="none"/>
          <w14:textFill>
            <w14:solidFill>
              <w14:schemeClr w14:val="tx1"/>
            </w14:solidFill>
          </w14:textFill>
        </w:rPr>
        <w:t xml:space="preserve">4.10井盖占地费用投标人综合考虑在报价中，结算不增加相关费用；</w:t>
      </w:r>
      <w:r/>
    </w:p>
    <w:p>
      <w:pPr>
        <w:contextualSpacing/>
        <w:ind w:firstLine="482"/>
        <w:keepLines w:val="0"/>
        <w:keepNext w:val="0"/>
        <w:pageBreakBefore w:val="0"/>
        <w:spacing w:line="360" w:lineRule="auto"/>
        <w:rPr>
          <w:rFonts w:ascii="Arial" w:hAnsi="Arial" w:cs="Arial"/>
          <w:color w:val="000000" w:themeColor="text1"/>
          <w:szCs w:val="21"/>
          <w:highlight w:val="none"/>
          <w14:textFill>
            <w14:solidFill>
              <w14:schemeClr w14:val="tx1"/>
            </w14:solidFill>
          </w14:textFill>
        </w:rPr>
        <w:outlineLvl w:val="1"/>
      </w:pPr>
      <w:r>
        <w:rPr>
          <w:rFonts w:hint="eastAsia" w:ascii="Arial" w:hAnsi="Arial" w:cs="Arial"/>
          <w:color w:val="000000" w:themeColor="text1"/>
          <w:szCs w:val="21"/>
          <w:highlight w:val="none"/>
          <w14:textFill>
            <w14:solidFill>
              <w14:schemeClr w14:val="tx1"/>
            </w14:solidFill>
          </w14:textFill>
        </w:rPr>
        <w:t xml:space="preserve">4.11施工前,施工单位应对照物探测量成果对地下管线进行复核,防止出现漏测的管线。物探无法测量的管线,应提前联系权属单位。所发生的费用投标人综合考虑在报价中，结算不增加相关费用；</w:t>
      </w:r>
      <w:r/>
    </w:p>
    <w:p>
      <w:pPr>
        <w:contextualSpacing/>
        <w:ind w:firstLine="482"/>
        <w:keepLines w:val="0"/>
        <w:keepNext w:val="0"/>
        <w:pageBreakBefore w:val="0"/>
        <w:spacing w:line="360" w:lineRule="auto"/>
        <w:rPr>
          <w:rFonts w:ascii="Arial" w:hAnsi="Arial" w:cs="Arial"/>
          <w:color w:val="000000" w:themeColor="text1"/>
          <w:szCs w:val="21"/>
          <w:highlight w:val="none"/>
          <w14:textFill>
            <w14:solidFill>
              <w14:schemeClr w14:val="tx1"/>
            </w14:solidFill>
          </w14:textFill>
        </w:rPr>
        <w:outlineLvl w:val="1"/>
      </w:pPr>
      <w:r>
        <w:rPr>
          <w:rFonts w:hint="eastAsia" w:ascii="Arial" w:hAnsi="Arial" w:cs="Arial"/>
          <w:color w:val="000000" w:themeColor="text1"/>
          <w:szCs w:val="21"/>
          <w:highlight w:val="none"/>
          <w14:textFill>
            <w14:solidFill>
              <w14:schemeClr w14:val="tx1"/>
            </w14:solidFill>
          </w14:textFill>
        </w:rPr>
        <w:t xml:space="preserve">4.12施工时应对现状管线采取保护措施避让,尤其存在燃气、电力等管线的管段,应注意安全距离。所发生的费用投标人综合考虑在报价中，结算不增加相关费用；</w:t>
      </w:r>
      <w:r/>
    </w:p>
    <w:p>
      <w:pPr>
        <w:contextualSpacing/>
        <w:ind w:firstLine="482"/>
        <w:keepLines w:val="0"/>
        <w:keepNext w:val="0"/>
        <w:pageBreakBefore w:val="0"/>
        <w:spacing w:line="360" w:lineRule="auto"/>
        <w:rPr>
          <w:rFonts w:ascii="Arial" w:hAnsi="Arial" w:cs="Arial"/>
          <w:color w:val="000000" w:themeColor="text1"/>
          <w:szCs w:val="21"/>
          <w:highlight w:val="none"/>
          <w14:textFill>
            <w14:solidFill>
              <w14:schemeClr w14:val="tx1"/>
            </w14:solidFill>
          </w14:textFill>
        </w:rPr>
        <w:outlineLvl w:val="1"/>
      </w:pPr>
      <w:r>
        <w:rPr>
          <w:rFonts w:hint="eastAsia" w:ascii="Arial" w:hAnsi="Arial" w:cs="Arial"/>
          <w:color w:val="000000" w:themeColor="text1"/>
          <w:szCs w:val="21"/>
          <w:highlight w:val="none"/>
          <w14:textFill>
            <w14:solidFill>
              <w14:schemeClr w14:val="tx1"/>
            </w14:solidFill>
          </w14:textFill>
        </w:rPr>
        <w:t xml:space="preserve">4.13关于沿线地上、地下建筑物、构筑物、管线、管道、井等的保护，除清单已考虑部分，其他由投标人在投标报价中综合考虑，结算不增加相关费用。</w:t>
      </w:r>
      <w:r/>
    </w:p>
    <w:p>
      <w:pPr>
        <w:contextualSpacing/>
        <w:ind w:firstLine="482"/>
        <w:keepLines w:val="0"/>
        <w:keepNext w:val="0"/>
        <w:pageBreakBefore w:val="0"/>
        <w:spacing w:line="360" w:lineRule="auto"/>
        <w:rPr>
          <w:rFonts w:ascii="Arial" w:hAnsi="Arial" w:cs="Arial"/>
          <w:color w:val="000000" w:themeColor="text1"/>
          <w:szCs w:val="21"/>
          <w:highlight w:val="none"/>
          <w14:textFill>
            <w14:solidFill>
              <w14:schemeClr w14:val="tx1"/>
            </w14:solidFill>
          </w14:textFill>
        </w:rPr>
        <w:outlineLvl w:val="1"/>
      </w:pPr>
      <w:r>
        <w:rPr>
          <w:rFonts w:hint="eastAsia" w:ascii="Arial" w:hAnsi="Arial" w:cs="Arial"/>
          <w:color w:val="000000" w:themeColor="text1"/>
          <w:szCs w:val="21"/>
          <w:highlight w:val="none"/>
          <w14:textFill>
            <w14:solidFill>
              <w14:schemeClr w14:val="tx1"/>
            </w14:solidFill>
          </w14:textFill>
        </w:rPr>
        <w:t xml:space="preserve">4.14围挡搭设要求道路改造施工需封闭，具体要求：</w:t>
      </w:r>
      <w:r/>
    </w:p>
    <w:p>
      <w:pPr>
        <w:contextualSpacing/>
        <w:ind w:firstLine="482"/>
        <w:keepLines w:val="0"/>
        <w:keepNext w:val="0"/>
        <w:pageBreakBefore w:val="0"/>
        <w:spacing w:line="360" w:lineRule="auto"/>
        <w:rPr>
          <w:rFonts w:ascii="Arial" w:hAnsi="Arial" w:cs="Arial"/>
          <w:color w:val="000000" w:themeColor="text1"/>
          <w:szCs w:val="21"/>
          <w:highlight w:val="none"/>
          <w14:textFill>
            <w14:solidFill>
              <w14:schemeClr w14:val="tx1"/>
            </w14:solidFill>
          </w14:textFill>
        </w:rPr>
        <w:outlineLvl w:val="1"/>
      </w:pPr>
      <w:r>
        <w:rPr>
          <w:rFonts w:hint="eastAsia" w:ascii="Arial" w:hAnsi="Arial" w:cs="Arial"/>
          <w:color w:val="000000" w:themeColor="text1"/>
          <w:szCs w:val="21"/>
          <w:highlight w:val="none"/>
          <w14:textFill>
            <w14:solidFill>
              <w14:schemeClr w14:val="tx1"/>
            </w14:solidFill>
          </w14:textFill>
        </w:rPr>
        <w:t xml:space="preserve">a、高度不低于2.5m,钢骨架+彩钢板+人工草皮+宣传语，满足建设单位的创卫要求;</w:t>
      </w:r>
      <w:r/>
    </w:p>
    <w:p>
      <w:pPr>
        <w:contextualSpacing/>
        <w:ind w:firstLine="482"/>
        <w:keepLines w:val="0"/>
        <w:keepNext w:val="0"/>
        <w:pageBreakBefore w:val="0"/>
        <w:spacing w:line="360" w:lineRule="auto"/>
        <w:rPr>
          <w:rFonts w:ascii="Arial" w:hAnsi="Arial" w:cs="Arial"/>
          <w:color w:val="000000" w:themeColor="text1"/>
          <w:szCs w:val="21"/>
          <w:highlight w:val="none"/>
          <w14:textFill>
            <w14:solidFill>
              <w14:schemeClr w14:val="tx1"/>
            </w14:solidFill>
          </w14:textFill>
        </w:rPr>
        <w:outlineLvl w:val="1"/>
      </w:pPr>
      <w:r>
        <w:rPr>
          <w:rFonts w:hint="eastAsia" w:ascii="Arial" w:hAnsi="Arial" w:cs="Arial"/>
          <w:color w:val="000000" w:themeColor="text1"/>
          <w:szCs w:val="21"/>
          <w:highlight w:val="none"/>
          <w14:textFill>
            <w14:solidFill>
              <w14:schemeClr w14:val="tx1"/>
            </w14:solidFill>
          </w14:textFill>
        </w:rPr>
        <w:t xml:space="preserve">b、围挡拆除、回收由施工单位自行负责;</w:t>
      </w:r>
      <w:r/>
    </w:p>
    <w:p>
      <w:pPr>
        <w:contextualSpacing/>
        <w:ind w:firstLine="482"/>
        <w:keepLines w:val="0"/>
        <w:keepNext w:val="0"/>
        <w:pageBreakBefore w:val="0"/>
        <w:spacing w:line="360" w:lineRule="auto"/>
        <w:rPr>
          <w:rFonts w:ascii="Arial" w:hAnsi="Arial" w:cs="Arial"/>
          <w:color w:val="000000" w:themeColor="text1"/>
          <w:szCs w:val="21"/>
          <w:highlight w:val="none"/>
          <w14:textFill>
            <w14:solidFill>
              <w14:schemeClr w14:val="tx1"/>
            </w14:solidFill>
          </w14:textFill>
        </w:rPr>
        <w:outlineLvl w:val="1"/>
      </w:pPr>
      <w:r>
        <w:rPr>
          <w:rFonts w:hint="eastAsia" w:ascii="Arial" w:hAnsi="Arial" w:cs="Arial"/>
          <w:color w:val="000000" w:themeColor="text1"/>
          <w:szCs w:val="21"/>
          <w:highlight w:val="none"/>
          <w14:textFill>
            <w14:solidFill>
              <w14:schemeClr w14:val="tx1"/>
            </w14:solidFill>
          </w14:textFill>
        </w:rPr>
        <w:t xml:space="preserve">c、含基础等一切相关费用。</w:t>
      </w:r>
      <w:r/>
    </w:p>
    <w:p>
      <w:pPr>
        <w:ind w:firstLine="482"/>
        <w:keepLines w:val="0"/>
        <w:keepNext w:val="0"/>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五、最高限价（预算）的编制</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1.最高限价：详见投标须知前附表，招标人拒绝高于最高限价的投标报价。</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2.最高限价确定的依据：</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bookmarkStart w:id="654" w:name="EB8b95e4dd9e80494e85f00682aba7f2c4"/>
      <w:r>
        <w:rPr>
          <w:rFonts w:hint="eastAsia" w:asciiTheme="minorEastAsia" w:hAnsiTheme="minorEastAsia" w:eastAsiaTheme="minorEastAsia" w:cstheme="minorEastAsia"/>
          <w:sz w:val="22"/>
          <w:szCs w:val="22"/>
          <w:highlight w:val="none"/>
        </w:rPr>
        <w:t xml:space="preserve">本项目按照施工图纸、招标文件（含工程量清单）</w:t>
      </w:r>
      <w:r>
        <w:rPr>
          <w:rFonts w:hint="eastAsia" w:asciiTheme="minorEastAsia" w:hAnsiTheme="minorEastAsia" w:eastAsiaTheme="minorEastAsia" w:cstheme="minorEastAsia"/>
          <w:sz w:val="22"/>
          <w:szCs w:val="22"/>
          <w:highlight w:val="none"/>
        </w:rPr>
        <w:t xml:space="preserve">、《建设工程工程量清单计价规范》（GB50500-2013）、《房屋建筑与装饰工程工程量计算规范》（GB50854-2013）、《市政工程工程量计算规范》（GB50857-2013）、《通用安装工程工程量计算规范》（GB50856-2013）、《园林绿化工程工程量计算规范》(GB50858-2013)……（以下简称《工程量计算规范》）；《江苏省建筑与装饰工程计价定额》（2014版）、《江苏省市政工程计价定额》（2014版）、《江苏省安装工程计价定额》（2014版）、《江苏园林定额》(2007版)、《江苏省城</w:t>
      </w:r>
      <w:r>
        <w:rPr>
          <w:rFonts w:hint="eastAsia" w:asciiTheme="minorEastAsia" w:hAnsiTheme="minorEastAsia" w:eastAsiaTheme="minorEastAsia" w:cstheme="minorEastAsia"/>
          <w:sz w:val="22"/>
          <w:szCs w:val="22"/>
          <w:highlight w:val="none"/>
        </w:rPr>
        <w:t xml:space="preserve">市园林绿化养护管理定额》(2017版)、2009版《江苏省房屋修缮工程计价表》（2009版）……（以下简称《计价定额》）、《江苏省建设工程费用定额》（2014年）（以下简称《计价定额》）、《盐城工程造价》2026年第8期建设工程材料信息价、市场参考价（计入本工程计价程序的材料价格均为除税价，建材信息价及建材市场参考价中已含税的材料价格其价格由软件自动调整）、苏建价[2016]154号文等相关计价文件的规定，计算出分部分项工程费、措施项目费、其他项目费、规费、税金等确定工程预算价，根据工程预算价确定最高限价。</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根据苏建价[2016]154号文件的规定，本项目招标文件及合同计税方法均采用增值税一般计税方法，招标文件及合同中的建材信息价及建材市场参考价均为除税价。</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单位工程费用计费程序如下：</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1）分部分项工程量清单费用   人工费+材料费+施工机具使用费+管理费+利润；</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其  中：</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人工费                 计价定额人工消耗量×人工单价</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材料费                 计价定额材料消耗量×除税材料单价</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施工机具使用费         计价定额机械消耗量×除税机械单价</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管理费                 按《费用定额》结合苏建价[2016]154号文计取</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利  润                 按《费用定额》结合苏建价[2016]154号文计取</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2）措施项目费用        单价措施费+总价措施费</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单价措施费             除税综合单价×清单工程量</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总价措施费 （分部分项工程费+单价措施项目费-除税工程设备费）×费率或以项计</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3）其他项目费用 详见工程量清单</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4）规 费（分部分项工程费用+措施项目费用+其他项目费用-除税工程设备费）×费率</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其中：</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①环境保护税（暂按招标工程量清单中的费率计取，结算时按环保和税务部门的规定执行）。</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②社会保险费（执行《费用定额》苏建价[2016]154号规定的费率）。</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③住房公积金（执行《费用定额》及苏建价[2016]154号规定的费率）。</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5）税      金（分部分项工程量清单费用+措施项目费用+其他项目费用+规费-除税甲供材料和甲供设备费/1.01）×9%</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6）工程造价  分部分项工程量清单费用+措施项目费用+其他项目费用+规费-除税甲供材料和甲供设备费/1.01+税金</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说明：</w:t>
      </w:r>
      <w:r/>
    </w:p>
    <w:p>
      <w:pPr>
        <w:ind w:firstLine="442"/>
        <w:keepLines w:val="0"/>
        <w:keepNext w:val="0"/>
        <w:pageBreakBefore w:val="0"/>
        <w:spacing w:line="360" w:lineRule="auto"/>
        <w:rPr>
          <w:rFonts w:hint="eastAsia" w:asciiTheme="minorEastAsia" w:hAnsiTheme="minorEastAsia" w:eastAsiaTheme="minorEastAsia" w:cstheme="minorEastAsia"/>
          <w:b/>
          <w:bCs/>
          <w:sz w:val="22"/>
          <w:szCs w:val="22"/>
          <w:highlight w:val="none"/>
        </w:rPr>
      </w:pPr>
      <w:r>
        <w:rPr>
          <w:rFonts w:hint="eastAsia" w:asciiTheme="minorEastAsia" w:hAnsiTheme="minorEastAsia" w:eastAsiaTheme="minorEastAsia" w:cstheme="minorEastAsia"/>
          <w:b/>
          <w:bCs/>
          <w:sz w:val="22"/>
          <w:szCs w:val="22"/>
          <w:highlight w:val="none"/>
        </w:rPr>
        <w:t xml:space="preserve">（一）分部分项工程费用部分</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（1）工程类别：按《费用定额》中的“工程类别划分”执行。</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（2）工程量按《建设工程工程量清单计价规范》、《工程量计算规范》、《费用定额》、《计价定额》及施工图纸等计算。</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（3）人工工资单价参照苏建函价[2025]273号文执行。</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4）材料单价执行《盐城工程造价》2026年第8期建设工程材料信息价、市场参考价和招标人提供的《材料暂估价格表》中的暂定价格，无建材信息价及建材市场参考价和暂定价格的参照材料目前市场价格。本项目招标文件及合同计税方法均采用增值税一般计税方法，招标文件及合同中的建材信息价及建材市场参考价均为除税价。  </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（5）机械单价中燃料费按《盐城工程造价》2026年第8期建设工程材料信息价、市场参考价。</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（6）企业管理费按《费用定额》结合苏建价[2016]154号文中的“工程费用取费标准及有关规定”对应的取费标准计取。</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（7）利润率：按《费用定额》结合苏建价[2016]154号文中的“工程费用取费标准及有关规定”对应的取费标准计取。</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（8）风险费率：招标人在预算价编制时不考虑风险费率，但投标人可按（人工费+除税材料费+除税机械费+管理费+利润-除税工程设备费）的适当比例和相关规定自行考虑。</w:t>
      </w:r>
      <w:r/>
    </w:p>
    <w:p>
      <w:pPr>
        <w:ind w:firstLine="442"/>
        <w:keepLines w:val="0"/>
        <w:keepNext w:val="0"/>
        <w:pageBreakBefore w:val="0"/>
        <w:spacing w:line="360" w:lineRule="auto"/>
        <w:rPr>
          <w:rFonts w:hint="eastAsia" w:asciiTheme="minorEastAsia" w:hAnsiTheme="minorEastAsia" w:eastAsiaTheme="minorEastAsia" w:cstheme="minorEastAsia"/>
          <w:b/>
          <w:bCs/>
          <w:sz w:val="22"/>
          <w:szCs w:val="22"/>
          <w:highlight w:val="none"/>
        </w:rPr>
      </w:pPr>
      <w:r>
        <w:rPr>
          <w:rFonts w:hint="eastAsia" w:asciiTheme="minorEastAsia" w:hAnsiTheme="minorEastAsia" w:eastAsiaTheme="minorEastAsia" w:cstheme="minorEastAsia"/>
          <w:b/>
          <w:bCs/>
          <w:sz w:val="22"/>
          <w:szCs w:val="22"/>
          <w:highlight w:val="none"/>
        </w:rPr>
        <w:t xml:space="preserve">（二）措施项目部分：</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（1）单价措施项目：</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详见招标工程量清单。</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（2）总价措施项目</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1）通用的总价措施项目费：</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1.1安全文明施工措施费：该费用为不可竞争费，在预算价编制和投标报价中应根据文件规定足额计取。</w:t>
      </w:r>
      <w:r/>
    </w:p>
    <w:p>
      <w:pPr>
        <w:ind w:firstLine="442"/>
        <w:keepLines w:val="0"/>
        <w:keepNext w:val="0"/>
        <w:pageBreakBefore w:val="0"/>
        <w:spacing w:line="360" w:lineRule="auto"/>
        <w:rPr>
          <w:rFonts w:hint="eastAsia" w:asciiTheme="minorEastAsia" w:hAnsiTheme="minorEastAsia" w:eastAsiaTheme="minorEastAsia" w:cstheme="minorEastAsia"/>
          <w:b/>
          <w:bCs/>
          <w:sz w:val="22"/>
          <w:szCs w:val="22"/>
          <w:highlight w:val="none"/>
        </w:rPr>
      </w:pPr>
      <w:r>
        <w:rPr>
          <w:rFonts w:hint="eastAsia" w:asciiTheme="minorEastAsia" w:hAnsiTheme="minorEastAsia" w:eastAsiaTheme="minorEastAsia" w:cstheme="minorEastAsia"/>
          <w:b/>
          <w:bCs/>
          <w:sz w:val="22"/>
          <w:szCs w:val="22"/>
          <w:highlight w:val="none"/>
        </w:rPr>
        <w:t xml:space="preserve">根据《费用定额》结合苏建价[2016]154号文等文件的规定，本招标工程的现场安全文明施工措施费标准统一按招标人发布的招标工程量清单中的费率执行，不得作任何调整。工程竣工后，由市、县（市）工程造价管理机构根据施工合同、省市级建筑安全文明施工标准示范项目创建和通报情况等办理核定手续，出具《现场安全文明施工措施费费率核定表》，竣工结算时上述费用根据核定结果调整。未经核定，不予计算。</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1.2夜间施工费：招标人在编制预算价时不计取，投标人可根据招标人的工期要求及施工组织设计自行考虑。</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1.3非夜间施工照明费：招标人在编制预算价时不计取，投标人可根据招标人的工期要求及施工组织设计自行考虑。</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1.4二次搬运费：招标人在编制预算价时不计取，投标人可根据招标人的工期要求及施工组织设计自行考虑。</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1.5冬雨季施工增加费：招标人在编制预算价时不计取，投标人可根据招标人的工期要求及施工组织设计自行考虑。</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1.6地上地下设施、建筑物的临时保护设施费：招标人在编制预算价时不计取，投标人可根据施工现场实际情况及施工组织设计自行考虑。</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1.7已完工程及设备保护费：招标人在编制预算价时不计取，投标人可根据施工组织设计自行计取。</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1.8临时设施费：招标人在编制预算价时按费用定额对应类别的中值计取。投标人可根据招标人的工期要求及施工组织设计自行计取。</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1.9赶工措施费：招标人在编制预算价时不计取，投标人可根据招标人的工期要求及施工组织设计自行计取。</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1.10工程按质论价费：招标人在编制预算价时不计取。 </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1.11特殊条件下施工增加费：招标人在编制预算价时不计取。</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  1.12建筑工人实名制费用：招标人在编制预算价时按费用定额对应类别的中值计取。投标人可根据招标人的工期要求及施工组织设计自行计取。</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1.13智慧工地费用：招标人在编制预算价时不计取。</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1.14垃圾清运费用：本工程施工过程中所产生的垃圾应由本工程承包人负责清运，各投标人须在投标报价中自行考虑。</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1.15施工临时用电、用水均由承包人自行解决来源并现场单独挂表计量，费用由承包人负责。</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上述各项措施项目费用，招标人在确定预算价时按计价文件的有关规定予以适当考虑或计取，同时要求各投标人须根据本企业自身实力和工程的实际情况，在投标报价的措施项目费中自行考虑上述所有列出及未列出但实施过程中有可能发生的各项措施项目费用。中标后所有措施项目费结算调整方法详见合同专用条款中的相关约定。</w:t>
      </w:r>
      <w:r/>
    </w:p>
    <w:p>
      <w:pPr>
        <w:ind w:firstLine="442"/>
        <w:keepLines w:val="0"/>
        <w:keepNext w:val="0"/>
        <w:pageBreakBefore w:val="0"/>
        <w:spacing w:line="360" w:lineRule="auto"/>
        <w:rPr>
          <w:rFonts w:hint="eastAsia" w:asciiTheme="minorEastAsia" w:hAnsiTheme="minorEastAsia" w:eastAsiaTheme="minorEastAsia" w:cstheme="minorEastAsia"/>
          <w:b/>
          <w:bCs/>
          <w:sz w:val="22"/>
          <w:szCs w:val="22"/>
          <w:highlight w:val="none"/>
        </w:rPr>
      </w:pPr>
      <w:r>
        <w:rPr>
          <w:rFonts w:hint="eastAsia" w:asciiTheme="minorEastAsia" w:hAnsiTheme="minorEastAsia" w:eastAsiaTheme="minorEastAsia" w:cstheme="minorEastAsia"/>
          <w:b/>
          <w:bCs/>
          <w:sz w:val="22"/>
          <w:szCs w:val="22"/>
          <w:highlight w:val="none"/>
        </w:rPr>
        <w:t xml:space="preserve">（三）其他项目费用：</w:t>
      </w:r>
      <w:bookmarkEnd w:id="654"/>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（1）暂列金额、暂估价：按采购人《其他项目清单与计价汇总表》执行。</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（2）计日工：由承发包双方在施工合同中约定，招标时暂不考虑此项费用。</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（3）总承包服务费：本工程不计总承包服务费。</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（4）其余详见《其他项目清单与计价汇总表》。</w:t>
      </w:r>
      <w:r/>
    </w:p>
    <w:p>
      <w:pPr>
        <w:ind w:firstLine="442"/>
        <w:keepLines w:val="0"/>
        <w:keepNext w:val="0"/>
        <w:pageBreakBefore w:val="0"/>
        <w:spacing w:line="360" w:lineRule="auto"/>
        <w:rPr>
          <w:rFonts w:hint="eastAsia" w:asciiTheme="minorEastAsia" w:hAnsiTheme="minorEastAsia" w:eastAsiaTheme="minorEastAsia" w:cstheme="minorEastAsia"/>
          <w:b/>
          <w:bCs/>
          <w:sz w:val="22"/>
          <w:szCs w:val="22"/>
          <w:highlight w:val="none"/>
        </w:rPr>
      </w:pPr>
      <w:r>
        <w:rPr>
          <w:rFonts w:hint="eastAsia" w:asciiTheme="minorEastAsia" w:hAnsiTheme="minorEastAsia" w:eastAsiaTheme="minorEastAsia" w:cstheme="minorEastAsia"/>
          <w:b/>
          <w:bCs/>
          <w:sz w:val="22"/>
          <w:szCs w:val="22"/>
          <w:highlight w:val="none"/>
        </w:rPr>
        <w:t xml:space="preserve">（四）规 费：</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（1）环境保护税：按盐市建价字[2018]29号文。</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（2）社会保险费和住房公积金：《费用定额》及苏建价[2016]154号中的标准执行。</w:t>
      </w:r>
      <w:r/>
    </w:p>
    <w:p>
      <w:pPr>
        <w:ind w:firstLine="442"/>
        <w:keepLines w:val="0"/>
        <w:keepNext w:val="0"/>
        <w:pageBreakBefore w:val="0"/>
        <w:spacing w:line="360" w:lineRule="auto"/>
        <w:rPr>
          <w:rFonts w:hint="eastAsia" w:asciiTheme="minorEastAsia" w:hAnsiTheme="minorEastAsia" w:eastAsiaTheme="minorEastAsia" w:cstheme="minorEastAsia"/>
          <w:b/>
          <w:bCs/>
          <w:sz w:val="22"/>
          <w:szCs w:val="22"/>
          <w:highlight w:val="none"/>
        </w:rPr>
      </w:pPr>
      <w:r>
        <w:rPr>
          <w:rFonts w:hint="eastAsia" w:asciiTheme="minorEastAsia" w:hAnsiTheme="minorEastAsia" w:eastAsiaTheme="minorEastAsia" w:cstheme="minorEastAsia"/>
          <w:b/>
          <w:bCs/>
          <w:sz w:val="22"/>
          <w:szCs w:val="22"/>
          <w:highlight w:val="none"/>
        </w:rPr>
        <w:t xml:space="preserve">（五）税 金：</w:t>
      </w:r>
      <w:r/>
    </w:p>
    <w:p>
      <w:pPr>
        <w:ind w:firstLine="44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税金是指根据建筑服务销售价格，按规定税率计算的增值税销项税额。并以除税工程造价为计取基础，费率为9%。</w:t>
      </w:r>
      <w:r/>
    </w:p>
    <w:p>
      <w:pPr>
        <w:pStyle w:val="1016"/>
        <w:ind w:firstLine="482"/>
        <w:keepLines w:val="0"/>
        <w:keepNext w:val="0"/>
        <w:pageBreakBefore w:val="0"/>
        <w:spacing w:line="360" w:lineRule="auto"/>
        <w:rPr>
          <w:rFonts w:hint="eastAsia" w:asciiTheme="minorEastAsia" w:hAnsiTheme="minorEastAsia" w:eastAsiaTheme="minorEastAsia" w:cstheme="minorEastAsia"/>
          <w:b/>
          <w:sz w:val="22"/>
          <w:szCs w:val="22"/>
          <w:highlight w:val="none"/>
        </w:rPr>
      </w:pPr>
      <w:r/>
      <w:bookmarkStart w:id="655" w:name="_Toc203032704"/>
      <w:r>
        <w:rPr>
          <w:rFonts w:hint="eastAsia" w:asciiTheme="minorEastAsia" w:hAnsiTheme="minorEastAsia" w:eastAsiaTheme="minorEastAsia" w:cstheme="minorEastAsia"/>
          <w:b/>
          <w:sz w:val="22"/>
          <w:szCs w:val="22"/>
          <w:highlight w:val="none"/>
        </w:rPr>
        <w:t xml:space="preserve">六、报价、计价说明</w:t>
      </w:r>
      <w:bookmarkEnd w:id="655"/>
      <w:r/>
      <w:r/>
    </w:p>
    <w:p>
      <w:pPr>
        <w:pStyle w:val="1016"/>
        <w:ind w:firstLine="48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1.投标报价应包含完成本竞争性磋商文件中的全部内容所需的所有费用。</w:t>
      </w:r>
      <w:r/>
    </w:p>
    <w:p>
      <w:pPr>
        <w:pStyle w:val="1016"/>
        <w:ind w:firstLine="48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2.磋商供应商应充分了解施工场地的位置、周边环境、道路、装卸、保管、安装限制以及影响投标报价的其他要素，结合市场情况进行投标报价。</w:t>
      </w:r>
      <w:r/>
    </w:p>
    <w:p>
      <w:pPr>
        <w:ind w:firstLine="48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3.</w:t>
      </w:r>
      <w:r>
        <w:rPr>
          <w:rFonts w:hint="eastAsia" w:asciiTheme="minorEastAsia" w:hAnsiTheme="minorEastAsia" w:eastAsiaTheme="minorEastAsia" w:cstheme="minorEastAsia"/>
          <w:sz w:val="22"/>
          <w:szCs w:val="22"/>
          <w:highlight w:val="none"/>
          <w:shd w:val="clear" w:color="auto" w:fill="ffffff"/>
        </w:rPr>
        <w:t xml:space="preserve">投标报价方式：本项目投标报价采用“工程量清单计价法”（工程量计算规则依据《建设工程工程量清单计价规范》（GB50500-2013）、</w:t>
      </w:r>
      <w:r>
        <w:rPr>
          <w:rFonts w:hint="eastAsia" w:asciiTheme="minorEastAsia" w:hAnsiTheme="minorEastAsia" w:eastAsiaTheme="minorEastAsia" w:cstheme="minorEastAsia"/>
          <w:sz w:val="22"/>
          <w:szCs w:val="22"/>
          <w:highlight w:val="none"/>
        </w:rPr>
        <w:t xml:space="preserve">《 市 政 工 程 工 程 量 计 算 规 范 》（ GB50857-2013 ）</w:t>
      </w:r>
      <w:r>
        <w:rPr>
          <w:rFonts w:hint="eastAsia" w:asciiTheme="minorEastAsia" w:hAnsiTheme="minorEastAsia" w:eastAsiaTheme="minorEastAsia" w:cstheme="minorEastAsia"/>
          <w:sz w:val="22"/>
          <w:szCs w:val="22"/>
          <w:highlight w:val="none"/>
          <w:shd w:val="clear" w:color="auto" w:fill="ffffff"/>
        </w:rPr>
        <w:t xml:space="preserve">）。</w:t>
      </w:r>
      <w:r>
        <w:rPr>
          <w:rFonts w:hint="eastAsia" w:asciiTheme="minorEastAsia" w:hAnsiTheme="minorEastAsia" w:eastAsiaTheme="minorEastAsia" w:cstheme="minorEastAsia"/>
          <w:sz w:val="22"/>
          <w:szCs w:val="22"/>
          <w:highlight w:val="none"/>
        </w:rPr>
        <w:t xml:space="preserve">磋商供应商</w:t>
      </w:r>
      <w:r>
        <w:rPr>
          <w:rFonts w:hint="eastAsia" w:asciiTheme="minorEastAsia" w:hAnsiTheme="minorEastAsia" w:eastAsiaTheme="minorEastAsia" w:cstheme="minorEastAsia"/>
          <w:sz w:val="22"/>
          <w:szCs w:val="22"/>
          <w:highlight w:val="none"/>
          <w:shd w:val="clear" w:color="auto" w:fill="ffffff"/>
        </w:rPr>
        <w:t xml:space="preserve">应根据采购人提供的工程量清单和施工图纸计算工程项目的除税综合单价和合价。工程量清单中每一个子目的单项均需计算并填写除税综合单价、合价。</w:t>
      </w:r>
      <w:r>
        <w:rPr>
          <w:rFonts w:hint="eastAsia" w:asciiTheme="minorEastAsia" w:hAnsiTheme="minorEastAsia" w:eastAsiaTheme="minorEastAsia" w:cstheme="minorEastAsia"/>
          <w:sz w:val="22"/>
          <w:szCs w:val="22"/>
          <w:highlight w:val="none"/>
        </w:rPr>
        <w:t xml:space="preserve">磋商供应商</w:t>
      </w:r>
      <w:r>
        <w:rPr>
          <w:rFonts w:hint="eastAsia" w:asciiTheme="minorEastAsia" w:hAnsiTheme="minorEastAsia" w:eastAsiaTheme="minorEastAsia" w:cstheme="minorEastAsia"/>
          <w:sz w:val="22"/>
          <w:szCs w:val="22"/>
          <w:highlight w:val="none"/>
          <w:shd w:val="clear" w:color="auto" w:fill="ffffff"/>
        </w:rPr>
        <w:t xml:space="preserve">对采购人提供的工程量清单如有异议（包括对工程量清单中漏项的疑问），应在</w:t>
      </w:r>
      <w:r>
        <w:rPr>
          <w:rFonts w:hint="eastAsia" w:asciiTheme="minorEastAsia" w:hAnsiTheme="minorEastAsia" w:eastAsiaTheme="minorEastAsia" w:cstheme="minorEastAsia"/>
          <w:sz w:val="22"/>
          <w:szCs w:val="22"/>
          <w:highlight w:val="none"/>
        </w:rPr>
        <w:t xml:space="preserve">提交首次响应文件截止时间五日前</w:t>
      </w:r>
      <w:r>
        <w:rPr>
          <w:rFonts w:hint="eastAsia" w:asciiTheme="minorEastAsia" w:hAnsiTheme="minorEastAsia" w:eastAsiaTheme="minorEastAsia" w:cstheme="minorEastAsia"/>
          <w:sz w:val="22"/>
          <w:szCs w:val="22"/>
          <w:highlight w:val="none"/>
          <w:shd w:val="clear" w:color="auto" w:fill="ffffff"/>
        </w:rPr>
        <w:t xml:space="preserve">向</w:t>
      </w:r>
      <w:r>
        <w:rPr>
          <w:rFonts w:hint="eastAsia" w:asciiTheme="minorEastAsia" w:hAnsiTheme="minorEastAsia" w:eastAsiaTheme="minorEastAsia" w:cstheme="minorEastAsia"/>
          <w:sz w:val="22"/>
          <w:szCs w:val="22"/>
          <w:highlight w:val="none"/>
        </w:rPr>
        <w:t xml:space="preserve">采购人或采购代理机构提出</w:t>
      </w:r>
      <w:r>
        <w:rPr>
          <w:rFonts w:hint="eastAsia" w:asciiTheme="minorEastAsia" w:hAnsiTheme="minorEastAsia" w:eastAsiaTheme="minorEastAsia" w:cstheme="minorEastAsia"/>
          <w:sz w:val="22"/>
          <w:szCs w:val="22"/>
          <w:highlight w:val="none"/>
          <w:shd w:val="clear" w:color="auto" w:fill="ffffff"/>
        </w:rPr>
        <w:t xml:space="preserve">。各</w:t>
      </w:r>
      <w:r>
        <w:rPr>
          <w:rFonts w:hint="eastAsia" w:asciiTheme="minorEastAsia" w:hAnsiTheme="minorEastAsia" w:eastAsiaTheme="minorEastAsia" w:cstheme="minorEastAsia"/>
          <w:sz w:val="22"/>
          <w:szCs w:val="22"/>
          <w:highlight w:val="none"/>
        </w:rPr>
        <w:t xml:space="preserve">磋商供应商</w:t>
      </w:r>
      <w:r>
        <w:rPr>
          <w:rFonts w:hint="eastAsia" w:asciiTheme="minorEastAsia" w:hAnsiTheme="minorEastAsia" w:eastAsiaTheme="minorEastAsia" w:cstheme="minorEastAsia"/>
          <w:sz w:val="22"/>
          <w:szCs w:val="22"/>
          <w:highlight w:val="none"/>
          <w:shd w:val="clear" w:color="auto" w:fill="ffffff"/>
        </w:rPr>
        <w:t xml:space="preserve">不得对采购人答疑后的工程量清单的序号、项目编码、项目名称、项目特征、计量单位、工程数量、暂列定额、暂估价等进行调整。对施工中发生的所有措施费及可预见费用由施工单位自行考虑，计入总价。</w:t>
      </w:r>
      <w:r/>
    </w:p>
    <w:p>
      <w:pPr>
        <w:ind w:firstLine="480"/>
        <w:jc w:val="left"/>
        <w:keepLines w:val="0"/>
        <w:keepNext w:val="0"/>
        <w:pageBreakBefore w:val="0"/>
        <w:spacing w:line="360" w:lineRule="auto"/>
        <w:rPr>
          <w:rFonts w:hint="eastAsia" w:asciiTheme="minorEastAsia" w:hAnsiTheme="minorEastAsia" w:eastAsiaTheme="minorEastAsia" w:cstheme="minorEastAsia"/>
          <w:sz w:val="22"/>
          <w:szCs w:val="22"/>
          <w:highlight w:val="none"/>
          <w:shd w:val="clear" w:color="auto" w:fill="ffffff"/>
        </w:rPr>
      </w:pPr>
      <w:r>
        <w:rPr>
          <w:rFonts w:hint="eastAsia" w:asciiTheme="minorEastAsia" w:hAnsiTheme="minorEastAsia" w:eastAsiaTheme="minorEastAsia" w:cstheme="minorEastAsia"/>
          <w:sz w:val="22"/>
          <w:szCs w:val="22"/>
          <w:highlight w:val="none"/>
          <w:shd w:val="clear" w:color="auto" w:fill="ffffff"/>
        </w:rPr>
        <w:t xml:space="preserve">4.合同定价方式</w:t>
      </w:r>
      <w:r/>
    </w:p>
    <w:p>
      <w:pPr>
        <w:pStyle w:val="1016"/>
        <w:ind w:firstLine="48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shd w:val="clear" w:color="auto" w:fill="ffffff"/>
        </w:rPr>
        <w:t xml:space="preserve">本工程采用单价合同。本工程实行《建设工程工程量清单计价规范》（GB50500-2013）、</w:t>
      </w:r>
      <w:r>
        <w:rPr>
          <w:rFonts w:hint="eastAsia" w:asciiTheme="minorEastAsia" w:hAnsiTheme="minorEastAsia" w:eastAsiaTheme="minorEastAsia" w:cstheme="minorEastAsia"/>
          <w:sz w:val="22"/>
          <w:szCs w:val="22"/>
          <w:highlight w:val="none"/>
        </w:rPr>
        <w:t xml:space="preserve">《 市 政 工 程 工 程 量 计 算 规 范 》（ GB50857-2013 ）</w:t>
      </w:r>
      <w:r>
        <w:rPr>
          <w:rFonts w:hint="eastAsia" w:asciiTheme="minorEastAsia" w:hAnsiTheme="minorEastAsia" w:eastAsiaTheme="minorEastAsia" w:cstheme="minorEastAsia"/>
          <w:sz w:val="22"/>
          <w:szCs w:val="22"/>
          <w:highlight w:val="none"/>
          <w:shd w:val="clear" w:color="auto" w:fill="ffffff"/>
        </w:rPr>
        <w:t xml:space="preserve">招标，建设工程合同采用单价合同，以体现风险共担的原则。由采购人提供工程量清单，</w:t>
      </w:r>
      <w:r>
        <w:rPr>
          <w:rFonts w:hint="eastAsia" w:asciiTheme="minorEastAsia" w:hAnsiTheme="minorEastAsia" w:eastAsiaTheme="minorEastAsia" w:cstheme="minorEastAsia"/>
          <w:sz w:val="22"/>
          <w:szCs w:val="22"/>
          <w:highlight w:val="none"/>
        </w:rPr>
        <w:t xml:space="preserve">磋商供应商</w:t>
      </w:r>
      <w:r>
        <w:rPr>
          <w:rFonts w:hint="eastAsia" w:asciiTheme="minorEastAsia" w:hAnsiTheme="minorEastAsia" w:eastAsiaTheme="minorEastAsia" w:cstheme="minorEastAsia"/>
          <w:sz w:val="22"/>
          <w:szCs w:val="22"/>
          <w:highlight w:val="none"/>
          <w:shd w:val="clear" w:color="auto" w:fill="ffffff"/>
        </w:rPr>
        <w:t xml:space="preserve">以工程量清单及图纸为基础填报相应的单价并计算合价。采购人要求</w:t>
      </w:r>
      <w:r>
        <w:rPr>
          <w:rFonts w:hint="eastAsia" w:asciiTheme="minorEastAsia" w:hAnsiTheme="minorEastAsia" w:eastAsiaTheme="minorEastAsia" w:cstheme="minorEastAsia"/>
          <w:sz w:val="22"/>
          <w:szCs w:val="22"/>
          <w:highlight w:val="none"/>
        </w:rPr>
        <w:t xml:space="preserve">磋商供应商</w:t>
      </w:r>
      <w:r>
        <w:rPr>
          <w:rFonts w:hint="eastAsia" w:asciiTheme="minorEastAsia" w:hAnsiTheme="minorEastAsia" w:eastAsiaTheme="minorEastAsia" w:cstheme="minorEastAsia"/>
          <w:sz w:val="22"/>
          <w:szCs w:val="22"/>
          <w:highlight w:val="none"/>
          <w:shd w:val="clear" w:color="auto" w:fill="ffffff"/>
        </w:rPr>
        <w:t xml:space="preserve">承担本竞争性磋商文件合同专用条款中约定的风险内容及其范围（幅度）产生的风险费用，在施工过程中，当出现的风险内容及其范围（幅度）在合同约定的范围内，工程价款不作调整。</w:t>
      </w:r>
      <w:r/>
    </w:p>
    <w:p>
      <w:pPr>
        <w:pStyle w:val="1016"/>
        <w:ind w:firstLine="48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5.投标报价的要求</w:t>
      </w:r>
      <w:r/>
    </w:p>
    <w:p>
      <w:pPr>
        <w:pStyle w:val="1016"/>
        <w:ind w:firstLine="48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5.1采购人提供工程量清单应与</w:t>
      </w:r>
      <w:r>
        <w:rPr>
          <w:rFonts w:hint="eastAsia" w:asciiTheme="minorEastAsia" w:hAnsiTheme="minorEastAsia" w:eastAsiaTheme="minorEastAsia" w:cstheme="minorEastAsia"/>
          <w:sz w:val="22"/>
          <w:szCs w:val="22"/>
          <w:highlight w:val="none"/>
          <w:shd w:val="clear" w:color="auto" w:fill="ffffff"/>
        </w:rPr>
        <w:t xml:space="preserve">竞争性磋商</w:t>
      </w:r>
      <w:r>
        <w:rPr>
          <w:rFonts w:hint="eastAsia" w:asciiTheme="minorEastAsia" w:hAnsiTheme="minorEastAsia" w:eastAsiaTheme="minorEastAsia" w:cstheme="minorEastAsia"/>
          <w:sz w:val="22"/>
          <w:szCs w:val="22"/>
          <w:highlight w:val="none"/>
        </w:rPr>
        <w:t xml:space="preserve">文件一起参照阅读；</w:t>
      </w:r>
      <w:r/>
    </w:p>
    <w:p>
      <w:pPr>
        <w:pStyle w:val="1016"/>
        <w:ind w:firstLine="48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5.2采购人提供的工程量清单中的项目编码、项目名称、项目特征、计量单位、工程数量（磋商供应商自行补充的措施项目除外）以及暂列金额、暂估价内容，磋商供应商在投标报价时不得作任何更改变动，如果磋商供应商认为清单内容有误或遗漏，只能通过答疑的方式由采购人统一修改更正；</w:t>
      </w:r>
      <w:r/>
    </w:p>
    <w:p>
      <w:pPr>
        <w:pStyle w:val="1016"/>
        <w:ind w:firstLine="48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5.3 除不可竞争费用（现场安全文明施工措施费、规费项目费、税金项目费）、暂列金额、暂估价不得调整外，磋商供应商可根据自己的施工方案及企业自身经营管理水平情况不低于成本报价；</w:t>
      </w:r>
      <w:r/>
    </w:p>
    <w:p>
      <w:pPr>
        <w:pStyle w:val="1016"/>
        <w:ind w:firstLine="48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5.4 磋商供应商应充分考虑施工期间各类材料（工程设备）的市场风险和国家政策性调整风险系数，除合同约定可以调整的材料（工程设备）外，其余材料（工程设备）在合同实施期间材料（工程设备）价格不因市场变化或其他任何因素变化而变动，磋商供应商在投标报价时应充分考虑本工程项目合同的风险；</w:t>
      </w:r>
      <w:r/>
    </w:p>
    <w:p>
      <w:pPr>
        <w:pStyle w:val="1016"/>
        <w:ind w:left="0" w:firstLine="482"/>
        <w:keepLines w:val="0"/>
        <w:keepNext w:val="0"/>
        <w:pageBreakBefore w:val="0"/>
        <w:spacing w:line="360" w:lineRule="auto"/>
        <w:widowControl w:val="off"/>
        <w:rPr>
          <w:rFonts w:hint="eastAsia" w:asciiTheme="minorEastAsia" w:hAnsiTheme="minorEastAsia" w:eastAsiaTheme="minorEastAsia" w:cstheme="minorEastAsia"/>
          <w:b/>
          <w:sz w:val="22"/>
          <w:szCs w:val="22"/>
          <w:highlight w:val="none"/>
        </w:rPr>
      </w:pPr>
      <w:r>
        <w:rPr>
          <w:rFonts w:hint="eastAsia" w:asciiTheme="minorEastAsia" w:hAnsiTheme="minorEastAsia" w:eastAsiaTheme="minorEastAsia" w:cstheme="minorEastAsia"/>
          <w:bCs/>
          <w:sz w:val="22"/>
          <w:szCs w:val="22"/>
          <w:highlight w:val="none"/>
        </w:rPr>
        <w:t xml:space="preserve">5.5供应商报价时应充分考虑法定节假日施工队伍组建难度、赶工难度（含订货）等风险因素，并将费用综合考虑进报价中，结算时采购人不另计。如因成交供应商原因造成不能按期竣工，将严格对照合同约定进行考核。</w:t>
      </w:r>
      <w:r/>
    </w:p>
    <w:p>
      <w:pPr>
        <w:pStyle w:val="1016"/>
        <w:ind w:left="0" w:firstLine="48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5.6 如磋商供应商在投标时承诺质量标准达到合格以上等级的，应在投标报价时足额考虑创优所增加的施工成本，相关费用采购人不再另行支付；</w:t>
      </w:r>
      <w:r/>
    </w:p>
    <w:p>
      <w:pPr>
        <w:pStyle w:val="1016"/>
        <w:ind w:left="0" w:firstLine="48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5.7综合单价的组成：完成一个规定清单项目所需的人工费、材料费和工程设备费、施工机具使用费和企业管理费与利润，以及一定范围内的风险费用；</w:t>
      </w:r>
      <w:r/>
    </w:p>
    <w:p>
      <w:pPr>
        <w:pStyle w:val="1016"/>
        <w:ind w:left="0" w:firstLine="48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5.8其他项目清单中的暂列金额、暂估价中的材料（工程设备）及专业工程暂估价必须按照采购人给定的项目、金额、单价等标准计取，不得变动。计日工应按照采购人提供的项目和估算的数量，自主确定各项综合单价并计算费用；</w:t>
      </w:r>
      <w:r/>
    </w:p>
    <w:p>
      <w:pPr>
        <w:pStyle w:val="1016"/>
        <w:ind w:left="0" w:firstLine="48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5.9 规费和税金应按招标工程量清单中的规定标准执行；</w:t>
      </w:r>
      <w:r/>
    </w:p>
    <w:p>
      <w:pPr>
        <w:pStyle w:val="1016"/>
        <w:ind w:left="0" w:firstLine="48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5.10分部分项工程和单价措施项目清单与计价表中列明的所有需要填写的单价和合价，磋商供应商均应填写，未填写单价和合价，视为此项费用已包含在工程量清单的其他单价和合价中。当竣事结算时，此项目不得重新组价予以调整。</w:t>
      </w:r>
      <w:r/>
    </w:p>
    <w:p>
      <w:pPr>
        <w:ind w:left="0" w:firstLine="48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5.11投标总价应当与分部分项工程费、措施项目费、其他项目费和规费、税金的合计金额一致。</w:t>
      </w:r>
      <w:r/>
    </w:p>
    <w:p>
      <w:pPr>
        <w:ind w:left="0" w:firstLine="48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5.12无论招标时工程量清单中项目特征描述是否全面，采购人要求投标人的投标报价为完成该清单项目施工图纸的全部内容，若无相关设计变更，除本竞争性磋商文件及施工合同约定允许调整外中标的综合单价不予调整，工程量按实际完成工程量结算。</w:t>
      </w:r>
      <w:r/>
    </w:p>
    <w:p>
      <w:pPr>
        <w:ind w:left="0" w:firstLine="482"/>
        <w:keepLines w:val="0"/>
        <w:keepNext w:val="0"/>
        <w:pageBreakBefore w:val="0"/>
        <w:spacing w:line="360" w:lineRule="auto"/>
        <w:widowControl w:val="off"/>
        <w:rPr>
          <w:rFonts w:hint="eastAsia" w:asciiTheme="minorEastAsia" w:hAnsiTheme="minorEastAsia" w:eastAsiaTheme="minorEastAsia" w:cstheme="minorEastAsia"/>
          <w:b/>
          <w:sz w:val="22"/>
          <w:szCs w:val="22"/>
          <w:highlight w:val="none"/>
        </w:rPr>
      </w:pPr>
      <w:r>
        <w:rPr>
          <w:rFonts w:hint="eastAsia" w:asciiTheme="minorEastAsia" w:hAnsiTheme="minorEastAsia" w:eastAsiaTheme="minorEastAsia" w:cstheme="minorEastAsia"/>
          <w:b/>
          <w:sz w:val="22"/>
          <w:szCs w:val="22"/>
          <w:highlight w:val="none"/>
        </w:rPr>
        <w:t xml:space="preserve">5.13特别提醒：投标响应文件中已标价工程量清单与磋商文件规定的暂估价、暂列金额及甲供材料价格不一致的；投标响应文件中已标价工程量清单与磋商文件明确列出的不可竞争费用项目或费率或计算基础不一致的；投标响应文件中已标价工程量清单与磋商文件提供的工程量清单中的项目名称、项目特征、计量单位、工程量不一致的；一律作无效标处理。</w:t>
      </w:r>
      <w:r/>
    </w:p>
    <w:p>
      <w:pPr>
        <w:ind w:left="0" w:firstLine="482"/>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b/>
          <w:sz w:val="22"/>
          <w:szCs w:val="22"/>
          <w:highlight w:val="none"/>
        </w:rPr>
        <w:t xml:space="preserve">5.14供应商最后报价为响应文件中已标价工程量清单总价下浮后得到（各清单项的数量不变，单价同比例下浮，其中暂列金额、暂估价、甲供材及其规费费率和税金费率不下浮）。</w:t>
      </w:r>
      <w:r/>
    </w:p>
    <w:p>
      <w:pPr>
        <w:pStyle w:val="824"/>
        <w:ind w:left="0"/>
        <w:keepLines w:val="0"/>
        <w:keepNext w:val="0"/>
        <w:pageBreakBefore w:val="0"/>
        <w:spacing w:after="0" w:line="360" w:lineRule="auto"/>
        <w:widowControl w:val="off"/>
        <w:rPr>
          <w:rFonts w:hint="eastAsia" w:asciiTheme="minorEastAsia" w:hAnsiTheme="minorEastAsia" w:eastAsiaTheme="minorEastAsia" w:cstheme="minorEastAsia"/>
          <w:sz w:val="20"/>
          <w:szCs w:val="22"/>
          <w:highlight w:val="yellow"/>
        </w:rPr>
      </w:pPr>
      <w:r>
        <w:rPr>
          <w:rFonts w:hint="eastAsia" w:asciiTheme="minorEastAsia" w:hAnsiTheme="minorEastAsia" w:eastAsiaTheme="minorEastAsia" w:cstheme="minorEastAsia"/>
          <w:sz w:val="20"/>
          <w:szCs w:val="22"/>
          <w:highlight w:val="yellow"/>
        </w:rPr>
      </w:r>
      <w:r/>
    </w:p>
    <w:p>
      <w:pPr>
        <w:jc w:val="both"/>
        <w:spacing w:before="0" w:after="0" w:line="85" w:lineRule="atLeast"/>
        <w:rPr>
          <w:rFonts w:ascii="宋体" w:hAnsi="宋体" w:eastAsia="宋体" w:cs="宋体"/>
          <w:b/>
          <w:bCs/>
          <w:color w:val="0000ff"/>
          <w:sz w:val="22"/>
          <w:szCs w:val="22"/>
          <w:highlight w:val="yellow"/>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ff"/>
          <w:sz w:val="22"/>
          <w:szCs w:val="22"/>
          <w:highlight w:val="yellow"/>
        </w:rPr>
        <w:t xml:space="preserve">图纸、招标清单下载</w:t>
      </w:r>
      <w:r>
        <w:rPr>
          <w:rFonts w:ascii="宋体" w:hAnsi="宋体" w:eastAsia="宋体" w:cs="宋体"/>
          <w:b/>
          <w:color w:val="0000ff"/>
          <w:sz w:val="22"/>
          <w:highlight w:val="yellow"/>
        </w:rPr>
        <w:t xml:space="preserve">链接: </w:t>
      </w:r>
      <w:r>
        <w:rPr>
          <w:rFonts w:ascii="宋体" w:hAnsi="宋体" w:eastAsia="宋体" w:cs="宋体"/>
          <w:b/>
          <w:color w:val="0000ff"/>
          <w:sz w:val="22"/>
          <w:highlight w:val="yellow"/>
        </w:rPr>
      </w:r>
    </w:p>
    <w:p>
      <w:pPr>
        <w:jc w:val="both"/>
        <w:spacing w:before="0" w:after="0" w:line="85" w:lineRule="atLeast"/>
        <w:rPr>
          <w:rFonts w:ascii="宋体" w:hAnsi="宋体" w:eastAsia="宋体" w:cs="宋体"/>
          <w:b/>
          <w:bCs/>
          <w:color w:val="0000ff"/>
          <w:sz w:val="22"/>
          <w:szCs w:val="22"/>
          <w:highlight w:val="yellow"/>
        </w:rPr>
        <w:pBdr>
          <w:top w:val="none" w:color="000000" w:sz="0" w:space="0"/>
          <w:left w:val="none" w:color="000000" w:sz="0" w:space="0"/>
          <w:bottom w:val="none" w:color="000000" w:sz="0" w:space="0"/>
          <w:right w:val="none" w:color="000000" w:sz="0" w:space="0"/>
        </w:pBdr>
      </w:pPr>
      <w:r>
        <w:rPr>
          <w:rFonts w:ascii="宋体" w:hAnsi="宋体" w:eastAsia="宋体" w:cs="宋体"/>
          <w:b/>
          <w:color w:val="0000ff"/>
          <w:sz w:val="22"/>
          <w:highlight w:val="yellow"/>
        </w:rPr>
      </w:r>
      <w:r>
        <w:rPr>
          <w:rFonts w:ascii="宋体" w:hAnsi="宋体" w:eastAsia="宋体" w:cs="宋体"/>
          <w:b/>
          <w:color w:val="0000ff"/>
          <w:sz w:val="22"/>
          <w:highlight w:val="yellow"/>
        </w:rPr>
        <w:t xml:space="preserve">通过网盘分享的文件：图纸与清单.zip</w:t>
      </w:r>
      <w:r/>
      <w:r/>
    </w:p>
    <w:p>
      <w:pPr>
        <w:jc w:val="both"/>
        <w:spacing w:before="0" w:after="0" w:line="85" w:lineRule="atLeast"/>
        <w:rPr>
          <w:rFonts w:ascii="宋体" w:hAnsi="宋体" w:eastAsia="宋体" w:cs="宋体"/>
          <w:b/>
          <w:bCs/>
          <w:color w:val="0000ff"/>
          <w:sz w:val="22"/>
          <w:szCs w:val="22"/>
          <w:highlight w:val="yellow"/>
        </w:rPr>
        <w:pBdr>
          <w:top w:val="none" w:color="000000" w:sz="0" w:space="0"/>
          <w:left w:val="none" w:color="000000" w:sz="0" w:space="0"/>
          <w:bottom w:val="none" w:color="000000" w:sz="0" w:space="0"/>
          <w:right w:val="none" w:color="000000" w:sz="0" w:space="0"/>
        </w:pBdr>
      </w:pPr>
      <w:r>
        <w:rPr>
          <w:rFonts w:ascii="宋体" w:hAnsi="宋体" w:eastAsia="宋体" w:cs="宋体"/>
          <w:b/>
          <w:color w:val="0000ff"/>
          <w:sz w:val="22"/>
          <w:highlight w:val="yellow"/>
        </w:rPr>
        <w:t xml:space="preserve">链接: https://pan.baidu.com/s/1YCYBGyEw__Eb9AsKnq8icQ?pwd=phib 提取码: phib</w:t>
      </w:r>
      <w:r/>
      <w:r>
        <w:rPr>
          <w:rFonts w:ascii="宋体" w:hAnsi="宋体" w:eastAsia="宋体" w:cs="宋体"/>
          <w:b/>
          <w:color w:val="0000ff"/>
          <w:sz w:val="22"/>
          <w:highlight w:val="yellow"/>
        </w:rPr>
      </w:r>
      <w:r/>
      <w:r/>
    </w:p>
    <w:p>
      <w:pPr>
        <w:pStyle w:val="824"/>
        <w:numPr>
          <w:ilvl w:val="0"/>
          <w:numId w:val="0"/>
        </w:numPr>
        <w:jc w:val="both"/>
        <w:spacing w:after="120" w:line="240" w:lineRule="auto"/>
        <w:widowControl w:val="off"/>
        <w:rPr>
          <w:highlight w:val="yellow"/>
        </w:rPr>
      </w:pPr>
      <w:r>
        <w:rPr>
          <w:highlight w:val="yellow"/>
        </w:rPr>
      </w:r>
      <w:r/>
    </w:p>
    <w:p>
      <w:pPr>
        <w:pStyle w:val="824"/>
        <w:numPr>
          <w:ilvl w:val="0"/>
          <w:numId w:val="0"/>
        </w:numPr>
        <w:jc w:val="both"/>
        <w:spacing w:after="120" w:line="240" w:lineRule="auto"/>
        <w:widowControl w:val="off"/>
        <w:rPr>
          <w:highlight w:val="yellow"/>
        </w:rPr>
      </w:pPr>
      <w:r>
        <w:rPr>
          <w:highlight w:val="yellow"/>
        </w:rPr>
      </w:r>
      <w:r/>
    </w:p>
    <w:p>
      <w:pPr>
        <w:contextualSpacing/>
        <w:ind w:left="0" w:firstLine="482"/>
        <w:keepLines w:val="0"/>
        <w:keepNext w:val="0"/>
        <w:pageBreakBefore w:val="0"/>
        <w:spacing w:line="360" w:lineRule="auto"/>
        <w:widowControl w:val="off"/>
        <w:rPr>
          <w:rFonts w:hint="eastAsia" w:asciiTheme="minorEastAsia" w:hAnsiTheme="minorEastAsia" w:eastAsiaTheme="minorEastAsia" w:cstheme="minorEastAsia"/>
          <w:b/>
          <w:bCs/>
          <w:sz w:val="22"/>
          <w:szCs w:val="22"/>
          <w:highlight w:val="none"/>
        </w:rPr>
        <w:outlineLvl w:val="1"/>
      </w:pPr>
      <w:r>
        <w:rPr>
          <w:rFonts w:hint="eastAsia" w:asciiTheme="minorEastAsia" w:hAnsiTheme="minorEastAsia" w:eastAsiaTheme="minorEastAsia" w:cstheme="minorEastAsia"/>
          <w:b/>
          <w:bCs/>
          <w:sz w:val="22"/>
          <w:szCs w:val="22"/>
          <w:highlight w:val="none"/>
        </w:rPr>
      </w:r>
      <w:r/>
    </w:p>
    <w:p>
      <w:pPr>
        <w:pStyle w:val="1013"/>
        <w:ind w:left="0" w:firstLine="482"/>
        <w:keepLines w:val="0"/>
        <w:keepNext w:val="0"/>
        <w:pageBreakBefore w:val="0"/>
        <w:spacing w:line="360" w:lineRule="auto"/>
        <w:widowControl w:val="off"/>
        <w:rPr>
          <w:rFonts w:hint="eastAsia" w:asciiTheme="minorEastAsia" w:hAnsiTheme="minorEastAsia" w:eastAsiaTheme="minorEastAsia" w:cstheme="minorEastAsia"/>
          <w:b/>
          <w:sz w:val="22"/>
          <w:szCs w:val="22"/>
          <w:highlight w:val="none"/>
        </w:rPr>
      </w:pPr>
      <w:r/>
      <w:bookmarkStart w:id="656" w:name="_Toc166856201"/>
      <w:r/>
      <w:bookmarkStart w:id="657" w:name="_Toc203032705"/>
      <w:r>
        <w:rPr>
          <w:rFonts w:hint="eastAsia" w:asciiTheme="minorEastAsia" w:hAnsiTheme="minorEastAsia" w:eastAsiaTheme="minorEastAsia" w:cstheme="minorEastAsia"/>
          <w:b/>
          <w:sz w:val="22"/>
          <w:szCs w:val="22"/>
          <w:highlight w:val="none"/>
        </w:rPr>
        <w:t xml:space="preserve">八、工程及材料技术要求</w:t>
      </w:r>
      <w:bookmarkEnd w:id="656"/>
      <w:r/>
      <w:bookmarkEnd w:id="657"/>
      <w:r/>
      <w:r/>
    </w:p>
    <w:p>
      <w:pPr>
        <w:ind w:left="0" w:firstLine="48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1.工程质量应达到的等级：达到国标验收规范合格要求。</w:t>
      </w:r>
      <w:r/>
    </w:p>
    <w:p>
      <w:pPr>
        <w:ind w:left="0" w:firstLine="48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2.材料进场、垃圾外运时需注意对业主方道路、道板及绿化的保护，如有损坏，成交人应恢复原样，相关维修费由成交人自理。</w:t>
      </w:r>
      <w:r/>
    </w:p>
    <w:p>
      <w:pPr>
        <w:pStyle w:val="1013"/>
        <w:ind w:left="0" w:firstLine="482"/>
        <w:keepLines w:val="0"/>
        <w:keepNext w:val="0"/>
        <w:pageBreakBefore w:val="0"/>
        <w:spacing w:line="360" w:lineRule="auto"/>
        <w:widowControl w:val="off"/>
        <w:rPr>
          <w:rFonts w:hint="eastAsia" w:asciiTheme="minorEastAsia" w:hAnsiTheme="minorEastAsia" w:eastAsiaTheme="minorEastAsia" w:cstheme="minorEastAsia"/>
          <w:b/>
          <w:sz w:val="22"/>
          <w:szCs w:val="22"/>
          <w:highlight w:val="none"/>
        </w:rPr>
      </w:pPr>
      <w:r/>
      <w:bookmarkStart w:id="658" w:name="_Toc195778616"/>
      <w:r>
        <w:rPr>
          <w:rFonts w:hint="eastAsia" w:asciiTheme="minorEastAsia" w:hAnsiTheme="minorEastAsia" w:eastAsiaTheme="minorEastAsia" w:cstheme="minorEastAsia"/>
          <w:b/>
          <w:sz w:val="22"/>
          <w:szCs w:val="22"/>
          <w:highlight w:val="none"/>
        </w:rPr>
        <w:t xml:space="preserve">九、类似业绩</w:t>
      </w:r>
      <w:bookmarkEnd w:id="658"/>
      <w:r/>
      <w:r/>
    </w:p>
    <w:p>
      <w:pPr>
        <w:ind w:left="0" w:firstLine="48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供应商需要具备丰富的类似项目承接经验，确保本项目的顺利实施，自2023年10月1日以来（以合同签订日期为准），供应商具有类似业绩的优先。</w:t>
      </w:r>
      <w:r/>
    </w:p>
    <w:p>
      <w:pPr>
        <w:pStyle w:val="824"/>
        <w:ind w:left="0"/>
        <w:keepLines w:val="0"/>
        <w:keepNext w:val="0"/>
        <w:pageBreakBefore w:val="0"/>
        <w:spacing w:after="0" w:line="360" w:lineRule="auto"/>
        <w:widowControl w:val="off"/>
        <w:rPr>
          <w:rFonts w:hint="eastAsia" w:asciiTheme="minorEastAsia" w:hAnsiTheme="minorEastAsia" w:eastAsiaTheme="minorEastAsia" w:cstheme="minorEastAsia"/>
          <w:b/>
          <w:bCs/>
          <w:sz w:val="22"/>
          <w:szCs w:val="22"/>
          <w:highlight w:val="none"/>
        </w:rPr>
      </w:pPr>
      <w:r>
        <w:rPr>
          <w:rFonts w:hint="eastAsia" w:asciiTheme="minorEastAsia" w:hAnsiTheme="minorEastAsia" w:eastAsiaTheme="minorEastAsia" w:cstheme="minorEastAsia"/>
          <w:b/>
          <w:bCs/>
          <w:sz w:val="22"/>
          <w:szCs w:val="22"/>
          <w:highlight w:val="none"/>
        </w:rPr>
        <w:t xml:space="preserve">十、体系认证</w:t>
      </w:r>
      <w:r/>
    </w:p>
    <w:p>
      <w:pPr>
        <w:pStyle w:val="824"/>
        <w:ind w:left="0"/>
        <w:keepLines w:val="0"/>
        <w:keepNext w:val="0"/>
        <w:pageBreakBefore w:val="0"/>
        <w:spacing w:after="0"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投标人需具备良好的质量管理体系规范日常管理与服务，本项目施工环境达到国家相关部门标准，积极保障员工健康和安全，以保障本项目的顺利实施，具有有效期内的质量管理体系认证证书、环境管理体系认证证书、职业健康安全管理体系认证证书的优先。</w:t>
      </w:r>
      <w:r/>
    </w:p>
    <w:p>
      <w:pPr>
        <w:pStyle w:val="824"/>
        <w:ind w:left="0"/>
        <w:keepLines w:val="0"/>
        <w:keepNext w:val="0"/>
        <w:pageBreakBefore w:val="0"/>
        <w:spacing w:after="0" w:line="360" w:lineRule="auto"/>
        <w:widowControl w:val="off"/>
        <w:rPr>
          <w:rFonts w:hint="eastAsia" w:asciiTheme="minorEastAsia" w:hAnsiTheme="minorEastAsia" w:eastAsiaTheme="minorEastAsia" w:cstheme="minorEastAsia"/>
          <w:b/>
          <w:bCs/>
          <w:sz w:val="22"/>
          <w:szCs w:val="22"/>
          <w:highlight w:val="none"/>
        </w:rPr>
      </w:pPr>
      <w:r>
        <w:rPr>
          <w:rFonts w:hint="eastAsia" w:asciiTheme="minorEastAsia" w:hAnsiTheme="minorEastAsia" w:eastAsiaTheme="minorEastAsia" w:cstheme="minorEastAsia"/>
          <w:b/>
          <w:bCs/>
          <w:sz w:val="22"/>
          <w:szCs w:val="22"/>
          <w:highlight w:val="none"/>
        </w:rPr>
        <w:t xml:space="preserve">十一、人员配备</w:t>
      </w:r>
      <w:r/>
    </w:p>
    <w:p>
      <w:pPr>
        <w:pStyle w:val="824"/>
        <w:ind w:left="0"/>
        <w:keepLines w:val="0"/>
        <w:keepNext w:val="0"/>
        <w:pageBreakBefore w:val="0"/>
        <w:spacing w:after="0"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根据项目施工相关要求，按岗位进行足额人员配置：</w:t>
      </w:r>
      <w:r/>
    </w:p>
    <w:p>
      <w:pPr>
        <w:pStyle w:val="824"/>
        <w:ind w:left="0"/>
        <w:keepLines w:val="0"/>
        <w:keepNext w:val="0"/>
        <w:pageBreakBefore w:val="0"/>
        <w:spacing w:after="0"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1、拟投入本项目的项目负责人具有建设工程类职称的优先。 </w:t>
      </w:r>
      <w:r/>
    </w:p>
    <w:p>
      <w:pPr>
        <w:pStyle w:val="824"/>
        <w:ind w:left="0"/>
        <w:keepLines w:val="0"/>
        <w:keepNext w:val="0"/>
        <w:pageBreakBefore w:val="0"/>
        <w:spacing w:after="0"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2、拟投入本项目的成员具有资料员证书的优先。</w:t>
      </w:r>
      <w:r/>
    </w:p>
    <w:p>
      <w:pPr>
        <w:pStyle w:val="824"/>
        <w:ind w:left="0"/>
        <w:keepLines w:val="0"/>
        <w:keepNext w:val="0"/>
        <w:pageBreakBefore w:val="0"/>
        <w:spacing w:after="0"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3、拟投入本项目的成员具有专职安全员证书的优先。</w:t>
      </w:r>
      <w:r/>
    </w:p>
    <w:p>
      <w:pPr>
        <w:pStyle w:val="824"/>
        <w:ind w:left="0"/>
        <w:keepLines w:val="0"/>
        <w:keepNext w:val="0"/>
        <w:pageBreakBefore w:val="0"/>
        <w:spacing w:after="0"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4、拟投入本项目的成员具有质量员证书的优先。</w:t>
      </w:r>
      <w:r/>
    </w:p>
    <w:p>
      <w:pPr>
        <w:pStyle w:val="824"/>
        <w:ind w:left="0"/>
        <w:keepLines w:val="0"/>
        <w:keepNext w:val="0"/>
        <w:pageBreakBefore w:val="0"/>
        <w:spacing w:after="0"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5、拟投入本项目的成员具有施工员证书的优先。</w:t>
      </w:r>
      <w:r/>
    </w:p>
    <w:p>
      <w:pPr>
        <w:pStyle w:val="1016"/>
        <w:ind w:left="0" w:firstLine="480"/>
        <w:keepLines w:val="0"/>
        <w:keepNext w:val="0"/>
        <w:pageBreakBefore w:val="0"/>
        <w:spacing w:line="360" w:lineRule="auto"/>
        <w:widowControl w:val="off"/>
        <w:rPr>
          <w:rFonts w:hint="eastAsia" w:asciiTheme="minorEastAsia" w:hAnsiTheme="minorEastAsia" w:eastAsiaTheme="minorEastAsia" w:cstheme="minorEastAsia"/>
          <w:b/>
          <w:bCs/>
          <w:sz w:val="22"/>
          <w:szCs w:val="22"/>
          <w:highlight w:val="none"/>
        </w:rPr>
      </w:pPr>
      <w:r/>
      <w:bookmarkStart w:id="659" w:name="_Toc195778617"/>
      <w:r>
        <w:rPr>
          <w:rFonts w:hint="eastAsia" w:asciiTheme="minorEastAsia" w:hAnsiTheme="minorEastAsia" w:eastAsiaTheme="minorEastAsia" w:cstheme="minorEastAsia"/>
          <w:b/>
          <w:bCs/>
          <w:sz w:val="22"/>
          <w:szCs w:val="22"/>
          <w:highlight w:val="none"/>
        </w:rPr>
        <w:t xml:space="preserve">十二、投标人投标时应提供以下方案</w:t>
      </w:r>
      <w:bookmarkEnd w:id="659"/>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投标人应根据采购需求和本项目实际，制订相应的方案：</w:t>
      </w:r>
      <w:r/>
    </w:p>
    <w:p>
      <w:pPr>
        <w:ind w:left="0" w:firstLine="442"/>
        <w:keepLines w:val="0"/>
        <w:keepNext w:val="0"/>
        <w:pageBreakBefore w:val="0"/>
        <w:spacing w:line="360" w:lineRule="auto"/>
        <w:widowControl w:val="off"/>
        <w:rPr>
          <w:rFonts w:hint="eastAsia" w:asciiTheme="minorEastAsia" w:hAnsiTheme="minorEastAsia" w:eastAsiaTheme="minorEastAsia" w:cstheme="minorEastAsia"/>
          <w:b/>
          <w:bCs/>
          <w:sz w:val="22"/>
          <w:szCs w:val="22"/>
          <w:highlight w:val="none"/>
        </w:rPr>
      </w:pPr>
      <w:r>
        <w:rPr>
          <w:rFonts w:hint="eastAsia" w:asciiTheme="minorEastAsia" w:hAnsiTheme="minorEastAsia" w:eastAsiaTheme="minorEastAsia" w:cstheme="minorEastAsia"/>
          <w:b/>
          <w:bCs/>
          <w:sz w:val="22"/>
          <w:szCs w:val="22"/>
          <w:highlight w:val="none"/>
        </w:rPr>
        <w:t xml:space="preserve">1.施工准备方案、目标控制方案及技术措施方案至少包含以下内容：</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①施工准备方案：</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（1）项目组织机构设置及人员配备情况，至少包含围绕项目的质量、进度、成本、安全等设计，将安全职责并入"现场管理组"；建立"项目决策层 - 现场管理组 - 施工班组"三级管理层级，现场管理组需包含安全管理岗，安全职责条款明确率100%。机构设置及人员配备需符合法律法规及行业规范；项目经理需持有注册建造师证书，施工员、安全员、质量员、材料员、资料员持证上岗，持证上岗率100%。</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（2）施工场地规划与临时设施布置须符合国家及地方的法律法规、行业标准，满足施工生产的基本需求，优先考虑施工安全，设置安全防护设施，保证人员和设备安全。</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3）材料设备采购及进场计划须包含采购计划和进场管控。采购计划管控：材料设备采购清单需明确规格、数量误差范围（≤±2%），到货时间偏差不超过计划时间24小时；供应商需提供近6个月内材料检测报告，报告真实有效率100%。进场检验：材料进场后抽样检验比例≥3%，检验合格率100%方可入库；材料进场时间需比施工需求提前3日及以上，延误率0%。</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②施工项目目标控制方案：</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质量目标控制。材料检验：进场材料查验凭证（合格证、检验报告）齐全率100%，抽样送检率100%，不合格材料退场率100%。质量巡查：项目质量员每日至少开展2次（上午、下午至少各1次）质量巡查，巡查记录完整率100%；每周至少组织1次质量专项检查，问题整改闭环率100%。验收标准：各分项工程质量验收合格率100%，优良率≥85%，无重大质量缺陷。</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（2）进度目标控制，至少</w:t>
      </w:r>
      <w:r>
        <w:rPr>
          <w:rFonts w:hint="eastAsia" w:asciiTheme="minorEastAsia" w:hAnsiTheme="minorEastAsia" w:eastAsiaTheme="minorEastAsia" w:cstheme="minorEastAsia"/>
          <w:sz w:val="22"/>
          <w:szCs w:val="22"/>
          <w:highlight w:val="none"/>
        </w:rPr>
        <w:t xml:space="preserve">包含周进度计划，明确各阶段的施工任务；充分考虑天气对施工的影响，预留合理的天气延误时间，并制定应对恶劣天气的预案；若出现滞后，及时调整资源配置（如增加熟练工、设备）或优化施工工序（在保证质量和安全的前提下）；建立进度汇报制度等控制措施。计划编制：周进度计划偏差控制在±1天内，计划编制完成率100%。资源调整：进度滞后≥5天时，24小时内完成人力（增加人数≥原配置的20%）或机械（增加台数≥原配置的15%）调整。进度汇报：至少每周五17:00前向采购人提交进度报告，报告准时提交率100%，数据准确率100%。</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3）安全目标控制，以杜绝重伤及以上安全事故，特别是沟槽坍塌、交通事故、触电与机械伤害、混凝土作业安全为目标，至少包含对所有进场施工人员进行专门的作业安全教育培训和安全技术交底，考核合格后方可上岗；严格执行持证上岗制度，提高安全意识；设置明显的安全警示标志，设置警戒区，配备齐全且合格的安全防护用品，并强制要求正确佩戴和使用；定期进行安全检查，重点检查坍塌、中毒窒息、触电、交通事故、汛期内涝、人</w:t>
      </w:r>
      <w:r>
        <w:rPr>
          <w:rFonts w:hint="eastAsia" w:asciiTheme="minorEastAsia" w:hAnsiTheme="minorEastAsia" w:eastAsiaTheme="minorEastAsia" w:cstheme="minorEastAsia"/>
          <w:sz w:val="22"/>
          <w:szCs w:val="22"/>
          <w:highlight w:val="none"/>
        </w:rPr>
        <w:t xml:space="preserve">员防护用品佩戴、材料堆放稳定性、恶劣天气应对措施等，排查安全隐患并及时整改，对违规操作行为严肃处理。安全教育：新进场人员岗前安全培训时长≥24学时，特种作业人员专项培训时长≥16学时，培训考核合格率100%；每月至少开展1次全员安全再培训，参训率100%。安全防护：施工现场危险区域安全警示标志设置率100%，防护用品（安全帽、安全带等）配备率100%，佩戴规范率100%。安全检查：专职安全员每日至少2次安全巡查，每周至少1次综合安全检查，隐患整改率100%；重伤及以上安全事故发生率0%，轻伤事故频率≤1‰。</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4）成本目标控制，至少包含将施工成本控制在预算范围内，严格控制材料采购成本，合理安排人力和机械使用等控制措施。优化施工工艺，减少返工。加强现场管理，减少材料损耗。成本偏差：施工总成本控制在预算范围内，偏差率≤±5%；材料采购成本偏差率≤±3%，人力、机械使用成本偏差率≤±4%。损耗控制：主要材料损耗率≤3%，辅助材料损耗率≤5%，超损耗部分需提供详细说明并经采购人确认。</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③技术措施方案：</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（1）关键施工技术方案及工艺标准，至少包含管道疏通及检测施工方案、混泥土道路施工方案、雨水工程施工方案。</w:t>
      </w:r>
      <w:r/>
    </w:p>
    <w:p>
      <w:pPr>
        <w:ind w:left="0" w:firstLine="442"/>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b/>
          <w:bCs/>
          <w:sz w:val="22"/>
          <w:szCs w:val="22"/>
          <w:highlight w:val="none"/>
        </w:rPr>
        <w:t xml:space="preserve">2.工程进度计划与保证措施至少包含以下内容：</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①对施工进度的关键因素分析方案内容至少包含：</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至少包含（（1）前期准备阶段；（2）工程施工阶段；（3）清理验收阶段等的时间及工序进度计划。</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②保证措施和人员分工的合理性方案内容至少包含：</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（1）人员保障：明确各工序负责人，合理调配人力，在关键工序（如混凝土浇筑、设备安装）增加施工人员，加快施工速度。人员到位率100%，缺勤率≤3%。</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（2）材料保障：主要材料储备量≥3天施工用量，备用材料储备率100%；材料短缺响应时间≤2 小时，补货到位时间≤24 小时。</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（3）工序衔接：制定详细的工序交接清单，合理安排各工序施工顺序。</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（4）进度监控：工序交接清单编制完整率100%，交接验收合格率100%；上一工序完成后，下一工序进场间隔≤8小时。</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（5）应急处理：针对恶劣天气（暴雨、台风等），提前48小时制定应对方案；安全事故发生后，响应时间≤1小时，处理完成时间≤72小时（一般事故），最大限度减少工期延误（延误≤2天）。</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③实施计划、工期进度安排方案：</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总体施工进度计划表（横道图或网络图）</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（1）明确目标和范围：确定计划的目标和范围，确保所有参与方都清楚理解。</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（2）制定详细步骤：将目标分解为具体的目标和行动，制定每个步骤的时间表和责任人。</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（3）资源配置：根据计划的需求，合理配置人力、物力和财力资源。</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（4）沟通与协调：建立有效的沟通机制，确保团队成员与相关方之间信息畅通，协调各方行动。</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④工期进度安排</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至少包含（1）前期准备阶段；（2）工程施工阶段；（3）清理验收阶段等的时间及工序进度计划。计划中必须明确各关键节点的开始和完成时间。计划编制完成率100%，关键节点按时完成率≥95%。</w:t>
      </w:r>
      <w:r/>
    </w:p>
    <w:p>
      <w:pPr>
        <w:ind w:left="0" w:firstLine="442"/>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b/>
          <w:bCs/>
          <w:sz w:val="22"/>
          <w:szCs w:val="22"/>
          <w:highlight w:val="none"/>
        </w:rPr>
        <w:t xml:space="preserve">3.安全管理方案和措施方案至少包含以下内容：</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①安全管理方案内容至少包含：</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安全目标以杜绝重伤及以上安全事故，减少轻伤事故，确保施工人员人身安全和现场设备设施完好，顺利完成工程为目标。重伤及以上安全事故发生率0%，轻伤事故频率≤1‰，施工人员安全培训覆盖率100%，设备设施完好率≥98%。</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明确项目经理为安全第一责任人，配备专职安全员，施工班组设兼职安全员，层层落实安全责任，签订安全责任书。项目开工后3日内完成安全责任书签订，签订率100%；专职安全员持证上岗率100%，施工班组每20人至少设1名兼职安全员，兼职安全员培训考核合格率100%。</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建立安全生产教育培训制度、安全检查制度、隐患排查整改制度、临时用电管理制度、应急管理制度等，规范施工安全管理流程。制度备案完成时间≤项目开工后3天，各项安全记录留存率100%。</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②安全管理制度方案内容至少包含：</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安全生产责任制度及考核办法；安全教育培训制度；安全检查及隐患排查制度；事故报告与应急处理制度；特种作业管理制度等。</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③安全保证措施方案内容至少包含：</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施工前安全准备：进行全面的安全风险评估，对施工人员进行安全培训和技术交底，考核合格后方可上岗；检查、测试并确保所有安全防护设施牢固可靠，符合规范；设置齐全、醒目的安全警示标志等。安全技术交底覆盖率100%，交底记录签字率100%；安全警示标志设置数量≥施工区域面积/50㎡（每50㎡至少1处），标志完好率100%。</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（2）各施工环节安全控制：至少包含坍塌、中毒窒息、触电、交通事故、汛期内涝等环节的安全控制。各环节安全控制措施落实率100%。</w:t>
      </w:r>
      <w:r/>
    </w:p>
    <w:p>
      <w:pPr>
        <w:ind w:left="0" w:firstLine="442"/>
        <w:keepLines w:val="0"/>
        <w:keepNext w:val="0"/>
        <w:pageBreakBefore w:val="0"/>
        <w:spacing w:line="360" w:lineRule="auto"/>
        <w:widowControl w:val="off"/>
        <w:rPr>
          <w:rFonts w:hint="eastAsia" w:asciiTheme="minorEastAsia" w:hAnsiTheme="minorEastAsia" w:eastAsiaTheme="minorEastAsia" w:cstheme="minorEastAsia"/>
          <w:b/>
          <w:bCs/>
          <w:sz w:val="22"/>
          <w:szCs w:val="22"/>
          <w:highlight w:val="none"/>
        </w:rPr>
      </w:pPr>
      <w:r>
        <w:rPr>
          <w:rFonts w:hint="eastAsia" w:asciiTheme="minorEastAsia" w:hAnsiTheme="minorEastAsia" w:eastAsiaTheme="minorEastAsia" w:cstheme="minorEastAsia"/>
          <w:b/>
          <w:bCs/>
          <w:sz w:val="22"/>
          <w:szCs w:val="22"/>
          <w:highlight w:val="none"/>
        </w:rPr>
        <w:t xml:space="preserve">4.质量管理方案和措施方案至少包含以下内容：</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①质量管理方案</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（1）质量目标：质量符合国家及行业相关标准，一次验收合格。工程质量验收合格率100%，优良率≥85%，重大质量缺陷发生率0%，材料进场检验合格率100%。</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2）质量管理体系：明确项目经理为质量第一责任人，配备专职质量检查员，施工班组设质量监督员，通过规范的制度约束确保质量管理有序开展。专职质量检查员持证上岗率100%，施工班组质量监督员配置率100%，质量管理文件备案完成时间≤项目开工后10天。</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②具体质量措施</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（1）材料质量控制：进场材料查验凭证（合格证、检验报告）齐全率 100%，抽样送检率 100%，不合格材料退场率 100%。质量巡查：项目质量员每日开展 2 次（上午、下午各 1 次）质量巡查，巡查记录完整率 100%；每周组织 1 次质量专项检查，问题整改闭环率 100%。验收标准：各分项工程质量验收合格率 100%，优良率≥85%，无重大质量缺陷。</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（2）施工前质量准备：组织施工人员进行详细的技术交底。检查基层条件是否达标。技术交底覆盖率100%，交底记录签字率100%，基层条件达标率100%。</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（3）各工序质量控制：各施工环节的质量控制。各工序自检合格率100%，专检合格率100%，未验收合格不得进入下道工序。</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（4）质量检查与验收：每道工序完成后，施工班组先进行自检，自检合格后报质量检查员复检，验收合格签字确认后方可进入下道工序。工序验收记录完整率100%，签字确认率100%。</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5）质量问题处理：对检查发现的质量问题，明确整改责任人、整改要求（标准）、整改期限，整改完成后重新验收，直至合格。质量问题责任人明确率100%，一般问题整改时间≤48小时，较大问题整改时间≤72小时，整改验收合格率100%，处理记录留存率100%。</w:t>
      </w:r>
      <w:r/>
    </w:p>
    <w:p>
      <w:pPr>
        <w:ind w:left="0" w:firstLine="442"/>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b/>
          <w:bCs/>
          <w:sz w:val="22"/>
          <w:szCs w:val="22"/>
          <w:highlight w:val="none"/>
        </w:rPr>
        <w:t xml:space="preserve">5.文明施工及环境保护方案至少包含以下内容：</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①现场管理：施工现场设置明显的施工标识牌，标识牌设置率100%；施工区域进行有效封闭围挡，保持围挡整洁，围挡完好率≥98%；材料、工具、设备按指定区域分类堆放整齐，标识清晰，堆放合格率100%。废旧材料、建筑垃圾及时装入专用容器或袋中，固定位置堆放，垃圾容器配置率100%。</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②人员管理：施工人员统一佩戴安全帽，佩戴率100%；合理安排施工时间，尽量减少噪声，减少对周边环境的影响。教育工人遵守采购人相关规定，举止文明，禁止喧哗。工人违规次数≤1次/周。</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③卫生管理：施工现场设置临时垃圾桶，及时清理施工垃圾和生活垃圾，做到日产日清，集中运至指定地点处理。严禁垃圾从屋面抛掷。垃圾日清率100%。</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④工序衔接与成品保护：各工序施工完成后，做到"工完场清"，场清率100%；材料垂直运输或水平运输过程中，采取严密防护措施，防止粉尘飞扬，防护措施落实率100%。</w:t>
      </w:r>
      <w:r/>
    </w:p>
    <w:p>
      <w:pPr>
        <w:ind w:left="0" w:firstLine="442"/>
        <w:keepLines w:val="0"/>
        <w:keepNext w:val="0"/>
        <w:pageBreakBefore w:val="0"/>
        <w:spacing w:line="360" w:lineRule="auto"/>
        <w:widowControl w:val="off"/>
        <w:rPr>
          <w:rFonts w:hint="eastAsia" w:asciiTheme="minorEastAsia" w:hAnsiTheme="minorEastAsia" w:eastAsiaTheme="minorEastAsia" w:cstheme="minorEastAsia"/>
          <w:b/>
          <w:bCs/>
          <w:sz w:val="22"/>
          <w:szCs w:val="22"/>
          <w:highlight w:val="none"/>
        </w:rPr>
      </w:pPr>
      <w:r>
        <w:rPr>
          <w:rFonts w:hint="eastAsia" w:asciiTheme="minorEastAsia" w:hAnsiTheme="minorEastAsia" w:eastAsiaTheme="minorEastAsia" w:cstheme="minorEastAsia"/>
          <w:b/>
          <w:bCs/>
          <w:sz w:val="22"/>
          <w:szCs w:val="22"/>
          <w:highlight w:val="none"/>
        </w:rPr>
        <w:t xml:space="preserve">6.缺陷责任期内的服务方案至少包含以下内容：</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①服务内容：至少包含定期对工程进行巡查，主动发现潜在缺陷并及时处理。接到采购人关于工程缺陷的通知后，及时对缺陷进行核实，制定修复方案，按照规范要求进行修复，确保修复质量符合原工程标准。提供详细的维修记录报告（含缺陷描述、原因分析、修复过程、试验结果、验收结论）给采购人备案。质量保修期内每月至少开展1次工程巡查，巡查覆盖率100%；修复质量验收合格率100%，维修报告提交及时率100%。</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②响应机制：至少包含接到采购人通知后，2小时内做出响应，明确处理时间；对于紧急缺陷，4小时内到达现场处理。响应及时率100%，紧急缺陷4小时到场率100%，一般缺陷24小时内到场率100%。</w:t>
      </w:r>
      <w:r/>
    </w:p>
    <w:p>
      <w:pPr>
        <w:ind w:left="0" w:firstLine="44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t xml:space="preserve">③问题处理流程：至少包含接收采购人的缺陷通知，详细记录缺陷位置、现象；安排技术人员到现场勘查，确定缺陷原因、范围及严重程度；明确修复方法、材料、工期及责任人；确保施工安全和修复质量及验收等。缺陷记录完整率100%，现场勘查完成时间≤8小时，修复方案确定时间≤24小时，修复工期偏差≤±1天。</w:t>
      </w:r>
      <w:r/>
    </w:p>
    <w:p>
      <w:pPr>
        <w:ind w:left="0" w:firstLine="440"/>
        <w:keepLines w:val="0"/>
        <w:keepNext w:val="0"/>
        <w:pageBreakBefore w:val="0"/>
        <w:spacing w:line="360" w:lineRule="auto"/>
        <w:widowControl w:val="off"/>
        <w:rPr>
          <w:rFonts w:hint="eastAsia"/>
          <w:highlight w:val="none"/>
        </w:rPr>
      </w:pPr>
      <w:r>
        <w:rPr>
          <w:rFonts w:hint="eastAsia" w:asciiTheme="minorEastAsia" w:hAnsiTheme="minorEastAsia" w:eastAsiaTheme="minorEastAsia" w:cstheme="minorEastAsia"/>
          <w:sz w:val="22"/>
          <w:szCs w:val="22"/>
          <w:highlight w:val="none"/>
        </w:rPr>
        <w:t xml:space="preserve">④保障措施：至少包含配备专职的缺陷处理人员和技术人员。建立材料储备清单和供应商快速响应机制。保持与采购人指定联系人的畅通沟通渠道。建立完善的缺陷处理档案管理制度。专职处理人员配置≥2人，技术人员配置≥1人；修复材料储备量≥常用缺陷修复用量的1.2倍，材料到位时间≤24小时。</w:t>
      </w:r>
      <w:r/>
    </w:p>
    <w:p>
      <w:pPr>
        <w:contextualSpacing/>
        <w:ind w:firstLine="482"/>
        <w:spacing w:before="156" w:after="156" w:line="440" w:lineRule="exact"/>
        <w:rPr>
          <w:rFonts w:hint="eastAsia" w:ascii="宋体" w:hAnsi="宋体" w:eastAsia="宋体" w:cs="宋体"/>
          <w:b/>
          <w:sz w:val="24"/>
          <w:highlight w:val="none"/>
        </w:rPr>
        <w:outlineLvl w:val="1"/>
      </w:pPr>
      <w:r>
        <w:rPr>
          <w:rFonts w:hint="eastAsia" w:ascii="宋体" w:hAnsi="宋体" w:eastAsia="宋体" w:cs="宋体"/>
          <w:b/>
          <w:szCs w:val="21"/>
          <w:highlight w:val="none"/>
        </w:rPr>
        <w:t xml:space="preserve">七、采购标的对应的中小企业划分标准所属行业一览表</w:t>
      </w:r>
      <w:r/>
    </w:p>
    <w:tbl>
      <w:tblPr>
        <w:tblStyle w:val="797"/>
        <w:tblW w:w="8199"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0"/>
        <w:gridCol w:w="4458"/>
        <w:gridCol w:w="2801"/>
      </w:tblGrid>
      <w:tr>
        <w:trPr>
          <w:cantSplit/>
          <w:jc w:val="center"/>
          <w:tblCellSpacing w:w="0" w:type="dxa"/>
          <w:trHeight w:val="285"/>
        </w:trPr>
        <w:tc>
          <w:tcPr>
            <w:tcW w:w="940" w:type="dxa"/>
            <w:vAlign w:val="center"/>
            <w:textDirection w:val="lrTb"/>
            <w:noWrap w:val="false"/>
          </w:tcPr>
          <w:p>
            <w:pPr>
              <w:pStyle w:val="82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序号</w:t>
            </w:r>
            <w:r/>
          </w:p>
        </w:tc>
        <w:tc>
          <w:tcPr>
            <w:tcW w:w="4458" w:type="dxa"/>
            <w:vAlign w:val="center"/>
            <w:textDirection w:val="lrTb"/>
            <w:noWrap w:val="false"/>
          </w:tcPr>
          <w:p>
            <w:pPr>
              <w:pStyle w:val="82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采购标的</w:t>
            </w:r>
            <w:r/>
          </w:p>
        </w:tc>
        <w:tc>
          <w:tcPr>
            <w:tcW w:w="2801" w:type="dxa"/>
            <w:vAlign w:val="center"/>
            <w:textDirection w:val="lrTb"/>
            <w:noWrap w:val="false"/>
          </w:tcPr>
          <w:p>
            <w:pPr>
              <w:pStyle w:val="82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对应中小企业划分标准所属行业</w:t>
            </w:r>
            <w:r/>
          </w:p>
        </w:tc>
      </w:tr>
      <w:tr>
        <w:trPr>
          <w:cantSplit/>
          <w:jc w:val="center"/>
          <w:tblCellSpacing w:w="0" w:type="dxa"/>
          <w:trHeight w:val="417"/>
        </w:trPr>
        <w:tc>
          <w:tcPr>
            <w:tcW w:w="940" w:type="dxa"/>
            <w:vAlign w:val="center"/>
            <w:textDirection w:val="lrTb"/>
            <w:noWrap w:val="false"/>
          </w:tcPr>
          <w:p>
            <w:pPr>
              <w:pStyle w:val="82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1</w:t>
            </w:r>
            <w:r/>
          </w:p>
        </w:tc>
        <w:tc>
          <w:tcPr>
            <w:tcW w:w="4458" w:type="dxa"/>
            <w:vAlign w:val="center"/>
            <w:textDirection w:val="lrTb"/>
            <w:noWrap w:val="false"/>
          </w:tcPr>
          <w:p>
            <w:pPr>
              <w:pStyle w:val="821"/>
              <w:jc w:val="center"/>
              <w:spacing w:beforeAutospacing="0" w:afterAutospacing="0" w:line="0" w:lineRule="atLeast"/>
              <w:rPr>
                <w:rFonts w:hint="eastAsia" w:ascii="宋体" w:hAnsi="宋体" w:eastAsia="宋体" w:cs="宋体"/>
                <w:highlight w:val="none"/>
                <w:lang w:eastAsia="zh-CN"/>
              </w:rPr>
            </w:pPr>
            <w:r>
              <w:rPr>
                <w:rFonts w:hint="eastAsia" w:ascii="宋体" w:hAnsi="宋体" w:eastAsia="宋体" w:cs="宋体"/>
                <w:highlight w:val="none"/>
              </w:rPr>
              <w:t xml:space="preserve"> </w:t>
            </w:r>
            <w:r>
              <w:rPr>
                <w:rFonts w:hint="eastAsia" w:ascii="宋体" w:hAnsi="宋体" w:eastAsia="宋体" w:cs="宋体"/>
                <w:highlight w:val="none"/>
                <w:lang w:eastAsia="zh-CN"/>
              </w:rPr>
              <w:t xml:space="preserve">大冈镇老旧小区改造项目</w:t>
            </w:r>
            <w:r/>
          </w:p>
        </w:tc>
        <w:tc>
          <w:tcPr>
            <w:tcW w:w="2801" w:type="dxa"/>
            <w:vAlign w:val="center"/>
            <w:textDirection w:val="lrTb"/>
            <w:noWrap w:val="false"/>
          </w:tcPr>
          <w:p>
            <w:pPr>
              <w:pStyle w:val="821"/>
              <w:jc w:val="center"/>
              <w:spacing w:beforeAutospacing="0" w:afterAutospacing="0" w:line="0" w:lineRule="atLeast"/>
              <w:rPr>
                <w:rFonts w:hint="eastAsia" w:ascii="宋体" w:hAnsi="宋体" w:eastAsia="宋体" w:cs="宋体"/>
                <w:highlight w:val="none"/>
              </w:rPr>
            </w:pPr>
            <w:r>
              <w:rPr>
                <w:b/>
                <w:bCs/>
                <w:highlight w:val="none"/>
              </w:rPr>
              <w:t xml:space="preserve"> </w:t>
            </w:r>
            <w:r>
              <w:rPr>
                <w:rFonts w:hint="eastAsia"/>
                <w:b/>
                <w:bCs/>
                <w:highlight w:val="none"/>
              </w:rPr>
              <w:t xml:space="preserve">建筑业</w:t>
            </w:r>
            <w:r>
              <w:rPr>
                <w:rFonts w:hint="eastAsia" w:ascii="宋体" w:hAnsi="宋体" w:eastAsia="宋体" w:cs="宋体"/>
                <w:highlight w:val="none"/>
              </w:rPr>
              <w:t xml:space="preserve"> </w:t>
            </w:r>
            <w:r/>
          </w:p>
        </w:tc>
      </w:tr>
    </w:tbl>
    <w:p>
      <w:pPr>
        <w:rPr>
          <w:highlight w:val="none"/>
        </w:rPr>
      </w:pPr>
      <w:r>
        <w:rPr>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jc w:val="center"/>
        <w:widowControl/>
        <w:rPr>
          <w:highlight w:val="none"/>
        </w:rPr>
      </w:pPr>
      <w:r/>
      <w:bookmarkStart w:id="660" w:name="_Toc6274"/>
      <w:r/>
      <w:bookmarkStart w:id="661" w:name="_Toc120614281"/>
      <w:r>
        <w:rPr>
          <w:rFonts w:hint="eastAsia" w:ascii="黑体" w:hAnsi="宋体" w:eastAsia="黑体" w:cs="黑体"/>
          <w:sz w:val="44"/>
          <w:szCs w:val="44"/>
          <w:highlight w:val="none"/>
        </w:rPr>
        <w:br w:type="page" w:clear="all"/>
      </w:r>
      <w:r>
        <w:rPr>
          <w:rFonts w:hint="eastAsia" w:ascii="黑体" w:hAnsi="宋体" w:eastAsia="黑体" w:cs="黑体"/>
          <w:sz w:val="44"/>
          <w:szCs w:val="44"/>
          <w:highlight w:val="none"/>
        </w:rPr>
        <w:t xml:space="preserve">第五章  </w:t>
      </w:r>
      <w:r>
        <w:rPr>
          <w:rFonts w:hint="eastAsia" w:ascii="黑体" w:hAnsi="宋体" w:eastAsia="黑体" w:cs="黑体"/>
          <w:b/>
          <w:sz w:val="44"/>
          <w:szCs w:val="44"/>
          <w:highlight w:val="none"/>
        </w:rPr>
        <w:t xml:space="preserve">评审方法与评审标准</w:t>
      </w:r>
      <w:bookmarkEnd w:id="660"/>
      <w:r/>
      <w:bookmarkEnd w:id="661"/>
      <w:r/>
      <w:r/>
    </w:p>
    <w:p>
      <w:pPr>
        <w:pStyle w:val="821"/>
        <w:jc w:val="both"/>
        <w:spacing w:beforeAutospacing="0" w:afterAutospacing="0"/>
        <w:rPr>
          <w:highlight w:val="none"/>
        </w:rPr>
      </w:pPr>
      <w:r>
        <w:rPr>
          <w:highlight w:val="none"/>
        </w:rPr>
        <w:t xml:space="preserve"> </w:t>
      </w:r>
      <w:r/>
    </w:p>
    <w:p>
      <w:pPr>
        <w:spacing w:line="360" w:lineRule="auto"/>
        <w:rPr>
          <w:rFonts w:hint="eastAsia" w:ascii="宋体" w:hAnsi="宋体" w:eastAsia="宋体" w:cs="宋体"/>
          <w:b/>
          <w:bCs/>
          <w:sz w:val="24"/>
          <w:highlight w:val="none"/>
        </w:rPr>
        <w:outlineLvl w:val="1"/>
      </w:pPr>
      <w:r>
        <w:rPr>
          <w:rFonts w:hint="eastAsia" w:ascii="宋体" w:hAnsi="宋体" w:eastAsia="宋体" w:cs="宋体"/>
          <w:b/>
          <w:bCs/>
          <w:sz w:val="24"/>
          <w:highlight w:val="none"/>
        </w:rPr>
        <w:t xml:space="preserve">一、定标原则</w:t>
      </w:r>
      <w:r/>
    </w:p>
    <w:p>
      <w:pPr>
        <w:pStyle w:val="995"/>
        <w:ind w:firstLine="600"/>
        <w:rPr>
          <w:rFonts w:hint="eastAsia" w:ascii="宋体" w:hAnsi="宋体" w:eastAsia="宋体" w:cs="宋体"/>
          <w:highlight w:val="none"/>
        </w:rPr>
      </w:pPr>
      <w:r>
        <w:rPr>
          <w:rFonts w:hint="eastAsia" w:ascii="宋体" w:hAnsi="宋体" w:eastAsia="宋体" w:cs="宋体"/>
          <w:highlight w:val="none"/>
          <w:shd w:val="clear" w:color="auto" w:fill="ffffff"/>
        </w:rPr>
        <w:t xml:space="preserve">本项目采用综合评分法，按照评审得分由高到低顺序推荐3名以上成交候选供应商，并编写评审报告。符合《政府采购竞争性磋商采购方式管理暂行办法》</w:t>
      </w:r>
      <w:r>
        <w:rPr>
          <w:rFonts w:hint="eastAsia" w:ascii="宋体" w:hAnsi="宋体" w:eastAsia="宋体" w:cs="宋体"/>
          <w:highlight w:val="none"/>
        </w:rPr>
        <w:t xml:space="preserve">第二十一条第三款情形的，可以推荐2家成交候选供应商。评审得分相同的，按照最后报价由低到高的顺序推荐。评审得分且最后报价相同的，按照技术指标优劣顺序推荐。</w:t>
      </w:r>
      <w:r/>
    </w:p>
    <w:p>
      <w:pPr>
        <w:pStyle w:val="821"/>
        <w:ind w:firstLine="442"/>
        <w:spacing w:beforeAutospacing="0" w:afterAutospacing="0" w:line="460" w:lineRule="exact"/>
        <w:rPr>
          <w:rFonts w:hint="eastAsia" w:ascii="宋体" w:hAnsi="宋体" w:eastAsia="宋体" w:cs="宋体"/>
          <w:highlight w:val="none"/>
        </w:rPr>
      </w:pPr>
      <w:r>
        <w:rPr>
          <w:rFonts w:hint="eastAsia" w:ascii="宋体" w:hAnsi="宋体" w:eastAsia="宋体" w:cs="宋体"/>
          <w:b/>
          <w:highlight w:val="none"/>
        </w:rPr>
        <w:t xml:space="preserve">政府采购政策功能落实</w:t>
      </w:r>
      <w:r/>
    </w:p>
    <w:p>
      <w:pPr>
        <w:pStyle w:val="821"/>
        <w:ind w:firstLine="480"/>
        <w:spacing w:beforeAutospacing="0" w:afterAutospacing="0" w:line="460" w:lineRule="exact"/>
        <w:rPr>
          <w:rFonts w:hint="eastAsia" w:ascii="宋体" w:hAnsi="宋体" w:eastAsia="宋体" w:cs="宋体"/>
          <w:highlight w:val="none"/>
        </w:rPr>
      </w:pPr>
      <w:r>
        <w:rPr>
          <w:rFonts w:hint="eastAsia" w:ascii="宋体" w:hAnsi="宋体" w:eastAsia="宋体" w:cs="宋体"/>
          <w:highlight w:val="none"/>
        </w:rPr>
        <w:t xml:space="preserve">1、小微型企业</w:t>
      </w:r>
      <w:r/>
    </w:p>
    <w:p>
      <w:pPr>
        <w:pStyle w:val="821"/>
        <w:ind w:firstLine="480"/>
        <w:spacing w:beforeAutospacing="0" w:afterAutospacing="0" w:line="460" w:lineRule="exact"/>
        <w:rPr>
          <w:rFonts w:hint="eastAsia" w:ascii="宋体" w:hAnsi="宋体" w:eastAsia="宋体" w:cs="宋体"/>
          <w:highlight w:val="none"/>
        </w:rPr>
      </w:pPr>
      <w:r>
        <w:rPr>
          <w:rFonts w:hint="eastAsia" w:ascii="宋体" w:hAnsi="宋体" w:eastAsia="宋体" w:cs="宋体"/>
          <w:highlight w:val="none"/>
        </w:rPr>
        <w:t xml:space="preserve">（1）本项目专门面向中小企业采购，不再执行价格评审优惠的扶持政策。</w:t>
      </w:r>
      <w:r/>
    </w:p>
    <w:p>
      <w:pPr>
        <w:pStyle w:val="821"/>
        <w:ind w:firstLine="480"/>
        <w:spacing w:beforeAutospacing="0" w:afterAutospacing="0" w:line="460" w:lineRule="exact"/>
        <w:rPr>
          <w:rFonts w:hint="eastAsia" w:ascii="宋体" w:hAnsi="宋体" w:eastAsia="宋体" w:cs="宋体"/>
          <w:highlight w:val="none"/>
        </w:rPr>
      </w:pPr>
      <w:r>
        <w:rPr>
          <w:rFonts w:hint="eastAsia" w:ascii="宋体" w:hAnsi="宋体" w:eastAsia="宋体" w:cs="宋体"/>
          <w:highlight w:val="none"/>
        </w:rPr>
        <w:t xml:space="preserve">（2）供应商需按照采购文件的要求提供相应的《中小企业声明函》。</w:t>
      </w:r>
      <w:r/>
    </w:p>
    <w:p>
      <w:pPr>
        <w:pStyle w:val="821"/>
        <w:ind w:firstLine="480"/>
        <w:spacing w:beforeAutospacing="0" w:afterAutospacing="0" w:line="460" w:lineRule="exact"/>
        <w:rPr>
          <w:rFonts w:hint="eastAsia" w:ascii="宋体" w:hAnsi="宋体" w:eastAsia="宋体" w:cs="宋体"/>
          <w:highlight w:val="none"/>
        </w:rPr>
      </w:pPr>
      <w:r>
        <w:rPr>
          <w:rFonts w:hint="eastAsia" w:ascii="宋体" w:hAnsi="宋体" w:eastAsia="宋体" w:cs="宋体"/>
          <w:highlight w:val="none"/>
        </w:rPr>
        <w:t xml:space="preserve">（3）企业标准请参照《关于印发中小企业划型标准规定的通知》（工信部联企业[2011]300号）文件规定自行填写。</w:t>
      </w:r>
      <w:r/>
    </w:p>
    <w:p>
      <w:pPr>
        <w:pStyle w:val="821"/>
        <w:ind w:firstLine="480"/>
        <w:spacing w:beforeAutospacing="0" w:afterAutospacing="0" w:line="460" w:lineRule="exact"/>
        <w:rPr>
          <w:rFonts w:hint="eastAsia" w:ascii="宋体" w:hAnsi="宋体" w:eastAsia="宋体" w:cs="宋体"/>
          <w:highlight w:val="none"/>
        </w:rPr>
      </w:pPr>
      <w:r>
        <w:rPr>
          <w:rFonts w:hint="eastAsia" w:ascii="宋体" w:hAnsi="宋体" w:eastAsia="宋体" w:cs="宋体"/>
          <w:highlight w:val="none"/>
        </w:rPr>
        <w:t xml:space="preserve">2、残疾人福利单位</w:t>
      </w:r>
      <w:r/>
    </w:p>
    <w:p>
      <w:pPr>
        <w:pStyle w:val="821"/>
        <w:ind w:firstLine="480"/>
        <w:spacing w:beforeAutospacing="0" w:afterAutospacing="0" w:line="460" w:lineRule="exact"/>
        <w:rPr>
          <w:rFonts w:hint="eastAsia" w:ascii="宋体" w:hAnsi="宋体" w:eastAsia="宋体" w:cs="宋体"/>
          <w:highlight w:val="none"/>
        </w:rPr>
      </w:pPr>
      <w:r>
        <w:rPr>
          <w:rFonts w:hint="eastAsia" w:ascii="宋体" w:hAnsi="宋体" w:eastAsia="宋体" w:cs="宋体"/>
          <w:highlight w:val="none"/>
        </w:rPr>
        <w:t xml:space="preserve">（1）本项目专门面向中小企业采购，不再执行价格评审优惠的扶持政策。</w:t>
      </w:r>
      <w:r/>
    </w:p>
    <w:p>
      <w:pPr>
        <w:pStyle w:val="821"/>
        <w:ind w:firstLine="480"/>
        <w:spacing w:beforeAutospacing="0" w:afterAutospacing="0" w:line="460" w:lineRule="exact"/>
        <w:rPr>
          <w:rFonts w:hint="eastAsia" w:ascii="宋体" w:hAnsi="宋体" w:eastAsia="宋体" w:cs="宋体"/>
          <w:highlight w:val="none"/>
        </w:rPr>
      </w:pPr>
      <w:r>
        <w:rPr>
          <w:rFonts w:hint="eastAsia" w:ascii="宋体" w:hAnsi="宋体" w:eastAsia="宋体" w:cs="宋体"/>
          <w:highlight w:val="none"/>
        </w:rPr>
        <w:t xml:space="preserve">（2）残疾人福利单位需按照采购文件的要求提供《残疾人福利性单位声明函》。</w:t>
      </w:r>
      <w:r/>
    </w:p>
    <w:p>
      <w:pPr>
        <w:pStyle w:val="821"/>
        <w:ind w:firstLine="480"/>
        <w:spacing w:beforeAutospacing="0" w:afterAutospacing="0" w:line="460" w:lineRule="exact"/>
        <w:rPr>
          <w:rFonts w:hint="eastAsia" w:ascii="宋体" w:hAnsi="宋体" w:eastAsia="宋体" w:cs="宋体"/>
          <w:highlight w:val="none"/>
        </w:rPr>
      </w:pPr>
      <w:r>
        <w:rPr>
          <w:rFonts w:hint="eastAsia" w:ascii="宋体" w:hAnsi="宋体" w:eastAsia="宋体" w:cs="宋体"/>
          <w:highlight w:val="none"/>
        </w:rPr>
        <w:t xml:space="preserve">（3）残疾人福利单位标准请参照《关于促进残疾人就业政府采购政策的通知》（财库〔2017〕141号）。</w:t>
      </w:r>
      <w:r/>
    </w:p>
    <w:p>
      <w:pPr>
        <w:pStyle w:val="821"/>
        <w:ind w:firstLine="480"/>
        <w:spacing w:beforeAutospacing="0" w:afterAutospacing="0" w:line="460" w:lineRule="exact"/>
        <w:rPr>
          <w:rFonts w:hint="eastAsia" w:ascii="宋体" w:hAnsi="宋体" w:eastAsia="宋体" w:cs="宋体"/>
          <w:highlight w:val="none"/>
        </w:rPr>
      </w:pPr>
      <w:r>
        <w:rPr>
          <w:rFonts w:hint="eastAsia" w:ascii="宋体" w:hAnsi="宋体" w:eastAsia="宋体" w:cs="宋体"/>
          <w:highlight w:val="none"/>
        </w:rPr>
        <w:t xml:space="preserve">3、监狱和戒毒企业</w:t>
      </w:r>
      <w:r/>
    </w:p>
    <w:p>
      <w:pPr>
        <w:pStyle w:val="821"/>
        <w:ind w:firstLine="480"/>
        <w:spacing w:beforeAutospacing="0" w:afterAutospacing="0" w:line="460" w:lineRule="exact"/>
        <w:rPr>
          <w:rFonts w:hint="eastAsia" w:ascii="宋体" w:hAnsi="宋体" w:eastAsia="宋体" w:cs="宋体"/>
          <w:highlight w:val="none"/>
        </w:rPr>
      </w:pPr>
      <w:r>
        <w:rPr>
          <w:rFonts w:hint="eastAsia" w:ascii="宋体" w:hAnsi="宋体" w:eastAsia="宋体" w:cs="宋体"/>
          <w:highlight w:val="none"/>
        </w:rPr>
        <w:t xml:space="preserve">（1）本项目专门面向中小企业采购，不再执行价格评审优惠的扶持政策。</w:t>
      </w:r>
      <w:r/>
    </w:p>
    <w:p>
      <w:pPr>
        <w:pStyle w:val="821"/>
        <w:ind w:firstLine="480"/>
        <w:spacing w:beforeAutospacing="0" w:afterAutospacing="0" w:line="460" w:lineRule="exact"/>
        <w:rPr>
          <w:rFonts w:hint="eastAsia" w:ascii="宋体" w:hAnsi="宋体" w:eastAsia="宋体" w:cs="宋体"/>
          <w:highlight w:val="none"/>
        </w:rPr>
      </w:pPr>
      <w:r>
        <w:rPr>
          <w:rFonts w:hint="eastAsia" w:ascii="宋体" w:hAnsi="宋体" w:eastAsia="宋体" w:cs="宋体"/>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21"/>
        <w:ind w:firstLine="480"/>
        <w:spacing w:beforeAutospacing="0" w:afterAutospacing="0" w:line="460" w:lineRule="exact"/>
        <w:rPr>
          <w:rFonts w:hint="eastAsia" w:ascii="宋体" w:hAnsi="宋体" w:eastAsia="宋体" w:cs="宋体"/>
          <w:highlight w:val="none"/>
        </w:rPr>
      </w:pPr>
      <w:r>
        <w:rPr>
          <w:rFonts w:hint="eastAsia" w:ascii="宋体" w:hAnsi="宋体" w:eastAsia="宋体" w:cs="宋体"/>
          <w:highlight w:val="none"/>
        </w:rPr>
        <w:t xml:space="preserve">（3）监狱企业标准请参照《关于政府采购支持监狱企业发展有关问题的通知》（财库[2014]68号）。</w:t>
      </w:r>
      <w:r/>
    </w:p>
    <w:p>
      <w:pPr>
        <w:pStyle w:val="821"/>
        <w:ind w:firstLine="480"/>
        <w:spacing w:beforeAutospacing="0" w:afterAutospacing="0" w:line="460" w:lineRule="exact"/>
        <w:rPr>
          <w:rFonts w:hint="eastAsia" w:ascii="宋体" w:hAnsi="宋体" w:eastAsia="宋体" w:cs="宋体"/>
          <w:highlight w:val="none"/>
        </w:rPr>
      </w:pPr>
      <w:r>
        <w:rPr>
          <w:rFonts w:hint="eastAsia" w:ascii="宋体" w:hAnsi="宋体" w:eastAsia="宋体" w:cs="宋体"/>
          <w:highlight w:val="none"/>
        </w:rPr>
        <w:t xml:space="preserve">4、残疾人福利单位、监狱企业属于小型、微型企业的，不重复享受政策。</w:t>
      </w:r>
      <w:r/>
    </w:p>
    <w:p>
      <w:pPr>
        <w:pStyle w:val="821"/>
        <w:ind w:firstLine="480"/>
        <w:spacing w:beforeAutospacing="0" w:afterAutospacing="0" w:line="460" w:lineRule="exact"/>
        <w:rPr>
          <w:rFonts w:hint="eastAsia" w:ascii="宋体" w:hAnsi="宋体" w:eastAsia="宋体" w:cs="宋体"/>
          <w:highlight w:val="none"/>
        </w:rPr>
      </w:pPr>
      <w:r>
        <w:rPr>
          <w:rFonts w:hint="eastAsia" w:ascii="宋体" w:hAnsi="宋体" w:eastAsia="宋体" w:cs="宋体"/>
          <w:highlight w:val="none"/>
        </w:rPr>
        <w:t xml:space="preserve">5、严格执行政府采购关于支持</w:t>
      </w:r>
      <w:r>
        <w:rPr>
          <w:rFonts w:hint="eastAsia" w:ascii="宋体" w:hAnsi="宋体" w:eastAsia="宋体" w:cs="宋体"/>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21"/>
        <w:ind w:firstLine="480"/>
        <w:spacing w:beforeAutospacing="0" w:afterAutospacing="0" w:line="460" w:lineRule="exact"/>
        <w:rPr>
          <w:rFonts w:hint="eastAsia" w:ascii="宋体" w:hAnsi="宋体" w:eastAsia="宋体" w:cs="宋体"/>
          <w:highlight w:val="none"/>
        </w:rPr>
      </w:pPr>
      <w:r>
        <w:rPr>
          <w:rFonts w:hint="eastAsia" w:ascii="宋体" w:hAnsi="宋体" w:eastAsia="宋体" w:cs="宋体"/>
          <w:highlight w:val="none"/>
        </w:rPr>
        <w:t xml:space="preserve">6、供应商对于投标产品的商品包装、快递包装应按照“财办库〔2020〕123号《关于印发《商品包装政府采购需求标准（试行）》、《快递包装政府采购需求标准（试行）》的通知》”执行。</w:t>
      </w:r>
      <w:r/>
    </w:p>
    <w:p>
      <w:pPr>
        <w:pStyle w:val="821"/>
        <w:ind w:firstLine="480"/>
        <w:spacing w:beforeAutospacing="0" w:afterAutospacing="0" w:line="460" w:lineRule="exact"/>
        <w:rPr>
          <w:rFonts w:hint="eastAsia" w:ascii="宋体" w:hAnsi="宋体" w:eastAsia="宋体" w:cs="宋体"/>
          <w:highlight w:val="none"/>
        </w:rPr>
      </w:pPr>
      <w:r>
        <w:rPr>
          <w:rFonts w:hint="eastAsia" w:ascii="宋体" w:hAnsi="宋体" w:eastAsia="宋体" w:cs="宋体"/>
          <w:highlight w:val="none"/>
        </w:rPr>
        <w:t xml:space="preserve">7、本文件中若涉及到数据中心采购，应按照《&lt;绿色数据中心政府采购需求标准（试行）&gt;的通知》（财库〔2023〕7号）执行。</w:t>
      </w:r>
      <w:r/>
    </w:p>
    <w:p>
      <w:pPr>
        <w:pStyle w:val="821"/>
        <w:ind w:firstLine="480"/>
        <w:spacing w:beforeAutospacing="0" w:afterAutospacing="0" w:line="460" w:lineRule="exact"/>
        <w:rPr>
          <w:rFonts w:hint="eastAsia" w:ascii="宋体" w:hAnsi="宋体" w:eastAsia="宋体" w:cs="宋体"/>
          <w:b/>
          <w:bCs/>
          <w:highlight w:val="none"/>
        </w:rPr>
      </w:pPr>
      <w:r>
        <w:rPr>
          <w:rFonts w:hint="eastAsia" w:ascii="宋体" w:hAnsi="宋体" w:eastAsia="宋体" w:cs="宋体"/>
          <w:highlight w:val="none"/>
        </w:rPr>
        <w:t xml:space="preserve">8、</w:t>
      </w:r>
      <w:r>
        <w:rPr>
          <w:rFonts w:hint="eastAsia" w:ascii="宋体" w:hAnsi="宋体" w:eastAsia="宋体" w:cs="宋体"/>
          <w:b/>
          <w:bCs/>
          <w:highlight w:val="none"/>
        </w:rPr>
        <w:t xml:space="preserve">评标委员会认为投标人的报价明显低于其他通过符合性审查投标人的报价，有可能影响产品质量或者不能诚信履约的，应当启动异常低价投标（响应）审查，审查的情形和具体要求如下：</w:t>
      </w:r>
      <w:r/>
    </w:p>
    <w:p>
      <w:pPr>
        <w:pStyle w:val="821"/>
        <w:ind w:firstLine="482"/>
        <w:spacing w:beforeAutospacing="0" w:afterAutospacing="0" w:line="460" w:lineRule="exact"/>
        <w:rPr>
          <w:rFonts w:hint="eastAsia" w:ascii="宋体" w:hAnsi="宋体" w:eastAsia="宋体" w:cs="宋体"/>
          <w:b/>
          <w:bCs/>
          <w:highlight w:val="none"/>
        </w:rPr>
      </w:pPr>
      <w:r>
        <w:rPr>
          <w:rFonts w:hint="eastAsia" w:ascii="宋体" w:hAnsi="宋体" w:eastAsia="宋体" w:cs="宋体"/>
          <w:b/>
          <w:bCs/>
          <w:highlight w:val="none"/>
        </w:rPr>
        <w:t xml:space="preserve">（一）评审过程中出现下列情形之一的，评标委员会应当启动异常低价投标审查程序：</w:t>
      </w:r>
      <w:r/>
    </w:p>
    <w:p>
      <w:pPr>
        <w:pStyle w:val="821"/>
        <w:ind w:firstLine="482"/>
        <w:spacing w:beforeAutospacing="0" w:afterAutospacing="0" w:line="460" w:lineRule="exact"/>
        <w:rPr>
          <w:rFonts w:hint="eastAsia" w:ascii="宋体" w:hAnsi="宋体" w:eastAsia="宋体" w:cs="宋体"/>
          <w:b/>
          <w:bCs/>
          <w:highlight w:val="none"/>
        </w:rPr>
      </w:pPr>
      <w:r>
        <w:rPr>
          <w:rFonts w:hint="eastAsia" w:ascii="宋体" w:hAnsi="宋体" w:eastAsia="宋体" w:cs="宋体"/>
          <w:b/>
          <w:bCs/>
          <w:highlight w:val="none"/>
        </w:rPr>
        <w:t xml:space="preserve">1.投标（响应）报价低于全部通过符合性审查供应商投标（响应）报价平均值50%的，即投标（响应）报价&lt;全部通过符合性审查供应商投标（响应）报价平均值×50%；</w:t>
      </w:r>
      <w:r/>
    </w:p>
    <w:p>
      <w:pPr>
        <w:pStyle w:val="821"/>
        <w:ind w:firstLine="482"/>
        <w:spacing w:beforeAutospacing="0" w:afterAutospacing="0" w:line="460" w:lineRule="exact"/>
        <w:rPr>
          <w:rFonts w:hint="eastAsia" w:ascii="宋体" w:hAnsi="宋体" w:eastAsia="宋体" w:cs="宋体"/>
          <w:b/>
          <w:bCs/>
          <w:highlight w:val="none"/>
        </w:rPr>
      </w:pPr>
      <w:r>
        <w:rPr>
          <w:rFonts w:hint="eastAsia" w:ascii="宋体" w:hAnsi="宋体" w:eastAsia="宋体" w:cs="宋体"/>
          <w:b/>
          <w:bCs/>
          <w:highlight w:val="none"/>
        </w:rPr>
        <w:t xml:space="preserve">2.投标（响应）报价低于通过符合性审查的次低报价供应商投标（响应）报价50%的，即投标（响应）报价&lt;通过符合性审查的次低报价供应商投标（响应）报价×50%；</w:t>
      </w:r>
      <w:r/>
    </w:p>
    <w:p>
      <w:pPr>
        <w:pStyle w:val="821"/>
        <w:ind w:firstLine="482"/>
        <w:spacing w:beforeAutospacing="0" w:afterAutospacing="0" w:line="460" w:lineRule="exact"/>
        <w:rPr>
          <w:rFonts w:hint="eastAsia" w:ascii="宋体" w:hAnsi="宋体" w:eastAsia="宋体" w:cs="宋体"/>
          <w:b/>
          <w:bCs/>
          <w:highlight w:val="none"/>
        </w:rPr>
      </w:pPr>
      <w:r>
        <w:rPr>
          <w:rFonts w:hint="eastAsia" w:ascii="宋体" w:hAnsi="宋体" w:eastAsia="宋体" w:cs="宋体"/>
          <w:b/>
          <w:bCs/>
          <w:highlight w:val="none"/>
        </w:rPr>
        <w:t xml:space="preserve">3.投标（响应）报价低于采购项目最高限价45%的，即投标（响应）报价&lt;采购项目最高限价×45%；</w:t>
      </w:r>
      <w:r/>
    </w:p>
    <w:p>
      <w:pPr>
        <w:pStyle w:val="821"/>
        <w:ind w:firstLine="482"/>
        <w:spacing w:beforeAutospacing="0" w:afterAutospacing="0" w:line="460" w:lineRule="exact"/>
        <w:rPr>
          <w:rFonts w:hint="eastAsia" w:ascii="宋体" w:hAnsi="宋体" w:eastAsia="宋体" w:cs="宋体"/>
          <w:b/>
          <w:bCs/>
          <w:highlight w:val="none"/>
        </w:rPr>
      </w:pPr>
      <w:r>
        <w:rPr>
          <w:rFonts w:hint="eastAsia" w:ascii="宋体" w:hAnsi="宋体" w:eastAsia="宋体" w:cs="宋体"/>
          <w:b/>
          <w:bCs/>
          <w:highlight w:val="none"/>
        </w:rPr>
        <w:t xml:space="preserve">4.评审委员会基于专业判断，认为供应商报价过低，有可能影响产品质量或者不能诚信履约的其他情形。</w:t>
      </w:r>
      <w:r/>
    </w:p>
    <w:p>
      <w:pPr>
        <w:pStyle w:val="821"/>
        <w:ind w:firstLine="482"/>
        <w:spacing w:beforeAutospacing="0" w:afterAutospacing="0" w:line="460" w:lineRule="exact"/>
        <w:rPr>
          <w:rFonts w:hint="eastAsia" w:ascii="宋体" w:hAnsi="宋体" w:eastAsia="宋体" w:cs="宋体"/>
          <w:b/>
          <w:bCs/>
          <w:highlight w:val="none"/>
        </w:rPr>
      </w:pPr>
      <w:r>
        <w:rPr>
          <w:rFonts w:hint="eastAsia" w:ascii="宋体" w:hAnsi="宋体" w:eastAsia="宋体" w:cs="宋体"/>
          <w:b/>
          <w:bCs/>
          <w:highlight w:val="none"/>
        </w:rPr>
        <w:t xml:space="preserve">提醒：采购人可以结合具体项目实际情况，提高上述第1项至第3项中启动异常低价投标（响应）审查的数值标准，但是最高不得超过65%。</w:t>
      </w:r>
      <w:r/>
    </w:p>
    <w:p>
      <w:pPr>
        <w:pStyle w:val="821"/>
        <w:ind w:firstLine="482"/>
        <w:spacing w:beforeAutospacing="0" w:afterAutospacing="0" w:line="460" w:lineRule="exact"/>
        <w:rPr>
          <w:rFonts w:hint="eastAsia" w:ascii="宋体" w:hAnsi="宋体" w:eastAsia="宋体" w:cs="宋体"/>
          <w:b/>
          <w:bCs/>
          <w:highlight w:val="none"/>
        </w:rPr>
      </w:pPr>
      <w:r>
        <w:rPr>
          <w:rFonts w:hint="eastAsia" w:ascii="宋体" w:hAnsi="宋体" w:eastAsia="宋体" w:cs="宋体"/>
          <w:b/>
          <w:bCs/>
          <w:highlight w:val="none"/>
        </w:rPr>
        <w:t xml:space="preserve">相关法律法规对供应商报价有规定的，从其规定。</w:t>
      </w:r>
      <w:r/>
    </w:p>
    <w:p>
      <w:pPr>
        <w:pStyle w:val="821"/>
        <w:ind w:firstLine="482"/>
        <w:spacing w:beforeAutospacing="0" w:afterAutospacing="0" w:line="460" w:lineRule="exact"/>
        <w:rPr>
          <w:rFonts w:hint="eastAsia" w:ascii="宋体" w:hAnsi="宋体" w:eastAsia="宋体" w:cs="宋体"/>
          <w:b/>
          <w:bCs/>
          <w:highlight w:val="none"/>
        </w:rPr>
      </w:pPr>
      <w:r>
        <w:rPr>
          <w:rFonts w:hint="eastAsia" w:ascii="宋体" w:hAnsi="宋体" w:eastAsia="宋体" w:cs="宋体"/>
          <w:b/>
          <w:bCs/>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21"/>
        <w:ind w:firstLine="482"/>
        <w:spacing w:beforeAutospacing="0" w:afterAutospacing="0" w:line="460" w:lineRule="exact"/>
        <w:rPr>
          <w:rFonts w:hint="eastAsia" w:ascii="宋体" w:hAnsi="宋体" w:eastAsia="宋体" w:cs="宋体"/>
          <w:b/>
          <w:bCs/>
          <w:highlight w:val="none"/>
        </w:rPr>
      </w:pPr>
      <w:r>
        <w:rPr>
          <w:rFonts w:hint="eastAsia" w:ascii="宋体" w:hAnsi="宋体" w:eastAsia="宋体" w:cs="宋体"/>
          <w:b/>
          <w:bCs/>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21"/>
        <w:ind w:firstLine="482"/>
        <w:spacing w:beforeAutospacing="0" w:afterAutospacing="0" w:line="460" w:lineRule="exact"/>
        <w:rPr>
          <w:rFonts w:hint="eastAsia" w:ascii="宋体" w:hAnsi="宋体" w:eastAsia="宋体" w:cs="宋体"/>
          <w:b/>
          <w:bCs/>
          <w:highlight w:val="none"/>
        </w:rPr>
      </w:pPr>
      <w:r>
        <w:rPr>
          <w:rFonts w:hint="eastAsia" w:ascii="宋体" w:hAnsi="宋体" w:eastAsia="宋体" w:cs="宋体"/>
          <w:b/>
          <w:bCs/>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21"/>
        <w:ind w:firstLine="482"/>
        <w:spacing w:beforeAutospacing="0" w:afterAutospacing="0" w:line="460" w:lineRule="exact"/>
        <w:rPr>
          <w:rFonts w:hint="eastAsia" w:ascii="宋体" w:hAnsi="宋体" w:eastAsia="宋体" w:cs="宋体"/>
          <w:b/>
          <w:bCs/>
          <w:highlight w:val="none"/>
        </w:rPr>
      </w:pPr>
      <w:r>
        <w:rPr>
          <w:rFonts w:hint="eastAsia" w:ascii="宋体" w:hAnsi="宋体" w:eastAsia="宋体" w:cs="宋体"/>
          <w:b/>
          <w:bCs/>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21"/>
        <w:ind w:firstLine="482"/>
        <w:spacing w:beforeAutospacing="0" w:afterAutospacing="0" w:line="460" w:lineRule="exact"/>
        <w:rPr>
          <w:rFonts w:hint="eastAsia" w:ascii="宋体" w:hAnsi="宋体" w:eastAsia="宋体" w:cs="宋体"/>
          <w:b/>
          <w:highlight w:val="none"/>
        </w:rPr>
      </w:pPr>
      <w:r>
        <w:rPr>
          <w:rFonts w:hint="eastAsia" w:ascii="宋体" w:hAnsi="宋体" w:eastAsia="宋体" w:cs="宋体"/>
          <w:b/>
          <w:highlight w:val="none"/>
        </w:rPr>
        <w:t xml:space="preserve">二、评审方法与评审标准</w:t>
      </w:r>
      <w:r/>
    </w:p>
    <w:p>
      <w:pPr>
        <w:ind w:firstLine="480"/>
        <w:jc w:val="left"/>
        <w:spacing w:line="560" w:lineRule="exact"/>
        <w:widowControl/>
        <w:rPr>
          <w:rFonts w:hint="eastAsia" w:ascii="宋体" w:hAnsi="宋体" w:eastAsia="宋体" w:cs="宋体"/>
          <w:sz w:val="24"/>
          <w:highlight w:val="none"/>
        </w:rPr>
      </w:pPr>
      <w:r>
        <w:rPr>
          <w:rFonts w:hint="eastAsia" w:asciiTheme="minorEastAsia" w:hAnsiTheme="minorEastAsia" w:cstheme="minorEastAsia"/>
          <w:sz w:val="24"/>
          <w:szCs w:val="20"/>
          <w:highlight w:val="none"/>
        </w:rPr>
        <w:t xml:space="preserve">本项目评分总分值为100分。</w:t>
      </w:r>
      <w:r/>
    </w:p>
    <w:tbl>
      <w:tblPr>
        <w:tblStyle w:val="825"/>
        <w:tblW w:w="9355"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6"/>
        <w:gridCol w:w="8359"/>
      </w:tblGrid>
      <w:tr>
        <w:trPr>
          <w:jc w:val="center"/>
          <w:trHeight w:val="9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96" w:type="dxa"/>
            <w:vAlign w:val="center"/>
            <w:textDirection w:val="lrTb"/>
            <w:noWrap/>
          </w:tcPr>
          <w:p>
            <w:pPr>
              <w:jc w:val="center"/>
              <w:spacing w:line="40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rPr>
                <w:rFonts w:ascii="宋体" w:hAnsi="宋体" w:eastAsia="宋体" w:cs="宋体"/>
                <w:b/>
                <w:color w:val="000000"/>
                <w:highlight w:val="none"/>
              </w:rPr>
              <w:t xml:space="preserve">评标因素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359" w:type="dxa"/>
            <w:vAlign w:val="center"/>
            <w:textDirection w:val="lrTb"/>
            <w:noWrap/>
          </w:tcPr>
          <w:p>
            <w:pPr>
              <w:ind w:left="29"/>
              <w:jc w:val="center"/>
              <w:spacing w:line="40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highlight w:val="none"/>
              </w:rPr>
              <w:t xml:space="preserve">评分标准</w:t>
            </w:r>
            <w:r/>
          </w:p>
        </w:tc>
      </w:tr>
      <w:tr>
        <w:trPr>
          <w:jc w:val="cente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6" w:type="dxa"/>
            <w:vAlign w:val="center"/>
            <w:textDirection w:val="lrTb"/>
            <w:noWrap/>
          </w:tcPr>
          <w:p>
            <w:pPr>
              <w:jc w:val="center"/>
              <w:spacing w:line="40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价格分</w:t>
            </w:r>
            <w:r/>
          </w:p>
          <w:p>
            <w:pPr>
              <w:jc w:val="center"/>
              <w:spacing w:line="40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w:t>
            </w:r>
            <w:r>
              <w:rPr>
                <w:rFonts w:hint="eastAsia" w:ascii="宋体" w:hAnsi="宋体" w:eastAsia="宋体" w:cs="宋体"/>
                <w:color w:val="000000"/>
                <w:highlight w:val="none"/>
              </w:rPr>
              <w:t xml:space="preserve">30</w:t>
            </w:r>
            <w:r>
              <w:rPr>
                <w:rFonts w:ascii="宋体" w:hAnsi="宋体" w:eastAsia="宋体" w:cs="宋体"/>
                <w:color w:val="000000"/>
                <w:highlight w:val="none"/>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59" w:type="dxa"/>
            <w:textDirection w:val="lrTb"/>
            <w:noWrap/>
          </w:tcPr>
          <w:p>
            <w:pPr>
              <w:spacing w:line="40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价格分采用低价优先法计算，即满足磋商文件要求且最后报价最低的投标报价为评标基准价，其价格分为满分。其他供应商的价格分统一按照下列公式计算：价格分=（评标基准价／最后报价）×</w:t>
            </w:r>
            <w:r>
              <w:rPr>
                <w:rFonts w:hint="eastAsia" w:ascii="宋体" w:hAnsi="宋体" w:eastAsia="宋体" w:cs="宋体"/>
                <w:color w:val="000000"/>
                <w:highlight w:val="none"/>
              </w:rPr>
              <w:t xml:space="preserve">30</w:t>
            </w:r>
            <w:r>
              <w:rPr>
                <w:rFonts w:ascii="宋体" w:hAnsi="宋体" w:eastAsia="宋体" w:cs="宋体"/>
                <w:color w:val="000000"/>
                <w:highlight w:val="none"/>
              </w:rPr>
              <w:t xml:space="preserve">（投标报价分值计算按四舍五入取至小数点后两位）。</w:t>
            </w:r>
            <w:r/>
          </w:p>
        </w:tc>
      </w:tr>
      <w:tr>
        <w:trPr>
          <w:jc w:val="center"/>
          <w:trHeight w:val="143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6" w:type="dxa"/>
            <w:vAlign w:val="center"/>
            <w:textDirection w:val="lrTb"/>
            <w:noWrap/>
          </w:tcPr>
          <w:p>
            <w:pPr>
              <w:jc w:val="center"/>
              <w:spacing w:line="40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企业业绩（10分）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59" w:type="dxa"/>
            <w:textDirection w:val="lrTb"/>
            <w:noWrap/>
          </w:tcPr>
          <w:p>
            <w:pPr>
              <w:spacing w:line="400" w:lineRule="exact"/>
              <w:widowControl/>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val="en-US" w:eastAsia="zh-CN"/>
              </w:rPr>
              <w:t xml:space="preserve">供应商</w:t>
            </w:r>
            <w:r>
              <w:rPr>
                <w:rFonts w:ascii="宋体" w:hAnsi="宋体" w:eastAsia="宋体" w:cs="宋体"/>
                <w:color w:val="auto"/>
                <w:highlight w:val="none"/>
              </w:rPr>
              <w:t xml:space="preserve">自20</w:t>
            </w:r>
            <w:r>
              <w:rPr>
                <w:rFonts w:hint="eastAsia" w:ascii="宋体" w:hAnsi="宋体" w:eastAsia="宋体" w:cs="宋体"/>
                <w:color w:val="auto"/>
                <w:highlight w:val="none"/>
                <w:lang w:val="en-US" w:eastAsia="zh-CN"/>
              </w:rPr>
              <w:t xml:space="preserve">21</w:t>
            </w:r>
            <w:r>
              <w:rPr>
                <w:rFonts w:ascii="宋体" w:hAnsi="宋体" w:eastAsia="宋体" w:cs="宋体"/>
                <w:color w:val="auto"/>
                <w:highlight w:val="none"/>
              </w:rPr>
              <w:t xml:space="preserve">年1</w:t>
            </w:r>
            <w:r>
              <w:rPr>
                <w:rFonts w:hint="eastAsia" w:ascii="宋体" w:hAnsi="宋体" w:eastAsia="宋体" w:cs="宋体"/>
                <w:color w:val="auto"/>
                <w:highlight w:val="none"/>
              </w:rPr>
              <w:t xml:space="preserve">0</w:t>
            </w:r>
            <w:r>
              <w:rPr>
                <w:rFonts w:ascii="宋体" w:hAnsi="宋体" w:eastAsia="宋体" w:cs="宋体"/>
                <w:color w:val="auto"/>
                <w:highlight w:val="none"/>
              </w:rPr>
              <w:t xml:space="preserve">月1日以来承担过</w:t>
            </w:r>
            <w:r>
              <w:rPr>
                <w:rFonts w:hint="eastAsia" w:ascii="宋体" w:hAnsi="宋体" w:eastAsia="宋体" w:cs="宋体"/>
                <w:color w:val="auto"/>
                <w:highlight w:val="none"/>
                <w:lang w:val="en-US" w:eastAsia="zh-CN"/>
              </w:rPr>
              <w:t xml:space="preserve">与本项目</w:t>
            </w:r>
            <w:r>
              <w:rPr>
                <w:rFonts w:ascii="宋体" w:hAnsi="宋体" w:eastAsia="宋体" w:cs="宋体"/>
                <w:color w:val="auto"/>
                <w:highlight w:val="none"/>
              </w:rPr>
              <w:t xml:space="preserve">类似业绩，有一</w:t>
            </w:r>
            <w:r>
              <w:rPr>
                <w:rFonts w:hint="eastAsia" w:ascii="宋体" w:hAnsi="宋体" w:eastAsia="宋体" w:cs="宋体"/>
                <w:color w:val="auto"/>
                <w:highlight w:val="none"/>
              </w:rPr>
              <w:t xml:space="preserve">个</w:t>
            </w:r>
            <w:r>
              <w:rPr>
                <w:rFonts w:ascii="宋体" w:hAnsi="宋体" w:eastAsia="宋体" w:cs="宋体"/>
                <w:color w:val="auto"/>
                <w:highlight w:val="none"/>
              </w:rPr>
              <w:t xml:space="preserve">得</w:t>
            </w:r>
            <w:r>
              <w:rPr>
                <w:rFonts w:hint="eastAsia" w:ascii="宋体" w:hAnsi="宋体" w:eastAsia="宋体" w:cs="宋体"/>
                <w:color w:val="auto"/>
                <w:highlight w:val="none"/>
                <w:lang w:val="en-US" w:eastAsia="zh-CN"/>
              </w:rPr>
              <w:t xml:space="preserve">6</w:t>
            </w:r>
            <w:r>
              <w:rPr>
                <w:rFonts w:ascii="宋体" w:hAnsi="宋体" w:eastAsia="宋体" w:cs="宋体"/>
                <w:color w:val="auto"/>
                <w:highlight w:val="none"/>
              </w:rPr>
              <w:t xml:space="preserve">分，</w:t>
            </w:r>
            <w:r>
              <w:rPr>
                <w:rFonts w:hint="eastAsia" w:ascii="宋体" w:hAnsi="宋体" w:eastAsia="宋体" w:cs="宋体"/>
                <w:color w:val="auto"/>
                <w:highlight w:val="none"/>
                <w:lang w:val="en-US" w:eastAsia="zh-CN"/>
              </w:rPr>
              <w:t xml:space="preserve">每增加一个得2分，</w:t>
            </w:r>
            <w:r>
              <w:rPr>
                <w:rFonts w:ascii="宋体" w:hAnsi="宋体" w:eastAsia="宋体" w:cs="宋体"/>
                <w:color w:val="auto"/>
                <w:highlight w:val="none"/>
              </w:rPr>
              <w:t xml:space="preserve">本项最高得</w:t>
            </w:r>
            <w:r>
              <w:rPr>
                <w:rFonts w:hint="eastAsia" w:ascii="宋体" w:hAnsi="宋体" w:eastAsia="宋体" w:cs="宋体"/>
                <w:color w:val="auto"/>
                <w:highlight w:val="none"/>
                <w:lang w:val="en-US" w:eastAsia="zh-CN"/>
              </w:rPr>
              <w:t xml:space="preserve">10</w:t>
            </w:r>
            <w:r>
              <w:rPr>
                <w:rFonts w:ascii="宋体" w:hAnsi="宋体" w:eastAsia="宋体" w:cs="宋体"/>
                <w:color w:val="auto"/>
                <w:highlight w:val="none"/>
              </w:rPr>
              <w:t xml:space="preserve">分。</w:t>
            </w:r>
            <w:r/>
          </w:p>
          <w:p>
            <w:pPr>
              <w:spacing w:line="40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注：1、业绩时间以交（竣）工验收证明时间为准，提供</w:t>
            </w:r>
            <w:r>
              <w:rPr>
                <w:rFonts w:ascii="宋体" w:hAnsi="宋体" w:eastAsia="宋体" w:cs="宋体"/>
                <w:b/>
                <w:color w:val="000000"/>
                <w:highlight w:val="none"/>
              </w:rPr>
              <w:t xml:space="preserve">成交确认书或中标通知书</w:t>
            </w:r>
            <w:r>
              <w:rPr>
                <w:rFonts w:ascii="宋体" w:hAnsi="宋体" w:eastAsia="宋体" w:cs="宋体"/>
                <w:color w:val="000000"/>
                <w:highlight w:val="none"/>
              </w:rPr>
              <w:t xml:space="preserve">（非招标项目不需提供，但须提供业主出具的加盖单位公章的直接发包证明）、</w:t>
            </w:r>
            <w:r>
              <w:rPr>
                <w:rFonts w:ascii="宋体" w:hAnsi="宋体" w:eastAsia="宋体" w:cs="宋体"/>
                <w:b/>
                <w:color w:val="000000"/>
                <w:highlight w:val="none"/>
              </w:rPr>
              <w:t xml:space="preserve">施工合同、交</w:t>
            </w:r>
            <w:r>
              <w:rPr>
                <w:rFonts w:hint="eastAsia" w:ascii="宋体" w:hAnsi="宋体" w:eastAsia="宋体" w:cs="宋体"/>
                <w:b/>
                <w:color w:val="000000"/>
                <w:highlight w:val="none"/>
              </w:rPr>
              <w:t xml:space="preserve">工或</w:t>
            </w:r>
            <w:r>
              <w:rPr>
                <w:rFonts w:ascii="宋体" w:hAnsi="宋体" w:eastAsia="宋体" w:cs="宋体"/>
                <w:b/>
                <w:color w:val="000000"/>
                <w:highlight w:val="none"/>
              </w:rPr>
              <w:t xml:space="preserve">竣工验收证明原件彩色扫描件并加盖CA电子公章（所提供材料无法证明相关工作内容，供应商可出具业主证明材料并加盖CA电子公章，格式自拟。）</w:t>
            </w:r>
            <w:r/>
          </w:p>
          <w:p>
            <w:pPr>
              <w:spacing w:line="40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2、未提供上述材料或提供不全的，不予加分。如业绩材料弄虚作假，一经查实，建议政府采购部门将其列入黑名单。</w:t>
            </w:r>
            <w:r/>
          </w:p>
        </w:tc>
      </w:tr>
      <w:tr>
        <w:trPr>
          <w:jc w:val="cente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6" w:type="dxa"/>
            <w:vAlign w:val="center"/>
            <w:textDirection w:val="lrTb"/>
            <w:noWrap/>
          </w:tcPr>
          <w:p>
            <w:pPr>
              <w:jc w:val="center"/>
              <w:spacing w:line="40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企业管理（3分）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59" w:type="dxa"/>
            <w:textDirection w:val="lrTb"/>
            <w:noWrap/>
          </w:tcPr>
          <w:p>
            <w:pPr>
              <w:spacing w:line="40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投标人具有有效且通过年检的质量管理体系认证证书、环境管理体系认证证书、职业健康安全管理体系认证证书，每提供1个得1分，最高得3分。 </w:t>
            </w:r>
            <w:r/>
          </w:p>
          <w:p>
            <w:pPr>
              <w:spacing w:line="40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注：投标时提供上述证书的原件扫描件，同时须提供上述证书在中国国家认证认可监督管理委员会网站http://www.cnca.gov.cn/查询页面完整截图，</w:t>
            </w:r>
            <w:r>
              <w:rPr>
                <w:rFonts w:ascii="宋体" w:hAnsi="宋体" w:eastAsia="宋体" w:cs="宋体"/>
                <w:color w:val="000000"/>
                <w:highlight w:val="none"/>
              </w:rPr>
              <w:t xml:space="preserve">并加盖CA电子公章</w:t>
            </w:r>
            <w:r>
              <w:rPr>
                <w:rFonts w:hint="eastAsia" w:ascii="宋体" w:hAnsi="宋体" w:eastAsia="宋体" w:cs="宋体"/>
                <w:color w:val="000000"/>
                <w:highlight w:val="none"/>
              </w:rPr>
              <w:t xml:space="preserve">，投标人应当确保证书开标当天处于有效期内，否则不予认可。不提供不得分。</w:t>
            </w:r>
            <w:r/>
          </w:p>
        </w:tc>
      </w:tr>
      <w:tr>
        <w:trPr>
          <w:jc w:val="cente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6" w:type="dxa"/>
            <w:vAlign w:val="center"/>
            <w:textDirection w:val="lrTb"/>
            <w:noWrap/>
          </w:tcPr>
          <w:p>
            <w:pPr>
              <w:jc w:val="center"/>
              <w:spacing w:line="400" w:lineRule="exact"/>
              <w:widowControl/>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人员配备（</w:t>
            </w:r>
            <w:r>
              <w:rPr>
                <w:rFonts w:hint="eastAsia" w:ascii="宋体" w:hAnsi="宋体" w:eastAsia="宋体" w:cs="宋体"/>
                <w:color w:val="000000"/>
                <w:highlight w:val="none"/>
                <w:lang w:val="en-US" w:eastAsia="zh-CN"/>
              </w:rPr>
              <w:t xml:space="preserve">10</w:t>
            </w:r>
            <w:r>
              <w:rPr>
                <w:rFonts w:hint="eastAsia" w:ascii="宋体" w:hAnsi="宋体" w:eastAsia="宋体" w:cs="宋体"/>
                <w:color w:val="000000"/>
                <w:highlight w:val="none"/>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59" w:type="dxa"/>
            <w:textDirection w:val="lrTb"/>
            <w:noWrap/>
          </w:tcPr>
          <w:p>
            <w:pPr>
              <w:spacing w:line="400" w:lineRule="exact"/>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1、拟投入本项目的项目负责人具有</w:t>
            </w:r>
            <w:r>
              <w:rPr>
                <w:rFonts w:ascii="宋体" w:hAnsi="宋体" w:eastAsia="宋体" w:cs="宋体"/>
                <w:color w:val="auto"/>
                <w:highlight w:val="none"/>
              </w:rPr>
              <w:t xml:space="preserve">建设工程类中级</w:t>
            </w:r>
            <w:r>
              <w:rPr>
                <w:rFonts w:hint="eastAsia" w:ascii="宋体" w:hAnsi="宋体" w:eastAsia="宋体" w:cs="宋体"/>
                <w:color w:val="auto"/>
                <w:highlight w:val="none"/>
                <w:lang w:val="en-US" w:eastAsia="zh-CN"/>
              </w:rPr>
              <w:t xml:space="preserve">及以上</w:t>
            </w:r>
            <w:r>
              <w:rPr>
                <w:rFonts w:ascii="宋体" w:hAnsi="宋体" w:eastAsia="宋体" w:cs="宋体"/>
                <w:color w:val="auto"/>
                <w:highlight w:val="none"/>
              </w:rPr>
              <w:t xml:space="preserve">职称得 </w:t>
            </w:r>
            <w:r>
              <w:rPr>
                <w:rFonts w:hint="eastAsia" w:ascii="宋体" w:hAnsi="宋体" w:eastAsia="宋体" w:cs="宋体"/>
                <w:color w:val="auto"/>
                <w:highlight w:val="none"/>
              </w:rPr>
              <w:t xml:space="preserve">1</w:t>
            </w:r>
            <w:r>
              <w:rPr>
                <w:rFonts w:ascii="宋体" w:hAnsi="宋体" w:eastAsia="宋体" w:cs="宋体"/>
                <w:color w:val="auto"/>
                <w:highlight w:val="none"/>
              </w:rPr>
              <w:t xml:space="preserve"> 分</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此项最高</w:t>
            </w:r>
            <w:r>
              <w:rPr>
                <w:rFonts w:hint="eastAsia" w:ascii="宋体" w:hAnsi="宋体" w:eastAsia="宋体" w:cs="宋体"/>
                <w:color w:val="auto"/>
                <w:highlight w:val="none"/>
                <w:lang w:val="en-US" w:eastAsia="zh-CN"/>
              </w:rPr>
              <w:t xml:space="preserve">1</w:t>
            </w:r>
            <w:r>
              <w:rPr>
                <w:rFonts w:ascii="宋体" w:hAnsi="宋体" w:eastAsia="宋体" w:cs="宋体"/>
                <w:color w:val="auto"/>
                <w:highlight w:val="none"/>
              </w:rPr>
              <w:t xml:space="preserve">分</w:t>
            </w:r>
            <w:r>
              <w:rPr>
                <w:rFonts w:hint="eastAsia" w:ascii="宋体" w:hAnsi="宋体" w:eastAsia="宋体" w:cs="宋体"/>
                <w:color w:val="auto"/>
                <w:highlight w:val="none"/>
              </w:rPr>
              <w:t xml:space="preserve">。 </w:t>
            </w:r>
            <w:r/>
          </w:p>
          <w:p>
            <w:pPr>
              <w:spacing w:line="400" w:lineRule="exact"/>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2、拟投入本项目的成员</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项目负责人除外</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具有资料员证书的得1分，此项最高1分。</w:t>
            </w:r>
            <w:r/>
          </w:p>
          <w:p>
            <w:pPr>
              <w:spacing w:line="400" w:lineRule="exact"/>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3、拟投入本项目的成员</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项目负责人除外</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具有专职安全员证书的得1分，此项最高1分。</w:t>
            </w:r>
            <w:r/>
          </w:p>
          <w:p>
            <w:pPr>
              <w:spacing w:line="400" w:lineRule="exact"/>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4、拟投入本项目的成员</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项目负责人除外</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具有质量员证书的得1分，此项最高1分。</w:t>
            </w:r>
            <w:r/>
          </w:p>
          <w:p>
            <w:pPr>
              <w:spacing w:line="400" w:lineRule="exact"/>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5、拟投入本项目的成员</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项目负责人除外</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具有施工员证书的得1分，此项最高1分。</w:t>
            </w:r>
            <w:r/>
          </w:p>
          <w:p>
            <w:pPr>
              <w:spacing w:line="400" w:lineRule="exact"/>
              <w:widowControl/>
              <w:rPr>
                <w:rFonts w:hint="eastAsia"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val="en-US" w:eastAsia="zh-CN"/>
              </w:rPr>
              <w:t xml:space="preserve">6、拟投入本项目的成员</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项目负责人除外</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具有造价师证书的得1分</w:t>
            </w:r>
            <w:r>
              <w:rPr>
                <w:rFonts w:hint="eastAsia" w:ascii="宋体" w:hAnsi="宋体" w:eastAsia="宋体" w:cs="宋体"/>
                <w:color w:val="auto"/>
                <w:highlight w:val="none"/>
              </w:rPr>
              <w:t xml:space="preserve">，此项最高1分。</w:t>
            </w:r>
            <w:r/>
          </w:p>
          <w:p>
            <w:pPr>
              <w:spacing w:line="400" w:lineRule="exact"/>
              <w:widowControl/>
              <w:rPr>
                <w:rFonts w:hint="default"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拟投入本项目的成员</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项目负责人除外</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具有</w:t>
            </w:r>
            <w:r>
              <w:rPr>
                <w:rFonts w:ascii="宋体" w:hAnsi="宋体" w:eastAsia="宋体" w:cs="宋体"/>
                <w:color w:val="auto"/>
                <w:highlight w:val="none"/>
              </w:rPr>
              <w:t xml:space="preserve">建设工程类中级</w:t>
            </w:r>
            <w:r>
              <w:rPr>
                <w:rFonts w:hint="eastAsia" w:ascii="宋体" w:hAnsi="宋体" w:eastAsia="宋体" w:cs="宋体"/>
                <w:color w:val="auto"/>
                <w:highlight w:val="none"/>
                <w:lang w:val="en-US" w:eastAsia="zh-CN"/>
              </w:rPr>
              <w:t xml:space="preserve">及以上</w:t>
            </w:r>
            <w:r>
              <w:rPr>
                <w:rFonts w:ascii="宋体" w:hAnsi="宋体" w:eastAsia="宋体" w:cs="宋体"/>
                <w:color w:val="auto"/>
                <w:highlight w:val="none"/>
              </w:rPr>
              <w:t xml:space="preserve">职称得 </w:t>
            </w:r>
            <w:r>
              <w:rPr>
                <w:rFonts w:hint="eastAsia" w:ascii="宋体" w:hAnsi="宋体" w:eastAsia="宋体" w:cs="宋体"/>
                <w:color w:val="auto"/>
                <w:highlight w:val="none"/>
              </w:rPr>
              <w:t xml:space="preserve">1</w:t>
            </w:r>
            <w:r>
              <w:rPr>
                <w:rFonts w:ascii="宋体" w:hAnsi="宋体" w:eastAsia="宋体" w:cs="宋体"/>
                <w:color w:val="auto"/>
                <w:highlight w:val="none"/>
              </w:rPr>
              <w:t xml:space="preserve"> 分</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此项最高</w:t>
            </w:r>
            <w:r>
              <w:rPr>
                <w:rFonts w:hint="eastAsia" w:ascii="宋体" w:hAnsi="宋体" w:eastAsia="宋体" w:cs="宋体"/>
                <w:color w:val="auto"/>
                <w:highlight w:val="none"/>
                <w:lang w:val="en-US" w:eastAsia="zh-CN"/>
              </w:rPr>
              <w:t xml:space="preserve">4</w:t>
            </w:r>
            <w:r>
              <w:rPr>
                <w:rFonts w:ascii="宋体" w:hAnsi="宋体" w:eastAsia="宋体" w:cs="宋体"/>
                <w:color w:val="auto"/>
                <w:highlight w:val="none"/>
              </w:rPr>
              <w:t xml:space="preserve">分</w:t>
            </w:r>
            <w:r>
              <w:rPr>
                <w:rFonts w:hint="eastAsia" w:ascii="宋体" w:hAnsi="宋体" w:eastAsia="宋体" w:cs="宋体"/>
                <w:color w:val="auto"/>
                <w:highlight w:val="none"/>
              </w:rPr>
              <w:t xml:space="preserve">。</w:t>
            </w:r>
            <w:r/>
          </w:p>
          <w:p>
            <w:pPr>
              <w:spacing w:line="400" w:lineRule="exact"/>
              <w:widowControl/>
              <w:rPr>
                <w:rFonts w:hint="eastAsi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注：</w:t>
            </w:r>
            <w:r>
              <w:rPr>
                <w:rFonts w:hint="eastAsia" w:ascii="宋体" w:hAnsi="宋体" w:eastAsia="宋体" w:cs="宋体"/>
                <w:b/>
                <w:bCs/>
                <w:color w:val="auto"/>
                <w:highlight w:val="none"/>
              </w:rPr>
              <w:t xml:space="preserve">上述人员不得重复计分，投标时提供人员证书彩色扫描件，以及对应人员</w:t>
            </w:r>
            <w:r>
              <w:rPr>
                <w:rFonts w:ascii="宋体" w:hAnsi="宋体" w:eastAsia="宋体" w:cs="宋体"/>
                <w:b/>
                <w:bCs/>
                <w:color w:val="auto"/>
                <w:highlight w:val="none"/>
              </w:rPr>
              <w:t xml:space="preserve">从2026年8月开始至投标截止之日当月内至少1个月在本单位缴纳养老保险缴费记录证明（退休人员提供在本单位相关证明）</w:t>
            </w:r>
            <w:r>
              <w:rPr>
                <w:rFonts w:hint="eastAsia" w:ascii="宋体" w:hAnsi="宋体" w:eastAsia="宋体" w:cs="宋体"/>
                <w:b/>
                <w:bCs/>
                <w:color w:val="auto"/>
                <w:highlight w:val="none"/>
              </w:rPr>
              <w:t xml:space="preserve">并</w:t>
            </w:r>
            <w:r>
              <w:rPr>
                <w:rFonts w:ascii="宋体" w:hAnsi="宋体" w:eastAsia="宋体" w:cs="宋体"/>
                <w:b/>
                <w:bCs/>
                <w:color w:val="auto"/>
                <w:highlight w:val="none"/>
              </w:rPr>
              <w:t xml:space="preserve">加盖CA电子公章。</w:t>
            </w:r>
            <w:r/>
          </w:p>
        </w:tc>
      </w:tr>
      <w:tr>
        <w:trPr>
          <w:jc w:val="cente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6" w:type="dxa"/>
            <w:vAlign w:val="center"/>
            <w:textDirection w:val="lrTb"/>
            <w:noWrap/>
          </w:tcPr>
          <w:p>
            <w:pPr>
              <w:jc w:val="center"/>
              <w:spacing w:line="40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项目实施方案（</w:t>
            </w:r>
            <w:r>
              <w:rPr>
                <w:rFonts w:hint="eastAsia" w:ascii="宋体" w:hAnsi="宋体" w:eastAsia="宋体" w:cs="宋体"/>
                <w:color w:val="000000"/>
                <w:highlight w:val="none"/>
                <w:lang w:val="en-US" w:eastAsia="zh-CN"/>
              </w:rPr>
              <w:t xml:space="preserve">47</w:t>
            </w:r>
            <w:r>
              <w:rPr>
                <w:rFonts w:ascii="宋体" w:hAnsi="宋体" w:eastAsia="宋体" w:cs="宋体"/>
                <w:color w:val="000000"/>
                <w:highlight w:val="none"/>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59" w:type="dxa"/>
            <w:vAlign w:val="center"/>
            <w:textDirection w:val="lrTb"/>
            <w:noWrap/>
          </w:tcPr>
          <w:p>
            <w:pPr>
              <w:spacing w:line="400" w:lineRule="exact"/>
              <w:widowControl/>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1.施工准备方案、目标控制方案及技术措施方案（10分）</w:t>
            </w:r>
            <w:r/>
          </w:p>
          <w:p>
            <w:pPr>
              <w:spacing w:line="400" w:lineRule="exact"/>
              <w:widowControl/>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供应商根据本项目第四章中“施工准备方案、目标控制方案及技术措施”要求提供至少包含：①施工准备方案；②施工项目目标控制；③技术措施方案；优于项目需求的得10分；满足项目需求的得8分；基本满足项目需求、存在少量瑕疵的得6分；不满足或无此项内容的本项不得分。</w:t>
            </w:r>
            <w:r/>
          </w:p>
          <w:p>
            <w:pPr>
              <w:spacing w:line="400" w:lineRule="exact"/>
              <w:widowControl/>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2.工程进度计划与保证措施（</w:t>
            </w:r>
            <w:r>
              <w:rPr>
                <w:rFonts w:hint="eastAsia"/>
                <w:highlight w:val="none"/>
                <w:lang w:val="en-US" w:eastAsia="zh-CN"/>
              </w:rPr>
              <w:t xml:space="preserve">8</w:t>
            </w:r>
            <w:r>
              <w:rPr>
                <w:rFonts w:hint="eastAsia"/>
                <w:highlight w:val="none"/>
              </w:rPr>
              <w:t xml:space="preserve">分）</w:t>
            </w:r>
            <w:r/>
          </w:p>
          <w:p>
            <w:pPr>
              <w:spacing w:line="400" w:lineRule="exact"/>
              <w:widowControl/>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供应商根据本项目第四章中“工程进度计划与保证措施”要求提供至少包含：①对施工进度的关键因素分析；②保证措施和人员分工的合理性方案；③实施计划、工期进度安排；④工期进度安排等方面内容进行综合评定：优于项目需求的得</w:t>
            </w:r>
            <w:r>
              <w:rPr>
                <w:rFonts w:hint="eastAsia"/>
                <w:highlight w:val="none"/>
                <w:lang w:val="en-US" w:eastAsia="zh-CN"/>
              </w:rPr>
              <w:t xml:space="preserve">8</w:t>
            </w:r>
            <w:r>
              <w:rPr>
                <w:rFonts w:hint="eastAsia"/>
                <w:highlight w:val="none"/>
              </w:rPr>
              <w:t xml:space="preserve">分；满足项目需求的得</w:t>
            </w:r>
            <w:r>
              <w:rPr>
                <w:rFonts w:hint="eastAsia"/>
                <w:highlight w:val="none"/>
                <w:lang w:val="en-US" w:eastAsia="zh-CN"/>
              </w:rPr>
              <w:t xml:space="preserve">6</w:t>
            </w:r>
            <w:r>
              <w:rPr>
                <w:rFonts w:hint="eastAsia"/>
                <w:highlight w:val="none"/>
              </w:rPr>
              <w:t xml:space="preserve">分；基本满足项目需求、存在少量瑕疵的得</w:t>
            </w:r>
            <w:r>
              <w:rPr>
                <w:rFonts w:hint="eastAsia"/>
                <w:highlight w:val="none"/>
                <w:lang w:val="en-US" w:eastAsia="zh-CN"/>
              </w:rPr>
              <w:t xml:space="preserve">4</w:t>
            </w:r>
            <w:r>
              <w:rPr>
                <w:rFonts w:hint="eastAsia"/>
                <w:highlight w:val="none"/>
              </w:rPr>
              <w:t xml:space="preserve">分；不满足或无此项内容的本项不得分。</w:t>
            </w:r>
            <w:r/>
          </w:p>
          <w:p>
            <w:pPr>
              <w:spacing w:line="400" w:lineRule="exact"/>
              <w:widowControl/>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3.安全管理方案和措施（</w:t>
            </w:r>
            <w:r>
              <w:rPr>
                <w:rFonts w:hint="eastAsia"/>
                <w:highlight w:val="none"/>
                <w:lang w:val="en-US" w:eastAsia="zh-CN"/>
              </w:rPr>
              <w:t xml:space="preserve">8</w:t>
            </w:r>
            <w:r>
              <w:rPr>
                <w:rFonts w:hint="eastAsia"/>
                <w:highlight w:val="none"/>
              </w:rPr>
              <w:t xml:space="preserve">分）</w:t>
            </w:r>
            <w:r/>
          </w:p>
          <w:p>
            <w:pPr>
              <w:spacing w:line="400" w:lineRule="exact"/>
              <w:widowControl/>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供应商根据本项目第四章中“安全管理方案和措施”要求提供至少包含：①安全管理方案；②安全管理制度；③安全保证措施等方面内容。进行综合评定：优于项目需求的得</w:t>
            </w:r>
            <w:r>
              <w:rPr>
                <w:rFonts w:hint="eastAsia"/>
                <w:highlight w:val="none"/>
                <w:lang w:val="en-US" w:eastAsia="zh-CN"/>
              </w:rPr>
              <w:t xml:space="preserve">8</w:t>
            </w:r>
            <w:r>
              <w:rPr>
                <w:rFonts w:hint="eastAsia"/>
                <w:highlight w:val="none"/>
              </w:rPr>
              <w:t xml:space="preserve">分；满足项目需求的得</w:t>
            </w:r>
            <w:r>
              <w:rPr>
                <w:rFonts w:hint="eastAsia"/>
                <w:highlight w:val="none"/>
                <w:lang w:val="en-US" w:eastAsia="zh-CN"/>
              </w:rPr>
              <w:t xml:space="preserve">6</w:t>
            </w:r>
            <w:r>
              <w:rPr>
                <w:rFonts w:hint="eastAsia"/>
                <w:highlight w:val="none"/>
              </w:rPr>
              <w:t xml:space="preserve">分；基本满足项目需求、存在少量瑕疵的得</w:t>
            </w:r>
            <w:r>
              <w:rPr>
                <w:rFonts w:hint="eastAsia"/>
                <w:highlight w:val="none"/>
                <w:lang w:val="en-US" w:eastAsia="zh-CN"/>
              </w:rPr>
              <w:t xml:space="preserve">4</w:t>
            </w:r>
            <w:r>
              <w:rPr>
                <w:rFonts w:hint="eastAsia"/>
                <w:highlight w:val="none"/>
              </w:rPr>
              <w:t xml:space="preserve">分；不满足或无此项内容的本项不得分。</w:t>
            </w:r>
            <w:r/>
          </w:p>
          <w:p>
            <w:pPr>
              <w:spacing w:line="400" w:lineRule="exact"/>
              <w:widowControl/>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4.质量管理方案和措施（10分）</w:t>
            </w:r>
            <w:r/>
          </w:p>
          <w:p>
            <w:pPr>
              <w:spacing w:line="400" w:lineRule="exact"/>
              <w:widowControl/>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供应商根据本项目第四章中“质量管理方案和措施”要求提供至少包含：①确定质量方针和目标；②具体质量措施等方面内容进行综合评定：优于项目需求的得10分；满足项目需求的得8分；基本满足项目需求、存在少量瑕疵的得6分；不满足或无此项内容的本项不得分。</w:t>
            </w:r>
            <w:r/>
          </w:p>
          <w:p>
            <w:pPr>
              <w:spacing w:line="400" w:lineRule="exact"/>
              <w:widowControl/>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5.文明施工及环境保护方案（</w:t>
            </w:r>
            <w:r>
              <w:rPr>
                <w:rFonts w:hint="eastAsia"/>
                <w:highlight w:val="none"/>
                <w:lang w:val="en-US" w:eastAsia="zh-CN"/>
              </w:rPr>
              <w:t xml:space="preserve">6</w:t>
            </w:r>
            <w:r>
              <w:rPr>
                <w:rFonts w:hint="eastAsia"/>
                <w:highlight w:val="none"/>
              </w:rPr>
              <w:t xml:space="preserve">分）</w:t>
            </w:r>
            <w:r/>
          </w:p>
          <w:p>
            <w:pPr>
              <w:spacing w:line="400" w:lineRule="exact"/>
              <w:widowControl/>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供应商根据本项目第四章中“文明施工及环境保护方案”要求提供至少包含：①现场管理；②人员管理；③卫生管理；④工序衔接与成品保护等方面内容。进行综合评定：优于项目需求的得</w:t>
            </w:r>
            <w:r>
              <w:rPr>
                <w:rFonts w:hint="eastAsia"/>
                <w:highlight w:val="none"/>
                <w:lang w:val="en-US" w:eastAsia="zh-CN"/>
              </w:rPr>
              <w:t xml:space="preserve">6</w:t>
            </w:r>
            <w:r>
              <w:rPr>
                <w:rFonts w:hint="eastAsia"/>
                <w:highlight w:val="none"/>
              </w:rPr>
              <w:t xml:space="preserve">分；满足项目需求的得</w:t>
            </w:r>
            <w:r>
              <w:rPr>
                <w:rFonts w:hint="eastAsia"/>
                <w:highlight w:val="none"/>
                <w:lang w:val="en-US" w:eastAsia="zh-CN"/>
              </w:rPr>
              <w:t xml:space="preserve">4</w:t>
            </w:r>
            <w:r>
              <w:rPr>
                <w:rFonts w:hint="eastAsia"/>
                <w:highlight w:val="none"/>
              </w:rPr>
              <w:t xml:space="preserve">分；基本满足项目需求、存在少量瑕疵的得</w:t>
            </w:r>
            <w:r>
              <w:rPr>
                <w:rFonts w:hint="eastAsia"/>
                <w:highlight w:val="none"/>
                <w:lang w:val="en-US" w:eastAsia="zh-CN"/>
              </w:rPr>
              <w:t xml:space="preserve">2</w:t>
            </w:r>
            <w:r>
              <w:rPr>
                <w:rFonts w:hint="eastAsia"/>
                <w:highlight w:val="none"/>
              </w:rPr>
              <w:t xml:space="preserve">分；不满足或无此项内容的本项不得分。</w:t>
            </w:r>
            <w:r/>
          </w:p>
          <w:p>
            <w:pPr>
              <w:spacing w:line="400" w:lineRule="exact"/>
              <w:widowControl/>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6.缺陷责任期内的服务方案（</w:t>
            </w:r>
            <w:r>
              <w:rPr>
                <w:rFonts w:hint="eastAsia"/>
                <w:highlight w:val="none"/>
                <w:lang w:val="en-US" w:eastAsia="zh-CN"/>
              </w:rPr>
              <w:t xml:space="preserve">5</w:t>
            </w:r>
            <w:r>
              <w:rPr>
                <w:rFonts w:hint="eastAsia"/>
                <w:highlight w:val="none"/>
              </w:rPr>
              <w:t xml:space="preserve">分）</w:t>
            </w:r>
            <w:r/>
          </w:p>
          <w:p>
            <w:pPr>
              <w:spacing w:line="400" w:lineRule="exact"/>
              <w:widowControl/>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供应商根据本项目第四章中“缺陷责任期内的服务方案”要求提供至少包含：①服务内容；②响应机制；③问题处理流程；④保障措施等方面内容。进行综合评定：优于项目需求的得</w:t>
            </w:r>
            <w:r>
              <w:rPr>
                <w:rFonts w:hint="eastAsia"/>
                <w:highlight w:val="none"/>
                <w:lang w:val="en-US" w:eastAsia="zh-CN"/>
              </w:rPr>
              <w:t xml:space="preserve">5</w:t>
            </w:r>
            <w:r>
              <w:rPr>
                <w:rFonts w:hint="eastAsia"/>
                <w:highlight w:val="none"/>
              </w:rPr>
              <w:t xml:space="preserve">分；满足项目需求的得</w:t>
            </w:r>
            <w:r>
              <w:rPr>
                <w:rFonts w:hint="eastAsia"/>
                <w:highlight w:val="none"/>
                <w:lang w:val="en-US" w:eastAsia="zh-CN"/>
              </w:rPr>
              <w:t xml:space="preserve">3</w:t>
            </w:r>
            <w:r>
              <w:rPr>
                <w:rFonts w:hint="eastAsia"/>
                <w:highlight w:val="none"/>
              </w:rPr>
              <w:t xml:space="preserve">分；基本满足项目需求、存在少量瑕疵的得</w:t>
            </w:r>
            <w:r>
              <w:rPr>
                <w:rFonts w:hint="eastAsia"/>
                <w:highlight w:val="none"/>
                <w:lang w:val="en-US" w:eastAsia="zh-CN"/>
              </w:rPr>
              <w:t xml:space="preserve">1</w:t>
            </w:r>
            <w:r>
              <w:rPr>
                <w:rFonts w:hint="eastAsia"/>
                <w:highlight w:val="none"/>
              </w:rPr>
              <w:t xml:space="preserve">分；不满足或无此项内容的本项不得分。</w:t>
            </w:r>
            <w:r/>
          </w:p>
          <w:p>
            <w:pPr>
              <w:spacing w:line="400" w:lineRule="exact"/>
              <w:widowControl/>
              <w:rPr>
                <w:b/>
                <w:bCs/>
                <w:highlight w:val="none"/>
              </w:rPr>
              <w:pBdr>
                <w:top w:val="none" w:color="000000" w:sz="0" w:space="0"/>
                <w:left w:val="none" w:color="000000" w:sz="0" w:space="0"/>
                <w:bottom w:val="none" w:color="000000" w:sz="0" w:space="0"/>
                <w:right w:val="none" w:color="000000" w:sz="0" w:space="0"/>
              </w:pBdr>
            </w:pPr>
            <w:r>
              <w:rPr>
                <w:rFonts w:hint="eastAsia"/>
                <w:b/>
                <w:bCs/>
                <w:highlight w:val="none"/>
              </w:rPr>
              <w:t xml:space="preserve">注：</w:t>
            </w:r>
            <w:r/>
          </w:p>
          <w:p>
            <w:pPr>
              <w:spacing w:line="400" w:lineRule="exact"/>
              <w:widowControl/>
              <w:rPr>
                <w:b/>
                <w:bCs/>
                <w:highlight w:val="none"/>
              </w:rPr>
              <w:pBdr>
                <w:top w:val="none" w:color="000000" w:sz="0" w:space="0"/>
                <w:left w:val="none" w:color="000000" w:sz="0" w:space="0"/>
                <w:bottom w:val="none" w:color="000000" w:sz="0" w:space="0"/>
                <w:right w:val="none" w:color="000000" w:sz="0" w:space="0"/>
              </w:pBdr>
            </w:pPr>
            <w:r>
              <w:rPr>
                <w:rFonts w:hint="eastAsia"/>
                <w:b/>
                <w:bCs/>
                <w:highlight w:val="none"/>
              </w:rPr>
              <w:t xml:space="preserve">1.供应商提供的方案能全部响应要求，提出更为细致、有针对性、切实可行、要求之外且和本项目实施相关的内容的，可视为优于；方案能响应要求的可视为满足；方案基本能响应要求的可视为基本满足；方案对于要求的响应不完全或者偏离要求的，视为不符合。具体由评审委员会评审。</w:t>
            </w:r>
            <w:r/>
          </w:p>
          <w:p>
            <w:pPr>
              <w:spacing w:line="400" w:lineRule="exact"/>
              <w:widowControl/>
              <w:rPr>
                <w:highlight w:val="none"/>
              </w:rPr>
              <w:pBdr>
                <w:top w:val="none" w:color="000000" w:sz="0" w:space="0"/>
                <w:left w:val="none" w:color="000000" w:sz="0" w:space="0"/>
                <w:bottom w:val="none" w:color="000000" w:sz="0" w:space="0"/>
                <w:right w:val="none" w:color="000000" w:sz="0" w:space="0"/>
              </w:pBdr>
            </w:pPr>
            <w:r>
              <w:rPr>
                <w:rFonts w:hint="eastAsia"/>
                <w:b/>
                <w:bCs/>
                <w:highlight w:val="none"/>
              </w:rPr>
              <w:t xml:space="preserve">2.方案总页数不得超过100页，否则本项内容不得分。</w:t>
            </w:r>
            <w:r/>
          </w:p>
        </w:tc>
      </w:tr>
    </w:tbl>
    <w:p>
      <w:pPr>
        <w:jc w:val="center"/>
        <w:spacing w:before="240" w:after="240" w:line="400" w:lineRule="exact"/>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highlight w:val="none"/>
        </w:rPr>
        <w:t xml:space="preserve"> </w:t>
      </w:r>
      <w:r/>
    </w:p>
    <w:p>
      <w:pPr>
        <w:pStyle w:val="82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21"/>
        <w:jc w:val="both"/>
        <w:spacing w:beforeAutospacing="0" w:afterAutospacing="0"/>
        <w:rPr>
          <w:rFonts w:hint="eastAsia" w:ascii="黑体" w:hAnsi="宋体" w:eastAsia="黑体" w:cs="黑体"/>
          <w:sz w:val="44"/>
          <w:szCs w:val="44"/>
          <w:highlight w:val="none"/>
        </w:rPr>
      </w:pPr>
      <w:r>
        <w:rPr>
          <w:rFonts w:hint="eastAsia" w:ascii="仿宋" w:hAnsi="仿宋" w:eastAsia="仿宋" w:cs="仿宋"/>
          <w:highlight w:val="none"/>
        </w:rPr>
        <w:t xml:space="preserve"> </w:t>
      </w:r>
      <w:r/>
    </w:p>
    <w:p>
      <w:pPr>
        <w:rPr>
          <w:rFonts w:hint="eastAsia" w:ascii="黑体" w:hAnsi="宋体" w:eastAsia="黑体" w:cs="黑体"/>
          <w:sz w:val="44"/>
          <w:szCs w:val="44"/>
          <w:highlight w:val="none"/>
        </w:rPr>
      </w:pPr>
      <w:r/>
      <w:bookmarkStart w:id="662" w:name="_Toc21664"/>
      <w:r>
        <w:rPr>
          <w:rFonts w:hint="eastAsia" w:ascii="黑体" w:hAnsi="宋体" w:eastAsia="黑体" w:cs="黑体"/>
          <w:sz w:val="44"/>
          <w:szCs w:val="44"/>
          <w:highlight w:val="none"/>
        </w:rPr>
        <w:br w:type="page" w:clear="all"/>
      </w:r>
      <w:r/>
    </w:p>
    <w:p>
      <w:pPr>
        <w:pStyle w:val="821"/>
        <w:jc w:val="center"/>
        <w:keepNext/>
        <w:spacing w:beforeAutospacing="0" w:afterAutospacing="0"/>
        <w:rPr>
          <w:highlight w:val="none"/>
        </w:rPr>
        <w:outlineLvl w:val="0"/>
      </w:pPr>
      <w:r>
        <w:rPr>
          <w:rFonts w:hint="eastAsia" w:ascii="黑体" w:hAnsi="宋体" w:eastAsia="黑体" w:cs="黑体"/>
          <w:sz w:val="44"/>
          <w:szCs w:val="44"/>
          <w:highlight w:val="none"/>
        </w:rPr>
        <w:t xml:space="preserve">第六章  响应文件格式</w:t>
      </w:r>
      <w:bookmarkEnd w:id="662"/>
      <w:r>
        <w:rPr>
          <w:rFonts w:hint="eastAsia" w:ascii="黑体" w:hAnsi="宋体" w:eastAsia="黑体" w:cs="黑体"/>
          <w:sz w:val="44"/>
          <w:szCs w:val="44"/>
          <w:highlight w:val="none"/>
        </w:rPr>
        <w:t xml:space="preserve"> </w:t>
      </w:r>
      <w:r/>
    </w:p>
    <w:p>
      <w:pPr>
        <w:pStyle w:val="821"/>
        <w:jc w:val="center"/>
        <w:spacing w:beforeAutospacing="0" w:afterAutospacing="0"/>
        <w:rPr>
          <w:rFonts w:hint="eastAsia" w:ascii="宋体" w:hAnsi="宋体" w:eastAsia="宋体" w:cs="宋体"/>
          <w:b/>
          <w:sz w:val="72"/>
          <w:szCs w:val="72"/>
          <w:highlight w:val="none"/>
        </w:rPr>
      </w:pPr>
      <w:r/>
      <w:bookmarkStart w:id="663" w:name="_Toc49090576"/>
      <w:r/>
      <w:bookmarkEnd w:id="663"/>
      <w:r/>
      <w:bookmarkStart w:id="664" w:name="_Toc120614282"/>
      <w:r/>
      <w:bookmarkEnd w:id="664"/>
      <w:r/>
      <w:bookmarkStart w:id="665" w:name="_Hlt26955039"/>
      <w:r/>
      <w:bookmarkStart w:id="666" w:name="_Hlt26671244"/>
      <w:r/>
      <w:bookmarkStart w:id="667" w:name="_Toc26554094"/>
      <w:r/>
      <w:r/>
    </w:p>
    <w:p>
      <w:pPr>
        <w:pStyle w:val="821"/>
        <w:jc w:val="center"/>
        <w:spacing w:beforeAutospacing="0" w:afterAutospacing="0"/>
        <w:rPr>
          <w:rFonts w:hint="eastAsia" w:ascii="宋体" w:hAnsi="宋体" w:eastAsia="宋体" w:cs="宋体"/>
          <w:b/>
          <w:sz w:val="72"/>
          <w:szCs w:val="72"/>
          <w:highlight w:val="none"/>
        </w:rPr>
      </w:pPr>
      <w:r>
        <w:rPr>
          <w:rFonts w:hint="eastAsia" w:ascii="宋体" w:hAnsi="宋体" w:eastAsia="宋体" w:cs="宋体"/>
          <w:b/>
          <w:sz w:val="72"/>
          <w:szCs w:val="72"/>
          <w:highlight w:val="none"/>
        </w:rPr>
      </w:r>
      <w:r/>
    </w:p>
    <w:p>
      <w:pPr>
        <w:pStyle w:val="821"/>
        <w:jc w:val="center"/>
        <w:spacing w:beforeAutospacing="0" w:afterAutospacing="0"/>
        <w:rPr>
          <w:highlight w:val="none"/>
        </w:rPr>
      </w:pPr>
      <w:r>
        <w:rPr>
          <w:rFonts w:hint="eastAsia" w:ascii="宋体" w:hAnsi="宋体" w:eastAsia="宋体" w:cs="宋体"/>
          <w:b/>
          <w:sz w:val="72"/>
          <w:szCs w:val="72"/>
          <w:highlight w:val="none"/>
        </w:rPr>
        <w:t xml:space="preserve">响  应  文  件</w:t>
      </w:r>
      <w:r/>
    </w:p>
    <w:p>
      <w:pPr>
        <w:pStyle w:val="821"/>
        <w:jc w:val="center"/>
        <w:spacing w:beforeAutospacing="0" w:afterAutospacing="0"/>
        <w:rPr>
          <w:highlight w:val="none"/>
        </w:rPr>
      </w:pPr>
      <w:r>
        <w:rPr>
          <w:highlight w:val="none"/>
        </w:rPr>
        <w:t xml:space="preserve"> </w:t>
      </w:r>
      <w:r/>
    </w:p>
    <w:p>
      <w:pPr>
        <w:pStyle w:val="821"/>
        <w:jc w:val="center"/>
        <w:spacing w:beforeAutospacing="0" w:afterAutospacing="0"/>
        <w:rPr>
          <w:highlight w:val="none"/>
        </w:rPr>
      </w:pPr>
      <w:r>
        <w:rPr>
          <w:highlight w:val="none"/>
        </w:rPr>
        <w:t xml:space="preserve"> </w:t>
      </w:r>
      <w:r/>
    </w:p>
    <w:p>
      <w:pPr>
        <w:pStyle w:val="821"/>
        <w:jc w:val="center"/>
        <w:spacing w:beforeAutospacing="0" w:afterAutospacing="0"/>
        <w:rPr>
          <w:highlight w:val="none"/>
        </w:rPr>
      </w:pPr>
      <w:r>
        <w:rPr>
          <w:highlight w:val="none"/>
        </w:rPr>
        <w:t xml:space="preserve"> </w:t>
      </w:r>
      <w:r/>
    </w:p>
    <w:p>
      <w:pPr>
        <w:pStyle w:val="821"/>
        <w:jc w:val="center"/>
        <w:spacing w:beforeAutospacing="0" w:afterAutospacing="0"/>
        <w:rPr>
          <w:highlight w:val="none"/>
        </w:rPr>
      </w:pPr>
      <w:r>
        <w:rPr>
          <w:highlight w:val="none"/>
        </w:rPr>
        <w:t xml:space="preserve"> </w:t>
      </w:r>
      <w:r/>
    </w:p>
    <w:p>
      <w:pPr>
        <w:pStyle w:val="821"/>
        <w:jc w:val="center"/>
        <w:spacing w:beforeAutospacing="0" w:afterAutospacing="0"/>
        <w:rPr>
          <w:highlight w:val="none"/>
        </w:rPr>
      </w:pPr>
      <w:r>
        <w:rPr>
          <w:highlight w:val="none"/>
        </w:rPr>
        <w:t xml:space="preserve"> </w:t>
      </w:r>
      <w:r/>
    </w:p>
    <w:p>
      <w:pPr>
        <w:pStyle w:val="821"/>
        <w:jc w:val="both"/>
        <w:spacing w:beforeAutospacing="0" w:afterAutospacing="0" w:line="480" w:lineRule="auto"/>
        <w:rPr>
          <w:highlight w:val="none"/>
        </w:rPr>
      </w:pPr>
      <w:r>
        <w:rPr>
          <w:rFonts w:hint="eastAsia" w:ascii="宋体" w:hAnsi="宋体" w:eastAsia="宋体" w:cs="宋体"/>
          <w:b/>
          <w:sz w:val="36"/>
          <w:szCs w:val="36"/>
          <w:highlight w:val="none"/>
        </w:rPr>
        <w:t xml:space="preserve">项 目名 称：</w:t>
      </w:r>
      <w:r>
        <w:rPr>
          <w:rFonts w:hint="eastAsia" w:ascii="宋体" w:hAnsi="宋体" w:eastAsia="宋体" w:cs="宋体"/>
          <w:b/>
          <w:sz w:val="36"/>
          <w:szCs w:val="36"/>
          <w:highlight w:val="none"/>
          <w:u w:val="single"/>
        </w:rPr>
        <w:t xml:space="preserve">               </w:t>
      </w:r>
      <w:r/>
    </w:p>
    <w:p>
      <w:pPr>
        <w:pStyle w:val="821"/>
        <w:jc w:val="both"/>
        <w:spacing w:beforeAutospacing="0" w:afterAutospacing="0" w:line="480" w:lineRule="auto"/>
        <w:rPr>
          <w:highlight w:val="none"/>
        </w:rPr>
      </w:pPr>
      <w:r>
        <w:rPr>
          <w:rFonts w:hint="eastAsia" w:ascii="宋体" w:hAnsi="宋体" w:eastAsia="宋体" w:cs="宋体"/>
          <w:b/>
          <w:sz w:val="36"/>
          <w:szCs w:val="36"/>
          <w:highlight w:val="none"/>
        </w:rPr>
        <w:t xml:space="preserve">项 目编 号：</w:t>
      </w:r>
      <w:r>
        <w:rPr>
          <w:rFonts w:hint="eastAsia" w:ascii="宋体" w:hAnsi="宋体" w:eastAsia="宋体" w:cs="宋体"/>
          <w:b/>
          <w:sz w:val="36"/>
          <w:szCs w:val="36"/>
          <w:highlight w:val="none"/>
          <w:u w:val="single"/>
        </w:rPr>
        <w:t xml:space="preserve">               </w:t>
      </w:r>
      <w:r/>
    </w:p>
    <w:p>
      <w:pPr>
        <w:pStyle w:val="821"/>
        <w:jc w:val="both"/>
        <w:spacing w:beforeAutospacing="0" w:afterAutospacing="0" w:line="480" w:lineRule="auto"/>
        <w:rPr>
          <w:rFonts w:eastAsia="宋体"/>
          <w:highlight w:val="none"/>
        </w:rPr>
        <w:outlineLvl w:val="1"/>
      </w:pPr>
      <w:r>
        <w:rPr>
          <w:rFonts w:hint="eastAsia" w:ascii="宋体" w:hAnsi="宋体" w:eastAsia="宋体" w:cs="宋体"/>
          <w:b/>
          <w:sz w:val="36"/>
          <w:szCs w:val="36"/>
          <w:highlight w:val="none"/>
        </w:rPr>
        <w:t xml:space="preserve">供应商名称 ：</w:t>
      </w:r>
      <w:r>
        <w:rPr>
          <w:rFonts w:hint="eastAsia" w:ascii="宋体" w:hAnsi="宋体" w:eastAsia="宋体" w:cs="宋体"/>
          <w:b/>
          <w:sz w:val="36"/>
          <w:szCs w:val="36"/>
          <w:highlight w:val="none"/>
          <w:u w:val="single"/>
        </w:rPr>
        <w:t xml:space="preserve">（加盖CA电子公章）        </w:t>
      </w:r>
      <w:r/>
    </w:p>
    <w:p>
      <w:pPr>
        <w:pStyle w:val="821"/>
        <w:jc w:val="both"/>
        <w:spacing w:beforeAutospacing="0" w:afterAutospacing="0" w:line="480" w:lineRule="auto"/>
        <w:rPr>
          <w:rFonts w:eastAsia="宋体"/>
          <w:highlight w:val="none"/>
        </w:rPr>
      </w:pPr>
      <w:r>
        <w:rPr>
          <w:rFonts w:hint="eastAsia" w:ascii="宋体" w:hAnsi="宋体" w:eastAsia="宋体" w:cs="宋体"/>
          <w:b/>
          <w:sz w:val="36"/>
          <w:szCs w:val="36"/>
          <w:highlight w:val="none"/>
        </w:rPr>
        <w:t xml:space="preserve">日   期 ：</w:t>
      </w:r>
      <w:r>
        <w:rPr>
          <w:rFonts w:hint="eastAsia" w:ascii="宋体" w:hAnsi="宋体" w:eastAsia="宋体" w:cs="宋体"/>
          <w:b/>
          <w:sz w:val="36"/>
          <w:szCs w:val="36"/>
          <w:highlight w:val="none"/>
          <w:u w:val="single"/>
        </w:rPr>
        <w:t xml:space="preserve">                </w:t>
      </w:r>
      <w:r/>
    </w:p>
    <w:p>
      <w:pPr>
        <w:spacing w:line="48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br w:type="page" w:clear="all"/>
      </w:r>
      <w:r/>
    </w:p>
    <w:p>
      <w:pPr>
        <w:pStyle w:val="821"/>
        <w:jc w:val="center"/>
        <w:spacing w:beforeAutospacing="0" w:afterAutospacing="0" w:line="0" w:lineRule="atLeast"/>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响应文件目录</w:t>
      </w:r>
      <w:r/>
    </w:p>
    <w:p>
      <w:pPr>
        <w:pStyle w:val="821"/>
        <w:jc w:val="center"/>
        <w:spacing w:beforeAutospacing="0" w:afterAutospacing="0" w:line="0" w:lineRule="atLeast"/>
        <w:rPr>
          <w:highlight w:val="none"/>
        </w:rPr>
      </w:pPr>
      <w:r>
        <w:rPr>
          <w:highlight w:val="none"/>
        </w:rPr>
        <w:t xml:space="preserve"> </w:t>
      </w:r>
      <w:r/>
    </w:p>
    <w:p>
      <w:pPr>
        <w:pStyle w:val="821"/>
        <w:ind w:left="480"/>
        <w:jc w:val="both"/>
        <w:spacing w:beforeAutospacing="0" w:afterAutospacing="0" w:line="440" w:lineRule="exact"/>
        <w:rPr>
          <w:rFonts w:hint="eastAsia" w:asciiTheme="minorEastAsia" w:hAnsiTheme="minorEastAsia" w:cstheme="minorEastAsia"/>
          <w:iCs/>
          <w:highlight w:val="none"/>
          <w:u w:val="single"/>
        </w:rPr>
        <w:outlineLvl w:val="1"/>
      </w:pPr>
      <w:r>
        <w:rPr>
          <w:rFonts w:hint="eastAsia" w:asciiTheme="minorEastAsia" w:hAnsiTheme="minorEastAsia" w:cstheme="minorEastAsia"/>
          <w:iCs/>
          <w:highlight w:val="none"/>
          <w:u w:val="single"/>
        </w:rPr>
        <w:t xml:space="preserve">一、法人或者其他组织的营业执照等证明文件，自然人的身份证明</w:t>
      </w:r>
      <w:r/>
    </w:p>
    <w:p>
      <w:pPr>
        <w:pStyle w:val="821"/>
        <w:jc w:val="both"/>
        <w:spacing w:beforeAutospacing="0" w:afterAutospacing="0" w:line="440" w:lineRule="exact"/>
        <w:rPr>
          <w:rFonts w:hint="eastAsia" w:asciiTheme="minorEastAsia" w:hAnsiTheme="minorEastAsia" w:cstheme="minorEastAsia"/>
          <w:iCs/>
          <w:highlight w:val="none"/>
          <w:u w:val="single"/>
        </w:rPr>
      </w:pPr>
      <w:r>
        <w:rPr>
          <w:rFonts w:hint="eastAsia" w:asciiTheme="minorEastAsia" w:hAnsiTheme="minorEastAsia" w:cstheme="minorEastAsia"/>
          <w:iCs/>
          <w:highlight w:val="none"/>
          <w:u w:val="single"/>
        </w:rPr>
        <w:t xml:space="preserve">    二、上一年度的财务状况报告（至少提供资产负债表、利润表、现金流量表，磋商供应商成立不满一年无需提供）</w:t>
      </w:r>
      <w:r/>
    </w:p>
    <w:p>
      <w:pPr>
        <w:pStyle w:val="821"/>
        <w:ind w:left="480"/>
        <w:jc w:val="both"/>
        <w:spacing w:beforeAutospacing="0" w:afterAutospacing="0" w:line="440" w:lineRule="exact"/>
        <w:rPr>
          <w:rFonts w:hint="eastAsia" w:asciiTheme="minorEastAsia" w:hAnsiTheme="minorEastAsia" w:cstheme="minorEastAsia"/>
          <w:iCs/>
          <w:highlight w:val="none"/>
          <w:u w:val="single"/>
        </w:rPr>
        <w:outlineLvl w:val="1"/>
      </w:pPr>
      <w:r>
        <w:rPr>
          <w:rFonts w:hint="eastAsia" w:asciiTheme="minorEastAsia" w:hAnsiTheme="minorEastAsia" w:cstheme="minorEastAsia"/>
          <w:iCs/>
          <w:highlight w:val="none"/>
          <w:u w:val="single"/>
        </w:rPr>
        <w:t xml:space="preserve">三、具备履行合同所必需的设备和专业技术能力的书面声明</w:t>
      </w:r>
      <w:r/>
    </w:p>
    <w:p>
      <w:pPr>
        <w:pStyle w:val="821"/>
        <w:ind w:firstLine="480"/>
        <w:jc w:val="both"/>
        <w:spacing w:beforeAutospacing="0" w:afterAutospacing="0" w:line="440" w:lineRule="exact"/>
        <w:rPr>
          <w:rFonts w:hint="eastAsia" w:asciiTheme="minorEastAsia" w:hAnsiTheme="minorEastAsia" w:cstheme="minorEastAsia"/>
          <w:iCs/>
          <w:highlight w:val="none"/>
          <w:u w:val="single"/>
        </w:rPr>
      </w:pPr>
      <w:r>
        <w:rPr>
          <w:rFonts w:hint="eastAsia" w:asciiTheme="minorEastAsia" w:hAnsiTheme="minorEastAsia" w:cstheme="minorEastAsia"/>
          <w:iCs/>
          <w:highlight w:val="none"/>
          <w:u w:val="single"/>
        </w:rPr>
        <w:t xml:space="preserve">四、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pStyle w:val="821"/>
        <w:ind w:firstLine="480"/>
        <w:jc w:val="both"/>
        <w:spacing w:beforeAutospacing="0" w:afterAutospacing="0" w:line="440" w:lineRule="exact"/>
        <w:rPr>
          <w:rFonts w:hint="eastAsia" w:asciiTheme="minorEastAsia" w:hAnsiTheme="minorEastAsia" w:cstheme="minorEastAsia"/>
          <w:iCs/>
          <w:highlight w:val="none"/>
          <w:u w:val="single"/>
        </w:rPr>
      </w:pPr>
      <w:r>
        <w:rPr>
          <w:rFonts w:hint="eastAsia" w:asciiTheme="minorEastAsia" w:hAnsiTheme="minorEastAsia" w:cstheme="minorEastAsia"/>
          <w:iCs/>
          <w:highlight w:val="none"/>
          <w:u w:val="single"/>
        </w:rPr>
        <w:t xml:space="preserve">五、参加政府采购活动前 3 年内在经营活动中没有重大违法记录的书面声明</w:t>
      </w:r>
      <w:r/>
    </w:p>
    <w:p>
      <w:pPr>
        <w:pStyle w:val="821"/>
        <w:ind w:firstLine="480"/>
        <w:jc w:val="both"/>
        <w:spacing w:beforeAutospacing="0" w:afterAutospacing="0" w:line="440" w:lineRule="exact"/>
        <w:rPr>
          <w:rFonts w:hint="eastAsia" w:asciiTheme="minorEastAsia" w:hAnsiTheme="minorEastAsia" w:cstheme="minorEastAsia"/>
          <w:iCs/>
          <w:highlight w:val="none"/>
          <w:u w:val="single"/>
        </w:rPr>
      </w:pPr>
      <w:r>
        <w:rPr>
          <w:rFonts w:hint="eastAsia" w:asciiTheme="minorEastAsia" w:hAnsiTheme="minorEastAsia" w:cstheme="minorEastAsia"/>
          <w:iCs/>
          <w:highlight w:val="none"/>
          <w:u w:val="single"/>
        </w:rPr>
        <w:t xml:space="preserve">六、特定资格要求的证明文件（如果本项目设置特定资格要求，则需要提供）</w:t>
      </w:r>
      <w:r/>
    </w:p>
    <w:p>
      <w:pPr>
        <w:ind w:firstLine="482"/>
        <w:spacing w:line="479" w:lineRule="atLeast"/>
        <w:rPr>
          <w:rFonts w:hint="eastAsia" w:ascii="宋体" w:hAnsi="宋体" w:eastAsia="宋体" w:cs="宋体"/>
          <w:iCs/>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Cs/>
          <w:color w:val="000000"/>
          <w:sz w:val="24"/>
          <w:highlight w:val="none"/>
          <w:u w:val="single"/>
        </w:rPr>
        <w:t xml:space="preserve">（1）投标人有效的资质证书；</w:t>
      </w:r>
      <w:r/>
    </w:p>
    <w:p>
      <w:pPr>
        <w:ind w:firstLine="482"/>
        <w:spacing w:line="479" w:lineRule="atLeast"/>
        <w:rPr>
          <w:rFonts w:hint="eastAsia" w:ascii="宋体" w:hAnsi="宋体" w:eastAsia="宋体" w:cs="宋体"/>
          <w:iCs/>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Cs/>
          <w:color w:val="000000"/>
          <w:sz w:val="24"/>
          <w:highlight w:val="none"/>
          <w:u w:val="single"/>
        </w:rPr>
        <w:t xml:space="preserve">（2）投标人有效的安全生产许可证；</w:t>
      </w:r>
      <w:r/>
    </w:p>
    <w:p>
      <w:pPr>
        <w:ind w:firstLine="482"/>
        <w:spacing w:line="479" w:lineRule="atLeast"/>
        <w:rPr>
          <w:rFonts w:hint="eastAsia" w:ascii="宋体" w:hAnsi="宋体" w:eastAsia="宋体" w:cs="宋体"/>
          <w:iCs/>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Cs/>
          <w:color w:val="000000"/>
          <w:sz w:val="24"/>
          <w:highlight w:val="none"/>
          <w:u w:val="single"/>
        </w:rPr>
        <w:t xml:space="preserve">（3）投标项目负责人有效的安全生产考核合格证（B 类）；</w:t>
      </w:r>
      <w:r/>
    </w:p>
    <w:p>
      <w:pPr>
        <w:ind w:firstLine="482"/>
        <w:spacing w:line="479" w:lineRule="atLeast"/>
        <w:rPr>
          <w:rFonts w:hint="eastAsia" w:ascii="宋体" w:hAnsi="宋体" w:eastAsia="宋体" w:cs="宋体"/>
          <w:iCs/>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Cs/>
          <w:color w:val="000000"/>
          <w:sz w:val="24"/>
          <w:highlight w:val="none"/>
          <w:u w:val="single"/>
        </w:rPr>
        <w:t xml:space="preserve">（4）投标项目负责人有效的建造师注册证书；</w:t>
      </w:r>
      <w:r/>
    </w:p>
    <w:p>
      <w:pPr>
        <w:ind w:firstLine="482"/>
        <w:spacing w:line="479" w:lineRule="atLeast"/>
        <w:rPr>
          <w:rFonts w:hint="eastAsia" w:ascii="宋体" w:hAnsi="宋体" w:eastAsia="宋体" w:cs="宋体"/>
          <w:iCs/>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Cs/>
          <w:color w:val="000000"/>
          <w:sz w:val="24"/>
          <w:highlight w:val="none"/>
          <w:u w:val="single"/>
        </w:rPr>
        <w:t xml:space="preserve">（5）投标申请人代理人及投标承诺的项目负责人均为本单位的正式职工，投标时提供从2026年8月开始至投标截止之日当月内至少1个月在本单位缴纳养老保险缴费记录证明（退休人员提供在本单位相关证明）。</w:t>
      </w:r>
      <w:r/>
    </w:p>
    <w:p>
      <w:pPr>
        <w:ind w:firstLine="482"/>
        <w:spacing w:line="479" w:lineRule="atLeast"/>
        <w:rPr>
          <w:rFonts w:hint="eastAsia" w:asciiTheme="minorEastAsia" w:hAnsiTheme="minorEastAsia" w:cstheme="minorEastAsia"/>
          <w:iCs/>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Cs/>
          <w:color w:val="000000"/>
          <w:sz w:val="24"/>
          <w:highlight w:val="none"/>
          <w:u w:val="single"/>
        </w:rPr>
        <w:t xml:space="preserve">（6）项目负责人无在岗项目承诺书</w:t>
      </w:r>
      <w:r/>
    </w:p>
    <w:p>
      <w:pPr>
        <w:pStyle w:val="821"/>
        <w:ind w:firstLine="480"/>
        <w:jc w:val="both"/>
        <w:spacing w:beforeAutospacing="0" w:afterAutospacing="0" w:line="440" w:lineRule="exact"/>
        <w:rPr>
          <w:rFonts w:hint="eastAsia" w:asciiTheme="minorEastAsia" w:hAnsiTheme="minorEastAsia" w:cstheme="minorEastAsia"/>
          <w:iCs/>
          <w:highlight w:val="none"/>
          <w:u w:val="single"/>
        </w:rPr>
      </w:pPr>
      <w:r>
        <w:rPr>
          <w:rFonts w:hint="eastAsia" w:asciiTheme="minorEastAsia" w:hAnsiTheme="minorEastAsia" w:cstheme="minorEastAsia"/>
          <w:iCs/>
          <w:highlight w:val="none"/>
          <w:u w:val="single"/>
        </w:rPr>
        <w:t xml:space="preserve">七、法人授权书</w:t>
      </w:r>
      <w:r/>
    </w:p>
    <w:p>
      <w:pPr>
        <w:pStyle w:val="821"/>
        <w:ind w:firstLine="480"/>
        <w:jc w:val="both"/>
        <w:spacing w:beforeAutospacing="0" w:afterAutospacing="0" w:line="440" w:lineRule="exact"/>
        <w:rPr>
          <w:rFonts w:hint="eastAsia" w:asciiTheme="minorEastAsia" w:hAnsiTheme="minorEastAsia" w:cstheme="minorEastAsia"/>
          <w:iCs/>
          <w:highlight w:val="none"/>
          <w:u w:val="single"/>
        </w:rPr>
      </w:pPr>
      <w:r>
        <w:rPr>
          <w:rFonts w:hint="eastAsia" w:asciiTheme="minorEastAsia" w:hAnsiTheme="minorEastAsia" w:cstheme="minorEastAsia"/>
          <w:iCs/>
          <w:highlight w:val="none"/>
          <w:u w:val="single"/>
        </w:rPr>
        <w:t xml:space="preserve">八、磋商响应函</w:t>
      </w:r>
      <w:r/>
    </w:p>
    <w:p>
      <w:pPr>
        <w:pStyle w:val="821"/>
        <w:ind w:firstLine="480"/>
        <w:jc w:val="both"/>
        <w:spacing w:beforeAutospacing="0" w:afterAutospacing="0" w:line="440" w:lineRule="exact"/>
        <w:rPr>
          <w:rFonts w:hint="eastAsia" w:asciiTheme="minorEastAsia" w:hAnsiTheme="minorEastAsia" w:cstheme="minorEastAsia"/>
          <w:iCs/>
          <w:highlight w:val="none"/>
        </w:rPr>
      </w:pPr>
      <w:r>
        <w:rPr>
          <w:rFonts w:hint="eastAsia" w:asciiTheme="minorEastAsia" w:hAnsiTheme="minorEastAsia" w:cstheme="minorEastAsia"/>
          <w:iCs/>
          <w:highlight w:val="none"/>
        </w:rPr>
        <w:t xml:space="preserve">九、中小企业声明函</w:t>
      </w:r>
      <w:r/>
    </w:p>
    <w:p>
      <w:pPr>
        <w:pStyle w:val="821"/>
        <w:ind w:firstLine="480"/>
        <w:jc w:val="both"/>
        <w:spacing w:beforeAutospacing="0" w:afterAutospacing="0" w:line="440" w:lineRule="exact"/>
        <w:rPr>
          <w:rFonts w:hint="eastAsia" w:asciiTheme="minorEastAsia" w:hAnsiTheme="minorEastAsia" w:cstheme="minorEastAsia"/>
          <w:iCs/>
          <w:highlight w:val="none"/>
        </w:rPr>
      </w:pPr>
      <w:r>
        <w:rPr>
          <w:rFonts w:hint="eastAsia" w:asciiTheme="minorEastAsia" w:hAnsiTheme="minorEastAsia" w:cstheme="minorEastAsia"/>
          <w:iCs/>
          <w:highlight w:val="none"/>
        </w:rPr>
        <w:t xml:space="preserve">十、残疾人福利性单位声明函</w:t>
      </w:r>
      <w:r/>
    </w:p>
    <w:p>
      <w:pPr>
        <w:pStyle w:val="821"/>
        <w:ind w:firstLine="480"/>
        <w:jc w:val="both"/>
        <w:spacing w:beforeAutospacing="0" w:afterAutospacing="0" w:line="440" w:lineRule="exact"/>
        <w:rPr>
          <w:rFonts w:hint="eastAsia" w:asciiTheme="minorEastAsia" w:hAnsiTheme="minorEastAsia" w:cstheme="minorEastAsia"/>
          <w:iCs/>
          <w:highlight w:val="none"/>
        </w:rPr>
      </w:pPr>
      <w:r>
        <w:rPr>
          <w:rFonts w:hint="eastAsia" w:asciiTheme="minorEastAsia" w:hAnsiTheme="minorEastAsia" w:cstheme="minorEastAsia"/>
          <w:iCs/>
          <w:highlight w:val="none"/>
        </w:rPr>
        <w:t xml:space="preserve">十一、已标价的工程量清单报价表</w:t>
      </w:r>
      <w:r/>
    </w:p>
    <w:p>
      <w:pPr>
        <w:pStyle w:val="821"/>
        <w:ind w:firstLine="480"/>
        <w:jc w:val="both"/>
        <w:spacing w:beforeAutospacing="0" w:afterAutospacing="0" w:line="440" w:lineRule="exact"/>
        <w:rPr>
          <w:rFonts w:hint="eastAsia" w:asciiTheme="minorEastAsia" w:hAnsiTheme="minorEastAsia" w:cstheme="minorEastAsia"/>
          <w:iCs/>
          <w:highlight w:val="none"/>
        </w:rPr>
      </w:pPr>
      <w:r>
        <w:rPr>
          <w:rFonts w:hint="eastAsia" w:asciiTheme="minorEastAsia" w:hAnsiTheme="minorEastAsia" w:cstheme="minorEastAsia"/>
          <w:iCs/>
          <w:highlight w:val="none"/>
        </w:rPr>
        <w:t xml:space="preserve">十二、技术要求响应及偏离表</w:t>
      </w:r>
      <w:r/>
    </w:p>
    <w:p>
      <w:pPr>
        <w:pStyle w:val="821"/>
        <w:ind w:firstLine="480"/>
        <w:jc w:val="both"/>
        <w:spacing w:beforeAutospacing="0" w:afterAutospacing="0" w:line="440" w:lineRule="exact"/>
        <w:rPr>
          <w:rFonts w:hint="eastAsia" w:asciiTheme="minorEastAsia" w:hAnsiTheme="minorEastAsia" w:cstheme="minorEastAsia"/>
          <w:iCs/>
          <w:highlight w:val="none"/>
        </w:rPr>
      </w:pPr>
      <w:r>
        <w:rPr>
          <w:rFonts w:hint="eastAsia" w:asciiTheme="minorEastAsia" w:hAnsiTheme="minorEastAsia" w:cstheme="minorEastAsia"/>
          <w:iCs/>
          <w:highlight w:val="none"/>
        </w:rPr>
        <w:t xml:space="preserve">十三、商务要求响应及偏离表</w:t>
      </w:r>
      <w:r/>
    </w:p>
    <w:p>
      <w:pPr>
        <w:pStyle w:val="821"/>
        <w:ind w:left="480"/>
        <w:jc w:val="both"/>
        <w:spacing w:beforeAutospacing="0" w:afterAutospacing="0" w:line="440" w:lineRule="exact"/>
        <w:rPr>
          <w:rFonts w:hint="eastAsia" w:asciiTheme="minorEastAsia" w:hAnsiTheme="minorEastAsia" w:cstheme="minorEastAsia"/>
          <w:i/>
          <w:highlight w:val="none"/>
          <w:u w:val="single"/>
        </w:rPr>
      </w:pPr>
      <w:r>
        <w:rPr>
          <w:rFonts w:hint="eastAsia" w:asciiTheme="minorEastAsia" w:hAnsiTheme="minorEastAsia" w:cstheme="minorEastAsia"/>
          <w:i/>
          <w:highlight w:val="none"/>
          <w:u w:val="single"/>
        </w:rPr>
        <w:t xml:space="preserve">十四、磋商报价表</w:t>
      </w:r>
      <w:r/>
    </w:p>
    <w:p>
      <w:pPr>
        <w:ind w:firstLine="480"/>
        <w:spacing w:before="50" w:after="50" w:line="440" w:lineRule="exact"/>
        <w:widowControl/>
        <w:rPr>
          <w:rFonts w:hint="eastAsia" w:asciiTheme="minorEastAsia" w:hAnsiTheme="minorEastAsia" w:cstheme="minorEastAsia"/>
          <w:iCs/>
          <w:sz w:val="24"/>
          <w:highlight w:val="none"/>
        </w:rPr>
      </w:pPr>
      <w:r>
        <w:rPr>
          <w:rFonts w:hint="eastAsia" w:asciiTheme="minorEastAsia" w:hAnsiTheme="minorEastAsia" w:cstheme="minorEastAsia"/>
          <w:iCs/>
          <w:sz w:val="24"/>
          <w:highlight w:val="none"/>
        </w:rPr>
        <w:t xml:space="preserve">十五、实施方案</w:t>
      </w:r>
      <w:r/>
    </w:p>
    <w:p>
      <w:pPr>
        <w:pStyle w:val="821"/>
        <w:ind w:firstLine="480"/>
        <w:jc w:val="both"/>
        <w:spacing w:beforeAutospacing="0" w:afterAutospacing="0" w:line="440" w:lineRule="exact"/>
        <w:rPr>
          <w:rFonts w:hint="eastAsia" w:asciiTheme="minorEastAsia" w:hAnsiTheme="minorEastAsia" w:cstheme="minorEastAsia"/>
          <w:iCs/>
          <w:highlight w:val="none"/>
        </w:rPr>
      </w:pPr>
      <w:r>
        <w:rPr>
          <w:rFonts w:hint="eastAsia" w:asciiTheme="minorEastAsia" w:hAnsiTheme="minorEastAsia" w:cstheme="minorEastAsia"/>
          <w:iCs/>
          <w:highlight w:val="none"/>
        </w:rPr>
        <w:t xml:space="preserve">十六、盐都区政府采购事前信用承诺书</w:t>
      </w:r>
      <w:r/>
    </w:p>
    <w:p>
      <w:pPr>
        <w:rPr>
          <w:rFonts w:hint="eastAsia" w:ascii="黑体" w:hAnsi="宋体" w:eastAsia="黑体" w:cs="黑体"/>
          <w:i/>
          <w:sz w:val="32"/>
          <w:szCs w:val="32"/>
          <w:highlight w:val="none"/>
          <w:u w:val="single"/>
        </w:rPr>
      </w:pPr>
      <w:r>
        <w:rPr>
          <w:rFonts w:hint="eastAsia" w:ascii="黑体" w:hAnsi="宋体" w:eastAsia="黑体" w:cs="黑体"/>
          <w:i/>
          <w:sz w:val="32"/>
          <w:szCs w:val="32"/>
          <w:highlight w:val="none"/>
          <w:u w:val="single"/>
        </w:rPr>
        <w:br w:type="page" w:clear="all"/>
      </w:r>
      <w:r>
        <w:rPr>
          <w:rFonts w:hint="eastAsia" w:ascii="黑体" w:hAnsi="宋体" w:eastAsia="黑体" w:cs="黑体"/>
          <w:i/>
          <w:sz w:val="32"/>
          <w:szCs w:val="32"/>
          <w:highlight w:val="none"/>
          <w:u w:val="single"/>
        </w:rPr>
        <w:t xml:space="preserve">一、法人或者其他组织的营业执照等证明文件，自然人的身份证明</w:t>
      </w:r>
      <w:r/>
    </w:p>
    <w:p>
      <w:pPr>
        <w:pStyle w:val="821"/>
        <w:jc w:val="center"/>
        <w:spacing w:beforeAutospacing="0" w:afterAutospacing="0"/>
        <w:rPr>
          <w:rFonts w:eastAsia="黑体"/>
          <w:highlight w:val="none"/>
        </w:rPr>
      </w:pPr>
      <w:r>
        <w:rPr>
          <w:rFonts w:eastAsia="黑体"/>
          <w:highlight w:val="none"/>
        </w:rPr>
      </w:r>
      <w:r/>
    </w:p>
    <w:p>
      <w:pPr>
        <w:pStyle w:val="821"/>
        <w:jc w:val="left"/>
        <w:spacing w:beforeAutospacing="0" w:afterAutospacing="0"/>
        <w:rPr>
          <w:rFonts w:hint="eastAsia" w:ascii="黑体" w:hAnsi="宋体" w:eastAsia="黑体" w:cs="黑体"/>
          <w:bCs/>
          <w:i/>
          <w:sz w:val="32"/>
          <w:szCs w:val="32"/>
          <w:highlight w:val="none"/>
          <w:u w:val="single"/>
        </w:rPr>
      </w:pPr>
      <w:r>
        <w:rPr>
          <w:rFonts w:hint="eastAsia" w:ascii="黑体" w:hAnsi="宋体" w:eastAsia="黑体" w:cs="黑体"/>
          <w:bCs/>
          <w:i/>
          <w:sz w:val="32"/>
          <w:szCs w:val="32"/>
          <w:highlight w:val="none"/>
          <w:u w:val="single"/>
        </w:rPr>
      </w:r>
      <w:r/>
    </w:p>
    <w:p>
      <w:pPr>
        <w:pStyle w:val="821"/>
        <w:jc w:val="left"/>
        <w:spacing w:beforeAutospacing="0" w:afterAutospacing="0"/>
        <w:rPr>
          <w:rFonts w:hint="eastAsia" w:ascii="黑体" w:hAnsi="宋体" w:eastAsia="黑体" w:cs="黑体"/>
          <w:bCs/>
          <w:i/>
          <w:sz w:val="32"/>
          <w:szCs w:val="32"/>
          <w:highlight w:val="none"/>
          <w:u w:val="single"/>
        </w:rPr>
      </w:pPr>
      <w:r>
        <w:rPr>
          <w:rFonts w:hint="eastAsia" w:ascii="黑体" w:hAnsi="宋体" w:eastAsia="黑体" w:cs="黑体"/>
          <w:i/>
          <w:sz w:val="32"/>
          <w:szCs w:val="32"/>
          <w:highlight w:val="none"/>
          <w:u w:val="single"/>
        </w:rPr>
        <w:t xml:space="preserve">二、上一年度的财务状况报告</w:t>
      </w:r>
      <w:r/>
    </w:p>
    <w:p>
      <w:pPr>
        <w:pStyle w:val="821"/>
        <w:jc w:val="left"/>
        <w:spacing w:beforeAutospacing="0" w:afterAutospacing="0"/>
        <w:rPr>
          <w:rFonts w:hint="eastAsia" w:ascii="黑体" w:hAnsi="宋体" w:eastAsia="黑体" w:cs="黑体"/>
          <w:bCs/>
          <w:i/>
          <w:sz w:val="32"/>
          <w:szCs w:val="32"/>
          <w:highlight w:val="none"/>
          <w:u w:val="single"/>
        </w:rPr>
      </w:pPr>
      <w:r>
        <w:rPr>
          <w:rFonts w:hint="eastAsia" w:asciiTheme="minorEastAsia" w:hAnsiTheme="minorEastAsia" w:cstheme="minorEastAsia"/>
          <w:iCs/>
          <w:highlight w:val="none"/>
          <w:u w:val="single"/>
        </w:rPr>
        <w:t xml:space="preserve">（至少提供资产负债表、利润表、现金流量表，磋商供应商成立不满一年无需提供）</w:t>
      </w:r>
      <w:r/>
    </w:p>
    <w:p>
      <w:pPr>
        <w:pStyle w:val="821"/>
        <w:ind w:firstLine="480"/>
        <w:jc w:val="both"/>
        <w:spacing w:beforeAutospacing="0" w:afterAutospacing="0" w:line="0" w:lineRule="atLeast"/>
        <w:rPr>
          <w:rFonts w:eastAsia="宋体"/>
          <w:highlight w:val="none"/>
        </w:rPr>
      </w:pPr>
      <w:r>
        <w:rPr>
          <w:rFonts w:eastAsia="宋体"/>
          <w:highlight w:val="none"/>
        </w:rPr>
      </w:r>
      <w:r/>
    </w:p>
    <w:p>
      <w:pPr>
        <w:pStyle w:val="821"/>
        <w:jc w:val="left"/>
        <w:spacing w:beforeAutospacing="0" w:afterAutospacing="0"/>
        <w:rPr>
          <w:highlight w:val="none"/>
        </w:rPr>
        <w:outlineLvl w:val="1"/>
      </w:pPr>
      <w:r>
        <w:rPr>
          <w:highlight w:val="none"/>
        </w:rPr>
      </w:r>
      <w:r/>
    </w:p>
    <w:p>
      <w:pPr>
        <w:pStyle w:val="821"/>
        <w:jc w:val="left"/>
        <w:spacing w:beforeAutospacing="0" w:afterAutospacing="0"/>
        <w:rPr>
          <w:rFonts w:hint="eastAsia" w:ascii="黑体" w:hAnsi="宋体" w:eastAsia="黑体" w:cs="黑体"/>
          <w:bCs/>
          <w:i/>
          <w:sz w:val="32"/>
          <w:szCs w:val="32"/>
          <w:highlight w:val="none"/>
          <w:u w:val="single"/>
        </w:rPr>
        <w:outlineLvl w:val="1"/>
      </w:pPr>
      <w:r>
        <w:rPr>
          <w:rFonts w:hint="eastAsia" w:ascii="黑体" w:hAnsi="宋体" w:eastAsia="黑体" w:cs="黑体"/>
          <w:i/>
          <w:sz w:val="32"/>
          <w:szCs w:val="32"/>
          <w:highlight w:val="none"/>
          <w:u w:val="single"/>
        </w:rPr>
        <w:t xml:space="preserve">三、具备履行合同所必需的设备和专业技术能力的书面声明</w:t>
      </w:r>
      <w:r/>
    </w:p>
    <w:p>
      <w:pPr>
        <w:pStyle w:val="821"/>
        <w:ind w:firstLine="492"/>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21"/>
        <w:ind w:firstLine="492"/>
        <w:jc w:val="both"/>
        <w:spacing w:beforeAutospacing="0" w:afterAutospacing="0" w:line="480" w:lineRule="auto"/>
        <w:rPr>
          <w:highlight w:val="none"/>
        </w:rPr>
      </w:pPr>
      <w:r>
        <w:rPr>
          <w:rFonts w:hint="eastAsia" w:ascii="宋体" w:hAnsi="宋体" w:eastAsia="宋体" w:cs="宋体"/>
          <w:highlight w:val="none"/>
        </w:rPr>
        <w:t xml:space="preserve">我单位郑重声明：我单位具备履行本项采购合同所必需的设备和专业技术能力，为履行本项采购合同我公司具备如下主要设备和主要专业技术能力：</w:t>
      </w:r>
      <w:r/>
    </w:p>
    <w:p>
      <w:pPr>
        <w:pStyle w:val="821"/>
        <w:ind w:firstLine="492"/>
        <w:jc w:val="both"/>
        <w:spacing w:beforeAutospacing="0" w:afterAutospacing="0" w:line="480" w:lineRule="auto"/>
        <w:rPr>
          <w:highlight w:val="none"/>
        </w:rPr>
      </w:pPr>
      <w:r>
        <w:rPr>
          <w:rFonts w:hint="eastAsia" w:ascii="宋体" w:hAnsi="宋体" w:eastAsia="宋体" w:cs="宋体"/>
          <w:highlight w:val="none"/>
        </w:rPr>
        <w:t xml:space="preserve">主要设备有：</w:t>
      </w:r>
      <w:r>
        <w:rPr>
          <w:rFonts w:hint="eastAsia" w:ascii="宋体" w:hAnsi="宋体" w:eastAsia="宋体" w:cs="宋体"/>
          <w:highlight w:val="none"/>
          <w:u w:val="single"/>
        </w:rPr>
        <w:t xml:space="preserve">  </w:t>
      </w:r>
      <w:r>
        <w:rPr>
          <w:rFonts w:hint="eastAsia" w:ascii="宋体" w:hAnsi="宋体" w:eastAsia="宋体" w:cs="宋体"/>
          <w:highlight w:val="none"/>
        </w:rPr>
        <w:t xml:space="preserve">。</w:t>
      </w:r>
      <w:r/>
    </w:p>
    <w:p>
      <w:pPr>
        <w:pStyle w:val="821"/>
        <w:ind w:firstLine="480"/>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t xml:space="preserve">主要专业技术能力有：</w:t>
      </w:r>
      <w:r>
        <w:rPr>
          <w:rFonts w:hint="eastAsia" w:ascii="宋体" w:hAnsi="宋体" w:eastAsia="宋体" w:cs="宋体"/>
          <w:highlight w:val="none"/>
          <w:u w:val="single"/>
        </w:rPr>
        <w:t xml:space="preserve">   </w:t>
      </w:r>
      <w:r>
        <w:rPr>
          <w:rFonts w:hint="eastAsia" w:ascii="宋体" w:hAnsi="宋体" w:eastAsia="宋体" w:cs="宋体"/>
          <w:highlight w:val="none"/>
        </w:rPr>
        <w:t xml:space="preserve">。</w:t>
      </w:r>
      <w:r/>
    </w:p>
    <w:p>
      <w:pPr>
        <w:pStyle w:val="821"/>
        <w:jc w:val="left"/>
        <w:spacing w:beforeAutospacing="0" w:afterAutospacing="0"/>
        <w:rPr>
          <w:highlight w:val="none"/>
        </w:rPr>
        <w:outlineLvl w:val="1"/>
      </w:pPr>
      <w:r>
        <w:rPr>
          <w:highlight w:val="none"/>
        </w:rPr>
      </w:r>
      <w:r/>
    </w:p>
    <w:p>
      <w:pPr>
        <w:pStyle w:val="821"/>
        <w:jc w:val="left"/>
        <w:spacing w:beforeAutospacing="0" w:afterAutospacing="0"/>
        <w:rPr>
          <w:rFonts w:hint="eastAsia" w:ascii="黑体" w:hAnsi="宋体" w:eastAsia="黑体" w:cs="黑体"/>
          <w:bCs/>
          <w:i/>
          <w:sz w:val="32"/>
          <w:szCs w:val="32"/>
          <w:highlight w:val="none"/>
          <w:u w:val="single"/>
        </w:rPr>
        <w:outlineLvl w:val="1"/>
      </w:pPr>
      <w:r>
        <w:rPr>
          <w:rFonts w:hint="eastAsia" w:ascii="黑体" w:hAnsi="宋体" w:eastAsia="黑体" w:cs="黑体"/>
          <w:i/>
          <w:sz w:val="32"/>
          <w:szCs w:val="32"/>
          <w:highlight w:val="none"/>
          <w:u w:val="single"/>
        </w:rPr>
        <w:t xml:space="preserve">四、依法缴纳税收和社会保障资金的相关材料</w:t>
      </w:r>
      <w:r/>
    </w:p>
    <w:p>
      <w:pPr>
        <w:pStyle w:val="821"/>
        <w:ind w:firstLine="480"/>
        <w:jc w:val="both"/>
        <w:spacing w:beforeAutospacing="0" w:afterAutospacing="0" w:line="360" w:lineRule="auto"/>
        <w:rPr>
          <w:highlight w:val="none"/>
        </w:rPr>
      </w:pPr>
      <w:r>
        <w:rPr>
          <w:rFonts w:hint="eastAsia" w:ascii="宋体" w:hAnsi="宋体" w:eastAsia="宋体" w:cs="宋体"/>
          <w:highlight w:val="none"/>
        </w:rPr>
        <w:t xml:space="preserve">提供提交响应文件截止时间前一年内至少一个月依法缴纳税收及缴纳社会保障资金的证明材料。供应商依法享受缓缴、免缴税收、社会保障资金的提供证明材料。</w:t>
      </w:r>
      <w:r/>
    </w:p>
    <w:p>
      <w:pPr>
        <w:pStyle w:val="821"/>
        <w:jc w:val="both"/>
        <w:spacing w:beforeAutospacing="0" w:afterAutospacing="0" w:line="0" w:lineRule="atLeast"/>
        <w:rPr>
          <w:highlight w:val="none"/>
        </w:rPr>
      </w:pPr>
      <w:r>
        <w:rPr>
          <w:rFonts w:hint="eastAsia" w:ascii="宋体" w:hAnsi="宋体" w:eastAsia="宋体" w:cs="宋体"/>
          <w:highlight w:val="none"/>
        </w:rPr>
        <w:t xml:space="preserve">                                     </w:t>
      </w:r>
      <w:r/>
    </w:p>
    <w:p>
      <w:pPr>
        <w:pStyle w:val="821"/>
        <w:jc w:val="both"/>
        <w:spacing w:beforeAutospacing="0" w:afterAutospacing="0"/>
        <w:rPr>
          <w:highlight w:val="none"/>
        </w:rPr>
      </w:pPr>
      <w:r>
        <w:rPr>
          <w:highlight w:val="none"/>
        </w:rPr>
        <w:t xml:space="preserve"> </w:t>
      </w:r>
      <w:r/>
    </w:p>
    <w:p>
      <w:pPr>
        <w:pStyle w:val="821"/>
        <w:jc w:val="center"/>
        <w:spacing w:beforeAutospacing="0" w:afterAutospacing="0"/>
        <w:rPr>
          <w:highlight w:val="none"/>
        </w:rPr>
        <w:outlineLvl w:val="1"/>
      </w:pPr>
      <w:r>
        <w:rPr>
          <w:rFonts w:hint="eastAsia" w:ascii="黑体" w:hAnsi="宋体" w:eastAsia="黑体" w:cs="黑体"/>
          <w:i/>
          <w:sz w:val="32"/>
          <w:szCs w:val="32"/>
          <w:highlight w:val="none"/>
          <w:u w:val="single"/>
        </w:rPr>
        <w:t xml:space="preserve">五、参加政府采购活动前 3 年内在经营活动中没有重大违法记录的书面声明</w:t>
      </w:r>
      <w:r/>
    </w:p>
    <w:p>
      <w:pPr>
        <w:pStyle w:val="821"/>
        <w:jc w:val="center"/>
        <w:spacing w:beforeAutospacing="0" w:afterAutospacing="0" w:line="0" w:lineRule="atLeast"/>
        <w:rPr>
          <w:rFonts w:hint="eastAsia" w:ascii="宋体" w:hAnsi="宋体" w:eastAsia="宋体" w:cs="宋体"/>
          <w:b/>
          <w:sz w:val="44"/>
          <w:szCs w:val="44"/>
          <w:highlight w:val="none"/>
        </w:rPr>
      </w:pPr>
      <w:r>
        <w:rPr>
          <w:rFonts w:hint="eastAsia" w:ascii="宋体" w:hAnsi="宋体" w:eastAsia="宋体" w:cs="宋体"/>
          <w:b/>
          <w:sz w:val="44"/>
          <w:szCs w:val="44"/>
          <w:highlight w:val="none"/>
        </w:rPr>
      </w:r>
      <w:r/>
    </w:p>
    <w:p>
      <w:pPr>
        <w:pStyle w:val="821"/>
        <w:jc w:val="center"/>
        <w:spacing w:beforeAutospacing="0" w:afterAutospacing="0" w:line="0" w:lineRule="atLeast"/>
        <w:rPr>
          <w:rFonts w:hint="eastAsia" w:ascii="宋体" w:hAnsi="宋体" w:eastAsia="宋体" w:cs="宋体"/>
          <w:b/>
          <w:sz w:val="44"/>
          <w:szCs w:val="44"/>
          <w:highlight w:val="none"/>
        </w:rPr>
      </w:pPr>
      <w:r>
        <w:rPr>
          <w:rFonts w:hint="eastAsia" w:ascii="宋体" w:hAnsi="宋体" w:eastAsia="宋体" w:cs="宋体"/>
          <w:b/>
          <w:sz w:val="44"/>
          <w:szCs w:val="44"/>
          <w:highlight w:val="none"/>
        </w:rPr>
      </w:r>
      <w:r/>
    </w:p>
    <w:p>
      <w:pPr>
        <w:pStyle w:val="821"/>
        <w:jc w:val="center"/>
        <w:spacing w:beforeAutospacing="0" w:afterAutospacing="0" w:line="0" w:lineRule="atLeast"/>
        <w:rPr>
          <w:highlight w:val="none"/>
        </w:rPr>
      </w:pPr>
      <w:r>
        <w:rPr>
          <w:rFonts w:hint="eastAsia" w:ascii="宋体" w:hAnsi="宋体" w:eastAsia="宋体" w:cs="宋体"/>
          <w:b/>
          <w:sz w:val="44"/>
          <w:szCs w:val="44"/>
          <w:highlight w:val="none"/>
        </w:rPr>
        <w:t xml:space="preserve">声  明</w:t>
      </w:r>
      <w:r/>
    </w:p>
    <w:p>
      <w:pPr>
        <w:pStyle w:val="821"/>
        <w:jc w:val="both"/>
        <w:spacing w:beforeAutospacing="0" w:afterAutospacing="0" w:line="0" w:lineRule="atLeast"/>
        <w:rPr>
          <w:rFonts w:hint="eastAsia" w:ascii="宋体" w:hAnsi="宋体" w:eastAsia="宋体" w:cs="宋体"/>
          <w:b/>
          <w:highlight w:val="none"/>
        </w:rPr>
      </w:pPr>
      <w:r>
        <w:rPr>
          <w:rFonts w:hint="eastAsia" w:ascii="宋体" w:hAnsi="宋体" w:eastAsia="宋体" w:cs="宋体"/>
          <w:b/>
          <w:highlight w:val="none"/>
        </w:rPr>
        <w:t xml:space="preserve">   </w:t>
      </w:r>
      <w:r/>
    </w:p>
    <w:p>
      <w:pPr>
        <w:pStyle w:val="821"/>
        <w:ind w:firstLine="480"/>
        <w:jc w:val="both"/>
        <w:spacing w:beforeAutospacing="0" w:afterAutospacing="0" w:line="360" w:lineRule="auto"/>
        <w:rPr>
          <w:highlight w:val="none"/>
        </w:rPr>
      </w:pPr>
      <w:r>
        <w:rPr>
          <w:rFonts w:hint="eastAsia" w:ascii="宋体" w:hAnsi="宋体" w:eastAsia="宋体" w:cs="宋体"/>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21"/>
        <w:jc w:val="left"/>
        <w:spacing w:beforeAutospacing="0" w:afterAutospacing="0"/>
        <w:rPr>
          <w:highlight w:val="none"/>
        </w:rPr>
        <w:outlineLvl w:val="1"/>
      </w:pPr>
      <w:r>
        <w:rPr>
          <w:rFonts w:hint="eastAsia" w:ascii="黑体" w:hAnsi="宋体" w:eastAsia="黑体" w:cs="黑体"/>
          <w:i/>
          <w:sz w:val="32"/>
          <w:szCs w:val="32"/>
          <w:highlight w:val="none"/>
          <w:u w:val="single"/>
        </w:rPr>
        <w:t xml:space="preserve">六、特定资格要求的证明文件</w:t>
      </w:r>
      <w:r/>
    </w:p>
    <w:p>
      <w:pPr>
        <w:pStyle w:val="82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21"/>
        <w:jc w:val="both"/>
        <w:spacing w:beforeAutospacing="0" w:afterAutospacing="0" w:line="0" w:lineRule="atLeast"/>
        <w:rPr>
          <w:highlight w:val="none"/>
        </w:rPr>
      </w:pPr>
      <w:r>
        <w:rPr>
          <w:rFonts w:hint="eastAsia" w:ascii="宋体" w:hAnsi="宋体" w:eastAsia="宋体" w:cs="宋体"/>
          <w:highlight w:val="none"/>
        </w:rPr>
        <w:t xml:space="preserve">如果本项目申请人的特定资格要求中要求提供的，必须提供。</w:t>
      </w:r>
      <w:r/>
    </w:p>
    <w:p>
      <w:pPr>
        <w:jc w:val="center"/>
        <w:widowControl/>
        <w:rPr>
          <w:highlight w:val="none"/>
        </w:rPr>
      </w:pPr>
      <w:r/>
      <w:bookmarkStart w:id="668" w:name="_Toc120614284"/>
      <w:r>
        <w:rPr>
          <w:rFonts w:hint="eastAsia" w:ascii="宋体" w:hAnsi="宋体" w:eastAsia="宋体" w:cs="宋体"/>
          <w:i/>
          <w:color w:val="000000"/>
          <w:sz w:val="32"/>
          <w:highlight w:val="none"/>
          <w:u w:val="single"/>
        </w:rPr>
        <w:t xml:space="preserve">项目负责人（项目经理）无在岗承诺书格式</w:t>
      </w:r>
      <w:r>
        <w:rPr>
          <w:rFonts w:hint="eastAsia" w:ascii="宋体" w:hAnsi="宋体" w:eastAsia="宋体" w:cs="宋体"/>
          <w:color w:val="000000"/>
          <w:sz w:val="28"/>
          <w:szCs w:val="28"/>
          <w:highlight w:val="none"/>
          <w:lang w:bidi="ar"/>
        </w:rPr>
        <w:t xml:space="preserve">：</w:t>
      </w:r>
      <w:r/>
    </w:p>
    <w:p>
      <w:pPr>
        <w:jc w:val="center"/>
        <w:widowControl/>
        <w:rPr>
          <w:rFonts w:hint="eastAsia" w:ascii="宋体" w:hAnsi="宋体" w:eastAsia="宋体" w:cs="宋体"/>
          <w:b/>
          <w:bCs/>
          <w:color w:val="000000"/>
          <w:sz w:val="32"/>
          <w:szCs w:val="32"/>
          <w:highlight w:val="none"/>
          <w:lang w:bidi="ar"/>
        </w:rPr>
      </w:pPr>
      <w:r>
        <w:rPr>
          <w:rFonts w:hint="eastAsia" w:ascii="宋体" w:hAnsi="宋体" w:eastAsia="宋体" w:cs="宋体"/>
          <w:b/>
          <w:bCs/>
          <w:color w:val="000000"/>
          <w:sz w:val="32"/>
          <w:szCs w:val="32"/>
          <w:highlight w:val="none"/>
          <w:lang w:bidi="ar"/>
        </w:rPr>
      </w:r>
      <w:r/>
    </w:p>
    <w:p>
      <w:pPr>
        <w:jc w:val="center"/>
        <w:widowControl/>
        <w:rPr>
          <w:sz w:val="32"/>
          <w:szCs w:val="32"/>
          <w:highlight w:val="none"/>
        </w:rPr>
      </w:pPr>
      <w:r>
        <w:rPr>
          <w:rFonts w:hint="eastAsia" w:ascii="宋体" w:hAnsi="宋体" w:eastAsia="宋体" w:cs="宋体"/>
          <w:b/>
          <w:bCs/>
          <w:color w:val="000000"/>
          <w:sz w:val="32"/>
          <w:szCs w:val="32"/>
          <w:highlight w:val="none"/>
          <w:lang w:bidi="ar"/>
        </w:rPr>
        <w:t xml:space="preserve">无在岗项目承诺书</w:t>
      </w:r>
      <w:r/>
    </w:p>
    <w:p>
      <w:pPr>
        <w:jc w:val="left"/>
        <w:spacing w:line="440" w:lineRule="exact"/>
        <w:widowControl/>
        <w:rPr>
          <w:szCs w:val="21"/>
          <w:highlight w:val="none"/>
        </w:rPr>
      </w:pPr>
      <w:r>
        <w:rPr>
          <w:rFonts w:hint="eastAsia" w:ascii="宋体" w:hAnsi="宋体" w:eastAsia="宋体" w:cs="宋体"/>
          <w:color w:val="000000"/>
          <w:szCs w:val="21"/>
          <w:highlight w:val="none"/>
          <w:lang w:bidi="ar"/>
        </w:rPr>
        <w:t xml:space="preserve">致： </w:t>
      </w:r>
      <w:r>
        <w:rPr>
          <w:rFonts w:hint="eastAsia" w:ascii="宋体" w:eastAsia="宋体" w:cs="宋体"/>
          <w:b/>
          <w:bCs/>
          <w:szCs w:val="21"/>
          <w:highlight w:val="none"/>
          <w:u w:val="single"/>
        </w:rPr>
        <w:t xml:space="preserve">            </w:t>
      </w:r>
      <w:r>
        <w:rPr>
          <w:rFonts w:hint="eastAsia" w:ascii="宋体" w:hAnsi="宋体" w:eastAsia="宋体" w:cs="宋体"/>
          <w:color w:val="000000"/>
          <w:szCs w:val="21"/>
          <w:highlight w:val="none"/>
          <w:lang w:bidi="ar"/>
        </w:rPr>
        <w:t xml:space="preserve">（招标人） </w:t>
      </w:r>
      <w:r/>
    </w:p>
    <w:p>
      <w:pPr>
        <w:jc w:val="left"/>
        <w:spacing w:line="440" w:lineRule="exact"/>
        <w:widowControl/>
        <w:rPr>
          <w:szCs w:val="21"/>
          <w:highlight w:val="none"/>
        </w:rPr>
      </w:pPr>
      <w:r>
        <w:rPr>
          <w:rFonts w:hint="eastAsia" w:ascii="宋体" w:hAnsi="宋体" w:eastAsia="宋体" w:cs="宋体"/>
          <w:color w:val="000000"/>
          <w:szCs w:val="21"/>
          <w:highlight w:val="none"/>
          <w:lang w:bidi="ar"/>
        </w:rPr>
        <w:t xml:space="preserve">我单位自愿参加 </w:t>
      </w:r>
      <w:r>
        <w:rPr>
          <w:rFonts w:hint="eastAsia" w:ascii="宋体" w:eastAsia="宋体" w:cs="宋体"/>
          <w:b/>
          <w:bCs/>
          <w:szCs w:val="21"/>
          <w:highlight w:val="none"/>
          <w:u w:val="single"/>
        </w:rPr>
        <w:t xml:space="preserve">            </w:t>
      </w:r>
      <w:r>
        <w:rPr>
          <w:rFonts w:hint="eastAsia" w:ascii="宋体" w:hAnsi="宋体" w:eastAsia="宋体" w:cs="宋体"/>
          <w:color w:val="000000"/>
          <w:szCs w:val="21"/>
          <w:highlight w:val="none"/>
          <w:lang w:bidi="ar"/>
        </w:rPr>
        <w:t xml:space="preserve">（项目及标段名称） 项目的投标活动，并郑重承诺：（以下两种情况自行勾选，若未勾选视为无在岗项目） </w:t>
      </w:r>
      <w:r/>
    </w:p>
    <w:p>
      <w:pPr>
        <w:jc w:val="left"/>
        <w:spacing w:line="440" w:lineRule="exact"/>
        <w:widowControl/>
        <w:rPr>
          <w:szCs w:val="21"/>
          <w:highlight w:val="none"/>
        </w:rPr>
      </w:pPr>
      <w:r>
        <w:rPr>
          <w:rFonts w:hint="eastAsia" w:ascii="宋体" w:hAnsi="宋体" w:eastAsia="宋体" w:cs="宋体"/>
          <w:color w:val="000000"/>
          <w:szCs w:val="21"/>
          <w:highlight w:val="none"/>
          <w:lang w:bidi="ar"/>
        </w:rPr>
        <w:t xml:space="preserve">□1、本项目拟投入的项目经理无在岗项目。 </w:t>
      </w:r>
      <w:r/>
    </w:p>
    <w:p>
      <w:pPr>
        <w:jc w:val="left"/>
        <w:spacing w:line="440" w:lineRule="exact"/>
        <w:widowControl/>
        <w:rPr>
          <w:szCs w:val="21"/>
          <w:highlight w:val="none"/>
        </w:rPr>
      </w:pPr>
      <w:r>
        <w:rPr>
          <w:rFonts w:hint="eastAsia" w:ascii="宋体" w:hAnsi="宋体" w:eastAsia="宋体" w:cs="宋体"/>
          <w:color w:val="000000"/>
          <w:szCs w:val="21"/>
          <w:highlight w:val="none"/>
          <w:lang w:bidi="ar"/>
        </w:rPr>
        <w:t xml:space="preserve">□2、本项目拟投入的项目经理目前有在岗项目，若我方中标，我方承诺本项目拟投入的项目经理在本项目合同签订前能够从原在岗项目中撤离，如若合同签订前，我方主要人员无法到岗履行相关职责，我单位愿意放弃本项目中标资格，接受贵方的相关处罚，相关责任均由我方自行承担。 </w:t>
      </w:r>
      <w:r/>
    </w:p>
    <w:p>
      <w:pPr>
        <w:jc w:val="lef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r>
      <w:r/>
    </w:p>
    <w:p>
      <w:pPr>
        <w:ind w:firstLine="5250"/>
        <w:jc w:val="left"/>
        <w:spacing w:line="440" w:lineRule="exact"/>
        <w:widowControl/>
        <w:rPr>
          <w:szCs w:val="21"/>
          <w:highlight w:val="none"/>
        </w:rPr>
      </w:pPr>
      <w:r>
        <w:rPr>
          <w:rFonts w:hint="eastAsia" w:ascii="宋体" w:hAnsi="宋体" w:eastAsia="宋体" w:cs="宋体"/>
          <w:color w:val="000000"/>
          <w:szCs w:val="21"/>
          <w:highlight w:val="none"/>
          <w:lang w:bidi="ar"/>
        </w:rPr>
        <w:t xml:space="preserve">投标人</w:t>
      </w:r>
      <w:r>
        <w:rPr>
          <w:rFonts w:ascii="Calibri" w:hAnsi="Calibri" w:eastAsia="宋体" w:cs="Calibri"/>
          <w:color w:val="000000"/>
          <w:szCs w:val="21"/>
          <w:highlight w:val="none"/>
          <w:lang w:bidi="ar"/>
        </w:rPr>
        <w:t xml:space="preserve">(</w:t>
      </w:r>
      <w:r>
        <w:rPr>
          <w:rFonts w:hint="eastAsia" w:ascii="宋体" w:hAnsi="宋体" w:eastAsia="宋体" w:cs="宋体"/>
          <w:color w:val="000000"/>
          <w:szCs w:val="21"/>
          <w:highlight w:val="none"/>
          <w:lang w:bidi="ar"/>
        </w:rPr>
        <w:t xml:space="preserve">盖章</w:t>
      </w:r>
      <w:r>
        <w:rPr>
          <w:rFonts w:ascii="Calibri" w:hAnsi="Calibri" w:eastAsia="宋体" w:cs="Calibri"/>
          <w:color w:val="000000"/>
          <w:szCs w:val="21"/>
          <w:highlight w:val="none"/>
          <w:lang w:bidi="ar"/>
        </w:rPr>
        <w:t xml:space="preserve">)</w:t>
      </w:r>
      <w:r>
        <w:rPr>
          <w:rFonts w:hint="eastAsia" w:ascii="宋体" w:hAnsi="宋体" w:eastAsia="宋体" w:cs="宋体"/>
          <w:color w:val="000000"/>
          <w:szCs w:val="21"/>
          <w:highlight w:val="none"/>
          <w:lang w:bidi="ar"/>
        </w:rPr>
        <w:t xml:space="preserve">： </w:t>
      </w:r>
      <w:r/>
    </w:p>
    <w:p>
      <w:pPr>
        <w:ind w:firstLine="2940"/>
        <w:jc w:val="left"/>
        <w:spacing w:line="440" w:lineRule="exact"/>
        <w:widowControl/>
        <w:rPr>
          <w:szCs w:val="21"/>
          <w:highlight w:val="none"/>
        </w:rPr>
      </w:pPr>
      <w:r>
        <w:rPr>
          <w:rFonts w:hint="eastAsia" w:ascii="宋体" w:hAnsi="宋体" w:eastAsia="宋体" w:cs="宋体"/>
          <w:color w:val="000000"/>
          <w:szCs w:val="21"/>
          <w:highlight w:val="none"/>
          <w:lang w:bidi="ar"/>
        </w:rPr>
        <w:t xml:space="preserve">法定代表人</w:t>
      </w:r>
      <w:r>
        <w:rPr>
          <w:rFonts w:ascii="Calibri" w:hAnsi="Calibri" w:eastAsia="宋体" w:cs="Calibri"/>
          <w:color w:val="000000"/>
          <w:szCs w:val="21"/>
          <w:highlight w:val="none"/>
          <w:lang w:bidi="ar"/>
        </w:rPr>
        <w:t xml:space="preserve">(</w:t>
      </w:r>
      <w:r>
        <w:rPr>
          <w:rFonts w:hint="eastAsia" w:ascii="宋体" w:hAnsi="宋体" w:eastAsia="宋体" w:cs="宋体"/>
          <w:color w:val="000000"/>
          <w:szCs w:val="21"/>
          <w:highlight w:val="none"/>
          <w:lang w:bidi="ar"/>
        </w:rPr>
        <w:t xml:space="preserve">或其授权的代理人</w:t>
      </w:r>
      <w:r>
        <w:rPr>
          <w:rFonts w:ascii="Calibri" w:hAnsi="Calibri" w:eastAsia="宋体" w:cs="Calibri"/>
          <w:color w:val="000000"/>
          <w:szCs w:val="21"/>
          <w:highlight w:val="none"/>
          <w:lang w:bidi="ar"/>
        </w:rPr>
        <w:t xml:space="preserve">)</w:t>
      </w:r>
      <w:r>
        <w:rPr>
          <w:rFonts w:hint="eastAsia" w:ascii="宋体" w:hAnsi="宋体" w:eastAsia="宋体" w:cs="宋体"/>
          <w:color w:val="000000"/>
          <w:szCs w:val="21"/>
          <w:highlight w:val="none"/>
          <w:lang w:bidi="ar"/>
        </w:rPr>
        <w:t xml:space="preserve">（签章</w:t>
      </w:r>
      <w:r>
        <w:rPr>
          <w:rFonts w:ascii="Calibri" w:hAnsi="Calibri" w:eastAsia="宋体" w:cs="Calibri"/>
          <w:color w:val="000000"/>
          <w:szCs w:val="21"/>
          <w:highlight w:val="none"/>
          <w:lang w:bidi="ar"/>
        </w:rPr>
        <w:t xml:space="preserve">)</w:t>
      </w:r>
      <w:r>
        <w:rPr>
          <w:rFonts w:hint="eastAsia" w:ascii="宋体" w:hAnsi="宋体" w:eastAsia="宋体" w:cs="宋体"/>
          <w:color w:val="000000"/>
          <w:szCs w:val="21"/>
          <w:highlight w:val="none"/>
          <w:lang w:bidi="ar"/>
        </w:rPr>
        <w:t xml:space="preserve">： </w:t>
      </w:r>
      <w:r/>
    </w:p>
    <w:p>
      <w:pPr>
        <w:ind w:firstLine="5670"/>
        <w:jc w:val="left"/>
        <w:spacing w:line="440" w:lineRule="exact"/>
        <w:widowControl/>
        <w:rPr>
          <w:szCs w:val="21"/>
          <w:highlight w:val="none"/>
        </w:rPr>
      </w:pPr>
      <w:r>
        <w:rPr>
          <w:rFonts w:hint="eastAsia" w:ascii="宋体" w:hAnsi="宋体" w:eastAsia="宋体" w:cs="宋体"/>
          <w:color w:val="000000"/>
          <w:szCs w:val="21"/>
          <w:highlight w:val="none"/>
          <w:lang w:bidi="ar"/>
        </w:rPr>
        <w:t xml:space="preserve">年 月 日 </w:t>
      </w:r>
      <w:r/>
    </w:p>
    <w:p>
      <w:pPr>
        <w:jc w:val="left"/>
        <w:widowControl/>
        <w:rPr>
          <w:szCs w:val="21"/>
          <w:highlight w:val="none"/>
        </w:rPr>
      </w:pPr>
      <w:r>
        <w:rPr>
          <w:rFonts w:hint="eastAsia" w:ascii="宋体" w:hAnsi="宋体" w:eastAsia="宋体" w:cs="宋体"/>
          <w:color w:val="000000"/>
          <w:szCs w:val="21"/>
          <w:highlight w:val="none"/>
          <w:lang w:bidi="ar"/>
        </w:rPr>
        <w:t xml:space="preserve">注：在岗情况，按下列原则认定： </w:t>
      </w:r>
      <w:r/>
    </w:p>
    <w:p>
      <w:pPr>
        <w:jc w:val="left"/>
        <w:widowControl/>
        <w:rPr>
          <w:szCs w:val="21"/>
          <w:highlight w:val="none"/>
        </w:rPr>
      </w:pPr>
      <w:r>
        <w:rPr>
          <w:rFonts w:hint="eastAsia" w:ascii="宋体" w:hAnsi="宋体" w:eastAsia="宋体" w:cs="宋体"/>
          <w:color w:val="000000"/>
          <w:szCs w:val="21"/>
          <w:highlight w:val="none"/>
          <w:lang w:bidi="ar"/>
        </w:rPr>
        <w:t xml:space="preserve">1.在招标项目投标截止时间之前，投标人拟投入的主要人员已在其他项目中作为主要人员任职，包括在已发出中标通知书或者签定合约的其他项目中作为主要人员的，应当视为有在岗项目； </w:t>
      </w:r>
      <w:r/>
    </w:p>
    <w:p>
      <w:pPr>
        <w:jc w:val="left"/>
        <w:widowControl/>
        <w:rPr>
          <w:szCs w:val="21"/>
          <w:highlight w:val="none"/>
        </w:rPr>
      </w:pPr>
      <w:r>
        <w:rPr>
          <w:rFonts w:hint="eastAsia" w:ascii="宋体" w:hAnsi="宋体" w:eastAsia="宋体" w:cs="宋体"/>
          <w:color w:val="000000"/>
          <w:szCs w:val="21"/>
          <w:highlight w:val="none"/>
          <w:lang w:bidi="ar"/>
        </w:rPr>
        <w:t xml:space="preserve">2.未在其他项目上作为主要人员任职，或虽在其他项目上作为主要人员任职、但在投标文件中提供了拟投入本项目中的主要人员在中标后可以从其他项目撤离的书面承诺，视为无在岗项目； </w:t>
      </w:r>
      <w:r/>
    </w:p>
    <w:p>
      <w:pPr>
        <w:jc w:val="left"/>
        <w:widowControl/>
        <w:rPr>
          <w:szCs w:val="21"/>
          <w:highlight w:val="none"/>
        </w:rPr>
      </w:pPr>
      <w:r>
        <w:rPr>
          <w:rFonts w:hint="eastAsia" w:ascii="宋体" w:hAnsi="宋体" w:eastAsia="宋体" w:cs="宋体"/>
          <w:color w:val="000000"/>
          <w:szCs w:val="21"/>
          <w:highlight w:val="none"/>
          <w:lang w:bidi="ar"/>
        </w:rPr>
        <w:t xml:space="preserve">3.投标人拟投入的主要人员在其他项目上作为主要人员任职，虽然项目尚未交工但符合下列情形之一、并在投标文件中提供一旦中标可以从其他项目上撤离的书面承诺，视为无在岗项目： </w:t>
      </w:r>
      <w:r/>
    </w:p>
    <w:p>
      <w:pPr>
        <w:jc w:val="left"/>
        <w:widowControl/>
        <w:rPr>
          <w:szCs w:val="21"/>
          <w:highlight w:val="none"/>
        </w:rPr>
      </w:pPr>
      <w:r>
        <w:rPr>
          <w:rFonts w:hint="eastAsia" w:ascii="宋体" w:hAnsi="宋体" w:eastAsia="宋体" w:cs="宋体"/>
          <w:color w:val="000000"/>
          <w:szCs w:val="21"/>
          <w:highlight w:val="none"/>
          <w:lang w:bidi="ar"/>
        </w:rPr>
        <w:t xml:space="preserve">1）工程已经完工，经项目质量监督机构核验合格，主要人员基本完成职责，非投标人原因尚未进行交工验收的； </w:t>
      </w:r>
      <w:r/>
    </w:p>
    <w:p>
      <w:pPr>
        <w:jc w:val="left"/>
        <w:widowControl/>
        <w:rPr>
          <w:szCs w:val="21"/>
          <w:highlight w:val="none"/>
        </w:rPr>
      </w:pPr>
      <w:r>
        <w:rPr>
          <w:rFonts w:hint="eastAsia" w:ascii="宋体" w:hAnsi="宋体" w:eastAsia="宋体" w:cs="宋体"/>
          <w:color w:val="000000"/>
          <w:szCs w:val="21"/>
          <w:highlight w:val="none"/>
          <w:lang w:bidi="ar"/>
        </w:rPr>
        <w:t xml:space="preserve">2）工程中标后半年内非中标人原因无法开工或停工半年以上无法复工等情况。</w:t>
      </w:r>
      <w:r/>
    </w:p>
    <w:p>
      <w:pPr>
        <w:jc w:val="center"/>
        <w:spacing w:before="240" w:after="240"/>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before="240" w:after="240"/>
        <w:rPr>
          <w:highlight w:val="none"/>
        </w:rPr>
        <w:pBdr>
          <w:top w:val="none" w:color="000000" w:sz="0" w:space="0"/>
          <w:left w:val="none" w:color="000000" w:sz="0" w:space="0"/>
          <w:bottom w:val="none" w:color="000000" w:sz="0" w:space="0"/>
          <w:right w:val="none" w:color="000000" w:sz="0" w:space="0"/>
        </w:pBdr>
      </w:pPr>
      <w:r>
        <w:rPr>
          <w:highlight w:val="none"/>
        </w:rPr>
      </w:r>
      <w:r/>
    </w:p>
    <w:p>
      <w:pPr>
        <w:rPr>
          <w:rFonts w:hint="eastAsia" w:ascii="黑体" w:hAnsi="宋体" w:eastAsia="黑体" w:cs="黑体"/>
          <w:i/>
          <w:sz w:val="32"/>
          <w:szCs w:val="32"/>
          <w:highlight w:val="none"/>
          <w:u w:val="single"/>
        </w:rPr>
      </w:pPr>
      <w:r>
        <w:rPr>
          <w:rFonts w:hint="eastAsia" w:ascii="黑体" w:hAnsi="宋体" w:eastAsia="黑体" w:cs="黑体"/>
          <w:i/>
          <w:sz w:val="32"/>
          <w:szCs w:val="32"/>
          <w:highlight w:val="none"/>
          <w:u w:val="single"/>
        </w:rPr>
        <w:br w:type="page" w:clear="all"/>
      </w:r>
      <w:r/>
    </w:p>
    <w:p>
      <w:pPr>
        <w:pStyle w:val="821"/>
        <w:jc w:val="center"/>
        <w:spacing w:beforeAutospacing="0" w:afterAutospacing="0"/>
        <w:rPr>
          <w:highlight w:val="none"/>
        </w:rPr>
        <w:outlineLvl w:val="1"/>
      </w:pPr>
      <w:r>
        <w:rPr>
          <w:rFonts w:hint="eastAsia" w:ascii="黑体" w:hAnsi="宋体" w:eastAsia="黑体" w:cs="黑体"/>
          <w:i/>
          <w:sz w:val="32"/>
          <w:szCs w:val="32"/>
          <w:highlight w:val="none"/>
          <w:u w:val="single"/>
        </w:rPr>
        <w:t xml:space="preserve">七、法人授权书</w:t>
      </w:r>
      <w:r/>
    </w:p>
    <w:p>
      <w:pPr>
        <w:pStyle w:val="821"/>
        <w:ind w:firstLine="480"/>
        <w:jc w:val="both"/>
        <w:spacing w:beforeAutospacing="0" w:afterAutospacing="0" w:line="480" w:lineRule="exact"/>
        <w:tabs>
          <w:tab w:val="left" w:pos="360" w:leader="none"/>
        </w:tabs>
        <w:rPr>
          <w:rFonts w:ascii="Times New Roman" w:hAnsi="Times New Roman"/>
          <w:highlight w:val="none"/>
        </w:rPr>
      </w:pPr>
      <w:r>
        <w:rPr>
          <w:rFonts w:ascii="Times New Roman" w:hAnsi="Times New Roman"/>
          <w:highlight w:val="none"/>
        </w:rPr>
      </w:r>
      <w:r/>
    </w:p>
    <w:p>
      <w:pPr>
        <w:pStyle w:val="821"/>
        <w:ind w:firstLine="480"/>
        <w:jc w:val="both"/>
        <w:spacing w:beforeAutospacing="0" w:afterAutospacing="0" w:line="480" w:lineRule="exact"/>
        <w:tabs>
          <w:tab w:val="left" w:pos="360" w:leader="none"/>
        </w:tabs>
        <w:rPr>
          <w:highlight w:val="none"/>
        </w:rPr>
      </w:pPr>
      <w:r>
        <w:rPr>
          <w:rFonts w:ascii="Times New Roman" w:hAnsi="Times New Roman"/>
          <w:highlight w:val="none"/>
        </w:rPr>
        <w:t xml:space="preserve">本授权书声明：____________（供应商名称）授权________________（被授权人的姓名）为我方就JSZC-</w:t>
      </w:r>
      <w:r>
        <w:rPr>
          <w:rFonts w:ascii="Times New Roman" w:hAnsi="Times New Roman"/>
          <w:highlight w:val="none"/>
          <w:u w:val="single"/>
        </w:rPr>
        <w:t xml:space="preserve">        </w:t>
      </w:r>
      <w:r>
        <w:rPr>
          <w:rFonts w:ascii="Times New Roman" w:hAnsi="Times New Roman"/>
          <w:highlight w:val="none"/>
        </w:rPr>
        <w:t xml:space="preserve">号项目采购活动的合法代理人，以本单位名义全权处理一切与该项目采购有关的事务。</w:t>
      </w:r>
      <w:r/>
    </w:p>
    <w:p>
      <w:pPr>
        <w:pStyle w:val="821"/>
        <w:ind w:firstLine="480"/>
        <w:jc w:val="both"/>
        <w:spacing w:beforeAutospacing="0" w:afterAutospacing="0" w:line="480" w:lineRule="exact"/>
        <w:tabs>
          <w:tab w:val="left" w:pos="360" w:leader="none"/>
        </w:tabs>
        <w:rPr>
          <w:highlight w:val="none"/>
        </w:rPr>
      </w:pPr>
      <w:r>
        <w:rPr>
          <w:rFonts w:ascii="Times New Roman" w:hAnsi="Times New Roman"/>
          <w:highlight w:val="none"/>
        </w:rPr>
        <w:t xml:space="preserve">本授权书于______年____月____日起生效，特此声明。</w:t>
      </w:r>
      <w:r/>
    </w:p>
    <w:p>
      <w:pPr>
        <w:pStyle w:val="821"/>
        <w:jc w:val="both"/>
        <w:spacing w:beforeAutospacing="0" w:afterAutospacing="0" w:line="480" w:lineRule="exact"/>
        <w:tabs>
          <w:tab w:val="left" w:pos="360" w:leader="none"/>
        </w:tabs>
        <w:rPr>
          <w:highlight w:val="none"/>
        </w:rPr>
      </w:pPr>
      <w:r>
        <w:rPr>
          <w:rFonts w:ascii="Times New Roman" w:hAnsi="Times New Roman"/>
          <w:highlight w:val="none"/>
        </w:rPr>
        <w:t xml:space="preserve">          被授权人身份证号码：</w:t>
      </w:r>
      <w:r>
        <w:rPr>
          <w:rFonts w:ascii="Times New Roman" w:hAnsi="Times New Roman"/>
          <w:highlight w:val="none"/>
          <w:u w:val="single"/>
        </w:rPr>
        <w:t xml:space="preserve">                              </w:t>
      </w:r>
      <w:r/>
    </w:p>
    <w:p>
      <w:pPr>
        <w:pStyle w:val="821"/>
        <w:jc w:val="both"/>
        <w:spacing w:beforeAutospacing="0" w:afterAutospacing="0" w:line="480" w:lineRule="exact"/>
        <w:tabs>
          <w:tab w:val="left" w:pos="360" w:leader="none"/>
        </w:tabs>
        <w:rPr>
          <w:highlight w:val="none"/>
        </w:rPr>
      </w:pPr>
      <w:r>
        <w:rPr>
          <w:rFonts w:ascii="Times New Roman" w:hAnsi="Times New Roman"/>
          <w:highlight w:val="none"/>
        </w:rPr>
        <w:t xml:space="preserve">          被授权人联系电话：（手机）</w:t>
      </w:r>
      <w:r>
        <w:rPr>
          <w:rFonts w:ascii="Times New Roman" w:hAnsi="Times New Roman"/>
          <w:highlight w:val="none"/>
          <w:u w:val="single"/>
        </w:rPr>
        <w:t xml:space="preserve">                          </w:t>
      </w:r>
      <w:r/>
    </w:p>
    <w:p>
      <w:pPr>
        <w:pStyle w:val="821"/>
        <w:ind w:left="638"/>
        <w:jc w:val="both"/>
        <w:spacing w:beforeAutospacing="0" w:afterAutospacing="0" w:line="480" w:lineRule="exact"/>
        <w:tabs>
          <w:tab w:val="left" w:pos="360" w:leader="none"/>
        </w:tabs>
        <w:rPr>
          <w:highlight w:val="none"/>
        </w:rPr>
      </w:pPr>
      <w:r>
        <w:rPr>
          <w:rFonts w:ascii="Times New Roman" w:hAnsi="Times New Roman"/>
          <w:highlight w:val="none"/>
        </w:rPr>
        <w:t xml:space="preserve">授权单位名称：</w:t>
      </w:r>
      <w:r>
        <w:rPr>
          <w:rFonts w:ascii="Times New Roman" w:hAnsi="Times New Roman"/>
          <w:highlight w:val="none"/>
          <w:u w:val="single"/>
        </w:rPr>
        <w:t xml:space="preserve">（加盖CA电子公章）</w:t>
      </w:r>
      <w:r/>
    </w:p>
    <w:p>
      <w:pPr>
        <w:pStyle w:val="821"/>
        <w:ind w:left="638"/>
        <w:jc w:val="both"/>
        <w:spacing w:beforeAutospacing="0" w:afterAutospacing="0" w:line="480" w:lineRule="exact"/>
        <w:tabs>
          <w:tab w:val="left" w:pos="360" w:leader="none"/>
        </w:tabs>
        <w:rPr>
          <w:highlight w:val="none"/>
        </w:rPr>
      </w:pPr>
      <w:r>
        <w:rPr>
          <w:rFonts w:ascii="Times New Roman" w:hAnsi="Times New Roman"/>
          <w:highlight w:val="none"/>
        </w:rPr>
        <w:t xml:space="preserve">单位地址：</w:t>
      </w:r>
      <w:r>
        <w:rPr>
          <w:rFonts w:ascii="Times New Roman" w:hAnsi="Times New Roman"/>
          <w:highlight w:val="none"/>
          <w:u w:val="single"/>
        </w:rPr>
        <w:t xml:space="preserve">                                         </w:t>
      </w:r>
      <w:r/>
    </w:p>
    <w:p>
      <w:pPr>
        <w:pStyle w:val="821"/>
        <w:ind w:left="638"/>
        <w:jc w:val="both"/>
        <w:spacing w:beforeAutospacing="0" w:afterAutospacing="0" w:line="480" w:lineRule="exact"/>
        <w:tabs>
          <w:tab w:val="left" w:pos="360" w:leader="none"/>
        </w:tabs>
        <w:rPr>
          <w:highlight w:val="none"/>
        </w:rPr>
      </w:pPr>
      <w:r>
        <w:rPr>
          <w:rFonts w:ascii="Times New Roman" w:hAnsi="Times New Roman"/>
          <w:highlight w:val="none"/>
        </w:rPr>
        <w:t xml:space="preserve">日期：</w:t>
      </w:r>
      <w:bookmarkStart w:id="669" w:name="_Hlt26671380"/>
      <w:r/>
      <w:bookmarkStart w:id="670" w:name="_Hlt26955070"/>
      <w:r/>
      <w:bookmarkStart w:id="671" w:name="_格式3__银行出具的资信证明"/>
      <w:r>
        <w:rPr>
          <w:rFonts w:ascii="Times New Roman" w:hAnsi="Times New Roman"/>
          <w:highlight w:val="none"/>
          <w:u w:val="single"/>
        </w:rPr>
        <w:t xml:space="preserve">                                         </w:t>
      </w:r>
      <w:r/>
    </w:p>
    <w:p>
      <w:pPr>
        <w:pStyle w:val="821"/>
        <w:ind w:firstLine="480"/>
        <w:jc w:val="both"/>
        <w:spacing w:beforeAutospacing="0" w:afterAutospacing="0"/>
        <w:tabs>
          <w:tab w:val="left" w:pos="360" w:leader="none"/>
        </w:tabs>
        <w:rPr>
          <w:highlight w:val="none"/>
        </w:rPr>
      </w:pPr>
      <w:r>
        <w:rPr>
          <w:highlight w:val="none"/>
        </w:rPr>
        <w:t xml:space="preserve"> </w:t>
      </w:r>
      <w:r/>
    </w:p>
    <w:p>
      <w:pPr>
        <w:pStyle w:val="821"/>
        <w:ind w:firstLine="480"/>
        <w:jc w:val="both"/>
        <w:spacing w:beforeAutospacing="0" w:afterAutospacing="0"/>
        <w:tabs>
          <w:tab w:val="left" w:pos="360" w:leader="none"/>
        </w:tabs>
        <w:rPr>
          <w:highlight w:val="none"/>
        </w:rPr>
      </w:pPr>
      <w:r>
        <w:rPr>
          <w:highlight w:val="none"/>
        </w:rPr>
        <w:t xml:space="preserve"> </w:t>
      </w:r>
      <w:r/>
    </w:p>
    <w:p>
      <w:pPr>
        <w:pStyle w:val="821"/>
        <w:ind w:firstLine="420"/>
        <w:jc w:val="both"/>
        <w:spacing w:beforeAutospacing="0" w:afterAutospacing="0"/>
        <w:rPr>
          <w:highlight w:val="none"/>
        </w:rPr>
      </w:pPr>
      <w:r>
        <w:rPr>
          <w:highlight w:val="none"/>
        </w:rPr>
        <w:t xml:space="preserve"> </w:t>
      </w:r>
      <w:r/>
    </w:p>
    <w:p>
      <w:pPr>
        <w:pStyle w:val="821"/>
        <w:jc w:val="both"/>
        <w:spacing w:beforeAutospacing="0" w:afterAutospacing="0"/>
        <w:rPr>
          <w:highlight w:val="none"/>
        </w:rPr>
      </w:pPr>
      <w:r>
        <w:rPr>
          <w:highlight w:val="none"/>
        </w:rPr>
        <w:t xml:space="preserve"> </w:t>
      </w:r>
      <w:r/>
    </w:p>
    <w:p>
      <w:pPr>
        <w:pStyle w:val="821"/>
        <w:jc w:val="center"/>
        <w:keepLines/>
        <w:keepNext/>
        <w:spacing w:before="260" w:beforeAutospacing="0" w:after="260" w:afterAutospacing="0" w:line="415" w:lineRule="auto"/>
        <w:rPr>
          <w:highlight w:val="none"/>
        </w:rPr>
        <w:outlineLvl w:val="1"/>
      </w:pPr>
      <w:r>
        <w:rPr>
          <w:rFonts w:hint="eastAsia" w:ascii="宋体" w:hAnsi="宋体" w:eastAsia="宋体" w:cs="宋体"/>
          <w:b/>
          <w:highlight w:val="none"/>
        </w:rPr>
        <w:br w:type="page" w:clear="all"/>
      </w:r>
      <w:r>
        <w:rPr>
          <w:rFonts w:hint="eastAsia" w:ascii="黑体" w:hAnsi="宋体" w:eastAsia="黑体" w:cs="黑体"/>
          <w:b/>
          <w:i/>
          <w:sz w:val="32"/>
          <w:szCs w:val="32"/>
          <w:highlight w:val="none"/>
          <w:u w:val="single"/>
        </w:rPr>
        <w:t xml:space="preserve">八、磋商响应函</w:t>
      </w:r>
      <w:r/>
    </w:p>
    <w:p>
      <w:pPr>
        <w:pStyle w:val="821"/>
        <w:ind w:firstLine="480"/>
        <w:spacing w:beforeAutospacing="0" w:afterAutospacing="0" w:line="440" w:lineRule="exact"/>
        <w:rPr>
          <w:highlight w:val="none"/>
        </w:rPr>
      </w:pPr>
      <w:r>
        <w:rPr>
          <w:rFonts w:hint="eastAsia" w:ascii="宋体" w:hAnsi="宋体" w:eastAsia="宋体" w:cs="宋体"/>
          <w:highlight w:val="none"/>
        </w:rPr>
        <w:t xml:space="preserve">致：盐城市盐都区</w:t>
      </w:r>
      <w:r>
        <w:rPr>
          <w:rFonts w:hint="eastAsia" w:ascii="宋体" w:hAnsi="宋体" w:eastAsia="宋体" w:cs="宋体"/>
          <w:highlight w:val="none"/>
          <w:lang w:eastAsia="zh-CN"/>
        </w:rPr>
        <w:t xml:space="preserve">大冈</w:t>
      </w:r>
      <w:r>
        <w:rPr>
          <w:rFonts w:hint="eastAsia" w:ascii="宋体" w:hAnsi="宋体" w:eastAsia="宋体" w:cs="宋体"/>
          <w:highlight w:val="none"/>
        </w:rPr>
        <w:t xml:space="preserve">镇人民政府根据贵方的</w:t>
      </w:r>
      <w:r>
        <w:rPr>
          <w:rFonts w:hint="eastAsia" w:ascii="宋体" w:hAnsi="宋体" w:eastAsia="宋体" w:cs="宋体"/>
          <w:highlight w:val="none"/>
          <w:lang w:eastAsia="zh-CN"/>
        </w:rPr>
        <w:t xml:space="preserve">JSZC-320903-RJXM-C2026-0013</w:t>
      </w:r>
      <w:r>
        <w:rPr>
          <w:rFonts w:hint="eastAsia" w:ascii="宋体" w:hAnsi="宋体" w:eastAsia="宋体" w:cs="宋体"/>
          <w:highlight w:val="none"/>
        </w:rPr>
        <w:t xml:space="preserve">号磋商文件，正式授权下述签字人______(姓名)代表我方______________（供应商的名称），全权处理本次项目磋商的有关事宜。</w:t>
      </w:r>
      <w:r/>
    </w:p>
    <w:p>
      <w:pPr>
        <w:pStyle w:val="821"/>
        <w:ind w:firstLine="480"/>
        <w:spacing w:beforeAutospacing="0" w:afterAutospacing="0" w:line="440" w:lineRule="exact"/>
        <w:rPr>
          <w:highlight w:val="none"/>
        </w:rPr>
      </w:pPr>
      <w:r>
        <w:rPr>
          <w:rFonts w:hint="eastAsia" w:ascii="宋体" w:hAnsi="宋体" w:eastAsia="宋体" w:cs="宋体"/>
          <w:highlight w:val="none"/>
        </w:rPr>
        <w:t xml:space="preserve">据此函，__________签字人兹宣布同意如下：</w:t>
      </w:r>
      <w:r/>
    </w:p>
    <w:p>
      <w:pPr>
        <w:pStyle w:val="821"/>
        <w:ind w:firstLine="480"/>
        <w:spacing w:beforeAutospacing="0" w:afterAutospacing="0" w:line="440" w:lineRule="exact"/>
        <w:rPr>
          <w:highlight w:val="none"/>
        </w:rPr>
      </w:pPr>
      <w:r>
        <w:rPr>
          <w:rFonts w:hint="eastAsia" w:ascii="宋体" w:hAnsi="宋体" w:eastAsia="宋体" w:cs="宋体"/>
          <w:highlight w:val="none"/>
        </w:rPr>
        <w:t xml:space="preserve">1.按磋商文件规定的各项要求，向买方提供所需货物、服务（包含与货物相关的服务及与服务相关的货物）。</w:t>
      </w:r>
      <w:r/>
    </w:p>
    <w:p>
      <w:pPr>
        <w:pStyle w:val="821"/>
        <w:ind w:firstLine="480"/>
        <w:spacing w:beforeAutospacing="0" w:afterAutospacing="0" w:line="440" w:lineRule="exact"/>
        <w:rPr>
          <w:highlight w:val="none"/>
        </w:rPr>
        <w:outlineLvl w:val="2"/>
      </w:pPr>
      <w:r>
        <w:rPr>
          <w:rFonts w:hint="eastAsia" w:ascii="宋体" w:hAnsi="宋体" w:eastAsia="宋体" w:cs="宋体"/>
          <w:highlight w:val="none"/>
        </w:rPr>
        <w:t xml:space="preserve">2.我们完全理解贵方不一定将合同授予最低报价的供应商。</w:t>
      </w:r>
      <w:r/>
    </w:p>
    <w:p>
      <w:pPr>
        <w:pStyle w:val="821"/>
        <w:ind w:firstLine="480"/>
        <w:spacing w:beforeAutospacing="0" w:afterAutospacing="0" w:line="440" w:lineRule="exact"/>
        <w:rPr>
          <w:highlight w:val="none"/>
        </w:rPr>
      </w:pPr>
      <w:r>
        <w:rPr>
          <w:rFonts w:hint="eastAsia" w:ascii="宋体" w:hAnsi="宋体" w:eastAsia="宋体" w:cs="宋体"/>
          <w:highlight w:val="none"/>
        </w:rPr>
        <w:t xml:space="preserve">3.我们已详细审核全部磋商文件及其有效补充文件，我们知道必须放弃提出含糊不清或误解问题的权利。</w:t>
      </w:r>
      <w:r/>
    </w:p>
    <w:p>
      <w:pPr>
        <w:pStyle w:val="821"/>
        <w:ind w:firstLine="480"/>
        <w:spacing w:beforeAutospacing="0" w:afterAutospacing="0" w:line="440" w:lineRule="exact"/>
        <w:rPr>
          <w:highlight w:val="none"/>
        </w:rPr>
      </w:pPr>
      <w:r>
        <w:rPr>
          <w:rFonts w:hint="eastAsia" w:ascii="宋体" w:hAnsi="宋体" w:eastAsia="宋体" w:cs="宋体"/>
          <w:highlight w:val="none"/>
        </w:rPr>
        <w:t xml:space="preserve">4.我们同意从规定的开标日期起遵循本响应文件，并在规定的磋商有效期期满之前均具有约束力。</w:t>
      </w:r>
      <w:r/>
    </w:p>
    <w:p>
      <w:pPr>
        <w:pStyle w:val="821"/>
        <w:ind w:firstLine="480"/>
        <w:spacing w:beforeAutospacing="0" w:afterAutospacing="0" w:line="440" w:lineRule="exact"/>
        <w:rPr>
          <w:highlight w:val="none"/>
        </w:rPr>
      </w:pPr>
      <w:r>
        <w:rPr>
          <w:rFonts w:hint="eastAsia" w:ascii="宋体" w:hAnsi="宋体" w:eastAsia="宋体" w:cs="宋体"/>
          <w:highlight w:val="none"/>
        </w:rPr>
        <w:t xml:space="preserve">5.同意向贵方提供贵方可能另外要求的与磋商有关的任何证据或资料，并保证我方已提供和将要提供的文件是真实的、准确的。</w:t>
      </w:r>
      <w:r/>
    </w:p>
    <w:p>
      <w:pPr>
        <w:pStyle w:val="821"/>
        <w:ind w:firstLine="480"/>
        <w:spacing w:beforeAutospacing="0" w:afterAutospacing="0" w:line="440" w:lineRule="exact"/>
        <w:rPr>
          <w:highlight w:val="none"/>
        </w:rPr>
      </w:pPr>
      <w:r>
        <w:rPr>
          <w:rFonts w:hint="eastAsia" w:ascii="宋体" w:hAnsi="宋体" w:eastAsia="宋体" w:cs="宋体"/>
          <w:highlight w:val="none"/>
        </w:rPr>
        <w:t xml:space="preserve">6.一旦我方成交,我方将根据磋商文件的规定，严格履行合同的责任和义务,并保证在磋商文件规定的时间完成项目，交付买方验收、使用。</w:t>
      </w:r>
      <w:r/>
    </w:p>
    <w:p>
      <w:pPr>
        <w:pStyle w:val="821"/>
        <w:ind w:left="425"/>
        <w:spacing w:beforeAutospacing="0" w:afterAutospacing="0" w:line="440" w:lineRule="exact"/>
        <w:rPr>
          <w:highlight w:val="none"/>
        </w:rPr>
        <w:outlineLvl w:val="2"/>
      </w:pPr>
      <w:r>
        <w:rPr>
          <w:rFonts w:hint="eastAsia" w:ascii="宋体" w:hAnsi="宋体" w:eastAsia="宋体" w:cs="宋体"/>
          <w:highlight w:val="none"/>
        </w:rPr>
        <w:t xml:space="preserve">7.我方与本磋商有关的正式通讯地址为：</w:t>
      </w:r>
      <w:r/>
    </w:p>
    <w:p>
      <w:pPr>
        <w:pStyle w:val="821"/>
        <w:ind w:left="420" w:firstLine="480"/>
        <w:spacing w:beforeAutospacing="0" w:afterAutospacing="0" w:line="440" w:lineRule="exact"/>
        <w:rPr>
          <w:highlight w:val="none"/>
        </w:rPr>
      </w:pPr>
      <w:r>
        <w:rPr>
          <w:rFonts w:hint="eastAsia" w:ascii="宋体" w:hAnsi="宋体" w:eastAsia="宋体" w:cs="宋体"/>
          <w:highlight w:val="none"/>
        </w:rPr>
        <w:t xml:space="preserve">地          址：</w:t>
      </w:r>
      <w:r/>
    </w:p>
    <w:p>
      <w:pPr>
        <w:pStyle w:val="821"/>
        <w:ind w:left="420" w:firstLine="480"/>
        <w:spacing w:beforeAutospacing="0" w:afterAutospacing="0" w:line="440" w:lineRule="exact"/>
        <w:rPr>
          <w:highlight w:val="none"/>
        </w:rPr>
      </w:pPr>
      <w:r>
        <w:rPr>
          <w:rFonts w:hint="eastAsia" w:ascii="宋体" w:hAnsi="宋体" w:eastAsia="宋体" w:cs="宋体"/>
          <w:highlight w:val="none"/>
        </w:rPr>
        <w:t xml:space="preserve">邮          编：</w:t>
      </w:r>
      <w:r/>
    </w:p>
    <w:p>
      <w:pPr>
        <w:pStyle w:val="821"/>
        <w:ind w:left="420" w:firstLine="480"/>
        <w:spacing w:beforeAutospacing="0" w:afterAutospacing="0" w:line="440" w:lineRule="exact"/>
        <w:rPr>
          <w:highlight w:val="none"/>
        </w:rPr>
      </w:pPr>
      <w:r>
        <w:rPr>
          <w:rFonts w:hint="eastAsia" w:ascii="宋体" w:hAnsi="宋体" w:eastAsia="宋体" w:cs="宋体"/>
          <w:highlight w:val="none"/>
        </w:rPr>
        <w:t xml:space="preserve">电          话：</w:t>
      </w:r>
      <w:r/>
    </w:p>
    <w:p>
      <w:pPr>
        <w:pStyle w:val="821"/>
        <w:ind w:left="420" w:firstLine="480"/>
        <w:spacing w:beforeAutospacing="0" w:afterAutospacing="0" w:line="440" w:lineRule="exact"/>
        <w:rPr>
          <w:highlight w:val="none"/>
        </w:rPr>
      </w:pPr>
      <w:r>
        <w:rPr>
          <w:rFonts w:hint="eastAsia" w:ascii="宋体" w:hAnsi="宋体" w:eastAsia="宋体" w:cs="宋体"/>
          <w:highlight w:val="none"/>
        </w:rPr>
        <w:t xml:space="preserve">传          真：</w:t>
      </w:r>
      <w:r/>
    </w:p>
    <w:p>
      <w:pPr>
        <w:pStyle w:val="821"/>
        <w:ind w:left="420" w:firstLine="480"/>
        <w:spacing w:beforeAutospacing="0" w:afterAutospacing="0" w:line="440" w:lineRule="exact"/>
        <w:rPr>
          <w:highlight w:val="none"/>
        </w:rPr>
      </w:pPr>
      <w:r>
        <w:rPr>
          <w:rFonts w:hint="eastAsia" w:ascii="宋体" w:hAnsi="宋体" w:eastAsia="宋体" w:cs="宋体"/>
          <w:highlight w:val="none"/>
        </w:rPr>
        <w:t xml:space="preserve">供  应  商  开  户   行：</w:t>
      </w:r>
      <w:r/>
    </w:p>
    <w:p>
      <w:pPr>
        <w:pStyle w:val="821"/>
        <w:ind w:left="420" w:firstLine="480"/>
        <w:spacing w:beforeAutospacing="0" w:afterAutospacing="0" w:line="440" w:lineRule="exact"/>
        <w:rPr>
          <w:highlight w:val="none"/>
        </w:rPr>
      </w:pPr>
      <w:r>
        <w:rPr>
          <w:rFonts w:hint="eastAsia" w:ascii="宋体" w:hAnsi="宋体" w:eastAsia="宋体" w:cs="宋体"/>
          <w:highlight w:val="none"/>
        </w:rPr>
        <w:t xml:space="preserve">账          号： </w:t>
      </w:r>
      <w:r/>
    </w:p>
    <w:p>
      <w:pPr>
        <w:pStyle w:val="821"/>
        <w:ind w:left="420" w:firstLine="480"/>
        <w:spacing w:beforeAutospacing="0" w:afterAutospacing="0" w:line="440" w:lineRule="exact"/>
        <w:rPr>
          <w:highlight w:val="none"/>
        </w:rPr>
      </w:pPr>
      <w:r>
        <w:rPr>
          <w:rFonts w:hint="eastAsia" w:ascii="宋体" w:hAnsi="宋体" w:eastAsia="宋体" w:cs="宋体"/>
          <w:highlight w:val="none"/>
        </w:rPr>
        <w:t xml:space="preserve">日          期：________年____月____日</w:t>
      </w:r>
      <w:r/>
    </w:p>
    <w:p>
      <w:pPr>
        <w:rPr>
          <w:highlight w:val="none"/>
        </w:rPr>
      </w:pPr>
      <w:r>
        <w:rPr>
          <w:highlight w:val="none"/>
        </w:rPr>
        <w:br w:type="page" w:clear="all"/>
      </w:r>
      <w:r/>
    </w:p>
    <w:p>
      <w:pPr>
        <w:pStyle w:val="821"/>
        <w:jc w:val="center"/>
        <w:spacing w:beforeAutospacing="0" w:afterAutospacing="0" w:line="0" w:lineRule="atLeast"/>
        <w:rPr>
          <w:rFonts w:hint="eastAsia" w:ascii="黑体" w:hAnsi="宋体" w:eastAsia="黑体" w:cs="黑体"/>
          <w:b/>
          <w:sz w:val="32"/>
          <w:szCs w:val="32"/>
          <w:highlight w:val="none"/>
        </w:rPr>
        <w:outlineLvl w:val="1"/>
      </w:pPr>
      <w:r>
        <w:rPr>
          <w:rFonts w:hint="eastAsia" w:ascii="黑体" w:hAnsi="宋体" w:eastAsia="黑体" w:cs="黑体"/>
          <w:b/>
          <w:sz w:val="32"/>
          <w:szCs w:val="32"/>
          <w:highlight w:val="none"/>
        </w:rPr>
        <w:t xml:space="preserve">九、中小企业声明函（工程）</w:t>
      </w:r>
      <w:r/>
    </w:p>
    <w:p>
      <w:pPr>
        <w:pStyle w:val="821"/>
        <w:jc w:val="center"/>
        <w:spacing w:beforeAutospacing="0" w:afterAutospacing="0" w:line="0" w:lineRule="atLeast"/>
        <w:rPr>
          <w:rFonts w:hint="eastAsia" w:ascii="黑体" w:hAnsi="宋体" w:eastAsia="黑体" w:cs="黑体"/>
          <w:b/>
          <w:sz w:val="32"/>
          <w:szCs w:val="32"/>
          <w:highlight w:val="none"/>
        </w:rPr>
        <w:outlineLvl w:val="1"/>
      </w:pPr>
      <w:r>
        <w:rPr>
          <w:rFonts w:hint="eastAsia" w:ascii="黑体" w:hAnsi="宋体" w:eastAsia="黑体" w:cs="黑体"/>
          <w:b/>
          <w:sz w:val="32"/>
          <w:szCs w:val="32"/>
          <w:highlight w:val="none"/>
        </w:rPr>
      </w:r>
      <w:r/>
    </w:p>
    <w:p>
      <w:pPr>
        <w:ind w:firstLine="480"/>
        <w:spacing w:line="500" w:lineRule="exact"/>
        <w:rPr>
          <w:sz w:val="24"/>
          <w:highlight w:val="none"/>
        </w:rPr>
      </w:pPr>
      <w:r>
        <w:rPr>
          <w:rFonts w:hint="eastAsia"/>
          <w:sz w:val="24"/>
          <w:highlight w:val="none"/>
        </w:rPr>
        <w:t xml:space="preserve">本公司（联合体）郑重声明，根据《政府采购促进中小企业发展管理办法》（财库﹝2020﹞46 号）的规定，本公司参加盐城市盐都区</w:t>
      </w:r>
      <w:r>
        <w:rPr>
          <w:rFonts w:hint="eastAsia"/>
          <w:sz w:val="24"/>
          <w:highlight w:val="none"/>
          <w:lang w:eastAsia="zh-CN"/>
        </w:rPr>
        <w:t xml:space="preserve">大冈</w:t>
      </w:r>
      <w:r>
        <w:rPr>
          <w:rFonts w:hint="eastAsia"/>
          <w:sz w:val="24"/>
          <w:highlight w:val="none"/>
        </w:rPr>
        <w:t xml:space="preserve">镇人民政府组织的，采购编号为     的    （项目名称）的采购活动，工程的施工单位全部为符合政策要求的中小企业承接。具体情况如下：</w:t>
      </w:r>
      <w:r/>
    </w:p>
    <w:p>
      <w:pPr>
        <w:numPr>
          <w:ilvl w:val="0"/>
          <w:numId w:val="5"/>
        </w:numPr>
        <w:ind w:firstLine="482"/>
        <w:spacing w:line="500" w:lineRule="exact"/>
        <w:rPr>
          <w:sz w:val="24"/>
          <w:highlight w:val="none"/>
        </w:rPr>
      </w:pPr>
      <w:r>
        <w:rPr>
          <w:rFonts w:hint="eastAsia"/>
          <w:i/>
          <w:iCs/>
          <w:sz w:val="24"/>
          <w:highlight w:val="none"/>
          <w:u w:val="single"/>
        </w:rPr>
        <w:t xml:space="preserve">（标的名称）</w:t>
      </w:r>
      <w:r>
        <w:rPr>
          <w:rFonts w:hint="eastAsia"/>
          <w:sz w:val="24"/>
          <w:highlight w:val="none"/>
        </w:rPr>
        <w:t xml:space="preserve"> ，属于</w:t>
      </w:r>
      <w:r>
        <w:rPr>
          <w:rFonts w:hint="eastAsia"/>
          <w:i/>
          <w:iCs/>
          <w:sz w:val="24"/>
          <w:highlight w:val="none"/>
          <w:u w:val="single"/>
        </w:rPr>
        <w:t xml:space="preserve">建筑业（磋商文件中明确的所属行业）</w:t>
      </w:r>
      <w:r>
        <w:rPr>
          <w:rFonts w:hint="eastAsia"/>
          <w:sz w:val="24"/>
          <w:highlight w:val="none"/>
        </w:rPr>
        <w:t xml:space="preserve">；承建（承接）企业为</w:t>
      </w:r>
      <w:r>
        <w:rPr>
          <w:rFonts w:hint="eastAsia"/>
          <w:i/>
          <w:iCs/>
          <w:sz w:val="24"/>
          <w:highlight w:val="none"/>
          <w:u w:val="single"/>
        </w:rPr>
        <w:t xml:space="preserve">（企业名称）</w:t>
      </w:r>
      <w:r>
        <w:rPr>
          <w:rFonts w:hint="eastAsia"/>
          <w:sz w:val="24"/>
          <w:highlight w:val="none"/>
        </w:rPr>
        <w:t xml:space="preserve">，从业人员</w:t>
      </w:r>
      <w:r>
        <w:rPr>
          <w:rFonts w:hint="eastAsia"/>
          <w:sz w:val="24"/>
          <w:highlight w:val="none"/>
          <w:u w:val="single"/>
        </w:rPr>
        <w:t xml:space="preserve">    </w:t>
      </w:r>
      <w:r>
        <w:rPr>
          <w:rFonts w:hint="eastAsia"/>
          <w:sz w:val="24"/>
          <w:highlight w:val="none"/>
        </w:rPr>
        <w:t xml:space="preserve">人，营业收入为</w:t>
      </w:r>
      <w:r>
        <w:rPr>
          <w:rFonts w:hint="eastAsia"/>
          <w:sz w:val="24"/>
          <w:highlight w:val="none"/>
          <w:u w:val="single"/>
        </w:rPr>
        <w:t xml:space="preserve">    </w:t>
      </w:r>
      <w:r>
        <w:rPr>
          <w:rFonts w:hint="eastAsia"/>
          <w:sz w:val="24"/>
          <w:highlight w:val="none"/>
        </w:rPr>
        <w:t xml:space="preserve">万元，资产总额为</w:t>
      </w:r>
      <w:r>
        <w:rPr>
          <w:rFonts w:hint="eastAsia"/>
          <w:sz w:val="24"/>
          <w:highlight w:val="none"/>
          <w:u w:val="single"/>
        </w:rPr>
        <w:t xml:space="preserve">    </w:t>
      </w:r>
      <w:r>
        <w:rPr>
          <w:rFonts w:hint="eastAsia"/>
          <w:sz w:val="24"/>
          <w:highlight w:val="none"/>
        </w:rPr>
        <w:t xml:space="preserve">万元，属于（</w:t>
      </w:r>
      <w:r>
        <w:rPr>
          <w:rFonts w:hint="eastAsia"/>
          <w:i/>
          <w:iCs/>
          <w:sz w:val="24"/>
          <w:highlight w:val="none"/>
          <w:u w:val="single"/>
        </w:rPr>
        <w:t xml:space="preserve">中型企业、小型企业、微型企业</w:t>
      </w:r>
      <w:r>
        <w:rPr>
          <w:rFonts w:hint="eastAsia"/>
          <w:sz w:val="24"/>
          <w:highlight w:val="none"/>
        </w:rPr>
        <w:t xml:space="preserve">）；</w:t>
      </w:r>
      <w:r/>
    </w:p>
    <w:p>
      <w:pPr>
        <w:numPr>
          <w:ilvl w:val="0"/>
          <w:numId w:val="5"/>
        </w:numPr>
        <w:ind w:firstLine="482"/>
        <w:spacing w:line="500" w:lineRule="exact"/>
        <w:rPr>
          <w:sz w:val="24"/>
          <w:highlight w:val="none"/>
        </w:rPr>
      </w:pPr>
      <w:r>
        <w:rPr>
          <w:rFonts w:hint="eastAsia"/>
          <w:i/>
          <w:iCs/>
          <w:sz w:val="24"/>
          <w:highlight w:val="none"/>
          <w:u w:val="single"/>
        </w:rPr>
        <w:t xml:space="preserve">（标的名称）</w:t>
      </w:r>
      <w:r>
        <w:rPr>
          <w:rFonts w:hint="eastAsia"/>
          <w:sz w:val="24"/>
          <w:highlight w:val="none"/>
        </w:rPr>
        <w:t xml:space="preserve"> ，属于</w:t>
      </w:r>
      <w:r>
        <w:rPr>
          <w:rFonts w:hint="eastAsia"/>
          <w:i/>
          <w:iCs/>
          <w:sz w:val="24"/>
          <w:highlight w:val="none"/>
          <w:u w:val="single"/>
        </w:rPr>
        <w:t xml:space="preserve">建筑业（磋商文件中明确的所属行业）</w:t>
      </w:r>
      <w:r>
        <w:rPr>
          <w:rFonts w:hint="eastAsia"/>
          <w:sz w:val="24"/>
          <w:highlight w:val="none"/>
        </w:rPr>
        <w:t xml:space="preserve">；承建（承接）企业为</w:t>
      </w:r>
      <w:r>
        <w:rPr>
          <w:rFonts w:hint="eastAsia"/>
          <w:i/>
          <w:iCs/>
          <w:sz w:val="24"/>
          <w:highlight w:val="none"/>
          <w:u w:val="single"/>
        </w:rPr>
        <w:t xml:space="preserve">（企业名称）</w:t>
      </w:r>
      <w:r>
        <w:rPr>
          <w:rFonts w:hint="eastAsia"/>
          <w:sz w:val="24"/>
          <w:highlight w:val="none"/>
        </w:rPr>
        <w:t xml:space="preserve">，从业人员</w:t>
      </w:r>
      <w:r>
        <w:rPr>
          <w:rFonts w:hint="eastAsia"/>
          <w:sz w:val="24"/>
          <w:highlight w:val="none"/>
          <w:u w:val="single"/>
        </w:rPr>
        <w:t xml:space="preserve">    </w:t>
      </w:r>
      <w:r>
        <w:rPr>
          <w:rFonts w:hint="eastAsia"/>
          <w:sz w:val="24"/>
          <w:highlight w:val="none"/>
        </w:rPr>
        <w:t xml:space="preserve">人，营业收入为</w:t>
      </w:r>
      <w:r>
        <w:rPr>
          <w:rFonts w:hint="eastAsia"/>
          <w:sz w:val="24"/>
          <w:highlight w:val="none"/>
          <w:u w:val="single"/>
        </w:rPr>
        <w:t xml:space="preserve">    </w:t>
      </w:r>
      <w:r>
        <w:rPr>
          <w:rFonts w:hint="eastAsia"/>
          <w:sz w:val="24"/>
          <w:highlight w:val="none"/>
        </w:rPr>
        <w:t xml:space="preserve">万元，资产总额为</w:t>
      </w:r>
      <w:r>
        <w:rPr>
          <w:rFonts w:hint="eastAsia"/>
          <w:sz w:val="24"/>
          <w:highlight w:val="none"/>
          <w:u w:val="single"/>
        </w:rPr>
        <w:t xml:space="preserve">    </w:t>
      </w:r>
      <w:r>
        <w:rPr>
          <w:rFonts w:hint="eastAsia"/>
          <w:sz w:val="24"/>
          <w:highlight w:val="none"/>
        </w:rPr>
        <w:t xml:space="preserve">万元，属于</w:t>
      </w:r>
      <w:r>
        <w:rPr>
          <w:rFonts w:hint="eastAsia"/>
          <w:i/>
          <w:iCs/>
          <w:sz w:val="24"/>
          <w:highlight w:val="none"/>
          <w:u w:val="single"/>
        </w:rPr>
        <w:t xml:space="preserve">（中型企业、小型企业、微型企业）</w:t>
      </w:r>
      <w:r>
        <w:rPr>
          <w:rFonts w:hint="eastAsia"/>
          <w:sz w:val="24"/>
          <w:highlight w:val="none"/>
        </w:rPr>
        <w:t xml:space="preserve">；</w:t>
      </w:r>
      <w:r/>
    </w:p>
    <w:p>
      <w:pPr>
        <w:ind w:firstLine="480"/>
        <w:spacing w:line="500" w:lineRule="exact"/>
        <w:rPr>
          <w:sz w:val="24"/>
          <w:highlight w:val="none"/>
        </w:rPr>
      </w:pPr>
      <w:r>
        <w:rPr>
          <w:rFonts w:hint="eastAsia"/>
          <w:sz w:val="24"/>
          <w:highlight w:val="none"/>
        </w:rPr>
        <w:t xml:space="preserve">……</w:t>
      </w:r>
      <w:r/>
    </w:p>
    <w:p>
      <w:pPr>
        <w:ind w:firstLine="480"/>
        <w:spacing w:line="500" w:lineRule="exact"/>
        <w:rPr>
          <w:sz w:val="24"/>
          <w:highlight w:val="none"/>
        </w:rPr>
      </w:pPr>
      <w:r>
        <w:rPr>
          <w:rFonts w:hint="eastAsia"/>
          <w:sz w:val="24"/>
          <w:highlight w:val="none"/>
        </w:rPr>
        <w:t xml:space="preserve">以上企业，不属于大企业的分支机构，不存在控股股东为大企业的情形，也不存在与大企业的负责人为同一人的情形。</w:t>
      </w:r>
      <w:r/>
    </w:p>
    <w:p>
      <w:pPr>
        <w:ind w:firstLine="480"/>
        <w:spacing w:line="500" w:lineRule="exact"/>
        <w:rPr>
          <w:sz w:val="24"/>
          <w:highlight w:val="none"/>
        </w:rPr>
      </w:pPr>
      <w:r>
        <w:rPr>
          <w:rFonts w:hint="eastAsia"/>
          <w:sz w:val="24"/>
          <w:highlight w:val="none"/>
        </w:rPr>
        <w:t xml:space="preserve">本企业对上述声明内容的真实性负责。如有虚假，将依法承担相应责任。</w:t>
      </w:r>
      <w:r/>
    </w:p>
    <w:p>
      <w:pPr>
        <w:pStyle w:val="821"/>
        <w:ind w:right="720"/>
        <w:jc w:val="both"/>
        <w:spacing w:beforeAutospacing="0" w:afterAutospacing="0" w:line="0" w:lineRule="atLeast"/>
        <w:rPr>
          <w:highlight w:val="none"/>
        </w:rPr>
      </w:pPr>
      <w:r>
        <w:rPr>
          <w:highlight w:val="none"/>
        </w:rPr>
        <w:t xml:space="preserve"> </w:t>
      </w:r>
      <w:r/>
    </w:p>
    <w:p>
      <w:pPr>
        <w:pStyle w:val="821"/>
        <w:ind w:right="180" w:firstLine="360"/>
        <w:jc w:val="right"/>
        <w:spacing w:beforeAutospacing="0" w:afterAutospacing="0" w:line="0" w:lineRule="atLeast"/>
        <w:rPr>
          <w:highlight w:val="none"/>
        </w:rPr>
      </w:pPr>
      <w:r>
        <w:rPr>
          <w:rFonts w:hint="eastAsia" w:ascii="宋体" w:hAnsi="宋体" w:eastAsia="宋体" w:cs="宋体"/>
          <w:highlight w:val="none"/>
        </w:rPr>
        <w:t xml:space="preserve">企业名称（加盖CA电子公章）：</w:t>
      </w:r>
      <w:r/>
    </w:p>
    <w:p>
      <w:pPr>
        <w:pStyle w:val="821"/>
        <w:ind w:right="480" w:firstLine="5400"/>
        <w:jc w:val="both"/>
        <w:spacing w:beforeAutospacing="0" w:afterAutospacing="0" w:line="0" w:lineRule="atLeast"/>
        <w:rPr>
          <w:highlight w:val="none"/>
        </w:rPr>
      </w:pPr>
      <w:r>
        <w:rPr>
          <w:rFonts w:hint="eastAsia" w:ascii="宋体" w:hAnsi="宋体" w:eastAsia="宋体" w:cs="宋体"/>
          <w:highlight w:val="none"/>
        </w:rPr>
        <w:t xml:space="preserve">日  期：</w:t>
      </w:r>
      <w:r/>
    </w:p>
    <w:p>
      <w:pPr>
        <w:pStyle w:val="821"/>
        <w:ind w:firstLine="240"/>
        <w:jc w:val="both"/>
        <w:spacing w:beforeAutospacing="0" w:afterAutospacing="0" w:line="0" w:lineRule="atLeast"/>
        <w:rPr>
          <w:highlight w:val="none"/>
        </w:rPr>
      </w:pPr>
      <w:r>
        <w:rPr>
          <w:highlight w:val="none"/>
        </w:rPr>
        <w:t xml:space="preserve"> </w:t>
      </w:r>
      <w:r/>
    </w:p>
    <w:p>
      <w:pPr>
        <w:pStyle w:val="821"/>
        <w:ind w:firstLine="480"/>
        <w:jc w:val="both"/>
        <w:spacing w:beforeAutospacing="0" w:afterAutospacing="0" w:line="0" w:lineRule="atLeast"/>
        <w:rPr>
          <w:highlight w:val="none"/>
        </w:rPr>
      </w:pPr>
      <w:r>
        <w:rPr>
          <w:rFonts w:hint="eastAsia" w:ascii="宋体" w:hAnsi="宋体" w:eastAsia="宋体" w:cs="宋体"/>
          <w:highlight w:val="none"/>
        </w:rPr>
        <w:t xml:space="preserve">备注1：从业人员、营业收入、资产总额填报上一年度数据，无上一年度数据的新成立企业可不填报。</w:t>
      </w:r>
      <w:r/>
    </w:p>
    <w:p>
      <w:pPr>
        <w:pStyle w:val="821"/>
        <w:ind w:firstLine="480"/>
        <w:jc w:val="both"/>
        <w:spacing w:beforeAutospacing="0" w:afterAutospacing="0" w:line="0" w:lineRule="atLeast"/>
        <w:rPr>
          <w:highlight w:val="none"/>
        </w:rPr>
      </w:pPr>
      <w:r>
        <w:rPr>
          <w:rFonts w:hint="eastAsia" w:ascii="宋体" w:hAnsi="宋体" w:eastAsia="宋体" w:cs="宋体"/>
          <w:highlight w:val="none"/>
        </w:rPr>
        <w:t xml:space="preserve">备注2：供应商如不提供此声明函，价格将不做相应扣除（如项目全面面向中小企业，则资格审查不通过）。</w:t>
      </w:r>
      <w:r/>
    </w:p>
    <w:p>
      <w:pPr>
        <w:pStyle w:val="821"/>
        <w:jc w:val="center"/>
        <w:spacing w:beforeAutospacing="0" w:afterAutospacing="0" w:line="0" w:lineRule="atLeast"/>
        <w:rPr>
          <w:rFonts w:hint="eastAsia" w:ascii="黑体" w:hAnsi="宋体" w:eastAsia="黑体" w:cs="黑体"/>
          <w:b/>
          <w:sz w:val="32"/>
          <w:szCs w:val="32"/>
          <w:highlight w:val="none"/>
        </w:rPr>
        <w:outlineLvl w:val="1"/>
      </w:pPr>
      <w:r>
        <w:rPr>
          <w:rFonts w:hint="eastAsia" w:ascii="黑体" w:hAnsi="宋体" w:eastAsia="黑体" w:cs="黑体"/>
          <w:b/>
          <w:sz w:val="32"/>
          <w:szCs w:val="32"/>
          <w:highlight w:val="none"/>
        </w:rPr>
        <w:br w:type="page" w:clear="all"/>
      </w:r>
      <w:r>
        <w:rPr>
          <w:rFonts w:hint="eastAsia" w:ascii="黑体" w:hAnsi="宋体" w:eastAsia="黑体" w:cs="黑体"/>
          <w:b/>
          <w:sz w:val="32"/>
          <w:szCs w:val="32"/>
          <w:highlight w:val="none"/>
        </w:rPr>
        <w:t xml:space="preserve"> 十、残疾人福利性单位声明函</w:t>
      </w:r>
      <w:r/>
    </w:p>
    <w:p>
      <w:pPr>
        <w:pStyle w:val="821"/>
        <w:jc w:val="center"/>
        <w:spacing w:beforeAutospacing="0" w:afterAutospacing="0" w:line="0" w:lineRule="atLeast"/>
        <w:rPr>
          <w:rFonts w:hint="eastAsia" w:ascii="黑体" w:hAnsi="宋体" w:eastAsia="黑体" w:cs="黑体"/>
          <w:b/>
          <w:sz w:val="32"/>
          <w:szCs w:val="32"/>
          <w:highlight w:val="none"/>
        </w:rPr>
        <w:outlineLvl w:val="1"/>
      </w:pPr>
      <w:r>
        <w:rPr>
          <w:rFonts w:hint="eastAsia" w:ascii="黑体" w:hAnsi="宋体" w:eastAsia="黑体" w:cs="黑体"/>
          <w:b/>
          <w:sz w:val="32"/>
          <w:szCs w:val="32"/>
          <w:highlight w:val="none"/>
        </w:rPr>
      </w:r>
      <w:r/>
    </w:p>
    <w:p>
      <w:pPr>
        <w:pStyle w:val="821"/>
        <w:ind w:firstLine="480"/>
        <w:jc w:val="both"/>
        <w:spacing w:beforeAutospacing="0" w:afterAutospacing="0" w:line="440" w:lineRule="exact"/>
        <w:rPr>
          <w:highlight w:val="none"/>
        </w:rPr>
      </w:pPr>
      <w:r>
        <w:rPr>
          <w:rFonts w:hint="eastAsia" w:ascii="宋体" w:hAnsi="宋体" w:eastAsia="宋体" w:cs="宋体"/>
          <w:highlight w:val="none"/>
        </w:rPr>
        <w:t xml:space="preserve">本单位郑重声明，根据《财政部 民政部 中国残疾人联合会关于促进残疾人就业政府采购政策的通知》（财库〔2017〕141号）的规定，本单位为符合条件的残疾人福利性单位，且本单位参加______单位的磋商文件编号为______的</w:t>
      </w:r>
      <w:r>
        <w:rPr>
          <w:rFonts w:hint="eastAsia" w:ascii="宋体" w:hAnsi="宋体" w:eastAsia="宋体" w:cs="宋体"/>
          <w:highlight w:val="none"/>
          <w:u w:val="single"/>
        </w:rPr>
        <w:t xml:space="preserve">       </w:t>
      </w:r>
      <w:r>
        <w:rPr>
          <w:rFonts w:hint="eastAsia" w:ascii="宋体" w:hAnsi="宋体" w:eastAsia="宋体" w:cs="宋体"/>
          <w:highlight w:val="none"/>
        </w:rPr>
        <w:t xml:space="preserve">项目（分包号：**）采购活动提供本单位制造的货物，或者提供其他残疾人福利性单位制造的货物（不包括使用非残疾人福利性单位注册商标的货物）。</w:t>
      </w:r>
      <w:r/>
    </w:p>
    <w:p>
      <w:pPr>
        <w:pStyle w:val="821"/>
        <w:ind w:firstLine="480"/>
        <w:jc w:val="both"/>
        <w:spacing w:beforeAutospacing="0" w:afterAutospacing="0" w:line="440" w:lineRule="exact"/>
        <w:rPr>
          <w:highlight w:val="none"/>
        </w:rPr>
      </w:pPr>
      <w:r>
        <w:rPr>
          <w:rFonts w:hint="eastAsia" w:ascii="宋体" w:hAnsi="宋体" w:eastAsia="宋体" w:cs="宋体"/>
          <w:highlight w:val="none"/>
        </w:rPr>
        <w:t xml:space="preserve">本单位对上述声明的真实性负责。如有虚假，将依法承担相应责任。</w:t>
      </w:r>
      <w:r/>
    </w:p>
    <w:p>
      <w:pPr>
        <w:pStyle w:val="821"/>
        <w:ind w:firstLine="480"/>
        <w:jc w:val="both"/>
        <w:spacing w:beforeAutospacing="0" w:afterAutospacing="0" w:line="440" w:lineRule="exact"/>
        <w:rPr>
          <w:highlight w:val="none"/>
        </w:rPr>
      </w:pPr>
      <w:r>
        <w:rPr>
          <w:highlight w:val="none"/>
        </w:rPr>
        <w:t xml:space="preserve"> </w:t>
      </w:r>
      <w:r/>
    </w:p>
    <w:p>
      <w:pPr>
        <w:pStyle w:val="821"/>
        <w:ind w:firstLine="624"/>
        <w:jc w:val="both"/>
        <w:spacing w:beforeAutospacing="0" w:afterAutospacing="0" w:line="440" w:lineRule="exact"/>
        <w:rPr>
          <w:highlight w:val="none"/>
        </w:rPr>
      </w:pPr>
      <w:r>
        <w:rPr>
          <w:highlight w:val="none"/>
        </w:rPr>
      </w:r>
      <w:r/>
    </w:p>
    <w:p>
      <w:pPr>
        <w:pStyle w:val="821"/>
        <w:ind w:firstLine="624"/>
        <w:jc w:val="both"/>
        <w:spacing w:beforeAutospacing="0" w:afterAutospacing="0" w:line="440" w:lineRule="exact"/>
        <w:rPr>
          <w:highlight w:val="none"/>
        </w:rPr>
      </w:pPr>
      <w:r>
        <w:rPr>
          <w:highlight w:val="none"/>
        </w:rPr>
      </w:r>
      <w:r/>
    </w:p>
    <w:p>
      <w:pPr>
        <w:pStyle w:val="821"/>
        <w:ind w:firstLine="624"/>
        <w:jc w:val="both"/>
        <w:spacing w:beforeAutospacing="0" w:afterAutospacing="0" w:line="440" w:lineRule="exact"/>
        <w:rPr>
          <w:highlight w:val="none"/>
        </w:rPr>
      </w:pPr>
      <w:r>
        <w:rPr>
          <w:highlight w:val="none"/>
        </w:rPr>
      </w:r>
      <w:r/>
    </w:p>
    <w:p>
      <w:pPr>
        <w:pStyle w:val="821"/>
        <w:ind w:firstLine="624"/>
        <w:jc w:val="both"/>
        <w:spacing w:beforeAutospacing="0" w:afterAutospacing="0" w:line="440" w:lineRule="exact"/>
        <w:rPr>
          <w:highlight w:val="none"/>
        </w:rPr>
      </w:pPr>
      <w:r>
        <w:rPr>
          <w:highlight w:val="none"/>
        </w:rPr>
      </w:r>
      <w:r/>
    </w:p>
    <w:p>
      <w:pPr>
        <w:pStyle w:val="821"/>
        <w:ind w:firstLine="624"/>
        <w:jc w:val="both"/>
        <w:spacing w:beforeAutospacing="0" w:afterAutospacing="0" w:line="440" w:lineRule="exact"/>
        <w:rPr>
          <w:highlight w:val="none"/>
        </w:rPr>
      </w:pPr>
      <w:r>
        <w:rPr>
          <w:highlight w:val="none"/>
        </w:rPr>
        <w:t xml:space="preserve"> </w:t>
      </w:r>
      <w:r/>
    </w:p>
    <w:p>
      <w:pPr>
        <w:pStyle w:val="821"/>
        <w:ind w:right="1560" w:firstLine="624"/>
        <w:jc w:val="center"/>
        <w:spacing w:beforeAutospacing="0" w:afterAutospacing="0" w:line="440" w:lineRule="exact"/>
        <w:tabs>
          <w:tab w:val="left" w:pos="4864" w:leader="none"/>
        </w:tabs>
        <w:rPr>
          <w:highlight w:val="none"/>
        </w:rPr>
      </w:pPr>
      <w:r>
        <w:rPr>
          <w:rFonts w:ascii="仿宋_GB2312" w:eastAsia="仿宋_GB2312" w:cs="仿宋_GB2312"/>
          <w:sz w:val="30"/>
          <w:szCs w:val="30"/>
          <w:highlight w:val="none"/>
        </w:rPr>
        <w:t xml:space="preserve">           </w:t>
      </w:r>
      <w:r>
        <w:rPr>
          <w:rFonts w:hint="eastAsia" w:ascii="宋体" w:hAnsi="宋体" w:eastAsia="宋体" w:cs="宋体"/>
          <w:highlight w:val="none"/>
        </w:rPr>
        <w:t xml:space="preserve">供应商全称（加盖CA电子公章）：</w:t>
      </w:r>
      <w:r/>
    </w:p>
    <w:p>
      <w:pPr>
        <w:pStyle w:val="821"/>
        <w:ind w:right="1560" w:firstLine="480"/>
        <w:jc w:val="center"/>
        <w:spacing w:beforeAutospacing="0" w:afterAutospacing="0" w:line="440" w:lineRule="exact"/>
        <w:tabs>
          <w:tab w:val="left" w:pos="4864" w:leader="none"/>
        </w:tabs>
        <w:rPr>
          <w:highlight w:val="none"/>
        </w:rPr>
      </w:pPr>
      <w:r>
        <w:rPr>
          <w:rFonts w:hint="eastAsia" w:ascii="宋体" w:hAnsi="宋体" w:eastAsia="宋体" w:cs="宋体"/>
          <w:highlight w:val="none"/>
        </w:rPr>
        <w:t xml:space="preserve">                       日  期：</w:t>
      </w:r>
      <w:r/>
    </w:p>
    <w:p>
      <w:pPr>
        <w:rPr>
          <w:highlight w:val="none"/>
        </w:rPr>
      </w:pPr>
      <w:r>
        <w:rPr>
          <w:highlight w:val="none"/>
        </w:rPr>
        <w:br w:type="page" w:clear="all"/>
      </w:r>
      <w:r/>
    </w:p>
    <w:p>
      <w:pPr>
        <w:pStyle w:val="821"/>
        <w:jc w:val="center"/>
        <w:spacing w:beforeAutospacing="0" w:afterAutospacing="0" w:line="0" w:lineRule="atLeast"/>
        <w:rPr>
          <w:highlight w:val="none"/>
        </w:rPr>
        <w:outlineLvl w:val="1"/>
      </w:pPr>
      <w:r>
        <w:rPr>
          <w:rFonts w:hint="eastAsia" w:ascii="黑体" w:hAnsi="宋体" w:eastAsia="黑体" w:cs="黑体"/>
          <w:b/>
          <w:sz w:val="32"/>
          <w:szCs w:val="32"/>
          <w:highlight w:val="none"/>
        </w:rPr>
        <w:t xml:space="preserve">十一、已标价的工程量清单报价表</w:t>
      </w:r>
      <w:r/>
    </w:p>
    <w:p>
      <w:pPr>
        <w:pStyle w:val="803"/>
        <w:spacing w:line="440" w:lineRule="exact"/>
        <w:rPr>
          <w:rFonts w:hint="eastAsia" w:cs="Times New Roman" w:asciiTheme="minorEastAsia" w:hAnsiTheme="minorEastAsia" w:eastAsiaTheme="minorEastAsia"/>
          <w:sz w:val="24"/>
          <w:highlight w:val="none"/>
        </w:rPr>
      </w:pPr>
      <w:r>
        <w:rPr>
          <w:rFonts w:hint="eastAsia" w:cs="Times New Roman" w:asciiTheme="minorEastAsia" w:hAnsiTheme="minorEastAsia" w:eastAsiaTheme="minorEastAsia"/>
          <w:sz w:val="24"/>
          <w:highlight w:val="none"/>
        </w:rPr>
        <w:t xml:space="preserve">应附：建设项目投标报价汇总表、单项工程投标报价汇总表、单位工程投标报价汇总表、分部分项工程和单价措施项目清单与计价表、综合单价分析表、总价措施项目清单与计价表、其他项目清单与计价汇总表、暂列金额明细表、材料（工程设备）暂估单价及调整表、专业工程暂估价及结算价表、计日工表、总承包服务费计价表、规费、税金项目计价表、发包人提供材料和工程设备一览表、承包人提供主要材料和工程设备一览表等内容）。已标价工程量清单的格式由投标人根据计价规范和软件格式填入，但内容必须齐全。 </w:t>
      </w:r>
      <w:r/>
    </w:p>
    <w:p>
      <w:pPr>
        <w:pStyle w:val="803"/>
        <w:spacing w:line="440" w:lineRule="exact"/>
        <w:rPr>
          <w:rFonts w:hint="eastAsia" w:cs="Times New Roman" w:asciiTheme="minorEastAsia" w:hAnsiTheme="minorEastAsia" w:eastAsiaTheme="minorEastAsia"/>
          <w:sz w:val="24"/>
          <w:highlight w:val="none"/>
        </w:rPr>
      </w:pPr>
      <w:r>
        <w:rPr>
          <w:rFonts w:hint="eastAsia" w:cs="Times New Roman" w:asciiTheme="minorEastAsia" w:hAnsiTheme="minorEastAsia" w:eastAsiaTheme="minorEastAsia"/>
          <w:sz w:val="24"/>
          <w:highlight w:val="none"/>
        </w:rPr>
        <w:t xml:space="preserve">※分部分项工程和单价措施项目清单与计价表中列明的所有需要填写的单价和合价，投标人均应填写。未填写单价和合价，视为此项费用已包含在工程量清单的其他单价和合价中。</w:t>
      </w:r>
      <w:r/>
    </w:p>
    <w:p>
      <w:pPr>
        <w:pStyle w:val="803"/>
        <w:spacing w:line="440" w:lineRule="exact"/>
        <w:rPr>
          <w:rFonts w:hint="eastAsia" w:cs="Times New Roman" w:asciiTheme="minorEastAsia" w:hAnsiTheme="minorEastAsia" w:eastAsiaTheme="minorEastAsia"/>
          <w:sz w:val="24"/>
          <w:highlight w:val="none"/>
        </w:rPr>
      </w:pPr>
      <w:r>
        <w:rPr>
          <w:rFonts w:hint="eastAsia" w:cs="Times New Roman" w:asciiTheme="minorEastAsia" w:hAnsiTheme="minorEastAsia" w:eastAsiaTheme="minorEastAsia"/>
          <w:sz w:val="24"/>
          <w:highlight w:val="none"/>
        </w:rPr>
        <w:t xml:space="preserve">※已标价工程量清单必须按照采购响应文件所提供的格式填入，其格式不得作任何改变，不得增加、减少、修改、调整。采购人提供的工程量清单中的项目编码、项目名称、计量单位、工程量数量、暂定的价格或者费用、材料规格或者型号等特殊要求，不得作任何更改变动，否则作无效标书处理。</w:t>
      </w:r>
      <w:r/>
    </w:p>
    <w:p>
      <w:pPr>
        <w:pStyle w:val="821"/>
        <w:jc w:val="both"/>
        <w:spacing w:beforeAutospacing="0" w:afterAutospacing="0" w:line="440" w:lineRule="exact"/>
        <w:rPr>
          <w:highlight w:val="none"/>
        </w:rPr>
      </w:pPr>
      <w:r>
        <w:rPr>
          <w:highlight w:val="none"/>
        </w:rPr>
        <w:t xml:space="preserve"> </w:t>
      </w:r>
      <w:r/>
    </w:p>
    <w:p>
      <w:pPr>
        <w:pStyle w:val="821"/>
        <w:jc w:val="both"/>
        <w:spacing w:beforeAutospacing="0" w:afterAutospacing="0" w:line="0" w:lineRule="atLeast"/>
        <w:rPr>
          <w:highlight w:val="none"/>
        </w:rPr>
      </w:pPr>
      <w:r>
        <w:rPr>
          <w:highlight w:val="none"/>
        </w:rPr>
        <w:t xml:space="preserve"> </w:t>
      </w:r>
      <w:r/>
    </w:p>
    <w:p>
      <w:pPr>
        <w:pStyle w:val="821"/>
        <w:jc w:val="both"/>
        <w:spacing w:beforeAutospacing="0" w:afterAutospacing="0"/>
        <w:rPr>
          <w:rFonts w:hint="eastAsia" w:ascii="黑体" w:hAnsi="宋体" w:eastAsia="黑体" w:cs="黑体"/>
          <w:b/>
          <w:sz w:val="32"/>
          <w:szCs w:val="32"/>
          <w:highlight w:val="none"/>
        </w:rPr>
      </w:pPr>
      <w:r>
        <w:rPr>
          <w:rFonts w:hint="eastAsia" w:ascii="黑体" w:hAnsi="宋体" w:eastAsia="黑体" w:cs="黑体"/>
          <w:b/>
          <w:sz w:val="32"/>
          <w:szCs w:val="32"/>
          <w:highlight w:val="none"/>
        </w:rPr>
        <w:br w:type="page" w:clear="all"/>
      </w:r>
      <w:r/>
    </w:p>
    <w:p>
      <w:pPr>
        <w:pStyle w:val="821"/>
        <w:jc w:val="center"/>
        <w:spacing w:beforeAutospacing="0" w:afterAutospacing="0"/>
        <w:rPr>
          <w:highlight w:val="none"/>
        </w:rPr>
        <w:outlineLvl w:val="1"/>
      </w:pPr>
      <w:r>
        <w:rPr>
          <w:rFonts w:hint="eastAsia" w:ascii="黑体" w:hAnsi="宋体" w:eastAsia="黑体" w:cs="黑体"/>
          <w:b/>
          <w:sz w:val="32"/>
          <w:szCs w:val="32"/>
          <w:highlight w:val="none"/>
        </w:rPr>
        <w:t xml:space="preserve">十二、技术要求响应及偏离表</w:t>
      </w:r>
      <w:r/>
    </w:p>
    <w:tbl>
      <w:tblPr>
        <w:tblStyle w:val="797"/>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1"/>
              <w:jc w:val="center"/>
              <w:spacing w:beforeAutospacing="0" w:afterAutospacing="0"/>
              <w:rPr>
                <w:highlight w:val="none"/>
              </w:rPr>
            </w:pPr>
            <w:r>
              <w:rPr>
                <w:rFonts w:hint="eastAsia" w:ascii="宋体" w:hAnsi="宋体" w:eastAsia="宋体" w:cs="宋体"/>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1"/>
              <w:jc w:val="center"/>
              <w:spacing w:beforeAutospacing="0" w:afterAutospacing="0"/>
              <w:rPr>
                <w:highlight w:val="none"/>
              </w:rPr>
            </w:pPr>
            <w:r>
              <w:rPr>
                <w:rFonts w:hint="eastAsia" w:ascii="宋体" w:hAnsi="宋体" w:eastAsia="宋体" w:cs="宋体"/>
                <w:highlight w:val="none"/>
              </w:rPr>
              <w:t xml:space="preserve">磋商文件要求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1"/>
              <w:jc w:val="center"/>
              <w:spacing w:beforeAutospacing="0" w:afterAutospacing="0"/>
              <w:rPr>
                <w:highlight w:val="none"/>
              </w:rPr>
            </w:pPr>
            <w:r>
              <w:rPr>
                <w:rFonts w:hint="eastAsia" w:ascii="宋体" w:hAnsi="宋体" w:eastAsia="宋体" w:cs="宋体"/>
                <w:highlight w:val="none"/>
              </w:rPr>
              <w:t xml:space="preserve">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1"/>
              <w:jc w:val="center"/>
              <w:spacing w:beforeAutospacing="0" w:afterAutospacing="0"/>
              <w:rPr>
                <w:highlight w:val="none"/>
              </w:rPr>
            </w:pPr>
            <w:r>
              <w:rPr>
                <w:rFonts w:hint="eastAsia" w:ascii="宋体" w:hAnsi="宋体" w:eastAsia="宋体" w:cs="宋体"/>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1"/>
              <w:jc w:val="center"/>
              <w:spacing w:beforeAutospacing="0" w:afterAutospacing="0"/>
              <w:rPr>
                <w:highlight w:val="none"/>
              </w:rPr>
            </w:pPr>
            <w:r>
              <w:rPr>
                <w:rFonts w:hint="eastAsia" w:ascii="宋体" w:hAnsi="宋体" w:eastAsia="宋体" w:cs="宋体"/>
                <w:highlight w:val="none"/>
              </w:rPr>
              <w:t xml:space="preserve">证明</w:t>
            </w:r>
            <w:r/>
          </w:p>
          <w:p>
            <w:pPr>
              <w:pStyle w:val="821"/>
              <w:jc w:val="center"/>
              <w:spacing w:beforeAutospacing="0" w:afterAutospacing="0"/>
              <w:rPr>
                <w:highlight w:val="none"/>
              </w:rPr>
            </w:pPr>
            <w:r>
              <w:rPr>
                <w:rFonts w:hint="eastAsia" w:ascii="宋体" w:hAnsi="宋体" w:eastAsia="宋体" w:cs="宋体"/>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1"/>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1"/>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1"/>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1"/>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1"/>
              <w:jc w:val="center"/>
              <w:spacing w:beforeAutospacing="0" w:afterAutospacing="0"/>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1"/>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1"/>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1"/>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1"/>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1"/>
              <w:jc w:val="center"/>
              <w:spacing w:beforeAutospacing="0" w:afterAutospacing="0"/>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1"/>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1"/>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1"/>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1"/>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1"/>
              <w:jc w:val="center"/>
              <w:spacing w:beforeAutospacing="0" w:afterAutospacing="0"/>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1"/>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1"/>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1"/>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1"/>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1"/>
              <w:jc w:val="center"/>
              <w:spacing w:beforeAutospacing="0" w:afterAutospacing="0"/>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1"/>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1"/>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1"/>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1"/>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1"/>
              <w:jc w:val="center"/>
              <w:spacing w:beforeAutospacing="0" w:afterAutospacing="0"/>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1"/>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1"/>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1"/>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1"/>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1"/>
              <w:jc w:val="center"/>
              <w:spacing w:beforeAutospacing="0" w:afterAutospacing="0"/>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1"/>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1"/>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1"/>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1"/>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1"/>
              <w:jc w:val="center"/>
              <w:spacing w:beforeAutospacing="0" w:afterAutospacing="0"/>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1"/>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1"/>
              <w:jc w:val="center"/>
              <w:spacing w:beforeAutospacing="0" w:afterAutospacing="0"/>
              <w:rPr>
                <w:highlight w:val="none"/>
              </w:rPr>
            </w:pPr>
            <w:r>
              <w:rPr>
                <w:rFonts w:hint="eastAsia" w:ascii="宋体" w:hAnsi="宋体" w:eastAsia="宋体" w:cs="宋体"/>
                <w:highlight w:val="none"/>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1"/>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1"/>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1"/>
              <w:jc w:val="center"/>
              <w:spacing w:beforeAutospacing="0" w:afterAutospacing="0"/>
              <w:rPr>
                <w:highlight w:val="none"/>
              </w:rPr>
            </w:pPr>
            <w:r>
              <w:rPr>
                <w:highlight w:val="none"/>
              </w:rPr>
              <w:t xml:space="preserve"> </w:t>
            </w:r>
            <w:r/>
          </w:p>
        </w:tc>
      </w:tr>
    </w:tbl>
    <w:p>
      <w:pPr>
        <w:pStyle w:val="821"/>
        <w:jc w:val="both"/>
        <w:spacing w:before="156" w:beforeAutospacing="0" w:afterAutospacing="0"/>
        <w:rPr>
          <w:highlight w:val="none"/>
        </w:rPr>
      </w:pPr>
      <w:r>
        <w:rPr>
          <w:rFonts w:hint="eastAsia" w:ascii="宋体" w:hAnsi="宋体" w:eastAsia="宋体" w:cs="宋体"/>
          <w:highlight w:val="none"/>
        </w:rPr>
        <w:t xml:space="preserve">注： 行数不够，可自行添加。</w:t>
      </w:r>
      <w:r/>
    </w:p>
    <w:p>
      <w:pPr>
        <w:pStyle w:val="821"/>
        <w:jc w:val="center"/>
        <w:spacing w:beforeAutospacing="0" w:afterAutospacing="0"/>
        <w:rPr>
          <w:highlight w:val="none"/>
        </w:rPr>
      </w:pPr>
      <w:r>
        <w:rPr>
          <w:highlight w:val="none"/>
        </w:rPr>
        <w:t xml:space="preserve"> </w:t>
      </w:r>
      <w:r/>
    </w:p>
    <w:p>
      <w:pPr>
        <w:pStyle w:val="821"/>
        <w:jc w:val="center"/>
        <w:spacing w:beforeAutospacing="0" w:afterAutospacing="0"/>
        <w:rPr>
          <w:highlight w:val="none"/>
        </w:rPr>
      </w:pPr>
      <w:r>
        <w:rPr>
          <w:highlight w:val="none"/>
        </w:rPr>
        <w:t xml:space="preserve"> </w:t>
      </w:r>
      <w:r/>
    </w:p>
    <w:p>
      <w:pPr>
        <w:pStyle w:val="821"/>
        <w:jc w:val="center"/>
        <w:spacing w:beforeAutospacing="0" w:afterAutospacing="0"/>
        <w:rPr>
          <w:highlight w:val="none"/>
        </w:rPr>
      </w:pPr>
      <w:r>
        <w:rPr>
          <w:highlight w:val="none"/>
        </w:rPr>
        <w:t xml:space="preserve"> </w:t>
      </w:r>
      <w:r/>
    </w:p>
    <w:p>
      <w:pPr>
        <w:pStyle w:val="821"/>
        <w:jc w:val="center"/>
        <w:spacing w:beforeAutospacing="0" w:afterAutospacing="0"/>
        <w:rPr>
          <w:highlight w:val="none"/>
        </w:rPr>
      </w:pPr>
      <w:r>
        <w:rPr>
          <w:highlight w:val="none"/>
        </w:rPr>
        <w:t xml:space="preserve"> </w:t>
      </w:r>
      <w:r/>
    </w:p>
    <w:p>
      <w:pPr>
        <w:pStyle w:val="821"/>
        <w:jc w:val="both"/>
        <w:spacing w:beforeAutospacing="0" w:afterAutospacing="0"/>
        <w:rPr>
          <w:highlight w:val="none"/>
        </w:rPr>
      </w:pPr>
      <w:r>
        <w:rPr>
          <w:highlight w:val="none"/>
        </w:rPr>
        <w:t xml:space="preserve"> </w:t>
      </w:r>
      <w:r/>
    </w:p>
    <w:p>
      <w:pPr>
        <w:pStyle w:val="821"/>
        <w:jc w:val="both"/>
        <w:spacing w:beforeAutospacing="0" w:afterAutospacing="0"/>
        <w:rPr>
          <w:highlight w:val="none"/>
        </w:rPr>
      </w:pPr>
      <w:r>
        <w:rPr>
          <w:highlight w:val="none"/>
        </w:rPr>
        <w:t xml:space="preserve"> </w:t>
      </w:r>
      <w:r/>
    </w:p>
    <w:p>
      <w:pPr>
        <w:pStyle w:val="821"/>
        <w:jc w:val="both"/>
        <w:spacing w:beforeAutospacing="0" w:afterAutospacing="0"/>
        <w:rPr>
          <w:highlight w:val="none"/>
        </w:rPr>
      </w:pPr>
      <w:r>
        <w:rPr>
          <w:highlight w:val="none"/>
        </w:rPr>
        <w:t xml:space="preserve"> </w:t>
      </w:r>
      <w:r/>
    </w:p>
    <w:p>
      <w:pPr>
        <w:pStyle w:val="821"/>
        <w:jc w:val="both"/>
        <w:spacing w:beforeAutospacing="0" w:afterAutospacing="0"/>
        <w:rPr>
          <w:highlight w:val="none"/>
        </w:rPr>
      </w:pPr>
      <w:r>
        <w:rPr>
          <w:highlight w:val="none"/>
        </w:rPr>
        <w:t xml:space="preserve"> </w:t>
      </w:r>
      <w:r/>
    </w:p>
    <w:p>
      <w:pPr>
        <w:pStyle w:val="821"/>
        <w:jc w:val="both"/>
        <w:spacing w:beforeAutospacing="0" w:afterAutospacing="0"/>
        <w:rPr>
          <w:highlight w:val="none"/>
        </w:rPr>
      </w:pPr>
      <w:r>
        <w:rPr>
          <w:highlight w:val="none"/>
        </w:rPr>
        <w:t xml:space="preserve"> </w:t>
      </w:r>
      <w:r/>
    </w:p>
    <w:p>
      <w:pPr>
        <w:pStyle w:val="821"/>
        <w:jc w:val="both"/>
        <w:spacing w:beforeAutospacing="0" w:afterAutospacing="0"/>
        <w:rPr>
          <w:highlight w:val="none"/>
        </w:rPr>
      </w:pPr>
      <w:r>
        <w:rPr>
          <w:highlight w:val="none"/>
        </w:rPr>
        <w:t xml:space="preserve"> </w:t>
      </w:r>
      <w:r/>
    </w:p>
    <w:p>
      <w:pPr>
        <w:pStyle w:val="821"/>
        <w:jc w:val="both"/>
        <w:spacing w:beforeAutospacing="0" w:afterAutospacing="0"/>
        <w:rPr>
          <w:highlight w:val="none"/>
        </w:rPr>
      </w:pPr>
      <w:r>
        <w:rPr>
          <w:highlight w:val="none"/>
        </w:rPr>
        <w:t xml:space="preserve"> </w:t>
      </w:r>
      <w:r/>
    </w:p>
    <w:p>
      <w:pPr>
        <w:pStyle w:val="821"/>
        <w:jc w:val="both"/>
        <w:spacing w:beforeAutospacing="0" w:afterAutospacing="0"/>
        <w:rPr>
          <w:highlight w:val="none"/>
        </w:rPr>
      </w:pPr>
      <w:r>
        <w:rPr>
          <w:highlight w:val="none"/>
        </w:rPr>
        <w:t xml:space="preserve"> </w:t>
      </w:r>
      <w:r/>
    </w:p>
    <w:p>
      <w:pPr>
        <w:rPr>
          <w:rFonts w:hint="eastAsia" w:ascii="黑体" w:hAnsi="宋体" w:eastAsia="黑体" w:cs="黑体"/>
          <w:b/>
          <w:sz w:val="32"/>
          <w:szCs w:val="32"/>
          <w:highlight w:val="none"/>
        </w:rPr>
      </w:pPr>
      <w:r/>
      <w:bookmarkStart w:id="672" w:name="_Hlt26955054"/>
      <w:r>
        <w:rPr>
          <w:rFonts w:hint="eastAsia" w:ascii="黑体" w:hAnsi="宋体" w:eastAsia="黑体" w:cs="黑体"/>
          <w:b/>
          <w:sz w:val="32"/>
          <w:szCs w:val="32"/>
          <w:highlight w:val="none"/>
        </w:rPr>
        <w:br w:type="page" w:clear="all"/>
      </w:r>
      <w:r/>
    </w:p>
    <w:p>
      <w:pPr>
        <w:pStyle w:val="821"/>
        <w:jc w:val="center"/>
        <w:spacing w:beforeAutospacing="0" w:afterAutospacing="0"/>
        <w:rPr>
          <w:highlight w:val="none"/>
        </w:rPr>
        <w:outlineLvl w:val="1"/>
      </w:pPr>
      <w:r>
        <w:rPr>
          <w:rFonts w:hint="eastAsia" w:ascii="黑体" w:hAnsi="宋体" w:eastAsia="黑体" w:cs="黑体"/>
          <w:b/>
          <w:sz w:val="32"/>
          <w:szCs w:val="32"/>
          <w:highlight w:val="none"/>
        </w:rPr>
        <w:t xml:space="preserve">十三、商务要求响应及偏离表</w:t>
      </w:r>
      <w:r/>
    </w:p>
    <w:tbl>
      <w:tblPr>
        <w:tblStyle w:val="797"/>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1"/>
              <w:jc w:val="center"/>
              <w:spacing w:beforeAutospacing="0" w:afterAutospacing="0"/>
              <w:rPr>
                <w:highlight w:val="none"/>
              </w:rPr>
            </w:pPr>
            <w:r/>
            <w:bookmarkStart w:id="673" w:name="_Hlt26955064"/>
            <w:r/>
            <w:bookmarkStart w:id="674" w:name="_Hlt26671343"/>
            <w:r/>
            <w:bookmarkStart w:id="675" w:name="_Hlt26580838"/>
            <w:r/>
            <w:bookmarkStart w:id="676" w:name="_Hlt26609391"/>
            <w:r/>
            <w:bookmarkStart w:id="677" w:name="_Hlt26782999"/>
            <w:r/>
            <w:bookmarkStart w:id="678" w:name="_Hlt26955056"/>
            <w:r/>
            <w:bookmarkStart w:id="679" w:name="_Hlt24879081"/>
            <w:r/>
            <w:bookmarkStart w:id="680" w:name="_Hlt26671372"/>
            <w:r>
              <w:rPr>
                <w:rFonts w:hint="eastAsia" w:ascii="宋体" w:hAnsi="宋体" w:eastAsia="宋体" w:cs="宋体"/>
                <w:highlight w:val="none"/>
              </w:rPr>
              <w:t xml:space="preserve">序号</w:t>
            </w:r>
            <w:bookmarkEnd w:id="673"/>
            <w:r/>
            <w:bookmarkEnd w:id="674"/>
            <w:r/>
            <w:bookmarkEnd w:id="675"/>
            <w:r/>
            <w:bookmarkEnd w:id="676"/>
            <w:r/>
            <w:bookmarkEnd w:id="677"/>
            <w:r/>
            <w:bookmarkEnd w:id="678"/>
            <w:r/>
            <w:bookmarkEnd w:id="679"/>
            <w:r/>
            <w:bookmarkEnd w:id="680"/>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1"/>
              <w:jc w:val="center"/>
              <w:spacing w:beforeAutospacing="0" w:afterAutospacing="0"/>
              <w:rPr>
                <w:highlight w:val="none"/>
              </w:rPr>
            </w:pPr>
            <w:r>
              <w:rPr>
                <w:rFonts w:hint="eastAsia" w:ascii="宋体" w:hAnsi="宋体" w:eastAsia="宋体" w:cs="宋体"/>
                <w:highlight w:val="none"/>
              </w:rPr>
              <w:t xml:space="preserve">磋商文件要求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1"/>
              <w:jc w:val="center"/>
              <w:spacing w:beforeAutospacing="0" w:afterAutospacing="0"/>
              <w:rPr>
                <w:highlight w:val="none"/>
              </w:rPr>
            </w:pPr>
            <w:r>
              <w:rPr>
                <w:rFonts w:hint="eastAsia" w:ascii="宋体" w:hAnsi="宋体" w:eastAsia="宋体" w:cs="宋体"/>
                <w:highlight w:val="none"/>
              </w:rPr>
              <w:t xml:space="preserve">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1"/>
              <w:jc w:val="center"/>
              <w:spacing w:beforeAutospacing="0" w:afterAutospacing="0"/>
              <w:rPr>
                <w:highlight w:val="none"/>
              </w:rPr>
            </w:pPr>
            <w:r>
              <w:rPr>
                <w:rFonts w:hint="eastAsia" w:ascii="宋体" w:hAnsi="宋体" w:eastAsia="宋体" w:cs="宋体"/>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1"/>
              <w:jc w:val="center"/>
              <w:spacing w:beforeAutospacing="0" w:afterAutospacing="0"/>
              <w:rPr>
                <w:highlight w:val="none"/>
              </w:rPr>
            </w:pPr>
            <w:r>
              <w:rPr>
                <w:rFonts w:hint="eastAsia" w:ascii="宋体" w:hAnsi="宋体" w:eastAsia="宋体" w:cs="宋体"/>
                <w:highlight w:val="none"/>
              </w:rPr>
              <w:t xml:space="preserve">证明</w:t>
            </w:r>
            <w:r/>
          </w:p>
          <w:p>
            <w:pPr>
              <w:pStyle w:val="821"/>
              <w:jc w:val="center"/>
              <w:spacing w:beforeAutospacing="0" w:afterAutospacing="0"/>
              <w:rPr>
                <w:highlight w:val="none"/>
              </w:rPr>
            </w:pPr>
            <w:r>
              <w:rPr>
                <w:rFonts w:hint="eastAsia" w:ascii="宋体" w:hAnsi="宋体" w:eastAsia="宋体" w:cs="宋体"/>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1"/>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1"/>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1"/>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1"/>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1"/>
              <w:jc w:val="center"/>
              <w:spacing w:beforeAutospacing="0" w:afterAutospacing="0"/>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1"/>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1"/>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1"/>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1"/>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1"/>
              <w:jc w:val="center"/>
              <w:spacing w:beforeAutospacing="0" w:afterAutospacing="0"/>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1"/>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1"/>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1"/>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1"/>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1"/>
              <w:jc w:val="center"/>
              <w:spacing w:beforeAutospacing="0" w:afterAutospacing="0"/>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1"/>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1"/>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1"/>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1"/>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1"/>
              <w:jc w:val="center"/>
              <w:spacing w:beforeAutospacing="0" w:afterAutospacing="0"/>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1"/>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1"/>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1"/>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1"/>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1"/>
              <w:jc w:val="center"/>
              <w:spacing w:beforeAutospacing="0" w:afterAutospacing="0"/>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1"/>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1"/>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1"/>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1"/>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1"/>
              <w:jc w:val="center"/>
              <w:spacing w:beforeAutospacing="0" w:afterAutospacing="0"/>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1"/>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1"/>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1"/>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1"/>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1"/>
              <w:jc w:val="center"/>
              <w:spacing w:beforeAutospacing="0" w:afterAutospacing="0"/>
              <w:rPr>
                <w:highlight w:val="none"/>
              </w:rPr>
            </w:pPr>
            <w:r>
              <w:rPr>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1"/>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1"/>
              <w:jc w:val="center"/>
              <w:spacing w:beforeAutospacing="0" w:afterAutospacing="0"/>
              <w:rPr>
                <w:highlight w:val="none"/>
              </w:rPr>
            </w:pPr>
            <w:r>
              <w:rPr>
                <w:rFonts w:hint="eastAsia" w:ascii="宋体" w:hAnsi="宋体" w:eastAsia="宋体" w:cs="宋体"/>
                <w:highlight w:val="none"/>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1"/>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1"/>
              <w:jc w:val="center"/>
              <w:spacing w:beforeAutospacing="0" w:afterAutospacing="0"/>
              <w:rPr>
                <w:highlight w:val="none"/>
              </w:rPr>
            </w:pPr>
            <w:r>
              <w:rPr>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1"/>
              <w:jc w:val="center"/>
              <w:spacing w:beforeAutospacing="0" w:afterAutospacing="0"/>
              <w:rPr>
                <w:highlight w:val="none"/>
              </w:rPr>
            </w:pPr>
            <w:r>
              <w:rPr>
                <w:highlight w:val="none"/>
              </w:rPr>
              <w:t xml:space="preserve"> </w:t>
            </w:r>
            <w:r/>
          </w:p>
        </w:tc>
      </w:tr>
    </w:tbl>
    <w:p>
      <w:pPr>
        <w:pStyle w:val="821"/>
        <w:jc w:val="both"/>
        <w:spacing w:before="156" w:beforeAutospacing="0" w:afterAutospacing="0"/>
        <w:rPr>
          <w:highlight w:val="none"/>
        </w:rPr>
      </w:pPr>
      <w:r>
        <w:rPr>
          <w:rFonts w:hint="eastAsia" w:ascii="宋体" w:hAnsi="宋体" w:eastAsia="宋体" w:cs="宋体"/>
          <w:highlight w:val="none"/>
        </w:rPr>
        <w:t xml:space="preserve">注： 行数不够，可自行添加。</w:t>
      </w:r>
      <w:r/>
    </w:p>
    <w:p>
      <w:pPr>
        <w:pStyle w:val="821"/>
        <w:jc w:val="both"/>
        <w:spacing w:beforeAutospacing="0" w:afterAutospacing="0" w:line="480" w:lineRule="auto"/>
        <w:rPr>
          <w:highlight w:val="none"/>
        </w:rPr>
      </w:pPr>
      <w:r>
        <w:rPr>
          <w:highlight w:val="none"/>
        </w:rPr>
        <w:t xml:space="preserve"> </w:t>
      </w:r>
      <w:r/>
    </w:p>
    <w:p>
      <w:pPr>
        <w:pStyle w:val="821"/>
        <w:jc w:val="both"/>
        <w:spacing w:beforeAutospacing="0" w:afterAutospacing="0" w:line="480" w:lineRule="auto"/>
        <w:rPr>
          <w:highlight w:val="none"/>
        </w:rPr>
      </w:pPr>
      <w:r>
        <w:rPr>
          <w:highlight w:val="none"/>
        </w:rPr>
        <w:t xml:space="preserve"> </w:t>
      </w:r>
      <w:r/>
    </w:p>
    <w:p>
      <w:pPr>
        <w:pStyle w:val="821"/>
        <w:jc w:val="center"/>
        <w:spacing w:beforeAutospacing="0" w:afterAutospacing="0"/>
        <w:rPr>
          <w:highlight w:val="none"/>
        </w:rPr>
      </w:pPr>
      <w:r/>
      <w:bookmarkStart w:id="681" w:name="_Hlt26671374"/>
      <w:r/>
      <w:bookmarkStart w:id="682" w:name="_格式2__法定代表人授权书"/>
      <w:r/>
      <w:bookmarkStart w:id="683" w:name="_Hlt26609389"/>
      <w:r/>
      <w:bookmarkStart w:id="684" w:name="_Toc462564146"/>
      <w:r/>
      <w:bookmarkStart w:id="685" w:name="_Hlt26955066"/>
      <w:r>
        <w:rPr>
          <w:highlight w:val="none"/>
        </w:rPr>
        <w:t xml:space="preserve"> </w:t>
      </w:r>
      <w:r/>
    </w:p>
    <w:p>
      <w:pPr>
        <w:pStyle w:val="821"/>
        <w:jc w:val="center"/>
        <w:spacing w:beforeAutospacing="0" w:afterAutospacing="0"/>
        <w:rPr>
          <w:highlight w:val="none"/>
        </w:rPr>
      </w:pPr>
      <w:r>
        <w:rPr>
          <w:highlight w:val="none"/>
        </w:rPr>
        <w:t xml:space="preserve"> </w:t>
      </w:r>
      <w:r/>
    </w:p>
    <w:p>
      <w:pPr>
        <w:pStyle w:val="821"/>
        <w:jc w:val="center"/>
        <w:spacing w:beforeAutospacing="0" w:afterAutospacing="0"/>
        <w:rPr>
          <w:highlight w:val="none"/>
        </w:rPr>
      </w:pPr>
      <w:r>
        <w:rPr>
          <w:highlight w:val="none"/>
        </w:rPr>
      </w:r>
      <w:r/>
    </w:p>
    <w:p>
      <w:pPr>
        <w:pStyle w:val="821"/>
        <w:jc w:val="center"/>
        <w:spacing w:beforeAutospacing="0" w:afterAutospacing="0"/>
        <w:rPr>
          <w:highlight w:val="none"/>
        </w:rPr>
      </w:pPr>
      <w:r>
        <w:rPr>
          <w:highlight w:val="none"/>
        </w:rPr>
      </w:r>
      <w:r/>
    </w:p>
    <w:p>
      <w:pPr>
        <w:pStyle w:val="821"/>
        <w:jc w:val="center"/>
        <w:spacing w:beforeAutospacing="0" w:afterAutospacing="0"/>
        <w:rPr>
          <w:highlight w:val="none"/>
        </w:rPr>
      </w:pPr>
      <w:r>
        <w:rPr>
          <w:highlight w:val="none"/>
        </w:rPr>
      </w:r>
      <w:r/>
    </w:p>
    <w:p>
      <w:pPr>
        <w:pStyle w:val="821"/>
        <w:jc w:val="center"/>
        <w:spacing w:beforeAutospacing="0" w:afterAutospacing="0"/>
        <w:rPr>
          <w:highlight w:val="none"/>
        </w:rPr>
      </w:pPr>
      <w:r>
        <w:rPr>
          <w:highlight w:val="none"/>
        </w:rPr>
      </w:r>
      <w:r/>
    </w:p>
    <w:p>
      <w:pPr>
        <w:pStyle w:val="821"/>
        <w:jc w:val="center"/>
        <w:spacing w:beforeAutospacing="0" w:afterAutospacing="0"/>
        <w:rPr>
          <w:highlight w:val="none"/>
        </w:rPr>
      </w:pPr>
      <w:r>
        <w:rPr>
          <w:highlight w:val="none"/>
        </w:rPr>
        <w:t xml:space="preserve"> </w:t>
      </w:r>
      <w:r/>
    </w:p>
    <w:p>
      <w:pPr>
        <w:pStyle w:val="821"/>
        <w:jc w:val="center"/>
        <w:spacing w:beforeAutospacing="0" w:afterAutospacing="0"/>
        <w:rPr>
          <w:highlight w:val="none"/>
        </w:rPr>
      </w:pPr>
      <w:r>
        <w:rPr>
          <w:highlight w:val="none"/>
        </w:rPr>
        <w:t xml:space="preserve"> </w:t>
      </w:r>
      <w:r/>
    </w:p>
    <w:p>
      <w:pPr>
        <w:pStyle w:val="821"/>
        <w:jc w:val="center"/>
        <w:spacing w:beforeAutospacing="0" w:afterAutospacing="0"/>
        <w:rPr>
          <w:highlight w:val="none"/>
        </w:rPr>
      </w:pPr>
      <w:r>
        <w:rPr>
          <w:highlight w:val="none"/>
        </w:rPr>
        <w:t xml:space="preserve"> </w:t>
      </w:r>
      <w:r/>
    </w:p>
    <w:p>
      <w:pPr>
        <w:pStyle w:val="821"/>
        <w:jc w:val="center"/>
        <w:spacing w:beforeAutospacing="0" w:afterAutospacing="0"/>
        <w:rPr>
          <w:highlight w:val="none"/>
        </w:rPr>
      </w:pPr>
      <w:r>
        <w:rPr>
          <w:highlight w:val="none"/>
        </w:rPr>
        <w:t xml:space="preserve"> </w:t>
      </w:r>
      <w:r/>
    </w:p>
    <w:p>
      <w:pPr>
        <w:pStyle w:val="821"/>
        <w:jc w:val="center"/>
        <w:spacing w:beforeAutospacing="0" w:afterAutospacing="0"/>
        <w:rPr>
          <w:highlight w:val="none"/>
        </w:rPr>
      </w:pPr>
      <w:r>
        <w:rPr>
          <w:highlight w:val="none"/>
        </w:rPr>
        <w:t xml:space="preserve"> </w:t>
      </w:r>
      <w:r/>
    </w:p>
    <w:p>
      <w:pPr>
        <w:pStyle w:val="821"/>
        <w:jc w:val="both"/>
        <w:spacing w:beforeAutospacing="0" w:afterAutospacing="0"/>
        <w:rPr>
          <w:highlight w:val="none"/>
        </w:rPr>
      </w:pPr>
      <w:r>
        <w:rPr>
          <w:highlight w:val="none"/>
        </w:rPr>
        <w:t xml:space="preserve"> </w:t>
      </w:r>
      <w:r/>
    </w:p>
    <w:p>
      <w:pPr>
        <w:rPr>
          <w:rFonts w:hint="eastAsia" w:ascii="宋体" w:hAnsi="宋体" w:eastAsia="宋体" w:cs="宋体"/>
          <w:sz w:val="32"/>
          <w:szCs w:val="32"/>
          <w:highlight w:val="none"/>
        </w:rPr>
      </w:pPr>
      <w:r>
        <w:rPr>
          <w:rFonts w:hint="eastAsia" w:ascii="宋体" w:hAnsi="宋体" w:eastAsia="宋体" w:cs="宋体"/>
          <w:sz w:val="32"/>
          <w:szCs w:val="32"/>
          <w:highlight w:val="none"/>
        </w:rPr>
        <w:br w:type="page" w:clear="all"/>
      </w:r>
      <w:r/>
    </w:p>
    <w:p>
      <w:pPr>
        <w:pStyle w:val="821"/>
        <w:jc w:val="center"/>
        <w:spacing w:beforeAutospacing="0" w:afterAutospacing="0"/>
        <w:rPr>
          <w:highlight w:val="none"/>
        </w:rPr>
        <w:outlineLvl w:val="1"/>
      </w:pPr>
      <w:r>
        <w:rPr>
          <w:rFonts w:hint="eastAsia" w:ascii="黑体" w:hAnsi="宋体" w:eastAsia="黑体" w:cs="黑体"/>
          <w:b/>
          <w:i/>
          <w:sz w:val="32"/>
          <w:szCs w:val="32"/>
          <w:highlight w:val="none"/>
          <w:u w:val="single"/>
        </w:rPr>
        <w:t xml:space="preserve">十四、磋商报价表</w:t>
      </w:r>
      <w:r/>
    </w:p>
    <w:p>
      <w:pPr>
        <w:pStyle w:val="821"/>
        <w:ind w:firstLine="48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21"/>
        <w:ind w:firstLine="480"/>
        <w:jc w:val="both"/>
        <w:spacing w:beforeAutospacing="0" w:afterAutospacing="0"/>
        <w:rPr>
          <w:highlight w:val="none"/>
        </w:rPr>
      </w:pPr>
      <w:r>
        <w:rPr>
          <w:rFonts w:hint="eastAsia" w:ascii="宋体" w:hAnsi="宋体" w:eastAsia="宋体" w:cs="宋体"/>
          <w:highlight w:val="none"/>
        </w:rPr>
        <w:t xml:space="preserve">投标人全称（加盖CA电子签章）：</w:t>
      </w:r>
      <w:r/>
    </w:p>
    <w:p>
      <w:pPr>
        <w:pStyle w:val="821"/>
        <w:ind w:firstLine="480"/>
        <w:jc w:val="both"/>
        <w:spacing w:beforeAutospacing="0" w:afterAutospacing="0"/>
        <w:rPr>
          <w:highlight w:val="none"/>
        </w:rPr>
      </w:pPr>
      <w:r>
        <w:rPr>
          <w:rFonts w:hint="eastAsia" w:ascii="宋体" w:hAnsi="宋体" w:eastAsia="宋体" w:cs="宋体"/>
          <w:highlight w:val="none"/>
        </w:rPr>
        <w:t xml:space="preserve">项目名称：</w:t>
      </w:r>
      <w:r/>
    </w:p>
    <w:p>
      <w:pPr>
        <w:pStyle w:val="821"/>
        <w:ind w:firstLine="48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项目编号：</w:t>
      </w:r>
      <w:r/>
    </w:p>
    <w:p>
      <w:pPr>
        <w:ind w:firstLine="482"/>
        <w:spacing w:line="65" w:lineRule="atLeast"/>
        <w:rPr>
          <w:rFonts w:hint="eastAsia"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highlight w:val="none"/>
        </w:rPr>
        <w:t xml:space="preserve"> </w:t>
      </w:r>
      <w:r/>
    </w:p>
    <w:tbl>
      <w:tblPr>
        <w:tblStyle w:val="8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56"/>
        <w:gridCol w:w="2825"/>
        <w:gridCol w:w="2841"/>
      </w:tblGrid>
      <w:tr>
        <w:trPr/>
        <w:tc>
          <w:tcPr>
            <w:tcW w:w="2990" w:type="dxa"/>
            <w:textDirection w:val="lrTb"/>
            <w:noWrap w:val="false"/>
          </w:tcPr>
          <w:p>
            <w:pPr>
              <w:pStyle w:val="821"/>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项目名称</w:t>
            </w:r>
            <w:r/>
          </w:p>
        </w:tc>
        <w:tc>
          <w:tcPr>
            <w:tcW w:w="2990" w:type="dxa"/>
            <w:textDirection w:val="lrTb"/>
            <w:noWrap w:val="false"/>
          </w:tcPr>
          <w:p>
            <w:pPr>
              <w:pStyle w:val="821"/>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项目内容</w:t>
            </w:r>
            <w:r/>
          </w:p>
        </w:tc>
        <w:tc>
          <w:tcPr>
            <w:tcW w:w="2990" w:type="dxa"/>
            <w:textDirection w:val="lrTb"/>
            <w:noWrap w:val="false"/>
          </w:tcPr>
          <w:p>
            <w:pPr>
              <w:pStyle w:val="821"/>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总价（小写）</w:t>
            </w:r>
            <w:r/>
          </w:p>
        </w:tc>
      </w:tr>
      <w:tr>
        <w:trPr/>
        <w:tc>
          <w:tcPr>
            <w:tcW w:w="2990" w:type="dxa"/>
            <w:textDirection w:val="lrTb"/>
            <w:noWrap w:val="false"/>
          </w:tcPr>
          <w:p>
            <w:pPr>
              <w:pStyle w:val="821"/>
              <w:jc w:val="both"/>
              <w:spacing w:beforeAutospacing="0" w:afterAutospacing="0" w:line="360" w:lineRule="auto"/>
              <w:rPr>
                <w:rFonts w:hint="eastAsia" w:ascii="宋体" w:hAnsi="宋体" w:eastAsia="宋体" w:cs="宋体"/>
                <w:highlight w:val="none"/>
                <w:lang w:eastAsia="zh-CN"/>
              </w:rPr>
            </w:pPr>
            <w:r>
              <w:rPr>
                <w:rFonts w:hint="eastAsia" w:ascii="宋体" w:hAnsi="宋体" w:eastAsia="宋体" w:cs="宋体"/>
                <w:highlight w:val="none"/>
                <w:lang w:eastAsia="zh-CN"/>
              </w:rPr>
              <w:t xml:space="preserve">大冈镇老旧小区改造项目</w:t>
            </w:r>
            <w:r/>
          </w:p>
        </w:tc>
        <w:tc>
          <w:tcPr>
            <w:tcW w:w="2990" w:type="dxa"/>
            <w:textDirection w:val="lrTb"/>
            <w:noWrap w:val="false"/>
          </w:tcPr>
          <w:p>
            <w:pPr>
              <w:pStyle w:val="821"/>
              <w:jc w:val="both"/>
              <w:spacing w:beforeAutospacing="0" w:afterAutospacing="0" w:line="360" w:lineRule="auto"/>
              <w:rPr>
                <w:rFonts w:hint="eastAsia" w:ascii="宋体" w:hAnsi="宋体" w:eastAsia="宋体" w:cs="宋体"/>
                <w:highlight w:val="none"/>
              </w:rPr>
            </w:pPr>
            <w:r>
              <w:rPr>
                <w:rFonts w:hint="eastAsia" w:ascii="宋体" w:hAnsi="宋体" w:eastAsia="宋体" w:cs="宋体"/>
                <w:szCs w:val="22"/>
                <w:highlight w:val="none"/>
                <w:lang w:eastAsia="en-US"/>
              </w:rPr>
              <w:t xml:space="preserve">详见</w:t>
            </w:r>
            <w:r>
              <w:rPr>
                <w:rFonts w:hint="eastAsia" w:ascii="宋体" w:hAnsi="宋体" w:eastAsia="宋体" w:cs="宋体"/>
                <w:szCs w:val="22"/>
                <w:highlight w:val="none"/>
              </w:rPr>
              <w:t xml:space="preserve">响应</w:t>
            </w:r>
            <w:r>
              <w:rPr>
                <w:rFonts w:hint="eastAsia" w:ascii="宋体" w:hAnsi="宋体" w:eastAsia="宋体" w:cs="宋体"/>
                <w:szCs w:val="22"/>
                <w:highlight w:val="none"/>
                <w:lang w:eastAsia="en-US"/>
              </w:rPr>
              <w:t xml:space="preserve">文件</w:t>
            </w:r>
            <w:r/>
          </w:p>
        </w:tc>
        <w:tc>
          <w:tcPr>
            <w:tcW w:w="2990" w:type="dxa"/>
            <w:textDirection w:val="lrTb"/>
            <w:noWrap w:val="false"/>
          </w:tcPr>
          <w:p>
            <w:pPr>
              <w:pStyle w:val="821"/>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r>
            <w:r/>
          </w:p>
        </w:tc>
      </w:tr>
      <w:tr>
        <w:trPr/>
        <w:tc>
          <w:tcPr>
            <w:tcW w:w="2990" w:type="dxa"/>
            <w:textDirection w:val="lrTb"/>
            <w:noWrap w:val="false"/>
          </w:tcPr>
          <w:p>
            <w:pPr>
              <w:pStyle w:val="821"/>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总价（大写）：</w:t>
            </w:r>
            <w:r/>
          </w:p>
        </w:tc>
        <w:tc>
          <w:tcPr>
            <w:gridSpan w:val="2"/>
            <w:tcW w:w="5980" w:type="dxa"/>
            <w:textDirection w:val="lrTb"/>
            <w:noWrap w:val="false"/>
          </w:tcPr>
          <w:p>
            <w:pPr>
              <w:pStyle w:val="821"/>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r>
            <w:r/>
          </w:p>
        </w:tc>
      </w:tr>
    </w:tbl>
    <w:p>
      <w:pPr>
        <w:pStyle w:val="824"/>
        <w:rPr>
          <w:rFonts w:hint="eastAsia"/>
          <w:highlight w:val="none"/>
        </w:rPr>
      </w:pPr>
      <w:r>
        <w:rPr>
          <w:rFonts w:hint="eastAsia"/>
          <w:highlight w:val="none"/>
        </w:rPr>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160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highlight w:val="none"/>
        </w:rPr>
        <w:t xml:space="preserve"> </w:t>
      </w:r>
      <w:r/>
    </w:p>
    <w:p>
      <w:pPr>
        <w:ind w:firstLine="1600"/>
        <w:spacing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highlight w:val="none"/>
        </w:rPr>
        <w:t xml:space="preserve"> </w:t>
      </w:r>
      <w:r>
        <w:rPr>
          <w:rFonts w:hint="eastAsia" w:ascii="宋体" w:hAnsi="宋体" w:eastAsia="宋体" w:cs="宋体"/>
          <w:sz w:val="24"/>
          <w:highlight w:val="none"/>
        </w:rPr>
        <w:t xml:space="preserve">      日期：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p>
    <w:p>
      <w:pPr>
        <w:pStyle w:val="821"/>
        <w:widowControl/>
        <w:rPr>
          <w:highlight w:val="none"/>
        </w:rPr>
      </w:pPr>
      <w:r>
        <w:rPr>
          <w:highlight w:val="none"/>
        </w:rPr>
        <w:t xml:space="preserve"> </w:t>
      </w:r>
      <w:r/>
    </w:p>
    <w:p>
      <w:pPr>
        <w:pStyle w:val="821"/>
        <w:widowControl/>
        <w:rPr>
          <w:highlight w:val="none"/>
        </w:rPr>
      </w:pPr>
      <w:r>
        <w:rPr>
          <w:highlight w:val="none"/>
        </w:rPr>
        <w:t xml:space="preserve"> </w:t>
      </w:r>
      <w:r/>
    </w:p>
    <w:p>
      <w:pPr>
        <w:jc w:val="center"/>
        <w:spacing w:before="50" w:after="50"/>
        <w:widowControl/>
        <w:rPr>
          <w:highlight w:val="none"/>
        </w:rPr>
      </w:pPr>
      <w:r>
        <w:rPr>
          <w:highlight w:val="none"/>
        </w:rPr>
        <w:tab/>
      </w:r>
      <w:r/>
    </w:p>
    <w:p>
      <w:pPr>
        <w:jc w:val="center"/>
        <w:spacing w:before="50" w:after="50"/>
        <w:widowControl/>
        <w:rPr>
          <w:rFonts w:hint="eastAsia" w:ascii="黑体" w:hAnsi="宋体" w:eastAsia="黑体" w:cs="黑体"/>
          <w:b/>
          <w:sz w:val="32"/>
          <w:szCs w:val="32"/>
          <w:highlight w:val="none"/>
        </w:rPr>
      </w:pPr>
      <w:r>
        <w:rPr>
          <w:rFonts w:hint="eastAsia" w:ascii="黑体" w:hAnsi="宋体" w:eastAsia="黑体" w:cs="黑体"/>
          <w:b/>
          <w:sz w:val="32"/>
          <w:szCs w:val="32"/>
          <w:highlight w:val="none"/>
        </w:rPr>
      </w:r>
      <w:r/>
    </w:p>
    <w:p>
      <w:pPr>
        <w:jc w:val="center"/>
        <w:spacing w:before="50" w:after="50"/>
        <w:widowControl/>
        <w:rPr>
          <w:rFonts w:hint="eastAsia" w:ascii="黑体" w:hAnsi="宋体" w:eastAsia="黑体" w:cs="黑体"/>
          <w:b/>
          <w:sz w:val="32"/>
          <w:szCs w:val="32"/>
          <w:highlight w:val="none"/>
        </w:rPr>
      </w:pPr>
      <w:r>
        <w:rPr>
          <w:rFonts w:hint="eastAsia" w:ascii="黑体" w:hAnsi="宋体" w:eastAsia="黑体" w:cs="黑体"/>
          <w:b/>
          <w:sz w:val="32"/>
          <w:szCs w:val="32"/>
          <w:highlight w:val="none"/>
        </w:rPr>
      </w:r>
      <w:r/>
    </w:p>
    <w:p>
      <w:pPr>
        <w:jc w:val="center"/>
        <w:spacing w:before="50" w:after="50"/>
        <w:widowControl/>
        <w:rPr>
          <w:rFonts w:hint="eastAsia" w:ascii="黑体" w:hAnsi="宋体" w:eastAsia="黑体" w:cs="黑体"/>
          <w:b/>
          <w:sz w:val="32"/>
          <w:szCs w:val="32"/>
          <w:highlight w:val="none"/>
        </w:rPr>
      </w:pPr>
      <w:r>
        <w:rPr>
          <w:rFonts w:hint="eastAsia" w:ascii="黑体" w:hAnsi="宋体" w:eastAsia="黑体" w:cs="黑体"/>
          <w:b/>
          <w:sz w:val="32"/>
          <w:szCs w:val="32"/>
          <w:highlight w:val="none"/>
        </w:rPr>
      </w:r>
      <w:r/>
    </w:p>
    <w:p>
      <w:pPr>
        <w:jc w:val="center"/>
        <w:spacing w:before="50" w:after="50"/>
        <w:widowControl/>
        <w:rPr>
          <w:rFonts w:hint="eastAsia" w:ascii="黑体" w:hAnsi="宋体" w:eastAsia="黑体" w:cs="黑体"/>
          <w:b/>
          <w:sz w:val="32"/>
          <w:szCs w:val="32"/>
          <w:highlight w:val="none"/>
        </w:rPr>
      </w:pPr>
      <w:r>
        <w:rPr>
          <w:rFonts w:hint="eastAsia" w:ascii="黑体" w:hAnsi="宋体" w:eastAsia="黑体" w:cs="黑体"/>
          <w:b/>
          <w:sz w:val="32"/>
          <w:szCs w:val="32"/>
          <w:highlight w:val="none"/>
        </w:rPr>
      </w:r>
      <w:r/>
    </w:p>
    <w:p>
      <w:pPr>
        <w:jc w:val="center"/>
        <w:spacing w:before="50" w:after="50"/>
        <w:widowControl/>
        <w:rPr>
          <w:rFonts w:hint="eastAsia" w:ascii="黑体" w:hAnsi="宋体" w:eastAsia="黑体" w:cs="黑体"/>
          <w:b/>
          <w:sz w:val="32"/>
          <w:szCs w:val="32"/>
          <w:highlight w:val="none"/>
        </w:rPr>
      </w:pPr>
      <w:r>
        <w:rPr>
          <w:rFonts w:hint="eastAsia" w:ascii="黑体" w:hAnsi="宋体" w:eastAsia="黑体" w:cs="黑体"/>
          <w:b/>
          <w:sz w:val="32"/>
          <w:szCs w:val="32"/>
          <w:highlight w:val="none"/>
        </w:rPr>
      </w:r>
      <w:r/>
    </w:p>
    <w:p>
      <w:pPr>
        <w:rPr>
          <w:rFonts w:hint="eastAsia" w:ascii="黑体" w:hAnsi="宋体" w:eastAsia="黑体" w:cs="黑体"/>
          <w:b/>
          <w:sz w:val="32"/>
          <w:szCs w:val="32"/>
          <w:highlight w:val="none"/>
        </w:rPr>
      </w:pPr>
      <w:r>
        <w:rPr>
          <w:rFonts w:hint="eastAsia" w:ascii="黑体" w:hAnsi="宋体" w:eastAsia="黑体" w:cs="黑体"/>
          <w:b/>
          <w:sz w:val="32"/>
          <w:szCs w:val="32"/>
          <w:highlight w:val="none"/>
        </w:rPr>
        <w:br w:type="page" w:clear="all"/>
      </w:r>
      <w:r/>
    </w:p>
    <w:p>
      <w:pPr>
        <w:jc w:val="center"/>
        <w:spacing w:before="50" w:after="50"/>
        <w:widowControl/>
        <w:rPr>
          <w:rFonts w:hint="eastAsia" w:ascii="黑体" w:hAnsi="宋体" w:eastAsia="黑体" w:cs="黑体"/>
          <w:b/>
          <w:sz w:val="32"/>
          <w:szCs w:val="32"/>
          <w:highlight w:val="none"/>
        </w:rPr>
      </w:pPr>
      <w:r>
        <w:rPr>
          <w:rFonts w:hint="eastAsia" w:ascii="黑体" w:hAnsi="宋体" w:eastAsia="黑体" w:cs="黑体"/>
          <w:b/>
          <w:sz w:val="32"/>
          <w:szCs w:val="32"/>
          <w:highlight w:val="none"/>
        </w:rPr>
        <w:t xml:space="preserve">十五、项目实施方案</w:t>
      </w:r>
      <w:r/>
    </w:p>
    <w:p>
      <w:pPr>
        <w:pStyle w:val="821"/>
        <w:ind w:firstLine="2640"/>
        <w:jc w:val="both"/>
        <w:spacing w:beforeAutospacing="0" w:afterAutospacing="0"/>
        <w:tabs>
          <w:tab w:val="left" w:pos="2160" w:leader="none"/>
        </w:tabs>
        <w:rPr>
          <w:highlight w:val="none"/>
        </w:rPr>
      </w:pPr>
      <w:r>
        <w:rPr>
          <w:rFonts w:ascii="宋体" w:hAnsi="宋体" w:eastAsia="宋体" w:cs="宋体"/>
          <w:color w:val="000000"/>
          <w:highlight w:val="none"/>
        </w:rPr>
        <w:t xml:space="preserve">（按招标文件评标办法编制）</w:t>
      </w:r>
      <w:r/>
    </w:p>
    <w:p>
      <w:pPr>
        <w:rPr>
          <w:rFonts w:hint="eastAsia" w:ascii="黑体" w:hAnsi="宋体" w:eastAsia="黑体" w:cs="黑体"/>
          <w:b/>
          <w:sz w:val="32"/>
          <w:szCs w:val="32"/>
          <w:highlight w:val="none"/>
        </w:rPr>
      </w:pPr>
      <w:r>
        <w:rPr>
          <w:rFonts w:hint="eastAsia" w:ascii="黑体" w:hAnsi="宋体" w:eastAsia="黑体" w:cs="黑体"/>
          <w:b/>
          <w:sz w:val="32"/>
          <w:szCs w:val="32"/>
          <w:highlight w:val="none"/>
        </w:rPr>
        <w:br w:type="page" w:clear="all"/>
      </w:r>
      <w:r/>
    </w:p>
    <w:p>
      <w:pPr>
        <w:jc w:val="center"/>
        <w:spacing w:before="50" w:after="50"/>
        <w:widowControl/>
        <w:rPr>
          <w:rFonts w:hint="eastAsia" w:ascii="黑体" w:hAnsi="宋体" w:eastAsia="黑体" w:cs="黑体"/>
          <w:b/>
          <w:sz w:val="32"/>
          <w:szCs w:val="32"/>
          <w:highlight w:val="none"/>
        </w:rPr>
      </w:pPr>
      <w:r>
        <w:rPr>
          <w:rFonts w:hint="eastAsia" w:ascii="黑体" w:hAnsi="宋体" w:eastAsia="黑体" w:cs="黑体"/>
          <w:b/>
          <w:sz w:val="32"/>
          <w:szCs w:val="32"/>
          <w:highlight w:val="none"/>
        </w:rPr>
        <w:t xml:space="preserve">十六、盐都区政府采购事前信用承诺书</w:t>
      </w:r>
      <w:r/>
    </w:p>
    <w:p>
      <w:pPr>
        <w:ind w:firstLine="480"/>
        <w:jc w:val="left"/>
        <w:spacing w:line="499" w:lineRule="atLeast"/>
        <w:widowControl/>
        <w:rPr>
          <w:rFonts w:hint="eastAsia" w:ascii="宋体" w:hAnsi="宋体" w:eastAsia="宋体" w:cs="宋体"/>
          <w:sz w:val="24"/>
          <w:highlight w:val="none"/>
        </w:rPr>
      </w:pPr>
      <w:r>
        <w:rPr>
          <w:rFonts w:hint="eastAsia" w:ascii="宋体" w:hAnsi="宋体" w:eastAsia="宋体" w:cs="宋体"/>
          <w:sz w:val="24"/>
          <w:highlight w:val="none"/>
        </w:rPr>
        <w:t xml:space="preserve">为营造我市公开、公平、公正、诚实守信的政府采购交易环境，树立诚信守法的投标人形象，本人代表本单位作出以下承诺：</w:t>
      </w:r>
      <w:r/>
    </w:p>
    <w:p>
      <w:pPr>
        <w:ind w:firstLine="480"/>
        <w:jc w:val="left"/>
        <w:spacing w:line="499" w:lineRule="atLeast"/>
        <w:widowControl/>
        <w:rPr>
          <w:rFonts w:hint="eastAsia" w:ascii="宋体" w:hAnsi="宋体" w:eastAsia="宋体" w:cs="宋体"/>
          <w:sz w:val="24"/>
          <w:highlight w:val="none"/>
        </w:rPr>
      </w:pPr>
      <w:r>
        <w:rPr>
          <w:rFonts w:hint="eastAsia" w:ascii="宋体" w:hAnsi="宋体" w:eastAsia="宋体" w:cs="宋体"/>
          <w:sz w:val="24"/>
          <w:highlight w:val="none"/>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hint="eastAsia" w:ascii="宋体" w:hAnsi="宋体" w:eastAsia="宋体" w:cs="宋体"/>
          <w:sz w:val="24"/>
          <w:highlight w:val="none"/>
        </w:rPr>
      </w:pPr>
      <w:r>
        <w:rPr>
          <w:rFonts w:hint="eastAsia" w:ascii="宋体" w:hAnsi="宋体" w:eastAsia="宋体" w:cs="宋体"/>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499" w:lineRule="atLeast"/>
        <w:widowControl/>
        <w:rPr>
          <w:rFonts w:hint="eastAsia" w:ascii="宋体" w:hAnsi="宋体" w:eastAsia="宋体" w:cs="宋体"/>
          <w:sz w:val="24"/>
          <w:highlight w:val="none"/>
        </w:rPr>
      </w:pPr>
      <w:r>
        <w:rPr>
          <w:rFonts w:hint="eastAsia" w:ascii="宋体" w:hAnsi="宋体" w:eastAsia="宋体" w:cs="宋体"/>
          <w:sz w:val="24"/>
          <w:highlight w:val="none"/>
        </w:rPr>
        <w:t xml:space="preserve">（三）严格依照国家和省、市关于政府采购的法律、法规、规章、规范性文件，参加政府采购投标活动；积极履行社会责任，促进廉政建设； </w:t>
      </w:r>
      <w:r/>
    </w:p>
    <w:p>
      <w:pPr>
        <w:ind w:firstLine="480"/>
        <w:jc w:val="left"/>
        <w:spacing w:line="499" w:lineRule="atLeast"/>
        <w:widowControl/>
        <w:rPr>
          <w:rFonts w:hint="eastAsia" w:ascii="宋体" w:hAnsi="宋体" w:eastAsia="宋体" w:cs="宋体"/>
          <w:sz w:val="24"/>
          <w:highlight w:val="none"/>
        </w:rPr>
      </w:pPr>
      <w:r>
        <w:rPr>
          <w:rFonts w:hint="eastAsia" w:ascii="宋体" w:hAnsi="宋体" w:eastAsia="宋体" w:cs="宋体"/>
          <w:sz w:val="24"/>
          <w:highlight w:val="none"/>
        </w:rPr>
        <w:t xml:space="preserve">（四）严格遵守即时信息公示规定，及时维护和更新盐城市政府采购网中与本单位相关的信息；</w:t>
      </w:r>
      <w:r/>
    </w:p>
    <w:p>
      <w:pPr>
        <w:ind w:firstLine="480"/>
        <w:jc w:val="left"/>
        <w:spacing w:line="499" w:lineRule="atLeast"/>
        <w:widowControl/>
        <w:rPr>
          <w:rFonts w:hint="eastAsia" w:ascii="宋体" w:hAnsi="宋体" w:eastAsia="宋体" w:cs="宋体"/>
          <w:sz w:val="24"/>
          <w:highlight w:val="none"/>
        </w:rPr>
      </w:pPr>
      <w:r>
        <w:rPr>
          <w:rFonts w:hint="eastAsia" w:ascii="宋体" w:hAnsi="宋体" w:eastAsia="宋体" w:cs="宋体"/>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spacing w:line="499" w:lineRule="atLeast"/>
        <w:widowControl/>
        <w:rPr>
          <w:rFonts w:hint="eastAsia" w:ascii="宋体" w:hAnsi="宋体" w:eastAsia="宋体" w:cs="宋体"/>
          <w:sz w:val="24"/>
          <w:highlight w:val="none"/>
        </w:rPr>
      </w:pPr>
      <w:r>
        <w:rPr>
          <w:rFonts w:hint="eastAsia" w:ascii="宋体" w:hAnsi="宋体" w:eastAsia="宋体" w:cs="宋体"/>
          <w:sz w:val="24"/>
          <w:highlight w:val="none"/>
        </w:rPr>
        <w:t xml:space="preserve">（六）自觉接受政府、行业组织、社会公众、新闻舆论的监督；</w:t>
      </w:r>
      <w:r/>
    </w:p>
    <w:p>
      <w:pPr>
        <w:ind w:firstLine="480"/>
        <w:jc w:val="left"/>
        <w:spacing w:line="499" w:lineRule="atLeast"/>
        <w:widowControl/>
        <w:rPr>
          <w:rFonts w:hint="eastAsia" w:ascii="宋体" w:hAnsi="宋体" w:eastAsia="宋体" w:cs="宋体"/>
          <w:sz w:val="24"/>
          <w:highlight w:val="none"/>
        </w:rPr>
      </w:pPr>
      <w:r>
        <w:rPr>
          <w:rFonts w:hint="eastAsia" w:ascii="宋体" w:hAnsi="宋体" w:eastAsia="宋体" w:cs="宋体"/>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499" w:lineRule="atLeast"/>
        <w:widowControl/>
        <w:rPr>
          <w:rFonts w:hint="eastAsia" w:ascii="宋体" w:hAnsi="宋体" w:eastAsia="宋体" w:cs="宋体"/>
          <w:sz w:val="24"/>
          <w:highlight w:val="none"/>
        </w:rPr>
      </w:pPr>
      <w:r>
        <w:rPr>
          <w:rFonts w:hint="eastAsia" w:ascii="宋体" w:hAnsi="宋体" w:eastAsia="宋体" w:cs="宋体"/>
          <w:sz w:val="24"/>
          <w:highlight w:val="none"/>
        </w:rPr>
        <w:t xml:space="preserve">（八）本人已认真阅读了上述承诺，并向本单位员工作了宣传教育。</w:t>
      </w:r>
      <w:r/>
    </w:p>
    <w:p>
      <w:pPr>
        <w:jc w:val="left"/>
        <w:spacing w:line="499" w:lineRule="atLeast"/>
        <w:widowControl/>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ind w:firstLine="4320"/>
        <w:jc w:val="left"/>
        <w:spacing w:line="499" w:lineRule="atLeast"/>
        <w:widowControl/>
        <w:rPr>
          <w:rFonts w:hint="eastAsia" w:ascii="宋体" w:hAnsi="宋体" w:eastAsia="宋体" w:cs="宋体"/>
          <w:sz w:val="24"/>
          <w:highlight w:val="none"/>
        </w:rPr>
      </w:pPr>
      <w:r>
        <w:rPr>
          <w:rFonts w:hint="eastAsia" w:ascii="宋体" w:hAnsi="宋体" w:eastAsia="宋体" w:cs="宋体"/>
          <w:sz w:val="24"/>
          <w:highlight w:val="none"/>
        </w:rPr>
        <w:t xml:space="preserve">法定代表人签名：</w:t>
      </w:r>
      <w:r/>
    </w:p>
    <w:p>
      <w:pPr>
        <w:jc w:val="center"/>
        <w:spacing w:line="499" w:lineRule="atLeast"/>
        <w:widowControl/>
        <w:rPr>
          <w:rFonts w:hint="eastAsia" w:ascii="宋体" w:hAnsi="宋体" w:eastAsia="宋体" w:cs="宋体"/>
          <w:sz w:val="24"/>
          <w:highlight w:val="none"/>
        </w:rPr>
      </w:pPr>
      <w:r>
        <w:rPr>
          <w:rFonts w:hint="eastAsia" w:ascii="宋体" w:hAnsi="宋体" w:eastAsia="宋体" w:cs="宋体"/>
          <w:sz w:val="24"/>
          <w:highlight w:val="none"/>
        </w:rPr>
        <w:t xml:space="preserve">         单位名称（盖章）：</w:t>
      </w:r>
      <w:r/>
    </w:p>
    <w:p>
      <w:pPr>
        <w:jc w:val="center"/>
        <w:spacing w:line="499" w:lineRule="atLeast"/>
        <w:widowControl/>
        <w:rPr>
          <w:rFonts w:hint="eastAsia" w:ascii="宋体" w:hAnsi="宋体" w:eastAsia="宋体" w:cs="宋体"/>
          <w:sz w:val="24"/>
          <w:highlight w:val="none"/>
        </w:rPr>
      </w:pPr>
      <w:r>
        <w:rPr>
          <w:rFonts w:hint="eastAsia" w:ascii="宋体" w:hAnsi="宋体" w:eastAsia="宋体" w:cs="宋体"/>
          <w:sz w:val="24"/>
          <w:highlight w:val="none"/>
        </w:rPr>
        <w:t xml:space="preserve">                      年  月  日</w:t>
      </w:r>
      <w:r/>
    </w:p>
    <w:p>
      <w:pPr>
        <w:rPr>
          <w:rFonts w:hint="eastAsia" w:ascii="宋体" w:hAnsi="宋体" w:eastAsia="宋体" w:cs="宋体"/>
          <w:b/>
          <w:sz w:val="32"/>
          <w:szCs w:val="32"/>
          <w:highlight w:val="none"/>
        </w:rPr>
      </w:pPr>
      <w:r>
        <w:rPr>
          <w:rFonts w:hint="eastAsia" w:ascii="宋体" w:hAnsi="宋体" w:eastAsia="宋体" w:cs="宋体"/>
          <w:b/>
          <w:sz w:val="32"/>
          <w:szCs w:val="32"/>
          <w:highlight w:val="none"/>
        </w:rPr>
        <w:br w:type="page" w:clear="all"/>
      </w:r>
      <w:r/>
    </w:p>
    <w:p>
      <w:pPr>
        <w:pStyle w:val="821"/>
        <w:jc w:val="center"/>
        <w:spacing w:beforeAutospacing="0" w:afterAutospacing="0"/>
        <w:rPr>
          <w:rFonts w:hint="eastAsia" w:ascii="宋体" w:hAnsi="宋体" w:eastAsia="宋体" w:cs="宋体"/>
          <w:b/>
          <w:sz w:val="32"/>
          <w:szCs w:val="32"/>
          <w:highlight w:val="none"/>
        </w:rPr>
        <w:outlineLvl w:val="2"/>
      </w:pPr>
      <w:r>
        <w:rPr>
          <w:rFonts w:hint="eastAsia" w:ascii="宋体" w:hAnsi="宋体" w:eastAsia="宋体" w:cs="宋体"/>
          <w:b/>
          <w:sz w:val="32"/>
          <w:szCs w:val="32"/>
          <w:highlight w:val="none"/>
        </w:rPr>
        <w:t xml:space="preserve">质疑函范本</w:t>
      </w:r>
      <w:r/>
    </w:p>
    <w:p>
      <w:pPr>
        <w:pStyle w:val="821"/>
        <w:jc w:val="both"/>
        <w:spacing w:before="290" w:beforeAutospacing="0" w:afterAutospacing="0" w:line="360" w:lineRule="auto"/>
        <w:rPr>
          <w:rFonts w:hint="eastAsia" w:ascii="宋体" w:hAnsi="宋体" w:eastAsia="宋体" w:cs="宋体"/>
          <w:highlight w:val="none"/>
        </w:rPr>
        <w:outlineLvl w:val="1"/>
      </w:pPr>
      <w:r>
        <w:rPr>
          <w:rFonts w:hint="eastAsia" w:ascii="宋体" w:hAnsi="宋体" w:eastAsia="宋体" w:cs="宋体"/>
          <w:highlight w:val="none"/>
        </w:rPr>
        <w:t xml:space="preserve">一、质疑供应商基本信息</w:t>
      </w:r>
      <w:r/>
    </w:p>
    <w:p>
      <w:pPr>
        <w:pStyle w:val="821"/>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质疑供应商：</w:t>
      </w:r>
      <w:r>
        <w:rPr>
          <w:rFonts w:hint="eastAsia" w:ascii="宋体" w:hAnsi="宋体" w:eastAsia="宋体" w:cs="宋体"/>
          <w:highlight w:val="none"/>
          <w:u w:val="single"/>
        </w:rPr>
        <w:t xml:space="preserve">                    </w:t>
      </w:r>
      <w:r>
        <w:rPr>
          <w:rFonts w:hint="eastAsia" w:ascii="宋体" w:hAnsi="宋体" w:eastAsia="宋体" w:cs="宋体"/>
          <w:highlight w:val="none"/>
          <w:u w:val="single"/>
        </w:rPr>
        <w:tab/>
      </w:r>
      <w:r>
        <w:rPr>
          <w:rFonts w:hint="eastAsia" w:ascii="宋体" w:hAnsi="宋体" w:eastAsia="宋体" w:cs="宋体"/>
          <w:highlight w:val="none"/>
          <w:u w:val="single"/>
        </w:rPr>
        <w:t xml:space="preserve"> </w:t>
      </w:r>
      <w:r>
        <w:rPr>
          <w:rFonts w:hint="eastAsia" w:ascii="宋体" w:hAnsi="宋体" w:eastAsia="宋体" w:cs="宋体"/>
          <w:highlight w:val="none"/>
          <w:u w:val="single"/>
        </w:rPr>
        <w:tab/>
      </w:r>
      <w:r>
        <w:rPr>
          <w:rFonts w:hint="eastAsia" w:ascii="宋体" w:hAnsi="宋体" w:eastAsia="宋体" w:cs="宋体"/>
          <w:highlight w:val="none"/>
          <w:u w:val="single"/>
        </w:rPr>
        <w:t xml:space="preserve">       </w:t>
      </w:r>
      <w:r/>
    </w:p>
    <w:p>
      <w:pPr>
        <w:pStyle w:val="821"/>
        <w:jc w:val="both"/>
        <w:spacing w:beforeAutospacing="0" w:afterAutospacing="0" w:line="360" w:lineRule="auto"/>
        <w:rPr>
          <w:rFonts w:hint="eastAsia" w:ascii="宋体" w:hAnsi="宋体" w:eastAsia="宋体" w:cs="宋体"/>
          <w:highlight w:val="none"/>
          <w:u w:val="single"/>
        </w:rPr>
      </w:pPr>
      <w:r>
        <w:rPr>
          <w:rFonts w:hint="eastAsia" w:ascii="宋体" w:hAnsi="宋体" w:eastAsia="宋体" w:cs="宋体"/>
          <w:highlight w:val="none"/>
        </w:rPr>
        <w:t xml:space="preserve">地址：</w:t>
      </w:r>
      <w:r>
        <w:rPr>
          <w:rFonts w:hint="eastAsia" w:ascii="宋体" w:hAnsi="宋体" w:eastAsia="宋体" w:cs="宋体"/>
          <w:highlight w:val="none"/>
          <w:u w:val="single"/>
        </w:rPr>
        <w:t xml:space="preserve">                      </w:t>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 xml:space="preserve">      </w:t>
      </w:r>
      <w:r/>
    </w:p>
    <w:p>
      <w:pPr>
        <w:pStyle w:val="821"/>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邮编：</w:t>
      </w:r>
      <w:r>
        <w:rPr>
          <w:rFonts w:hint="eastAsia" w:ascii="宋体" w:hAnsi="宋体" w:eastAsia="宋体" w:cs="宋体"/>
          <w:highlight w:val="none"/>
          <w:u w:val="single"/>
        </w:rPr>
        <w:t xml:space="preserve">                       </w:t>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 xml:space="preserve">        </w:t>
      </w:r>
      <w:r/>
    </w:p>
    <w:p>
      <w:pPr>
        <w:pStyle w:val="821"/>
        <w:jc w:val="both"/>
        <w:spacing w:beforeAutospacing="0" w:afterAutospacing="0" w:line="360" w:lineRule="auto"/>
        <w:rPr>
          <w:rFonts w:hint="eastAsia" w:ascii="宋体" w:hAnsi="宋体" w:eastAsia="宋体" w:cs="宋体"/>
          <w:highlight w:val="none"/>
          <w:u w:val="single"/>
        </w:rPr>
      </w:pPr>
      <w:r>
        <w:rPr>
          <w:rFonts w:hint="eastAsia" w:ascii="宋体" w:hAnsi="宋体" w:eastAsia="宋体" w:cs="宋体"/>
          <w:highlight w:val="none"/>
        </w:rPr>
        <w:t xml:space="preserve">联系人：</w:t>
      </w:r>
      <w:r>
        <w:rPr>
          <w:rFonts w:hint="eastAsia" w:ascii="宋体" w:hAnsi="宋体" w:eastAsia="宋体" w:cs="宋体"/>
          <w:highlight w:val="none"/>
          <w:u w:val="single"/>
        </w:rPr>
        <w:t xml:space="preserve">               </w:t>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 xml:space="preserve">       </w:t>
      </w:r>
      <w:r/>
    </w:p>
    <w:p>
      <w:pPr>
        <w:pStyle w:val="821"/>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联系电话：</w:t>
      </w:r>
      <w:r>
        <w:rPr>
          <w:rFonts w:hint="eastAsia" w:ascii="宋体" w:hAnsi="宋体" w:eastAsia="宋体" w:cs="宋体"/>
          <w:highlight w:val="none"/>
          <w:u w:val="single"/>
        </w:rPr>
        <w:t xml:space="preserve">                                           </w:t>
      </w:r>
      <w:r/>
    </w:p>
    <w:p>
      <w:pPr>
        <w:pStyle w:val="821"/>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授权代表：</w:t>
      </w:r>
      <w:r>
        <w:rPr>
          <w:rFonts w:hint="eastAsia" w:ascii="宋体" w:hAnsi="宋体" w:eastAsia="宋体" w:cs="宋体"/>
          <w:highlight w:val="none"/>
          <w:u w:val="single"/>
        </w:rPr>
        <w:t xml:space="preserve">                 </w:t>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 xml:space="preserve">        </w:t>
      </w:r>
      <w:r/>
    </w:p>
    <w:p>
      <w:pPr>
        <w:pStyle w:val="821"/>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联系电话：</w:t>
      </w:r>
      <w:r>
        <w:rPr>
          <w:rFonts w:hint="eastAsia" w:ascii="宋体" w:hAnsi="宋体" w:eastAsia="宋体" w:cs="宋体"/>
          <w:highlight w:val="none"/>
          <w:u w:val="single"/>
        </w:rPr>
        <w:t xml:space="preserve">                  </w:t>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 xml:space="preserve">     </w:t>
      </w:r>
      <w:r/>
    </w:p>
    <w:p>
      <w:pPr>
        <w:pStyle w:val="821"/>
        <w:jc w:val="both"/>
        <w:spacing w:beforeAutospacing="0" w:afterAutospacing="0" w:line="360" w:lineRule="auto"/>
        <w:rPr>
          <w:rFonts w:hint="eastAsia" w:ascii="宋体" w:hAnsi="宋体" w:eastAsia="宋体" w:cs="宋体"/>
          <w:highlight w:val="none"/>
          <w:u w:val="single"/>
        </w:rPr>
      </w:pPr>
      <w:r>
        <w:rPr>
          <w:rFonts w:hint="eastAsia" w:ascii="宋体" w:hAnsi="宋体" w:eastAsia="宋体" w:cs="宋体"/>
          <w:highlight w:val="none"/>
        </w:rPr>
        <w:t xml:space="preserve">地址： </w:t>
      </w:r>
      <w:r>
        <w:rPr>
          <w:rFonts w:hint="eastAsia" w:ascii="宋体" w:hAnsi="宋体" w:eastAsia="宋体" w:cs="宋体"/>
          <w:highlight w:val="none"/>
          <w:u w:val="single"/>
        </w:rPr>
        <w:t xml:space="preserve">                  </w:t>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 xml:space="preserve">        </w:t>
      </w:r>
      <w:r/>
    </w:p>
    <w:p>
      <w:pPr>
        <w:pStyle w:val="821"/>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邮编：</w:t>
      </w:r>
      <w:r>
        <w:rPr>
          <w:rFonts w:hint="eastAsia" w:ascii="宋体" w:hAnsi="宋体" w:eastAsia="宋体" w:cs="宋体"/>
          <w:highlight w:val="none"/>
          <w:u w:val="single"/>
        </w:rPr>
        <w:t xml:space="preserve">                                </w:t>
      </w:r>
      <w:r/>
    </w:p>
    <w:p>
      <w:pPr>
        <w:pStyle w:val="821"/>
        <w:jc w:val="both"/>
        <w:spacing w:beforeAutospacing="0" w:afterAutospacing="0" w:line="360" w:lineRule="auto"/>
        <w:rPr>
          <w:rFonts w:hint="eastAsia" w:ascii="宋体" w:hAnsi="宋体" w:eastAsia="宋体" w:cs="宋体"/>
          <w:highlight w:val="none"/>
        </w:rPr>
        <w:outlineLvl w:val="1"/>
      </w:pPr>
      <w:r>
        <w:rPr>
          <w:rFonts w:hint="eastAsia" w:ascii="宋体" w:hAnsi="宋体" w:eastAsia="宋体" w:cs="宋体"/>
          <w:highlight w:val="none"/>
        </w:rPr>
        <w:t xml:space="preserve">二、质疑项目基本情况</w:t>
      </w:r>
      <w:r/>
    </w:p>
    <w:p>
      <w:pPr>
        <w:pStyle w:val="821"/>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质疑项目的名称：</w:t>
      </w:r>
      <w:r>
        <w:rPr>
          <w:rFonts w:hint="eastAsia" w:ascii="宋体" w:hAnsi="宋体" w:eastAsia="宋体" w:cs="宋体"/>
          <w:highlight w:val="none"/>
          <w:u w:val="single"/>
        </w:rPr>
        <w:t xml:space="preserve">                            </w:t>
      </w:r>
      <w:r/>
    </w:p>
    <w:p>
      <w:pPr>
        <w:pStyle w:val="821"/>
        <w:jc w:val="both"/>
        <w:spacing w:beforeAutospacing="0" w:afterAutospacing="0" w:line="360" w:lineRule="auto"/>
        <w:rPr>
          <w:rFonts w:hint="eastAsia" w:ascii="宋体" w:hAnsi="宋体" w:eastAsia="宋体" w:cs="宋体"/>
          <w:highlight w:val="none"/>
          <w:u w:val="single"/>
        </w:rPr>
      </w:pPr>
      <w:r>
        <w:rPr>
          <w:rFonts w:hint="eastAsia" w:ascii="宋体" w:hAnsi="宋体" w:eastAsia="宋体" w:cs="宋体"/>
          <w:highlight w:val="none"/>
        </w:rPr>
        <w:t xml:space="preserve">质疑项目的编号：</w:t>
      </w:r>
      <w:r>
        <w:rPr>
          <w:rFonts w:hint="eastAsia" w:ascii="宋体" w:hAnsi="宋体" w:eastAsia="宋体" w:cs="宋体"/>
          <w:highlight w:val="none"/>
          <w:u w:val="single"/>
        </w:rPr>
        <w:t xml:space="preserve">                          </w:t>
      </w:r>
      <w:r/>
    </w:p>
    <w:p>
      <w:pPr>
        <w:pStyle w:val="821"/>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包号：</w:t>
      </w:r>
      <w:r>
        <w:rPr>
          <w:rFonts w:hint="eastAsia" w:ascii="宋体" w:hAnsi="宋体" w:eastAsia="宋体" w:cs="宋体"/>
          <w:highlight w:val="none"/>
          <w:u w:val="single"/>
        </w:rPr>
        <w:t xml:space="preserve">                       </w:t>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ab/>
      </w:r>
      <w:r>
        <w:rPr>
          <w:rFonts w:hint="eastAsia" w:ascii="宋体" w:hAnsi="宋体" w:eastAsia="宋体" w:cs="宋体"/>
          <w:highlight w:val="none"/>
          <w:u w:val="single"/>
        </w:rPr>
        <w:t xml:space="preserve">    </w:t>
      </w:r>
      <w:r/>
    </w:p>
    <w:p>
      <w:pPr>
        <w:pStyle w:val="821"/>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采购人名称：</w:t>
      </w:r>
      <w:r>
        <w:rPr>
          <w:rFonts w:hint="eastAsia" w:ascii="宋体" w:hAnsi="宋体" w:eastAsia="宋体" w:cs="宋体"/>
          <w:highlight w:val="none"/>
          <w:u w:val="single"/>
        </w:rPr>
        <w:t xml:space="preserve">                            </w:t>
      </w:r>
      <w:r/>
    </w:p>
    <w:p>
      <w:pPr>
        <w:pStyle w:val="821"/>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磋商文件获取日期：</w:t>
      </w:r>
      <w:r>
        <w:rPr>
          <w:rFonts w:hint="eastAsia" w:ascii="宋体" w:hAnsi="宋体" w:eastAsia="宋体" w:cs="宋体"/>
          <w:highlight w:val="none"/>
          <w:u w:val="single"/>
        </w:rPr>
        <w:t xml:space="preserve">                             </w:t>
      </w:r>
      <w:r/>
    </w:p>
    <w:p>
      <w:pPr>
        <w:pStyle w:val="821"/>
        <w:jc w:val="both"/>
        <w:spacing w:beforeAutospacing="0" w:afterAutospacing="0" w:line="360" w:lineRule="auto"/>
        <w:rPr>
          <w:rFonts w:hint="eastAsia" w:ascii="宋体" w:hAnsi="宋体" w:eastAsia="宋体" w:cs="宋体"/>
          <w:highlight w:val="none"/>
        </w:rPr>
        <w:outlineLvl w:val="1"/>
      </w:pPr>
      <w:r>
        <w:rPr>
          <w:rFonts w:hint="eastAsia" w:ascii="宋体" w:hAnsi="宋体" w:eastAsia="宋体" w:cs="宋体"/>
          <w:highlight w:val="none"/>
        </w:rPr>
        <w:t xml:space="preserve">三、质疑事项具体内容</w:t>
      </w:r>
      <w:r/>
    </w:p>
    <w:p>
      <w:pPr>
        <w:pStyle w:val="821"/>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质疑事项1：</w:t>
      </w:r>
      <w:r>
        <w:rPr>
          <w:rFonts w:hint="eastAsia" w:ascii="宋体" w:hAnsi="宋体" w:eastAsia="宋体" w:cs="宋体"/>
          <w:highlight w:val="none"/>
          <w:u w:val="single"/>
        </w:rPr>
        <w:t xml:space="preserve">                             </w:t>
      </w:r>
      <w:r/>
    </w:p>
    <w:p>
      <w:pPr>
        <w:pStyle w:val="821"/>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事实依据：</w:t>
      </w:r>
      <w:r>
        <w:rPr>
          <w:rFonts w:hint="eastAsia" w:ascii="宋体" w:hAnsi="宋体" w:eastAsia="宋体" w:cs="宋体"/>
          <w:highlight w:val="none"/>
          <w:u w:val="single"/>
        </w:rPr>
        <w:t xml:space="preserve">                                                   </w:t>
      </w:r>
      <w:r/>
    </w:p>
    <w:p>
      <w:pPr>
        <w:pStyle w:val="821"/>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法律依据：</w:t>
      </w:r>
      <w:r>
        <w:rPr>
          <w:rFonts w:hint="eastAsia" w:ascii="宋体" w:hAnsi="宋体" w:eastAsia="宋体" w:cs="宋体"/>
          <w:highlight w:val="none"/>
          <w:u w:val="single"/>
        </w:rPr>
        <w:t xml:space="preserve">                                                    </w:t>
      </w:r>
      <w:r/>
    </w:p>
    <w:p>
      <w:pPr>
        <w:pStyle w:val="821"/>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质疑事项2</w:t>
      </w:r>
      <w:r/>
    </w:p>
    <w:p>
      <w:pPr>
        <w:pStyle w:val="821"/>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w:t>
      </w:r>
      <w:r/>
    </w:p>
    <w:p>
      <w:pPr>
        <w:pStyle w:val="821"/>
        <w:jc w:val="both"/>
        <w:spacing w:beforeAutospacing="0" w:afterAutospacing="0" w:line="360" w:lineRule="auto"/>
        <w:rPr>
          <w:rFonts w:hint="eastAsia" w:ascii="宋体" w:hAnsi="宋体" w:eastAsia="宋体" w:cs="宋体"/>
          <w:highlight w:val="none"/>
        </w:rPr>
        <w:outlineLvl w:val="1"/>
      </w:pPr>
      <w:r>
        <w:rPr>
          <w:rFonts w:hint="eastAsia" w:ascii="宋体" w:hAnsi="宋体" w:eastAsia="宋体" w:cs="宋体"/>
          <w:highlight w:val="none"/>
        </w:rPr>
        <w:t xml:space="preserve">四、与质疑事项相关的质疑请求</w:t>
      </w:r>
      <w:r/>
    </w:p>
    <w:p>
      <w:pPr>
        <w:pStyle w:val="821"/>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请求：</w:t>
      </w:r>
      <w:r>
        <w:rPr>
          <w:rFonts w:hint="eastAsia" w:ascii="宋体" w:hAnsi="宋体" w:eastAsia="宋体" w:cs="宋体"/>
          <w:highlight w:val="none"/>
          <w:u w:val="single"/>
        </w:rPr>
        <w:t xml:space="preserve">                                                          </w:t>
      </w:r>
      <w:r/>
    </w:p>
    <w:p>
      <w:pPr>
        <w:pStyle w:val="821"/>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签字(签章)：                 公章：               日期：    </w:t>
      </w:r>
      <w:r/>
    </w:p>
    <w:p>
      <w:pPr>
        <w:pStyle w:val="821"/>
        <w:jc w:val="both"/>
        <w:spacing w:beforeAutospacing="0" w:afterAutospacing="0" w:line="360" w:lineRule="auto"/>
        <w:rPr>
          <w:rFonts w:hint="eastAsia" w:ascii="宋体" w:hAnsi="宋体" w:eastAsia="宋体" w:cs="宋体"/>
          <w:highlight w:val="none"/>
        </w:rPr>
      </w:pPr>
      <w:r>
        <w:rPr>
          <w:rFonts w:hint="eastAsia" w:ascii="宋体" w:hAnsi="宋体" w:eastAsia="宋体" w:cs="宋体"/>
          <w:b/>
          <w:highlight w:val="none"/>
        </w:rPr>
        <w:t xml:space="preserve">质疑函制作说明：</w:t>
      </w:r>
      <w:r/>
    </w:p>
    <w:p>
      <w:pPr>
        <w:pStyle w:val="821"/>
        <w:ind w:firstLine="480"/>
        <w:spacing w:beforeAutospacing="0" w:afterAutospacing="0" w:line="360" w:lineRule="auto"/>
        <w:widowControl/>
        <w:rPr>
          <w:rFonts w:hint="eastAsia" w:ascii="宋体" w:hAnsi="宋体" w:eastAsia="宋体" w:cs="宋体"/>
          <w:highlight w:val="none"/>
        </w:rPr>
        <w:outlineLvl w:val="2"/>
      </w:pPr>
      <w:r>
        <w:rPr>
          <w:rFonts w:hint="eastAsia" w:ascii="宋体" w:hAnsi="宋体" w:eastAsia="宋体" w:cs="宋体"/>
          <w:highlight w:val="none"/>
        </w:rPr>
        <w:t xml:space="preserve">1.供应商提出质疑时，应提交质疑函和必要的证明材料。</w:t>
      </w:r>
      <w:r/>
    </w:p>
    <w:p>
      <w:pPr>
        <w:pStyle w:val="821"/>
        <w:ind w:firstLine="480"/>
        <w:spacing w:beforeAutospacing="0" w:afterAutospacing="0" w:line="360" w:lineRule="auto"/>
        <w:widowControl/>
        <w:rPr>
          <w:rFonts w:hint="eastAsia" w:ascii="宋体" w:hAnsi="宋体" w:eastAsia="宋体" w:cs="宋体"/>
          <w:highlight w:val="none"/>
        </w:rPr>
      </w:pPr>
      <w:r>
        <w:rPr>
          <w:rFonts w:hint="eastAsia" w:ascii="宋体" w:hAnsi="宋体" w:eastAsia="宋体" w:cs="宋体"/>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21"/>
        <w:ind w:firstLine="480"/>
        <w:spacing w:beforeAutospacing="0" w:afterAutospacing="0" w:line="360" w:lineRule="auto"/>
        <w:widowControl/>
        <w:rPr>
          <w:rFonts w:hint="eastAsia" w:ascii="宋体" w:hAnsi="宋体" w:eastAsia="宋体" w:cs="宋体"/>
          <w:highlight w:val="none"/>
        </w:rPr>
      </w:pPr>
      <w:r>
        <w:rPr>
          <w:rFonts w:hint="eastAsia" w:ascii="宋体" w:hAnsi="宋体" w:eastAsia="宋体" w:cs="宋体"/>
          <w:highlight w:val="none"/>
        </w:rPr>
        <w:t xml:space="preserve">3.质疑供应商若对项目的某一分包进行质疑，质疑函中应列明具体分包号。</w:t>
      </w:r>
      <w:r/>
    </w:p>
    <w:p>
      <w:pPr>
        <w:pStyle w:val="821"/>
        <w:ind w:firstLine="480"/>
        <w:spacing w:beforeAutospacing="0" w:afterAutospacing="0" w:line="360" w:lineRule="auto"/>
        <w:widowControl/>
        <w:rPr>
          <w:rFonts w:hint="eastAsia" w:ascii="宋体" w:hAnsi="宋体" w:eastAsia="宋体" w:cs="宋体"/>
          <w:highlight w:val="none"/>
        </w:rPr>
      </w:pPr>
      <w:r>
        <w:rPr>
          <w:rFonts w:hint="eastAsia" w:ascii="宋体" w:hAnsi="宋体" w:eastAsia="宋体" w:cs="宋体"/>
          <w:highlight w:val="none"/>
        </w:rPr>
        <w:t xml:space="preserve">4.质疑函的质疑事项应具体、明确，并有必要的事实依据和法律依据。</w:t>
      </w:r>
      <w:r/>
    </w:p>
    <w:p>
      <w:pPr>
        <w:pStyle w:val="821"/>
        <w:ind w:firstLine="480"/>
        <w:spacing w:beforeAutospacing="0" w:afterAutospacing="0" w:line="360" w:lineRule="auto"/>
        <w:widowControl/>
        <w:rPr>
          <w:rFonts w:hint="eastAsia" w:ascii="宋体" w:hAnsi="宋体" w:eastAsia="宋体" w:cs="宋体"/>
          <w:highlight w:val="none"/>
        </w:rPr>
        <w:outlineLvl w:val="2"/>
      </w:pPr>
      <w:r>
        <w:rPr>
          <w:rFonts w:hint="eastAsia" w:ascii="宋体" w:hAnsi="宋体" w:eastAsia="宋体" w:cs="宋体"/>
          <w:highlight w:val="none"/>
        </w:rPr>
        <w:t xml:space="preserve">5.质疑函的质疑请求应与质疑事项相关。</w:t>
      </w:r>
      <w:r/>
    </w:p>
    <w:p>
      <w:pPr>
        <w:pStyle w:val="821"/>
        <w:ind w:firstLine="480"/>
        <w:spacing w:beforeAutospacing="0" w:afterAutospacing="0" w:line="360" w:lineRule="auto"/>
        <w:widowControl/>
        <w:rPr>
          <w:rFonts w:hint="eastAsia" w:ascii="宋体" w:hAnsi="宋体" w:eastAsia="宋体" w:cs="宋体"/>
          <w:highlight w:val="none"/>
        </w:rPr>
      </w:pPr>
      <w:r>
        <w:rPr>
          <w:rFonts w:hint="eastAsia" w:ascii="宋体" w:hAnsi="宋体" w:eastAsia="宋体" w:cs="宋体"/>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21"/>
        <w:ind w:firstLine="420"/>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p>
    <w:p>
      <w:pPr>
        <w:rPr>
          <w:highlight w:val="none"/>
        </w:rPr>
      </w:pPr>
      <w:r>
        <w:rPr>
          <w:highlight w:val="none"/>
        </w:rPr>
      </w:r>
      <w:r/>
    </w:p>
    <w:p>
      <w:pPr>
        <w:pStyle w:val="821"/>
        <w:ind w:firstLine="420"/>
        <w:jc w:val="both"/>
        <w:spacing w:beforeAutospacing="0" w:afterAutospacing="0"/>
        <w:rPr>
          <w:highlight w:val="none"/>
        </w:rPr>
      </w:pPr>
      <w:r>
        <w:rPr>
          <w:highlight w:val="none"/>
        </w:rPr>
        <w:t xml:space="preserve"> </w:t>
      </w:r>
      <w:bookmarkEnd w:id="11"/>
      <w:r/>
      <w:bookmarkEnd w:id="47"/>
      <w:r/>
      <w:bookmarkEnd w:id="94"/>
      <w:r/>
      <w:bookmarkEnd w:id="95"/>
      <w:r/>
      <w:bookmarkEnd w:id="96"/>
      <w:r/>
      <w:bookmarkEnd w:id="97"/>
      <w:r/>
      <w:bookmarkEnd w:id="98"/>
      <w:r/>
      <w:bookmarkEnd w:id="99"/>
      <w:r/>
      <w:bookmarkEnd w:id="100"/>
      <w:r/>
      <w:bookmarkEnd w:id="101"/>
      <w:r/>
      <w:bookmarkEnd w:id="110"/>
      <w:r/>
      <w:bookmarkEnd w:id="111"/>
      <w:r/>
      <w:bookmarkEnd w:id="118"/>
      <w:r/>
      <w:bookmarkEnd w:id="167"/>
      <w:r/>
      <w:bookmarkEnd w:id="168"/>
      <w:r/>
      <w:bookmarkEnd w:id="665"/>
      <w:r/>
      <w:bookmarkEnd w:id="666"/>
      <w:r/>
      <w:bookmarkEnd w:id="667"/>
      <w:r/>
      <w:bookmarkEnd w:id="668"/>
      <w:r/>
      <w:bookmarkEnd w:id="669"/>
      <w:r/>
      <w:bookmarkEnd w:id="670"/>
      <w:r/>
      <w:bookmarkEnd w:id="671"/>
      <w:r/>
      <w:bookmarkEnd w:id="672"/>
      <w:r/>
      <w:bookmarkEnd w:id="681"/>
      <w:r/>
      <w:bookmarkEnd w:id="682"/>
      <w:r/>
      <w:bookmarkEnd w:id="683"/>
      <w:r/>
      <w:bookmarkEnd w:id="684"/>
      <w:r/>
      <w:bookmarkEnd w:id="685"/>
      <w:r/>
      <w:r/>
    </w:p>
    <w:p>
      <w:pPr>
        <w:rPr>
          <w:highlight w:val="none"/>
        </w:rPr>
      </w:pPr>
      <w:r>
        <w:rPr>
          <w:highlight w:val="none"/>
        </w:rPr>
      </w:r>
      <w:r/>
    </w:p>
    <w:sectPr>
      <w:headerReference w:type="default" r:id="rId11"/>
      <w:footerReference w:type="default" r:id="rId15"/>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方正仿宋简体">
    <w:panose1 w:val="020B0503020202020204"/>
  </w:font>
  <w:font w:name="仿宋">
    <w:panose1 w:val="02010609060101010101"/>
  </w:font>
  <w:font w:name="等线">
    <w:panose1 w:val="02010600030101010101"/>
  </w:font>
  <w:font w:name="Garamond">
    <w:panose1 w:val="02020404030301010803"/>
  </w:font>
  <w:font w:name="Calibri">
    <w:panose1 w:val="020F0502020204030204"/>
  </w:font>
  <w:font w:name="楷体_GB2312">
    <w:panose1 w:val="02010609060101010101"/>
  </w:font>
  <w:font w:name="黑体">
    <w:panose1 w:val="02010609060101010101"/>
  </w:font>
  <w:font w:name="幼圆">
    <w:panose1 w:val="02010509060101010101"/>
  </w:font>
  <w:font w:name="Verdana">
    <w:panose1 w:val="020B0604030504040204"/>
  </w:font>
  <w:font w:name="仿宋_GB2312">
    <w:panose1 w:val="02010609060101010101"/>
  </w:font>
  <w:font w:name="Arial Unicode MS">
    <w:panose1 w:val="020B0604020202020204"/>
  </w:font>
  <w:font w:name="Arial">
    <w:panose1 w:val="020B0604020202020204"/>
  </w:font>
  <w:font w:name="Helvetica">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1"/>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1"/>
                          </w:pPr>
                          <w:r>
                            <w:fldChar w:fldCharType="begin"/>
                          </w:r>
                          <w:r>
                            <w:instrText xml:space="preserve"> PAGE  \* MERGEFORMAT </w:instrText>
                          </w:r>
                          <w:r>
                            <w:fldChar w:fldCharType="separate"/>
                          </w:r>
                          <w:r>
                            <w:t xml:space="preserve">24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1"/>
                    </w:pPr>
                    <w:r>
                      <w:fldChar w:fldCharType="begin"/>
                    </w:r>
                    <w:r>
                      <w:instrText xml:space="preserve"> PAGE  \* MERGEFORMAT </w:instrText>
                    </w:r>
                    <w:r>
                      <w:fldChar w:fldCharType="separate"/>
                    </w:r>
                    <w:r>
                      <w:t xml:space="preserve">24</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2204720</wp:posOffset>
              </wp:positionH>
              <wp:positionV relativeFrom="paragraph">
                <wp:posOffset>-215900</wp:posOffset>
              </wp:positionV>
              <wp:extent cx="494030" cy="18415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494030" cy="1841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1"/>
                          </w:p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59264;o:allowoverlap:true;o:allowincell:true;mso-position-horizontal-relative:margin;margin-left:173.6pt;mso-position-horizontal:absolute;mso-position-vertical-relative:text;margin-top:-17.0pt;mso-position-vertical:absolute;width:38.9pt;height:14.5pt;mso-wrap-distance-left:9.0pt;mso-wrap-distance-top:0.0pt;mso-wrap-distance-right:9.0pt;mso-wrap-distance-bottom:0.0pt;v-text-anchor:top;visibility:visible;" filled="f" stroked="f" strokeweight="0.50pt">
              <v:textbox inset="0,0,0,0">
                <w:txbxContent>
                  <w:p>
                    <w:pPr>
                      <w:pStyle w:val="81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6"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787">
    <w:name w:val="Heading 1"/>
    <w:basedOn w:val="786"/>
    <w:link w:val="845"/>
    <w:uiPriority w:val="0"/>
    <w:qFormat/>
    <w:pPr>
      <w:jc w:val="left"/>
      <w:spacing w:beforeAutospacing="1" w:afterAutospacing="1"/>
      <w:outlineLvl w:val="0"/>
    </w:pPr>
    <w:rPr>
      <w:rFonts w:hint="eastAsia" w:ascii="宋体" w:hAnsi="宋体" w:eastAsia="宋体" w:cs="Times New Roman"/>
      <w:b/>
      <w:bCs/>
      <w:sz w:val="48"/>
      <w:szCs w:val="48"/>
    </w:rPr>
  </w:style>
  <w:style w:type="paragraph" w:styleId="788">
    <w:name w:val="Heading 2"/>
    <w:basedOn w:val="786"/>
    <w:next w:val="786"/>
    <w:link w:val="846"/>
    <w:uiPriority w:val="0"/>
    <w:unhideWhenUsed/>
    <w:qFormat/>
    <w:pPr>
      <w:jc w:val="left"/>
      <w:spacing w:beforeAutospacing="1" w:afterAutospacing="1"/>
      <w:outlineLvl w:val="1"/>
    </w:pPr>
    <w:rPr>
      <w:rFonts w:hint="eastAsia" w:ascii="宋体" w:hAnsi="宋体" w:eastAsia="宋体" w:cs="Times New Roman"/>
      <w:b/>
      <w:bCs/>
      <w:sz w:val="36"/>
      <w:szCs w:val="36"/>
    </w:rPr>
  </w:style>
  <w:style w:type="paragraph" w:styleId="789">
    <w:name w:val="Heading 3"/>
    <w:basedOn w:val="786"/>
    <w:next w:val="786"/>
    <w:link w:val="847"/>
    <w:uiPriority w:val="0"/>
    <w:unhideWhenUsed/>
    <w:qFormat/>
    <w:pPr>
      <w:keepLines/>
      <w:keepNext/>
      <w:spacing w:before="320" w:after="200"/>
      <w:outlineLvl w:val="2"/>
    </w:pPr>
    <w:rPr>
      <w:rFonts w:ascii="Arial" w:hAnsi="Arial" w:eastAsia="Arial" w:cs="Arial"/>
      <w:sz w:val="30"/>
      <w:szCs w:val="30"/>
    </w:rPr>
  </w:style>
  <w:style w:type="paragraph" w:styleId="790">
    <w:name w:val="Heading 4"/>
    <w:basedOn w:val="786"/>
    <w:next w:val="786"/>
    <w:link w:val="848"/>
    <w:uiPriority w:val="0"/>
    <w:unhideWhenUsed/>
    <w:qFormat/>
    <w:pPr>
      <w:keepLines/>
      <w:keepNext/>
      <w:spacing w:before="320" w:after="200"/>
      <w:outlineLvl w:val="3"/>
    </w:pPr>
    <w:rPr>
      <w:rFonts w:ascii="Arial" w:hAnsi="Arial" w:eastAsia="Arial" w:cs="Arial"/>
      <w:b/>
      <w:bCs/>
      <w:sz w:val="26"/>
      <w:szCs w:val="26"/>
    </w:rPr>
  </w:style>
  <w:style w:type="paragraph" w:styleId="791">
    <w:name w:val="Heading 5"/>
    <w:basedOn w:val="786"/>
    <w:next w:val="786"/>
    <w:link w:val="849"/>
    <w:uiPriority w:val="0"/>
    <w:unhideWhenUsed/>
    <w:qFormat/>
    <w:pPr>
      <w:keepLines/>
      <w:keepNext/>
      <w:spacing w:before="320" w:after="200"/>
      <w:outlineLvl w:val="4"/>
    </w:pPr>
    <w:rPr>
      <w:rFonts w:ascii="Arial" w:hAnsi="Arial" w:eastAsia="Arial" w:cs="Arial"/>
      <w:b/>
      <w:bCs/>
      <w:sz w:val="24"/>
    </w:rPr>
  </w:style>
  <w:style w:type="paragraph" w:styleId="792">
    <w:name w:val="Heading 6"/>
    <w:basedOn w:val="786"/>
    <w:next w:val="786"/>
    <w:link w:val="850"/>
    <w:uiPriority w:val="9"/>
    <w:unhideWhenUsed/>
    <w:qFormat/>
    <w:pPr>
      <w:keepLines/>
      <w:keepNext/>
      <w:spacing w:before="320" w:after="200"/>
      <w:outlineLvl w:val="5"/>
    </w:pPr>
    <w:rPr>
      <w:rFonts w:ascii="Arial" w:hAnsi="Arial" w:eastAsia="Arial" w:cs="Arial"/>
      <w:b/>
      <w:bCs/>
      <w:sz w:val="22"/>
      <w:szCs w:val="22"/>
    </w:rPr>
  </w:style>
  <w:style w:type="paragraph" w:styleId="793">
    <w:name w:val="Heading 7"/>
    <w:basedOn w:val="786"/>
    <w:next w:val="786"/>
    <w:link w:val="851"/>
    <w:uiPriority w:val="9"/>
    <w:unhideWhenUsed/>
    <w:qFormat/>
    <w:pPr>
      <w:keepLines/>
      <w:keepNext/>
      <w:spacing w:before="320" w:after="200"/>
      <w:outlineLvl w:val="6"/>
    </w:pPr>
    <w:rPr>
      <w:rFonts w:ascii="Arial" w:hAnsi="Arial" w:eastAsia="Arial" w:cs="Arial"/>
      <w:b/>
      <w:bCs/>
      <w:i/>
      <w:iCs/>
      <w:sz w:val="22"/>
      <w:szCs w:val="22"/>
    </w:rPr>
  </w:style>
  <w:style w:type="paragraph" w:styleId="794">
    <w:name w:val="Heading 8"/>
    <w:basedOn w:val="786"/>
    <w:next w:val="786"/>
    <w:link w:val="852"/>
    <w:uiPriority w:val="9"/>
    <w:unhideWhenUsed/>
    <w:qFormat/>
    <w:pPr>
      <w:keepLines/>
      <w:keepNext/>
      <w:spacing w:before="320" w:after="200"/>
      <w:outlineLvl w:val="7"/>
    </w:pPr>
    <w:rPr>
      <w:rFonts w:ascii="Arial" w:hAnsi="Arial" w:eastAsia="Arial" w:cs="Arial"/>
      <w:i/>
      <w:iCs/>
      <w:sz w:val="22"/>
      <w:szCs w:val="22"/>
    </w:rPr>
  </w:style>
  <w:style w:type="paragraph" w:styleId="795">
    <w:name w:val="Heading 9"/>
    <w:basedOn w:val="786"/>
    <w:next w:val="786"/>
    <w:link w:val="853"/>
    <w:uiPriority w:val="9"/>
    <w:unhideWhenUsed/>
    <w:qFormat/>
    <w:pPr>
      <w:keepLines/>
      <w:keepNext/>
      <w:spacing w:before="320" w:after="200"/>
      <w:outlineLvl w:val="8"/>
    </w:pPr>
    <w:rPr>
      <w:rFonts w:ascii="Arial" w:hAnsi="Arial" w:eastAsia="Arial" w:cs="Arial"/>
      <w:i/>
      <w:iCs/>
      <w:szCs w:val="21"/>
    </w:rPr>
  </w:style>
  <w:style w:type="character" w:styleId="796" w:default="1">
    <w:name w:val="Default Paragraph Font"/>
    <w:uiPriority w:val="1"/>
    <w:semiHidden/>
    <w:unhideWhenUsed/>
    <w:qFormat/>
  </w:style>
  <w:style w:type="table" w:styleId="797" w:default="1">
    <w:name w:val="Normal Table"/>
    <w:uiPriority w:val="99"/>
    <w:semiHidden/>
    <w:unhideWhenUsed/>
    <w:qFormat/>
    <w:tblPr>
      <w:tblCellMar>
        <w:left w:w="108" w:type="dxa"/>
        <w:top w:w="0" w:type="dxa"/>
        <w:right w:w="108" w:type="dxa"/>
        <w:bottom w:w="0" w:type="dxa"/>
      </w:tblCellMar>
    </w:tblPr>
  </w:style>
  <w:style w:type="paragraph" w:styleId="798">
    <w:name w:val="toc 7"/>
    <w:basedOn w:val="786"/>
    <w:next w:val="786"/>
    <w:uiPriority w:val="39"/>
    <w:unhideWhenUsed/>
    <w:qFormat/>
    <w:pPr>
      <w:ind w:left="1701"/>
      <w:spacing w:after="57"/>
    </w:pPr>
  </w:style>
  <w:style w:type="paragraph" w:styleId="799">
    <w:name w:val="Note Heading"/>
    <w:basedOn w:val="786"/>
    <w:next w:val="786"/>
    <w:uiPriority w:val="0"/>
    <w:qFormat/>
    <w:rPr>
      <w:rFonts w:ascii="Verdana" w:hAnsi="Verdana"/>
      <w:szCs w:val="20"/>
    </w:rPr>
  </w:style>
  <w:style w:type="paragraph" w:styleId="800">
    <w:name w:val="Normal Indent"/>
    <w:basedOn w:val="786"/>
    <w:uiPriority w:val="99"/>
    <w:qFormat/>
    <w:pPr>
      <w:ind w:firstLine="420"/>
      <w:jc w:val="left"/>
      <w:widowControl/>
    </w:pPr>
    <w:rPr>
      <w:rFonts w:eastAsia="楷体_GB2312" w:cs="黑体"/>
      <w:sz w:val="24"/>
    </w:rPr>
  </w:style>
  <w:style w:type="paragraph" w:styleId="801">
    <w:name w:val="Caption"/>
    <w:basedOn w:val="786"/>
    <w:next w:val="786"/>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02">
    <w:name w:val="annotation text"/>
    <w:basedOn w:val="786"/>
    <w:uiPriority w:val="0"/>
    <w:qFormat/>
    <w:pPr>
      <w:jc w:val="left"/>
    </w:pPr>
  </w:style>
  <w:style w:type="paragraph" w:styleId="803">
    <w:name w:val="Body Text"/>
    <w:basedOn w:val="786"/>
    <w:link w:val="1008"/>
    <w:uiPriority w:val="0"/>
    <w:qFormat/>
    <w:pPr>
      <w:spacing w:line="420" w:lineRule="exact"/>
    </w:pPr>
    <w:rPr>
      <w:rFonts w:ascii="仿宋_GB2312" w:hAnsi="宋体" w:eastAsia="仿宋_GB2312"/>
      <w:sz w:val="28"/>
    </w:rPr>
  </w:style>
  <w:style w:type="paragraph" w:styleId="804">
    <w:name w:val="Body Text Indent"/>
    <w:basedOn w:val="786"/>
    <w:uiPriority w:val="0"/>
    <w:qFormat/>
    <w:pPr>
      <w:ind w:firstLine="720"/>
      <w:spacing w:line="520" w:lineRule="exact"/>
    </w:pPr>
    <w:rPr>
      <w:rFonts w:ascii="仿宋_GB2312" w:hAnsi="宋体" w:eastAsia="仿宋_GB2312"/>
      <w:sz w:val="30"/>
    </w:rPr>
  </w:style>
  <w:style w:type="paragraph" w:styleId="805">
    <w:name w:val="Block Text"/>
    <w:basedOn w:val="786"/>
    <w:uiPriority w:val="99"/>
    <w:qFormat/>
    <w:pPr>
      <w:ind w:left="560" w:right="-512"/>
    </w:pPr>
    <w:rPr>
      <w:rFonts w:ascii="幼圆" w:hAnsi="Calibri" w:eastAsia="幼圆" w:cs="Garamond"/>
      <w:sz w:val="24"/>
    </w:rPr>
  </w:style>
  <w:style w:type="paragraph" w:styleId="806">
    <w:name w:val="toc 5"/>
    <w:basedOn w:val="786"/>
    <w:next w:val="786"/>
    <w:uiPriority w:val="39"/>
    <w:unhideWhenUsed/>
    <w:qFormat/>
    <w:pPr>
      <w:ind w:left="1134"/>
      <w:spacing w:after="57"/>
    </w:pPr>
  </w:style>
  <w:style w:type="paragraph" w:styleId="807">
    <w:name w:val="toc 3"/>
    <w:basedOn w:val="786"/>
    <w:next w:val="786"/>
    <w:uiPriority w:val="39"/>
    <w:unhideWhenUsed/>
    <w:qFormat/>
    <w:pPr>
      <w:ind w:left="567"/>
      <w:spacing w:after="57"/>
    </w:pPr>
  </w:style>
  <w:style w:type="paragraph" w:styleId="808">
    <w:name w:val="toc 8"/>
    <w:basedOn w:val="786"/>
    <w:next w:val="786"/>
    <w:uiPriority w:val="39"/>
    <w:unhideWhenUsed/>
    <w:qFormat/>
    <w:pPr>
      <w:ind w:left="1984"/>
      <w:spacing w:after="57"/>
    </w:pPr>
  </w:style>
  <w:style w:type="paragraph" w:styleId="809">
    <w:name w:val="Body Text Indent 2"/>
    <w:basedOn w:val="786"/>
    <w:uiPriority w:val="0"/>
    <w:qFormat/>
    <w:pPr>
      <w:ind w:firstLine="600"/>
      <w:spacing w:line="480" w:lineRule="exact"/>
    </w:pPr>
    <w:rPr>
      <w:rFonts w:ascii="仿宋_GB2312" w:hAnsi="宋体" w:eastAsia="仿宋_GB2312"/>
      <w:sz w:val="30"/>
    </w:rPr>
  </w:style>
  <w:style w:type="paragraph" w:styleId="810">
    <w:name w:val="endnote text"/>
    <w:basedOn w:val="786"/>
    <w:link w:val="990"/>
    <w:uiPriority w:val="99"/>
    <w:semiHidden/>
    <w:unhideWhenUsed/>
    <w:qFormat/>
    <w:rPr>
      <w:sz w:val="20"/>
    </w:rPr>
  </w:style>
  <w:style w:type="paragraph" w:styleId="811">
    <w:name w:val="Footer"/>
    <w:basedOn w:val="786"/>
    <w:link w:val="994"/>
    <w:uiPriority w:val="0"/>
    <w:qFormat/>
    <w:pPr>
      <w:jc w:val="left"/>
      <w:tabs>
        <w:tab w:val="center" w:pos="4153" w:leader="none"/>
        <w:tab w:val="right" w:pos="8306" w:leader="none"/>
      </w:tabs>
    </w:pPr>
    <w:rPr>
      <w:sz w:val="18"/>
      <w:szCs w:val="18"/>
    </w:rPr>
  </w:style>
  <w:style w:type="paragraph" w:styleId="812">
    <w:name w:val="Header"/>
    <w:basedOn w:val="786"/>
    <w:link w:val="993"/>
    <w:uiPriority w:val="0"/>
    <w:qFormat/>
    <w:pPr>
      <w:jc w:val="center"/>
      <w:tabs>
        <w:tab w:val="center" w:pos="4153" w:leader="none"/>
        <w:tab w:val="right" w:pos="8306" w:leader="none"/>
      </w:tabs>
      <w:pBdr>
        <w:bottom w:val="single" w:color="auto" w:sz="6" w:space="1"/>
      </w:pBdr>
    </w:pPr>
    <w:rPr>
      <w:sz w:val="18"/>
      <w:szCs w:val="18"/>
    </w:rPr>
  </w:style>
  <w:style w:type="paragraph" w:styleId="813">
    <w:name w:val="toc 1"/>
    <w:basedOn w:val="786"/>
    <w:next w:val="786"/>
    <w:uiPriority w:val="0"/>
    <w:qFormat/>
  </w:style>
  <w:style w:type="paragraph" w:styleId="814">
    <w:name w:val="toc 4"/>
    <w:basedOn w:val="786"/>
    <w:next w:val="786"/>
    <w:uiPriority w:val="39"/>
    <w:unhideWhenUsed/>
    <w:qFormat/>
    <w:pPr>
      <w:ind w:left="850"/>
      <w:spacing w:after="57"/>
    </w:pPr>
  </w:style>
  <w:style w:type="paragraph" w:styleId="815">
    <w:name w:val="Subtitle"/>
    <w:basedOn w:val="786"/>
    <w:next w:val="786"/>
    <w:link w:val="856"/>
    <w:uiPriority w:val="11"/>
    <w:qFormat/>
    <w:pPr>
      <w:spacing w:before="200" w:after="200"/>
    </w:pPr>
    <w:rPr>
      <w:sz w:val="24"/>
    </w:rPr>
  </w:style>
  <w:style w:type="paragraph" w:styleId="816">
    <w:name w:val="footnote text"/>
    <w:basedOn w:val="786"/>
    <w:link w:val="989"/>
    <w:uiPriority w:val="99"/>
    <w:semiHidden/>
    <w:unhideWhenUsed/>
    <w:qFormat/>
    <w:pPr>
      <w:spacing w:after="40"/>
    </w:pPr>
    <w:rPr>
      <w:sz w:val="18"/>
    </w:rPr>
  </w:style>
  <w:style w:type="paragraph" w:styleId="817">
    <w:name w:val="toc 6"/>
    <w:basedOn w:val="786"/>
    <w:next w:val="786"/>
    <w:uiPriority w:val="39"/>
    <w:unhideWhenUsed/>
    <w:qFormat/>
    <w:pPr>
      <w:ind w:left="1417"/>
      <w:spacing w:after="57"/>
    </w:pPr>
  </w:style>
  <w:style w:type="paragraph" w:styleId="818">
    <w:name w:val="table of figures"/>
    <w:basedOn w:val="786"/>
    <w:next w:val="786"/>
    <w:uiPriority w:val="99"/>
    <w:unhideWhenUsed/>
    <w:qFormat/>
  </w:style>
  <w:style w:type="paragraph" w:styleId="819">
    <w:name w:val="toc 2"/>
    <w:next w:val="786"/>
    <w:uiPriority w:val="0"/>
    <w:qFormat/>
    <w:pPr>
      <w:ind w:left="420"/>
      <w:jc w:val="both"/>
      <w:widowControl w:val="off"/>
    </w:pPr>
    <w:rPr>
      <w:rFonts w:hint="default" w:ascii="宋体" w:hAnsi="Times New Roman" w:eastAsia="宋体" w:cs="Times New Roman"/>
      <w:b/>
      <w:sz w:val="28"/>
      <w:lang w:val="en-US" w:eastAsia="zh-CN" w:bidi="ar-SA"/>
    </w:rPr>
  </w:style>
  <w:style w:type="paragraph" w:styleId="820">
    <w:name w:val="toc 9"/>
    <w:basedOn w:val="786"/>
    <w:next w:val="786"/>
    <w:uiPriority w:val="39"/>
    <w:unhideWhenUsed/>
    <w:qFormat/>
    <w:pPr>
      <w:ind w:left="2268"/>
      <w:spacing w:after="57"/>
    </w:pPr>
  </w:style>
  <w:style w:type="paragraph" w:styleId="821">
    <w:name w:val="Normal (Web)"/>
    <w:basedOn w:val="786"/>
    <w:uiPriority w:val="0"/>
    <w:qFormat/>
    <w:pPr>
      <w:jc w:val="left"/>
      <w:spacing w:beforeAutospacing="1" w:afterAutospacing="1"/>
    </w:pPr>
    <w:rPr>
      <w:rFonts w:cs="Times New Roman"/>
      <w:sz w:val="24"/>
    </w:rPr>
  </w:style>
  <w:style w:type="paragraph" w:styleId="822">
    <w:name w:val="Title"/>
    <w:basedOn w:val="786"/>
    <w:next w:val="786"/>
    <w:link w:val="855"/>
    <w:uiPriority w:val="10"/>
    <w:qFormat/>
    <w:pPr>
      <w:contextualSpacing/>
      <w:spacing w:before="300" w:after="200"/>
    </w:pPr>
    <w:rPr>
      <w:sz w:val="48"/>
      <w:szCs w:val="48"/>
    </w:rPr>
  </w:style>
  <w:style w:type="paragraph" w:styleId="823">
    <w:name w:val="Body Text First Indent"/>
    <w:basedOn w:val="803"/>
    <w:link w:val="1009"/>
    <w:uiPriority w:val="99"/>
    <w:qFormat/>
    <w:pPr>
      <w:ind w:firstLine="200"/>
      <w:spacing w:line="360" w:lineRule="auto"/>
    </w:pPr>
    <w:rPr>
      <w:rFonts w:hAnsi="Arial" w:cs="Arial"/>
      <w:sz w:val="30"/>
      <w:szCs w:val="30"/>
      <w:lang w:eastAsia="en-US"/>
    </w:rPr>
  </w:style>
  <w:style w:type="paragraph" w:styleId="824">
    <w:name w:val="Body Text First Indent 2"/>
    <w:basedOn w:val="804"/>
    <w:uiPriority w:val="0"/>
    <w:qFormat/>
    <w:pPr>
      <w:ind w:left="420" w:firstLine="200"/>
      <w:spacing w:after="120" w:line="240" w:lineRule="auto"/>
    </w:pPr>
    <w:rPr>
      <w:sz w:val="21"/>
    </w:rPr>
  </w:style>
  <w:style w:type="table" w:styleId="825">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6">
    <w:name w:val="Strong"/>
    <w:basedOn w:val="796"/>
    <w:uiPriority w:val="0"/>
    <w:qFormat/>
    <w:rPr>
      <w:b/>
    </w:rPr>
  </w:style>
  <w:style w:type="character" w:styleId="827">
    <w:name w:val="endnote reference"/>
    <w:basedOn w:val="796"/>
    <w:uiPriority w:val="99"/>
    <w:semiHidden/>
    <w:unhideWhenUsed/>
    <w:qFormat/>
    <w:rPr>
      <w:vertAlign w:val="superscript"/>
    </w:rPr>
  </w:style>
  <w:style w:type="character" w:styleId="828">
    <w:name w:val="Hyperlink"/>
    <w:basedOn w:val="796"/>
    <w:uiPriority w:val="0"/>
    <w:qFormat/>
    <w:rPr>
      <w:color w:val="0000ff"/>
      <w:u w:val="single"/>
    </w:rPr>
  </w:style>
  <w:style w:type="character" w:styleId="829">
    <w:name w:val="footnote reference"/>
    <w:basedOn w:val="796"/>
    <w:uiPriority w:val="99"/>
    <w:unhideWhenUsed/>
    <w:qFormat/>
    <w:rPr>
      <w:vertAlign w:val="superscript"/>
    </w:rPr>
  </w:style>
  <w:style w:type="character" w:styleId="830" w:customStyle="1">
    <w:name w:val="Heading 1 Char"/>
    <w:basedOn w:val="796"/>
    <w:uiPriority w:val="9"/>
    <w:qFormat/>
    <w:rPr>
      <w:rFonts w:ascii="Arial" w:hAnsi="Arial" w:eastAsia="Arial" w:cs="Arial"/>
      <w:sz w:val="40"/>
      <w:szCs w:val="40"/>
    </w:rPr>
  </w:style>
  <w:style w:type="character" w:styleId="831" w:customStyle="1">
    <w:name w:val="Heading 2 Char"/>
    <w:basedOn w:val="796"/>
    <w:uiPriority w:val="9"/>
    <w:qFormat/>
    <w:rPr>
      <w:rFonts w:ascii="Arial" w:hAnsi="Arial" w:eastAsia="Arial" w:cs="Arial"/>
      <w:sz w:val="34"/>
    </w:rPr>
  </w:style>
  <w:style w:type="character" w:styleId="832" w:customStyle="1">
    <w:name w:val="Heading 3 Char"/>
    <w:basedOn w:val="796"/>
    <w:uiPriority w:val="9"/>
    <w:qFormat/>
    <w:rPr>
      <w:rFonts w:ascii="Arial" w:hAnsi="Arial" w:eastAsia="Arial" w:cs="Arial"/>
      <w:sz w:val="30"/>
      <w:szCs w:val="30"/>
    </w:rPr>
  </w:style>
  <w:style w:type="character" w:styleId="833" w:customStyle="1">
    <w:name w:val="Heading 4 Char"/>
    <w:basedOn w:val="796"/>
    <w:uiPriority w:val="9"/>
    <w:qFormat/>
    <w:rPr>
      <w:rFonts w:ascii="Arial" w:hAnsi="Arial" w:eastAsia="Arial" w:cs="Arial"/>
      <w:b/>
      <w:bCs/>
      <w:sz w:val="26"/>
      <w:szCs w:val="26"/>
    </w:rPr>
  </w:style>
  <w:style w:type="character" w:styleId="834" w:customStyle="1">
    <w:name w:val="Heading 5 Char"/>
    <w:basedOn w:val="796"/>
    <w:uiPriority w:val="9"/>
    <w:qFormat/>
    <w:rPr>
      <w:rFonts w:ascii="Arial" w:hAnsi="Arial" w:eastAsia="Arial" w:cs="Arial"/>
      <w:b/>
      <w:bCs/>
      <w:sz w:val="24"/>
      <w:szCs w:val="24"/>
    </w:rPr>
  </w:style>
  <w:style w:type="character" w:styleId="835" w:customStyle="1">
    <w:name w:val="Heading 6 Char"/>
    <w:basedOn w:val="796"/>
    <w:uiPriority w:val="9"/>
    <w:qFormat/>
    <w:rPr>
      <w:rFonts w:ascii="Arial" w:hAnsi="Arial" w:eastAsia="Arial" w:cs="Arial"/>
      <w:b/>
      <w:bCs/>
      <w:sz w:val="22"/>
      <w:szCs w:val="22"/>
    </w:rPr>
  </w:style>
  <w:style w:type="character" w:styleId="836" w:customStyle="1">
    <w:name w:val="Heading 7 Char"/>
    <w:basedOn w:val="796"/>
    <w:uiPriority w:val="9"/>
    <w:qFormat/>
    <w:rPr>
      <w:rFonts w:ascii="Arial" w:hAnsi="Arial" w:eastAsia="Arial" w:cs="Arial"/>
      <w:b/>
      <w:bCs/>
      <w:i/>
      <w:iCs/>
      <w:sz w:val="22"/>
      <w:szCs w:val="22"/>
    </w:rPr>
  </w:style>
  <w:style w:type="character" w:styleId="837" w:customStyle="1">
    <w:name w:val="Heading 8 Char"/>
    <w:basedOn w:val="796"/>
    <w:uiPriority w:val="9"/>
    <w:qFormat/>
    <w:rPr>
      <w:rFonts w:ascii="Arial" w:hAnsi="Arial" w:eastAsia="Arial" w:cs="Arial"/>
      <w:i/>
      <w:iCs/>
      <w:sz w:val="22"/>
      <w:szCs w:val="22"/>
    </w:rPr>
  </w:style>
  <w:style w:type="character" w:styleId="838" w:customStyle="1">
    <w:name w:val="Heading 9 Char"/>
    <w:basedOn w:val="796"/>
    <w:uiPriority w:val="9"/>
    <w:qFormat/>
    <w:rPr>
      <w:rFonts w:ascii="Arial" w:hAnsi="Arial" w:eastAsia="Arial" w:cs="Arial"/>
      <w:i/>
      <w:iCs/>
      <w:sz w:val="21"/>
      <w:szCs w:val="21"/>
    </w:rPr>
  </w:style>
  <w:style w:type="character" w:styleId="839" w:customStyle="1">
    <w:name w:val="Title Char"/>
    <w:basedOn w:val="796"/>
    <w:uiPriority w:val="10"/>
    <w:qFormat/>
    <w:rPr>
      <w:sz w:val="48"/>
      <w:szCs w:val="48"/>
    </w:rPr>
  </w:style>
  <w:style w:type="character" w:styleId="840" w:customStyle="1">
    <w:name w:val="Subtitle Char"/>
    <w:basedOn w:val="796"/>
    <w:uiPriority w:val="11"/>
    <w:qFormat/>
    <w:rPr>
      <w:sz w:val="24"/>
      <w:szCs w:val="24"/>
    </w:rPr>
  </w:style>
  <w:style w:type="character" w:styleId="841" w:customStyle="1">
    <w:name w:val="Quote Char"/>
    <w:uiPriority w:val="29"/>
    <w:qFormat/>
    <w:rPr>
      <w:i/>
    </w:rPr>
  </w:style>
  <w:style w:type="character" w:styleId="842" w:customStyle="1">
    <w:name w:val="Intense Quote Char"/>
    <w:uiPriority w:val="30"/>
    <w:qFormat/>
    <w:rPr>
      <w:i/>
    </w:rPr>
  </w:style>
  <w:style w:type="character" w:styleId="843" w:customStyle="1">
    <w:name w:val="Footnote Text Char"/>
    <w:uiPriority w:val="99"/>
    <w:qFormat/>
    <w:rPr>
      <w:sz w:val="18"/>
    </w:rPr>
  </w:style>
  <w:style w:type="character" w:styleId="844" w:customStyle="1">
    <w:name w:val="Endnote Text Char"/>
    <w:uiPriority w:val="99"/>
    <w:qFormat/>
    <w:rPr>
      <w:sz w:val="20"/>
    </w:rPr>
  </w:style>
  <w:style w:type="character" w:styleId="845" w:customStyle="1">
    <w:name w:val="标题 1 字符"/>
    <w:basedOn w:val="796"/>
    <w:link w:val="787"/>
    <w:uiPriority w:val="9"/>
    <w:qFormat/>
    <w:rPr>
      <w:rFonts w:ascii="Arial" w:hAnsi="Arial" w:eastAsia="Arial" w:cs="Arial"/>
      <w:sz w:val="40"/>
      <w:szCs w:val="40"/>
    </w:rPr>
  </w:style>
  <w:style w:type="character" w:styleId="846" w:customStyle="1">
    <w:name w:val="标题 2 字符"/>
    <w:basedOn w:val="796"/>
    <w:link w:val="788"/>
    <w:uiPriority w:val="9"/>
    <w:qFormat/>
    <w:rPr>
      <w:rFonts w:ascii="Arial" w:hAnsi="Arial" w:eastAsia="Arial" w:cs="Arial"/>
      <w:sz w:val="34"/>
    </w:rPr>
  </w:style>
  <w:style w:type="character" w:styleId="847" w:customStyle="1">
    <w:name w:val="标题 3 字符"/>
    <w:basedOn w:val="796"/>
    <w:link w:val="789"/>
    <w:uiPriority w:val="9"/>
    <w:qFormat/>
    <w:rPr>
      <w:rFonts w:ascii="Arial" w:hAnsi="Arial" w:eastAsia="Arial" w:cs="Arial"/>
      <w:sz w:val="30"/>
      <w:szCs w:val="30"/>
    </w:rPr>
  </w:style>
  <w:style w:type="character" w:styleId="848" w:customStyle="1">
    <w:name w:val="标题 4 字符"/>
    <w:basedOn w:val="796"/>
    <w:link w:val="790"/>
    <w:uiPriority w:val="9"/>
    <w:qFormat/>
    <w:rPr>
      <w:rFonts w:ascii="Arial" w:hAnsi="Arial" w:eastAsia="Arial" w:cs="Arial"/>
      <w:b/>
      <w:bCs/>
      <w:sz w:val="26"/>
      <w:szCs w:val="26"/>
    </w:rPr>
  </w:style>
  <w:style w:type="character" w:styleId="849" w:customStyle="1">
    <w:name w:val="标题 5 字符"/>
    <w:basedOn w:val="796"/>
    <w:link w:val="791"/>
    <w:uiPriority w:val="9"/>
    <w:qFormat/>
    <w:rPr>
      <w:rFonts w:ascii="Arial" w:hAnsi="Arial" w:eastAsia="Arial" w:cs="Arial"/>
      <w:b/>
      <w:bCs/>
      <w:sz w:val="24"/>
      <w:szCs w:val="24"/>
    </w:rPr>
  </w:style>
  <w:style w:type="character" w:styleId="850" w:customStyle="1">
    <w:name w:val="标题 6 字符"/>
    <w:basedOn w:val="796"/>
    <w:link w:val="792"/>
    <w:uiPriority w:val="9"/>
    <w:qFormat/>
    <w:rPr>
      <w:rFonts w:ascii="Arial" w:hAnsi="Arial" w:eastAsia="Arial" w:cs="Arial"/>
      <w:b/>
      <w:bCs/>
      <w:sz w:val="22"/>
      <w:szCs w:val="22"/>
    </w:rPr>
  </w:style>
  <w:style w:type="character" w:styleId="851" w:customStyle="1">
    <w:name w:val="标题 7 字符"/>
    <w:basedOn w:val="796"/>
    <w:link w:val="793"/>
    <w:uiPriority w:val="9"/>
    <w:qFormat/>
    <w:rPr>
      <w:rFonts w:ascii="Arial" w:hAnsi="Arial" w:eastAsia="Arial" w:cs="Arial"/>
      <w:b/>
      <w:bCs/>
      <w:i/>
      <w:iCs/>
      <w:sz w:val="22"/>
      <w:szCs w:val="22"/>
    </w:rPr>
  </w:style>
  <w:style w:type="character" w:styleId="852" w:customStyle="1">
    <w:name w:val="标题 8 字符"/>
    <w:basedOn w:val="796"/>
    <w:link w:val="794"/>
    <w:uiPriority w:val="9"/>
    <w:qFormat/>
    <w:rPr>
      <w:rFonts w:ascii="Arial" w:hAnsi="Arial" w:eastAsia="Arial" w:cs="Arial"/>
      <w:i/>
      <w:iCs/>
      <w:sz w:val="22"/>
      <w:szCs w:val="22"/>
    </w:rPr>
  </w:style>
  <w:style w:type="character" w:styleId="853" w:customStyle="1">
    <w:name w:val="标题 9 字符"/>
    <w:basedOn w:val="796"/>
    <w:link w:val="795"/>
    <w:uiPriority w:val="9"/>
    <w:qFormat/>
    <w:rPr>
      <w:rFonts w:ascii="Arial" w:hAnsi="Arial" w:eastAsia="Arial" w:cs="Arial"/>
      <w:i/>
      <w:iCs/>
      <w:sz w:val="21"/>
      <w:szCs w:val="21"/>
    </w:rPr>
  </w:style>
  <w:style w:type="paragraph" w:styleId="854">
    <w:name w:val="No Spacing"/>
    <w:uiPriority w:val="1"/>
    <w:qFormat/>
    <w:rPr>
      <w:rFonts w:hint="default" w:ascii="Times New Roman" w:hAnsi="Times New Roman" w:eastAsia="宋体" w:cs="Times New Roman"/>
      <w:lang w:val="en-US" w:eastAsia="zh-CN" w:bidi="ar-SA"/>
    </w:rPr>
  </w:style>
  <w:style w:type="character" w:styleId="855" w:customStyle="1">
    <w:name w:val="标题 字符"/>
    <w:basedOn w:val="796"/>
    <w:link w:val="822"/>
    <w:uiPriority w:val="10"/>
    <w:qFormat/>
    <w:rPr>
      <w:sz w:val="48"/>
      <w:szCs w:val="48"/>
    </w:rPr>
  </w:style>
  <w:style w:type="character" w:styleId="856" w:customStyle="1">
    <w:name w:val="副标题 字符"/>
    <w:basedOn w:val="796"/>
    <w:link w:val="815"/>
    <w:uiPriority w:val="11"/>
    <w:qFormat/>
    <w:rPr>
      <w:sz w:val="24"/>
      <w:szCs w:val="24"/>
    </w:rPr>
  </w:style>
  <w:style w:type="paragraph" w:styleId="857">
    <w:name w:val="Quote"/>
    <w:basedOn w:val="786"/>
    <w:next w:val="786"/>
    <w:link w:val="858"/>
    <w:uiPriority w:val="29"/>
    <w:qFormat/>
    <w:pPr>
      <w:ind w:left="720" w:right="720"/>
    </w:pPr>
    <w:rPr>
      <w:i/>
    </w:rPr>
  </w:style>
  <w:style w:type="character" w:styleId="858" w:customStyle="1">
    <w:name w:val="引用 字符"/>
    <w:link w:val="857"/>
    <w:uiPriority w:val="29"/>
    <w:qFormat/>
    <w:rPr>
      <w:i/>
    </w:rPr>
  </w:style>
  <w:style w:type="paragraph" w:styleId="859">
    <w:name w:val="Intense Quote"/>
    <w:basedOn w:val="786"/>
    <w:next w:val="786"/>
    <w:link w:val="86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0" w:customStyle="1">
    <w:name w:val="明显引用 字符"/>
    <w:link w:val="859"/>
    <w:uiPriority w:val="30"/>
    <w:qFormat/>
    <w:rPr>
      <w:i/>
    </w:rPr>
  </w:style>
  <w:style w:type="character" w:styleId="861" w:customStyle="1">
    <w:name w:val="Header Char"/>
    <w:basedOn w:val="796"/>
    <w:uiPriority w:val="99"/>
    <w:qFormat/>
  </w:style>
  <w:style w:type="character" w:styleId="862" w:customStyle="1">
    <w:name w:val="Footer Char"/>
    <w:basedOn w:val="796"/>
    <w:uiPriority w:val="99"/>
    <w:qFormat/>
  </w:style>
  <w:style w:type="character" w:styleId="863" w:customStyle="1">
    <w:name w:val="Caption Char"/>
    <w:uiPriority w:val="99"/>
    <w:qFormat/>
  </w:style>
  <w:style w:type="table" w:styleId="864" w:customStyle="1">
    <w:name w:val="Table Grid Light"/>
    <w:basedOn w:val="79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65" w:customStyle="1">
    <w:name w:val="Plain Table 1"/>
    <w:basedOn w:val="79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6" w:customStyle="1">
    <w:name w:val="Plain Table 2"/>
    <w:basedOn w:val="79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7" w:customStyle="1">
    <w:name w:val="Plain Table 3"/>
    <w:basedOn w:val="79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8" w:customStyle="1">
    <w:name w:val="Plain Table 4"/>
    <w:basedOn w:val="79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9" w:customStyle="1">
    <w:name w:val="Plain Table 5"/>
    <w:basedOn w:val="79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0" w:customStyle="1">
    <w:name w:val="Grid Table 1 Light"/>
    <w:basedOn w:val="79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1"/>
    <w:basedOn w:val="79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2"/>
    <w:basedOn w:val="79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3"/>
    <w:basedOn w:val="79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4"/>
    <w:basedOn w:val="79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5"/>
    <w:basedOn w:val="79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6"/>
    <w:basedOn w:val="79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77" w:customStyle="1">
    <w:name w:val="Grid Table 2"/>
    <w:basedOn w:val="79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8" w:customStyle="1">
    <w:name w:val="Grid Table 2 - Accent 1"/>
    <w:basedOn w:val="79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79" w:customStyle="1">
    <w:name w:val="Grid Table 2 - Accent 2"/>
    <w:basedOn w:val="79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80" w:customStyle="1">
    <w:name w:val="Grid Table 2 - Accent 3"/>
    <w:basedOn w:val="79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81" w:customStyle="1">
    <w:name w:val="Grid Table 2 - Accent 4"/>
    <w:basedOn w:val="79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82" w:customStyle="1">
    <w:name w:val="Grid Table 2 - Accent 5"/>
    <w:basedOn w:val="79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83" w:customStyle="1">
    <w:name w:val="Grid Table 2 - Accent 6"/>
    <w:basedOn w:val="79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84" w:customStyle="1">
    <w:name w:val="Grid Table 3"/>
    <w:basedOn w:val="79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1"/>
    <w:basedOn w:val="79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2"/>
    <w:basedOn w:val="79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3"/>
    <w:basedOn w:val="79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4"/>
    <w:basedOn w:val="79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5"/>
    <w:basedOn w:val="79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6"/>
    <w:basedOn w:val="79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4"/>
    <w:basedOn w:val="79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2" w:customStyle="1">
    <w:name w:val="Grid Table 4 - Accent 1"/>
    <w:basedOn w:val="797"/>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93" w:customStyle="1">
    <w:name w:val="Grid Table 4 - Accent 2"/>
    <w:basedOn w:val="79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94" w:customStyle="1">
    <w:name w:val="Grid Table 4 - Accent 3"/>
    <w:basedOn w:val="79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95" w:customStyle="1">
    <w:name w:val="Grid Table 4 - Accent 4"/>
    <w:basedOn w:val="797"/>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96" w:customStyle="1">
    <w:name w:val="Grid Table 4 - Accent 5"/>
    <w:basedOn w:val="797"/>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97" w:customStyle="1">
    <w:name w:val="Grid Table 4 - Accent 6"/>
    <w:basedOn w:val="79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98" w:customStyle="1">
    <w:name w:val="Grid Table 5 Dark"/>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9" w:customStyle="1">
    <w:name w:val="Grid Table 5 Dark- Accent 1"/>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00" w:customStyle="1">
    <w:name w:val="Grid Table 5 Dark - Accent 2"/>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01" w:customStyle="1">
    <w:name w:val="Grid Table 5 Dark - Accent 3"/>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02" w:customStyle="1">
    <w:name w:val="Grid Table 5 Dark- Accent 4"/>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03" w:customStyle="1">
    <w:name w:val="Grid Table 5 Dark - Accent 5"/>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04" w:customStyle="1">
    <w:name w:val="Grid Table 5 Dark - Accent 6"/>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05" w:customStyle="1">
    <w:name w:val="Grid Table 6 Colorful"/>
    <w:basedOn w:val="79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6" w:customStyle="1">
    <w:name w:val="Grid Table 6 Colorful - Accent 1"/>
    <w:basedOn w:val="797"/>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07" w:customStyle="1">
    <w:name w:val="Grid Table 6 Colorful - Accent 2"/>
    <w:basedOn w:val="79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08" w:customStyle="1">
    <w:name w:val="Grid Table 6 Colorful - Accent 3"/>
    <w:basedOn w:val="79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09" w:customStyle="1">
    <w:name w:val="Grid Table 6 Colorful - Accent 4"/>
    <w:basedOn w:val="79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10" w:customStyle="1">
    <w:name w:val="Grid Table 6 Colorful - Accent 5"/>
    <w:basedOn w:val="797"/>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11" w:customStyle="1">
    <w:name w:val="Grid Table 6 Colorful - Accent 6"/>
    <w:basedOn w:val="79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12" w:customStyle="1">
    <w:name w:val="Grid Table 7 Colorful"/>
    <w:basedOn w:val="79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3" w:customStyle="1">
    <w:name w:val="Grid Table 7 Colorful - Accent 1"/>
    <w:basedOn w:val="797"/>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14" w:customStyle="1">
    <w:name w:val="Grid Table 7 Colorful - Accent 2"/>
    <w:basedOn w:val="797"/>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5" w:customStyle="1">
    <w:name w:val="Grid Table 7 Colorful - Accent 3"/>
    <w:basedOn w:val="79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16" w:customStyle="1">
    <w:name w:val="Grid Table 7 Colorful - Accent 4"/>
    <w:basedOn w:val="797"/>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7" w:customStyle="1">
    <w:name w:val="Grid Table 7 Colorful - Accent 5"/>
    <w:basedOn w:val="797"/>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18" w:customStyle="1">
    <w:name w:val="Grid Table 7 Colorful - Accent 6"/>
    <w:basedOn w:val="79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19" w:customStyle="1">
    <w:name w:val="List Table 1 Light"/>
    <w:basedOn w:val="79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0" w:customStyle="1">
    <w:name w:val="List Table 1 Light - Accent 1"/>
    <w:basedOn w:val="797"/>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21" w:customStyle="1">
    <w:name w:val="List Table 1 Light - Accent 2"/>
    <w:basedOn w:val="797"/>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22" w:customStyle="1">
    <w:name w:val="List Table 1 Light - Accent 3"/>
    <w:basedOn w:val="797"/>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23" w:customStyle="1">
    <w:name w:val="List Table 1 Light - Accent 4"/>
    <w:basedOn w:val="797"/>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24" w:customStyle="1">
    <w:name w:val="List Table 1 Light - Accent 5"/>
    <w:basedOn w:val="797"/>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25" w:customStyle="1">
    <w:name w:val="List Table 1 Light - Accent 6"/>
    <w:basedOn w:val="797"/>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26" w:customStyle="1">
    <w:name w:val="List Table 2"/>
    <w:basedOn w:val="79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7" w:customStyle="1">
    <w:name w:val="List Table 2 - Accent 1"/>
    <w:basedOn w:val="797"/>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28" w:customStyle="1">
    <w:name w:val="List Table 2 - Accent 2"/>
    <w:basedOn w:val="79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29" w:customStyle="1">
    <w:name w:val="List Table 2 - Accent 3"/>
    <w:basedOn w:val="79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30" w:customStyle="1">
    <w:name w:val="List Table 2 - Accent 4"/>
    <w:basedOn w:val="797"/>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31" w:customStyle="1">
    <w:name w:val="List Table 2 - Accent 5"/>
    <w:basedOn w:val="797"/>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32" w:customStyle="1">
    <w:name w:val="List Table 2 - Accent 6"/>
    <w:basedOn w:val="79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33" w:customStyle="1">
    <w:name w:val="List Table 3"/>
    <w:basedOn w:val="79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4" w:customStyle="1">
    <w:name w:val="List Table 3 - Accent 1"/>
    <w:basedOn w:val="797"/>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35" w:customStyle="1">
    <w:name w:val="List Table 3 - Accent 2"/>
    <w:basedOn w:val="79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36" w:customStyle="1">
    <w:name w:val="List Table 3 - Accent 3"/>
    <w:basedOn w:val="79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37" w:customStyle="1">
    <w:name w:val="List Table 3 - Accent 4"/>
    <w:basedOn w:val="79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38" w:customStyle="1">
    <w:name w:val="List Table 3 - Accent 5"/>
    <w:basedOn w:val="797"/>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39" w:customStyle="1">
    <w:name w:val="List Table 3 - Accent 6"/>
    <w:basedOn w:val="79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40" w:customStyle="1">
    <w:name w:val="List Table 4"/>
    <w:basedOn w:val="79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1" w:customStyle="1">
    <w:name w:val="List Table 4 - Accent 1"/>
    <w:basedOn w:val="797"/>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42" w:customStyle="1">
    <w:name w:val="List Table 4 - Accent 2"/>
    <w:basedOn w:val="79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43" w:customStyle="1">
    <w:name w:val="List Table 4 - Accent 3"/>
    <w:basedOn w:val="79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44" w:customStyle="1">
    <w:name w:val="List Table 4 - Accent 4"/>
    <w:basedOn w:val="797"/>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45" w:customStyle="1">
    <w:name w:val="List Table 4 - Accent 5"/>
    <w:basedOn w:val="797"/>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46" w:customStyle="1">
    <w:name w:val="List Table 4 - Accent 6"/>
    <w:basedOn w:val="79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47" w:customStyle="1">
    <w:name w:val="List Table 5 Dark"/>
    <w:basedOn w:val="79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1"/>
    <w:basedOn w:val="797"/>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2"/>
    <w:basedOn w:val="797"/>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3"/>
    <w:basedOn w:val="79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4"/>
    <w:basedOn w:val="797"/>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5"/>
    <w:basedOn w:val="797"/>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6"/>
    <w:basedOn w:val="79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6 Colorful"/>
    <w:basedOn w:val="79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5" w:customStyle="1">
    <w:name w:val="List Table 6 Colorful - Accent 1"/>
    <w:basedOn w:val="797"/>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56" w:customStyle="1">
    <w:name w:val="List Table 6 Colorful - Accent 2"/>
    <w:basedOn w:val="797"/>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57" w:customStyle="1">
    <w:name w:val="List Table 6 Colorful - Accent 3"/>
    <w:basedOn w:val="797"/>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58" w:customStyle="1">
    <w:name w:val="List Table 6 Colorful - Accent 4"/>
    <w:basedOn w:val="797"/>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59" w:customStyle="1">
    <w:name w:val="List Table 6 Colorful - Accent 5"/>
    <w:basedOn w:val="797"/>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60" w:customStyle="1">
    <w:name w:val="List Table 6 Colorful - Accent 6"/>
    <w:basedOn w:val="797"/>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61" w:customStyle="1">
    <w:name w:val="List Table 7 Colorful"/>
    <w:basedOn w:val="79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2" w:customStyle="1">
    <w:name w:val="List Table 7 Colorful - Accent 1"/>
    <w:basedOn w:val="797"/>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63" w:customStyle="1">
    <w:name w:val="List Table 7 Colorful - Accent 2"/>
    <w:basedOn w:val="797"/>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64" w:customStyle="1">
    <w:name w:val="List Table 7 Colorful - Accent 3"/>
    <w:basedOn w:val="797"/>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65" w:customStyle="1">
    <w:name w:val="List Table 7 Colorful - Accent 4"/>
    <w:basedOn w:val="797"/>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66" w:customStyle="1">
    <w:name w:val="List Table 7 Colorful - Accent 5"/>
    <w:basedOn w:val="797"/>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67" w:customStyle="1">
    <w:name w:val="List Table 7 Colorful - Accent 6"/>
    <w:basedOn w:val="797"/>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68" w:customStyle="1">
    <w:name w:val="Lined - Accent"/>
    <w:basedOn w:val="7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9" w:customStyle="1">
    <w:name w:val="Lined - Accent 1"/>
    <w:basedOn w:val="7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70" w:customStyle="1">
    <w:name w:val="Lined - Accent 2"/>
    <w:basedOn w:val="7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1" w:customStyle="1">
    <w:name w:val="Lined - Accent 3"/>
    <w:basedOn w:val="7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2" w:customStyle="1">
    <w:name w:val="Lined - Accent 4"/>
    <w:basedOn w:val="7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73" w:customStyle="1">
    <w:name w:val="Lined - Accent 5"/>
    <w:basedOn w:val="7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74" w:customStyle="1">
    <w:name w:val="Lined - Accent 6"/>
    <w:basedOn w:val="7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5" w:customStyle="1">
    <w:name w:val="Bordered &amp; Lined - Accent"/>
    <w:basedOn w:val="79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6" w:customStyle="1">
    <w:name w:val="Bordered &amp; Lined - Accent 1"/>
    <w:basedOn w:val="797"/>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77" w:customStyle="1">
    <w:name w:val="Bordered &amp; Lined - Accent 2"/>
    <w:basedOn w:val="79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8" w:customStyle="1">
    <w:name w:val="Bordered &amp; Lined - Accent 3"/>
    <w:basedOn w:val="79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9" w:customStyle="1">
    <w:name w:val="Bordered &amp; Lined - Accent 4"/>
    <w:basedOn w:val="797"/>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0" w:customStyle="1">
    <w:name w:val="Bordered &amp; Lined - Accent 5"/>
    <w:basedOn w:val="797"/>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81" w:customStyle="1">
    <w:name w:val="Bordered &amp; Lined - Accent 6"/>
    <w:basedOn w:val="797"/>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2" w:customStyle="1">
    <w:name w:val="Bordered"/>
    <w:basedOn w:val="79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3" w:customStyle="1">
    <w:name w:val="Bordered - Accent 1"/>
    <w:basedOn w:val="79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84" w:customStyle="1">
    <w:name w:val="Bordered - Accent 2"/>
    <w:basedOn w:val="79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85" w:customStyle="1">
    <w:name w:val="Bordered - Accent 3"/>
    <w:basedOn w:val="79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86" w:customStyle="1">
    <w:name w:val="Bordered - Accent 4"/>
    <w:basedOn w:val="79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87" w:customStyle="1">
    <w:name w:val="Bordered - Accent 5"/>
    <w:basedOn w:val="79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88" w:customStyle="1">
    <w:name w:val="Bordered - Accent 6"/>
    <w:basedOn w:val="79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89" w:customStyle="1">
    <w:name w:val="脚注文本 字符"/>
    <w:link w:val="816"/>
    <w:uiPriority w:val="99"/>
    <w:qFormat/>
    <w:rPr>
      <w:sz w:val="18"/>
    </w:rPr>
  </w:style>
  <w:style w:type="character" w:styleId="990" w:customStyle="1">
    <w:name w:val="尾注文本 字符"/>
    <w:link w:val="810"/>
    <w:uiPriority w:val="99"/>
    <w:qFormat/>
    <w:rPr>
      <w:sz w:val="20"/>
    </w:rPr>
  </w:style>
  <w:style w:type="paragraph" w:styleId="991" w:customStyle="1">
    <w:name w:val="TOC Heading"/>
    <w:uiPriority w:val="39"/>
    <w:unhideWhenUsed/>
    <w:qFormat/>
    <w:rPr>
      <w:rFonts w:hint="default" w:ascii="Times New Roman" w:hAnsi="Times New Roman" w:eastAsia="宋体" w:cs="Times New Roman"/>
      <w:lang w:val="en-US" w:eastAsia="zh-CN" w:bidi="ar-SA"/>
    </w:rPr>
  </w:style>
  <w:style w:type="paragraph" w:styleId="992" w:customStyle="1">
    <w:name w:val="Default"/>
    <w:basedOn w:val="786"/>
    <w:uiPriority w:val="0"/>
    <w:semiHidden/>
    <w:qFormat/>
    <w:pPr>
      <w:jc w:val="left"/>
    </w:pPr>
    <w:rPr>
      <w:rFonts w:ascii="宋体" w:hAnsi="Calibri" w:cs="宋体"/>
      <w:color w:val="000000"/>
      <w:sz w:val="24"/>
    </w:rPr>
  </w:style>
  <w:style w:type="character" w:styleId="993" w:customStyle="1">
    <w:name w:val="页眉 字符"/>
    <w:basedOn w:val="796"/>
    <w:link w:val="812"/>
    <w:uiPriority w:val="0"/>
    <w:qFormat/>
    <w:rPr>
      <w:rFonts w:asciiTheme="minorHAnsi" w:hAnsiTheme="minorHAnsi" w:eastAsiaTheme="minorEastAsia" w:cstheme="minorBidi"/>
      <w:sz w:val="18"/>
      <w:szCs w:val="18"/>
    </w:rPr>
  </w:style>
  <w:style w:type="character" w:styleId="994" w:customStyle="1">
    <w:name w:val="页脚 字符"/>
    <w:basedOn w:val="796"/>
    <w:link w:val="811"/>
    <w:uiPriority w:val="0"/>
    <w:qFormat/>
    <w:rPr>
      <w:rFonts w:asciiTheme="minorHAnsi" w:hAnsiTheme="minorHAnsi" w:eastAsiaTheme="minorEastAsia" w:cstheme="minorBidi"/>
      <w:sz w:val="18"/>
      <w:szCs w:val="18"/>
    </w:rPr>
  </w:style>
  <w:style w:type="paragraph" w:styleId="995" w:customStyle="1">
    <w:name w:val="普通正文"/>
    <w:basedOn w:val="786"/>
    <w:uiPriority w:val="0"/>
    <w:qFormat/>
    <w:pPr>
      <w:ind w:firstLine="480"/>
      <w:jc w:val="left"/>
      <w:spacing w:before="120" w:after="120" w:line="360" w:lineRule="auto"/>
    </w:pPr>
    <w:rPr>
      <w:rFonts w:ascii="Arial" w:hAnsi="Arial" w:eastAsia="等线" w:cs="Arial"/>
      <w:sz w:val="24"/>
    </w:rPr>
  </w:style>
  <w:style w:type="paragraph" w:styleId="996" w:customStyle="1">
    <w:name w:val="正文首行缩进 21"/>
    <w:basedOn w:val="997"/>
    <w:uiPriority w:val="0"/>
    <w:qFormat/>
    <w:pPr>
      <w:ind w:firstLine="420"/>
    </w:pPr>
  </w:style>
  <w:style w:type="paragraph" w:styleId="997" w:customStyle="1">
    <w:name w:val="正文文本缩进1"/>
    <w:basedOn w:val="786"/>
    <w:uiPriority w:val="0"/>
    <w:qFormat/>
    <w:pPr>
      <w:ind w:left="420"/>
      <w:spacing w:after="120"/>
    </w:pPr>
  </w:style>
  <w:style w:type="paragraph" w:styleId="998" w:customStyle="1">
    <w:name w:val="[Normal]"/>
    <w:uiPriority w:val="0"/>
    <w:qFormat/>
    <w:rPr>
      <w:rFonts w:hint="default" w:ascii="方正仿宋简体" w:hAnsi="方正仿宋简体" w:eastAsia="方正仿宋简体" w:cs="Courier New"/>
      <w:sz w:val="24"/>
      <w:szCs w:val="22"/>
      <w:lang w:val="zh-CN" w:eastAsia="zh-CN" w:bidi="ar-SA"/>
    </w:rPr>
  </w:style>
  <w:style w:type="paragraph" w:styleId="999" w:customStyle="1">
    <w:name w:val="页脚1"/>
    <w:uiPriority w:val="99"/>
    <w:qFormat/>
    <w:pPr>
      <w:widowControl w:val="off"/>
      <w:tabs>
        <w:tab w:val="center" w:pos="4153" w:leader="none"/>
        <w:tab w:val="right" w:pos="8306" w:leader="none"/>
      </w:tabs>
    </w:pPr>
    <w:rPr>
      <w:rFonts w:hint="default" w:ascii="Calibri" w:hAnsi="Calibri" w:eastAsia="宋体" w:cs="Times New Roman"/>
      <w:sz w:val="18"/>
      <w:lang w:val="en-US" w:eastAsia="zh-CN" w:bidi="ar-SA"/>
    </w:rPr>
  </w:style>
  <w:style w:type="character" w:styleId="1000" w:customStyle="1">
    <w:name w:val="NormalCharacter"/>
    <w:uiPriority w:val="0"/>
    <w:qFormat/>
  </w:style>
  <w:style w:type="paragraph" w:styleId="1001" w:customStyle="1">
    <w:name w:val="Table Paragraph"/>
    <w:basedOn w:val="786"/>
    <w:uiPriority w:val="1"/>
    <w:qFormat/>
    <w:pPr>
      <w:jc w:val="left"/>
    </w:pPr>
    <w:rPr>
      <w:rFonts w:ascii="宋体" w:hAnsi="宋体" w:cs="宋体"/>
      <w:sz w:val="22"/>
      <w:szCs w:val="22"/>
      <w:lang w:val="zh-CN"/>
    </w:rPr>
  </w:style>
  <w:style w:type="paragraph" w:styleId="1002">
    <w:name w:val="List Paragraph"/>
    <w:basedOn w:val="786"/>
    <w:uiPriority w:val="1"/>
    <w:qFormat/>
    <w:pPr>
      <w:ind w:firstLine="420"/>
    </w:pPr>
    <w:rPr>
      <w:szCs w:val="21"/>
    </w:rPr>
  </w:style>
  <w:style w:type="paragraph" w:styleId="1003" w:customStyle="1">
    <w:name w:val="一级条标题"/>
    <w:basedOn w:val="1004"/>
    <w:next w:val="1005"/>
    <w:uiPriority w:val="0"/>
    <w:qFormat/>
    <w:pPr>
      <w:outlineLvl w:val="2"/>
    </w:pPr>
    <w:rPr>
      <w:rFonts w:ascii="Calibri"/>
    </w:rPr>
  </w:style>
  <w:style w:type="paragraph" w:styleId="1004" w:customStyle="1">
    <w:name w:val="章标题"/>
    <w:next w:val="786"/>
    <w:uiPriority w:val="0"/>
    <w:qFormat/>
    <w:pPr>
      <w:jc w:val="both"/>
      <w:outlineLvl w:val="1"/>
    </w:pPr>
    <w:rPr>
      <w:rFonts w:hint="default" w:ascii="黑体" w:hAnsi="Calibri" w:eastAsia="黑体" w:cs="黑体"/>
      <w:sz w:val="21"/>
      <w:szCs w:val="21"/>
      <w:lang w:val="en-US" w:eastAsia="zh-CN" w:bidi="ar-SA"/>
    </w:rPr>
  </w:style>
  <w:style w:type="paragraph" w:styleId="1005" w:customStyle="1">
    <w:name w:val="段"/>
    <w:next w:val="1006"/>
    <w:uiPriority w:val="0"/>
    <w:qFormat/>
    <w:pPr>
      <w:ind w:firstLine="200"/>
      <w:jc w:val="both"/>
    </w:pPr>
    <w:rPr>
      <w:rFonts w:hint="default" w:ascii="宋体" w:hAnsi="Calibri" w:eastAsia="宋体" w:cs="宋体"/>
      <w:sz w:val="21"/>
      <w:szCs w:val="21"/>
      <w:lang w:val="en-US" w:eastAsia="zh-CN" w:bidi="ar-SA"/>
    </w:rPr>
  </w:style>
  <w:style w:type="paragraph" w:styleId="1006" w:customStyle="1">
    <w:name w:val="正文 A"/>
    <w:next w:val="1005"/>
    <w:uiPriority w:val="0"/>
    <w:qFormat/>
    <w:pPr>
      <w:jc w:val="both"/>
      <w:widowControl w:val="off"/>
    </w:pPr>
    <w:rPr>
      <w:rFonts w:hint="default" w:ascii="Times New Roman" w:hAnsi="Times New Roman" w:eastAsia="Calibri" w:cs="Calibri"/>
      <w:color w:val="000000"/>
      <w:sz w:val="21"/>
      <w:szCs w:val="21"/>
      <w:lang w:val="en-US" w:eastAsia="zh-CN" w:bidi="ar-SA"/>
    </w:rPr>
  </w:style>
  <w:style w:type="paragraph" w:styleId="1007" w:customStyle="1">
    <w:name w:val="Table Text"/>
    <w:basedOn w:val="786"/>
    <w:uiPriority w:val="0"/>
    <w:semiHidden/>
    <w:qFormat/>
    <w:rPr>
      <w:rFonts w:ascii="宋体" w:hAnsi="宋体" w:eastAsia="宋体" w:cs="宋体"/>
      <w:szCs w:val="21"/>
      <w:lang w:eastAsia="en-US"/>
    </w:rPr>
  </w:style>
  <w:style w:type="character" w:styleId="1008" w:customStyle="1">
    <w:name w:val="正文文本 字符"/>
    <w:basedOn w:val="796"/>
    <w:link w:val="803"/>
    <w:uiPriority w:val="0"/>
    <w:qFormat/>
    <w:rPr>
      <w:rFonts w:ascii="仿宋_GB2312" w:hAnsi="宋体" w:eastAsia="仿宋_GB2312" w:cstheme="minorBidi"/>
      <w:sz w:val="28"/>
      <w:szCs w:val="24"/>
    </w:rPr>
  </w:style>
  <w:style w:type="character" w:styleId="1009" w:customStyle="1">
    <w:name w:val="正文文本首行缩进 字符"/>
    <w:basedOn w:val="1008"/>
    <w:link w:val="823"/>
    <w:uiPriority w:val="99"/>
    <w:qFormat/>
    <w:rPr>
      <w:rFonts w:ascii="仿宋_GB2312" w:hAnsi="Arial" w:eastAsia="仿宋_GB2312" w:cs="Arial"/>
      <w:sz w:val="30"/>
      <w:szCs w:val="30"/>
      <w:lang w:eastAsia="en-US"/>
    </w:rPr>
  </w:style>
  <w:style w:type="table" w:styleId="1010" w:customStyle="1">
    <w:name w:val="Table Normal"/>
    <w:uiPriority w:val="0"/>
    <w:unhideWhenUsed/>
    <w:qFormat/>
    <w:tblPr>
      <w:tblCellMar>
        <w:left w:w="0" w:type="dxa"/>
        <w:top w:w="0" w:type="dxa"/>
        <w:right w:w="0" w:type="dxa"/>
        <w:bottom w:w="0" w:type="dxa"/>
      </w:tblCellMar>
    </w:tblPr>
  </w:style>
  <w:style w:type="paragraph" w:styleId="1011" w:customStyle="1">
    <w:name w:val="_Style 5"/>
    <w:basedOn w:val="787"/>
    <w:next w:val="786"/>
    <w:uiPriority w:val="0"/>
    <w:qFormat/>
    <w:pPr>
      <w:spacing w:before="100" w:after="100" w:line="578" w:lineRule="auto"/>
      <w:outlineLvl w:val="9"/>
    </w:pPr>
  </w:style>
  <w:style w:type="paragraph" w:styleId="1012" w:customStyle="1">
    <w:name w:val="_Style 2"/>
    <w:basedOn w:val="787"/>
    <w:next w:val="786"/>
    <w:uiPriority w:val="0"/>
    <w:qFormat/>
    <w:pPr>
      <w:spacing w:before="100" w:after="100" w:line="578" w:lineRule="auto"/>
      <w:outlineLvl w:val="9"/>
    </w:pPr>
  </w:style>
  <w:style w:type="paragraph" w:styleId="1013" w:customStyle="1">
    <w:name w:val="列出段落3"/>
    <w:basedOn w:val="786"/>
    <w:uiPriority w:val="0"/>
    <w:qFormat/>
    <w:pPr>
      <w:ind w:firstLine="420"/>
    </w:pPr>
    <w:rPr>
      <w:rFonts w:ascii="Calibri" w:hAnsi="Calibri" w:eastAsia="宋体" w:cs="Times New Roman"/>
      <w:szCs w:val="20"/>
    </w:rPr>
  </w:style>
  <w:style w:type="paragraph" w:styleId="1014" w:customStyle="1">
    <w:name w:val="正文1"/>
    <w:basedOn w:val="1015"/>
    <w:next w:val="786"/>
    <w:uiPriority w:val="0"/>
    <w:qFormat/>
    <w:pPr>
      <w:tabs>
        <w:tab w:val="right" w:pos="8268" w:leader="dot"/>
      </w:tabs>
    </w:pPr>
    <w:rPr>
      <w:rFonts w:ascii="Helvetica" w:hAnsi="Helvetica" w:eastAsia="Arial Unicode MS" w:cs="Arial Unicode MS"/>
      <w:color w:val="000000"/>
      <w:sz w:val="22"/>
      <w:szCs w:val="22"/>
    </w:rPr>
  </w:style>
  <w:style w:type="paragraph" w:styleId="1015" w:customStyle="1">
    <w:name w:val="目录 31"/>
    <w:basedOn w:val="786"/>
    <w:next w:val="786"/>
    <w:uiPriority w:val="0"/>
    <w:qFormat/>
    <w:pPr>
      <w:ind w:left="840" w:firstLine="482"/>
      <w:spacing w:line="460" w:lineRule="exact"/>
      <w:tabs>
        <w:tab w:val="right" w:pos="8268" w:leader="dot"/>
      </w:tabs>
    </w:pPr>
    <w:rPr>
      <w:rFonts w:ascii="宋体" w:hAnsi="宋体" w:eastAsia="宋体" w:cs="Times New Roman"/>
    </w:rPr>
  </w:style>
  <w:style w:type="paragraph" w:styleId="1016" w:customStyle="1">
    <w:name w:val="列出段落2"/>
    <w:basedOn w:val="786"/>
    <w:uiPriority w:val="0"/>
    <w:qFormat/>
    <w:pPr>
      <w:ind w:firstLine="420"/>
    </w:pPr>
    <w:rPr>
      <w:rFonts w:ascii="Calibri" w:hAnsi="Calibri" w:eastAsia="宋体" w:cs="Times New Roman"/>
    </w:rPr>
  </w:style>
  <w:style w:type="paragraph" w:styleId="1017" w:customStyle="1">
    <w:name w:val="批注文字1"/>
    <w:basedOn w:val="786"/>
    <w:uiPriority w:val="99"/>
    <w:qFormat/>
    <w:pPr>
      <w:jc w:val="left"/>
    </w:pPr>
    <w:rPr>
      <w:rFonts w:ascii="Calibri" w:hAnsi="Calibri" w:eastAsia="宋体" w:cs="Times New Roman"/>
      <w:sz w:val="20"/>
    </w:rPr>
  </w:style>
  <w:style w:type="paragraph" w:styleId="1018" w:customStyle="1">
    <w:name w:val="普通(网站)11"/>
    <w:basedOn w:val="786"/>
    <w:uiPriority w:val="99"/>
    <w:qFormat/>
    <w:pPr>
      <w:jc w:val="left"/>
      <w:spacing w:beforeAutospacing="1" w:afterAutospacing="1"/>
    </w:pPr>
    <w:rPr>
      <w:rFonts w:ascii="Calibri" w:hAnsi="Calibri" w:eastAsia="宋体" w:cs="Times New Roman"/>
      <w:sz w:val="24"/>
    </w:rPr>
  </w:style>
  <w:style w:type="numbering" w:styleId="10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 Id="rId19" Type="http://schemas.openxmlformats.org/officeDocument/2006/relationships/customXml" Target="../customXml/item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dataSourceCollection xmlns="http://www.yonyou.com/datasource"/>
</file>

<file path=customXml/item2.xml><?xml version="1.0" encoding="utf-8"?>
<relations xmlns="http://www.yonyou.com/relation"/>
</file>

<file path=customXml/item3.xml><?xml version="1.0" encoding="utf-8"?>
<formulas xmlns="http://www.yonyou.com/formula"/>
</file>

<file path=customXml/item4.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77C9E712-C2DF-4451-9607-C499CA129BBC}"/>
</file>

<file path=customXml/itemProps2.xml><?xml version="1.0" encoding="utf-8"?>
<ds:datastoreItem xmlns:ds="http://schemas.openxmlformats.org/officeDocument/2006/customXml" ds:itemID="{57CC328F-50A7-40DD-AE0D-6AD6E955B691}"/>
</file>

<file path=customXml/itemProps3.xml><?xml version="1.0" encoding="utf-8"?>
<ds:datastoreItem xmlns:ds="http://schemas.openxmlformats.org/officeDocument/2006/customXml" ds:itemID="{23BD3C1D-EBCD-42F9-8C6F-F1C8C0249955}"/>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江苏瑞杰项目管理顾问有限公司</cp:lastModifiedBy>
  <cp:revision>218</cp:revision>
  <dcterms:created xsi:type="dcterms:W3CDTF">2014-10-29T12:08:00Z</dcterms:created>
  <dcterms:modified xsi:type="dcterms:W3CDTF">2026-11-02T08:23:10Z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2052-12.1.0.29680</vt:lpwstr>
  </property>
  <property fmtid="{D5CDD505-2E9C-101B-9397-08002B2CF9AE}" pid="3" name="ICV">
    <vt:lpwstr>581D4007ACA44FF293F8CB0B03AA3C5A_13</vt:lpwstr>
  </property>
  <property fmtid="{D5CDD505-2E9C-101B-9397-08002B2CF9AE}" pid="4" name="KSOTemplateDocerSaveRecord">
    <vt:lpwstr>eyJoZGlkIjoiMDljYzUzMWQ4OWI0YzBkYjYzMDRhZTY5ZjZkYmFmYTgiLCJ1c2VySWQiOiIzNzA2MTg2In0=</vt:lpwstr>
  </property>
</Properties>
</file>