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宋体" w:hAnsi="宋体" w:cs="宋体"/>
          <w:b/>
          <w:sz w:val="48"/>
          <w:szCs w:val="48"/>
        </w:rPr>
      </w:pPr>
      <w:r/>
      <w:bookmarkStart w:id="0" w:name="_Hlk77778371"/>
      <w:r/>
      <w:bookmarkStart w:id="1" w:name="_Hlk74841385"/>
      <w:r/>
      <w:r/>
    </w:p>
    <w:p>
      <w:pPr>
        <w:jc w:val="center"/>
        <w:spacing w:line="360" w:lineRule="auto"/>
        <w:shd w:val="clear" w:color="auto" w:fill="ffffff"/>
        <w:widowControl/>
        <w:rPr>
          <w:rFonts w:ascii="宋体" w:hAnsi="宋体" w:cs="宋体"/>
          <w:b/>
          <w:sz w:val="48"/>
          <w:szCs w:val="48"/>
        </w:rPr>
      </w:pPr>
      <w:r>
        <w:rPr>
          <w:rFonts w:ascii="宋体" w:hAnsi="宋体" w:cs="宋体"/>
          <w:b/>
          <w:sz w:val="48"/>
          <w:szCs w:val="48"/>
        </w:rPr>
      </w:r>
      <w:r/>
    </w:p>
    <w:p>
      <w:pPr>
        <w:pStyle w:val="954"/>
        <w:rPr>
          <w:rFonts w:ascii="宋体" w:hAnsi="宋体" w:cs="宋体"/>
        </w:rPr>
      </w:pPr>
      <w:r>
        <w:rPr>
          <w:rFonts w:ascii="宋体" w:hAnsi="宋体" w:cs="宋体"/>
        </w:rPr>
      </w:r>
      <w:r/>
    </w:p>
    <w:p>
      <w:pPr>
        <w:pStyle w:val="954"/>
        <w:jc w:val="center"/>
        <w:rPr>
          <w:rFonts w:ascii="宋体" w:hAnsi="宋体" w:cs="宋体"/>
          <w:b/>
          <w:bCs/>
          <w:sz w:val="48"/>
          <w:szCs w:val="48"/>
        </w:rPr>
      </w:pPr>
      <w:r>
        <w:rPr>
          <w:rFonts w:hint="eastAsia" w:ascii="宋体" w:hAnsi="宋体" w:cs="宋体"/>
          <w:b/>
          <w:bCs/>
          <w:sz w:val="48"/>
          <w:szCs w:val="48"/>
        </w:rPr>
        <w:t xml:space="preserve">南京工业职业技术大学</w:t>
      </w:r>
      <w:r/>
    </w:p>
    <w:p>
      <w:pPr>
        <w:pStyle w:val="954"/>
        <w:jc w:val="center"/>
        <w:rPr>
          <w:rFonts w:ascii="宋体" w:hAnsi="宋体" w:cs="宋体"/>
          <w:sz w:val="20"/>
          <w:szCs w:val="21"/>
        </w:rPr>
      </w:pPr>
      <w:r>
        <w:rPr>
          <w:rFonts w:hint="eastAsia" w:ascii="宋体" w:hAnsi="宋体" w:cs="宋体"/>
          <w:b/>
          <w:bCs/>
          <w:sz w:val="48"/>
          <w:szCs w:val="48"/>
        </w:rPr>
        <w:t xml:space="preserve">2026-2028年度教职工体检项目</w:t>
      </w:r>
      <w:r/>
    </w:p>
    <w:p>
      <w:r/>
      <w:r/>
    </w:p>
    <w:p>
      <w:r/>
      <w:r/>
    </w:p>
    <w:p>
      <w:r/>
      <w:r/>
    </w:p>
    <w:p>
      <w:r/>
      <w:r/>
    </w:p>
    <w:p>
      <w:r/>
      <w:r/>
    </w:p>
    <w:p>
      <w:r/>
      <w:r/>
    </w:p>
    <w:p>
      <w:r/>
      <w:r/>
    </w:p>
    <w:p>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360" w:lineRule="auto"/>
        <w:widowControl/>
        <w:rPr>
          <w:rFonts w:ascii="宋体" w:hAnsi="宋体" w:cs="宋体"/>
          <w:b/>
          <w:sz w:val="72"/>
          <w:szCs w:val="72"/>
        </w:rPr>
      </w:pPr>
      <w:r>
        <w:rPr>
          <w:rFonts w:hint="eastAsia" w:ascii="宋体" w:hAnsi="宋体" w:cs="宋体"/>
          <w:b/>
          <w:sz w:val="72"/>
          <w:szCs w:val="72"/>
        </w:rPr>
        <w:t xml:space="preserve">采购文件</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hint="eastAsia" w:ascii="宋体" w:hAnsi="宋体" w:eastAsia="宋体" w:cs="宋体"/>
          <w:b/>
          <w:sz w:val="40"/>
          <w:szCs w:val="40"/>
          <w:lang w:eastAsia="zh-CN"/>
        </w:rPr>
      </w:pPr>
      <w:r>
        <w:rPr>
          <w:rFonts w:hint="eastAsia" w:ascii="宋体" w:hAnsi="宋体" w:cs="宋体"/>
          <w:b/>
          <w:sz w:val="32"/>
          <w:szCs w:val="32"/>
        </w:rPr>
        <w:t xml:space="preserve">项目编号：</w:t>
      </w:r>
      <w:r>
        <w:rPr>
          <w:rFonts w:hint="eastAsia" w:ascii="宋体" w:hAnsi="宋体" w:cs="宋体"/>
          <w:b/>
          <w:sz w:val="32"/>
          <w:szCs w:val="32"/>
          <w:lang w:eastAsia="zh-CN"/>
        </w:rPr>
        <w:t xml:space="preserve">JSZC-320000-JCEC-G2026-0401</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28"/>
          <w:szCs w:val="28"/>
        </w:rPr>
      </w:pPr>
      <w:r>
        <w:rPr>
          <w:rFonts w:ascii="宋体" w:hAnsi="宋体" w:cs="宋体"/>
          <w:b/>
          <w:sz w:val="28"/>
          <w:szCs w:val="28"/>
        </w:rPr>
      </w:r>
      <w:r/>
    </w:p>
    <w:p>
      <w:pPr>
        <w:spacing w:line="360" w:lineRule="auto"/>
        <w:shd w:val="clear" w:color="auto" w:fill="ffffff"/>
        <w:widowControl/>
        <w:rPr>
          <w:rFonts w:ascii="宋体" w:hAnsi="宋体" w:cs="宋体"/>
          <w:sz w:val="32"/>
          <w:szCs w:val="32"/>
        </w:rPr>
      </w:pPr>
      <w:r>
        <w:rPr>
          <w:rFonts w:ascii="宋体" w:hAnsi="宋体" w:cs="宋体"/>
          <w:sz w:val="32"/>
          <w:szCs w:val="32"/>
        </w:rPr>
      </w:r>
      <w:r/>
    </w:p>
    <w:p>
      <w:pPr>
        <w:pStyle w:val="909"/>
        <w:ind w:left="1260"/>
        <w:rPr>
          <w:rFonts w:ascii="宋体" w:hAnsi="宋体" w:cs="宋体"/>
        </w:rPr>
      </w:pPr>
      <w:r>
        <w:rPr>
          <w:rFonts w:ascii="宋体" w:hAnsi="宋体" w:cs="宋体"/>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采购人：南京工业职业技术大学</w:t>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采购代理机构：江苏省设备成套股份有限公司</w:t>
      </w:r>
      <w:r/>
    </w:p>
    <w:p>
      <w:pPr>
        <w:jc w:val="center"/>
        <w:spacing w:line="360" w:lineRule="auto"/>
        <w:shd w:val="clear" w:color="auto" w:fill="ffffff"/>
        <w:widowControl/>
        <w:rPr>
          <w:rFonts w:ascii="宋体" w:hAnsi="宋体" w:cs="宋体"/>
          <w:b/>
          <w:sz w:val="36"/>
          <w:szCs w:val="36"/>
        </w:rPr>
      </w:pPr>
      <w:r>
        <w:rPr>
          <w:rFonts w:hint="eastAsia" w:ascii="宋体" w:hAnsi="宋体" w:cs="宋体"/>
          <w:b/>
          <w:sz w:val="32"/>
          <w:szCs w:val="32"/>
        </w:rPr>
        <w:t xml:space="preserve">2026年10月</w:t>
      </w:r>
      <w:r>
        <w:rPr>
          <w:rFonts w:hint="eastAsia" w:ascii="宋体" w:hAnsi="宋体" w:cs="宋体"/>
          <w:b/>
          <w:sz w:val="36"/>
          <w:szCs w:val="36"/>
        </w:rPr>
        <w:br w:type="page" w:clear="all"/>
      </w:r>
      <w:r/>
    </w:p>
    <w:p>
      <w:pPr>
        <w:pStyle w:val="1057"/>
        <w:jc w:val="center"/>
        <w:rPr>
          <w:rFonts w:ascii="宋体" w:hAnsi="宋体" w:cs="宋体"/>
          <w:color w:val="auto"/>
          <w:sz w:val="36"/>
          <w:szCs w:val="36"/>
        </w:rPr>
      </w:pPr>
      <w:r>
        <w:rPr>
          <w:rFonts w:hint="eastAsia" w:ascii="宋体" w:hAnsi="宋体" w:cs="宋体"/>
          <w:color w:val="auto"/>
          <w:sz w:val="36"/>
          <w:szCs w:val="36"/>
          <w:lang w:val="zh-CN"/>
        </w:rPr>
        <w:t xml:space="preserve">目录</w:t>
      </w:r>
      <w:r/>
    </w:p>
    <w:p>
      <w:pPr>
        <w:pStyle w:val="920"/>
        <w:spacing w:line="360" w:lineRule="auto"/>
        <w:tabs>
          <w:tab w:val="right" w:pos="8299" w:leader="dot"/>
        </w:tabs>
        <w:rPr>
          <w:rFonts w:ascii="宋体" w:hAnsi="宋体" w:cs="宋体"/>
          <w:sz w:val="24"/>
        </w:rPr>
      </w:pPr>
      <w:r>
        <w:rPr>
          <w:rFonts w:hint="eastAsia" w:ascii="宋体" w:hAnsi="宋体" w:cs="宋体"/>
          <w:szCs w:val="21"/>
        </w:rPr>
        <w:fldChar w:fldCharType="begin"/>
      </w:r>
      <w:r>
        <w:rPr>
          <w:rFonts w:hint="eastAsia" w:ascii="宋体" w:hAnsi="宋体" w:cs="宋体"/>
          <w:szCs w:val="21"/>
        </w:rPr>
        <w:instrText xml:space="preserve">TOC \o "1-1" \h \u </w:instrText>
      </w:r>
      <w:r>
        <w:rPr>
          <w:rFonts w:hint="eastAsia" w:ascii="宋体" w:hAnsi="宋体" w:cs="宋体"/>
          <w:szCs w:val="21"/>
        </w:rPr>
        <w:fldChar w:fldCharType="separate"/>
      </w:r>
      <w:r>
        <w:fldChar w:fldCharType="begin"/>
      </w:r>
      <w:r>
        <w:instrText xml:space="preserve"> HYPERLINK \l "_Toc30685" </w:instrText>
      </w:r>
      <w:r>
        <w:fldChar w:fldCharType="separate"/>
      </w:r>
      <w:r>
        <w:rPr>
          <w:rFonts w:hint="eastAsia" w:ascii="宋体" w:hAnsi="宋体" w:cs="宋体"/>
          <w:sz w:val="24"/>
        </w:rPr>
        <w:t xml:space="preserve">第一章 </w:t>
      </w:r>
      <w:r>
        <w:rPr>
          <w:rFonts w:hint="eastAsia" w:ascii="宋体" w:hAnsi="宋体" w:cs="宋体"/>
          <w:sz w:val="24"/>
        </w:rPr>
        <w:t xml:space="preserve">采购公告</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_Toc30685 \h </w:instrText>
      </w:r>
      <w:r>
        <w:rPr>
          <w:rFonts w:hint="eastAsia" w:ascii="宋体" w:hAnsi="宋体" w:cs="宋体"/>
          <w:sz w:val="24"/>
        </w:rPr>
        <w:fldChar w:fldCharType="separate"/>
      </w:r>
      <w:r>
        <w:rPr>
          <w:rFonts w:hint="eastAsia" w:ascii="宋体" w:hAnsi="宋体" w:cs="宋体"/>
          <w:sz w:val="24"/>
        </w:rPr>
        <w:t xml:space="preserve">1</w:t>
      </w:r>
      <w:r>
        <w:rPr>
          <w:rFonts w:hint="eastAsia" w:ascii="宋体" w:hAnsi="宋体" w:cs="宋体"/>
          <w:sz w:val="24"/>
        </w:rPr>
        <w:fldChar w:fldCharType="end"/>
      </w:r>
      <w:r>
        <w:rPr>
          <w:rFonts w:hint="eastAsia" w:ascii="宋体" w:hAnsi="宋体" w:cs="宋体"/>
          <w:sz w:val="24"/>
        </w:rPr>
        <w:fldChar w:fldCharType="end"/>
      </w:r>
      <w:r/>
    </w:p>
    <w:p>
      <w:pPr>
        <w:pStyle w:val="920"/>
        <w:spacing w:line="360" w:lineRule="auto"/>
        <w:tabs>
          <w:tab w:val="right" w:pos="8299" w:leader="dot"/>
        </w:tabs>
        <w:rPr>
          <w:rFonts w:ascii="宋体" w:hAnsi="宋体" w:cs="宋体"/>
          <w:sz w:val="24"/>
        </w:rPr>
      </w:pPr>
      <w:r>
        <w:fldChar w:fldCharType="begin"/>
      </w:r>
      <w:r>
        <w:instrText xml:space="preserve"> HYPERLINK \l "_Toc26745" </w:instrText>
      </w:r>
      <w:r>
        <w:fldChar w:fldCharType="separate"/>
      </w:r>
      <w:r>
        <w:rPr>
          <w:rFonts w:hint="eastAsia" w:ascii="宋体" w:hAnsi="宋体" w:cs="宋体"/>
          <w:sz w:val="24"/>
        </w:rPr>
        <w:t xml:space="preserve">第二章 供应商须知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_Toc26745 \h </w:instrText>
      </w:r>
      <w:r>
        <w:rPr>
          <w:rFonts w:hint="eastAsia" w:ascii="宋体" w:hAnsi="宋体" w:cs="宋体"/>
          <w:sz w:val="24"/>
        </w:rPr>
        <w:fldChar w:fldCharType="separate"/>
      </w:r>
      <w:r>
        <w:rPr>
          <w:rFonts w:hint="eastAsia" w:ascii="宋体" w:hAnsi="宋体" w:cs="宋体"/>
          <w:sz w:val="24"/>
        </w:rPr>
        <w:t xml:space="preserve">6</w:t>
      </w:r>
      <w:r>
        <w:rPr>
          <w:rFonts w:hint="eastAsia" w:ascii="宋体" w:hAnsi="宋体" w:cs="宋体"/>
          <w:sz w:val="24"/>
        </w:rPr>
        <w:fldChar w:fldCharType="end"/>
      </w:r>
      <w:r>
        <w:rPr>
          <w:rFonts w:hint="eastAsia" w:ascii="宋体" w:hAnsi="宋体" w:cs="宋体"/>
          <w:sz w:val="24"/>
        </w:rPr>
        <w:fldChar w:fldCharType="end"/>
      </w:r>
      <w:r/>
    </w:p>
    <w:p>
      <w:pPr>
        <w:pStyle w:val="920"/>
        <w:spacing w:line="360" w:lineRule="auto"/>
        <w:tabs>
          <w:tab w:val="right" w:pos="8299" w:leader="dot"/>
        </w:tabs>
        <w:rPr>
          <w:rFonts w:ascii="宋体" w:hAnsi="宋体" w:cs="宋体"/>
          <w:sz w:val="24"/>
        </w:rPr>
      </w:pPr>
      <w:r>
        <w:fldChar w:fldCharType="begin"/>
      </w:r>
      <w:r>
        <w:instrText xml:space="preserve"> HYPERLINK \l "_Toc28285" </w:instrText>
      </w:r>
      <w:r>
        <w:fldChar w:fldCharType="separate"/>
      </w:r>
      <w:r>
        <w:rPr>
          <w:rFonts w:hint="eastAsia" w:ascii="宋体" w:hAnsi="宋体" w:cs="宋体"/>
          <w:sz w:val="24"/>
        </w:rPr>
        <w:t xml:space="preserve">第三章 评标标准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_Toc28285 \h </w:instrText>
      </w:r>
      <w:r>
        <w:rPr>
          <w:rFonts w:hint="eastAsia" w:ascii="宋体" w:hAnsi="宋体" w:cs="宋体"/>
          <w:sz w:val="24"/>
        </w:rPr>
        <w:fldChar w:fldCharType="separate"/>
      </w:r>
      <w:r>
        <w:rPr>
          <w:rFonts w:hint="eastAsia" w:ascii="宋体" w:hAnsi="宋体" w:cs="宋体"/>
          <w:sz w:val="24"/>
        </w:rPr>
        <w:t xml:space="preserve">20</w:t>
      </w:r>
      <w:r>
        <w:rPr>
          <w:rFonts w:hint="eastAsia" w:ascii="宋体" w:hAnsi="宋体" w:cs="宋体"/>
          <w:sz w:val="24"/>
        </w:rPr>
        <w:fldChar w:fldCharType="end"/>
      </w:r>
      <w:r>
        <w:rPr>
          <w:rFonts w:hint="eastAsia" w:ascii="宋体" w:hAnsi="宋体" w:cs="宋体"/>
          <w:sz w:val="24"/>
        </w:rPr>
        <w:fldChar w:fldCharType="end"/>
      </w:r>
      <w:r/>
    </w:p>
    <w:p>
      <w:pPr>
        <w:pStyle w:val="920"/>
        <w:spacing w:line="360" w:lineRule="auto"/>
        <w:tabs>
          <w:tab w:val="right" w:pos="8299" w:leader="dot"/>
        </w:tabs>
        <w:rPr>
          <w:rFonts w:ascii="宋体" w:hAnsi="宋体" w:cs="宋体"/>
          <w:sz w:val="24"/>
        </w:rPr>
      </w:pPr>
      <w:r>
        <w:fldChar w:fldCharType="begin"/>
      </w:r>
      <w:r>
        <w:instrText xml:space="preserve"> HYPERLINK \l "_Toc6871" </w:instrText>
      </w:r>
      <w:r>
        <w:fldChar w:fldCharType="separate"/>
      </w:r>
      <w:r>
        <w:rPr>
          <w:rFonts w:hint="eastAsia" w:ascii="宋体" w:hAnsi="宋体" w:cs="宋体"/>
          <w:sz w:val="24"/>
        </w:rPr>
        <w:t xml:space="preserve">第四章 采购需求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_Toc6871 \h </w:instrText>
      </w:r>
      <w:r>
        <w:rPr>
          <w:rFonts w:hint="eastAsia" w:ascii="宋体" w:hAnsi="宋体" w:cs="宋体"/>
          <w:sz w:val="24"/>
        </w:rPr>
        <w:fldChar w:fldCharType="separate"/>
      </w:r>
      <w:r>
        <w:rPr>
          <w:rFonts w:hint="eastAsia" w:ascii="宋体" w:hAnsi="宋体" w:cs="宋体"/>
          <w:sz w:val="24"/>
        </w:rPr>
        <w:t xml:space="preserve">33</w:t>
      </w:r>
      <w:r>
        <w:rPr>
          <w:rFonts w:hint="eastAsia" w:ascii="宋体" w:hAnsi="宋体" w:cs="宋体"/>
          <w:sz w:val="24"/>
        </w:rPr>
        <w:fldChar w:fldCharType="end"/>
      </w:r>
      <w:r>
        <w:rPr>
          <w:rFonts w:hint="eastAsia" w:ascii="宋体" w:hAnsi="宋体" w:cs="宋体"/>
          <w:sz w:val="24"/>
        </w:rPr>
        <w:fldChar w:fldCharType="end"/>
      </w:r>
      <w:r/>
    </w:p>
    <w:p>
      <w:pPr>
        <w:pStyle w:val="920"/>
        <w:spacing w:line="360" w:lineRule="auto"/>
        <w:tabs>
          <w:tab w:val="right" w:pos="8299" w:leader="dot"/>
        </w:tabs>
        <w:rPr>
          <w:rFonts w:ascii="宋体" w:hAnsi="宋体" w:cs="宋体"/>
          <w:sz w:val="24"/>
        </w:rPr>
      </w:pPr>
      <w:r>
        <w:fldChar w:fldCharType="begin"/>
      </w:r>
      <w:r>
        <w:instrText xml:space="preserve"> HYPERLINK \l "_Toc18631" </w:instrText>
      </w:r>
      <w:r>
        <w:fldChar w:fldCharType="separate"/>
      </w:r>
      <w:r>
        <w:rPr>
          <w:rFonts w:hint="eastAsia" w:ascii="宋体" w:hAnsi="宋体" w:cs="宋体"/>
          <w:sz w:val="24"/>
        </w:rPr>
        <w:t xml:space="preserve">第五章 合同主要条款及格式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_Toc18631 \h </w:instrText>
      </w:r>
      <w:r>
        <w:rPr>
          <w:rFonts w:hint="eastAsia" w:ascii="宋体" w:hAnsi="宋体" w:cs="宋体"/>
          <w:sz w:val="24"/>
        </w:rPr>
        <w:fldChar w:fldCharType="separate"/>
      </w:r>
      <w:r>
        <w:rPr>
          <w:rFonts w:hint="eastAsia" w:ascii="宋体" w:hAnsi="宋体" w:cs="宋体"/>
          <w:sz w:val="24"/>
        </w:rPr>
        <w:t xml:space="preserve">50</w:t>
      </w:r>
      <w:r>
        <w:rPr>
          <w:rFonts w:hint="eastAsia" w:ascii="宋体" w:hAnsi="宋体" w:cs="宋体"/>
          <w:sz w:val="24"/>
        </w:rPr>
        <w:fldChar w:fldCharType="end"/>
      </w:r>
      <w:r>
        <w:rPr>
          <w:rFonts w:hint="eastAsia" w:ascii="宋体" w:hAnsi="宋体" w:cs="宋体"/>
          <w:sz w:val="24"/>
        </w:rPr>
        <w:fldChar w:fldCharType="end"/>
      </w:r>
      <w:r/>
    </w:p>
    <w:p>
      <w:pPr>
        <w:pStyle w:val="920"/>
        <w:spacing w:line="360" w:lineRule="auto"/>
        <w:tabs>
          <w:tab w:val="right" w:pos="8299" w:leader="dot"/>
        </w:tabs>
        <w:rPr>
          <w:rFonts w:ascii="宋体" w:hAnsi="宋体" w:cs="宋体"/>
          <w:szCs w:val="21"/>
        </w:rPr>
      </w:pPr>
      <w:r>
        <w:fldChar w:fldCharType="begin"/>
      </w:r>
      <w:r>
        <w:instrText xml:space="preserve"> HYPERLINK \l "_Toc7019" </w:instrText>
      </w:r>
      <w:r>
        <w:fldChar w:fldCharType="separate"/>
      </w:r>
      <w:r>
        <w:rPr>
          <w:rFonts w:hint="eastAsia" w:ascii="宋体" w:hAnsi="宋体" w:cs="宋体"/>
          <w:sz w:val="24"/>
        </w:rPr>
        <w:t xml:space="preserve">第六章 附件</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_Toc7019 \h </w:instrText>
      </w:r>
      <w:r>
        <w:rPr>
          <w:rFonts w:hint="eastAsia" w:ascii="宋体" w:hAnsi="宋体" w:cs="宋体"/>
          <w:sz w:val="24"/>
        </w:rPr>
        <w:fldChar w:fldCharType="separate"/>
      </w:r>
      <w:r>
        <w:rPr>
          <w:rFonts w:hint="eastAsia" w:ascii="宋体" w:hAnsi="宋体" w:cs="宋体"/>
          <w:sz w:val="24"/>
        </w:rPr>
        <w:t xml:space="preserve">55</w:t>
      </w:r>
      <w:r>
        <w:rPr>
          <w:rFonts w:hint="eastAsia" w:ascii="宋体" w:hAnsi="宋体" w:cs="宋体"/>
          <w:sz w:val="24"/>
        </w:rPr>
        <w:fldChar w:fldCharType="end"/>
      </w:r>
      <w:r>
        <w:rPr>
          <w:rFonts w:hint="eastAsia" w:ascii="宋体" w:hAnsi="宋体" w:cs="宋体"/>
          <w:sz w:val="24"/>
        </w:rPr>
        <w:fldChar w:fldCharType="end"/>
      </w:r>
      <w:r/>
    </w:p>
    <w:p>
      <w:pPr>
        <w:spacing w:line="360" w:lineRule="auto"/>
        <w:rPr>
          <w:rFonts w:ascii="宋体" w:hAnsi="宋体" w:cs="宋体"/>
          <w:sz w:val="72"/>
          <w:szCs w:val="72"/>
        </w:rPr>
      </w:pPr>
      <w:r>
        <w:rPr>
          <w:rFonts w:hint="eastAsia" w:ascii="宋体" w:hAnsi="宋体" w:cs="宋体"/>
          <w:szCs w:val="21"/>
        </w:rPr>
        <w:fldChar w:fldCharType="end"/>
      </w:r>
      <w:r/>
    </w:p>
    <w:p>
      <w:pPr>
        <w:jc w:val="center"/>
        <w:spacing w:line="360" w:lineRule="auto"/>
        <w:shd w:val="clear" w:color="auto" w:fill="ffffff"/>
        <w:widowControl/>
        <w:rPr>
          <w:rFonts w:ascii="宋体" w:hAnsi="宋体" w:cs="宋体"/>
          <w:b/>
          <w:sz w:val="36"/>
          <w:szCs w:val="36"/>
        </w:rPr>
      </w:pPr>
      <w:r>
        <w:rPr>
          <w:rFonts w:ascii="宋体" w:hAnsi="宋体" w:cs="宋体"/>
          <w:b/>
          <w:sz w:val="36"/>
          <w:szCs w:val="36"/>
        </w:rPr>
      </w:r>
      <w:r/>
    </w:p>
    <w:p>
      <w:pPr>
        <w:pStyle w:val="887"/>
        <w:rPr>
          <w:rFonts w:ascii="宋体" w:hAnsi="宋体" w:cs="宋体"/>
          <w:szCs w:val="21"/>
        </w:rPr>
        <w:sectPr>
          <w:headerReference w:type="first" r:id="rId9"/>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87"/>
        <w:numPr>
          <w:ilvl w:val="0"/>
          <w:numId w:val="0"/>
        </w:numPr>
        <w:rPr>
          <w:rFonts w:ascii="宋体" w:hAnsi="宋体" w:cs="宋体"/>
          <w:szCs w:val="21"/>
        </w:rPr>
      </w:pPr>
      <w:r>
        <w:rPr>
          <w:rFonts w:hint="eastAsia" w:ascii="宋体" w:hAnsi="宋体" w:cs="宋体"/>
          <w:szCs w:val="21"/>
        </w:rPr>
        <w:t xml:space="preserve">第一章</w:t>
      </w:r>
      <w:r>
        <w:rPr>
          <w:rFonts w:hint="eastAsia" w:ascii="宋体" w:hAnsi="宋体" w:cs="宋体"/>
          <w:sz w:val="36"/>
          <w:szCs w:val="36"/>
          <w:shd w:val="clear" w:color="auto" w:fill="ffffff"/>
        </w:rPr>
        <w:t xml:space="preserve"> </w:t>
      </w:r>
      <w:bookmarkStart w:id="3" w:name="_Toc30685"/>
      <w:r/>
      <w:bookmarkStart w:id="4" w:name="_Hlk85716974"/>
      <w:r>
        <w:rPr>
          <w:rFonts w:hint="eastAsia" w:ascii="宋体" w:hAnsi="宋体" w:cs="宋体"/>
        </w:rPr>
        <w:t xml:space="preserve">采购公告</w:t>
      </w:r>
      <w:bookmarkEnd w:id="2"/>
      <w:r/>
      <w:bookmarkEnd w:id="3"/>
      <w:r/>
      <w:bookmarkStart w:id="5" w:name="OLE_LINK7"/>
      <w:r/>
      <w:bookmarkStart w:id="6" w:name="OLE_LINK1"/>
      <w:r/>
      <w:bookmarkStart w:id="7" w:name="OLE_LINK5"/>
      <w:r/>
      <w:bookmarkStart w:id="8" w:name="OLE_LINK6"/>
      <w:r/>
      <w:bookmarkStart w:id="9" w:name="_Hlk74842529"/>
      <w:r/>
      <w:r/>
    </w:p>
    <w:p>
      <w:pPr>
        <w:ind w:firstLine="369"/>
        <w:spacing w:line="360" w:lineRule="auto"/>
        <w:shd w:val="clear" w:color="auto" w:fill="ffffff"/>
        <w:widowControl/>
        <w:rPr>
          <w:rFonts w:ascii="宋体" w:hAnsi="宋体" w:cs="宋体"/>
          <w:spacing w:val="8"/>
          <w:szCs w:val="21"/>
        </w:rPr>
        <w:pBdr>
          <w:top w:val="single" w:color="auto" w:sz="4" w:space="1"/>
          <w:left w:val="single" w:color="auto" w:sz="4" w:space="4"/>
          <w:bottom w:val="single" w:color="auto" w:sz="4" w:space="1"/>
          <w:right w:val="single" w:color="auto" w:sz="4" w:space="4"/>
        </w:pBdr>
      </w:pPr>
      <w:r/>
      <w:bookmarkStart w:id="10" w:name="OLE_LINK4"/>
      <w:r/>
      <w:bookmarkStart w:id="11" w:name="OLE_LINK3"/>
      <w:r/>
      <w:bookmarkStart w:id="12" w:name="OLE_LINK2"/>
      <w:r/>
      <w:bookmarkStart w:id="13" w:name="_Hlk74841176"/>
      <w:r>
        <w:rPr>
          <w:rFonts w:hint="eastAsia" w:ascii="宋体" w:hAnsi="宋体" w:cs="宋体"/>
          <w:spacing w:val="8"/>
          <w:szCs w:val="21"/>
        </w:rPr>
        <w:t xml:space="preserve">项目概况</w:t>
      </w:r>
      <w:r/>
    </w:p>
    <w:p>
      <w:pPr>
        <w:ind w:firstLine="369"/>
        <w:spacing w:line="360" w:lineRule="auto"/>
        <w:shd w:val="clear" w:color="auto" w:fill="ffffff"/>
        <w:widowControl/>
        <w:rPr>
          <w:rFonts w:ascii="宋体" w:hAnsi="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南京工业职业技术大学2026-2028年度教职工体检项目</w:t>
      </w:r>
      <w:r>
        <w:rPr>
          <w:rFonts w:hint="eastAsia" w:ascii="宋体" w:hAnsi="宋体" w:cs="宋体"/>
          <w:spacing w:val="8"/>
          <w:szCs w:val="21"/>
        </w:rPr>
        <w:t xml:space="preserve">的潜在供应商应在</w:t>
      </w:r>
      <w:r>
        <w:rPr>
          <w:rFonts w:hint="eastAsia" w:ascii="宋体" w:hAnsi="宋体" w:cs="宋体"/>
          <w:szCs w:val="21"/>
          <w:u w:val="single"/>
        </w:rPr>
        <w:t xml:space="preserve">苏采云系统注册登记成功后系统内免费</w:t>
      </w:r>
      <w:r>
        <w:rPr>
          <w:rFonts w:hint="eastAsia" w:ascii="宋体" w:hAnsi="宋体" w:cs="宋体"/>
          <w:spacing w:val="8"/>
          <w:szCs w:val="21"/>
        </w:rPr>
        <w:t xml:space="preserve">获取招标文件，并于</w:t>
      </w:r>
      <w:r>
        <w:rPr>
          <w:rFonts w:hint="eastAsia" w:ascii="宋体" w:hAnsi="宋体" w:cs="宋体"/>
          <w:szCs w:val="21"/>
          <w:u w:val="single"/>
        </w:rPr>
        <w:t xml:space="preserve">2026年</w:t>
      </w:r>
      <w:r>
        <w:rPr>
          <w:rFonts w:hint="eastAsia" w:ascii="宋体" w:hAnsi="宋体" w:cs="宋体"/>
          <w:szCs w:val="21"/>
          <w:u w:val="single"/>
          <w:lang w:val="en-US" w:eastAsia="zh-CN"/>
        </w:rPr>
        <w:t xml:space="preserve">11</w:t>
      </w:r>
      <w:r>
        <w:rPr>
          <w:rFonts w:hint="eastAsia" w:ascii="宋体" w:hAnsi="宋体" w:cs="宋体"/>
          <w:szCs w:val="21"/>
          <w:u w:val="single"/>
        </w:rPr>
        <w:t xml:space="preserve">月</w:t>
      </w:r>
      <w:r>
        <w:rPr>
          <w:rFonts w:hint="eastAsia" w:ascii="宋体" w:hAnsi="宋体" w:cs="宋体"/>
          <w:szCs w:val="21"/>
          <w:u w:val="single"/>
          <w:lang w:val="en-US" w:eastAsia="zh-CN"/>
        </w:rPr>
        <w:t xml:space="preserve">3</w:t>
      </w:r>
      <w:r>
        <w:rPr>
          <w:rFonts w:hint="eastAsia" w:ascii="宋体" w:hAnsi="宋体" w:cs="宋体"/>
          <w:szCs w:val="21"/>
          <w:u w:val="single"/>
        </w:rPr>
        <w:t xml:space="preserve">日</w:t>
      </w:r>
      <w:r>
        <w:rPr>
          <w:rFonts w:hint="eastAsia" w:ascii="宋体" w:hAnsi="宋体" w:cs="宋体"/>
          <w:szCs w:val="21"/>
          <w:u w:val="single"/>
          <w:lang w:val="en-US" w:eastAsia="zh-CN"/>
        </w:rPr>
        <w:t xml:space="preserve">9</w:t>
      </w:r>
      <w:r>
        <w:rPr>
          <w:rFonts w:hint="eastAsia" w:ascii="宋体" w:hAnsi="宋体" w:cs="宋体"/>
          <w:szCs w:val="21"/>
          <w:u w:val="single"/>
        </w:rPr>
        <w:t xml:space="preserve">点30分</w:t>
      </w:r>
      <w:r>
        <w:rPr>
          <w:rFonts w:hint="eastAsia" w:ascii="宋体" w:hAnsi="宋体" w:cs="宋体"/>
          <w:spacing w:val="8"/>
          <w:szCs w:val="21"/>
        </w:rPr>
        <w:t xml:space="preserve">（北京时间）前递交投标文件。</w:t>
      </w:r>
      <w:r/>
    </w:p>
    <w:p>
      <w:pPr>
        <w:rPr>
          <w:rFonts w:ascii="宋体" w:hAnsi="宋体" w:cs="宋体"/>
        </w:rPr>
      </w:pPr>
      <w:r>
        <w:rPr>
          <w:rFonts w:ascii="宋体" w:hAnsi="宋体" w:cs="宋体"/>
        </w:rPr>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一、项目基本情况</w:t>
      </w:r>
      <w:r/>
    </w:p>
    <w:p>
      <w:pPr>
        <w:ind w:firstLine="452"/>
        <w:spacing w:line="360" w:lineRule="auto"/>
        <w:shd w:val="clear" w:color="auto" w:fill="ffffff" w:themeFill="background1"/>
        <w:widowControl/>
        <w:rPr>
          <w:rFonts w:hint="eastAsia" w:ascii="宋体" w:hAnsi="宋体" w:eastAsia="宋体" w:cs="宋体"/>
          <w:spacing w:val="8"/>
          <w:szCs w:val="21"/>
          <w:lang w:eastAsia="zh-CN"/>
        </w:rPr>
      </w:pPr>
      <w:r>
        <w:rPr>
          <w:rFonts w:hint="eastAsia" w:ascii="宋体" w:hAnsi="宋体" w:cs="宋体"/>
          <w:spacing w:val="8"/>
          <w:szCs w:val="21"/>
        </w:rPr>
        <w:t xml:space="preserve">1.1项目编号：</w:t>
      </w:r>
      <w:r>
        <w:rPr>
          <w:rFonts w:hint="eastAsia" w:ascii="宋体" w:hAnsi="宋体" w:cs="宋体"/>
          <w:spacing w:val="8"/>
          <w:szCs w:val="21"/>
          <w:lang w:eastAsia="zh-CN"/>
        </w:rPr>
        <w:t xml:space="preserve">JSZC-320000-JCEC-G2026-0401</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1.2项目名称：南京工业职业技术大学2026-2028年度教职工体检项目</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1.3预算金额：</w:t>
      </w:r>
      <w:r>
        <w:rPr>
          <w:rFonts w:hint="eastAsia" w:ascii="宋体" w:hAnsi="宋体" w:cs="宋体"/>
          <w:spacing w:val="8"/>
          <w:szCs w:val="21"/>
        </w:rPr>
        <w:t xml:space="preserve">人民币</w:t>
      </w:r>
      <w:r>
        <w:rPr>
          <w:rFonts w:hint="eastAsia" w:ascii="宋体" w:hAnsi="宋体" w:cs="宋体"/>
          <w:spacing w:val="8"/>
          <w:szCs w:val="21"/>
        </w:rPr>
        <w:t xml:space="preserve">780.00万元（采购包1：600.00万元；采购包2：180.00万元）</w:t>
      </w:r>
      <w:r>
        <w:rPr>
          <w:rFonts w:hint="eastAsia" w:ascii="宋体" w:hAnsi="宋体" w:cs="宋体"/>
          <w:spacing w:val="8"/>
          <w:szCs w:val="21"/>
        </w:rPr>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1.4最高限价：</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包一：最高限价200.00万元/年</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包二：最高限价60.00万元/年</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1.5标包划分：本次招标分为2个标包</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包一：三级甲等医院；</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包二：允许所有具有正规体检资质的医院、独立体检机构参与投标；</w:t>
      </w:r>
      <w:r/>
    </w:p>
    <w:p>
      <w:pPr>
        <w:ind w:firstLine="454"/>
        <w:spacing w:line="360" w:lineRule="auto"/>
        <w:shd w:val="clear" w:color="auto" w:fill="ffffff" w:themeFill="background1"/>
        <w:widowControl/>
        <w:rPr>
          <w:rFonts w:ascii="宋体" w:hAnsi="宋体" w:cs="宋体"/>
          <w:b/>
          <w:bCs/>
          <w:spacing w:val="8"/>
          <w:szCs w:val="21"/>
        </w:rPr>
      </w:pPr>
      <w:r>
        <w:rPr>
          <w:rFonts w:ascii="宋体" w:hAnsi="宋体" w:cs="宋体"/>
          <w:b/>
          <w:bCs/>
          <w:spacing w:val="8"/>
          <w:szCs w:val="21"/>
        </w:rPr>
        <w:t xml:space="preserve">本项目多个采购包供应商可兼投但不得兼中，评审顺序依次为采购包1、采购包2。同一投标人参与多个采购包投标时，在前一个采购包被确定为排名第一的中标候选人后，不作为其他采购包的合格投标人，由此导致其他采购包的合格投标人少于3家的，该采购包按照合格投标人不足3家处理。</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1.6采购需求：南京工业职业技术大学2026-2028年度教职工体检项目，具体内容详见采购文件 第四章 采购需求。</w:t>
      </w:r>
      <w:r/>
    </w:p>
    <w:p>
      <w:pPr>
        <w:pStyle w:val="912"/>
        <w:ind w:firstLine="452"/>
        <w:spacing w:line="360" w:lineRule="auto"/>
        <w:rPr>
          <w:rFonts w:ascii="宋体" w:hAnsi="宋体" w:cs="宋体"/>
          <w:spacing w:val="8"/>
          <w:szCs w:val="21"/>
        </w:rPr>
      </w:pPr>
      <w:r>
        <w:rPr>
          <w:rFonts w:hint="eastAsia" w:ascii="宋体" w:hAnsi="宋体" w:cs="宋体"/>
          <w:spacing w:val="8"/>
          <w:szCs w:val="21"/>
        </w:rPr>
        <w:t xml:space="preserve">1.7合同履行期限：自合同签订之日起，至2028年12月31日内完成项目（具体时间以采购人通知为准）。合同一年一签，每年采购人组织服务质量考核；考核≥80分，续签下一年度合同；考核＜80分，采购人有权向中标人发出整改通知，限期整改；整改后仍达不到80分，采购人有权不予续签下一年度合同。</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1.8本项目标的所属行业：其他未列明行业。</w:t>
      </w:r>
      <w:r/>
    </w:p>
    <w:p>
      <w:pPr>
        <w:ind w:firstLine="452"/>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1.9本项目</w:t>
      </w:r>
      <w:r>
        <w:rPr>
          <w:rFonts w:hint="eastAsia" w:ascii="宋体" w:hAnsi="宋体" w:cs="宋体"/>
          <w:b/>
          <w:bCs/>
          <w:spacing w:val="8"/>
          <w:szCs w:val="21"/>
        </w:rPr>
        <w:t xml:space="preserve">非专门</w:t>
      </w:r>
      <w:r>
        <w:rPr>
          <w:rFonts w:hint="eastAsia" w:ascii="宋体" w:hAnsi="宋体" w:cs="宋体"/>
          <w:spacing w:val="8"/>
          <w:szCs w:val="21"/>
        </w:rPr>
        <w:t xml:space="preserve">面向中小企业采购。</w:t>
      </w:r>
      <w:r/>
    </w:p>
    <w:p>
      <w:pPr>
        <w:ind w:firstLine="452"/>
        <w:spacing w:line="360" w:lineRule="auto"/>
        <w:shd w:val="clear" w:color="auto" w:fill="ffffff"/>
        <w:widowControl/>
        <w:rPr>
          <w:rFonts w:ascii="宋体" w:hAnsi="宋体" w:cs="宋体"/>
          <w:spacing w:val="8"/>
          <w:szCs w:val="21"/>
        </w:rPr>
      </w:pPr>
      <w:r>
        <w:rPr>
          <w:rFonts w:hint="eastAsia" w:ascii="宋体" w:hAnsi="宋体" w:cs="宋体"/>
          <w:spacing w:val="8"/>
          <w:szCs w:val="21"/>
        </w:rPr>
        <w:t xml:space="preserve">1.10本项目</w:t>
      </w:r>
      <w:r>
        <w:rPr>
          <w:rFonts w:hint="eastAsia" w:ascii="宋体" w:hAnsi="宋体" w:cs="宋体"/>
          <w:b/>
          <w:bCs/>
          <w:spacing w:val="8"/>
          <w:szCs w:val="21"/>
        </w:rPr>
        <w:t xml:space="preserve">不接受</w:t>
      </w:r>
      <w:r>
        <w:rPr>
          <w:rFonts w:hint="eastAsia" w:ascii="宋体" w:hAnsi="宋体" w:cs="宋体"/>
          <w:spacing w:val="8"/>
          <w:szCs w:val="21"/>
        </w:rPr>
        <w:t xml:space="preserve">进口产品。</w:t>
      </w:r>
      <w:r/>
    </w:p>
    <w:p>
      <w:pPr>
        <w:ind w:firstLine="452"/>
        <w:spacing w:line="360" w:lineRule="auto"/>
        <w:shd w:val="clear" w:color="auto" w:fill="ffffff" w:themeFill="background1"/>
        <w:widowControl/>
        <w:rPr>
          <w:rFonts w:ascii="宋体" w:hAnsi="宋体" w:cs="宋体"/>
          <w:color w:val="ffffff" w:themeColor="background1"/>
          <w:spacing w:val="8"/>
          <w:szCs w:val="21"/>
          <w14:textFill>
            <w14:solidFill>
              <w14:schemeClr w14:val="bg1"/>
            </w14:solidFill>
          </w14:textFill>
        </w:rPr>
      </w:pPr>
      <w:r>
        <w:rPr>
          <w:rFonts w:hint="eastAsia" w:ascii="宋体" w:hAnsi="宋体" w:cs="宋体"/>
          <w:spacing w:val="8"/>
          <w:szCs w:val="21"/>
        </w:rPr>
        <w:t xml:space="preserve">1.11本项目</w:t>
      </w:r>
      <w:r>
        <w:rPr>
          <w:rFonts w:hint="eastAsia" w:ascii="宋体" w:hAnsi="宋体" w:cs="宋体"/>
          <w:b/>
          <w:bCs/>
          <w:spacing w:val="8"/>
          <w:szCs w:val="21"/>
        </w:rPr>
        <w:t xml:space="preserve">不接受</w:t>
      </w:r>
      <w:r>
        <w:rPr>
          <w:rFonts w:hint="eastAsia" w:ascii="宋体" w:hAnsi="宋体" w:cs="宋体"/>
          <w:spacing w:val="8"/>
          <w:szCs w:val="21"/>
        </w:rPr>
        <w:t xml:space="preserve">联合体投标。</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二、申请人的资格要求：</w:t>
      </w:r>
      <w:r/>
    </w:p>
    <w:p>
      <w:pPr>
        <w:ind w:firstLine="454"/>
        <w:spacing w:line="360" w:lineRule="auto"/>
        <w:shd w:val="clear" w:color="auto" w:fill="ffffff" w:themeFill="background1"/>
        <w:widowControl/>
        <w:rPr>
          <w:rFonts w:ascii="宋体" w:hAnsi="宋体" w:cs="宋体"/>
          <w:b/>
          <w:bCs/>
          <w:spacing w:val="8"/>
          <w:szCs w:val="21"/>
        </w:rPr>
      </w:pPr>
      <w:r>
        <w:rPr>
          <w:rFonts w:hint="eastAsia" w:ascii="宋体" w:hAnsi="宋体" w:cs="宋体"/>
          <w:b/>
          <w:bCs/>
          <w:spacing w:val="8"/>
          <w:szCs w:val="21"/>
        </w:rPr>
        <w:t xml:space="preserve">2.1满足《中华人民共和国政府采购法》第二十二条规定；</w:t>
      </w:r>
      <w:r/>
    </w:p>
    <w:p>
      <w:pPr>
        <w:ind w:firstLine="424"/>
        <w:spacing w:line="360" w:lineRule="auto"/>
        <w:rPr>
          <w:rFonts w:ascii="宋体" w:hAnsi="宋体" w:cs="宋体"/>
          <w:bCs/>
          <w:szCs w:val="21"/>
        </w:rPr>
      </w:pPr>
      <w:r>
        <w:rPr>
          <w:rFonts w:hint="eastAsia" w:ascii="宋体" w:hAnsi="宋体" w:cs="宋体"/>
          <w:bCs/>
          <w:szCs w:val="21"/>
        </w:rPr>
        <w:t xml:space="preserve">（1）具有独立承担民事责任的能力</w:t>
      </w:r>
      <w:r>
        <w:rPr>
          <w:rFonts w:hint="eastAsia" w:ascii="宋体" w:hAnsi="宋体" w:cs="宋体"/>
          <w:b/>
          <w:szCs w:val="21"/>
        </w:rPr>
        <w:t xml:space="preserve">（提供法人或者其他组织的营业执照；供应商为自然人的提供其身份证）；</w:t>
      </w:r>
      <w:r>
        <w:rPr>
          <w:rFonts w:hint="eastAsia" w:ascii="宋体" w:hAnsi="宋体" w:cs="宋体"/>
          <w:bCs/>
          <w:szCs w:val="21"/>
        </w:rPr>
        <w:t xml:space="preserve"> </w:t>
      </w:r>
      <w:r/>
    </w:p>
    <w:p>
      <w:pPr>
        <w:ind w:firstLine="424"/>
        <w:spacing w:line="360" w:lineRule="auto"/>
        <w:rPr>
          <w:rFonts w:ascii="宋体" w:hAnsi="宋体" w:cs="宋体"/>
        </w:rPr>
      </w:pPr>
      <w:r>
        <w:rPr>
          <w:rFonts w:hint="eastAsia" w:ascii="宋体" w:hAnsi="宋体" w:cs="宋体"/>
          <w:bCs/>
          <w:szCs w:val="21"/>
        </w:rPr>
        <w:t xml:space="preserve">（2）具有良好的商业信誉和健全的财务会计制度</w:t>
      </w:r>
      <w:r>
        <w:rPr>
          <w:rFonts w:hint="eastAsia" w:ascii="宋体" w:hAnsi="宋体" w:cs="宋体"/>
          <w:b/>
          <w:szCs w:val="21"/>
        </w:rPr>
        <w:t xml:space="preserve">（提供2025年度的财务报告，至少包含资产负债表、利润表；或投标截止时间前六个月内银行出具的资信证明；成立不满一年无须提供）；</w:t>
      </w:r>
      <w:r/>
    </w:p>
    <w:p>
      <w:pPr>
        <w:ind w:firstLine="424"/>
        <w:spacing w:line="360" w:lineRule="auto"/>
        <w:rPr>
          <w:rFonts w:ascii="宋体" w:hAnsi="宋体" w:cs="宋体"/>
          <w:bCs/>
          <w:szCs w:val="21"/>
        </w:rPr>
      </w:pPr>
      <w:r>
        <w:rPr>
          <w:rFonts w:hint="eastAsia" w:ascii="宋体" w:hAnsi="宋体" w:cs="宋体"/>
          <w:bCs/>
          <w:szCs w:val="21"/>
        </w:rPr>
        <w:t xml:space="preserve">（3）具有履行合同所必需的设备和专业技术能力</w:t>
      </w:r>
      <w:r>
        <w:rPr>
          <w:rFonts w:hint="eastAsia" w:ascii="宋体" w:hAnsi="宋体" w:cs="宋体"/>
          <w:b/>
          <w:szCs w:val="21"/>
        </w:rPr>
        <w:t xml:space="preserve">（供应商根据履行采购项目合同需要，提供履行合同所必需的设备和专业技术能力的证明材料或承诺书加盖公章）</w:t>
      </w:r>
      <w:r>
        <w:rPr>
          <w:rFonts w:hint="eastAsia" w:ascii="宋体" w:hAnsi="宋体" w:cs="宋体"/>
          <w:bCs/>
          <w:szCs w:val="21"/>
        </w:rPr>
        <w:t xml:space="preserve">；</w:t>
      </w:r>
      <w:r/>
    </w:p>
    <w:p>
      <w:pPr>
        <w:ind w:firstLine="424"/>
        <w:spacing w:line="360" w:lineRule="auto"/>
        <w:rPr>
          <w:rFonts w:ascii="宋体" w:hAnsi="宋体" w:cs="宋体"/>
          <w:bCs/>
          <w:szCs w:val="21"/>
        </w:rPr>
      </w:pPr>
      <w:r>
        <w:rPr>
          <w:rFonts w:hint="eastAsia" w:ascii="宋体" w:hAnsi="宋体" w:cs="宋体"/>
          <w:bCs/>
          <w:szCs w:val="21"/>
        </w:rPr>
        <w:t xml:space="preserve">（4）有依法缴纳税收和社会保障资金的良好记录</w:t>
      </w:r>
      <w:r>
        <w:rPr>
          <w:rFonts w:hint="eastAsia" w:ascii="宋体" w:hAnsi="宋体" w:cs="宋体"/>
          <w:b/>
          <w:szCs w:val="21"/>
        </w:rPr>
        <w:t xml:space="preserve">（提供自投标截止时间前六个月内任意一个月份：①提供缴纳税收的凭证；②提供缴纳社会保险的凭据，依法享受免缴、缓缴的，提供证明材料）</w:t>
      </w:r>
      <w:r>
        <w:rPr>
          <w:rFonts w:hint="eastAsia" w:ascii="宋体" w:hAnsi="宋体" w:cs="宋体"/>
          <w:bCs/>
          <w:szCs w:val="21"/>
        </w:rPr>
        <w:t xml:space="preserve">；</w:t>
      </w:r>
      <w:r/>
    </w:p>
    <w:p>
      <w:pPr>
        <w:ind w:firstLine="424"/>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w:t>
      </w:r>
      <w:r>
        <w:rPr>
          <w:rFonts w:hint="eastAsia" w:ascii="宋体" w:hAnsi="宋体" w:cs="宋体"/>
          <w:b/>
          <w:szCs w:val="21"/>
        </w:rPr>
        <w:t xml:space="preserve">（提供承诺书加盖公章）</w:t>
      </w:r>
      <w:r>
        <w:rPr>
          <w:rFonts w:hint="eastAsia" w:ascii="宋体" w:hAnsi="宋体" w:cs="宋体"/>
          <w:bCs/>
          <w:szCs w:val="21"/>
        </w:rPr>
        <w:t xml:space="preserve">；</w:t>
      </w:r>
      <w:r/>
    </w:p>
    <w:p>
      <w:pPr>
        <w:ind w:firstLine="424"/>
        <w:spacing w:line="360" w:lineRule="auto"/>
        <w:rPr>
          <w:rFonts w:ascii="宋体" w:hAnsi="宋体" w:cs="宋体"/>
          <w:bCs/>
          <w:szCs w:val="21"/>
        </w:rPr>
      </w:pPr>
      <w:r>
        <w:rPr>
          <w:rFonts w:hint="eastAsia" w:ascii="宋体" w:hAnsi="宋体" w:cs="宋体"/>
          <w:bCs/>
          <w:szCs w:val="21"/>
        </w:rPr>
        <w:t xml:space="preserve">（6）法律、行政法规规定的其他条件：无。</w:t>
      </w:r>
      <w:r/>
    </w:p>
    <w:p>
      <w:pPr>
        <w:ind w:firstLine="454"/>
        <w:spacing w:line="360" w:lineRule="auto"/>
        <w:shd w:val="clear" w:color="auto" w:fill="ffffff" w:themeFill="background1"/>
        <w:widowControl/>
        <w:rPr>
          <w:rFonts w:ascii="宋体" w:hAnsi="宋体" w:cs="宋体"/>
          <w:b/>
          <w:bCs/>
          <w:spacing w:val="8"/>
          <w:szCs w:val="21"/>
        </w:rPr>
      </w:pPr>
      <w:r>
        <w:rPr>
          <w:rFonts w:hint="eastAsia" w:ascii="宋体" w:hAnsi="宋体" w:cs="宋体"/>
          <w:b/>
          <w:bCs/>
          <w:spacing w:val="8"/>
          <w:szCs w:val="21"/>
        </w:rPr>
        <w:t xml:space="preserve">2.2落实政府采购政策需满足的资格要求：无。</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2.3采购人根据采购项目的特殊要求规定的特定条件，并提供符合特殊要求的证明材料或者情况说明：</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包一：投标人具备三级甲等及以上综合性医院等级资格（提供有效证明材料），且同时具备有效的《医疗机构执业许可证》、有效的《放射诊疗许可证》。</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包二：投标人具备有效的《医疗机构执业许可证》、有效的《放射诊疗许可证》。</w:t>
      </w:r>
      <w:r/>
    </w:p>
    <w:p>
      <w:pPr>
        <w:ind w:firstLine="454"/>
        <w:spacing w:line="360" w:lineRule="auto"/>
        <w:rPr>
          <w:rFonts w:ascii="宋体" w:hAnsi="宋体" w:cs="宋体"/>
          <w:b/>
          <w:spacing w:val="8"/>
          <w:szCs w:val="21"/>
        </w:rPr>
      </w:pPr>
      <w:r>
        <w:rPr>
          <w:rFonts w:hint="eastAsia" w:ascii="宋体" w:hAnsi="宋体" w:cs="宋体"/>
          <w:b/>
          <w:spacing w:val="8"/>
          <w:szCs w:val="21"/>
        </w:rPr>
        <w:t xml:space="preserve">备注：提供上述有效证书复印件，证书诊疗科目须包含对应体检、放射诊疗相关范围。</w:t>
      </w:r>
      <w:r/>
    </w:p>
    <w:p>
      <w:pPr>
        <w:ind w:firstLine="454"/>
        <w:spacing w:line="360" w:lineRule="auto"/>
        <w:rPr>
          <w:rFonts w:ascii="宋体" w:hAnsi="宋体" w:cs="宋体"/>
          <w:bCs/>
          <w:szCs w:val="21"/>
        </w:rPr>
      </w:pPr>
      <w:r>
        <w:rPr>
          <w:rFonts w:hint="eastAsia" w:ascii="宋体" w:hAnsi="宋体" w:cs="宋体"/>
          <w:b/>
          <w:spacing w:val="8"/>
          <w:szCs w:val="21"/>
        </w:rPr>
        <w:t xml:space="preserve">2.4第2.1（5）条所称重大违法记录，</w:t>
      </w:r>
      <w:r>
        <w:rPr>
          <w:rFonts w:hint="eastAsia" w:ascii="宋体" w:hAnsi="宋体" w:cs="宋体"/>
          <w:bCs/>
          <w:szCs w:val="21"/>
        </w:rPr>
        <w:t xml:space="preserve">是指供应商因违法经营受到刑事处罚或者责令停产停业、吊销许可证或者执照、较大数额罚款等行政处罚。</w:t>
      </w:r>
      <w:r/>
    </w:p>
    <w:p>
      <w:pPr>
        <w:ind w:firstLine="424"/>
        <w:spacing w:line="360" w:lineRule="auto"/>
        <w:rPr>
          <w:rFonts w:ascii="宋体" w:hAnsi="宋体" w:cs="宋体"/>
          <w:bCs/>
          <w:szCs w:val="21"/>
        </w:rPr>
      </w:pPr>
      <w:r>
        <w:rPr>
          <w:rFonts w:hint="eastAsia" w:ascii="宋体" w:hAnsi="宋体" w:cs="宋体"/>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ascii="宋体" w:hAnsi="宋体" w:cs="宋体"/>
          <w:bCs/>
          <w:szCs w:val="21"/>
        </w:rPr>
      </w:pPr>
      <w:r>
        <w:rPr>
          <w:rFonts w:hint="eastAsia" w:ascii="宋体" w:hAnsi="宋体" w:cs="宋体"/>
          <w:bCs/>
          <w:szCs w:val="21"/>
        </w:rPr>
        <w:t xml:space="preserve">2.6单位负责人为同一人或者存在直接控股、管理关系的不同供应商，不得参加同一合同项下的政府采购活动。</w:t>
      </w:r>
      <w:r/>
    </w:p>
    <w:p>
      <w:pPr>
        <w:ind w:firstLine="424"/>
        <w:spacing w:line="360" w:lineRule="auto"/>
        <w:rPr>
          <w:rFonts w:ascii="宋体" w:hAnsi="宋体" w:cs="宋体"/>
          <w:bCs/>
          <w:szCs w:val="21"/>
        </w:rPr>
      </w:pPr>
      <w:r>
        <w:rPr>
          <w:rFonts w:hint="eastAsia" w:ascii="宋体" w:hAnsi="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ascii="宋体" w:hAnsi="宋体" w:cs="宋体"/>
          <w:bCs/>
          <w:szCs w:val="21"/>
        </w:rPr>
      </w:pPr>
      <w:r>
        <w:rPr>
          <w:rFonts w:hint="eastAsia" w:ascii="宋体" w:hAnsi="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三、获取招标文件</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szCs w:val="21"/>
        </w:rPr>
      </w:pPr>
      <w:r>
        <w:rPr>
          <w:rFonts w:hint="eastAsia" w:ascii="宋体" w:hAnsi="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ascii="宋体" w:hAnsi="宋体" w:cs="宋体"/>
          <w:spacing w:val="15"/>
          <w:szCs w:val="21"/>
          <w:shd w:val="clear" w:color="auto" w:fill="ffffff"/>
        </w:rPr>
      </w:pPr>
      <w:r>
        <w:rPr>
          <w:rFonts w:hint="eastAsia" w:ascii="宋体" w:hAnsi="宋体" w:cs="宋体"/>
          <w:bCs/>
          <w:szCs w:val="21"/>
        </w:rPr>
        <w:t xml:space="preserve">3.3方式：</w:t>
      </w:r>
      <w:r>
        <w:rPr>
          <w:rFonts w:hint="eastAsia" w:ascii="宋体" w:hAnsi="宋体" w:cs="宋体"/>
          <w:szCs w:val="21"/>
        </w:rPr>
        <w:t xml:space="preserve">采用网上注册登记方式</w:t>
      </w:r>
      <w:r/>
    </w:p>
    <w:p>
      <w:pPr>
        <w:ind w:firstLine="424"/>
        <w:spacing w:line="360" w:lineRule="auto"/>
        <w:rPr>
          <w:rFonts w:ascii="宋体" w:hAnsi="宋体" w:cs="宋体"/>
          <w:bCs/>
          <w:szCs w:val="21"/>
        </w:rPr>
      </w:pPr>
      <w:r>
        <w:rPr>
          <w:rFonts w:hint="eastAsia" w:ascii="宋体" w:hAnsi="宋体" w:cs="宋体"/>
          <w:bCs/>
          <w:szCs w:val="21"/>
        </w:rPr>
        <w:t xml:space="preserve">3.4</w:t>
      </w:r>
      <w:r>
        <w:rPr>
          <w:rFonts w:hint="eastAsia" w:ascii="宋体" w:hAnsi="宋体" w:cs="宋体"/>
          <w:spacing w:val="8"/>
          <w:szCs w:val="21"/>
        </w:rPr>
        <w:t xml:space="preserve">售价：0.00元</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四、提交投标文件截止时间、开标时间和地点</w:t>
      </w:r>
      <w:r/>
    </w:p>
    <w:p>
      <w:pPr>
        <w:ind w:firstLine="370"/>
        <w:spacing w:line="360" w:lineRule="auto"/>
        <w:widowControl/>
        <w:rPr>
          <w:rFonts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11</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3</w:t>
      </w:r>
      <w:r>
        <w:rPr>
          <w:rFonts w:hint="eastAsia" w:ascii="宋体" w:hAnsi="宋体" w:cs="宋体"/>
          <w:b/>
          <w:bCs/>
          <w:spacing w:val="8"/>
          <w:szCs w:val="21"/>
        </w:rPr>
        <w:t xml:space="preserve">日</w:t>
      </w:r>
      <w:r>
        <w:rPr>
          <w:rFonts w:hint="eastAsia" w:ascii="宋体" w:hAnsi="宋体" w:cs="宋体"/>
          <w:b/>
          <w:bCs/>
          <w:lang w:val="en-US" w:eastAsia="zh-CN"/>
        </w:rPr>
        <w:t xml:space="preserve">9</w:t>
      </w:r>
      <w:r>
        <w:rPr>
          <w:rFonts w:hint="eastAsia" w:ascii="宋体" w:hAnsi="宋体" w:cs="宋体"/>
          <w:b/>
          <w:bCs/>
          <w:spacing w:val="8"/>
          <w:szCs w:val="21"/>
        </w:rPr>
        <w:t xml:space="preserve">点</w:t>
      </w:r>
      <w:r>
        <w:rPr>
          <w:rFonts w:hint="eastAsia" w:ascii="宋体" w:hAnsi="宋体" w:cs="宋体"/>
          <w:b/>
          <w:bCs/>
        </w:rPr>
        <w:t xml:space="preserve">30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928"/>
        <w:ind w:firstLine="375"/>
        <w:jc w:val="both"/>
        <w:spacing w:before="0" w:beforeAutospacing="0" w:after="0" w:afterAutospacing="0" w:line="360" w:lineRule="auto"/>
        <w:rPr>
          <w:spacing w:val="15"/>
          <w:sz w:val="21"/>
          <w:szCs w:val="21"/>
          <w:shd w:val="clear" w:color="auto" w:fill="ffffff"/>
        </w:rPr>
      </w:pPr>
      <w:r>
        <w:rPr>
          <w:rFonts w:hint="eastAsia"/>
          <w:spacing w:val="15"/>
          <w:sz w:val="21"/>
          <w:szCs w:val="21"/>
          <w:shd w:val="clear" w:color="auto" w:fill="ffffff"/>
        </w:rPr>
        <w:t xml:space="preserve">4.2地点：江苏省政府采购管理交易系统（苏采云）（以下简称“苏采云”）（网址：</w:t>
      </w:r>
      <w:r>
        <w:fldChar w:fldCharType="begin"/>
      </w:r>
      <w:r>
        <w:instrText xml:space="preserve"> HYPERLINK "http://jszfcg.jsczt.cn/）" </w:instrText>
      </w:r>
      <w:r>
        <w:fldChar w:fldCharType="separate"/>
      </w:r>
      <w:r>
        <w:rPr>
          <w:rFonts w:hint="eastAsia"/>
          <w:spacing w:val="15"/>
          <w:sz w:val="21"/>
          <w:szCs w:val="21"/>
          <w:shd w:val="clear" w:color="auto" w:fill="ffffff"/>
        </w:rPr>
        <w:t xml:space="preserve">https://jszfcg.jsczt.cn）</w:t>
      </w:r>
      <w:r>
        <w:rPr>
          <w:rFonts w:hint="eastAsia"/>
          <w:spacing w:val="15"/>
          <w:sz w:val="21"/>
          <w:szCs w:val="21"/>
          <w:shd w:val="clear" w:color="auto" w:fill="ffffff"/>
        </w:rPr>
        <w:fldChar w:fldCharType="end"/>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五、公告期限</w:t>
      </w:r>
      <w:r/>
    </w:p>
    <w:p>
      <w:pPr>
        <w:ind w:firstLine="370"/>
        <w:spacing w:line="360" w:lineRule="auto"/>
        <w:shd w:val="clear" w:color="auto" w:fill="ffffff" w:themeFill="background1"/>
        <w:widowControl/>
        <w:rPr>
          <w:rFonts w:ascii="宋体" w:hAnsi="宋体" w:cs="宋体"/>
          <w:spacing w:val="8"/>
          <w:szCs w:val="21"/>
        </w:rPr>
      </w:pPr>
      <w:r>
        <w:rPr>
          <w:rFonts w:hint="eastAsia" w:ascii="宋体" w:hAnsi="宋体" w:cs="宋体"/>
          <w:spacing w:val="8"/>
          <w:szCs w:val="21"/>
        </w:rPr>
        <w:t xml:space="preserve">自本公告发布之日起5个工作日。</w:t>
      </w:r>
      <w:r/>
    </w:p>
    <w:p>
      <w:pPr>
        <w:spacing w:line="360" w:lineRule="auto"/>
        <w:shd w:val="clear" w:color="auto" w:fill="ffffff" w:themeFill="background1"/>
        <w:widowControl/>
        <w:rPr>
          <w:rFonts w:ascii="宋体" w:hAnsi="宋体" w:cs="宋体"/>
          <w:b/>
          <w:spacing w:val="8"/>
          <w:sz w:val="24"/>
        </w:rPr>
        <w:outlineLvl w:val="1"/>
      </w:pPr>
      <w:r>
        <w:rPr>
          <w:rFonts w:hint="eastAsia" w:ascii="宋体" w:hAnsi="宋体" w:cs="宋体"/>
          <w:b/>
          <w:spacing w:val="8"/>
          <w:sz w:val="24"/>
        </w:rPr>
        <w:t xml:space="preserve">六、其他补充事宜</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6.1本项目在</w:t>
      </w:r>
      <w:r>
        <w:rPr>
          <w:rFonts w:hint="eastAsia" w:ascii="宋体" w:hAnsi="宋体" w:cs="宋体"/>
          <w:b/>
          <w:szCs w:val="21"/>
          <w:u w:val="single"/>
        </w:rPr>
        <w:t xml:space="preserve">江苏政府采购网、中国政府采购网</w:t>
      </w:r>
      <w:r>
        <w:rPr>
          <w:rFonts w:hint="eastAsia" w:ascii="宋体" w:hAnsi="宋体" w:cs="宋体"/>
          <w:bCs/>
          <w:szCs w:val="21"/>
          <w:lang w:val="zh-CN"/>
        </w:rPr>
        <w:t xml:space="preserve">发布公告。</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6.2勘察现场或答疑地点：无。</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6.3获取招标文件方式补充：本项目采用网上注册登记方式。</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①潜在供应商访问电子招标响应交易平台的网络地址和方法：</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②潜在供应商访问“苏采云”系统的网络地址和方法：“苏采云”系统的网址：https://jszfcg.jsczt.cn。</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③“CA数字证书”的获取：</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响应供应商需办理“CA 数字证书”，CA办理指南及“苏采云”操作手册可至江苏省政府采购网―办事指南-资料下载中心下载。</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通过苏采云系统首页（https://jszfcg.jsczt.cn）的“苏采云控件驱动下载”，选择“政务CA、方正签章控件驱动安装包及安装说明”下载安装，具体安装方法详见下载文件内的《安装说明》。</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④采购文件（后缀名为“.kedt”）、供应商操作手册及政府采购客户端工具可通过“苏采云”系统--已报名项目--报名详情页面内相应链接进行下载。</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⑤采购人或采购代理机构将数据电文形式的采购文件加载至“苏采云”系统，供潜在供应商下载或者查阅。</w:t>
      </w:r>
      <w:r/>
    </w:p>
    <w:p>
      <w:pPr>
        <w:ind w:firstLine="484"/>
        <w:spacing w:line="360" w:lineRule="auto"/>
        <w:rPr>
          <w:rFonts w:ascii="宋体" w:hAnsi="宋体" w:cs="宋体"/>
          <w:spacing w:val="15"/>
          <w:szCs w:val="21"/>
          <w:shd w:val="clear" w:color="auto" w:fill="ffffff"/>
        </w:rPr>
      </w:pPr>
      <w:r>
        <w:rPr>
          <w:rFonts w:hint="eastAsia" w:ascii="宋体" w:hAnsi="宋体" w:cs="宋体"/>
          <w:spacing w:val="15"/>
          <w:szCs w:val="21"/>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ascii="宋体" w:hAnsi="宋体" w:cs="宋体"/>
          <w:bCs/>
          <w:szCs w:val="21"/>
        </w:rPr>
      </w:pPr>
      <w:r>
        <w:rPr>
          <w:rFonts w:hint="eastAsia" w:ascii="宋体" w:hAnsi="宋体" w:cs="宋体"/>
          <w:bCs/>
          <w:szCs w:val="21"/>
        </w:rPr>
        <w:t xml:space="preserve">注：如潜在供应商未按上述要求操作，将自行承担所产生的风险。</w:t>
      </w:r>
      <w:r/>
    </w:p>
    <w:p>
      <w:pPr>
        <w:spacing w:line="360" w:lineRule="auto"/>
        <w:shd w:val="clear" w:color="auto" w:fill="ffffff" w:themeFill="background1"/>
        <w:widowControl/>
        <w:rPr>
          <w:rFonts w:ascii="宋体" w:hAnsi="宋体" w:cs="宋体"/>
          <w:b/>
          <w:spacing w:val="8"/>
          <w:sz w:val="24"/>
        </w:rPr>
      </w:pPr>
      <w:r>
        <w:rPr>
          <w:rFonts w:hint="eastAsia" w:ascii="宋体" w:hAnsi="宋体" w:cs="宋体"/>
          <w:b/>
          <w:spacing w:val="8"/>
          <w:sz w:val="24"/>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7.1采购人信息</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rPr>
        <w:t xml:space="preserve">名称：南京工业职业技术大学 </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rPr>
        <w:t xml:space="preserve">地址：南京市栖霞区仙林大学城羊山北路1号</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rPr>
        <w:t xml:space="preserve">联系人：纪老师</w:t>
      </w:r>
      <w:r/>
    </w:p>
    <w:p>
      <w:pPr>
        <w:ind w:firstLine="452"/>
        <w:jc w:val="left"/>
        <w:spacing w:line="360" w:lineRule="auto"/>
        <w:widowControl/>
        <w:rPr>
          <w:rFonts w:ascii="宋体" w:hAnsi="宋体" w:cs="宋体"/>
          <w:spacing w:val="8"/>
          <w:szCs w:val="21"/>
        </w:rPr>
      </w:pPr>
      <w:r>
        <w:rPr>
          <w:rFonts w:hint="eastAsia" w:ascii="宋体" w:hAnsi="宋体" w:cs="宋体"/>
          <w:spacing w:val="8"/>
          <w:szCs w:val="21"/>
          <w:lang w:val="zh-CN"/>
        </w:rPr>
        <w:t xml:space="preserve">联系电话：025-85864066</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7.2采购代理机构信息</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名 称：江苏省设备成套股份有限公司</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地　址：南京市鼓楼区清江南路18号鼓楼创新广场10楼100</w:t>
      </w:r>
      <w:r>
        <w:rPr>
          <w:rFonts w:hint="eastAsia" w:ascii="宋体" w:hAnsi="宋体" w:cs="宋体"/>
          <w:bCs/>
          <w:szCs w:val="21"/>
        </w:rPr>
        <w:t xml:space="preserve">1</w:t>
      </w:r>
      <w:r>
        <w:rPr>
          <w:rFonts w:hint="eastAsia" w:ascii="宋体" w:hAnsi="宋体" w:cs="宋体"/>
          <w:bCs/>
          <w:szCs w:val="21"/>
          <w:lang w:val="zh-CN"/>
        </w:rPr>
        <w:t xml:space="preserve">室</w:t>
      </w:r>
      <w:r/>
    </w:p>
    <w:p>
      <w:pPr>
        <w:ind w:firstLine="424"/>
        <w:spacing w:line="360" w:lineRule="auto"/>
        <w:rPr>
          <w:rFonts w:ascii="宋体" w:hAnsi="宋体" w:cs="宋体"/>
          <w:bCs/>
          <w:szCs w:val="21"/>
        </w:rPr>
      </w:pPr>
      <w:r>
        <w:rPr>
          <w:rFonts w:hint="eastAsia" w:ascii="宋体" w:hAnsi="宋体" w:cs="宋体"/>
          <w:bCs/>
          <w:szCs w:val="21"/>
          <w:lang w:val="zh-CN"/>
        </w:rPr>
        <w:t xml:space="preserve">联系方式：</w:t>
      </w:r>
      <w:r>
        <w:rPr>
          <w:rFonts w:hint="eastAsia" w:ascii="宋体" w:hAnsi="宋体" w:cs="宋体"/>
          <w:bCs/>
          <w:szCs w:val="21"/>
        </w:rPr>
        <w:t xml:space="preserve">张志豪 </w:t>
      </w:r>
      <w:r>
        <w:rPr>
          <w:rFonts w:hint="eastAsia" w:ascii="宋体" w:hAnsi="宋体" w:cs="宋体"/>
          <w:bCs/>
          <w:szCs w:val="21"/>
          <w:lang w:val="zh-CN"/>
        </w:rPr>
        <w:t xml:space="preserve">025-</w:t>
      </w:r>
      <w:r>
        <w:rPr>
          <w:rFonts w:hint="eastAsia" w:ascii="宋体" w:hAnsi="宋体" w:cs="宋体"/>
          <w:bCs/>
          <w:szCs w:val="21"/>
        </w:rPr>
        <w:t xml:space="preserve">83306855</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7.3项目联系方式</w:t>
      </w:r>
      <w:r/>
    </w:p>
    <w:p>
      <w:pPr>
        <w:ind w:firstLine="424"/>
        <w:spacing w:line="360" w:lineRule="auto"/>
        <w:rPr>
          <w:rFonts w:ascii="宋体" w:hAnsi="宋体" w:cs="宋体"/>
          <w:bCs/>
          <w:szCs w:val="21"/>
          <w:lang w:val="zh-CN"/>
        </w:rPr>
      </w:pPr>
      <w:r>
        <w:rPr>
          <w:rFonts w:hint="eastAsia" w:ascii="宋体" w:hAnsi="宋体" w:cs="宋体"/>
          <w:bCs/>
          <w:szCs w:val="21"/>
          <w:lang w:val="zh-CN"/>
        </w:rPr>
        <w:t xml:space="preserve">项目联系人：</w:t>
      </w:r>
      <w:r>
        <w:rPr>
          <w:rFonts w:hint="eastAsia" w:ascii="宋体" w:hAnsi="宋体" w:cs="宋体"/>
          <w:bCs/>
          <w:szCs w:val="21"/>
        </w:rPr>
        <w:t xml:space="preserve">张志豪</w:t>
      </w:r>
      <w:r/>
    </w:p>
    <w:p>
      <w:pPr>
        <w:ind w:firstLine="424"/>
        <w:spacing w:line="360" w:lineRule="auto"/>
        <w:rPr>
          <w:rFonts w:ascii="宋体" w:hAnsi="宋体" w:cs="宋体"/>
          <w:bCs/>
          <w:szCs w:val="21"/>
        </w:rPr>
      </w:pPr>
      <w:r>
        <w:rPr>
          <w:rFonts w:hint="eastAsia" w:ascii="宋体" w:hAnsi="宋体" w:cs="宋体"/>
          <w:bCs/>
          <w:szCs w:val="21"/>
          <w:lang w:val="zh-CN"/>
        </w:rPr>
        <w:t xml:space="preserve">电　话：025-</w:t>
      </w:r>
      <w:r>
        <w:rPr>
          <w:rFonts w:hint="eastAsia" w:ascii="宋体" w:hAnsi="宋体" w:cs="宋体"/>
          <w:bCs/>
          <w:szCs w:val="21"/>
        </w:rPr>
        <w:t xml:space="preserve">83306855</w:t>
      </w:r>
      <w:r/>
    </w:p>
    <w:p>
      <w:pPr>
        <w:ind w:firstLine="424"/>
        <w:spacing w:line="360" w:lineRule="auto"/>
        <w:rPr>
          <w:rFonts w:ascii="宋体" w:hAnsi="宋体" w:cs="宋体"/>
          <w:szCs w:val="21"/>
        </w:rPr>
      </w:pPr>
      <w:r>
        <w:rPr>
          <w:rFonts w:hint="eastAsia" w:ascii="宋体" w:hAnsi="宋体" w:cs="宋体"/>
          <w:bCs/>
          <w:szCs w:val="21"/>
        </w:rPr>
        <w:t xml:space="preserve">邮箱：zhangzhh@jcec.cn</w:t>
      </w:r>
      <w:bookmarkEnd w:id="4"/>
      <w:r/>
      <w:bookmarkEnd w:id="9"/>
      <w:r/>
      <w:bookmarkEnd w:id="13"/>
      <w:r>
        <w:rPr>
          <w:rFonts w:hint="eastAsia" w:ascii="宋体" w:hAnsi="宋体" w:cs="宋体"/>
          <w:szCs w:val="21"/>
        </w:rPr>
        <w:br w:type="page" w:clear="all"/>
      </w:r>
      <w:r/>
    </w:p>
    <w:p>
      <w:pPr>
        <w:pStyle w:val="887"/>
        <w:numPr>
          <w:ilvl w:val="0"/>
          <w:numId w:val="0"/>
        </w:numPr>
        <w:rPr>
          <w:rFonts w:ascii="宋体" w:hAnsi="宋体" w:cs="宋体"/>
        </w:rPr>
      </w:pPr>
      <w:r/>
      <w:bookmarkStart w:id="14" w:name="_Toc26745"/>
      <w:r>
        <w:rPr>
          <w:rFonts w:hint="eastAsia" w:ascii="宋体" w:hAnsi="宋体" w:cs="宋体"/>
        </w:rPr>
        <w:t xml:space="preserve">第二章</w:t>
      </w:r>
      <w:bookmarkStart w:id="15" w:name="_Toc452625218"/>
      <w:r>
        <w:rPr>
          <w:rFonts w:hint="eastAsia" w:ascii="宋体" w:hAnsi="宋体" w:cs="宋体"/>
        </w:rPr>
        <w:t xml:space="preserve"> 供应商须知</w:t>
      </w:r>
      <w:bookmarkEnd w:id="14"/>
      <w:r/>
      <w:bookmarkEnd w:id="15"/>
      <w:r/>
      <w:r/>
    </w:p>
    <w:p>
      <w:pPr>
        <w:ind w:firstLine="424"/>
        <w:spacing w:line="360" w:lineRule="auto"/>
        <w:shd w:val="clear" w:color="auto" w:fill="ffffff"/>
        <w:widowControl/>
        <w:rPr>
          <w:rFonts w:ascii="宋体" w:hAnsi="宋体" w:cs="宋体"/>
          <w:szCs w:val="21"/>
        </w:rPr>
      </w:pPr>
      <w:r/>
      <w:bookmarkStart w:id="16" w:name="_Toc25340"/>
      <w:r/>
      <w:bookmarkStart w:id="17" w:name="_Toc481057145"/>
      <w:r>
        <w:rPr>
          <w:rFonts w:hint="eastAsia" w:ascii="宋体" w:hAnsi="宋体" w:cs="宋体"/>
          <w:b/>
          <w:bCs/>
          <w:szCs w:val="21"/>
        </w:rPr>
        <w:t xml:space="preserve">一、总 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2.2“供应商（供应商）”是指参加投标竞争，并符合招标文件规定资格条件的法人、其他组织或者自然人。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3.7本国产品支持政策</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（1）本国产品标准适</w:t>
      </w:r>
      <w:r>
        <w:rPr>
          <w:rFonts w:hint="eastAsia" w:ascii="宋体" w:hAnsi="宋体" w:cs="宋体"/>
          <w:szCs w:val="21"/>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4.1招标文件包括以下主要内容：采购公告；供应商须知；供应商应当提交的资格、资信证明文件；为</w:t>
      </w:r>
      <w:r>
        <w:rPr>
          <w:rFonts w:hint="eastAsia" w:ascii="宋体" w:hAnsi="宋体" w:cs="宋体"/>
          <w:szCs w:val="21"/>
        </w:rPr>
        <w:t xml:space="preserve">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4.2招标的最小单位是包。招标货物数量及技术要求中未分包的，供应商对要求提供的货物和服务不得部分投标；招标货物数量及技术要求中已经分包的，可以以包为单位投标。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4.3采购代理机构如果要求供应商按照招标文件规定提交备选投标方案的，供应商可以提交备选方案；否则，备选方案将被拒绝。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4.4招标文件中要求的产品品牌或型号，是采购人根据项目所要实现的功能推荐的品牌或型号，仅供供应商参考，并不是限制条件。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6.2供应商所使用的计量单位应为国家法定计量单位。</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6.3供应商应用人民币报价。投标产品如果是进口产品的，应提供人民币与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6.4供应商应在投标文件中写清相应的项目编号、项目名称、供应商全称、地址、电话、传真等。</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6.5</w:t>
      </w:r>
      <w:r>
        <w:rPr>
          <w:rFonts w:hint="eastAsia" w:ascii="宋体" w:hAnsi="宋体" w:cs="宋体"/>
          <w:szCs w:val="21"/>
        </w:rPr>
        <w:t xml:space="preserve">供应商根据招标文件载明的标的采购项目实际情况，拟在中标后将中标项目的非主体、非关键性工作交由他人完成的，应当在投标文件中载明。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7、联合体投标</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7.1 两个以上的自然人、法人或者其他组织可以组成一个联合体，以一个供应商的身份共同参加政府采购。</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7.2 联合体中有同类资质的供应商按照联合体分工承担相同工作的，按照资质等级较低的供应商确定资质等级。</w:t>
      </w:r>
      <w:r/>
    </w:p>
    <w:p>
      <w:pPr>
        <w:ind w:firstLine="420"/>
        <w:spacing w:line="360" w:lineRule="auto"/>
        <w:shd w:val="clear" w:color="auto" w:fill="ffffff"/>
        <w:widowControl/>
        <w:rPr>
          <w:rFonts w:ascii="宋体" w:hAnsi="宋体" w:cs="宋体"/>
          <w:bCs/>
          <w:szCs w:val="21"/>
        </w:rPr>
      </w:pPr>
      <w:r>
        <w:rPr>
          <w:rFonts w:hint="eastAsia" w:ascii="宋体" w:hAnsi="宋体" w:cs="宋体"/>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宋体" w:hAnsi="宋体" w:cs="宋体"/>
          <w:szCs w:val="21"/>
        </w:rPr>
      </w:pPr>
      <w:r>
        <w:rPr>
          <w:rFonts w:hint="eastAsia" w:ascii="宋体" w:hAnsi="宋体" w:cs="宋体"/>
          <w:bCs/>
          <w:szCs w:val="21"/>
        </w:rPr>
        <w:t xml:space="preserve">7.4 以联合体形式参加政府采购活动的，联合体各方不得再单独参加或者与其他供应商另外组成联合体参加同一合同项下的政府采购活动。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ascii="宋体" w:hAnsi="宋体" w:cs="宋体"/>
          <w:b/>
          <w:szCs w:val="21"/>
        </w:rPr>
      </w:pPr>
      <w:r>
        <w:rPr>
          <w:rFonts w:hint="eastAsia" w:ascii="宋体" w:hAnsi="宋体" w:cs="宋体"/>
          <w:szCs w:val="21"/>
        </w:rPr>
        <w:t xml:space="preserve">8.1供应商应当根据招标文件要求编制投标文件，投标文件应对招标文件提出的要求和条件作出实质性响应，并在《商务条款偏离表》和《技术条款偏离表》等处逐条标明满足与否。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szCs w:val="21"/>
        </w:rPr>
        <w:t xml:space="preserve">★</w:t>
      </w:r>
      <w:r>
        <w:rPr>
          <w:rFonts w:hint="eastAsia" w:ascii="宋体" w:hAnsi="宋体" w:cs="宋体"/>
          <w:b/>
          <w:bCs/>
          <w:szCs w:val="21"/>
        </w:rPr>
        <w:t xml:space="preserve">”）的技术条款必须在投标文件中提供技术支持资料（如彩页、手册、检测报告等，具体详见技术参数要求），未提供技术支持资料的，视为未对招标文件实质性要求作出响应，评审时不予认可。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9.1商务部分内容是证明供应商有资格参加投标和中标后有能力履行合同的文件，这些文件应能满足招标的要求，包括但不限于下列文件（</w:t>
      </w:r>
      <w:r>
        <w:rPr>
          <w:rFonts w:hint="eastAsia" w:ascii="宋体" w:hAnsi="宋体" w:cs="宋体"/>
          <w:b/>
          <w:szCs w:val="21"/>
        </w:rPr>
        <w:t xml:space="preserve">（1）-（4）所述材料不得有缺失或提供不全或不满足招标文件的实质性要求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（2）法定代表人授权书及委托代理人的身份证明文件的复印件</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（3）供应商资格资信证明文件：</w:t>
      </w:r>
      <w:r/>
    </w:p>
    <w:p>
      <w:pPr>
        <w:pStyle w:val="1042"/>
        <w:numPr>
          <w:ilvl w:val="1"/>
          <w:numId w:val="5"/>
        </w:numPr>
        <w:ind w:left="0" w:firstLine="367"/>
        <w:spacing w:line="360" w:lineRule="auto"/>
        <w:tabs>
          <w:tab w:val="left" w:pos="840" w:leader="none"/>
          <w:tab w:val="clear" w:pos="990" w:leader="none"/>
        </w:tabs>
        <w:rPr>
          <w:rFonts w:ascii="宋体" w:hAnsi="宋体" w:cs="宋体"/>
          <w:bCs/>
          <w:szCs w:val="21"/>
        </w:rPr>
      </w:pPr>
      <w:r>
        <w:rPr>
          <w:rFonts w:hint="eastAsia" w:ascii="宋体" w:hAnsi="宋体" w:cs="宋体"/>
          <w:bCs/>
          <w:szCs w:val="21"/>
        </w:rPr>
        <w:t xml:space="preserve">第一章采购公告中 2.1《中华人民共和国政府采购法》规定的资格条件证明文件；</w:t>
      </w:r>
      <w:r/>
    </w:p>
    <w:p>
      <w:pPr>
        <w:pStyle w:val="1042"/>
        <w:numPr>
          <w:ilvl w:val="1"/>
          <w:numId w:val="5"/>
        </w:numPr>
        <w:ind w:left="0" w:firstLine="367"/>
        <w:spacing w:line="360" w:lineRule="auto"/>
        <w:tabs>
          <w:tab w:val="left" w:pos="840" w:leader="none"/>
          <w:tab w:val="clear" w:pos="990" w:leader="none"/>
        </w:tabs>
        <w:rPr>
          <w:rFonts w:ascii="宋体" w:hAnsi="宋体" w:cs="宋体"/>
          <w:bCs/>
          <w:szCs w:val="21"/>
        </w:rPr>
      </w:pPr>
      <w:r>
        <w:rPr>
          <w:rFonts w:hint="eastAsia" w:ascii="宋体" w:hAnsi="宋体" w:cs="宋体"/>
          <w:bCs/>
          <w:szCs w:val="21"/>
        </w:rPr>
        <w:t xml:space="preserve">第一章采购公告中 2.2</w:t>
      </w:r>
      <w:r>
        <w:rPr>
          <w:rFonts w:hint="eastAsia" w:ascii="宋体" w:hAnsi="宋体" w:cs="宋体"/>
          <w:spacing w:val="8"/>
          <w:szCs w:val="21"/>
        </w:rPr>
        <w:t xml:space="preserve">落实政府采购政策需满足的资格要求；</w:t>
      </w:r>
      <w:r/>
    </w:p>
    <w:p>
      <w:pPr>
        <w:pStyle w:val="1042"/>
        <w:numPr>
          <w:ilvl w:val="1"/>
          <w:numId w:val="5"/>
        </w:numPr>
        <w:ind w:left="0" w:firstLine="367"/>
        <w:spacing w:line="360" w:lineRule="auto"/>
        <w:tabs>
          <w:tab w:val="left" w:pos="840" w:leader="none"/>
          <w:tab w:val="clear" w:pos="990" w:leader="none"/>
        </w:tabs>
        <w:rPr>
          <w:rFonts w:ascii="宋体" w:hAnsi="宋体" w:cs="宋体"/>
          <w:bCs/>
          <w:szCs w:val="21"/>
        </w:rPr>
      </w:pPr>
      <w:r>
        <w:rPr>
          <w:rFonts w:hint="eastAsia" w:ascii="宋体" w:hAnsi="宋体" w:cs="宋体"/>
          <w:bCs/>
          <w:szCs w:val="21"/>
        </w:rPr>
        <w:t xml:space="preserve">第一章采购公告中 2.3 采购人根据采购项目的特殊要求规定的特定条件证明文件。</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（4）开标一览表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（5）《商务条款偏离表》；</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（6）第三章评标标准中对应的所需证明材料；</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（7）其它。</w:t>
      </w:r>
      <w:r/>
    </w:p>
    <w:p>
      <w:pPr>
        <w:ind w:firstLine="420"/>
        <w:jc w:val="left"/>
        <w:spacing w:line="360" w:lineRule="auto"/>
        <w:shd w:val="clear" w:color="auto" w:fill="ffffff"/>
        <w:widowControl/>
        <w:rPr>
          <w:rFonts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供应商提供的货物和服务是合格的、并符合招标文件要求的证明文件，以及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（2）《技术条款偏离表》；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（4）供应商拟投入本项目的设备、人员情况一览表；</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（5）供应商认为需要提供的其他技术资料。</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服务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b/>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11.3供应商的任何错漏、优惠、竞争性报价不得作为减轻责任、减少服务、增加收费、降低质量的理由。</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11.5 供应商应在《开标一览表》《分项报价表》等标明投标货物和服务的单价、总价以及分项报价等。</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11.6本项目预算为：详见第一章。</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12.1 其他部分由供应商根据编制投标文件需要提供的其他相关文件组成。</w:t>
      </w:r>
      <w:r/>
    </w:p>
    <w:p>
      <w:pPr>
        <w:ind w:firstLine="420"/>
        <w:spacing w:line="360" w:lineRule="auto"/>
        <w:widowControl/>
        <w:rPr>
          <w:rFonts w:ascii="宋体" w:hAnsi="宋体" w:cs="宋体"/>
          <w:szCs w:val="21"/>
        </w:rPr>
      </w:pPr>
      <w:r>
        <w:rPr>
          <w:rFonts w:hint="eastAsia" w:ascii="宋体" w:hAnsi="宋体" w:cs="宋体"/>
          <w:szCs w:val="21"/>
        </w:rPr>
        <w:t xml:space="preserve">12.2</w:t>
      </w:r>
      <w:r>
        <w:rPr>
          <w:rFonts w:hint="eastAsia" w:ascii="宋体" w:hAnsi="宋体" w:cs="宋体"/>
          <w:color w:val="000000"/>
          <w:szCs w:val="21"/>
        </w:rPr>
        <w:t xml:space="preserve"> </w:t>
      </w:r>
      <w:r>
        <w:rPr>
          <w:rFonts w:hint="eastAsia" w:ascii="宋体" w:hAnsi="宋体" w:cs="宋体"/>
          <w:color w:val="000000"/>
          <w:szCs w:val="21"/>
          <w:lang w:val="zh-CN"/>
        </w:rPr>
        <w:t xml:space="preserve">如标书制作工具中格式和内容与“江苏政府采购网、中国政府采购网”发布的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文件不一致，以</w:t>
      </w:r>
      <w:r>
        <w:rPr>
          <w:rFonts w:hint="eastAsia" w:ascii="宋体" w:hAnsi="宋体" w:cs="宋体"/>
          <w:color w:val="000000"/>
          <w:szCs w:val="21"/>
        </w:rPr>
        <w:t xml:space="preserve">上述网站</w:t>
      </w:r>
      <w:r>
        <w:rPr>
          <w:rFonts w:hint="eastAsia" w:ascii="宋体" w:hAnsi="宋体" w:cs="宋体"/>
          <w:color w:val="000000"/>
          <w:szCs w:val="21"/>
          <w:lang w:val="zh-CN"/>
        </w:rPr>
        <w:t xml:space="preserve">发布的</w:t>
      </w:r>
      <w:r>
        <w:rPr>
          <w:rFonts w:hint="eastAsia" w:ascii="宋体" w:hAnsi="宋体" w:cs="宋体"/>
          <w:color w:val="000000"/>
          <w:szCs w:val="21"/>
        </w:rPr>
        <w:t xml:space="preserve">采购</w:t>
      </w:r>
      <w:r>
        <w:rPr>
          <w:rFonts w:hint="eastAsia" w:ascii="宋体" w:hAnsi="宋体" w:cs="宋体"/>
          <w:color w:val="000000"/>
          <w:szCs w:val="21"/>
          <w:lang w:val="zh-CN"/>
        </w:rPr>
        <w:t xml:space="preserve">文件为准。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13、本项目无需缴纳投标保证金。</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14.2 特殊情况下，在原投标有效期截止之前，采购代理机构可要求供应商同意延长投标有效期，这种要求与答复均应以书面形式提交。供应商可拒绝这种要求，接受延长投标有效期的供应商将不会要求和允许修正其投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16.1 供应商应承担所有与准备和参加投标有关的费用，无论招标结果如何，采购代理机构和采购人在任何情况下均无义务和责任承担这些费用。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16.2 招标代理服务费：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招标代理服务费：本次招标，每分包中标人参照《招标代理服务费管理暂行办法》（国家发展计划委员会计价格〔2002〕1980号）代理 </w:t>
      </w:r>
      <w:r>
        <w:rPr>
          <w:rFonts w:hint="eastAsia" w:ascii="宋体" w:hAnsi="宋体" w:cs="宋体"/>
          <w:szCs w:val="21"/>
          <w:u w:val="single"/>
        </w:rPr>
        <w:t xml:space="preserve"> 服务  </w:t>
      </w:r>
      <w:r>
        <w:rPr>
          <w:rFonts w:hint="eastAsia" w:ascii="宋体" w:hAnsi="宋体" w:cs="宋体"/>
          <w:szCs w:val="21"/>
        </w:rPr>
        <w:t xml:space="preserve">招标收费基准费率</w:t>
      </w:r>
      <w:r>
        <w:rPr>
          <w:rFonts w:hint="eastAsia" w:ascii="宋体" w:hAnsi="宋体" w:cs="宋体"/>
          <w:szCs w:val="21"/>
          <w:u w:val="single"/>
        </w:rPr>
        <w:t xml:space="preserve"> 60 %</w:t>
      </w:r>
      <w:r>
        <w:rPr>
          <w:rFonts w:hint="eastAsia" w:ascii="宋体" w:hAnsi="宋体" w:cs="宋体"/>
          <w:szCs w:val="21"/>
        </w:rPr>
        <w:t xml:space="preserve">计算，在领取中标通知书前向采购代理机构支付招标服务费。如计算出的代理服务费低于4000元的，则按4000元收取。收费基数为中标分包预算金额。本项费用无需在投标报价表中单列。</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20.1供应商应当遵循公平竞争的原则，不得恶意串通，不得妨碍其他供应商的竞争行为，不得损害采购人或者其他供应商的合法权益。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20.2在评标过程中发现供应商有上述情形的，评标委员会应当认定其投标无效。</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ascii="宋体" w:hAnsi="宋体" w:cs="宋体"/>
          <w:szCs w:val="21"/>
        </w:rPr>
      </w:pPr>
      <w:r>
        <w:rPr>
          <w:rFonts w:hint="eastAsia" w:ascii="宋体" w:hAnsi="宋体" w:cs="宋体"/>
          <w:b/>
          <w:bCs/>
          <w:szCs w:val="21"/>
        </w:rPr>
        <w:t xml:space="preserve">21、开标</w:t>
      </w:r>
      <w:r/>
    </w:p>
    <w:p>
      <w:pPr>
        <w:ind w:firstLine="420"/>
        <w:spacing w:line="360" w:lineRule="auto"/>
        <w:rPr>
          <w:rFonts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ascii="宋体" w:hAnsi="宋体" w:cs="宋体"/>
        </w:rPr>
      </w:pPr>
      <w:r>
        <w:rPr>
          <w:rFonts w:hint="eastAsia" w:ascii="宋体" w:hAnsi="宋体" w:cs="宋体"/>
        </w:rPr>
        <w:t xml:space="preserve">21.3投标人不足3家的，不得开标。</w:t>
      </w:r>
      <w:r/>
    </w:p>
    <w:p>
      <w:pPr>
        <w:ind w:firstLine="420"/>
        <w:spacing w:line="360" w:lineRule="auto"/>
        <w:rPr>
          <w:rFonts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widowControl/>
        <w:rPr>
          <w:rFonts w:ascii="宋体" w:hAnsi="宋体" w:cs="宋体"/>
          <w:szCs w:val="21"/>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 评标委员会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22.1.1评标委员会负责具体评标事务，并独立履行下列职责：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（二）要求投标人对投标文件有关事项作出澄清或者说明；</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（三）对投标文件进行比较和评价；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（四）确定中标候选人名单，以及根据采购人委托直接确定中标人；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 评标程序</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（1）同一投标人提交两个（含两个）以上不同的投标报价的；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（2）投标文件未按照招标文件要求加盖电子公章的；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（3）报价超过招标文件中规定的预算金额或者最高限价的；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（4）投标文件含有采购人不能接受的附加条件的；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（5）投标文件内容不全或不符合招标文件中规定的其他实质性要求的；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（6）现行法律、法规、规章和招标文件规定的其他无效情形。</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szCs w:val="21"/>
        </w:rPr>
        <w:t xml:space="preserve">★</w:t>
      </w:r>
      <w:r>
        <w:rPr>
          <w:rFonts w:hint="eastAsia" w:ascii="宋体" w:hAnsi="宋体" w:cs="宋体"/>
          <w:b/>
          <w:bCs/>
          <w:szCs w:val="21"/>
        </w:rPr>
        <w:t xml:space="preserve">”）或其他文字说明的商务和技术要求。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22.2.2.3有下列情形之一的予以废标：</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（2）出现影响采购公正的违法、违规行为的；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（4）因苏采云系统故障造成开标不成功的；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（5）因重大变故，采购任务取消的。</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22.2.3澄清有关问题。</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评委会并非对每个投标人都做澄清要求。</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 评标方法和标准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评审因素，包括价格、技术、商务等。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评标总得分＝F1×A1＋F2×A2＋……＋Fn×An</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F1、F2……Fn分别为各项评审因素的得分；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A1、A2、……An 分别为各项评审因素所占的权重(A1＋A2＋……＋An＝1)。</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22.4.1评标过程中出现下列情形之一的，评标委员会应当启动异常低价投标审查程序： </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（3）投标报价低于本项目最高限价45%的，即投标报价&lt;本项目最高限价×45%；</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22.4.3 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22.4.4 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23、确定中标人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23.5 所有投标文件不论中标与否，均不退回。</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ascii="宋体" w:hAnsi="宋体" w:cs="宋体"/>
          <w:b/>
          <w:bCs/>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七、质疑和投诉</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rPr>
      </w:pPr>
      <w:r>
        <w:rPr>
          <w:rFonts w:hint="eastAsia" w:ascii="宋体" w:hAnsi="宋体" w:cs="宋体"/>
          <w:szCs w:val="21"/>
        </w:rPr>
        <w:t xml:space="preserve">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ascii="宋体" w:hAnsi="宋体" w:cs="宋体"/>
          <w:szCs w:val="21"/>
        </w:rPr>
      </w:pPr>
      <w:r>
        <w:rPr>
          <w:rFonts w:hint="eastAsia" w:ascii="宋体" w:hAnsi="宋体" w:cs="宋体"/>
          <w:szCs w:val="21"/>
        </w:rPr>
        <w:t xml:space="preserve">27.6采购代理机构在收到投标人的书面质疑后将及时组织调查核实，在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szCs w:val="21"/>
        </w:rPr>
      </w:pPr>
      <w:r>
        <w:rPr>
          <w:rFonts w:hint="eastAsia" w:ascii="宋体" w:hAnsi="宋体" w:cs="宋体"/>
          <w:b/>
          <w:bCs/>
          <w:szCs w:val="21"/>
        </w:rPr>
        <w:t xml:space="preserve">28、投诉</w:t>
      </w:r>
      <w:r/>
    </w:p>
    <w:p>
      <w:pPr>
        <w:ind w:firstLine="420"/>
        <w:spacing w:line="420" w:lineRule="exact"/>
        <w:rPr>
          <w:rFonts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rPr>
      </w:pPr>
      <w:r>
        <w:rPr>
          <w:rFonts w:hint="eastAsia" w:ascii="宋体" w:hAnsi="宋体" w:cs="宋体"/>
          <w:b/>
          <w:bCs/>
          <w:szCs w:val="21"/>
        </w:rPr>
        <w:t xml:space="preserve">29、其他</w:t>
      </w:r>
      <w:r/>
    </w:p>
    <w:p>
      <w:pPr>
        <w:ind w:firstLine="420"/>
        <w:spacing w:line="360" w:lineRule="auto"/>
        <w:rPr>
          <w:rFonts w:ascii="宋体" w:hAnsi="宋体" w:cs="宋体"/>
          <w:szCs w:val="21"/>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ascii="宋体" w:hAnsi="宋体" w:cs="宋体"/>
        </w:rPr>
      </w:pPr>
      <w:r>
        <w:rPr>
          <w:rFonts w:hint="eastAsia" w:ascii="宋体" w:hAnsi="宋体" w:cs="宋体"/>
        </w:rPr>
        <w:br w:type="page" w:clear="all"/>
      </w:r>
      <w:bookmarkEnd w:id="16"/>
      <w:r/>
      <w:bookmarkEnd w:id="17"/>
      <w:r/>
      <w:r/>
    </w:p>
    <w:p>
      <w:pPr>
        <w:pStyle w:val="887"/>
        <w:numPr>
          <w:ilvl w:val="0"/>
          <w:numId w:val="0"/>
        </w:numPr>
        <w:rPr>
          <w:rFonts w:ascii="宋体" w:hAnsi="宋体" w:cs="宋体"/>
        </w:rPr>
      </w:pPr>
      <w:r/>
      <w:bookmarkStart w:id="18" w:name="_Toc28285"/>
      <w:r>
        <w:rPr>
          <w:rFonts w:hint="eastAsia" w:ascii="宋体" w:hAnsi="宋体" w:cs="宋体"/>
        </w:rPr>
        <w:t xml:space="preserve">第三章 评分标准</w:t>
      </w:r>
      <w:bookmarkEnd w:id="18"/>
      <w:r/>
      <w:r/>
    </w:p>
    <w:p>
      <w:pPr>
        <w:ind w:firstLine="420"/>
        <w:spacing w:line="360" w:lineRule="auto"/>
        <w:tabs>
          <w:tab w:val="left" w:pos="960" w:leader="none"/>
        </w:tabs>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力量得分高低顺序排列，技术响应情况得分也相等的，由评标委员会投票决定。</w:t>
      </w:r>
      <w:r/>
    </w:p>
    <w:p>
      <w:pPr>
        <w:ind w:firstLine="442"/>
        <w:spacing w:line="360" w:lineRule="auto"/>
        <w:tabs>
          <w:tab w:val="left" w:pos="960" w:leader="none"/>
        </w:tabs>
        <w:rPr>
          <w:b/>
          <w:bCs/>
          <w:sz w:val="22"/>
          <w:szCs w:val="28"/>
          <w:u w:val="single"/>
        </w:rPr>
      </w:pPr>
      <w:r>
        <w:rPr>
          <w:rFonts w:hint="eastAsia"/>
          <w:b/>
          <w:bCs/>
          <w:sz w:val="22"/>
          <w:szCs w:val="28"/>
        </w:rPr>
        <w:t xml:space="preserve">评分标准中注明“投标主体点”，如供应商有多个体检点，则本评分表中与体检相关的信息，须由供应商确定本项目实际开展体检服务的唯一体检场所，本项所有设备、场地评审只针对该体检场所，</w:t>
      </w:r>
      <w:r>
        <w:rPr>
          <w:rFonts w:hint="eastAsia"/>
          <w:b/>
          <w:bCs/>
          <w:sz w:val="22"/>
          <w:szCs w:val="28"/>
          <w:u w:val="single"/>
        </w:rPr>
        <w:t xml:space="preserve">供应商投标时必须明确该体检场所详细地址；中标后不得擅自变更实际体检场所，如需变更必须经采购人书面同意，且变更后条件不得低于投标响应条件。</w:t>
      </w:r>
      <w:r/>
    </w:p>
    <w:p>
      <w:pPr>
        <w:rPr>
          <w:sz w:val="32"/>
          <w:szCs w:val="22"/>
        </w:rPr>
      </w:pPr>
      <w:r>
        <w:rPr>
          <w:rFonts w:hint="eastAsia"/>
          <w:sz w:val="32"/>
          <w:szCs w:val="22"/>
        </w:rPr>
        <w:br w:type="page" w:clear="all"/>
      </w:r>
      <w:r/>
    </w:p>
    <w:p>
      <w:pPr>
        <w:pStyle w:val="901"/>
        <w:spacing w:before="317" w:after="317"/>
        <w:rPr>
          <w:sz w:val="32"/>
          <w:szCs w:val="22"/>
        </w:rPr>
        <w:outlineLvl w:val="1"/>
      </w:pPr>
      <w:r>
        <w:rPr>
          <w:rFonts w:hint="eastAsia"/>
          <w:sz w:val="32"/>
          <w:szCs w:val="22"/>
        </w:rPr>
        <w:t xml:space="preserve">采购包1：</w:t>
      </w:r>
      <w:r/>
    </w:p>
    <w:tbl>
      <w:tblPr>
        <w:tblStyle w:val="897"/>
        <w:tblW w:w="48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355"/>
        <w:gridCol w:w="5229"/>
        <w:gridCol w:w="685"/>
      </w:tblGrid>
      <w:tr>
        <w:trPr>
          <w:jc w:val="center"/>
          <w:trHeight w:val="504"/>
          <w:tblHeader/>
        </w:trPr>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评分项目</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3268"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评分标准及细则</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分值</w:t>
            </w:r>
            <w:r/>
          </w:p>
        </w:tc>
      </w:tr>
      <w:tr>
        <w:trPr>
          <w:jc w:val="center"/>
          <w:trHeight w:val="1340"/>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847"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268"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价格分采用低价优先法计算，即满足采购文件要求且报价最低的投标人的报价为评审基准价，其价格分为对应分值，其它投标人的价格分统一按照以下公式计算：报价得分=(评审基准价/该投标人的报价)×对应分值。按照以下分类报价：</w:t>
            </w:r>
            <w:r/>
          </w:p>
          <w:p>
            <w:pPr>
              <w:spacing w:line="400" w:lineRule="exact"/>
              <w:rPr>
                <w:rFonts w:ascii="宋体" w:hAnsi="宋体" w:cs="宋体"/>
                <w:szCs w:val="21"/>
              </w:rPr>
            </w:pPr>
            <w:r>
              <w:rPr>
                <w:rFonts w:hint="eastAsia" w:ascii="宋体" w:hAnsi="宋体" w:cs="宋体"/>
                <w:szCs w:val="21"/>
              </w:rPr>
              <w:t xml:space="preserve">报价1：45岁以下在职男性套餐单价，</w:t>
            </w:r>
            <w:r>
              <w:rPr>
                <w:rFonts w:ascii="宋体" w:hAnsi="宋体" w:cs="宋体"/>
                <w:szCs w:val="21"/>
              </w:rPr>
              <w:t xml:space="preserve">3</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报价2：45岁以下在职女性已婚套餐单价，4分；</w:t>
            </w:r>
            <w:r/>
          </w:p>
          <w:p>
            <w:pPr>
              <w:spacing w:line="400" w:lineRule="exact"/>
              <w:rPr>
                <w:rFonts w:ascii="宋体" w:hAnsi="宋体" w:cs="宋体"/>
                <w:szCs w:val="21"/>
              </w:rPr>
            </w:pPr>
            <w:r>
              <w:rPr>
                <w:rFonts w:hint="eastAsia" w:ascii="宋体" w:hAnsi="宋体" w:cs="宋体"/>
                <w:szCs w:val="21"/>
              </w:rPr>
              <w:t xml:space="preserve">报价3：45岁以下在职女性未婚套餐单价，</w:t>
            </w:r>
            <w:r>
              <w:rPr>
                <w:rFonts w:ascii="宋体" w:hAnsi="宋体" w:cs="宋体"/>
                <w:szCs w:val="21"/>
              </w:rPr>
              <w:t xml:space="preserve">3</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报价4：45岁（含）以上在职、正高职称、退休人员男性套餐单价，</w:t>
            </w:r>
            <w:r>
              <w:rPr>
                <w:rFonts w:ascii="宋体" w:hAnsi="宋体" w:cs="宋体"/>
                <w:szCs w:val="21"/>
              </w:rPr>
              <w:t xml:space="preserve">3</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报价5：45岁（含）以上在职、正高职称、退休人员女性已婚套餐单价，4分；</w:t>
            </w:r>
            <w:r/>
          </w:p>
          <w:p>
            <w:pPr>
              <w:spacing w:line="400" w:lineRule="exact"/>
              <w:rPr>
                <w:rFonts w:ascii="宋体" w:hAnsi="宋体" w:cs="宋体"/>
                <w:szCs w:val="21"/>
              </w:rPr>
            </w:pPr>
            <w:r>
              <w:rPr>
                <w:rFonts w:hint="eastAsia" w:ascii="宋体" w:hAnsi="宋体" w:cs="宋体"/>
                <w:szCs w:val="21"/>
              </w:rPr>
              <w:t xml:space="preserve">报价6：45岁（含）以上在职、正高职称、退休人员女性未婚套餐单价，</w:t>
            </w:r>
            <w:r>
              <w:rPr>
                <w:rFonts w:ascii="宋体" w:hAnsi="宋体" w:cs="宋体"/>
                <w:szCs w:val="21"/>
              </w:rPr>
              <w:t xml:space="preserve">3</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00" w:lineRule="exact"/>
              <w:rPr>
                <w:rFonts w:ascii="宋体" w:hAnsi="宋体" w:cs="宋体"/>
                <w:szCs w:val="21"/>
              </w:rPr>
            </w:pPr>
            <w:r>
              <w:rPr>
                <w:rFonts w:ascii="宋体" w:hAnsi="宋体" w:cs="宋体"/>
                <w:szCs w:val="21"/>
              </w:rPr>
              <w:t xml:space="preserve">20</w:t>
            </w:r>
            <w:r/>
          </w:p>
        </w:tc>
      </w:tr>
      <w:tr>
        <w:trPr>
          <w:jc w:val="center"/>
          <w:trHeight w:val="1505"/>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847"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268"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投标人提供自2023年10月1日以来</w:t>
            </w:r>
            <w:r>
              <w:rPr>
                <w:rFonts w:hint="eastAsia" w:ascii="宋体" w:hAnsi="宋体" w:cs="宋体"/>
                <w:b/>
                <w:bCs/>
                <w:szCs w:val="21"/>
              </w:rPr>
              <w:t xml:space="preserve">（以合同签订时间为准）</w:t>
            </w:r>
            <w:r>
              <w:rPr>
                <w:rFonts w:hint="eastAsia" w:ascii="宋体" w:hAnsi="宋体" w:cs="宋体"/>
                <w:szCs w:val="21"/>
              </w:rPr>
              <w:t xml:space="preserve">承担过类似项目体检服务的业绩，每提供一个业绩得3分，最高9分。（提供合同复印件并加盖公章，</w:t>
            </w:r>
            <w:r>
              <w:rPr>
                <w:rFonts w:ascii="宋体" w:hAnsi="宋体" w:cs="宋体"/>
                <w:szCs w:val="21"/>
              </w:rPr>
              <w:t xml:space="preserve">合同中必须能够体现体检服务内容、服务对象，仅框架协议无执行证明不计分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9</w:t>
            </w:r>
            <w:r/>
          </w:p>
        </w:tc>
      </w:tr>
      <w:tr>
        <w:trPr>
          <w:jc w:val="center"/>
          <w:trHeight w:val="1602"/>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847"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技术力量</w:t>
            </w:r>
            <w:r/>
          </w:p>
        </w:tc>
        <w:tc>
          <w:tcPr>
            <w:tcBorders>
              <w:top w:val="single" w:color="auto" w:sz="4" w:space="0"/>
              <w:left w:val="single" w:color="auto" w:sz="4" w:space="0"/>
              <w:bottom w:val="single" w:color="auto" w:sz="4" w:space="0"/>
              <w:right w:val="single" w:color="auto" w:sz="4" w:space="0"/>
            </w:tcBorders>
            <w:tcW w:w="3268" w:type="pct"/>
            <w:vAlign w:val="center"/>
            <w:textDirection w:val="lrTb"/>
            <w:noWrap w:val="false"/>
          </w:tcPr>
          <w:p>
            <w:pPr>
              <w:spacing w:line="400" w:lineRule="exact"/>
              <w:rPr>
                <w:rFonts w:ascii="宋体" w:hAnsi="宋体" w:cs="宋体"/>
                <w:szCs w:val="21"/>
              </w:rPr>
            </w:pPr>
            <w:r>
              <w:rPr>
                <w:rFonts w:hint="eastAsia" w:ascii="宋体" w:hAnsi="宋体" w:cs="宋体"/>
                <w:b/>
                <w:bCs/>
                <w:szCs w:val="21"/>
              </w:rPr>
              <w:t xml:space="preserve">提供本项目各科室拟派体检医生、护士一览表</w:t>
            </w:r>
            <w:r>
              <w:rPr>
                <w:rFonts w:hint="eastAsia" w:ascii="宋体" w:hAnsi="宋体" w:cs="宋体"/>
                <w:szCs w:val="21"/>
              </w:rPr>
              <w:t xml:space="preserve">（医生必须提供医师资格证书、医师执业证书、专业技术资格证的</w:t>
            </w:r>
            <w:r>
              <w:rPr>
                <w:rFonts w:hint="eastAsia" w:ascii="宋体" w:hAnsi="宋体" w:cs="宋体"/>
                <w:b/>
                <w:bCs/>
                <w:szCs w:val="21"/>
              </w:rPr>
              <w:t xml:space="preserve">姓名页、证书编号页、有内容的变更注册记录页以及执业记录页</w:t>
            </w:r>
            <w:r>
              <w:rPr>
                <w:rFonts w:hint="eastAsia" w:ascii="宋体" w:hAnsi="宋体" w:cs="宋体"/>
                <w:szCs w:val="21"/>
              </w:rPr>
              <w:t xml:space="preserve">扫描件，护士必须提供护士执业证书</w:t>
            </w:r>
            <w:r>
              <w:rPr>
                <w:rStyle w:val="940"/>
                <w:rFonts w:hint="eastAsia" w:ascii="宋体" w:hAnsi="宋体" w:cs="宋体"/>
              </w:rPr>
              <w:t xml:space="preserve">的</w:t>
            </w:r>
            <w:r>
              <w:rPr>
                <w:rFonts w:hint="eastAsia" w:ascii="宋体" w:hAnsi="宋体" w:cs="宋体"/>
                <w:b/>
                <w:bCs/>
                <w:szCs w:val="21"/>
              </w:rPr>
              <w:t xml:space="preserve">姓名及编号页、有内容的变更注册页及延续注册页</w:t>
            </w:r>
            <w:r>
              <w:rPr>
                <w:rFonts w:hint="eastAsia" w:ascii="宋体" w:hAnsi="宋体" w:cs="宋体"/>
                <w:szCs w:val="21"/>
              </w:rPr>
              <w:t xml:space="preserve">扫描件，提供的证明材料必须能体现评审内容，否则视为未提供）：</w:t>
            </w:r>
            <w:r/>
          </w:p>
          <w:p>
            <w:pPr>
              <w:spacing w:line="400" w:lineRule="exact"/>
              <w:rPr>
                <w:rFonts w:ascii="宋体" w:hAnsi="宋体" w:cs="宋体"/>
                <w:szCs w:val="21"/>
              </w:rPr>
            </w:pPr>
            <w:r>
              <w:rPr>
                <w:rFonts w:hint="eastAsia" w:ascii="宋体" w:hAnsi="宋体" w:cs="宋体"/>
                <w:szCs w:val="21"/>
              </w:rPr>
              <w:t xml:space="preserve">1.总审医生：每提供一名高级（副主任医师或主任医师）职称医师得1分，本条满分</w:t>
            </w:r>
            <w:r>
              <w:rPr>
                <w:rFonts w:ascii="宋体" w:hAnsi="宋体" w:cs="宋体"/>
                <w:szCs w:val="21"/>
              </w:rPr>
              <w:t xml:space="preserve">4</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2.B超医生：每提供一名高级（副主任医师或主任医师）职称医师得1分，本条满分</w:t>
            </w:r>
            <w:r>
              <w:rPr>
                <w:rFonts w:ascii="宋体" w:hAnsi="宋体" w:cs="宋体"/>
                <w:szCs w:val="21"/>
              </w:rPr>
              <w:t xml:space="preserve">4</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3.妇科医生：每提供一名高级（副主任医师或主任医师）职称医师得1分，本条满分</w:t>
            </w:r>
            <w:r>
              <w:rPr>
                <w:rFonts w:ascii="宋体" w:hAnsi="宋体" w:cs="宋体"/>
                <w:szCs w:val="21"/>
              </w:rPr>
              <w:t xml:space="preserve">4</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4.放射科医生：每提供一名高级（副主任医师或主任医师）职称医师得1分，本条满分</w:t>
            </w:r>
            <w:r>
              <w:rPr>
                <w:rFonts w:ascii="宋体" w:hAnsi="宋体" w:cs="宋体"/>
                <w:szCs w:val="21"/>
              </w:rPr>
              <w:t xml:space="preserve">4</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5.内科医生：每提供一名高级（副主任医师或主任医师）职称医师得1分，本条满分</w:t>
            </w:r>
            <w:r>
              <w:rPr>
                <w:rFonts w:ascii="宋体" w:hAnsi="宋体" w:cs="宋体"/>
                <w:szCs w:val="21"/>
              </w:rPr>
              <w:t xml:space="preserve">4</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6.外科医生：每提供一名高级（副主任医师或主任医师）职称医师得1分，本条满分</w:t>
            </w:r>
            <w:r>
              <w:rPr>
                <w:rFonts w:ascii="宋体" w:hAnsi="宋体" w:cs="宋体"/>
                <w:szCs w:val="21"/>
              </w:rPr>
              <w:t xml:space="preserve">4</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7.护理：有10-</w:t>
            </w:r>
            <w:r>
              <w:rPr>
                <w:rFonts w:ascii="宋体" w:hAnsi="宋体" w:cs="宋体"/>
                <w:szCs w:val="21"/>
              </w:rPr>
              <w:t xml:space="preserve">19</w:t>
            </w:r>
            <w:r>
              <w:rPr>
                <w:rFonts w:hint="eastAsia" w:ascii="宋体" w:hAnsi="宋体" w:cs="宋体"/>
                <w:szCs w:val="21"/>
              </w:rPr>
              <w:t xml:space="preserve">名注册专职护士，得1分；有20名及以上注册专职护士，得3分，本条满分3分；</w:t>
            </w:r>
            <w:r/>
          </w:p>
          <w:p>
            <w:pPr>
              <w:spacing w:line="400" w:lineRule="exact"/>
              <w:rPr>
                <w:rFonts w:ascii="宋体" w:hAnsi="宋体" w:cs="宋体"/>
                <w:b/>
                <w:bCs/>
                <w:szCs w:val="21"/>
              </w:rPr>
            </w:pPr>
            <w:r>
              <w:rPr>
                <w:rFonts w:hint="eastAsia" w:ascii="宋体" w:hAnsi="宋体" w:cs="宋体"/>
                <w:szCs w:val="21"/>
              </w:rPr>
              <w:t xml:space="preserve">拟派体检医生要求执业地点与投标主体医院的地点一致，若医师申请多点执业，须提供证明，否则不计分。</w:t>
            </w:r>
            <w:r>
              <w:rPr>
                <w:rFonts w:hint="eastAsia" w:ascii="宋体" w:hAnsi="宋体" w:cs="宋体"/>
                <w:b/>
                <w:bCs/>
                <w:szCs w:val="21"/>
              </w:rPr>
              <w:t xml:space="preserve">（医师多点执业可从国家卫生健康委员会电子化注册信息系统查询、截图打印，须同时提供该医师与投标单位签订的劳务聘用/服务协议；未提供的不予计分。）</w:t>
            </w:r>
            <w:r/>
          </w:p>
          <w:p>
            <w:pPr>
              <w:spacing w:line="400" w:lineRule="exact"/>
              <w:rPr>
                <w:rFonts w:ascii="宋体" w:hAnsi="宋体" w:cs="宋体"/>
                <w:szCs w:val="21"/>
              </w:rPr>
            </w:pPr>
            <w:r>
              <w:rPr>
                <w:rFonts w:hint="eastAsia" w:ascii="宋体" w:hAnsi="宋体" w:cs="宋体"/>
                <w:szCs w:val="21"/>
              </w:rPr>
              <w:t xml:space="preserve">中标后采购人有权核查拟派人员在岗情况，如实际进场人员与投标文件不一致，按虚假响应、违约处理。</w:t>
            </w:r>
            <w:r/>
          </w:p>
        </w:tc>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00" w:lineRule="exact"/>
              <w:rPr>
                <w:rFonts w:ascii="宋体" w:hAnsi="宋体" w:cs="宋体"/>
                <w:szCs w:val="21"/>
              </w:rPr>
            </w:pPr>
            <w:r>
              <w:rPr>
                <w:rFonts w:ascii="宋体" w:hAnsi="宋体" w:cs="宋体"/>
                <w:szCs w:val="21"/>
              </w:rPr>
              <w:t xml:space="preserve">27</w:t>
            </w:r>
            <w:r/>
          </w:p>
        </w:tc>
      </w:tr>
      <w:tr>
        <w:trPr>
          <w:jc w:val="center"/>
          <w:trHeight w:val="1058"/>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4</w:t>
            </w:r>
            <w:r/>
          </w:p>
        </w:tc>
        <w:tc>
          <w:tcPr>
            <w:tcBorders>
              <w:left w:val="single" w:color="auto" w:sz="4" w:space="0"/>
              <w:right w:val="single" w:color="auto" w:sz="4" w:space="0"/>
            </w:tcBorders>
            <w:tcW w:w="847"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设备数量</w:t>
            </w:r>
            <w:r/>
          </w:p>
        </w:tc>
        <w:tc>
          <w:tcPr>
            <w:tcBorders>
              <w:top w:val="single" w:color="auto" w:sz="4" w:space="0"/>
              <w:left w:val="single" w:color="auto" w:sz="4" w:space="0"/>
              <w:right w:val="single" w:color="auto" w:sz="4" w:space="0"/>
            </w:tcBorders>
            <w:tcW w:w="3268" w:type="pct"/>
            <w:vAlign w:val="center"/>
            <w:textDirection w:val="lrTb"/>
            <w:noWrap w:val="false"/>
          </w:tcPr>
          <w:p>
            <w:pPr>
              <w:spacing w:line="40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超声诊断仪超声源：</w:t>
            </w:r>
            <w:r>
              <w:rPr>
                <w:rFonts w:hint="eastAsia" w:ascii="宋体" w:hAnsi="宋体" w:cs="宋体"/>
                <w:szCs w:val="21"/>
                <w:highlight w:val="none"/>
              </w:rPr>
              <w:t xml:space="preserve">体检专用（</w:t>
            </w:r>
            <w:r>
              <w:rPr>
                <w:rFonts w:hint="eastAsia" w:ascii="宋体" w:hAnsi="宋体" w:cs="宋体"/>
                <w:b/>
                <w:bCs/>
                <w:szCs w:val="21"/>
                <w:highlight w:val="none"/>
              </w:rPr>
              <w:t xml:space="preserve">仅计算投标主体点</w:t>
            </w:r>
            <w:r>
              <w:rPr>
                <w:rFonts w:hint="eastAsia" w:ascii="宋体" w:hAnsi="宋体" w:cs="宋体"/>
                <w:szCs w:val="21"/>
                <w:highlight w:val="none"/>
              </w:rPr>
              <w:t xml:space="preserve">）的超声诊断仪超声源数量，提供</w:t>
            </w:r>
            <w:r>
              <w:rPr>
                <w:rFonts w:ascii="宋体" w:hAnsi="宋体" w:cs="宋体"/>
                <w:szCs w:val="21"/>
                <w:highlight w:val="none"/>
              </w:rPr>
              <w:t xml:space="preserve">5</w:t>
            </w:r>
            <w:r>
              <w:rPr>
                <w:rFonts w:hint="eastAsia" w:ascii="宋体" w:hAnsi="宋体" w:cs="宋体"/>
                <w:szCs w:val="21"/>
                <w:highlight w:val="none"/>
              </w:rPr>
              <w:t xml:space="preserve">台以下不得分，提供</w:t>
            </w:r>
            <w:r>
              <w:rPr>
                <w:rFonts w:ascii="宋体" w:hAnsi="宋体" w:cs="宋体"/>
                <w:szCs w:val="21"/>
                <w:highlight w:val="none"/>
              </w:rPr>
              <w:t xml:space="preserve">5</w:t>
            </w:r>
            <w:r>
              <w:rPr>
                <w:rFonts w:hint="eastAsia" w:ascii="宋体" w:hAnsi="宋体" w:cs="宋体"/>
                <w:szCs w:val="21"/>
                <w:highlight w:val="none"/>
              </w:rPr>
              <w:t xml:space="preserve">台得</w:t>
            </w:r>
            <w:r>
              <w:rPr>
                <w:rFonts w:ascii="宋体" w:hAnsi="宋体" w:cs="宋体"/>
                <w:szCs w:val="21"/>
                <w:highlight w:val="none"/>
              </w:rPr>
              <w:t xml:space="preserve">1</w:t>
            </w:r>
            <w:r>
              <w:rPr>
                <w:rFonts w:hint="eastAsia" w:ascii="宋体" w:hAnsi="宋体" w:cs="宋体"/>
                <w:szCs w:val="21"/>
                <w:highlight w:val="none"/>
              </w:rPr>
              <w:t xml:space="preserve">分，超过</w:t>
            </w:r>
            <w:r>
              <w:rPr>
                <w:rFonts w:ascii="宋体" w:hAnsi="宋体" w:cs="宋体"/>
                <w:szCs w:val="21"/>
                <w:highlight w:val="none"/>
              </w:rPr>
              <w:t xml:space="preserve">5</w:t>
            </w:r>
            <w:r>
              <w:rPr>
                <w:rFonts w:hint="eastAsia" w:ascii="宋体" w:hAnsi="宋体" w:cs="宋体"/>
                <w:szCs w:val="21"/>
                <w:highlight w:val="none"/>
              </w:rPr>
              <w:t xml:space="preserve">台的，每增加1台加</w:t>
            </w:r>
            <w:r>
              <w:rPr>
                <w:rFonts w:ascii="宋体" w:hAnsi="宋体" w:cs="宋体"/>
                <w:szCs w:val="21"/>
                <w:highlight w:val="none"/>
              </w:rPr>
              <w:t xml:space="preserve">1</w:t>
            </w:r>
            <w:r>
              <w:rPr>
                <w:rFonts w:hint="eastAsia" w:ascii="宋体" w:hAnsi="宋体" w:cs="宋体"/>
                <w:szCs w:val="21"/>
                <w:highlight w:val="none"/>
              </w:rPr>
              <w:t xml:space="preserve">分，最多得</w:t>
            </w:r>
            <w:r>
              <w:rPr>
                <w:rFonts w:ascii="宋体" w:hAnsi="宋体" w:cs="宋体"/>
                <w:szCs w:val="21"/>
                <w:highlight w:val="none"/>
              </w:rPr>
              <w:t xml:space="preserve">4</w:t>
            </w:r>
            <w:r>
              <w:rPr>
                <w:rFonts w:hint="eastAsia" w:ascii="宋体" w:hAnsi="宋体" w:cs="宋体"/>
                <w:szCs w:val="21"/>
                <w:highlight w:val="none"/>
              </w:rPr>
              <w:t xml:space="preserve">分。</w:t>
            </w:r>
            <w:r/>
          </w:p>
          <w:p>
            <w:pPr>
              <w:spacing w:line="400" w:lineRule="exact"/>
              <w:rPr>
                <w:rFonts w:ascii="宋体" w:hAnsi="宋体" w:cs="宋体"/>
                <w:strike/>
                <w:szCs w:val="21"/>
              </w:rPr>
            </w:pPr>
            <w:r>
              <w:rPr>
                <w:rFonts w:hint="eastAsia" w:ascii="宋体" w:hAnsi="宋体" w:cs="宋体"/>
                <w:szCs w:val="21"/>
                <w:highlight w:val="none"/>
              </w:rPr>
              <w:t xml:space="preserve">2、</w:t>
            </w:r>
            <w:r>
              <w:rPr>
                <w:rFonts w:hint="eastAsia" w:ascii="宋体" w:hAnsi="宋体" w:cs="宋体"/>
                <w:b/>
                <w:bCs/>
                <w:szCs w:val="21"/>
                <w:highlight w:val="none"/>
              </w:rPr>
              <w:t xml:space="preserve">CT：</w:t>
            </w:r>
            <w:r>
              <w:rPr>
                <w:rFonts w:hint="eastAsia" w:ascii="宋体" w:hAnsi="宋体" w:cs="宋体"/>
                <w:bCs/>
                <w:szCs w:val="21"/>
                <w:highlight w:val="none"/>
              </w:rPr>
              <w:t xml:space="preserve">体检专用的CT数量（仅计算投标主体点的CT，须为</w:t>
            </w:r>
            <w:r>
              <w:rPr>
                <w:rFonts w:ascii="宋体" w:hAnsi="宋体" w:cs="宋体"/>
                <w:bCs/>
                <w:szCs w:val="21"/>
                <w:highlight w:val="none"/>
              </w:rPr>
              <w:t xml:space="preserve">16</w:t>
            </w:r>
            <w:r>
              <w:rPr>
                <w:rFonts w:hint="eastAsia" w:ascii="宋体" w:hAnsi="宋体" w:cs="宋体"/>
                <w:bCs/>
                <w:szCs w:val="21"/>
                <w:highlight w:val="none"/>
              </w:rPr>
              <w:t xml:space="preserve">排及以上CT，提供CT品牌名称、设定层厚、放射剂量参数等），提供1台得1分，最多</w:t>
            </w:r>
            <w:r>
              <w:rPr>
                <w:rFonts w:ascii="宋体" w:hAnsi="宋体" w:cs="宋体"/>
                <w:bCs/>
                <w:szCs w:val="21"/>
                <w:highlight w:val="none"/>
              </w:rPr>
              <w:t xml:space="preserve">9</w:t>
            </w:r>
            <w:r>
              <w:rPr>
                <w:rFonts w:hint="eastAsia" w:ascii="宋体" w:hAnsi="宋体" w:cs="宋体"/>
                <w:bCs/>
                <w:szCs w:val="21"/>
                <w:highlight w:val="none"/>
              </w:rPr>
              <w:t xml:space="preserve">分。</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13</w:t>
            </w:r>
            <w:r/>
          </w:p>
        </w:tc>
      </w:tr>
      <w:tr>
        <w:trPr>
          <w:jc w:val="center"/>
          <w:trHeight w:val="486"/>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5</w:t>
            </w:r>
            <w:r/>
          </w:p>
        </w:tc>
        <w:tc>
          <w:tcPr>
            <w:tcBorders>
              <w:left w:val="single" w:color="auto" w:sz="4" w:space="0"/>
              <w:right w:val="single" w:color="auto" w:sz="4" w:space="0"/>
            </w:tcBorders>
            <w:tcW w:w="847"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距离及交通</w:t>
            </w:r>
            <w:r/>
          </w:p>
        </w:tc>
        <w:tc>
          <w:tcPr>
            <w:tcBorders>
              <w:top w:val="single" w:color="auto" w:sz="4" w:space="0"/>
              <w:left w:val="single" w:color="auto" w:sz="4" w:space="0"/>
              <w:right w:val="single" w:color="auto" w:sz="4" w:space="0"/>
            </w:tcBorders>
            <w:tcW w:w="3268"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公共交通：</w:t>
            </w:r>
            <w:r/>
          </w:p>
          <w:p>
            <w:pPr>
              <w:spacing w:line="400" w:lineRule="exact"/>
              <w:rPr>
                <w:rFonts w:ascii="宋体" w:hAnsi="宋体" w:cs="宋体"/>
                <w:szCs w:val="21"/>
              </w:rPr>
            </w:pPr>
            <w:r>
              <w:rPr>
                <w:rFonts w:hint="eastAsia" w:ascii="宋体" w:hAnsi="宋体" w:cs="宋体"/>
                <w:szCs w:val="21"/>
              </w:rPr>
              <w:t xml:space="preserve">——体检地点交通非常便利，体检点距离地铁出站口或公交站，步行距离≤500米，得</w:t>
            </w:r>
            <w:r>
              <w:rPr>
                <w:rFonts w:ascii="宋体" w:hAnsi="宋体" w:cs="宋体"/>
                <w:szCs w:val="21"/>
              </w:rPr>
              <w:t xml:space="preserve">3</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——体检地点交通较为便利，体检点距离地铁出站口或公交站，步行距离≤1000米，得</w:t>
            </w:r>
            <w:r>
              <w:rPr>
                <w:rFonts w:ascii="宋体" w:hAnsi="宋体" w:cs="宋体"/>
                <w:szCs w:val="21"/>
              </w:rPr>
              <w:t xml:space="preserve">1</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——体检地点交通不方便，体检点距离地铁出站口或公交站，步行距离均超过1000米，不得分。</w:t>
            </w:r>
            <w:r/>
          </w:p>
          <w:p>
            <w:pPr>
              <w:spacing w:line="400" w:lineRule="exact"/>
              <w:rPr>
                <w:rFonts w:ascii="宋体" w:hAnsi="宋体" w:cs="宋体"/>
                <w:szCs w:val="21"/>
              </w:rPr>
            </w:pPr>
            <w:r>
              <w:rPr>
                <w:rFonts w:hint="eastAsia" w:ascii="宋体" w:hAnsi="宋体" w:cs="宋体"/>
                <w:szCs w:val="21"/>
              </w:rPr>
              <w:t xml:space="preserve">(注：上述距离需提供百度地图或高德地图道路交通路线证明加盖公章，不提供或提供不全面不得分)</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3</w:t>
            </w:r>
            <w:r/>
          </w:p>
        </w:tc>
      </w:tr>
      <w:tr>
        <w:trPr>
          <w:jc w:val="center"/>
          <w:trHeight w:val="1058"/>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6</w:t>
            </w:r>
            <w:r/>
          </w:p>
        </w:tc>
        <w:tc>
          <w:tcPr>
            <w:tcBorders>
              <w:left w:val="single" w:color="auto" w:sz="4" w:space="0"/>
              <w:right w:val="single" w:color="auto" w:sz="4" w:space="0"/>
            </w:tcBorders>
            <w:tcW w:w="847" w:type="pct"/>
            <w:vAlign w:val="center"/>
            <w:textDirection w:val="lrTb"/>
            <w:noWrap w:val="false"/>
          </w:tcPr>
          <w:p>
            <w:pPr>
              <w:jc w:val="center"/>
              <w:spacing w:line="378" w:lineRule="exact"/>
              <w:rPr>
                <w:rFonts w:ascii="宋体" w:hAnsi="宋体" w:cs="宋体"/>
                <w:color w:val="000000"/>
              </w:rPr>
            </w:pPr>
            <w:r>
              <w:rPr>
                <w:rFonts w:ascii="宋体" w:hAnsi="宋体" w:cs="宋体"/>
                <w:color w:val="000000"/>
              </w:rPr>
              <w:t xml:space="preserve">增值服务</w:t>
            </w:r>
            <w:r/>
          </w:p>
        </w:tc>
        <w:tc>
          <w:tcPr>
            <w:tcBorders>
              <w:top w:val="single" w:color="auto" w:sz="4" w:space="0"/>
              <w:left w:val="single" w:color="auto" w:sz="4" w:space="0"/>
              <w:right w:val="single" w:color="auto" w:sz="4" w:space="0"/>
            </w:tcBorders>
            <w:tcW w:w="3268"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投标人须提供增值服务方案，方案内容至少包含投标人在本项目基础体检套餐之外承诺免费增加的有效体检项目。评标委员会结合增值项目数量、实用性、合理性、可行性综合评审：</w:t>
            </w:r>
            <w:r/>
          </w:p>
          <w:p>
            <w:pPr>
              <w:spacing w:line="400" w:lineRule="exact"/>
              <w:rPr>
                <w:rFonts w:ascii="宋体" w:hAnsi="宋体" w:cs="宋体"/>
                <w:szCs w:val="21"/>
              </w:rPr>
            </w:pPr>
            <w:r>
              <w:rPr>
                <w:rFonts w:hint="eastAsia" w:ascii="宋体" w:hAnsi="宋体" w:cs="宋体"/>
                <w:szCs w:val="21"/>
              </w:rPr>
              <w:t xml:space="preserve">增值服务方案内容完整，免费新增体检项目实用性强、贴合教职工体检需求，可行性好，得5分；</w:t>
            </w:r>
            <w:r/>
          </w:p>
          <w:p>
            <w:pPr>
              <w:spacing w:line="400" w:lineRule="exact"/>
              <w:rPr>
                <w:rFonts w:ascii="宋体" w:hAnsi="宋体" w:cs="宋体"/>
                <w:szCs w:val="21"/>
              </w:rPr>
            </w:pPr>
            <w:r>
              <w:rPr>
                <w:rFonts w:hint="eastAsia" w:ascii="宋体" w:hAnsi="宋体" w:cs="宋体"/>
                <w:szCs w:val="21"/>
              </w:rPr>
              <w:t xml:space="preserve">增值服务方案内容较完整，免费新增体检项目具备实用性，可行性较好，得3分；</w:t>
            </w:r>
            <w:r/>
          </w:p>
          <w:p>
            <w:pPr>
              <w:spacing w:line="400" w:lineRule="exact"/>
              <w:rPr>
                <w:rFonts w:ascii="宋体" w:hAnsi="宋体" w:cs="宋体"/>
                <w:szCs w:val="21"/>
              </w:rPr>
            </w:pPr>
            <w:r>
              <w:rPr>
                <w:rFonts w:hint="eastAsia" w:ascii="宋体" w:hAnsi="宋体" w:cs="宋体"/>
                <w:szCs w:val="21"/>
              </w:rPr>
              <w:t xml:space="preserve">增值服务方案内容简略，仅少量免费新增体检项目，实用性一般，得1分；</w:t>
            </w:r>
            <w:r/>
          </w:p>
          <w:p>
            <w:pPr>
              <w:spacing w:line="400" w:lineRule="exact"/>
              <w:rPr>
                <w:rFonts w:ascii="宋体" w:hAnsi="宋体" w:cs="宋体"/>
                <w:szCs w:val="21"/>
              </w:rPr>
            </w:pPr>
            <w:r>
              <w:rPr>
                <w:rFonts w:hint="eastAsia" w:ascii="宋体" w:hAnsi="宋体" w:cs="宋体"/>
                <w:szCs w:val="21"/>
              </w:rPr>
              <w:t xml:space="preserve">未提供增值服务方案或方案无免费新增有效体检项目的，得0分。</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5</w:t>
            </w:r>
            <w:r/>
          </w:p>
        </w:tc>
      </w:tr>
      <w:tr>
        <w:trPr>
          <w:jc w:val="center"/>
          <w:trHeight w:val="1058"/>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7</w:t>
            </w:r>
            <w:r/>
          </w:p>
        </w:tc>
        <w:tc>
          <w:tcPr>
            <w:tcBorders>
              <w:left w:val="single" w:color="auto" w:sz="4" w:space="0"/>
              <w:right w:val="single" w:color="auto" w:sz="4" w:space="0"/>
            </w:tcBorders>
            <w:tcW w:w="847"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体检环境</w:t>
            </w:r>
            <w:r/>
          </w:p>
        </w:tc>
        <w:tc>
          <w:tcPr>
            <w:tcBorders>
              <w:top w:val="single" w:color="auto" w:sz="4" w:space="0"/>
              <w:left w:val="single" w:color="auto" w:sz="4" w:space="0"/>
              <w:right w:val="single" w:color="auto" w:sz="4" w:space="0"/>
            </w:tcBorders>
            <w:tcW w:w="3268"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指专门用于本次体检场所的环境</w:t>
            </w:r>
            <w:r>
              <w:rPr>
                <w:rFonts w:hint="eastAsia" w:ascii="宋体" w:hAnsi="宋体" w:cs="宋体"/>
                <w:b/>
                <w:bCs/>
                <w:szCs w:val="21"/>
              </w:rPr>
              <w:t xml:space="preserve">（如供应商有多个体检点，则本评分表中与体检相关的信息，须由供应商确定某一个体检点为本次投标专用体检点，只针对专用体检点打分）</w:t>
            </w:r>
            <w:r>
              <w:rPr>
                <w:rFonts w:hint="eastAsia" w:ascii="宋体" w:hAnsi="宋体" w:cs="宋体"/>
                <w:szCs w:val="21"/>
              </w:rPr>
              <w:t xml:space="preserve">，供应商需提供体检中心功能布局平面图，图纸标注各功能房间长宽、面积、功能用途、候诊区位置、男女分区，明确体检中心总建筑面积等信息。评标委员会依据体检场地布局、候诊空间、功能分区、环境条件以及提供的体检早餐情况综合评审：</w:t>
            </w:r>
            <w:r/>
          </w:p>
          <w:p>
            <w:pPr>
              <w:spacing w:line="400" w:lineRule="exact"/>
              <w:rPr>
                <w:rFonts w:ascii="宋体" w:hAnsi="宋体" w:cs="宋体"/>
                <w:szCs w:val="21"/>
              </w:rPr>
            </w:pPr>
            <w:r>
              <w:rPr>
                <w:rFonts w:hint="eastAsia" w:ascii="宋体" w:hAnsi="宋体" w:cs="宋体"/>
                <w:szCs w:val="21"/>
              </w:rPr>
              <w:t xml:space="preserve">体检环境宽敞整洁、舒适美观，候诊区域充足有序，各功能分区标识清晰、布局合理，早餐种类丰富多样，得5分；</w:t>
            </w:r>
            <w:r/>
          </w:p>
          <w:p>
            <w:pPr>
              <w:spacing w:line="400" w:lineRule="exact"/>
              <w:rPr>
                <w:rFonts w:ascii="宋体" w:hAnsi="宋体" w:cs="宋体"/>
                <w:szCs w:val="21"/>
              </w:rPr>
            </w:pPr>
            <w:r>
              <w:rPr>
                <w:rFonts w:hint="eastAsia" w:ascii="宋体" w:hAnsi="宋体" w:cs="宋体"/>
                <w:szCs w:val="21"/>
              </w:rPr>
              <w:t xml:space="preserve">体检环境较为宽敞整洁，功能区域划分明确，候诊环境舒适性较好，早餐种类较丰富，得3分；</w:t>
            </w:r>
            <w:r/>
          </w:p>
          <w:p>
            <w:pPr>
              <w:spacing w:line="400" w:lineRule="exact"/>
              <w:rPr>
                <w:rFonts w:ascii="宋体" w:hAnsi="宋体" w:cs="宋体"/>
                <w:szCs w:val="21"/>
              </w:rPr>
            </w:pPr>
            <w:r>
              <w:rPr>
                <w:rFonts w:hint="eastAsia" w:ascii="宋体" w:hAnsi="宋体" w:cs="宋体"/>
                <w:szCs w:val="21"/>
              </w:rPr>
              <w:t xml:space="preserve">体检场地空间狭小，候诊区域不足，难以满足大批量人员集中体检需求，早餐种类单一，得1分；</w:t>
            </w:r>
            <w:r/>
          </w:p>
          <w:p>
            <w:pPr>
              <w:spacing w:line="400" w:lineRule="exact"/>
              <w:rPr>
                <w:rFonts w:ascii="宋体" w:hAnsi="宋体" w:cs="宋体"/>
                <w:szCs w:val="21"/>
              </w:rPr>
            </w:pPr>
            <w:r>
              <w:rPr>
                <w:rFonts w:hint="eastAsia" w:ascii="宋体" w:hAnsi="宋体" w:cs="宋体"/>
                <w:szCs w:val="21"/>
              </w:rPr>
              <w:t xml:space="preserve">未按要求提供的，本项不得分。</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hint="eastAsia" w:ascii="宋体" w:hAnsi="宋体" w:cs="宋体"/>
                <w:szCs w:val="21"/>
              </w:rPr>
              <w:t xml:space="preserve">5</w:t>
            </w:r>
            <w:r/>
          </w:p>
        </w:tc>
      </w:tr>
      <w:tr>
        <w:trPr>
          <w:jc w:val="center"/>
          <w:trHeight w:val="557"/>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8</w:t>
            </w:r>
            <w:r/>
          </w:p>
        </w:tc>
        <w:tc>
          <w:tcPr>
            <w:tcBorders>
              <w:left w:val="single" w:color="auto" w:sz="4" w:space="0"/>
              <w:right w:val="single" w:color="auto" w:sz="4" w:space="0"/>
            </w:tcBorders>
            <w:tcW w:w="847"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体检流程、质量控制方案</w:t>
            </w:r>
            <w:r/>
          </w:p>
        </w:tc>
        <w:tc>
          <w:tcPr>
            <w:tcBorders>
              <w:top w:val="single" w:color="auto" w:sz="4" w:space="0"/>
              <w:left w:val="single" w:color="auto" w:sz="4" w:space="0"/>
              <w:right w:val="single" w:color="auto" w:sz="4" w:space="0"/>
            </w:tcBorders>
            <w:tcW w:w="3268" w:type="pct"/>
            <w:textDirection w:val="lrTb"/>
            <w:noWrap w:val="false"/>
          </w:tcPr>
          <w:p>
            <w:pPr>
              <w:spacing w:line="400" w:lineRule="exact"/>
              <w:rPr>
                <w:rFonts w:ascii="宋体" w:hAnsi="宋体" w:cs="宋体"/>
                <w:color w:val="000000"/>
              </w:rPr>
            </w:pPr>
            <w:r>
              <w:rPr>
                <w:rFonts w:hint="eastAsia" w:ascii="宋体" w:hAnsi="宋体" w:cs="宋体"/>
                <w:color w:val="000000"/>
              </w:rPr>
              <w:t xml:space="preserve">投标人须提供体检服务流程及质量控制方案。评标委员会对方案完整性、流程规范性、质控措施科学性综合评审：</w:t>
            </w:r>
            <w:r/>
          </w:p>
          <w:p>
            <w:pPr>
              <w:spacing w:line="400" w:lineRule="exact"/>
              <w:rPr>
                <w:rFonts w:ascii="宋体" w:hAnsi="宋体" w:cs="宋体"/>
                <w:color w:val="000000"/>
              </w:rPr>
            </w:pPr>
            <w:r>
              <w:rPr>
                <w:rFonts w:ascii="宋体" w:hAnsi="宋体" w:cs="宋体"/>
                <w:color w:val="000000"/>
              </w:rPr>
              <w:t xml:space="preserve">体检流程规范完整，放射诊疗检查时，对受检者邻近照射野的敏感器官和组织屏蔽防护措施</w:t>
            </w:r>
            <w:r>
              <w:rPr>
                <w:rFonts w:hint="eastAsia" w:ascii="宋体" w:hAnsi="宋体" w:cs="宋体"/>
                <w:color w:val="000000"/>
              </w:rPr>
              <w:t xml:space="preserve">准确</w:t>
            </w:r>
            <w:r>
              <w:rPr>
                <w:rFonts w:ascii="宋体" w:hAnsi="宋体" w:cs="宋体"/>
                <w:color w:val="000000"/>
              </w:rPr>
              <w:t xml:space="preserve">到位</w:t>
            </w:r>
            <w:r>
              <w:rPr>
                <w:rFonts w:hint="eastAsia" w:ascii="宋体" w:hAnsi="宋体" w:cs="宋体"/>
                <w:color w:val="000000"/>
              </w:rPr>
              <w:t xml:space="preserve">，</w:t>
            </w:r>
            <w:r>
              <w:rPr>
                <w:rFonts w:ascii="宋体" w:hAnsi="宋体" w:cs="宋体"/>
                <w:color w:val="000000"/>
              </w:rPr>
              <w:t xml:space="preserve">质量控制方案科学合理、措施详实，得10分；</w:t>
            </w:r>
            <w:r/>
          </w:p>
          <w:p>
            <w:pPr>
              <w:spacing w:line="400" w:lineRule="exact"/>
              <w:rPr>
                <w:rFonts w:ascii="宋体" w:hAnsi="宋体" w:cs="宋体"/>
                <w:color w:val="000000"/>
              </w:rPr>
            </w:pPr>
            <w:r>
              <w:rPr>
                <w:rFonts w:ascii="宋体" w:hAnsi="宋体" w:cs="宋体"/>
                <w:color w:val="000000"/>
              </w:rPr>
              <w:t xml:space="preserve">体检流程规范，放射诊疗检查时，对受检者邻近照射野的敏感器官和组织屏蔽防护措施</w:t>
            </w:r>
            <w:r>
              <w:rPr>
                <w:rFonts w:hint="eastAsia" w:ascii="宋体" w:hAnsi="宋体" w:cs="宋体"/>
                <w:color w:val="000000"/>
              </w:rPr>
              <w:t xml:space="preserve">规范，</w:t>
            </w:r>
            <w:r>
              <w:rPr>
                <w:rFonts w:ascii="宋体" w:hAnsi="宋体" w:cs="宋体"/>
                <w:color w:val="000000"/>
              </w:rPr>
              <w:t xml:space="preserve">质量控制方案较为科学、措施较完善，得7分；</w:t>
            </w:r>
            <w:r/>
          </w:p>
          <w:p>
            <w:pPr>
              <w:spacing w:line="400" w:lineRule="exact"/>
              <w:rPr>
                <w:rFonts w:ascii="宋体" w:hAnsi="宋体" w:cs="宋体"/>
                <w:color w:val="000000"/>
              </w:rPr>
            </w:pPr>
            <w:r>
              <w:rPr>
                <w:rFonts w:ascii="宋体" w:hAnsi="宋体" w:cs="宋体"/>
                <w:color w:val="000000"/>
              </w:rPr>
              <w:t xml:space="preserve">体检流程较规范，放射诊疗检查时，对受检者邻近照射野的敏感器官和组织屏蔽防护措施</w:t>
            </w:r>
            <w:r>
              <w:rPr>
                <w:rFonts w:hint="eastAsia" w:ascii="宋体" w:hAnsi="宋体" w:cs="宋体"/>
                <w:color w:val="000000"/>
              </w:rPr>
              <w:t xml:space="preserve">较规范</w:t>
            </w:r>
            <w:r>
              <w:rPr>
                <w:rFonts w:ascii="宋体" w:hAnsi="宋体" w:cs="宋体"/>
                <w:color w:val="000000"/>
              </w:rPr>
              <w:t xml:space="preserve">，质量控制方案较为科学，核心质控措施基本齐全，得4分；</w:t>
            </w:r>
            <w:r/>
          </w:p>
          <w:p>
            <w:pPr>
              <w:spacing w:line="400" w:lineRule="exact"/>
              <w:rPr>
                <w:rFonts w:ascii="宋体" w:hAnsi="宋体" w:cs="宋体"/>
                <w:color w:val="000000"/>
              </w:rPr>
            </w:pPr>
            <w:r>
              <w:rPr>
                <w:rFonts w:ascii="宋体" w:hAnsi="宋体" w:cs="宋体"/>
                <w:color w:val="000000"/>
              </w:rPr>
              <w:t xml:space="preserve">体检流程规范性一般，放射诊疗检查时，对受检者邻近照射野的敏感器官和组织屏蔽防护措施</w:t>
            </w:r>
            <w:r>
              <w:rPr>
                <w:rFonts w:hint="eastAsia" w:ascii="宋体" w:hAnsi="宋体" w:cs="宋体"/>
                <w:color w:val="000000"/>
              </w:rPr>
              <w:t xml:space="preserve">一般</w:t>
            </w:r>
            <w:r>
              <w:rPr>
                <w:rFonts w:ascii="宋体" w:hAnsi="宋体" w:cs="宋体"/>
                <w:color w:val="000000"/>
              </w:rPr>
              <w:t xml:space="preserve">，质量控制方案科学性一般，内容简略，得1分；</w:t>
            </w:r>
            <w:r/>
          </w:p>
          <w:p>
            <w:pPr>
              <w:spacing w:line="400" w:lineRule="exact"/>
              <w:rPr>
                <w:rFonts w:ascii="宋体" w:hAnsi="宋体" w:cs="宋体"/>
                <w:szCs w:val="21"/>
              </w:rPr>
            </w:pPr>
            <w:r>
              <w:rPr>
                <w:rFonts w:ascii="宋体" w:hAnsi="宋体" w:cs="宋体"/>
                <w:color w:val="000000"/>
              </w:rPr>
              <w:t xml:space="preserve">未提供本项资料的，本项不得分。</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10</w:t>
            </w:r>
            <w:r/>
          </w:p>
        </w:tc>
      </w:tr>
      <w:tr>
        <w:trPr>
          <w:jc w:val="center"/>
          <w:trHeight w:val="1058"/>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9</w:t>
            </w:r>
            <w:r/>
          </w:p>
        </w:tc>
        <w:tc>
          <w:tcPr>
            <w:tcBorders>
              <w:left w:val="single" w:color="auto" w:sz="4" w:space="0"/>
              <w:right w:val="single" w:color="auto" w:sz="4" w:space="0"/>
            </w:tcBorders>
            <w:tcW w:w="847"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大流量应对方案</w:t>
            </w:r>
            <w:r/>
          </w:p>
        </w:tc>
        <w:tc>
          <w:tcPr>
            <w:tcBorders>
              <w:top w:val="single" w:color="auto" w:sz="4" w:space="0"/>
              <w:left w:val="single" w:color="auto" w:sz="4" w:space="0"/>
              <w:right w:val="single" w:color="auto" w:sz="4" w:space="0"/>
            </w:tcBorders>
            <w:tcW w:w="3268" w:type="pct"/>
            <w:textDirection w:val="lrTb"/>
            <w:noWrap w:val="false"/>
          </w:tcPr>
          <w:p>
            <w:pPr>
              <w:spacing w:line="400" w:lineRule="exact"/>
              <w:rPr>
                <w:rFonts w:ascii="宋体" w:hAnsi="宋体" w:cs="宋体"/>
                <w:color w:val="000000"/>
              </w:rPr>
            </w:pPr>
            <w:r>
              <w:rPr>
                <w:rFonts w:ascii="宋体" w:hAnsi="宋体" w:cs="宋体"/>
                <w:color w:val="000000"/>
              </w:rPr>
              <w:t xml:space="preserve">投标人须针对本项目教职工集中体检、大流量参检特点，制定专项人群分流及应急应对方案。评标委员会结合方案针对性、合理性及实操性综合评审：</w:t>
            </w:r>
            <w:r/>
          </w:p>
          <w:p>
            <w:pPr>
              <w:spacing w:line="400" w:lineRule="exact"/>
              <w:rPr>
                <w:rFonts w:ascii="宋体" w:hAnsi="宋体" w:cs="宋体"/>
                <w:color w:val="000000"/>
              </w:rPr>
            </w:pPr>
            <w:r>
              <w:rPr>
                <w:rFonts w:ascii="宋体" w:hAnsi="宋体" w:cs="宋体"/>
                <w:color w:val="000000"/>
              </w:rPr>
              <w:t xml:space="preserve">大流量体检应对方案贴合项目实际、科学合理，分流疏导、错峰体检、人员管控、应急保障等措施完善，可落地操作性强，得5分；</w:t>
            </w:r>
            <w:r/>
          </w:p>
          <w:p>
            <w:pPr>
              <w:spacing w:line="400" w:lineRule="exact"/>
              <w:rPr>
                <w:rFonts w:ascii="宋体" w:hAnsi="宋体" w:cs="宋体"/>
                <w:color w:val="000000"/>
              </w:rPr>
            </w:pPr>
            <w:r>
              <w:rPr>
                <w:rFonts w:ascii="宋体" w:hAnsi="宋体" w:cs="宋体"/>
                <w:color w:val="000000"/>
              </w:rPr>
              <w:t xml:space="preserve">大流量体检应对方案整体合理，核心保障措施齐全，具备较强的落地操作性，得3分；</w:t>
            </w:r>
            <w:r/>
          </w:p>
          <w:p>
            <w:pPr>
              <w:spacing w:line="400" w:lineRule="exact"/>
              <w:rPr>
                <w:rFonts w:ascii="宋体" w:hAnsi="宋体" w:cs="宋体"/>
                <w:color w:val="000000"/>
              </w:rPr>
            </w:pPr>
            <w:r>
              <w:rPr>
                <w:rFonts w:ascii="宋体" w:hAnsi="宋体" w:cs="宋体"/>
                <w:color w:val="000000"/>
              </w:rPr>
              <w:t xml:space="preserve">大流量体检应对方案内容较为简单、设计常规，管控及分流措施不完善，易出现人员拥堵、体检秩序混乱等问题，得1分；</w:t>
            </w:r>
            <w:r/>
          </w:p>
          <w:p>
            <w:pPr>
              <w:spacing w:line="400" w:lineRule="exact"/>
              <w:rPr>
                <w:rFonts w:ascii="宋体" w:hAnsi="宋体" w:cs="宋体"/>
                <w:szCs w:val="21"/>
              </w:rPr>
            </w:pPr>
            <w:r>
              <w:rPr>
                <w:rFonts w:ascii="宋体" w:hAnsi="宋体" w:cs="宋体"/>
                <w:color w:val="000000"/>
              </w:rPr>
              <w:t xml:space="preserve">未提供专项应对方案的，本项不得分。</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hint="eastAsia" w:ascii="宋体" w:hAnsi="宋体" w:cs="宋体"/>
                <w:szCs w:val="21"/>
              </w:rPr>
              <w:t xml:space="preserve">5</w:t>
            </w:r>
            <w:r/>
          </w:p>
        </w:tc>
      </w:tr>
      <w:tr>
        <w:trPr>
          <w:jc w:val="center"/>
          <w:trHeight w:val="1058"/>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10</w:t>
            </w:r>
            <w:r/>
          </w:p>
        </w:tc>
        <w:tc>
          <w:tcPr>
            <w:tcBorders>
              <w:left w:val="single" w:color="auto" w:sz="4" w:space="0"/>
              <w:right w:val="single" w:color="auto" w:sz="4" w:space="0"/>
            </w:tcBorders>
            <w:tcW w:w="847"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体检报告解读、健康指导、转诊建议</w:t>
            </w:r>
            <w:r/>
          </w:p>
        </w:tc>
        <w:tc>
          <w:tcPr>
            <w:tcBorders>
              <w:top w:val="single" w:color="auto" w:sz="4" w:space="0"/>
              <w:left w:val="single" w:color="auto" w:sz="4" w:space="0"/>
              <w:right w:val="single" w:color="auto" w:sz="4" w:space="0"/>
            </w:tcBorders>
            <w:tcW w:w="3268" w:type="pct"/>
            <w:textDirection w:val="lrTb"/>
            <w:noWrap w:val="false"/>
          </w:tcPr>
          <w:p>
            <w:pPr>
              <w:spacing w:line="400" w:lineRule="exact"/>
              <w:rPr>
                <w:rFonts w:ascii="宋体" w:hAnsi="宋体" w:cs="宋体"/>
                <w:color w:val="000000"/>
              </w:rPr>
            </w:pPr>
            <w:r>
              <w:rPr>
                <w:rFonts w:ascii="宋体" w:hAnsi="宋体" w:cs="宋体"/>
                <w:color w:val="000000"/>
              </w:rPr>
              <w:t xml:space="preserve">投标人须提供完整的体检报告解读、健康科普指导、异常指标转诊建议专项方案，并承诺安排专业专家上门开展一对一体检报告解读服务。评标委员会结合方案完整性、科学性、针对性及落地性综合评审：</w:t>
            </w:r>
            <w:r/>
          </w:p>
          <w:p>
            <w:pPr>
              <w:spacing w:line="400" w:lineRule="exact"/>
              <w:rPr>
                <w:rFonts w:ascii="宋体" w:hAnsi="宋体" w:cs="宋体"/>
                <w:color w:val="000000"/>
              </w:rPr>
            </w:pPr>
            <w:r>
              <w:rPr>
                <w:rFonts w:ascii="宋体" w:hAnsi="宋体" w:cs="宋体"/>
                <w:color w:val="000000"/>
              </w:rPr>
              <w:t xml:space="preserve">方案体系完整、科学规范，报告解读、健康指导、转诊闭环服务内容详实，上门一对一专家解读服务</w:t>
            </w:r>
            <w:r>
              <w:rPr>
                <w:rFonts w:hint="eastAsia" w:ascii="宋体" w:hAnsi="宋体" w:cs="宋体"/>
                <w:color w:val="000000"/>
              </w:rPr>
              <w:t xml:space="preserve">次数不少于2次/年，</w:t>
            </w:r>
            <w:r>
              <w:rPr>
                <w:rFonts w:ascii="宋体" w:hAnsi="宋体" w:cs="宋体"/>
                <w:color w:val="000000"/>
              </w:rPr>
              <w:t xml:space="preserve">完全贴合教职工健康服务需求，得3分；</w:t>
            </w:r>
            <w:r/>
          </w:p>
          <w:p>
            <w:pPr>
              <w:spacing w:line="400" w:lineRule="exact"/>
              <w:rPr>
                <w:rFonts w:ascii="宋体" w:hAnsi="宋体" w:cs="宋体"/>
                <w:color w:val="000000"/>
              </w:rPr>
            </w:pPr>
            <w:r>
              <w:rPr>
                <w:rFonts w:ascii="宋体" w:hAnsi="宋体" w:cs="宋体"/>
                <w:color w:val="000000"/>
              </w:rPr>
              <w:t xml:space="preserve">方案内容较完整、科学合理，涵盖核心报告解读、健康指导及转诊服务，上门专家解读服务</w:t>
            </w:r>
            <w:r>
              <w:rPr>
                <w:rFonts w:hint="eastAsia" w:ascii="宋体" w:hAnsi="宋体" w:cs="宋体"/>
                <w:color w:val="000000"/>
              </w:rPr>
              <w:t xml:space="preserve">次数不少于</w:t>
            </w:r>
            <w:r>
              <w:rPr>
                <w:rFonts w:ascii="宋体" w:hAnsi="宋体" w:cs="宋体"/>
                <w:color w:val="000000"/>
              </w:rPr>
              <w:t xml:space="preserve">1</w:t>
            </w:r>
            <w:r>
              <w:rPr>
                <w:rFonts w:hint="eastAsia" w:ascii="宋体" w:hAnsi="宋体" w:cs="宋体"/>
                <w:color w:val="000000"/>
              </w:rPr>
              <w:t xml:space="preserve">次/年</w:t>
            </w:r>
            <w:r>
              <w:rPr>
                <w:rFonts w:ascii="宋体" w:hAnsi="宋体" w:cs="宋体"/>
                <w:color w:val="000000"/>
              </w:rPr>
              <w:t xml:space="preserve">，可满足项目基本服务需求，得2分；</w:t>
            </w:r>
            <w:r/>
          </w:p>
          <w:p>
            <w:pPr>
              <w:spacing w:line="400" w:lineRule="exact"/>
              <w:rPr>
                <w:rFonts w:ascii="宋体" w:hAnsi="宋体" w:cs="宋体"/>
                <w:color w:val="000000"/>
              </w:rPr>
            </w:pPr>
            <w:r>
              <w:rPr>
                <w:rFonts w:ascii="宋体" w:hAnsi="宋体" w:cs="宋体"/>
                <w:color w:val="000000"/>
              </w:rPr>
              <w:t xml:space="preserve">方案内容简略、完整性不足，服务流程及保障措施较为单一，整体科学合理性一般，仅能满足基础服务需求，得1分；</w:t>
            </w:r>
            <w:r/>
          </w:p>
          <w:p>
            <w:pPr>
              <w:spacing w:line="400" w:lineRule="exact"/>
              <w:rPr>
                <w:rFonts w:ascii="宋体" w:hAnsi="宋体" w:cs="宋体"/>
                <w:szCs w:val="21"/>
              </w:rPr>
            </w:pPr>
            <w:r>
              <w:rPr>
                <w:rFonts w:ascii="宋体" w:hAnsi="宋体" w:cs="宋体"/>
                <w:color w:val="000000"/>
              </w:rPr>
              <w:t xml:space="preserve">未提供本项专项服务方案的，本项不得分。</w:t>
            </w:r>
            <w:r/>
          </w:p>
        </w:tc>
        <w:tc>
          <w:tcPr>
            <w:tcBorders>
              <w:top w:val="single" w:color="auto" w:sz="4" w:space="0"/>
              <w:left w:val="single" w:color="auto" w:sz="4" w:space="0"/>
              <w:right w:val="single" w:color="auto" w:sz="4" w:space="0"/>
            </w:tcBorders>
            <w:tcW w:w="428"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3</w:t>
            </w:r>
            <w:r/>
          </w:p>
        </w:tc>
      </w:tr>
      <w:tr>
        <w:trPr>
          <w:jc w:val="center"/>
          <w:trHeight w:val="724"/>
        </w:trPr>
        <w:tc>
          <w:tcPr>
            <w:tcBorders>
              <w:left w:val="single" w:color="auto" w:sz="4" w:space="0"/>
              <w:right w:val="single" w:color="auto" w:sz="4" w:space="0"/>
            </w:tcBorders>
            <w:tcW w:w="456"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gridSpan w:val="2"/>
            <w:tcBorders>
              <w:left w:val="single" w:color="auto" w:sz="4" w:space="0"/>
              <w:right w:val="single" w:color="auto" w:sz="4" w:space="0"/>
            </w:tcBorders>
            <w:tcW w:w="4115"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428"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100</w:t>
            </w:r>
            <w:r/>
          </w:p>
        </w:tc>
      </w:tr>
    </w:tbl>
    <w:p>
      <w:pPr>
        <w:ind w:left="420" w:firstLine="420"/>
        <w:spacing w:line="360" w:lineRule="auto"/>
        <w:tabs>
          <w:tab w:val="left" w:pos="960" w:leader="none"/>
        </w:tabs>
        <w:rPr>
          <w:rFonts w:ascii="宋体" w:hAnsi="宋体" w:cs="宋体"/>
        </w:rPr>
      </w:pPr>
      <w:r>
        <w:rPr>
          <w:rFonts w:ascii="宋体" w:hAnsi="宋体" w:cs="宋体"/>
        </w:rPr>
      </w:r>
      <w:r/>
    </w:p>
    <w:p>
      <w:pPr>
        <w:ind w:firstLine="420"/>
        <w:rPr>
          <w:rFonts w:ascii="宋体" w:hAnsi="宋体" w:cs="宋体"/>
          <w:bCs/>
          <w:szCs w:val="21"/>
        </w:rPr>
      </w:pPr>
      <w:r>
        <w:rPr>
          <w:rFonts w:hint="eastAsia" w:ascii="宋体" w:hAnsi="宋体" w:cs="宋体"/>
          <w:bCs/>
          <w:szCs w:val="21"/>
        </w:rPr>
        <w:t xml:space="preserve">说明：</w:t>
      </w:r>
      <w:r/>
    </w:p>
    <w:p>
      <w:pPr>
        <w:ind w:firstLine="420"/>
        <w:rPr>
          <w:rFonts w:ascii="宋体" w:hAnsi="宋体" w:cs="宋体"/>
          <w:bCs/>
          <w:szCs w:val="21"/>
        </w:rPr>
      </w:pPr>
      <w:r>
        <w:rPr>
          <w:rFonts w:hint="eastAsia" w:ascii="宋体" w:hAnsi="宋体" w:cs="宋体"/>
          <w:bCs/>
          <w:szCs w:val="21"/>
        </w:rPr>
        <w:t xml:space="preserve">1.所有认证、证明和业绩均以有效清晰的证明文件的复印件为依据，原件备查。</w:t>
      </w:r>
      <w:r/>
    </w:p>
    <w:p>
      <w:pPr>
        <w:ind w:firstLine="420"/>
        <w:spacing w:line="360" w:lineRule="auto"/>
        <w:rPr>
          <w:rFonts w:ascii="宋体" w:hAnsi="宋体" w:cs="宋体"/>
          <w:bCs/>
          <w:szCs w:val="21"/>
        </w:rPr>
      </w:pPr>
      <w:r>
        <w:rPr>
          <w:rFonts w:hint="eastAsia" w:ascii="宋体" w:hAnsi="宋体" w:cs="宋体"/>
          <w:bCs/>
          <w:szCs w:val="21"/>
        </w:rPr>
        <w:t xml:space="preserve">2.小微企业价格扣除</w:t>
      </w:r>
      <w:r/>
    </w:p>
    <w:p>
      <w:pPr>
        <w:ind w:firstLine="420"/>
        <w:spacing w:line="360" w:lineRule="auto"/>
        <w:rPr>
          <w:rFonts w:ascii="宋体" w:hAnsi="宋体" w:cs="宋体"/>
          <w:bCs/>
          <w:szCs w:val="21"/>
        </w:rPr>
      </w:pPr>
      <w:r>
        <w:rPr>
          <w:rFonts w:hint="eastAsia" w:ascii="宋体" w:hAnsi="宋体" w:cs="宋体"/>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ascii="宋体" w:hAnsi="宋体" w:cs="宋体"/>
          <w:bCs/>
          <w:szCs w:val="21"/>
        </w:rPr>
      </w:pPr>
      <w:r>
        <w:rPr>
          <w:rFonts w:hint="eastAsia" w:ascii="宋体" w:hAnsi="宋体" w:cs="宋体"/>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ascii="宋体" w:hAnsi="宋体" w:cs="宋体"/>
          <w:bCs/>
          <w:szCs w:val="21"/>
        </w:rPr>
      </w:pPr>
      <w:r>
        <w:rPr>
          <w:rFonts w:hint="eastAsia" w:ascii="宋体" w:hAnsi="宋体" w:cs="宋体"/>
          <w:bCs/>
          <w:szCs w:val="21"/>
        </w:rPr>
        <w:t xml:space="preserve">3.监狱和戒毒企业的价格扣除</w:t>
      </w:r>
      <w:r/>
    </w:p>
    <w:p>
      <w:pPr>
        <w:ind w:firstLine="420"/>
        <w:spacing w:line="360" w:lineRule="auto"/>
        <w:rPr>
          <w:rFonts w:ascii="宋体" w:hAnsi="宋体" w:cs="宋体"/>
          <w:bCs/>
          <w:szCs w:val="21"/>
        </w:rPr>
      </w:pPr>
      <w:r>
        <w:rPr>
          <w:rFonts w:hint="eastAsia" w:ascii="宋体" w:hAnsi="宋体" w:cs="宋体"/>
          <w:bCs/>
          <w:szCs w:val="21"/>
        </w:rPr>
        <w:t xml:space="preserve">3.1 本项目对监狱和戒毒企业，给予10%的价格扣除，用扣除后的价格参与评审。</w:t>
      </w:r>
      <w:r/>
    </w:p>
    <w:p>
      <w:pPr>
        <w:ind w:firstLine="420"/>
        <w:spacing w:line="360" w:lineRule="auto"/>
        <w:rPr>
          <w:rFonts w:ascii="宋体" w:hAnsi="宋体" w:cs="宋体"/>
          <w:bCs/>
          <w:szCs w:val="21"/>
        </w:rPr>
      </w:pPr>
      <w:r>
        <w:rPr>
          <w:rFonts w:hint="eastAsia" w:ascii="宋体" w:hAnsi="宋体" w:cs="宋体"/>
          <w:bCs/>
          <w:szCs w:val="21"/>
        </w:rPr>
        <w:t xml:space="preserve">3.2 监狱企业需提供由省级以上监狱管理局、戒毒管理局（含新疆生产建设兵团）出具的属于监狱企业的证明文件。</w:t>
      </w:r>
      <w:r/>
    </w:p>
    <w:p>
      <w:pPr>
        <w:ind w:firstLine="420"/>
        <w:spacing w:line="360" w:lineRule="auto"/>
        <w:rPr>
          <w:rFonts w:ascii="宋体" w:hAnsi="宋体" w:cs="宋体"/>
          <w:bCs/>
          <w:szCs w:val="21"/>
        </w:rPr>
      </w:pPr>
      <w:r>
        <w:rPr>
          <w:rFonts w:hint="eastAsia" w:ascii="宋体" w:hAnsi="宋体" w:cs="宋体"/>
          <w:bCs/>
          <w:szCs w:val="21"/>
        </w:rPr>
        <w:t xml:space="preserve">3.3 监狱企业标准请参照《关于政府采购支持监狱企业发展有关问题的通知》（财库〔2014〕68号）。</w:t>
      </w:r>
      <w:r/>
    </w:p>
    <w:p>
      <w:pPr>
        <w:ind w:firstLine="420"/>
        <w:spacing w:line="360" w:lineRule="auto"/>
        <w:rPr>
          <w:rFonts w:ascii="宋体" w:hAnsi="宋体" w:cs="宋体"/>
          <w:bCs/>
          <w:szCs w:val="21"/>
        </w:rPr>
      </w:pPr>
      <w:r>
        <w:rPr>
          <w:rFonts w:hint="eastAsia" w:ascii="宋体" w:hAnsi="宋体" w:cs="宋体"/>
          <w:bCs/>
          <w:szCs w:val="21"/>
        </w:rPr>
        <w:t xml:space="preserve">4.残疾人福利性单位的价格扣除</w:t>
      </w:r>
      <w:r/>
    </w:p>
    <w:p>
      <w:pPr>
        <w:ind w:firstLine="420"/>
        <w:spacing w:line="360" w:lineRule="auto"/>
        <w:rPr>
          <w:rFonts w:ascii="宋体" w:hAnsi="宋体" w:cs="宋体"/>
          <w:bCs/>
          <w:szCs w:val="21"/>
        </w:rPr>
      </w:pPr>
      <w:r>
        <w:rPr>
          <w:rFonts w:hint="eastAsia" w:ascii="宋体" w:hAnsi="宋体" w:cs="宋体"/>
          <w:bCs/>
          <w:szCs w:val="21"/>
        </w:rPr>
        <w:t xml:space="preserve">4.1 本项目对残疾人福利性单位，给予10%的价格扣除，用扣除后的价格参与评审。</w:t>
      </w:r>
      <w:r/>
    </w:p>
    <w:p>
      <w:pPr>
        <w:ind w:firstLine="420"/>
        <w:spacing w:line="360" w:lineRule="auto"/>
        <w:rPr>
          <w:rFonts w:ascii="宋体" w:hAnsi="宋体" w:cs="宋体"/>
          <w:bCs/>
          <w:szCs w:val="21"/>
        </w:rPr>
      </w:pPr>
      <w:r>
        <w:rPr>
          <w:rFonts w:hint="eastAsia" w:ascii="宋体" w:hAnsi="宋体" w:cs="宋体"/>
          <w:bCs/>
          <w:szCs w:val="21"/>
        </w:rPr>
        <w:t xml:space="preserve">4.2 残疾人福利性单位需提供《残疾人福利性单位声明函》</w:t>
      </w:r>
      <w:r/>
    </w:p>
    <w:p>
      <w:pPr>
        <w:ind w:firstLine="420"/>
        <w:spacing w:line="360" w:lineRule="auto"/>
        <w:rPr>
          <w:rFonts w:ascii="宋体" w:hAnsi="宋体" w:cs="宋体"/>
          <w:bCs/>
          <w:szCs w:val="21"/>
        </w:rPr>
      </w:pPr>
      <w:r>
        <w:rPr>
          <w:rFonts w:hint="eastAsia" w:ascii="宋体" w:hAnsi="宋体" w:cs="宋体"/>
          <w:bCs/>
          <w:szCs w:val="21"/>
        </w:rPr>
        <w:t xml:space="preserve">4.3 残疾人福利性单位标准请参照《关于促进残疾人就业政府采购政策的通知》（财库〔2017〕141号）。</w:t>
      </w:r>
      <w:r/>
    </w:p>
    <w:p>
      <w:pPr>
        <w:ind w:firstLine="420"/>
        <w:spacing w:line="360" w:lineRule="auto"/>
        <w:rPr>
          <w:rFonts w:ascii="宋体" w:hAnsi="宋体" w:cs="宋体"/>
          <w:bCs/>
          <w:szCs w:val="21"/>
        </w:rPr>
      </w:pPr>
      <w:r>
        <w:rPr>
          <w:rFonts w:hint="eastAsia" w:ascii="宋体" w:hAnsi="宋体" w:cs="宋体"/>
          <w:bCs/>
          <w:szCs w:val="21"/>
        </w:rPr>
        <w:t xml:space="preserve">5. 监狱企业、残疾人福利性单位属于小型、微型企业的，不重复享受政策。</w:t>
      </w:r>
      <w:r/>
    </w:p>
    <w:p>
      <w:pPr>
        <w:ind w:firstLine="420"/>
        <w:spacing w:line="360" w:lineRule="auto"/>
        <w:rPr>
          <w:rFonts w:ascii="宋体" w:hAnsi="宋体" w:cs="宋体"/>
          <w:bCs/>
          <w:szCs w:val="21"/>
        </w:rPr>
      </w:pPr>
      <w:r>
        <w:rPr>
          <w:rFonts w:hint="eastAsia" w:ascii="宋体" w:hAnsi="宋体" w:cs="宋体"/>
          <w:bCs/>
          <w:szCs w:val="21"/>
        </w:rPr>
        <w:t xml:space="preserve">6.本国产品的价格扣除</w:t>
      </w:r>
      <w:r/>
    </w:p>
    <w:p>
      <w:pPr>
        <w:ind w:firstLine="420"/>
        <w:spacing w:line="360" w:lineRule="auto"/>
        <w:rPr>
          <w:rFonts w:ascii="宋体" w:hAnsi="宋体" w:cs="宋体"/>
          <w:bCs/>
          <w:szCs w:val="21"/>
        </w:rPr>
      </w:pPr>
      <w:r>
        <w:rPr>
          <w:rFonts w:hint="eastAsia" w:ascii="宋体" w:hAnsi="宋体" w:cs="宋体"/>
          <w:bCs/>
          <w:szCs w:val="21"/>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ascii="宋体" w:hAnsi="宋体" w:cs="宋体"/>
          <w:bCs/>
          <w:szCs w:val="21"/>
        </w:rPr>
      </w:pPr>
      <w:r>
        <w:rPr>
          <w:rFonts w:hint="eastAsia" w:ascii="宋体" w:hAnsi="宋体" w:cs="宋体"/>
          <w:bCs/>
          <w:szCs w:val="21"/>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bCs/>
          <w:szCs w:val="21"/>
        </w:rPr>
      </w:pPr>
      <w:r>
        <w:rPr>
          <w:rFonts w:hint="eastAsia" w:ascii="宋体" w:hAnsi="宋体" w:cs="宋体"/>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ascii="宋体" w:hAnsi="宋体" w:cs="宋体"/>
          <w:b/>
          <w:sz w:val="22"/>
          <w:szCs w:val="28"/>
        </w:rPr>
        <w:sectPr>
          <w:headerReference w:type="default" r:id="rId10"/>
          <w:footerReference w:type="default" r:id="rId11"/>
          <w:footerReference w:type="first" r:id="rId12"/>
          <w:footnotePr/>
          <w:endnotePr/>
          <w:type w:val="nextPage"/>
          <w:pgSz w:w="11905" w:h="16838" w:orient="portrait"/>
          <w:pgMar w:top="1440" w:right="1803" w:bottom="1440" w:left="1803" w:header="850" w:footer="992" w:gutter="0"/>
          <w:pgNumType w:start="1"/>
          <w:cols w:num="1" w:sep="0" w:space="0" w:equalWidth="1"/>
          <w:docGrid w:linePitch="360"/>
          <w:titlePg/>
        </w:sectPr>
      </w:pPr>
      <w:r>
        <w:rPr>
          <w:rFonts w:hint="eastAsia" w:ascii="宋体" w:hAnsi="宋体" w:cs="宋体"/>
          <w:b/>
          <w:sz w:val="22"/>
          <w:szCs w:val="28"/>
        </w:rPr>
        <w:br w:type="page" w:clear="all"/>
      </w:r>
      <w:r/>
    </w:p>
    <w:p>
      <w:pPr>
        <w:ind w:firstLine="420"/>
        <w:spacing w:before="317" w:after="317"/>
        <w:rPr>
          <w:b/>
          <w:sz w:val="32"/>
          <w:szCs w:val="22"/>
        </w:rPr>
        <w:outlineLvl w:val="1"/>
      </w:pPr>
      <w:r>
        <w:rPr>
          <w:rFonts w:hint="eastAsia"/>
          <w:b/>
          <w:sz w:val="32"/>
          <w:szCs w:val="22"/>
        </w:rPr>
        <w:t xml:space="preserve">采购包2：</w:t>
      </w:r>
      <w:r/>
    </w:p>
    <w:tbl>
      <w:tblPr>
        <w:tblStyle w:val="897"/>
        <w:tblW w:w="47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320"/>
        <w:gridCol w:w="5120"/>
        <w:gridCol w:w="725"/>
      </w:tblGrid>
      <w:tr>
        <w:trPr>
          <w:jc w:val="center"/>
          <w:trHeight w:val="676"/>
          <w:tblHeader/>
        </w:trPr>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br w:type="page" w:clear="all"/>
            </w:r>
            <w:r>
              <w:rPr>
                <w:rFonts w:hint="eastAsia" w:ascii="宋体" w:hAnsi="宋体" w:cs="宋体"/>
                <w:b/>
                <w:bCs/>
                <w:szCs w:val="21"/>
              </w:rPr>
              <w:t xml:space="preserve">序号</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843"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评分项目</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评分标准及细则</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00" w:lineRule="exact"/>
              <w:rPr>
                <w:rFonts w:ascii="宋体" w:hAnsi="宋体" w:cs="宋体"/>
                <w:b/>
                <w:bCs/>
                <w:szCs w:val="21"/>
              </w:rPr>
            </w:pPr>
            <w:r>
              <w:rPr>
                <w:rFonts w:hint="eastAsia" w:ascii="宋体" w:hAnsi="宋体" w:cs="宋体"/>
                <w:b/>
                <w:bCs/>
                <w:szCs w:val="21"/>
              </w:rPr>
              <w:t xml:space="preserve">分值</w:t>
            </w:r>
            <w:r/>
          </w:p>
        </w:tc>
      </w:tr>
      <w:tr>
        <w:trPr>
          <w:jc w:val="center"/>
          <w:trHeight w:val="5819"/>
        </w:trPr>
        <w:tc>
          <w:tcPr>
            <w:tcBorders>
              <w:top w:val="single" w:color="auto" w:sz="4" w:space="0"/>
              <w:left w:val="single" w:color="auto" w:sz="4" w:space="0"/>
              <w:bottom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843"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价格分采用低价优先法计算，即满足采购文件要求且报价最低的投标人的报价为评审基准价，其价格分为对应分值，其它投标人的价格分统一按照以下公式计算：报价得分=(评审基准价/该投标人的报价)×对应分值。按照以下分类报价</w:t>
            </w:r>
            <w:r>
              <w:rPr>
                <w:rFonts w:ascii="宋体" w:hAnsi="宋体" w:cs="宋体"/>
                <w:szCs w:val="21"/>
              </w:rPr>
              <w:t xml:space="preserve">：</w:t>
            </w:r>
            <w:r/>
          </w:p>
          <w:p>
            <w:pPr>
              <w:spacing w:line="400" w:lineRule="exact"/>
              <w:rPr>
                <w:rFonts w:ascii="宋体" w:hAnsi="宋体" w:cs="宋体"/>
                <w:bCs/>
                <w:szCs w:val="21"/>
              </w:rPr>
            </w:pPr>
            <w:r>
              <w:rPr>
                <w:rFonts w:hint="eastAsia" w:ascii="宋体" w:hAnsi="宋体" w:cs="宋体"/>
                <w:szCs w:val="21"/>
              </w:rPr>
              <w:t xml:space="preserve">报价1：</w:t>
            </w:r>
            <w:r>
              <w:rPr>
                <w:rFonts w:ascii="宋体" w:hAnsi="宋体" w:cs="宋体"/>
                <w:bCs/>
                <w:szCs w:val="21"/>
              </w:rPr>
              <w:t xml:space="preserve">45</w:t>
            </w:r>
            <w:r>
              <w:rPr>
                <w:rFonts w:hint="eastAsia" w:ascii="宋体" w:hAnsi="宋体" w:cs="宋体"/>
                <w:bCs/>
                <w:szCs w:val="21"/>
              </w:rPr>
              <w:t xml:space="preserve">岁以下在职</w:t>
            </w:r>
            <w:r>
              <w:rPr>
                <w:rFonts w:ascii="宋体" w:hAnsi="宋体" w:cs="宋体"/>
                <w:bCs/>
                <w:szCs w:val="21"/>
              </w:rPr>
              <w:t xml:space="preserve">男性套餐单价</w:t>
            </w:r>
            <w:r>
              <w:rPr>
                <w:rFonts w:hint="eastAsia" w:ascii="宋体" w:hAnsi="宋体" w:cs="宋体"/>
                <w:bCs/>
                <w:szCs w:val="21"/>
              </w:rPr>
              <w:t xml:space="preserve">，3分；</w:t>
            </w:r>
            <w:r/>
          </w:p>
          <w:p>
            <w:pPr>
              <w:spacing w:line="400" w:lineRule="exact"/>
              <w:rPr>
                <w:rFonts w:ascii="宋体" w:hAnsi="宋体" w:cs="宋体"/>
                <w:bCs/>
                <w:szCs w:val="21"/>
              </w:rPr>
            </w:pPr>
            <w:r>
              <w:rPr>
                <w:rFonts w:hint="eastAsia" w:ascii="宋体" w:hAnsi="宋体" w:cs="宋体"/>
                <w:bCs/>
                <w:szCs w:val="21"/>
              </w:rPr>
              <w:t xml:space="preserve">报价2：</w:t>
            </w:r>
            <w:r>
              <w:rPr>
                <w:rFonts w:ascii="宋体" w:hAnsi="宋体" w:cs="宋体"/>
                <w:bCs/>
                <w:szCs w:val="21"/>
              </w:rPr>
              <w:t xml:space="preserve">45</w:t>
            </w:r>
            <w:r>
              <w:rPr>
                <w:rFonts w:hint="eastAsia" w:ascii="宋体" w:hAnsi="宋体" w:cs="宋体"/>
                <w:bCs/>
                <w:szCs w:val="21"/>
              </w:rPr>
              <w:t xml:space="preserve">岁以下在职</w:t>
            </w:r>
            <w:r>
              <w:rPr>
                <w:rFonts w:ascii="宋体" w:hAnsi="宋体" w:cs="宋体"/>
                <w:bCs/>
                <w:szCs w:val="21"/>
              </w:rPr>
              <w:t xml:space="preserve">女性</w:t>
            </w:r>
            <w:r>
              <w:rPr>
                <w:rFonts w:hint="eastAsia" w:ascii="宋体" w:hAnsi="宋体" w:cs="宋体"/>
                <w:bCs/>
                <w:szCs w:val="21"/>
              </w:rPr>
              <w:t xml:space="preserve">已婚</w:t>
            </w:r>
            <w:r>
              <w:rPr>
                <w:rFonts w:ascii="宋体" w:hAnsi="宋体" w:cs="宋体"/>
                <w:bCs/>
                <w:szCs w:val="21"/>
              </w:rPr>
              <w:t xml:space="preserve">套餐单价</w:t>
            </w:r>
            <w:r>
              <w:rPr>
                <w:rFonts w:hint="eastAsia" w:ascii="宋体" w:hAnsi="宋体" w:cs="宋体"/>
                <w:bCs/>
                <w:szCs w:val="21"/>
              </w:rPr>
              <w:t xml:space="preserve">，4</w:t>
            </w:r>
            <w:r>
              <w:rPr>
                <w:rFonts w:ascii="宋体" w:hAnsi="宋体" w:cs="宋体"/>
                <w:bCs/>
                <w:szCs w:val="21"/>
              </w:rPr>
              <w:t xml:space="preserve">分</w:t>
            </w:r>
            <w:r>
              <w:rPr>
                <w:rFonts w:hint="eastAsia" w:ascii="宋体" w:hAnsi="宋体" w:cs="宋体"/>
                <w:bCs/>
                <w:szCs w:val="21"/>
              </w:rPr>
              <w:t xml:space="preserve">；</w:t>
            </w:r>
            <w:r/>
          </w:p>
          <w:p>
            <w:pPr>
              <w:spacing w:line="400" w:lineRule="exact"/>
              <w:rPr>
                <w:rFonts w:ascii="宋体" w:hAnsi="宋体" w:cs="宋体"/>
                <w:bCs/>
                <w:szCs w:val="21"/>
              </w:rPr>
            </w:pPr>
            <w:r>
              <w:rPr>
                <w:rFonts w:hint="eastAsia" w:ascii="宋体" w:hAnsi="宋体" w:cs="宋体"/>
                <w:bCs/>
                <w:szCs w:val="21"/>
              </w:rPr>
              <w:t xml:space="preserve">报价3：4</w:t>
            </w:r>
            <w:r>
              <w:rPr>
                <w:rFonts w:ascii="宋体" w:hAnsi="宋体" w:cs="宋体"/>
                <w:bCs/>
                <w:szCs w:val="21"/>
              </w:rPr>
              <w:t xml:space="preserve">5</w:t>
            </w:r>
            <w:r>
              <w:rPr>
                <w:rFonts w:hint="eastAsia" w:ascii="宋体" w:hAnsi="宋体" w:cs="宋体"/>
                <w:bCs/>
                <w:szCs w:val="21"/>
              </w:rPr>
              <w:t xml:space="preserve">岁以下在职女性未婚套餐单价，3</w:t>
            </w:r>
            <w:r>
              <w:rPr>
                <w:rFonts w:ascii="宋体" w:hAnsi="宋体" w:cs="宋体"/>
                <w:bCs/>
                <w:szCs w:val="21"/>
              </w:rPr>
              <w:t xml:space="preserve">分</w:t>
            </w:r>
            <w:r>
              <w:rPr>
                <w:rFonts w:hint="eastAsia" w:ascii="宋体" w:hAnsi="宋体" w:cs="宋体"/>
                <w:bCs/>
                <w:szCs w:val="21"/>
              </w:rPr>
              <w:t xml:space="preserve">；</w:t>
            </w:r>
            <w:r/>
          </w:p>
          <w:p>
            <w:pPr>
              <w:spacing w:line="400" w:lineRule="exact"/>
              <w:rPr>
                <w:rFonts w:ascii="宋体" w:hAnsi="宋体" w:cs="宋体"/>
                <w:bCs/>
                <w:szCs w:val="21"/>
              </w:rPr>
            </w:pPr>
            <w:r>
              <w:rPr>
                <w:rFonts w:hint="eastAsia" w:ascii="宋体" w:hAnsi="宋体" w:cs="宋体"/>
                <w:bCs/>
                <w:szCs w:val="21"/>
              </w:rPr>
              <w:t xml:space="preserve">报价4：</w:t>
            </w:r>
            <w:r>
              <w:rPr>
                <w:rFonts w:ascii="宋体" w:hAnsi="宋体" w:cs="宋体"/>
                <w:bCs/>
                <w:szCs w:val="21"/>
              </w:rPr>
              <w:t xml:space="preserve">45</w:t>
            </w:r>
            <w:r>
              <w:rPr>
                <w:rFonts w:hint="eastAsia" w:ascii="宋体" w:hAnsi="宋体" w:cs="宋体"/>
                <w:bCs/>
                <w:szCs w:val="21"/>
              </w:rPr>
              <w:t xml:space="preserve">岁（含）以上在职、正高职称、退休人员</w:t>
            </w:r>
            <w:r>
              <w:rPr>
                <w:rFonts w:ascii="宋体" w:hAnsi="宋体" w:cs="宋体"/>
                <w:bCs/>
                <w:szCs w:val="21"/>
              </w:rPr>
              <w:t xml:space="preserve">男性套餐单价</w:t>
            </w:r>
            <w:r>
              <w:rPr>
                <w:rFonts w:hint="eastAsia" w:ascii="宋体" w:hAnsi="宋体" w:cs="宋体"/>
                <w:bCs/>
                <w:szCs w:val="21"/>
              </w:rPr>
              <w:t xml:space="preserve">，3</w:t>
            </w:r>
            <w:r>
              <w:rPr>
                <w:rFonts w:ascii="宋体" w:hAnsi="宋体" w:cs="宋体"/>
                <w:bCs/>
                <w:szCs w:val="21"/>
              </w:rPr>
              <w:t xml:space="preserve">分</w:t>
            </w:r>
            <w:r>
              <w:rPr>
                <w:rFonts w:hint="eastAsia" w:ascii="宋体" w:hAnsi="宋体" w:cs="宋体"/>
                <w:bCs/>
                <w:szCs w:val="21"/>
              </w:rPr>
              <w:t xml:space="preserve">；</w:t>
            </w:r>
            <w:r/>
          </w:p>
          <w:p>
            <w:pPr>
              <w:spacing w:line="400" w:lineRule="exact"/>
              <w:rPr>
                <w:rFonts w:ascii="宋体" w:hAnsi="宋体" w:cs="宋体"/>
                <w:bCs/>
                <w:szCs w:val="21"/>
              </w:rPr>
            </w:pPr>
            <w:r>
              <w:rPr>
                <w:rFonts w:hint="eastAsia" w:ascii="宋体" w:hAnsi="宋体" w:cs="宋体"/>
                <w:bCs/>
                <w:szCs w:val="21"/>
              </w:rPr>
              <w:t xml:space="preserve">报价</w:t>
            </w:r>
            <w:r>
              <w:rPr>
                <w:rFonts w:ascii="宋体" w:hAnsi="宋体" w:cs="宋体"/>
                <w:bCs/>
                <w:szCs w:val="21"/>
              </w:rPr>
              <w:t xml:space="preserve">5</w:t>
            </w:r>
            <w:r>
              <w:rPr>
                <w:rFonts w:hint="eastAsia" w:ascii="宋体" w:hAnsi="宋体" w:cs="宋体"/>
                <w:bCs/>
                <w:szCs w:val="21"/>
              </w:rPr>
              <w:t xml:space="preserve">：</w:t>
            </w:r>
            <w:r>
              <w:rPr>
                <w:rFonts w:ascii="宋体" w:hAnsi="宋体" w:cs="宋体"/>
                <w:bCs/>
                <w:szCs w:val="21"/>
              </w:rPr>
              <w:t xml:space="preserve">45</w:t>
            </w:r>
            <w:r>
              <w:rPr>
                <w:rFonts w:hint="eastAsia" w:ascii="宋体" w:hAnsi="宋体" w:cs="宋体"/>
                <w:bCs/>
                <w:szCs w:val="21"/>
              </w:rPr>
              <w:t xml:space="preserve">岁（含）以上在职、正高职称、退休人员</w:t>
            </w:r>
            <w:r>
              <w:rPr>
                <w:rFonts w:ascii="宋体" w:hAnsi="宋体" w:cs="宋体"/>
                <w:bCs/>
                <w:szCs w:val="21"/>
              </w:rPr>
              <w:t xml:space="preserve">女性</w:t>
            </w:r>
            <w:r>
              <w:rPr>
                <w:rFonts w:hint="eastAsia" w:ascii="宋体" w:hAnsi="宋体" w:cs="宋体"/>
                <w:bCs/>
                <w:szCs w:val="21"/>
              </w:rPr>
              <w:t xml:space="preserve">已婚</w:t>
            </w:r>
            <w:r>
              <w:rPr>
                <w:rFonts w:ascii="宋体" w:hAnsi="宋体" w:cs="宋体"/>
                <w:bCs/>
                <w:szCs w:val="21"/>
              </w:rPr>
              <w:t xml:space="preserve">套餐单价</w:t>
            </w:r>
            <w:r>
              <w:rPr>
                <w:rFonts w:hint="eastAsia" w:ascii="宋体" w:hAnsi="宋体" w:cs="宋体"/>
                <w:bCs/>
                <w:szCs w:val="21"/>
              </w:rPr>
              <w:t xml:space="preserve">，4</w:t>
            </w:r>
            <w:r>
              <w:rPr>
                <w:rFonts w:ascii="宋体" w:hAnsi="宋体" w:cs="宋体"/>
                <w:bCs/>
                <w:szCs w:val="21"/>
              </w:rPr>
              <w:t xml:space="preserve">分</w:t>
            </w:r>
            <w:r>
              <w:rPr>
                <w:rFonts w:hint="eastAsia" w:ascii="宋体" w:hAnsi="宋体" w:cs="宋体"/>
                <w:bCs/>
                <w:szCs w:val="21"/>
              </w:rPr>
              <w:t xml:space="preserve">；</w:t>
            </w:r>
            <w:r/>
          </w:p>
          <w:p>
            <w:pPr>
              <w:spacing w:line="400" w:lineRule="exact"/>
              <w:rPr>
                <w:rFonts w:ascii="宋体" w:hAnsi="宋体" w:cs="宋体"/>
                <w:szCs w:val="21"/>
              </w:rPr>
            </w:pPr>
            <w:r>
              <w:rPr>
                <w:rFonts w:hint="eastAsia" w:ascii="宋体" w:hAnsi="宋体" w:cs="宋体"/>
                <w:bCs/>
                <w:szCs w:val="21"/>
              </w:rPr>
              <w:t xml:space="preserve">报价</w:t>
            </w:r>
            <w:r>
              <w:rPr>
                <w:rFonts w:ascii="宋体" w:hAnsi="宋体" w:cs="宋体"/>
                <w:bCs/>
                <w:szCs w:val="21"/>
              </w:rPr>
              <w:t xml:space="preserve">6</w:t>
            </w:r>
            <w:r>
              <w:rPr>
                <w:rFonts w:hint="eastAsia" w:ascii="宋体" w:hAnsi="宋体" w:cs="宋体"/>
                <w:bCs/>
                <w:szCs w:val="21"/>
              </w:rPr>
              <w:t xml:space="preserve">：</w:t>
            </w:r>
            <w:r>
              <w:rPr>
                <w:rFonts w:ascii="宋体" w:hAnsi="宋体" w:cs="宋体"/>
                <w:bCs/>
                <w:szCs w:val="21"/>
              </w:rPr>
              <w:t xml:space="preserve">45</w:t>
            </w:r>
            <w:r>
              <w:rPr>
                <w:rFonts w:hint="eastAsia" w:ascii="宋体" w:hAnsi="宋体" w:cs="宋体"/>
                <w:bCs/>
                <w:szCs w:val="21"/>
              </w:rPr>
              <w:t xml:space="preserve">岁（含）以上在职、正高职称、退休人员</w:t>
            </w:r>
            <w:r>
              <w:rPr>
                <w:rFonts w:ascii="宋体" w:hAnsi="宋体" w:cs="宋体"/>
                <w:bCs/>
                <w:szCs w:val="21"/>
              </w:rPr>
              <w:t xml:space="preserve">女性</w:t>
            </w:r>
            <w:r>
              <w:rPr>
                <w:rFonts w:hint="eastAsia" w:ascii="宋体" w:hAnsi="宋体" w:cs="宋体"/>
                <w:bCs/>
                <w:szCs w:val="21"/>
              </w:rPr>
              <w:t xml:space="preserve">未婚</w:t>
            </w:r>
            <w:r>
              <w:rPr>
                <w:rFonts w:ascii="宋体" w:hAnsi="宋体" w:cs="宋体"/>
                <w:bCs/>
                <w:szCs w:val="21"/>
              </w:rPr>
              <w:t xml:space="preserve">套餐单价</w:t>
            </w:r>
            <w:r>
              <w:rPr>
                <w:rFonts w:hint="eastAsia" w:ascii="宋体" w:hAnsi="宋体" w:cs="宋体"/>
                <w:bCs/>
                <w:szCs w:val="21"/>
              </w:rPr>
              <w:t xml:space="preserve">，3</w:t>
            </w:r>
            <w:r>
              <w:rPr>
                <w:rFonts w:ascii="宋体" w:hAnsi="宋体" w:cs="宋体"/>
                <w:bCs/>
                <w:szCs w:val="21"/>
              </w:rPr>
              <w:t xml:space="preserve">分</w:t>
            </w: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00" w:lineRule="exact"/>
              <w:rPr>
                <w:rFonts w:ascii="宋体" w:hAnsi="宋体" w:cs="宋体"/>
                <w:szCs w:val="21"/>
              </w:rPr>
            </w:pPr>
            <w:r>
              <w:rPr>
                <w:rFonts w:ascii="宋体" w:hAnsi="宋体" w:cs="宋体"/>
                <w:szCs w:val="21"/>
              </w:rPr>
              <w:t xml:space="preserve">2</w:t>
            </w:r>
            <w:r>
              <w:rPr>
                <w:rFonts w:hint="eastAsia" w:ascii="宋体" w:hAnsi="宋体" w:cs="宋体"/>
                <w:szCs w:val="21"/>
              </w:rPr>
              <w:t xml:space="preserve">0</w:t>
            </w:r>
            <w:r/>
          </w:p>
        </w:tc>
      </w:tr>
      <w:tr>
        <w:trPr>
          <w:jc w:val="center"/>
          <w:trHeight w:val="1407"/>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2</w:t>
            </w:r>
            <w:r/>
          </w:p>
        </w:tc>
        <w:tc>
          <w:tcPr>
            <w:tcBorders>
              <w:left w:val="single" w:color="auto" w:sz="4" w:space="0"/>
              <w:right w:val="single" w:color="auto" w:sz="4" w:space="0"/>
            </w:tcBorders>
            <w:tcW w:w="843"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投标人提供自2023年10月1日以来</w:t>
            </w:r>
            <w:r>
              <w:rPr>
                <w:rFonts w:hint="eastAsia" w:ascii="宋体" w:hAnsi="宋体" w:cs="宋体"/>
                <w:b/>
                <w:bCs/>
                <w:szCs w:val="21"/>
              </w:rPr>
              <w:t xml:space="preserve">（以合同签订时间为准）</w:t>
            </w:r>
            <w:r>
              <w:rPr>
                <w:rFonts w:hint="eastAsia" w:ascii="宋体" w:hAnsi="宋体" w:cs="宋体"/>
                <w:szCs w:val="21"/>
              </w:rPr>
              <w:t xml:space="preserve">承担过类似项目体检服务的业绩，每提供一个业绩得3分，最高9分。（提供合同复印件并加盖公章，</w:t>
            </w:r>
            <w:r>
              <w:rPr>
                <w:rFonts w:ascii="宋体" w:hAnsi="宋体" w:cs="宋体"/>
                <w:szCs w:val="21"/>
              </w:rPr>
              <w:t xml:space="preserve">合同中必须能够体现体检服务内容、服务对象，仅框架协议无执行证明不计分</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9</w:t>
            </w:r>
            <w:r/>
          </w:p>
        </w:tc>
      </w:tr>
      <w:tr>
        <w:trPr>
          <w:jc w:val="center"/>
          <w:trHeight w:val="537"/>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3</w:t>
            </w:r>
            <w:r/>
          </w:p>
        </w:tc>
        <w:tc>
          <w:tcPr>
            <w:tcBorders>
              <w:left w:val="single" w:color="auto" w:sz="4" w:space="0"/>
              <w:right w:val="single" w:color="auto" w:sz="4" w:space="0"/>
            </w:tcBorders>
            <w:tcW w:w="843"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技术力量</w:t>
            </w:r>
            <w:r/>
          </w:p>
        </w:tc>
        <w:tc>
          <w:tcPr>
            <w:tcBorders>
              <w:top w:val="single" w:color="auto" w:sz="4" w:space="0"/>
              <w:left w:val="single" w:color="auto" w:sz="4" w:space="0"/>
              <w:bottom w:val="single" w:color="auto" w:sz="4" w:space="0"/>
              <w:right w:val="single" w:color="auto" w:sz="4" w:space="0"/>
            </w:tcBorders>
            <w:tcW w:w="3269" w:type="pct"/>
            <w:vAlign w:val="center"/>
            <w:textDirection w:val="lrTb"/>
            <w:noWrap w:val="false"/>
          </w:tcPr>
          <w:p>
            <w:pPr>
              <w:spacing w:line="400" w:lineRule="exact"/>
              <w:rPr>
                <w:rFonts w:ascii="宋体" w:hAnsi="宋体" w:cs="宋体"/>
                <w:szCs w:val="21"/>
                <w:highlight w:val="none"/>
              </w:rPr>
            </w:pPr>
            <w:r>
              <w:rPr>
                <w:rFonts w:hint="eastAsia" w:ascii="宋体" w:hAnsi="宋体" w:cs="宋体"/>
                <w:b/>
                <w:bCs/>
                <w:szCs w:val="21"/>
                <w:highlight w:val="none"/>
              </w:rPr>
              <w:t xml:space="preserve">提供本项目各科室拟派体检医生、护士一览表</w:t>
            </w:r>
            <w:r>
              <w:rPr>
                <w:rFonts w:hint="eastAsia" w:ascii="宋体" w:hAnsi="宋体" w:cs="宋体"/>
                <w:szCs w:val="21"/>
                <w:highlight w:val="none"/>
              </w:rPr>
              <w:t xml:space="preserve">（医生必须提供医师资格证书、医师执业证书、专业技术资格证</w:t>
            </w:r>
            <w:r>
              <w:rPr>
                <w:rFonts w:hint="eastAsia" w:ascii="宋体" w:hAnsi="宋体" w:cs="宋体"/>
                <w:b/>
                <w:bCs/>
                <w:szCs w:val="21"/>
                <w:highlight w:val="none"/>
              </w:rPr>
              <w:t xml:space="preserve">的姓名页、证书编号页、有内容的变更注册记录页以及执业记录页</w:t>
            </w:r>
            <w:r>
              <w:rPr>
                <w:rFonts w:hint="eastAsia" w:ascii="宋体" w:hAnsi="宋体" w:cs="宋体"/>
                <w:szCs w:val="21"/>
                <w:highlight w:val="none"/>
              </w:rPr>
              <w:t xml:space="preserve">扫描件，护士必须提供护士执业证书的</w:t>
            </w:r>
            <w:r>
              <w:rPr>
                <w:rFonts w:hint="eastAsia" w:ascii="宋体" w:hAnsi="宋体" w:cs="宋体"/>
                <w:b/>
                <w:bCs/>
                <w:szCs w:val="21"/>
                <w:highlight w:val="none"/>
              </w:rPr>
              <w:t xml:space="preserve">姓名及编号页、有内容的变更注册页及延续注册页</w:t>
            </w:r>
            <w:r>
              <w:rPr>
                <w:rFonts w:hint="eastAsia" w:ascii="宋体" w:hAnsi="宋体" w:cs="宋体"/>
                <w:szCs w:val="21"/>
                <w:highlight w:val="none"/>
              </w:rPr>
              <w:t xml:space="preserve">扫描件，提供的证明材料必须能体现评审内容，否则视为未提供）：</w:t>
            </w:r>
            <w:r/>
          </w:p>
          <w:p>
            <w:pPr>
              <w:spacing w:line="400" w:lineRule="exact"/>
              <w:rPr>
                <w:rFonts w:ascii="宋体" w:hAnsi="宋体" w:cs="宋体"/>
                <w:szCs w:val="21"/>
                <w:highlight w:val="none"/>
              </w:rPr>
            </w:pPr>
            <w:r>
              <w:rPr>
                <w:rFonts w:hint="eastAsia" w:ascii="宋体" w:hAnsi="宋体" w:cs="宋体"/>
                <w:szCs w:val="21"/>
                <w:highlight w:val="none"/>
              </w:rPr>
              <w:t xml:space="preserve">1.总审医生：每提供一名高级（副主任医师或主任医师）职称医师得1分，本条满分</w:t>
            </w:r>
            <w:r>
              <w:rPr>
                <w:rFonts w:ascii="宋体" w:hAnsi="宋体" w:cs="宋体"/>
                <w:szCs w:val="21"/>
                <w:highlight w:val="none"/>
              </w:rPr>
              <w:t xml:space="preserve">4</w:t>
            </w:r>
            <w:r>
              <w:rPr>
                <w:rFonts w:hint="eastAsia" w:ascii="宋体" w:hAnsi="宋体" w:cs="宋体"/>
                <w:szCs w:val="21"/>
                <w:highlight w:val="none"/>
              </w:rPr>
              <w:t xml:space="preserve">分；</w:t>
            </w:r>
            <w:r/>
          </w:p>
          <w:p>
            <w:pPr>
              <w:spacing w:line="400" w:lineRule="exact"/>
              <w:rPr>
                <w:rFonts w:ascii="宋体" w:hAnsi="宋体" w:cs="宋体"/>
                <w:szCs w:val="21"/>
                <w:highlight w:val="none"/>
              </w:rPr>
            </w:pPr>
            <w:r>
              <w:rPr>
                <w:rFonts w:hint="eastAsia" w:ascii="宋体" w:hAnsi="宋体" w:cs="宋体"/>
                <w:szCs w:val="21"/>
                <w:highlight w:val="none"/>
              </w:rPr>
              <w:t xml:space="preserve">2.B超医生：每提供一名高级（副主任医师或主任医师）职称医师得1分，本条满分4分；</w:t>
            </w:r>
            <w:r/>
          </w:p>
          <w:p>
            <w:pPr>
              <w:spacing w:line="400" w:lineRule="exact"/>
              <w:rPr>
                <w:rFonts w:ascii="宋体" w:hAnsi="宋体" w:cs="宋体"/>
                <w:szCs w:val="21"/>
                <w:highlight w:val="none"/>
              </w:rPr>
            </w:pPr>
            <w:r>
              <w:rPr>
                <w:rFonts w:hint="eastAsia" w:ascii="宋体" w:hAnsi="宋体" w:cs="宋体"/>
                <w:szCs w:val="21"/>
                <w:highlight w:val="none"/>
              </w:rPr>
              <w:t xml:space="preserve">3.妇科医生：每提供一名高级（副主任医师或主任医师）职称医师得1分，本条满分</w:t>
            </w:r>
            <w:r>
              <w:rPr>
                <w:rFonts w:ascii="宋体" w:hAnsi="宋体" w:cs="宋体"/>
                <w:szCs w:val="21"/>
                <w:highlight w:val="none"/>
              </w:rPr>
              <w:t xml:space="preserve">4</w:t>
            </w:r>
            <w:r>
              <w:rPr>
                <w:rFonts w:hint="eastAsia" w:ascii="宋体" w:hAnsi="宋体" w:cs="宋体"/>
                <w:szCs w:val="21"/>
                <w:highlight w:val="none"/>
              </w:rPr>
              <w:t xml:space="preserve">分；</w:t>
            </w:r>
            <w:r/>
          </w:p>
          <w:p>
            <w:pPr>
              <w:spacing w:line="400" w:lineRule="exact"/>
              <w:rPr>
                <w:rFonts w:ascii="宋体" w:hAnsi="宋体" w:cs="宋体"/>
                <w:szCs w:val="21"/>
                <w:highlight w:val="none"/>
              </w:rPr>
            </w:pPr>
            <w:r>
              <w:rPr>
                <w:rFonts w:hint="eastAsia" w:ascii="宋体" w:hAnsi="宋体" w:cs="宋体"/>
                <w:szCs w:val="21"/>
                <w:highlight w:val="none"/>
              </w:rPr>
              <w:t xml:space="preserve">4.放射科医生：每提供一名高级（副主任医师或主任医师）职称医师得1分，本条满分4分；</w:t>
            </w:r>
            <w:r/>
          </w:p>
          <w:p>
            <w:pPr>
              <w:spacing w:line="400" w:lineRule="exact"/>
              <w:rPr>
                <w:rFonts w:ascii="宋体" w:hAnsi="宋体" w:cs="宋体"/>
                <w:szCs w:val="21"/>
                <w:highlight w:val="none"/>
              </w:rPr>
            </w:pPr>
            <w:r>
              <w:rPr>
                <w:rFonts w:hint="eastAsia" w:ascii="宋体" w:hAnsi="宋体" w:cs="宋体"/>
                <w:szCs w:val="21"/>
                <w:highlight w:val="none"/>
              </w:rPr>
              <w:t xml:space="preserve">5.内科医生：每提供一名高级（副主任医师或主任医师）职称医师得1分，本条满分</w:t>
            </w:r>
            <w:r>
              <w:rPr>
                <w:rFonts w:ascii="宋体" w:hAnsi="宋体" w:cs="宋体"/>
                <w:szCs w:val="21"/>
                <w:highlight w:val="none"/>
              </w:rPr>
              <w:t xml:space="preserve">4</w:t>
            </w:r>
            <w:r>
              <w:rPr>
                <w:rFonts w:hint="eastAsia" w:ascii="宋体" w:hAnsi="宋体" w:cs="宋体"/>
                <w:szCs w:val="21"/>
                <w:highlight w:val="none"/>
              </w:rPr>
              <w:t xml:space="preserve">分；</w:t>
            </w:r>
            <w:r/>
          </w:p>
          <w:p>
            <w:pPr>
              <w:spacing w:line="400" w:lineRule="exact"/>
              <w:rPr>
                <w:rFonts w:ascii="宋体" w:hAnsi="宋体" w:cs="宋体"/>
                <w:szCs w:val="21"/>
                <w:highlight w:val="none"/>
              </w:rPr>
            </w:pPr>
            <w:r>
              <w:rPr>
                <w:rFonts w:hint="eastAsia" w:ascii="宋体" w:hAnsi="宋体" w:cs="宋体"/>
                <w:szCs w:val="21"/>
                <w:highlight w:val="none"/>
              </w:rPr>
              <w:t xml:space="preserve">6.外科医生：每提供一名高级（副主任医师或主任医师）职称医师得1分，本条满分</w:t>
            </w:r>
            <w:r>
              <w:rPr>
                <w:rFonts w:ascii="宋体" w:hAnsi="宋体" w:cs="宋体"/>
                <w:szCs w:val="21"/>
                <w:highlight w:val="none"/>
              </w:rPr>
              <w:t xml:space="preserve">4</w:t>
            </w:r>
            <w:r>
              <w:rPr>
                <w:rFonts w:hint="eastAsia" w:ascii="宋体" w:hAnsi="宋体" w:cs="宋体"/>
                <w:szCs w:val="21"/>
                <w:highlight w:val="none"/>
              </w:rPr>
              <w:t xml:space="preserve">分。</w:t>
            </w:r>
            <w:r/>
          </w:p>
          <w:p>
            <w:pPr>
              <w:spacing w:line="400" w:lineRule="exact"/>
              <w:rPr>
                <w:rFonts w:ascii="宋体" w:hAnsi="宋体" w:cs="宋体"/>
                <w:szCs w:val="21"/>
                <w:highlight w:val="none"/>
              </w:rPr>
            </w:pPr>
            <w:r>
              <w:rPr>
                <w:rFonts w:hint="eastAsia" w:ascii="宋体" w:hAnsi="宋体" w:cs="宋体"/>
                <w:szCs w:val="21"/>
                <w:highlight w:val="none"/>
              </w:rPr>
              <w:t xml:space="preserve">7.护理：有10-</w:t>
            </w:r>
            <w:r>
              <w:rPr>
                <w:rFonts w:ascii="宋体" w:hAnsi="宋体" w:cs="宋体"/>
                <w:szCs w:val="21"/>
                <w:highlight w:val="none"/>
              </w:rPr>
              <w:t xml:space="preserve">19</w:t>
            </w:r>
            <w:r>
              <w:rPr>
                <w:rFonts w:hint="eastAsia" w:ascii="宋体" w:hAnsi="宋体" w:cs="宋体"/>
                <w:szCs w:val="21"/>
                <w:highlight w:val="none"/>
              </w:rPr>
              <w:t xml:space="preserve">名注册专职护士，得1分；有20名及以上注册专职护士，得3分，本条满分3分；</w:t>
            </w:r>
            <w:r/>
          </w:p>
          <w:p>
            <w:pPr>
              <w:spacing w:line="400" w:lineRule="exact"/>
              <w:rPr>
                <w:rFonts w:ascii="宋体" w:hAnsi="宋体" w:cs="宋体"/>
                <w:b/>
                <w:bCs/>
                <w:szCs w:val="21"/>
                <w:highlight w:val="none"/>
              </w:rPr>
            </w:pPr>
            <w:r>
              <w:rPr>
                <w:rFonts w:hint="eastAsia" w:ascii="宋体" w:hAnsi="宋体" w:cs="宋体"/>
                <w:szCs w:val="21"/>
                <w:highlight w:val="none"/>
              </w:rPr>
              <w:t xml:space="preserve">拟派体检医生要求执业地点与投标主体医院的地点一致，若医师申请多点执业，须提供证明，否则不计分。</w:t>
            </w:r>
            <w:r>
              <w:rPr>
                <w:rFonts w:hint="eastAsia" w:ascii="宋体" w:hAnsi="宋体" w:cs="宋体"/>
                <w:b/>
                <w:bCs/>
                <w:szCs w:val="21"/>
                <w:highlight w:val="none"/>
              </w:rPr>
              <w:t xml:space="preserve">（医师多点执业可从国家卫生健康委员会电子化注册信息系统查询、截图打印，须同时提供该医师与投标单位签订的劳务聘用/服务协议；未提供的不予计分。）</w:t>
            </w:r>
            <w:r/>
          </w:p>
          <w:p>
            <w:pPr>
              <w:spacing w:line="400" w:lineRule="exact"/>
              <w:rPr>
                <w:rFonts w:ascii="宋体" w:hAnsi="宋体" w:cs="宋体"/>
                <w:szCs w:val="21"/>
                <w:highlight w:val="none"/>
              </w:rPr>
            </w:pPr>
            <w:r>
              <w:rPr>
                <w:rFonts w:hint="eastAsia" w:ascii="宋体" w:hAnsi="宋体" w:cs="宋体"/>
                <w:szCs w:val="21"/>
                <w:highlight w:val="none"/>
              </w:rPr>
              <w:t xml:space="preserve">中标后采购人有权核查拟派人员在岗情况，如实际进场人员与投标文件不一致，按虚假响应、违约处理。</w:t>
            </w:r>
            <w:r/>
          </w:p>
        </w:tc>
        <w:tc>
          <w:tcPr>
            <w:tcBorders>
              <w:top w:val="single" w:color="auto" w:sz="4" w:space="0"/>
              <w:left w:val="single" w:color="auto" w:sz="4" w:space="0"/>
              <w:bottom w:val="single" w:color="auto" w:sz="4" w:space="0"/>
              <w:right w:val="single" w:color="auto" w:sz="4" w:space="0"/>
            </w:tcBorders>
            <w:tcW w:w="463" w:type="pct"/>
            <w:vAlign w:val="center"/>
            <w:textDirection w:val="lrTb"/>
            <w:noWrap w:val="false"/>
          </w:tcPr>
          <w:p>
            <w:pPr>
              <w:jc w:val="center"/>
              <w:spacing w:line="300" w:lineRule="exact"/>
              <w:rPr>
                <w:rFonts w:ascii="宋体" w:hAnsi="宋体" w:cs="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7</w:t>
            </w:r>
            <w:r/>
          </w:p>
        </w:tc>
      </w:tr>
      <w:tr>
        <w:trPr>
          <w:jc w:val="center"/>
          <w:trHeight w:val="90"/>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4</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设备数量</w:t>
            </w:r>
            <w:r/>
          </w:p>
        </w:tc>
        <w:tc>
          <w:tcPr>
            <w:tcBorders>
              <w:top w:val="single" w:color="auto" w:sz="4" w:space="0"/>
              <w:left w:val="single" w:color="auto" w:sz="4" w:space="0"/>
              <w:right w:val="single" w:color="auto" w:sz="4" w:space="0"/>
            </w:tcBorders>
            <w:tcW w:w="3269" w:type="pct"/>
            <w:vAlign w:val="center"/>
            <w:textDirection w:val="lrTb"/>
            <w:noWrap w:val="false"/>
          </w:tcPr>
          <w:p>
            <w:pPr>
              <w:spacing w:line="40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超声诊断仪超声源：</w:t>
            </w:r>
            <w:r>
              <w:rPr>
                <w:rFonts w:hint="eastAsia" w:ascii="宋体" w:hAnsi="宋体" w:cs="宋体"/>
                <w:szCs w:val="21"/>
                <w:highlight w:val="none"/>
              </w:rPr>
              <w:t xml:space="preserve">体检专用（</w:t>
            </w:r>
            <w:r>
              <w:rPr>
                <w:rFonts w:hint="eastAsia" w:ascii="宋体" w:hAnsi="宋体" w:cs="宋体"/>
                <w:b/>
                <w:bCs/>
                <w:szCs w:val="21"/>
                <w:highlight w:val="none"/>
              </w:rPr>
              <w:t xml:space="preserve">仅计算投标主体点</w:t>
            </w:r>
            <w:r>
              <w:rPr>
                <w:rFonts w:hint="eastAsia" w:ascii="宋体" w:hAnsi="宋体" w:cs="宋体"/>
                <w:szCs w:val="21"/>
                <w:highlight w:val="none"/>
              </w:rPr>
              <w:t xml:space="preserve">）的超声诊断仪超声源数量，提供5台以下不得分，提供5台得1分，超过5台的，每增加1台加</w:t>
            </w:r>
            <w:r>
              <w:rPr>
                <w:rFonts w:ascii="宋体" w:hAnsi="宋体" w:cs="宋体"/>
                <w:szCs w:val="21"/>
                <w:highlight w:val="none"/>
              </w:rPr>
              <w:t xml:space="preserve">1</w:t>
            </w:r>
            <w:r>
              <w:rPr>
                <w:rFonts w:hint="eastAsia" w:ascii="宋体" w:hAnsi="宋体" w:cs="宋体"/>
                <w:szCs w:val="21"/>
                <w:highlight w:val="none"/>
              </w:rPr>
              <w:t xml:space="preserve">分，最多得4分。</w:t>
            </w:r>
            <w:r/>
          </w:p>
          <w:p>
            <w:pPr>
              <w:spacing w:line="400" w:lineRule="exact"/>
              <w:rPr>
                <w:rFonts w:ascii="宋体" w:hAnsi="宋体" w:cs="宋体"/>
                <w:szCs w:val="21"/>
              </w:rPr>
            </w:pPr>
            <w:r>
              <w:rPr>
                <w:rFonts w:hint="eastAsia" w:ascii="宋体" w:hAnsi="宋体" w:cs="宋体"/>
                <w:szCs w:val="21"/>
                <w:highlight w:val="none"/>
              </w:rPr>
              <w:t xml:space="preserve">2、</w:t>
            </w:r>
            <w:r>
              <w:rPr>
                <w:rFonts w:hint="eastAsia" w:ascii="宋体" w:hAnsi="宋体" w:cs="宋体"/>
                <w:b/>
                <w:bCs/>
                <w:szCs w:val="21"/>
                <w:highlight w:val="none"/>
              </w:rPr>
              <w:t xml:space="preserve">CT：</w:t>
            </w:r>
            <w:r>
              <w:rPr>
                <w:rFonts w:hint="eastAsia" w:ascii="宋体" w:hAnsi="宋体" w:cs="宋体"/>
                <w:bCs/>
                <w:szCs w:val="21"/>
                <w:highlight w:val="none"/>
              </w:rPr>
              <w:t xml:space="preserve">体检专用的CT数量（仅计算投标主体点的CT，须为</w:t>
            </w:r>
            <w:r>
              <w:rPr>
                <w:rFonts w:ascii="宋体" w:hAnsi="宋体" w:cs="宋体"/>
                <w:bCs/>
                <w:szCs w:val="21"/>
                <w:highlight w:val="none"/>
              </w:rPr>
              <w:t xml:space="preserve">16</w:t>
            </w:r>
            <w:r>
              <w:rPr>
                <w:rFonts w:hint="eastAsia" w:ascii="宋体" w:hAnsi="宋体" w:cs="宋体"/>
                <w:bCs/>
                <w:szCs w:val="21"/>
                <w:highlight w:val="none"/>
              </w:rPr>
              <w:t xml:space="preserve">排及以上CT，提供CT品牌名称、设定层厚、放射剂量参数等），每提供1台得1分，最多</w:t>
            </w:r>
            <w:r>
              <w:rPr>
                <w:rFonts w:ascii="宋体" w:hAnsi="宋体" w:cs="宋体"/>
                <w:bCs/>
                <w:szCs w:val="21"/>
                <w:highlight w:val="none"/>
              </w:rPr>
              <w:t xml:space="preserve">9</w:t>
            </w:r>
            <w:r>
              <w:rPr>
                <w:rFonts w:hint="eastAsia" w:ascii="宋体" w:hAnsi="宋体" w:cs="宋体"/>
                <w:bCs/>
                <w:szCs w:val="21"/>
                <w:highlight w:val="none"/>
              </w:rPr>
              <w:t xml:space="preserve">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hint="eastAsia" w:ascii="宋体" w:hAnsi="宋体" w:cs="宋体"/>
                <w:szCs w:val="21"/>
              </w:rPr>
              <w:t xml:space="preserve">13</w:t>
            </w:r>
            <w:r/>
          </w:p>
        </w:tc>
      </w:tr>
      <w:tr>
        <w:trPr>
          <w:jc w:val="center"/>
          <w:trHeight w:val="487"/>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5</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距离及交通</w:t>
            </w:r>
            <w:r/>
          </w:p>
        </w:tc>
        <w:tc>
          <w:tcPr>
            <w:tcBorders>
              <w:top w:val="single" w:color="auto" w:sz="4" w:space="0"/>
              <w:left w:val="single" w:color="auto" w:sz="4" w:space="0"/>
              <w:right w:val="single" w:color="auto" w:sz="4" w:space="0"/>
            </w:tcBorders>
            <w:tcW w:w="3269"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公共交通：</w:t>
            </w:r>
            <w:r/>
          </w:p>
          <w:p>
            <w:pPr>
              <w:spacing w:line="400" w:lineRule="exact"/>
              <w:rPr>
                <w:rFonts w:ascii="宋体" w:hAnsi="宋体" w:cs="宋体"/>
                <w:szCs w:val="21"/>
              </w:rPr>
            </w:pPr>
            <w:r>
              <w:rPr>
                <w:rFonts w:hint="eastAsia" w:ascii="宋体" w:hAnsi="宋体" w:cs="宋体"/>
                <w:szCs w:val="21"/>
              </w:rPr>
              <w:t xml:space="preserve">——体检地点交通非常便利，体检点距离地铁出站口或公交站，步行距离≤500米，得</w:t>
            </w:r>
            <w:r>
              <w:rPr>
                <w:rFonts w:ascii="宋体" w:hAnsi="宋体" w:cs="宋体"/>
                <w:szCs w:val="21"/>
              </w:rPr>
              <w:t xml:space="preserve">3</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——体检地点交通较为便利，体检点距离地铁出站口或公交站，步行距离≤1000米，得</w:t>
            </w:r>
            <w:r>
              <w:rPr>
                <w:rFonts w:ascii="宋体" w:hAnsi="宋体" w:cs="宋体"/>
                <w:szCs w:val="21"/>
              </w:rPr>
              <w:t xml:space="preserve">1</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——体检地点交通不方便，体检点距离地铁出站口或公交站，步行距离均超过1000米，不得分。</w:t>
            </w:r>
            <w:r/>
          </w:p>
          <w:p>
            <w:pPr>
              <w:spacing w:line="400" w:lineRule="exact"/>
              <w:rPr>
                <w:rFonts w:ascii="宋体" w:hAnsi="宋体" w:cs="宋体"/>
                <w:szCs w:val="21"/>
              </w:rPr>
            </w:pPr>
            <w:r>
              <w:rPr>
                <w:rFonts w:hint="eastAsia" w:ascii="宋体" w:hAnsi="宋体" w:cs="宋体"/>
                <w:szCs w:val="21"/>
              </w:rPr>
              <w:t xml:space="preserve">(注：上述距离需提供百度地图或高德地图道路交通路线证明加盖公章，不提供或提供不全面不得分)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3</w:t>
            </w:r>
            <w:r/>
          </w:p>
        </w:tc>
      </w:tr>
      <w:tr>
        <w:trPr>
          <w:jc w:val="center"/>
          <w:trHeight w:val="1058"/>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6</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color w:val="000000"/>
              </w:rPr>
            </w:pPr>
            <w:r>
              <w:rPr>
                <w:rFonts w:ascii="宋体" w:hAnsi="宋体" w:cs="宋体"/>
                <w:color w:val="000000"/>
              </w:rPr>
              <w:t xml:space="preserve">增值服务</w:t>
            </w:r>
            <w:r/>
          </w:p>
        </w:tc>
        <w:tc>
          <w:tcPr>
            <w:tcBorders>
              <w:top w:val="single" w:color="auto" w:sz="4" w:space="0"/>
              <w:left w:val="single" w:color="auto" w:sz="4" w:space="0"/>
              <w:right w:val="single" w:color="auto" w:sz="4" w:space="0"/>
            </w:tcBorders>
            <w:tcW w:w="3269"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（1）提供至少</w:t>
            </w:r>
            <w:r>
              <w:rPr>
                <w:rFonts w:ascii="宋体" w:hAnsi="宋体" w:cs="宋体"/>
                <w:szCs w:val="21"/>
              </w:rPr>
              <w:t xml:space="preserve">6</w:t>
            </w:r>
            <w:r>
              <w:rPr>
                <w:rFonts w:hint="eastAsia" w:ascii="宋体" w:hAnsi="宋体" w:cs="宋体"/>
                <w:szCs w:val="21"/>
              </w:rPr>
              <w:t xml:space="preserve">个月内符合采购人需求的专场体检场次，每提供1场得1分，最高2分；</w:t>
            </w:r>
            <w:r>
              <w:rPr>
                <w:rFonts w:hint="eastAsia" w:ascii="宋体" w:hAnsi="宋体" w:cs="宋体"/>
                <w:b/>
                <w:bCs/>
                <w:szCs w:val="21"/>
              </w:rPr>
              <w:t xml:space="preserve">（提供承诺书并加盖供应商公章）</w:t>
            </w:r>
            <w:r/>
          </w:p>
          <w:p>
            <w:pPr>
              <w:spacing w:line="400" w:lineRule="exact"/>
              <w:rPr>
                <w:rFonts w:ascii="宋体" w:hAnsi="宋体" w:cs="宋体"/>
                <w:szCs w:val="21"/>
              </w:rPr>
            </w:pPr>
            <w:r>
              <w:rPr>
                <w:rFonts w:hint="eastAsia" w:ascii="宋体" w:hAnsi="宋体" w:cs="宋体"/>
                <w:szCs w:val="21"/>
              </w:rPr>
              <w:t xml:space="preserve">（2）增加南京市内教职工定点往返接送服务，按体检预约批次提供合规营运大巴，体检日早间完成指定地点</w:t>
            </w:r>
            <w:r>
              <w:rPr>
                <w:rFonts w:hint="eastAsia" w:ascii="MS Gothic" w:hAnsi="MS Gothic" w:eastAsia="MS Gothic" w:cs="MS Gothic"/>
                <w:szCs w:val="21"/>
              </w:rPr>
              <w:t xml:space="preserve">‑</w:t>
            </w:r>
            <w:r>
              <w:rPr>
                <w:rFonts w:hint="eastAsia" w:ascii="宋体" w:hAnsi="宋体" w:cs="宋体"/>
                <w:szCs w:val="21"/>
              </w:rPr>
              <w:t xml:space="preserve">体检点往返接驳。根据学校需要，承诺每年</w:t>
            </w:r>
            <w:r>
              <w:rPr>
                <w:rFonts w:ascii="宋体" w:hAnsi="宋体" w:cs="宋体"/>
                <w:szCs w:val="21"/>
              </w:rPr>
              <w:t xml:space="preserve">3-5</w:t>
            </w:r>
            <w:r>
              <w:rPr>
                <w:rFonts w:hint="eastAsia" w:ascii="宋体" w:hAnsi="宋体" w:cs="宋体"/>
                <w:szCs w:val="21"/>
              </w:rPr>
              <w:t xml:space="preserve">个接送批次得</w:t>
            </w:r>
            <w:r>
              <w:rPr>
                <w:rFonts w:ascii="宋体" w:hAnsi="宋体" w:cs="宋体"/>
                <w:szCs w:val="21"/>
              </w:rPr>
              <w:t xml:space="preserve">3</w:t>
            </w:r>
            <w:r>
              <w:rPr>
                <w:rFonts w:hint="eastAsia" w:ascii="宋体" w:hAnsi="宋体" w:cs="宋体"/>
                <w:szCs w:val="21"/>
              </w:rPr>
              <w:t xml:space="preserve">分，每年1</w:t>
            </w:r>
            <w:r>
              <w:rPr>
                <w:rFonts w:ascii="宋体" w:hAnsi="宋体" w:cs="宋体"/>
                <w:szCs w:val="21"/>
              </w:rPr>
              <w:t xml:space="preserve">-2</w:t>
            </w:r>
            <w:r>
              <w:rPr>
                <w:rFonts w:hint="eastAsia" w:ascii="宋体" w:hAnsi="宋体" w:cs="宋体"/>
                <w:szCs w:val="21"/>
              </w:rPr>
              <w:t xml:space="preserve">个接送批次得</w:t>
            </w:r>
            <w:r>
              <w:rPr>
                <w:rFonts w:ascii="宋体" w:hAnsi="宋体" w:cs="宋体"/>
                <w:szCs w:val="21"/>
              </w:rPr>
              <w:t xml:space="preserve">1</w:t>
            </w:r>
            <w:r>
              <w:rPr>
                <w:rFonts w:hint="eastAsia" w:ascii="宋体" w:hAnsi="宋体" w:cs="宋体"/>
                <w:szCs w:val="21"/>
              </w:rPr>
              <w:t xml:space="preserve">分，未承诺不得分。同时承诺车辆保险、司乘人员合规。最高</w:t>
            </w:r>
            <w:r>
              <w:rPr>
                <w:rFonts w:ascii="宋体" w:hAnsi="宋体" w:cs="宋体"/>
                <w:szCs w:val="21"/>
              </w:rPr>
              <w:t xml:space="preserve">3</w:t>
            </w:r>
            <w:r>
              <w:rPr>
                <w:rFonts w:hint="eastAsia" w:ascii="宋体" w:hAnsi="宋体" w:cs="宋体"/>
                <w:szCs w:val="21"/>
              </w:rPr>
              <w:t xml:space="preserve">分。</w:t>
            </w:r>
            <w:r>
              <w:rPr>
                <w:rFonts w:hint="eastAsia" w:ascii="宋体" w:hAnsi="宋体" w:cs="宋体"/>
                <w:b/>
                <w:bCs/>
                <w:szCs w:val="21"/>
              </w:rPr>
              <w:t xml:space="preserve">（提供承诺书并加盖供应商公章）</w:t>
            </w:r>
            <w:r/>
          </w:p>
          <w:p>
            <w:pPr>
              <w:spacing w:line="400" w:lineRule="exact"/>
              <w:rPr>
                <w:rFonts w:ascii="宋体" w:hAnsi="宋体" w:cs="宋体"/>
                <w:szCs w:val="21"/>
              </w:rPr>
            </w:pPr>
            <w:r>
              <w:rPr>
                <w:rFonts w:hint="eastAsia" w:ascii="宋体" w:hAnsi="宋体" w:cs="宋体"/>
                <w:szCs w:val="21"/>
              </w:rPr>
              <w:t xml:space="preserve">（3）投标人须提供增值服务方案，方案内容至少包含投标人在本项目基础体检套餐之外承诺免费增加的有效体检项目。评标委员会结合增值项目数量、实用性、合理性、可行性综合评审：</w:t>
            </w:r>
            <w:r/>
          </w:p>
          <w:p>
            <w:pPr>
              <w:spacing w:line="400" w:lineRule="exact"/>
              <w:rPr>
                <w:rFonts w:ascii="宋体" w:hAnsi="宋体" w:cs="宋体"/>
                <w:szCs w:val="21"/>
              </w:rPr>
            </w:pPr>
            <w:r>
              <w:rPr>
                <w:rFonts w:hint="eastAsia" w:ascii="宋体" w:hAnsi="宋体" w:cs="宋体"/>
                <w:szCs w:val="21"/>
              </w:rPr>
              <w:t xml:space="preserve">增值服务方案内容完整，免费新增体检项目实用性强、贴合教职工体检需求，可行性好，得3分；</w:t>
            </w:r>
            <w:r/>
          </w:p>
          <w:p>
            <w:pPr>
              <w:spacing w:line="400" w:lineRule="exact"/>
              <w:rPr>
                <w:rFonts w:ascii="宋体" w:hAnsi="宋体" w:cs="宋体"/>
                <w:szCs w:val="21"/>
              </w:rPr>
            </w:pPr>
            <w:r>
              <w:rPr>
                <w:rFonts w:hint="eastAsia" w:ascii="宋体" w:hAnsi="宋体" w:cs="宋体"/>
                <w:szCs w:val="21"/>
              </w:rPr>
              <w:t xml:space="preserve">增值服务方案内容较完整，免费新增体检项目具备实用性，可行性较好，得2分；</w:t>
            </w:r>
            <w:r/>
          </w:p>
          <w:p>
            <w:pPr>
              <w:spacing w:line="400" w:lineRule="exact"/>
              <w:rPr>
                <w:rFonts w:ascii="宋体" w:hAnsi="宋体" w:cs="宋体"/>
                <w:szCs w:val="21"/>
              </w:rPr>
            </w:pPr>
            <w:r>
              <w:rPr>
                <w:rFonts w:hint="eastAsia" w:ascii="宋体" w:hAnsi="宋体" w:cs="宋体"/>
                <w:szCs w:val="21"/>
              </w:rPr>
              <w:t xml:space="preserve">增值服务方案内容简略，仅少量免费新增体检项目，实用性一般，得1分；</w:t>
            </w:r>
            <w:r/>
          </w:p>
          <w:p>
            <w:pPr>
              <w:spacing w:line="400" w:lineRule="exact"/>
              <w:rPr>
                <w:rFonts w:ascii="宋体" w:hAnsi="宋体" w:cs="宋体"/>
                <w:color w:val="000000"/>
              </w:rPr>
            </w:pPr>
            <w:r>
              <w:rPr>
                <w:rFonts w:hint="eastAsia" w:ascii="宋体" w:hAnsi="宋体" w:cs="宋体"/>
                <w:szCs w:val="21"/>
              </w:rPr>
              <w:t xml:space="preserve">未提供增值服务方案或方案无免费新增有效体检项目的，得0分。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8</w:t>
            </w:r>
            <w:r/>
          </w:p>
        </w:tc>
      </w:tr>
      <w:tr>
        <w:trPr>
          <w:jc w:val="center"/>
          <w:trHeight w:val="1058"/>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7</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color w:val="000000"/>
              </w:rPr>
            </w:pPr>
            <w:r>
              <w:rPr>
                <w:rFonts w:hint="eastAsia" w:ascii="宋体" w:hAnsi="宋体" w:cs="宋体"/>
                <w:color w:val="000000"/>
              </w:rPr>
              <w:t xml:space="preserve">异地居住教职工体检方案</w:t>
            </w:r>
            <w:r/>
          </w:p>
        </w:tc>
        <w:tc>
          <w:tcPr>
            <w:tcBorders>
              <w:top w:val="single" w:color="auto" w:sz="4" w:space="0"/>
              <w:left w:val="single" w:color="auto" w:sz="4" w:space="0"/>
              <w:right w:val="single" w:color="auto" w:sz="4" w:space="0"/>
            </w:tcBorders>
            <w:tcW w:w="3269" w:type="pct"/>
            <w:textDirection w:val="lrTb"/>
            <w:noWrap w:val="false"/>
          </w:tcPr>
          <w:p>
            <w:pPr>
              <w:spacing w:line="400" w:lineRule="exact"/>
              <w:rPr>
                <w:rFonts w:ascii="宋体" w:hAnsi="宋体" w:cs="宋体"/>
                <w:color w:val="000000"/>
              </w:rPr>
            </w:pPr>
            <w:r>
              <w:rPr>
                <w:rFonts w:hint="eastAsia" w:ascii="宋体" w:hAnsi="宋体" w:cs="宋体"/>
                <w:color w:val="000000"/>
              </w:rPr>
              <w:t xml:space="preserve">投标人须提供异地居住教职工体检实施方案，方案需明确异地居住教职工两种体检可选路径：①异地定点合作医疗机构代为体检；②回宁参加集中体检；明确预约流程、报告流转、费用结算、隐私保护；</w:t>
            </w:r>
            <w:r/>
          </w:p>
          <w:p>
            <w:pPr>
              <w:spacing w:line="400" w:lineRule="exact"/>
              <w:rPr>
                <w:rFonts w:ascii="宋体" w:hAnsi="宋体" w:cs="宋体"/>
                <w:color w:val="000000"/>
              </w:rPr>
            </w:pPr>
            <w:r>
              <w:rPr>
                <w:rFonts w:hint="eastAsia" w:ascii="宋体" w:hAnsi="宋体" w:cs="宋体"/>
                <w:color w:val="000000"/>
              </w:rPr>
              <w:t xml:space="preserve">方案流程完整、合作机制清晰，各项措施详实可行，得2分；仅有简单概述，无具体实施流程，得1分；</w:t>
            </w:r>
            <w:r/>
          </w:p>
          <w:p>
            <w:pPr>
              <w:spacing w:line="400" w:lineRule="exact"/>
              <w:rPr>
                <w:rFonts w:ascii="宋体" w:hAnsi="宋体" w:cs="宋体"/>
                <w:color w:val="000000"/>
              </w:rPr>
            </w:pPr>
            <w:r>
              <w:rPr>
                <w:rFonts w:hint="eastAsia" w:ascii="宋体" w:hAnsi="宋体" w:cs="宋体"/>
                <w:color w:val="000000"/>
              </w:rPr>
              <w:t xml:space="preserve">未提供方案不得分。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2</w:t>
            </w:r>
            <w:r/>
          </w:p>
        </w:tc>
      </w:tr>
      <w:tr>
        <w:trPr>
          <w:jc w:val="center"/>
          <w:trHeight w:val="448"/>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8</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color w:val="000000"/>
              </w:rPr>
            </w:pPr>
            <w:r>
              <w:rPr>
                <w:rFonts w:ascii="宋体" w:hAnsi="宋体" w:cs="宋体"/>
                <w:color w:val="000000"/>
              </w:rPr>
              <w:t xml:space="preserve">体检环境</w:t>
            </w:r>
            <w:r/>
          </w:p>
        </w:tc>
        <w:tc>
          <w:tcPr>
            <w:tcBorders>
              <w:top w:val="single" w:color="auto" w:sz="4" w:space="0"/>
              <w:left w:val="single" w:color="auto" w:sz="4" w:space="0"/>
              <w:right w:val="single" w:color="auto" w:sz="4" w:space="0"/>
            </w:tcBorders>
            <w:tcW w:w="3269" w:type="pct"/>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指专门用于本次体检场所的环境</w:t>
            </w:r>
            <w:r>
              <w:rPr>
                <w:rFonts w:hint="eastAsia" w:ascii="宋体" w:hAnsi="宋体" w:cs="宋体"/>
                <w:b/>
                <w:bCs/>
                <w:szCs w:val="21"/>
              </w:rPr>
              <w:t xml:space="preserve">（如供应商有多个体检点，则本评分表中与体检相关的信息，须由供应商确定某一个体检点为本次投标专用体检点，只针对专用体检点打分）</w:t>
            </w:r>
            <w:r>
              <w:rPr>
                <w:rFonts w:hint="eastAsia" w:ascii="宋体" w:hAnsi="宋体" w:cs="宋体"/>
                <w:szCs w:val="21"/>
              </w:rPr>
              <w:t xml:space="preserve">，供应商需提供体检中心功能布局平面图，图纸标注各功能房间长宽、面积、功能用途、候诊区位置、男女分区，明确体检中心总建筑面积等信息。评标委员会依据体检场地布局、候诊空间、功能分区、环境条件以及提供的体检早餐情况综合评审：</w:t>
            </w:r>
            <w:r/>
          </w:p>
          <w:p>
            <w:pPr>
              <w:spacing w:line="400" w:lineRule="exact"/>
              <w:rPr>
                <w:rFonts w:ascii="宋体" w:hAnsi="宋体" w:cs="宋体"/>
                <w:szCs w:val="21"/>
              </w:rPr>
            </w:pPr>
            <w:r>
              <w:rPr>
                <w:rFonts w:hint="eastAsia" w:ascii="宋体" w:hAnsi="宋体" w:cs="宋体"/>
                <w:szCs w:val="21"/>
              </w:rPr>
              <w:t xml:space="preserve">体检环境宽敞整洁、舒适美观，候诊区域充足有序，各功能分区标识清晰、布局合理，早餐种类丰富多样，得5分；</w:t>
            </w:r>
            <w:r/>
          </w:p>
          <w:p>
            <w:pPr>
              <w:spacing w:line="400" w:lineRule="exact"/>
              <w:rPr>
                <w:rFonts w:ascii="宋体" w:hAnsi="宋体" w:cs="宋体"/>
                <w:szCs w:val="21"/>
              </w:rPr>
            </w:pPr>
            <w:r>
              <w:rPr>
                <w:rFonts w:hint="eastAsia" w:ascii="宋体" w:hAnsi="宋体" w:cs="宋体"/>
                <w:szCs w:val="21"/>
              </w:rPr>
              <w:t xml:space="preserve">体检环境较为宽敞整洁，功能区域划分明确，候诊环境舒适性较好，早餐种类较丰富，得3分；</w:t>
            </w:r>
            <w:r/>
          </w:p>
          <w:p>
            <w:pPr>
              <w:spacing w:line="400" w:lineRule="exact"/>
              <w:rPr>
                <w:rFonts w:ascii="宋体" w:hAnsi="宋体" w:cs="宋体"/>
                <w:szCs w:val="21"/>
              </w:rPr>
            </w:pPr>
            <w:r>
              <w:rPr>
                <w:rFonts w:hint="eastAsia" w:ascii="宋体" w:hAnsi="宋体" w:cs="宋体"/>
                <w:szCs w:val="21"/>
              </w:rPr>
              <w:t xml:space="preserve">体检场地空间狭小，候诊区域不足，难以满足大批量人员集中体检需求，早餐种类单一，得1分；</w:t>
            </w:r>
            <w:r/>
          </w:p>
          <w:p>
            <w:pPr>
              <w:spacing w:line="400" w:lineRule="exact"/>
              <w:rPr>
                <w:rFonts w:ascii="宋体" w:hAnsi="宋体" w:cs="宋体"/>
                <w:color w:val="000000"/>
              </w:rPr>
            </w:pPr>
            <w:r>
              <w:rPr>
                <w:rFonts w:hint="eastAsia" w:ascii="宋体" w:hAnsi="宋体" w:cs="宋体"/>
                <w:szCs w:val="21"/>
              </w:rPr>
              <w:t xml:space="preserve">未按要求提供的，本项不得分。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hint="eastAsia" w:ascii="宋体" w:hAnsi="宋体" w:cs="宋体"/>
                <w:szCs w:val="21"/>
              </w:rPr>
              <w:t xml:space="preserve">5</w:t>
            </w:r>
            <w:r/>
          </w:p>
        </w:tc>
      </w:tr>
      <w:tr>
        <w:trPr>
          <w:jc w:val="center"/>
          <w:trHeight w:val="1058"/>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9</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体检流程、质量控制方案</w:t>
            </w:r>
            <w:r/>
          </w:p>
        </w:tc>
        <w:tc>
          <w:tcPr>
            <w:tcBorders>
              <w:top w:val="single" w:color="auto" w:sz="4" w:space="0"/>
              <w:left w:val="single" w:color="auto" w:sz="4" w:space="0"/>
              <w:right w:val="single" w:color="auto" w:sz="4" w:space="0"/>
            </w:tcBorders>
            <w:tcW w:w="3269" w:type="pct"/>
            <w:textDirection w:val="lrTb"/>
            <w:noWrap w:val="false"/>
          </w:tcPr>
          <w:p>
            <w:pPr>
              <w:spacing w:line="400" w:lineRule="exact"/>
              <w:rPr>
                <w:rFonts w:ascii="宋体" w:hAnsi="宋体" w:cs="宋体"/>
                <w:color w:val="000000"/>
              </w:rPr>
            </w:pPr>
            <w:r>
              <w:rPr>
                <w:rFonts w:hint="eastAsia" w:ascii="宋体" w:hAnsi="宋体" w:cs="宋体"/>
                <w:color w:val="000000"/>
              </w:rPr>
              <w:t xml:space="preserve">投标人须提供体检服务流程及质量控制方案。评标委员会对方案完整性、流程规范性、质控措施科学性综合评审：</w:t>
            </w:r>
            <w:r/>
          </w:p>
          <w:p>
            <w:pPr>
              <w:spacing w:line="400" w:lineRule="exact"/>
              <w:rPr>
                <w:rFonts w:ascii="宋体" w:hAnsi="宋体" w:cs="宋体"/>
                <w:color w:val="000000"/>
              </w:rPr>
            </w:pPr>
            <w:r>
              <w:rPr>
                <w:rFonts w:ascii="宋体" w:hAnsi="宋体" w:cs="宋体"/>
                <w:color w:val="000000"/>
              </w:rPr>
              <w:t xml:space="preserve">体检流程规范完整，放射诊疗检查时，对受检者邻近照射野的敏感器官和组织屏蔽防护措施准确到位，质量控制方案科学合理、措施详实，得</w:t>
            </w:r>
            <w:r>
              <w:rPr>
                <w:rFonts w:hint="eastAsia" w:ascii="宋体" w:hAnsi="宋体" w:cs="宋体"/>
                <w:color w:val="000000"/>
              </w:rPr>
              <w:t xml:space="preserve">7</w:t>
            </w:r>
            <w:r>
              <w:rPr>
                <w:rFonts w:ascii="宋体" w:hAnsi="宋体" w:cs="宋体"/>
                <w:color w:val="000000"/>
              </w:rPr>
              <w:t xml:space="preserve">分；</w:t>
            </w:r>
            <w:r/>
          </w:p>
          <w:p>
            <w:pPr>
              <w:spacing w:line="400" w:lineRule="exact"/>
              <w:rPr>
                <w:rFonts w:ascii="宋体" w:hAnsi="宋体" w:cs="宋体"/>
                <w:color w:val="000000"/>
              </w:rPr>
            </w:pPr>
            <w:r>
              <w:rPr>
                <w:rFonts w:ascii="宋体" w:hAnsi="宋体" w:cs="宋体"/>
                <w:color w:val="000000"/>
              </w:rPr>
              <w:t xml:space="preserve">体检流程规范，放射诊疗检查时，对受检者邻近照射野的敏感器官和组织屏蔽防护措施</w:t>
            </w:r>
            <w:r>
              <w:rPr>
                <w:rFonts w:hint="eastAsia" w:ascii="宋体" w:hAnsi="宋体" w:cs="宋体"/>
                <w:color w:val="000000"/>
              </w:rPr>
              <w:t xml:space="preserve">规范</w:t>
            </w:r>
            <w:r>
              <w:rPr>
                <w:rFonts w:ascii="宋体" w:hAnsi="宋体" w:cs="宋体"/>
                <w:color w:val="000000"/>
              </w:rPr>
              <w:t xml:space="preserve">，质量控制方案较为科学、措施较完善，得</w:t>
            </w:r>
            <w:r>
              <w:rPr>
                <w:rFonts w:hint="eastAsia" w:ascii="宋体" w:hAnsi="宋体" w:cs="宋体"/>
                <w:color w:val="000000"/>
              </w:rPr>
              <w:t xml:space="preserve">5</w:t>
            </w:r>
            <w:r>
              <w:rPr>
                <w:rFonts w:ascii="宋体" w:hAnsi="宋体" w:cs="宋体"/>
                <w:color w:val="000000"/>
              </w:rPr>
              <w:t xml:space="preserve">分；</w:t>
            </w:r>
            <w:r/>
          </w:p>
          <w:p>
            <w:pPr>
              <w:spacing w:line="400" w:lineRule="exact"/>
              <w:rPr>
                <w:rFonts w:ascii="宋体" w:hAnsi="宋体" w:cs="宋体"/>
                <w:color w:val="000000"/>
              </w:rPr>
            </w:pPr>
            <w:r>
              <w:rPr>
                <w:rFonts w:ascii="宋体" w:hAnsi="宋体" w:cs="宋体"/>
                <w:color w:val="000000"/>
              </w:rPr>
              <w:t xml:space="preserve">体检流程较规范，放射诊疗检查时，对受检者邻近照射野的敏感器官和组织屏蔽防护措施</w:t>
            </w:r>
            <w:r>
              <w:rPr>
                <w:rFonts w:hint="eastAsia" w:ascii="宋体" w:hAnsi="宋体" w:cs="宋体"/>
                <w:color w:val="000000"/>
              </w:rPr>
              <w:t xml:space="preserve">较规范</w:t>
            </w:r>
            <w:r>
              <w:rPr>
                <w:rFonts w:ascii="宋体" w:hAnsi="宋体" w:cs="宋体"/>
                <w:color w:val="000000"/>
              </w:rPr>
              <w:t xml:space="preserve">，质量控制方案较为科学，核心质控措施基本齐全，得</w:t>
            </w:r>
            <w:r>
              <w:rPr>
                <w:rFonts w:hint="eastAsia" w:ascii="宋体" w:hAnsi="宋体" w:cs="宋体"/>
                <w:color w:val="000000"/>
              </w:rPr>
              <w:t xml:space="preserve">3</w:t>
            </w:r>
            <w:r>
              <w:rPr>
                <w:rFonts w:ascii="宋体" w:hAnsi="宋体" w:cs="宋体"/>
                <w:color w:val="000000"/>
              </w:rPr>
              <w:t xml:space="preserve">分；</w:t>
            </w:r>
            <w:r/>
          </w:p>
          <w:p>
            <w:pPr>
              <w:spacing w:line="400" w:lineRule="exact"/>
              <w:rPr>
                <w:rFonts w:ascii="宋体" w:hAnsi="宋体" w:cs="宋体"/>
                <w:color w:val="000000"/>
              </w:rPr>
            </w:pPr>
            <w:r>
              <w:rPr>
                <w:rFonts w:ascii="宋体" w:hAnsi="宋体" w:cs="宋体"/>
                <w:color w:val="000000"/>
              </w:rPr>
              <w:t xml:space="preserve">体检流程规范性一般，放射诊疗检查时，对受检者邻近照射野的敏感器官和组织屏蔽防护措施</w:t>
            </w:r>
            <w:r>
              <w:rPr>
                <w:rFonts w:hint="eastAsia" w:ascii="宋体" w:hAnsi="宋体" w:cs="宋体"/>
                <w:color w:val="000000"/>
              </w:rPr>
              <w:t xml:space="preserve">规范</w:t>
            </w:r>
            <w:r>
              <w:rPr>
                <w:rFonts w:ascii="宋体" w:hAnsi="宋体" w:cs="宋体"/>
                <w:color w:val="000000"/>
              </w:rPr>
              <w:t xml:space="preserve">，质量控制方案科学性一般，内容简略，得1分；</w:t>
            </w:r>
            <w:r/>
          </w:p>
          <w:p>
            <w:pPr>
              <w:spacing w:line="400" w:lineRule="exact"/>
              <w:rPr>
                <w:rFonts w:ascii="宋体" w:hAnsi="宋体" w:cs="宋体"/>
                <w:szCs w:val="21"/>
              </w:rPr>
            </w:pPr>
            <w:r>
              <w:rPr>
                <w:rFonts w:ascii="宋体" w:hAnsi="宋体" w:cs="宋体"/>
                <w:color w:val="000000"/>
              </w:rPr>
              <w:t xml:space="preserve">未提供本项资料的，本项不得分。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hint="eastAsia" w:ascii="宋体" w:hAnsi="宋体" w:cs="宋体"/>
                <w:szCs w:val="21"/>
              </w:rPr>
              <w:t xml:space="preserve">7</w:t>
            </w:r>
            <w:r/>
          </w:p>
        </w:tc>
      </w:tr>
      <w:tr>
        <w:trPr>
          <w:jc w:val="center"/>
          <w:trHeight w:val="1058"/>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ascii="宋体" w:hAnsi="宋体" w:cs="宋体"/>
                <w:szCs w:val="21"/>
              </w:rPr>
              <w:t xml:space="preserve">10</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大流量应对方案</w:t>
            </w:r>
            <w:r/>
          </w:p>
        </w:tc>
        <w:tc>
          <w:tcPr>
            <w:tcBorders>
              <w:top w:val="single" w:color="auto" w:sz="4" w:space="0"/>
              <w:left w:val="single" w:color="auto" w:sz="4" w:space="0"/>
              <w:right w:val="single" w:color="auto" w:sz="4" w:space="0"/>
            </w:tcBorders>
            <w:tcW w:w="3269" w:type="pct"/>
            <w:textDirection w:val="lrTb"/>
            <w:noWrap w:val="false"/>
          </w:tcPr>
          <w:p>
            <w:pPr>
              <w:spacing w:line="400" w:lineRule="exact"/>
              <w:rPr>
                <w:rFonts w:ascii="宋体" w:hAnsi="宋体" w:cs="宋体"/>
                <w:color w:val="000000"/>
              </w:rPr>
            </w:pPr>
            <w:r>
              <w:rPr>
                <w:rFonts w:ascii="宋体" w:hAnsi="宋体" w:cs="宋体"/>
                <w:color w:val="000000"/>
              </w:rPr>
              <w:t xml:space="preserve">投标人须针对本项目教职工集中体检、大流量参检特点，制定专项人群分流及应急应对方案。评标委员会结合方案针对性、合理性及实操性综合评审：</w:t>
            </w:r>
            <w:r/>
          </w:p>
          <w:p>
            <w:pPr>
              <w:spacing w:line="400" w:lineRule="exact"/>
              <w:rPr>
                <w:rFonts w:ascii="宋体" w:hAnsi="宋体" w:cs="宋体"/>
                <w:color w:val="000000"/>
              </w:rPr>
            </w:pPr>
            <w:r>
              <w:rPr>
                <w:rFonts w:ascii="宋体" w:hAnsi="宋体" w:cs="宋体"/>
                <w:color w:val="000000"/>
              </w:rPr>
              <w:t xml:space="preserve">大流量体检应对方案贴合项目实际、科学合理，分流疏导、错峰体检、人员管控、应急保障等措施完善，可落地操作性强，得</w:t>
            </w:r>
            <w:r>
              <w:rPr>
                <w:rFonts w:hint="eastAsia" w:ascii="宋体" w:hAnsi="宋体" w:cs="宋体"/>
                <w:color w:val="000000"/>
              </w:rPr>
              <w:t xml:space="preserve">3</w:t>
            </w:r>
            <w:r>
              <w:rPr>
                <w:rFonts w:ascii="宋体" w:hAnsi="宋体" w:cs="宋体"/>
                <w:color w:val="000000"/>
              </w:rPr>
              <w:t xml:space="preserve">分；</w:t>
            </w:r>
            <w:r/>
          </w:p>
          <w:p>
            <w:pPr>
              <w:spacing w:line="400" w:lineRule="exact"/>
              <w:rPr>
                <w:rFonts w:ascii="宋体" w:hAnsi="宋体" w:cs="宋体"/>
                <w:color w:val="000000"/>
              </w:rPr>
            </w:pPr>
            <w:r>
              <w:rPr>
                <w:rFonts w:ascii="宋体" w:hAnsi="宋体" w:cs="宋体"/>
                <w:color w:val="000000"/>
              </w:rPr>
              <w:t xml:space="preserve">大流量体检应对方案整体合理，核心保障措施齐全，具备较强的落地操作性，得</w:t>
            </w:r>
            <w:r>
              <w:rPr>
                <w:rFonts w:hint="eastAsia" w:ascii="宋体" w:hAnsi="宋体" w:cs="宋体"/>
                <w:color w:val="000000"/>
              </w:rPr>
              <w:t xml:space="preserve">2</w:t>
            </w:r>
            <w:r>
              <w:rPr>
                <w:rFonts w:ascii="宋体" w:hAnsi="宋体" w:cs="宋体"/>
                <w:color w:val="000000"/>
              </w:rPr>
              <w:t xml:space="preserve">分；</w:t>
            </w:r>
            <w:r/>
          </w:p>
          <w:p>
            <w:pPr>
              <w:spacing w:line="400" w:lineRule="exact"/>
              <w:rPr>
                <w:rFonts w:ascii="宋体" w:hAnsi="宋体" w:cs="宋体"/>
                <w:color w:val="000000"/>
              </w:rPr>
            </w:pPr>
            <w:r>
              <w:rPr>
                <w:rFonts w:ascii="宋体" w:hAnsi="宋体" w:cs="宋体"/>
                <w:color w:val="000000"/>
              </w:rPr>
              <w:t xml:space="preserve">大流量体检应对方案内容较为简单、设计常规，管控及分流措施不完善，易出现人员拥堵、体检秩序混乱等问题，得1分；</w:t>
            </w:r>
            <w:r/>
          </w:p>
          <w:p>
            <w:pPr>
              <w:spacing w:line="400" w:lineRule="exact"/>
              <w:rPr>
                <w:rFonts w:ascii="宋体" w:hAnsi="宋体" w:cs="宋体"/>
                <w:szCs w:val="21"/>
              </w:rPr>
            </w:pPr>
            <w:r>
              <w:rPr>
                <w:rFonts w:ascii="宋体" w:hAnsi="宋体" w:cs="宋体"/>
                <w:color w:val="000000"/>
              </w:rPr>
              <w:t xml:space="preserve">未提供专项应对方案的，本项不得分。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hint="eastAsia" w:ascii="宋体" w:hAnsi="宋体" w:cs="宋体"/>
                <w:szCs w:val="21"/>
              </w:rPr>
              <w:t xml:space="preserve">3</w:t>
            </w:r>
            <w:r/>
          </w:p>
        </w:tc>
      </w:tr>
      <w:tr>
        <w:trPr>
          <w:jc w:val="center"/>
          <w:trHeight w:val="1058"/>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ascii="宋体" w:hAnsi="宋体" w:cs="宋体"/>
                <w:szCs w:val="21"/>
              </w:rPr>
              <w:t xml:space="preserve">11</w:t>
            </w:r>
            <w:r/>
          </w:p>
        </w:tc>
        <w:tc>
          <w:tcPr>
            <w:tcBorders>
              <w:left w:val="single" w:color="auto" w:sz="4" w:space="0"/>
              <w:right w:val="single" w:color="auto" w:sz="4" w:space="0"/>
            </w:tcBorders>
            <w:tcW w:w="843" w:type="pct"/>
            <w:vAlign w:val="center"/>
            <w:textDirection w:val="lrTb"/>
            <w:noWrap w:val="false"/>
          </w:tcPr>
          <w:p>
            <w:pPr>
              <w:jc w:val="center"/>
              <w:spacing w:line="378" w:lineRule="exact"/>
              <w:rPr>
                <w:rFonts w:ascii="宋体" w:hAnsi="宋体" w:cs="宋体"/>
                <w:szCs w:val="21"/>
              </w:rPr>
            </w:pPr>
            <w:r>
              <w:rPr>
                <w:rFonts w:ascii="宋体" w:hAnsi="宋体" w:cs="宋体"/>
                <w:color w:val="000000"/>
              </w:rPr>
              <w:t xml:space="preserve">体检报告解读、健康指导、转诊建议</w:t>
            </w:r>
            <w:r/>
          </w:p>
        </w:tc>
        <w:tc>
          <w:tcPr>
            <w:tcBorders>
              <w:top w:val="single" w:color="auto" w:sz="4" w:space="0"/>
              <w:left w:val="single" w:color="auto" w:sz="4" w:space="0"/>
              <w:right w:val="single" w:color="auto" w:sz="4" w:space="0"/>
            </w:tcBorders>
            <w:tcW w:w="3269" w:type="pct"/>
            <w:textDirection w:val="lrTb"/>
            <w:noWrap w:val="false"/>
          </w:tcPr>
          <w:p>
            <w:pPr>
              <w:spacing w:line="400" w:lineRule="exact"/>
              <w:rPr>
                <w:rFonts w:ascii="宋体" w:hAnsi="宋体" w:cs="宋体"/>
                <w:color w:val="000000"/>
              </w:rPr>
            </w:pPr>
            <w:r>
              <w:rPr>
                <w:rFonts w:ascii="宋体" w:hAnsi="宋体" w:cs="宋体"/>
                <w:color w:val="000000"/>
              </w:rPr>
              <w:t xml:space="preserve">投标人须提供完整的体检报告解读</w:t>
            </w:r>
            <w:r>
              <w:rPr>
                <w:rFonts w:hint="eastAsia" w:ascii="宋体" w:hAnsi="宋体" w:cs="宋体"/>
                <w:color w:val="000000"/>
              </w:rPr>
              <w:t xml:space="preserve">、体检报告邮寄</w:t>
            </w:r>
            <w:r>
              <w:rPr>
                <w:rFonts w:ascii="宋体" w:hAnsi="宋体" w:cs="宋体"/>
                <w:color w:val="000000"/>
              </w:rPr>
              <w:t xml:space="preserve">、健康科普指导、异常指标转诊建议专项方案，并承诺安排专业专家上门开展一对一体检报告解读服务。评标委员会结合方案完整性、科学性、针对性及落地性综合评审：</w:t>
            </w:r>
            <w:r/>
          </w:p>
          <w:p>
            <w:pPr>
              <w:spacing w:line="400" w:lineRule="exact"/>
              <w:rPr>
                <w:rFonts w:ascii="宋体" w:hAnsi="宋体" w:cs="宋体"/>
                <w:color w:val="000000"/>
              </w:rPr>
            </w:pPr>
            <w:r>
              <w:rPr>
                <w:rFonts w:ascii="宋体" w:hAnsi="宋体" w:cs="宋体"/>
                <w:color w:val="000000"/>
              </w:rPr>
              <w:t xml:space="preserve">方案体系完整、科学规范，报告解读、健康指导、转诊闭环服务内容详实，上门一对一专家解读服务</w:t>
            </w:r>
            <w:r>
              <w:rPr>
                <w:rFonts w:hint="eastAsia" w:ascii="宋体" w:hAnsi="宋体" w:cs="宋体"/>
                <w:color w:val="000000"/>
              </w:rPr>
              <w:t xml:space="preserve">次数不少于2次/年，</w:t>
            </w:r>
            <w:r>
              <w:rPr>
                <w:rFonts w:ascii="宋体" w:hAnsi="宋体" w:cs="宋体"/>
                <w:color w:val="000000"/>
              </w:rPr>
              <w:t xml:space="preserve">完全贴合教职工健康服务需求，得3分；</w:t>
            </w:r>
            <w:r/>
          </w:p>
          <w:p>
            <w:pPr>
              <w:spacing w:line="400" w:lineRule="exact"/>
              <w:rPr>
                <w:rFonts w:ascii="宋体" w:hAnsi="宋体" w:cs="宋体"/>
                <w:color w:val="000000"/>
              </w:rPr>
            </w:pPr>
            <w:r>
              <w:rPr>
                <w:rFonts w:ascii="宋体" w:hAnsi="宋体" w:cs="宋体"/>
                <w:color w:val="000000"/>
              </w:rPr>
              <w:t xml:space="preserve">方案内容较完整、科学合理，涵盖核心报告解读、健康指导及转诊服务，上门专家解读服务</w:t>
            </w:r>
            <w:r>
              <w:rPr>
                <w:rFonts w:hint="eastAsia" w:ascii="宋体" w:hAnsi="宋体" w:cs="宋体"/>
                <w:color w:val="000000"/>
              </w:rPr>
              <w:t xml:space="preserve">次数不少于</w:t>
            </w:r>
            <w:r>
              <w:rPr>
                <w:rFonts w:ascii="宋体" w:hAnsi="宋体" w:cs="宋体"/>
                <w:color w:val="000000"/>
              </w:rPr>
              <w:t xml:space="preserve">1</w:t>
            </w:r>
            <w:r>
              <w:rPr>
                <w:rFonts w:hint="eastAsia" w:ascii="宋体" w:hAnsi="宋体" w:cs="宋体"/>
                <w:color w:val="000000"/>
              </w:rPr>
              <w:t xml:space="preserve">次/年</w:t>
            </w:r>
            <w:r>
              <w:rPr>
                <w:rFonts w:ascii="宋体" w:hAnsi="宋体" w:cs="宋体"/>
                <w:color w:val="000000"/>
              </w:rPr>
              <w:t xml:space="preserve">，可满足项目基本服务需求，得2分；</w:t>
            </w:r>
            <w:r/>
          </w:p>
          <w:p>
            <w:pPr>
              <w:spacing w:line="400" w:lineRule="exact"/>
              <w:rPr>
                <w:rFonts w:ascii="宋体" w:hAnsi="宋体" w:cs="宋体"/>
                <w:color w:val="000000"/>
              </w:rPr>
            </w:pPr>
            <w:r>
              <w:rPr>
                <w:rFonts w:ascii="宋体" w:hAnsi="宋体" w:cs="宋体"/>
                <w:color w:val="000000"/>
              </w:rPr>
              <w:t xml:space="preserve">方案内容简略、完整性不足，服务流程及保障措施较为单一，整体科学合理性一般，仅能满足基础服务需求，得1分；</w:t>
            </w:r>
            <w:r/>
          </w:p>
          <w:p>
            <w:pPr>
              <w:spacing w:line="400" w:lineRule="exact"/>
              <w:rPr>
                <w:rFonts w:ascii="宋体" w:hAnsi="宋体" w:cs="宋体"/>
                <w:szCs w:val="21"/>
              </w:rPr>
            </w:pPr>
            <w:r>
              <w:rPr>
                <w:rFonts w:ascii="宋体" w:hAnsi="宋体" w:cs="宋体"/>
                <w:color w:val="000000"/>
              </w:rPr>
              <w:t xml:space="preserve">未提供本项专项服务方案的，本项不得分。</w:t>
            </w:r>
            <w:r/>
          </w:p>
        </w:tc>
        <w:tc>
          <w:tcPr>
            <w:tcBorders>
              <w:top w:val="single" w:color="auto" w:sz="4" w:space="0"/>
              <w:left w:val="single" w:color="auto" w:sz="4" w:space="0"/>
              <w:right w:val="single" w:color="auto" w:sz="4" w:space="0"/>
            </w:tcBorders>
            <w:tcW w:w="463" w:type="pct"/>
            <w:vAlign w:val="center"/>
            <w:textDirection w:val="lrTb"/>
            <w:noWrap w:val="false"/>
          </w:tcPr>
          <w:p>
            <w:pPr>
              <w:jc w:val="center"/>
              <w:spacing w:line="300" w:lineRule="exact"/>
              <w:tabs>
                <w:tab w:val="center" w:pos="251" w:leader="none"/>
                <w:tab w:val="left" w:pos="365" w:leader="none"/>
              </w:tabs>
              <w:rPr>
                <w:rFonts w:ascii="宋体" w:hAnsi="宋体" w:cs="宋体"/>
                <w:szCs w:val="21"/>
              </w:rPr>
            </w:pPr>
            <w:r>
              <w:rPr>
                <w:rFonts w:ascii="宋体" w:hAnsi="宋体" w:cs="宋体"/>
                <w:szCs w:val="21"/>
              </w:rPr>
              <w:t xml:space="preserve">3</w:t>
            </w:r>
            <w:r/>
          </w:p>
        </w:tc>
      </w:tr>
      <w:tr>
        <w:trPr>
          <w:jc w:val="center"/>
          <w:trHeight w:val="724"/>
        </w:trPr>
        <w:tc>
          <w:tcPr>
            <w:tcBorders>
              <w:left w:val="single" w:color="auto" w:sz="4" w:space="0"/>
              <w:right w:val="single" w:color="auto" w:sz="4" w:space="0"/>
            </w:tcBorders>
            <w:tcW w:w="422" w:type="pct"/>
            <w:vAlign w:val="center"/>
            <w:textDirection w:val="lrTb"/>
            <w:noWrap w:val="false"/>
          </w:tcPr>
          <w:p>
            <w:pPr>
              <w:jc w:val="center"/>
              <w:spacing w:line="300" w:lineRule="exact"/>
              <w:rPr>
                <w:rFonts w:ascii="宋体" w:hAnsi="宋体" w:cs="宋体"/>
                <w:szCs w:val="21"/>
              </w:rPr>
            </w:pPr>
            <w:r>
              <w:rPr>
                <w:rFonts w:ascii="宋体" w:hAnsi="宋体" w:cs="宋体"/>
                <w:szCs w:val="21"/>
              </w:rPr>
            </w:r>
            <w:r/>
          </w:p>
        </w:tc>
        <w:tc>
          <w:tcPr>
            <w:gridSpan w:val="2"/>
            <w:tcBorders>
              <w:left w:val="single" w:color="auto" w:sz="4" w:space="0"/>
              <w:right w:val="single" w:color="auto" w:sz="4" w:space="0"/>
            </w:tcBorders>
            <w:tcW w:w="4113"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合计</w:t>
            </w:r>
            <w:r/>
          </w:p>
        </w:tc>
        <w:tc>
          <w:tcPr>
            <w:tcBorders>
              <w:left w:val="single" w:color="auto" w:sz="4" w:space="0"/>
              <w:right w:val="single" w:color="auto" w:sz="4" w:space="0"/>
            </w:tcBorders>
            <w:tcW w:w="463" w:type="pct"/>
            <w:vAlign w:val="center"/>
            <w:textDirection w:val="lrTb"/>
            <w:noWrap w:val="false"/>
          </w:tcPr>
          <w:p>
            <w:pPr>
              <w:jc w:val="center"/>
              <w:spacing w:line="300" w:lineRule="exact"/>
              <w:rPr>
                <w:rFonts w:ascii="宋体" w:hAnsi="宋体" w:cs="宋体"/>
                <w:szCs w:val="21"/>
              </w:rPr>
            </w:pPr>
            <w:r>
              <w:rPr>
                <w:rFonts w:hint="eastAsia" w:ascii="宋体" w:hAnsi="宋体" w:cs="宋体"/>
                <w:szCs w:val="21"/>
              </w:rPr>
              <w:t xml:space="preserve">100</w:t>
            </w:r>
            <w:r/>
          </w:p>
        </w:tc>
      </w:tr>
    </w:tbl>
    <w:p>
      <w:pPr>
        <w:ind w:left="420" w:firstLine="420"/>
        <w:spacing w:line="360" w:lineRule="auto"/>
        <w:tabs>
          <w:tab w:val="left" w:pos="960" w:leader="none"/>
        </w:tabs>
        <w:rPr>
          <w:rFonts w:ascii="宋体" w:hAnsi="宋体" w:cs="宋体"/>
        </w:rPr>
      </w:pPr>
      <w:r>
        <w:rPr>
          <w:rFonts w:ascii="宋体" w:hAnsi="宋体" w:cs="宋体"/>
        </w:rPr>
      </w:r>
      <w:r/>
    </w:p>
    <w:p>
      <w:pPr>
        <w:ind w:firstLine="422"/>
        <w:rPr>
          <w:rFonts w:ascii="宋体" w:hAnsi="宋体" w:cs="宋体"/>
          <w:b/>
          <w:szCs w:val="21"/>
        </w:rPr>
      </w:pPr>
      <w:r>
        <w:rPr>
          <w:rFonts w:hint="eastAsia" w:ascii="宋体" w:hAnsi="宋体" w:cs="宋体"/>
          <w:b/>
          <w:szCs w:val="21"/>
        </w:rPr>
        <w:t xml:space="preserve">说明：1.所有认证、证明和业绩均以有效清晰的证明文件的复印件为依据，原件备查。</w:t>
      </w:r>
      <w:r/>
    </w:p>
    <w:p>
      <w:pPr>
        <w:ind w:firstLine="422"/>
        <w:spacing w:line="360" w:lineRule="auto"/>
        <w:rPr>
          <w:rFonts w:ascii="宋体" w:hAnsi="宋体" w:cs="宋体"/>
          <w:b/>
          <w:szCs w:val="21"/>
        </w:rPr>
      </w:pPr>
      <w:r>
        <w:rPr>
          <w:rFonts w:hint="eastAsia" w:ascii="宋体" w:hAnsi="宋体" w:cs="宋体"/>
          <w:b/>
          <w:szCs w:val="21"/>
        </w:rPr>
        <w:t xml:space="preserve">2.小微企业价格扣除</w:t>
      </w:r>
      <w:r/>
    </w:p>
    <w:p>
      <w:pPr>
        <w:ind w:firstLine="422"/>
        <w:spacing w:line="360" w:lineRule="auto"/>
        <w:rPr>
          <w:rFonts w:ascii="宋体" w:hAnsi="宋体" w:cs="宋体"/>
          <w:szCs w:val="21"/>
        </w:rPr>
      </w:pPr>
      <w:r>
        <w:rPr>
          <w:rFonts w:hint="eastAsia" w:ascii="宋体" w:hAnsi="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ascii="宋体" w:hAnsi="宋体" w:cs="宋体"/>
          <w:b/>
          <w:szCs w:val="21"/>
        </w:rPr>
      </w:pPr>
      <w:r>
        <w:rPr>
          <w:rFonts w:hint="eastAsia" w:ascii="宋体" w:hAnsi="宋体" w:cs="宋体"/>
          <w:b/>
          <w:szCs w:val="21"/>
        </w:rPr>
        <w:t xml:space="preserve">3.监狱和戒毒企业的价格扣除</w:t>
      </w:r>
      <w:r/>
    </w:p>
    <w:p>
      <w:pPr>
        <w:ind w:firstLine="422"/>
        <w:spacing w:line="360" w:lineRule="auto"/>
        <w:rPr>
          <w:rFonts w:ascii="宋体" w:hAnsi="宋体" w:cs="宋体"/>
          <w:b/>
          <w:szCs w:val="21"/>
        </w:rPr>
      </w:pPr>
      <w:r>
        <w:rPr>
          <w:rFonts w:hint="eastAsia" w:ascii="宋体" w:hAnsi="宋体" w:cs="宋体"/>
          <w:b/>
          <w:szCs w:val="21"/>
        </w:rPr>
        <w:t xml:space="preserve">3.1 本项目对监狱和戒毒企业，给予10%的价格扣除，用扣除后的价格参与评审。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ascii="宋体" w:hAnsi="宋体" w:cs="宋体"/>
          <w:b/>
          <w:szCs w:val="21"/>
        </w:rPr>
      </w:pPr>
      <w:r>
        <w:rPr>
          <w:rFonts w:hint="eastAsia" w:ascii="宋体" w:hAnsi="宋体" w:cs="宋体"/>
          <w:b/>
          <w:szCs w:val="21"/>
        </w:rPr>
        <w:t xml:space="preserve">3.3 监狱企业标准请参照《关于政府采购支持监狱企业发展有关问题的通知》（财库〔2014〕68号）。</w:t>
      </w:r>
      <w:r/>
    </w:p>
    <w:p>
      <w:pPr>
        <w:ind w:firstLine="422"/>
        <w:spacing w:line="360" w:lineRule="auto"/>
        <w:rPr>
          <w:rFonts w:ascii="宋体" w:hAnsi="宋体" w:cs="宋体"/>
          <w:b/>
          <w:szCs w:val="21"/>
        </w:rPr>
      </w:pPr>
      <w:r>
        <w:rPr>
          <w:rFonts w:hint="eastAsia" w:ascii="宋体" w:hAnsi="宋体" w:cs="宋体"/>
          <w:b/>
          <w:szCs w:val="21"/>
        </w:rPr>
        <w:t xml:space="preserve">4.残疾人福利性单位的价格扣除</w:t>
      </w:r>
      <w:r/>
    </w:p>
    <w:p>
      <w:pPr>
        <w:ind w:firstLine="422"/>
        <w:spacing w:line="360" w:lineRule="auto"/>
        <w:rPr>
          <w:rFonts w:ascii="宋体" w:hAnsi="宋体" w:cs="宋体"/>
          <w:b/>
          <w:szCs w:val="21"/>
        </w:rPr>
      </w:pPr>
      <w:r>
        <w:rPr>
          <w:rFonts w:hint="eastAsia" w:ascii="宋体" w:hAnsi="宋体" w:cs="宋体"/>
          <w:b/>
          <w:szCs w:val="21"/>
        </w:rPr>
        <w:t xml:space="preserve">4.1 本项目对残疾人福利性单位，给予10%的价格扣除，用扣除后的价格参与评审。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4.2 残疾人福利性单位需提供《残疾人福利性单位声明函》</w:t>
      </w:r>
      <w:r/>
    </w:p>
    <w:p>
      <w:pPr>
        <w:ind w:firstLine="422"/>
        <w:spacing w:line="360" w:lineRule="auto"/>
        <w:rPr>
          <w:rFonts w:ascii="宋体" w:hAnsi="宋体" w:cs="宋体"/>
          <w:b/>
          <w:szCs w:val="21"/>
        </w:rPr>
      </w:pPr>
      <w:r>
        <w:rPr>
          <w:rFonts w:hint="eastAsia" w:ascii="宋体" w:hAnsi="宋体" w:cs="宋体"/>
          <w:b/>
          <w:szCs w:val="21"/>
        </w:rPr>
        <w:t xml:space="preserve">4.3 残疾人福利性单位标准请参照《关于促进残疾人就业政府采购政策的通知》（财库〔2017〕141号）。</w:t>
      </w:r>
      <w:r/>
    </w:p>
    <w:p>
      <w:pPr>
        <w:ind w:firstLine="422"/>
        <w:spacing w:line="360" w:lineRule="auto"/>
        <w:rPr>
          <w:rFonts w:ascii="宋体" w:hAnsi="宋体" w:cs="宋体"/>
          <w:b/>
          <w:szCs w:val="21"/>
        </w:rPr>
      </w:pPr>
      <w:r>
        <w:rPr>
          <w:rFonts w:hint="eastAsia" w:ascii="宋体" w:hAnsi="宋体" w:cs="宋体"/>
          <w:b/>
          <w:szCs w:val="21"/>
        </w:rPr>
        <w:t xml:space="preserve">5. 监狱企业、残疾人福利性单位属于小型、微型企业的，不重复享受政策。</w:t>
      </w:r>
      <w:r/>
    </w:p>
    <w:p>
      <w:pPr>
        <w:ind w:firstLine="422"/>
        <w:spacing w:line="360" w:lineRule="auto"/>
        <w:rPr>
          <w:rFonts w:ascii="宋体" w:hAnsi="宋体" w:cs="宋体"/>
          <w:b/>
          <w:szCs w:val="21"/>
        </w:rPr>
      </w:pPr>
      <w:r>
        <w:rPr>
          <w:rFonts w:hint="eastAsia" w:ascii="宋体" w:hAnsi="宋体" w:cs="宋体"/>
          <w:b/>
          <w:szCs w:val="21"/>
        </w:rPr>
        <w:t xml:space="preserve">6.本国产品的价格扣除</w:t>
      </w:r>
      <w:r/>
    </w:p>
    <w:p>
      <w:pPr>
        <w:ind w:firstLine="422"/>
        <w:spacing w:line="360" w:lineRule="auto"/>
        <w:rPr>
          <w:rFonts w:ascii="宋体" w:hAnsi="宋体" w:cs="宋体"/>
          <w:b/>
          <w:szCs w:val="21"/>
        </w:rPr>
      </w:pPr>
      <w:r>
        <w:rPr>
          <w:rFonts w:hint="eastAsia" w:ascii="宋体" w:hAnsi="宋体" w:cs="宋体"/>
          <w:b/>
          <w:szCs w:val="21"/>
        </w:rPr>
        <w:t xml:space="preserve">6.1 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ascii="宋体" w:hAnsi="宋体" w:cs="宋体"/>
          <w:b/>
          <w:szCs w:val="21"/>
        </w:rPr>
      </w:pPr>
      <w:r>
        <w:rPr>
          <w:rFonts w:hint="eastAsia" w:ascii="宋体" w:hAnsi="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ascii="宋体" w:hAnsi="宋体" w:cs="宋体"/>
          <w:b/>
          <w:szCs w:val="21"/>
        </w:rPr>
      </w:pPr>
      <w:r>
        <w:rPr>
          <w:rFonts w:hint="eastAsia" w:ascii="宋体" w:hAnsi="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ascii="宋体" w:hAnsi="宋体" w:cs="宋体"/>
          <w:b/>
          <w:sz w:val="22"/>
          <w:szCs w:val="28"/>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宋体" w:hAnsi="宋体" w:cs="宋体"/>
          <w:b/>
          <w:sz w:val="22"/>
          <w:szCs w:val="28"/>
        </w:rPr>
      </w:r>
      <w:r/>
    </w:p>
    <w:p>
      <w:pPr>
        <w:pStyle w:val="887"/>
        <w:numPr>
          <w:ilvl w:val="0"/>
          <w:numId w:val="0"/>
        </w:numPr>
        <w:rPr>
          <w:rFonts w:ascii="宋体" w:hAnsi="宋体" w:cs="宋体"/>
        </w:rPr>
      </w:pPr>
      <w:r/>
      <w:bookmarkStart w:id="19" w:name="_Toc6871"/>
      <w:r>
        <w:rPr>
          <w:rFonts w:hint="eastAsia" w:ascii="宋体" w:hAnsi="宋体" w:cs="宋体"/>
        </w:rPr>
        <w:t xml:space="preserve">第四章 采购需求</w:t>
      </w:r>
      <w:bookmarkEnd w:id="19"/>
      <w:r/>
      <w:bookmarkStart w:id="20" w:name="_Toc481057147"/>
      <w:r/>
      <w:r/>
    </w:p>
    <w:p>
      <w:pPr>
        <w:pStyle w:val="888"/>
        <w:numPr>
          <w:ilvl w:val="0"/>
          <w:numId w:val="0"/>
        </w:numPr>
        <w:jc w:val="left"/>
        <w:rPr>
          <w:rFonts w:ascii="宋体" w:hAnsi="宋体" w:cs="宋体"/>
          <w:color w:val="000000" w:themeColor="text1"/>
          <w:spacing w:val="8"/>
          <w:szCs w:val="21"/>
          <w14:textFill>
            <w14:solidFill>
              <w14:schemeClr w14:val="tx1"/>
            </w14:solidFill>
          </w14:textFill>
        </w:rPr>
      </w:pPr>
      <w:r>
        <w:rPr>
          <w:rFonts w:hint="eastAsia" w:ascii="宋体" w:hAnsi="宋体" w:cs="宋体"/>
          <w:color w:val="000000" w:themeColor="text1"/>
          <w:spacing w:val="8"/>
          <w:szCs w:val="21"/>
          <w14:textFill>
            <w14:solidFill>
              <w14:schemeClr w14:val="tx1"/>
            </w14:solidFill>
          </w14:textFill>
        </w:rPr>
        <w:t xml:space="preserve">采购包一采购需求：</w:t>
      </w:r>
      <w:r/>
    </w:p>
    <w:p>
      <w:pPr>
        <w:spacing w:before="158" w:after="158"/>
        <w:rPr>
          <w:rFonts w:ascii="宋体" w:hAnsi="宋体" w:cs="宋体"/>
          <w:b/>
          <w:bCs/>
          <w:sz w:val="22"/>
          <w:szCs w:val="28"/>
        </w:rPr>
        <w:outlineLvl w:val="2"/>
      </w:pPr>
      <w:r>
        <w:rPr>
          <w:rFonts w:hint="eastAsia" w:ascii="宋体" w:hAnsi="宋体" w:cs="宋体"/>
          <w:b/>
          <w:bCs/>
          <w:sz w:val="22"/>
          <w:szCs w:val="28"/>
        </w:rPr>
        <w:t xml:space="preserve">一、项目概况</w:t>
      </w:r>
      <w:r/>
    </w:p>
    <w:p>
      <w:pPr>
        <w:ind w:firstLine="420"/>
        <w:spacing w:line="360" w:lineRule="auto"/>
        <w:rPr>
          <w:rFonts w:ascii="宋体" w:hAnsi="宋体" w:cs="宋体"/>
        </w:rPr>
      </w:pPr>
      <w:r>
        <w:rPr>
          <w:rFonts w:hint="eastAsia" w:ascii="宋体" w:hAnsi="宋体" w:cs="宋体"/>
        </w:rPr>
        <w:t xml:space="preserve">根据教职工调研结果以及对三甲医院体检需求，现拟采购2</w:t>
      </w:r>
      <w:r>
        <w:rPr>
          <w:rFonts w:ascii="宋体" w:hAnsi="宋体" w:cs="宋体"/>
        </w:rPr>
        <w:t xml:space="preserve">026-2028</w:t>
      </w:r>
      <w:r>
        <w:rPr>
          <w:rFonts w:hint="eastAsia" w:ascii="宋体" w:hAnsi="宋体" w:cs="宋体"/>
        </w:rPr>
        <w:t xml:space="preserve">年度教职工体检服务，共划分2个采购包。本项目为南京工业职业技术大学2026-2028年度教职工体检项目，全校共有在职教职工</w:t>
      </w:r>
      <w:r>
        <w:rPr>
          <w:rFonts w:ascii="宋体" w:hAnsi="宋体" w:cs="宋体"/>
        </w:rPr>
        <w:t xml:space="preserve">1238</w:t>
      </w:r>
      <w:r>
        <w:rPr>
          <w:rFonts w:hint="eastAsia" w:ascii="宋体" w:hAnsi="宋体" w:cs="宋体"/>
        </w:rPr>
        <w:t xml:space="preserve">人，退休教职工</w:t>
      </w:r>
      <w:r>
        <w:rPr>
          <w:rFonts w:ascii="宋体" w:hAnsi="宋体" w:cs="宋体"/>
        </w:rPr>
        <w:t xml:space="preserve">268</w:t>
      </w:r>
      <w:r>
        <w:rPr>
          <w:rFonts w:hint="eastAsia" w:ascii="宋体" w:hAnsi="宋体" w:cs="宋体"/>
        </w:rPr>
        <w:t xml:space="preserve">人。</w:t>
      </w:r>
      <w:r/>
    </w:p>
    <w:p>
      <w:pPr>
        <w:ind w:firstLine="422"/>
        <w:spacing w:line="360" w:lineRule="auto"/>
        <w:rPr>
          <w:rFonts w:ascii="宋体" w:hAnsi="宋体" w:cs="宋体"/>
          <w:b/>
          <w:bCs/>
        </w:rPr>
      </w:pPr>
      <w:r>
        <w:rPr>
          <w:rFonts w:hint="eastAsia" w:ascii="宋体" w:hAnsi="宋体" w:cs="宋体"/>
          <w:b/>
          <w:bCs/>
        </w:rPr>
        <w:t xml:space="preserve">采购包一：三级甲等医院，完成当年度选取该项目的教职工（含退休人员）体检工作，预估参检人数为</w:t>
      </w:r>
      <w:r>
        <w:rPr>
          <w:rFonts w:ascii="宋体" w:hAnsi="宋体" w:cs="宋体"/>
          <w:b/>
          <w:bCs/>
        </w:rPr>
        <w:t xml:space="preserve">1152</w:t>
      </w:r>
      <w:r>
        <w:rPr>
          <w:rFonts w:hint="eastAsia" w:ascii="宋体" w:hAnsi="宋体" w:cs="宋体"/>
          <w:b/>
          <w:bCs/>
        </w:rPr>
        <w:t xml:space="preserve">人，该人数仅作为报价参考，采购人不保证最终实际体检人数，最终以实际参加体检人数及体检项目结算体检费用。</w:t>
      </w:r>
      <w:r/>
    </w:p>
    <w:p>
      <w:pPr>
        <w:ind w:firstLine="422"/>
        <w:spacing w:line="360" w:lineRule="auto"/>
        <w:rPr>
          <w:rFonts w:ascii="宋体" w:hAnsi="宋体" w:cs="宋体"/>
          <w:b/>
          <w:bCs/>
        </w:rPr>
      </w:pPr>
      <w:r>
        <w:rPr>
          <w:rFonts w:hint="eastAsia" w:ascii="宋体" w:hAnsi="宋体" w:cs="宋体"/>
          <w:b/>
          <w:bCs/>
        </w:rPr>
        <w:t xml:space="preserve">本项目包一采购预算200.00万元/年。本项目采用单价报价模式，结算价款按实际参检人数及中标单价核算，各包最终结算总价均不得超过对应包年度采购预算；若按实际参检人数测算费用达到对应包年度预算上限，超出部分采购人不予支付。</w:t>
      </w:r>
      <w:r/>
    </w:p>
    <w:p>
      <w:pPr>
        <w:ind w:firstLine="420"/>
        <w:spacing w:line="360" w:lineRule="auto"/>
        <w:rPr>
          <w:rFonts w:ascii="宋体" w:hAnsi="宋体" w:cs="宋体"/>
        </w:rPr>
      </w:pPr>
      <w:r>
        <w:rPr>
          <w:rFonts w:hint="eastAsia" w:ascii="宋体" w:hAnsi="宋体" w:cs="宋体"/>
        </w:rPr>
        <w:t xml:space="preserve">体检时间初步定为每年</w:t>
      </w:r>
      <w:r>
        <w:rPr>
          <w:rFonts w:ascii="宋体" w:hAnsi="宋体" w:cs="宋体"/>
        </w:rPr>
        <w:t xml:space="preserve">8</w:t>
      </w:r>
      <w:r>
        <w:rPr>
          <w:rFonts w:hint="eastAsia" w:ascii="宋体" w:hAnsi="宋体" w:cs="宋体"/>
        </w:rPr>
        <w:t xml:space="preserve">月-1</w:t>
      </w:r>
      <w:r>
        <w:rPr>
          <w:rFonts w:ascii="宋体" w:hAnsi="宋体" w:cs="宋体"/>
        </w:rPr>
        <w:t xml:space="preserve">2</w:t>
      </w:r>
      <w:r>
        <w:rPr>
          <w:rFonts w:hint="eastAsia" w:ascii="宋体" w:hAnsi="宋体" w:cs="宋体"/>
        </w:rPr>
        <w:t xml:space="preserve">月，每年用5个月左右时间完成体检工作，必要时提供包场服务。</w:t>
      </w:r>
      <w:r/>
    </w:p>
    <w:p>
      <w:pPr>
        <w:rPr>
          <w:rFonts w:ascii="宋体" w:hAnsi="宋体" w:cs="宋体"/>
        </w:rPr>
      </w:pPr>
      <w:r>
        <w:rPr>
          <w:rFonts w:ascii="宋体" w:hAnsi="宋体" w:cs="宋体"/>
        </w:rPr>
      </w:r>
      <w:r/>
    </w:p>
    <w:p>
      <w:pPr>
        <w:spacing w:before="158" w:after="158"/>
        <w:rPr>
          <w:rFonts w:ascii="宋体" w:hAnsi="宋体" w:cs="宋体"/>
          <w:b/>
          <w:bCs/>
          <w:sz w:val="22"/>
          <w:szCs w:val="28"/>
        </w:rPr>
        <w:outlineLvl w:val="2"/>
      </w:pPr>
      <w:r>
        <w:rPr>
          <w:rFonts w:hint="eastAsia" w:ascii="宋体" w:hAnsi="宋体" w:cs="宋体"/>
          <w:b/>
          <w:bCs/>
          <w:sz w:val="22"/>
          <w:szCs w:val="28"/>
        </w:rPr>
        <w:t xml:space="preserve">二、服务要求</w:t>
      </w:r>
      <w:r/>
    </w:p>
    <w:p>
      <w:pPr>
        <w:ind w:firstLine="420"/>
        <w:spacing w:line="360" w:lineRule="auto"/>
        <w:rPr>
          <w:rFonts w:ascii="宋体" w:hAnsi="宋体" w:cs="宋体"/>
        </w:rPr>
      </w:pPr>
      <w:r>
        <w:rPr>
          <w:rFonts w:hint="eastAsia" w:ascii="宋体" w:hAnsi="宋体" w:cs="宋体"/>
        </w:rPr>
        <w:t xml:space="preserve">1.供应商为采购人组织经验丰富且有执业资质的医师、检验师及护理工作人员为采购人员工进行健康检查。</w:t>
      </w:r>
      <w:r/>
    </w:p>
    <w:p>
      <w:pPr>
        <w:ind w:firstLine="420"/>
        <w:spacing w:line="360" w:lineRule="auto"/>
        <w:rPr>
          <w:rFonts w:ascii="宋体" w:hAnsi="宋体" w:cs="宋体"/>
        </w:rPr>
      </w:pPr>
      <w:r>
        <w:rPr>
          <w:rFonts w:hint="eastAsia" w:ascii="宋体" w:hAnsi="宋体" w:cs="宋体"/>
        </w:rPr>
        <w:t xml:space="preserve">2.供应商向采购人离退休教职工提供书面体检报告壹份（密封）、供应商向采购人教职工提供电子版体检报告，采购人教职工可通过手机App、微信小程序或供应商官网主页等方式查询本人体检报告，如采购人教职工需书面体检报告，供应商需提供现场免费打印服务。</w:t>
      </w:r>
      <w:r/>
    </w:p>
    <w:p>
      <w:pPr>
        <w:ind w:firstLine="420"/>
        <w:spacing w:line="360" w:lineRule="auto"/>
        <w:rPr>
          <w:rFonts w:ascii="宋体" w:hAnsi="宋体" w:cs="宋体"/>
        </w:rPr>
      </w:pPr>
      <w:r>
        <w:rPr>
          <w:rFonts w:hint="eastAsia" w:ascii="宋体" w:hAnsi="宋体" w:cs="宋体"/>
        </w:rPr>
        <w:t xml:space="preserve">3.体检完成之后，供应商将针对采购人教职工的体检结果，根据采购人的通知，在合理时间内为采购人员工安排专家对体检结果进行讲解，并提供健康管理改进方案，如需要，供应商还为采购人提供办理医疗转诊服务。</w:t>
      </w:r>
      <w:r/>
    </w:p>
    <w:p>
      <w:pPr>
        <w:ind w:firstLine="420"/>
        <w:spacing w:line="360" w:lineRule="auto"/>
        <w:rPr>
          <w:rFonts w:ascii="宋体" w:hAnsi="宋体" w:cs="宋体"/>
        </w:rPr>
      </w:pPr>
      <w:r>
        <w:rPr>
          <w:rFonts w:hint="eastAsia" w:ascii="宋体" w:hAnsi="宋体" w:cs="宋体"/>
        </w:rPr>
        <w:t xml:space="preserve">4.供应商负责对采购人员工的个人信息和体检结果做好保密工作：</w:t>
      </w:r>
      <w:r/>
    </w:p>
    <w:p>
      <w:pPr>
        <w:ind w:firstLine="420"/>
        <w:spacing w:line="360" w:lineRule="auto"/>
        <w:rPr>
          <w:rFonts w:ascii="宋体" w:hAnsi="宋体" w:cs="宋体"/>
        </w:rPr>
      </w:pPr>
      <w:r>
        <w:rPr>
          <w:rFonts w:hint="eastAsia" w:ascii="宋体" w:hAnsi="宋体" w:cs="宋体"/>
        </w:rPr>
        <w:t xml:space="preserve">（1）所有教职工个人身份信息、体检原始数据、体检报告属于敏感个人信息，供应商不得擅自复制、外传、用于广告营销；</w:t>
      </w:r>
      <w:r/>
    </w:p>
    <w:p>
      <w:pPr>
        <w:ind w:firstLine="420"/>
        <w:spacing w:line="360" w:lineRule="auto"/>
        <w:rPr>
          <w:rFonts w:ascii="宋体" w:hAnsi="宋体" w:cs="宋体"/>
        </w:rPr>
      </w:pPr>
      <w:r>
        <w:rPr>
          <w:rFonts w:hint="eastAsia" w:ascii="宋体" w:hAnsi="宋体" w:cs="宋体"/>
        </w:rPr>
        <w:t xml:space="preserve">（2）电子报告系统必须账号密码实名认证登录，不得公开查询；</w:t>
      </w:r>
      <w:r/>
    </w:p>
    <w:p>
      <w:pPr>
        <w:ind w:firstLine="420"/>
        <w:spacing w:line="360" w:lineRule="auto"/>
        <w:rPr>
          <w:rFonts w:ascii="宋体" w:hAnsi="宋体" w:cs="宋体"/>
        </w:rPr>
      </w:pPr>
      <w:r>
        <w:rPr>
          <w:rFonts w:hint="eastAsia" w:ascii="宋体" w:hAnsi="宋体" w:cs="宋体"/>
        </w:rPr>
        <w:t xml:space="preserve">（3）发生信息泄露，供应商承担全部法律责任，采购人有权扣除履约保证金、解除合同。</w:t>
      </w:r>
      <w:r/>
    </w:p>
    <w:p>
      <w:pPr>
        <w:ind w:firstLine="420"/>
        <w:spacing w:line="360" w:lineRule="auto"/>
        <w:rPr>
          <w:rFonts w:ascii="宋体" w:hAnsi="宋体" w:cs="宋体"/>
        </w:rPr>
      </w:pPr>
      <w:r>
        <w:rPr>
          <w:rFonts w:hint="eastAsia" w:ascii="宋体" w:hAnsi="宋体" w:cs="宋体"/>
        </w:rPr>
        <w:t xml:space="preserve">5.供应商为采购人体检员工建立个人健康档案。</w:t>
      </w:r>
      <w:r/>
    </w:p>
    <w:p>
      <w:pPr>
        <w:ind w:firstLine="420"/>
        <w:spacing w:line="360" w:lineRule="auto"/>
        <w:rPr>
          <w:rFonts w:ascii="宋体" w:hAnsi="宋体" w:cs="宋体"/>
        </w:rPr>
      </w:pPr>
      <w:r>
        <w:rPr>
          <w:rFonts w:hint="eastAsia" w:ascii="宋体" w:hAnsi="宋体" w:cs="宋体"/>
        </w:rPr>
        <w:t xml:space="preserve">6.供应商为采购人体检员工免费提供营养早餐，</w:t>
      </w:r>
      <w:r>
        <w:rPr>
          <w:rFonts w:ascii="宋体" w:hAnsi="宋体" w:cs="宋体"/>
        </w:rPr>
        <w:t xml:space="preserve">明确早餐基本品类要求，保障糖尿病等特殊饮食人群基础可选食品</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7.供应商应制定规范、合理的体检流程，确保体检工作顺利开展。</w:t>
      </w:r>
      <w:r/>
    </w:p>
    <w:p>
      <w:pPr>
        <w:ind w:firstLine="420"/>
        <w:spacing w:line="360" w:lineRule="auto"/>
        <w:rPr>
          <w:rFonts w:ascii="宋体" w:hAnsi="宋体" w:cs="宋体"/>
        </w:rPr>
      </w:pPr>
      <w:r>
        <w:rPr>
          <w:rFonts w:hint="eastAsia" w:ascii="宋体" w:hAnsi="宋体" w:cs="宋体"/>
        </w:rPr>
        <w:t xml:space="preserve">8.供应商应制定完善的质量控制方案，确保体检质量。</w:t>
      </w:r>
      <w:r/>
    </w:p>
    <w:p>
      <w:pPr>
        <w:ind w:firstLine="420"/>
        <w:spacing w:line="360" w:lineRule="auto"/>
        <w:rPr>
          <w:rFonts w:ascii="宋体" w:hAnsi="宋体" w:cs="宋体"/>
        </w:rPr>
      </w:pPr>
      <w:r>
        <w:rPr>
          <w:rFonts w:hint="eastAsia" w:ascii="宋体" w:hAnsi="宋体" w:cs="宋体"/>
        </w:rPr>
        <w:t xml:space="preserve">9.供应商应制定大流量应对方案，为采购人提供舒适的体检环境。</w:t>
      </w:r>
      <w:r/>
    </w:p>
    <w:p>
      <w:pPr>
        <w:ind w:firstLine="420"/>
        <w:spacing w:line="360" w:lineRule="auto"/>
        <w:rPr>
          <w:rFonts w:ascii="宋体" w:hAnsi="宋体" w:cs="宋体"/>
        </w:rPr>
      </w:pPr>
      <w:r>
        <w:rPr>
          <w:rFonts w:hint="eastAsia" w:ascii="宋体" w:hAnsi="宋体" w:cs="宋体"/>
        </w:rPr>
        <w:t xml:space="preserve">10.体检预约：允许教职工灵活预约体检日期，不限于集中体检批次，对因教学科研、异地居住错过集中体检的，提供补检通道。</w:t>
      </w:r>
      <w:r/>
    </w:p>
    <w:p>
      <w:pPr>
        <w:ind w:firstLine="420"/>
        <w:spacing w:line="360" w:lineRule="auto"/>
        <w:rPr>
          <w:rFonts w:ascii="宋体" w:hAnsi="宋体" w:cs="宋体"/>
        </w:rPr>
      </w:pPr>
      <w:r>
        <w:rPr>
          <w:rFonts w:hint="eastAsia" w:ascii="宋体" w:hAnsi="宋体" w:cs="宋体"/>
        </w:rPr>
        <w:t xml:space="preserve">11.退休人员特殊关怀：退休老同志提供咨询通道，报告解读尽量通俗易懂；对高龄行动不便退休人员，优化预约及现场引导服务。</w:t>
      </w:r>
      <w:r/>
    </w:p>
    <w:p>
      <w:pPr>
        <w:ind w:firstLine="420"/>
        <w:spacing w:line="360" w:lineRule="auto"/>
        <w:rPr>
          <w:rFonts w:ascii="宋体" w:hAnsi="宋体" w:cs="宋体"/>
        </w:rPr>
      </w:pPr>
      <w:r>
        <w:rPr>
          <w:rFonts w:hint="eastAsia" w:ascii="宋体" w:hAnsi="宋体" w:cs="宋体"/>
        </w:rPr>
        <w:t xml:space="preserve">12.中标后履约核查：采购人有权组织人员实地复核投标体检点场地、设备、拟派医护人员，与投标文件重大不一致，按虚假响应，解除合同，上报政府采购不良行为记录。</w:t>
      </w:r>
      <w:r/>
    </w:p>
    <w:p>
      <w:pPr>
        <w:ind w:firstLine="422"/>
        <w:spacing w:line="360" w:lineRule="auto"/>
        <w:rPr>
          <w:rFonts w:ascii="宋体" w:hAnsi="宋体" w:cs="宋体"/>
          <w:b/>
          <w:bCs/>
        </w:rPr>
      </w:pPr>
      <w:r>
        <w:rPr>
          <w:rFonts w:hint="eastAsia" w:ascii="宋体" w:hAnsi="宋体" w:cs="宋体"/>
          <w:b/>
          <w:bCs/>
        </w:rPr>
        <w:t xml:space="preserve">13.采购需求中45岁（含）以上人员体检套餐内包含允许教职工三选一（心血管检查/脑血管检查/胃肠道检查）项目。投标人须结合项目预估选择比例、服务成本等因素综合测算报送45岁（含）以上人员的相应单价，该三选一项目相关费用均已包含在投标报价中，履约过程中采购人不再另行支付任何费用。</w:t>
      </w:r>
      <w:r/>
    </w:p>
    <w:p>
      <w:pPr>
        <w:ind w:firstLine="420"/>
        <w:spacing w:line="360" w:lineRule="auto"/>
        <w:rPr>
          <w:rFonts w:ascii="宋体" w:hAnsi="宋体" w:cs="宋体"/>
        </w:rPr>
      </w:pPr>
      <w:r>
        <w:rPr>
          <w:rFonts w:hint="eastAsia" w:ascii="宋体" w:hAnsi="宋体" w:cs="宋体"/>
        </w:rPr>
        <w:t xml:space="preserve">14.体检服务方案</w:t>
      </w:r>
      <w:r/>
    </w:p>
    <w:p>
      <w:pPr>
        <w:ind w:firstLine="420"/>
        <w:spacing w:line="360" w:lineRule="auto"/>
        <w:rPr>
          <w:rFonts w:ascii="宋体" w:hAnsi="宋体" w:cs="宋体"/>
        </w:rPr>
      </w:pPr>
      <w:r>
        <w:rPr>
          <w:rFonts w:hint="eastAsia" w:ascii="宋体" w:hAnsi="宋体" w:cs="宋体"/>
        </w:rPr>
        <w:t xml:space="preserve">（1）体检环境：指专门用于本次体检场所的环境（如供应商有多个体检点，须由供应商确定某一个体检点为本次投标专用体检点），供应商需提供体检中心功能布局平面图，图纸标注各功能房间长宽、面积、功能用途、候诊区位置、男女分区，明确体检中心总建筑面积等信息。</w:t>
      </w:r>
      <w:r/>
    </w:p>
    <w:p>
      <w:pPr>
        <w:ind w:firstLine="420"/>
        <w:spacing w:line="360" w:lineRule="auto"/>
        <w:rPr>
          <w:rFonts w:ascii="宋体" w:hAnsi="宋体" w:cs="宋体"/>
        </w:rPr>
      </w:pPr>
      <w:r>
        <w:rPr>
          <w:rFonts w:hint="eastAsia" w:ascii="宋体" w:hAnsi="宋体" w:cs="宋体"/>
        </w:rPr>
        <w:t xml:space="preserve">（2）体检流程、质量控制方案：供应商须提供体检服务流程及质量控制方案。评标委员会根据方案完整性、流程规范性、质控措施科学性进行综合评审，包括但不限于放射诊疗检查时，对受检者邻近照射野的敏感器官和组织屏蔽防护措施等。</w:t>
      </w:r>
      <w:r/>
    </w:p>
    <w:p>
      <w:pPr>
        <w:ind w:firstLine="420"/>
        <w:spacing w:line="360" w:lineRule="auto"/>
        <w:rPr>
          <w:rFonts w:ascii="宋体" w:hAnsi="宋体" w:cs="宋体"/>
        </w:rPr>
      </w:pPr>
      <w:r>
        <w:rPr>
          <w:rFonts w:hint="eastAsia" w:ascii="宋体" w:hAnsi="宋体" w:cs="宋体"/>
        </w:rPr>
        <w:t xml:space="preserve">（3）投标人须针对本项目教职工集中体检、大流量参检特点，制定专项人群分流及应急应对方案，包括但不限于方案针对性、合理性及实操性。</w:t>
      </w:r>
      <w:r/>
    </w:p>
    <w:p>
      <w:pPr>
        <w:ind w:firstLine="420"/>
        <w:spacing w:line="360" w:lineRule="auto"/>
        <w:rPr>
          <w:rFonts w:ascii="宋体" w:hAnsi="宋体" w:cs="宋体"/>
        </w:rPr>
      </w:pPr>
      <w:r>
        <w:rPr>
          <w:rFonts w:hint="eastAsia" w:ascii="宋体" w:hAnsi="宋体" w:cs="宋体"/>
        </w:rPr>
        <w:t xml:space="preserve">（4）投标人须提供完整的体检报告解读、健康科普指导、异常指标转诊建议专项方案，并承诺安排专业专家上门开展一对一体检报告解读服务。</w:t>
      </w:r>
      <w:r/>
    </w:p>
    <w:p>
      <w:pPr>
        <w:ind w:firstLine="420"/>
        <w:spacing w:line="360" w:lineRule="auto"/>
        <w:rPr>
          <w:rFonts w:ascii="宋体" w:hAnsi="宋体" w:cs="宋体"/>
        </w:rPr>
      </w:pPr>
      <w:r>
        <w:rPr>
          <w:rFonts w:hint="eastAsia" w:ascii="宋体" w:hAnsi="宋体" w:cs="宋体"/>
        </w:rPr>
        <w:t xml:space="preserve">（5）投标人须提供增值服务方案，方案内容至少包含投标人在本项目基础体检套餐之外承诺免费增加的有效体检项目。评标委员会结合增值项目数量、实用性、合理性、可行性综合评审。</w:t>
      </w:r>
      <w:r/>
    </w:p>
    <w:p>
      <w:pPr>
        <w:ind w:firstLine="420"/>
        <w:spacing w:line="360" w:lineRule="auto"/>
        <w:rPr>
          <w:rFonts w:ascii="宋体" w:hAnsi="宋体" w:cs="宋体"/>
        </w:rPr>
      </w:pPr>
      <w:r>
        <w:rPr>
          <w:rFonts w:ascii="宋体" w:hAnsi="宋体" w:cs="宋体"/>
        </w:rPr>
      </w:r>
      <w:r/>
    </w:p>
    <w:p>
      <w:pPr>
        <w:spacing w:line="360" w:lineRule="auto"/>
        <w:rPr>
          <w:rFonts w:ascii="宋体" w:hAnsi="宋体" w:cs="宋体"/>
          <w:b/>
          <w:bCs/>
          <w:sz w:val="22"/>
          <w:szCs w:val="28"/>
        </w:rPr>
      </w:pPr>
      <w:r>
        <w:rPr>
          <w:rFonts w:hint="eastAsia" w:ascii="宋体" w:hAnsi="宋体" w:cs="宋体"/>
          <w:b/>
          <w:bCs/>
          <w:sz w:val="22"/>
          <w:szCs w:val="28"/>
        </w:rPr>
        <w:t xml:space="preserve">三、报价要求</w:t>
      </w:r>
      <w:r/>
    </w:p>
    <w:p>
      <w:pPr>
        <w:ind w:firstLine="420"/>
        <w:spacing w:line="360" w:lineRule="auto"/>
        <w:rPr>
          <w:rFonts w:ascii="宋体" w:hAnsi="宋体" w:cs="宋体"/>
        </w:rPr>
      </w:pPr>
      <w:r>
        <w:rPr>
          <w:rFonts w:hint="eastAsia" w:ascii="宋体" w:hAnsi="宋体" w:cs="宋体"/>
        </w:rPr>
        <w:t xml:space="preserve">按六个分项分别报价：1、45岁以下在职男性（正高除外）套餐单价；2、45岁以下在职女性已婚（正高除外）套餐单价；3、45岁以下在职女性未婚（正高除外）套餐单价；4、45岁（含）以上在职、正高职称、退休人员男性套餐单价；5、45岁（含）以上在职、正高职称、退休人员女性已婚套餐单价；6、45岁（含）以上在职、正高职称、退休人员女性未婚套餐单价。</w:t>
      </w:r>
      <w:r/>
    </w:p>
    <w:p>
      <w:pPr>
        <w:ind w:firstLine="420"/>
        <w:rPr>
          <w:rFonts w:ascii="宋体" w:hAnsi="宋体" w:cs="宋体"/>
        </w:rPr>
      </w:pPr>
      <w:r>
        <w:rPr>
          <w:rFonts w:ascii="宋体" w:hAnsi="宋体" w:cs="宋体"/>
        </w:rPr>
      </w:r>
      <w:r/>
    </w:p>
    <w:p>
      <w:pPr>
        <w:spacing w:before="158" w:after="158"/>
        <w:rPr>
          <w:rFonts w:ascii="宋体" w:hAnsi="宋体" w:cs="宋体"/>
          <w:b/>
          <w:bCs/>
          <w:sz w:val="22"/>
          <w:szCs w:val="28"/>
        </w:rPr>
        <w:outlineLvl w:val="2"/>
      </w:pPr>
      <w:r>
        <w:rPr>
          <w:rFonts w:hint="eastAsia" w:ascii="宋体" w:hAnsi="宋体" w:cs="宋体"/>
          <w:b/>
          <w:bCs/>
          <w:sz w:val="22"/>
          <w:szCs w:val="28"/>
        </w:rPr>
        <w:t xml:space="preserve">四、体检内容</w:t>
      </w:r>
      <w:r/>
    </w:p>
    <w:p>
      <w:pPr>
        <w:rPr>
          <w:rFonts w:ascii="宋体" w:hAnsi="宋体" w:cs="宋体"/>
          <w:b/>
          <w:bCs/>
          <w:sz w:val="22"/>
          <w:szCs w:val="28"/>
        </w:rPr>
      </w:pPr>
      <w:r>
        <w:rPr>
          <w:rFonts w:hint="eastAsia" w:ascii="宋体" w:hAnsi="宋体" w:cs="宋体"/>
          <w:b/>
          <w:bCs/>
          <w:sz w:val="22"/>
          <w:szCs w:val="28"/>
        </w:rPr>
        <w:t xml:space="preserve">1、45岁以下在职男性（正高除外）套餐</w:t>
      </w:r>
      <w:r/>
    </w:p>
    <w:tbl>
      <w:tblPr>
        <w:tblStyle w:val="897"/>
        <w:tblW w:w="4955"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558"/>
        <w:gridCol w:w="6666"/>
      </w:tblGrid>
      <w:tr>
        <w:trPr>
          <w:jc w:val="center"/>
          <w:trHeight w:val="359"/>
        </w:trPr>
        <w:tc>
          <w:tcPr>
            <w:gridSpan w:val="2"/>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spacing w:line="351" w:lineRule="exact"/>
              <w:rPr>
                <w:rFonts w:ascii="Calibri" w:hAnsi="Calibri"/>
                <w:szCs w:val="22"/>
              </w:rPr>
            </w:pPr>
            <w:r>
              <w:rPr>
                <w:rFonts w:hint="eastAsia" w:ascii="宋体" w:hAnsi="宋体" w:cs="宋体"/>
                <w:b/>
                <w:bCs/>
                <w:color w:val="000000"/>
                <w:sz w:val="19"/>
                <w:szCs w:val="22"/>
              </w:rPr>
              <w:t xml:space="preserve">45岁以下在职男性（正高除外）套餐</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基本检查</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身高、体重、血压、脉搏、体重指数</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内科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心、肺听诊、腹部触诊</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浅表淋巴结、甲状腺、乳房、脊柱、四肢、皮肤、浅表淋巴结等</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眼科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外眼、视力、眼底、眼压</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耳、鼻、喉科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外耳道、鼓膜、鼻腔、鼻中隔、扁桃体、咽部等</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口腔科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检查牙齿、牙周组织、口腔黏膜及颞下颌关节等有无异常</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血常规</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18项</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甲状腺功能</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T3、T4、TSH</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肝功能</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谷丙转氨酶、r-转肽酶、谷草转氨酶、总胆红素、直接胆红素、间接胆红素、血清白蛋白、血清总蛋白、血清球蛋白、ALB/GLO</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肿瘤标记筛选</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CEA、AFP、CA199、NSE、CA724、CA242、CA50、CYFRA21-1、PSA、FPSA</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肾脏机能</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血尿素氮、血清尿酸、血清肌酐</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血脂</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胆固醇、甘油三脂、高密度脂蛋白胆固醇、低密度脂蛋白胆固醇</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血糖</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空腹血糖测定</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尿常规</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10项</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心电图</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12导心电图</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影像学检查</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胸部CT平扫</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彩色B超</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肝、胆、胰、脾、双肾、膀胱、前列腺</w:t>
            </w:r>
            <w:r>
              <w:rPr>
                <w:rFonts w:ascii="SimSun" w:hAnsi="SimSun" w:eastAsia="SimSun" w:cs="SimSun"/>
                <w:color w:val="ff0000"/>
                <w:sz w:val="19"/>
              </w:rPr>
              <w:t xml:space="preserve">、甲状腺</w:t>
            </w:r>
            <w:r>
              <w:rPr>
                <w:rFonts w:ascii="宋体" w:hAnsi="宋体" w:cs="宋体"/>
                <w:color w:val="000000"/>
                <w:sz w:val="19"/>
                <w:szCs w:val="22"/>
              </w:rPr>
              <w:t xml:space="preserve">彩色超声检查（含图文）</w:t>
            </w:r>
            <w:r/>
          </w:p>
        </w:tc>
      </w:tr>
    </w:tbl>
    <w:p>
      <w:pPr>
        <w:rPr>
          <w:rFonts w:ascii="宋体" w:hAnsi="宋体" w:cs="宋体"/>
        </w:rPr>
      </w:pPr>
      <w:r>
        <w:rPr>
          <w:rFonts w:ascii="宋体" w:hAnsi="宋体" w:cs="宋体"/>
        </w:rPr>
      </w:r>
      <w:r/>
    </w:p>
    <w:p>
      <w:pPr>
        <w:rPr>
          <w:rFonts w:ascii="宋体" w:hAnsi="宋体" w:cs="宋体"/>
        </w:rPr>
      </w:pPr>
      <w:r>
        <w:rPr>
          <w:rFonts w:ascii="宋体" w:hAnsi="宋体" w:cs="宋体"/>
          <w:b/>
          <w:bCs/>
          <w:sz w:val="22"/>
          <w:szCs w:val="28"/>
        </w:rPr>
        <w:t xml:space="preserve">2</w:t>
      </w:r>
      <w:r>
        <w:rPr>
          <w:rFonts w:hint="eastAsia" w:ascii="宋体" w:hAnsi="宋体" w:cs="宋体"/>
          <w:b/>
          <w:bCs/>
          <w:sz w:val="22"/>
          <w:szCs w:val="28"/>
        </w:rPr>
        <w:t xml:space="preserve">、45岁以下在职女性已婚（正高除外）套餐</w:t>
      </w:r>
      <w:r/>
    </w:p>
    <w:tbl>
      <w:tblPr>
        <w:tblStyle w:val="897"/>
        <w:tblW w:w="5000"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555"/>
        <w:gridCol w:w="6744"/>
      </w:tblGrid>
      <w:tr>
        <w:trPr>
          <w:jc w:val="center"/>
          <w:trHeight w:val="300"/>
        </w:trPr>
        <w:tc>
          <w:tcPr>
            <w:gridSpan w:val="2"/>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spacing w:line="351" w:lineRule="exact"/>
              <w:rPr>
                <w:rFonts w:ascii="Calibri" w:hAnsi="Calibri"/>
                <w:szCs w:val="22"/>
              </w:rPr>
            </w:pPr>
            <w:r>
              <w:rPr>
                <w:rFonts w:hint="eastAsia" w:ascii="宋体" w:hAnsi="宋体" w:cs="宋体"/>
                <w:b/>
                <w:bCs/>
                <w:color w:val="000000"/>
                <w:sz w:val="19"/>
                <w:szCs w:val="22"/>
              </w:rPr>
              <w:t xml:space="preserve">45岁以下在职女性已婚（正高除外）套餐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基本检查</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身高、体重、血压、脉搏、体重指数</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内科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心、肺听诊、腹部触诊</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浅表淋巴结、甲状腺、乳房、脊柱、四肢、皮肤、浅表淋巴结等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眼科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外眼、视力、眼底、眼压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耳、鼻、喉科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外耳道、鼓膜、鼻腔、鼻中隔、扁桃体、咽部等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口腔科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检查牙齿、牙周组织、口腔黏膜及颞下颌关节等有无异常</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妇科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妇科检查、白带常规、宫颈液基细胞学检查（TCT）</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血常规</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18项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甲状腺功能</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T3、T4、TSH</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肝功能</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谷丙转氨酶、r-转肽酶、谷草转氨酶、总胆红素、直接胆红素、间接胆红素、血清白蛋白、血清总蛋白、血清球蛋白、ALB/GLO</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肿瘤标记筛选</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CEA、AFP、CA199、NSE、CA724、CA242、CA50、CYFRA21-1、CA125、CA153</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肾脏机能</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血尿素氮、血清尿酸、血清肌酐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血脂</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胆固醇、甘油三脂、高密度脂蛋白胆固醇、低密度脂蛋白胆固醇</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血糖</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空腹血糖测定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尿常规</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10项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心电图</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12导心电图</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影像学检查</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胸部CT平扫</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彩色B超</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肝、胆、胰、脾、双肾、膀胱、乳腺、子宫、附件</w:t>
            </w:r>
            <w:r>
              <w:rPr>
                <w:rFonts w:ascii="SimSun" w:hAnsi="SimSun" w:eastAsia="SimSun" w:cs="SimSun"/>
                <w:color w:val="ff0000"/>
                <w:sz w:val="19"/>
              </w:rPr>
              <w:t xml:space="preserve">、甲状腺</w:t>
            </w:r>
            <w:r>
              <w:rPr>
                <w:rFonts w:ascii="宋体" w:hAnsi="宋体" w:cs="宋体"/>
                <w:color w:val="000000"/>
                <w:sz w:val="19"/>
                <w:szCs w:val="22"/>
              </w:rPr>
              <w:t xml:space="preserve">彩色超声检查（含图文）</w:t>
            </w:r>
            <w:r/>
          </w:p>
        </w:tc>
      </w:tr>
    </w:tbl>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3、45岁以下在职女性未婚（正高除外）套餐</w:t>
      </w:r>
      <w:r/>
    </w:p>
    <w:tbl>
      <w:tblPr>
        <w:tblStyle w:val="897"/>
        <w:tblW w:w="4968"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555"/>
        <w:gridCol w:w="6691"/>
      </w:tblGrid>
      <w:tr>
        <w:trPr>
          <w:jc w:val="center"/>
          <w:trHeight w:val="300"/>
        </w:trPr>
        <w:tc>
          <w:tcPr>
            <w:gridSpan w:val="2"/>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rPr>
                <w:rFonts w:cs="宋体" w:asciiTheme="minorEastAsia" w:hAnsiTheme="minorEastAsia" w:eastAsiaTheme="minorEastAsia"/>
                <w:sz w:val="19"/>
                <w:szCs w:val="19"/>
              </w:rPr>
            </w:pPr>
            <w:r>
              <w:rPr>
                <w:rFonts w:hint="eastAsia" w:cs="宋体" w:asciiTheme="minorEastAsia" w:hAnsiTheme="minorEastAsia" w:eastAsiaTheme="minorEastAsia"/>
                <w:b/>
                <w:bCs/>
                <w:sz w:val="19"/>
                <w:szCs w:val="19"/>
              </w:rPr>
              <w:t xml:space="preserve">45岁以下在职女性未婚（正高除外）套餐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基本检查</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身高、体重、血压、脉搏、体重指数</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内科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心、肺听诊、腹部触诊</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外科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浅表淋巴结、甲状腺、乳房、脊柱、四肢、皮肤、浅表淋巴结等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眼科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外眼、视力、眼底、眼压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耳、鼻、喉科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外耳道、鼓膜、鼻腔、鼻中隔、扁桃体、咽部等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口腔科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检查牙齿、牙周组织、口腔黏膜及颞下颌关节等有无异常</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血常规</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18项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甲状腺功能</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T3、T4、TSH</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肝功能</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谷丙转氨酶、r-转肽酶、谷草转氨酶、总胆红素、直接胆红素、间接胆红素、血清白蛋白、血清总蛋白、血清球蛋白、ALB/GLO</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肿瘤标记筛选</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CEA、AFP、CA199、NSE、CA724、CA242、CA50、CYFRA21-1、CA125、CA153</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肾脏机能</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血尿素氮、血清尿酸、血清肌酐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血脂</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胆固醇、甘油三脂、高密度脂蛋白胆固醇、低密度脂蛋白胆固醇</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血糖</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空腹血糖测定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尿常规</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10项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粪便隐血试验（免疫法定量）</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粪便隐血试验（免疫法定量）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心电图</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12导心电图</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影像学检查</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胸部CT平扫</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彩色B超</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肝、胆、胰、脾、双肾、膀胱、乳腺、子宫、附件</w:t>
            </w:r>
            <w:r>
              <w:rPr>
                <w:rFonts w:ascii="SimSun" w:hAnsi="SimSun" w:eastAsia="SimSun" w:cs="SimSun"/>
                <w:color w:val="ff0000"/>
                <w:sz w:val="19"/>
              </w:rPr>
              <w:t xml:space="preserve">、甲状腺</w:t>
            </w:r>
            <w:r>
              <w:rPr>
                <w:rFonts w:cs="宋体" w:asciiTheme="minorEastAsia" w:hAnsiTheme="minorEastAsia" w:eastAsiaTheme="minorEastAsia"/>
                <w:sz w:val="19"/>
                <w:szCs w:val="19"/>
              </w:rPr>
              <w:t xml:space="preserve">彩色超声检查（含图文）</w:t>
            </w:r>
            <w:r/>
          </w:p>
        </w:tc>
      </w:tr>
    </w:tbl>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4、45岁（含）以上在职、正高职称、退休人员男性套餐</w:t>
      </w:r>
      <w:r/>
    </w:p>
    <w:tbl>
      <w:tblPr>
        <w:tblStyle w:val="897"/>
        <w:tblW w:w="4873"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412"/>
        <w:gridCol w:w="1136"/>
        <w:gridCol w:w="5540"/>
      </w:tblGrid>
      <w:tr>
        <w:trPr>
          <w:jc w:val="center"/>
          <w:trHeight w:val="300"/>
        </w:trPr>
        <w:tc>
          <w:tcPr>
            <w:gridSpan w:val="3"/>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rPr>
                <w:rFonts w:ascii="宋体" w:hAnsi="宋体" w:cs="宋体"/>
                <w:sz w:val="19"/>
                <w:szCs w:val="19"/>
              </w:rPr>
            </w:pPr>
            <w:r>
              <w:rPr>
                <w:rFonts w:hint="eastAsia" w:ascii="宋体" w:hAnsi="宋体" w:cs="宋体"/>
                <w:b/>
                <w:bCs/>
                <w:sz w:val="19"/>
                <w:szCs w:val="19"/>
              </w:rPr>
              <w:t xml:space="preserve">45岁（含）以上在职、正高职称、退休人员男性套餐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基本检查</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身高、体重、血压、脉搏、体重指数</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内科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心、肺听诊、腹部触诊</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外科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浅表淋巴结、甲状腺、乳房、脊柱、四肢、皮肤、浅表淋巴结等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眼科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外眼、视力、眼底、眼压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耳、鼻、喉科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外耳道、鼓膜、鼻腔、鼻中隔、扁桃体、咽部等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口腔科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检查牙齿、牙周组织、口腔黏膜及颞下颌关节等有无异常</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血常规</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18项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甲状腺功能</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T3、T4、TSH</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肝功能</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谷丙转氨酶、r-转肽酶、谷草转氨酶、总胆红素、直接胆红素、间接胆红素、血清白蛋白、血清总蛋白、血清球蛋白、ALB/GLO</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肿瘤标记筛选</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CEA、AFP、CA199、NSE、CA724、CA242、CA50、CYFRA21-1、PSA、FPSA</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肾脏机能</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血尿素氮、血清尿酸、血清肌酐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血脂</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胆固醇、甘油三脂、高密度脂蛋白胆固醇、低密度脂蛋白胆固醇</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血糖</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空腹血糖测定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尿常规</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10项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心电图</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12导心电图</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影像学检查</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胸部CT平扫</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彩色B超</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肝、胆、胰、脾、双肾、膀胱、前列腺</w:t>
            </w:r>
            <w:r>
              <w:rPr>
                <w:rFonts w:ascii="SimSun" w:hAnsi="SimSun" w:eastAsia="SimSun" w:cs="SimSun"/>
                <w:color w:val="ff0000"/>
                <w:sz w:val="19"/>
              </w:rPr>
              <w:t xml:space="preserve">、甲状腺</w:t>
            </w:r>
            <w:r>
              <w:rPr>
                <w:rFonts w:ascii="宋体" w:hAnsi="宋体" w:cs="宋体"/>
                <w:sz w:val="19"/>
                <w:szCs w:val="19"/>
              </w:rPr>
              <w:t xml:space="preserve">彩色超声检查（含图文）</w:t>
            </w:r>
            <w:r/>
          </w:p>
        </w:tc>
      </w:tr>
      <w:tr>
        <w:trPr>
          <w:jc w:val="center"/>
          <w:trHeight w:val="300"/>
        </w:trPr>
        <w:tc>
          <w:tcPr>
            <w:tcBorders>
              <w:top w:val="none" w:color="000000" w:sz="4" w:space="0"/>
              <w:left w:val="single" w:color="000000" w:sz="6" w:space="0"/>
              <w:right w:val="single" w:color="000000" w:sz="6" w:space="0"/>
            </w:tcBorders>
            <w:tcW w:w="873" w:type="pct"/>
            <w:vAlign w:val="center"/>
            <w:vMerge w:val="restart"/>
            <w:textDirection w:val="lrTb"/>
            <w:noWrap w:val="false"/>
          </w:tcPr>
          <w:p>
            <w:pPr>
              <w:rPr>
                <w:rFonts w:ascii="宋体" w:hAnsi="宋体" w:cs="宋体"/>
                <w:sz w:val="19"/>
                <w:szCs w:val="19"/>
              </w:rPr>
            </w:pPr>
            <w:r>
              <w:rPr>
                <w:rFonts w:ascii="宋体" w:hAnsi="宋体" w:cs="宋体"/>
                <w:sz w:val="19"/>
                <w:szCs w:val="19"/>
              </w:rPr>
              <w:t xml:space="preserve">允许教职工三选一</w:t>
            </w:r>
            <w:r/>
          </w:p>
        </w:tc>
        <w:tc>
          <w:tcPr>
            <w:tcBorders>
              <w:top w:val="none" w:color="000000" w:sz="4" w:space="0"/>
              <w:left w:val="single" w:color="000000" w:sz="6" w:space="0"/>
              <w:right w:val="single" w:color="000000" w:sz="6" w:space="0"/>
            </w:tcBorders>
            <w:tcW w:w="702" w:type="pct"/>
            <w:vAlign w:val="center"/>
            <w:textDirection w:val="lrTb"/>
            <w:noWrap w:val="false"/>
          </w:tcPr>
          <w:p>
            <w:pPr>
              <w:rPr>
                <w:rFonts w:ascii="宋体" w:hAnsi="宋体" w:cs="宋体"/>
                <w:sz w:val="19"/>
                <w:szCs w:val="19"/>
              </w:rPr>
            </w:pPr>
            <w:r>
              <w:rPr>
                <w:rFonts w:ascii="宋体" w:hAnsi="宋体" w:cs="宋体"/>
                <w:sz w:val="19"/>
                <w:szCs w:val="19"/>
              </w:rPr>
              <w:t xml:space="preserve">心血管检查</w:t>
            </w:r>
            <w:r/>
          </w:p>
        </w:tc>
        <w:tc>
          <w:tcPr>
            <w:tcBorders>
              <w:top w:val="none" w:color="000000" w:sz="4" w:space="0"/>
              <w:left w:val="single" w:color="000000" w:sz="6" w:space="0"/>
              <w:right w:val="single" w:color="000000" w:sz="6" w:space="0"/>
            </w:tcBorders>
            <w:tcW w:w="3425" w:type="pct"/>
            <w:vAlign w:val="center"/>
            <w:textDirection w:val="lrTb"/>
            <w:noWrap w:val="false"/>
          </w:tcPr>
          <w:p>
            <w:pPr>
              <w:rPr>
                <w:rFonts w:ascii="宋体" w:hAnsi="宋体" w:cs="宋体"/>
                <w:sz w:val="19"/>
                <w:szCs w:val="19"/>
              </w:rPr>
            </w:pPr>
            <w:r>
              <w:rPr>
                <w:rFonts w:ascii="宋体" w:hAnsi="宋体" w:cs="宋体"/>
                <w:sz w:val="19"/>
                <w:szCs w:val="19"/>
              </w:rPr>
              <w:t xml:space="preserve">彩超心脏（超声心动图），血流变，凝血4项</w:t>
            </w:r>
            <w:r/>
          </w:p>
        </w:tc>
      </w:tr>
      <w:tr>
        <w:trPr>
          <w:jc w:val="center"/>
          <w:trHeight w:val="300"/>
        </w:trPr>
        <w:tc>
          <w:tcPr>
            <w:tcBorders>
              <w:left w:val="single" w:color="000000" w:sz="6" w:space="0"/>
              <w:right w:val="single" w:color="000000" w:sz="6" w:space="0"/>
            </w:tcBorders>
            <w:tcW w:w="873" w:type="pct"/>
            <w:vMerge w:val="continue"/>
            <w:textDirection w:val="lrTb"/>
            <w:noWrap w:val="false"/>
          </w:tcPr>
          <w:p>
            <w:pPr>
              <w:rPr>
                <w:rFonts w:ascii="宋体" w:hAnsi="宋体" w:cs="宋体"/>
                <w:sz w:val="19"/>
                <w:szCs w:val="19"/>
              </w:rPr>
            </w:pPr>
            <w:r>
              <w:rPr>
                <w:rFonts w:ascii="宋体" w:hAnsi="宋体" w:cs="宋体"/>
                <w:sz w:val="19"/>
                <w:szCs w:val="19"/>
              </w:rPr>
            </w:r>
            <w:r/>
          </w:p>
        </w:tc>
        <w:tc>
          <w:tcPr>
            <w:tcBorders>
              <w:left w:val="single" w:color="000000" w:sz="6" w:space="0"/>
              <w:right w:val="single" w:color="000000" w:sz="6" w:space="0"/>
            </w:tcBorders>
            <w:tcW w:w="702" w:type="pct"/>
            <w:textDirection w:val="lrTb"/>
            <w:noWrap w:val="false"/>
          </w:tcPr>
          <w:p>
            <w:pPr>
              <w:rPr>
                <w:rFonts w:ascii="宋体" w:hAnsi="宋体" w:cs="宋体"/>
                <w:sz w:val="19"/>
                <w:szCs w:val="19"/>
              </w:rPr>
            </w:pPr>
            <w:r>
              <w:rPr>
                <w:rFonts w:ascii="宋体" w:hAnsi="宋体" w:cs="宋体"/>
                <w:sz w:val="19"/>
                <w:szCs w:val="19"/>
              </w:rPr>
              <w:t xml:space="preserve">脑血管检查</w:t>
            </w:r>
            <w:r/>
          </w:p>
        </w:tc>
        <w:tc>
          <w:tcPr>
            <w:tcBorders>
              <w:left w:val="single" w:color="000000" w:sz="6" w:space="0"/>
              <w:right w:val="single" w:color="000000" w:sz="6" w:space="0"/>
            </w:tcBorders>
            <w:tcW w:w="3425" w:type="pct"/>
            <w:textDirection w:val="lrTb"/>
            <w:noWrap w:val="false"/>
          </w:tcPr>
          <w:p>
            <w:pPr>
              <w:rPr>
                <w:rFonts w:ascii="宋体" w:hAnsi="宋体" w:cs="宋体"/>
                <w:sz w:val="19"/>
                <w:szCs w:val="19"/>
              </w:rPr>
            </w:pPr>
            <w:r>
              <w:rPr>
                <w:rFonts w:ascii="宋体" w:hAnsi="宋体" w:cs="宋体"/>
                <w:sz w:val="19"/>
                <w:szCs w:val="19"/>
              </w:rPr>
              <w:t xml:space="preserve">头颅CT平扫，彩超血管（双侧颈动脉）+多普勒血流图，经颅多普勒超声（TCD）</w:t>
            </w:r>
            <w:r/>
          </w:p>
        </w:tc>
      </w:tr>
      <w:tr>
        <w:trPr>
          <w:jc w:val="center"/>
          <w:trHeight w:val="300"/>
        </w:trPr>
        <w:tc>
          <w:tcPr>
            <w:tcBorders>
              <w:left w:val="single" w:color="000000" w:sz="6" w:space="0"/>
              <w:bottom w:val="single" w:color="000000" w:sz="6" w:space="0"/>
              <w:right w:val="single" w:color="000000" w:sz="6" w:space="0"/>
            </w:tcBorders>
            <w:tcW w:w="873" w:type="pct"/>
            <w:vMerge w:val="continue"/>
            <w:textDirection w:val="lrTb"/>
            <w:noWrap w:val="false"/>
          </w:tcPr>
          <w:p>
            <w:pPr>
              <w:rPr>
                <w:rFonts w:ascii="宋体" w:hAnsi="宋体" w:cs="宋体"/>
                <w:sz w:val="19"/>
                <w:szCs w:val="19"/>
              </w:rPr>
            </w:pPr>
            <w:r>
              <w:rPr>
                <w:rFonts w:ascii="宋体" w:hAnsi="宋体" w:cs="宋体"/>
                <w:sz w:val="19"/>
                <w:szCs w:val="19"/>
              </w:rPr>
            </w:r>
            <w:r/>
          </w:p>
        </w:tc>
        <w:tc>
          <w:tcPr>
            <w:tcBorders>
              <w:left w:val="single" w:color="000000" w:sz="6" w:space="0"/>
              <w:bottom w:val="single" w:color="000000" w:sz="6" w:space="0"/>
              <w:right w:val="single" w:color="000000" w:sz="6" w:space="0"/>
            </w:tcBorders>
            <w:tcW w:w="702" w:type="pct"/>
            <w:textDirection w:val="lrTb"/>
            <w:noWrap w:val="false"/>
          </w:tcPr>
          <w:p>
            <w:pPr>
              <w:rPr>
                <w:rFonts w:ascii="宋体" w:hAnsi="宋体" w:cs="宋体"/>
                <w:sz w:val="19"/>
                <w:szCs w:val="19"/>
              </w:rPr>
            </w:pPr>
            <w:r>
              <w:rPr>
                <w:rFonts w:ascii="宋体" w:hAnsi="宋体" w:cs="宋体"/>
                <w:sz w:val="19"/>
                <w:szCs w:val="19"/>
              </w:rPr>
              <w:t xml:space="preserve">胃肠道检查</w:t>
            </w:r>
            <w:r/>
          </w:p>
        </w:tc>
        <w:tc>
          <w:tcPr>
            <w:tcBorders>
              <w:left w:val="single" w:color="000000" w:sz="6" w:space="0"/>
              <w:bottom w:val="single" w:color="000000" w:sz="6" w:space="0"/>
              <w:right w:val="single" w:color="000000" w:sz="6" w:space="0"/>
            </w:tcBorders>
            <w:tcW w:w="3425" w:type="pct"/>
            <w:textDirection w:val="lrTb"/>
            <w:noWrap w:val="false"/>
          </w:tcPr>
          <w:p>
            <w:pPr>
              <w:rPr>
                <w:rFonts w:ascii="宋体" w:hAnsi="宋体" w:cs="宋体"/>
                <w:sz w:val="19"/>
                <w:szCs w:val="19"/>
              </w:rPr>
            </w:pPr>
            <w:r>
              <w:rPr>
                <w:rFonts w:ascii="宋体" w:hAnsi="宋体" w:cs="宋体"/>
                <w:sz w:val="19"/>
                <w:szCs w:val="19"/>
              </w:rPr>
              <w:t xml:space="preserve">胃蛋白酶I（化学发光法）、胃蛋白酶II（化学发光法）、血清胃泌素-17测定、碳13尿素呼气试验</w:t>
            </w:r>
            <w:r/>
          </w:p>
        </w:tc>
      </w:tr>
    </w:tbl>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5、45岁（含）以上在职、正高职称、退休人员女性已婚套餐</w:t>
      </w:r>
      <w:r/>
    </w:p>
    <w:tbl>
      <w:tblPr>
        <w:tblStyle w:val="897"/>
        <w:tblW w:w="5044"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413"/>
        <w:gridCol w:w="10"/>
        <w:gridCol w:w="1125"/>
        <w:gridCol w:w="5824"/>
      </w:tblGrid>
      <w:tr>
        <w:trPr>
          <w:jc w:val="center"/>
          <w:trHeight w:val="300"/>
        </w:trPr>
        <w:tc>
          <w:tcPr>
            <w:gridSpan w:val="4"/>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rPr>
                <w:rFonts w:ascii="宋体" w:hAnsi="宋体" w:cs="宋体"/>
              </w:rPr>
            </w:pPr>
            <w:r>
              <w:rPr>
                <w:rFonts w:hint="eastAsia" w:ascii="宋体" w:hAnsi="宋体" w:cs="宋体"/>
                <w:b/>
                <w:bCs/>
              </w:rPr>
              <w:t xml:space="preserve">45岁（含）以上在职、正高职称、退休人员女性已婚套餐</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基本检查</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身高、体重、血压、脉搏、体重指数</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内科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心、肺听诊、腹部触诊</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外科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浅表淋巴结、甲状腺、乳房、脊柱、四肢、皮肤、浅表淋巴结等</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眼科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外眼、视力、眼底、眼压</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耳、鼻、喉科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外耳道、鼓膜、鼻腔、鼻中隔、扁桃体、咽部等</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口腔科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检查牙齿、牙周组织、口腔黏膜及颞下颌关节等有无异常</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妇科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妇科检查、白带常规、宫颈液基细胞学检查（TCT）</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血常规</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18项</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甲状腺功能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T3、T4、TSH</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肝功能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谷丙转氨酶、r-转肽酶、谷草转氨酶、总胆红素、直接胆红素、间接胆红素、血清白蛋白、血清总蛋白、血清球蛋白、ALB/GLO</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肿瘤标记筛选</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CEA、AFP、CA199、NSE、CA724、CA242、CA50、CYFRA21-1、CA125、CA153</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肾脏机能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血尿素氮、血清尿酸、血清肌酐</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血脂</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胆固醇、甘油三脂、高密度脂蛋白胆固醇、低密度脂蛋白胆固醇</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血糖</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空腹血糖测定</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尿常规</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10项</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心电图</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12导心电图</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影像学检查</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胸部CT平扫</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彩色B超</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肝、胆、胰、脾、双肾、膀胱、乳腺、子宫、附件</w:t>
            </w:r>
            <w:r>
              <w:rPr>
                <w:rFonts w:ascii="SimSun" w:hAnsi="SimSun" w:eastAsia="SimSun" w:cs="SimSun"/>
                <w:color w:val="ff0000"/>
                <w:sz w:val="19"/>
              </w:rPr>
              <w:t xml:space="preserve">、甲状腺</w:t>
            </w:r>
            <w:r>
              <w:rPr>
                <w:rFonts w:ascii="宋体" w:hAnsi="宋体" w:cs="宋体"/>
                <w:sz w:val="19"/>
                <w:szCs w:val="19"/>
              </w:rPr>
              <w:t xml:space="preserve">彩色超声检查（含图文）</w:t>
            </w:r>
            <w:r/>
          </w:p>
        </w:tc>
      </w:tr>
      <w:tr>
        <w:trPr>
          <w:jc w:val="center"/>
          <w:trHeight w:val="300"/>
        </w:trPr>
        <w:tc>
          <w:tcPr>
            <w:tcBorders>
              <w:top w:val="none" w:color="000000" w:sz="4" w:space="0"/>
              <w:left w:val="single" w:color="000000" w:sz="6" w:space="0"/>
              <w:right w:val="single" w:color="000000" w:sz="6" w:space="0"/>
            </w:tcBorders>
            <w:tcW w:w="844" w:type="pct"/>
            <w:vAlign w:val="center"/>
            <w:vMerge w:val="restart"/>
            <w:textDirection w:val="lrTb"/>
            <w:noWrap w:val="false"/>
          </w:tcPr>
          <w:p>
            <w:pPr>
              <w:rPr>
                <w:rFonts w:ascii="宋体" w:hAnsi="宋体" w:cs="宋体"/>
                <w:sz w:val="19"/>
                <w:szCs w:val="19"/>
              </w:rPr>
            </w:pPr>
            <w:r>
              <w:rPr>
                <w:rFonts w:ascii="宋体" w:hAnsi="宋体" w:cs="宋体"/>
                <w:sz w:val="19"/>
                <w:szCs w:val="19"/>
              </w:rPr>
              <w:t xml:space="preserve">允许教职工三选一</w:t>
            </w:r>
            <w:r/>
          </w:p>
        </w:tc>
        <w:tc>
          <w:tcPr>
            <w:gridSpan w:val="2"/>
            <w:tcBorders>
              <w:top w:val="none" w:color="000000" w:sz="4" w:space="0"/>
              <w:left w:val="single" w:color="000000" w:sz="6" w:space="0"/>
              <w:right w:val="single" w:color="000000" w:sz="6" w:space="0"/>
            </w:tcBorders>
            <w:tcW w:w="678" w:type="pct"/>
            <w:vAlign w:val="center"/>
            <w:textDirection w:val="lrTb"/>
            <w:noWrap w:val="false"/>
          </w:tcPr>
          <w:p>
            <w:pPr>
              <w:rPr>
                <w:rFonts w:ascii="宋体" w:hAnsi="宋体" w:cs="宋体"/>
                <w:sz w:val="19"/>
                <w:szCs w:val="19"/>
              </w:rPr>
            </w:pPr>
            <w:r>
              <w:rPr>
                <w:rFonts w:ascii="宋体" w:hAnsi="宋体" w:cs="宋体"/>
                <w:sz w:val="19"/>
                <w:szCs w:val="19"/>
              </w:rPr>
              <w:t xml:space="preserve">心血管检查</w:t>
            </w:r>
            <w:r/>
          </w:p>
        </w:tc>
        <w:tc>
          <w:tcPr>
            <w:tcBorders>
              <w:top w:val="none" w:color="000000" w:sz="4" w:space="0"/>
              <w:left w:val="single" w:color="000000" w:sz="6" w:space="0"/>
              <w:right w:val="single" w:color="000000" w:sz="6" w:space="0"/>
            </w:tcBorders>
            <w:tcW w:w="3478" w:type="pct"/>
            <w:vAlign w:val="center"/>
            <w:textDirection w:val="lrTb"/>
            <w:noWrap w:val="false"/>
          </w:tcPr>
          <w:p>
            <w:pPr>
              <w:rPr>
                <w:rFonts w:ascii="宋体" w:hAnsi="宋体" w:cs="宋体"/>
                <w:sz w:val="19"/>
                <w:szCs w:val="19"/>
              </w:rPr>
            </w:pPr>
            <w:r>
              <w:rPr>
                <w:rFonts w:ascii="宋体" w:hAnsi="宋体" w:cs="宋体"/>
                <w:sz w:val="19"/>
                <w:szCs w:val="19"/>
              </w:rPr>
              <w:t xml:space="preserve">彩超心脏（超声心动图），血流变，凝血4项</w:t>
            </w:r>
            <w:r/>
          </w:p>
        </w:tc>
      </w:tr>
      <w:tr>
        <w:trPr>
          <w:jc w:val="center"/>
          <w:trHeight w:val="300"/>
        </w:trPr>
        <w:tc>
          <w:tcPr>
            <w:tcBorders>
              <w:left w:val="single" w:color="000000" w:sz="6" w:space="0"/>
              <w:right w:val="single" w:color="000000" w:sz="6" w:space="0"/>
            </w:tcBorders>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Borders>
              <w:left w:val="single" w:color="000000" w:sz="6" w:space="0"/>
              <w:right w:val="single" w:color="000000" w:sz="6" w:space="0"/>
            </w:tcBorders>
            <w:tcW w:w="678" w:type="pct"/>
            <w:textDirection w:val="lrTb"/>
            <w:noWrap w:val="false"/>
          </w:tcPr>
          <w:p>
            <w:pPr>
              <w:rPr>
                <w:rFonts w:ascii="宋体" w:hAnsi="宋体" w:cs="宋体"/>
                <w:sz w:val="19"/>
                <w:szCs w:val="19"/>
              </w:rPr>
            </w:pPr>
            <w:r>
              <w:rPr>
                <w:rFonts w:ascii="宋体" w:hAnsi="宋体" w:cs="宋体"/>
                <w:sz w:val="19"/>
                <w:szCs w:val="19"/>
              </w:rPr>
              <w:t xml:space="preserve">脑血管检查</w:t>
            </w:r>
            <w:r/>
          </w:p>
        </w:tc>
        <w:tc>
          <w:tcPr>
            <w:tcBorders>
              <w:left w:val="single" w:color="000000" w:sz="6" w:space="0"/>
              <w:right w:val="single" w:color="000000" w:sz="6" w:space="0"/>
            </w:tcBorders>
            <w:tcW w:w="3478" w:type="pct"/>
            <w:textDirection w:val="lrTb"/>
            <w:noWrap w:val="false"/>
          </w:tcPr>
          <w:p>
            <w:pPr>
              <w:rPr>
                <w:rFonts w:ascii="宋体" w:hAnsi="宋体" w:cs="宋体"/>
                <w:sz w:val="19"/>
                <w:szCs w:val="19"/>
              </w:rPr>
            </w:pPr>
            <w:r>
              <w:rPr>
                <w:rFonts w:ascii="宋体" w:hAnsi="宋体" w:cs="宋体"/>
                <w:sz w:val="19"/>
                <w:szCs w:val="19"/>
              </w:rPr>
              <w:t xml:space="preserve">头颅CT平扫，彩超血管（双侧颈动脉）+多普勒血流图，经颅多普勒超声（TCD）</w:t>
            </w:r>
            <w:r/>
          </w:p>
        </w:tc>
      </w:tr>
      <w:tr>
        <w:trPr>
          <w:jc w:val="center"/>
          <w:trHeight w:val="300"/>
        </w:trPr>
        <w:tc>
          <w:tcPr>
            <w:tcBorders>
              <w:left w:val="single" w:color="000000" w:sz="6" w:space="0"/>
              <w:bottom w:val="single" w:color="000000" w:sz="6" w:space="0"/>
              <w:right w:val="single" w:color="000000" w:sz="6" w:space="0"/>
            </w:tcBorders>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Borders>
              <w:left w:val="single" w:color="000000" w:sz="6" w:space="0"/>
              <w:bottom w:val="single" w:color="000000" w:sz="6" w:space="0"/>
              <w:right w:val="single" w:color="000000" w:sz="6" w:space="0"/>
            </w:tcBorders>
            <w:tcW w:w="678" w:type="pct"/>
            <w:textDirection w:val="lrTb"/>
            <w:noWrap w:val="false"/>
          </w:tcPr>
          <w:p>
            <w:pPr>
              <w:rPr>
                <w:rFonts w:ascii="宋体" w:hAnsi="宋体" w:cs="宋体"/>
                <w:sz w:val="19"/>
                <w:szCs w:val="19"/>
              </w:rPr>
            </w:pPr>
            <w:r>
              <w:rPr>
                <w:rFonts w:ascii="宋体" w:hAnsi="宋体" w:cs="宋体"/>
                <w:sz w:val="19"/>
                <w:szCs w:val="19"/>
              </w:rPr>
              <w:t xml:space="preserve">胃肠道检查</w:t>
            </w:r>
            <w:r/>
          </w:p>
        </w:tc>
        <w:tc>
          <w:tcPr>
            <w:tcBorders>
              <w:left w:val="single" w:color="000000" w:sz="6" w:space="0"/>
              <w:bottom w:val="single" w:color="000000" w:sz="6" w:space="0"/>
              <w:right w:val="single" w:color="000000" w:sz="6" w:space="0"/>
            </w:tcBorders>
            <w:tcW w:w="3478" w:type="pct"/>
            <w:textDirection w:val="lrTb"/>
            <w:noWrap w:val="false"/>
          </w:tcPr>
          <w:p>
            <w:pPr>
              <w:rPr>
                <w:rFonts w:ascii="宋体" w:hAnsi="宋体" w:cs="宋体"/>
                <w:sz w:val="19"/>
                <w:szCs w:val="19"/>
              </w:rPr>
            </w:pPr>
            <w:r>
              <w:rPr>
                <w:rFonts w:ascii="宋体" w:hAnsi="宋体" w:cs="宋体"/>
                <w:sz w:val="19"/>
                <w:szCs w:val="19"/>
              </w:rPr>
              <w:t xml:space="preserve">胃蛋白酶I（化学发光法）、胃蛋白酶II（化学发光法）、血清胃泌素-17测定、碳13尿素呼气试验</w:t>
            </w:r>
            <w:r/>
          </w:p>
        </w:tc>
      </w:tr>
    </w:tbl>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6、45岁（含）以上在职、正高职称、退休人员女性未婚套餐</w:t>
      </w:r>
      <w:r/>
    </w:p>
    <w:tbl>
      <w:tblPr>
        <w:tblStyle w:val="897"/>
        <w:tblW w:w="50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411"/>
        <w:gridCol w:w="10"/>
        <w:gridCol w:w="1124"/>
        <w:gridCol w:w="5817"/>
      </w:tblGrid>
      <w:tr>
        <w:trPr>
          <w:jc w:val="center"/>
          <w:trHeight w:val="300"/>
        </w:trPr>
        <w:tc>
          <w:tcPr>
            <w:gridSpan w:val="4"/>
            <w:shd w:val="clear" w:color="auto" w:fill="c0c0c0"/>
            <w:tcW w:w="5000" w:type="pct"/>
            <w:vAlign w:val="center"/>
            <w:textDirection w:val="lrTb"/>
            <w:noWrap w:val="false"/>
          </w:tcPr>
          <w:p>
            <w:pPr>
              <w:jc w:val="center"/>
              <w:rPr>
                <w:rFonts w:ascii="宋体" w:hAnsi="宋体" w:cs="宋体"/>
                <w:sz w:val="19"/>
                <w:szCs w:val="19"/>
              </w:rPr>
            </w:pPr>
            <w:r>
              <w:rPr>
                <w:rFonts w:hint="eastAsia" w:ascii="宋体" w:hAnsi="宋体" w:cs="宋体"/>
                <w:b/>
                <w:bCs/>
                <w:sz w:val="19"/>
                <w:szCs w:val="19"/>
              </w:rPr>
              <w:t xml:space="preserve">45岁（含）以上在职、正高职称、退休人员女性未婚</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基本检查</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身高、体重、血压、脉搏、体重指数</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内科</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心、肺听诊、腹部触诊</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外科</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浅表淋巴结、甲状腺、乳房、脊柱、四肢、皮肤、浅表淋巴结等</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眼科</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外眼、视力、眼底、眼压</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耳、鼻、喉科</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外耳道、鼓膜、鼻腔、鼻中隔、扁桃体、咽部等</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口腔科</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检查牙齿、牙周组织、口腔黏膜及颞下颌关节等有无异常</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血常规</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18项</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甲状腺功能</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T3、T4、TSH</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肝功能</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谷丙转氨酶、r-转肽酶、谷草转氨酶、总胆红素、直接胆红素、间接胆红素、血清白蛋白、血清总蛋白、血清球蛋白、ALB/GLO</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肿瘤标记筛选</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CEA、AFP、CA199、NSE、CA724、CA242、CA50、CYFRA21-1、CA125、CA153</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肾脏机能</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血尿素氮、血清尿酸、血清肌酐</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血脂</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胆固醇、甘油三脂、高密度脂蛋白胆固醇、低密度脂蛋白胆固醇</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血糖</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空腹血糖测定</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尿常规</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10项</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心电图</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12导心电图</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影像学检查</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胸部CT平扫</w:t>
            </w:r>
            <w:r/>
          </w:p>
        </w:tc>
      </w:tr>
      <w:tr>
        <w:trPr>
          <w:jc w:val="center"/>
          <w:trHeight w:val="300"/>
        </w:trPr>
        <w:tc>
          <w:tcPr>
            <w:gridSpan w:val="2"/>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彩色B超</w:t>
            </w:r>
            <w:r/>
          </w:p>
        </w:tc>
        <w:tc>
          <w:tcPr>
            <w:gridSpan w:val="2"/>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肝、胆、胰、脾、双肾、膀胱、乳腺、子宫、附件</w:t>
            </w:r>
            <w:r>
              <w:rPr>
                <w:rFonts w:ascii="SimSun" w:hAnsi="SimSun" w:eastAsia="SimSun" w:cs="SimSun"/>
                <w:color w:val="ff0000"/>
                <w:sz w:val="19"/>
              </w:rPr>
              <w:t xml:space="preserve">、甲状腺</w:t>
            </w:r>
            <w:r>
              <w:rPr>
                <w:rFonts w:ascii="宋体" w:hAnsi="宋体" w:cs="宋体"/>
                <w:sz w:val="19"/>
                <w:szCs w:val="19"/>
              </w:rPr>
              <w:t xml:space="preserve">彩色超声检查（含图文）</w:t>
            </w:r>
            <w:r/>
          </w:p>
        </w:tc>
      </w:tr>
      <w:tr>
        <w:trPr>
          <w:jc w:val="center"/>
          <w:trHeight w:val="300"/>
        </w:trPr>
        <w:tc>
          <w:tcPr>
            <w:tcW w:w="844" w:type="pct"/>
            <w:vAlign w:val="center"/>
            <w:vMerge w:val="restart"/>
            <w:textDirection w:val="lrTb"/>
            <w:noWrap w:val="false"/>
          </w:tcPr>
          <w:p>
            <w:pPr>
              <w:rPr>
                <w:rFonts w:ascii="宋体" w:hAnsi="宋体" w:cs="宋体"/>
                <w:sz w:val="19"/>
                <w:szCs w:val="19"/>
              </w:rPr>
            </w:pPr>
            <w:r>
              <w:rPr>
                <w:rFonts w:ascii="宋体" w:hAnsi="宋体" w:cs="宋体"/>
                <w:sz w:val="19"/>
                <w:szCs w:val="19"/>
              </w:rPr>
              <w:t xml:space="preserve">允许教职工三选一</w:t>
            </w:r>
            <w:r/>
          </w:p>
        </w:tc>
        <w:tc>
          <w:tcPr>
            <w:gridSpan w:val="2"/>
            <w:tcW w:w="678" w:type="pct"/>
            <w:vAlign w:val="center"/>
            <w:textDirection w:val="lrTb"/>
            <w:noWrap w:val="false"/>
          </w:tcPr>
          <w:p>
            <w:pPr>
              <w:rPr>
                <w:rFonts w:ascii="宋体" w:hAnsi="宋体" w:cs="宋体"/>
                <w:sz w:val="19"/>
                <w:szCs w:val="19"/>
              </w:rPr>
            </w:pPr>
            <w:r>
              <w:rPr>
                <w:rFonts w:ascii="宋体" w:hAnsi="宋体" w:cs="宋体"/>
                <w:sz w:val="19"/>
                <w:szCs w:val="19"/>
              </w:rPr>
              <w:t xml:space="preserve">心血管检查</w:t>
            </w:r>
            <w:r/>
          </w:p>
        </w:tc>
        <w:tc>
          <w:tcPr>
            <w:tcW w:w="3478" w:type="pct"/>
            <w:vAlign w:val="center"/>
            <w:textDirection w:val="lrTb"/>
            <w:noWrap w:val="false"/>
          </w:tcPr>
          <w:p>
            <w:pPr>
              <w:rPr>
                <w:rFonts w:ascii="宋体" w:hAnsi="宋体" w:cs="宋体"/>
                <w:sz w:val="19"/>
                <w:szCs w:val="19"/>
              </w:rPr>
            </w:pPr>
            <w:r>
              <w:rPr>
                <w:rFonts w:ascii="宋体" w:hAnsi="宋体" w:cs="宋体"/>
                <w:sz w:val="19"/>
                <w:szCs w:val="19"/>
              </w:rPr>
              <w:t xml:space="preserve">彩超心脏（超声心动图），血流变，凝血4项</w:t>
            </w:r>
            <w:r/>
          </w:p>
        </w:tc>
      </w:tr>
      <w:tr>
        <w:trPr>
          <w:jc w:val="center"/>
          <w:trHeight w:val="300"/>
        </w:trPr>
        <w:tc>
          <w:tcPr>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W w:w="678" w:type="pct"/>
            <w:textDirection w:val="lrTb"/>
            <w:noWrap w:val="false"/>
          </w:tcPr>
          <w:p>
            <w:pPr>
              <w:rPr>
                <w:rFonts w:ascii="宋体" w:hAnsi="宋体" w:cs="宋体"/>
                <w:sz w:val="19"/>
                <w:szCs w:val="19"/>
              </w:rPr>
            </w:pPr>
            <w:r>
              <w:rPr>
                <w:rFonts w:ascii="宋体" w:hAnsi="宋体" w:cs="宋体"/>
                <w:sz w:val="19"/>
                <w:szCs w:val="19"/>
              </w:rPr>
              <w:t xml:space="preserve">脑血管检查</w:t>
            </w:r>
            <w:r/>
          </w:p>
        </w:tc>
        <w:tc>
          <w:tcPr>
            <w:tcW w:w="3478" w:type="pct"/>
            <w:textDirection w:val="lrTb"/>
            <w:noWrap w:val="false"/>
          </w:tcPr>
          <w:p>
            <w:pPr>
              <w:rPr>
                <w:rFonts w:ascii="宋体" w:hAnsi="宋体" w:cs="宋体"/>
                <w:sz w:val="19"/>
                <w:szCs w:val="19"/>
              </w:rPr>
            </w:pPr>
            <w:r>
              <w:rPr>
                <w:rFonts w:ascii="宋体" w:hAnsi="宋体" w:cs="宋体"/>
                <w:sz w:val="19"/>
                <w:szCs w:val="19"/>
              </w:rPr>
              <w:t xml:space="preserve">头颅CT平扫，彩超血管（双侧颈动脉）+多普勒血流图，经颅多普勒超声（TCD）</w:t>
            </w:r>
            <w:r/>
          </w:p>
        </w:tc>
      </w:tr>
      <w:tr>
        <w:trPr>
          <w:jc w:val="center"/>
          <w:trHeight w:val="300"/>
        </w:trPr>
        <w:tc>
          <w:tcPr>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W w:w="678" w:type="pct"/>
            <w:textDirection w:val="lrTb"/>
            <w:noWrap w:val="false"/>
          </w:tcPr>
          <w:p>
            <w:pPr>
              <w:rPr>
                <w:rFonts w:ascii="宋体" w:hAnsi="宋体" w:cs="宋体"/>
                <w:sz w:val="19"/>
                <w:szCs w:val="19"/>
              </w:rPr>
            </w:pPr>
            <w:r>
              <w:rPr>
                <w:rFonts w:ascii="宋体" w:hAnsi="宋体" w:cs="宋体"/>
                <w:sz w:val="19"/>
                <w:szCs w:val="19"/>
              </w:rPr>
              <w:t xml:space="preserve">胃肠道检查</w:t>
            </w:r>
            <w:r/>
          </w:p>
        </w:tc>
        <w:tc>
          <w:tcPr>
            <w:tcW w:w="3478" w:type="pct"/>
            <w:textDirection w:val="lrTb"/>
            <w:noWrap w:val="false"/>
          </w:tcPr>
          <w:p>
            <w:pPr>
              <w:rPr>
                <w:rFonts w:ascii="宋体" w:hAnsi="宋体" w:cs="宋体"/>
                <w:sz w:val="19"/>
                <w:szCs w:val="19"/>
              </w:rPr>
            </w:pPr>
            <w:r>
              <w:rPr>
                <w:rFonts w:ascii="宋体" w:hAnsi="宋体" w:cs="宋体"/>
                <w:sz w:val="19"/>
                <w:szCs w:val="19"/>
              </w:rPr>
              <w:t xml:space="preserve">胃蛋白酶I（化学发光法）、胃蛋白酶II（化学发光法）、血清胃泌素-17测定、碳13尿素呼气试验</w:t>
            </w:r>
            <w:r/>
          </w:p>
        </w:tc>
      </w:tr>
    </w:tbl>
    <w:p>
      <w:pPr>
        <w:rPr>
          <w:rFonts w:ascii="宋体" w:hAnsi="宋体" w:cs="宋体"/>
        </w:rPr>
      </w:pPr>
      <w:r>
        <w:rPr>
          <w:rFonts w:ascii="宋体" w:hAnsi="宋体" w:cs="宋体"/>
        </w:rPr>
      </w:r>
      <w:r/>
    </w:p>
    <w:p>
      <w:pPr>
        <w:spacing w:before="158" w:after="158"/>
        <w:rPr>
          <w:rFonts w:ascii="宋体" w:hAnsi="宋体" w:cs="宋体"/>
          <w:b/>
          <w:bCs/>
          <w:sz w:val="22"/>
          <w:szCs w:val="28"/>
        </w:rPr>
        <w:outlineLvl w:val="2"/>
      </w:pPr>
      <w:r>
        <w:rPr>
          <w:rFonts w:hint="eastAsia" w:ascii="宋体" w:hAnsi="宋体" w:cs="宋体"/>
          <w:b/>
          <w:bCs/>
          <w:sz w:val="22"/>
          <w:szCs w:val="28"/>
        </w:rPr>
        <w:t xml:space="preserve">五、其它要求</w:t>
      </w:r>
      <w:r/>
    </w:p>
    <w:p>
      <w:pPr>
        <w:ind w:firstLine="420"/>
        <w:spacing w:line="360" w:lineRule="auto"/>
        <w:rPr>
          <w:rFonts w:ascii="宋体" w:hAnsi="宋体" w:cs="宋体"/>
        </w:rPr>
      </w:pPr>
      <w:r>
        <w:rPr>
          <w:rFonts w:hint="eastAsia" w:ascii="宋体" w:hAnsi="宋体" w:cs="宋体"/>
        </w:rPr>
        <w:t xml:space="preserve">1、合同履行期限（服务期）：自合同签订之日起，至2028年12月31日内完成项目（具体时间以采购人通知为准）。</w:t>
      </w:r>
      <w:r>
        <w:rPr>
          <w:rFonts w:hint="eastAsia" w:ascii="宋体" w:hAnsi="宋体" w:cs="宋体"/>
          <w:spacing w:val="8"/>
          <w:szCs w:val="21"/>
        </w:rPr>
        <w:t xml:space="preserve">合同一年一签，每年采购人组织服务质量考核；考核≥80 分，续签下一年度合同；考核＜80 分，采购人有权向中标人发出整改通知，限期整改；整改后仍达不到 80 分，采购人有权不予续签下一年度合同。</w:t>
      </w:r>
      <w:r>
        <w:rPr>
          <w:rFonts w:hint="eastAsia" w:ascii="宋体" w:hAnsi="宋体" w:cs="宋体"/>
        </w:rPr>
        <w:t xml:space="preserve">（详见考核细则）</w:t>
      </w:r>
      <w:r/>
    </w:p>
    <w:p>
      <w:pPr>
        <w:ind w:firstLine="420"/>
        <w:spacing w:line="360" w:lineRule="auto"/>
        <w:rPr>
          <w:rFonts w:ascii="宋体" w:hAnsi="宋体" w:cs="宋体"/>
        </w:rPr>
      </w:pPr>
      <w:r>
        <w:rPr>
          <w:rFonts w:hint="eastAsia" w:ascii="宋体" w:hAnsi="宋体" w:cs="宋体"/>
        </w:rPr>
        <w:t xml:space="preserve">2、体检时间：双方协商确定。</w:t>
      </w:r>
      <w:r/>
    </w:p>
    <w:p>
      <w:pPr>
        <w:ind w:firstLine="420"/>
        <w:spacing w:line="360" w:lineRule="auto"/>
        <w:rPr>
          <w:rFonts w:ascii="宋体" w:hAnsi="宋体" w:cs="宋体"/>
        </w:rPr>
      </w:pPr>
      <w:r>
        <w:rPr>
          <w:rFonts w:hint="eastAsia" w:ascii="宋体" w:hAnsi="宋体" w:cs="宋体"/>
        </w:rPr>
        <w:t xml:space="preserve">3、付款方式：</w:t>
      </w:r>
      <w:r/>
    </w:p>
    <w:p>
      <w:pPr>
        <w:ind w:firstLine="420"/>
        <w:spacing w:line="360" w:lineRule="auto"/>
        <w:rPr>
          <w:rFonts w:ascii="宋体" w:hAnsi="宋体" w:cs="宋体"/>
        </w:rPr>
      </w:pPr>
      <w:r>
        <w:rPr>
          <w:rFonts w:hint="eastAsia" w:ascii="宋体" w:hAnsi="宋体" w:cs="宋体"/>
        </w:rPr>
        <w:t xml:space="preserve">当年体检完成并提交体检报告（按要求提供纸质或电子体检报告），经采购人对中标人体检服务进行考核，考核合格后，中标人应在10个工作日内向采购人列出结算单。采购人审核通过后，中标人按采购人财务规定出具正式发票，同时附体检人员及费用清单。采购人在2个月内支付当年结算金额。最终体检服务费用按中标报价、实际体检人数结算。</w:t>
      </w:r>
      <w:r/>
    </w:p>
    <w:p>
      <w:pPr>
        <w:ind w:firstLine="420"/>
        <w:spacing w:line="360" w:lineRule="auto"/>
        <w:rPr>
          <w:rFonts w:ascii="宋体" w:hAnsi="宋体" w:cs="宋体"/>
        </w:rPr>
      </w:pPr>
      <w:r>
        <w:rPr>
          <w:rFonts w:hint="eastAsia" w:ascii="宋体" w:hAnsi="宋体" w:cs="宋体"/>
        </w:rPr>
        <w:t xml:space="preserve">4、履约保证金</w:t>
      </w:r>
      <w:r/>
    </w:p>
    <w:p>
      <w:pPr>
        <w:ind w:firstLine="420"/>
        <w:spacing w:line="360" w:lineRule="auto"/>
        <w:rPr>
          <w:rFonts w:ascii="宋体" w:hAnsi="宋体" w:cs="宋体"/>
        </w:rPr>
      </w:pPr>
      <w:r>
        <w:rPr>
          <w:rFonts w:hint="eastAsia" w:ascii="宋体" w:hAnsi="宋体" w:cs="宋体"/>
        </w:rPr>
        <w:t xml:space="preserve">（1）履约保证金用于约束中标供应商在合同履行中的行为，弥补合同执行中由于自身行为可能给采购人带来的各种损失。因中标供应商原因导致合同未能正常履行的，采购人将扣除中标供应商的全部履约保证金。</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b/>
          <w:bCs/>
          <w:u w:val="single"/>
        </w:rPr>
        <w:t xml:space="preserve">中标供应商在签订合同前向采购人缴纳履约保证金人民币四万元整</w:t>
      </w:r>
      <w:r>
        <w:rPr>
          <w:rFonts w:hint="eastAsia" w:ascii="宋体" w:hAnsi="宋体" w:cs="宋体"/>
        </w:rPr>
        <w:t xml:space="preserve">。</w:t>
      </w:r>
      <w:r>
        <w:rPr>
          <w:rFonts w:ascii="宋体" w:hAnsi="宋体" w:cs="宋体"/>
        </w:rPr>
        <w:t xml:space="preserve">履约保证金可以采用银行转账或者银行 / 担保机构保函形式提交，保函有效期须覆盖整个服务周期。</w:t>
      </w:r>
      <w:r/>
    </w:p>
    <w:p>
      <w:pPr>
        <w:ind w:firstLine="420"/>
        <w:spacing w:line="360" w:lineRule="auto"/>
        <w:rPr>
          <w:rFonts w:ascii="宋体" w:hAnsi="宋体" w:cs="宋体"/>
        </w:rPr>
        <w:sectPr>
          <w:footnotePr/>
          <w:endnotePr/>
          <w:type w:val="nextPage"/>
          <w:pgSz w:w="11905" w:h="16838" w:orient="portrait"/>
          <w:pgMar w:top="1440" w:right="1803" w:bottom="1440" w:left="1803" w:header="850" w:footer="992" w:gutter="0"/>
          <w:cols w:num="1" w:sep="0" w:space="0" w:equalWidth="1"/>
          <w:docGrid w:linePitch="360"/>
          <w:titlePg/>
        </w:sectPr>
      </w:pPr>
      <w:r>
        <w:rPr>
          <w:rFonts w:hint="eastAsia" w:ascii="宋体" w:hAnsi="宋体" w:cs="宋体"/>
        </w:rPr>
        <w:t xml:space="preserve">（3）履约保证金退还方式：合同履行期限结束后，由中标供应商提出退还履约保证金申请，中标供应商不存在任何违约行为的，履约保证金予以无息返还至中标供应商账户。</w:t>
      </w:r>
      <w:r/>
    </w:p>
    <w:p>
      <w:pPr>
        <w:jc w:val="left"/>
        <w:keepLines/>
        <w:keepNext/>
        <w:spacing w:before="260" w:after="260" w:line="416" w:lineRule="auto"/>
        <w:rPr>
          <w:rFonts w:ascii="宋体" w:hAnsi="宋体" w:cs="宋体"/>
          <w:b/>
          <w:bCs/>
          <w:color w:val="000000" w:themeColor="text1"/>
          <w:spacing w:val="8"/>
          <w:sz w:val="32"/>
          <w:szCs w:val="21"/>
          <w14:textFill>
            <w14:solidFill>
              <w14:schemeClr w14:val="tx1"/>
            </w14:solidFill>
          </w14:textFill>
        </w:rPr>
        <w:outlineLvl w:val="1"/>
      </w:pPr>
      <w:r>
        <w:rPr>
          <w:rFonts w:hint="eastAsia" w:ascii="宋体" w:hAnsi="宋体" w:cs="宋体"/>
          <w:b/>
          <w:bCs/>
          <w:color w:val="000000" w:themeColor="text1"/>
          <w:spacing w:val="8"/>
          <w:sz w:val="32"/>
          <w:szCs w:val="21"/>
          <w14:textFill>
            <w14:solidFill>
              <w14:schemeClr w14:val="tx1"/>
            </w14:solidFill>
          </w14:textFill>
        </w:rPr>
        <w:t xml:space="preserve">采购包二采购需求：</w:t>
      </w:r>
      <w:r/>
    </w:p>
    <w:p>
      <w:pPr>
        <w:spacing w:before="158" w:after="158"/>
        <w:rPr>
          <w:rFonts w:ascii="宋体" w:hAnsi="宋体" w:cs="宋体"/>
          <w:b/>
          <w:bCs/>
          <w:sz w:val="22"/>
          <w:szCs w:val="28"/>
        </w:rPr>
        <w:outlineLvl w:val="2"/>
      </w:pPr>
      <w:r>
        <w:rPr>
          <w:rFonts w:hint="eastAsia" w:ascii="宋体" w:hAnsi="宋体" w:cs="宋体"/>
          <w:b/>
          <w:bCs/>
          <w:sz w:val="22"/>
          <w:szCs w:val="28"/>
        </w:rPr>
        <w:t xml:space="preserve">一、项目概况</w:t>
      </w:r>
      <w:r/>
    </w:p>
    <w:p>
      <w:pPr>
        <w:ind w:firstLine="420"/>
        <w:spacing w:line="360" w:lineRule="auto"/>
        <w:rPr>
          <w:rFonts w:ascii="宋体" w:hAnsi="宋体" w:cs="宋体"/>
        </w:rPr>
      </w:pPr>
      <w:r>
        <w:rPr>
          <w:rFonts w:hint="eastAsia" w:ascii="宋体" w:hAnsi="宋体" w:cs="宋体"/>
        </w:rPr>
        <w:t xml:space="preserve">根据教职工调研结果以及对三甲医院体检需求，现拟采购2026-2028年度教职工体检服务，共划分2个采购包。本项目为南京工业职业技术大学2026-2028年度教职工体检项目，全校共有在职教职工</w:t>
      </w:r>
      <w:r>
        <w:rPr>
          <w:rFonts w:ascii="宋体" w:hAnsi="宋体" w:cs="宋体"/>
        </w:rPr>
        <w:t xml:space="preserve">1238</w:t>
      </w:r>
      <w:r>
        <w:rPr>
          <w:rFonts w:hint="eastAsia" w:ascii="宋体" w:hAnsi="宋体" w:cs="宋体"/>
        </w:rPr>
        <w:t xml:space="preserve">人，退休教职工</w:t>
      </w:r>
      <w:r>
        <w:rPr>
          <w:rFonts w:ascii="宋体" w:hAnsi="宋体" w:cs="宋体"/>
        </w:rPr>
        <w:t xml:space="preserve">268</w:t>
      </w:r>
      <w:r>
        <w:rPr>
          <w:rFonts w:hint="eastAsia" w:ascii="宋体" w:hAnsi="宋体" w:cs="宋体"/>
        </w:rPr>
        <w:t xml:space="preserve">人。</w:t>
      </w:r>
      <w:r/>
    </w:p>
    <w:p>
      <w:pPr>
        <w:ind w:firstLine="422"/>
        <w:spacing w:line="360" w:lineRule="auto"/>
        <w:rPr>
          <w:rFonts w:ascii="宋体" w:hAnsi="宋体" w:cs="宋体"/>
          <w:b/>
          <w:bCs/>
        </w:rPr>
      </w:pPr>
      <w:r>
        <w:rPr>
          <w:rFonts w:hint="eastAsia" w:ascii="宋体" w:hAnsi="宋体" w:cs="宋体"/>
          <w:b/>
          <w:bCs/>
        </w:rPr>
        <w:t xml:space="preserve">采购包二：允许所有具有正规体检资质的医院、独立体检机构参与投标，完成当年度选取该项目的教职工（含退休人员）体检工作，预估参检人数为</w:t>
      </w:r>
      <w:r>
        <w:rPr>
          <w:rFonts w:ascii="宋体" w:hAnsi="宋体" w:cs="宋体"/>
          <w:b/>
          <w:bCs/>
        </w:rPr>
        <w:t xml:space="preserve">354</w:t>
      </w:r>
      <w:r>
        <w:rPr>
          <w:rFonts w:hint="eastAsia" w:ascii="宋体" w:hAnsi="宋体" w:cs="宋体"/>
          <w:b/>
          <w:bCs/>
        </w:rPr>
        <w:t xml:space="preserve">人，该人数仅作为报价参考，采购人不保证最终实际体检人数，最终以实际参加体检人数及体检项目结算体检费用。</w:t>
      </w:r>
      <w:r/>
    </w:p>
    <w:p>
      <w:pPr>
        <w:ind w:firstLine="422"/>
        <w:spacing w:line="360" w:lineRule="auto"/>
        <w:rPr>
          <w:rFonts w:ascii="宋体" w:hAnsi="宋体" w:cs="宋体"/>
          <w:b/>
          <w:bCs/>
        </w:rPr>
      </w:pPr>
      <w:r>
        <w:rPr>
          <w:rFonts w:hint="eastAsia" w:ascii="宋体" w:hAnsi="宋体" w:cs="宋体"/>
          <w:b/>
          <w:bCs/>
        </w:rPr>
        <w:t xml:space="preserve">本项目包二采购预算60.00万元/年。本项目采用单价报价模式，结算价款按实际参检人数及中标单价核算，各包最终结算总价均不得超过对应包年度采购预算；若按实际参检人数测算费用达到对应包年度预算上限，超出部分采购人不予支付。</w:t>
      </w:r>
      <w:r/>
    </w:p>
    <w:p>
      <w:pPr>
        <w:ind w:firstLine="420"/>
        <w:spacing w:line="360" w:lineRule="auto"/>
        <w:rPr>
          <w:rFonts w:ascii="宋体" w:hAnsi="宋体" w:cs="宋体"/>
        </w:rPr>
      </w:pPr>
      <w:r>
        <w:rPr>
          <w:rFonts w:hint="eastAsia" w:ascii="宋体" w:hAnsi="宋体" w:cs="宋体"/>
        </w:rPr>
        <w:t xml:space="preserve">体检时间初步定为每年</w:t>
      </w:r>
      <w:r>
        <w:rPr>
          <w:rFonts w:ascii="宋体" w:hAnsi="宋体" w:cs="宋体"/>
        </w:rPr>
        <w:t xml:space="preserve">8月</w:t>
      </w:r>
      <w:r>
        <w:rPr>
          <w:rFonts w:hint="eastAsia" w:ascii="宋体" w:hAnsi="宋体" w:cs="宋体"/>
        </w:rPr>
        <w:t xml:space="preserve">-1</w:t>
      </w:r>
      <w:r>
        <w:rPr>
          <w:rFonts w:ascii="宋体" w:hAnsi="宋体" w:cs="宋体"/>
        </w:rPr>
        <w:t xml:space="preserve">2</w:t>
      </w:r>
      <w:r>
        <w:rPr>
          <w:rFonts w:hint="eastAsia" w:ascii="宋体" w:hAnsi="宋体" w:cs="宋体"/>
        </w:rPr>
        <w:t xml:space="preserve">月，每年用5个月左右时间完成体检工作，必要时提供包场服务。</w:t>
      </w:r>
      <w:r/>
    </w:p>
    <w:p>
      <w:pPr>
        <w:rPr>
          <w:rFonts w:ascii="宋体" w:hAnsi="宋体" w:cs="宋体"/>
        </w:rPr>
      </w:pPr>
      <w:r>
        <w:rPr>
          <w:rFonts w:ascii="宋体" w:hAnsi="宋体" w:cs="宋体"/>
        </w:rPr>
      </w:r>
      <w:r/>
    </w:p>
    <w:p>
      <w:pPr>
        <w:spacing w:before="158" w:after="158"/>
        <w:rPr>
          <w:rFonts w:ascii="宋体" w:hAnsi="宋体" w:cs="宋体"/>
          <w:b/>
          <w:bCs/>
          <w:sz w:val="22"/>
          <w:szCs w:val="28"/>
        </w:rPr>
        <w:outlineLvl w:val="2"/>
      </w:pPr>
      <w:r>
        <w:rPr>
          <w:rFonts w:hint="eastAsia" w:ascii="宋体" w:hAnsi="宋体" w:cs="宋体"/>
          <w:b/>
          <w:bCs/>
          <w:sz w:val="22"/>
          <w:szCs w:val="28"/>
        </w:rPr>
        <w:t xml:space="preserve">二、服务要求</w:t>
      </w:r>
      <w:r/>
    </w:p>
    <w:p>
      <w:pPr>
        <w:ind w:firstLine="420"/>
        <w:spacing w:line="360" w:lineRule="auto"/>
        <w:rPr>
          <w:rFonts w:ascii="宋体" w:hAnsi="宋体" w:cs="宋体"/>
        </w:rPr>
      </w:pPr>
      <w:r>
        <w:rPr>
          <w:rFonts w:hint="eastAsia" w:ascii="宋体" w:hAnsi="宋体" w:cs="宋体"/>
        </w:rPr>
        <w:t xml:space="preserve">1.供应商为采购人组织经验丰富且有执业资质的医师、检验师及护理工作人员为采购人员工进行健康检查。</w:t>
      </w:r>
      <w:r/>
    </w:p>
    <w:p>
      <w:pPr>
        <w:ind w:firstLine="420"/>
        <w:spacing w:line="360" w:lineRule="auto"/>
        <w:rPr>
          <w:rFonts w:ascii="宋体" w:hAnsi="宋体" w:cs="宋体"/>
        </w:rPr>
      </w:pPr>
      <w:r>
        <w:rPr>
          <w:rFonts w:hint="eastAsia" w:ascii="宋体" w:hAnsi="宋体" w:cs="宋体"/>
        </w:rPr>
        <w:t xml:space="preserve">2.供应商向采购人离退休教职工提供书面体检报告壹份（密封）、供应商向采购人在职教职工提供电子版体检报告，采购人教职工可通过手机App、微信小程序或供应商官网主页等方式查询本人体检报告，如采购人在职职工需书面体检报告，供应商需提供现场免费打印服务。</w:t>
      </w:r>
      <w:r/>
    </w:p>
    <w:p>
      <w:pPr>
        <w:ind w:firstLine="420"/>
        <w:spacing w:line="360" w:lineRule="auto"/>
        <w:rPr>
          <w:rFonts w:ascii="宋体" w:hAnsi="宋体" w:cs="宋体"/>
        </w:rPr>
      </w:pPr>
      <w:r>
        <w:rPr>
          <w:rFonts w:hint="eastAsia" w:ascii="宋体" w:hAnsi="宋体" w:cs="宋体"/>
        </w:rPr>
        <w:t xml:space="preserve">3.体检完成之后，供应商将针对采购人员工的体检结果，根据采购人的通知，在合理时间内为采购人员工安排专家对体检结果进行讲解，并提供健康管理改进方案，如需要，供应商还为采购人提供办理医疗转诊服务。</w:t>
      </w:r>
      <w:r/>
    </w:p>
    <w:p>
      <w:pPr>
        <w:ind w:firstLine="420"/>
        <w:spacing w:line="360" w:lineRule="auto"/>
        <w:rPr>
          <w:rFonts w:ascii="宋体" w:hAnsi="宋体" w:cs="宋体"/>
        </w:rPr>
      </w:pPr>
      <w:r>
        <w:rPr>
          <w:rFonts w:hint="eastAsia" w:ascii="宋体" w:hAnsi="宋体" w:cs="宋体"/>
        </w:rPr>
        <w:t xml:space="preserve">4.供应商负责对采购人员工的个人信息和体检结果做好保密工作：</w:t>
      </w:r>
      <w:r/>
    </w:p>
    <w:p>
      <w:pPr>
        <w:ind w:firstLine="420"/>
        <w:spacing w:line="360" w:lineRule="auto"/>
        <w:rPr>
          <w:rFonts w:ascii="宋体" w:hAnsi="宋体" w:cs="宋体"/>
        </w:rPr>
      </w:pPr>
      <w:r>
        <w:rPr>
          <w:rFonts w:hint="eastAsia" w:ascii="宋体" w:hAnsi="宋体" w:cs="宋体"/>
        </w:rPr>
        <w:t xml:space="preserve">（1）所有教职工个人身份信息、体检原始数据、体检报告属于敏感个人信息，供应商不得擅自复制、外传、用于广告营销；</w:t>
      </w:r>
      <w:r/>
    </w:p>
    <w:p>
      <w:pPr>
        <w:ind w:firstLine="420"/>
        <w:spacing w:line="360" w:lineRule="auto"/>
        <w:rPr>
          <w:rFonts w:ascii="宋体" w:hAnsi="宋体" w:cs="宋体"/>
        </w:rPr>
      </w:pPr>
      <w:r>
        <w:rPr>
          <w:rFonts w:hint="eastAsia" w:ascii="宋体" w:hAnsi="宋体" w:cs="宋体"/>
        </w:rPr>
        <w:t xml:space="preserve">（2）电子报告系统必须账号密码实名认证登录，不得公开查询；</w:t>
      </w:r>
      <w:r/>
    </w:p>
    <w:p>
      <w:pPr>
        <w:ind w:firstLine="420"/>
        <w:spacing w:line="360" w:lineRule="auto"/>
        <w:rPr>
          <w:rFonts w:ascii="宋体" w:hAnsi="宋体" w:cs="宋体"/>
        </w:rPr>
      </w:pPr>
      <w:r>
        <w:rPr>
          <w:rFonts w:hint="eastAsia" w:ascii="宋体" w:hAnsi="宋体" w:cs="宋体"/>
        </w:rPr>
        <w:t xml:space="preserve">（3）发生信息泄露，供应商承担全部法律责任，采购人有权扣除履约保证金、解除合同。</w:t>
      </w:r>
      <w:r/>
    </w:p>
    <w:p>
      <w:pPr>
        <w:ind w:firstLine="420"/>
        <w:spacing w:line="360" w:lineRule="auto"/>
        <w:rPr>
          <w:rFonts w:ascii="宋体" w:hAnsi="宋体" w:cs="宋体"/>
        </w:rPr>
      </w:pPr>
      <w:r>
        <w:rPr>
          <w:rFonts w:hint="eastAsia" w:ascii="宋体" w:hAnsi="宋体" w:cs="宋体"/>
        </w:rPr>
        <w:t xml:space="preserve">5.供应商为采购人体检员工建立个人健康档案。</w:t>
      </w:r>
      <w:r/>
    </w:p>
    <w:p>
      <w:pPr>
        <w:ind w:firstLine="420"/>
        <w:spacing w:line="360" w:lineRule="auto"/>
        <w:rPr>
          <w:rFonts w:ascii="宋体" w:hAnsi="宋体" w:cs="宋体"/>
        </w:rPr>
      </w:pPr>
      <w:r>
        <w:rPr>
          <w:rFonts w:hint="eastAsia" w:ascii="宋体" w:hAnsi="宋体" w:cs="宋体"/>
        </w:rPr>
        <w:t xml:space="preserve">6.供应商为采购人体检员工免费提供营养早餐，</w:t>
      </w:r>
      <w:r>
        <w:rPr>
          <w:rFonts w:ascii="宋体" w:hAnsi="宋体" w:cs="宋体"/>
        </w:rPr>
        <w:t xml:space="preserve">明确早餐基本品类要求，保障糖尿病等特殊饮食人群基础可选食品</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7.供应商应制定规范、合理的体检流程，确保体检工作顺利开展。</w:t>
      </w:r>
      <w:r/>
    </w:p>
    <w:p>
      <w:pPr>
        <w:ind w:firstLine="420"/>
        <w:spacing w:line="360" w:lineRule="auto"/>
        <w:rPr>
          <w:rFonts w:ascii="宋体" w:hAnsi="宋体" w:cs="宋体"/>
        </w:rPr>
      </w:pPr>
      <w:r>
        <w:rPr>
          <w:rFonts w:hint="eastAsia" w:ascii="宋体" w:hAnsi="宋体" w:cs="宋体"/>
        </w:rPr>
        <w:t xml:space="preserve">8.供应商应制定完善的质量控制方案，确保体检质量。</w:t>
      </w:r>
      <w:r/>
    </w:p>
    <w:p>
      <w:pPr>
        <w:ind w:firstLine="420"/>
        <w:spacing w:line="360" w:lineRule="auto"/>
        <w:rPr>
          <w:rFonts w:ascii="宋体" w:hAnsi="宋体" w:cs="宋体"/>
        </w:rPr>
      </w:pPr>
      <w:r>
        <w:rPr>
          <w:rFonts w:hint="eastAsia" w:ascii="宋体" w:hAnsi="宋体" w:cs="宋体"/>
        </w:rPr>
        <w:t xml:space="preserve">9.供应商应针对采购人长期在异地居住的离退休教职工等，提供</w:t>
      </w:r>
      <w:r>
        <w:rPr>
          <w:rFonts w:hint="eastAsia" w:ascii="宋体" w:hAnsi="宋体" w:cs="宋体"/>
          <w:color w:val="000000"/>
        </w:rPr>
        <w:t xml:space="preserve">可选路径：①异地定点合作医疗机构代为体检；②回宁参加集中体检</w:t>
      </w:r>
      <w:r>
        <w:rPr>
          <w:rFonts w:hint="eastAsia" w:ascii="宋体" w:hAnsi="宋体" w:cs="宋体"/>
        </w:rPr>
        <w:t xml:space="preserve">等多种解决方案。</w:t>
      </w:r>
      <w:r/>
    </w:p>
    <w:p>
      <w:pPr>
        <w:ind w:firstLine="420"/>
        <w:spacing w:line="360" w:lineRule="auto"/>
        <w:rPr>
          <w:rFonts w:ascii="宋体" w:hAnsi="宋体" w:cs="宋体"/>
        </w:rPr>
      </w:pPr>
      <w:r>
        <w:rPr>
          <w:rFonts w:hint="eastAsia" w:ascii="宋体" w:hAnsi="宋体" w:cs="宋体"/>
        </w:rPr>
        <w:t xml:space="preserve">10.供应商应制定大流量应对方案，为采购人提供舒适的体检环境。</w:t>
      </w:r>
      <w:r/>
    </w:p>
    <w:p>
      <w:pPr>
        <w:ind w:firstLine="420"/>
        <w:spacing w:line="360" w:lineRule="auto"/>
        <w:rPr>
          <w:rFonts w:ascii="宋体" w:hAnsi="宋体" w:cs="宋体"/>
        </w:rPr>
      </w:pPr>
      <w:r>
        <w:rPr>
          <w:rFonts w:hint="eastAsia" w:ascii="宋体" w:hAnsi="宋体" w:cs="宋体"/>
        </w:rPr>
        <w:t xml:space="preserve">11.体检预约：允许教职工灵活预约体检日期，不限于集中体检批次，对因教学科研、异地居住错过集中体检的，提供补检通道。</w:t>
      </w:r>
      <w:r/>
    </w:p>
    <w:p>
      <w:pPr>
        <w:ind w:firstLine="420"/>
        <w:spacing w:line="360" w:lineRule="auto"/>
        <w:rPr>
          <w:rFonts w:ascii="宋体" w:hAnsi="宋体" w:cs="宋体"/>
        </w:rPr>
      </w:pPr>
      <w:r>
        <w:rPr>
          <w:rFonts w:hint="eastAsia" w:ascii="宋体" w:hAnsi="宋体" w:cs="宋体"/>
        </w:rPr>
        <w:t xml:space="preserve">12.退休人员特殊关怀：退休老同志提供咨询通道，报告解读尽量通俗易懂；对高龄行动不便退休人员，优化预约及现场引导服务。</w:t>
      </w:r>
      <w:r/>
    </w:p>
    <w:p>
      <w:pPr>
        <w:ind w:firstLine="420"/>
        <w:spacing w:line="360" w:lineRule="auto"/>
        <w:rPr>
          <w:rFonts w:ascii="宋体" w:hAnsi="宋体" w:cs="宋体"/>
        </w:rPr>
      </w:pPr>
      <w:r>
        <w:rPr>
          <w:rFonts w:hint="eastAsia" w:ascii="宋体" w:hAnsi="宋体" w:cs="宋体"/>
        </w:rPr>
        <w:t xml:space="preserve">13.中标后履约核查：采购人有权组织人员实地复核投标体检点场地、设备、拟派医护人员，与投标文件重大不一致，按虚假响应，解除合同，上报政府采购不良行为记录。</w:t>
      </w:r>
      <w:r/>
    </w:p>
    <w:p>
      <w:pPr>
        <w:ind w:firstLine="422"/>
        <w:spacing w:line="360" w:lineRule="auto"/>
        <w:rPr>
          <w:rFonts w:ascii="宋体" w:hAnsi="宋体" w:cs="宋体"/>
          <w:b/>
          <w:bCs/>
        </w:rPr>
      </w:pPr>
      <w:r>
        <w:rPr>
          <w:rFonts w:hint="eastAsia" w:ascii="宋体" w:hAnsi="宋体" w:cs="宋体"/>
          <w:b/>
          <w:bCs/>
        </w:rPr>
        <w:t xml:space="preserve">14.采购需求中45岁（含）以上人员体检套餐内包含允许教职工三选一（心血管检查/脑血管检查/胃肠道检查）项目。投标人须结合项目预估选择比例、服务成本等因素综合测算报送45岁（含）以上人员的相应单价，该三选一项目相关费用均已包含在投标报价中，履约过程中采购人不再另行支付任何费用。</w:t>
      </w:r>
      <w:r/>
    </w:p>
    <w:p>
      <w:pPr>
        <w:ind w:firstLine="420"/>
        <w:spacing w:line="360" w:lineRule="auto"/>
        <w:rPr>
          <w:rFonts w:ascii="宋体" w:hAnsi="宋体" w:cs="宋体"/>
        </w:rPr>
      </w:pPr>
      <w:r>
        <w:rPr>
          <w:rFonts w:hint="eastAsia" w:ascii="宋体" w:hAnsi="宋体" w:cs="宋体"/>
        </w:rPr>
        <w:t xml:space="preserve">15.体检服务方案</w:t>
      </w:r>
      <w:r/>
    </w:p>
    <w:p>
      <w:pPr>
        <w:ind w:firstLine="420"/>
        <w:spacing w:line="360" w:lineRule="auto"/>
        <w:rPr>
          <w:rFonts w:ascii="宋体" w:hAnsi="宋体" w:cs="宋体"/>
        </w:rPr>
      </w:pPr>
      <w:r>
        <w:rPr>
          <w:rFonts w:hint="eastAsia" w:ascii="宋体" w:hAnsi="宋体" w:cs="宋体"/>
        </w:rPr>
        <w:t xml:space="preserve">（1）体检环境：指专门用于本次体检场所的环境（如供应商有多个体检点，须由供应商确定某一个体检点为本次投标专用体检点），供应商需提供体检中心功能布局平面图，图纸标注各功能房间长宽、面积、功能用途、候诊区位置、男女分区，明确体检中心总建筑面积等信息。</w:t>
      </w:r>
      <w:r/>
    </w:p>
    <w:p>
      <w:pPr>
        <w:ind w:firstLine="420"/>
        <w:spacing w:line="360" w:lineRule="auto"/>
        <w:rPr>
          <w:rFonts w:ascii="宋体" w:hAnsi="宋体" w:cs="宋体"/>
        </w:rPr>
      </w:pPr>
      <w:r>
        <w:rPr>
          <w:rFonts w:hint="eastAsia" w:ascii="宋体" w:hAnsi="宋体" w:cs="宋体"/>
        </w:rPr>
        <w:t xml:space="preserve">（2）体检流程、质量控制方案：供应商须提供体检服务流程及质量控制方案。评标委员会根据方案完整性、流程规范性、质控措施科学性进行综合评审，包括但不限于放射诊疗检查时，对受检者邻近照射野的敏感器官和组织屏蔽防护措施等。</w:t>
      </w:r>
      <w:r/>
    </w:p>
    <w:p>
      <w:pPr>
        <w:ind w:firstLine="420"/>
        <w:spacing w:line="360" w:lineRule="auto"/>
        <w:rPr>
          <w:rFonts w:ascii="宋体" w:hAnsi="宋体" w:cs="宋体"/>
        </w:rPr>
      </w:pPr>
      <w:r>
        <w:rPr>
          <w:rFonts w:hint="eastAsia" w:ascii="宋体" w:hAnsi="宋体" w:cs="宋体"/>
        </w:rPr>
        <w:t xml:space="preserve">（3）投标人须针对本项目教职工集中体检、大流量参检特点，制定专项人群分流及应急应对方案，包括但不限于方案针对性、合理性及实操性。</w:t>
      </w:r>
      <w:r/>
    </w:p>
    <w:p>
      <w:pPr>
        <w:ind w:firstLine="420"/>
        <w:spacing w:line="360" w:lineRule="auto"/>
        <w:rPr>
          <w:rFonts w:ascii="宋体" w:hAnsi="宋体" w:cs="宋体"/>
        </w:rPr>
      </w:pPr>
      <w:r>
        <w:rPr>
          <w:rFonts w:hint="eastAsia" w:ascii="宋体" w:hAnsi="宋体" w:cs="宋体"/>
        </w:rPr>
        <w:t xml:space="preserve">（4）投标人须提供完整的体检报告解读、健康科普指导、异常指标转诊建议专项方案，并承诺安排专业专家上门开展一对一体检报告解读服务。</w:t>
      </w:r>
      <w:r/>
    </w:p>
    <w:p>
      <w:pPr>
        <w:ind w:firstLine="420"/>
        <w:spacing w:line="360" w:lineRule="auto"/>
        <w:rPr>
          <w:rFonts w:ascii="宋体" w:hAnsi="宋体" w:cs="宋体"/>
        </w:rPr>
      </w:pPr>
      <w:r>
        <w:rPr>
          <w:rFonts w:hint="eastAsia" w:ascii="宋体" w:hAnsi="宋体" w:cs="宋体"/>
        </w:rPr>
        <w:t xml:space="preserve">（5）投标人须提供增值服务方案，方案内容至少包含投标人在本项目基础体检套餐之外承诺免费增加的有效体检项目。评标委员会结合增值项目数量、实用性、合理性、可行性综合评审。</w:t>
      </w:r>
      <w:r/>
    </w:p>
    <w:p>
      <w:pPr>
        <w:ind w:firstLine="420"/>
        <w:spacing w:line="360" w:lineRule="auto"/>
        <w:rPr>
          <w:rFonts w:ascii="宋体" w:hAnsi="宋体" w:cs="宋体"/>
        </w:rPr>
      </w:pPr>
      <w:r>
        <w:rPr>
          <w:rFonts w:ascii="宋体" w:hAnsi="宋体" w:cs="宋体"/>
        </w:rPr>
      </w:r>
      <w:r/>
    </w:p>
    <w:p>
      <w:pPr>
        <w:spacing w:before="158" w:after="158"/>
        <w:rPr>
          <w:rFonts w:ascii="宋体" w:hAnsi="宋体" w:cs="宋体"/>
          <w:b/>
          <w:bCs/>
          <w:sz w:val="22"/>
          <w:szCs w:val="28"/>
        </w:rPr>
        <w:outlineLvl w:val="2"/>
      </w:pPr>
      <w:r>
        <w:rPr>
          <w:rFonts w:hint="eastAsia" w:ascii="宋体" w:hAnsi="宋体" w:cs="宋体"/>
          <w:b/>
          <w:bCs/>
          <w:sz w:val="22"/>
          <w:szCs w:val="28"/>
        </w:rPr>
        <w:t xml:space="preserve">三、报价要求</w:t>
      </w:r>
      <w:r/>
    </w:p>
    <w:p>
      <w:pPr>
        <w:ind w:firstLine="420"/>
        <w:spacing w:line="360" w:lineRule="auto"/>
        <w:rPr>
          <w:rFonts w:ascii="宋体" w:hAnsi="宋体" w:cs="宋体"/>
        </w:rPr>
      </w:pPr>
      <w:r>
        <w:rPr>
          <w:rFonts w:hint="eastAsia" w:ascii="宋体" w:hAnsi="宋体" w:cs="宋体"/>
        </w:rPr>
        <w:t xml:space="preserve">按六个分项分别报价：1、45岁以下在职男性（正高除外）套餐单价；2、45岁以下在职女性已婚（正高除外）套餐单价；3、45岁以下在职女性未婚（正高除外）套餐单价；4、45岁（含）以上在职、正高职称、退休人员男性套餐单价；5、45岁（含）以上在职、正高职称、退休人员女性已婚套餐单价；6、45岁（含）以上在职、正高职称、退休人员女性未婚套餐单价。</w:t>
      </w:r>
      <w:r/>
    </w:p>
    <w:p>
      <w:pPr>
        <w:ind w:firstLine="420"/>
        <w:rPr>
          <w:rFonts w:ascii="宋体" w:hAnsi="宋体" w:cs="宋体"/>
        </w:rPr>
      </w:pPr>
      <w:r>
        <w:rPr>
          <w:rFonts w:ascii="宋体" w:hAnsi="宋体" w:cs="宋体"/>
        </w:rPr>
      </w:r>
      <w:r/>
    </w:p>
    <w:p>
      <w:pPr>
        <w:spacing w:before="158" w:after="158"/>
        <w:rPr>
          <w:rFonts w:ascii="宋体" w:hAnsi="宋体" w:cs="宋体"/>
          <w:b/>
          <w:bCs/>
          <w:sz w:val="22"/>
          <w:szCs w:val="28"/>
        </w:rPr>
        <w:outlineLvl w:val="2"/>
      </w:pPr>
      <w:r>
        <w:rPr>
          <w:rFonts w:hint="eastAsia" w:ascii="宋体" w:hAnsi="宋体" w:cs="宋体"/>
          <w:b/>
          <w:bCs/>
          <w:sz w:val="22"/>
          <w:szCs w:val="28"/>
        </w:rPr>
        <w:t xml:space="preserve">四、体检内容</w:t>
      </w:r>
      <w:r/>
    </w:p>
    <w:p>
      <w:pPr>
        <w:spacing w:before="158" w:after="158"/>
        <w:rPr>
          <w:rFonts w:ascii="宋体" w:hAnsi="宋体" w:cs="宋体"/>
          <w:b/>
          <w:bCs/>
          <w:sz w:val="22"/>
          <w:szCs w:val="28"/>
        </w:rPr>
        <w:outlineLvl w:val="2"/>
      </w:pPr>
      <w:r>
        <w:rPr>
          <w:rFonts w:hint="eastAsia" w:ascii="宋体" w:hAnsi="宋体" w:cs="宋体"/>
          <w:b/>
          <w:bCs/>
          <w:sz w:val="22"/>
          <w:szCs w:val="28"/>
        </w:rPr>
        <w:t xml:space="preserve">1、45岁以下在职男性（正高除外）套餐</w:t>
      </w:r>
      <w:r/>
    </w:p>
    <w:tbl>
      <w:tblPr>
        <w:tblStyle w:val="897"/>
        <w:tblW w:w="4955"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558"/>
        <w:gridCol w:w="6666"/>
      </w:tblGrid>
      <w:tr>
        <w:trPr>
          <w:jc w:val="center"/>
          <w:trHeight w:val="359"/>
        </w:trPr>
        <w:tc>
          <w:tcPr>
            <w:gridSpan w:val="2"/>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spacing w:line="351" w:lineRule="exact"/>
              <w:rPr>
                <w:rFonts w:ascii="Calibri" w:hAnsi="Calibri"/>
                <w:szCs w:val="22"/>
              </w:rPr>
            </w:pPr>
            <w:r>
              <w:rPr>
                <w:rFonts w:hint="eastAsia" w:ascii="宋体" w:hAnsi="宋体" w:cs="宋体"/>
                <w:b/>
                <w:bCs/>
                <w:color w:val="000000"/>
                <w:sz w:val="19"/>
                <w:szCs w:val="22"/>
              </w:rPr>
              <w:t xml:space="preserve">45岁以下在职男性（正高除外）套餐</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基本检查</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身高、体重、血压、脉搏、体重指数</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内科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心、肺听诊、腹部触诊</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浅表淋巴结、甲状腺、乳房、脊柱、四肢、皮肤、浅表淋巴结等</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眼科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外眼、视力、眼底、眼压</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耳、鼻、喉科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外耳道、鼓膜、鼻腔、鼻中隔、扁桃体、咽部等</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口腔科</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检查牙齿、牙周组织、口腔黏膜及颞下颌关节等有无异常</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血常规</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18项</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甲状腺功能</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T3、T4、TSH</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肝功能</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谷丙转氨酶、r-转肽酶、谷草转氨酶、总胆红素、直接胆红素、间接胆红素、血清白蛋白、血清总蛋白、血清球蛋白、ALB/GLO</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肿瘤标记筛选</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CEA、AFP、CA199、NSE、CA724、CA242、CA50、CYFRA21-1、PSA、FPSA</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肾脏机能</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血尿素氮、血清尿酸、血清肌酐</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血脂</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胆固醇、甘油三脂、高密度脂蛋白胆固醇、低密度脂蛋白胆固醇</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血糖</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空腹血糖测定</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尿常规</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10项</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心电图</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12导心电图</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影像学检查</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胸部CT平扫</w:t>
            </w:r>
            <w:r/>
          </w:p>
        </w:tc>
      </w:tr>
      <w:tr>
        <w:trPr>
          <w:jc w:val="center"/>
          <w:trHeight w:val="359"/>
        </w:trPr>
        <w:tc>
          <w:tcPr>
            <w:tcBorders>
              <w:top w:val="none" w:color="000000" w:sz="4" w:space="0"/>
              <w:left w:val="single" w:color="000000" w:sz="6" w:space="0"/>
              <w:bottom w:val="single" w:color="000000" w:sz="6" w:space="0"/>
              <w:right w:val="single" w:color="000000" w:sz="6" w:space="0"/>
            </w:tcBorders>
            <w:tcW w:w="94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彩色B超</w:t>
            </w:r>
            <w:r/>
          </w:p>
        </w:tc>
        <w:tc>
          <w:tcPr>
            <w:tcBorders>
              <w:top w:val="none" w:color="000000" w:sz="4" w:space="0"/>
              <w:left w:val="none" w:color="000000" w:sz="4" w:space="0"/>
              <w:bottom w:val="single" w:color="000000" w:sz="6" w:space="0"/>
              <w:right w:val="single" w:color="000000" w:sz="6" w:space="0"/>
            </w:tcBorders>
            <w:tcW w:w="405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肝、胆、胰、脾、双肾、膀胱、前列腺</w:t>
            </w:r>
            <w:r>
              <w:rPr>
                <w:rFonts w:ascii="SimSun" w:hAnsi="SimSun" w:eastAsia="SimSun" w:cs="SimSun"/>
                <w:color w:val="ff0000"/>
                <w:sz w:val="19"/>
              </w:rPr>
              <w:t xml:space="preserve">、甲状腺</w:t>
            </w:r>
            <w:r>
              <w:rPr>
                <w:rFonts w:ascii="宋体" w:hAnsi="宋体" w:cs="宋体"/>
                <w:color w:val="000000"/>
                <w:sz w:val="19"/>
                <w:szCs w:val="22"/>
              </w:rPr>
              <w:t xml:space="preserve">彩色超声检查（含图文）</w:t>
            </w:r>
            <w:r/>
          </w:p>
        </w:tc>
      </w:tr>
    </w:tbl>
    <w:p>
      <w:pPr>
        <w:rPr>
          <w:rFonts w:ascii="宋体" w:hAnsi="宋体" w:cs="宋体"/>
        </w:rPr>
      </w:pPr>
      <w:r>
        <w:rPr>
          <w:rFonts w:ascii="宋体" w:hAnsi="宋体" w:cs="宋体"/>
        </w:rPr>
      </w:r>
      <w:r/>
    </w:p>
    <w:p>
      <w:pPr>
        <w:rPr>
          <w:rFonts w:ascii="宋体" w:hAnsi="宋体" w:cs="宋体"/>
        </w:rPr>
      </w:pPr>
      <w:r>
        <w:rPr>
          <w:rFonts w:ascii="宋体" w:hAnsi="宋体" w:cs="宋体"/>
          <w:b/>
          <w:bCs/>
          <w:sz w:val="22"/>
          <w:szCs w:val="28"/>
        </w:rPr>
        <w:t xml:space="preserve">2</w:t>
      </w:r>
      <w:r>
        <w:rPr>
          <w:rFonts w:hint="eastAsia" w:ascii="宋体" w:hAnsi="宋体" w:cs="宋体"/>
          <w:b/>
          <w:bCs/>
          <w:sz w:val="22"/>
          <w:szCs w:val="28"/>
        </w:rPr>
        <w:t xml:space="preserve">、45岁以下在职女性已婚（正高除外）套餐</w:t>
      </w:r>
      <w:r/>
    </w:p>
    <w:tbl>
      <w:tblPr>
        <w:tblStyle w:val="897"/>
        <w:tblW w:w="5000"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555"/>
        <w:gridCol w:w="6744"/>
      </w:tblGrid>
      <w:tr>
        <w:trPr>
          <w:jc w:val="center"/>
          <w:trHeight w:val="300"/>
        </w:trPr>
        <w:tc>
          <w:tcPr>
            <w:gridSpan w:val="2"/>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spacing w:line="351" w:lineRule="exact"/>
              <w:rPr>
                <w:rFonts w:ascii="Calibri" w:hAnsi="Calibri"/>
                <w:szCs w:val="22"/>
              </w:rPr>
            </w:pPr>
            <w:r>
              <w:rPr>
                <w:rFonts w:hint="eastAsia" w:ascii="宋体" w:hAnsi="宋体" w:cs="宋体"/>
                <w:b/>
                <w:bCs/>
                <w:color w:val="000000"/>
                <w:sz w:val="19"/>
                <w:szCs w:val="22"/>
              </w:rPr>
              <w:t xml:space="preserve">45岁以下在职女性已婚（正高除外）套餐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基本检查</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身高、体重、血压、脉搏、体重指数</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内科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心、肺听诊、腹部触诊</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浅表淋巴结、甲状腺、乳房、脊柱、四肢、皮肤、浅表淋巴结等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眼科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外眼、视力、眼底、眼压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耳、鼻、喉科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外耳道、鼓膜、鼻腔、鼻中隔、扁桃体、咽部等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口腔科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检查牙齿、牙周组织、口腔黏膜及颞下颌关节等有无异常</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妇科</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妇科检查、白带常规、宫颈液基细胞学检查（TCT）</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血常规</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18项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甲状腺功能</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T3、T4、TSH</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肝功能</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谷丙转氨酶、r-转肽酶、谷草转氨酶、总胆红素、直接胆红素、间接胆红素、血清白蛋白、血清总蛋白、血清球蛋白、ALB/GLO</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肿瘤标记筛选</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CEA、AFP、CA199、NSE、CA724、CA242、CA50、CYFRA21-1、CA125、CA153</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肾脏机能</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血尿素氮、血清尿酸、血清肌酐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血脂</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胆固醇、甘油三脂、高密度脂蛋白胆固醇、低密度脂蛋白胆固醇</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血糖</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空腹血糖测定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尿常规</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10项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粪便隐血试验（免疫法定量）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心电图</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12导心电图</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影像学检查</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胸部CT平扫</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37"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彩色B超</w:t>
            </w:r>
            <w:r/>
          </w:p>
        </w:tc>
        <w:tc>
          <w:tcPr>
            <w:tcBorders>
              <w:top w:val="none" w:color="000000" w:sz="4" w:space="0"/>
              <w:left w:val="none" w:color="000000" w:sz="4" w:space="0"/>
              <w:bottom w:val="single" w:color="000000" w:sz="6" w:space="0"/>
              <w:right w:val="single" w:color="000000" w:sz="6" w:space="0"/>
            </w:tcBorders>
            <w:tcW w:w="4063" w:type="pct"/>
            <w:vAlign w:val="center"/>
            <w:textDirection w:val="lrTb"/>
            <w:noWrap w:val="false"/>
          </w:tcPr>
          <w:p>
            <w:pPr>
              <w:jc w:val="left"/>
              <w:rPr>
                <w:rFonts w:ascii="Calibri" w:hAnsi="Calibri"/>
                <w:szCs w:val="22"/>
              </w:rPr>
            </w:pPr>
            <w:r>
              <w:rPr>
                <w:rFonts w:ascii="宋体" w:hAnsi="宋体" w:cs="宋体"/>
                <w:color w:val="000000"/>
                <w:sz w:val="19"/>
                <w:szCs w:val="22"/>
              </w:rPr>
              <w:t xml:space="preserve">肝、胆、胰、脾、双肾、膀胱、乳腺、子宫、附件</w:t>
            </w:r>
            <w:r>
              <w:rPr>
                <w:rFonts w:ascii="SimSun" w:hAnsi="SimSun" w:eastAsia="SimSun" w:cs="SimSun"/>
                <w:color w:val="ff0000"/>
                <w:sz w:val="19"/>
              </w:rPr>
              <w:t xml:space="preserve">、甲状腺</w:t>
            </w:r>
            <w:r>
              <w:rPr>
                <w:rFonts w:ascii="宋体" w:hAnsi="宋体" w:cs="宋体"/>
                <w:color w:val="000000"/>
                <w:sz w:val="19"/>
                <w:szCs w:val="22"/>
              </w:rPr>
              <w:t xml:space="preserve">彩色超声检查（含图文）</w:t>
            </w:r>
            <w:r/>
          </w:p>
        </w:tc>
      </w:tr>
    </w:tbl>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3、45岁以下在职女性未婚（正高除外）套餐</w:t>
      </w:r>
      <w:r/>
    </w:p>
    <w:tbl>
      <w:tblPr>
        <w:tblStyle w:val="897"/>
        <w:tblW w:w="4968"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555"/>
        <w:gridCol w:w="6691"/>
      </w:tblGrid>
      <w:tr>
        <w:trPr>
          <w:jc w:val="center"/>
          <w:trHeight w:val="300"/>
        </w:trPr>
        <w:tc>
          <w:tcPr>
            <w:gridSpan w:val="2"/>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rPr>
                <w:rFonts w:cs="宋体" w:asciiTheme="minorEastAsia" w:hAnsiTheme="minorEastAsia" w:eastAsiaTheme="minorEastAsia"/>
                <w:sz w:val="19"/>
                <w:szCs w:val="19"/>
              </w:rPr>
            </w:pPr>
            <w:r>
              <w:rPr>
                <w:rFonts w:hint="eastAsia" w:cs="宋体" w:asciiTheme="minorEastAsia" w:hAnsiTheme="minorEastAsia" w:eastAsiaTheme="minorEastAsia"/>
                <w:b/>
                <w:bCs/>
                <w:sz w:val="19"/>
                <w:szCs w:val="19"/>
              </w:rPr>
              <w:t xml:space="preserve">45岁以下在职女性未婚（正高除外）套餐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基本检查</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身高、体重、血压、脉搏、体重指数</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内科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心、肺听诊、腹部触诊</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外科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浅表淋巴结、甲状腺、乳房、脊柱、四肢、皮肤、浅表淋巴结等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眼科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外眼、视力、眼底、眼压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耳、鼻、喉科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外耳道、鼓膜、鼻腔、鼻中隔、扁桃体、咽部等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口腔科</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检查牙齿、牙周组织、口腔黏膜及颞下颌关节等有无异常</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血常规</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18项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甲状腺功能</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T3、T4、TSH</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肝功能</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谷丙转氨酶、r-转肽酶、谷草转氨酶、总胆红素、直接胆红素、间接胆红素、血清白蛋白、血清总蛋白、血清球蛋白、ALB/GLO</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肿瘤标记筛选</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CEA、AFP、CA199、NSE、CA724、CA242、CA50、CYFRA21-1、CA125、CA153</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肾脏机能</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血尿素氮、血清尿酸、血清肌酐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血脂</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胆固醇、甘油三脂、高密度脂蛋白胆固醇、低密度脂蛋白胆固醇</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血糖</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空腹血糖测定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尿常规</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10项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粪便隐血试验（免疫法定量）</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粪便隐血试验（免疫法定量）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心电图</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12导心电图</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影像学检查</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胸部CT平扫</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943"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彩色B超</w:t>
            </w:r>
            <w:r/>
          </w:p>
        </w:tc>
        <w:tc>
          <w:tcPr>
            <w:tcBorders>
              <w:top w:val="none" w:color="000000" w:sz="4" w:space="0"/>
              <w:left w:val="none" w:color="000000" w:sz="4" w:space="0"/>
              <w:bottom w:val="single" w:color="000000" w:sz="6" w:space="0"/>
              <w:right w:val="single" w:color="000000" w:sz="6" w:space="0"/>
            </w:tcBorders>
            <w:tcW w:w="4057" w:type="pct"/>
            <w:vAlign w:val="center"/>
            <w:textDirection w:val="lrTb"/>
            <w:noWrap w:val="false"/>
          </w:tcPr>
          <w:p>
            <w:pPr>
              <w:rPr>
                <w:rFonts w:cs="宋体" w:asciiTheme="minorEastAsia" w:hAnsiTheme="minorEastAsia" w:eastAsiaTheme="minorEastAsia"/>
                <w:sz w:val="19"/>
                <w:szCs w:val="19"/>
              </w:rPr>
            </w:pPr>
            <w:r>
              <w:rPr>
                <w:rFonts w:cs="宋体" w:asciiTheme="minorEastAsia" w:hAnsiTheme="minorEastAsia" w:eastAsiaTheme="minorEastAsia"/>
                <w:sz w:val="19"/>
                <w:szCs w:val="19"/>
              </w:rPr>
              <w:t xml:space="preserve">肝、胆、胰、脾、双肾、膀胱、乳腺、子宫、附件</w:t>
            </w:r>
            <w:r>
              <w:rPr>
                <w:rFonts w:ascii="SimSun" w:hAnsi="SimSun" w:eastAsia="SimSun" w:cs="SimSun"/>
                <w:color w:val="ff0000"/>
                <w:sz w:val="19"/>
              </w:rPr>
              <w:t xml:space="preserve">、甲状腺</w:t>
            </w:r>
            <w:r>
              <w:rPr>
                <w:rFonts w:cs="宋体" w:asciiTheme="minorEastAsia" w:hAnsiTheme="minorEastAsia" w:eastAsiaTheme="minorEastAsia"/>
                <w:sz w:val="19"/>
                <w:szCs w:val="19"/>
              </w:rPr>
              <w:t xml:space="preserve">彩色超声检查（含图文）</w:t>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4、45岁（含）以上在职、正高职称、退休人员男性套餐</w:t>
      </w:r>
      <w:r/>
    </w:p>
    <w:tbl>
      <w:tblPr>
        <w:tblStyle w:val="897"/>
        <w:tblW w:w="4873"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412"/>
        <w:gridCol w:w="1136"/>
        <w:gridCol w:w="5540"/>
      </w:tblGrid>
      <w:tr>
        <w:trPr>
          <w:jc w:val="center"/>
          <w:trHeight w:val="300"/>
        </w:trPr>
        <w:tc>
          <w:tcPr>
            <w:gridSpan w:val="3"/>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rPr>
                <w:rFonts w:ascii="宋体" w:hAnsi="宋体" w:cs="宋体"/>
                <w:sz w:val="19"/>
                <w:szCs w:val="19"/>
              </w:rPr>
            </w:pPr>
            <w:r>
              <w:rPr>
                <w:rFonts w:hint="eastAsia" w:ascii="宋体" w:hAnsi="宋体" w:cs="宋体"/>
                <w:b/>
                <w:bCs/>
                <w:sz w:val="19"/>
                <w:szCs w:val="19"/>
              </w:rPr>
              <w:t xml:space="preserve">45岁（含）以上在职、正高职称、退休人员男性套餐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基本检查</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身高、体重、血压、脉搏、体重指数</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内科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心、肺听诊、腹部触诊</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外科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浅表淋巴结、甲状腺、乳房、脊柱、四肢、皮肤、浅表淋巴结等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眼科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外眼、视力、眼底、眼压</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耳、鼻、喉科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外耳道、鼓膜、鼻腔、鼻中隔、扁桃体、咽部等</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口腔科</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检查牙齿、牙周组织、口腔黏膜及颞下颌关节等有无异常</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血常规</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18项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甲状腺功能</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T3、T4、TSH</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肝功能</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谷丙转氨酶、r-转肽酶、谷草转氨酶、总胆红素、直接胆红素、间接胆红素、血清白蛋白、血清总蛋白、血清球蛋白、ALB/GLO</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肿瘤标记筛选</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CEA、AFP、CA199、NSE、CA724、CA242、CA50、CYFRA21-1、PSA、FPSA</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肾脏机能</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血尿素氮、血清尿酸、血清肌酐</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血脂</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胆固醇、甘油三脂、高密度脂蛋白胆固醇、低密度脂蛋白胆固醇</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血糖</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空腹血糖测定</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尿常规</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10项</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心电图</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12导心电图</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影像学检查</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胸部CT平扫</w:t>
            </w:r>
            <w:r/>
          </w:p>
        </w:tc>
      </w:tr>
      <w:tr>
        <w:trPr>
          <w:jc w:val="center"/>
          <w:trHeight w:val="300"/>
        </w:trPr>
        <w:tc>
          <w:tcPr>
            <w:tcBorders>
              <w:top w:val="none" w:color="000000" w:sz="4" w:space="0"/>
              <w:left w:val="single" w:color="000000" w:sz="6" w:space="0"/>
              <w:bottom w:val="single" w:color="000000" w:sz="6" w:space="0"/>
              <w:right w:val="single" w:color="000000" w:sz="6" w:space="0"/>
            </w:tcBorders>
            <w:tcW w:w="873" w:type="pct"/>
            <w:vAlign w:val="center"/>
            <w:textDirection w:val="lrTb"/>
            <w:noWrap w:val="false"/>
          </w:tcPr>
          <w:p>
            <w:pPr>
              <w:rPr>
                <w:rFonts w:ascii="宋体" w:hAnsi="宋体" w:cs="宋体"/>
                <w:sz w:val="19"/>
                <w:szCs w:val="19"/>
              </w:rPr>
            </w:pPr>
            <w:r>
              <w:rPr>
                <w:rFonts w:ascii="宋体" w:hAnsi="宋体" w:cs="宋体"/>
                <w:sz w:val="19"/>
                <w:szCs w:val="19"/>
              </w:rPr>
              <w:t xml:space="preserve">彩色B超</w:t>
            </w:r>
            <w:r/>
          </w:p>
        </w:tc>
        <w:tc>
          <w:tcPr>
            <w:gridSpan w:val="2"/>
            <w:tcBorders>
              <w:top w:val="none" w:color="000000" w:sz="4" w:space="0"/>
              <w:left w:val="none" w:color="000000" w:sz="4" w:space="0"/>
              <w:bottom w:val="single" w:color="000000" w:sz="6" w:space="0"/>
              <w:right w:val="single" w:color="000000" w:sz="6" w:space="0"/>
            </w:tcBorders>
            <w:tcW w:w="4127" w:type="pct"/>
            <w:vAlign w:val="center"/>
            <w:textDirection w:val="lrTb"/>
            <w:noWrap w:val="false"/>
          </w:tcPr>
          <w:p>
            <w:pPr>
              <w:rPr>
                <w:rFonts w:ascii="宋体" w:hAnsi="宋体" w:cs="宋体"/>
                <w:sz w:val="19"/>
                <w:szCs w:val="19"/>
              </w:rPr>
            </w:pPr>
            <w:r>
              <w:rPr>
                <w:rFonts w:ascii="宋体" w:hAnsi="宋体" w:cs="宋体"/>
                <w:sz w:val="19"/>
                <w:szCs w:val="19"/>
              </w:rPr>
              <w:t xml:space="preserve">肝、胆、胰、脾、双肾、膀胱、前列腺</w:t>
            </w:r>
            <w:r>
              <w:rPr>
                <w:rFonts w:ascii="SimSun" w:hAnsi="SimSun" w:eastAsia="SimSun" w:cs="SimSun"/>
                <w:color w:val="ff0000"/>
                <w:sz w:val="19"/>
              </w:rPr>
              <w:t xml:space="preserve">、甲状腺</w:t>
            </w:r>
            <w:r>
              <w:rPr>
                <w:rFonts w:ascii="宋体" w:hAnsi="宋体" w:cs="宋体"/>
                <w:sz w:val="19"/>
                <w:szCs w:val="19"/>
              </w:rPr>
              <w:t xml:space="preserve">彩色超声检查（含图文）</w:t>
            </w:r>
            <w:r/>
          </w:p>
        </w:tc>
      </w:tr>
      <w:tr>
        <w:trPr>
          <w:jc w:val="center"/>
          <w:trHeight w:val="300"/>
        </w:trPr>
        <w:tc>
          <w:tcPr>
            <w:tcBorders>
              <w:top w:val="none" w:color="000000" w:sz="4" w:space="0"/>
              <w:left w:val="single" w:color="000000" w:sz="6" w:space="0"/>
              <w:right w:val="single" w:color="000000" w:sz="6" w:space="0"/>
            </w:tcBorders>
            <w:tcW w:w="873" w:type="pct"/>
            <w:vAlign w:val="center"/>
            <w:vMerge w:val="restart"/>
            <w:textDirection w:val="lrTb"/>
            <w:noWrap w:val="false"/>
          </w:tcPr>
          <w:p>
            <w:pPr>
              <w:rPr>
                <w:rFonts w:ascii="宋体" w:hAnsi="宋体" w:cs="宋体"/>
                <w:sz w:val="19"/>
                <w:szCs w:val="19"/>
              </w:rPr>
            </w:pPr>
            <w:r>
              <w:rPr>
                <w:rFonts w:ascii="宋体" w:hAnsi="宋体" w:cs="宋体"/>
                <w:sz w:val="19"/>
                <w:szCs w:val="19"/>
              </w:rPr>
              <w:t xml:space="preserve">允许教职工三选一</w:t>
            </w:r>
            <w:r/>
          </w:p>
        </w:tc>
        <w:tc>
          <w:tcPr>
            <w:tcBorders>
              <w:top w:val="none" w:color="000000" w:sz="4" w:space="0"/>
              <w:left w:val="single" w:color="000000" w:sz="6" w:space="0"/>
              <w:right w:val="single" w:color="000000" w:sz="6" w:space="0"/>
            </w:tcBorders>
            <w:tcW w:w="702" w:type="pct"/>
            <w:vAlign w:val="center"/>
            <w:textDirection w:val="lrTb"/>
            <w:noWrap w:val="false"/>
          </w:tcPr>
          <w:p>
            <w:pPr>
              <w:rPr>
                <w:rFonts w:ascii="宋体" w:hAnsi="宋体" w:cs="宋体"/>
                <w:sz w:val="19"/>
                <w:szCs w:val="19"/>
              </w:rPr>
            </w:pPr>
            <w:r>
              <w:rPr>
                <w:rFonts w:ascii="宋体" w:hAnsi="宋体" w:cs="宋体"/>
                <w:sz w:val="19"/>
                <w:szCs w:val="19"/>
              </w:rPr>
              <w:t xml:space="preserve">心血管检查</w:t>
            </w:r>
            <w:r/>
          </w:p>
        </w:tc>
        <w:tc>
          <w:tcPr>
            <w:tcBorders>
              <w:top w:val="none" w:color="000000" w:sz="4" w:space="0"/>
              <w:left w:val="single" w:color="000000" w:sz="6" w:space="0"/>
              <w:right w:val="single" w:color="000000" w:sz="6" w:space="0"/>
            </w:tcBorders>
            <w:tcW w:w="3425" w:type="pct"/>
            <w:vAlign w:val="center"/>
            <w:textDirection w:val="lrTb"/>
            <w:noWrap w:val="false"/>
          </w:tcPr>
          <w:p>
            <w:pPr>
              <w:rPr>
                <w:rFonts w:ascii="宋体" w:hAnsi="宋体" w:cs="宋体"/>
                <w:sz w:val="19"/>
                <w:szCs w:val="19"/>
              </w:rPr>
            </w:pPr>
            <w:r>
              <w:rPr>
                <w:rFonts w:ascii="宋体" w:hAnsi="宋体" w:cs="宋体"/>
                <w:sz w:val="19"/>
                <w:szCs w:val="19"/>
              </w:rPr>
              <w:t xml:space="preserve">彩超心脏（超声心动图），血流变，凝血4项</w:t>
            </w:r>
            <w:r/>
          </w:p>
        </w:tc>
      </w:tr>
      <w:tr>
        <w:trPr>
          <w:jc w:val="center"/>
          <w:trHeight w:val="300"/>
        </w:trPr>
        <w:tc>
          <w:tcPr>
            <w:tcBorders>
              <w:left w:val="single" w:color="000000" w:sz="6" w:space="0"/>
              <w:right w:val="single" w:color="000000" w:sz="6" w:space="0"/>
            </w:tcBorders>
            <w:tcW w:w="873" w:type="pct"/>
            <w:vMerge w:val="continue"/>
            <w:textDirection w:val="lrTb"/>
            <w:noWrap w:val="false"/>
          </w:tcPr>
          <w:p>
            <w:pPr>
              <w:rPr>
                <w:rFonts w:ascii="宋体" w:hAnsi="宋体" w:cs="宋体"/>
                <w:sz w:val="19"/>
                <w:szCs w:val="19"/>
              </w:rPr>
            </w:pPr>
            <w:r>
              <w:rPr>
                <w:rFonts w:ascii="宋体" w:hAnsi="宋体" w:cs="宋体"/>
                <w:sz w:val="19"/>
                <w:szCs w:val="19"/>
              </w:rPr>
            </w:r>
            <w:r/>
          </w:p>
        </w:tc>
        <w:tc>
          <w:tcPr>
            <w:tcBorders>
              <w:left w:val="single" w:color="000000" w:sz="6" w:space="0"/>
              <w:right w:val="single" w:color="000000" w:sz="6" w:space="0"/>
            </w:tcBorders>
            <w:tcW w:w="702" w:type="pct"/>
            <w:textDirection w:val="lrTb"/>
            <w:noWrap w:val="false"/>
          </w:tcPr>
          <w:p>
            <w:pPr>
              <w:rPr>
                <w:rFonts w:ascii="宋体" w:hAnsi="宋体" w:cs="宋体"/>
                <w:sz w:val="19"/>
                <w:szCs w:val="19"/>
              </w:rPr>
            </w:pPr>
            <w:r>
              <w:rPr>
                <w:rFonts w:ascii="宋体" w:hAnsi="宋体" w:cs="宋体"/>
                <w:sz w:val="19"/>
                <w:szCs w:val="19"/>
              </w:rPr>
              <w:t xml:space="preserve">脑血管检查</w:t>
            </w:r>
            <w:r/>
          </w:p>
        </w:tc>
        <w:tc>
          <w:tcPr>
            <w:tcBorders>
              <w:left w:val="single" w:color="000000" w:sz="6" w:space="0"/>
              <w:right w:val="single" w:color="000000" w:sz="6" w:space="0"/>
            </w:tcBorders>
            <w:tcW w:w="3425" w:type="pct"/>
            <w:textDirection w:val="lrTb"/>
            <w:noWrap w:val="false"/>
          </w:tcPr>
          <w:p>
            <w:pPr>
              <w:rPr>
                <w:rFonts w:ascii="宋体" w:hAnsi="宋体" w:cs="宋体"/>
                <w:sz w:val="19"/>
                <w:szCs w:val="19"/>
              </w:rPr>
            </w:pPr>
            <w:r>
              <w:rPr>
                <w:rFonts w:ascii="宋体" w:hAnsi="宋体" w:cs="宋体"/>
                <w:sz w:val="19"/>
                <w:szCs w:val="19"/>
              </w:rPr>
              <w:t xml:space="preserve">头颅CT平扫，彩超血管（双侧颈动脉）+多普勒血流图，经颅多普勒超声（TCD）</w:t>
            </w:r>
            <w:r/>
          </w:p>
        </w:tc>
      </w:tr>
      <w:tr>
        <w:trPr>
          <w:jc w:val="center"/>
          <w:trHeight w:val="300"/>
        </w:trPr>
        <w:tc>
          <w:tcPr>
            <w:tcBorders>
              <w:left w:val="single" w:color="000000" w:sz="6" w:space="0"/>
              <w:bottom w:val="single" w:color="000000" w:sz="6" w:space="0"/>
              <w:right w:val="single" w:color="000000" w:sz="6" w:space="0"/>
            </w:tcBorders>
            <w:tcW w:w="873" w:type="pct"/>
            <w:vMerge w:val="continue"/>
            <w:textDirection w:val="lrTb"/>
            <w:noWrap w:val="false"/>
          </w:tcPr>
          <w:p>
            <w:pPr>
              <w:rPr>
                <w:rFonts w:ascii="宋体" w:hAnsi="宋体" w:cs="宋体"/>
                <w:sz w:val="19"/>
                <w:szCs w:val="19"/>
              </w:rPr>
            </w:pPr>
            <w:r>
              <w:rPr>
                <w:rFonts w:ascii="宋体" w:hAnsi="宋体" w:cs="宋体"/>
                <w:sz w:val="19"/>
                <w:szCs w:val="19"/>
              </w:rPr>
            </w:r>
            <w:r/>
          </w:p>
        </w:tc>
        <w:tc>
          <w:tcPr>
            <w:tcBorders>
              <w:left w:val="single" w:color="000000" w:sz="6" w:space="0"/>
              <w:bottom w:val="single" w:color="000000" w:sz="6" w:space="0"/>
              <w:right w:val="single" w:color="000000" w:sz="6" w:space="0"/>
            </w:tcBorders>
            <w:tcW w:w="702" w:type="pct"/>
            <w:textDirection w:val="lrTb"/>
            <w:noWrap w:val="false"/>
          </w:tcPr>
          <w:p>
            <w:pPr>
              <w:rPr>
                <w:rFonts w:ascii="宋体" w:hAnsi="宋体" w:cs="宋体"/>
                <w:sz w:val="19"/>
                <w:szCs w:val="19"/>
              </w:rPr>
            </w:pPr>
            <w:r>
              <w:rPr>
                <w:rFonts w:ascii="宋体" w:hAnsi="宋体" w:cs="宋体"/>
                <w:sz w:val="19"/>
                <w:szCs w:val="19"/>
              </w:rPr>
              <w:t xml:space="preserve">胃肠道检查</w:t>
            </w:r>
            <w:r/>
          </w:p>
        </w:tc>
        <w:tc>
          <w:tcPr>
            <w:tcBorders>
              <w:left w:val="single" w:color="000000" w:sz="6" w:space="0"/>
              <w:bottom w:val="single" w:color="000000" w:sz="6" w:space="0"/>
              <w:right w:val="single" w:color="000000" w:sz="6" w:space="0"/>
            </w:tcBorders>
            <w:tcW w:w="3425" w:type="pct"/>
            <w:textDirection w:val="lrTb"/>
            <w:noWrap w:val="false"/>
          </w:tcPr>
          <w:p>
            <w:pPr>
              <w:rPr>
                <w:rFonts w:ascii="宋体" w:hAnsi="宋体" w:cs="宋体"/>
                <w:sz w:val="19"/>
                <w:szCs w:val="19"/>
              </w:rPr>
            </w:pPr>
            <w:r>
              <w:rPr>
                <w:rFonts w:ascii="宋体" w:hAnsi="宋体" w:cs="宋体"/>
                <w:sz w:val="19"/>
                <w:szCs w:val="19"/>
              </w:rPr>
              <w:t xml:space="preserve">胃蛋白酶I（化学发光法）、胃蛋白酶II（化学发光法）、血清胃泌素-17测定、碳13尿素呼气试验</w:t>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5、45岁（含）以上在职、正高职称、退休人员女性已婚套餐</w:t>
      </w:r>
      <w:r/>
    </w:p>
    <w:tbl>
      <w:tblPr>
        <w:tblStyle w:val="897"/>
        <w:tblW w:w="5044"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413"/>
        <w:gridCol w:w="10"/>
        <w:gridCol w:w="1125"/>
        <w:gridCol w:w="5824"/>
      </w:tblGrid>
      <w:tr>
        <w:trPr>
          <w:jc w:val="center"/>
          <w:trHeight w:val="300"/>
        </w:trPr>
        <w:tc>
          <w:tcPr>
            <w:gridSpan w:val="4"/>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rPr>
                <w:rFonts w:ascii="宋体" w:hAnsi="宋体" w:cs="宋体"/>
              </w:rPr>
            </w:pPr>
            <w:r>
              <w:rPr>
                <w:rFonts w:hint="eastAsia" w:ascii="宋体" w:hAnsi="宋体" w:cs="宋体"/>
                <w:b/>
                <w:bCs/>
              </w:rPr>
              <w:t xml:space="preserve">45岁（含）以上在职、正高职称、退休人员女性已婚套餐</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基本检查</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身高、体重、血压、脉搏、体重指数</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内科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心、肺听诊、腹部触诊</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外科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浅表淋巴结、甲状腺、乳房、脊柱、四肢、皮肤、浅表淋巴结等</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眼科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外眼、视力、眼底、眼压</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耳、鼻、喉科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外耳道、鼓膜、鼻腔、鼻中隔、扁桃体、咽部等</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口腔科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检查牙齿、牙周组织、口腔黏膜及颞下颌关节等有无异常</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妇科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妇科检查、白带常规、宫颈液基细胞学检查（TCT）</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血常规</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18项</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甲状腺功能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T3、T4、TSH</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肝功能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谷丙转氨酶、r-转肽酶、谷草转氨酶、总胆红素、直接胆红素、间接胆红素、血清白蛋白、血清总蛋白、血清球蛋白、ALB/GLO</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肿瘤标记筛选</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CEA、AFP、CA199、NSE、CA724、CA242、CA50、CYFRA21-1、CA125、CA153</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肾脏机能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血尿素氮、血清尿酸、血清肌酐</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血脂</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胆固醇、甘油三脂、高密度脂蛋白胆固醇、低密度脂蛋白胆固醇</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血糖</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空腹血糖测定</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尿常规</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10项</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心电图</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12导心电图</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影像学检查</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胸部CT平扫</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彩色B超</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肝、胆、胰、脾、双肾、膀胱、乳腺、子宫、附件</w:t>
            </w:r>
            <w:r>
              <w:rPr>
                <w:rFonts w:ascii="SimSun" w:hAnsi="SimSun" w:eastAsia="SimSun" w:cs="SimSun"/>
                <w:color w:val="ff0000"/>
                <w:sz w:val="19"/>
              </w:rPr>
              <w:t xml:space="preserve">、甲状腺</w:t>
            </w:r>
            <w:r>
              <w:rPr>
                <w:rFonts w:ascii="宋体" w:hAnsi="宋体" w:cs="宋体"/>
                <w:sz w:val="19"/>
                <w:szCs w:val="19"/>
              </w:rPr>
              <w:t xml:space="preserve">彩色超声检查（含图文）</w:t>
            </w:r>
            <w:r/>
          </w:p>
        </w:tc>
      </w:tr>
      <w:tr>
        <w:trPr>
          <w:jc w:val="center"/>
          <w:trHeight w:val="300"/>
        </w:trPr>
        <w:tc>
          <w:tcPr>
            <w:tcBorders>
              <w:top w:val="none" w:color="000000" w:sz="4" w:space="0"/>
              <w:left w:val="single" w:color="000000" w:sz="6" w:space="0"/>
              <w:right w:val="single" w:color="000000" w:sz="6" w:space="0"/>
            </w:tcBorders>
            <w:tcW w:w="844" w:type="pct"/>
            <w:vAlign w:val="center"/>
            <w:vMerge w:val="restart"/>
            <w:textDirection w:val="lrTb"/>
            <w:noWrap w:val="false"/>
          </w:tcPr>
          <w:p>
            <w:pPr>
              <w:rPr>
                <w:rFonts w:ascii="宋体" w:hAnsi="宋体" w:cs="宋体"/>
                <w:sz w:val="19"/>
                <w:szCs w:val="19"/>
              </w:rPr>
            </w:pPr>
            <w:r>
              <w:rPr>
                <w:rFonts w:ascii="宋体" w:hAnsi="宋体" w:cs="宋体"/>
                <w:sz w:val="19"/>
                <w:szCs w:val="19"/>
              </w:rPr>
              <w:t xml:space="preserve">允许教职工三选一</w:t>
            </w:r>
            <w:r/>
          </w:p>
        </w:tc>
        <w:tc>
          <w:tcPr>
            <w:gridSpan w:val="2"/>
            <w:tcBorders>
              <w:top w:val="none" w:color="000000" w:sz="4" w:space="0"/>
              <w:left w:val="single" w:color="000000" w:sz="6" w:space="0"/>
              <w:right w:val="single" w:color="000000" w:sz="6" w:space="0"/>
            </w:tcBorders>
            <w:tcW w:w="678" w:type="pct"/>
            <w:vAlign w:val="center"/>
            <w:textDirection w:val="lrTb"/>
            <w:noWrap w:val="false"/>
          </w:tcPr>
          <w:p>
            <w:pPr>
              <w:rPr>
                <w:rFonts w:ascii="宋体" w:hAnsi="宋体" w:cs="宋体"/>
                <w:sz w:val="19"/>
                <w:szCs w:val="19"/>
              </w:rPr>
            </w:pPr>
            <w:r>
              <w:rPr>
                <w:rFonts w:ascii="宋体" w:hAnsi="宋体" w:cs="宋体"/>
                <w:sz w:val="19"/>
                <w:szCs w:val="19"/>
              </w:rPr>
              <w:t xml:space="preserve">心血管检查</w:t>
            </w:r>
            <w:r/>
          </w:p>
        </w:tc>
        <w:tc>
          <w:tcPr>
            <w:tcBorders>
              <w:top w:val="none" w:color="000000" w:sz="4" w:space="0"/>
              <w:left w:val="single" w:color="000000" w:sz="6" w:space="0"/>
              <w:right w:val="single" w:color="000000" w:sz="6" w:space="0"/>
            </w:tcBorders>
            <w:tcW w:w="3478" w:type="pct"/>
            <w:vAlign w:val="center"/>
            <w:textDirection w:val="lrTb"/>
            <w:noWrap w:val="false"/>
          </w:tcPr>
          <w:p>
            <w:pPr>
              <w:rPr>
                <w:rFonts w:ascii="宋体" w:hAnsi="宋体" w:cs="宋体"/>
                <w:sz w:val="19"/>
                <w:szCs w:val="19"/>
              </w:rPr>
            </w:pPr>
            <w:r>
              <w:rPr>
                <w:rFonts w:ascii="宋体" w:hAnsi="宋体" w:cs="宋体"/>
                <w:sz w:val="19"/>
                <w:szCs w:val="19"/>
              </w:rPr>
              <w:t xml:space="preserve">彩超心脏（超声心动图），血流变，凝血4项</w:t>
            </w:r>
            <w:r/>
          </w:p>
        </w:tc>
      </w:tr>
      <w:tr>
        <w:trPr>
          <w:jc w:val="center"/>
          <w:trHeight w:val="300"/>
        </w:trPr>
        <w:tc>
          <w:tcPr>
            <w:tcBorders>
              <w:left w:val="single" w:color="000000" w:sz="6" w:space="0"/>
              <w:right w:val="single" w:color="000000" w:sz="6" w:space="0"/>
            </w:tcBorders>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Borders>
              <w:left w:val="single" w:color="000000" w:sz="6" w:space="0"/>
              <w:right w:val="single" w:color="000000" w:sz="6" w:space="0"/>
            </w:tcBorders>
            <w:tcW w:w="678" w:type="pct"/>
            <w:textDirection w:val="lrTb"/>
            <w:noWrap w:val="false"/>
          </w:tcPr>
          <w:p>
            <w:pPr>
              <w:rPr>
                <w:rFonts w:ascii="宋体" w:hAnsi="宋体" w:cs="宋体"/>
                <w:sz w:val="19"/>
                <w:szCs w:val="19"/>
              </w:rPr>
            </w:pPr>
            <w:r>
              <w:rPr>
                <w:rFonts w:ascii="宋体" w:hAnsi="宋体" w:cs="宋体"/>
                <w:sz w:val="19"/>
                <w:szCs w:val="19"/>
              </w:rPr>
              <w:t xml:space="preserve">脑血管检查</w:t>
            </w:r>
            <w:r/>
          </w:p>
        </w:tc>
        <w:tc>
          <w:tcPr>
            <w:tcBorders>
              <w:left w:val="single" w:color="000000" w:sz="6" w:space="0"/>
              <w:right w:val="single" w:color="000000" w:sz="6" w:space="0"/>
            </w:tcBorders>
            <w:tcW w:w="3478" w:type="pct"/>
            <w:textDirection w:val="lrTb"/>
            <w:noWrap w:val="false"/>
          </w:tcPr>
          <w:p>
            <w:pPr>
              <w:rPr>
                <w:rFonts w:ascii="宋体" w:hAnsi="宋体" w:cs="宋体"/>
                <w:sz w:val="19"/>
                <w:szCs w:val="19"/>
              </w:rPr>
            </w:pPr>
            <w:r>
              <w:rPr>
                <w:rFonts w:ascii="宋体" w:hAnsi="宋体" w:cs="宋体"/>
                <w:sz w:val="19"/>
                <w:szCs w:val="19"/>
              </w:rPr>
              <w:t xml:space="preserve">头颅CT平扫，彩超血管（双侧颈动脉）+多普勒血流图，经颅多普勒超声（TCD）</w:t>
            </w:r>
            <w:r/>
          </w:p>
        </w:tc>
      </w:tr>
      <w:tr>
        <w:trPr>
          <w:jc w:val="center"/>
          <w:trHeight w:val="300"/>
        </w:trPr>
        <w:tc>
          <w:tcPr>
            <w:tcBorders>
              <w:left w:val="single" w:color="000000" w:sz="6" w:space="0"/>
              <w:bottom w:val="single" w:color="000000" w:sz="6" w:space="0"/>
              <w:right w:val="single" w:color="000000" w:sz="6" w:space="0"/>
            </w:tcBorders>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Borders>
              <w:left w:val="single" w:color="000000" w:sz="6" w:space="0"/>
              <w:bottom w:val="single" w:color="000000" w:sz="6" w:space="0"/>
              <w:right w:val="single" w:color="000000" w:sz="6" w:space="0"/>
            </w:tcBorders>
            <w:tcW w:w="678" w:type="pct"/>
            <w:textDirection w:val="lrTb"/>
            <w:noWrap w:val="false"/>
          </w:tcPr>
          <w:p>
            <w:pPr>
              <w:rPr>
                <w:rFonts w:ascii="宋体" w:hAnsi="宋体" w:cs="宋体"/>
                <w:sz w:val="19"/>
                <w:szCs w:val="19"/>
              </w:rPr>
            </w:pPr>
            <w:r>
              <w:rPr>
                <w:rFonts w:ascii="宋体" w:hAnsi="宋体" w:cs="宋体"/>
                <w:sz w:val="19"/>
                <w:szCs w:val="19"/>
              </w:rPr>
              <w:t xml:space="preserve">胃肠道检查</w:t>
            </w:r>
            <w:r/>
          </w:p>
        </w:tc>
        <w:tc>
          <w:tcPr>
            <w:tcBorders>
              <w:left w:val="single" w:color="000000" w:sz="6" w:space="0"/>
              <w:bottom w:val="single" w:color="000000" w:sz="6" w:space="0"/>
              <w:right w:val="single" w:color="000000" w:sz="6" w:space="0"/>
            </w:tcBorders>
            <w:tcW w:w="3478" w:type="pct"/>
            <w:textDirection w:val="lrTb"/>
            <w:noWrap w:val="false"/>
          </w:tcPr>
          <w:p>
            <w:pPr>
              <w:rPr>
                <w:rFonts w:ascii="宋体" w:hAnsi="宋体" w:cs="宋体"/>
                <w:sz w:val="19"/>
                <w:szCs w:val="19"/>
              </w:rPr>
            </w:pPr>
            <w:r>
              <w:rPr>
                <w:rFonts w:ascii="宋体" w:hAnsi="宋体" w:cs="宋体"/>
                <w:sz w:val="19"/>
                <w:szCs w:val="19"/>
              </w:rPr>
              <w:t xml:space="preserve">胃蛋白酶I（化学发光法）、胃蛋白酶II（化学发光法）、血清胃泌素-17测定、碳13尿素呼气试验</w:t>
            </w:r>
            <w:r/>
          </w:p>
        </w:tc>
      </w:tr>
    </w:tbl>
    <w:p>
      <w:pPr>
        <w:rPr>
          <w:rFonts w:ascii="宋体" w:hAnsi="宋体" w:cs="宋体"/>
        </w:rPr>
      </w:pPr>
      <w:r>
        <w:rPr>
          <w:rFonts w:ascii="宋体" w:hAnsi="宋体" w:cs="宋体"/>
        </w:rPr>
      </w:r>
      <w:r/>
    </w:p>
    <w:p>
      <w:pPr>
        <w:rPr>
          <w:rFonts w:ascii="宋体" w:hAnsi="宋体" w:cs="宋体"/>
          <w:b/>
          <w:bCs/>
          <w:sz w:val="22"/>
          <w:szCs w:val="28"/>
        </w:rPr>
      </w:pPr>
      <w:r>
        <w:rPr>
          <w:rFonts w:hint="eastAsia" w:ascii="宋体" w:hAnsi="宋体" w:cs="宋体"/>
          <w:b/>
          <w:bCs/>
          <w:sz w:val="22"/>
          <w:szCs w:val="28"/>
        </w:rPr>
        <w:t xml:space="preserve">6、45岁（含）以上在职、正高职称、退休人员女性未婚套餐</w:t>
      </w:r>
      <w:r/>
    </w:p>
    <w:tbl>
      <w:tblPr>
        <w:tblStyle w:val="897"/>
        <w:tblW w:w="5044" w:type="pct"/>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413"/>
        <w:gridCol w:w="10"/>
        <w:gridCol w:w="1125"/>
        <w:gridCol w:w="5824"/>
      </w:tblGrid>
      <w:tr>
        <w:trPr>
          <w:jc w:val="center"/>
          <w:trHeight w:val="300"/>
        </w:trPr>
        <w:tc>
          <w:tcPr>
            <w:gridSpan w:val="4"/>
            <w:shd w:val="clear" w:color="auto" w:fill="c0c0c0"/>
            <w:tcBorders>
              <w:top w:val="single" w:color="auto" w:sz="4" w:space="0"/>
              <w:left w:val="single" w:color="000000" w:sz="6" w:space="0"/>
              <w:bottom w:val="single" w:color="000000" w:sz="6" w:space="0"/>
              <w:right w:val="single" w:color="000000" w:sz="6" w:space="0"/>
            </w:tcBorders>
            <w:tcW w:w="5000" w:type="pct"/>
            <w:vAlign w:val="center"/>
            <w:textDirection w:val="lrTb"/>
            <w:noWrap w:val="false"/>
          </w:tcPr>
          <w:p>
            <w:pPr>
              <w:jc w:val="center"/>
              <w:rPr>
                <w:rFonts w:ascii="宋体" w:hAnsi="宋体" w:cs="宋体"/>
                <w:sz w:val="19"/>
                <w:szCs w:val="19"/>
              </w:rPr>
            </w:pPr>
            <w:r>
              <w:rPr>
                <w:rFonts w:hint="eastAsia" w:ascii="宋体" w:hAnsi="宋体" w:cs="宋体"/>
                <w:b/>
                <w:bCs/>
                <w:sz w:val="19"/>
                <w:szCs w:val="19"/>
              </w:rPr>
              <w:t xml:space="preserve">45岁（含）以上在职、正高职称、退休人员女性未婚</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基本检查</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身高、体重、血压、脉搏、体重指数</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内科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心、肺听诊、腹部触诊</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外科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浅表淋巴结、甲状腺、乳房、脊柱、四肢、皮肤、浅表淋巴结等</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眼科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外眼、视力、眼底、眼压</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耳、鼻、喉科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外耳道、鼓膜、鼻腔、鼻中隔、扁桃体、咽部等</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口腔科</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检查牙齿、牙周组织、口腔黏膜及颞下颌关节等有无异常</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血常规</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18项</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甲状腺功能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T3、T4、TSH</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肝功能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谷丙转氨酶、r-转肽酶、谷草转氨酶、总胆红素、直接胆红素、间接胆红素、血清白蛋白、血清总蛋白、血清球蛋白、ALB/GLO</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肿瘤标记筛选</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CEA、AFP、CA199、NSE、CA724、CA242、CA50、CYFRA21-1、CA125、CA153</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肾脏机能</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血尿素氮、血清尿酸、血清肌酐</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血脂</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胆固醇、甘油三脂、高密度脂蛋白胆固醇、低密度脂蛋白胆固醇</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血糖</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空腹血糖测定</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尿常规</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10项</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粪便隐血试验（免疫法定量）</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心电图</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12导心电图</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影像学检查</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胸部CT平扫</w:t>
            </w:r>
            <w:r/>
          </w:p>
        </w:tc>
      </w:tr>
      <w:tr>
        <w:trPr>
          <w:jc w:val="center"/>
          <w:trHeight w:val="300"/>
        </w:trPr>
        <w:tc>
          <w:tcPr>
            <w:gridSpan w:val="2"/>
            <w:tcBorders>
              <w:top w:val="none" w:color="000000" w:sz="4" w:space="0"/>
              <w:left w:val="single" w:color="000000" w:sz="6" w:space="0"/>
              <w:bottom w:val="single" w:color="000000" w:sz="6" w:space="0"/>
              <w:right w:val="single" w:color="000000" w:sz="6" w:space="0"/>
            </w:tcBorders>
            <w:tcW w:w="850" w:type="pct"/>
            <w:vAlign w:val="center"/>
            <w:textDirection w:val="lrTb"/>
            <w:noWrap w:val="false"/>
          </w:tcPr>
          <w:p>
            <w:pPr>
              <w:rPr>
                <w:rFonts w:ascii="宋体" w:hAnsi="宋体" w:cs="宋体"/>
                <w:sz w:val="19"/>
                <w:szCs w:val="19"/>
              </w:rPr>
            </w:pPr>
            <w:r>
              <w:rPr>
                <w:rFonts w:ascii="宋体" w:hAnsi="宋体" w:cs="宋体"/>
                <w:sz w:val="19"/>
                <w:szCs w:val="19"/>
              </w:rPr>
              <w:t xml:space="preserve">彩色B超</w:t>
            </w:r>
            <w:r/>
          </w:p>
        </w:tc>
        <w:tc>
          <w:tcPr>
            <w:gridSpan w:val="2"/>
            <w:tcBorders>
              <w:top w:val="none" w:color="000000" w:sz="4" w:space="0"/>
              <w:left w:val="none" w:color="000000" w:sz="4" w:space="0"/>
              <w:bottom w:val="single" w:color="000000" w:sz="6" w:space="0"/>
              <w:right w:val="single" w:color="000000" w:sz="6" w:space="0"/>
            </w:tcBorders>
            <w:tcW w:w="4150" w:type="pct"/>
            <w:vAlign w:val="center"/>
            <w:textDirection w:val="lrTb"/>
            <w:noWrap w:val="false"/>
          </w:tcPr>
          <w:p>
            <w:pPr>
              <w:rPr>
                <w:rFonts w:ascii="宋体" w:hAnsi="宋体" w:cs="宋体"/>
                <w:sz w:val="19"/>
                <w:szCs w:val="19"/>
              </w:rPr>
            </w:pPr>
            <w:r>
              <w:rPr>
                <w:rFonts w:ascii="宋体" w:hAnsi="宋体" w:cs="宋体"/>
                <w:sz w:val="19"/>
                <w:szCs w:val="19"/>
              </w:rPr>
              <w:t xml:space="preserve">肝、胆、胰、脾、双肾、膀胱、乳腺、子宫、附件</w:t>
            </w:r>
            <w:r>
              <w:rPr>
                <w:rFonts w:ascii="SimSun" w:hAnsi="SimSun" w:eastAsia="SimSun" w:cs="SimSun"/>
                <w:color w:val="ff0000"/>
                <w:sz w:val="19"/>
              </w:rPr>
              <w:t xml:space="preserve">、甲状腺</w:t>
            </w:r>
            <w:r>
              <w:rPr>
                <w:rFonts w:ascii="宋体" w:hAnsi="宋体" w:cs="宋体"/>
                <w:sz w:val="19"/>
                <w:szCs w:val="19"/>
              </w:rPr>
              <w:t xml:space="preserve">彩色超声检查（含图文）</w:t>
            </w:r>
            <w:r/>
          </w:p>
        </w:tc>
      </w:tr>
      <w:tr>
        <w:trPr>
          <w:jc w:val="center"/>
          <w:trHeight w:val="300"/>
        </w:trPr>
        <w:tc>
          <w:tcPr>
            <w:tcBorders>
              <w:top w:val="none" w:color="000000" w:sz="4" w:space="0"/>
              <w:left w:val="single" w:color="000000" w:sz="6" w:space="0"/>
              <w:right w:val="single" w:color="000000" w:sz="6" w:space="0"/>
            </w:tcBorders>
            <w:tcW w:w="844" w:type="pct"/>
            <w:vAlign w:val="center"/>
            <w:vMerge w:val="restart"/>
            <w:textDirection w:val="lrTb"/>
            <w:noWrap w:val="false"/>
          </w:tcPr>
          <w:p>
            <w:pPr>
              <w:rPr>
                <w:rFonts w:ascii="宋体" w:hAnsi="宋体" w:cs="宋体"/>
                <w:sz w:val="19"/>
                <w:szCs w:val="19"/>
              </w:rPr>
            </w:pPr>
            <w:r>
              <w:rPr>
                <w:rFonts w:ascii="宋体" w:hAnsi="宋体" w:cs="宋体"/>
                <w:sz w:val="19"/>
                <w:szCs w:val="19"/>
              </w:rPr>
              <w:t xml:space="preserve">允许教职工三选一</w:t>
            </w:r>
            <w:r/>
          </w:p>
        </w:tc>
        <w:tc>
          <w:tcPr>
            <w:gridSpan w:val="2"/>
            <w:tcBorders>
              <w:top w:val="none" w:color="000000" w:sz="4" w:space="0"/>
              <w:left w:val="single" w:color="000000" w:sz="6" w:space="0"/>
              <w:right w:val="single" w:color="000000" w:sz="6" w:space="0"/>
            </w:tcBorders>
            <w:tcW w:w="678" w:type="pct"/>
            <w:vAlign w:val="center"/>
            <w:textDirection w:val="lrTb"/>
            <w:noWrap w:val="false"/>
          </w:tcPr>
          <w:p>
            <w:pPr>
              <w:rPr>
                <w:rFonts w:ascii="宋体" w:hAnsi="宋体" w:cs="宋体"/>
                <w:sz w:val="19"/>
                <w:szCs w:val="19"/>
              </w:rPr>
            </w:pPr>
            <w:r>
              <w:rPr>
                <w:rFonts w:ascii="宋体" w:hAnsi="宋体" w:cs="宋体"/>
                <w:sz w:val="19"/>
                <w:szCs w:val="19"/>
              </w:rPr>
              <w:t xml:space="preserve">心血管检查</w:t>
            </w:r>
            <w:r/>
          </w:p>
        </w:tc>
        <w:tc>
          <w:tcPr>
            <w:tcBorders>
              <w:top w:val="none" w:color="000000" w:sz="4" w:space="0"/>
              <w:left w:val="single" w:color="000000" w:sz="6" w:space="0"/>
              <w:right w:val="single" w:color="000000" w:sz="6" w:space="0"/>
            </w:tcBorders>
            <w:tcW w:w="3478" w:type="pct"/>
            <w:vAlign w:val="center"/>
            <w:textDirection w:val="lrTb"/>
            <w:noWrap w:val="false"/>
          </w:tcPr>
          <w:p>
            <w:pPr>
              <w:rPr>
                <w:rFonts w:ascii="宋体" w:hAnsi="宋体" w:cs="宋体"/>
                <w:sz w:val="19"/>
                <w:szCs w:val="19"/>
              </w:rPr>
            </w:pPr>
            <w:r>
              <w:rPr>
                <w:rFonts w:ascii="宋体" w:hAnsi="宋体" w:cs="宋体"/>
                <w:sz w:val="19"/>
                <w:szCs w:val="19"/>
              </w:rPr>
              <w:t xml:space="preserve">彩超心脏（超声心动图），血流变，凝血4项</w:t>
            </w:r>
            <w:r/>
          </w:p>
        </w:tc>
      </w:tr>
      <w:tr>
        <w:trPr>
          <w:jc w:val="center"/>
          <w:trHeight w:val="300"/>
        </w:trPr>
        <w:tc>
          <w:tcPr>
            <w:tcBorders>
              <w:left w:val="single" w:color="000000" w:sz="6" w:space="0"/>
              <w:right w:val="single" w:color="000000" w:sz="6" w:space="0"/>
            </w:tcBorders>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Borders>
              <w:left w:val="single" w:color="000000" w:sz="6" w:space="0"/>
              <w:right w:val="single" w:color="000000" w:sz="6" w:space="0"/>
            </w:tcBorders>
            <w:tcW w:w="678" w:type="pct"/>
            <w:textDirection w:val="lrTb"/>
            <w:noWrap w:val="false"/>
          </w:tcPr>
          <w:p>
            <w:pPr>
              <w:rPr>
                <w:rFonts w:ascii="宋体" w:hAnsi="宋体" w:cs="宋体"/>
                <w:sz w:val="19"/>
                <w:szCs w:val="19"/>
              </w:rPr>
            </w:pPr>
            <w:r>
              <w:rPr>
                <w:rFonts w:ascii="宋体" w:hAnsi="宋体" w:cs="宋体"/>
                <w:sz w:val="19"/>
                <w:szCs w:val="19"/>
              </w:rPr>
              <w:t xml:space="preserve">脑血管检查</w:t>
            </w:r>
            <w:r/>
          </w:p>
        </w:tc>
        <w:tc>
          <w:tcPr>
            <w:tcBorders>
              <w:left w:val="single" w:color="000000" w:sz="6" w:space="0"/>
              <w:right w:val="single" w:color="000000" w:sz="6" w:space="0"/>
            </w:tcBorders>
            <w:tcW w:w="3478" w:type="pct"/>
            <w:textDirection w:val="lrTb"/>
            <w:noWrap w:val="false"/>
          </w:tcPr>
          <w:p>
            <w:pPr>
              <w:rPr>
                <w:rFonts w:ascii="宋体" w:hAnsi="宋体" w:cs="宋体"/>
                <w:sz w:val="19"/>
                <w:szCs w:val="19"/>
              </w:rPr>
            </w:pPr>
            <w:r>
              <w:rPr>
                <w:rFonts w:ascii="宋体" w:hAnsi="宋体" w:cs="宋体"/>
                <w:sz w:val="19"/>
                <w:szCs w:val="19"/>
              </w:rPr>
              <w:t xml:space="preserve">头颅CT平扫，彩超血管（双侧颈动脉）+多普勒血流图，经颅多普勒超声（TCD）</w:t>
            </w:r>
            <w:r/>
          </w:p>
        </w:tc>
      </w:tr>
      <w:tr>
        <w:trPr>
          <w:jc w:val="center"/>
          <w:trHeight w:val="300"/>
        </w:trPr>
        <w:tc>
          <w:tcPr>
            <w:tcBorders>
              <w:left w:val="single" w:color="000000" w:sz="6" w:space="0"/>
              <w:bottom w:val="single" w:color="000000" w:sz="6" w:space="0"/>
              <w:right w:val="single" w:color="000000" w:sz="6" w:space="0"/>
            </w:tcBorders>
            <w:tcW w:w="844" w:type="pct"/>
            <w:vMerge w:val="continue"/>
            <w:textDirection w:val="lrTb"/>
            <w:noWrap w:val="false"/>
          </w:tcPr>
          <w:p>
            <w:pPr>
              <w:rPr>
                <w:rFonts w:ascii="宋体" w:hAnsi="宋体" w:cs="宋体"/>
                <w:sz w:val="19"/>
                <w:szCs w:val="19"/>
              </w:rPr>
            </w:pPr>
            <w:r>
              <w:rPr>
                <w:rFonts w:ascii="宋体" w:hAnsi="宋体" w:cs="宋体"/>
                <w:sz w:val="19"/>
                <w:szCs w:val="19"/>
              </w:rPr>
            </w:r>
            <w:r/>
          </w:p>
        </w:tc>
        <w:tc>
          <w:tcPr>
            <w:gridSpan w:val="2"/>
            <w:tcBorders>
              <w:left w:val="single" w:color="000000" w:sz="6" w:space="0"/>
              <w:bottom w:val="single" w:color="000000" w:sz="6" w:space="0"/>
              <w:right w:val="single" w:color="000000" w:sz="6" w:space="0"/>
            </w:tcBorders>
            <w:tcW w:w="678" w:type="pct"/>
            <w:textDirection w:val="lrTb"/>
            <w:noWrap w:val="false"/>
          </w:tcPr>
          <w:p>
            <w:pPr>
              <w:rPr>
                <w:rFonts w:ascii="宋体" w:hAnsi="宋体" w:cs="宋体"/>
                <w:sz w:val="19"/>
                <w:szCs w:val="19"/>
              </w:rPr>
            </w:pPr>
            <w:r>
              <w:rPr>
                <w:rFonts w:ascii="宋体" w:hAnsi="宋体" w:cs="宋体"/>
                <w:sz w:val="19"/>
                <w:szCs w:val="19"/>
              </w:rPr>
              <w:t xml:space="preserve">胃肠道检查</w:t>
            </w:r>
            <w:r/>
          </w:p>
        </w:tc>
        <w:tc>
          <w:tcPr>
            <w:tcBorders>
              <w:left w:val="single" w:color="000000" w:sz="6" w:space="0"/>
              <w:bottom w:val="single" w:color="000000" w:sz="6" w:space="0"/>
              <w:right w:val="single" w:color="000000" w:sz="6" w:space="0"/>
            </w:tcBorders>
            <w:tcW w:w="3478" w:type="pct"/>
            <w:textDirection w:val="lrTb"/>
            <w:noWrap w:val="false"/>
          </w:tcPr>
          <w:p>
            <w:pPr>
              <w:rPr>
                <w:rFonts w:ascii="宋体" w:hAnsi="宋体" w:cs="宋体"/>
                <w:sz w:val="19"/>
                <w:szCs w:val="19"/>
              </w:rPr>
            </w:pPr>
            <w:r>
              <w:rPr>
                <w:rFonts w:ascii="宋体" w:hAnsi="宋体" w:cs="宋体"/>
                <w:sz w:val="19"/>
                <w:szCs w:val="19"/>
              </w:rPr>
              <w:t xml:space="preserve">胃蛋白酶I（化学发光法）、胃蛋白酶II（化学发光法）、血清胃泌素-17测定、碳13尿素呼气试验</w:t>
            </w:r>
            <w:r/>
          </w:p>
        </w:tc>
      </w:tr>
    </w:tbl>
    <w:p>
      <w:pPr>
        <w:rPr>
          <w:rFonts w:ascii="宋体" w:hAnsi="宋体" w:cs="宋体"/>
        </w:rPr>
      </w:pPr>
      <w:r>
        <w:rPr>
          <w:rFonts w:ascii="宋体" w:hAnsi="宋体" w:cs="宋体"/>
        </w:rPr>
      </w:r>
      <w:r/>
    </w:p>
    <w:p>
      <w:pPr>
        <w:spacing w:before="158" w:after="158"/>
        <w:rPr>
          <w:rFonts w:ascii="宋体" w:hAnsi="宋体" w:cs="宋体"/>
          <w:b/>
          <w:bCs/>
          <w:sz w:val="22"/>
          <w:szCs w:val="28"/>
        </w:rPr>
        <w:outlineLvl w:val="2"/>
      </w:pPr>
      <w:r>
        <w:rPr>
          <w:rFonts w:hint="eastAsia" w:ascii="宋体" w:hAnsi="宋体" w:cs="宋体"/>
          <w:b/>
          <w:bCs/>
          <w:sz w:val="22"/>
          <w:szCs w:val="28"/>
        </w:rPr>
        <w:t xml:space="preserve">五、其它要求</w:t>
      </w:r>
      <w:r/>
    </w:p>
    <w:p>
      <w:pPr>
        <w:ind w:firstLine="420"/>
        <w:spacing w:line="360" w:lineRule="auto"/>
        <w:rPr>
          <w:rFonts w:ascii="宋体" w:hAnsi="宋体" w:cs="宋体"/>
        </w:rPr>
      </w:pPr>
      <w:r>
        <w:rPr>
          <w:rFonts w:hint="eastAsia" w:ascii="宋体" w:hAnsi="宋体" w:cs="宋体"/>
        </w:rPr>
        <w:t xml:space="preserve">1、合同履行期限（服务期）：自合同签订之日起，至2028年12月31日内完成项目（具体时间以采购人通知为准）。</w:t>
      </w:r>
      <w:r>
        <w:rPr>
          <w:rFonts w:hint="eastAsia" w:ascii="宋体" w:hAnsi="宋体" w:cs="宋体"/>
          <w:spacing w:val="8"/>
          <w:szCs w:val="21"/>
        </w:rPr>
        <w:t xml:space="preserve">合同一年一签，每年采购人组织服务质量考核；考核≥80 分，续签下一年度合同；考核＜80 分，采购人有权向中标人发出整改通知，限期整改；整改后仍达不到 80 分，采购人有权不予续签下一年度合同。</w:t>
      </w:r>
      <w:r>
        <w:rPr>
          <w:rFonts w:hint="eastAsia" w:ascii="宋体" w:hAnsi="宋体" w:cs="宋体"/>
        </w:rPr>
        <w:t xml:space="preserve">（详见考核细则）</w:t>
      </w:r>
      <w:r/>
    </w:p>
    <w:p>
      <w:pPr>
        <w:ind w:firstLine="420"/>
        <w:spacing w:line="360" w:lineRule="auto"/>
        <w:rPr>
          <w:rFonts w:ascii="宋体" w:hAnsi="宋体" w:cs="宋体"/>
        </w:rPr>
      </w:pPr>
      <w:r>
        <w:rPr>
          <w:rFonts w:hint="eastAsia" w:ascii="宋体" w:hAnsi="宋体" w:cs="宋体"/>
        </w:rPr>
        <w:t xml:space="preserve">2、体检时间：双方协商确定。</w:t>
      </w:r>
      <w:r/>
    </w:p>
    <w:p>
      <w:pPr>
        <w:ind w:firstLine="420"/>
        <w:spacing w:line="360" w:lineRule="auto"/>
        <w:rPr>
          <w:rFonts w:ascii="宋体" w:hAnsi="宋体" w:cs="宋体"/>
        </w:rPr>
      </w:pPr>
      <w:r>
        <w:rPr>
          <w:rFonts w:hint="eastAsia" w:ascii="宋体" w:hAnsi="宋体" w:cs="宋体"/>
        </w:rPr>
        <w:t xml:space="preserve">3、付款方式：</w:t>
      </w:r>
      <w:r/>
    </w:p>
    <w:p>
      <w:pPr>
        <w:ind w:firstLine="420"/>
        <w:spacing w:line="360" w:lineRule="auto"/>
        <w:rPr>
          <w:rFonts w:ascii="宋体" w:hAnsi="宋体" w:cs="宋体"/>
        </w:rPr>
      </w:pPr>
      <w:r>
        <w:rPr>
          <w:rFonts w:hint="eastAsia" w:ascii="宋体" w:hAnsi="宋体" w:cs="宋体"/>
        </w:rPr>
        <w:t xml:space="preserve">当年体检完成并提交体检报告（按要求提供纸质或电子体检报告），经采购人对中标人体检服务进行考核，考核合格后，中标人应在10个工作日内向采购人列出结算单。采购人审核通过后，中标人按采购人财务规定出具正式发票，同时附体检人员及费用清单。采购人在2个月内支付当年结算金额。最终体检服务费用按中标报价、实际体检人数结算。</w:t>
      </w:r>
      <w:r/>
    </w:p>
    <w:p>
      <w:pPr>
        <w:ind w:firstLine="420"/>
        <w:spacing w:line="360" w:lineRule="auto"/>
        <w:rPr>
          <w:rFonts w:ascii="宋体" w:hAnsi="宋体" w:cs="宋体"/>
        </w:rPr>
      </w:pPr>
      <w:r>
        <w:rPr>
          <w:rFonts w:hint="eastAsia" w:ascii="宋体" w:hAnsi="宋体" w:cs="宋体"/>
        </w:rPr>
        <w:t xml:space="preserve">4、履约保证金</w:t>
      </w:r>
      <w:r/>
    </w:p>
    <w:p>
      <w:pPr>
        <w:ind w:firstLine="420"/>
        <w:spacing w:line="360" w:lineRule="auto"/>
        <w:rPr>
          <w:rFonts w:ascii="宋体" w:hAnsi="宋体" w:cs="宋体"/>
        </w:rPr>
      </w:pPr>
      <w:r>
        <w:rPr>
          <w:rFonts w:hint="eastAsia" w:ascii="宋体" w:hAnsi="宋体" w:cs="宋体"/>
        </w:rPr>
        <w:t xml:space="preserve">（1）履约保证金用于约束中标供应商在合同履行中的行为，弥补合同执行中由于自身行为可能给采购人带来的各种损失。因中标供应商原因导致合同未能正常履行的，采购人将扣除中标供应商的全部履约保证金。</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b/>
          <w:bCs/>
          <w:u w:val="single"/>
        </w:rPr>
        <w:t xml:space="preserve">中标供应商在签订合同前向采购人缴纳履约保证金人民币一万元整</w:t>
      </w:r>
      <w:r>
        <w:rPr>
          <w:rFonts w:hint="eastAsia" w:ascii="宋体" w:hAnsi="宋体" w:cs="宋体"/>
        </w:rPr>
        <w:t xml:space="preserve">。</w:t>
      </w:r>
      <w:r>
        <w:rPr>
          <w:rFonts w:ascii="宋体" w:hAnsi="宋体" w:cs="宋体"/>
        </w:rPr>
        <w:t xml:space="preserve">履约保证金可以采用银行转账或者银行 / 担保机构保函形式提交，保函有效期须覆盖整个服务周期。</w:t>
      </w:r>
      <w:r/>
    </w:p>
    <w:p>
      <w:pPr>
        <w:ind w:firstLine="420"/>
        <w:spacing w:line="360" w:lineRule="auto"/>
        <w:rPr>
          <w:rFonts w:ascii="宋体" w:hAnsi="宋体" w:cs="宋体"/>
        </w:rPr>
      </w:pPr>
      <w:r>
        <w:rPr>
          <w:rFonts w:hint="eastAsia" w:ascii="宋体" w:hAnsi="宋体" w:cs="宋体"/>
        </w:rPr>
        <w:t xml:space="preserve">（3）履约保证金退还方式：合同履行期限结束后，由中标供应商提出退还履约保证金申请，中标供应商不存在任何违约行为的，履约保证金予以无息返还至中标供应商账户。</w:t>
      </w:r>
      <w:r/>
    </w:p>
    <w:p>
      <w:pPr>
        <w:ind w:firstLine="420"/>
        <w:spacing w:line="360" w:lineRule="auto"/>
        <w:rPr>
          <w:rFonts w:ascii="宋体" w:hAnsi="宋体" w:cs="宋体"/>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宋体" w:hAnsi="宋体" w:cs="宋体"/>
        </w:rPr>
      </w:r>
      <w:r/>
    </w:p>
    <w:p>
      <w:pPr>
        <w:spacing w:line="360" w:lineRule="auto"/>
        <w:widowControl/>
        <w:rPr>
          <w:b/>
          <w:bCs/>
          <w:color w:val="000000"/>
          <w:sz w:val="30"/>
          <w:szCs w:val="30"/>
        </w:rPr>
      </w:pPr>
      <w:r>
        <w:rPr>
          <w:rFonts w:hint="eastAsia"/>
          <w:b/>
          <w:bCs/>
          <w:color w:val="000000"/>
          <w:sz w:val="30"/>
          <w:szCs w:val="30"/>
        </w:rPr>
        <w:t xml:space="preserve">附：</w:t>
      </w:r>
      <w:r>
        <w:rPr>
          <w:b/>
          <w:bCs/>
          <w:color w:val="000000"/>
          <w:sz w:val="30"/>
          <w:szCs w:val="30"/>
        </w:rPr>
        <w:t xml:space="preserve">考核细则</w:t>
      </w:r>
      <w:r/>
    </w:p>
    <w:p>
      <w:pPr>
        <w:ind w:firstLine="480"/>
        <w:jc w:val="left"/>
        <w:spacing w:line="360" w:lineRule="auto"/>
        <w:widowControl/>
        <w:rPr>
          <w:color w:val="000000"/>
          <w:sz w:val="22"/>
          <w:szCs w:val="22"/>
        </w:rPr>
      </w:pPr>
      <w:r>
        <w:rPr>
          <w:color w:val="000000"/>
          <w:sz w:val="22"/>
          <w:szCs w:val="22"/>
        </w:rPr>
        <w:t xml:space="preserve">为推进教职工体检服务实施规范化，体检结果准确性，增强教职工获得感和幸福感，根据教职工体检服务要求与合同约定，制定教职工体检服务考核细则。</w:t>
      </w:r>
      <w:r/>
    </w:p>
    <w:p>
      <w:pPr>
        <w:ind w:firstLine="482"/>
        <w:jc w:val="left"/>
        <w:spacing w:line="360" w:lineRule="auto"/>
        <w:widowControl/>
        <w:rPr>
          <w:b/>
          <w:color w:val="000000"/>
          <w:sz w:val="22"/>
          <w:szCs w:val="22"/>
        </w:rPr>
      </w:pPr>
      <w:r>
        <w:rPr>
          <w:b/>
          <w:color w:val="000000"/>
          <w:sz w:val="22"/>
          <w:szCs w:val="22"/>
        </w:rPr>
        <w:t xml:space="preserve">一、考核目的及对象</w:t>
      </w:r>
      <w:r/>
    </w:p>
    <w:p>
      <w:pPr>
        <w:ind w:firstLine="480"/>
        <w:jc w:val="left"/>
        <w:spacing w:line="360" w:lineRule="auto"/>
        <w:widowControl/>
        <w:rPr>
          <w:color w:val="000000"/>
          <w:sz w:val="22"/>
          <w:szCs w:val="22"/>
        </w:rPr>
      </w:pPr>
      <w:r>
        <w:rPr>
          <w:color w:val="000000"/>
          <w:sz w:val="22"/>
          <w:szCs w:val="22"/>
        </w:rPr>
        <w:t xml:space="preserve">目的：通过过程检查和考核，实现对合同履行的有效控制，确保合同双方服务要求明确，维护学校和广大教职工权益。</w:t>
      </w:r>
      <w:r/>
    </w:p>
    <w:p>
      <w:pPr>
        <w:ind w:firstLine="480"/>
        <w:jc w:val="left"/>
        <w:spacing w:line="360" w:lineRule="auto"/>
        <w:widowControl/>
        <w:rPr>
          <w:color w:val="000000"/>
          <w:sz w:val="22"/>
          <w:szCs w:val="22"/>
        </w:rPr>
      </w:pPr>
      <w:r>
        <w:rPr>
          <w:color w:val="000000"/>
          <w:sz w:val="22"/>
          <w:szCs w:val="22"/>
        </w:rPr>
        <w:t xml:space="preserve">对象：体检服务单位。</w:t>
      </w:r>
      <w:r/>
    </w:p>
    <w:p>
      <w:pPr>
        <w:ind w:firstLine="482"/>
        <w:jc w:val="left"/>
        <w:spacing w:line="360" w:lineRule="auto"/>
        <w:widowControl/>
        <w:rPr>
          <w:b/>
          <w:color w:val="000000"/>
          <w:sz w:val="22"/>
          <w:szCs w:val="22"/>
        </w:rPr>
      </w:pPr>
      <w:r>
        <w:rPr>
          <w:b/>
          <w:color w:val="000000"/>
          <w:sz w:val="22"/>
          <w:szCs w:val="22"/>
        </w:rPr>
        <w:t xml:space="preserve">二、考核的方式方法</w:t>
      </w:r>
      <w:r/>
    </w:p>
    <w:p>
      <w:pPr>
        <w:ind w:firstLine="480"/>
        <w:jc w:val="left"/>
        <w:spacing w:line="360" w:lineRule="auto"/>
        <w:widowControl/>
        <w:rPr>
          <w:color w:val="000000"/>
          <w:sz w:val="22"/>
          <w:szCs w:val="22"/>
        </w:rPr>
      </w:pPr>
      <w:r>
        <w:rPr>
          <w:color w:val="000000"/>
          <w:sz w:val="22"/>
          <w:szCs w:val="22"/>
        </w:rPr>
        <w:t xml:space="preserve">1、考核采取综合评分的方式，考核小组由</w:t>
      </w:r>
      <w:r>
        <w:rPr>
          <w:rFonts w:hint="eastAsia"/>
          <w:color w:val="000000"/>
          <w:sz w:val="22"/>
          <w:szCs w:val="22"/>
        </w:rPr>
        <w:t xml:space="preserve">后勤管理服务中心</w:t>
      </w:r>
      <w:r>
        <w:rPr>
          <w:color w:val="000000"/>
          <w:sz w:val="22"/>
          <w:szCs w:val="22"/>
        </w:rPr>
        <w:t xml:space="preserve">牵头，校工会、离退休</w:t>
      </w:r>
      <w:r>
        <w:rPr>
          <w:rFonts w:hint="eastAsia"/>
          <w:color w:val="000000"/>
          <w:sz w:val="22"/>
          <w:szCs w:val="22"/>
        </w:rPr>
        <w:t xml:space="preserve">处</w:t>
      </w:r>
      <w:r>
        <w:rPr>
          <w:color w:val="000000"/>
          <w:sz w:val="22"/>
          <w:szCs w:val="22"/>
        </w:rPr>
        <w:t xml:space="preserve">等部门组成。</w:t>
      </w:r>
      <w:r/>
    </w:p>
    <w:p>
      <w:pPr>
        <w:ind w:firstLine="480"/>
        <w:jc w:val="left"/>
        <w:spacing w:line="360" w:lineRule="auto"/>
        <w:widowControl/>
        <w:rPr>
          <w:color w:val="000000"/>
          <w:sz w:val="22"/>
          <w:szCs w:val="22"/>
        </w:rPr>
      </w:pPr>
      <w:r>
        <w:rPr>
          <w:color w:val="000000"/>
          <w:sz w:val="22"/>
          <w:szCs w:val="22"/>
        </w:rPr>
        <w:t xml:space="preserve">2、考核要素及分值设计，见考核表。</w:t>
      </w:r>
      <w:r/>
    </w:p>
    <w:p>
      <w:pPr>
        <w:ind w:firstLine="482"/>
        <w:jc w:val="left"/>
        <w:spacing w:line="360" w:lineRule="auto"/>
        <w:widowControl/>
        <w:rPr>
          <w:b/>
          <w:color w:val="000000"/>
          <w:sz w:val="22"/>
          <w:szCs w:val="22"/>
        </w:rPr>
      </w:pPr>
      <w:r>
        <w:rPr>
          <w:b/>
          <w:color w:val="000000"/>
          <w:sz w:val="22"/>
          <w:szCs w:val="22"/>
        </w:rPr>
        <w:t xml:space="preserve">三、考核内容</w:t>
      </w:r>
      <w:r/>
    </w:p>
    <w:p>
      <w:pPr>
        <w:ind w:firstLine="480"/>
        <w:jc w:val="left"/>
        <w:spacing w:line="360" w:lineRule="auto"/>
        <w:widowControl/>
        <w:rPr>
          <w:color w:val="000000"/>
          <w:sz w:val="22"/>
          <w:szCs w:val="22"/>
        </w:rPr>
      </w:pPr>
      <w:r>
        <w:rPr>
          <w:color w:val="000000"/>
          <w:sz w:val="22"/>
          <w:szCs w:val="22"/>
        </w:rPr>
        <w:t xml:space="preserve">1、医护团队人员资质和配备数量充分响应投标文件，人员和器材配置合理、数量充足。</w:t>
      </w:r>
      <w:r/>
    </w:p>
    <w:p>
      <w:pPr>
        <w:ind w:firstLine="480"/>
        <w:jc w:val="left"/>
        <w:spacing w:line="360" w:lineRule="auto"/>
        <w:widowControl/>
        <w:rPr>
          <w:color w:val="000000"/>
          <w:sz w:val="22"/>
          <w:szCs w:val="22"/>
        </w:rPr>
      </w:pPr>
      <w:r>
        <w:rPr>
          <w:color w:val="000000"/>
          <w:sz w:val="22"/>
          <w:szCs w:val="22"/>
        </w:rPr>
        <w:t xml:space="preserve">2、现场医护人员业务熟练，热情友好，耐心细致。</w:t>
      </w:r>
      <w:r/>
    </w:p>
    <w:p>
      <w:pPr>
        <w:ind w:firstLine="480"/>
        <w:jc w:val="left"/>
        <w:spacing w:line="360" w:lineRule="auto"/>
        <w:widowControl/>
        <w:rPr>
          <w:color w:val="000000"/>
          <w:sz w:val="22"/>
          <w:szCs w:val="22"/>
        </w:rPr>
      </w:pPr>
      <w:r>
        <w:rPr>
          <w:color w:val="000000"/>
          <w:sz w:val="22"/>
          <w:szCs w:val="22"/>
        </w:rPr>
        <w:t xml:space="preserve">3、体检点环境舒适、卫生、男女体检区域划分清晰，私密性好。体检环节顺畅、并提供有营养早餐。</w:t>
      </w:r>
      <w:r/>
    </w:p>
    <w:p>
      <w:pPr>
        <w:ind w:firstLine="480"/>
        <w:jc w:val="left"/>
        <w:spacing w:line="360" w:lineRule="auto"/>
        <w:widowControl/>
        <w:rPr>
          <w:color w:val="000000"/>
          <w:sz w:val="22"/>
          <w:szCs w:val="22"/>
        </w:rPr>
      </w:pPr>
      <w:r>
        <w:rPr>
          <w:color w:val="000000"/>
          <w:sz w:val="22"/>
          <w:szCs w:val="22"/>
        </w:rPr>
        <w:t xml:space="preserve">4、为保证教职工体检安全，所有体检使用的器具应做到及时清洁和消毒，检查所用卫生耗材做到一人一换，安全卫生。</w:t>
      </w:r>
      <w:r/>
    </w:p>
    <w:p>
      <w:pPr>
        <w:ind w:firstLine="480"/>
        <w:jc w:val="left"/>
        <w:spacing w:line="360" w:lineRule="auto"/>
        <w:widowControl/>
        <w:rPr>
          <w:color w:val="000000"/>
          <w:sz w:val="22"/>
          <w:szCs w:val="22"/>
        </w:rPr>
      </w:pPr>
      <w:r>
        <w:rPr>
          <w:color w:val="000000"/>
          <w:sz w:val="22"/>
          <w:szCs w:val="22"/>
        </w:rPr>
        <w:t xml:space="preserve">5、体检预约方便、导检单信息准确，在规定的时间内是否能做到随到随检。</w:t>
      </w:r>
      <w:r/>
    </w:p>
    <w:p>
      <w:pPr>
        <w:ind w:firstLine="480"/>
        <w:jc w:val="left"/>
        <w:spacing w:line="360" w:lineRule="auto"/>
        <w:widowControl/>
        <w:rPr>
          <w:color w:val="000000"/>
          <w:sz w:val="22"/>
          <w:szCs w:val="22"/>
        </w:rPr>
      </w:pPr>
      <w:r>
        <w:rPr>
          <w:color w:val="000000"/>
          <w:sz w:val="22"/>
          <w:szCs w:val="22"/>
        </w:rPr>
        <w:t xml:space="preserve">6、有充足的停车资源以满足自驾者停车需求。</w:t>
      </w:r>
      <w:r/>
    </w:p>
    <w:p>
      <w:pPr>
        <w:ind w:firstLine="480"/>
        <w:jc w:val="left"/>
        <w:spacing w:line="360" w:lineRule="auto"/>
        <w:widowControl/>
        <w:rPr>
          <w:color w:val="000000"/>
          <w:sz w:val="22"/>
          <w:szCs w:val="22"/>
        </w:rPr>
      </w:pPr>
      <w:r>
        <w:rPr>
          <w:color w:val="000000"/>
          <w:sz w:val="22"/>
          <w:szCs w:val="22"/>
        </w:rPr>
        <w:t xml:space="preserve">7、体检结束1</w:t>
      </w:r>
      <w:r>
        <w:rPr>
          <w:rFonts w:hint="eastAsia"/>
          <w:color w:val="000000"/>
          <w:sz w:val="22"/>
          <w:szCs w:val="22"/>
        </w:rPr>
        <w:t xml:space="preserve">5</w:t>
      </w:r>
      <w:r>
        <w:rPr>
          <w:color w:val="000000"/>
          <w:sz w:val="22"/>
          <w:szCs w:val="22"/>
        </w:rPr>
        <w:t xml:space="preserve">个工作日内出具个人体检报告；针对每个受检人员健康状况提供书面综合评价并提出防治意见；体检报告准确、客观且满足校方要求，满足线上可查条件。</w:t>
      </w:r>
      <w:r/>
    </w:p>
    <w:p>
      <w:pPr>
        <w:ind w:firstLine="480"/>
        <w:jc w:val="left"/>
        <w:spacing w:line="360" w:lineRule="auto"/>
        <w:widowControl/>
        <w:rPr>
          <w:color w:val="000000"/>
          <w:sz w:val="22"/>
          <w:szCs w:val="22"/>
        </w:rPr>
      </w:pPr>
      <w:r>
        <w:rPr>
          <w:color w:val="000000"/>
          <w:sz w:val="22"/>
          <w:szCs w:val="22"/>
        </w:rPr>
        <w:t xml:space="preserve">8、为教职工的身体状况进行健康评估和意见指导，提供重大疾病、疑难病症患者就医服务方案和预约就诊增值服务，针对学校高层次人才提供个性化健康服务方案。提供的方案合理、针对性强。</w:t>
      </w:r>
      <w:r/>
    </w:p>
    <w:p>
      <w:pPr>
        <w:ind w:firstLine="480"/>
        <w:jc w:val="left"/>
        <w:spacing w:line="360" w:lineRule="auto"/>
        <w:widowControl/>
        <w:rPr>
          <w:color w:val="000000"/>
          <w:sz w:val="22"/>
          <w:szCs w:val="22"/>
        </w:rPr>
      </w:pPr>
      <w:r>
        <w:rPr>
          <w:color w:val="000000"/>
          <w:sz w:val="22"/>
          <w:szCs w:val="22"/>
        </w:rPr>
        <w:t xml:space="preserve">9、现场应急处理预案等完善并且可行性高。出现的突发情况、医疗事故、投诉等，能快速妥善处置。</w:t>
      </w:r>
      <w:r/>
    </w:p>
    <w:p>
      <w:pPr>
        <w:ind w:firstLine="480"/>
        <w:jc w:val="left"/>
        <w:spacing w:line="360" w:lineRule="auto"/>
        <w:widowControl/>
        <w:rPr>
          <w:color w:val="000000"/>
          <w:sz w:val="22"/>
          <w:szCs w:val="22"/>
        </w:rPr>
      </w:pPr>
      <w:r>
        <w:rPr>
          <w:color w:val="000000"/>
          <w:sz w:val="22"/>
          <w:szCs w:val="22"/>
        </w:rPr>
        <w:t xml:space="preserve">10、体检中若发现传染病及重大疾病等要求在第一时间通知学校医保办，并在24小时内提出进一步诊疗意见或方案。</w:t>
      </w:r>
      <w:r/>
    </w:p>
    <w:p>
      <w:pPr>
        <w:ind w:firstLine="480"/>
        <w:jc w:val="left"/>
        <w:spacing w:line="360" w:lineRule="auto"/>
        <w:widowControl/>
        <w:rPr>
          <w:b/>
          <w:color w:val="000000"/>
          <w:sz w:val="22"/>
          <w:szCs w:val="22"/>
        </w:rPr>
      </w:pPr>
      <w:r>
        <w:rPr>
          <w:color w:val="000000"/>
          <w:sz w:val="22"/>
          <w:szCs w:val="22"/>
        </w:rPr>
        <w:t xml:space="preserve">11、</w:t>
      </w:r>
      <w:r>
        <w:rPr>
          <w:b/>
          <w:color w:val="000000"/>
          <w:sz w:val="22"/>
          <w:szCs w:val="22"/>
        </w:rPr>
        <w:t xml:space="preserve">增值服务履行情况</w:t>
      </w:r>
      <w:r/>
    </w:p>
    <w:p>
      <w:pPr>
        <w:ind w:firstLine="480"/>
        <w:jc w:val="left"/>
        <w:spacing w:line="360" w:lineRule="auto"/>
        <w:widowControl/>
        <w:rPr>
          <w:color w:val="000000"/>
          <w:sz w:val="22"/>
          <w:szCs w:val="22"/>
        </w:rPr>
      </w:pPr>
      <w:r>
        <w:rPr>
          <w:color w:val="000000"/>
          <w:sz w:val="22"/>
          <w:szCs w:val="22"/>
        </w:rPr>
        <w:t xml:space="preserve">参照中标单位标书及合同。</w:t>
      </w:r>
      <w:r/>
    </w:p>
    <w:p>
      <w:pPr>
        <w:ind w:firstLine="482"/>
        <w:jc w:val="left"/>
        <w:spacing w:line="360" w:lineRule="auto"/>
        <w:widowControl/>
        <w:rPr>
          <w:b/>
          <w:color w:val="000000"/>
          <w:sz w:val="22"/>
          <w:szCs w:val="22"/>
        </w:rPr>
      </w:pPr>
      <w:r>
        <w:rPr>
          <w:b/>
          <w:color w:val="000000"/>
          <w:sz w:val="22"/>
          <w:szCs w:val="22"/>
        </w:rPr>
        <w:t xml:space="preserve">四、考核结果应用</w:t>
      </w:r>
      <w:r/>
    </w:p>
    <w:p>
      <w:pPr>
        <w:ind w:firstLine="420"/>
        <w:spacing w:line="360" w:lineRule="auto"/>
        <w:rPr>
          <w:rFonts w:ascii="宋体" w:hAnsi="宋体" w:cs="宋体"/>
          <w:color w:val="000000"/>
          <w:sz w:val="22"/>
          <w:szCs w:val="22"/>
        </w:rPr>
      </w:pPr>
      <w:r>
        <w:rPr>
          <w:rFonts w:ascii="宋体" w:hAnsi="宋体" w:cs="宋体"/>
          <w:color w:val="000000"/>
          <w:sz w:val="22"/>
          <w:szCs w:val="22"/>
        </w:rPr>
        <w:t xml:space="preserve">(1)</w:t>
      </w:r>
      <w:r>
        <w:rPr>
          <w:rFonts w:hint="eastAsia"/>
        </w:rPr>
        <w:t xml:space="preserve"> 当年</w:t>
      </w:r>
      <w:r>
        <w:rPr>
          <w:rFonts w:ascii="宋体" w:hAnsi="宋体" w:cs="宋体"/>
          <w:color w:val="000000"/>
          <w:sz w:val="22"/>
          <w:szCs w:val="22"/>
        </w:rPr>
        <w:t xml:space="preserve">综合评分 8</w:t>
      </w:r>
      <w:r>
        <w:rPr>
          <w:rFonts w:hint="eastAsia" w:ascii="宋体" w:hAnsi="宋体" w:cs="宋体"/>
          <w:color w:val="000000"/>
          <w:sz w:val="22"/>
          <w:szCs w:val="22"/>
        </w:rPr>
        <w:t xml:space="preserve">0</w:t>
      </w:r>
      <w:r>
        <w:rPr>
          <w:rFonts w:ascii="宋体" w:hAnsi="宋体" w:cs="宋体"/>
          <w:color w:val="000000"/>
          <w:sz w:val="22"/>
          <w:szCs w:val="22"/>
        </w:rPr>
        <w:t xml:space="preserve"> 分（含）以上：不扣履约保证金，全额支付当年服务费，可续签下一年合同。</w:t>
      </w:r>
      <w:r/>
    </w:p>
    <w:p>
      <w:pPr>
        <w:ind w:firstLine="420"/>
        <w:spacing w:line="360" w:lineRule="auto"/>
        <w:rPr>
          <w:rFonts w:ascii="宋体" w:hAnsi="宋体" w:cs="宋体"/>
          <w:color w:val="000000"/>
          <w:sz w:val="22"/>
          <w:szCs w:val="22"/>
        </w:rPr>
      </w:pPr>
      <w:r>
        <w:rPr>
          <w:rFonts w:ascii="宋体" w:hAnsi="宋体" w:cs="宋体"/>
          <w:color w:val="000000"/>
          <w:sz w:val="22"/>
          <w:szCs w:val="22"/>
        </w:rPr>
        <w:t xml:space="preserve">(2)当年综合评分低于 8</w:t>
      </w:r>
      <w:r>
        <w:rPr>
          <w:rFonts w:hint="eastAsia" w:ascii="宋体" w:hAnsi="宋体" w:cs="宋体"/>
          <w:color w:val="000000"/>
          <w:sz w:val="22"/>
          <w:szCs w:val="22"/>
        </w:rPr>
        <w:t xml:space="preserve">0</w:t>
      </w:r>
      <w:r>
        <w:rPr>
          <w:rFonts w:ascii="宋体" w:hAnsi="宋体" w:cs="宋体"/>
          <w:color w:val="000000"/>
          <w:sz w:val="22"/>
          <w:szCs w:val="22"/>
        </w:rPr>
        <w:t xml:space="preserve"> 分：采购人向</w:t>
      </w:r>
      <w:r>
        <w:rPr>
          <w:rFonts w:hint="eastAsia" w:ascii="宋体" w:hAnsi="宋体" w:cs="宋体"/>
          <w:color w:val="000000"/>
          <w:sz w:val="22"/>
          <w:szCs w:val="22"/>
        </w:rPr>
        <w:t xml:space="preserve">供应商</w:t>
      </w:r>
      <w:r>
        <w:rPr>
          <w:rFonts w:ascii="宋体" w:hAnsi="宋体" w:cs="宋体"/>
          <w:color w:val="000000"/>
          <w:sz w:val="22"/>
          <w:szCs w:val="22"/>
        </w:rPr>
        <w:t xml:space="preserve">出具整改通知书，限期完成整改；整改完成重新复核达到 8</w:t>
      </w:r>
      <w:r>
        <w:rPr>
          <w:rFonts w:hint="eastAsia" w:ascii="宋体" w:hAnsi="宋体" w:cs="宋体"/>
          <w:color w:val="000000"/>
          <w:sz w:val="22"/>
          <w:szCs w:val="22"/>
        </w:rPr>
        <w:t xml:space="preserve">0</w:t>
      </w:r>
      <w:r>
        <w:rPr>
          <w:rFonts w:ascii="宋体" w:hAnsi="宋体" w:cs="宋体"/>
          <w:color w:val="000000"/>
          <w:sz w:val="22"/>
          <w:szCs w:val="22"/>
        </w:rPr>
        <w:t xml:space="preserve"> 分，全额付款；整改后仍低于 8</w:t>
      </w:r>
      <w:r>
        <w:rPr>
          <w:rFonts w:hint="eastAsia" w:ascii="宋体" w:hAnsi="宋体" w:cs="宋体"/>
          <w:color w:val="000000"/>
          <w:sz w:val="22"/>
          <w:szCs w:val="22"/>
        </w:rPr>
        <w:t xml:space="preserve">0</w:t>
      </w:r>
      <w:r>
        <w:rPr>
          <w:rFonts w:ascii="宋体" w:hAnsi="宋体" w:cs="宋体"/>
          <w:color w:val="000000"/>
          <w:sz w:val="22"/>
          <w:szCs w:val="22"/>
        </w:rPr>
        <w:t xml:space="preserve"> 分：不予续签下一年度合同，按合同约定追究违约责任，</w:t>
      </w:r>
      <w:r>
        <w:rPr>
          <w:rFonts w:hint="eastAsia" w:ascii="宋体" w:hAnsi="宋体" w:cs="宋体"/>
          <w:color w:val="000000"/>
          <w:sz w:val="22"/>
          <w:szCs w:val="22"/>
        </w:rPr>
        <w:t xml:space="preserve">扣罚</w:t>
      </w:r>
      <w:r>
        <w:rPr>
          <w:rFonts w:ascii="宋体" w:hAnsi="宋体" w:cs="宋体"/>
          <w:color w:val="000000"/>
          <w:sz w:val="22"/>
          <w:szCs w:val="22"/>
        </w:rPr>
        <w:t xml:space="preserve"> 50% 履约保证金，支付当年全部服务款项的 80%</w:t>
      </w:r>
      <w:r>
        <w:rPr>
          <w:rFonts w:hint="eastAsia" w:ascii="宋体" w:hAnsi="宋体" w:cs="宋体"/>
          <w:color w:val="000000"/>
          <w:sz w:val="22"/>
          <w:szCs w:val="22"/>
        </w:rPr>
        <w:t xml:space="preserve">。</w:t>
      </w:r>
      <w:r/>
    </w:p>
    <w:p>
      <w:pPr>
        <w:ind w:firstLine="420"/>
        <w:spacing w:line="360" w:lineRule="auto"/>
        <w:rPr>
          <w:rFonts w:ascii="宋体" w:hAnsi="宋体" w:cs="宋体"/>
          <w:color w:val="000000"/>
          <w:sz w:val="22"/>
          <w:szCs w:val="22"/>
        </w:rPr>
      </w:pPr>
      <w:r>
        <w:rPr>
          <w:rFonts w:ascii="宋体" w:hAnsi="宋体" w:cs="宋体"/>
          <w:color w:val="000000"/>
          <w:sz w:val="22"/>
          <w:szCs w:val="22"/>
        </w:rPr>
        <w:t xml:space="preserve">2、不合格说明</w:t>
      </w:r>
      <w:r/>
    </w:p>
    <w:p>
      <w:pPr>
        <w:ind w:firstLine="420"/>
        <w:spacing w:line="360" w:lineRule="auto"/>
        <w:rPr>
          <w:rFonts w:ascii="宋体" w:hAnsi="宋体" w:cs="宋体"/>
          <w:color w:val="000000"/>
          <w:sz w:val="22"/>
          <w:szCs w:val="22"/>
        </w:rPr>
      </w:pPr>
      <w:r>
        <w:rPr>
          <w:rFonts w:ascii="宋体" w:hAnsi="宋体" w:cs="宋体"/>
          <w:color w:val="000000"/>
          <w:sz w:val="22"/>
          <w:szCs w:val="22"/>
        </w:rPr>
        <w:t xml:space="preserve">(1)学校考核小组对服务单位进行综合考核不合格。</w:t>
      </w:r>
      <w:r/>
    </w:p>
    <w:p>
      <w:pPr>
        <w:ind w:firstLine="420"/>
        <w:spacing w:line="360" w:lineRule="auto"/>
        <w:rPr>
          <w:rFonts w:ascii="宋体" w:hAnsi="宋体" w:cs="宋体"/>
          <w:color w:val="000000"/>
          <w:sz w:val="22"/>
          <w:szCs w:val="22"/>
        </w:rPr>
      </w:pPr>
      <w:r>
        <w:rPr>
          <w:rFonts w:ascii="宋体" w:hAnsi="宋体" w:cs="宋体"/>
          <w:color w:val="000000"/>
          <w:sz w:val="22"/>
          <w:szCs w:val="22"/>
        </w:rPr>
        <w:t xml:space="preserve">(2)体检过程中，发生经核实的群体性集中投诉、重大医疗差错、泄露教职工体检隐私、媒体负面舆情，直接判定考核不合格；普通个体投诉，先限期整改，计入考核扣分。</w:t>
      </w:r>
      <w:r/>
    </w:p>
    <w:p>
      <w:pPr>
        <w:ind w:firstLine="420"/>
        <w:spacing w:line="360" w:lineRule="auto"/>
        <w:rPr>
          <w:rFonts w:ascii="宋体" w:hAnsi="宋体" w:cs="宋体"/>
          <w:color w:val="000000"/>
          <w:sz w:val="22"/>
          <w:szCs w:val="22"/>
        </w:rPr>
      </w:pPr>
      <w:r>
        <w:rPr>
          <w:rFonts w:ascii="宋体" w:hAnsi="宋体" w:cs="宋体"/>
          <w:color w:val="000000"/>
          <w:sz w:val="22"/>
          <w:szCs w:val="22"/>
        </w:rPr>
        <w:t xml:space="preserve">(3)出现批量检验结果错误、报告批量错漏，造成多名教职工重大误导，经第三方复核确认属实的，考核直接不合格。</w:t>
      </w:r>
      <w:r/>
    </w:p>
    <w:p>
      <w:pPr>
        <w:ind w:firstLine="472"/>
        <w:jc w:val="left"/>
        <w:spacing w:line="360" w:lineRule="auto"/>
        <w:widowControl/>
        <w:rPr>
          <w:b/>
          <w:color w:val="000000"/>
          <w:sz w:val="22"/>
          <w:szCs w:val="22"/>
        </w:rPr>
      </w:pPr>
      <w:r>
        <w:rPr>
          <w:b/>
          <w:color w:val="000000"/>
          <w:sz w:val="22"/>
          <w:szCs w:val="22"/>
        </w:rPr>
        <w:t xml:space="preserve">五、考核评分标准</w:t>
      </w:r>
      <w:r/>
    </w:p>
    <w:p>
      <w:pPr>
        <w:ind w:left="1470" w:right="1470" w:firstLine="422"/>
        <w:jc w:val="center"/>
        <w:spacing w:line="360" w:lineRule="auto"/>
        <w:rPr>
          <w:rFonts w:ascii="宋体" w:hAnsi="宋体" w:cs="宋体"/>
          <w:b/>
          <w:color w:val="000000"/>
          <w:sz w:val="22"/>
          <w:szCs w:val="22"/>
        </w:rPr>
      </w:pPr>
      <w:r>
        <w:rPr>
          <w:rFonts w:ascii="宋体" w:hAnsi="宋体" w:cs="宋体"/>
          <w:b/>
          <w:color w:val="000000"/>
          <w:sz w:val="22"/>
          <w:szCs w:val="22"/>
        </w:rPr>
        <w:t xml:space="preserve">考核表</w:t>
      </w:r>
      <w:r/>
    </w:p>
    <w:tbl>
      <w:tblPr>
        <w:tblStyle w:val="897"/>
        <w:tblW w:w="92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6915"/>
        <w:gridCol w:w="710"/>
        <w:gridCol w:w="816"/>
      </w:tblGrid>
      <w:tr>
        <w:trPr>
          <w:jc w:val="center"/>
          <w:trHeight w:val="408"/>
        </w:trPr>
        <w:tc>
          <w:tcPr>
            <w:tcW w:w="796" w:type="dxa"/>
            <w:vAlign w:val="center"/>
            <w:textDirection w:val="lrTb"/>
            <w:noWrap w:val="false"/>
          </w:tcPr>
          <w:p>
            <w:pPr>
              <w:jc w:val="center"/>
              <w:spacing w:line="360" w:lineRule="auto"/>
              <w:widowControl/>
              <w:rPr>
                <w:b/>
                <w:color w:val="000000"/>
                <w:sz w:val="22"/>
                <w:szCs w:val="22"/>
                <w:lang w:eastAsia="en-US"/>
              </w:rPr>
            </w:pPr>
            <w:r>
              <w:rPr>
                <w:b/>
                <w:color w:val="000000"/>
                <w:sz w:val="22"/>
                <w:szCs w:val="22"/>
              </w:rPr>
              <w:br w:type="page" w:clear="all"/>
            </w:r>
            <w:r>
              <w:rPr>
                <w:b/>
                <w:color w:val="000000"/>
                <w:sz w:val="22"/>
                <w:szCs w:val="22"/>
                <w:lang w:eastAsia="en-US"/>
              </w:rPr>
              <w:t xml:space="preserve">序号</w:t>
            </w:r>
            <w:r/>
          </w:p>
        </w:tc>
        <w:tc>
          <w:tcPr>
            <w:tcW w:w="6915" w:type="dxa"/>
            <w:vAlign w:val="center"/>
            <w:textDirection w:val="lrTb"/>
            <w:noWrap w:val="false"/>
          </w:tcPr>
          <w:p>
            <w:pPr>
              <w:jc w:val="center"/>
              <w:spacing w:line="360" w:lineRule="auto"/>
              <w:widowControl/>
              <w:rPr>
                <w:b/>
                <w:color w:val="000000"/>
                <w:sz w:val="22"/>
                <w:szCs w:val="22"/>
                <w:lang w:eastAsia="en-US"/>
              </w:rPr>
            </w:pPr>
            <w:r>
              <w:rPr>
                <w:b/>
                <w:color w:val="000000"/>
                <w:sz w:val="22"/>
                <w:szCs w:val="22"/>
                <w:lang w:eastAsia="en-US"/>
              </w:rPr>
              <w:t xml:space="preserve">考核内容</w:t>
            </w:r>
            <w:r/>
          </w:p>
        </w:tc>
        <w:tc>
          <w:tcPr>
            <w:tcW w:w="710" w:type="dxa"/>
            <w:vAlign w:val="center"/>
            <w:textDirection w:val="lrTb"/>
            <w:noWrap w:val="false"/>
          </w:tcPr>
          <w:p>
            <w:pPr>
              <w:jc w:val="left"/>
              <w:spacing w:line="360" w:lineRule="auto"/>
              <w:widowControl/>
              <w:rPr>
                <w:b/>
                <w:color w:val="000000"/>
                <w:sz w:val="22"/>
                <w:szCs w:val="22"/>
                <w:lang w:eastAsia="en-US"/>
              </w:rPr>
            </w:pPr>
            <w:r>
              <w:rPr>
                <w:b/>
                <w:color w:val="000000"/>
                <w:sz w:val="22"/>
                <w:szCs w:val="22"/>
                <w:lang w:eastAsia="en-US"/>
              </w:rPr>
              <w:t xml:space="preserve">标准分值</w:t>
            </w:r>
            <w:r/>
          </w:p>
        </w:tc>
        <w:tc>
          <w:tcPr>
            <w:tcW w:w="816" w:type="dxa"/>
            <w:vAlign w:val="center"/>
            <w:textDirection w:val="lrTb"/>
            <w:noWrap w:val="false"/>
          </w:tcPr>
          <w:p>
            <w:pPr>
              <w:jc w:val="left"/>
              <w:spacing w:line="360" w:lineRule="auto"/>
              <w:widowControl/>
              <w:rPr>
                <w:b/>
                <w:color w:val="000000"/>
                <w:sz w:val="22"/>
                <w:szCs w:val="22"/>
                <w:lang w:eastAsia="en-US"/>
              </w:rPr>
            </w:pPr>
            <w:r>
              <w:rPr>
                <w:b/>
                <w:color w:val="000000"/>
                <w:sz w:val="22"/>
                <w:szCs w:val="22"/>
                <w:lang w:eastAsia="en-US"/>
              </w:rPr>
              <w:t xml:space="preserve">得分</w:t>
            </w:r>
            <w:r/>
          </w:p>
        </w:tc>
      </w:tr>
      <w:tr>
        <w:trPr>
          <w:jc w:val="center"/>
          <w:trHeight w:val="408"/>
        </w:trPr>
        <w:tc>
          <w:tcPr>
            <w:tcW w:w="796" w:type="dxa"/>
            <w:vAlign w:val="center"/>
            <w:textDirection w:val="lrTb"/>
            <w:noWrap w:val="false"/>
          </w:tcPr>
          <w:p>
            <w:pPr>
              <w:jc w:val="center"/>
              <w:widowControl/>
              <w:rPr>
                <w:color w:val="000000"/>
                <w:sz w:val="22"/>
                <w:szCs w:val="22"/>
              </w:rPr>
            </w:pPr>
            <w:r>
              <w:rPr>
                <w:rFonts w:hint="eastAsia"/>
                <w:color w:val="000000"/>
                <w:sz w:val="22"/>
                <w:szCs w:val="22"/>
              </w:rPr>
              <w:t xml:space="preserve">1</w:t>
            </w:r>
            <w:r/>
          </w:p>
        </w:tc>
        <w:tc>
          <w:tcPr>
            <w:tcW w:w="6915" w:type="dxa"/>
            <w:vAlign w:val="center"/>
            <w:textDirection w:val="lrTb"/>
            <w:noWrap w:val="false"/>
          </w:tcPr>
          <w:p>
            <w:pPr>
              <w:jc w:val="left"/>
              <w:widowControl/>
              <w:rPr>
                <w:color w:val="000000"/>
                <w:sz w:val="22"/>
                <w:szCs w:val="22"/>
              </w:rPr>
            </w:pPr>
            <w:r>
              <w:rPr>
                <w:color w:val="000000"/>
                <w:sz w:val="22"/>
                <w:szCs w:val="22"/>
              </w:rPr>
              <w:t xml:space="preserve">按合同要求提供相应的医护团队、器材设备</w:t>
            </w:r>
            <w:r/>
          </w:p>
        </w:tc>
        <w:tc>
          <w:tcPr>
            <w:tcW w:w="710" w:type="dxa"/>
            <w:vAlign w:val="center"/>
            <w:textDirection w:val="lrTb"/>
            <w:noWrap w:val="false"/>
          </w:tcPr>
          <w:p>
            <w:pPr>
              <w:jc w:val="center"/>
              <w:widowControl/>
              <w:rPr>
                <w:color w:val="000000"/>
                <w:sz w:val="22"/>
                <w:szCs w:val="22"/>
                <w:lang w:eastAsia="en-US"/>
              </w:rPr>
            </w:pPr>
            <w:r>
              <w:rPr>
                <w:color w:val="000000"/>
                <w:sz w:val="22"/>
                <w:szCs w:val="22"/>
              </w:rPr>
              <w:t xml:space="preserve">10</w:t>
            </w:r>
            <w:r/>
          </w:p>
        </w:tc>
        <w:tc>
          <w:tcPr>
            <w:tcW w:w="816" w:type="dxa"/>
            <w:vAlign w:val="center"/>
            <w:textDirection w:val="lrTb"/>
            <w:noWrap w:val="false"/>
          </w:tcPr>
          <w:p>
            <w:pPr>
              <w:jc w:val="left"/>
              <w:widowControl/>
              <w:rPr>
                <w:b/>
                <w:color w:val="000000"/>
                <w:sz w:val="22"/>
                <w:szCs w:val="22"/>
                <w:lang w:eastAsia="en-US"/>
              </w:rPr>
            </w:pPr>
            <w:r>
              <w:rPr>
                <w:b/>
                <w:color w:val="000000"/>
                <w:sz w:val="22"/>
                <w:szCs w:val="22"/>
                <w:lang w:eastAsia="en-US"/>
              </w:rPr>
            </w:r>
            <w:r/>
          </w:p>
        </w:tc>
      </w:tr>
      <w:tr>
        <w:trPr>
          <w:jc w:val="center"/>
          <w:trHeight w:val="408"/>
        </w:trPr>
        <w:tc>
          <w:tcPr>
            <w:tcW w:w="796" w:type="dxa"/>
            <w:vAlign w:val="center"/>
            <w:textDirection w:val="lrTb"/>
            <w:noWrap w:val="false"/>
          </w:tcPr>
          <w:p>
            <w:pPr>
              <w:jc w:val="center"/>
              <w:widowControl/>
              <w:rPr>
                <w:color w:val="000000"/>
                <w:sz w:val="22"/>
                <w:szCs w:val="22"/>
              </w:rPr>
            </w:pPr>
            <w:r>
              <w:rPr>
                <w:rFonts w:hint="eastAsia"/>
                <w:color w:val="000000"/>
                <w:sz w:val="22"/>
                <w:szCs w:val="22"/>
              </w:rPr>
              <w:t xml:space="preserve">2</w:t>
            </w:r>
            <w:r/>
          </w:p>
        </w:tc>
        <w:tc>
          <w:tcPr>
            <w:tcW w:w="6915" w:type="dxa"/>
            <w:vAlign w:val="center"/>
            <w:textDirection w:val="lrTb"/>
            <w:noWrap w:val="false"/>
          </w:tcPr>
          <w:p>
            <w:pPr>
              <w:ind w:hanging="50"/>
              <w:jc w:val="left"/>
              <w:widowControl/>
              <w:rPr>
                <w:color w:val="000000"/>
                <w:sz w:val="22"/>
                <w:szCs w:val="22"/>
              </w:rPr>
            </w:pPr>
            <w:r>
              <w:rPr>
                <w:rFonts w:hint="eastAsia"/>
                <w:color w:val="000000"/>
                <w:sz w:val="22"/>
                <w:szCs w:val="22"/>
              </w:rPr>
              <w:t xml:space="preserve">按照合同约定的</w:t>
            </w:r>
            <w:r>
              <w:rPr>
                <w:color w:val="000000"/>
                <w:sz w:val="22"/>
                <w:szCs w:val="22"/>
              </w:rPr>
              <w:t xml:space="preserve">体检报告解读、健康指导、转诊建议</w:t>
            </w:r>
            <w:r>
              <w:rPr>
                <w:rFonts w:hint="eastAsia"/>
                <w:color w:val="000000"/>
                <w:sz w:val="22"/>
                <w:szCs w:val="22"/>
              </w:rPr>
              <w:t xml:space="preserve">等提供情况</w:t>
            </w:r>
            <w:r/>
          </w:p>
        </w:tc>
        <w:tc>
          <w:tcPr>
            <w:tcW w:w="710" w:type="dxa"/>
            <w:textDirection w:val="lrTb"/>
            <w:noWrap w:val="false"/>
          </w:tcPr>
          <w:p>
            <w:pPr>
              <w:jc w:val="center"/>
              <w:widowControl/>
              <w:rPr>
                <w:color w:val="000000"/>
                <w:sz w:val="22"/>
                <w:szCs w:val="22"/>
                <w:lang w:eastAsia="en-US"/>
              </w:rPr>
            </w:pPr>
            <w:r>
              <w:rPr>
                <w:color w:val="000000"/>
                <w:sz w:val="22"/>
                <w:szCs w:val="22"/>
                <w:lang w:eastAsia="en-US"/>
              </w:rPr>
              <w:t xml:space="preserve">10</w:t>
            </w:r>
            <w:r/>
          </w:p>
        </w:tc>
        <w:tc>
          <w:tcPr>
            <w:tcW w:w="816" w:type="dxa"/>
            <w:vAlign w:val="center"/>
            <w:textDirection w:val="lrTb"/>
            <w:noWrap w:val="false"/>
          </w:tcPr>
          <w:p>
            <w:pPr>
              <w:jc w:val="center"/>
              <w:widowControl/>
              <w:rPr>
                <w:color w:val="000000"/>
                <w:sz w:val="22"/>
                <w:szCs w:val="22"/>
                <w:lang w:eastAsia="en-US"/>
              </w:rPr>
            </w:pPr>
            <w:r>
              <w:rPr>
                <w:color w:val="000000"/>
                <w:sz w:val="22"/>
                <w:szCs w:val="22"/>
                <w:lang w:eastAsia="en-US"/>
              </w:rPr>
            </w:r>
            <w:r/>
          </w:p>
        </w:tc>
      </w:tr>
      <w:tr>
        <w:trPr>
          <w:jc w:val="center"/>
          <w:trHeight w:val="809"/>
        </w:trPr>
        <w:tc>
          <w:tcPr>
            <w:tcW w:w="796" w:type="dxa"/>
            <w:vAlign w:val="center"/>
            <w:textDirection w:val="lrTb"/>
            <w:noWrap w:val="false"/>
          </w:tcPr>
          <w:p>
            <w:pPr>
              <w:jc w:val="center"/>
              <w:widowControl/>
              <w:rPr>
                <w:color w:val="000000"/>
                <w:sz w:val="22"/>
                <w:szCs w:val="22"/>
              </w:rPr>
            </w:pPr>
            <w:r>
              <w:rPr>
                <w:rFonts w:hint="eastAsia"/>
                <w:color w:val="000000"/>
                <w:sz w:val="22"/>
                <w:szCs w:val="22"/>
              </w:rPr>
              <w:t xml:space="preserve">3</w:t>
            </w:r>
            <w:r/>
          </w:p>
        </w:tc>
        <w:tc>
          <w:tcPr>
            <w:tcW w:w="6915" w:type="dxa"/>
            <w:vAlign w:val="center"/>
            <w:textDirection w:val="lrTb"/>
            <w:noWrap w:val="false"/>
          </w:tcPr>
          <w:p>
            <w:pPr>
              <w:ind w:hanging="50"/>
              <w:jc w:val="left"/>
              <w:widowControl/>
              <w:rPr>
                <w:color w:val="000000"/>
                <w:sz w:val="22"/>
                <w:szCs w:val="22"/>
              </w:rPr>
            </w:pPr>
            <w:r>
              <w:rPr>
                <w:color w:val="000000"/>
                <w:sz w:val="22"/>
                <w:szCs w:val="22"/>
              </w:rPr>
              <w:t xml:space="preserve">体检中发现传染病阳性及重大疾病，肺结核及现场突发事件等应急处置及时</w:t>
            </w:r>
            <w:r>
              <w:rPr>
                <w:rFonts w:hint="eastAsia"/>
                <w:color w:val="000000"/>
                <w:sz w:val="22"/>
                <w:szCs w:val="22"/>
              </w:rPr>
              <w:t xml:space="preserve">并及时告知学校情况</w:t>
            </w:r>
            <w:r/>
          </w:p>
        </w:tc>
        <w:tc>
          <w:tcPr>
            <w:tcW w:w="710" w:type="dxa"/>
            <w:textDirection w:val="lrTb"/>
            <w:noWrap w:val="false"/>
          </w:tcPr>
          <w:p>
            <w:pPr>
              <w:jc w:val="center"/>
              <w:widowControl/>
              <w:rPr>
                <w:color w:val="000000"/>
                <w:sz w:val="22"/>
                <w:szCs w:val="22"/>
                <w:lang w:eastAsia="en-US"/>
              </w:rPr>
            </w:pPr>
            <w:r>
              <w:rPr>
                <w:color w:val="000000"/>
                <w:sz w:val="22"/>
                <w:szCs w:val="22"/>
                <w:lang w:eastAsia="en-US"/>
              </w:rPr>
              <w:t xml:space="preserve">10</w:t>
            </w:r>
            <w:r/>
          </w:p>
        </w:tc>
        <w:tc>
          <w:tcPr>
            <w:tcW w:w="816" w:type="dxa"/>
            <w:vAlign w:val="center"/>
            <w:textDirection w:val="lrTb"/>
            <w:noWrap w:val="false"/>
          </w:tcPr>
          <w:p>
            <w:pPr>
              <w:jc w:val="center"/>
              <w:widowControl/>
              <w:rPr>
                <w:color w:val="000000"/>
                <w:sz w:val="22"/>
                <w:szCs w:val="22"/>
                <w:lang w:eastAsia="en-US"/>
              </w:rPr>
            </w:pPr>
            <w:r>
              <w:rPr>
                <w:color w:val="000000"/>
                <w:sz w:val="22"/>
                <w:szCs w:val="22"/>
                <w:lang w:eastAsia="en-US"/>
              </w:rPr>
            </w:r>
            <w:r/>
          </w:p>
        </w:tc>
      </w:tr>
      <w:tr>
        <w:trPr>
          <w:jc w:val="center"/>
          <w:trHeight w:val="408"/>
        </w:trPr>
        <w:tc>
          <w:tcPr>
            <w:tcW w:w="796" w:type="dxa"/>
            <w:vAlign w:val="center"/>
            <w:textDirection w:val="lrTb"/>
            <w:noWrap w:val="false"/>
          </w:tcPr>
          <w:p>
            <w:pPr>
              <w:jc w:val="center"/>
              <w:widowControl/>
              <w:rPr>
                <w:color w:val="000000"/>
                <w:sz w:val="22"/>
                <w:szCs w:val="22"/>
              </w:rPr>
            </w:pPr>
            <w:r>
              <w:rPr>
                <w:rFonts w:hint="eastAsia"/>
                <w:color w:val="000000"/>
                <w:sz w:val="22"/>
                <w:szCs w:val="22"/>
              </w:rPr>
              <w:t xml:space="preserve">4</w:t>
            </w:r>
            <w:r/>
          </w:p>
        </w:tc>
        <w:tc>
          <w:tcPr>
            <w:tcW w:w="6915" w:type="dxa"/>
            <w:vAlign w:val="center"/>
            <w:textDirection w:val="lrTb"/>
            <w:noWrap w:val="false"/>
          </w:tcPr>
          <w:p>
            <w:pPr>
              <w:ind w:hanging="50"/>
              <w:jc w:val="left"/>
              <w:widowControl/>
              <w:rPr>
                <w:color w:val="000000"/>
                <w:sz w:val="22"/>
                <w:szCs w:val="22"/>
              </w:rPr>
            </w:pPr>
            <w:r>
              <w:rPr>
                <w:color w:val="000000"/>
                <w:sz w:val="22"/>
                <w:szCs w:val="22"/>
              </w:rPr>
              <w:t xml:space="preserve">体检结束1</w:t>
            </w:r>
            <w:r>
              <w:rPr>
                <w:rFonts w:hint="eastAsia"/>
                <w:color w:val="000000"/>
                <w:sz w:val="22"/>
                <w:szCs w:val="22"/>
              </w:rPr>
              <w:t xml:space="preserve">5</w:t>
            </w:r>
            <w:r>
              <w:rPr>
                <w:color w:val="000000"/>
                <w:sz w:val="22"/>
                <w:szCs w:val="22"/>
              </w:rPr>
              <w:t xml:space="preserve">个工作日内出具准确且满足校方要求的电子体检报告，并</w:t>
            </w:r>
            <w:r>
              <w:rPr>
                <w:rFonts w:hint="eastAsia"/>
                <w:color w:val="000000"/>
                <w:sz w:val="22"/>
                <w:szCs w:val="22"/>
              </w:rPr>
              <w:t xml:space="preserve">推送给教职工个人</w:t>
            </w:r>
            <w:r/>
          </w:p>
        </w:tc>
        <w:tc>
          <w:tcPr>
            <w:tcW w:w="710" w:type="dxa"/>
            <w:textDirection w:val="lrTb"/>
            <w:noWrap w:val="false"/>
          </w:tcPr>
          <w:p>
            <w:pPr>
              <w:jc w:val="center"/>
              <w:widowControl/>
              <w:rPr>
                <w:color w:val="000000"/>
                <w:sz w:val="22"/>
                <w:szCs w:val="22"/>
                <w:lang w:eastAsia="en-US"/>
              </w:rPr>
            </w:pPr>
            <w:r>
              <w:rPr>
                <w:color w:val="000000"/>
                <w:sz w:val="22"/>
                <w:szCs w:val="22"/>
              </w:rPr>
              <w:t xml:space="preserve">10</w:t>
            </w:r>
            <w:r/>
          </w:p>
        </w:tc>
        <w:tc>
          <w:tcPr>
            <w:tcW w:w="816" w:type="dxa"/>
            <w:vAlign w:val="center"/>
            <w:textDirection w:val="lrTb"/>
            <w:noWrap w:val="false"/>
          </w:tcPr>
          <w:p>
            <w:pPr>
              <w:jc w:val="center"/>
              <w:widowControl/>
              <w:rPr>
                <w:color w:val="000000"/>
                <w:sz w:val="22"/>
                <w:szCs w:val="22"/>
                <w:lang w:eastAsia="en-US"/>
              </w:rPr>
            </w:pPr>
            <w:r>
              <w:rPr>
                <w:color w:val="000000"/>
                <w:sz w:val="22"/>
                <w:szCs w:val="22"/>
                <w:lang w:eastAsia="en-US"/>
              </w:rPr>
            </w:r>
            <w:r/>
          </w:p>
        </w:tc>
      </w:tr>
      <w:tr>
        <w:trPr>
          <w:jc w:val="center"/>
          <w:trHeight w:val="408"/>
        </w:trPr>
        <w:tc>
          <w:tcPr>
            <w:tcW w:w="796" w:type="dxa"/>
            <w:vAlign w:val="center"/>
            <w:textDirection w:val="lrTb"/>
            <w:noWrap w:val="false"/>
          </w:tcPr>
          <w:p>
            <w:pPr>
              <w:jc w:val="center"/>
              <w:widowControl/>
              <w:rPr>
                <w:color w:val="000000"/>
                <w:sz w:val="22"/>
                <w:szCs w:val="22"/>
              </w:rPr>
            </w:pPr>
            <w:r>
              <w:rPr>
                <w:rFonts w:hint="eastAsia"/>
                <w:color w:val="000000"/>
                <w:sz w:val="22"/>
                <w:szCs w:val="22"/>
              </w:rPr>
              <w:t xml:space="preserve">5</w:t>
            </w:r>
            <w:r/>
          </w:p>
        </w:tc>
        <w:tc>
          <w:tcPr>
            <w:tcW w:w="6915" w:type="dxa"/>
            <w:vAlign w:val="center"/>
            <w:textDirection w:val="lrTb"/>
            <w:noWrap w:val="false"/>
          </w:tcPr>
          <w:p>
            <w:pPr>
              <w:ind w:hanging="50"/>
              <w:jc w:val="left"/>
              <w:widowControl/>
              <w:rPr>
                <w:color w:val="000000"/>
                <w:sz w:val="22"/>
                <w:szCs w:val="22"/>
              </w:rPr>
            </w:pPr>
            <w:r>
              <w:rPr>
                <w:color w:val="000000"/>
                <w:sz w:val="22"/>
                <w:szCs w:val="22"/>
              </w:rPr>
              <w:t xml:space="preserve">承诺增值服务项目履行情况</w:t>
            </w:r>
            <w:r/>
          </w:p>
        </w:tc>
        <w:tc>
          <w:tcPr>
            <w:tcW w:w="710" w:type="dxa"/>
            <w:textDirection w:val="lrTb"/>
            <w:noWrap w:val="false"/>
          </w:tcPr>
          <w:p>
            <w:pPr>
              <w:jc w:val="center"/>
              <w:widowControl/>
              <w:rPr>
                <w:color w:val="000000"/>
                <w:sz w:val="22"/>
                <w:szCs w:val="22"/>
                <w:lang w:eastAsia="en-US"/>
              </w:rPr>
            </w:pPr>
            <w:r>
              <w:rPr>
                <w:color w:val="000000"/>
                <w:sz w:val="22"/>
                <w:szCs w:val="22"/>
                <w:lang w:eastAsia="en-US"/>
              </w:rPr>
              <w:t xml:space="preserve">10</w:t>
            </w:r>
            <w:r/>
          </w:p>
        </w:tc>
        <w:tc>
          <w:tcPr>
            <w:tcW w:w="816" w:type="dxa"/>
            <w:vAlign w:val="center"/>
            <w:textDirection w:val="lrTb"/>
            <w:noWrap w:val="false"/>
          </w:tcPr>
          <w:p>
            <w:pPr>
              <w:jc w:val="center"/>
              <w:widowControl/>
              <w:rPr>
                <w:color w:val="000000"/>
                <w:sz w:val="22"/>
                <w:szCs w:val="22"/>
                <w:lang w:eastAsia="en-US"/>
              </w:rPr>
            </w:pPr>
            <w:r>
              <w:rPr>
                <w:color w:val="000000"/>
                <w:sz w:val="22"/>
                <w:szCs w:val="22"/>
                <w:lang w:eastAsia="en-US"/>
              </w:rPr>
            </w:r>
            <w:r/>
          </w:p>
        </w:tc>
      </w:tr>
      <w:tr>
        <w:trPr>
          <w:jc w:val="center"/>
          <w:trHeight w:val="408"/>
        </w:trPr>
        <w:tc>
          <w:tcPr>
            <w:tcW w:w="796" w:type="dxa"/>
            <w:vAlign w:val="center"/>
            <w:textDirection w:val="lrTb"/>
            <w:noWrap w:val="false"/>
          </w:tcPr>
          <w:p>
            <w:pPr>
              <w:jc w:val="center"/>
              <w:widowControl/>
              <w:rPr>
                <w:color w:val="000000"/>
                <w:sz w:val="22"/>
                <w:szCs w:val="22"/>
              </w:rPr>
            </w:pPr>
            <w:r>
              <w:rPr>
                <w:rFonts w:hint="eastAsia"/>
                <w:color w:val="000000"/>
                <w:sz w:val="22"/>
                <w:szCs w:val="22"/>
              </w:rPr>
              <w:t xml:space="preserve">6</w:t>
            </w:r>
            <w:r/>
          </w:p>
        </w:tc>
        <w:tc>
          <w:tcPr>
            <w:tcW w:w="6915" w:type="dxa"/>
            <w:vAlign w:val="center"/>
            <w:textDirection w:val="lrTb"/>
            <w:noWrap w:val="false"/>
          </w:tcPr>
          <w:p>
            <w:pPr>
              <w:ind w:hanging="50"/>
              <w:jc w:val="left"/>
              <w:widowControl/>
              <w:rPr>
                <w:color w:val="000000"/>
                <w:sz w:val="22"/>
                <w:szCs w:val="22"/>
              </w:rPr>
            </w:pPr>
            <w:r>
              <w:rPr>
                <w:color w:val="000000"/>
                <w:sz w:val="22"/>
                <w:szCs w:val="22"/>
              </w:rPr>
              <w:t xml:space="preserve">教职工满意度调查</w:t>
            </w:r>
            <w:r>
              <w:rPr>
                <w:rFonts w:hint="eastAsia"/>
                <w:color w:val="000000"/>
                <w:sz w:val="22"/>
                <w:szCs w:val="22"/>
              </w:rPr>
              <w:t xml:space="preserve">：</w:t>
            </w:r>
            <w:r>
              <w:rPr>
                <w:color w:val="000000"/>
                <w:sz w:val="22"/>
                <w:szCs w:val="22"/>
              </w:rPr>
              <w:t xml:space="preserve">通过线上问卷收集在职、退休教职工对体检预约、现场服务、报告</w:t>
            </w:r>
            <w:r>
              <w:rPr>
                <w:rFonts w:hint="eastAsia"/>
                <w:color w:val="000000"/>
                <w:sz w:val="22"/>
                <w:szCs w:val="22"/>
              </w:rPr>
              <w:t xml:space="preserve">提供时效</w:t>
            </w:r>
            <w:r>
              <w:rPr>
                <w:color w:val="000000"/>
                <w:sz w:val="22"/>
                <w:szCs w:val="22"/>
              </w:rPr>
              <w:t xml:space="preserve">、导检、早餐的评价等</w:t>
            </w:r>
            <w:r>
              <w:rPr>
                <w:rFonts w:hint="eastAsia"/>
                <w:color w:val="000000"/>
                <w:sz w:val="22"/>
                <w:szCs w:val="22"/>
              </w:rPr>
              <w:t xml:space="preserve">方面</w:t>
            </w:r>
            <w:r/>
          </w:p>
        </w:tc>
        <w:tc>
          <w:tcPr>
            <w:tcW w:w="710" w:type="dxa"/>
            <w:textDirection w:val="lrTb"/>
            <w:noWrap w:val="false"/>
          </w:tcPr>
          <w:p>
            <w:pPr>
              <w:jc w:val="center"/>
              <w:widowControl/>
              <w:rPr>
                <w:color w:val="000000"/>
                <w:sz w:val="22"/>
                <w:szCs w:val="22"/>
              </w:rPr>
            </w:pPr>
            <w:r>
              <w:rPr>
                <w:color w:val="000000"/>
                <w:sz w:val="22"/>
                <w:szCs w:val="22"/>
              </w:rPr>
              <w:t xml:space="preserve">50</w:t>
            </w:r>
            <w:r/>
          </w:p>
        </w:tc>
        <w:tc>
          <w:tcPr>
            <w:tcW w:w="816" w:type="dxa"/>
            <w:vAlign w:val="center"/>
            <w:textDirection w:val="lrTb"/>
            <w:noWrap w:val="false"/>
          </w:tcPr>
          <w:p>
            <w:pPr>
              <w:jc w:val="center"/>
              <w:widowControl/>
              <w:rPr>
                <w:color w:val="000000"/>
                <w:sz w:val="22"/>
                <w:szCs w:val="22"/>
              </w:rPr>
            </w:pPr>
            <w:r>
              <w:rPr>
                <w:color w:val="000000"/>
                <w:sz w:val="22"/>
                <w:szCs w:val="22"/>
              </w:rPr>
            </w:r>
            <w:r/>
          </w:p>
        </w:tc>
      </w:tr>
      <w:tr>
        <w:trPr>
          <w:jc w:val="center"/>
          <w:trHeight w:val="417"/>
        </w:trPr>
        <w:tc>
          <w:tcPr>
            <w:tcW w:w="796" w:type="dxa"/>
            <w:vAlign w:val="center"/>
            <w:textDirection w:val="lrTb"/>
            <w:noWrap w:val="false"/>
          </w:tcPr>
          <w:p>
            <w:pPr>
              <w:jc w:val="center"/>
              <w:spacing w:line="360" w:lineRule="auto"/>
              <w:widowControl/>
              <w:rPr>
                <w:color w:val="000000"/>
                <w:sz w:val="22"/>
                <w:szCs w:val="22"/>
              </w:rPr>
            </w:pPr>
            <w:r>
              <w:rPr>
                <w:color w:val="000000"/>
                <w:sz w:val="22"/>
                <w:szCs w:val="22"/>
              </w:rPr>
            </w:r>
            <w:r/>
          </w:p>
        </w:tc>
        <w:tc>
          <w:tcPr>
            <w:tcW w:w="6915" w:type="dxa"/>
            <w:vAlign w:val="center"/>
            <w:textDirection w:val="lrTb"/>
            <w:noWrap w:val="false"/>
          </w:tcPr>
          <w:p>
            <w:pPr>
              <w:ind w:hanging="50"/>
              <w:jc w:val="left"/>
              <w:spacing w:line="360" w:lineRule="auto"/>
              <w:widowControl/>
              <w:rPr>
                <w:color w:val="000000"/>
                <w:sz w:val="22"/>
                <w:szCs w:val="22"/>
                <w:lang w:eastAsia="en-US"/>
              </w:rPr>
            </w:pPr>
            <w:r>
              <w:rPr>
                <w:color w:val="000000"/>
                <w:sz w:val="22"/>
                <w:szCs w:val="22"/>
                <w:lang w:eastAsia="en-US"/>
              </w:rPr>
              <w:t xml:space="preserve">合计</w:t>
            </w:r>
            <w:r/>
          </w:p>
        </w:tc>
        <w:tc>
          <w:tcPr>
            <w:tcW w:w="710" w:type="dxa"/>
            <w:textDirection w:val="lrTb"/>
            <w:noWrap w:val="false"/>
          </w:tcPr>
          <w:p>
            <w:pPr>
              <w:jc w:val="center"/>
              <w:spacing w:line="360" w:lineRule="auto"/>
              <w:widowControl/>
              <w:rPr>
                <w:color w:val="000000"/>
                <w:sz w:val="22"/>
                <w:szCs w:val="22"/>
                <w:lang w:eastAsia="en-US"/>
              </w:rPr>
            </w:pPr>
            <w:r>
              <w:rPr>
                <w:color w:val="000000"/>
                <w:sz w:val="22"/>
                <w:szCs w:val="22"/>
                <w:lang w:eastAsia="en-US"/>
              </w:rPr>
              <w:fldChar w:fldCharType="begin"/>
            </w:r>
            <w:r>
              <w:rPr>
                <w:color w:val="000000"/>
                <w:sz w:val="22"/>
                <w:szCs w:val="22"/>
                <w:lang w:eastAsia="en-US"/>
              </w:rPr>
              <w:instrText xml:space="preserve"> =SUM(ABOVE) </w:instrText>
            </w:r>
            <w:r>
              <w:rPr>
                <w:color w:val="000000"/>
                <w:sz w:val="22"/>
                <w:szCs w:val="22"/>
                <w:lang w:eastAsia="en-US"/>
              </w:rPr>
              <w:fldChar w:fldCharType="separate"/>
            </w:r>
            <w:r>
              <w:rPr>
                <w:color w:val="000000"/>
                <w:sz w:val="22"/>
                <w:szCs w:val="22"/>
                <w:lang w:eastAsia="en-US"/>
              </w:rPr>
              <w:t xml:space="preserve">100</w:t>
            </w:r>
            <w:r>
              <w:rPr>
                <w:color w:val="000000"/>
                <w:sz w:val="22"/>
                <w:szCs w:val="22"/>
                <w:lang w:eastAsia="en-US"/>
              </w:rPr>
              <w:fldChar w:fldCharType="end"/>
            </w:r>
            <w:r/>
          </w:p>
        </w:tc>
        <w:tc>
          <w:tcPr>
            <w:tcW w:w="816" w:type="dxa"/>
            <w:vAlign w:val="center"/>
            <w:textDirection w:val="lrTb"/>
            <w:noWrap w:val="false"/>
          </w:tcPr>
          <w:p>
            <w:pPr>
              <w:jc w:val="center"/>
              <w:spacing w:line="360" w:lineRule="auto"/>
              <w:widowControl/>
              <w:rPr>
                <w:color w:val="000000"/>
                <w:sz w:val="22"/>
                <w:szCs w:val="22"/>
                <w:lang w:eastAsia="en-US"/>
              </w:rPr>
            </w:pPr>
            <w:r>
              <w:rPr>
                <w:color w:val="000000"/>
                <w:sz w:val="22"/>
                <w:szCs w:val="22"/>
                <w:lang w:eastAsia="en-US"/>
              </w:rPr>
            </w:r>
            <w:r/>
          </w:p>
        </w:tc>
      </w:tr>
    </w:tbl>
    <w:p>
      <w:pPr>
        <w:ind w:firstLine="420"/>
        <w:spacing w:line="360" w:lineRule="auto"/>
        <w:rPr>
          <w:rFonts w:ascii="宋体" w:hAnsi="宋体" w:cs="宋体"/>
        </w:rPr>
      </w:pPr>
      <w:r>
        <w:rPr>
          <w:rFonts w:ascii="宋体" w:hAnsi="宋体" w:cs="宋体"/>
        </w:rPr>
      </w:r>
      <w:r/>
    </w:p>
    <w:p>
      <w:pPr>
        <w:pStyle w:val="887"/>
        <w:numPr>
          <w:ilvl w:val="0"/>
          <w:numId w:val="0"/>
        </w:numPr>
        <w:rPr>
          <w:rFonts w:ascii="宋体" w:hAnsi="宋体" w:cs="宋体"/>
        </w:rPr>
      </w:pPr>
      <w:r>
        <w:rPr>
          <w:rFonts w:hint="eastAsia" w:ascii="宋体" w:hAnsi="宋体" w:cs="宋体"/>
        </w:rPr>
        <w:br w:type="page" w:clear="all"/>
      </w:r>
      <w:bookmarkStart w:id="21" w:name="_Toc18631"/>
      <w:r>
        <w:rPr>
          <w:rFonts w:hint="eastAsia" w:ascii="宋体" w:hAnsi="宋体" w:cs="宋体"/>
        </w:rPr>
        <w:t xml:space="preserve">第五章 合同主要条款及格式</w:t>
      </w:r>
      <w:bookmarkEnd w:id="20"/>
      <w:r>
        <w:rPr>
          <w:rFonts w:hint="eastAsia" w:ascii="宋体" w:hAnsi="宋体" w:cs="宋体"/>
        </w:rPr>
        <w:t xml:space="preserve"> </w:t>
      </w:r>
      <w:bookmarkEnd w:id="21"/>
      <w:r/>
      <w:r/>
    </w:p>
    <w:p>
      <w:pPr>
        <w:rPr>
          <w:rFonts w:ascii="宋体" w:hAnsi="宋体" w:cs="宋体"/>
        </w:rPr>
      </w:pPr>
      <w:r>
        <w:rPr>
          <w:rFonts w:hint="eastAsia" w:ascii="宋体" w:hAnsi="宋体" w:cs="宋体"/>
        </w:rPr>
        <w:br w:type="page" w:clear="all"/>
      </w:r>
      <w:r/>
    </w:p>
    <w:p>
      <w:pPr>
        <w:rPr>
          <w:rFonts w:ascii="宋体" w:hAnsi="宋体"/>
          <w:color w:val="000000"/>
          <w:sz w:val="22"/>
          <w:szCs w:val="22"/>
          <w:u w:val="single"/>
        </w:rPr>
      </w:pPr>
      <w:r>
        <w:rPr>
          <w:rFonts w:hint="eastAsia" w:ascii="宋体" w:hAnsi="宋体"/>
          <w:color w:val="000000"/>
          <w:sz w:val="22"/>
          <w:szCs w:val="22"/>
        </w:rPr>
        <w:t xml:space="preserve">甲    方：</w:t>
      </w:r>
      <w:r>
        <w:rPr>
          <w:rFonts w:hint="eastAsia" w:ascii="宋体" w:hAnsi="宋体"/>
          <w:color w:val="000000"/>
          <w:sz w:val="22"/>
          <w:szCs w:val="22"/>
          <w:u w:val="single"/>
        </w:rPr>
        <w:t xml:space="preserve"> 南京工业职业技术大学                                            </w:t>
      </w:r>
      <w:r/>
    </w:p>
    <w:p>
      <w:pPr>
        <w:jc w:val="left"/>
        <w:spacing w:line="360" w:lineRule="auto"/>
        <w:widowControl/>
        <w:rPr>
          <w:rFonts w:ascii="宋体" w:hAnsi="宋体"/>
          <w:color w:val="000000"/>
          <w:sz w:val="22"/>
          <w:szCs w:val="22"/>
          <w:u w:val="single"/>
        </w:rPr>
      </w:pPr>
      <w:r>
        <w:rPr>
          <w:rFonts w:hint="eastAsia" w:ascii="宋体" w:hAnsi="宋体"/>
          <w:color w:val="000000"/>
          <w:sz w:val="22"/>
          <w:szCs w:val="22"/>
        </w:rPr>
        <w:t xml:space="preserve">联系地址: </w:t>
      </w:r>
      <w:r>
        <w:rPr>
          <w:rFonts w:hint="eastAsia" w:ascii="宋体" w:hAnsi="宋体"/>
          <w:color w:val="000000"/>
          <w:sz w:val="22"/>
          <w:szCs w:val="22"/>
          <w:u w:val="single"/>
        </w:rPr>
        <w:t xml:space="preserve"> 南京市栖霞区仙林大学城羊山北路1号                              </w:t>
      </w:r>
      <w:r/>
    </w:p>
    <w:p>
      <w:pPr>
        <w:jc w:val="left"/>
        <w:spacing w:line="360" w:lineRule="auto"/>
        <w:widowControl/>
        <w:rPr>
          <w:rFonts w:ascii="宋体" w:hAnsi="宋体"/>
          <w:color w:val="000000"/>
          <w:sz w:val="22"/>
          <w:szCs w:val="22"/>
          <w:u w:val="single"/>
        </w:rPr>
      </w:pPr>
      <w:r>
        <w:rPr>
          <w:rFonts w:hint="eastAsia" w:ascii="宋体" w:hAnsi="宋体"/>
          <w:color w:val="000000"/>
          <w:sz w:val="22"/>
          <w:szCs w:val="22"/>
        </w:rPr>
        <w:t xml:space="preserve">联系电话：</w:t>
      </w:r>
      <w:r>
        <w:rPr>
          <w:rFonts w:hint="eastAsia" w:ascii="宋体" w:hAnsi="宋体"/>
          <w:color w:val="000000"/>
          <w:sz w:val="22"/>
          <w:szCs w:val="22"/>
          <w:u w:val="single"/>
        </w:rPr>
        <w:t xml:space="preserve">                            </w:t>
      </w:r>
      <w:r/>
    </w:p>
    <w:p>
      <w:pPr>
        <w:rPr>
          <w:rFonts w:ascii="宋体" w:hAnsi="宋体"/>
          <w:color w:val="000000"/>
          <w:sz w:val="22"/>
          <w:szCs w:val="22"/>
          <w:u w:val="single"/>
        </w:rPr>
      </w:pPr>
      <w:r>
        <w:rPr>
          <w:rFonts w:hint="eastAsia" w:ascii="宋体" w:hAnsi="宋体"/>
          <w:color w:val="000000"/>
          <w:sz w:val="22"/>
          <w:szCs w:val="22"/>
        </w:rPr>
        <w:t xml:space="preserve">乙    方：</w:t>
      </w:r>
      <w:r>
        <w:rPr>
          <w:rFonts w:hint="eastAsia" w:ascii="宋体" w:hAnsi="宋体"/>
          <w:color w:val="000000"/>
          <w:sz w:val="22"/>
          <w:szCs w:val="22"/>
          <w:u w:val="single"/>
        </w:rPr>
        <w:t xml:space="preserve">                            </w:t>
      </w:r>
      <w:r/>
    </w:p>
    <w:p>
      <w:pPr>
        <w:jc w:val="left"/>
        <w:spacing w:line="360" w:lineRule="auto"/>
        <w:widowControl/>
        <w:rPr>
          <w:rFonts w:ascii="宋体" w:hAnsi="宋体"/>
          <w:color w:val="000000"/>
          <w:sz w:val="22"/>
          <w:szCs w:val="22"/>
          <w:u w:val="single"/>
        </w:rPr>
      </w:pPr>
      <w:r>
        <w:rPr>
          <w:rFonts w:hint="eastAsia" w:ascii="宋体" w:hAnsi="宋体"/>
          <w:color w:val="000000"/>
          <w:sz w:val="22"/>
          <w:szCs w:val="22"/>
        </w:rPr>
        <w:t xml:space="preserve">联系地址：</w:t>
      </w:r>
      <w:r>
        <w:rPr>
          <w:rFonts w:hint="eastAsia" w:ascii="宋体" w:hAnsi="宋体"/>
          <w:color w:val="000000"/>
          <w:sz w:val="22"/>
          <w:szCs w:val="22"/>
          <w:u w:val="single"/>
        </w:rPr>
        <w:t xml:space="preserve">                            </w:t>
      </w:r>
      <w:r/>
    </w:p>
    <w:p>
      <w:pPr>
        <w:jc w:val="left"/>
        <w:spacing w:line="360" w:lineRule="auto"/>
        <w:widowControl/>
        <w:rPr>
          <w:rFonts w:ascii="宋体" w:hAnsi="宋体"/>
          <w:b/>
          <w:color w:val="000000"/>
          <w:sz w:val="22"/>
          <w:szCs w:val="22"/>
          <w:u w:val="single"/>
        </w:rPr>
      </w:pPr>
      <w:r>
        <w:rPr>
          <w:rFonts w:hint="eastAsia" w:ascii="宋体" w:hAnsi="宋体"/>
          <w:color w:val="000000"/>
          <w:sz w:val="22"/>
          <w:szCs w:val="22"/>
        </w:rPr>
        <w:t xml:space="preserve">联系电话：</w:t>
      </w:r>
      <w:r>
        <w:rPr>
          <w:rFonts w:hint="eastAsia" w:ascii="宋体" w:hAnsi="宋体"/>
          <w:color w:val="000000"/>
          <w:sz w:val="22"/>
          <w:szCs w:val="22"/>
          <w:u w:val="single"/>
        </w:rPr>
        <w:t xml:space="preserve">                            </w:t>
      </w:r>
      <w:r/>
    </w:p>
    <w:p>
      <w:pPr>
        <w:ind w:firstLine="440"/>
        <w:jc w:val="left"/>
        <w:spacing w:line="360" w:lineRule="auto"/>
        <w:widowControl/>
        <w:rPr>
          <w:rFonts w:ascii="宋体" w:hAnsi="宋体"/>
          <w:color w:val="000000"/>
          <w:sz w:val="22"/>
          <w:szCs w:val="22"/>
        </w:rPr>
      </w:pPr>
      <w:r>
        <w:rPr>
          <w:rFonts w:ascii="宋体" w:hAnsi="宋体"/>
          <w:color w:val="000000"/>
          <w:sz w:val="22"/>
          <w:szCs w:val="22"/>
        </w:rPr>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u w:val="single"/>
        </w:rPr>
        <w:t xml:space="preserve">南京工业职业技术大学</w:t>
      </w:r>
      <w:r>
        <w:rPr>
          <w:rFonts w:ascii="宋体" w:hAnsi="宋体"/>
          <w:color w:val="000000"/>
          <w:sz w:val="22"/>
          <w:szCs w:val="22"/>
        </w:rPr>
        <w:t xml:space="preserve">（以下简称甲方）就</w:t>
      </w:r>
      <w:r>
        <w:rPr>
          <w:rFonts w:ascii="宋体" w:hAnsi="宋体"/>
          <w:color w:val="000000"/>
          <w:sz w:val="22"/>
          <w:szCs w:val="22"/>
          <w:u w:val="single"/>
        </w:rPr>
        <w:t xml:space="preserve">南京工业职业技术大学2026-2028年度教职工体检</w:t>
      </w:r>
      <w:r>
        <w:rPr>
          <w:rFonts w:hint="eastAsia" w:ascii="宋体" w:hAnsi="宋体"/>
          <w:color w:val="000000"/>
          <w:sz w:val="22"/>
          <w:szCs w:val="22"/>
          <w:u w:val="single"/>
        </w:rPr>
        <w:t xml:space="preserve"> </w:t>
      </w:r>
      <w:r>
        <w:rPr>
          <w:rFonts w:ascii="宋体" w:hAnsi="宋体"/>
          <w:color w:val="000000"/>
          <w:sz w:val="22"/>
          <w:szCs w:val="22"/>
        </w:rPr>
        <w:t xml:space="preserve">项目，</w:t>
      </w:r>
      <w:r>
        <w:rPr>
          <w:rFonts w:hint="eastAsia" w:ascii="宋体" w:hAnsi="宋体"/>
          <w:color w:val="000000"/>
          <w:sz w:val="22"/>
          <w:szCs w:val="22"/>
        </w:rPr>
        <w:t xml:space="preserve">根据《中华人民共和国民法典》《中华人民共和国政府采购法》等法律、法规规定，按照 招标文件、投标文件规定条款和中标供应商承诺，甲方向乙方购置相关服务，</w:t>
      </w:r>
      <w:r>
        <w:rPr>
          <w:rFonts w:ascii="宋体" w:hAnsi="宋体"/>
          <w:color w:val="000000"/>
          <w:sz w:val="22"/>
          <w:szCs w:val="22"/>
        </w:rPr>
        <w:t xml:space="preserve">签订本合同书。</w:t>
      </w:r>
      <w:r>
        <w:rPr>
          <w:rFonts w:hint="eastAsia" w:ascii="宋体" w:hAnsi="宋体"/>
          <w:color w:val="000000"/>
          <w:sz w:val="22"/>
          <w:szCs w:val="22"/>
        </w:rPr>
        <w:t xml:space="preserve">具体合同如下：</w:t>
      </w:r>
      <w:r/>
    </w:p>
    <w:p>
      <w:pPr>
        <w:ind w:firstLine="442"/>
        <w:jc w:val="left"/>
        <w:spacing w:line="360" w:lineRule="auto"/>
        <w:widowControl/>
        <w:rPr>
          <w:rFonts w:ascii="宋体" w:hAnsi="宋体"/>
          <w:b/>
          <w:bCs/>
          <w:color w:val="000000"/>
          <w:sz w:val="22"/>
          <w:szCs w:val="22"/>
        </w:rPr>
      </w:pPr>
      <w:r>
        <w:rPr>
          <w:rFonts w:hint="eastAsia" w:ascii="宋体" w:hAnsi="宋体"/>
          <w:b/>
          <w:bCs/>
          <w:color w:val="000000"/>
          <w:sz w:val="22"/>
          <w:szCs w:val="22"/>
        </w:rPr>
        <w:t xml:space="preserve">一、健康体检服务</w:t>
      </w:r>
      <w:r/>
    </w:p>
    <w:p>
      <w:pPr>
        <w:ind w:firstLine="440"/>
        <w:jc w:val="left"/>
        <w:spacing w:line="360" w:lineRule="auto"/>
        <w:rPr>
          <w:rFonts w:ascii="宋体" w:hAnsi="宋体"/>
          <w:color w:val="000000"/>
          <w:sz w:val="22"/>
          <w:szCs w:val="22"/>
        </w:rPr>
      </w:pPr>
      <w:r>
        <w:rPr>
          <w:rFonts w:hint="eastAsia" w:ascii="宋体" w:hAnsi="宋体"/>
          <w:color w:val="000000"/>
          <w:sz w:val="22"/>
          <w:szCs w:val="22"/>
        </w:rPr>
        <w:t xml:space="preserve">1、</w:t>
      </w:r>
      <w:r>
        <w:rPr>
          <w:rFonts w:ascii="宋体" w:hAnsi="宋体"/>
          <w:color w:val="000000"/>
          <w:sz w:val="22"/>
          <w:szCs w:val="22"/>
        </w:rPr>
        <w:t xml:space="preserve">2026</w:t>
      </w:r>
      <w:r>
        <w:rPr>
          <w:rFonts w:hint="eastAsia" w:ascii="宋体" w:hAnsi="宋体"/>
          <w:color w:val="000000"/>
          <w:sz w:val="22"/>
          <w:szCs w:val="22"/>
        </w:rPr>
        <w:t xml:space="preserve">-</w:t>
      </w:r>
      <w:r>
        <w:rPr>
          <w:rFonts w:ascii="宋体" w:hAnsi="宋体"/>
          <w:color w:val="000000"/>
          <w:sz w:val="22"/>
          <w:szCs w:val="22"/>
        </w:rPr>
        <w:t xml:space="preserve">2028</w:t>
      </w:r>
      <w:r>
        <w:rPr>
          <w:rFonts w:hint="eastAsia" w:ascii="宋体" w:hAnsi="宋体"/>
          <w:color w:val="000000"/>
          <w:sz w:val="22"/>
          <w:szCs w:val="22"/>
        </w:rPr>
        <w:t xml:space="preserve">年教职工体检套餐，详见附件；如甲方受检人员在指定体检套餐外要求增加其他体检项目，费用由受检人员自理。</w:t>
      </w:r>
      <w:r/>
    </w:p>
    <w:p>
      <w:pPr>
        <w:ind w:firstLine="440"/>
        <w:jc w:val="left"/>
        <w:spacing w:line="360" w:lineRule="auto"/>
        <w:rPr>
          <w:rFonts w:ascii="宋体" w:hAnsi="宋体"/>
          <w:color w:val="000000"/>
          <w:sz w:val="22"/>
          <w:szCs w:val="22"/>
        </w:rPr>
      </w:pPr>
      <w:r>
        <w:rPr>
          <w:rFonts w:hint="eastAsia" w:ascii="宋体" w:hAnsi="宋体"/>
          <w:color w:val="000000"/>
          <w:sz w:val="22"/>
          <w:szCs w:val="22"/>
        </w:rPr>
        <w:t xml:space="preserve">2、合同履行期限：自合同签订之日起，至2028年12月31日内完成项目（具体时间以甲方通知为准）。合同一年一签，每年由甲方根据其服务质量进行考核，考核无问题可继续按合同约定执行，否则合同自动终止。</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3、体检时间：体检时间初步定为每年8月-12月（具体时间以甲方通知为准），每年用5个月左右时间完成体检工作，必要时提供包场服务。</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4、甲方责任和义务：</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（1）体检开始前一周，提供受检人员基本信息（姓名、性别、年龄、工卡号等），少量未确定人员临时通知，列后体检；</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（2）负责安排好受检人员的组织准备和协调工作；</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（3）负责通知受检人员体检时间，地点及检查等注意事项；</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（4）组织引导受检人员在体检中，配合乙方对体检程序的安排；</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（5）体检结束后，个人体检表由甲方负责发给受检人。</w:t>
      </w:r>
      <w:r/>
    </w:p>
    <w:p>
      <w:pPr>
        <w:ind w:firstLine="330"/>
        <w:jc w:val="left"/>
        <w:spacing w:line="360" w:lineRule="auto"/>
        <w:widowControl/>
        <w:rPr>
          <w:rFonts w:ascii="宋体" w:hAnsi="宋体"/>
          <w:color w:val="000000"/>
          <w:sz w:val="22"/>
          <w:szCs w:val="22"/>
        </w:rPr>
      </w:pPr>
      <w:r>
        <w:rPr>
          <w:rFonts w:hint="eastAsia" w:ascii="宋体" w:hAnsi="宋体"/>
          <w:color w:val="000000"/>
          <w:sz w:val="22"/>
          <w:szCs w:val="22"/>
        </w:rPr>
        <w:t xml:space="preserve">5、乙方责任和义务：</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（1）负责完成体检项目，保证体检质量，确保体检的医疗安全； </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（2）配合甲方做好体检报告查询工作；</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（3）对受检者的体检结果，负责提供查询和解释服务；</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（4）对急于复查人员，由乙方做好登记并负责与甲方或受检人联系，尊重个人隐私；</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（5）乙方在全部体检结束后15工作日内，统一将受检人员报告交甲方。</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（6）甲方受检人员未能在约定的时间进行体检时，乙方应在约定时间之外另行安排体检。</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（7）乙方严禁在体检全过程向我校教职工推销自费体检项目、保健品；一经查实计入年度考核扣分，多次发生视为严重违约。</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（8）对体检发现重大异常指标，建立专人回访提醒机制，按采购需求及时告知学校后勤管理服务中心，同时告知本人，做好就医指引。</w:t>
      </w:r>
      <w:r/>
    </w:p>
    <w:p>
      <w:pPr>
        <w:ind w:firstLine="442"/>
        <w:jc w:val="left"/>
        <w:spacing w:line="360" w:lineRule="auto"/>
        <w:widowControl/>
        <w:rPr>
          <w:rFonts w:ascii="宋体" w:hAnsi="宋体"/>
          <w:b/>
          <w:bCs/>
          <w:color w:val="000000"/>
          <w:sz w:val="22"/>
          <w:szCs w:val="22"/>
        </w:rPr>
      </w:pPr>
      <w:r>
        <w:rPr>
          <w:rFonts w:hint="eastAsia" w:ascii="宋体" w:hAnsi="宋体"/>
          <w:b/>
          <w:bCs/>
          <w:color w:val="000000"/>
          <w:sz w:val="22"/>
          <w:szCs w:val="22"/>
        </w:rPr>
        <w:t xml:space="preserve">二、服务价格</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1、体检套餐服务价格(详见附件)；</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2、结账费用按实际体检人数进行结算；</w:t>
      </w:r>
      <w:r/>
    </w:p>
    <w:p>
      <w:pPr>
        <w:ind w:firstLine="442"/>
        <w:spacing w:line="360" w:lineRule="auto"/>
        <w:widowControl/>
        <w:rPr>
          <w:rFonts w:ascii="宋体" w:hAnsi="宋体"/>
          <w:color w:val="000000"/>
          <w:sz w:val="22"/>
          <w:szCs w:val="22"/>
        </w:rPr>
      </w:pPr>
      <w:r>
        <w:rPr>
          <w:rFonts w:hint="eastAsia" w:ascii="宋体" w:hAnsi="宋体"/>
          <w:color w:val="000000"/>
          <w:sz w:val="22"/>
          <w:szCs w:val="22"/>
        </w:rPr>
        <w:t xml:space="preserve">3、合同范围中45岁（含）以上人员体检套餐内包含允许教职工三选一（心血管检查/脑血管检查/胃肠道检查）项目，该三选一项目相关费用均已包含在合同总价中，履约过程中甲方不再另行支付任何费用。</w:t>
      </w:r>
      <w:r/>
    </w:p>
    <w:p>
      <w:pPr>
        <w:ind w:firstLine="442"/>
        <w:spacing w:line="360" w:lineRule="auto"/>
        <w:widowControl/>
        <w:rPr>
          <w:rFonts w:ascii="宋体" w:hAnsi="宋体"/>
          <w:color w:val="000000"/>
          <w:sz w:val="22"/>
          <w:szCs w:val="22"/>
        </w:rPr>
      </w:pPr>
      <w:r>
        <w:rPr>
          <w:rFonts w:hint="eastAsia" w:ascii="宋体" w:hAnsi="宋体"/>
          <w:color w:val="000000"/>
          <w:sz w:val="22"/>
          <w:szCs w:val="22"/>
        </w:rPr>
        <w:t xml:space="preserve">4、本项目包一采购预算200.00万元/年，包二采购预算60.00万元/年。本项目采用单价报价模式，结算价款按实际参检人数及中标单价核算，各包最终结算总价均不得超过对应包年度采购预算；若按实际参检人数测算费用达到对应包年度预算上限，超出部分甲方不予支付。</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5、甲方对教职工体检服务综合考核，考核成绩在80分及以上为合格，不扣除履约保证金，支付当年全部服务款项</w:t>
      </w:r>
      <w:r>
        <w:rPr>
          <w:rFonts w:ascii="宋体" w:hAnsi="宋体"/>
          <w:color w:val="000000"/>
          <w:sz w:val="22"/>
          <w:szCs w:val="22"/>
        </w:rPr>
        <w:t xml:space="preserve">，可续签下一年合同</w:t>
      </w:r>
      <w:r>
        <w:rPr>
          <w:rFonts w:hint="eastAsia" w:ascii="宋体" w:hAnsi="宋体"/>
          <w:color w:val="000000"/>
          <w:sz w:val="22"/>
          <w:szCs w:val="22"/>
        </w:rPr>
        <w:t xml:space="preserve">。考核成绩</w:t>
      </w:r>
      <w:r>
        <w:rPr>
          <w:rFonts w:ascii="宋体" w:hAnsi="宋体" w:cs="宋体"/>
          <w:color w:val="000000"/>
          <w:sz w:val="22"/>
          <w:szCs w:val="22"/>
        </w:rPr>
        <w:t xml:space="preserve">低于 8</w:t>
      </w:r>
      <w:r>
        <w:rPr>
          <w:rFonts w:hint="eastAsia" w:ascii="宋体" w:hAnsi="宋体" w:cs="宋体"/>
          <w:color w:val="000000"/>
          <w:sz w:val="22"/>
          <w:szCs w:val="22"/>
        </w:rPr>
        <w:t xml:space="preserve">0</w:t>
      </w:r>
      <w:r>
        <w:rPr>
          <w:rFonts w:ascii="宋体" w:hAnsi="宋体" w:cs="宋体"/>
          <w:color w:val="000000"/>
          <w:sz w:val="22"/>
          <w:szCs w:val="22"/>
        </w:rPr>
        <w:t xml:space="preserve"> 分：</w:t>
      </w:r>
      <w:r>
        <w:rPr>
          <w:rFonts w:hint="eastAsia" w:ascii="宋体" w:hAnsi="宋体" w:cs="宋体"/>
          <w:color w:val="000000"/>
          <w:sz w:val="22"/>
          <w:szCs w:val="22"/>
        </w:rPr>
        <w:t xml:space="preserve">甲方</w:t>
      </w:r>
      <w:r>
        <w:rPr>
          <w:rFonts w:ascii="宋体" w:hAnsi="宋体" w:cs="宋体"/>
          <w:color w:val="000000"/>
          <w:sz w:val="22"/>
          <w:szCs w:val="22"/>
        </w:rPr>
        <w:t xml:space="preserve">向</w:t>
      </w:r>
      <w:r>
        <w:rPr>
          <w:rFonts w:hint="eastAsia" w:ascii="宋体" w:hAnsi="宋体" w:cs="宋体"/>
          <w:color w:val="000000"/>
          <w:sz w:val="22"/>
          <w:szCs w:val="22"/>
        </w:rPr>
        <w:t xml:space="preserve">乙方</w:t>
      </w:r>
      <w:r>
        <w:rPr>
          <w:rFonts w:ascii="宋体" w:hAnsi="宋体" w:cs="宋体"/>
          <w:color w:val="000000"/>
          <w:sz w:val="22"/>
          <w:szCs w:val="22"/>
        </w:rPr>
        <w:t xml:space="preserve">出具整改通知书，限期完成整改；整改完成重新复核达到 8</w:t>
      </w:r>
      <w:r>
        <w:rPr>
          <w:rFonts w:hint="eastAsia" w:ascii="宋体" w:hAnsi="宋体" w:cs="宋体"/>
          <w:color w:val="000000"/>
          <w:sz w:val="22"/>
          <w:szCs w:val="22"/>
        </w:rPr>
        <w:t xml:space="preserve">0</w:t>
      </w:r>
      <w:r>
        <w:rPr>
          <w:rFonts w:ascii="宋体" w:hAnsi="宋体" w:cs="宋体"/>
          <w:color w:val="000000"/>
          <w:sz w:val="22"/>
          <w:szCs w:val="22"/>
        </w:rPr>
        <w:t xml:space="preserve"> 分，支付当年全部服务款项，可续签下一年合同；整改后仍低于 8</w:t>
      </w:r>
      <w:r>
        <w:rPr>
          <w:rFonts w:hint="eastAsia" w:ascii="宋体" w:hAnsi="宋体" w:cs="宋体"/>
          <w:color w:val="000000"/>
          <w:sz w:val="22"/>
          <w:szCs w:val="22"/>
        </w:rPr>
        <w:t xml:space="preserve">0</w:t>
      </w:r>
      <w:r>
        <w:rPr>
          <w:rFonts w:ascii="宋体" w:hAnsi="宋体" w:cs="宋体"/>
          <w:color w:val="000000"/>
          <w:sz w:val="22"/>
          <w:szCs w:val="22"/>
        </w:rPr>
        <w:t xml:space="preserve"> 分：不予续签下一年度合同</w:t>
      </w:r>
      <w:r>
        <w:rPr>
          <w:rFonts w:hint="eastAsia" w:ascii="宋体" w:hAnsi="宋体" w:cs="宋体"/>
          <w:color w:val="000000"/>
          <w:sz w:val="22"/>
          <w:szCs w:val="22"/>
        </w:rPr>
        <w:t xml:space="preserve">，扣罚</w:t>
      </w:r>
      <w:r>
        <w:rPr>
          <w:rFonts w:ascii="宋体" w:hAnsi="宋体" w:cs="宋体"/>
          <w:color w:val="000000"/>
          <w:sz w:val="22"/>
          <w:szCs w:val="22"/>
        </w:rPr>
        <w:t xml:space="preserve"> 50% 履约保证金，支付当年全部服务款项的 80%</w:t>
      </w:r>
      <w:r>
        <w:rPr>
          <w:rFonts w:hint="eastAsia" w:ascii="宋体" w:hAnsi="宋体" w:cs="宋体"/>
          <w:color w:val="000000"/>
          <w:sz w:val="22"/>
          <w:szCs w:val="22"/>
        </w:rPr>
        <w:t xml:space="preserve">。</w:t>
      </w:r>
      <w:r/>
    </w:p>
    <w:p>
      <w:pPr>
        <w:ind w:firstLine="420"/>
        <w:jc w:val="left"/>
        <w:spacing w:line="360" w:lineRule="auto"/>
        <w:widowControl/>
        <w:rPr>
          <w:rFonts w:ascii="宋体" w:hAnsi="宋体"/>
          <w:color w:val="000000"/>
          <w:sz w:val="22"/>
          <w:szCs w:val="22"/>
        </w:rPr>
      </w:pPr>
      <w:r>
        <w:rPr>
          <w:rFonts w:hint="eastAsia" w:ascii="宋体" w:hAnsi="宋体"/>
          <w:color w:val="000000"/>
          <w:sz w:val="22"/>
          <w:szCs w:val="22"/>
        </w:rPr>
        <w:t xml:space="preserve">6、付费时间：</w:t>
      </w:r>
      <w:r>
        <w:rPr>
          <w:rFonts w:hint="eastAsia"/>
          <w:color w:val="000000"/>
          <w:sz w:val="22"/>
          <w:szCs w:val="22"/>
        </w:rPr>
        <w:t xml:space="preserve">当年</w:t>
      </w:r>
      <w:r>
        <w:rPr>
          <w:color w:val="000000"/>
          <w:sz w:val="22"/>
          <w:szCs w:val="22"/>
        </w:rPr>
        <w:t xml:space="preserve">体检完成并提交体检报告（按要求提供纸质或电子体检报告），经</w:t>
      </w:r>
      <w:r>
        <w:rPr>
          <w:rFonts w:hint="eastAsia"/>
          <w:color w:val="000000"/>
          <w:sz w:val="22"/>
          <w:szCs w:val="22"/>
        </w:rPr>
        <w:t xml:space="preserve">甲方</w:t>
      </w:r>
      <w:r>
        <w:rPr>
          <w:color w:val="000000"/>
          <w:sz w:val="22"/>
          <w:szCs w:val="22"/>
        </w:rPr>
        <w:t xml:space="preserve">对</w:t>
      </w:r>
      <w:r>
        <w:rPr>
          <w:rFonts w:hint="eastAsia"/>
          <w:color w:val="000000"/>
          <w:sz w:val="22"/>
          <w:szCs w:val="22"/>
        </w:rPr>
        <w:t xml:space="preserve">乙方</w:t>
      </w:r>
      <w:r>
        <w:rPr>
          <w:color w:val="000000"/>
          <w:sz w:val="22"/>
          <w:szCs w:val="22"/>
        </w:rPr>
        <w:t xml:space="preserve">体检服务进行考核，考核合格后，</w:t>
      </w:r>
      <w:r>
        <w:rPr>
          <w:rFonts w:hint="eastAsia"/>
          <w:color w:val="000000"/>
          <w:sz w:val="22"/>
          <w:szCs w:val="22"/>
        </w:rPr>
        <w:t xml:space="preserve">乙方</w:t>
      </w:r>
      <w:r>
        <w:rPr>
          <w:color w:val="000000"/>
          <w:sz w:val="22"/>
          <w:szCs w:val="22"/>
        </w:rPr>
        <w:t xml:space="preserve">应在10个工作日内</w:t>
      </w:r>
      <w:r>
        <w:rPr>
          <w:rFonts w:hint="eastAsia"/>
          <w:color w:val="000000"/>
          <w:sz w:val="22"/>
          <w:szCs w:val="22"/>
        </w:rPr>
        <w:t xml:space="preserve">向甲方列出</w:t>
      </w:r>
      <w:r>
        <w:rPr>
          <w:color w:val="000000"/>
          <w:sz w:val="22"/>
          <w:szCs w:val="22"/>
        </w:rPr>
        <w:t xml:space="preserve">结算单。</w:t>
      </w:r>
      <w:r>
        <w:rPr>
          <w:rFonts w:hint="eastAsia"/>
          <w:color w:val="000000"/>
          <w:sz w:val="22"/>
          <w:szCs w:val="22"/>
        </w:rPr>
        <w:t xml:space="preserve">甲方</w:t>
      </w:r>
      <w:r>
        <w:rPr>
          <w:color w:val="000000"/>
          <w:sz w:val="22"/>
          <w:szCs w:val="22"/>
        </w:rPr>
        <w:t xml:space="preserve">审核通过后，</w:t>
      </w:r>
      <w:r>
        <w:rPr>
          <w:rFonts w:hint="eastAsia"/>
          <w:color w:val="000000"/>
          <w:sz w:val="22"/>
          <w:szCs w:val="22"/>
        </w:rPr>
        <w:t xml:space="preserve">乙方</w:t>
      </w:r>
      <w:r>
        <w:rPr>
          <w:color w:val="000000"/>
          <w:sz w:val="22"/>
          <w:szCs w:val="22"/>
        </w:rPr>
        <w:t xml:space="preserve">按</w:t>
      </w:r>
      <w:r>
        <w:rPr>
          <w:rFonts w:hint="eastAsia"/>
          <w:color w:val="000000"/>
          <w:sz w:val="22"/>
          <w:szCs w:val="22"/>
        </w:rPr>
        <w:t xml:space="preserve">甲方</w:t>
      </w:r>
      <w:r>
        <w:rPr>
          <w:color w:val="000000"/>
          <w:sz w:val="22"/>
          <w:szCs w:val="22"/>
        </w:rPr>
        <w:t xml:space="preserve">财务规定出具正式发票，同时附体检人员及费用清单。</w:t>
      </w:r>
      <w:r>
        <w:rPr>
          <w:rFonts w:hint="eastAsia"/>
          <w:color w:val="000000"/>
          <w:sz w:val="22"/>
          <w:szCs w:val="22"/>
        </w:rPr>
        <w:t xml:space="preserve">甲方</w:t>
      </w:r>
      <w:r>
        <w:rPr>
          <w:color w:val="000000"/>
          <w:sz w:val="22"/>
          <w:szCs w:val="22"/>
        </w:rPr>
        <w:t xml:space="preserve">在</w:t>
      </w:r>
      <w:r>
        <w:rPr>
          <w:rFonts w:hint="eastAsia" w:ascii="宋体" w:hAnsi="宋体" w:cs="微软雅黑"/>
          <w:bCs/>
          <w:color w:val="000000"/>
          <w:sz w:val="22"/>
          <w:szCs w:val="22"/>
        </w:rPr>
        <w:t xml:space="preserve">2个月内支付当年结算金额</w:t>
      </w:r>
      <w:r>
        <w:rPr>
          <w:color w:val="000000"/>
          <w:sz w:val="22"/>
          <w:szCs w:val="22"/>
        </w:rPr>
        <w:t xml:space="preserve">。最终体检服务费用按中标报价、实际体检人数结算</w:t>
      </w:r>
      <w:r>
        <w:rPr>
          <w:rFonts w:hint="eastAsia" w:ascii="宋体" w:hAnsi="宋体"/>
          <w:color w:val="000000"/>
          <w:sz w:val="22"/>
          <w:szCs w:val="22"/>
        </w:rPr>
        <w:t xml:space="preserve">。</w:t>
      </w:r>
      <w:r/>
    </w:p>
    <w:p>
      <w:pPr>
        <w:ind w:firstLine="442"/>
        <w:jc w:val="left"/>
        <w:spacing w:line="360" w:lineRule="auto"/>
        <w:widowControl/>
        <w:rPr>
          <w:rFonts w:ascii="宋体" w:hAnsi="宋体"/>
          <w:b/>
          <w:bCs/>
          <w:color w:val="000000"/>
          <w:sz w:val="22"/>
          <w:szCs w:val="22"/>
        </w:rPr>
      </w:pPr>
      <w:r>
        <w:rPr>
          <w:rFonts w:hint="eastAsia" w:ascii="宋体" w:hAnsi="宋体"/>
          <w:b/>
          <w:bCs/>
          <w:color w:val="000000"/>
          <w:sz w:val="22"/>
          <w:szCs w:val="22"/>
        </w:rPr>
        <w:t xml:space="preserve">三、乙方服务承诺：</w:t>
      </w:r>
      <w:r/>
    </w:p>
    <w:p>
      <w:pPr>
        <w:ind w:firstLine="540"/>
        <w:jc w:val="left"/>
        <w:spacing w:line="360" w:lineRule="auto"/>
        <w:widowControl/>
        <w:rPr>
          <w:rFonts w:ascii="宋体" w:hAnsi="宋体"/>
          <w:color w:val="000000"/>
          <w:sz w:val="22"/>
          <w:szCs w:val="22"/>
        </w:rPr>
      </w:pPr>
      <w:r>
        <w:rPr>
          <w:rFonts w:hint="eastAsia" w:ascii="宋体" w:hAnsi="宋体"/>
          <w:color w:val="000000"/>
          <w:sz w:val="22"/>
          <w:szCs w:val="22"/>
        </w:rPr>
        <w:t xml:space="preserve">1、提供学校人员在我院就医时绿色通道服务；</w:t>
      </w:r>
      <w:r/>
    </w:p>
    <w:p>
      <w:pPr>
        <w:ind w:firstLine="540"/>
        <w:jc w:val="left"/>
        <w:spacing w:line="360" w:lineRule="auto"/>
        <w:widowControl/>
        <w:rPr>
          <w:rFonts w:ascii="宋体" w:hAnsi="宋体"/>
          <w:color w:val="000000"/>
          <w:sz w:val="22"/>
          <w:szCs w:val="22"/>
        </w:rPr>
      </w:pPr>
      <w:r>
        <w:rPr>
          <w:rFonts w:hint="eastAsia" w:ascii="宋体" w:hAnsi="宋体"/>
          <w:color w:val="000000"/>
          <w:sz w:val="22"/>
          <w:szCs w:val="22"/>
        </w:rPr>
        <w:t xml:space="preserve">2、提供大型设备检查（如CT、核磁共振等）优先服务；</w:t>
      </w:r>
      <w:r/>
    </w:p>
    <w:p>
      <w:pPr>
        <w:ind w:firstLine="540"/>
        <w:jc w:val="left"/>
        <w:spacing w:line="360" w:lineRule="auto"/>
        <w:widowControl/>
        <w:rPr>
          <w:rFonts w:ascii="宋体" w:hAnsi="宋体"/>
          <w:color w:val="000000"/>
          <w:sz w:val="22"/>
          <w:szCs w:val="22"/>
        </w:rPr>
      </w:pPr>
      <w:r>
        <w:rPr>
          <w:rFonts w:hint="eastAsia" w:ascii="宋体" w:hAnsi="宋体"/>
          <w:color w:val="000000"/>
          <w:sz w:val="22"/>
          <w:szCs w:val="22"/>
        </w:rPr>
        <w:t xml:space="preserve">3、提供特殊检查（如胃镜、肠镜等）优先服务；</w:t>
      </w:r>
      <w:r/>
    </w:p>
    <w:p>
      <w:pPr>
        <w:ind w:firstLine="540"/>
        <w:jc w:val="left"/>
        <w:spacing w:line="360" w:lineRule="auto"/>
        <w:widowControl/>
        <w:rPr>
          <w:rFonts w:ascii="宋体" w:hAnsi="宋体"/>
          <w:color w:val="000000"/>
          <w:sz w:val="22"/>
          <w:szCs w:val="22"/>
        </w:rPr>
      </w:pPr>
      <w:r>
        <w:rPr>
          <w:rFonts w:hint="eastAsia" w:ascii="宋体" w:hAnsi="宋体"/>
          <w:color w:val="000000"/>
          <w:sz w:val="22"/>
          <w:szCs w:val="22"/>
        </w:rPr>
        <w:t xml:space="preserve">4、提供其他的医疗、保健的服务。</w:t>
      </w:r>
      <w:r/>
    </w:p>
    <w:p>
      <w:pPr>
        <w:ind w:firstLine="442"/>
        <w:jc w:val="left"/>
        <w:spacing w:line="360" w:lineRule="auto"/>
        <w:widowControl/>
        <w:rPr>
          <w:b/>
          <w:color w:val="000000"/>
          <w:sz w:val="22"/>
          <w:szCs w:val="22"/>
        </w:rPr>
      </w:pPr>
      <w:r>
        <w:rPr>
          <w:rFonts w:hint="eastAsia"/>
          <w:b/>
          <w:color w:val="000000"/>
          <w:sz w:val="22"/>
          <w:szCs w:val="22"/>
        </w:rPr>
        <w:t xml:space="preserve">四、</w:t>
      </w:r>
      <w:r>
        <w:rPr>
          <w:b/>
          <w:color w:val="000000"/>
          <w:sz w:val="22"/>
          <w:szCs w:val="22"/>
        </w:rPr>
        <w:t xml:space="preserve">履约保证金</w:t>
      </w:r>
      <w:r/>
    </w:p>
    <w:p>
      <w:pPr>
        <w:ind w:firstLine="480"/>
        <w:spacing w:line="360" w:lineRule="auto"/>
        <w:widowControl/>
        <w:rPr>
          <w:color w:val="000000"/>
          <w:sz w:val="22"/>
          <w:szCs w:val="22"/>
        </w:rPr>
      </w:pPr>
      <w:r>
        <w:rPr>
          <w:color w:val="000000"/>
          <w:sz w:val="22"/>
          <w:szCs w:val="22"/>
        </w:rPr>
        <w:t xml:space="preserve">1、履约保证金用于约束乙方在合同履行中的行为，弥补合同执行中由于自身行为可能给甲方带来的各种损失。因乙方原因导致合同未能正常履行的，甲方将扣除乙方的全部履约保证金。</w:t>
      </w:r>
      <w:r/>
    </w:p>
    <w:p>
      <w:pPr>
        <w:ind w:firstLine="480"/>
        <w:spacing w:line="360" w:lineRule="auto"/>
        <w:widowControl/>
        <w:rPr>
          <w:color w:val="000000"/>
          <w:sz w:val="22"/>
          <w:szCs w:val="22"/>
        </w:rPr>
      </w:pPr>
      <w:r>
        <w:rPr>
          <w:color w:val="000000"/>
          <w:sz w:val="22"/>
          <w:szCs w:val="22"/>
        </w:rPr>
        <w:t xml:space="preserve">2、乙方在签订合同前向甲方缴纳履约保证金人民币</w:t>
      </w:r>
      <w:r>
        <w:rPr>
          <w:rFonts w:hint="eastAsia"/>
          <w:color w:val="000000"/>
          <w:sz w:val="22"/>
          <w:szCs w:val="22"/>
          <w:u w:val="single"/>
        </w:rPr>
        <w:t xml:space="preserve">四万元（包一）/一万元（包二） </w:t>
      </w:r>
      <w:r>
        <w:rPr>
          <w:color w:val="000000"/>
          <w:sz w:val="22"/>
          <w:szCs w:val="22"/>
        </w:rPr>
        <w:t xml:space="preserve">整。</w:t>
      </w:r>
      <w:r/>
    </w:p>
    <w:p>
      <w:pPr>
        <w:ind w:firstLine="480"/>
        <w:spacing w:line="360" w:lineRule="auto"/>
        <w:widowControl/>
        <w:rPr>
          <w:b/>
          <w:color w:val="000000"/>
          <w:sz w:val="22"/>
          <w:szCs w:val="22"/>
        </w:rPr>
      </w:pPr>
      <w:r>
        <w:rPr>
          <w:color w:val="000000"/>
          <w:sz w:val="22"/>
          <w:szCs w:val="22"/>
        </w:rPr>
        <w:t xml:space="preserve">3、履约保证金退还方式：合同履行期限结束后，由</w:t>
      </w:r>
      <w:r>
        <w:rPr>
          <w:rFonts w:hint="eastAsia"/>
          <w:color w:val="000000"/>
          <w:sz w:val="22"/>
          <w:szCs w:val="22"/>
        </w:rPr>
        <w:t xml:space="preserve">乙方</w:t>
      </w:r>
      <w:r>
        <w:rPr>
          <w:color w:val="000000"/>
          <w:sz w:val="22"/>
          <w:szCs w:val="22"/>
        </w:rPr>
        <w:t xml:space="preserve">提出退还履约保证金申请，</w:t>
      </w:r>
      <w:r>
        <w:rPr>
          <w:rFonts w:hint="eastAsia"/>
          <w:color w:val="000000"/>
          <w:sz w:val="22"/>
          <w:szCs w:val="22"/>
        </w:rPr>
        <w:t xml:space="preserve">乙方在服务期间不存在任何违约行为的，履约保证金予以无息返还至乙方账户。</w:t>
      </w:r>
      <w:r/>
    </w:p>
    <w:p>
      <w:pPr>
        <w:ind w:firstLine="442"/>
        <w:spacing w:line="360" w:lineRule="auto"/>
        <w:widowControl/>
        <w:rPr>
          <w:b/>
          <w:color w:val="000000"/>
          <w:sz w:val="22"/>
          <w:szCs w:val="22"/>
        </w:rPr>
      </w:pPr>
      <w:r>
        <w:rPr>
          <w:rFonts w:hint="eastAsia"/>
          <w:b/>
          <w:color w:val="000000"/>
          <w:sz w:val="22"/>
          <w:szCs w:val="22"/>
        </w:rPr>
        <w:t xml:space="preserve">五、</w:t>
      </w:r>
      <w:r>
        <w:rPr>
          <w:b/>
          <w:color w:val="000000"/>
          <w:sz w:val="22"/>
          <w:szCs w:val="22"/>
        </w:rPr>
        <w:t xml:space="preserve"> 违约责任</w:t>
      </w:r>
      <w:r/>
    </w:p>
    <w:p>
      <w:pPr>
        <w:ind w:firstLine="480"/>
        <w:spacing w:line="360" w:lineRule="auto"/>
        <w:widowControl/>
        <w:rPr>
          <w:color w:val="000000"/>
          <w:sz w:val="22"/>
          <w:szCs w:val="22"/>
        </w:rPr>
      </w:pPr>
      <w:r>
        <w:rPr>
          <w:color w:val="000000"/>
          <w:sz w:val="22"/>
          <w:szCs w:val="22"/>
        </w:rPr>
        <w:t xml:space="preserve">1、 乙方逾期进行体检服务的，向甲方支付违约金（与履约保证金等额），乙方就及时改正同时仍需履行合同向甲方进行体检服务；如乙方逾期30天仍未体检服务的，甲方有权终止合同。</w:t>
      </w:r>
      <w:r/>
    </w:p>
    <w:p>
      <w:pPr>
        <w:ind w:firstLine="480"/>
        <w:spacing w:line="360" w:lineRule="auto"/>
        <w:widowControl/>
        <w:rPr>
          <w:color w:val="000000"/>
          <w:sz w:val="22"/>
          <w:szCs w:val="22"/>
        </w:rPr>
      </w:pPr>
      <w:r>
        <w:rPr>
          <w:color w:val="000000"/>
          <w:sz w:val="22"/>
          <w:szCs w:val="22"/>
        </w:rPr>
        <w:t xml:space="preserve">2、 乙方提供的服务不符合本合同规定的，甲方有权向乙方提出索赔，乙方应在甲方提出之日起的2天内作出更正。否则，甲方有权终止合同，乙方则应按当年实际结算服务费用的 30% 支付违约金，违约金最高不超过当年实际结算总金额</w:t>
      </w:r>
      <w:r>
        <w:rPr>
          <w:rFonts w:hint="eastAsia"/>
          <w:color w:val="000000"/>
          <w:sz w:val="22"/>
          <w:szCs w:val="22"/>
        </w:rPr>
        <w:t xml:space="preserve">，</w:t>
      </w:r>
      <w:r>
        <w:rPr>
          <w:color w:val="000000"/>
          <w:sz w:val="22"/>
          <w:szCs w:val="22"/>
        </w:rPr>
        <w:t xml:space="preserve">由此造成的一切后果由乙方承担。</w:t>
      </w:r>
      <w:r/>
    </w:p>
    <w:p>
      <w:pPr>
        <w:ind w:firstLine="480"/>
        <w:spacing w:line="360" w:lineRule="auto"/>
        <w:widowControl/>
        <w:rPr>
          <w:color w:val="000000"/>
          <w:sz w:val="22"/>
          <w:szCs w:val="22"/>
        </w:rPr>
      </w:pPr>
      <w:r>
        <w:rPr>
          <w:color w:val="000000"/>
          <w:sz w:val="22"/>
          <w:szCs w:val="22"/>
        </w:rPr>
        <w:t xml:space="preserve">3、 乙方在服务期间由于自身责任造成甲方的一切损失，由乙方负责赔偿。</w:t>
      </w:r>
      <w:r/>
    </w:p>
    <w:p>
      <w:pPr>
        <w:ind w:firstLine="480"/>
        <w:spacing w:line="360" w:lineRule="auto"/>
        <w:widowControl/>
        <w:rPr>
          <w:color w:val="000000"/>
          <w:sz w:val="22"/>
          <w:szCs w:val="22"/>
        </w:rPr>
      </w:pPr>
      <w:r>
        <w:rPr>
          <w:color w:val="000000"/>
          <w:sz w:val="22"/>
          <w:szCs w:val="22"/>
        </w:rPr>
        <w:t xml:space="preserve">4、乙方保证无违法违纪行为，如若发生，后果自负，还应按当年实际结算服务费用的 30% 支付违约金，违约金最高不超过当年实际结算总金额</w:t>
      </w:r>
      <w:r>
        <w:rPr>
          <w:rFonts w:hint="eastAsia"/>
          <w:color w:val="000000"/>
          <w:sz w:val="22"/>
          <w:szCs w:val="22"/>
        </w:rPr>
        <w:t xml:space="preserve">，</w:t>
      </w:r>
      <w:r>
        <w:rPr>
          <w:color w:val="000000"/>
          <w:sz w:val="22"/>
          <w:szCs w:val="22"/>
        </w:rPr>
        <w:t xml:space="preserve">并赔偿因此给甲方造成的一切损失。</w:t>
      </w:r>
      <w:r/>
    </w:p>
    <w:p>
      <w:pPr>
        <w:ind w:firstLine="480"/>
        <w:spacing w:line="360" w:lineRule="auto"/>
        <w:widowControl/>
        <w:rPr>
          <w:color w:val="000000"/>
          <w:sz w:val="22"/>
          <w:szCs w:val="22"/>
        </w:rPr>
      </w:pPr>
      <w:r>
        <w:rPr>
          <w:color w:val="000000"/>
          <w:sz w:val="22"/>
          <w:szCs w:val="22"/>
        </w:rPr>
        <w:t xml:space="preserve">5、 因甲方原因逾期付款的，每逾期一日，甲方应向乙方支付体检服务总费用万分之五滞纳金，超过30日仍未付款的，乙方有权终止本合同，甲方除支付滞纳金外，还应对由此给乙方造成的损失承担赔偿责任。非因甲方原因迟延付款，甲方不承担责任。</w:t>
      </w:r>
      <w:r/>
    </w:p>
    <w:p>
      <w:pPr>
        <w:ind w:firstLine="480"/>
        <w:jc w:val="left"/>
        <w:spacing w:line="360" w:lineRule="auto"/>
        <w:widowControl/>
        <w:rPr>
          <w:color w:val="000000"/>
          <w:sz w:val="22"/>
          <w:szCs w:val="22"/>
        </w:rPr>
      </w:pPr>
      <w:r>
        <w:rPr>
          <w:color w:val="000000"/>
          <w:sz w:val="22"/>
          <w:szCs w:val="22"/>
        </w:rPr>
        <w:t xml:space="preserve">6、 乙方如向甲方提供的体检结果接收方以外的第三方提供涉及甲方体检员工的任何信息资料或体检报告内容，乙方应立即停止该行为，并承担合同标的额 5%的违约金。</w:t>
      </w:r>
      <w:r/>
    </w:p>
    <w:p>
      <w:pPr>
        <w:ind w:firstLine="480"/>
        <w:jc w:val="left"/>
        <w:spacing w:line="360" w:lineRule="auto"/>
        <w:widowControl/>
        <w:rPr>
          <w:b/>
          <w:color w:val="000000"/>
          <w:sz w:val="22"/>
          <w:szCs w:val="22"/>
        </w:rPr>
      </w:pPr>
      <w:r>
        <w:rPr>
          <w:color w:val="000000"/>
          <w:sz w:val="22"/>
          <w:szCs w:val="22"/>
        </w:rPr>
        <w:t xml:space="preserve">7、如乙方不能交付合同约定服务的，甲方有权解除合同，解除合同的通知自到达乙方时生效。 </w:t>
      </w:r>
      <w:r/>
    </w:p>
    <w:p>
      <w:pPr>
        <w:ind w:firstLine="442"/>
        <w:jc w:val="left"/>
        <w:spacing w:line="360" w:lineRule="auto"/>
        <w:widowControl/>
        <w:rPr>
          <w:b/>
          <w:color w:val="000000"/>
          <w:sz w:val="22"/>
          <w:szCs w:val="22"/>
        </w:rPr>
      </w:pPr>
      <w:r>
        <w:rPr>
          <w:rFonts w:hint="eastAsia"/>
          <w:b/>
          <w:color w:val="000000"/>
          <w:sz w:val="22"/>
          <w:szCs w:val="22"/>
        </w:rPr>
        <w:t xml:space="preserve">六、</w:t>
      </w:r>
      <w:r>
        <w:rPr>
          <w:b/>
          <w:color w:val="000000"/>
          <w:sz w:val="22"/>
          <w:szCs w:val="22"/>
        </w:rPr>
        <w:t xml:space="preserve">不可抗力事件处理</w:t>
      </w:r>
      <w:r/>
    </w:p>
    <w:p>
      <w:pPr>
        <w:ind w:firstLine="480"/>
        <w:jc w:val="left"/>
        <w:spacing w:line="360" w:lineRule="auto"/>
        <w:widowControl/>
        <w:rPr>
          <w:color w:val="000000"/>
          <w:sz w:val="22"/>
          <w:szCs w:val="22"/>
        </w:rPr>
      </w:pPr>
      <w:r>
        <w:rPr>
          <w:color w:val="000000"/>
          <w:sz w:val="22"/>
          <w:szCs w:val="22"/>
        </w:rPr>
        <w:t xml:space="preserve">1、在合同有效期内，任何一方因不可抗力事件导致不能履行合同，则合同履行期可延长，其延长期与不可抗力影响期相同。</w:t>
      </w:r>
      <w:r/>
    </w:p>
    <w:p>
      <w:pPr>
        <w:ind w:firstLine="480"/>
        <w:jc w:val="left"/>
        <w:spacing w:line="360" w:lineRule="auto"/>
        <w:widowControl/>
        <w:rPr>
          <w:b/>
          <w:color w:val="000000"/>
          <w:sz w:val="22"/>
          <w:szCs w:val="22"/>
        </w:rPr>
      </w:pPr>
      <w:r>
        <w:rPr>
          <w:color w:val="000000"/>
          <w:sz w:val="22"/>
          <w:szCs w:val="22"/>
        </w:rPr>
        <w:t xml:space="preserve">2、由于不可抗力事件，致使任何一方不能履行本合同，该方不承担由此给另一方造成的损失；该方应及时通知另一方其不能履行或延迟履行合同义务的原因，并应尽快向另一方提供有关发生不可抗力的证明文件，按事故对本合同的影响程度，双方协商是否终止本合同。</w:t>
      </w:r>
      <w:r/>
    </w:p>
    <w:p>
      <w:pPr>
        <w:ind w:firstLine="442"/>
        <w:jc w:val="left"/>
        <w:spacing w:line="360" w:lineRule="auto"/>
        <w:widowControl/>
        <w:rPr>
          <w:b/>
          <w:color w:val="000000"/>
          <w:sz w:val="22"/>
          <w:szCs w:val="22"/>
        </w:rPr>
      </w:pPr>
      <w:r>
        <w:rPr>
          <w:rFonts w:hint="eastAsia"/>
          <w:b/>
          <w:color w:val="000000"/>
          <w:sz w:val="22"/>
          <w:szCs w:val="22"/>
        </w:rPr>
        <w:t xml:space="preserve">七、</w:t>
      </w:r>
      <w:r>
        <w:rPr>
          <w:b/>
          <w:color w:val="000000"/>
          <w:sz w:val="22"/>
          <w:szCs w:val="22"/>
        </w:rPr>
        <w:t xml:space="preserve">争议的解决</w:t>
      </w:r>
      <w:r/>
    </w:p>
    <w:p>
      <w:pPr>
        <w:ind w:firstLine="480"/>
        <w:jc w:val="left"/>
        <w:spacing w:line="360" w:lineRule="auto"/>
        <w:widowControl/>
        <w:rPr>
          <w:color w:val="000000"/>
          <w:sz w:val="22"/>
          <w:szCs w:val="22"/>
        </w:rPr>
      </w:pPr>
      <w:r>
        <w:rPr>
          <w:rFonts w:hint="eastAsia" w:ascii="宋体" w:hAnsi="宋体"/>
          <w:color w:val="000000"/>
          <w:sz w:val="22"/>
          <w:szCs w:val="22"/>
        </w:rPr>
        <w:t xml:space="preserve">本合同执行过程中发生纠纷，由甲乙双方协商处理。协商不成的，双方均可向甲方所在地人民法院提起诉讼。</w:t>
      </w:r>
      <w:r>
        <w:rPr>
          <w:color w:val="000000"/>
          <w:sz w:val="22"/>
          <w:szCs w:val="22"/>
        </w:rPr>
        <w:t xml:space="preserve">。</w:t>
      </w:r>
      <w:r/>
    </w:p>
    <w:p>
      <w:pPr>
        <w:ind w:firstLine="442"/>
        <w:jc w:val="left"/>
        <w:spacing w:line="360" w:lineRule="auto"/>
        <w:widowControl/>
        <w:rPr>
          <w:b/>
          <w:color w:val="000000"/>
          <w:sz w:val="22"/>
          <w:szCs w:val="22"/>
        </w:rPr>
      </w:pPr>
      <w:r>
        <w:rPr>
          <w:rFonts w:hint="eastAsia"/>
          <w:b/>
          <w:color w:val="000000"/>
          <w:sz w:val="22"/>
          <w:szCs w:val="22"/>
        </w:rPr>
        <w:t xml:space="preserve">八、</w:t>
      </w:r>
      <w:r>
        <w:rPr>
          <w:b/>
          <w:color w:val="000000"/>
          <w:sz w:val="22"/>
          <w:szCs w:val="22"/>
        </w:rPr>
        <w:t xml:space="preserve">合同的变更、终止与转让</w:t>
      </w:r>
      <w:r/>
    </w:p>
    <w:p>
      <w:pPr>
        <w:ind w:firstLine="480"/>
        <w:jc w:val="left"/>
        <w:spacing w:line="360" w:lineRule="auto"/>
        <w:widowControl/>
        <w:rPr>
          <w:color w:val="000000"/>
          <w:sz w:val="22"/>
          <w:szCs w:val="22"/>
        </w:rPr>
      </w:pPr>
      <w:r>
        <w:rPr>
          <w:color w:val="000000"/>
          <w:sz w:val="22"/>
          <w:szCs w:val="22"/>
        </w:rPr>
        <w:t xml:space="preserve">1、本合同一经签订，甲乙双方不得擅自变更、中止或终止。</w:t>
      </w:r>
      <w:r/>
    </w:p>
    <w:p>
      <w:pPr>
        <w:ind w:firstLine="480"/>
        <w:jc w:val="left"/>
        <w:spacing w:line="360" w:lineRule="auto"/>
        <w:widowControl/>
        <w:rPr>
          <w:color w:val="000000"/>
          <w:sz w:val="22"/>
          <w:szCs w:val="22"/>
        </w:rPr>
      </w:pPr>
      <w:r>
        <w:rPr>
          <w:color w:val="000000"/>
          <w:sz w:val="22"/>
          <w:szCs w:val="22"/>
        </w:rPr>
        <w:t xml:space="preserve">2、乙方不得擅自转让其应履行的合同义务。</w:t>
      </w:r>
      <w:r/>
    </w:p>
    <w:p>
      <w:pPr>
        <w:ind w:firstLine="480"/>
        <w:jc w:val="left"/>
        <w:spacing w:line="360" w:lineRule="auto"/>
        <w:widowControl/>
        <w:rPr>
          <w:b/>
          <w:color w:val="000000"/>
          <w:sz w:val="22"/>
          <w:szCs w:val="22"/>
        </w:rPr>
      </w:pPr>
      <w:r>
        <w:rPr>
          <w:color w:val="000000"/>
          <w:sz w:val="22"/>
          <w:szCs w:val="22"/>
        </w:rPr>
        <w:t xml:space="preserve">3、双方除非事先得到对方的书面同意或本合同另有约定，任何一方不得将本合同项下的任何权利、义务、责任转让给任何第三方。</w:t>
      </w:r>
      <w:r/>
    </w:p>
    <w:p>
      <w:pPr>
        <w:ind w:firstLine="442"/>
        <w:jc w:val="left"/>
        <w:spacing w:line="360" w:lineRule="auto"/>
        <w:widowControl/>
        <w:rPr>
          <w:rFonts w:ascii="宋体" w:hAnsi="宋体"/>
          <w:b/>
          <w:bCs/>
          <w:color w:val="000000"/>
          <w:sz w:val="22"/>
          <w:szCs w:val="22"/>
        </w:rPr>
      </w:pPr>
      <w:r>
        <w:rPr>
          <w:rFonts w:hint="eastAsia"/>
          <w:b/>
          <w:bCs/>
          <w:color w:val="000000"/>
          <w:sz w:val="22"/>
          <w:szCs w:val="22"/>
        </w:rPr>
        <w:t xml:space="preserve">九、</w:t>
      </w:r>
      <w:r>
        <w:rPr>
          <w:rFonts w:hint="eastAsia" w:ascii="宋体" w:hAnsi="宋体"/>
          <w:b/>
          <w:bCs/>
          <w:color w:val="000000"/>
          <w:sz w:val="22"/>
          <w:szCs w:val="22"/>
        </w:rPr>
        <w:t xml:space="preserve">合同生效</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1、本协议经双方代表签署之日起生效，有效期一年。</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2、双方未尽事宜，友好协商解决。</w:t>
      </w:r>
      <w:r/>
    </w:p>
    <w:p>
      <w:pPr>
        <w:ind w:firstLine="440"/>
        <w:jc w:val="left"/>
        <w:spacing w:line="360" w:lineRule="auto"/>
        <w:widowControl/>
        <w:rPr>
          <w:rFonts w:ascii="宋体" w:hAnsi="宋体"/>
          <w:color w:val="000000"/>
          <w:sz w:val="22"/>
          <w:szCs w:val="22"/>
        </w:rPr>
      </w:pPr>
      <w:r>
        <w:rPr>
          <w:rFonts w:hint="eastAsia" w:ascii="宋体" w:hAnsi="宋体"/>
          <w:color w:val="000000"/>
          <w:sz w:val="22"/>
          <w:szCs w:val="22"/>
        </w:rPr>
        <w:t xml:space="preserve">3、本协议一式六份，</w:t>
      </w:r>
      <w:r>
        <w:rPr>
          <w:color w:val="000000"/>
          <w:sz w:val="22"/>
          <w:szCs w:val="22"/>
        </w:rPr>
        <w:t xml:space="preserve">具有同等法律效力，甲方</w:t>
      </w:r>
      <w:r>
        <w:rPr>
          <w:rFonts w:hint="eastAsia"/>
          <w:color w:val="000000"/>
          <w:sz w:val="22"/>
          <w:szCs w:val="22"/>
        </w:rPr>
        <w:t xml:space="preserve">肆</w:t>
      </w:r>
      <w:r>
        <w:rPr>
          <w:color w:val="000000"/>
          <w:sz w:val="22"/>
          <w:szCs w:val="22"/>
        </w:rPr>
        <w:t xml:space="preserve">份、乙方</w:t>
      </w:r>
      <w:r>
        <w:rPr>
          <w:rFonts w:hint="eastAsia"/>
          <w:color w:val="000000"/>
          <w:sz w:val="22"/>
          <w:szCs w:val="22"/>
        </w:rPr>
        <w:t xml:space="preserve">贰</w:t>
      </w:r>
      <w:r>
        <w:rPr>
          <w:color w:val="000000"/>
          <w:sz w:val="22"/>
          <w:szCs w:val="22"/>
        </w:rPr>
        <w:t xml:space="preserve">份。</w:t>
      </w:r>
      <w:r/>
    </w:p>
    <w:p>
      <w:pPr>
        <w:jc w:val="left"/>
        <w:spacing w:line="360" w:lineRule="auto"/>
        <w:widowControl/>
        <w:rPr>
          <w:rFonts w:ascii="宋体" w:hAnsi="宋体"/>
          <w:color w:val="000000"/>
          <w:sz w:val="22"/>
          <w:szCs w:val="22"/>
        </w:rPr>
      </w:pPr>
      <w:r>
        <w:rPr>
          <w:rFonts w:ascii="宋体" w:hAnsi="宋体"/>
          <w:color w:val="000000"/>
          <w:sz w:val="22"/>
          <w:szCs w:val="22"/>
        </w:rPr>
      </w:r>
      <w:r/>
    </w:p>
    <w:p>
      <w:pPr>
        <w:jc w:val="left"/>
        <w:spacing w:line="360" w:lineRule="auto"/>
        <w:widowControl/>
        <w:rPr>
          <w:rFonts w:ascii="宋体" w:hAnsi="宋体"/>
          <w:color w:val="000000"/>
          <w:sz w:val="22"/>
          <w:szCs w:val="22"/>
        </w:rPr>
      </w:pPr>
      <w:r>
        <w:rPr>
          <w:rFonts w:hint="eastAsia" w:ascii="宋体" w:hAnsi="宋体"/>
          <w:color w:val="000000"/>
          <w:sz w:val="22"/>
          <w:szCs w:val="22"/>
        </w:rPr>
        <w:t xml:space="preserve">甲方（单位）盖章：             乙方（单位）盖章：</w:t>
      </w:r>
      <w:r/>
    </w:p>
    <w:p>
      <w:pPr>
        <w:jc w:val="left"/>
        <w:spacing w:line="360" w:lineRule="auto"/>
        <w:widowControl/>
        <w:rPr>
          <w:rFonts w:ascii="宋体" w:hAnsi="宋体"/>
          <w:color w:val="000000"/>
          <w:sz w:val="22"/>
          <w:szCs w:val="22"/>
        </w:rPr>
      </w:pPr>
      <w:r>
        <w:rPr>
          <w:rFonts w:hint="eastAsia" w:ascii="宋体" w:hAnsi="宋体"/>
          <w:color w:val="000000"/>
          <w:sz w:val="22"/>
          <w:szCs w:val="22"/>
        </w:rPr>
        <w:t xml:space="preserve">甲 方 代 表 签字：             乙 方 代 表 签字：</w:t>
      </w:r>
      <w:r/>
    </w:p>
    <w:p>
      <w:pPr>
        <w:ind w:firstLine="550"/>
        <w:jc w:val="left"/>
        <w:spacing w:line="360" w:lineRule="auto"/>
        <w:widowControl/>
        <w:rPr>
          <w:rFonts w:ascii="宋体" w:hAnsi="宋体"/>
          <w:color w:val="000000"/>
          <w:sz w:val="22"/>
          <w:szCs w:val="22"/>
        </w:rPr>
      </w:pPr>
      <w:r>
        <w:rPr>
          <w:rFonts w:hint="eastAsia" w:ascii="宋体" w:hAnsi="宋体"/>
          <w:color w:val="000000"/>
          <w:sz w:val="22"/>
          <w:szCs w:val="22"/>
        </w:rPr>
        <w:t xml:space="preserve">年   月   日                    年   月   日</w:t>
      </w:r>
      <w:r/>
    </w:p>
    <w:p>
      <w:pPr>
        <w:rPr>
          <w:rFonts w:ascii="宋体" w:hAnsi="宋体" w:cs="宋体"/>
        </w:rPr>
      </w:pPr>
      <w:r>
        <w:rPr>
          <w:rFonts w:ascii="宋体" w:hAnsi="宋体" w:cs="宋体"/>
        </w:rPr>
      </w:r>
      <w:r/>
    </w:p>
    <w:p>
      <w:pPr>
        <w:rPr>
          <w:rFonts w:ascii="宋体" w:hAnsi="宋体" w:cs="宋体"/>
        </w:rPr>
      </w:pPr>
      <w:r>
        <w:rPr>
          <w:rFonts w:ascii="宋体" w:hAnsi="宋体" w:cs="宋体"/>
        </w:rPr>
      </w:r>
      <w:bookmarkEnd w:id="0"/>
      <w:r/>
      <w:bookmarkEnd w:id="1"/>
      <w:r/>
      <w:r/>
    </w:p>
    <w:p>
      <w:pPr>
        <w:pStyle w:val="887"/>
        <w:numPr>
          <w:ilvl w:val="0"/>
          <w:numId w:val="0"/>
        </w:numPr>
        <w:rPr>
          <w:rFonts w:ascii="宋体" w:hAnsi="宋体" w:cs="宋体"/>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2" w:name="_Toc7019"/>
      <w:r/>
      <w:r/>
    </w:p>
    <w:p>
      <w:pPr>
        <w:pStyle w:val="887"/>
        <w:numPr>
          <w:ilvl w:val="0"/>
          <w:numId w:val="0"/>
        </w:numPr>
        <w:rPr>
          <w:rFonts w:ascii="宋体" w:hAnsi="宋体" w:cs="宋体"/>
        </w:rPr>
      </w:pPr>
      <w:r>
        <w:rPr>
          <w:rFonts w:hint="eastAsia" w:ascii="宋体" w:hAnsi="宋体" w:cs="宋体"/>
        </w:rPr>
        <w:t xml:space="preserve">第六章 附件</w:t>
      </w:r>
      <w:bookmarkEnd w:id="22"/>
      <w:r/>
      <w:r/>
    </w:p>
    <w:p>
      <w:pPr>
        <w:jc w:val="left"/>
        <w:spacing w:line="240" w:lineRule="atLeast"/>
        <w:widowControl/>
        <w:rPr>
          <w:rFonts w:ascii="宋体" w:hAnsi="宋体" w:cs="宋体"/>
          <w:b/>
          <w:bCs/>
          <w:szCs w:val="21"/>
        </w:rPr>
      </w:pPr>
      <w:r>
        <w:rPr>
          <w:rFonts w:ascii="宋体" w:hAnsi="宋体" w:cs="宋体"/>
          <w:b/>
          <w:bCs/>
          <w:szCs w:val="21"/>
        </w:rPr>
      </w:r>
      <w:r/>
    </w:p>
    <w:p>
      <w:pPr>
        <w:spacing w:line="440" w:lineRule="exact"/>
        <w:rPr>
          <w:rFonts w:ascii="宋体" w:hAnsi="宋体" w:cs="宋体"/>
          <w:sz w:val="20"/>
          <w:szCs w:val="20"/>
        </w:rPr>
      </w:pPr>
      <w:r>
        <w:rPr>
          <w:rFonts w:ascii="宋体" w:hAnsi="宋体" w:cs="宋体"/>
          <w:sz w:val="20"/>
          <w:szCs w:val="20"/>
        </w:rPr>
      </w:r>
      <w:r/>
    </w:p>
    <w:p>
      <w:pPr>
        <w:spacing w:line="440" w:lineRule="exact"/>
        <w:rPr>
          <w:rFonts w:ascii="宋体" w:hAnsi="宋体" w:cs="宋体"/>
          <w:sz w:val="20"/>
          <w:szCs w:val="20"/>
        </w:rPr>
      </w:pPr>
      <w:r>
        <w:rPr>
          <w:rFonts w:ascii="宋体" w:hAnsi="宋体" w:cs="宋体"/>
          <w:sz w:val="20"/>
          <w:szCs w:val="20"/>
        </w:rPr>
      </w:r>
      <w:r/>
    </w:p>
    <w:p>
      <w:pPr>
        <w:jc w:val="center"/>
        <w:rPr>
          <w:rFonts w:ascii="宋体" w:hAnsi="宋体" w:cs="宋体"/>
          <w:sz w:val="52"/>
          <w:szCs w:val="52"/>
        </w:rPr>
      </w:pPr>
      <w:r>
        <w:rPr>
          <w:rFonts w:hint="eastAsia" w:ascii="宋体" w:hAnsi="宋体" w:cs="宋体"/>
          <w:sz w:val="52"/>
          <w:szCs w:val="52"/>
        </w:rPr>
        <w:t xml:space="preserve">投标文件</w:t>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rPr>
          <w:rFonts w:ascii="宋体" w:hAnsi="宋体" w:cs="宋体"/>
          <w:sz w:val="36"/>
          <w:szCs w:val="36"/>
        </w:rPr>
      </w:pPr>
      <w:r>
        <w:rPr>
          <w:rFonts w:ascii="宋体" w:hAnsi="宋体" w:cs="宋体"/>
          <w:sz w:val="36"/>
          <w:szCs w:val="36"/>
        </w:rPr>
      </w:r>
      <w:r/>
    </w:p>
    <w:p>
      <w:pPr>
        <w:ind w:firstLine="720"/>
        <w:rPr>
          <w:rFonts w:ascii="宋体" w:hAnsi="宋体" w:cs="宋体"/>
          <w:sz w:val="36"/>
          <w:szCs w:val="36"/>
        </w:rPr>
      </w:pPr>
      <w:r>
        <w:rPr>
          <w:rFonts w:hint="eastAsia" w:ascii="宋体" w:hAnsi="宋体" w:cs="宋体"/>
          <w:sz w:val="36"/>
          <w:szCs w:val="36"/>
        </w:rPr>
        <w:t xml:space="preserve">项目名称：</w:t>
      </w:r>
      <w:r/>
    </w:p>
    <w:p>
      <w:pPr>
        <w:ind w:firstLine="720"/>
        <w:rPr>
          <w:rFonts w:ascii="宋体" w:hAnsi="宋体" w:cs="宋体"/>
          <w:sz w:val="36"/>
          <w:szCs w:val="36"/>
        </w:rPr>
      </w:pPr>
      <w:r>
        <w:rPr>
          <w:rFonts w:hint="eastAsia" w:ascii="宋体" w:hAnsi="宋体" w:cs="宋体"/>
          <w:sz w:val="36"/>
          <w:szCs w:val="36"/>
        </w:rPr>
        <w:t xml:space="preserve">招标编号：</w:t>
      </w:r>
      <w:r/>
    </w:p>
    <w:p>
      <w:pPr>
        <w:ind w:firstLine="720"/>
        <w:rPr>
          <w:rFonts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ascii="宋体" w:hAnsi="宋体" w:cs="宋体"/>
          <w:sz w:val="28"/>
          <w:szCs w:val="28"/>
        </w:rPr>
      </w:pPr>
      <w:r>
        <w:rPr>
          <w:rFonts w:hint="eastAsia" w:ascii="宋体" w:hAnsi="宋体" w:cs="宋体"/>
          <w:sz w:val="36"/>
          <w:szCs w:val="36"/>
        </w:rPr>
        <w:t xml:space="preserve">日期：</w:t>
      </w:r>
      <w:r/>
    </w:p>
    <w:p>
      <w:pPr>
        <w:rPr>
          <w:rFonts w:ascii="宋体" w:hAnsi="宋体" w:cs="宋体"/>
          <w:sz w:val="32"/>
          <w:szCs w:val="32"/>
        </w:rPr>
      </w:pPr>
      <w:r>
        <w:rPr>
          <w:rFonts w:hint="eastAsia" w:ascii="宋体" w:hAnsi="宋体" w:cs="宋体"/>
          <w:sz w:val="32"/>
          <w:szCs w:val="32"/>
        </w:rPr>
        <w:br w:type="page" w:clear="all"/>
      </w:r>
      <w:r/>
    </w:p>
    <w:p>
      <w:pPr>
        <w:jc w:val="center"/>
        <w:spacing w:before="317" w:after="317"/>
        <w:rPr>
          <w:rFonts w:ascii="宋体" w:hAnsi="宋体" w:cs="宋体"/>
          <w:b/>
          <w:bCs/>
          <w:sz w:val="32"/>
          <w:szCs w:val="32"/>
        </w:rPr>
      </w:pPr>
      <w:r>
        <w:rPr>
          <w:rFonts w:hint="eastAsia" w:ascii="宋体" w:hAnsi="宋体" w:cs="宋体"/>
          <w:b/>
          <w:bCs/>
          <w:sz w:val="32"/>
          <w:szCs w:val="32"/>
        </w:rPr>
        <w:t xml:space="preserve">目录</w:t>
      </w:r>
      <w:r/>
    </w:p>
    <w:p>
      <w:pPr>
        <w:jc w:val="center"/>
        <w:rPr>
          <w:rFonts w:ascii="宋体" w:hAnsi="宋体" w:cs="宋体"/>
          <w:szCs w:val="21"/>
        </w:rPr>
      </w:pPr>
      <w:r>
        <w:rPr>
          <w:rFonts w:hint="eastAsia" w:ascii="宋体" w:hAnsi="宋体" w:cs="宋体"/>
          <w:szCs w:val="21"/>
        </w:rPr>
        <w:t xml:space="preserve">（注：供应商根据附件顺序编制投标文件并制作目录（须生成页码））</w:t>
      </w:r>
      <w:r/>
    </w:p>
    <w:p>
      <w:pPr>
        <w:spacing w:line="460" w:lineRule="atLeast"/>
        <w:widowControl/>
        <w:rPr>
          <w:rFonts w:ascii="宋体" w:hAnsi="宋体" w:cs="宋体"/>
          <w:szCs w:val="21"/>
        </w:rPr>
      </w:pPr>
      <w:r>
        <w:rPr>
          <w:rFonts w:hint="eastAsia" w:ascii="宋体" w:hAnsi="宋体" w:cs="宋体"/>
        </w:rPr>
        <w:br w:type="page" w:clear="all"/>
      </w:r>
      <w:r>
        <w:rPr>
          <w:rFonts w:hint="eastAsia" w:ascii="宋体" w:hAnsi="宋体" w:cs="宋体"/>
          <w:b/>
          <w:bCs/>
          <w:sz w:val="24"/>
        </w:rPr>
        <w:t xml:space="preserve">附件一、投标申请及声明格式</w:t>
      </w:r>
      <w:r/>
    </w:p>
    <w:p>
      <w:pPr>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(姓名和职务)代表供应商</w:t>
      </w:r>
      <w:r>
        <w:rPr>
          <w:rFonts w:hint="eastAsia" w:ascii="宋体" w:hAnsi="宋体" w:cs="宋体"/>
          <w:szCs w:val="21"/>
          <w:u w:val="single"/>
        </w:rPr>
        <w:t xml:space="preserve">     </w:t>
      </w:r>
      <w:r>
        <w:rPr>
          <w:rFonts w:hint="eastAsia" w:ascii="宋体" w:hAnsi="宋体" w:cs="宋体"/>
          <w:szCs w:val="21"/>
        </w:rPr>
        <w:t xml:space="preserve">（供应商名称），提交投标文件。</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2、按招标要求，我们的投标总报价详见开标一览表。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3、本项目交付时间为：满足采购文件要求。</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atLeast"/>
        <w:widowControl/>
        <w:rPr>
          <w:rFonts w:ascii="宋体" w:hAnsi="宋体" w:cs="宋体"/>
          <w:szCs w:val="21"/>
        </w:rPr>
      </w:pPr>
      <w:r>
        <w:rPr>
          <w:rFonts w:hint="eastAsia" w:ascii="宋体" w:hAnsi="宋体" w:cs="宋体"/>
          <w:b/>
          <w:bCs/>
          <w:szCs w:val="21"/>
        </w:rPr>
        <w:br w:type="page" w:clear="all"/>
      </w:r>
      <w:r>
        <w:rPr>
          <w:rFonts w:hint="eastAsia" w:ascii="宋体" w:hAnsi="宋体" w:cs="宋体"/>
          <w:b/>
          <w:bCs/>
          <w:sz w:val="24"/>
        </w:rPr>
        <w:t xml:space="preserve">附件二、法定代表人授权委托书格式</w:t>
      </w:r>
      <w:r/>
    </w:p>
    <w:p>
      <w:pPr>
        <w:ind w:firstLine="720"/>
        <w:jc w:val="center"/>
        <w:spacing w:line="360" w:lineRule="auto"/>
        <w:shd w:val="clear" w:color="auto" w:fill="ffffff"/>
        <w:widowControl/>
        <w:rPr>
          <w:rFonts w:ascii="宋体" w:hAnsi="宋体" w:cs="宋体"/>
          <w:sz w:val="36"/>
          <w:szCs w:val="36"/>
        </w:rPr>
      </w:pPr>
      <w:r>
        <w:rPr>
          <w:rFonts w:ascii="宋体" w:hAnsi="宋体" w:cs="宋体"/>
          <w:sz w:val="36"/>
          <w:szCs w:val="36"/>
        </w:rPr>
      </w:r>
      <w:r/>
    </w:p>
    <w:p>
      <w:pPr>
        <w:ind w:firstLine="7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ascii="宋体" w:hAnsi="宋体" w:cs="宋体"/>
          <w:szCs w:val="21"/>
        </w:rPr>
      </w:pPr>
      <w:r>
        <w:rPr>
          <w:rFonts w:ascii="宋体" w:hAnsi="宋体" w:cs="宋体"/>
          <w:szCs w:val="21"/>
        </w:rPr>
      </w:r>
      <w:r/>
    </w:p>
    <w:p>
      <w:pPr>
        <w:ind w:firstLine="480"/>
        <w:spacing w:line="480" w:lineRule="exact"/>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            </w:t>
      </w:r>
      <w:r>
        <w:rPr>
          <w:rFonts w:hint="eastAsia" w:ascii="宋体" w:hAnsi="宋体" w:cs="宋体"/>
          <w:szCs w:val="21"/>
        </w:rPr>
        <w:t xml:space="preserve">（投标人名称）授权</w:t>
      </w:r>
      <w:r>
        <w:rPr>
          <w:rFonts w:hint="eastAsia" w:ascii="宋体" w:hAnsi="宋体" w:cs="宋体"/>
          <w:szCs w:val="21"/>
          <w:u w:val="single"/>
        </w:rPr>
        <w:t xml:space="preserve">                 </w:t>
      </w:r>
      <w:r>
        <w:rPr>
          <w:rFonts w:hint="eastAsia" w:ascii="宋体" w:hAnsi="宋体" w:cs="宋体"/>
          <w:szCs w:val="21"/>
        </w:rPr>
        <w:t xml:space="preserve">（被授权人姓名）作为我方参加编号为</w:t>
      </w:r>
      <w:r>
        <w:rPr>
          <w:rFonts w:hint="eastAsia" w:ascii="宋体" w:hAnsi="宋体" w:cs="宋体"/>
          <w:szCs w:val="21"/>
          <w:u w:val="single"/>
        </w:rPr>
        <w:t xml:space="preserve">                             </w:t>
      </w:r>
      <w:r>
        <w:rPr>
          <w:rFonts w:hint="eastAsia" w:ascii="宋体" w:hAnsi="宋体" w:cs="宋体"/>
          <w:szCs w:val="21"/>
        </w:rPr>
        <w:t xml:space="preserve">项目采购活动的合法代理人，以本单位名义全权处理一切与该项目采购有关的事务。</w:t>
      </w:r>
      <w:r/>
    </w:p>
    <w:p>
      <w:pPr>
        <w:ind w:firstLine="480"/>
        <w:spacing w:line="480" w:lineRule="exact"/>
        <w:rPr>
          <w:rFonts w:ascii="宋体" w:hAnsi="宋体" w:cs="宋体"/>
          <w:szCs w:val="21"/>
        </w:rPr>
      </w:pPr>
      <w:r>
        <w:rPr>
          <w:rFonts w:hint="eastAsia" w:ascii="宋体" w:hAnsi="宋体" w:cs="宋体"/>
          <w:szCs w:val="21"/>
        </w:rPr>
        <w:t xml:space="preserve">本授权书自______年____月____日起生效，特此声明。</w:t>
      </w:r>
      <w:r/>
    </w:p>
    <w:p>
      <w:pPr>
        <w:ind w:firstLine="480"/>
        <w:spacing w:line="480" w:lineRule="exact"/>
        <w:rPr>
          <w:rFonts w:ascii="宋体" w:hAnsi="宋体" w:cs="宋体"/>
          <w:szCs w:val="21"/>
        </w:rPr>
      </w:pPr>
      <w:r>
        <w:rPr>
          <w:rFonts w:hint="eastAsia" w:ascii="宋体" w:hAnsi="宋体" w:cs="宋体"/>
          <w:szCs w:val="21"/>
        </w:rPr>
        <w:t xml:space="preserve">被授权人身份证号码：</w:t>
      </w:r>
      <w:r/>
    </w:p>
    <w:p>
      <w:pPr>
        <w:ind w:firstLine="480"/>
        <w:spacing w:line="480" w:lineRule="exact"/>
        <w:rPr>
          <w:rFonts w:ascii="宋体" w:hAnsi="宋体" w:cs="宋体"/>
          <w:szCs w:val="21"/>
          <w:u w:val="single"/>
        </w:rPr>
      </w:pPr>
      <w:r>
        <w:rPr>
          <w:rFonts w:hint="eastAsia" w:ascii="宋体" w:hAnsi="宋体" w:cs="宋体"/>
          <w:szCs w:val="21"/>
        </w:rPr>
        <w:t xml:space="preserve">被授权人联系电话：           （手机）</w:t>
      </w:r>
      <w:r/>
    </w:p>
    <w:p>
      <w:pPr>
        <w:ind w:firstLine="480"/>
        <w:spacing w:line="480" w:lineRule="exact"/>
        <w:rPr>
          <w:rFonts w:ascii="宋体" w:hAnsi="宋体" w:cs="宋体"/>
          <w:szCs w:val="21"/>
          <w:u w:val="single"/>
        </w:rPr>
      </w:pPr>
      <w:r>
        <w:rPr>
          <w:rFonts w:hint="eastAsia" w:ascii="宋体" w:hAnsi="宋体" w:cs="宋体"/>
          <w:szCs w:val="21"/>
        </w:rPr>
        <w:t xml:space="preserve">投标人名称：              （加盖电子公章）</w:t>
      </w:r>
      <w:r/>
    </w:p>
    <w:p>
      <w:pPr>
        <w:ind w:firstLine="480"/>
        <w:spacing w:line="480" w:lineRule="exact"/>
        <w:rPr>
          <w:rFonts w:ascii="宋体" w:hAnsi="宋体" w:cs="宋体"/>
          <w:szCs w:val="21"/>
          <w:u w:val="single"/>
        </w:rPr>
      </w:pPr>
      <w:r>
        <w:rPr>
          <w:rFonts w:hint="eastAsia" w:ascii="宋体" w:hAnsi="宋体" w:cs="宋体"/>
          <w:szCs w:val="21"/>
        </w:rPr>
        <w:t xml:space="preserve">单位地址：</w:t>
      </w:r>
      <w:r/>
    </w:p>
    <w:p>
      <w:pPr>
        <w:ind w:firstLine="480"/>
        <w:spacing w:line="480" w:lineRule="exact"/>
        <w:rPr>
          <w:rFonts w:ascii="宋体" w:hAnsi="宋体" w:cs="宋体"/>
          <w:szCs w:val="21"/>
        </w:rPr>
      </w:pPr>
      <w:r>
        <w:rPr>
          <w:rFonts w:hint="eastAsia" w:ascii="宋体" w:hAnsi="宋体" w:cs="宋体"/>
          <w:szCs w:val="21"/>
        </w:rPr>
        <w:t xml:space="preserve">日    期：</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spacing w:line="460" w:lineRule="atLeast"/>
        <w:widowControl/>
        <w:rPr>
          <w:rFonts w:ascii="宋体" w:hAnsi="宋体" w:cs="宋体"/>
        </w:rPr>
      </w:pPr>
      <w:r>
        <w:rPr>
          <w:rFonts w:hint="eastAsia" w:ascii="宋体" w:hAnsi="宋体" w:cs="宋体"/>
          <w:b/>
          <w:bCs/>
          <w:szCs w:val="21"/>
        </w:rPr>
        <w:br w:type="page" w:clear="all"/>
      </w:r>
      <w:r>
        <w:rPr>
          <w:rFonts w:hint="eastAsia" w:ascii="宋体" w:hAnsi="宋体" w:cs="宋体"/>
          <w:b/>
          <w:bCs/>
          <w:sz w:val="24"/>
          <w:lang w:val="zh-CN"/>
        </w:rPr>
        <w:t xml:space="preserve">附件三、</w:t>
      </w:r>
      <w:r>
        <w:rPr>
          <w:rFonts w:hint="eastAsia" w:ascii="宋体" w:hAnsi="宋体" w:cs="宋体"/>
          <w:b/>
          <w:bCs/>
          <w:sz w:val="24"/>
        </w:rPr>
        <w:t xml:space="preserve">开标一览</w:t>
      </w:r>
      <w:r>
        <w:rPr>
          <w:rFonts w:hint="eastAsia" w:ascii="宋体" w:hAnsi="宋体" w:cs="宋体"/>
          <w:b/>
          <w:bCs/>
          <w:sz w:val="24"/>
          <w:lang w:val="zh-CN"/>
        </w:rPr>
        <w:t xml:space="preserve">表</w:t>
      </w:r>
      <w:r>
        <w:rPr>
          <w:rFonts w:hint="eastAsia" w:ascii="宋体" w:hAnsi="宋体" w:cs="宋体"/>
          <w:b/>
          <w:bCs/>
          <w:sz w:val="24"/>
        </w:rPr>
        <w:t xml:space="preserve">补充</w:t>
      </w:r>
      <w:r/>
    </w:p>
    <w:p>
      <w:pPr>
        <w:rPr>
          <w:rFonts w:ascii="宋体" w:hAnsi="宋体" w:cs="宋体"/>
          <w:b/>
          <w:bCs/>
          <w:lang w:val="zh-CN"/>
        </w:rPr>
      </w:pPr>
      <w:r>
        <w:rPr>
          <w:rFonts w:ascii="宋体" w:hAnsi="宋体" w:cs="宋体"/>
          <w:b/>
          <w:bCs/>
          <w:lang w:val="zh-CN"/>
        </w:rPr>
      </w:r>
      <w:r/>
    </w:p>
    <w:tbl>
      <w:tblPr>
        <w:tblStyle w:val="897"/>
        <w:tblW w:w="53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1"/>
        <w:gridCol w:w="4258"/>
        <w:gridCol w:w="3072"/>
      </w:tblGrid>
      <w:tr>
        <w:trPr>
          <w:cantSplit/>
          <w:trHeight w:val="1150"/>
        </w:trPr>
        <w:tc>
          <w:tcPr>
            <w:tcW w:w="840" w:type="pct"/>
            <w:vAlign w:val="center"/>
            <w:vMerge w:val="restart"/>
            <w:textDirection w:val="lrTb"/>
            <w:noWrap w:val="false"/>
          </w:tcPr>
          <w:p>
            <w:pPr>
              <w:jc w:val="center"/>
              <w:rPr>
                <w:color w:val="auto"/>
              </w:rPr>
            </w:pPr>
            <w:r>
              <w:rPr>
                <w:rFonts w:hint="eastAsia"/>
                <w:color w:val="auto"/>
              </w:rPr>
              <w:t xml:space="preserve">投标报价</w:t>
            </w:r>
            <w:r/>
          </w:p>
        </w:tc>
        <w:tc>
          <w:tcPr>
            <w:tcW w:w="2416" w:type="pct"/>
            <w:vAlign w:val="center"/>
            <w:textDirection w:val="lrTb"/>
            <w:noWrap w:val="false"/>
          </w:tcPr>
          <w:p>
            <w:pPr>
              <w:pStyle w:val="901"/>
              <w:ind w:firstLine="0"/>
              <w:rPr>
                <w:rFonts w:ascii="宋体" w:hAnsi="宋体" w:cs="宋体"/>
                <w:color w:val="auto"/>
                <w:sz w:val="21"/>
                <w:szCs w:val="21"/>
              </w:rPr>
            </w:pPr>
            <w:r>
              <w:rPr>
                <w:rFonts w:hint="eastAsia" w:ascii="宋体" w:hAnsi="宋体" w:cs="宋体"/>
                <w:color w:val="auto"/>
                <w:sz w:val="21"/>
                <w:szCs w:val="21"/>
              </w:rPr>
              <w:t xml:space="preserve">报价1：</w:t>
            </w:r>
            <w:r/>
          </w:p>
          <w:p>
            <w:pPr>
              <w:pStyle w:val="901"/>
              <w:ind w:firstLine="0"/>
              <w:rPr>
                <w:rFonts w:ascii="宋体" w:hAnsi="宋体" w:cs="宋体"/>
                <w:b w:val="0"/>
                <w:bCs/>
                <w:color w:val="auto"/>
                <w:sz w:val="21"/>
                <w:szCs w:val="21"/>
              </w:rPr>
            </w:pPr>
            <w:r>
              <w:rPr>
                <w:rFonts w:hint="eastAsia" w:ascii="宋体" w:hAnsi="宋体" w:cs="宋体"/>
                <w:b w:val="0"/>
                <w:bCs/>
                <w:color w:val="auto"/>
                <w:sz w:val="21"/>
                <w:szCs w:val="21"/>
              </w:rPr>
              <w:t xml:space="preserve">45岁以下在职男性套餐单价：详见苏采云系统。（该项价格在苏采云系统开标一览表填报</w:t>
            </w:r>
            <w:r>
              <w:rPr>
                <w:rFonts w:hint="eastAsia" w:ascii="宋体" w:hAnsi="宋体" w:cs="宋体"/>
                <w:b w:val="0"/>
                <w:bCs/>
                <w:color w:val="auto"/>
                <w:sz w:val="21"/>
                <w:szCs w:val="21"/>
                <w:lang w:eastAsia="zh-CN"/>
              </w:rPr>
              <w:t xml:space="preserve">，</w:t>
            </w:r>
            <w:r>
              <w:rPr>
                <w:rFonts w:hint="eastAsia" w:ascii="宋体" w:hAnsi="宋体" w:cs="宋体"/>
                <w:b w:val="0"/>
                <w:bCs/>
                <w:color w:val="auto"/>
                <w:sz w:val="21"/>
                <w:szCs w:val="21"/>
                <w:lang w:val="en-US" w:eastAsia="zh-CN"/>
              </w:rPr>
              <w:t xml:space="preserve">此处无需填写</w:t>
            </w:r>
            <w:r>
              <w:rPr>
                <w:rFonts w:hint="eastAsia" w:ascii="宋体" w:hAnsi="宋体" w:cs="宋体"/>
                <w:b w:val="0"/>
                <w:bCs/>
                <w:color w:val="auto"/>
                <w:sz w:val="21"/>
                <w:szCs w:val="21"/>
              </w:rPr>
              <w:t xml:space="preserve">）</w:t>
            </w:r>
            <w:r/>
          </w:p>
        </w:tc>
        <w:tc>
          <w:tcPr>
            <w:tcW w:w="1742" w:type="pct"/>
            <w:vAlign w:val="center"/>
            <w:vMerge w:val="restart"/>
            <w:textDirection w:val="lrTb"/>
            <w:noWrap w:val="false"/>
          </w:tcPr>
          <w:p>
            <w:pPr>
              <w:spacing w:line="440" w:lineRule="exact"/>
              <w:rPr>
                <w:rFonts w:ascii="宋体" w:hAnsi="宋体" w:cs="宋体"/>
                <w:b/>
                <w:bCs/>
                <w:color w:val="auto"/>
                <w:szCs w:val="21"/>
              </w:rPr>
            </w:pPr>
            <w:r>
              <w:rPr>
                <w:rFonts w:hint="eastAsia" w:ascii="宋体" w:hAnsi="宋体" w:cs="宋体"/>
                <w:b/>
                <w:bCs/>
                <w:color w:val="auto"/>
                <w:szCs w:val="21"/>
              </w:rPr>
              <w:t xml:space="preserve">备注：</w:t>
            </w:r>
            <w:r/>
          </w:p>
          <w:p>
            <w:pPr>
              <w:spacing w:line="440" w:lineRule="exact"/>
              <w:rPr>
                <w:rFonts w:ascii="宋体" w:hAnsi="宋体" w:cs="宋体"/>
                <w:b/>
                <w:bCs/>
                <w:color w:val="ff0000"/>
                <w:szCs w:val="21"/>
                <w:u w:val="single"/>
              </w:rPr>
            </w:pPr>
            <w:r>
              <w:rPr>
                <w:rFonts w:hint="eastAsia" w:ascii="宋体" w:hAnsi="宋体" w:cs="宋体"/>
                <w:color w:val="auto"/>
                <w:szCs w:val="21"/>
              </w:rPr>
              <w:t xml:space="preserve">本项目共6项价格需要投标人报价，由于苏采云系统原因，</w:t>
            </w:r>
            <w:r>
              <w:rPr>
                <w:rFonts w:hint="eastAsia" w:ascii="宋体" w:hAnsi="宋体" w:cs="宋体"/>
                <w:b/>
                <w:bCs/>
                <w:color w:val="ff0000"/>
                <w:szCs w:val="21"/>
                <w:u w:val="single"/>
              </w:rPr>
              <w:t xml:space="preserve">苏采云系统中的开标一览表，投标人填报</w:t>
            </w:r>
            <w:r>
              <w:rPr>
                <w:rFonts w:hint="eastAsia" w:ascii="宋体" w:hAnsi="宋体" w:cs="宋体"/>
                <w:b w:val="0"/>
                <w:bCs w:val="0"/>
                <w:color w:val="ff0000"/>
                <w:szCs w:val="21"/>
                <w:u w:val="single"/>
              </w:rPr>
              <w:t xml:space="preserve">“报价1：45岁以下在职男性套餐”</w:t>
            </w:r>
            <w:r>
              <w:rPr>
                <w:rFonts w:hint="eastAsia" w:ascii="宋体" w:hAnsi="宋体" w:cs="宋体"/>
                <w:b/>
                <w:bCs/>
                <w:color w:val="ff0000"/>
                <w:szCs w:val="21"/>
                <w:u w:val="single"/>
              </w:rPr>
              <w:t xml:space="preserve">的单价。</w:t>
            </w:r>
            <w:r/>
          </w:p>
          <w:p>
            <w:pPr>
              <w:spacing w:line="440" w:lineRule="exact"/>
              <w:rPr>
                <w:color w:val="auto"/>
              </w:rPr>
            </w:pPr>
            <w:r>
              <w:rPr>
                <w:rFonts w:hint="eastAsia" w:ascii="宋体" w:hAnsi="宋体" w:cs="宋体"/>
                <w:b/>
                <w:bCs/>
                <w:color w:val="ff0000"/>
                <w:szCs w:val="21"/>
                <w:u w:val="single"/>
              </w:rPr>
              <w:t xml:space="preserve">另外5项价格，供应商均在本表中填报。</w:t>
            </w:r>
            <w:r/>
          </w:p>
        </w:tc>
      </w:tr>
      <w:tr>
        <w:trPr>
          <w:cantSplit/>
          <w:trHeight w:val="1096"/>
        </w:trPr>
        <w:tc>
          <w:tcPr>
            <w:tcW w:w="840" w:type="pct"/>
            <w:vAlign w:val="center"/>
            <w:vMerge w:val="continue"/>
            <w:textDirection w:val="lrTb"/>
            <w:noWrap w:val="false"/>
          </w:tcPr>
          <w:p>
            <w:pPr>
              <w:jc w:val="center"/>
              <w:rPr>
                <w:color w:val="auto"/>
              </w:rPr>
            </w:pPr>
            <w:r>
              <w:rPr>
                <w:color w:val="auto"/>
              </w:rPr>
            </w:r>
            <w:r/>
          </w:p>
        </w:tc>
        <w:tc>
          <w:tcPr>
            <w:tcW w:w="2416" w:type="pct"/>
            <w:vAlign w:val="center"/>
            <w:textDirection w:val="lrTb"/>
            <w:noWrap w:val="false"/>
          </w:tcPr>
          <w:p>
            <w:pPr>
              <w:pStyle w:val="901"/>
              <w:ind w:firstLine="0"/>
              <w:rPr>
                <w:rFonts w:ascii="宋体" w:hAnsi="宋体" w:cs="宋体"/>
                <w:color w:val="auto"/>
                <w:sz w:val="21"/>
                <w:szCs w:val="21"/>
              </w:rPr>
            </w:pPr>
            <w:r>
              <w:rPr>
                <w:rFonts w:hint="eastAsia" w:ascii="宋体" w:hAnsi="宋体" w:cs="宋体"/>
                <w:color w:val="auto"/>
                <w:sz w:val="21"/>
                <w:szCs w:val="21"/>
              </w:rPr>
              <w:t xml:space="preserve">报价2：</w:t>
            </w:r>
            <w:r/>
          </w:p>
          <w:p>
            <w:pPr>
              <w:pStyle w:val="901"/>
              <w:ind w:firstLine="0"/>
              <w:rPr>
                <w:rFonts w:ascii="宋体" w:hAnsi="宋体" w:cs="宋体"/>
                <w:b w:val="0"/>
                <w:bCs/>
                <w:color w:val="auto"/>
                <w:sz w:val="21"/>
                <w:szCs w:val="21"/>
                <w:u w:val="single"/>
              </w:rPr>
            </w:pPr>
            <w:r>
              <w:rPr>
                <w:rFonts w:hint="eastAsia" w:ascii="宋体" w:hAnsi="宋体" w:cs="宋体"/>
                <w:b w:val="0"/>
                <w:bCs/>
                <w:color w:val="auto"/>
                <w:sz w:val="21"/>
                <w:szCs w:val="21"/>
              </w:rPr>
              <w:t xml:space="preserve">45岁以下在职女性已婚套餐单价：</w:t>
            </w:r>
            <w:r>
              <w:rPr>
                <w:rFonts w:hint="eastAsia" w:ascii="宋体" w:hAnsi="宋体" w:cs="宋体"/>
                <w:b w:val="0"/>
                <w:bCs/>
                <w:color w:val="auto"/>
                <w:sz w:val="21"/>
                <w:szCs w:val="21"/>
                <w:u w:val="single"/>
              </w:rPr>
              <w:t xml:space="preserve">     元/人/年</w:t>
            </w:r>
            <w:r/>
          </w:p>
        </w:tc>
        <w:tc>
          <w:tcPr>
            <w:tcW w:w="1742" w:type="pct"/>
            <w:vAlign w:val="center"/>
            <w:vMerge w:val="continue"/>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cantSplit/>
          <w:trHeight w:val="1396"/>
        </w:trPr>
        <w:tc>
          <w:tcPr>
            <w:tcW w:w="840" w:type="pct"/>
            <w:vAlign w:val="center"/>
            <w:vMerge w:val="continue"/>
            <w:textDirection w:val="lrTb"/>
            <w:noWrap w:val="false"/>
          </w:tcPr>
          <w:p>
            <w:pPr>
              <w:jc w:val="center"/>
              <w:rPr>
                <w:color w:val="auto"/>
              </w:rPr>
            </w:pPr>
            <w:r>
              <w:rPr>
                <w:color w:val="auto"/>
              </w:rPr>
            </w:r>
            <w:r/>
          </w:p>
        </w:tc>
        <w:tc>
          <w:tcPr>
            <w:tcW w:w="2416" w:type="pct"/>
            <w:vAlign w:val="center"/>
            <w:textDirection w:val="lrTb"/>
            <w:noWrap w:val="false"/>
          </w:tcPr>
          <w:p>
            <w:pPr>
              <w:pStyle w:val="901"/>
              <w:ind w:firstLine="0"/>
              <w:rPr>
                <w:rFonts w:ascii="宋体" w:hAnsi="宋体" w:cs="宋体"/>
                <w:color w:val="auto"/>
                <w:sz w:val="21"/>
                <w:szCs w:val="21"/>
              </w:rPr>
            </w:pPr>
            <w:r>
              <w:rPr>
                <w:rFonts w:hint="eastAsia" w:ascii="宋体" w:hAnsi="宋体" w:cs="宋体"/>
                <w:color w:val="auto"/>
                <w:sz w:val="21"/>
                <w:szCs w:val="21"/>
              </w:rPr>
              <w:t xml:space="preserve">报价3：</w:t>
            </w:r>
            <w:r/>
          </w:p>
          <w:p>
            <w:pPr>
              <w:pStyle w:val="901"/>
              <w:ind w:firstLine="0"/>
              <w:rPr>
                <w:rFonts w:ascii="宋体" w:hAnsi="宋体" w:cs="宋体"/>
                <w:b w:val="0"/>
                <w:bCs/>
                <w:color w:val="auto"/>
                <w:sz w:val="21"/>
                <w:szCs w:val="21"/>
              </w:rPr>
            </w:pPr>
            <w:r>
              <w:rPr>
                <w:rFonts w:hint="eastAsia" w:ascii="宋体" w:hAnsi="宋体" w:cs="宋体"/>
                <w:b w:val="0"/>
                <w:bCs/>
                <w:color w:val="auto"/>
                <w:sz w:val="21"/>
                <w:szCs w:val="21"/>
              </w:rPr>
              <w:t xml:space="preserve">45岁以下在职女性未婚套餐单价：</w:t>
            </w:r>
            <w:r>
              <w:rPr>
                <w:rFonts w:hint="eastAsia" w:ascii="宋体" w:hAnsi="宋体" w:cs="宋体"/>
                <w:b w:val="0"/>
                <w:bCs/>
                <w:color w:val="auto"/>
                <w:sz w:val="21"/>
                <w:szCs w:val="21"/>
                <w:u w:val="single"/>
              </w:rPr>
              <w:t xml:space="preserve">     元/人/年</w:t>
            </w:r>
            <w:r/>
          </w:p>
        </w:tc>
        <w:tc>
          <w:tcPr>
            <w:tcW w:w="1742" w:type="pct"/>
            <w:vAlign w:val="center"/>
            <w:vMerge w:val="continue"/>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cantSplit/>
          <w:trHeight w:val="1354"/>
        </w:trPr>
        <w:tc>
          <w:tcPr>
            <w:tcW w:w="840" w:type="pct"/>
            <w:vAlign w:val="center"/>
            <w:vMerge w:val="continue"/>
            <w:textDirection w:val="lrTb"/>
            <w:noWrap w:val="false"/>
          </w:tcPr>
          <w:p>
            <w:pPr>
              <w:jc w:val="center"/>
              <w:rPr>
                <w:color w:val="auto"/>
              </w:rPr>
            </w:pPr>
            <w:r>
              <w:rPr>
                <w:color w:val="auto"/>
              </w:rPr>
            </w:r>
            <w:r/>
          </w:p>
        </w:tc>
        <w:tc>
          <w:tcPr>
            <w:tcW w:w="2416" w:type="pct"/>
            <w:vAlign w:val="center"/>
            <w:textDirection w:val="lrTb"/>
            <w:noWrap w:val="false"/>
          </w:tcPr>
          <w:p>
            <w:pPr>
              <w:pStyle w:val="901"/>
              <w:ind w:firstLine="0"/>
              <w:rPr>
                <w:rFonts w:ascii="宋体" w:hAnsi="宋体" w:cs="宋体"/>
                <w:color w:val="auto"/>
                <w:sz w:val="21"/>
                <w:szCs w:val="21"/>
              </w:rPr>
            </w:pPr>
            <w:r>
              <w:rPr>
                <w:rFonts w:hint="eastAsia" w:ascii="宋体" w:hAnsi="宋体" w:cs="宋体"/>
                <w:color w:val="auto"/>
                <w:sz w:val="21"/>
                <w:szCs w:val="21"/>
              </w:rPr>
              <w:t xml:space="preserve">报价4：</w:t>
            </w:r>
            <w:r/>
          </w:p>
          <w:p>
            <w:pPr>
              <w:pStyle w:val="901"/>
              <w:ind w:firstLine="0"/>
              <w:rPr>
                <w:rFonts w:ascii="宋体" w:hAnsi="宋体" w:cs="宋体"/>
                <w:b w:val="0"/>
                <w:bCs/>
                <w:color w:val="auto"/>
                <w:sz w:val="21"/>
                <w:szCs w:val="21"/>
              </w:rPr>
            </w:pPr>
            <w:r>
              <w:rPr>
                <w:rFonts w:hint="eastAsia" w:ascii="宋体" w:hAnsi="宋体" w:cs="宋体"/>
                <w:b w:val="0"/>
                <w:bCs/>
                <w:color w:val="auto"/>
                <w:sz w:val="21"/>
                <w:szCs w:val="21"/>
              </w:rPr>
              <w:t xml:space="preserve">45岁（含）以上在职、正高职称、退休人员男性套餐单价：</w:t>
            </w:r>
            <w:r>
              <w:rPr>
                <w:rFonts w:hint="eastAsia" w:ascii="宋体" w:hAnsi="宋体" w:cs="宋体"/>
                <w:b w:val="0"/>
                <w:bCs/>
                <w:color w:val="auto"/>
                <w:sz w:val="21"/>
                <w:szCs w:val="21"/>
                <w:u w:val="single"/>
              </w:rPr>
              <w:t xml:space="preserve">       元/人/年</w:t>
            </w:r>
            <w:r/>
          </w:p>
        </w:tc>
        <w:tc>
          <w:tcPr>
            <w:tcW w:w="1742" w:type="pct"/>
            <w:vAlign w:val="center"/>
            <w:vMerge w:val="continue"/>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cantSplit/>
          <w:trHeight w:val="1396"/>
        </w:trPr>
        <w:tc>
          <w:tcPr>
            <w:tcW w:w="840" w:type="pct"/>
            <w:vAlign w:val="center"/>
            <w:vMerge w:val="continue"/>
            <w:textDirection w:val="lrTb"/>
            <w:noWrap w:val="false"/>
          </w:tcPr>
          <w:p>
            <w:pPr>
              <w:jc w:val="center"/>
              <w:rPr>
                <w:color w:val="auto"/>
              </w:rPr>
            </w:pPr>
            <w:r>
              <w:rPr>
                <w:color w:val="auto"/>
              </w:rPr>
            </w:r>
            <w:r/>
          </w:p>
        </w:tc>
        <w:tc>
          <w:tcPr>
            <w:tcW w:w="2416" w:type="pct"/>
            <w:vAlign w:val="center"/>
            <w:textDirection w:val="lrTb"/>
            <w:noWrap w:val="false"/>
          </w:tcPr>
          <w:p>
            <w:pPr>
              <w:pStyle w:val="901"/>
              <w:ind w:firstLine="0"/>
              <w:rPr>
                <w:rFonts w:ascii="宋体" w:hAnsi="宋体" w:cs="宋体"/>
                <w:color w:val="auto"/>
                <w:sz w:val="21"/>
                <w:szCs w:val="21"/>
              </w:rPr>
            </w:pPr>
            <w:r>
              <w:rPr>
                <w:rFonts w:hint="eastAsia" w:ascii="宋体" w:hAnsi="宋体" w:cs="宋体"/>
                <w:color w:val="auto"/>
                <w:sz w:val="21"/>
                <w:szCs w:val="21"/>
              </w:rPr>
              <w:t xml:space="preserve">报价5：</w:t>
            </w:r>
            <w:r/>
          </w:p>
          <w:p>
            <w:pPr>
              <w:pStyle w:val="901"/>
              <w:ind w:firstLine="0"/>
              <w:rPr>
                <w:rFonts w:ascii="宋体" w:hAnsi="宋体" w:cs="宋体"/>
                <w:b w:val="0"/>
                <w:bCs/>
                <w:color w:val="auto"/>
                <w:sz w:val="21"/>
                <w:szCs w:val="21"/>
              </w:rPr>
            </w:pPr>
            <w:r>
              <w:rPr>
                <w:rFonts w:hint="eastAsia" w:ascii="宋体" w:hAnsi="宋体" w:cs="宋体"/>
                <w:b w:val="0"/>
                <w:bCs/>
                <w:color w:val="auto"/>
                <w:sz w:val="21"/>
                <w:szCs w:val="21"/>
              </w:rPr>
              <w:t xml:space="preserve">45岁（含）以上在职、正高职称、退休人员女性已婚套餐单价：</w:t>
            </w:r>
            <w:r>
              <w:rPr>
                <w:rFonts w:hint="eastAsia" w:ascii="宋体" w:hAnsi="宋体" w:cs="宋体"/>
                <w:b w:val="0"/>
                <w:bCs/>
                <w:color w:val="auto"/>
                <w:sz w:val="21"/>
                <w:szCs w:val="21"/>
                <w:u w:val="single"/>
              </w:rPr>
              <w:t xml:space="preserve">       元/人/年</w:t>
            </w:r>
            <w:r/>
          </w:p>
        </w:tc>
        <w:tc>
          <w:tcPr>
            <w:tcW w:w="1742" w:type="pct"/>
            <w:vAlign w:val="center"/>
            <w:vMerge w:val="continue"/>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cantSplit/>
          <w:trHeight w:val="1518"/>
        </w:trPr>
        <w:tc>
          <w:tcPr>
            <w:tcW w:w="840" w:type="pct"/>
            <w:vAlign w:val="center"/>
            <w:vMerge w:val="continue"/>
            <w:textDirection w:val="lrTb"/>
            <w:noWrap w:val="false"/>
          </w:tcPr>
          <w:p>
            <w:pPr>
              <w:jc w:val="center"/>
              <w:rPr>
                <w:color w:val="auto"/>
              </w:rPr>
            </w:pPr>
            <w:r>
              <w:rPr>
                <w:color w:val="auto"/>
              </w:rPr>
            </w:r>
            <w:r/>
          </w:p>
        </w:tc>
        <w:tc>
          <w:tcPr>
            <w:tcW w:w="2416" w:type="pct"/>
            <w:vAlign w:val="center"/>
            <w:textDirection w:val="lrTb"/>
            <w:noWrap w:val="false"/>
          </w:tcPr>
          <w:p>
            <w:pPr>
              <w:pStyle w:val="901"/>
              <w:ind w:firstLine="0"/>
              <w:rPr>
                <w:rFonts w:ascii="宋体" w:hAnsi="宋体" w:cs="宋体"/>
                <w:color w:val="auto"/>
                <w:sz w:val="21"/>
                <w:szCs w:val="21"/>
              </w:rPr>
            </w:pPr>
            <w:r>
              <w:rPr>
                <w:rFonts w:hint="eastAsia" w:ascii="宋体" w:hAnsi="宋体" w:cs="宋体"/>
                <w:color w:val="auto"/>
                <w:sz w:val="21"/>
                <w:szCs w:val="21"/>
              </w:rPr>
              <w:t xml:space="preserve">报价6：</w:t>
            </w:r>
            <w:r/>
          </w:p>
          <w:p>
            <w:pPr>
              <w:pStyle w:val="901"/>
              <w:ind w:firstLine="0"/>
              <w:rPr>
                <w:rFonts w:ascii="宋体" w:hAnsi="宋体" w:cs="宋体"/>
                <w:b w:val="0"/>
                <w:bCs/>
                <w:color w:val="auto"/>
                <w:sz w:val="21"/>
                <w:szCs w:val="21"/>
              </w:rPr>
            </w:pPr>
            <w:r>
              <w:rPr>
                <w:rFonts w:hint="eastAsia" w:ascii="宋体" w:hAnsi="宋体" w:cs="宋体"/>
                <w:b w:val="0"/>
                <w:bCs/>
                <w:color w:val="auto"/>
                <w:sz w:val="21"/>
                <w:szCs w:val="21"/>
              </w:rPr>
              <w:t xml:space="preserve">45岁（含）以上在职、正高职称、退休人员女性未婚套餐单价：</w:t>
            </w:r>
            <w:r>
              <w:rPr>
                <w:rFonts w:hint="eastAsia" w:ascii="宋体" w:hAnsi="宋体" w:cs="宋体"/>
                <w:b w:val="0"/>
                <w:bCs/>
                <w:color w:val="auto"/>
                <w:sz w:val="21"/>
                <w:szCs w:val="21"/>
                <w:u w:val="single"/>
              </w:rPr>
              <w:t xml:space="preserve">       元/人/年</w:t>
            </w:r>
            <w:r/>
          </w:p>
        </w:tc>
        <w:tc>
          <w:tcPr>
            <w:tcW w:w="1742" w:type="pct"/>
            <w:vAlign w:val="center"/>
            <w:vMerge w:val="continue"/>
            <w:textDirection w:val="lrTb"/>
            <w:noWrap w:val="false"/>
          </w:tcPr>
          <w:p>
            <w:pPr>
              <w:spacing w:line="440" w:lineRule="exact"/>
              <w:rPr>
                <w:rFonts w:ascii="宋体" w:hAnsi="宋体" w:cs="宋体"/>
                <w:color w:val="auto"/>
                <w:szCs w:val="21"/>
              </w:rPr>
            </w:pPr>
            <w:r>
              <w:rPr>
                <w:rFonts w:ascii="宋体" w:hAnsi="宋体" w:cs="宋体"/>
                <w:color w:val="auto"/>
                <w:szCs w:val="21"/>
              </w:rPr>
            </w:r>
            <w:r/>
          </w:p>
        </w:tc>
      </w:tr>
      <w:tr>
        <w:trPr>
          <w:trHeight w:val="829"/>
        </w:trPr>
        <w:tc>
          <w:tcPr>
            <w:tcW w:w="840" w:type="pct"/>
            <w:vAlign w:val="center"/>
            <w:textDirection w:val="lrTb"/>
            <w:noWrap w:val="false"/>
          </w:tcPr>
          <w:p>
            <w:pPr>
              <w:spacing w:line="440" w:lineRule="exact"/>
              <w:rPr>
                <w:rFonts w:ascii="宋体" w:hAnsi="宋体" w:cs="宋体"/>
                <w:color w:val="auto"/>
                <w:szCs w:val="21"/>
              </w:rPr>
            </w:pPr>
            <w:r>
              <w:rPr>
                <w:rFonts w:hint="eastAsia" w:ascii="宋体" w:hAnsi="宋体" w:cs="宋体"/>
                <w:color w:val="auto"/>
                <w:szCs w:val="21"/>
              </w:rPr>
              <w:t xml:space="preserve">服务时间/交付使用时间</w:t>
            </w:r>
            <w:r/>
          </w:p>
        </w:tc>
        <w:tc>
          <w:tcPr>
            <w:gridSpan w:val="2"/>
            <w:tcW w:w="4159" w:type="pct"/>
            <w:vAlign w:val="center"/>
            <w:textDirection w:val="lrTb"/>
            <w:noWrap w:val="false"/>
          </w:tcPr>
          <w:p>
            <w:pPr>
              <w:ind w:firstLine="472"/>
              <w:spacing w:line="440" w:lineRule="exact"/>
              <w:rPr>
                <w:rFonts w:ascii="宋体" w:hAnsi="宋体" w:cs="宋体"/>
                <w:color w:val="auto"/>
                <w:szCs w:val="21"/>
              </w:rPr>
            </w:pPr>
            <w:r>
              <w:rPr>
                <w:rFonts w:hint="eastAsia" w:ascii="宋体" w:hAnsi="宋体" w:cs="宋体"/>
                <w:bCs/>
                <w:color w:val="auto"/>
                <w:szCs w:val="21"/>
                <w:u w:val="single"/>
              </w:rPr>
              <w:t xml:space="preserve">满足招标文件要求</w:t>
            </w:r>
            <w:r>
              <w:rPr>
                <w:rFonts w:hint="eastAsia" w:ascii="宋体" w:hAnsi="宋体" w:cs="宋体"/>
                <w:bCs/>
                <w:color w:val="auto"/>
                <w:szCs w:val="21"/>
              </w:rPr>
              <w:t xml:space="preserve">。</w:t>
            </w:r>
            <w:r/>
          </w:p>
        </w:tc>
      </w:tr>
      <w:tr>
        <w:trPr>
          <w:trHeight w:val="829"/>
        </w:trPr>
        <w:tc>
          <w:tcPr>
            <w:tcW w:w="840" w:type="pct"/>
            <w:vAlign w:val="center"/>
            <w:textDirection w:val="lrTb"/>
            <w:noWrap w:val="false"/>
          </w:tcPr>
          <w:p>
            <w:pPr>
              <w:jc w:val="center"/>
              <w:spacing w:line="440" w:lineRule="exact"/>
              <w:rPr>
                <w:rFonts w:ascii="宋体" w:hAnsi="宋体" w:cs="宋体"/>
                <w:color w:val="auto"/>
                <w:szCs w:val="21"/>
              </w:rPr>
            </w:pPr>
            <w:r>
              <w:rPr>
                <w:rFonts w:hint="eastAsia" w:ascii="宋体" w:hAnsi="宋体" w:cs="宋体"/>
                <w:color w:val="auto"/>
                <w:szCs w:val="21"/>
              </w:rPr>
              <w:t xml:space="preserve">体检点</w:t>
            </w:r>
            <w:r/>
          </w:p>
        </w:tc>
        <w:tc>
          <w:tcPr>
            <w:tcW w:w="2416" w:type="pct"/>
            <w:vAlign w:val="center"/>
            <w:textDirection w:val="lrTb"/>
            <w:noWrap w:val="false"/>
          </w:tcPr>
          <w:p>
            <w:pPr>
              <w:pStyle w:val="901"/>
              <w:rPr>
                <w:rFonts w:ascii="宋体" w:hAnsi="宋体" w:cs="宋体"/>
                <w:b w:val="0"/>
                <w:bCs/>
                <w:color w:val="auto"/>
                <w:sz w:val="21"/>
                <w:szCs w:val="21"/>
                <w:u w:val="single"/>
              </w:rPr>
            </w:pPr>
            <w:r>
              <w:rPr>
                <w:rFonts w:hint="eastAsia" w:ascii="宋体" w:hAnsi="宋体" w:cs="宋体"/>
                <w:b w:val="0"/>
                <w:bCs/>
                <w:color w:val="auto"/>
                <w:sz w:val="21"/>
                <w:szCs w:val="21"/>
                <w:u w:val="single"/>
              </w:rPr>
              <w:t xml:space="preserve">名称：</w:t>
            </w:r>
            <w:r/>
          </w:p>
          <w:p>
            <w:pPr>
              <w:pStyle w:val="901"/>
              <w:rPr>
                <w:rFonts w:ascii="宋体" w:hAnsi="宋体" w:cs="宋体"/>
                <w:b w:val="0"/>
                <w:bCs/>
                <w:color w:val="auto"/>
                <w:sz w:val="21"/>
                <w:szCs w:val="21"/>
                <w:u w:val="single"/>
              </w:rPr>
            </w:pPr>
            <w:r>
              <w:rPr>
                <w:rFonts w:hint="eastAsia" w:ascii="宋体" w:hAnsi="宋体" w:cs="宋体"/>
                <w:b w:val="0"/>
                <w:bCs/>
                <w:color w:val="auto"/>
                <w:sz w:val="21"/>
                <w:szCs w:val="21"/>
                <w:u w:val="single"/>
              </w:rPr>
              <w:t xml:space="preserve">地址：</w:t>
            </w:r>
            <w:r/>
          </w:p>
        </w:tc>
        <w:tc>
          <w:tcPr>
            <w:tcW w:w="1742" w:type="pct"/>
            <w:vAlign w:val="center"/>
            <w:textDirection w:val="lrTb"/>
            <w:noWrap w:val="false"/>
          </w:tcPr>
          <w:p>
            <w:pPr>
              <w:spacing w:line="440" w:lineRule="exact"/>
              <w:rPr>
                <w:rFonts w:ascii="宋体" w:hAnsi="宋体" w:cs="宋体"/>
                <w:color w:val="auto"/>
                <w:szCs w:val="21"/>
              </w:rPr>
            </w:pPr>
            <w:r/>
            <w:bookmarkStart w:id="23" w:name="_GoBack"/>
            <w:r>
              <w:rPr>
                <w:rFonts w:hint="eastAsia" w:ascii="宋体" w:hAnsi="宋体" w:cs="宋体"/>
                <w:b/>
                <w:bCs/>
                <w:color w:val="ff0000"/>
                <w:szCs w:val="21"/>
              </w:rPr>
              <w:t xml:space="preserve">投标人须注明</w:t>
            </w:r>
            <w:r>
              <w:rPr>
                <w:rFonts w:ascii="宋体" w:hAnsi="宋体" w:cs="宋体"/>
                <w:b/>
                <w:bCs/>
                <w:color w:val="ff0000"/>
                <w:szCs w:val="21"/>
              </w:rPr>
              <w:t xml:space="preserve">1项体检点，用于评审评分</w:t>
            </w:r>
            <w:bookmarkEnd w:id="23"/>
            <w:r/>
            <w:r/>
          </w:p>
        </w:tc>
      </w:tr>
    </w:tbl>
    <w:p>
      <w:pPr>
        <w:jc w:val="left"/>
        <w:spacing w:line="360" w:lineRule="auto"/>
        <w:shd w:val="clear" w:color="auto" w:fill="ffffff"/>
        <w:widowControl/>
        <w:rPr>
          <w:rFonts w:ascii="宋体" w:hAnsi="宋体" w:cs="宋体"/>
          <w:color w:val="auto"/>
          <w:szCs w:val="21"/>
        </w:rPr>
      </w:pPr>
      <w:r>
        <w:rPr>
          <w:rFonts w:ascii="宋体" w:hAnsi="宋体" w:cs="宋体"/>
          <w:color w:val="auto"/>
          <w:szCs w:val="21"/>
        </w:rPr>
      </w: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投标单位（加盖电子公章）：</w:t>
      </w:r>
      <w:r>
        <w:rPr>
          <w:rFonts w:hint="eastAsia" w:ascii="宋体" w:hAnsi="宋体" w:cs="宋体"/>
          <w:color w:val="auto"/>
          <w:szCs w:val="21"/>
          <w:u w:val="single"/>
        </w:rPr>
        <w:t xml:space="preserve">                             </w:t>
      </w:r>
      <w:r/>
    </w:p>
    <w:p>
      <w:pPr>
        <w:jc w:val="left"/>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说明：</w:t>
      </w:r>
      <w:r/>
    </w:p>
    <w:p>
      <w:pPr>
        <w:ind w:firstLine="422"/>
        <w:jc w:val="left"/>
        <w:spacing w:line="360" w:lineRule="auto"/>
        <w:shd w:val="clear" w:color="auto" w:fill="ffffff"/>
        <w:widowControl/>
        <w:rPr>
          <w:rFonts w:ascii="宋体" w:hAnsi="宋体" w:cs="宋体"/>
          <w:b/>
          <w:bCs/>
          <w:color w:val="auto"/>
          <w:szCs w:val="21"/>
          <w:lang w:val="zh-CN"/>
        </w:rPr>
      </w:pPr>
      <w:r>
        <w:rPr>
          <w:rFonts w:ascii="宋体" w:hAnsi="宋体" w:cs="宋体"/>
          <w:b/>
          <w:bCs/>
          <w:color w:val="auto"/>
          <w:szCs w:val="21"/>
          <w:lang w:val="zh-CN"/>
        </w:rPr>
        <w:t xml:space="preserve">1、</w:t>
      </w:r>
      <w:r>
        <w:rPr>
          <w:rFonts w:hint="eastAsia" w:ascii="宋体" w:hAnsi="宋体" w:cs="宋体"/>
          <w:b/>
          <w:bCs/>
          <w:color w:val="auto"/>
          <w:szCs w:val="21"/>
        </w:rPr>
        <w:t xml:space="preserve">本项目仅接受一个价格，不得填报有选择性报价方案。如有优惠条款须注明，但不得影响报价，影响项目履约交付。</w:t>
      </w:r>
      <w:r/>
    </w:p>
    <w:p>
      <w:pPr>
        <w:ind w:firstLine="422"/>
        <w:jc w:val="left"/>
        <w:spacing w:line="360" w:lineRule="auto"/>
        <w:shd w:val="clear" w:color="auto" w:fill="ffffff"/>
        <w:widowControl/>
        <w:rPr>
          <w:rFonts w:ascii="宋体" w:hAnsi="宋体" w:cs="宋体"/>
          <w:b/>
          <w:bCs/>
          <w:szCs w:val="21"/>
          <w:lang w:val="zh-CN"/>
        </w:rPr>
      </w:pPr>
      <w:r>
        <w:rPr>
          <w:rFonts w:ascii="宋体" w:hAnsi="宋体" w:cs="宋体"/>
          <w:b/>
          <w:bCs/>
          <w:color w:val="auto"/>
          <w:szCs w:val="21"/>
          <w:lang w:val="zh-CN"/>
        </w:rPr>
        <w:t xml:space="preserve">2、</w:t>
      </w:r>
      <w:r>
        <w:rPr>
          <w:rFonts w:hint="eastAsia" w:ascii="宋体" w:hAnsi="宋体" w:cs="宋体"/>
          <w:b/>
          <w:bCs/>
          <w:color w:val="auto"/>
          <w:szCs w:val="21"/>
        </w:rPr>
        <w:t xml:space="preserve">对于报价填写方式不理解的可与代理机构联系，联系方式：025-83306855，17351003011。</w:t>
      </w:r>
      <w:r>
        <w:rPr>
          <w:rFonts w:hint="eastAsia" w:ascii="宋体" w:hAnsi="宋体" w:cs="宋体"/>
          <w:b/>
          <w:bCs/>
          <w:szCs w:val="21"/>
          <w:lang w:val="zh-CN"/>
        </w:rPr>
        <w:br w:type="page" w:clear="all"/>
      </w:r>
      <w:r/>
    </w:p>
    <w:p>
      <w:pPr>
        <w:spacing w:line="460" w:lineRule="atLeast"/>
        <w:widowControl/>
        <w:rPr>
          <w:rFonts w:ascii="宋体" w:hAnsi="宋体" w:cs="宋体"/>
          <w:b/>
          <w:bCs/>
          <w:sz w:val="24"/>
          <w:lang w:val="zh-CN"/>
        </w:rPr>
        <w:outlineLvl w:val="1"/>
      </w:pPr>
      <w:r>
        <w:rPr>
          <w:rFonts w:hint="eastAsia" w:ascii="宋体" w:hAnsi="宋体" w:cs="宋体"/>
          <w:b/>
          <w:bCs/>
          <w:sz w:val="24"/>
          <w:lang w:val="zh-CN"/>
        </w:rPr>
        <w:t xml:space="preserve">附件四、分项报价表</w:t>
      </w:r>
      <w:r/>
    </w:p>
    <w:p>
      <w:pPr>
        <w:jc w:val="center"/>
        <w:spacing w:line="460" w:lineRule="atLeast"/>
        <w:widowControl/>
        <w:rPr>
          <w:rFonts w:ascii="宋体" w:hAnsi="宋体" w:cs="宋体"/>
          <w:b/>
          <w:bCs/>
          <w:sz w:val="24"/>
        </w:rPr>
        <w:outlineLvl w:val="1"/>
      </w:pPr>
      <w:r>
        <w:rPr>
          <w:rFonts w:hint="eastAsia" w:ascii="宋体" w:hAnsi="宋体" w:cs="宋体"/>
          <w:b/>
          <w:bCs/>
          <w:sz w:val="24"/>
        </w:rPr>
        <w:t xml:space="preserve">格式自拟（如有）</w:t>
      </w:r>
      <w:r/>
    </w:p>
    <w:p>
      <w:pPr>
        <w:jc w:val="left"/>
        <w:widowControl/>
        <w:rPr>
          <w:rFonts w:ascii="宋体" w:hAnsi="宋体" w:cs="宋体"/>
          <w:szCs w:val="21"/>
        </w:rPr>
      </w:pPr>
      <w:r>
        <w:rPr>
          <w:rFonts w:hint="eastAsia" w:ascii="宋体" w:hAnsi="宋体" w:cs="宋体"/>
          <w:szCs w:val="21"/>
        </w:rPr>
        <w:br w:type="page" w:clear="all"/>
      </w:r>
      <w:r/>
    </w:p>
    <w:p>
      <w:pPr>
        <w:spacing w:line="460" w:lineRule="atLeast"/>
        <w:widowControl/>
        <w:rPr>
          <w:rFonts w:ascii="宋体" w:hAnsi="宋体" w:cs="宋体"/>
          <w:b/>
          <w:bCs/>
          <w:sz w:val="24"/>
        </w:rPr>
      </w:pPr>
      <w:r>
        <w:rPr>
          <w:rFonts w:hint="eastAsia" w:ascii="宋体" w:hAnsi="宋体" w:cs="宋体"/>
          <w:b/>
          <w:bCs/>
          <w:sz w:val="24"/>
        </w:rPr>
        <w:t xml:space="preserve"> 附件五、技术条款偏离表</w:t>
      </w:r>
      <w:r/>
    </w:p>
    <w:p>
      <w:pPr>
        <w:ind w:left="435"/>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技术条款偏离表</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897"/>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09"/>
        <w:gridCol w:w="1856"/>
        <w:gridCol w:w="2136"/>
        <w:gridCol w:w="2414"/>
        <w:gridCol w:w="1161"/>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1326"/>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gridSpan w:val="2"/>
            <w:tcMar>
              <w:left w:w="10" w:type="dxa"/>
              <w:top w:w="0" w:type="dxa"/>
              <w:right w:w="10" w:type="dxa"/>
              <w:bottom w:w="0" w:type="dxa"/>
            </w:tcMar>
            <w:tcW w:w="241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我单位承诺，其余普通条款（除了要求证明材料的）均满足采购文件要求，无偏离</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均满足采购文件要求，无偏离</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无偏离</w:t>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自拟无效），如未附有效支撑材料或者所附的支撑材料由评标委员会认为不能佐证技术指标的有效性的，则视为负偏离。</w:t>
      </w:r>
      <w:r>
        <w:rPr>
          <w:rFonts w:hint="eastAsia" w:ascii="宋体" w:hAnsi="宋体" w:cs="宋体"/>
          <w:b/>
          <w:bCs/>
          <w:i/>
          <w:iCs/>
          <w:szCs w:val="21"/>
          <w:u w:val="single"/>
        </w:rPr>
        <w:t xml:space="preserve">如文件中要求提供证明材料，建议采用箭头、标红、下划线或页码等进行明显标注，方便评委查看。</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2、如果行数不够，请自行增加。</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3、“偏离”栏应注明“无偏离”或“正偏离”或“负偏离”。</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4、内容响应存在正偏离或无偏离或负偏离的，请在本表中逐条列出。未列出的，也视为响应招标文件要求，无偏离。如果行数不够，请自行增加。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rPr>
          <w:rFonts w:ascii="宋体" w:hAnsi="宋体" w:cs="宋体"/>
          <w:szCs w:val="21"/>
        </w:rPr>
      </w:pPr>
      <w:r>
        <w:rPr>
          <w:rFonts w:hint="eastAsia" w:ascii="宋体" w:hAnsi="宋体" w:cs="宋体"/>
          <w:szCs w:val="21"/>
        </w:rPr>
        <w:br w:type="page" w:clear="all"/>
      </w:r>
      <w:r/>
    </w:p>
    <w:p>
      <w:pPr>
        <w:spacing w:line="460" w:lineRule="atLeast"/>
        <w:widowControl/>
        <w:rPr>
          <w:rFonts w:ascii="宋体" w:hAnsi="宋体" w:cs="宋体"/>
          <w:b/>
          <w:bCs/>
          <w:sz w:val="24"/>
        </w:rPr>
      </w:pPr>
      <w:r>
        <w:rPr>
          <w:rFonts w:hint="eastAsia" w:ascii="宋体" w:hAnsi="宋体" w:cs="宋体"/>
          <w:b/>
          <w:bCs/>
          <w:sz w:val="24"/>
        </w:rPr>
        <w:t xml:space="preserve">附件六、商务条款偏离表格式</w:t>
      </w:r>
      <w:r/>
    </w:p>
    <w:p>
      <w:pPr>
        <w:ind w:firstLine="420"/>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89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说明：</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1、如果行数不够，请自行增加。</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2、“偏离”栏应注明“无偏离”或“正偏离”或“负偏离”。</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ascii="宋体" w:hAnsi="宋体" w:cs="宋体"/>
          <w:szCs w:val="21"/>
        </w:rPr>
      </w:pPr>
      <w:r>
        <w:rPr>
          <w:rFonts w:ascii="宋体" w:hAnsi="宋体" w:cs="宋体"/>
          <w:szCs w:val="21"/>
        </w:rPr>
      </w:r>
      <w:r/>
    </w:p>
    <w:p>
      <w:pPr>
        <w:spacing w:line="460" w:lineRule="atLeast"/>
        <w:widowControl/>
        <w:rPr>
          <w:rFonts w:ascii="宋体" w:hAnsi="宋体" w:cs="宋体"/>
          <w:b/>
          <w:szCs w:val="21"/>
        </w:rPr>
      </w:pPr>
      <w:r>
        <w:rPr>
          <w:rFonts w:hint="eastAsia" w:ascii="宋体" w:hAnsi="宋体" w:cs="宋体"/>
          <w:b/>
          <w:bCs/>
          <w:szCs w:val="21"/>
        </w:rPr>
        <w:br w:type="page" w:clear="all"/>
      </w:r>
      <w:r>
        <w:rPr>
          <w:rFonts w:hint="eastAsia" w:ascii="宋体" w:hAnsi="宋体" w:cs="宋体"/>
          <w:b/>
          <w:bCs/>
          <w:sz w:val="24"/>
        </w:rPr>
        <w:t xml:space="preserve">附件七、方案</w:t>
      </w:r>
      <w:r/>
    </w:p>
    <w:p>
      <w:pPr>
        <w:jc w:val="left"/>
        <w:spacing w:line="360" w:lineRule="auto"/>
        <w:shd w:val="clear" w:color="auto" w:fill="ffffff"/>
        <w:widowControl/>
        <w:rPr>
          <w:rFonts w:ascii="宋体" w:hAnsi="宋体" w:cs="宋体"/>
          <w:b/>
          <w:szCs w:val="21"/>
          <w:lang w:val="zh-CN"/>
        </w:rPr>
      </w:pPr>
      <w:r>
        <w:rPr>
          <w:rFonts w:ascii="宋体" w:hAnsi="宋体" w:cs="宋体"/>
          <w:b/>
          <w:szCs w:val="21"/>
          <w:lang w:val="zh-CN"/>
        </w:rPr>
      </w:r>
      <w:r/>
    </w:p>
    <w:p>
      <w:pPr>
        <w:pStyle w:val="1082"/>
        <w:ind w:firstLine="0"/>
        <w:spacing w:before="0" w:after="0"/>
        <w:rPr>
          <w:rFonts w:ascii="宋体" w:hAnsi="宋体" w:cs="宋体"/>
          <w:sz w:val="21"/>
          <w:szCs w:val="21"/>
        </w:rPr>
      </w:pPr>
      <w:r>
        <w:rPr>
          <w:rFonts w:hint="eastAsia" w:ascii="宋体" w:hAnsi="宋体" w:cs="宋体"/>
          <w:sz w:val="21"/>
          <w:szCs w:val="21"/>
        </w:rPr>
        <w:t xml:space="preserve">方案应根据采购人对项目的要求、评标标准的要求及项目本身的特点编写。</w:t>
      </w:r>
      <w:r/>
    </w:p>
    <w:p>
      <w:pPr>
        <w:pStyle w:val="1082"/>
        <w:ind w:firstLine="420"/>
        <w:spacing w:before="0" w:after="0"/>
        <w:rPr>
          <w:rFonts w:ascii="宋体" w:hAnsi="宋体" w:cs="宋体"/>
          <w:sz w:val="21"/>
          <w:szCs w:val="21"/>
        </w:rPr>
      </w:pPr>
      <w:r>
        <w:rPr>
          <w:rFonts w:ascii="宋体" w:hAnsi="宋体" w:cs="宋体"/>
          <w:sz w:val="21"/>
          <w:szCs w:val="21"/>
        </w:rPr>
      </w:r>
      <w:r/>
    </w:p>
    <w:p>
      <w:pPr>
        <w:jc w:val="left"/>
        <w:spacing w:line="360" w:lineRule="auto"/>
        <w:shd w:val="clear" w:color="auto" w:fill="ffffff"/>
        <w:widowControl/>
        <w:rPr>
          <w:rFonts w:ascii="Arial" w:hAnsi="Arial" w:cs="Arial"/>
          <w:b/>
          <w:bCs/>
          <w:sz w:val="22"/>
          <w:szCs w:val="22"/>
        </w:rPr>
      </w:pPr>
      <w:r>
        <w:rPr>
          <w:rFonts w:hint="eastAsia" w:ascii="Arial" w:hAnsi="Arial" w:cs="Arial"/>
          <w:b/>
          <w:bCs/>
          <w:sz w:val="22"/>
          <w:szCs w:val="22"/>
        </w:rPr>
        <w:t xml:space="preserve">相关内容请在苏采云平台对应模块填写。</w:t>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szCs w:val="21"/>
        </w:rPr>
      </w:pPr>
      <w:r>
        <w:rPr>
          <w:rFonts w:ascii="宋体" w:hAnsi="宋体" w:cs="宋体"/>
          <w:szCs w:val="21"/>
        </w:rPr>
      </w:r>
      <w:r/>
    </w:p>
    <w:p>
      <w:pPr>
        <w:jc w:val="left"/>
        <w:spacing w:line="360" w:lineRule="auto"/>
        <w:shd w:val="clear" w:color="auto" w:fill="ffffff"/>
        <w:widowControl/>
        <w:rPr>
          <w:rFonts w:ascii="宋体" w:hAnsi="宋体" w:cs="宋体"/>
          <w:b/>
          <w:bCs/>
          <w:szCs w:val="21"/>
        </w:rPr>
      </w:pPr>
      <w:r>
        <w:rPr>
          <w:rFonts w:hint="eastAsia" w:ascii="宋体" w:hAnsi="宋体" w:cs="宋体"/>
          <w:b/>
          <w:bCs/>
          <w:szCs w:val="21"/>
        </w:rPr>
        <w:t xml:space="preserve"> </w:t>
      </w:r>
      <w:r/>
    </w:p>
    <w:p>
      <w:pPr>
        <w:spacing w:line="460" w:lineRule="atLeast"/>
        <w:widowControl/>
        <w:rPr>
          <w:rFonts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ascii="宋体" w:hAnsi="宋体" w:cs="宋体"/>
          <w:b/>
          <w:bCs/>
          <w:sz w:val="24"/>
        </w:rPr>
      </w:pPr>
      <w:r>
        <w:rPr>
          <w:rFonts w:ascii="宋体" w:hAnsi="宋体" w:cs="宋体"/>
          <w:b/>
          <w:bCs/>
          <w:sz w:val="24"/>
        </w:rPr>
      </w:r>
      <w:r/>
    </w:p>
    <w:p>
      <w:pPr>
        <w:jc w:val="center"/>
        <w:widowControl/>
        <w:rPr>
          <w:rFonts w:ascii="宋体" w:hAnsi="宋体" w:cs="宋体"/>
          <w:b/>
          <w:bCs/>
          <w:sz w:val="24"/>
        </w:rPr>
      </w:pPr>
      <w:r>
        <w:rPr>
          <w:rFonts w:hint="eastAsia" w:ascii="宋体" w:hAnsi="宋体" w:cs="宋体"/>
          <w:b/>
          <w:bCs/>
          <w:sz w:val="24"/>
        </w:rPr>
        <w:t xml:space="preserve">拟参与本项目服务人员一览表</w:t>
      </w:r>
      <w:r/>
    </w:p>
    <w:p>
      <w:pPr>
        <w:jc w:val="center"/>
        <w:widowControl/>
        <w:rPr>
          <w:rFonts w:ascii="宋体" w:hAnsi="宋体" w:cs="宋体"/>
          <w:b/>
          <w:bCs/>
          <w:sz w:val="28"/>
          <w:szCs w:val="28"/>
        </w:rPr>
      </w:pPr>
      <w:r>
        <w:rPr>
          <w:rFonts w:hint="eastAsia" w:ascii="宋体" w:hAnsi="宋体" w:cs="宋体"/>
          <w:b/>
          <w:bCs/>
          <w:sz w:val="28"/>
          <w:szCs w:val="28"/>
        </w:rPr>
        <w:t xml:space="preserve">（医师）</w:t>
      </w:r>
      <w:r/>
    </w:p>
    <w:tbl>
      <w:tblPr>
        <w:tblStyle w:val="897"/>
        <w:tblW w:w="9321"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896"/>
        <w:gridCol w:w="663"/>
        <w:gridCol w:w="709"/>
        <w:gridCol w:w="1134"/>
        <w:gridCol w:w="1020"/>
        <w:gridCol w:w="994"/>
        <w:gridCol w:w="991"/>
        <w:gridCol w:w="742"/>
        <w:gridCol w:w="742"/>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岗位</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9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74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证明材料所在页码</w:t>
            </w:r>
            <w:r/>
          </w:p>
        </w:tc>
        <w:tc>
          <w:tcPr>
            <w:tcBorders>
              <w:top w:val="single" w:color="000000" w:sz="4" w:space="0"/>
              <w:left w:val="none" w:color="000000" w:sz="4" w:space="0"/>
              <w:bottom w:val="single" w:color="000000" w:sz="4" w:space="0"/>
              <w:right w:val="single" w:color="000000" w:sz="4" w:space="0"/>
            </w:tcBorders>
            <w:tcW w:w="74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ascii="宋体" w:hAnsi="宋体" w:cs="宋体"/>
          <w:szCs w:val="21"/>
        </w:rPr>
      </w:r>
      <w:r/>
    </w:p>
    <w:p>
      <w:pPr>
        <w:widowControl/>
        <w:rPr>
          <w:rFonts w:ascii="宋体" w:hAnsi="宋体" w:cs="宋体"/>
          <w:szCs w:val="21"/>
        </w:rPr>
      </w:pPr>
      <w:r>
        <w:rPr>
          <w:rFonts w:ascii="宋体" w:hAnsi="宋体" w:cs="宋体"/>
          <w:szCs w:val="21"/>
        </w:rPr>
      </w:r>
      <w:r/>
    </w:p>
    <w:p>
      <w:pPr>
        <w:jc w:val="center"/>
        <w:widowControl/>
        <w:rPr>
          <w:rFonts w:ascii="宋体" w:hAnsi="宋体" w:cs="宋体"/>
          <w:b/>
          <w:bCs/>
          <w:sz w:val="24"/>
        </w:rPr>
      </w:pPr>
      <w:r>
        <w:rPr>
          <w:rFonts w:hint="eastAsia" w:ascii="宋体" w:hAnsi="宋体" w:cs="宋体"/>
          <w:b/>
          <w:bCs/>
          <w:sz w:val="24"/>
        </w:rPr>
        <w:t xml:space="preserve">拟参与本项目服务人员一览表</w:t>
      </w:r>
      <w:r/>
    </w:p>
    <w:p>
      <w:pPr>
        <w:jc w:val="center"/>
        <w:widowControl/>
        <w:rPr>
          <w:rFonts w:ascii="宋体" w:hAnsi="宋体" w:cs="宋体"/>
          <w:b/>
          <w:bCs/>
          <w:sz w:val="28"/>
          <w:szCs w:val="28"/>
        </w:rPr>
      </w:pPr>
      <w:r>
        <w:rPr>
          <w:rFonts w:hint="eastAsia" w:ascii="宋体" w:hAnsi="宋体" w:cs="宋体"/>
          <w:b/>
          <w:bCs/>
          <w:sz w:val="28"/>
          <w:szCs w:val="28"/>
        </w:rPr>
        <w:t xml:space="preserve">（护士）</w:t>
      </w:r>
      <w:r/>
    </w:p>
    <w:tbl>
      <w:tblPr>
        <w:tblStyle w:val="897"/>
        <w:tblW w:w="9321"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896"/>
        <w:gridCol w:w="663"/>
        <w:gridCol w:w="709"/>
        <w:gridCol w:w="1134"/>
        <w:gridCol w:w="1020"/>
        <w:gridCol w:w="994"/>
        <w:gridCol w:w="991"/>
        <w:gridCol w:w="742"/>
        <w:gridCol w:w="742"/>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岗位</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执业</w:t>
            </w:r>
            <w:r/>
          </w:p>
          <w:p>
            <w:pPr>
              <w:jc w:val="center"/>
              <w:widowControl/>
              <w:rPr>
                <w:rFonts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99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74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证明材料所在页码</w:t>
            </w:r>
            <w:r/>
          </w:p>
        </w:tc>
        <w:tc>
          <w:tcPr>
            <w:tcBorders>
              <w:top w:val="single" w:color="000000" w:sz="4" w:space="0"/>
              <w:left w:val="none" w:color="000000" w:sz="4" w:space="0"/>
              <w:bottom w:val="single" w:color="000000" w:sz="4" w:space="0"/>
              <w:right w:val="single" w:color="000000" w:sz="4" w:space="0"/>
            </w:tcBorders>
            <w:tcW w:w="74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1"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2" w:type="dxa"/>
            <w:textDirection w:val="lrTb"/>
            <w:noWrap w:val="false"/>
          </w:tcPr>
          <w:p>
            <w:pPr>
              <w:widowControl/>
              <w:rPr>
                <w:rFonts w:ascii="宋体" w:hAnsi="宋体" w:cs="宋体"/>
                <w:szCs w:val="21"/>
              </w:rPr>
            </w:pPr>
            <w:r>
              <w:rPr>
                <w:rFonts w:ascii="宋体" w:hAnsi="宋体" w:cs="宋体"/>
                <w:szCs w:val="21"/>
              </w:rPr>
            </w:r>
            <w:r/>
          </w:p>
        </w:tc>
      </w:tr>
    </w:tbl>
    <w:p>
      <w:pPr>
        <w:widowControl/>
        <w:rPr>
          <w:rFonts w:ascii="宋体" w:hAnsi="宋体" w:cs="宋体"/>
          <w:b/>
          <w:bCs/>
          <w:szCs w:val="21"/>
        </w:rPr>
      </w:pPr>
      <w:r>
        <w:rPr>
          <w:rFonts w:ascii="宋体" w:hAnsi="宋体" w:cs="宋体"/>
          <w:b/>
          <w:bCs/>
          <w:szCs w:val="21"/>
        </w:rPr>
      </w:r>
      <w:r/>
    </w:p>
    <w:p>
      <w:pPr>
        <w:widowControl/>
        <w:rPr>
          <w:rFonts w:ascii="宋体" w:hAnsi="宋体" w:cs="宋体"/>
          <w:b/>
          <w:bCs/>
          <w:szCs w:val="21"/>
        </w:rPr>
      </w:pPr>
      <w:r>
        <w:rPr>
          <w:rFonts w:hint="eastAsia" w:ascii="宋体" w:hAnsi="宋体" w:cs="宋体"/>
          <w:b/>
          <w:bCs/>
          <w:szCs w:val="21"/>
        </w:rPr>
        <w:t xml:space="preserve">备注：</w:t>
      </w:r>
      <w:r/>
    </w:p>
    <w:p>
      <w:pPr>
        <w:widowControl/>
        <w:rPr>
          <w:rFonts w:ascii="宋体" w:hAnsi="宋体" w:cs="宋体"/>
          <w:szCs w:val="21"/>
        </w:rPr>
      </w:pPr>
      <w:r>
        <w:rPr>
          <w:rFonts w:hint="eastAsia" w:ascii="宋体" w:hAnsi="宋体" w:cs="宋体"/>
          <w:szCs w:val="21"/>
        </w:rPr>
        <w:t xml:space="preserve">1、提供本项目各科室拟派体检医生、护士一览表（医生必须提供医师资格证书、医师执业证书、专业技术资格证的姓名页、证书编号页、有内容的变更注册记录页以及执业记录页扫描件，护士必须提供护士执业证书的姓名及编号页、有内容的变更注册页及延续注册页扫描件，提供的证明材料必须能体现评审内容，否则视为未提供。</w:t>
      </w:r>
      <w:r/>
    </w:p>
    <w:p>
      <w:pPr>
        <w:widowControl/>
        <w:rPr>
          <w:rFonts w:ascii="宋体" w:hAnsi="宋体" w:cs="宋体"/>
          <w:szCs w:val="21"/>
        </w:rPr>
      </w:pPr>
      <w:r>
        <w:rPr>
          <w:rFonts w:hint="eastAsia" w:ascii="宋体" w:hAnsi="宋体" w:cs="宋体"/>
          <w:szCs w:val="21"/>
        </w:rPr>
        <w:t xml:space="preserve">2、医师多点执业可从国家卫生健康委员会电子化注册信息系统查询、截图打印，须同时提供该医师与投标单位签订的劳务聘用/服务协议。</w:t>
      </w:r>
      <w:r/>
    </w:p>
    <w:p>
      <w:pPr>
        <w:spacing w:line="360" w:lineRule="auto"/>
        <w:widowControl/>
        <w:rPr>
          <w:rFonts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附件九、供应商类似业绩情况表</w:t>
      </w:r>
      <w:r/>
    </w:p>
    <w:p>
      <w:pPr>
        <w:jc w:val="center"/>
        <w:spacing w:line="360" w:lineRule="auto"/>
        <w:widowControl/>
        <w:rPr>
          <w:rFonts w:ascii="宋体" w:hAnsi="宋体" w:cs="宋体"/>
          <w:b/>
          <w:bCs/>
          <w:sz w:val="24"/>
        </w:rPr>
      </w:pPr>
      <w:r>
        <w:rPr>
          <w:rFonts w:ascii="宋体" w:hAnsi="宋体" w:cs="宋体"/>
          <w:b/>
          <w:bCs/>
          <w:sz w:val="24"/>
        </w:rPr>
      </w:r>
      <w:r/>
    </w:p>
    <w:p>
      <w:pPr>
        <w:jc w:val="center"/>
        <w:spacing w:line="360" w:lineRule="auto"/>
        <w:widowControl/>
        <w:rPr>
          <w:rFonts w:ascii="宋体" w:hAnsi="宋体" w:cs="宋体"/>
          <w:b/>
          <w:bCs/>
          <w:sz w:val="24"/>
        </w:rPr>
      </w:pPr>
      <w:r>
        <w:rPr>
          <w:rFonts w:hint="eastAsia" w:ascii="宋体" w:hAnsi="宋体" w:cs="宋体"/>
          <w:b/>
          <w:bCs/>
          <w:sz w:val="24"/>
        </w:rPr>
        <w:t xml:space="preserve">供应商类似业绩情况表</w:t>
      </w:r>
      <w:r/>
    </w:p>
    <w:tbl>
      <w:tblPr>
        <w:tblStyle w:val="89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签约及服务</w:t>
            </w:r>
            <w:r/>
          </w:p>
          <w:p>
            <w:pPr>
              <w:jc w:val="center"/>
              <w:spacing w:line="400" w:lineRule="atLeast"/>
              <w:widowControl/>
              <w:rPr>
                <w:rFonts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rPr>
            </w:pPr>
            <w:r>
              <w:rPr>
                <w:rFonts w:ascii="宋体" w:hAnsi="宋体" w:cs="宋体"/>
                <w:szCs w:val="21"/>
              </w:rPr>
            </w:r>
            <w:r/>
          </w:p>
        </w:tc>
      </w:tr>
    </w:tbl>
    <w:p>
      <w:pPr>
        <w:jc w:val="left"/>
        <w:spacing w:line="360" w:lineRule="auto"/>
        <w:shd w:val="clear" w:color="auto" w:fill="ffffff"/>
        <w:widowControl/>
        <w:rPr>
          <w:rFonts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460" w:lineRule="atLeast"/>
        <w:widowControl/>
        <w:rPr>
          <w:rFonts w:ascii="宋体" w:hAnsi="宋体" w:cs="宋体"/>
          <w:b/>
          <w:bCs/>
        </w:rPr>
      </w:pPr>
      <w:r>
        <w:rPr>
          <w:rFonts w:hint="eastAsia" w:ascii="宋体" w:hAnsi="宋体" w:cs="宋体"/>
          <w:szCs w:val="21"/>
          <w:u w:val="single"/>
        </w:rPr>
        <w:br w:type="page" w:clear="all"/>
      </w:r>
      <w:r>
        <w:rPr>
          <w:rFonts w:hint="eastAsia" w:ascii="宋体" w:hAnsi="宋体" w:cs="宋体"/>
          <w:b/>
          <w:bCs/>
          <w:sz w:val="24"/>
        </w:rPr>
        <w:t xml:space="preserve">附件十、企业声明函格式</w:t>
      </w:r>
      <w:r/>
    </w:p>
    <w:p>
      <w:pPr>
        <w:jc w:val="center"/>
        <w:spacing w:line="300" w:lineRule="exact"/>
        <w:rPr>
          <w:rFonts w:ascii="宋体" w:hAnsi="宋体" w:cs="宋体"/>
          <w:b/>
          <w:bCs/>
          <w:sz w:val="28"/>
        </w:rPr>
      </w:pPr>
      <w:r>
        <w:rPr>
          <w:rFonts w:ascii="宋体" w:hAnsi="宋体" w:cs="宋体"/>
          <w:b/>
          <w:bCs/>
          <w:sz w:val="28"/>
        </w:rPr>
      </w:r>
      <w:r/>
    </w:p>
    <w:p>
      <w:pPr>
        <w:jc w:val="center"/>
        <w:spacing w:line="360" w:lineRule="auto"/>
        <w:rPr>
          <w:rFonts w:ascii="宋体" w:hAnsi="宋体" w:cs="宋体"/>
          <w:b/>
          <w:bCs/>
          <w:sz w:val="28"/>
        </w:rPr>
      </w:pPr>
      <w:r>
        <w:rPr>
          <w:rFonts w:hint="eastAsia" w:ascii="宋体" w:hAnsi="宋体" w:cs="宋体"/>
          <w:b/>
          <w:bCs/>
          <w:sz w:val="28"/>
        </w:rPr>
        <w:t xml:space="preserve">中小企业声明函（服务）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 号）的规定，本公司（联合体）参加</w:t>
      </w:r>
      <w:r>
        <w:rPr>
          <w:rFonts w:hint="eastAsia" w:ascii="宋体" w:hAnsi="宋体" w:eastAsia="宋体" w:cs="宋体"/>
          <w:sz w:val="24"/>
          <w:szCs w:val="24"/>
          <w:u w:val="single"/>
        </w:rPr>
        <w:t xml:space="preserve">  [采购人单位名称]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采购活动，提供的服务全部由符合政策要求的中小企业承接。根据《工业和信息化部、国家统计局、国家发展和改革委员会、财政部关于印发中小企业划型标准规定的通知》(工信部联企业[2011]300号)的规定，相关企业的具体情况如下： </w:t>
      </w:r>
      <w:r/>
    </w:p>
    <w:p>
      <w:pPr>
        <w:ind w:firstLine="480"/>
        <w:spacing w:line="360" w:lineRule="auto"/>
        <w:tabs>
          <w:tab w:val="left" w:pos="1184" w:leader="none"/>
          <w:tab w:val="left" w:pos="1384" w:leader="none"/>
          <w:tab w:val="left" w:pos="4562" w:leader="none"/>
          <w:tab w:val="left" w:pos="6803"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中型企业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小型企业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微型企业  </w:t>
      </w:r>
      <w:r>
        <w:rPr>
          <w:rFonts w:hint="eastAsia" w:ascii="宋体" w:hAnsi="宋体" w:eastAsia="宋体" w:cs="宋体"/>
          <w:sz w:val="24"/>
          <w:szCs w:val="24"/>
        </w:rPr>
        <w:t xml:space="preserve">；</w:t>
      </w:r>
      <w:r/>
    </w:p>
    <w:p>
      <w:pPr>
        <w:ind w:firstLine="480"/>
        <w:spacing w:line="360" w:lineRule="auto"/>
        <w:tabs>
          <w:tab w:val="left" w:pos="1184" w:leader="none"/>
          <w:tab w:val="left" w:pos="1384" w:leader="none"/>
          <w:tab w:val="left" w:pos="4562" w:leader="none"/>
          <w:tab w:val="left" w:pos="6803"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中型企业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小型企业    </w:t>
      </w:r>
      <w:r>
        <w:rPr>
          <w:rFonts w:ascii="Wingdings 2" w:hAnsi="Wingdings 2" w:eastAsia="Wingdings 2" w:cs="Wingdings 2"/>
          <w:sz w:val="24"/>
          <w:szCs w:val="24"/>
          <w:u w:val="single"/>
        </w:rPr>
        <w:t xml:space="preserve">*</w:t>
      </w:r>
      <w:r>
        <w:rPr>
          <w:rFonts w:hint="eastAsia" w:ascii="宋体" w:hAnsi="宋体" w:eastAsia="宋体" w:cs="宋体"/>
          <w:sz w:val="24"/>
          <w:szCs w:val="24"/>
          <w:u w:val="single"/>
        </w:rPr>
        <w:t xml:space="preserve">微型企业  </w:t>
      </w:r>
      <w:r>
        <w:rPr>
          <w:rFonts w:hint="eastAsia" w:ascii="宋体" w:hAnsi="宋体" w:eastAsia="宋体" w:cs="宋体"/>
          <w:sz w:val="24"/>
          <w:szCs w:val="24"/>
        </w:rPr>
        <w:t xml:space="preserve">；</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企业名称（加盖电子公章）：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p>
    <w:p>
      <w:pPr>
        <w:ind w:firstLine="480"/>
        <w:spacing w:line="360" w:lineRule="auto"/>
        <w:rPr>
          <w:rFonts w:ascii="宋体" w:hAnsi="宋体"/>
          <w:sz w:val="24"/>
        </w:rPr>
      </w:pPr>
      <w:r>
        <w:rPr>
          <w:rFonts w:ascii="宋体" w:hAnsi="宋体"/>
          <w:sz w:val="24"/>
        </w:rPr>
      </w:r>
      <w:r/>
    </w:p>
    <w:p>
      <w:pPr>
        <w:ind w:firstLine="420"/>
        <w:keepLines/>
        <w:keepNext/>
        <w:rPr>
          <w:rFonts w:ascii="宋体" w:hAnsi="宋体" w:cs="宋体"/>
        </w:rPr>
      </w:pPr>
      <w:r>
        <w:rPr>
          <w:rFonts w:hint="eastAsia" w:ascii="宋体" w:hAnsi="宋体" w:cs="宋体"/>
        </w:rPr>
        <w:t xml:space="preserve">备注：</w:t>
      </w:r>
      <w:r/>
    </w:p>
    <w:p>
      <w:pPr>
        <w:ind w:firstLine="420"/>
        <w:keepLines/>
        <w:keepNext/>
        <w:rPr>
          <w:rFonts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420"/>
        <w:keepLines/>
        <w:keepNext/>
        <w:rPr>
          <w:rFonts w:ascii="宋体" w:hAnsi="宋体" w:cs="宋体"/>
          <w:b/>
          <w:bCs/>
        </w:rPr>
      </w:pPr>
      <w:r>
        <w:rPr>
          <w:rFonts w:hint="eastAsia" w:ascii="宋体" w:hAnsi="宋体" w:cs="宋体"/>
        </w:rPr>
        <w:t xml:space="preserve">2.《中小企业声明函》中所填的行业应与本采购标的对应的中小企业划分标准所属行业一致，不一致的不可享受相应政策优惠。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422"/>
        <w:keepLines/>
        <w:keepNext/>
        <w:rPr>
          <w:rFonts w:ascii="宋体" w:hAnsi="宋体" w:cs="宋体"/>
          <w:b/>
          <w:bCs/>
        </w:rPr>
      </w:pPr>
      <w:r>
        <w:rPr>
          <w:rFonts w:hint="eastAsia" w:ascii="宋体" w:hAnsi="宋体" w:cs="宋体"/>
          <w:b/>
          <w:bCs/>
        </w:rPr>
        <w:t xml:space="preserve">3.如未对（中型企业、小型企业、微型企业）进行勾选，视同非中小微企业，不可享受相应扶持政策。</w:t>
      </w:r>
      <w:r/>
    </w:p>
    <w:p>
      <w:pPr>
        <w:ind w:firstLine="420"/>
        <w:spacing w:line="360" w:lineRule="auto"/>
        <w:rPr>
          <w:rFonts w:ascii="宋体" w:hAnsi="宋体" w:cs="宋体"/>
          <w:b/>
        </w:rPr>
      </w:pPr>
      <w:r>
        <w:rPr>
          <w:rFonts w:hint="eastAsia" w:ascii="宋体" w:hAnsi="宋体" w:cs="宋体"/>
        </w:rPr>
        <w:t xml:space="preserve">4.中标单位为中小企业的，《中小企业声明函》将随中标结果同时公告</w:t>
      </w:r>
      <w:r>
        <w:rPr>
          <w:rFonts w:hint="eastAsia" w:ascii="宋体" w:hAnsi="宋体" w:cs="宋体"/>
          <w:lang w:val="zh-CN"/>
        </w:rPr>
        <w:t xml:space="preserve">。</w:t>
      </w:r>
      <w:r/>
    </w:p>
    <w:p>
      <w:pPr>
        <w:rPr>
          <w:rFonts w:ascii="宋体" w:hAnsi="宋体" w:cs="宋体"/>
          <w:b/>
        </w:rPr>
      </w:pPr>
      <w:r>
        <w:rPr>
          <w:rFonts w:hint="eastAsia" w:ascii="宋体" w:hAnsi="宋体" w:cs="宋体"/>
          <w:b/>
        </w:rPr>
        <w:t xml:space="preserve">附：中小企业划型标准规定</w:t>
      </w:r>
      <w:r/>
    </w:p>
    <w:p>
      <w:pPr>
        <w:ind w:firstLine="422"/>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cs="宋体"/>
        </w:rPr>
      </w:pPr>
      <w:r>
        <w:rPr>
          <w:rFonts w:hint="eastAsia" w:ascii="宋体" w:hAnsi="宋体" w:cs="宋体"/>
          <w:b/>
        </w:rPr>
        <w:t xml:space="preserve">（十六）其他未列明行业。</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p>
    <w:p>
      <w:pPr>
        <w:jc w:val="left"/>
        <w:widowControl/>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 w:val="28"/>
        </w:rPr>
      </w:pPr>
      <w:r>
        <w:rPr>
          <w:rFonts w:ascii="宋体" w:hAnsi="宋体" w:cs="宋体"/>
          <w:b/>
          <w:bCs/>
          <w:sz w:val="28"/>
        </w:rPr>
      </w:r>
      <w:r/>
    </w:p>
    <w:p>
      <w:pPr>
        <w:rPr>
          <w:rFonts w:ascii="宋体" w:hAnsi="宋体" w:cs="宋体"/>
          <w:b/>
          <w:bCs/>
          <w:sz w:val="28"/>
        </w:rPr>
      </w:pPr>
      <w:r>
        <w:rPr>
          <w:rFonts w:hint="eastAsia" w:ascii="宋体" w:hAnsi="宋体" w:cs="宋体"/>
          <w:b/>
          <w:bCs/>
          <w:sz w:val="28"/>
        </w:rPr>
        <w:br w:type="page" w:clear="all"/>
      </w:r>
      <w:r/>
    </w:p>
    <w:p>
      <w:pPr>
        <w:jc w:val="center"/>
        <w:spacing w:line="360" w:lineRule="auto"/>
        <w:rPr>
          <w:rFonts w:ascii="宋体" w:hAnsi="宋体" w:cs="宋体"/>
          <w:b/>
          <w:bCs/>
          <w:sz w:val="28"/>
        </w:rPr>
      </w:pPr>
      <w:r>
        <w:rPr>
          <w:rFonts w:hint="eastAsia" w:ascii="宋体" w:hAnsi="宋体" w:cs="宋体"/>
          <w:b/>
          <w:bCs/>
          <w:sz w:val="28"/>
        </w:rPr>
        <w:t xml:space="preserve">关于符合本国产品标准的声明函</w:t>
      </w:r>
      <w:r/>
    </w:p>
    <w:p>
      <w:pPr>
        <w:pStyle w:val="928"/>
        <w:ind w:firstLine="420"/>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8"/>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w:t>
      </w:r>
      <w:r>
        <w:rPr>
          <w:rStyle w:val="938"/>
          <w:rFonts w:hint="eastAsia"/>
          <w:color w:val="000000" w:themeColor="text1"/>
          <w:sz w:val="21"/>
          <w:szCs w:val="21"/>
          <w:u w:val="single"/>
          <w:shd w:val="clear" w:color="auto" w:fill="ffffff"/>
          <w14:textFill>
            <w14:solidFill>
              <w14:schemeClr w14:val="tx1"/>
            </w14:solidFill>
          </w14:textFill>
        </w:rPr>
        <w:t xml:space="preserve">（产品名称1）</w:t>
      </w:r>
      <w:r>
        <w:rPr>
          <w:rStyle w:val="938"/>
          <w:rFonts w:hint="eastAsia"/>
          <w:color w:val="000000" w:themeColor="text1"/>
          <w:sz w:val="21"/>
          <w:szCs w:val="21"/>
          <w:shd w:val="clear" w:color="auto" w:fill="ffffff"/>
          <w:vertAlign w:val="superscript"/>
          <w14:textFill>
            <w14:solidFill>
              <w14:schemeClr w14:val="tx1"/>
            </w14:solidFill>
          </w14:textFill>
        </w:rPr>
        <w:t xml:space="preserve">1</w:t>
      </w:r>
      <w:r>
        <w:rPr>
          <w:rFonts w:hint="eastAsia"/>
          <w:color w:val="000000" w:themeColor="text1"/>
          <w:sz w:val="21"/>
          <w:szCs w:val="21"/>
          <w:shd w:val="clear" w:color="auto" w:fill="ffffff"/>
          <w14:textFill>
            <w14:solidFill>
              <w14:schemeClr w14:val="tx1"/>
            </w14:solidFill>
          </w14:textFill>
        </w:rPr>
        <w:t xml:space="preserve">，生产厂为</w:t>
      </w:r>
      <w:r>
        <w:rPr>
          <w:rStyle w:val="938"/>
          <w:rFonts w:hint="eastAsia"/>
          <w:color w:val="000000" w:themeColor="text1"/>
          <w:sz w:val="21"/>
          <w:szCs w:val="21"/>
          <w:u w:val="single"/>
          <w:shd w:val="clear" w:color="auto" w:fill="ffffff"/>
          <w14:textFill>
            <w14:solidFill>
              <w14:schemeClr w14:val="tx1"/>
            </w14:solidFill>
          </w14:textFill>
        </w:rPr>
        <w:t xml:space="preserve">（厂名）</w:t>
      </w:r>
      <w:r>
        <w:rPr>
          <w:rStyle w:val="938"/>
          <w:rFonts w:hint="eastAsia"/>
          <w:color w:val="000000" w:themeColor="text1"/>
          <w:sz w:val="21"/>
          <w:szCs w:val="21"/>
          <w:shd w:val="clear" w:color="auto" w:fill="ffffff"/>
          <w:vertAlign w:val="superscript"/>
          <w14:textFill>
            <w14:solidFill>
              <w14:schemeClr w14:val="tx1"/>
            </w14:solidFill>
          </w14:textFill>
        </w:rPr>
        <w:t xml:space="preserve">2</w:t>
      </w:r>
      <w:r>
        <w:rPr>
          <w:rFonts w:hint="eastAsia"/>
          <w:color w:val="000000" w:themeColor="text1"/>
          <w:sz w:val="21"/>
          <w:szCs w:val="21"/>
          <w:shd w:val="clear" w:color="auto" w:fill="ffffff"/>
          <w14:textFill>
            <w14:solidFill>
              <w14:schemeClr w14:val="tx1"/>
            </w14:solidFill>
          </w14:textFill>
        </w:rPr>
        <w:t xml:space="preserve">，厂址为</w:t>
      </w:r>
      <w:r>
        <w:rPr>
          <w:rStyle w:val="938"/>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shd w:val="clear" w:color="auto" w:fill="ffffff"/>
          <w:vertAlign w:val="superscript"/>
          <w14:textFill>
            <w14:solidFill>
              <w14:schemeClr w14:val="tx1"/>
            </w14:solidFill>
          </w14:textFill>
        </w:rPr>
        <w:t xml:space="preserve">3</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shd w:val="clear" w:color="auto" w:fill="ffffff"/>
          <w:vertAlign w:val="superscript"/>
          <w14:textFill>
            <w14:solidFill>
              <w14:schemeClr w14:val="tx1"/>
            </w14:solidFill>
          </w14:textFill>
        </w:rPr>
        <w:t xml:space="preserve">4</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shd w:val="clear" w:color="auto" w:fill="ffffff"/>
          <w:vertAlign w:val="superscript"/>
          <w14:textFill>
            <w14:solidFill>
              <w14:schemeClr w14:val="tx1"/>
            </w14:solidFill>
          </w14:textFill>
        </w:rPr>
        <w:t xml:space="preserve">5</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928"/>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w:t>
      </w:r>
      <w:r>
        <w:rPr>
          <w:rStyle w:val="938"/>
          <w:rFonts w:hint="eastAsia"/>
          <w:color w:val="000000" w:themeColor="text1"/>
          <w:sz w:val="21"/>
          <w:szCs w:val="21"/>
          <w:u w:val="single"/>
          <w:shd w:val="clear" w:color="auto" w:fill="ffffff"/>
          <w14:textFill>
            <w14:solidFill>
              <w14:schemeClr w14:val="tx1"/>
            </w14:solidFill>
          </w14:textFill>
        </w:rPr>
        <w:t xml:space="preserve">（产品名称2）</w:t>
      </w:r>
      <w:r>
        <w:rPr>
          <w:rFonts w:hint="eastAsia"/>
          <w:color w:val="000000" w:themeColor="text1"/>
          <w:sz w:val="21"/>
          <w:szCs w:val="21"/>
          <w:shd w:val="clear" w:color="auto" w:fill="ffffff"/>
          <w14:textFill>
            <w14:solidFill>
              <w14:schemeClr w14:val="tx1"/>
            </w14:solidFill>
          </w14:textFill>
        </w:rPr>
        <w:t xml:space="preserve">，生产厂为</w:t>
      </w:r>
      <w:r>
        <w:rPr>
          <w:rStyle w:val="938"/>
          <w:rFonts w:hint="eastAsia"/>
          <w:color w:val="000000" w:themeColor="text1"/>
          <w:sz w:val="21"/>
          <w:szCs w:val="21"/>
          <w:u w:val="single"/>
          <w:shd w:val="clear" w:color="auto" w:fill="ffffff"/>
          <w14:textFill>
            <w14:solidFill>
              <w14:schemeClr w14:val="tx1"/>
            </w14:solidFill>
          </w14:textFill>
        </w:rPr>
        <w:t xml:space="preserve">（厂名）</w:t>
      </w:r>
      <w:r>
        <w:rPr>
          <w:rFonts w:hint="eastAsia"/>
          <w:color w:val="000000" w:themeColor="text1"/>
          <w:sz w:val="21"/>
          <w:szCs w:val="21"/>
          <w:shd w:val="clear" w:color="auto" w:fill="ffffff"/>
          <w14:textFill>
            <w14:solidFill>
              <w14:schemeClr w14:val="tx1"/>
            </w14:solidFill>
          </w14:textFill>
        </w:rPr>
        <w:t xml:space="preserve">，厂址为</w:t>
      </w:r>
      <w:r>
        <w:rPr>
          <w:rStyle w:val="938"/>
          <w:rFonts w:hint="eastAsia"/>
          <w:color w:val="000000" w:themeColor="text1"/>
          <w:sz w:val="21"/>
          <w:szCs w:val="21"/>
          <w:u w:val="single"/>
          <w:shd w:val="clear" w:color="auto" w:fill="ffffff"/>
          <w14:textFill>
            <w14:solidFill>
              <w14:schemeClr w14:val="tx1"/>
            </w14:solidFill>
          </w14:textFill>
        </w:rPr>
        <w:t xml:space="preserve">（生产厂址）</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的中国境内生产的组件成本占比≥</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在中国境内生产。</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在中国境内完成。</w:t>
      </w:r>
      <w:r/>
    </w:p>
    <w:p>
      <w:pPr>
        <w:pStyle w:val="928"/>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w:t>
      </w:r>
      <w:r/>
    </w:p>
    <w:p>
      <w:pPr>
        <w:pStyle w:val="928"/>
        <w:ind w:firstLine="420"/>
        <w:spacing w:before="30" w:beforeAutospacing="0" w:after="3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928"/>
        <w:ind w:firstLine="420"/>
        <w:jc w:val="both"/>
        <w:spacing w:before="0" w:beforeAutospacing="0" w:after="0" w:afterAutospacing="0" w:line="360" w:lineRule="auto"/>
        <w:shd w:val="clear" w:color="auto" w:fill="ffffff"/>
        <w:rPr>
          <w:color w:val="333333"/>
          <w:sz w:val="21"/>
          <w:szCs w:val="21"/>
          <w:shd w:val="clear" w:color="auto" w:fill="ffffff"/>
        </w:rPr>
      </w:pPr>
      <w:r>
        <w:rPr>
          <w:color w:val="333333"/>
          <w:sz w:val="21"/>
          <w:szCs w:val="21"/>
          <w:shd w:val="clear" w:color="auto" w:fill="ffffff"/>
        </w:rPr>
      </w:r>
      <w:r/>
    </w:p>
    <w:p>
      <w:pPr>
        <w:pStyle w:val="928"/>
        <w:ind w:firstLine="480"/>
        <w:jc w:val="right"/>
        <w:spacing w:before="0" w:beforeAutospacing="0" w:after="0" w:afterAutospacing="0" w:line="360" w:lineRule="auto"/>
        <w:shd w:val="clear" w:color="auto" w:fill="ffffff"/>
        <w:rPr>
          <w:color w:val="333333"/>
          <w:sz w:val="21"/>
          <w:szCs w:val="21"/>
        </w:rPr>
      </w:pPr>
      <w:r>
        <w:rPr>
          <w:rFonts w:hint="eastAsia"/>
          <w:szCs w:val="21"/>
        </w:rPr>
        <w:t xml:space="preserve">     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w:t>
      </w:r>
      <w:r/>
    </w:p>
    <w:p>
      <w:pPr>
        <w:pStyle w:val="928"/>
        <w:ind w:firstLine="420"/>
        <w:jc w:val="right"/>
        <w:spacing w:before="0" w:beforeAutospacing="0" w:after="0" w:afterAutospacing="0" w:line="360" w:lineRule="auto"/>
        <w:shd w:val="clear" w:color="auto" w:fill="ffffff"/>
        <w:rPr>
          <w:color w:val="333333"/>
          <w:sz w:val="21"/>
          <w:szCs w:val="21"/>
        </w:rPr>
      </w:pPr>
      <w:r>
        <w:rPr>
          <w:rFonts w:hint="eastAsia"/>
          <w:color w:val="333333"/>
          <w:sz w:val="21"/>
          <w:szCs w:val="21"/>
          <w:shd w:val="clear" w:color="auto" w:fill="ffffff"/>
        </w:rPr>
        <w:t xml:space="preserve">                                 日期：　　　年　　月　日</w:t>
      </w:r>
      <w:r/>
    </w:p>
    <w:p>
      <w:pPr>
        <w:pStyle w:val="928"/>
        <w:ind w:firstLine="420"/>
        <w:spacing w:before="0" w:beforeAutospacing="0" w:after="0" w:afterAutospacing="0"/>
        <w:shd w:val="clear" w:color="auto" w:fill="ffffff"/>
        <w:rPr>
          <w:color w:val="333333"/>
          <w:sz w:val="21"/>
          <w:szCs w:val="21"/>
          <w:shd w:val="clear" w:color="auto" w:fill="ffffff"/>
        </w:rPr>
      </w:pPr>
      <w:r>
        <w:rPr>
          <w:color w:val="333333"/>
          <w:sz w:val="21"/>
          <w:szCs w:val="21"/>
          <w:shd w:val="clear" w:color="auto" w:fill="ffffff"/>
        </w:rPr>
      </w:r>
      <w:r/>
    </w:p>
    <w:p>
      <w:pPr>
        <w:pStyle w:val="928"/>
        <w:ind w:firstLine="420"/>
        <w:spacing w:before="0" w:beforeAutospacing="0" w:after="0" w:afterAutospacing="0"/>
        <w:shd w:val="clear" w:color="auto" w:fill="ffffff"/>
        <w:rPr>
          <w:color w:val="333333"/>
          <w:sz w:val="21"/>
          <w:szCs w:val="21"/>
          <w:shd w:val="clear" w:color="auto" w:fill="ffffff"/>
        </w:rPr>
      </w:pPr>
      <w:r>
        <w:rPr>
          <w:rFonts w:hint="eastAsia"/>
          <w:color w:val="333333"/>
          <w:sz w:val="21"/>
          <w:szCs w:val="21"/>
          <w:shd w:val="clear" w:color="auto" w:fill="ffffff"/>
        </w:rPr>
        <w:t xml:space="preserve">备注：</w:t>
      </w:r>
      <w:r/>
    </w:p>
    <w:p>
      <w:pPr>
        <w:pStyle w:val="928"/>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1.产品如有型号，请在“产品名称”栏一并填写。</w:t>
      </w:r>
      <w:r/>
    </w:p>
    <w:p>
      <w:pPr>
        <w:pStyle w:val="928"/>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928"/>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928"/>
        <w:ind w:firstLine="420"/>
        <w:jc w:val="both"/>
        <w:spacing w:before="0" w:beforeAutospacing="0" w:after="0" w:afterAutospacing="0" w:line="360" w:lineRule="auto"/>
        <w:rPr>
          <w:color w:val="000000" w:themeColor="text1"/>
          <w:sz w:val="21"/>
          <w:szCs w:val="21"/>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928"/>
        <w:ind w:firstLine="420"/>
        <w:jc w:val="both"/>
        <w:spacing w:before="0" w:beforeAutospacing="0" w:after="0" w:afterAutospacing="0" w:line="360" w:lineRule="auto"/>
        <w:rPr>
          <w:color w:val="000000" w:themeColor="text1"/>
          <w:sz w:val="21"/>
          <w:szCs w:val="21"/>
          <w:shd w:val="clear" w:color="auto" w:fill="ffffff"/>
          <w14:textFill>
            <w14:solidFill>
              <w14:schemeClr w14:val="tx1"/>
            </w14:solidFill>
          </w14:textFill>
        </w:rPr>
      </w:pPr>
      <w:r>
        <w:rPr>
          <w:rFonts w:hint="eastAsia"/>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928"/>
        <w:ind w:firstLine="420"/>
        <w:jc w:val="both"/>
        <w:spacing w:before="0" w:beforeAutospacing="0" w:after="0" w:afterAutospacing="0" w:line="360" w:lineRule="auto"/>
        <w:rPr>
          <w:b/>
          <w:bCs/>
          <w:sz w:val="21"/>
          <w:szCs w:val="21"/>
        </w:rPr>
      </w:pPr>
      <w:r>
        <w:rPr>
          <w:rFonts w:hint="eastAsia"/>
          <w:color w:val="000000" w:themeColor="text1"/>
          <w:sz w:val="21"/>
          <w:szCs w:val="21"/>
          <w:shd w:val="clear" w:color="auto" w:fill="ffffff"/>
          <w14:textFill>
            <w14:solidFill>
              <w14:schemeClr w14:val="tx1"/>
            </w14:solidFill>
          </w14:textFill>
        </w:rPr>
        <w:t xml:space="preserve">6.《声明函》中标注“</w:t>
      </w:r>
      <w:r>
        <w:rPr>
          <w:rFonts w:hint="eastAsia"/>
          <w:color w:val="000000" w:themeColor="text1"/>
          <w:sz w:val="21"/>
          <w:szCs w:val="21"/>
          <w:u w:val="single"/>
          <w:shd w:val="clear" w:color="auto" w:fill="ffffff"/>
          <w14:textFill>
            <w14:solidFill>
              <w14:schemeClr w14:val="tx1"/>
            </w14:solidFill>
          </w14:textFill>
        </w:rPr>
        <w:t xml:space="preserve">  </w:t>
      </w:r>
      <w:r>
        <w:rPr>
          <w:rStyle w:val="938"/>
          <w:rFonts w:hint="eastAsia"/>
          <w:color w:val="000000" w:themeColor="text1"/>
          <w:sz w:val="21"/>
          <w:szCs w:val="21"/>
          <w:u w:val="single"/>
          <w:shd w:val="clear" w:color="auto" w:fill="ffffff"/>
          <w14:textFill>
            <w14:solidFill>
              <w14:schemeClr w14:val="tx1"/>
            </w14:solidFill>
          </w14:textFill>
        </w:rPr>
        <w:t xml:space="preserve">/  </w:t>
      </w:r>
      <w:r>
        <w:rPr>
          <w:rFonts w:hint="eastAsia"/>
          <w:color w:val="000000" w:themeColor="text1"/>
          <w:sz w:val="21"/>
          <w:szCs w:val="21"/>
          <w:shd w:val="clear" w:color="auto" w:fill="ffffff"/>
          <w14:textFill>
            <w14:solidFill>
              <w14:schemeClr w14:val="tx1"/>
            </w14:solidFill>
          </w14:textFill>
        </w:rPr>
        <w:t xml:space="preserve">”的地方无需填写。</w:t>
      </w:r>
      <w:r/>
    </w:p>
    <w:p>
      <w:pPr>
        <w:jc w:val="center"/>
        <w:spacing w:line="360" w:lineRule="auto"/>
        <w:rPr>
          <w:rStyle w:val="935"/>
          <w:rFonts w:ascii="宋体" w:hAnsi="宋体" w:cs="宋体"/>
          <w:sz w:val="36"/>
          <w:szCs w:val="36"/>
        </w:rPr>
      </w:pPr>
      <w:r>
        <w:rPr>
          <w:rFonts w:hint="eastAsia" w:ascii="宋体" w:hAnsi="宋体" w:cs="宋体"/>
          <w:b/>
          <w:bCs/>
          <w:sz w:val="28"/>
        </w:rPr>
        <w:br w:type="page" w:clear="all"/>
      </w:r>
      <w:r>
        <w:rPr>
          <w:rFonts w:hint="eastAsia" w:ascii="宋体" w:hAnsi="宋体" w:cs="宋体"/>
          <w:b/>
          <w:bCs/>
          <w:sz w:val="28"/>
        </w:rPr>
        <w:t xml:space="preserve">产品成本占比承诺函</w:t>
      </w:r>
      <w:r/>
    </w:p>
    <w:p>
      <w:pPr>
        <w:ind w:firstLine="420"/>
        <w:jc w:val="left"/>
        <w:spacing w:line="360" w:lineRule="auto"/>
        <w:widowControl/>
        <w:rPr>
          <w:rFonts w:ascii="宋体" w:hAnsi="宋体" w:cs="宋体"/>
          <w:color w:val="333333"/>
          <w:szCs w:val="21"/>
          <w:shd w:val="clear" w:color="auto" w:fill="ffffff"/>
        </w:rPr>
      </w:pPr>
      <w:r>
        <w:rPr>
          <w:rFonts w:hint="eastAsia" w:ascii="宋体" w:hAnsi="宋体" w:cs="宋体"/>
          <w:color w:val="333333"/>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ascii="宋体" w:hAnsi="宋体" w:cs="宋体"/>
          <w:spacing w:val="6"/>
          <w:szCs w:val="21"/>
        </w:rPr>
      </w:pPr>
      <w:r>
        <w:rPr>
          <w:rFonts w:hint="eastAsia" w:ascii="宋体" w:hAnsi="宋体" w:cs="宋体"/>
          <w:color w:val="333333"/>
          <w:szCs w:val="21"/>
          <w:shd w:val="clear" w:color="auto" w:fill="ffffff"/>
        </w:rPr>
        <w:t xml:space="preserve">为本采购项目或者采购包提供的符合本国产品标准的产品成本之和占提供的全部产品成本之和的比例为</w:t>
      </w:r>
      <w:r>
        <w:rPr>
          <w:rFonts w:hint="eastAsia" w:ascii="宋体" w:hAnsi="宋体" w:cs="宋体"/>
          <w:spacing w:val="6"/>
          <w:szCs w:val="21"/>
        </w:rPr>
        <w:t xml:space="preserve">______%。</w:t>
      </w:r>
      <w:r/>
    </w:p>
    <w:p>
      <w:pPr>
        <w:ind w:firstLine="420"/>
        <w:jc w:val="left"/>
        <w:spacing w:line="360" w:lineRule="auto"/>
        <w:widowControl/>
        <w:rPr>
          <w:rFonts w:ascii="宋体" w:hAnsi="宋体" w:cs="宋体"/>
          <w:color w:val="000000"/>
          <w:szCs w:val="21"/>
        </w:rPr>
      </w:pPr>
      <w:r>
        <w:rPr>
          <w:rFonts w:ascii="宋体" w:hAnsi="宋体" w:cs="宋体"/>
          <w:color w:val="000000"/>
          <w:szCs w:val="21"/>
        </w:rPr>
      </w:r>
      <w:r/>
    </w:p>
    <w:p>
      <w:pPr>
        <w:pStyle w:val="928"/>
        <w:jc w:val="right"/>
        <w:spacing w:before="0" w:beforeAutospacing="0" w:after="0" w:afterAutospacing="0" w:line="360" w:lineRule="auto"/>
        <w:shd w:val="clear" w:color="auto" w:fill="ffffff"/>
        <w:rPr>
          <w:color w:val="333333"/>
          <w:sz w:val="21"/>
          <w:szCs w:val="21"/>
        </w:rPr>
      </w:pPr>
      <w:r>
        <w:rPr>
          <w:rFonts w:hint="eastAsia"/>
          <w:szCs w:val="21"/>
        </w:rPr>
        <w:t xml:space="preserve">单位</w:t>
      </w:r>
      <w:r>
        <w:rPr>
          <w:rFonts w:hint="eastAsia"/>
          <w:color w:val="333333"/>
          <w:sz w:val="21"/>
          <w:szCs w:val="21"/>
          <w:shd w:val="clear" w:color="auto" w:fill="ffffff"/>
        </w:rPr>
        <w:t xml:space="preserve">名称（</w:t>
      </w:r>
      <w:r>
        <w:rPr>
          <w:rFonts w:hint="eastAsia"/>
          <w:sz w:val="21"/>
          <w:szCs w:val="21"/>
        </w:rPr>
        <w:t xml:space="preserve">加盖电子公章</w:t>
      </w:r>
      <w:r>
        <w:rPr>
          <w:rFonts w:hint="eastAsia"/>
          <w:color w:val="333333"/>
          <w:sz w:val="21"/>
          <w:szCs w:val="21"/>
          <w:shd w:val="clear" w:color="auto" w:fill="ffffff"/>
        </w:rPr>
        <w:t xml:space="preserve">）：　</w:t>
      </w:r>
      <w:r/>
    </w:p>
    <w:p>
      <w:pPr>
        <w:jc w:val="right"/>
        <w:rPr>
          <w:rFonts w:ascii="宋体" w:hAnsi="宋体" w:cs="宋体"/>
          <w:b/>
          <w:bCs/>
          <w:szCs w:val="21"/>
        </w:rPr>
      </w:pPr>
      <w:r>
        <w:rPr>
          <w:rFonts w:hint="eastAsia" w:ascii="宋体" w:hAnsi="宋体" w:cs="宋体"/>
          <w:color w:val="333333"/>
          <w:szCs w:val="21"/>
          <w:shd w:val="clear" w:color="auto" w:fill="ffffff"/>
        </w:rPr>
        <w:t xml:space="preserve">                                       日期：　   年　  月　  日 </w:t>
      </w:r>
      <w:r/>
    </w:p>
    <w:p>
      <w:pPr>
        <w:spacing w:line="400" w:lineRule="exact"/>
        <w:rPr>
          <w:rFonts w:ascii="宋体" w:hAnsi="宋体" w:cs="宋体"/>
          <w:sz w:val="28"/>
        </w:rPr>
      </w:pPr>
      <w:r>
        <w:rPr>
          <w:rFonts w:ascii="宋体" w:hAnsi="宋体" w:cs="宋体"/>
          <w:sz w:val="28"/>
        </w:rPr>
      </w:r>
      <w:r/>
    </w:p>
    <w:p>
      <w:pPr>
        <w:ind w:firstLine="420"/>
        <w:spacing w:line="360" w:lineRule="auto"/>
        <w:rPr>
          <w:rFonts w:ascii="宋体" w:hAnsi="宋体" w:cs="宋体"/>
          <w:szCs w:val="21"/>
        </w:rPr>
      </w:pPr>
      <w:r>
        <w:rPr>
          <w:rFonts w:hint="eastAsia" w:ascii="宋体" w:hAnsi="宋体" w:cs="宋体"/>
          <w:szCs w:val="21"/>
        </w:rPr>
        <w:t xml:space="preserve">备注：采购本国产品的支持政策</w:t>
      </w:r>
      <w:r/>
    </w:p>
    <w:p>
      <w:pPr>
        <w:ind w:firstLine="420"/>
        <w:spacing w:line="360" w:lineRule="auto"/>
        <w:rPr>
          <w:rFonts w:ascii="宋体" w:hAnsi="宋体" w:cs="宋体"/>
          <w:szCs w:val="21"/>
        </w:rPr>
      </w:pPr>
      <w:r>
        <w:rPr>
          <w:rFonts w:hint="eastAsia" w:ascii="宋体" w:hAnsi="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spacing w:line="360" w:lineRule="auto"/>
        <w:rPr>
          <w:rFonts w:ascii="宋体" w:hAnsi="宋体" w:cs="宋体"/>
          <w:szCs w:val="21"/>
        </w:rPr>
      </w:pPr>
      <w:r>
        <w:rPr>
          <w:rFonts w:hint="eastAsia" w:ascii="宋体" w:hAnsi="宋体" w:cs="宋体"/>
          <w:szCs w:val="21"/>
        </w:rPr>
        <w:t xml:space="preserve">3.供应商需按照招标文件的要求提供《关于符合本国产品标准的声明函》（以下简称《声明函》），如不提供将不享受本国产品价格评审优惠。</w:t>
      </w:r>
      <w:r/>
    </w:p>
    <w:p>
      <w:pPr>
        <w:ind w:firstLine="420"/>
        <w:spacing w:line="360" w:lineRule="auto"/>
        <w:rPr>
          <w:rFonts w:ascii="宋体" w:hAnsi="宋体" w:cs="宋体"/>
          <w:szCs w:val="21"/>
        </w:rPr>
      </w:pPr>
      <w:r>
        <w:rPr>
          <w:rFonts w:hint="eastAsia" w:ascii="宋体" w:hAnsi="宋体" w:cs="宋体"/>
          <w:szCs w:val="21"/>
        </w:rPr>
        <w:t xml:space="preserve">4.供应商需在《声明函》中逐一、准确填写产品名称、厂名、生产厂址三项信息（《声明函》中标注“/ ”的地方无需填写）。</w:t>
      </w:r>
      <w:r/>
    </w:p>
    <w:p>
      <w:pPr>
        <w:ind w:firstLine="420"/>
        <w:spacing w:line="360" w:lineRule="auto"/>
        <w:rPr>
          <w:rFonts w:ascii="宋体" w:hAnsi="宋体" w:cs="宋体"/>
          <w:b/>
          <w:bCs/>
          <w:sz w:val="28"/>
        </w:rPr>
      </w:pPr>
      <w:r>
        <w:rPr>
          <w:rFonts w:hint="eastAsia" w:ascii="宋体" w:hAnsi="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bCs/>
          <w:sz w:val="28"/>
        </w:rPr>
        <w:br w:type="page" w:clear="all"/>
      </w:r>
      <w:r/>
    </w:p>
    <w:p>
      <w:pPr>
        <w:jc w:val="center"/>
        <w:spacing w:line="360" w:lineRule="auto"/>
        <w:rPr>
          <w:rFonts w:ascii="宋体" w:hAnsi="宋体" w:cs="宋体"/>
          <w:b/>
          <w:bCs/>
          <w:sz w:val="28"/>
        </w:rPr>
      </w:pPr>
      <w:r>
        <w:rPr>
          <w:rFonts w:hint="eastAsia" w:ascii="宋体" w:hAnsi="宋体" w:cs="宋体"/>
          <w:b/>
          <w:bCs/>
          <w:sz w:val="28"/>
        </w:rPr>
        <w:t xml:space="preserve">残疾人福利性单位声明函</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p>
    <w:p>
      <w:pPr>
        <w:ind w:firstLine="5040"/>
        <w:jc w:val="left"/>
        <w:spacing w:line="440" w:lineRule="exact"/>
        <w:widowControl/>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属于监狱企业的证明文件</w:t>
      </w:r>
      <w:r/>
    </w:p>
    <w:p>
      <w:pPr>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sz w:val="28"/>
        </w:rPr>
        <w:t xml:space="preserve">节能产品认证证书</w:t>
      </w:r>
      <w:r/>
    </w:p>
    <w:p>
      <w:pPr>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rPr>
          <w:rFonts w:ascii="宋体" w:hAnsi="宋体" w:cs="宋体"/>
          <w:b/>
          <w:bCs/>
          <w:sz w:val="28"/>
        </w:rPr>
      </w:pPr>
      <w:r>
        <w:rPr>
          <w:rFonts w:ascii="宋体" w:hAnsi="宋体" w:cs="宋体"/>
          <w:b/>
          <w:bCs/>
          <w:sz w:val="28"/>
        </w:rPr>
      </w:r>
      <w:r/>
    </w:p>
    <w:p>
      <w:pPr>
        <w:jc w:val="center"/>
        <w:spacing w:line="360" w:lineRule="auto"/>
        <w:rPr>
          <w:rFonts w:ascii="宋体" w:hAnsi="宋体" w:cs="宋体"/>
          <w:b/>
          <w:bCs/>
        </w:rPr>
      </w:pPr>
      <w:r>
        <w:rPr>
          <w:rFonts w:hint="eastAsia" w:ascii="宋体" w:hAnsi="宋体" w:cs="宋体"/>
          <w:b/>
          <w:bCs/>
          <w:sz w:val="28"/>
        </w:rPr>
        <w:t xml:space="preserve">环境标志产品认证证书</w:t>
      </w:r>
      <w:r/>
    </w:p>
    <w:p>
      <w:pPr>
        <w:spacing w:line="360" w:lineRule="auto"/>
        <w:rPr>
          <w:rFonts w:ascii="宋体" w:hAnsi="宋体" w:cs="宋体"/>
        </w:rPr>
      </w:pPr>
      <w:r>
        <w:rPr>
          <w:rFonts w:hint="eastAsia" w:ascii="宋体" w:hAnsi="宋体" w:cs="宋体"/>
          <w:bCs/>
        </w:rPr>
        <w:t xml:space="preserve">（提供国家确定的认证机构出具的、处于有效期之内的产品认证证书）</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ascii="宋体" w:hAnsi="宋体" w:cs="宋体"/>
          <w:bCs/>
        </w:rPr>
      </w:pPr>
      <w:r>
        <w:rPr>
          <w:rFonts w:hint="eastAsia" w:ascii="宋体" w:hAnsi="宋体" w:cs="宋体"/>
          <w:bCs/>
        </w:rPr>
        <w:t xml:space="preserve">（对于允许进口产品参加的项目）</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rPr>
      </w:pPr>
      <w:r>
        <w:rPr>
          <w:rFonts w:hint="eastAsia" w:ascii="宋体" w:hAnsi="宋体" w:cs="宋体"/>
          <w:b/>
          <w:szCs w:val="21"/>
          <w:lang w:val="zh-CN"/>
        </w:rPr>
        <w:br w:type="page" w:clear="all"/>
      </w:r>
      <w:r>
        <w:rPr>
          <w:rFonts w:hint="eastAsia" w:ascii="宋体" w:hAnsi="宋体" w:cs="宋体"/>
          <w:b/>
        </w:rPr>
        <w:t xml:space="preserve">附件十一、无重大违法记录声明格式</w:t>
      </w:r>
      <w:r/>
    </w:p>
    <w:p>
      <w:pPr>
        <w:jc w:val="center"/>
        <w:spacing w:line="240" w:lineRule="atLeast"/>
        <w:rPr>
          <w:rFonts w:ascii="宋体" w:hAnsi="宋体" w:cs="宋体"/>
          <w:sz w:val="28"/>
          <w:szCs w:val="36"/>
        </w:rPr>
      </w:pPr>
      <w:r>
        <w:rPr>
          <w:rFonts w:ascii="宋体" w:hAnsi="宋体" w:cs="宋体"/>
          <w:sz w:val="28"/>
          <w:szCs w:val="36"/>
        </w:rPr>
      </w:r>
      <w:r/>
    </w:p>
    <w:p>
      <w:pPr>
        <w:jc w:val="center"/>
        <w:spacing w:line="240" w:lineRule="atLeast"/>
        <w:rPr>
          <w:rFonts w:ascii="宋体" w:hAnsi="宋体" w:cs="宋体"/>
          <w:b/>
          <w:bCs/>
          <w:sz w:val="28"/>
          <w:szCs w:val="36"/>
        </w:rPr>
      </w:pPr>
      <w:r>
        <w:rPr>
          <w:rFonts w:hint="eastAsia" w:ascii="宋体" w:hAnsi="宋体" w:cs="宋体"/>
          <w:b/>
          <w:bCs/>
          <w:sz w:val="28"/>
          <w:szCs w:val="36"/>
        </w:rPr>
        <w:t xml:space="preserve">无重大违法记录声明</w:t>
      </w:r>
      <w:r/>
    </w:p>
    <w:p>
      <w:pPr>
        <w:spacing w:line="360" w:lineRule="auto"/>
        <w:rPr>
          <w:rFonts w:ascii="宋体" w:hAnsi="宋体" w:cs="宋体"/>
          <w:szCs w:val="21"/>
        </w:rPr>
      </w:pPr>
      <w:r>
        <w:rPr>
          <w:rFonts w:hint="eastAsia" w:ascii="宋体" w:hAnsi="宋体" w:cs="宋体"/>
          <w:szCs w:val="21"/>
        </w:rPr>
        <w:t xml:space="preserve">江苏省设备成套股份有限公司：</w:t>
      </w:r>
      <w:r/>
    </w:p>
    <w:p>
      <w:pPr>
        <w:ind w:firstLine="336"/>
        <w:spacing w:line="360" w:lineRule="auto"/>
        <w:rPr>
          <w:rFonts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ascii="宋体" w:hAnsi="宋体" w:cs="宋体"/>
        </w:rPr>
      </w:pPr>
      <w:r>
        <w:rPr>
          <w:rFonts w:ascii="宋体" w:hAnsi="宋体" w:cs="宋体"/>
        </w:rPr>
      </w:r>
      <w:r/>
    </w:p>
    <w:p>
      <w:pPr>
        <w:ind w:firstLine="315"/>
        <w:spacing w:line="360" w:lineRule="auto"/>
        <w:rPr>
          <w:rFonts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5103"/>
        <w:jc w:val="right"/>
        <w:spacing w:line="360" w:lineRule="auto"/>
        <w:rPr>
          <w:rFonts w:ascii="宋体" w:hAnsi="宋体" w:cs="宋体"/>
        </w:rPr>
      </w:pPr>
      <w:r>
        <w:rPr>
          <w:rFonts w:hint="eastAsia" w:ascii="宋体" w:hAnsi="宋体" w:cs="宋体"/>
        </w:rPr>
        <w:t xml:space="preserve">声明人：（</w:t>
      </w:r>
      <w:r>
        <w:rPr>
          <w:rFonts w:hint="eastAsia" w:ascii="宋体" w:hAnsi="宋体" w:cs="宋体"/>
          <w:szCs w:val="21"/>
        </w:rPr>
        <w:t xml:space="preserve">加盖电子公章</w:t>
      </w:r>
      <w:r>
        <w:rPr>
          <w:rFonts w:hint="eastAsia" w:ascii="宋体" w:hAnsi="宋体" w:cs="宋体"/>
        </w:rPr>
        <w:t xml:space="preserve">）</w:t>
      </w:r>
      <w:r/>
    </w:p>
    <w:p>
      <w:pPr>
        <w:ind w:firstLine="5940"/>
        <w:spacing w:line="360" w:lineRule="auto"/>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p>
    <w:p>
      <w:pPr>
        <w:jc w:val="left"/>
        <w:spacing w:line="360" w:lineRule="auto"/>
        <w:rPr>
          <w:rFonts w:ascii="宋体" w:hAnsi="宋体" w:cs="宋体"/>
          <w:b/>
        </w:rPr>
      </w:pPr>
      <w:r>
        <w:rPr>
          <w:rFonts w:ascii="宋体" w:hAnsi="宋体" w:cs="宋体"/>
          <w:b/>
        </w:rPr>
      </w:r>
      <w:r/>
    </w:p>
    <w:p>
      <w:pPr>
        <w:jc w:val="left"/>
        <w:spacing w:line="360" w:lineRule="auto"/>
        <w:rPr>
          <w:rFonts w:ascii="宋体" w:hAnsi="宋体" w:cs="宋体"/>
          <w:b/>
        </w:rPr>
      </w:pPr>
      <w:r>
        <w:rPr>
          <w:rFonts w:ascii="宋体" w:hAnsi="宋体" w:cs="宋体"/>
          <w:b/>
        </w:rPr>
      </w:r>
      <w:r/>
    </w:p>
    <w:p>
      <w:pPr>
        <w:jc w:val="left"/>
        <w:spacing w:line="360" w:lineRule="auto"/>
        <w:rPr>
          <w:rFonts w:ascii="宋体" w:hAnsi="宋体" w:cs="宋体"/>
          <w:b/>
        </w:rPr>
      </w:pPr>
      <w:r>
        <w:rPr>
          <w:rFonts w:ascii="宋体" w:hAnsi="宋体" w:cs="宋体"/>
          <w:b/>
        </w:rPr>
      </w:r>
      <w:r/>
    </w:p>
    <w:p>
      <w:pPr>
        <w:jc w:val="left"/>
        <w:spacing w:line="360" w:lineRule="auto"/>
        <w:rPr>
          <w:rFonts w:ascii="宋体" w:hAnsi="宋体" w:cs="宋体"/>
          <w:b/>
        </w:rPr>
      </w:pPr>
      <w:r>
        <w:rPr>
          <w:rFonts w:hint="eastAsia" w:ascii="宋体" w:hAnsi="宋体" w:cs="宋体"/>
          <w:b/>
        </w:rPr>
        <w:t xml:space="preserve">附件十二、资格资信证明文件</w:t>
      </w:r>
      <w:r/>
    </w:p>
    <w:p>
      <w:pPr>
        <w:jc w:val="center"/>
        <w:spacing w:line="360" w:lineRule="auto"/>
        <w:rPr>
          <w:rFonts w:ascii="宋体" w:hAnsi="宋体" w:cs="宋体"/>
          <w:b/>
        </w:rPr>
      </w:pPr>
      <w:r>
        <w:rPr>
          <w:rFonts w:ascii="宋体" w:hAnsi="宋体" w:cs="宋体"/>
          <w:b/>
        </w:rPr>
      </w:r>
      <w:r/>
    </w:p>
    <w:p>
      <w:pPr>
        <w:jc w:val="center"/>
        <w:spacing w:line="360" w:lineRule="auto"/>
        <w:rPr>
          <w:rFonts w:ascii="Arial" w:hAnsi="Arial" w:cs="Arial"/>
          <w:b/>
        </w:rPr>
      </w:pPr>
      <w:r>
        <w:rPr>
          <w:rFonts w:hint="eastAsia" w:ascii="Arial" w:hAnsi="Arial" w:cs="Arial"/>
          <w:b/>
        </w:rPr>
        <w:t xml:space="preserve">根据采购公告中“二、申请人的资格要求”在苏采云平台对应模块填写</w:t>
      </w:r>
      <w:r/>
    </w:p>
    <w:p>
      <w:pPr>
        <w:spacing w:line="360" w:lineRule="auto"/>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hint="eastAsia" w:ascii="宋体" w:hAnsi="宋体" w:cs="宋体"/>
          <w:b/>
        </w:rPr>
        <w:br w:type="page" w:clear="all"/>
      </w:r>
      <w:r/>
    </w:p>
    <w:p>
      <w:pPr>
        <w:spacing w:line="360" w:lineRule="auto"/>
        <w:rPr>
          <w:rFonts w:ascii="宋体" w:hAnsi="宋体" w:cs="宋体"/>
          <w:b/>
        </w:rPr>
      </w:pPr>
      <w:r>
        <w:rPr>
          <w:rFonts w:hint="eastAsia" w:ascii="宋体" w:hAnsi="宋体" w:cs="宋体"/>
          <w:b/>
        </w:rPr>
        <w:t xml:space="preserve">附件十四、拟投入设备情况</w:t>
      </w:r>
      <w:r/>
    </w:p>
    <w:p>
      <w:pPr>
        <w:jc w:val="center"/>
        <w:spacing w:line="360" w:lineRule="auto"/>
        <w:rPr>
          <w:rFonts w:ascii="宋体" w:hAnsi="宋体" w:cs="宋体"/>
          <w:b/>
          <w:sz w:val="28"/>
          <w:szCs w:val="36"/>
        </w:rPr>
      </w:pPr>
      <w:r>
        <w:rPr>
          <w:rFonts w:hint="eastAsia" w:ascii="宋体" w:hAnsi="宋体" w:cs="宋体"/>
          <w:b/>
          <w:sz w:val="28"/>
          <w:szCs w:val="36"/>
        </w:rPr>
        <w:t xml:space="preserve">拟投入设备情况（超声诊断仪超声源）</w:t>
      </w:r>
      <w:r/>
    </w:p>
    <w:tbl>
      <w:tblPr>
        <w:tblStyle w:val="9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2390"/>
        <w:gridCol w:w="1658"/>
        <w:gridCol w:w="1658"/>
        <w:gridCol w:w="1658"/>
      </w:tblGrid>
      <w:tr>
        <w:trPr>
          <w:trHeight w:val="938"/>
        </w:trPr>
        <w:tc>
          <w:tcPr>
            <w:tcW w:w="925" w:type="dxa"/>
            <w:vAlign w:val="center"/>
            <w:textDirection w:val="lrTb"/>
            <w:noWrap w:val="false"/>
          </w:tcPr>
          <w:p>
            <w:pPr>
              <w:jc w:val="center"/>
              <w:rPr>
                <w:rFonts w:ascii="宋体" w:hAnsi="宋体" w:cs="宋体"/>
                <w:b/>
              </w:rPr>
            </w:pPr>
            <w:r>
              <w:rPr>
                <w:rFonts w:hint="eastAsia" w:ascii="宋体" w:hAnsi="宋体" w:cs="宋体"/>
                <w:b/>
              </w:rPr>
              <w:t xml:space="preserve">序号</w:t>
            </w:r>
            <w:r/>
          </w:p>
        </w:tc>
        <w:tc>
          <w:tcPr>
            <w:tcW w:w="2390" w:type="dxa"/>
            <w:vAlign w:val="center"/>
            <w:textDirection w:val="lrTb"/>
            <w:noWrap w:val="false"/>
          </w:tcPr>
          <w:p>
            <w:pPr>
              <w:jc w:val="center"/>
              <w:rPr>
                <w:rFonts w:ascii="宋体" w:hAnsi="宋体" w:cs="宋体"/>
                <w:b/>
              </w:rPr>
            </w:pPr>
            <w:r>
              <w:rPr>
                <w:rFonts w:hint="eastAsia" w:ascii="宋体" w:hAnsi="宋体" w:cs="宋体"/>
                <w:b/>
              </w:rPr>
              <w:t xml:space="preserve">设备名称</w:t>
            </w:r>
            <w:r/>
          </w:p>
        </w:tc>
        <w:tc>
          <w:tcPr>
            <w:tcW w:w="1658" w:type="dxa"/>
            <w:vAlign w:val="center"/>
            <w:textDirection w:val="lrTb"/>
            <w:noWrap w:val="false"/>
          </w:tcPr>
          <w:p>
            <w:pPr>
              <w:jc w:val="center"/>
              <w:rPr>
                <w:rFonts w:ascii="宋体" w:hAnsi="宋体" w:cs="宋体"/>
                <w:b/>
              </w:rPr>
            </w:pPr>
            <w:r>
              <w:rPr>
                <w:rFonts w:hint="eastAsia" w:ascii="宋体" w:hAnsi="宋体" w:cs="宋体"/>
                <w:b/>
              </w:rPr>
              <w:t xml:space="preserve">设备品牌</w:t>
            </w:r>
            <w:r/>
          </w:p>
        </w:tc>
        <w:tc>
          <w:tcPr>
            <w:tcW w:w="1658" w:type="dxa"/>
            <w:vAlign w:val="center"/>
            <w:textDirection w:val="lrTb"/>
            <w:noWrap w:val="false"/>
          </w:tcPr>
          <w:p>
            <w:pPr>
              <w:jc w:val="center"/>
              <w:rPr>
                <w:rFonts w:ascii="宋体" w:hAnsi="宋体" w:cs="宋体"/>
                <w:b/>
              </w:rPr>
            </w:pPr>
            <w:r>
              <w:rPr>
                <w:rFonts w:hint="eastAsia" w:ascii="宋体" w:hAnsi="宋体" w:cs="宋体"/>
                <w:b/>
              </w:rPr>
              <w:t xml:space="preserve">设备型号</w:t>
            </w:r>
            <w:r/>
          </w:p>
        </w:tc>
        <w:tc>
          <w:tcPr>
            <w:tcW w:w="1658" w:type="dxa"/>
            <w:vAlign w:val="center"/>
            <w:textDirection w:val="lrTb"/>
            <w:noWrap w:val="false"/>
          </w:tcPr>
          <w:p>
            <w:pPr>
              <w:jc w:val="center"/>
              <w:rPr>
                <w:rFonts w:ascii="宋体" w:hAnsi="宋体" w:cs="宋体"/>
                <w:b/>
              </w:rPr>
            </w:pPr>
            <w:r>
              <w:rPr>
                <w:rFonts w:hint="eastAsia" w:ascii="宋体" w:hAnsi="宋体" w:cs="宋体"/>
                <w:b/>
              </w:rPr>
              <w:t xml:space="preserve">其它需要注明的内容</w:t>
            </w:r>
            <w:r/>
          </w:p>
        </w:tc>
      </w:tr>
      <w:tr>
        <w:trPr/>
        <w:tc>
          <w:tcPr>
            <w:tcW w:w="925" w:type="dxa"/>
            <w:textDirection w:val="lrTb"/>
            <w:noWrap w:val="false"/>
          </w:tcPr>
          <w:p>
            <w:pPr>
              <w:rPr>
                <w:rFonts w:ascii="宋体" w:hAnsi="宋体" w:cs="宋体"/>
                <w:b/>
              </w:rPr>
            </w:pPr>
            <w:r>
              <w:rPr>
                <w:rFonts w:ascii="宋体" w:hAnsi="宋体" w:cs="宋体"/>
                <w:b/>
              </w:rPr>
            </w:r>
            <w:r/>
          </w:p>
        </w:tc>
        <w:tc>
          <w:tcPr>
            <w:tcW w:w="2390" w:type="dxa"/>
            <w:textDirection w:val="lrTb"/>
            <w:noWrap w:val="false"/>
          </w:tcPr>
          <w:p>
            <w:pPr>
              <w:rPr>
                <w:rFonts w:ascii="宋体" w:hAnsi="宋体" w:cs="宋体"/>
                <w:b/>
              </w:rPr>
            </w:pPr>
            <w:r>
              <w:rPr>
                <w:rFonts w:hint="eastAsia" w:ascii="宋体" w:hAnsi="宋体" w:cs="宋体"/>
                <w:b/>
              </w:rPr>
              <w:t xml:space="preserve">超声诊断仪超声源</w:t>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r>
      <w:tr>
        <w:trPr/>
        <w:tc>
          <w:tcPr>
            <w:tcW w:w="925" w:type="dxa"/>
            <w:textDirection w:val="lrTb"/>
            <w:noWrap w:val="false"/>
          </w:tcPr>
          <w:p>
            <w:pPr>
              <w:rPr>
                <w:rFonts w:ascii="宋体" w:hAnsi="宋体" w:cs="宋体"/>
                <w:b/>
              </w:rPr>
            </w:pPr>
            <w:r>
              <w:rPr>
                <w:rFonts w:ascii="宋体" w:hAnsi="宋体" w:cs="宋体"/>
                <w:b/>
              </w:rPr>
            </w:r>
            <w:r/>
          </w:p>
        </w:tc>
        <w:tc>
          <w:tcPr>
            <w:tcW w:w="2390" w:type="dxa"/>
            <w:textDirection w:val="lrTb"/>
            <w:noWrap w:val="false"/>
          </w:tcPr>
          <w:p>
            <w:pPr>
              <w:rPr>
                <w:rFonts w:ascii="宋体" w:hAnsi="宋体" w:cs="宋体"/>
                <w:b/>
              </w:rPr>
            </w:pPr>
            <w:r>
              <w:rPr>
                <w:rFonts w:hint="eastAsia" w:ascii="宋体" w:hAnsi="宋体" w:cs="宋体"/>
                <w:b/>
              </w:rPr>
              <w:t xml:space="preserve">……</w:t>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r>
      <w:tr>
        <w:trPr/>
        <w:tc>
          <w:tcPr>
            <w:tcW w:w="925" w:type="dxa"/>
            <w:textDirection w:val="lrTb"/>
            <w:noWrap w:val="false"/>
          </w:tcPr>
          <w:p>
            <w:pPr>
              <w:rPr>
                <w:rFonts w:ascii="宋体" w:hAnsi="宋体" w:cs="宋体"/>
                <w:b/>
              </w:rPr>
            </w:pPr>
            <w:r>
              <w:rPr>
                <w:rFonts w:ascii="宋体" w:hAnsi="宋体" w:cs="宋体"/>
                <w:b/>
              </w:rPr>
            </w:r>
            <w:r/>
          </w:p>
        </w:tc>
        <w:tc>
          <w:tcPr>
            <w:tcW w:w="2390"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r>
      <w:tr>
        <w:trPr/>
        <w:tc>
          <w:tcPr>
            <w:tcW w:w="925" w:type="dxa"/>
            <w:textDirection w:val="lrTb"/>
            <w:noWrap w:val="false"/>
          </w:tcPr>
          <w:p>
            <w:pPr>
              <w:rPr>
                <w:rFonts w:ascii="宋体" w:hAnsi="宋体" w:cs="宋体"/>
                <w:b/>
              </w:rPr>
            </w:pPr>
            <w:r>
              <w:rPr>
                <w:rFonts w:ascii="宋体" w:hAnsi="宋体" w:cs="宋体"/>
                <w:b/>
              </w:rPr>
            </w:r>
            <w:r/>
          </w:p>
        </w:tc>
        <w:tc>
          <w:tcPr>
            <w:tcW w:w="2390"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r>
      <w:tr>
        <w:trPr/>
        <w:tc>
          <w:tcPr>
            <w:tcW w:w="925" w:type="dxa"/>
            <w:textDirection w:val="lrTb"/>
            <w:noWrap w:val="false"/>
          </w:tcPr>
          <w:p>
            <w:pPr>
              <w:rPr>
                <w:rFonts w:ascii="宋体" w:hAnsi="宋体" w:cs="宋体"/>
                <w:b/>
              </w:rPr>
            </w:pPr>
            <w:r>
              <w:rPr>
                <w:rFonts w:ascii="宋体" w:hAnsi="宋体" w:cs="宋体"/>
                <w:b/>
              </w:rPr>
            </w:r>
            <w:r/>
          </w:p>
        </w:tc>
        <w:tc>
          <w:tcPr>
            <w:tcW w:w="2390"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r>
      <w:tr>
        <w:trPr/>
        <w:tc>
          <w:tcPr>
            <w:tcW w:w="925" w:type="dxa"/>
            <w:textDirection w:val="lrTb"/>
            <w:noWrap w:val="false"/>
          </w:tcPr>
          <w:p>
            <w:pPr>
              <w:rPr>
                <w:rFonts w:ascii="宋体" w:hAnsi="宋体" w:cs="宋体"/>
                <w:b/>
              </w:rPr>
            </w:pPr>
            <w:r>
              <w:rPr>
                <w:rFonts w:ascii="宋体" w:hAnsi="宋体" w:cs="宋体"/>
                <w:b/>
              </w:rPr>
            </w:r>
            <w:r/>
          </w:p>
        </w:tc>
        <w:tc>
          <w:tcPr>
            <w:tcW w:w="2390"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r>
      <w:tr>
        <w:trPr/>
        <w:tc>
          <w:tcPr>
            <w:tcW w:w="925" w:type="dxa"/>
            <w:textDirection w:val="lrTb"/>
            <w:noWrap w:val="false"/>
          </w:tcPr>
          <w:p>
            <w:pPr>
              <w:rPr>
                <w:rFonts w:ascii="宋体" w:hAnsi="宋体" w:cs="宋体"/>
                <w:b/>
              </w:rPr>
            </w:pPr>
            <w:r>
              <w:rPr>
                <w:rFonts w:ascii="宋体" w:hAnsi="宋体" w:cs="宋体"/>
                <w:b/>
              </w:rPr>
            </w:r>
            <w:r/>
          </w:p>
        </w:tc>
        <w:tc>
          <w:tcPr>
            <w:tcW w:w="2390"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c>
          <w:tcPr>
            <w:tcW w:w="1658" w:type="dxa"/>
            <w:textDirection w:val="lrTb"/>
            <w:noWrap w:val="false"/>
          </w:tcPr>
          <w:p>
            <w:pPr>
              <w:rPr>
                <w:rFonts w:ascii="宋体" w:hAnsi="宋体" w:cs="宋体"/>
                <w:b/>
              </w:rPr>
            </w:pPr>
            <w:r>
              <w:rPr>
                <w:rFonts w:ascii="宋体" w:hAnsi="宋体" w:cs="宋体"/>
                <w:b/>
              </w:rPr>
            </w:r>
            <w:r/>
          </w:p>
        </w:tc>
      </w:tr>
    </w:tbl>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jc w:val="center"/>
        <w:spacing w:line="360" w:lineRule="auto"/>
        <w:rPr>
          <w:rFonts w:ascii="宋体" w:hAnsi="宋体" w:cs="宋体"/>
          <w:b/>
          <w:sz w:val="28"/>
          <w:szCs w:val="36"/>
        </w:rPr>
      </w:pPr>
      <w:r>
        <w:rPr>
          <w:rFonts w:hint="eastAsia" w:ascii="宋体" w:hAnsi="宋体" w:cs="宋体"/>
          <w:b/>
          <w:sz w:val="28"/>
          <w:szCs w:val="36"/>
        </w:rPr>
        <w:t xml:space="preserve">拟投入设备情况（CT）</w:t>
      </w:r>
      <w:r/>
    </w:p>
    <w:tbl>
      <w:tblPr>
        <w:tblStyle w:val="9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2"/>
        <w:gridCol w:w="1167"/>
        <w:gridCol w:w="1575"/>
        <w:gridCol w:w="768"/>
        <w:gridCol w:w="829"/>
        <w:gridCol w:w="771"/>
        <w:gridCol w:w="1014"/>
        <w:gridCol w:w="1593"/>
      </w:tblGrid>
      <w:tr>
        <w:trPr>
          <w:trHeight w:val="1024"/>
        </w:trPr>
        <w:tc>
          <w:tcPr>
            <w:tcW w:w="572" w:type="dxa"/>
            <w:vAlign w:val="center"/>
            <w:textDirection w:val="lrTb"/>
            <w:noWrap w:val="false"/>
          </w:tcPr>
          <w:p>
            <w:pPr>
              <w:jc w:val="center"/>
              <w:rPr>
                <w:rFonts w:ascii="宋体" w:hAnsi="宋体" w:cs="宋体"/>
                <w:b/>
              </w:rPr>
            </w:pPr>
            <w:r>
              <w:rPr>
                <w:rFonts w:hint="eastAsia" w:ascii="宋体" w:hAnsi="宋体" w:cs="宋体"/>
                <w:b/>
              </w:rPr>
              <w:t xml:space="preserve">序号</w:t>
            </w:r>
            <w:r/>
          </w:p>
        </w:tc>
        <w:tc>
          <w:tcPr>
            <w:tcW w:w="1167" w:type="dxa"/>
            <w:vAlign w:val="center"/>
            <w:textDirection w:val="lrTb"/>
            <w:noWrap w:val="false"/>
          </w:tcPr>
          <w:p>
            <w:pPr>
              <w:jc w:val="center"/>
              <w:rPr>
                <w:rFonts w:ascii="宋体" w:hAnsi="宋体" w:cs="宋体"/>
                <w:b/>
              </w:rPr>
            </w:pPr>
            <w:r>
              <w:rPr>
                <w:rFonts w:hint="eastAsia" w:ascii="宋体" w:hAnsi="宋体" w:cs="宋体"/>
                <w:b/>
              </w:rPr>
              <w:t xml:space="preserve">设备名称</w:t>
            </w:r>
            <w:r/>
          </w:p>
        </w:tc>
        <w:tc>
          <w:tcPr>
            <w:tcW w:w="1575" w:type="dxa"/>
            <w:vAlign w:val="center"/>
            <w:textDirection w:val="lrTb"/>
            <w:noWrap w:val="false"/>
          </w:tcPr>
          <w:p>
            <w:pPr>
              <w:jc w:val="center"/>
              <w:rPr>
                <w:rFonts w:ascii="宋体" w:hAnsi="宋体" w:cs="宋体"/>
                <w:b/>
              </w:rPr>
            </w:pPr>
            <w:r>
              <w:rPr>
                <w:rFonts w:hint="eastAsia" w:ascii="宋体" w:hAnsi="宋体" w:cs="宋体"/>
                <w:b/>
              </w:rPr>
              <w:t xml:space="preserve">排数</w:t>
            </w:r>
            <w:r>
              <w:rPr>
                <w:rFonts w:hint="eastAsia" w:ascii="宋体" w:hAnsi="宋体" w:cs="宋体"/>
                <w:b/>
              </w:rPr>
            </w:r>
            <w:r/>
          </w:p>
        </w:tc>
        <w:tc>
          <w:tcPr>
            <w:tcW w:w="768" w:type="dxa"/>
            <w:vAlign w:val="center"/>
            <w:textDirection w:val="lrTb"/>
            <w:noWrap w:val="false"/>
          </w:tcPr>
          <w:p>
            <w:pPr>
              <w:jc w:val="center"/>
              <w:rPr>
                <w:rFonts w:ascii="宋体" w:hAnsi="宋体" w:cs="宋体"/>
                <w:b/>
              </w:rPr>
            </w:pPr>
            <w:r>
              <w:rPr>
                <w:rFonts w:hint="eastAsia" w:ascii="宋体" w:hAnsi="宋体" w:cs="宋体"/>
                <w:b/>
              </w:rPr>
              <w:t xml:space="preserve">设备品牌</w:t>
            </w:r>
            <w:r/>
          </w:p>
        </w:tc>
        <w:tc>
          <w:tcPr>
            <w:tcW w:w="829" w:type="dxa"/>
            <w:vAlign w:val="center"/>
            <w:textDirection w:val="lrTb"/>
            <w:noWrap w:val="false"/>
          </w:tcPr>
          <w:p>
            <w:pPr>
              <w:jc w:val="center"/>
              <w:rPr>
                <w:rFonts w:ascii="宋体" w:hAnsi="宋体" w:cs="宋体"/>
                <w:b/>
              </w:rPr>
            </w:pPr>
            <w:r>
              <w:rPr>
                <w:rFonts w:hint="eastAsia" w:ascii="宋体" w:hAnsi="宋体" w:cs="宋体"/>
                <w:b/>
              </w:rPr>
              <w:t xml:space="preserve">设备型号</w:t>
            </w:r>
            <w:r/>
          </w:p>
        </w:tc>
        <w:tc>
          <w:tcPr>
            <w:tcW w:w="771" w:type="dxa"/>
            <w:vAlign w:val="center"/>
            <w:textDirection w:val="lrTb"/>
            <w:noWrap w:val="false"/>
          </w:tcPr>
          <w:p>
            <w:pPr>
              <w:jc w:val="center"/>
              <w:rPr>
                <w:rFonts w:ascii="宋体" w:hAnsi="宋体" w:cs="宋体"/>
                <w:b/>
              </w:rPr>
            </w:pPr>
            <w:r>
              <w:rPr>
                <w:rFonts w:hint="eastAsia" w:ascii="宋体" w:hAnsi="宋体" w:cs="宋体"/>
                <w:b/>
              </w:rPr>
              <w:t xml:space="preserve">设定层厚</w:t>
            </w:r>
            <w:r/>
          </w:p>
        </w:tc>
        <w:tc>
          <w:tcPr>
            <w:tcW w:w="1014" w:type="dxa"/>
            <w:vAlign w:val="center"/>
            <w:textDirection w:val="lrTb"/>
            <w:noWrap w:val="false"/>
          </w:tcPr>
          <w:p>
            <w:pPr>
              <w:jc w:val="center"/>
              <w:rPr>
                <w:rFonts w:ascii="宋体" w:hAnsi="宋体" w:cs="宋体"/>
                <w:b/>
              </w:rPr>
            </w:pPr>
            <w:r>
              <w:rPr>
                <w:rFonts w:hint="eastAsia" w:ascii="宋体" w:hAnsi="宋体" w:cs="宋体"/>
                <w:b/>
              </w:rPr>
              <w:t xml:space="preserve">放射剂量参数</w:t>
            </w:r>
            <w:r/>
          </w:p>
        </w:tc>
        <w:tc>
          <w:tcPr>
            <w:tcW w:w="1593" w:type="dxa"/>
            <w:vAlign w:val="center"/>
            <w:textDirection w:val="lrTb"/>
            <w:noWrap w:val="false"/>
          </w:tcPr>
          <w:p>
            <w:pPr>
              <w:jc w:val="center"/>
              <w:rPr>
                <w:rFonts w:ascii="宋体" w:hAnsi="宋体" w:cs="宋体"/>
                <w:b/>
              </w:rPr>
            </w:pPr>
            <w:r>
              <w:rPr>
                <w:rFonts w:hint="eastAsia" w:ascii="宋体" w:hAnsi="宋体" w:cs="宋体"/>
                <w:b/>
              </w:rPr>
              <w:t xml:space="preserve">其它需要注明的内容</w:t>
            </w:r>
            <w:r/>
          </w:p>
        </w:tc>
      </w:tr>
      <w:tr>
        <w:trPr/>
        <w:tc>
          <w:tcPr>
            <w:tcW w:w="572" w:type="dxa"/>
            <w:textDirection w:val="lrTb"/>
            <w:noWrap w:val="false"/>
          </w:tcPr>
          <w:p>
            <w:pPr>
              <w:rPr>
                <w:rFonts w:ascii="宋体" w:hAnsi="宋体" w:cs="宋体"/>
                <w:b/>
              </w:rPr>
            </w:pPr>
            <w:r>
              <w:rPr>
                <w:rFonts w:ascii="宋体" w:hAnsi="宋体" w:cs="宋体"/>
                <w:b/>
              </w:rPr>
            </w:r>
            <w:r/>
          </w:p>
        </w:tc>
        <w:tc>
          <w:tcPr>
            <w:tcW w:w="1167" w:type="dxa"/>
            <w:textDirection w:val="lrTb"/>
            <w:noWrap w:val="false"/>
          </w:tcPr>
          <w:p>
            <w:pPr>
              <w:jc w:val="center"/>
              <w:rPr>
                <w:rFonts w:ascii="宋体" w:hAnsi="宋体" w:cs="宋体"/>
                <w:b/>
              </w:rPr>
            </w:pPr>
            <w:r>
              <w:rPr>
                <w:rFonts w:hint="eastAsia" w:ascii="宋体" w:hAnsi="宋体" w:cs="宋体"/>
                <w:b/>
              </w:rPr>
              <w:t xml:space="preserve">CT</w:t>
            </w:r>
            <w:r/>
          </w:p>
        </w:tc>
        <w:tc>
          <w:tcPr>
            <w:tcW w:w="1575" w:type="dxa"/>
            <w:textDirection w:val="lrTb"/>
            <w:noWrap w:val="false"/>
          </w:tcPr>
          <w:p>
            <w:pPr>
              <w:rPr>
                <w:rFonts w:ascii="宋体" w:hAnsi="宋体" w:cs="宋体"/>
                <w:b/>
              </w:rPr>
            </w:pPr>
            <w:r>
              <w:rPr>
                <w:rFonts w:ascii="宋体" w:hAnsi="宋体" w:cs="宋体"/>
                <w:b/>
              </w:rPr>
            </w:r>
            <w:r/>
          </w:p>
        </w:tc>
        <w:tc>
          <w:tcPr>
            <w:tcW w:w="768" w:type="dxa"/>
            <w:textDirection w:val="lrTb"/>
            <w:noWrap w:val="false"/>
          </w:tcPr>
          <w:p>
            <w:pPr>
              <w:rPr>
                <w:rFonts w:ascii="宋体" w:hAnsi="宋体" w:cs="宋体"/>
                <w:b/>
              </w:rPr>
            </w:pPr>
            <w:r>
              <w:rPr>
                <w:rFonts w:ascii="宋体" w:hAnsi="宋体" w:cs="宋体"/>
                <w:b/>
              </w:rPr>
            </w:r>
            <w:r/>
          </w:p>
        </w:tc>
        <w:tc>
          <w:tcPr>
            <w:tcW w:w="829" w:type="dxa"/>
            <w:textDirection w:val="lrTb"/>
            <w:noWrap w:val="false"/>
          </w:tcPr>
          <w:p>
            <w:pPr>
              <w:rPr>
                <w:rFonts w:ascii="宋体" w:hAnsi="宋体" w:cs="宋体"/>
                <w:b/>
              </w:rPr>
            </w:pPr>
            <w:r>
              <w:rPr>
                <w:rFonts w:ascii="宋体" w:hAnsi="宋体" w:cs="宋体"/>
                <w:b/>
              </w:rPr>
            </w:r>
            <w:r/>
          </w:p>
        </w:tc>
        <w:tc>
          <w:tcPr>
            <w:tcW w:w="771" w:type="dxa"/>
            <w:textDirection w:val="lrTb"/>
            <w:noWrap w:val="false"/>
          </w:tcPr>
          <w:p>
            <w:pPr>
              <w:rPr>
                <w:rFonts w:ascii="宋体" w:hAnsi="宋体" w:cs="宋体"/>
                <w:b/>
              </w:rPr>
            </w:pPr>
            <w:r>
              <w:rPr>
                <w:rFonts w:ascii="宋体" w:hAnsi="宋体" w:cs="宋体"/>
                <w:b/>
              </w:rPr>
            </w:r>
            <w:r/>
          </w:p>
        </w:tc>
        <w:tc>
          <w:tcPr>
            <w:tcW w:w="1014" w:type="dxa"/>
            <w:textDirection w:val="lrTb"/>
            <w:noWrap w:val="false"/>
          </w:tcPr>
          <w:p>
            <w:pPr>
              <w:rPr>
                <w:rFonts w:ascii="宋体" w:hAnsi="宋体" w:cs="宋体"/>
                <w:b/>
              </w:rPr>
            </w:pPr>
            <w:r>
              <w:rPr>
                <w:rFonts w:ascii="宋体" w:hAnsi="宋体" w:cs="宋体"/>
                <w:b/>
              </w:rPr>
            </w:r>
            <w:r/>
          </w:p>
        </w:tc>
        <w:tc>
          <w:tcPr>
            <w:tcW w:w="1593" w:type="dxa"/>
            <w:textDirection w:val="lrTb"/>
            <w:noWrap w:val="false"/>
          </w:tcPr>
          <w:p>
            <w:pPr>
              <w:rPr>
                <w:rFonts w:ascii="宋体" w:hAnsi="宋体" w:cs="宋体"/>
                <w:b/>
              </w:rPr>
            </w:pPr>
            <w:r>
              <w:rPr>
                <w:rFonts w:ascii="宋体" w:hAnsi="宋体" w:cs="宋体"/>
                <w:b/>
              </w:rPr>
            </w:r>
            <w:r/>
          </w:p>
        </w:tc>
      </w:tr>
      <w:tr>
        <w:trPr/>
        <w:tc>
          <w:tcPr>
            <w:tcW w:w="572" w:type="dxa"/>
            <w:textDirection w:val="lrTb"/>
            <w:noWrap w:val="false"/>
          </w:tcPr>
          <w:p>
            <w:pPr>
              <w:rPr>
                <w:rFonts w:ascii="宋体" w:hAnsi="宋体" w:cs="宋体"/>
                <w:b/>
              </w:rPr>
            </w:pPr>
            <w:r>
              <w:rPr>
                <w:rFonts w:ascii="宋体" w:hAnsi="宋体" w:cs="宋体"/>
                <w:b/>
              </w:rPr>
            </w:r>
            <w:r/>
          </w:p>
        </w:tc>
        <w:tc>
          <w:tcPr>
            <w:tcW w:w="1167" w:type="dxa"/>
            <w:textDirection w:val="lrTb"/>
            <w:noWrap w:val="false"/>
          </w:tcPr>
          <w:p>
            <w:pPr>
              <w:rPr>
                <w:rFonts w:ascii="宋体" w:hAnsi="宋体" w:cs="宋体"/>
                <w:b/>
              </w:rPr>
            </w:pPr>
            <w:r>
              <w:rPr>
                <w:rFonts w:hint="eastAsia" w:ascii="宋体" w:hAnsi="宋体" w:cs="宋体"/>
                <w:b/>
              </w:rPr>
              <w:t xml:space="preserve">……</w:t>
            </w:r>
            <w:r/>
          </w:p>
        </w:tc>
        <w:tc>
          <w:tcPr>
            <w:tcW w:w="1575" w:type="dxa"/>
            <w:textDirection w:val="lrTb"/>
            <w:noWrap w:val="false"/>
          </w:tcPr>
          <w:p>
            <w:pPr>
              <w:rPr>
                <w:rFonts w:ascii="宋体" w:hAnsi="宋体" w:cs="宋体"/>
                <w:b/>
              </w:rPr>
            </w:pPr>
            <w:r>
              <w:rPr>
                <w:rFonts w:ascii="宋体" w:hAnsi="宋体" w:cs="宋体"/>
                <w:b/>
              </w:rPr>
            </w:r>
            <w:r/>
          </w:p>
        </w:tc>
        <w:tc>
          <w:tcPr>
            <w:tcW w:w="768" w:type="dxa"/>
            <w:textDirection w:val="lrTb"/>
            <w:noWrap w:val="false"/>
          </w:tcPr>
          <w:p>
            <w:pPr>
              <w:rPr>
                <w:rFonts w:ascii="宋体" w:hAnsi="宋体" w:cs="宋体"/>
                <w:b/>
              </w:rPr>
            </w:pPr>
            <w:r>
              <w:rPr>
                <w:rFonts w:ascii="宋体" w:hAnsi="宋体" w:cs="宋体"/>
                <w:b/>
              </w:rPr>
            </w:r>
            <w:r/>
          </w:p>
        </w:tc>
        <w:tc>
          <w:tcPr>
            <w:tcW w:w="829" w:type="dxa"/>
            <w:textDirection w:val="lrTb"/>
            <w:noWrap w:val="false"/>
          </w:tcPr>
          <w:p>
            <w:pPr>
              <w:rPr>
                <w:rFonts w:ascii="宋体" w:hAnsi="宋体" w:cs="宋体"/>
                <w:b/>
              </w:rPr>
            </w:pPr>
            <w:r>
              <w:rPr>
                <w:rFonts w:ascii="宋体" w:hAnsi="宋体" w:cs="宋体"/>
                <w:b/>
              </w:rPr>
            </w:r>
            <w:r/>
          </w:p>
        </w:tc>
        <w:tc>
          <w:tcPr>
            <w:tcW w:w="771" w:type="dxa"/>
            <w:textDirection w:val="lrTb"/>
            <w:noWrap w:val="false"/>
          </w:tcPr>
          <w:p>
            <w:pPr>
              <w:rPr>
                <w:rFonts w:ascii="宋体" w:hAnsi="宋体" w:cs="宋体"/>
                <w:b/>
              </w:rPr>
            </w:pPr>
            <w:r>
              <w:rPr>
                <w:rFonts w:ascii="宋体" w:hAnsi="宋体" w:cs="宋体"/>
                <w:b/>
              </w:rPr>
            </w:r>
            <w:r/>
          </w:p>
        </w:tc>
        <w:tc>
          <w:tcPr>
            <w:tcW w:w="1014" w:type="dxa"/>
            <w:textDirection w:val="lrTb"/>
            <w:noWrap w:val="false"/>
          </w:tcPr>
          <w:p>
            <w:pPr>
              <w:rPr>
                <w:rFonts w:ascii="宋体" w:hAnsi="宋体" w:cs="宋体"/>
                <w:b/>
              </w:rPr>
            </w:pPr>
            <w:r>
              <w:rPr>
                <w:rFonts w:ascii="宋体" w:hAnsi="宋体" w:cs="宋体"/>
                <w:b/>
              </w:rPr>
            </w:r>
            <w:r/>
          </w:p>
        </w:tc>
        <w:tc>
          <w:tcPr>
            <w:tcW w:w="1593" w:type="dxa"/>
            <w:textDirection w:val="lrTb"/>
            <w:noWrap w:val="false"/>
          </w:tcPr>
          <w:p>
            <w:pPr>
              <w:rPr>
                <w:rFonts w:ascii="宋体" w:hAnsi="宋体" w:cs="宋体"/>
                <w:b/>
              </w:rPr>
            </w:pPr>
            <w:r>
              <w:rPr>
                <w:rFonts w:ascii="宋体" w:hAnsi="宋体" w:cs="宋体"/>
                <w:b/>
              </w:rPr>
            </w:r>
            <w:r/>
          </w:p>
        </w:tc>
      </w:tr>
      <w:tr>
        <w:trPr/>
        <w:tc>
          <w:tcPr>
            <w:tcW w:w="572" w:type="dxa"/>
            <w:textDirection w:val="lrTb"/>
            <w:noWrap w:val="false"/>
          </w:tcPr>
          <w:p>
            <w:pPr>
              <w:rPr>
                <w:rFonts w:ascii="宋体" w:hAnsi="宋体" w:cs="宋体"/>
                <w:b/>
              </w:rPr>
            </w:pPr>
            <w:r>
              <w:rPr>
                <w:rFonts w:ascii="宋体" w:hAnsi="宋体" w:cs="宋体"/>
                <w:b/>
              </w:rPr>
            </w:r>
            <w:r/>
          </w:p>
        </w:tc>
        <w:tc>
          <w:tcPr>
            <w:tcW w:w="1167" w:type="dxa"/>
            <w:textDirection w:val="lrTb"/>
            <w:noWrap w:val="false"/>
          </w:tcPr>
          <w:p>
            <w:pPr>
              <w:rPr>
                <w:rFonts w:ascii="宋体" w:hAnsi="宋体" w:cs="宋体"/>
                <w:b/>
              </w:rPr>
            </w:pPr>
            <w:r>
              <w:rPr>
                <w:rFonts w:ascii="宋体" w:hAnsi="宋体" w:cs="宋体"/>
                <w:b/>
              </w:rPr>
            </w:r>
            <w:r/>
          </w:p>
        </w:tc>
        <w:tc>
          <w:tcPr>
            <w:tcW w:w="1575" w:type="dxa"/>
            <w:textDirection w:val="lrTb"/>
            <w:noWrap w:val="false"/>
          </w:tcPr>
          <w:p>
            <w:pPr>
              <w:rPr>
                <w:rFonts w:ascii="宋体" w:hAnsi="宋体" w:cs="宋体"/>
                <w:b/>
              </w:rPr>
            </w:pPr>
            <w:r>
              <w:rPr>
                <w:rFonts w:ascii="宋体" w:hAnsi="宋体" w:cs="宋体"/>
                <w:b/>
              </w:rPr>
            </w:r>
            <w:r/>
          </w:p>
        </w:tc>
        <w:tc>
          <w:tcPr>
            <w:tcW w:w="768" w:type="dxa"/>
            <w:textDirection w:val="lrTb"/>
            <w:noWrap w:val="false"/>
          </w:tcPr>
          <w:p>
            <w:pPr>
              <w:rPr>
                <w:rFonts w:ascii="宋体" w:hAnsi="宋体" w:cs="宋体"/>
                <w:b/>
              </w:rPr>
            </w:pPr>
            <w:r>
              <w:rPr>
                <w:rFonts w:ascii="宋体" w:hAnsi="宋体" w:cs="宋体"/>
                <w:b/>
              </w:rPr>
            </w:r>
            <w:r/>
          </w:p>
        </w:tc>
        <w:tc>
          <w:tcPr>
            <w:tcW w:w="829" w:type="dxa"/>
            <w:textDirection w:val="lrTb"/>
            <w:noWrap w:val="false"/>
          </w:tcPr>
          <w:p>
            <w:pPr>
              <w:rPr>
                <w:rFonts w:ascii="宋体" w:hAnsi="宋体" w:cs="宋体"/>
                <w:b/>
              </w:rPr>
            </w:pPr>
            <w:r>
              <w:rPr>
                <w:rFonts w:ascii="宋体" w:hAnsi="宋体" w:cs="宋体"/>
                <w:b/>
              </w:rPr>
            </w:r>
            <w:r/>
          </w:p>
        </w:tc>
        <w:tc>
          <w:tcPr>
            <w:tcW w:w="771" w:type="dxa"/>
            <w:textDirection w:val="lrTb"/>
            <w:noWrap w:val="false"/>
          </w:tcPr>
          <w:p>
            <w:pPr>
              <w:rPr>
                <w:rFonts w:ascii="宋体" w:hAnsi="宋体" w:cs="宋体"/>
                <w:b/>
              </w:rPr>
            </w:pPr>
            <w:r>
              <w:rPr>
                <w:rFonts w:ascii="宋体" w:hAnsi="宋体" w:cs="宋体"/>
                <w:b/>
              </w:rPr>
            </w:r>
            <w:r/>
          </w:p>
        </w:tc>
        <w:tc>
          <w:tcPr>
            <w:tcW w:w="1014" w:type="dxa"/>
            <w:textDirection w:val="lrTb"/>
            <w:noWrap w:val="false"/>
          </w:tcPr>
          <w:p>
            <w:pPr>
              <w:rPr>
                <w:rFonts w:ascii="宋体" w:hAnsi="宋体" w:cs="宋体"/>
                <w:b/>
              </w:rPr>
            </w:pPr>
            <w:r>
              <w:rPr>
                <w:rFonts w:ascii="宋体" w:hAnsi="宋体" w:cs="宋体"/>
                <w:b/>
              </w:rPr>
            </w:r>
            <w:r/>
          </w:p>
        </w:tc>
        <w:tc>
          <w:tcPr>
            <w:tcW w:w="1593" w:type="dxa"/>
            <w:textDirection w:val="lrTb"/>
            <w:noWrap w:val="false"/>
          </w:tcPr>
          <w:p>
            <w:pPr>
              <w:rPr>
                <w:rFonts w:ascii="宋体" w:hAnsi="宋体" w:cs="宋体"/>
                <w:b/>
              </w:rPr>
            </w:pPr>
            <w:r>
              <w:rPr>
                <w:rFonts w:ascii="宋体" w:hAnsi="宋体" w:cs="宋体"/>
                <w:b/>
              </w:rPr>
            </w:r>
            <w:r/>
          </w:p>
        </w:tc>
      </w:tr>
      <w:tr>
        <w:trPr/>
        <w:tc>
          <w:tcPr>
            <w:tcW w:w="572" w:type="dxa"/>
            <w:textDirection w:val="lrTb"/>
            <w:noWrap w:val="false"/>
          </w:tcPr>
          <w:p>
            <w:pPr>
              <w:rPr>
                <w:rFonts w:ascii="宋体" w:hAnsi="宋体" w:cs="宋体"/>
                <w:b/>
              </w:rPr>
            </w:pPr>
            <w:r>
              <w:rPr>
                <w:rFonts w:ascii="宋体" w:hAnsi="宋体" w:cs="宋体"/>
                <w:b/>
              </w:rPr>
            </w:r>
            <w:r/>
          </w:p>
        </w:tc>
        <w:tc>
          <w:tcPr>
            <w:tcW w:w="1167" w:type="dxa"/>
            <w:textDirection w:val="lrTb"/>
            <w:noWrap w:val="false"/>
          </w:tcPr>
          <w:p>
            <w:pPr>
              <w:rPr>
                <w:rFonts w:ascii="宋体" w:hAnsi="宋体" w:cs="宋体"/>
                <w:b/>
              </w:rPr>
            </w:pPr>
            <w:r>
              <w:rPr>
                <w:rFonts w:ascii="宋体" w:hAnsi="宋体" w:cs="宋体"/>
                <w:b/>
              </w:rPr>
            </w:r>
            <w:r/>
          </w:p>
        </w:tc>
        <w:tc>
          <w:tcPr>
            <w:tcW w:w="1575" w:type="dxa"/>
            <w:textDirection w:val="lrTb"/>
            <w:noWrap w:val="false"/>
          </w:tcPr>
          <w:p>
            <w:pPr>
              <w:rPr>
                <w:rFonts w:ascii="宋体" w:hAnsi="宋体" w:cs="宋体"/>
                <w:b/>
              </w:rPr>
            </w:pPr>
            <w:r>
              <w:rPr>
                <w:rFonts w:ascii="宋体" w:hAnsi="宋体" w:cs="宋体"/>
                <w:b/>
              </w:rPr>
            </w:r>
            <w:r/>
          </w:p>
        </w:tc>
        <w:tc>
          <w:tcPr>
            <w:tcW w:w="768" w:type="dxa"/>
            <w:textDirection w:val="lrTb"/>
            <w:noWrap w:val="false"/>
          </w:tcPr>
          <w:p>
            <w:pPr>
              <w:rPr>
                <w:rFonts w:ascii="宋体" w:hAnsi="宋体" w:cs="宋体"/>
                <w:b/>
              </w:rPr>
            </w:pPr>
            <w:r>
              <w:rPr>
                <w:rFonts w:ascii="宋体" w:hAnsi="宋体" w:cs="宋体"/>
                <w:b/>
              </w:rPr>
            </w:r>
            <w:r/>
          </w:p>
        </w:tc>
        <w:tc>
          <w:tcPr>
            <w:tcW w:w="829" w:type="dxa"/>
            <w:textDirection w:val="lrTb"/>
            <w:noWrap w:val="false"/>
          </w:tcPr>
          <w:p>
            <w:pPr>
              <w:rPr>
                <w:rFonts w:ascii="宋体" w:hAnsi="宋体" w:cs="宋体"/>
                <w:b/>
              </w:rPr>
            </w:pPr>
            <w:r>
              <w:rPr>
                <w:rFonts w:ascii="宋体" w:hAnsi="宋体" w:cs="宋体"/>
                <w:b/>
              </w:rPr>
            </w:r>
            <w:r/>
          </w:p>
        </w:tc>
        <w:tc>
          <w:tcPr>
            <w:tcW w:w="771" w:type="dxa"/>
            <w:textDirection w:val="lrTb"/>
            <w:noWrap w:val="false"/>
          </w:tcPr>
          <w:p>
            <w:pPr>
              <w:rPr>
                <w:rFonts w:ascii="宋体" w:hAnsi="宋体" w:cs="宋体"/>
                <w:b/>
              </w:rPr>
            </w:pPr>
            <w:r>
              <w:rPr>
                <w:rFonts w:ascii="宋体" w:hAnsi="宋体" w:cs="宋体"/>
                <w:b/>
              </w:rPr>
            </w:r>
            <w:r/>
          </w:p>
        </w:tc>
        <w:tc>
          <w:tcPr>
            <w:tcW w:w="1014" w:type="dxa"/>
            <w:textDirection w:val="lrTb"/>
            <w:noWrap w:val="false"/>
          </w:tcPr>
          <w:p>
            <w:pPr>
              <w:rPr>
                <w:rFonts w:ascii="宋体" w:hAnsi="宋体" w:cs="宋体"/>
                <w:b/>
              </w:rPr>
            </w:pPr>
            <w:r>
              <w:rPr>
                <w:rFonts w:ascii="宋体" w:hAnsi="宋体" w:cs="宋体"/>
                <w:b/>
              </w:rPr>
            </w:r>
            <w:r/>
          </w:p>
        </w:tc>
        <w:tc>
          <w:tcPr>
            <w:tcW w:w="1593" w:type="dxa"/>
            <w:textDirection w:val="lrTb"/>
            <w:noWrap w:val="false"/>
          </w:tcPr>
          <w:p>
            <w:pPr>
              <w:rPr>
                <w:rFonts w:ascii="宋体" w:hAnsi="宋体" w:cs="宋体"/>
                <w:b/>
              </w:rPr>
            </w:pPr>
            <w:r>
              <w:rPr>
                <w:rFonts w:ascii="宋体" w:hAnsi="宋体" w:cs="宋体"/>
                <w:b/>
              </w:rPr>
            </w:r>
            <w:r/>
          </w:p>
        </w:tc>
      </w:tr>
      <w:tr>
        <w:trPr/>
        <w:tc>
          <w:tcPr>
            <w:tcW w:w="572" w:type="dxa"/>
            <w:textDirection w:val="lrTb"/>
            <w:noWrap w:val="false"/>
          </w:tcPr>
          <w:p>
            <w:pPr>
              <w:rPr>
                <w:rFonts w:ascii="宋体" w:hAnsi="宋体" w:cs="宋体"/>
                <w:b/>
              </w:rPr>
            </w:pPr>
            <w:r>
              <w:rPr>
                <w:rFonts w:ascii="宋体" w:hAnsi="宋体" w:cs="宋体"/>
                <w:b/>
              </w:rPr>
            </w:r>
            <w:r/>
          </w:p>
        </w:tc>
        <w:tc>
          <w:tcPr>
            <w:tcW w:w="1167" w:type="dxa"/>
            <w:textDirection w:val="lrTb"/>
            <w:noWrap w:val="false"/>
          </w:tcPr>
          <w:p>
            <w:pPr>
              <w:rPr>
                <w:rFonts w:ascii="宋体" w:hAnsi="宋体" w:cs="宋体"/>
                <w:b/>
              </w:rPr>
            </w:pPr>
            <w:r>
              <w:rPr>
                <w:rFonts w:ascii="宋体" w:hAnsi="宋体" w:cs="宋体"/>
                <w:b/>
              </w:rPr>
            </w:r>
            <w:r/>
          </w:p>
        </w:tc>
        <w:tc>
          <w:tcPr>
            <w:tcW w:w="1575" w:type="dxa"/>
            <w:textDirection w:val="lrTb"/>
            <w:noWrap w:val="false"/>
          </w:tcPr>
          <w:p>
            <w:pPr>
              <w:rPr>
                <w:rFonts w:ascii="宋体" w:hAnsi="宋体" w:cs="宋体"/>
                <w:b/>
              </w:rPr>
            </w:pPr>
            <w:r>
              <w:rPr>
                <w:rFonts w:ascii="宋体" w:hAnsi="宋体" w:cs="宋体"/>
                <w:b/>
              </w:rPr>
            </w:r>
            <w:r/>
          </w:p>
        </w:tc>
        <w:tc>
          <w:tcPr>
            <w:tcW w:w="768" w:type="dxa"/>
            <w:textDirection w:val="lrTb"/>
            <w:noWrap w:val="false"/>
          </w:tcPr>
          <w:p>
            <w:pPr>
              <w:rPr>
                <w:rFonts w:ascii="宋体" w:hAnsi="宋体" w:cs="宋体"/>
                <w:b/>
              </w:rPr>
            </w:pPr>
            <w:r>
              <w:rPr>
                <w:rFonts w:ascii="宋体" w:hAnsi="宋体" w:cs="宋体"/>
                <w:b/>
              </w:rPr>
            </w:r>
            <w:r/>
          </w:p>
        </w:tc>
        <w:tc>
          <w:tcPr>
            <w:tcW w:w="829" w:type="dxa"/>
            <w:textDirection w:val="lrTb"/>
            <w:noWrap w:val="false"/>
          </w:tcPr>
          <w:p>
            <w:pPr>
              <w:rPr>
                <w:rFonts w:ascii="宋体" w:hAnsi="宋体" w:cs="宋体"/>
                <w:b/>
              </w:rPr>
            </w:pPr>
            <w:r>
              <w:rPr>
                <w:rFonts w:ascii="宋体" w:hAnsi="宋体" w:cs="宋体"/>
                <w:b/>
              </w:rPr>
            </w:r>
            <w:r/>
          </w:p>
        </w:tc>
        <w:tc>
          <w:tcPr>
            <w:tcW w:w="771" w:type="dxa"/>
            <w:textDirection w:val="lrTb"/>
            <w:noWrap w:val="false"/>
          </w:tcPr>
          <w:p>
            <w:pPr>
              <w:rPr>
                <w:rFonts w:ascii="宋体" w:hAnsi="宋体" w:cs="宋体"/>
                <w:b/>
              </w:rPr>
            </w:pPr>
            <w:r>
              <w:rPr>
                <w:rFonts w:ascii="宋体" w:hAnsi="宋体" w:cs="宋体"/>
                <w:b/>
              </w:rPr>
            </w:r>
            <w:r/>
          </w:p>
        </w:tc>
        <w:tc>
          <w:tcPr>
            <w:tcW w:w="1014" w:type="dxa"/>
            <w:textDirection w:val="lrTb"/>
            <w:noWrap w:val="false"/>
          </w:tcPr>
          <w:p>
            <w:pPr>
              <w:rPr>
                <w:rFonts w:ascii="宋体" w:hAnsi="宋体" w:cs="宋体"/>
                <w:b/>
              </w:rPr>
            </w:pPr>
            <w:r>
              <w:rPr>
                <w:rFonts w:ascii="宋体" w:hAnsi="宋体" w:cs="宋体"/>
                <w:b/>
              </w:rPr>
            </w:r>
            <w:r/>
          </w:p>
        </w:tc>
        <w:tc>
          <w:tcPr>
            <w:tcW w:w="1593" w:type="dxa"/>
            <w:textDirection w:val="lrTb"/>
            <w:noWrap w:val="false"/>
          </w:tcPr>
          <w:p>
            <w:pPr>
              <w:rPr>
                <w:rFonts w:ascii="宋体" w:hAnsi="宋体" w:cs="宋体"/>
                <w:b/>
              </w:rPr>
            </w:pPr>
            <w:r>
              <w:rPr>
                <w:rFonts w:ascii="宋体" w:hAnsi="宋体" w:cs="宋体"/>
                <w:b/>
              </w:rPr>
            </w:r>
            <w:r/>
          </w:p>
        </w:tc>
      </w:tr>
      <w:tr>
        <w:trPr/>
        <w:tc>
          <w:tcPr>
            <w:tcW w:w="572" w:type="dxa"/>
            <w:textDirection w:val="lrTb"/>
            <w:noWrap w:val="false"/>
          </w:tcPr>
          <w:p>
            <w:pPr>
              <w:rPr>
                <w:rFonts w:ascii="宋体" w:hAnsi="宋体" w:cs="宋体"/>
                <w:b/>
              </w:rPr>
            </w:pPr>
            <w:r>
              <w:rPr>
                <w:rFonts w:ascii="宋体" w:hAnsi="宋体" w:cs="宋体"/>
                <w:b/>
              </w:rPr>
            </w:r>
            <w:r/>
          </w:p>
        </w:tc>
        <w:tc>
          <w:tcPr>
            <w:tcW w:w="1167" w:type="dxa"/>
            <w:textDirection w:val="lrTb"/>
            <w:noWrap w:val="false"/>
          </w:tcPr>
          <w:p>
            <w:pPr>
              <w:rPr>
                <w:rFonts w:ascii="宋体" w:hAnsi="宋体" w:cs="宋体"/>
                <w:b/>
              </w:rPr>
            </w:pPr>
            <w:r>
              <w:rPr>
                <w:rFonts w:ascii="宋体" w:hAnsi="宋体" w:cs="宋体"/>
                <w:b/>
              </w:rPr>
            </w:r>
            <w:r/>
          </w:p>
        </w:tc>
        <w:tc>
          <w:tcPr>
            <w:tcW w:w="1575" w:type="dxa"/>
            <w:textDirection w:val="lrTb"/>
            <w:noWrap w:val="false"/>
          </w:tcPr>
          <w:p>
            <w:pPr>
              <w:rPr>
                <w:rFonts w:ascii="宋体" w:hAnsi="宋体" w:cs="宋体"/>
                <w:b/>
              </w:rPr>
            </w:pPr>
            <w:r>
              <w:rPr>
                <w:rFonts w:ascii="宋体" w:hAnsi="宋体" w:cs="宋体"/>
                <w:b/>
              </w:rPr>
            </w:r>
            <w:r/>
          </w:p>
        </w:tc>
        <w:tc>
          <w:tcPr>
            <w:tcW w:w="768" w:type="dxa"/>
            <w:textDirection w:val="lrTb"/>
            <w:noWrap w:val="false"/>
          </w:tcPr>
          <w:p>
            <w:pPr>
              <w:rPr>
                <w:rFonts w:ascii="宋体" w:hAnsi="宋体" w:cs="宋体"/>
                <w:b/>
              </w:rPr>
            </w:pPr>
            <w:r>
              <w:rPr>
                <w:rFonts w:ascii="宋体" w:hAnsi="宋体" w:cs="宋体"/>
                <w:b/>
              </w:rPr>
            </w:r>
            <w:r/>
          </w:p>
        </w:tc>
        <w:tc>
          <w:tcPr>
            <w:tcW w:w="829" w:type="dxa"/>
            <w:textDirection w:val="lrTb"/>
            <w:noWrap w:val="false"/>
          </w:tcPr>
          <w:p>
            <w:pPr>
              <w:rPr>
                <w:rFonts w:ascii="宋体" w:hAnsi="宋体" w:cs="宋体"/>
                <w:b/>
              </w:rPr>
            </w:pPr>
            <w:r>
              <w:rPr>
                <w:rFonts w:ascii="宋体" w:hAnsi="宋体" w:cs="宋体"/>
                <w:b/>
              </w:rPr>
            </w:r>
            <w:r/>
          </w:p>
        </w:tc>
        <w:tc>
          <w:tcPr>
            <w:tcW w:w="771" w:type="dxa"/>
            <w:textDirection w:val="lrTb"/>
            <w:noWrap w:val="false"/>
          </w:tcPr>
          <w:p>
            <w:pPr>
              <w:rPr>
                <w:rFonts w:ascii="宋体" w:hAnsi="宋体" w:cs="宋体"/>
                <w:b/>
              </w:rPr>
            </w:pPr>
            <w:r>
              <w:rPr>
                <w:rFonts w:ascii="宋体" w:hAnsi="宋体" w:cs="宋体"/>
                <w:b/>
              </w:rPr>
            </w:r>
            <w:r/>
          </w:p>
        </w:tc>
        <w:tc>
          <w:tcPr>
            <w:tcW w:w="1014" w:type="dxa"/>
            <w:textDirection w:val="lrTb"/>
            <w:noWrap w:val="false"/>
          </w:tcPr>
          <w:p>
            <w:pPr>
              <w:rPr>
                <w:rFonts w:ascii="宋体" w:hAnsi="宋体" w:cs="宋体"/>
                <w:b/>
              </w:rPr>
            </w:pPr>
            <w:r>
              <w:rPr>
                <w:rFonts w:ascii="宋体" w:hAnsi="宋体" w:cs="宋体"/>
                <w:b/>
              </w:rPr>
            </w:r>
            <w:r/>
          </w:p>
        </w:tc>
        <w:tc>
          <w:tcPr>
            <w:tcW w:w="1593" w:type="dxa"/>
            <w:textDirection w:val="lrTb"/>
            <w:noWrap w:val="false"/>
          </w:tcPr>
          <w:p>
            <w:pPr>
              <w:rPr>
                <w:rFonts w:ascii="宋体" w:hAnsi="宋体" w:cs="宋体"/>
                <w:b/>
              </w:rPr>
            </w:pPr>
            <w:r>
              <w:rPr>
                <w:rFonts w:ascii="宋体" w:hAnsi="宋体" w:cs="宋体"/>
                <w:b/>
              </w:rPr>
            </w:r>
            <w:r/>
          </w:p>
        </w:tc>
      </w:tr>
      <w:tr>
        <w:trPr/>
        <w:tc>
          <w:tcPr>
            <w:tcW w:w="572" w:type="dxa"/>
            <w:textDirection w:val="lrTb"/>
            <w:noWrap w:val="false"/>
          </w:tcPr>
          <w:p>
            <w:pPr>
              <w:rPr>
                <w:rFonts w:ascii="宋体" w:hAnsi="宋体" w:cs="宋体"/>
                <w:b/>
              </w:rPr>
            </w:pPr>
            <w:r>
              <w:rPr>
                <w:rFonts w:ascii="宋体" w:hAnsi="宋体" w:cs="宋体"/>
                <w:b/>
              </w:rPr>
            </w:r>
            <w:r/>
          </w:p>
        </w:tc>
        <w:tc>
          <w:tcPr>
            <w:tcW w:w="1167" w:type="dxa"/>
            <w:textDirection w:val="lrTb"/>
            <w:noWrap w:val="false"/>
          </w:tcPr>
          <w:p>
            <w:pPr>
              <w:rPr>
                <w:rFonts w:ascii="宋体" w:hAnsi="宋体" w:cs="宋体"/>
                <w:b/>
              </w:rPr>
            </w:pPr>
            <w:r>
              <w:rPr>
                <w:rFonts w:ascii="宋体" w:hAnsi="宋体" w:cs="宋体"/>
                <w:b/>
              </w:rPr>
            </w:r>
            <w:r/>
          </w:p>
        </w:tc>
        <w:tc>
          <w:tcPr>
            <w:tcW w:w="1575" w:type="dxa"/>
            <w:textDirection w:val="lrTb"/>
            <w:noWrap w:val="false"/>
          </w:tcPr>
          <w:p>
            <w:pPr>
              <w:rPr>
                <w:rFonts w:ascii="宋体" w:hAnsi="宋体" w:cs="宋体"/>
                <w:b/>
              </w:rPr>
            </w:pPr>
            <w:r>
              <w:rPr>
                <w:rFonts w:ascii="宋体" w:hAnsi="宋体" w:cs="宋体"/>
                <w:b/>
              </w:rPr>
            </w:r>
            <w:r/>
          </w:p>
        </w:tc>
        <w:tc>
          <w:tcPr>
            <w:tcW w:w="768" w:type="dxa"/>
            <w:textDirection w:val="lrTb"/>
            <w:noWrap w:val="false"/>
          </w:tcPr>
          <w:p>
            <w:pPr>
              <w:rPr>
                <w:rFonts w:ascii="宋体" w:hAnsi="宋体" w:cs="宋体"/>
                <w:b/>
              </w:rPr>
            </w:pPr>
            <w:r>
              <w:rPr>
                <w:rFonts w:ascii="宋体" w:hAnsi="宋体" w:cs="宋体"/>
                <w:b/>
              </w:rPr>
            </w:r>
            <w:r/>
          </w:p>
        </w:tc>
        <w:tc>
          <w:tcPr>
            <w:tcW w:w="829" w:type="dxa"/>
            <w:textDirection w:val="lrTb"/>
            <w:noWrap w:val="false"/>
          </w:tcPr>
          <w:p>
            <w:pPr>
              <w:rPr>
                <w:rFonts w:ascii="宋体" w:hAnsi="宋体" w:cs="宋体"/>
                <w:b/>
              </w:rPr>
            </w:pPr>
            <w:r>
              <w:rPr>
                <w:rFonts w:ascii="宋体" w:hAnsi="宋体" w:cs="宋体"/>
                <w:b/>
              </w:rPr>
            </w:r>
            <w:r/>
          </w:p>
        </w:tc>
        <w:tc>
          <w:tcPr>
            <w:tcW w:w="771" w:type="dxa"/>
            <w:textDirection w:val="lrTb"/>
            <w:noWrap w:val="false"/>
          </w:tcPr>
          <w:p>
            <w:pPr>
              <w:rPr>
                <w:rFonts w:ascii="宋体" w:hAnsi="宋体" w:cs="宋体"/>
                <w:b/>
              </w:rPr>
            </w:pPr>
            <w:r>
              <w:rPr>
                <w:rFonts w:ascii="宋体" w:hAnsi="宋体" w:cs="宋体"/>
                <w:b/>
              </w:rPr>
            </w:r>
            <w:r/>
          </w:p>
        </w:tc>
        <w:tc>
          <w:tcPr>
            <w:tcW w:w="1014" w:type="dxa"/>
            <w:textDirection w:val="lrTb"/>
            <w:noWrap w:val="false"/>
          </w:tcPr>
          <w:p>
            <w:pPr>
              <w:rPr>
                <w:rFonts w:ascii="宋体" w:hAnsi="宋体" w:cs="宋体"/>
                <w:b/>
              </w:rPr>
            </w:pPr>
            <w:r>
              <w:rPr>
                <w:rFonts w:ascii="宋体" w:hAnsi="宋体" w:cs="宋体"/>
                <w:b/>
              </w:rPr>
            </w:r>
            <w:r/>
          </w:p>
        </w:tc>
        <w:tc>
          <w:tcPr>
            <w:tcW w:w="1593" w:type="dxa"/>
            <w:textDirection w:val="lrTb"/>
            <w:noWrap w:val="false"/>
          </w:tcPr>
          <w:p>
            <w:pPr>
              <w:rPr>
                <w:rFonts w:ascii="宋体" w:hAnsi="宋体" w:cs="宋体"/>
                <w:b/>
              </w:rPr>
            </w:pPr>
            <w:r>
              <w:rPr>
                <w:rFonts w:ascii="宋体" w:hAnsi="宋体" w:cs="宋体"/>
                <w:b/>
              </w:rPr>
            </w:r>
            <w:r/>
          </w:p>
        </w:tc>
      </w:tr>
    </w:tbl>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hint="eastAsia" w:ascii="宋体" w:hAnsi="宋体" w:cs="宋体"/>
          <w:b/>
        </w:rPr>
        <w:br w:type="page" w:clear="all"/>
      </w:r>
      <w:r/>
    </w:p>
    <w:p>
      <w:pPr>
        <w:spacing w:line="360" w:lineRule="auto"/>
        <w:rPr>
          <w:rFonts w:ascii="宋体" w:hAnsi="宋体" w:cs="宋体"/>
          <w:b/>
        </w:rPr>
      </w:pPr>
      <w:r>
        <w:rPr>
          <w:rFonts w:hint="eastAsia" w:ascii="宋体" w:hAnsi="宋体" w:cs="宋体"/>
          <w:b/>
        </w:rPr>
        <w:t xml:space="preserve">附件十四、其他</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b/>
          <w:bCs/>
          <w:szCs w:val="21"/>
        </w:rPr>
      </w:pPr>
      <w:r>
        <w:rPr>
          <w:rFonts w:hint="eastAsia" w:ascii="宋体" w:hAnsi="宋体" w:cs="宋体"/>
          <w:b/>
        </w:rPr>
        <w:t xml:space="preserve">供应商需要补充的其他内容</w:t>
      </w:r>
      <w:r/>
    </w:p>
    <w:p>
      <w:pPr>
        <w:spacing w:line="440" w:lineRule="exact"/>
        <w:rPr>
          <w:rFonts w:ascii="宋体" w:hAnsi="宋体" w:cs="宋体"/>
          <w:b/>
          <w:bCs/>
          <w:szCs w:val="21"/>
        </w:rPr>
      </w:pPr>
      <w:r>
        <w:rPr>
          <w:rFonts w:ascii="宋体" w:hAnsi="宋体" w:cs="宋体"/>
          <w:b/>
          <w:bCs/>
          <w:szCs w:val="21"/>
        </w:rPr>
      </w:r>
      <w:r/>
    </w:p>
    <w:sectPr>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MS Gothic">
    <w:panose1 w:val="020B0609070205080204"/>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7"/>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7"/>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170"/>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887"/>
      <w:isLgl w:val="false"/>
      <w:suff w:val="nothing"/>
      <w:lvlText w:val="第%1章"/>
      <w:lvlJc w:val="left"/>
      <w:pPr>
        <w:ind w:left="0" w:firstLine="0"/>
      </w:pPr>
    </w:lvl>
    <w:lvl w:ilvl="1">
      <w:start w:val="1"/>
      <w:numFmt w:val="none"/>
      <w:pStyle w:val="888"/>
      <w:isLgl w:val="false"/>
      <w:suff w:val="nothing"/>
      <w:lvlText w:val=""/>
      <w:lvlJc w:val="left"/>
      <w:pPr>
        <w:ind w:left="0" w:firstLine="0"/>
      </w:pPr>
    </w:lvl>
    <w:lvl w:ilvl="2">
      <w:start w:val="1"/>
      <w:numFmt w:val="none"/>
      <w:pStyle w:val="889"/>
      <w:isLgl w:val="false"/>
      <w:suff w:val="nothing"/>
      <w:lvlText w:val=""/>
      <w:lvlJc w:val="left"/>
      <w:pPr>
        <w:ind w:left="0" w:firstLine="0"/>
      </w:pPr>
    </w:lvl>
    <w:lvl w:ilvl="3">
      <w:start w:val="1"/>
      <w:numFmt w:val="none"/>
      <w:pStyle w:val="890"/>
      <w:isLgl w:val="false"/>
      <w:suff w:val="nothing"/>
      <w:lvlText w:val=""/>
      <w:lvlJc w:val="left"/>
      <w:pPr>
        <w:ind w:left="0" w:firstLine="0"/>
      </w:pPr>
    </w:lvl>
    <w:lvl w:ilvl="4">
      <w:start w:val="1"/>
      <w:numFmt w:val="none"/>
      <w:pStyle w:val="891"/>
      <w:isLgl w:val="false"/>
      <w:suff w:val="nothing"/>
      <w:lvlText w:val=""/>
      <w:lvlJc w:val="left"/>
      <w:pPr>
        <w:ind w:left="0" w:firstLine="0"/>
      </w:pPr>
    </w:lvl>
    <w:lvl w:ilvl="5">
      <w:start w:val="1"/>
      <w:numFmt w:val="none"/>
      <w:pStyle w:val="892"/>
      <w:isLgl w:val="false"/>
      <w:suff w:val="nothing"/>
      <w:lvlText w:val=""/>
      <w:lvlJc w:val="left"/>
      <w:pPr>
        <w:ind w:left="0" w:firstLine="0"/>
      </w:pPr>
    </w:lvl>
    <w:lvl w:ilvl="6">
      <w:start w:val="1"/>
      <w:numFmt w:val="none"/>
      <w:pStyle w:val="893"/>
      <w:isLgl w:val="false"/>
      <w:suff w:val="nothing"/>
      <w:lvlText w:val=""/>
      <w:lvlJc w:val="left"/>
      <w:pPr>
        <w:ind w:left="0" w:firstLine="0"/>
      </w:pPr>
    </w:lvl>
    <w:lvl w:ilvl="7">
      <w:start w:val="1"/>
      <w:numFmt w:val="none"/>
      <w:pStyle w:val="894"/>
      <w:isLgl w:val="false"/>
      <w:suff w:val="nothing"/>
      <w:lvlText w:val=""/>
      <w:lvlJc w:val="left"/>
      <w:pPr>
        <w:ind w:left="0" w:firstLine="0"/>
      </w:pPr>
    </w:lvl>
    <w:lvl w:ilvl="8">
      <w:start w:val="1"/>
      <w:numFmt w:val="none"/>
      <w:pStyle w:val="895"/>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04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66"/>
      <w:isLgl/>
      <w:suff w:val="tab"/>
      <w:lvlText w:val="%1.%2"/>
      <w:lvlJc w:val="left"/>
      <w:pPr>
        <w:ind w:left="425" w:hanging="425"/>
      </w:pPr>
      <w:rPr>
        <w:rFonts w:hint="eastAsia" w:ascii="Arial Unicode MS" w:hAnsi="Arial Unicode MS" w:eastAsia="微软雅黑"/>
        <w:b/>
        <w:i w:val="0"/>
      </w:rPr>
    </w:lvl>
    <w:lvl w:ilvl="2">
      <w:start w:val="1"/>
      <w:numFmt w:val="decimal"/>
      <w:pStyle w:val="107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90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1 Char"/>
    <w:basedOn w:val="896"/>
    <w:link w:val="887"/>
    <w:uiPriority w:val="9"/>
    <w:rPr>
      <w:rFonts w:ascii="Arial" w:hAnsi="Arial" w:eastAsia="Arial" w:cs="Arial"/>
      <w:sz w:val="40"/>
      <w:szCs w:val="40"/>
    </w:rPr>
  </w:style>
  <w:style w:type="character" w:styleId="735">
    <w:name w:val="Heading 2 Char"/>
    <w:basedOn w:val="896"/>
    <w:link w:val="888"/>
    <w:uiPriority w:val="9"/>
    <w:rPr>
      <w:rFonts w:ascii="Arial" w:hAnsi="Arial" w:eastAsia="Arial" w:cs="Arial"/>
      <w:sz w:val="34"/>
    </w:rPr>
  </w:style>
  <w:style w:type="character" w:styleId="736">
    <w:name w:val="Heading 3 Char"/>
    <w:basedOn w:val="896"/>
    <w:link w:val="889"/>
    <w:uiPriority w:val="9"/>
    <w:rPr>
      <w:rFonts w:ascii="Arial" w:hAnsi="Arial" w:eastAsia="Arial" w:cs="Arial"/>
      <w:sz w:val="30"/>
      <w:szCs w:val="30"/>
    </w:rPr>
  </w:style>
  <w:style w:type="character" w:styleId="737">
    <w:name w:val="Heading 4 Char"/>
    <w:basedOn w:val="896"/>
    <w:link w:val="890"/>
    <w:uiPriority w:val="9"/>
    <w:rPr>
      <w:rFonts w:ascii="Arial" w:hAnsi="Arial" w:eastAsia="Arial" w:cs="Arial"/>
      <w:b/>
      <w:bCs/>
      <w:sz w:val="26"/>
      <w:szCs w:val="26"/>
    </w:rPr>
  </w:style>
  <w:style w:type="character" w:styleId="738">
    <w:name w:val="Heading 5 Char"/>
    <w:basedOn w:val="896"/>
    <w:link w:val="891"/>
    <w:uiPriority w:val="9"/>
    <w:rPr>
      <w:rFonts w:ascii="Arial" w:hAnsi="Arial" w:eastAsia="Arial" w:cs="Arial"/>
      <w:b/>
      <w:bCs/>
      <w:sz w:val="24"/>
      <w:szCs w:val="24"/>
    </w:rPr>
  </w:style>
  <w:style w:type="character" w:styleId="739">
    <w:name w:val="Heading 6 Char"/>
    <w:basedOn w:val="896"/>
    <w:link w:val="892"/>
    <w:uiPriority w:val="9"/>
    <w:rPr>
      <w:rFonts w:ascii="Arial" w:hAnsi="Arial" w:eastAsia="Arial" w:cs="Arial"/>
      <w:b/>
      <w:bCs/>
      <w:sz w:val="22"/>
      <w:szCs w:val="22"/>
    </w:rPr>
  </w:style>
  <w:style w:type="character" w:styleId="740">
    <w:name w:val="Heading 7 Char"/>
    <w:basedOn w:val="896"/>
    <w:link w:val="893"/>
    <w:uiPriority w:val="9"/>
    <w:rPr>
      <w:rFonts w:ascii="Arial" w:hAnsi="Arial" w:eastAsia="Arial" w:cs="Arial"/>
      <w:b/>
      <w:bCs/>
      <w:i/>
      <w:iCs/>
      <w:sz w:val="22"/>
      <w:szCs w:val="22"/>
    </w:rPr>
  </w:style>
  <w:style w:type="character" w:styleId="741">
    <w:name w:val="Heading 8 Char"/>
    <w:basedOn w:val="896"/>
    <w:link w:val="894"/>
    <w:uiPriority w:val="9"/>
    <w:rPr>
      <w:rFonts w:ascii="Arial" w:hAnsi="Arial" w:eastAsia="Arial" w:cs="Arial"/>
      <w:i/>
      <w:iCs/>
      <w:sz w:val="22"/>
      <w:szCs w:val="22"/>
    </w:rPr>
  </w:style>
  <w:style w:type="character" w:styleId="742">
    <w:name w:val="Heading 9 Char"/>
    <w:basedOn w:val="896"/>
    <w:link w:val="895"/>
    <w:uiPriority w:val="9"/>
    <w:rPr>
      <w:rFonts w:ascii="Arial" w:hAnsi="Arial" w:eastAsia="Arial" w:cs="Arial"/>
      <w:i/>
      <w:iCs/>
      <w:sz w:val="21"/>
      <w:szCs w:val="21"/>
    </w:rPr>
  </w:style>
  <w:style w:type="paragraph" w:styleId="743">
    <w:name w:val="No Spacing"/>
    <w:uiPriority w:val="1"/>
    <w:qFormat/>
    <w:pPr>
      <w:spacing w:before="0" w:after="0" w:line="240" w:lineRule="auto"/>
    </w:pPr>
  </w:style>
  <w:style w:type="character" w:styleId="744">
    <w:name w:val="Title Char"/>
    <w:basedOn w:val="896"/>
    <w:link w:val="930"/>
    <w:uiPriority w:val="10"/>
    <w:rPr>
      <w:sz w:val="48"/>
      <w:szCs w:val="48"/>
    </w:rPr>
  </w:style>
  <w:style w:type="character" w:styleId="745">
    <w:name w:val="Subtitle Char"/>
    <w:basedOn w:val="896"/>
    <w:link w:val="922"/>
    <w:uiPriority w:val="11"/>
    <w:rPr>
      <w:sz w:val="24"/>
      <w:szCs w:val="24"/>
    </w:rPr>
  </w:style>
  <w:style w:type="paragraph" w:styleId="746">
    <w:name w:val="Quote"/>
    <w:basedOn w:val="886"/>
    <w:next w:val="886"/>
    <w:link w:val="747"/>
    <w:uiPriority w:val="29"/>
    <w:qFormat/>
    <w:pPr>
      <w:ind w:left="720" w:right="720"/>
    </w:pPr>
    <w:rPr>
      <w:i/>
    </w:rPr>
  </w:style>
  <w:style w:type="character" w:styleId="747">
    <w:name w:val="Quote Char"/>
    <w:link w:val="746"/>
    <w:uiPriority w:val="29"/>
    <w:rPr>
      <w:i/>
    </w:rPr>
  </w:style>
  <w:style w:type="paragraph" w:styleId="748">
    <w:name w:val="Intense Quote"/>
    <w:basedOn w:val="886"/>
    <w:next w:val="886"/>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character" w:styleId="750">
    <w:name w:val="Header Char"/>
    <w:basedOn w:val="896"/>
    <w:link w:val="919"/>
    <w:uiPriority w:val="99"/>
  </w:style>
  <w:style w:type="character" w:styleId="751">
    <w:name w:val="Footer Char"/>
    <w:basedOn w:val="896"/>
    <w:link w:val="917"/>
    <w:uiPriority w:val="99"/>
  </w:style>
  <w:style w:type="character" w:styleId="752">
    <w:name w:val="Caption Char"/>
    <w:basedOn w:val="902"/>
    <w:link w:val="917"/>
    <w:uiPriority w:val="99"/>
  </w:style>
  <w:style w:type="table" w:styleId="753">
    <w:name w:val="Table Grid Light"/>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4">
    <w:name w:val="Plain Table 1"/>
    <w:basedOn w:val="8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2"/>
    <w:basedOn w:val="8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3"/>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name w:val="Plain Table 4"/>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name w:val="Plain Table 5"/>
    <w:basedOn w:val="8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9">
    <w:name w:val="Grid Table 1 Light"/>
    <w:basedOn w:val="8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0">
    <w:name w:val="Grid Table 1 Light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1">
    <w:name w:val="Grid Table 1 Light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2">
    <w:name w:val="Grid Table 1 Light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3">
    <w:name w:val="Grid Table 1 Light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4">
    <w:name w:val="Grid Table 1 Light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5">
    <w:name w:val="Grid Table 1 Light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6">
    <w:name w:val="Grid Table 2"/>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7">
    <w:name w:val="Grid Table 2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8">
    <w:name w:val="Grid Table 2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2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2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2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2">
    <w:name w:val="Grid Table 2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3">
    <w:name w:val="Grid Table 3"/>
    <w:basedOn w:val="8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1"/>
    <w:basedOn w:val="8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2"/>
    <w:basedOn w:val="8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3"/>
    <w:basedOn w:val="8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4"/>
    <w:basedOn w:val="8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5"/>
    <w:basedOn w:val="8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6"/>
    <w:basedOn w:val="8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4 - Accent 1"/>
    <w:basedOn w:val="8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2">
    <w:name w:val="Grid Table 4 - Accent 2"/>
    <w:basedOn w:val="8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3">
    <w:name w:val="Grid Table 4 - Accent 3"/>
    <w:basedOn w:val="8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4">
    <w:name w:val="Grid Table 4 - Accent 4"/>
    <w:basedOn w:val="8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5">
    <w:name w:val="Grid Table 4 - Accent 5"/>
    <w:basedOn w:val="8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6">
    <w:name w:val="Grid Table 4 - Accent 6"/>
    <w:basedOn w:val="8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7">
    <w:name w:val="Grid Table 5 Dark"/>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5 Dark- Accent 1"/>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9">
    <w:name w:val="Grid Table 5 Dark - Accent 2"/>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0">
    <w:name w:val="Grid Table 5 Dark - Accent 3"/>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1">
    <w:name w:val="Grid Table 5 Dark- Accent 4"/>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2">
    <w:name w:val="Grid Table 5 Dark - Accent 5"/>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3">
    <w:name w:val="Grid Table 5 Dark - Accent 6"/>
    <w:basedOn w:val="8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4">
    <w:name w:val="Grid Table 6 Colorful"/>
    <w:basedOn w:val="8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6 Colorful - Accent 1"/>
    <w:basedOn w:val="8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6">
    <w:name w:val="Grid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7">
    <w:name w:val="Grid Table 6 Colorful - Accent 3"/>
    <w:basedOn w:val="8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8">
    <w:name w:val="Grid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9">
    <w:name w:val="Grid Table 6 Colorful - Accent 5"/>
    <w:basedOn w:val="8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6 Colorful - Accent 6"/>
    <w:basedOn w:val="8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7 Colorful"/>
    <w:basedOn w:val="8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Grid Table 7 Colorful - Accent 1"/>
    <w:basedOn w:val="8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3">
    <w:name w:val="Grid Table 7 Colorful - Accent 2"/>
    <w:basedOn w:val="8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7 Colorful - Accent 3"/>
    <w:basedOn w:val="8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7 Colorful - Accent 4"/>
    <w:basedOn w:val="8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7 Colorful - Accent 5"/>
    <w:basedOn w:val="8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7">
    <w:name w:val="Grid Table 7 Colorful - Accent 6"/>
    <w:basedOn w:val="8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8">
    <w:name w:val="List Table 1 Light"/>
    <w:basedOn w:val="8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name w:val="List Table 1 Light - Accent 1"/>
    <w:basedOn w:val="89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0">
    <w:name w:val="List Table 1 Light - Accent 2"/>
    <w:basedOn w:val="89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1">
    <w:name w:val="List Table 1 Light - Accent 3"/>
    <w:basedOn w:val="89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2">
    <w:name w:val="List Table 1 Light - Accent 4"/>
    <w:basedOn w:val="89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3">
    <w:name w:val="List Table 1 Light - Accent 5"/>
    <w:basedOn w:val="89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4">
    <w:name w:val="List Table 1 Light - Accent 6"/>
    <w:basedOn w:val="89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5">
    <w:name w:val="List Table 2"/>
    <w:basedOn w:val="8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6">
    <w:name w:val="List Table 2 - Accent 1"/>
    <w:basedOn w:val="8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7">
    <w:name w:val="List Table 2 - Accent 2"/>
    <w:basedOn w:val="8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8">
    <w:name w:val="List Table 2 - Accent 3"/>
    <w:basedOn w:val="8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9">
    <w:name w:val="List Table 2 - Accent 4"/>
    <w:basedOn w:val="8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0">
    <w:name w:val="List Table 2 - Accent 5"/>
    <w:basedOn w:val="8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1">
    <w:name w:val="List Table 2 - Accent 6"/>
    <w:basedOn w:val="8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2">
    <w:name w:val="List Table 3"/>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3 - Accent 1"/>
    <w:basedOn w:val="8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3 - Accent 2"/>
    <w:basedOn w:val="8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5">
    <w:name w:val="List Table 3 - Accent 3"/>
    <w:basedOn w:val="8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6">
    <w:name w:val="List Table 3 - Accent 4"/>
    <w:basedOn w:val="8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7">
    <w:name w:val="List Table 3 - Accent 5"/>
    <w:basedOn w:val="8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8">
    <w:name w:val="List Table 3 - Accent 6"/>
    <w:basedOn w:val="8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9">
    <w:name w:val="List Table 4"/>
    <w:basedOn w:val="8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 Accent 1"/>
    <w:basedOn w:val="8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4 - Accent 2"/>
    <w:basedOn w:val="8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2">
    <w:name w:val="List Table 4 - Accent 3"/>
    <w:basedOn w:val="8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3">
    <w:name w:val="List Table 4 - Accent 4"/>
    <w:basedOn w:val="8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4">
    <w:name w:val="List Table 4 - Accent 5"/>
    <w:basedOn w:val="8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5">
    <w:name w:val="List Table 4 - Accent 6"/>
    <w:basedOn w:val="8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6">
    <w:name w:val="List Table 5 Dark"/>
    <w:basedOn w:val="8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1"/>
    <w:basedOn w:val="8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2"/>
    <w:basedOn w:val="8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3"/>
    <w:basedOn w:val="8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4"/>
    <w:basedOn w:val="8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5"/>
    <w:basedOn w:val="8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6"/>
    <w:basedOn w:val="8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6 Colorful - Accent 1"/>
    <w:basedOn w:val="8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5">
    <w:name w:val="List Table 6 Colorful - Accent 2"/>
    <w:basedOn w:val="8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6">
    <w:name w:val="List Table 6 Colorful - Accent 3"/>
    <w:basedOn w:val="8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7">
    <w:name w:val="List Table 6 Colorful - Accent 4"/>
    <w:basedOn w:val="8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8">
    <w:name w:val="List Table 6 Colorful - Accent 5"/>
    <w:basedOn w:val="8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9">
    <w:name w:val="List Table 6 Colorful - Accent 6"/>
    <w:basedOn w:val="8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0">
    <w:name w:val="List Table 7 Colorful"/>
    <w:basedOn w:val="8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1">
    <w:name w:val="List Table 7 Colorful - Accent 1"/>
    <w:basedOn w:val="8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2">
    <w:name w:val="List Table 7 Colorful - Accent 2"/>
    <w:basedOn w:val="8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3">
    <w:name w:val="List Table 7 Colorful - Accent 3"/>
    <w:basedOn w:val="8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4">
    <w:name w:val="List Table 7 Colorful - Accent 4"/>
    <w:basedOn w:val="8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5">
    <w:name w:val="List Table 7 Colorful - Accent 5"/>
    <w:basedOn w:val="8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6">
    <w:name w:val="List Table 7 Colorful - Accent 6"/>
    <w:basedOn w:val="8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7">
    <w:name w:val="Lined - Accent"/>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Lined - Accent 1"/>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Lined - Accent 2"/>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Lined - Accent 3"/>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Lined - Accent 4"/>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Lined - Accent 5"/>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Lined - Accent 6"/>
    <w:basedOn w:val="8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amp; Lined - Accent"/>
    <w:basedOn w:val="8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Bordered &amp; Lined - Accent 1"/>
    <w:basedOn w:val="8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Bordered &amp; Lined - Accent 2"/>
    <w:basedOn w:val="8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Bordered &amp; Lined - Accent 3"/>
    <w:basedOn w:val="8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Bordered &amp; Lined - Accent 4"/>
    <w:basedOn w:val="8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Bordered &amp; Lined - Accent 5"/>
    <w:basedOn w:val="8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Bordered &amp; Lined - Accent 6"/>
    <w:basedOn w:val="8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w:basedOn w:val="8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2">
    <w:name w:val="Bordered - Accent 1"/>
    <w:basedOn w:val="8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3">
    <w:name w:val="Bordered - Accent 2"/>
    <w:basedOn w:val="8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4">
    <w:name w:val="Bordered - Accent 3"/>
    <w:basedOn w:val="8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5">
    <w:name w:val="Bordered - Accent 4"/>
    <w:basedOn w:val="8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6">
    <w:name w:val="Bordered - Accent 5"/>
    <w:basedOn w:val="8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7">
    <w:name w:val="Bordered - Accent 6"/>
    <w:basedOn w:val="8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8">
    <w:name w:val="footnote text"/>
    <w:basedOn w:val="886"/>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basedOn w:val="896"/>
    <w:uiPriority w:val="99"/>
    <w:unhideWhenUsed/>
    <w:rPr>
      <w:vertAlign w:val="superscript"/>
    </w:rPr>
  </w:style>
  <w:style w:type="paragraph" w:styleId="881">
    <w:name w:val="endnote text"/>
    <w:basedOn w:val="886"/>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basedOn w:val="896"/>
    <w:uiPriority w:val="99"/>
    <w:semiHidden/>
    <w:unhideWhenUsed/>
    <w:rPr>
      <w:vertAlign w:val="superscript"/>
    </w:r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7">
    <w:name w:val="Heading 1"/>
    <w:basedOn w:val="886"/>
    <w:next w:val="886"/>
    <w:link w:val="1034"/>
    <w:uiPriority w:val="0"/>
    <w:qFormat/>
    <w:pPr>
      <w:numPr>
        <w:ilvl w:val="0"/>
        <w:numId w:val="1"/>
      </w:numPr>
      <w:jc w:val="center"/>
      <w:keepLines/>
      <w:keepNext/>
      <w:spacing w:before="340" w:after="330" w:line="578" w:lineRule="auto"/>
      <w:outlineLvl w:val="0"/>
    </w:pPr>
    <w:rPr>
      <w:b/>
      <w:bCs/>
      <w:sz w:val="32"/>
      <w:szCs w:val="44"/>
    </w:rPr>
  </w:style>
  <w:style w:type="paragraph" w:styleId="888">
    <w:name w:val="Heading 2"/>
    <w:basedOn w:val="886"/>
    <w:next w:val="886"/>
    <w:link w:val="96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89">
    <w:name w:val="Heading 3"/>
    <w:basedOn w:val="886"/>
    <w:next w:val="886"/>
    <w:link w:val="1002"/>
    <w:uiPriority w:val="0"/>
    <w:qFormat/>
    <w:pPr>
      <w:numPr>
        <w:ilvl w:val="2"/>
        <w:numId w:val="1"/>
      </w:numPr>
      <w:keepLines/>
      <w:keepNext/>
      <w:spacing w:before="260" w:after="260" w:line="416" w:lineRule="auto"/>
      <w:outlineLvl w:val="2"/>
    </w:pPr>
    <w:rPr>
      <w:b/>
      <w:bCs/>
      <w:sz w:val="32"/>
      <w:szCs w:val="32"/>
    </w:rPr>
  </w:style>
  <w:style w:type="paragraph" w:styleId="890">
    <w:name w:val="Heading 4"/>
    <w:basedOn w:val="886"/>
    <w:next w:val="886"/>
    <w:link w:val="1040"/>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1">
    <w:name w:val="Heading 5"/>
    <w:basedOn w:val="886"/>
    <w:next w:val="886"/>
    <w:link w:val="992"/>
    <w:uiPriority w:val="0"/>
    <w:qFormat/>
    <w:pPr>
      <w:numPr>
        <w:ilvl w:val="4"/>
        <w:numId w:val="1"/>
      </w:numPr>
      <w:keepLines/>
      <w:keepNext/>
      <w:spacing w:before="280" w:after="290" w:line="376" w:lineRule="auto"/>
      <w:outlineLvl w:val="4"/>
    </w:pPr>
    <w:rPr>
      <w:b/>
      <w:bCs/>
      <w:sz w:val="28"/>
      <w:szCs w:val="28"/>
    </w:rPr>
  </w:style>
  <w:style w:type="paragraph" w:styleId="892">
    <w:name w:val="Heading 6"/>
    <w:basedOn w:val="886"/>
    <w:next w:val="886"/>
    <w:link w:val="978"/>
    <w:uiPriority w:val="0"/>
    <w:qFormat/>
    <w:pPr>
      <w:numPr>
        <w:ilvl w:val="5"/>
        <w:numId w:val="1"/>
      </w:numPr>
      <w:keepLines/>
      <w:keepNext/>
      <w:spacing w:before="240" w:after="64" w:line="320" w:lineRule="auto"/>
      <w:outlineLvl w:val="5"/>
    </w:pPr>
    <w:rPr>
      <w:rFonts w:ascii="Cambria" w:hAnsi="Cambria"/>
      <w:b/>
      <w:bCs/>
      <w:sz w:val="24"/>
    </w:rPr>
  </w:style>
  <w:style w:type="paragraph" w:styleId="893">
    <w:name w:val="Heading 7"/>
    <w:basedOn w:val="886"/>
    <w:next w:val="886"/>
    <w:link w:val="1033"/>
    <w:uiPriority w:val="0"/>
    <w:qFormat/>
    <w:pPr>
      <w:numPr>
        <w:ilvl w:val="6"/>
        <w:numId w:val="1"/>
      </w:numPr>
      <w:keepLines/>
      <w:keepNext/>
      <w:spacing w:before="240" w:after="64" w:line="320" w:lineRule="auto"/>
      <w:outlineLvl w:val="6"/>
    </w:pPr>
    <w:rPr>
      <w:b/>
      <w:bCs/>
      <w:sz w:val="24"/>
    </w:rPr>
  </w:style>
  <w:style w:type="paragraph" w:styleId="894">
    <w:name w:val="Heading 8"/>
    <w:basedOn w:val="886"/>
    <w:next w:val="886"/>
    <w:link w:val="1018"/>
    <w:uiPriority w:val="0"/>
    <w:qFormat/>
    <w:pPr>
      <w:numPr>
        <w:ilvl w:val="7"/>
        <w:numId w:val="1"/>
      </w:numPr>
      <w:keepLines/>
      <w:keepNext/>
      <w:spacing w:before="240" w:after="64" w:line="320" w:lineRule="auto"/>
      <w:outlineLvl w:val="7"/>
    </w:pPr>
    <w:rPr>
      <w:rFonts w:ascii="Cambria" w:hAnsi="Cambria"/>
      <w:sz w:val="24"/>
    </w:rPr>
  </w:style>
  <w:style w:type="paragraph" w:styleId="895">
    <w:name w:val="Heading 9"/>
    <w:basedOn w:val="886"/>
    <w:next w:val="886"/>
    <w:link w:val="996"/>
    <w:uiPriority w:val="0"/>
    <w:qFormat/>
    <w:pPr>
      <w:numPr>
        <w:ilvl w:val="8"/>
        <w:numId w:val="1"/>
      </w:numPr>
      <w:keepLines/>
      <w:keepNext/>
      <w:spacing w:before="240" w:after="64" w:line="320" w:lineRule="auto"/>
      <w:outlineLvl w:val="8"/>
    </w:pPr>
    <w:rPr>
      <w:rFonts w:ascii="Cambria" w:hAnsi="Cambria"/>
      <w:szCs w:val="21"/>
    </w:rPr>
  </w:style>
  <w:style w:type="character" w:styleId="896" w:default="1">
    <w:name w:val="Default Paragraph Font"/>
    <w:uiPriority w:val="1"/>
    <w:unhideWhenUsed/>
    <w:qFormat/>
  </w:style>
  <w:style w:type="table" w:styleId="897" w:default="1">
    <w:name w:val="Normal Table"/>
    <w:uiPriority w:val="99"/>
    <w:semiHidden/>
    <w:unhideWhenUsed/>
    <w:qFormat/>
    <w:tblPr>
      <w:tblCellMar>
        <w:left w:w="108" w:type="dxa"/>
        <w:top w:w="0" w:type="dxa"/>
        <w:right w:w="108" w:type="dxa"/>
        <w:bottom w:w="0" w:type="dxa"/>
      </w:tblCellMar>
    </w:tblPr>
  </w:style>
  <w:style w:type="paragraph" w:styleId="898">
    <w:name w:val="List 3"/>
    <w:basedOn w:val="886"/>
    <w:uiPriority w:val="99"/>
    <w:unhideWhenUsed/>
    <w:qFormat/>
    <w:pPr>
      <w:ind w:left="1260" w:hanging="420"/>
      <w:spacing w:before="100" w:beforeAutospacing="1" w:after="100" w:afterAutospacing="1"/>
    </w:pPr>
    <w:rPr>
      <w:szCs w:val="21"/>
    </w:rPr>
  </w:style>
  <w:style w:type="paragraph" w:styleId="899">
    <w:name w:val="toc 7"/>
    <w:basedOn w:val="886"/>
    <w:next w:val="886"/>
    <w:uiPriority w:val="39"/>
    <w:unhideWhenUsed/>
    <w:qFormat/>
    <w:pPr>
      <w:ind w:left="2520"/>
    </w:pPr>
    <w:rPr>
      <w:rFonts w:ascii="Calibri" w:hAnsi="Calibri"/>
      <w:szCs w:val="22"/>
    </w:rPr>
  </w:style>
  <w:style w:type="paragraph" w:styleId="900">
    <w:name w:val="List Number"/>
    <w:basedOn w:val="886"/>
    <w:uiPriority w:val="0"/>
    <w:qFormat/>
    <w:pPr>
      <w:numPr>
        <w:ilvl w:val="0"/>
        <w:numId w:val="2"/>
      </w:numPr>
      <w:contextualSpacing/>
    </w:pPr>
    <w:rPr>
      <w:rFonts w:ascii="Calibri" w:hAnsi="Calibri"/>
    </w:rPr>
  </w:style>
  <w:style w:type="paragraph" w:styleId="901">
    <w:name w:val="Normal Indent"/>
    <w:basedOn w:val="886"/>
    <w:link w:val="1120"/>
    <w:uiPriority w:val="0"/>
    <w:qFormat/>
    <w:pPr>
      <w:ind w:firstLine="420"/>
    </w:pPr>
    <w:rPr>
      <w:b/>
      <w:sz w:val="24"/>
      <w:szCs w:val="20"/>
    </w:rPr>
  </w:style>
  <w:style w:type="paragraph" w:styleId="902">
    <w:name w:val="Caption"/>
    <w:basedOn w:val="886"/>
    <w:next w:val="886"/>
    <w:uiPriority w:val="0"/>
    <w:qFormat/>
    <w:rPr>
      <w:rFonts w:ascii="Cambria" w:hAnsi="Cambria" w:eastAsia="黑体"/>
      <w:sz w:val="20"/>
      <w:szCs w:val="22"/>
    </w:rPr>
  </w:style>
  <w:style w:type="paragraph" w:styleId="903">
    <w:name w:val="Document Map"/>
    <w:basedOn w:val="886"/>
    <w:link w:val="986"/>
    <w:uiPriority w:val="0"/>
    <w:qFormat/>
    <w:rPr>
      <w:rFonts w:ascii="宋体"/>
      <w:sz w:val="18"/>
      <w:szCs w:val="18"/>
    </w:rPr>
  </w:style>
  <w:style w:type="paragraph" w:styleId="904">
    <w:name w:val="annotation text"/>
    <w:basedOn w:val="886"/>
    <w:link w:val="1010"/>
    <w:uiPriority w:val="0"/>
    <w:qFormat/>
    <w:pPr>
      <w:jc w:val="left"/>
    </w:pPr>
  </w:style>
  <w:style w:type="paragraph" w:styleId="905">
    <w:name w:val="Body Text 3"/>
    <w:basedOn w:val="886"/>
    <w:link w:val="1029"/>
    <w:uiPriority w:val="0"/>
    <w:qFormat/>
    <w:rPr>
      <w:rFonts w:ascii="宋体"/>
      <w:sz w:val="24"/>
      <w:szCs w:val="20"/>
    </w:rPr>
  </w:style>
  <w:style w:type="paragraph" w:styleId="906">
    <w:name w:val="Body Text"/>
    <w:basedOn w:val="886"/>
    <w:link w:val="1017"/>
    <w:uiPriority w:val="0"/>
    <w:qFormat/>
    <w:pPr>
      <w:jc w:val="center"/>
    </w:pPr>
    <w:rPr>
      <w:rFonts w:eastAsia="幼圆"/>
      <w:b/>
      <w:bCs/>
      <w:sz w:val="44"/>
    </w:rPr>
  </w:style>
  <w:style w:type="paragraph" w:styleId="907">
    <w:name w:val="Body Text Indent"/>
    <w:basedOn w:val="886"/>
    <w:link w:val="973"/>
    <w:uiPriority w:val="0"/>
    <w:qFormat/>
    <w:pPr>
      <w:ind w:left="420"/>
      <w:spacing w:after="120"/>
    </w:pPr>
  </w:style>
  <w:style w:type="paragraph" w:styleId="908">
    <w:name w:val="Block Text"/>
    <w:basedOn w:val="886"/>
    <w:next w:val="886"/>
    <w:uiPriority w:val="99"/>
    <w:unhideWhenUsed/>
    <w:qFormat/>
    <w:pPr>
      <w:ind w:left="1440" w:right="1440"/>
      <w:spacing w:after="120"/>
    </w:pPr>
  </w:style>
  <w:style w:type="paragraph" w:styleId="909">
    <w:name w:val="index 4"/>
    <w:basedOn w:val="886"/>
    <w:next w:val="886"/>
    <w:uiPriority w:val="0"/>
    <w:qFormat/>
    <w:pPr>
      <w:ind w:left="600"/>
    </w:pPr>
    <w:rPr>
      <w:rFonts w:ascii="Calibri" w:hAnsi="Calibri"/>
    </w:rPr>
  </w:style>
  <w:style w:type="paragraph" w:styleId="910">
    <w:name w:val="toc 5"/>
    <w:basedOn w:val="886"/>
    <w:next w:val="886"/>
    <w:uiPriority w:val="39"/>
    <w:unhideWhenUsed/>
    <w:qFormat/>
    <w:pPr>
      <w:ind w:left="1680"/>
    </w:pPr>
    <w:rPr>
      <w:rFonts w:ascii="Calibri" w:hAnsi="Calibri"/>
      <w:szCs w:val="22"/>
    </w:rPr>
  </w:style>
  <w:style w:type="paragraph" w:styleId="911">
    <w:name w:val="toc 3"/>
    <w:basedOn w:val="886"/>
    <w:next w:val="886"/>
    <w:uiPriority w:val="39"/>
    <w:qFormat/>
    <w:pPr>
      <w:ind w:left="840"/>
    </w:pPr>
    <w:rPr>
      <w:rFonts w:ascii="Calibri" w:hAnsi="Calibri"/>
      <w:szCs w:val="22"/>
    </w:rPr>
  </w:style>
  <w:style w:type="paragraph" w:styleId="912">
    <w:name w:val="Plain Text"/>
    <w:basedOn w:val="886"/>
    <w:link w:val="979"/>
    <w:uiPriority w:val="0"/>
    <w:qFormat/>
    <w:rPr>
      <w:rFonts w:ascii="Ari"/>
    </w:rPr>
  </w:style>
  <w:style w:type="paragraph" w:styleId="913">
    <w:name w:val="toc 8"/>
    <w:basedOn w:val="886"/>
    <w:next w:val="886"/>
    <w:uiPriority w:val="39"/>
    <w:unhideWhenUsed/>
    <w:qFormat/>
    <w:pPr>
      <w:ind w:left="2940"/>
    </w:pPr>
    <w:rPr>
      <w:rFonts w:ascii="Calibri" w:hAnsi="Calibri"/>
      <w:szCs w:val="22"/>
    </w:rPr>
  </w:style>
  <w:style w:type="paragraph" w:styleId="914">
    <w:name w:val="Date"/>
    <w:basedOn w:val="886"/>
    <w:next w:val="886"/>
    <w:link w:val="987"/>
    <w:uiPriority w:val="0"/>
    <w:unhideWhenUsed/>
    <w:qFormat/>
  </w:style>
  <w:style w:type="paragraph" w:styleId="915">
    <w:name w:val="Body Text Indent 2"/>
    <w:basedOn w:val="886"/>
    <w:link w:val="1009"/>
    <w:uiPriority w:val="99"/>
    <w:unhideWhenUsed/>
    <w:qFormat/>
    <w:pPr>
      <w:ind w:firstLine="525"/>
      <w:spacing w:line="420" w:lineRule="exact"/>
    </w:pPr>
    <w:rPr>
      <w:rFonts w:ascii="宋体"/>
      <w:sz w:val="20"/>
      <w:szCs w:val="20"/>
    </w:rPr>
  </w:style>
  <w:style w:type="paragraph" w:styleId="916">
    <w:name w:val="Balloon Text"/>
    <w:basedOn w:val="886"/>
    <w:link w:val="1032"/>
    <w:uiPriority w:val="0"/>
    <w:qFormat/>
    <w:rPr>
      <w:sz w:val="18"/>
      <w:szCs w:val="18"/>
    </w:rPr>
  </w:style>
  <w:style w:type="paragraph" w:styleId="917">
    <w:name w:val="Footer"/>
    <w:basedOn w:val="886"/>
    <w:link w:val="1022"/>
    <w:uiPriority w:val="99"/>
    <w:qFormat/>
    <w:pPr>
      <w:jc w:val="left"/>
      <w:tabs>
        <w:tab w:val="center" w:pos="4153" w:leader="none"/>
        <w:tab w:val="right" w:pos="8306" w:leader="none"/>
      </w:tabs>
    </w:pPr>
    <w:rPr>
      <w:sz w:val="18"/>
      <w:szCs w:val="18"/>
    </w:rPr>
  </w:style>
  <w:style w:type="paragraph" w:styleId="918">
    <w:name w:val="envelope return"/>
    <w:basedOn w:val="886"/>
    <w:uiPriority w:val="0"/>
    <w:qFormat/>
    <w:rPr>
      <w:rFonts w:ascii="Arial" w:hAnsi="Arial"/>
    </w:rPr>
  </w:style>
  <w:style w:type="paragraph" w:styleId="919">
    <w:name w:val="Header"/>
    <w:basedOn w:val="886"/>
    <w:link w:val="977"/>
    <w:uiPriority w:val="0"/>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6"/>
    <w:next w:val="886"/>
    <w:uiPriority w:val="39"/>
    <w:qFormat/>
  </w:style>
  <w:style w:type="paragraph" w:styleId="921">
    <w:name w:val="toc 4"/>
    <w:basedOn w:val="886"/>
    <w:next w:val="886"/>
    <w:uiPriority w:val="39"/>
    <w:unhideWhenUsed/>
    <w:qFormat/>
    <w:pPr>
      <w:ind w:left="1260"/>
    </w:pPr>
    <w:rPr>
      <w:rFonts w:ascii="Calibri" w:hAnsi="Calibri"/>
      <w:szCs w:val="22"/>
    </w:rPr>
  </w:style>
  <w:style w:type="paragraph" w:styleId="922">
    <w:name w:val="Subtitle"/>
    <w:basedOn w:val="886"/>
    <w:next w:val="886"/>
    <w:link w:val="1005"/>
    <w:uiPriority w:val="0"/>
    <w:qFormat/>
    <w:pPr>
      <w:jc w:val="center"/>
      <w:spacing w:before="240" w:after="60" w:line="312" w:lineRule="auto"/>
      <w:outlineLvl w:val="1"/>
    </w:pPr>
    <w:rPr>
      <w:rFonts w:ascii="Cambria" w:hAnsi="Cambria"/>
      <w:b/>
      <w:bCs/>
      <w:sz w:val="32"/>
      <w:szCs w:val="32"/>
    </w:rPr>
  </w:style>
  <w:style w:type="paragraph" w:styleId="923">
    <w:name w:val="toc 6"/>
    <w:basedOn w:val="886"/>
    <w:next w:val="886"/>
    <w:uiPriority w:val="39"/>
    <w:unhideWhenUsed/>
    <w:qFormat/>
    <w:pPr>
      <w:ind w:left="2100"/>
    </w:pPr>
    <w:rPr>
      <w:rFonts w:ascii="Calibri" w:hAnsi="Calibri"/>
      <w:szCs w:val="22"/>
    </w:rPr>
  </w:style>
  <w:style w:type="paragraph" w:styleId="924">
    <w:name w:val="Body Text Indent 3"/>
    <w:basedOn w:val="886"/>
    <w:link w:val="1030"/>
    <w:uiPriority w:val="0"/>
    <w:qFormat/>
    <w:pPr>
      <w:ind w:left="420"/>
      <w:spacing w:after="120"/>
    </w:pPr>
    <w:rPr>
      <w:sz w:val="16"/>
      <w:szCs w:val="20"/>
    </w:rPr>
  </w:style>
  <w:style w:type="paragraph" w:styleId="925">
    <w:name w:val="toc 2"/>
    <w:basedOn w:val="886"/>
    <w:next w:val="886"/>
    <w:uiPriority w:val="39"/>
    <w:qFormat/>
    <w:pPr>
      <w:ind w:left="420"/>
    </w:pPr>
    <w:rPr>
      <w:rFonts w:ascii="Calibri" w:hAnsi="Calibri"/>
      <w:szCs w:val="22"/>
    </w:rPr>
  </w:style>
  <w:style w:type="paragraph" w:styleId="926">
    <w:name w:val="toc 9"/>
    <w:basedOn w:val="886"/>
    <w:next w:val="886"/>
    <w:uiPriority w:val="39"/>
    <w:unhideWhenUsed/>
    <w:qFormat/>
    <w:pPr>
      <w:ind w:left="3360"/>
    </w:pPr>
    <w:rPr>
      <w:rFonts w:ascii="Calibri" w:hAnsi="Calibri"/>
      <w:szCs w:val="22"/>
    </w:rPr>
  </w:style>
  <w:style w:type="paragraph" w:styleId="927">
    <w:name w:val="HTML Preformatted"/>
    <w:basedOn w:val="886"/>
    <w:link w:val="111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6"/>
    <w:uiPriority w:val="0"/>
    <w:qFormat/>
    <w:pPr>
      <w:jc w:val="left"/>
      <w:spacing w:before="100" w:beforeAutospacing="1" w:after="100" w:afterAutospacing="1"/>
      <w:widowControl/>
    </w:pPr>
    <w:rPr>
      <w:rFonts w:ascii="宋体" w:hAnsi="宋体" w:cs="宋体"/>
      <w:sz w:val="24"/>
    </w:rPr>
  </w:style>
  <w:style w:type="paragraph" w:styleId="929">
    <w:name w:val="index 1"/>
    <w:basedOn w:val="886"/>
    <w:next w:val="886"/>
    <w:uiPriority w:val="0"/>
    <w:qFormat/>
    <w:pPr>
      <w:jc w:val="center"/>
      <w:spacing w:line="220" w:lineRule="exact"/>
    </w:pPr>
    <w:rPr>
      <w:rFonts w:ascii="仿宋_GB2312" w:hAnsi="Calibri" w:eastAsia="仿宋_GB2312"/>
      <w:szCs w:val="22"/>
    </w:rPr>
  </w:style>
  <w:style w:type="paragraph" w:styleId="930">
    <w:name w:val="Title"/>
    <w:basedOn w:val="886"/>
    <w:link w:val="982"/>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4"/>
    <w:next w:val="904"/>
    <w:link w:val="1020"/>
    <w:uiPriority w:val="0"/>
    <w:qFormat/>
    <w:rPr>
      <w:b/>
      <w:bCs/>
    </w:rPr>
  </w:style>
  <w:style w:type="paragraph" w:styleId="932">
    <w:name w:val="Body Text First Indent"/>
    <w:basedOn w:val="906"/>
    <w:uiPriority w:val="99"/>
    <w:unhideWhenUsed/>
    <w:qFormat/>
    <w:pPr>
      <w:ind w:firstLine="426"/>
      <w:spacing w:line="400" w:lineRule="atLeast"/>
    </w:pPr>
    <w:rPr>
      <w:sz w:val="24"/>
      <w:szCs w:val="20"/>
    </w:rPr>
  </w:style>
  <w:style w:type="paragraph" w:styleId="933">
    <w:name w:val="Body Text First Indent 2"/>
    <w:basedOn w:val="907"/>
    <w:uiPriority w:val="99"/>
    <w:unhideWhenUsed/>
    <w:qFormat/>
    <w:pPr>
      <w:ind w:firstLine="420"/>
    </w:pPr>
  </w:style>
  <w:style w:type="table" w:styleId="934">
    <w:name w:val="Table Grid"/>
    <w:basedOn w:val="8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5">
    <w:name w:val="Strong"/>
    <w:basedOn w:val="896"/>
    <w:uiPriority w:val="0"/>
    <w:qFormat/>
    <w:rPr>
      <w:rFonts w:cs="Times New Roman"/>
      <w:b/>
    </w:rPr>
  </w:style>
  <w:style w:type="character" w:styleId="936">
    <w:name w:val="page number"/>
    <w:uiPriority w:val="0"/>
    <w:qFormat/>
    <w:rPr>
      <w:rFonts w:eastAsia="宋体"/>
      <w:b/>
      <w:spacing w:val="0"/>
      <w:sz w:val="24"/>
      <w:szCs w:val="24"/>
      <w:vertAlign w:val="baseline"/>
      <w:lang w:val="en-US" w:eastAsia="zh-CN" w:bidi="ar-SA"/>
    </w:rPr>
  </w:style>
  <w:style w:type="character" w:styleId="937">
    <w:name w:val="FollowedHyperlink"/>
    <w:uiPriority w:val="0"/>
    <w:qFormat/>
    <w:rPr>
      <w:color w:val="800080"/>
      <w:u w:val="single"/>
    </w:rPr>
  </w:style>
  <w:style w:type="character" w:styleId="938">
    <w:name w:val="Emphasis"/>
    <w:basedOn w:val="896"/>
    <w:uiPriority w:val="0"/>
    <w:qFormat/>
    <w:rPr>
      <w:color w:val="cc0000"/>
    </w:rPr>
  </w:style>
  <w:style w:type="character" w:styleId="939">
    <w:name w:val="Hyperlink"/>
    <w:uiPriority w:val="99"/>
    <w:qFormat/>
    <w:rPr>
      <w:color w:val="0000ff"/>
      <w:u w:val="single"/>
    </w:rPr>
  </w:style>
  <w:style w:type="character" w:styleId="940">
    <w:name w:val="annotation reference"/>
    <w:uiPriority w:val="0"/>
    <w:qFormat/>
    <w:rPr>
      <w:sz w:val="21"/>
      <w:szCs w:val="21"/>
    </w:rPr>
  </w:style>
  <w:style w:type="character" w:styleId="941">
    <w:name w:val="HTML Cite"/>
    <w:uiPriority w:val="0"/>
    <w:qFormat/>
    <w:rPr>
      <w:color w:val="008000"/>
    </w:rPr>
  </w:style>
  <w:style w:type="paragraph" w:styleId="942" w:customStyle="1">
    <w:name w:val="一级条标题"/>
    <w:basedOn w:val="943"/>
    <w:next w:val="94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3" w:customStyle="1">
    <w:name w:val="章标题"/>
    <w:next w:val="88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44" w:customStyle="1">
    <w:name w:val="段"/>
    <w:basedOn w:val="945"/>
    <w:next w:val="886"/>
    <w:uiPriority w:val="0"/>
    <w:qFormat/>
    <w:pPr>
      <w:ind w:firstLine="200"/>
      <w:widowControl/>
    </w:pPr>
    <w:rPr>
      <w:rFonts w:hint="eastAsia" w:ascii="宋体"/>
    </w:rPr>
  </w:style>
  <w:style w:type="paragraph" w:styleId="945" w:customStyle="1">
    <w:name w:val="正文1"/>
    <w:next w:val="946"/>
    <w:uiPriority w:val="0"/>
    <w:qFormat/>
    <w:pPr>
      <w:jc w:val="both"/>
      <w:widowControl w:val="off"/>
    </w:pPr>
    <w:rPr>
      <w:rFonts w:ascii="Calibri" w:hAnsi="Calibri" w:eastAsia="宋体" w:cs="Times New Roman"/>
      <w:lang w:val="en-US" w:eastAsia="zh-CN" w:bidi="ar-SA"/>
    </w:rPr>
  </w:style>
  <w:style w:type="paragraph" w:styleId="946" w:customStyle="1">
    <w:name w:val="正文文本1"/>
    <w:basedOn w:val="947"/>
    <w:next w:val="942"/>
    <w:uiPriority w:val="0"/>
    <w:qFormat/>
    <w:rPr>
      <w:rFonts w:ascii="楷体_GB2312" w:hAnsi="Arial" w:eastAsia="楷体_GB2312"/>
      <w:sz w:val="28"/>
      <w:szCs w:val="28"/>
    </w:rPr>
  </w:style>
  <w:style w:type="paragraph" w:styleId="947" w:customStyle="1">
    <w:name w:val="正文111"/>
    <w:next w:val="948"/>
    <w:uiPriority w:val="0"/>
    <w:qFormat/>
    <w:pPr>
      <w:jc w:val="both"/>
      <w:widowControl w:val="off"/>
    </w:pPr>
    <w:rPr>
      <w:rFonts w:ascii="Times New Roman" w:hAnsi="Times New Roman" w:eastAsia="宋体" w:cs="Times New Roman"/>
      <w:sz w:val="21"/>
      <w:szCs w:val="24"/>
      <w:lang w:val="en-US" w:eastAsia="zh-CN" w:bidi="ar-SA"/>
    </w:rPr>
  </w:style>
  <w:style w:type="paragraph" w:styleId="948" w:customStyle="1">
    <w:name w:val="正文文本缩进1"/>
    <w:basedOn w:val="949"/>
    <w:next w:val="951"/>
    <w:uiPriority w:val="0"/>
    <w:qFormat/>
    <w:pPr>
      <w:ind w:left="420"/>
      <w:spacing w:after="120"/>
    </w:pPr>
  </w:style>
  <w:style w:type="paragraph" w:styleId="949" w:customStyle="1">
    <w:name w:val="正文11"/>
    <w:next w:val="950"/>
    <w:uiPriority w:val="0"/>
    <w:qFormat/>
    <w:rPr>
      <w:rFonts w:ascii="Calibri" w:hAnsi="Calibri" w:eastAsia="宋体" w:cs="Calibri"/>
      <w:sz w:val="24"/>
      <w:szCs w:val="24"/>
      <w:lang w:val="en-US" w:eastAsia="zh-CN" w:bidi="ar-SA"/>
    </w:rPr>
  </w:style>
  <w:style w:type="paragraph" w:styleId="950" w:customStyle="1">
    <w:name w:val="文本块1"/>
    <w:basedOn w:val="947"/>
    <w:uiPriority w:val="0"/>
    <w:qFormat/>
    <w:pPr>
      <w:ind w:left="256" w:right="6" w:firstLine="624"/>
    </w:pPr>
    <w:rPr>
      <w:rFonts w:eastAsia="仿宋_GB2312"/>
      <w:sz w:val="28"/>
    </w:rPr>
  </w:style>
  <w:style w:type="paragraph" w:styleId="951" w:customStyle="1">
    <w:name w:val="寄信人地址1"/>
    <w:basedOn w:val="886"/>
    <w:uiPriority w:val="0"/>
    <w:qFormat/>
    <w:rPr>
      <w:rFonts w:ascii="Arial" w:hAnsi="Arial"/>
    </w:rPr>
  </w:style>
  <w:style w:type="paragraph" w:styleId="952" w:customStyle="1">
    <w:name w:val="标题 41"/>
    <w:basedOn w:val="949"/>
    <w:next w:val="949"/>
    <w:uiPriority w:val="0"/>
    <w:qFormat/>
    <w:pPr>
      <w:keepLines/>
      <w:keepNext/>
      <w:spacing w:before="280" w:after="290" w:line="376" w:lineRule="auto"/>
      <w:outlineLvl w:val="3"/>
    </w:pPr>
    <w:rPr>
      <w:rFonts w:ascii="Cambria" w:hAnsi="Cambria"/>
      <w:b/>
      <w:bCs/>
      <w:sz w:val="28"/>
      <w:szCs w:val="28"/>
    </w:rPr>
  </w:style>
  <w:style w:type="paragraph" w:styleId="95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5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55" w:customStyle="1">
    <w:name w:val="Body Text First Indent 21"/>
    <w:basedOn w:val="956"/>
    <w:uiPriority w:val="0"/>
    <w:qFormat/>
    <w:pPr>
      <w:ind w:firstLine="420"/>
    </w:pPr>
  </w:style>
  <w:style w:type="paragraph" w:styleId="956" w:customStyle="1">
    <w:name w:val="Body Text Indent1"/>
    <w:basedOn w:val="886"/>
    <w:uiPriority w:val="0"/>
    <w:qFormat/>
    <w:pPr>
      <w:ind w:left="420"/>
    </w:pPr>
  </w:style>
  <w:style w:type="paragraph" w:styleId="957">
    <w:name w:val="List Paragraph"/>
    <w:basedOn w:val="886"/>
    <w:link w:val="1137"/>
    <w:uiPriority w:val="99"/>
    <w:qFormat/>
    <w:pPr>
      <w:ind w:firstLine="420"/>
    </w:pPr>
  </w:style>
  <w:style w:type="character" w:styleId="958" w:customStyle="1">
    <w:name w:val="明显强调1"/>
    <w:uiPriority w:val="0"/>
    <w:qFormat/>
    <w:rPr>
      <w:b/>
      <w:bCs/>
      <w:i/>
      <w:iCs/>
      <w:color w:val="4f81bd"/>
    </w:rPr>
  </w:style>
  <w:style w:type="character" w:styleId="959" w:customStyle="1">
    <w:name w:val="批注文字 Char2"/>
    <w:uiPriority w:val="0"/>
    <w:qFormat/>
    <w:rPr>
      <w:sz w:val="21"/>
    </w:rPr>
  </w:style>
  <w:style w:type="character" w:styleId="960" w:customStyle="1">
    <w:name w:val="标题 3 Char_0"/>
    <w:link w:val="961"/>
    <w:uiPriority w:val="0"/>
    <w:qFormat/>
    <w:rPr>
      <w:b/>
      <w:bCs/>
      <w:sz w:val="32"/>
      <w:szCs w:val="32"/>
    </w:rPr>
  </w:style>
  <w:style w:type="paragraph" w:styleId="961" w:customStyle="1">
    <w:name w:val="标题 3_0"/>
    <w:basedOn w:val="962"/>
    <w:next w:val="962"/>
    <w:link w:val="960"/>
    <w:uiPriority w:val="0"/>
    <w:qFormat/>
    <w:pPr>
      <w:keepLines/>
      <w:keepNext/>
      <w:spacing w:before="260" w:after="260" w:line="416" w:lineRule="auto"/>
      <w:outlineLvl w:val="2"/>
    </w:pPr>
    <w:rPr>
      <w:b/>
      <w:bCs/>
      <w:sz w:val="32"/>
      <w:szCs w:val="32"/>
    </w:rPr>
  </w:style>
  <w:style w:type="paragraph" w:styleId="96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63" w:customStyle="1">
    <w:name w:val="标题 2 字符"/>
    <w:link w:val="888"/>
    <w:uiPriority w:val="0"/>
    <w:qFormat/>
    <w:rPr>
      <w:rFonts w:ascii="Cambria" w:hAnsi="Cambria"/>
      <w:b/>
      <w:bCs/>
      <w:sz w:val="32"/>
      <w:szCs w:val="32"/>
    </w:rPr>
  </w:style>
  <w:style w:type="character" w:styleId="964" w:customStyle="1">
    <w:name w:val="正文文本 Char2"/>
    <w:uiPriority w:val="99"/>
    <w:semiHidden/>
    <w:qFormat/>
    <w:rPr>
      <w:rFonts w:ascii="Calibri" w:hAnsi="Calibri" w:eastAsia="宋体" w:cs="Times New Roman"/>
    </w:rPr>
  </w:style>
  <w:style w:type="character" w:styleId="965" w:customStyle="1">
    <w:name w:val="页脚 Char1"/>
    <w:uiPriority w:val="99"/>
    <w:semiHidden/>
    <w:qFormat/>
    <w:rPr>
      <w:rFonts w:ascii="Calibri" w:hAnsi="Calibri" w:eastAsia="宋体" w:cs="Times New Roman"/>
      <w:sz w:val="18"/>
      <w:szCs w:val="18"/>
    </w:rPr>
  </w:style>
  <w:style w:type="character" w:styleId="966" w:customStyle="1">
    <w:name w:val="明显引用 Char2"/>
    <w:uiPriority w:val="99"/>
    <w:qFormat/>
    <w:rPr>
      <w:b/>
      <w:bCs/>
      <w:i/>
      <w:iCs/>
      <w:color w:val="4f81bd"/>
      <w:sz w:val="21"/>
      <w:szCs w:val="24"/>
    </w:rPr>
  </w:style>
  <w:style w:type="character" w:styleId="967" w:customStyle="1">
    <w:name w:val="引用 Char"/>
    <w:link w:val="968"/>
    <w:uiPriority w:val="0"/>
    <w:qFormat/>
    <w:rPr>
      <w:i/>
      <w:iCs/>
      <w:color w:val="000000"/>
    </w:rPr>
  </w:style>
  <w:style w:type="paragraph" w:styleId="968" w:customStyle="1">
    <w:name w:val="引用1"/>
    <w:basedOn w:val="886"/>
    <w:next w:val="886"/>
    <w:link w:val="967"/>
    <w:uiPriority w:val="0"/>
    <w:qFormat/>
    <w:rPr>
      <w:i/>
      <w:iCs/>
      <w:color w:val="000000"/>
      <w:sz w:val="20"/>
      <w:szCs w:val="20"/>
    </w:rPr>
  </w:style>
  <w:style w:type="character" w:styleId="969" w:customStyle="1">
    <w:name w:val="标题 1 Char_0"/>
    <w:link w:val="970"/>
    <w:uiPriority w:val="0"/>
    <w:qFormat/>
    <w:rPr>
      <w:b/>
      <w:bCs/>
      <w:sz w:val="44"/>
      <w:szCs w:val="44"/>
    </w:rPr>
  </w:style>
  <w:style w:type="paragraph" w:styleId="970" w:customStyle="1">
    <w:name w:val="标题 1_0"/>
    <w:basedOn w:val="962"/>
    <w:next w:val="962"/>
    <w:link w:val="969"/>
    <w:uiPriority w:val="0"/>
    <w:qFormat/>
    <w:pPr>
      <w:keepLines/>
      <w:keepNext/>
      <w:spacing w:before="340" w:after="330" w:line="578" w:lineRule="auto"/>
      <w:outlineLvl w:val="0"/>
    </w:pPr>
    <w:rPr>
      <w:b/>
      <w:bCs/>
      <w:sz w:val="44"/>
      <w:szCs w:val="44"/>
    </w:rPr>
  </w:style>
  <w:style w:type="character" w:styleId="971" w:customStyle="1">
    <w:name w:val="正文文本缩进 3 Char1"/>
    <w:uiPriority w:val="99"/>
    <w:semiHidden/>
    <w:qFormat/>
    <w:rPr>
      <w:sz w:val="16"/>
      <w:szCs w:val="16"/>
    </w:rPr>
  </w:style>
  <w:style w:type="character" w:styleId="972" w:customStyle="1">
    <w:name w:val="引用 Char1"/>
    <w:uiPriority w:val="29"/>
    <w:qFormat/>
    <w:rPr>
      <w:i/>
      <w:iCs/>
      <w:color w:val="000000"/>
      <w:sz w:val="21"/>
    </w:rPr>
  </w:style>
  <w:style w:type="character" w:styleId="973" w:customStyle="1">
    <w:name w:val="正文文本缩进 字符"/>
    <w:link w:val="907"/>
    <w:uiPriority w:val="0"/>
    <w:qFormat/>
    <w:rPr>
      <w:sz w:val="21"/>
      <w:szCs w:val="24"/>
    </w:rPr>
  </w:style>
  <w:style w:type="character" w:styleId="974" w:customStyle="1">
    <w:name w:val="font161"/>
    <w:uiPriority w:val="0"/>
    <w:qFormat/>
    <w:rPr>
      <w:b/>
      <w:sz w:val="32"/>
    </w:rPr>
  </w:style>
  <w:style w:type="character" w:styleId="975" w:customStyle="1">
    <w:name w:val="标题 4 Char_0"/>
    <w:link w:val="976"/>
    <w:uiPriority w:val="0"/>
    <w:qFormat/>
    <w:rPr>
      <w:rFonts w:ascii="Arial" w:hAnsi="Arial" w:eastAsia="黑体"/>
      <w:b/>
      <w:bCs/>
      <w:sz w:val="28"/>
      <w:szCs w:val="28"/>
    </w:rPr>
  </w:style>
  <w:style w:type="paragraph" w:styleId="976" w:customStyle="1">
    <w:name w:val="标题 4_0"/>
    <w:basedOn w:val="962"/>
    <w:next w:val="962"/>
    <w:link w:val="975"/>
    <w:uiPriority w:val="0"/>
    <w:qFormat/>
    <w:pPr>
      <w:keepLines/>
      <w:keepNext/>
      <w:spacing w:before="280" w:after="290" w:line="376" w:lineRule="auto"/>
      <w:outlineLvl w:val="3"/>
    </w:pPr>
    <w:rPr>
      <w:rFonts w:ascii="Arial" w:hAnsi="Arial" w:eastAsia="黑体"/>
      <w:b/>
      <w:bCs/>
      <w:sz w:val="28"/>
      <w:szCs w:val="28"/>
    </w:rPr>
  </w:style>
  <w:style w:type="character" w:styleId="977" w:customStyle="1">
    <w:name w:val="页眉 字符"/>
    <w:link w:val="919"/>
    <w:uiPriority w:val="0"/>
    <w:qFormat/>
    <w:rPr>
      <w:sz w:val="18"/>
      <w:szCs w:val="18"/>
    </w:rPr>
  </w:style>
  <w:style w:type="character" w:styleId="978" w:customStyle="1">
    <w:name w:val="标题 6 字符"/>
    <w:link w:val="892"/>
    <w:uiPriority w:val="0"/>
    <w:qFormat/>
    <w:rPr>
      <w:rFonts w:ascii="Cambria" w:hAnsi="Cambria"/>
      <w:b/>
      <w:bCs/>
      <w:sz w:val="24"/>
      <w:szCs w:val="24"/>
    </w:rPr>
  </w:style>
  <w:style w:type="character" w:styleId="979" w:customStyle="1">
    <w:name w:val="纯文本 字符"/>
    <w:link w:val="912"/>
    <w:uiPriority w:val="99"/>
    <w:qFormat/>
    <w:rPr>
      <w:rFonts w:ascii="Ari"/>
      <w:lang w:val="en-US" w:eastAsia="zh-CN" w:bidi="ar-SA"/>
    </w:rPr>
  </w:style>
  <w:style w:type="character" w:styleId="980" w:customStyle="1">
    <w:name w:val="引用 Char2"/>
    <w:uiPriority w:val="99"/>
    <w:qFormat/>
    <w:rPr>
      <w:i/>
      <w:iCs/>
      <w:color w:val="000000"/>
      <w:sz w:val="21"/>
      <w:szCs w:val="24"/>
    </w:rPr>
  </w:style>
  <w:style w:type="character" w:styleId="981" w:customStyle="1">
    <w:name w:val="rvts11"/>
    <w:uiPriority w:val="0"/>
    <w:qFormat/>
    <w:rPr>
      <w:rFonts w:hint="default" w:ascii="KNLe" w:hAnsi="KNLe"/>
      <w:sz w:val="24"/>
      <w:szCs w:val="24"/>
      <w:u w:val="single"/>
    </w:rPr>
  </w:style>
  <w:style w:type="character" w:styleId="982" w:customStyle="1">
    <w:name w:val="标题 字符"/>
    <w:link w:val="930"/>
    <w:uiPriority w:val="0"/>
    <w:qFormat/>
    <w:rPr>
      <w:rFonts w:ascii="Arial" w:hAnsi="Arial"/>
      <w:b/>
      <w:sz w:val="32"/>
    </w:rPr>
  </w:style>
  <w:style w:type="character" w:styleId="983" w:customStyle="1">
    <w:name w:val="标题5 Char Char"/>
    <w:link w:val="984"/>
    <w:uiPriority w:val="0"/>
    <w:qFormat/>
    <w:rPr>
      <w:rFonts w:ascii="Arial" w:hAnsi="Arial"/>
      <w:b/>
      <w:bCs/>
      <w:sz w:val="24"/>
      <w:szCs w:val="32"/>
    </w:rPr>
  </w:style>
  <w:style w:type="paragraph" w:styleId="984" w:customStyle="1">
    <w:name w:val="标题5"/>
    <w:basedOn w:val="889"/>
    <w:link w:val="983"/>
    <w:uiPriority w:val="0"/>
    <w:qFormat/>
    <w:pPr>
      <w:numPr>
        <w:ilvl w:val="0"/>
        <w:numId w:val="0"/>
      </w:numPr>
      <w:spacing w:line="413" w:lineRule="auto"/>
    </w:pPr>
    <w:rPr>
      <w:rFonts w:ascii="Arial" w:hAnsi="Arial"/>
      <w:sz w:val="24"/>
    </w:rPr>
  </w:style>
  <w:style w:type="character" w:styleId="985" w:customStyle="1">
    <w:name w:val="副标题 Char2"/>
    <w:uiPriority w:val="11"/>
    <w:qFormat/>
    <w:rPr>
      <w:rFonts w:ascii="Cambria" w:hAnsi="Cambria" w:cs="Times New Roman"/>
      <w:b/>
      <w:bCs/>
      <w:sz w:val="32"/>
      <w:szCs w:val="32"/>
    </w:rPr>
  </w:style>
  <w:style w:type="character" w:styleId="986" w:customStyle="1">
    <w:name w:val="文档结构图 字符"/>
    <w:link w:val="903"/>
    <w:uiPriority w:val="0"/>
    <w:qFormat/>
    <w:rPr>
      <w:rFonts w:ascii="宋体"/>
      <w:sz w:val="18"/>
      <w:szCs w:val="18"/>
    </w:rPr>
  </w:style>
  <w:style w:type="character" w:styleId="987" w:customStyle="1">
    <w:name w:val="日期 字符"/>
    <w:link w:val="914"/>
    <w:uiPriority w:val="0"/>
    <w:qFormat/>
    <w:rPr>
      <w:sz w:val="21"/>
      <w:szCs w:val="24"/>
    </w:rPr>
  </w:style>
  <w:style w:type="character" w:styleId="988" w:customStyle="1">
    <w:name w:val="批注主题 Char1"/>
    <w:uiPriority w:val="0"/>
    <w:qFormat/>
    <w:rPr>
      <w:b/>
      <w:bCs/>
      <w:sz w:val="21"/>
      <w:szCs w:val="22"/>
    </w:rPr>
  </w:style>
  <w:style w:type="character" w:styleId="989" w:customStyle="1">
    <w:name w:val="font31"/>
    <w:uiPriority w:val="0"/>
    <w:qFormat/>
    <w:rPr>
      <w:rFonts w:hint="eastAsia" w:ascii="宋体" w:hAnsi="宋体" w:eastAsia="宋体" w:cs="宋体"/>
      <w:color w:val="000000"/>
      <w:sz w:val="20"/>
      <w:szCs w:val="20"/>
      <w:u w:val="none"/>
    </w:rPr>
  </w:style>
  <w:style w:type="character" w:styleId="990" w:customStyle="1">
    <w:name w:val="明显引用 Char"/>
    <w:link w:val="991"/>
    <w:uiPriority w:val="0"/>
    <w:qFormat/>
    <w:rPr>
      <w:b/>
      <w:bCs/>
      <w:i/>
      <w:iCs/>
      <w:color w:val="4f81bd"/>
    </w:rPr>
  </w:style>
  <w:style w:type="paragraph" w:styleId="991" w:customStyle="1">
    <w:name w:val="明显引用1"/>
    <w:basedOn w:val="886"/>
    <w:next w:val="886"/>
    <w:link w:val="990"/>
    <w:uiPriority w:val="0"/>
    <w:qFormat/>
    <w:pPr>
      <w:ind w:left="936" w:right="936"/>
      <w:spacing w:before="200" w:after="280"/>
      <w:pBdr>
        <w:bottom w:val="single" w:color="4F81BD" w:sz="4" w:space="4"/>
      </w:pBdr>
    </w:pPr>
    <w:rPr>
      <w:b/>
      <w:bCs/>
      <w:i/>
      <w:iCs/>
      <w:color w:val="4f81bd"/>
      <w:sz w:val="20"/>
      <w:szCs w:val="20"/>
    </w:rPr>
  </w:style>
  <w:style w:type="character" w:styleId="992" w:customStyle="1">
    <w:name w:val="标题 5 字符"/>
    <w:link w:val="891"/>
    <w:uiPriority w:val="0"/>
    <w:qFormat/>
    <w:rPr>
      <w:b/>
      <w:bCs/>
      <w:sz w:val="28"/>
      <w:szCs w:val="28"/>
    </w:rPr>
  </w:style>
  <w:style w:type="character" w:styleId="993" w:customStyle="1">
    <w:name w:val="日期 Char1"/>
    <w:uiPriority w:val="0"/>
    <w:qFormat/>
    <w:rPr>
      <w:rFonts w:ascii="Calibri" w:hAnsi="Calibri" w:eastAsia="宋体" w:cs="Times New Roman"/>
    </w:rPr>
  </w:style>
  <w:style w:type="character" w:styleId="994" w:customStyle="1">
    <w:name w:val="批注框文本 Char1"/>
    <w:uiPriority w:val="0"/>
    <w:qFormat/>
    <w:rPr>
      <w:sz w:val="18"/>
      <w:szCs w:val="18"/>
    </w:rPr>
  </w:style>
  <w:style w:type="character" w:styleId="995" w:customStyle="1">
    <w:name w:val="标题 Char1"/>
    <w:uiPriority w:val="10"/>
    <w:qFormat/>
    <w:rPr>
      <w:rFonts w:ascii="Cambria" w:hAnsi="Cambria" w:eastAsia="宋体" w:cs="Times New Roman"/>
      <w:b/>
      <w:bCs/>
      <w:sz w:val="32"/>
      <w:szCs w:val="32"/>
    </w:rPr>
  </w:style>
  <w:style w:type="character" w:styleId="996" w:customStyle="1">
    <w:name w:val="标题 9 字符"/>
    <w:link w:val="895"/>
    <w:uiPriority w:val="0"/>
    <w:qFormat/>
    <w:rPr>
      <w:rFonts w:ascii="Cambria" w:hAnsi="Cambria"/>
      <w:sz w:val="21"/>
      <w:szCs w:val="21"/>
    </w:rPr>
  </w:style>
  <w:style w:type="character" w:styleId="997" w:customStyle="1">
    <w:name w:val="不明显参考1"/>
    <w:uiPriority w:val="0"/>
    <w:qFormat/>
    <w:rPr>
      <w:smallCaps/>
      <w:color w:val="c0504d"/>
      <w:u w:val="single"/>
    </w:rPr>
  </w:style>
  <w:style w:type="character" w:styleId="998" w:customStyle="1">
    <w:name w:val="批注文字 Char1"/>
    <w:uiPriority w:val="0"/>
    <w:qFormat/>
    <w:rPr>
      <w:rFonts w:ascii="Calibri" w:hAnsi="Calibri" w:eastAsia="宋体" w:cs="Times New Roman"/>
    </w:rPr>
  </w:style>
  <w:style w:type="character" w:styleId="999" w:customStyle="1">
    <w:name w:val="标题 Char2"/>
    <w:uiPriority w:val="10"/>
    <w:qFormat/>
    <w:rPr>
      <w:rFonts w:ascii="Cambria" w:hAnsi="Cambria" w:cs="Times New Roman"/>
      <w:b/>
      <w:bCs/>
      <w:sz w:val="32"/>
      <w:szCs w:val="32"/>
    </w:rPr>
  </w:style>
  <w:style w:type="character" w:styleId="1000" w:customStyle="1">
    <w:name w:val="正文文本 3 Char1"/>
    <w:uiPriority w:val="99"/>
    <w:semiHidden/>
    <w:qFormat/>
    <w:rPr>
      <w:sz w:val="16"/>
      <w:szCs w:val="16"/>
    </w:rPr>
  </w:style>
  <w:style w:type="character" w:styleId="1001" w:customStyle="1">
    <w:name w:val="批注主题 Char2"/>
    <w:uiPriority w:val="0"/>
    <w:qFormat/>
    <w:rPr>
      <w:b/>
      <w:bCs/>
      <w:sz w:val="21"/>
    </w:rPr>
  </w:style>
  <w:style w:type="character" w:styleId="1002" w:customStyle="1">
    <w:name w:val="标题 3 字符"/>
    <w:link w:val="889"/>
    <w:uiPriority w:val="0"/>
    <w:qFormat/>
    <w:rPr>
      <w:b/>
      <w:bCs/>
      <w:sz w:val="32"/>
      <w:szCs w:val="32"/>
    </w:rPr>
  </w:style>
  <w:style w:type="character" w:styleId="1003" w:customStyle="1">
    <w:name w:val="正文文本 Char_0"/>
    <w:link w:val="1004"/>
    <w:uiPriority w:val="0"/>
    <w:qFormat/>
    <w:rPr>
      <w:szCs w:val="24"/>
    </w:rPr>
  </w:style>
  <w:style w:type="paragraph" w:styleId="1004" w:customStyle="1">
    <w:name w:val="正文文本_0"/>
    <w:basedOn w:val="962"/>
    <w:link w:val="1003"/>
    <w:uiPriority w:val="0"/>
    <w:qFormat/>
    <w:pPr>
      <w:spacing w:after="120"/>
    </w:pPr>
    <w:rPr>
      <w:sz w:val="20"/>
    </w:rPr>
  </w:style>
  <w:style w:type="character" w:styleId="1005" w:customStyle="1">
    <w:name w:val="副标题 字符"/>
    <w:link w:val="922"/>
    <w:uiPriority w:val="0"/>
    <w:qFormat/>
    <w:rPr>
      <w:rFonts w:ascii="Cambria" w:hAnsi="Cambria"/>
      <w:b/>
      <w:bCs/>
      <w:sz w:val="32"/>
      <w:szCs w:val="32"/>
    </w:rPr>
  </w:style>
  <w:style w:type="character" w:styleId="1006" w:customStyle="1">
    <w:name w:val="bookmark"/>
    <w:basedOn w:val="896"/>
    <w:uiPriority w:val="0"/>
    <w:qFormat/>
  </w:style>
  <w:style w:type="character" w:styleId="1007" w:customStyle="1">
    <w:name w:val="标题 5 Char_0"/>
    <w:link w:val="1008"/>
    <w:uiPriority w:val="0"/>
    <w:qFormat/>
    <w:rPr>
      <w:rFonts w:ascii="Calibri" w:hAnsi="Calibri"/>
      <w:b/>
      <w:bCs/>
      <w:sz w:val="28"/>
      <w:szCs w:val="28"/>
    </w:rPr>
  </w:style>
  <w:style w:type="paragraph" w:styleId="1008" w:customStyle="1">
    <w:name w:val="标题 5_0"/>
    <w:basedOn w:val="962"/>
    <w:next w:val="962"/>
    <w:link w:val="1007"/>
    <w:uiPriority w:val="0"/>
    <w:qFormat/>
    <w:pPr>
      <w:keepLines/>
      <w:keepNext/>
      <w:spacing w:before="280" w:after="290" w:line="372" w:lineRule="auto"/>
      <w:outlineLvl w:val="4"/>
    </w:pPr>
    <w:rPr>
      <w:rFonts w:ascii="Calibri" w:hAnsi="Calibri"/>
      <w:b/>
      <w:bCs/>
      <w:sz w:val="28"/>
      <w:szCs w:val="28"/>
    </w:rPr>
  </w:style>
  <w:style w:type="character" w:styleId="1009" w:customStyle="1">
    <w:name w:val="正文文本缩进 2 字符"/>
    <w:link w:val="915"/>
    <w:uiPriority w:val="99"/>
    <w:qFormat/>
    <w:rPr>
      <w:rFonts w:ascii="宋体"/>
    </w:rPr>
  </w:style>
  <w:style w:type="character" w:styleId="1010" w:customStyle="1">
    <w:name w:val="批注文字 字符"/>
    <w:link w:val="904"/>
    <w:uiPriority w:val="0"/>
    <w:qFormat/>
    <w:rPr>
      <w:sz w:val="21"/>
      <w:szCs w:val="24"/>
    </w:rPr>
  </w:style>
  <w:style w:type="character" w:styleId="1011" w:customStyle="1">
    <w:name w:val="font11"/>
    <w:uiPriority w:val="0"/>
    <w:qFormat/>
    <w:rPr>
      <w:rFonts w:hint="eastAsia" w:ascii="宋体" w:hAnsi="宋体" w:eastAsia="宋体" w:cs="宋体"/>
      <w:color w:val="000000"/>
      <w:sz w:val="20"/>
      <w:szCs w:val="20"/>
      <w:u w:val="none"/>
    </w:rPr>
  </w:style>
  <w:style w:type="character" w:styleId="1012" w:customStyle="1">
    <w:name w:val="明显参考1"/>
    <w:uiPriority w:val="0"/>
    <w:qFormat/>
    <w:rPr>
      <w:b/>
      <w:bCs/>
      <w:smallCaps/>
      <w:color w:val="c0504d"/>
      <w:spacing w:val="5"/>
      <w:u w:val="single"/>
    </w:rPr>
  </w:style>
  <w:style w:type="character" w:styleId="1013" w:customStyle="1">
    <w:name w:val="超链接_0"/>
    <w:uiPriority w:val="99"/>
    <w:qFormat/>
    <w:rPr>
      <w:rFonts w:ascii="Calibri" w:hAnsi="Calibri"/>
      <w:color w:val="0000ff"/>
      <w:u w:val="single"/>
    </w:rPr>
  </w:style>
  <w:style w:type="character" w:styleId="1014" w:customStyle="1">
    <w:name w:val="文档结构图 Char2"/>
    <w:uiPriority w:val="99"/>
    <w:semiHidden/>
    <w:qFormat/>
    <w:rPr>
      <w:rFonts w:ascii="宋体" w:hAnsi="Calibri" w:eastAsia="宋体" w:cs="Times New Roman"/>
      <w:sz w:val="18"/>
      <w:szCs w:val="18"/>
    </w:rPr>
  </w:style>
  <w:style w:type="character" w:styleId="1015" w:customStyle="1">
    <w:name w:val="textcontents"/>
    <w:uiPriority w:val="0"/>
    <w:qFormat/>
    <w:rPr>
      <w:rFonts w:cs="Times New Roman"/>
    </w:rPr>
  </w:style>
  <w:style w:type="character" w:styleId="1016" w:customStyle="1">
    <w:name w:val="标题 1 Char"/>
    <w:uiPriority w:val="0"/>
    <w:qFormat/>
    <w:rPr>
      <w:b/>
      <w:bCs/>
      <w:sz w:val="32"/>
      <w:szCs w:val="44"/>
    </w:rPr>
  </w:style>
  <w:style w:type="character" w:styleId="1017" w:customStyle="1">
    <w:name w:val="正文文本 字符"/>
    <w:link w:val="906"/>
    <w:uiPriority w:val="0"/>
    <w:qFormat/>
    <w:rPr>
      <w:rFonts w:eastAsia="幼圆"/>
      <w:b/>
      <w:bCs/>
      <w:sz w:val="44"/>
      <w:szCs w:val="24"/>
    </w:rPr>
  </w:style>
  <w:style w:type="character" w:styleId="1018" w:customStyle="1">
    <w:name w:val="标题 8 字符"/>
    <w:link w:val="894"/>
    <w:uiPriority w:val="0"/>
    <w:qFormat/>
    <w:rPr>
      <w:rFonts w:ascii="Cambria" w:hAnsi="Cambria"/>
      <w:sz w:val="24"/>
      <w:szCs w:val="24"/>
    </w:rPr>
  </w:style>
  <w:style w:type="character" w:styleId="1019" w:customStyle="1">
    <w:name w:val="副标题 Char1"/>
    <w:uiPriority w:val="11"/>
    <w:qFormat/>
    <w:rPr>
      <w:rFonts w:ascii="Cambria" w:hAnsi="Cambria" w:cs="Times New Roman"/>
      <w:b/>
      <w:bCs/>
      <w:sz w:val="32"/>
      <w:szCs w:val="32"/>
    </w:rPr>
  </w:style>
  <w:style w:type="character" w:styleId="1020" w:customStyle="1">
    <w:name w:val="批注主题 字符"/>
    <w:link w:val="931"/>
    <w:uiPriority w:val="0"/>
    <w:qFormat/>
    <w:rPr>
      <w:b/>
      <w:bCs/>
      <w:sz w:val="21"/>
      <w:szCs w:val="24"/>
    </w:rPr>
  </w:style>
  <w:style w:type="character" w:styleId="1021" w:customStyle="1">
    <w:name w:val="书籍标题1"/>
    <w:uiPriority w:val="0"/>
    <w:qFormat/>
    <w:rPr>
      <w:b/>
      <w:bCs/>
      <w:smallCaps/>
      <w:spacing w:val="5"/>
    </w:rPr>
  </w:style>
  <w:style w:type="character" w:styleId="1022" w:customStyle="1">
    <w:name w:val="页脚 字符"/>
    <w:link w:val="917"/>
    <w:uiPriority w:val="99"/>
    <w:qFormat/>
    <w:rPr>
      <w:sz w:val="18"/>
      <w:szCs w:val="18"/>
    </w:rPr>
  </w:style>
  <w:style w:type="character" w:styleId="1023" w:customStyle="1">
    <w:name w:val="标题4 Char Char"/>
    <w:link w:val="1024"/>
    <w:uiPriority w:val="0"/>
    <w:qFormat/>
    <w:rPr>
      <w:rFonts w:ascii="Arial" w:hAnsi="Arial"/>
      <w:b/>
      <w:bCs/>
      <w:sz w:val="24"/>
      <w:szCs w:val="32"/>
    </w:rPr>
  </w:style>
  <w:style w:type="paragraph" w:styleId="1024" w:customStyle="1">
    <w:name w:val="标题4"/>
    <w:basedOn w:val="888"/>
    <w:next w:val="909"/>
    <w:link w:val="1023"/>
    <w:uiPriority w:val="0"/>
    <w:qFormat/>
    <w:pPr>
      <w:numPr>
        <w:ilvl w:val="0"/>
        <w:numId w:val="0"/>
      </w:numPr>
      <w:spacing w:line="413" w:lineRule="auto"/>
    </w:pPr>
    <w:rPr>
      <w:rFonts w:ascii="Arial" w:hAnsi="Arial"/>
      <w:sz w:val="24"/>
    </w:rPr>
  </w:style>
  <w:style w:type="character" w:styleId="1025" w:customStyle="1">
    <w:name w:val="正文文本 Char1"/>
    <w:uiPriority w:val="0"/>
    <w:qFormat/>
    <w:rPr>
      <w:rFonts w:ascii="Calibri" w:hAnsi="Calibri" w:eastAsia="宋体" w:cs="Times New Roman"/>
    </w:rPr>
  </w:style>
  <w:style w:type="character" w:styleId="1026" w:customStyle="1">
    <w:name w:val="明显引用 Char1"/>
    <w:uiPriority w:val="30"/>
    <w:qFormat/>
    <w:rPr>
      <w:b/>
      <w:bCs/>
      <w:i/>
      <w:iCs/>
      <w:color w:val="4f81bd"/>
      <w:sz w:val="21"/>
    </w:rPr>
  </w:style>
  <w:style w:type="character" w:styleId="1027" w:customStyle="1">
    <w:name w:val="页眉 Char1"/>
    <w:uiPriority w:val="99"/>
    <w:semiHidden/>
    <w:qFormat/>
    <w:rPr>
      <w:rFonts w:ascii="Calibri" w:hAnsi="Calibri" w:eastAsia="宋体" w:cs="Times New Roman"/>
      <w:sz w:val="18"/>
      <w:szCs w:val="18"/>
    </w:rPr>
  </w:style>
  <w:style w:type="character" w:styleId="1028" w:customStyle="1">
    <w:name w:val="不明显强调1"/>
    <w:uiPriority w:val="0"/>
    <w:qFormat/>
    <w:rPr>
      <w:i/>
      <w:iCs/>
      <w:color w:val="808080"/>
    </w:rPr>
  </w:style>
  <w:style w:type="character" w:styleId="1029" w:customStyle="1">
    <w:name w:val="正文文本 3 字符"/>
    <w:link w:val="905"/>
    <w:uiPriority w:val="0"/>
    <w:qFormat/>
    <w:rPr>
      <w:rFonts w:ascii="宋体"/>
      <w:sz w:val="24"/>
    </w:rPr>
  </w:style>
  <w:style w:type="character" w:styleId="1030" w:customStyle="1">
    <w:name w:val="正文文本缩进 3 字符"/>
    <w:link w:val="924"/>
    <w:uiPriority w:val="0"/>
    <w:qFormat/>
    <w:rPr>
      <w:sz w:val="16"/>
    </w:rPr>
  </w:style>
  <w:style w:type="character" w:styleId="1031" w:customStyle="1">
    <w:name w:val="font21"/>
    <w:uiPriority w:val="0"/>
    <w:qFormat/>
    <w:rPr>
      <w:rFonts w:hint="eastAsia" w:ascii="宋体" w:hAnsi="宋体" w:eastAsia="宋体" w:cs="宋体"/>
      <w:color w:val="000000"/>
      <w:sz w:val="20"/>
      <w:szCs w:val="20"/>
      <w:u w:val="none"/>
    </w:rPr>
  </w:style>
  <w:style w:type="character" w:styleId="1032" w:customStyle="1">
    <w:name w:val="批注框文本 字符"/>
    <w:link w:val="916"/>
    <w:uiPriority w:val="0"/>
    <w:qFormat/>
    <w:rPr>
      <w:sz w:val="18"/>
      <w:szCs w:val="18"/>
    </w:rPr>
  </w:style>
  <w:style w:type="character" w:styleId="1033" w:customStyle="1">
    <w:name w:val="标题 7 字符"/>
    <w:link w:val="893"/>
    <w:uiPriority w:val="0"/>
    <w:qFormat/>
    <w:rPr>
      <w:b/>
      <w:bCs/>
      <w:sz w:val="24"/>
      <w:szCs w:val="24"/>
    </w:rPr>
  </w:style>
  <w:style w:type="character" w:styleId="1034" w:customStyle="1">
    <w:name w:val="标题 1 字符"/>
    <w:link w:val="887"/>
    <w:uiPriority w:val="0"/>
    <w:qFormat/>
    <w:rPr>
      <w:b/>
      <w:bCs/>
      <w:sz w:val="32"/>
      <w:szCs w:val="44"/>
    </w:rPr>
  </w:style>
  <w:style w:type="character" w:styleId="1035" w:customStyle="1">
    <w:name w:val="文档结构图 Char1"/>
    <w:uiPriority w:val="0"/>
    <w:qFormat/>
    <w:rPr>
      <w:rFonts w:ascii="宋体" w:hAnsi="Calibri" w:eastAsia="宋体" w:cs="Times New Roman"/>
      <w:sz w:val="18"/>
      <w:szCs w:val="18"/>
    </w:rPr>
  </w:style>
  <w:style w:type="character" w:styleId="1036" w:customStyle="1">
    <w:name w:val="标题 2 Char_0"/>
    <w:link w:val="1037"/>
    <w:uiPriority w:val="0"/>
    <w:qFormat/>
    <w:rPr>
      <w:rFonts w:ascii="Cambria" w:hAnsi="Cambria"/>
      <w:b/>
      <w:bCs/>
      <w:sz w:val="32"/>
      <w:szCs w:val="32"/>
    </w:rPr>
  </w:style>
  <w:style w:type="paragraph" w:styleId="1037" w:customStyle="1">
    <w:name w:val="标题 2_0"/>
    <w:basedOn w:val="962"/>
    <w:next w:val="962"/>
    <w:link w:val="1036"/>
    <w:uiPriority w:val="0"/>
    <w:unhideWhenUsed/>
    <w:qFormat/>
    <w:pPr>
      <w:keepLines/>
      <w:keepNext/>
      <w:spacing w:before="260" w:after="260" w:line="416" w:lineRule="auto"/>
      <w:outlineLvl w:val="1"/>
    </w:pPr>
    <w:rPr>
      <w:rFonts w:ascii="Cambria" w:hAnsi="Cambria"/>
      <w:b/>
      <w:bCs/>
      <w:sz w:val="32"/>
      <w:szCs w:val="32"/>
    </w:rPr>
  </w:style>
  <w:style w:type="character" w:styleId="1038" w:customStyle="1">
    <w:name w:val="日期 Char2"/>
    <w:uiPriority w:val="99"/>
    <w:semiHidden/>
    <w:qFormat/>
    <w:rPr>
      <w:rFonts w:ascii="Calibri" w:hAnsi="Calibri" w:eastAsia="宋体" w:cs="Times New Roman"/>
    </w:rPr>
  </w:style>
  <w:style w:type="character" w:styleId="1039" w:customStyle="1">
    <w:name w:val="批注框文本 Char2"/>
    <w:uiPriority w:val="99"/>
    <w:semiHidden/>
    <w:qFormat/>
    <w:rPr>
      <w:rFonts w:ascii="Calibri" w:hAnsi="Calibri" w:eastAsia="宋体" w:cs="Times New Roman"/>
      <w:sz w:val="18"/>
      <w:szCs w:val="18"/>
    </w:rPr>
  </w:style>
  <w:style w:type="character" w:styleId="1040" w:customStyle="1">
    <w:name w:val="标题 4 字符"/>
    <w:link w:val="890"/>
    <w:uiPriority w:val="0"/>
    <w:qFormat/>
    <w:rPr>
      <w:rFonts w:ascii="Cambria" w:hAnsi="Cambria"/>
      <w:b/>
      <w:bCs/>
      <w:sz w:val="28"/>
      <w:szCs w:val="28"/>
    </w:rPr>
  </w:style>
  <w:style w:type="character" w:styleId="1041" w:customStyle="1">
    <w:name w:val="列出段落 Char"/>
    <w:link w:val="1042"/>
    <w:uiPriority w:val="34"/>
    <w:qFormat/>
    <w:rPr>
      <w:sz w:val="21"/>
      <w:szCs w:val="24"/>
    </w:rPr>
  </w:style>
  <w:style w:type="paragraph" w:styleId="1042" w:customStyle="1">
    <w:name w:val="List Paragraph1"/>
    <w:basedOn w:val="886"/>
    <w:link w:val="1041"/>
    <w:uiPriority w:val="34"/>
    <w:qFormat/>
    <w:pPr>
      <w:ind w:firstLine="420"/>
    </w:pPr>
  </w:style>
  <w:style w:type="paragraph" w:styleId="1043" w:customStyle="1">
    <w:name w:val="样式 标题 3 + (中文) 黑体 小四 非加粗 段前: 7.8 磅 段后: 0 磅 行距: 固定值 20 磅"/>
    <w:basedOn w:val="889"/>
    <w:next w:val="886"/>
    <w:uiPriority w:val="0"/>
    <w:qFormat/>
    <w:pPr>
      <w:spacing w:before="0" w:after="0" w:line="400" w:lineRule="exact"/>
    </w:pPr>
    <w:rPr>
      <w:rFonts w:eastAsia="黑体" w:cs="宋体"/>
      <w:b w:val="0"/>
      <w:bCs w:val="0"/>
      <w:sz w:val="24"/>
      <w:szCs w:val="20"/>
    </w:rPr>
  </w:style>
  <w:style w:type="paragraph" w:styleId="1044" w:customStyle="1">
    <w:name w:val="_Style 34"/>
    <w:next w:val="886"/>
    <w:uiPriority w:val="0"/>
    <w:qFormat/>
    <w:pPr>
      <w:jc w:val="both"/>
      <w:widowControl w:val="off"/>
    </w:pPr>
    <w:rPr>
      <w:rFonts w:ascii="Times New Roman" w:hAnsi="Times New Roman" w:eastAsia="宋体" w:cs="Times New Roman"/>
      <w:sz w:val="21"/>
      <w:lang w:val="en-US" w:eastAsia="zh-CN" w:bidi="ar-SA"/>
    </w:rPr>
  </w:style>
  <w:style w:type="paragraph" w:styleId="104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46" w:customStyle="1">
    <w:name w:val="_Style 36"/>
    <w:next w:val="886"/>
    <w:uiPriority w:val="0"/>
    <w:qFormat/>
    <w:pPr>
      <w:jc w:val="both"/>
      <w:widowControl w:val="off"/>
    </w:pPr>
    <w:rPr>
      <w:rFonts w:ascii="Times New Roman" w:hAnsi="Times New Roman" w:eastAsia="宋体" w:cs="Times New Roman"/>
      <w:sz w:val="21"/>
      <w:lang w:val="en-US" w:eastAsia="zh-CN" w:bidi="ar-SA"/>
    </w:rPr>
  </w:style>
  <w:style w:type="paragraph" w:styleId="1047" w:customStyle="1">
    <w:name w:val="空半行"/>
    <w:basedOn w:val="886"/>
    <w:uiPriority w:val="0"/>
    <w:qFormat/>
    <w:pPr>
      <w:spacing w:line="120" w:lineRule="exact"/>
    </w:pPr>
    <w:rPr>
      <w:rFonts w:ascii="Calibri" w:hAnsi="Calibri" w:eastAsia="仿宋_GB2312"/>
      <w:color w:val="ffffff"/>
      <w:sz w:val="30"/>
      <w:szCs w:val="22"/>
    </w:rPr>
  </w:style>
  <w:style w:type="paragraph" w:styleId="1048" w:customStyle="1">
    <w:name w:val="1方案格式1"/>
    <w:basedOn w:val="887"/>
    <w:uiPriority w:val="0"/>
    <w:qFormat/>
    <w:pPr>
      <w:numPr>
        <w:numId w:val="3"/>
      </w:numPr>
      <w:ind w:left="0" w:firstLine="0"/>
      <w:spacing w:line="360" w:lineRule="auto"/>
      <w:tabs>
        <w:tab w:val="left" w:pos="360" w:leader="none"/>
      </w:tabs>
    </w:pPr>
    <w:rPr>
      <w:rFonts w:eastAsia="微软雅黑"/>
      <w:bCs w:val="0"/>
      <w:sz w:val="48"/>
    </w:rPr>
  </w:style>
  <w:style w:type="paragraph" w:styleId="1049" w:customStyle="1">
    <w:name w:val="格式３"/>
    <w:basedOn w:val="886"/>
    <w:uiPriority w:val="0"/>
    <w:qFormat/>
    <w:pPr>
      <w:ind w:left="600" w:hanging="600"/>
      <w:spacing w:line="420" w:lineRule="exact"/>
    </w:pPr>
    <w:rPr>
      <w:rFonts w:ascii="宋体" w:hAnsi="宋体"/>
      <w:color w:val="000000"/>
      <w:sz w:val="24"/>
      <w:szCs w:val="20"/>
    </w:rPr>
  </w:style>
  <w:style w:type="paragraph" w:styleId="1050" w:customStyle="1">
    <w:name w:val="列出段落1"/>
    <w:basedOn w:val="886"/>
    <w:uiPriority w:val="99"/>
    <w:qFormat/>
    <w:pPr>
      <w:contextualSpacing/>
      <w:ind w:left="720"/>
      <w:jc w:val="left"/>
      <w:widowControl/>
    </w:pPr>
    <w:rPr>
      <w:rFonts w:ascii="Arial" w:hAnsi="Arial" w:eastAsia="黑体"/>
      <w:sz w:val="24"/>
      <w:lang w:eastAsia="en-US"/>
    </w:rPr>
  </w:style>
  <w:style w:type="paragraph" w:styleId="1051" w:customStyle="1">
    <w:name w:val="正文空2字"/>
    <w:basedOn w:val="886"/>
    <w:uiPriority w:val="0"/>
    <w:qFormat/>
    <w:pPr>
      <w:ind w:firstLine="200"/>
      <w:spacing w:line="360" w:lineRule="auto"/>
    </w:pPr>
    <w:rPr>
      <w:sz w:val="24"/>
      <w:lang w:bidi="en-US"/>
    </w:rPr>
  </w:style>
  <w:style w:type="paragraph" w:styleId="105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53" w:customStyle="1">
    <w:name w:val="目录 5_0"/>
    <w:basedOn w:val="962"/>
    <w:next w:val="962"/>
    <w:uiPriority w:val="39"/>
    <w:qFormat/>
    <w:pPr>
      <w:ind w:left="1680"/>
    </w:pPr>
    <w:rPr>
      <w:rFonts w:ascii="Calibri" w:hAnsi="Calibri"/>
    </w:rPr>
  </w:style>
  <w:style w:type="paragraph" w:styleId="1054" w:customStyle="1">
    <w:name w:val="修订1"/>
    <w:uiPriority w:val="0"/>
    <w:qFormat/>
    <w:rPr>
      <w:rFonts w:ascii="Times New Roman" w:hAnsi="Times New Roman" w:eastAsia="宋体" w:cs="Times New Roman"/>
      <w:sz w:val="21"/>
      <w:szCs w:val="24"/>
      <w:lang w:val="en-US" w:eastAsia="zh-CN" w:bidi="ar-SA"/>
    </w:rPr>
  </w:style>
  <w:style w:type="paragraph" w:styleId="1055" w:customStyle="1">
    <w:name w:val="标题 11"/>
    <w:basedOn w:val="945"/>
    <w:next w:val="94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56" w:customStyle="1">
    <w:name w:val="正文 + 行距: 固定值 20 磅"/>
    <w:basedOn w:val="886"/>
    <w:uiPriority w:val="0"/>
    <w:qFormat/>
    <w:pPr>
      <w:ind w:firstLine="716"/>
      <w:spacing w:line="400" w:lineRule="exact"/>
    </w:pPr>
    <w:rPr>
      <w:rFonts w:ascii="Calibri" w:hAnsi="Calibri"/>
      <w:szCs w:val="22"/>
    </w:rPr>
  </w:style>
  <w:style w:type="paragraph" w:styleId="1057" w:customStyle="1">
    <w:name w:val="TOC 标题1"/>
    <w:basedOn w:val="887"/>
    <w:next w:val="88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58" w:customStyle="1">
    <w:name w:val="表格文字"/>
    <w:basedOn w:val="886"/>
    <w:link w:val="1086"/>
    <w:uiPriority w:val="0"/>
    <w:qFormat/>
    <w:pPr>
      <w:jc w:val="left"/>
      <w:spacing w:line="420" w:lineRule="atLeast"/>
    </w:pPr>
    <w:rPr>
      <w:rFonts w:ascii="Calibri" w:hAnsi="Calibri"/>
      <w:szCs w:val="22"/>
    </w:rPr>
  </w:style>
  <w:style w:type="paragraph" w:styleId="1059" w:customStyle="1">
    <w:name w:val="flNote"/>
    <w:basedOn w:val="886"/>
    <w:uiPriority w:val="0"/>
    <w:qFormat/>
    <w:pPr>
      <w:jc w:val="center"/>
      <w:spacing w:before="320" w:after="160" w:line="360" w:lineRule="atLeast"/>
    </w:pPr>
    <w:rPr>
      <w:rFonts w:ascii="Arial" w:hAnsi="Calibri" w:eastAsia="黑体"/>
      <w:sz w:val="30"/>
      <w:szCs w:val="22"/>
    </w:rPr>
  </w:style>
  <w:style w:type="paragraph" w:styleId="1060" w:customStyle="1">
    <w:name w:val="文章正文"/>
    <w:basedOn w:val="886"/>
    <w:uiPriority w:val="99"/>
    <w:qFormat/>
    <w:pPr>
      <w:ind w:firstLine="480"/>
      <w:spacing w:line="360" w:lineRule="auto"/>
    </w:pPr>
    <w:rPr>
      <w:rFonts w:ascii="仿宋_GB2312" w:hAnsi="宋体" w:eastAsia="仿宋_GB2312"/>
      <w:color w:val="ff0000"/>
      <w:sz w:val="24"/>
    </w:rPr>
  </w:style>
  <w:style w:type="paragraph" w:styleId="1061" w:customStyle="1">
    <w:name w:val="表格"/>
    <w:basedOn w:val="886"/>
    <w:uiPriority w:val="0"/>
    <w:qFormat/>
    <w:pPr>
      <w:jc w:val="center"/>
    </w:pPr>
    <w:rPr>
      <w:rFonts w:ascii="华文细黑" w:hAnsi="华文细黑"/>
      <w:szCs w:val="22"/>
    </w:rPr>
  </w:style>
  <w:style w:type="paragraph" w:styleId="1062" w:customStyle="1">
    <w:name w:val="Char"/>
    <w:basedOn w:val="886"/>
    <w:uiPriority w:val="0"/>
    <w:qFormat/>
    <w:pPr>
      <w:jc w:val="left"/>
      <w:spacing w:after="160" w:line="240" w:lineRule="exact"/>
      <w:widowControl/>
    </w:pPr>
    <w:rPr>
      <w:rFonts w:ascii="Verdana" w:hAnsi="Verdana"/>
      <w:sz w:val="20"/>
      <w:szCs w:val="20"/>
      <w:lang w:eastAsia="en-US"/>
    </w:rPr>
  </w:style>
  <w:style w:type="paragraph" w:styleId="1063" w:customStyle="1">
    <w:name w:val="列出段落2"/>
    <w:basedOn w:val="886"/>
    <w:uiPriority w:val="34"/>
    <w:qFormat/>
    <w:pPr>
      <w:ind w:firstLine="420"/>
    </w:pPr>
  </w:style>
  <w:style w:type="paragraph" w:styleId="1064" w:customStyle="1">
    <w:name w:val="6'"/>
    <w:basedOn w:val="886"/>
    <w:uiPriority w:val="0"/>
    <w:qFormat/>
    <w:pPr>
      <w:jc w:val="center"/>
      <w:spacing w:line="320" w:lineRule="exact"/>
    </w:pPr>
    <w:rPr>
      <w:rFonts w:ascii="Calibri" w:hAnsi="Calibri"/>
      <w:spacing w:val="20"/>
      <w:szCs w:val="22"/>
    </w:rPr>
  </w:style>
  <w:style w:type="paragraph" w:styleId="1065" w:customStyle="1">
    <w:name w:val="Char Char Char Char Char Char Char"/>
    <w:basedOn w:val="886"/>
    <w:uiPriority w:val="0"/>
    <w:qFormat/>
    <w:pPr>
      <w:spacing w:line="360" w:lineRule="auto"/>
    </w:pPr>
    <w:rPr>
      <w:sz w:val="24"/>
      <w:szCs w:val="20"/>
    </w:rPr>
  </w:style>
  <w:style w:type="paragraph" w:styleId="1066" w:customStyle="1">
    <w:name w:val="2方案格式2"/>
    <w:basedOn w:val="1048"/>
    <w:uiPriority w:val="0"/>
    <w:qFormat/>
    <w:pPr>
      <w:numPr>
        <w:ilvl w:val="1"/>
      </w:numPr>
      <w:spacing w:before="50" w:after="50" w:line="240" w:lineRule="auto"/>
      <w:outlineLvl w:val="1"/>
    </w:pPr>
    <w:rPr>
      <w:sz w:val="44"/>
    </w:rPr>
  </w:style>
  <w:style w:type="paragraph" w:styleId="1067" w:customStyle="1">
    <w:name w:val="文档正文"/>
    <w:basedOn w:val="886"/>
    <w:uiPriority w:val="0"/>
    <w:qFormat/>
    <w:pPr>
      <w:ind w:firstLine="567"/>
      <w:spacing w:line="480" w:lineRule="atLeast"/>
    </w:pPr>
    <w:rPr>
      <w:rFonts w:ascii="Ari" w:eastAsia="Ari"/>
      <w:sz w:val="28"/>
      <w:szCs w:val="20"/>
    </w:rPr>
  </w:style>
  <w:style w:type="paragraph" w:styleId="1068" w:customStyle="1">
    <w:name w:val="txt"/>
    <w:basedOn w:val="886"/>
    <w:uiPriority w:val="0"/>
    <w:qFormat/>
    <w:pPr>
      <w:jc w:val="left"/>
      <w:spacing w:before="100" w:beforeAutospacing="1" w:after="100" w:afterAutospacing="1"/>
      <w:widowControl/>
    </w:pPr>
    <w:rPr>
      <w:rFonts w:ascii="宋体" w:hAnsi="宋体" w:cs="宋体"/>
      <w:sz w:val="24"/>
    </w:rPr>
  </w:style>
  <w:style w:type="paragraph" w:styleId="1069" w:customStyle="1">
    <w:name w:val="目录 4_0"/>
    <w:basedOn w:val="962"/>
    <w:next w:val="962"/>
    <w:uiPriority w:val="39"/>
    <w:qFormat/>
    <w:pPr>
      <w:ind w:left="1260"/>
    </w:pPr>
    <w:rPr>
      <w:rFonts w:ascii="Calibri" w:hAnsi="Calibri"/>
    </w:rPr>
  </w:style>
  <w:style w:type="paragraph" w:styleId="1070" w:customStyle="1">
    <w:name w:val="目录 3_0"/>
    <w:basedOn w:val="962"/>
    <w:next w:val="962"/>
    <w:uiPriority w:val="39"/>
    <w:qFormat/>
    <w:pPr>
      <w:ind w:left="840"/>
    </w:pPr>
    <w:rPr>
      <w:rFonts w:ascii="Calibri" w:hAnsi="Calibri"/>
    </w:rPr>
  </w:style>
  <w:style w:type="paragraph" w:styleId="1071" w:customStyle="1">
    <w:name w:val="样式 标题 1 + 黑体 三号 非加粗 居中 段前: 6 磅 段后: 6 磅 行距: 固定值 20 磅"/>
    <w:basedOn w:val="887"/>
    <w:uiPriority w:val="0"/>
    <w:qFormat/>
    <w:pPr>
      <w:numPr>
        <w:numId w:val="0"/>
      </w:numPr>
      <w:spacing w:before="120" w:after="120" w:line="400" w:lineRule="exact"/>
    </w:pPr>
    <w:rPr>
      <w:rFonts w:ascii="黑体" w:hAnsi="黑体" w:eastAsia="黑体"/>
      <w:b w:val="0"/>
      <w:bCs w:val="0"/>
      <w:szCs w:val="20"/>
    </w:rPr>
  </w:style>
  <w:style w:type="paragraph" w:styleId="1072" w:customStyle="1">
    <w:name w:val="1"/>
    <w:basedOn w:val="886"/>
    <w:next w:val="886"/>
    <w:uiPriority w:val="0"/>
    <w:qFormat/>
    <w:rPr>
      <w:rFonts w:ascii="Calibri" w:hAnsi="Calibri"/>
      <w:szCs w:val="22"/>
    </w:rPr>
  </w:style>
  <w:style w:type="paragraph" w:styleId="1073" w:customStyle="1">
    <w:name w:val="Blockquote_0"/>
    <w:basedOn w:val="962"/>
    <w:uiPriority w:val="0"/>
    <w:qFormat/>
    <w:pPr>
      <w:ind w:left="360" w:right="360"/>
      <w:jc w:val="left"/>
      <w:spacing w:before="100" w:after="100"/>
    </w:pPr>
    <w:rPr>
      <w:rFonts w:ascii="Calibri" w:hAnsi="Calibri" w:eastAsia="Times New Roman"/>
      <w:sz w:val="24"/>
      <w:szCs w:val="20"/>
    </w:rPr>
  </w:style>
  <w:style w:type="paragraph" w:styleId="1074" w:customStyle="1">
    <w:name w:val="列出段落11"/>
    <w:basedOn w:val="886"/>
    <w:uiPriority w:val="0"/>
    <w:qFormat/>
    <w:pPr>
      <w:contextualSpacing/>
      <w:ind w:left="720"/>
      <w:jc w:val="left"/>
      <w:widowControl/>
    </w:pPr>
    <w:rPr>
      <w:rFonts w:ascii="Arial" w:hAnsi="Arial" w:eastAsia="黑体"/>
      <w:sz w:val="24"/>
      <w:lang w:eastAsia="en-US"/>
    </w:rPr>
  </w:style>
  <w:style w:type="paragraph" w:styleId="1075" w:customStyle="1">
    <w:name w:val="样式 标题 2 + Times New Roman 四号 非加粗 段前: 5 磅 段后: 0 磅 行距: 固定值 20..._0"/>
    <w:basedOn w:val="886"/>
    <w:uiPriority w:val="0"/>
    <w:qFormat/>
    <w:pPr>
      <w:keepLines/>
      <w:keepNext/>
      <w:spacing w:before="100" w:line="360" w:lineRule="auto"/>
      <w:outlineLvl w:val="1"/>
    </w:pPr>
    <w:rPr>
      <w:rFonts w:eastAsia="Times New Roman" w:cs="宋体"/>
      <w:sz w:val="28"/>
      <w:szCs w:val="20"/>
    </w:rPr>
  </w:style>
  <w:style w:type="paragraph" w:styleId="1076" w:customStyle="1">
    <w:name w:val="op_mapdots_left"/>
    <w:basedOn w:val="886"/>
    <w:uiPriority w:val="0"/>
    <w:qFormat/>
    <w:pPr>
      <w:jc w:val="left"/>
      <w:spacing w:before="100" w:beforeAutospacing="1" w:after="100" w:afterAutospacing="1"/>
      <w:widowControl/>
    </w:pPr>
    <w:rPr>
      <w:rFonts w:ascii="宋体" w:hAnsi="宋体" w:cs="宋体"/>
      <w:sz w:val="24"/>
    </w:rPr>
  </w:style>
  <w:style w:type="paragraph" w:styleId="1077" w:customStyle="1">
    <w:name w:val="p0"/>
    <w:basedOn w:val="886"/>
    <w:uiPriority w:val="0"/>
    <w:qFormat/>
    <w:pPr>
      <w:widowControl/>
    </w:pPr>
    <w:rPr>
      <w:b/>
      <w:bCs/>
      <w:sz w:val="24"/>
    </w:rPr>
  </w:style>
  <w:style w:type="paragraph" w:styleId="1078" w:customStyle="1">
    <w:name w:val="Blockquote"/>
    <w:basedOn w:val="886"/>
    <w:uiPriority w:val="0"/>
    <w:qFormat/>
    <w:pPr>
      <w:ind w:left="360" w:right="360"/>
      <w:jc w:val="left"/>
      <w:spacing w:before="100" w:after="100"/>
    </w:pPr>
    <w:rPr>
      <w:rFonts w:ascii="Calibri" w:hAnsi="Calibri"/>
      <w:sz w:val="24"/>
      <w:szCs w:val="22"/>
    </w:rPr>
  </w:style>
  <w:style w:type="paragraph" w:styleId="1079" w:customStyle="1">
    <w:name w:val="3方案格式3"/>
    <w:basedOn w:val="1066"/>
    <w:uiPriority w:val="0"/>
    <w:qFormat/>
    <w:pPr>
      <w:numPr>
        <w:ilvl w:val="2"/>
      </w:numPr>
      <w:outlineLvl w:val="2"/>
    </w:pPr>
    <w:rPr>
      <w:sz w:val="32"/>
    </w:rPr>
  </w:style>
  <w:style w:type="paragraph" w:styleId="1080" w:customStyle="1">
    <w:name w:val="样式 标题 2 + Times New Roman 四号 非加粗 段前: 5 磅 段后: 0 磅 行距: 固定值 20..."/>
    <w:basedOn w:val="88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81" w:customStyle="1">
    <w:name w:val="标题2"/>
    <w:basedOn w:val="888"/>
    <w:next w:val="906"/>
    <w:uiPriority w:val="0"/>
    <w:qFormat/>
    <w:pPr>
      <w:spacing w:before="156" w:after="156" w:line="360" w:lineRule="auto"/>
    </w:pPr>
    <w:rPr>
      <w:bCs w:val="0"/>
      <w:sz w:val="24"/>
    </w:rPr>
  </w:style>
  <w:style w:type="paragraph" w:styleId="1082" w:customStyle="1">
    <w:name w:val="普通正文"/>
    <w:basedOn w:val="886"/>
    <w:uiPriority w:val="0"/>
    <w:qFormat/>
    <w:pPr>
      <w:ind w:firstLine="480"/>
      <w:jc w:val="left"/>
      <w:spacing w:before="120" w:after="120" w:line="360" w:lineRule="auto"/>
    </w:pPr>
    <w:rPr>
      <w:rFonts w:ascii="Arial" w:hAnsi="Arial"/>
      <w:sz w:val="24"/>
    </w:rPr>
  </w:style>
  <w:style w:type="paragraph" w:styleId="1083" w:customStyle="1">
    <w:name w:val="正文2"/>
    <w:uiPriority w:val="0"/>
    <w:qFormat/>
    <w:rPr>
      <w:rFonts w:ascii="Times New Roman" w:hAnsi="Times New Roman" w:eastAsia="微软雅黑" w:cs="Times New Roman"/>
      <w:sz w:val="24"/>
      <w:szCs w:val="24"/>
      <w:lang w:val="en-US" w:eastAsia="zh-CN" w:bidi="ar-SA"/>
    </w:rPr>
  </w:style>
  <w:style w:type="paragraph" w:styleId="1084" w:customStyle="1">
    <w:name w:val="列出段落3"/>
    <w:basedOn w:val="886"/>
    <w:uiPriority w:val="0"/>
    <w:qFormat/>
    <w:pPr>
      <w:ind w:firstLine="420"/>
      <w:jc w:val="left"/>
      <w:spacing w:after="200"/>
      <w:widowControl/>
    </w:pPr>
    <w:rPr>
      <w:rFonts w:ascii="Tahoma" w:hAnsi="Tahoma" w:eastAsia="微软雅黑"/>
      <w:sz w:val="22"/>
      <w:szCs w:val="22"/>
    </w:rPr>
  </w:style>
  <w:style w:type="paragraph" w:styleId="1085" w:customStyle="1">
    <w:name w:val="纯文本2"/>
    <w:basedOn w:val="886"/>
    <w:uiPriority w:val="0"/>
    <w:qFormat/>
    <w:pPr>
      <w:jc w:val="left"/>
    </w:pPr>
    <w:rPr>
      <w:rFonts w:hint="eastAsia" w:ascii="宋体" w:hAnsi="宋体" w:cs="Courier New"/>
      <w:sz w:val="24"/>
      <w:szCs w:val="20"/>
      <w:lang w:bidi="hi-IN"/>
    </w:rPr>
  </w:style>
  <w:style w:type="character" w:styleId="1086" w:customStyle="1">
    <w:name w:val="表格文字 字符"/>
    <w:link w:val="1058"/>
    <w:uiPriority w:val="0"/>
    <w:qFormat/>
    <w:rPr>
      <w:rFonts w:ascii="Calibri" w:hAnsi="Calibri" w:eastAsia="宋体" w:cs="Times New Roman"/>
      <w:sz w:val="21"/>
      <w:szCs w:val="22"/>
    </w:rPr>
  </w:style>
  <w:style w:type="paragraph" w:styleId="1087" w:customStyle="1">
    <w:name w:val="trs_editor"/>
    <w:basedOn w:val="886"/>
    <w:uiPriority w:val="0"/>
    <w:qFormat/>
    <w:pPr>
      <w:jc w:val="left"/>
      <w:spacing w:before="100" w:beforeAutospacing="1" w:after="100" w:afterAutospacing="1"/>
      <w:widowControl/>
    </w:pPr>
    <w:rPr>
      <w:rFonts w:ascii="宋体" w:hAnsi="宋体" w:cs="宋体"/>
      <w:sz w:val="24"/>
    </w:rPr>
  </w:style>
  <w:style w:type="character" w:styleId="1088" w:customStyle="1">
    <w:name w:val="未处理的提及1"/>
    <w:basedOn w:val="896"/>
    <w:uiPriority w:val="99"/>
    <w:semiHidden/>
    <w:unhideWhenUsed/>
    <w:qFormat/>
    <w:rPr>
      <w:color w:val="605e5c"/>
      <w:shd w:val="clear" w:color="auto" w:fill="e1dfdd"/>
    </w:rPr>
  </w:style>
  <w:style w:type="paragraph" w:styleId="1089" w:customStyle="1">
    <w:name w:val="_Style 3"/>
    <w:basedOn w:val="886"/>
    <w:uiPriority w:val="99"/>
    <w:qFormat/>
    <w:pPr>
      <w:ind w:firstLine="420"/>
    </w:pPr>
    <w:rPr>
      <w:szCs w:val="22"/>
    </w:rPr>
  </w:style>
  <w:style w:type="table" w:styleId="1090" w:customStyle="1">
    <w:name w:val="网格型1"/>
    <w:basedOn w:val="89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1" w:customStyle="1">
    <w:name w:val="批注文字 字符1"/>
    <w:uiPriority w:val="99"/>
    <w:qFormat/>
    <w:rPr>
      <w:sz w:val="24"/>
      <w:szCs w:val="22"/>
    </w:rPr>
  </w:style>
  <w:style w:type="character" w:styleId="1092" w:customStyle="1">
    <w:name w:val="f141"/>
    <w:uiPriority w:val="0"/>
    <w:qFormat/>
    <w:rPr>
      <w:sz w:val="21"/>
      <w:szCs w:val="21"/>
    </w:rPr>
  </w:style>
  <w:style w:type="character" w:styleId="1093" w:customStyle="1">
    <w:name w:val="p141"/>
    <w:uiPriority w:val="0"/>
    <w:qFormat/>
    <w:rPr>
      <w:sz w:val="21"/>
      <w:szCs w:val="21"/>
    </w:rPr>
  </w:style>
  <w:style w:type="character" w:styleId="1094" w:customStyle="1">
    <w:name w:val="s10pv000000"/>
    <w:basedOn w:val="896"/>
    <w:uiPriority w:val="0"/>
    <w:qFormat/>
  </w:style>
  <w:style w:type="paragraph" w:styleId="1095" w:customStyle="1">
    <w:name w:val="样式 标题 4 + 段前: 5 磅 段后: 5 磅 行距: 单倍行距"/>
    <w:basedOn w:val="890"/>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96" w:customStyle="1">
    <w:name w:val="基准标题"/>
    <w:basedOn w:val="906"/>
    <w:next w:val="906"/>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097" w:customStyle="1">
    <w:name w:val="font6"/>
    <w:basedOn w:val="886"/>
    <w:uiPriority w:val="0"/>
    <w:qFormat/>
    <w:pPr>
      <w:jc w:val="left"/>
      <w:spacing w:before="100" w:beforeAutospacing="1" w:after="100" w:afterAutospacing="1"/>
      <w:widowControl/>
    </w:pPr>
    <w:rPr>
      <w:rFonts w:hint="eastAsia" w:ascii="宋体" w:hAnsi="宋体"/>
      <w:sz w:val="24"/>
    </w:rPr>
  </w:style>
  <w:style w:type="paragraph" w:styleId="1098" w:customStyle="1">
    <w:name w:val="样式4"/>
    <w:basedOn w:val="886"/>
    <w:uiPriority w:val="0"/>
    <w:qFormat/>
    <w:pPr>
      <w:ind w:left="2328" w:hanging="708"/>
      <w:tabs>
        <w:tab w:val="left" w:pos="2328" w:leader="none"/>
      </w:tabs>
    </w:pPr>
  </w:style>
  <w:style w:type="paragraph" w:styleId="1099" w:customStyle="1">
    <w:name w:val="font5"/>
    <w:basedOn w:val="886"/>
    <w:uiPriority w:val="0"/>
    <w:qFormat/>
    <w:pPr>
      <w:jc w:val="left"/>
      <w:spacing w:before="100" w:beforeAutospacing="1" w:after="100" w:afterAutospacing="1"/>
      <w:widowControl/>
    </w:pPr>
    <w:rPr>
      <w:rFonts w:hint="eastAsia" w:ascii="宋体" w:hAnsi="宋体"/>
      <w:sz w:val="18"/>
      <w:szCs w:val="18"/>
    </w:rPr>
  </w:style>
  <w:style w:type="paragraph" w:styleId="1100" w:customStyle="1">
    <w:name w:val="3 Char"/>
    <w:basedOn w:val="886"/>
    <w:uiPriority w:val="0"/>
    <w:qFormat/>
    <w:pPr>
      <w:jc w:val="center"/>
      <w:spacing w:line="400" w:lineRule="exact"/>
      <w:widowControl/>
    </w:pPr>
    <w:rPr>
      <w:rFonts w:ascii="Verdana" w:hAnsi="Verdana"/>
      <w:szCs w:val="20"/>
      <w:lang w:eastAsia="en-US"/>
    </w:rPr>
  </w:style>
  <w:style w:type="paragraph" w:styleId="1101" w:customStyle="1">
    <w:name w:val="样式 标题 2 + 宋体 五号 非加粗 黑色"/>
    <w:basedOn w:val="888"/>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102" w:customStyle="1">
    <w:name w:val="xl29"/>
    <w:basedOn w:val="886"/>
    <w:uiPriority w:val="0"/>
    <w:qFormat/>
    <w:pPr>
      <w:jc w:val="center"/>
      <w:spacing w:before="100" w:beforeAutospacing="1" w:after="100" w:afterAutospacing="1"/>
      <w:widowControl/>
    </w:pPr>
    <w:rPr>
      <w:rFonts w:ascii="宋体" w:hAnsi="宋体"/>
      <w:sz w:val="28"/>
      <w:szCs w:val="28"/>
    </w:rPr>
  </w:style>
  <w:style w:type="paragraph" w:styleId="1103" w:customStyle="1">
    <w:name w:val="图"/>
    <w:basedOn w:val="886"/>
    <w:uiPriority w:val="0"/>
    <w:qFormat/>
    <w:pPr>
      <w:jc w:val="center"/>
      <w:keepNext/>
      <w:spacing w:before="60" w:after="60" w:line="300" w:lineRule="auto"/>
    </w:pPr>
    <w:rPr>
      <w:spacing w:val="20"/>
      <w:sz w:val="24"/>
      <w:szCs w:val="20"/>
    </w:rPr>
  </w:style>
  <w:style w:type="paragraph" w:styleId="1104" w:customStyle="1">
    <w:name w:val="设计方案"/>
    <w:basedOn w:val="886"/>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105" w:customStyle="1">
    <w:name w:val="xl24"/>
    <w:basedOn w:val="8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06" w:customStyle="1">
    <w:name w:val="样式1"/>
    <w:basedOn w:val="886"/>
    <w:uiPriority w:val="0"/>
    <w:qFormat/>
    <w:pPr>
      <w:ind w:left="425" w:hanging="425"/>
      <w:tabs>
        <w:tab w:val="left" w:pos="425" w:leader="none"/>
        <w:tab w:val="left" w:pos="709" w:leader="none"/>
      </w:tabs>
    </w:pPr>
    <w:rPr>
      <w:rFonts w:ascii="宋体" w:hAnsi="宋体"/>
      <w:szCs w:val="20"/>
    </w:rPr>
  </w:style>
  <w:style w:type="paragraph" w:styleId="1107" w:customStyle="1">
    <w:name w:val="head"/>
    <w:basedOn w:val="886"/>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108" w:customStyle="1">
    <w:name w:val="默认段落字体 Para Char Char Char Char"/>
    <w:basedOn w:val="886"/>
    <w:uiPriority w:val="0"/>
    <w:qFormat/>
    <w:rPr>
      <w:szCs w:val="20"/>
    </w:rPr>
  </w:style>
  <w:style w:type="paragraph" w:styleId="1109" w:customStyle="1">
    <w:name w:val="Char Char Char Char"/>
    <w:basedOn w:val="886"/>
    <w:uiPriority w:val="0"/>
    <w:qFormat/>
    <w:pPr>
      <w:jc w:val="left"/>
      <w:spacing w:after="160" w:line="240" w:lineRule="exact"/>
      <w:widowControl/>
    </w:pPr>
    <w:rPr>
      <w:rFonts w:ascii="Verdana" w:hAnsi="Verdana" w:eastAsia="仿宋_GB2312"/>
      <w:sz w:val="24"/>
      <w:szCs w:val="20"/>
      <w:lang w:eastAsia="en-US"/>
    </w:rPr>
  </w:style>
  <w:style w:type="paragraph" w:styleId="1110" w:customStyle="1">
    <w:name w:val="font0"/>
    <w:basedOn w:val="886"/>
    <w:uiPriority w:val="0"/>
    <w:qFormat/>
    <w:pPr>
      <w:jc w:val="left"/>
      <w:spacing w:before="100" w:beforeAutospacing="1" w:after="100" w:afterAutospacing="1"/>
      <w:widowControl/>
    </w:pPr>
    <w:rPr>
      <w:rFonts w:hint="eastAsia" w:ascii="宋体" w:hAnsi="宋体"/>
      <w:sz w:val="24"/>
    </w:rPr>
  </w:style>
  <w:style w:type="paragraph" w:styleId="1111" w:customStyle="1">
    <w:name w:val="样式 标题 3h3H3sect1.2.3 + 五号 段前: 6 磅 段后: 6 磅 行距: 单倍行距"/>
    <w:basedOn w:val="889"/>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112" w:customStyle="1">
    <w:name w:val="纯文本 Char1"/>
    <w:basedOn w:val="896"/>
    <w:uiPriority w:val="0"/>
    <w:qFormat/>
    <w:rPr>
      <w:rFonts w:ascii="宋体" w:hAnsi="Courier New" w:eastAsia="宋体" w:cs="Courier New"/>
      <w:szCs w:val="21"/>
    </w:rPr>
  </w:style>
  <w:style w:type="character" w:styleId="1113" w:customStyle="1">
    <w:name w:val="HTML 预设格式 字符"/>
    <w:basedOn w:val="896"/>
    <w:link w:val="927"/>
    <w:uiPriority w:val="99"/>
    <w:qFormat/>
    <w:rPr>
      <w:rFonts w:ascii="宋体" w:hAnsi="宋体"/>
      <w:sz w:val="24"/>
      <w:szCs w:val="24"/>
    </w:rPr>
  </w:style>
  <w:style w:type="paragraph" w:styleId="1114" w:customStyle="1">
    <w:name w:val="Char1 Char Char Char"/>
    <w:basedOn w:val="886"/>
    <w:uiPriority w:val="0"/>
    <w:qFormat/>
    <w:rPr>
      <w:szCs w:val="20"/>
    </w:rPr>
  </w:style>
  <w:style w:type="paragraph" w:styleId="1115" w:customStyle="1">
    <w:name w:val="Char1"/>
    <w:basedOn w:val="886"/>
    <w:uiPriority w:val="0"/>
    <w:qFormat/>
    <w:pPr>
      <w:jc w:val="left"/>
      <w:spacing w:after="160" w:line="240" w:lineRule="exact"/>
      <w:widowControl/>
    </w:pPr>
    <w:rPr>
      <w:sz w:val="24"/>
    </w:rPr>
  </w:style>
  <w:style w:type="paragraph" w:styleId="1116" w:customStyle="1">
    <w:name w:val="默认段落字体 Para Char"/>
    <w:basedOn w:val="886"/>
    <w:uiPriority w:val="0"/>
    <w:qFormat/>
  </w:style>
  <w:style w:type="paragraph" w:styleId="1117" w:customStyle="1">
    <w:name w:val="Char1 Char Char Char Char Char Char Char Char Char"/>
    <w:basedOn w:val="886"/>
    <w:uiPriority w:val="0"/>
    <w:qFormat/>
    <w:pPr>
      <w:jc w:val="center"/>
      <w:spacing w:line="400" w:lineRule="exact"/>
      <w:widowControl/>
    </w:pPr>
    <w:rPr>
      <w:rFonts w:ascii="Verdana" w:hAnsi="Verdana"/>
      <w:szCs w:val="20"/>
      <w:lang w:eastAsia="en-US"/>
    </w:rPr>
  </w:style>
  <w:style w:type="paragraph" w:styleId="1118" w:customStyle="1">
    <w:name w:val="普通(网站)1"/>
    <w:basedOn w:val="886"/>
    <w:uiPriority w:val="0"/>
    <w:qFormat/>
    <w:pPr>
      <w:jc w:val="left"/>
      <w:spacing w:before="100" w:beforeAutospacing="1" w:after="100" w:afterAutospacing="1"/>
      <w:widowControl/>
    </w:pPr>
    <w:rPr>
      <w:rFonts w:ascii="宋体" w:hAnsi="宋体"/>
      <w:sz w:val="24"/>
    </w:rPr>
  </w:style>
  <w:style w:type="paragraph" w:styleId="1119" w:customStyle="1">
    <w:name w:val="Char Char2 Char"/>
    <w:basedOn w:val="886"/>
    <w:uiPriority w:val="0"/>
    <w:qFormat/>
    <w:rPr>
      <w:rFonts w:ascii="宋体" w:hAnsi="宋体"/>
      <w:b/>
      <w:sz w:val="28"/>
      <w:szCs w:val="28"/>
    </w:rPr>
  </w:style>
  <w:style w:type="character" w:styleId="1120" w:customStyle="1">
    <w:name w:val="正文缩进 字符"/>
    <w:link w:val="901"/>
    <w:uiPriority w:val="0"/>
    <w:qFormat/>
    <w:rPr>
      <w:b/>
      <w:sz w:val="24"/>
    </w:rPr>
  </w:style>
  <w:style w:type="paragraph" w:styleId="1121" w:customStyle="1">
    <w:name w:val="Char Char Char"/>
    <w:basedOn w:val="886"/>
    <w:uiPriority w:val="0"/>
    <w:qFormat/>
    <w:rPr>
      <w:rFonts w:ascii="宋体" w:hAnsi="宋体"/>
      <w:b/>
      <w:sz w:val="28"/>
      <w:szCs w:val="28"/>
    </w:rPr>
  </w:style>
  <w:style w:type="paragraph" w:styleId="1122" w:customStyle="1">
    <w:name w:val="Char2"/>
    <w:basedOn w:val="886"/>
    <w:uiPriority w:val="0"/>
    <w:qFormat/>
    <w:pPr>
      <w:jc w:val="left"/>
      <w:spacing w:after="160" w:line="240" w:lineRule="exact"/>
      <w:widowControl/>
    </w:pPr>
    <w:rPr>
      <w:szCs w:val="20"/>
    </w:rPr>
  </w:style>
  <w:style w:type="paragraph" w:styleId="1123" w:customStyle="1">
    <w:name w:val="a"/>
    <w:basedOn w:val="886"/>
    <w:uiPriority w:val="0"/>
    <w:qFormat/>
    <w:pPr>
      <w:jc w:val="left"/>
      <w:spacing w:before="100" w:beforeAutospacing="1" w:after="100" w:afterAutospacing="1"/>
      <w:widowControl/>
    </w:pPr>
    <w:rPr>
      <w:rFonts w:ascii="宋体" w:hAnsi="宋体" w:cs="宋体"/>
      <w:sz w:val="24"/>
    </w:rPr>
  </w:style>
  <w:style w:type="character" w:styleId="1124" w:customStyle="1">
    <w:name w:val="description5"/>
    <w:basedOn w:val="896"/>
    <w:uiPriority w:val="0"/>
    <w:qFormat/>
  </w:style>
  <w:style w:type="character" w:styleId="1125">
    <w:name w:val="Placeholder Text"/>
    <w:uiPriority w:val="99"/>
    <w:semiHidden/>
    <w:qFormat/>
    <w:rPr>
      <w:color w:val="808080"/>
    </w:rPr>
  </w:style>
  <w:style w:type="paragraph" w:styleId="1126" w:customStyle="1">
    <w:name w:val="Table Paragraph"/>
    <w:basedOn w:val="886"/>
    <w:uiPriority w:val="1"/>
    <w:qFormat/>
    <w:pPr>
      <w:jc w:val="left"/>
    </w:pPr>
    <w:rPr>
      <w:sz w:val="24"/>
    </w:rPr>
  </w:style>
  <w:style w:type="character" w:styleId="1127" w:customStyle="1">
    <w:name w:val="Char Char7"/>
    <w:uiPriority w:val="0"/>
    <w:qFormat/>
    <w:rPr>
      <w:rFonts w:ascii="Tahoma" w:hAnsi="Tahoma" w:eastAsia="微软雅黑"/>
      <w:b/>
      <w:bCs/>
      <w:sz w:val="32"/>
      <w:szCs w:val="32"/>
      <w:lang w:val="en-US" w:eastAsia="zh-CN" w:bidi="ar-SA"/>
    </w:rPr>
  </w:style>
  <w:style w:type="character" w:styleId="1128" w:customStyle="1">
    <w:name w:val="font01"/>
    <w:uiPriority w:val="0"/>
    <w:qFormat/>
    <w:rPr>
      <w:rFonts w:hint="eastAsia" w:ascii="宋体" w:hAnsi="宋体" w:eastAsia="宋体" w:cs="宋体"/>
      <w:color w:val="000000"/>
      <w:sz w:val="20"/>
      <w:szCs w:val="20"/>
      <w:u w:val="none"/>
    </w:rPr>
  </w:style>
  <w:style w:type="character" w:styleId="1129" w:customStyle="1">
    <w:name w:val="font81"/>
    <w:uiPriority w:val="0"/>
    <w:qFormat/>
    <w:rPr>
      <w:rFonts w:hint="eastAsia" w:ascii="宋体" w:hAnsi="宋体" w:eastAsia="宋体" w:cs="宋体"/>
      <w:color w:val="000000"/>
      <w:sz w:val="22"/>
      <w:szCs w:val="22"/>
      <w:u w:val="none"/>
    </w:rPr>
  </w:style>
  <w:style w:type="character" w:styleId="1130" w:customStyle="1">
    <w:name w:val="font71"/>
    <w:uiPriority w:val="0"/>
    <w:qFormat/>
    <w:rPr>
      <w:rFonts w:hint="eastAsia" w:ascii="宋体" w:hAnsi="宋体" w:eastAsia="宋体" w:cs="宋体"/>
      <w:color w:val="000000"/>
      <w:sz w:val="22"/>
      <w:szCs w:val="22"/>
      <w:u w:val="none"/>
    </w:rPr>
  </w:style>
  <w:style w:type="character" w:styleId="1131" w:customStyle="1">
    <w:name w:val="font51"/>
    <w:uiPriority w:val="0"/>
    <w:qFormat/>
    <w:rPr>
      <w:rFonts w:hint="default" w:ascii="Calibri" w:hAnsi="Calibri" w:cs="Calibri"/>
      <w:color w:val="000000"/>
      <w:sz w:val="22"/>
      <w:szCs w:val="22"/>
      <w:u w:val="none"/>
    </w:rPr>
  </w:style>
  <w:style w:type="character" w:styleId="1132" w:customStyle="1">
    <w:name w:val="font61"/>
    <w:uiPriority w:val="0"/>
    <w:qFormat/>
    <w:rPr>
      <w:rFonts w:hint="default" w:ascii="Calibri" w:hAnsi="Calibri" w:cs="Calibri"/>
      <w:color w:val="000000"/>
      <w:sz w:val="22"/>
      <w:szCs w:val="22"/>
      <w:u w:val="none"/>
    </w:rPr>
  </w:style>
  <w:style w:type="character" w:styleId="1133" w:customStyle="1">
    <w:name w:val="font41"/>
    <w:uiPriority w:val="0"/>
    <w:qFormat/>
    <w:rPr>
      <w:rFonts w:hint="eastAsia" w:ascii="宋体" w:hAnsi="宋体" w:eastAsia="宋体" w:cs="宋体"/>
      <w:color w:val="000000"/>
      <w:sz w:val="22"/>
      <w:szCs w:val="22"/>
      <w:u w:val="none"/>
    </w:rPr>
  </w:style>
  <w:style w:type="character" w:styleId="1134" w:customStyle="1">
    <w:name w:val="未处理的提及2"/>
    <w:basedOn w:val="896"/>
    <w:uiPriority w:val="99"/>
    <w:semiHidden/>
    <w:unhideWhenUsed/>
    <w:qFormat/>
    <w:rPr>
      <w:color w:val="605e5c"/>
      <w:shd w:val="clear" w:color="auto" w:fill="e1dfdd"/>
    </w:rPr>
  </w:style>
  <w:style w:type="character" w:styleId="1135" w:customStyle="1">
    <w:name w:val="未处理的提及3"/>
    <w:basedOn w:val="896"/>
    <w:uiPriority w:val="99"/>
    <w:semiHidden/>
    <w:unhideWhenUsed/>
    <w:qFormat/>
    <w:rPr>
      <w:color w:val="605e5c"/>
      <w:shd w:val="clear" w:color="auto" w:fill="e1dfdd"/>
    </w:rPr>
  </w:style>
  <w:style w:type="paragraph" w:styleId="1136" w:customStyle="1">
    <w:name w:val="_Style 234"/>
    <w:basedOn w:val="886"/>
    <w:next w:val="957"/>
    <w:uiPriority w:val="34"/>
    <w:qFormat/>
    <w:pPr>
      <w:ind w:left="420" w:firstLine="420"/>
      <w:spacing w:line="400" w:lineRule="exact"/>
    </w:pPr>
    <w:rPr>
      <w:rFonts w:ascii="Calibri" w:hAnsi="Calibri"/>
    </w:rPr>
  </w:style>
  <w:style w:type="character" w:styleId="1137" w:customStyle="1">
    <w:name w:val="列出段落 字符"/>
    <w:link w:val="957"/>
    <w:uiPriority w:val="99"/>
    <w:qFormat/>
    <w:rPr>
      <w:sz w:val="21"/>
      <w:szCs w:val="24"/>
    </w:rPr>
  </w:style>
  <w:style w:type="character" w:styleId="1138" w:customStyle="1">
    <w:name w:val="彩色列表 - 强调文字颜色 1字符"/>
    <w:uiPriority w:val="34"/>
    <w:qFormat/>
    <w:rPr>
      <w:rFonts w:ascii="Calibri" w:hAnsi="Calibri"/>
      <w:sz w:val="21"/>
      <w:szCs w:val="24"/>
    </w:rPr>
  </w:style>
  <w:style w:type="character" w:styleId="1139" w:customStyle="1">
    <w:name w:val="批注主题 字符1"/>
    <w:basedOn w:val="1091"/>
    <w:uiPriority w:val="99"/>
    <w:semiHidden/>
    <w:qFormat/>
    <w:rPr>
      <w:rFonts w:ascii="Calibri" w:hAnsi="Calibri" w:eastAsia="宋体" w:cs="Times New Roman"/>
      <w:b/>
      <w:bCs/>
      <w:sz w:val="24"/>
      <w:szCs w:val="24"/>
    </w:rPr>
  </w:style>
  <w:style w:type="character" w:styleId="1140" w:customStyle="1">
    <w:name w:val="正文文本缩进 2 字符1"/>
    <w:basedOn w:val="896"/>
    <w:uiPriority w:val="99"/>
    <w:semiHidden/>
    <w:qFormat/>
    <w:rPr>
      <w:rFonts w:ascii="Calibri" w:hAnsi="Calibri" w:eastAsia="宋体" w:cs="Times New Roman"/>
      <w:szCs w:val="24"/>
    </w:rPr>
  </w:style>
  <w:style w:type="character" w:styleId="1141" w:customStyle="1">
    <w:name w:val="标题 字符1"/>
    <w:basedOn w:val="896"/>
    <w:uiPriority w:val="10"/>
    <w:qFormat/>
    <w:rPr>
      <w:rFonts w:asciiTheme="majorHAnsi" w:hAnsiTheme="majorHAnsi" w:eastAsiaTheme="majorEastAsia" w:cstheme="majorBidi"/>
      <w:b/>
      <w:bCs/>
      <w:sz w:val="32"/>
      <w:szCs w:val="32"/>
    </w:rPr>
  </w:style>
  <w:style w:type="character" w:styleId="1142" w:customStyle="1">
    <w:name w:val="正文文本缩进 字符1"/>
    <w:basedOn w:val="896"/>
    <w:uiPriority w:val="99"/>
    <w:semiHidden/>
    <w:qFormat/>
    <w:rPr>
      <w:rFonts w:ascii="Calibri" w:hAnsi="Calibri" w:eastAsia="宋体" w:cs="Times New Roman"/>
      <w:szCs w:val="24"/>
    </w:rPr>
  </w:style>
  <w:style w:type="character" w:styleId="1143" w:customStyle="1">
    <w:name w:val="副标题 字符1"/>
    <w:basedOn w:val="896"/>
    <w:uiPriority w:val="11"/>
    <w:qFormat/>
    <w:rPr>
      <w:b/>
      <w:bCs/>
      <w:sz w:val="32"/>
      <w:szCs w:val="32"/>
    </w:rPr>
  </w:style>
  <w:style w:type="character" w:styleId="1144" w:customStyle="1">
    <w:name w:val="日期 字符1"/>
    <w:basedOn w:val="896"/>
    <w:uiPriority w:val="99"/>
    <w:semiHidden/>
    <w:qFormat/>
    <w:rPr>
      <w:rFonts w:ascii="Calibri" w:hAnsi="Calibri" w:eastAsia="宋体" w:cs="Times New Roman"/>
      <w:szCs w:val="24"/>
    </w:rPr>
  </w:style>
  <w:style w:type="paragraph" w:styleId="1145" w:customStyle="1">
    <w:name w:val="修订2"/>
    <w:uiPriority w:val="99"/>
    <w:unhideWhenUsed/>
    <w:qFormat/>
    <w:rPr>
      <w:rFonts w:ascii="Calibri" w:hAnsi="Calibri" w:eastAsia="宋体" w:cs="Times New Roman"/>
      <w:sz w:val="21"/>
      <w:szCs w:val="24"/>
      <w:lang w:val="en-US" w:eastAsia="zh-CN" w:bidi="ar-SA"/>
    </w:rPr>
  </w:style>
  <w:style w:type="character" w:styleId="1146" w:customStyle="1">
    <w:name w:val="正文文本 字符1"/>
    <w:basedOn w:val="896"/>
    <w:uiPriority w:val="99"/>
    <w:semiHidden/>
    <w:qFormat/>
    <w:rPr>
      <w:rFonts w:ascii="Calibri" w:hAnsi="Calibri" w:eastAsia="宋体" w:cs="Times New Roman"/>
      <w:szCs w:val="24"/>
    </w:rPr>
  </w:style>
  <w:style w:type="character" w:styleId="1147" w:customStyle="1">
    <w:name w:val="批注框文本 字符1"/>
    <w:basedOn w:val="896"/>
    <w:uiPriority w:val="99"/>
    <w:semiHidden/>
    <w:qFormat/>
    <w:rPr>
      <w:rFonts w:ascii="Calibri" w:hAnsi="Calibri" w:eastAsia="宋体" w:cs="Times New Roman"/>
      <w:sz w:val="18"/>
      <w:szCs w:val="18"/>
    </w:rPr>
  </w:style>
  <w:style w:type="paragraph" w:styleId="1148" w:customStyle="1">
    <w:name w:val="小四 段落 宋体 Char Char Char"/>
    <w:basedOn w:val="900"/>
    <w:uiPriority w:val="0"/>
    <w:qFormat/>
    <w:pPr>
      <w:numPr>
        <w:ilvl w:val="0"/>
        <w:numId w:val="0"/>
      </w:numPr>
      <w:ind w:right="-33" w:firstLine="480"/>
      <w:jc w:val="left"/>
      <w:spacing w:line="360" w:lineRule="auto"/>
    </w:pPr>
    <w:rPr>
      <w:rFonts w:ascii="Times New Roman" w:hAnsi="Times New Roman"/>
      <w:sz w:val="24"/>
      <w:szCs w:val="20"/>
    </w:rPr>
  </w:style>
  <w:style w:type="character" w:styleId="1149" w:customStyle="1">
    <w:name w:val="纯文本 字符1"/>
    <w:basedOn w:val="896"/>
    <w:uiPriority w:val="99"/>
    <w:semiHidden/>
    <w:qFormat/>
    <w:rPr>
      <w:rFonts w:hAnsi="Courier New" w:cs="Courier New" w:asciiTheme="minorEastAsia"/>
      <w:szCs w:val="24"/>
    </w:rPr>
  </w:style>
  <w:style w:type="character" w:styleId="1150" w:customStyle="1">
    <w:name w:val="文档结构图 字符1"/>
    <w:basedOn w:val="896"/>
    <w:uiPriority w:val="99"/>
    <w:semiHidden/>
    <w:qFormat/>
    <w:rPr>
      <w:rFonts w:ascii="Microsoft YaHei UI" w:hAnsi="Calibri" w:eastAsia="Microsoft YaHei UI" w:cs="Times New Roman"/>
      <w:sz w:val="18"/>
      <w:szCs w:val="18"/>
    </w:rPr>
  </w:style>
  <w:style w:type="character" w:styleId="1151" w:customStyle="1">
    <w:name w:val="正文文本 3 字符1"/>
    <w:basedOn w:val="896"/>
    <w:uiPriority w:val="99"/>
    <w:semiHidden/>
    <w:qFormat/>
    <w:rPr>
      <w:rFonts w:ascii="Calibri" w:hAnsi="Calibri" w:eastAsia="宋体" w:cs="Times New Roman"/>
      <w:sz w:val="16"/>
      <w:szCs w:val="16"/>
    </w:rPr>
  </w:style>
  <w:style w:type="paragraph" w:styleId="1152" w:customStyle="1">
    <w:name w:val="_Style 106"/>
    <w:basedOn w:val="886"/>
    <w:next w:val="957"/>
    <w:uiPriority w:val="34"/>
    <w:qFormat/>
    <w:pPr>
      <w:ind w:left="420" w:firstLine="420"/>
      <w:spacing w:line="400" w:lineRule="exact"/>
    </w:pPr>
    <w:rPr>
      <w:rFonts w:ascii="Calibri" w:hAnsi="Calibri"/>
    </w:rPr>
  </w:style>
  <w:style w:type="character" w:styleId="1153" w:customStyle="1">
    <w:name w:val="正文文本缩进 3 字符1"/>
    <w:basedOn w:val="896"/>
    <w:uiPriority w:val="99"/>
    <w:semiHidden/>
    <w:qFormat/>
    <w:rPr>
      <w:rFonts w:ascii="Calibri" w:hAnsi="Calibri" w:eastAsia="宋体" w:cs="Times New Roman"/>
      <w:sz w:val="16"/>
      <w:szCs w:val="16"/>
    </w:rPr>
  </w:style>
  <w:style w:type="character" w:styleId="1154" w:customStyle="1">
    <w:name w:val="未处理的提及4"/>
    <w:basedOn w:val="896"/>
    <w:uiPriority w:val="99"/>
    <w:semiHidden/>
    <w:unhideWhenUsed/>
    <w:qFormat/>
    <w:rPr>
      <w:color w:val="605e5c"/>
      <w:shd w:val="clear" w:color="auto" w:fill="e1dfdd"/>
    </w:rPr>
  </w:style>
  <w:style w:type="character" w:styleId="1155" w:customStyle="1">
    <w:name w:val="未处理的提及5"/>
    <w:basedOn w:val="896"/>
    <w:uiPriority w:val="99"/>
    <w:semiHidden/>
    <w:unhideWhenUsed/>
    <w:qFormat/>
    <w:rPr>
      <w:color w:val="605e5c"/>
      <w:shd w:val="clear" w:color="auto" w:fill="e1dfdd"/>
    </w:rPr>
  </w:style>
  <w:style w:type="character" w:styleId="1156" w:customStyle="1">
    <w:name w:val="未处理的提及6"/>
    <w:basedOn w:val="896"/>
    <w:uiPriority w:val="99"/>
    <w:semiHidden/>
    <w:unhideWhenUsed/>
    <w:qFormat/>
    <w:rPr>
      <w:color w:val="605e5c"/>
      <w:shd w:val="clear" w:color="auto" w:fill="e1dfdd"/>
    </w:rPr>
  </w:style>
  <w:style w:type="character" w:styleId="1157" w:customStyle="1">
    <w:name w:val="font101"/>
    <w:uiPriority w:val="0"/>
    <w:qFormat/>
    <w:rPr>
      <w:rFonts w:ascii="PingFangTC-light" w:hAnsi="PingFangTC-light" w:eastAsia="PingFangTC-light" w:cs="PingFangTC-light"/>
      <w:color w:val="ff0000"/>
      <w:sz w:val="22"/>
      <w:szCs w:val="22"/>
      <w:u w:val="none"/>
    </w:rPr>
  </w:style>
  <w:style w:type="character" w:styleId="1158" w:customStyle="1">
    <w:name w:val="font112"/>
    <w:uiPriority w:val="0"/>
    <w:qFormat/>
    <w:rPr>
      <w:rFonts w:ascii="Calibri" w:hAnsi="Calibri" w:cs="Calibri"/>
      <w:color w:val="ff0000"/>
      <w:sz w:val="21"/>
      <w:szCs w:val="21"/>
      <w:u w:val="none"/>
    </w:rPr>
  </w:style>
  <w:style w:type="character" w:styleId="1159" w:customStyle="1">
    <w:name w:val="font121"/>
    <w:uiPriority w:val="0"/>
    <w:qFormat/>
    <w:rPr>
      <w:rFonts w:hint="eastAsia" w:ascii="宋体" w:hAnsi="宋体" w:eastAsia="宋体" w:cs="宋体"/>
      <w:color w:val="000000"/>
      <w:sz w:val="20"/>
      <w:szCs w:val="20"/>
      <w:u w:val="none"/>
    </w:rPr>
  </w:style>
  <w:style w:type="character" w:styleId="1160" w:customStyle="1">
    <w:name w:val="纯文本 Char"/>
    <w:uiPriority w:val="0"/>
    <w:qFormat/>
    <w:rPr>
      <w:rFonts w:ascii="宋体" w:hAnsi="Courier New" w:eastAsia="宋体" w:cs="Courier New"/>
      <w:szCs w:val="21"/>
    </w:rPr>
  </w:style>
  <w:style w:type="character" w:styleId="1161" w:customStyle="1">
    <w:name w:val="NormalCharacter"/>
    <w:uiPriority w:val="0"/>
    <w:qFormat/>
    <w:rPr>
      <w:rFonts w:ascii="Times New Roman" w:hAnsi="Times New Roman" w:eastAsia="宋体" w:cs="Times New Roman"/>
      <w:sz w:val="21"/>
      <w:szCs w:val="22"/>
      <w:lang w:val="en-US" w:eastAsia="zh-CN" w:bidi="ar-SA"/>
    </w:rPr>
  </w:style>
  <w:style w:type="paragraph" w:styleId="1162" w:customStyle="1">
    <w:name w:val="样式 宋体 五号 行距: 单倍行距"/>
    <w:basedOn w:val="886"/>
    <w:uiPriority w:val="0"/>
    <w:qFormat/>
    <w:pPr>
      <w:jc w:val="left"/>
    </w:pPr>
    <w:rPr>
      <w:rFonts w:ascii="宋体" w:hAnsi="宋体"/>
      <w:szCs w:val="20"/>
    </w:rPr>
  </w:style>
  <w:style w:type="paragraph" w:styleId="1163" w:customStyle="1">
    <w:name w:val="列表段落1"/>
    <w:basedOn w:val="886"/>
    <w:uiPriority w:val="99"/>
    <w:qFormat/>
    <w:pPr>
      <w:ind w:firstLine="420"/>
    </w:pPr>
    <w:rPr>
      <w:szCs w:val="20"/>
    </w:rPr>
  </w:style>
  <w:style w:type="character" w:styleId="1164" w:customStyle="1">
    <w:name w:val="fontstyle31"/>
    <w:uiPriority w:val="0"/>
    <w:qFormat/>
    <w:rPr>
      <w:rFonts w:hint="default" w:ascii="TimesNewRomanPS-BoldMT" w:hAnsi="TimesNewRomanPS-BoldMT"/>
      <w:b/>
      <w:bCs/>
      <w:color w:val="000000"/>
      <w:sz w:val="22"/>
      <w:szCs w:val="22"/>
    </w:rPr>
  </w:style>
  <w:style w:type="paragraph" w:styleId="1165"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166"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167"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168" w:customStyle="1">
    <w:name w:val="招标"/>
    <w:basedOn w:val="886"/>
    <w:uiPriority w:val="0"/>
    <w:qFormat/>
    <w:pPr>
      <w:ind w:firstLine="420"/>
      <w:jc w:val="left"/>
      <w:spacing w:line="400" w:lineRule="exact"/>
    </w:pPr>
    <w:rPr>
      <w:rFonts w:ascii="宋体" w:hAnsi="宋体"/>
    </w:rPr>
  </w:style>
  <w:style w:type="paragraph" w:styleId="1169"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70" w:customStyle="1">
    <w:name w:val="二级目录"/>
    <w:next w:val="886"/>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171"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72"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173" w:customStyle="1">
    <w:name w:val="修订6"/>
    <w:hidden/>
    <w:uiPriority w:val="99"/>
    <w:unhideWhenUsed/>
    <w:qFormat/>
    <w:rPr>
      <w:rFonts w:ascii="Times New Roman" w:hAnsi="Times New Roman" w:eastAsia="宋体" w:cs="Times New Roman"/>
      <w:sz w:val="21"/>
      <w:szCs w:val="24"/>
      <w:lang w:val="en-US" w:eastAsia="zh-CN" w:bidi="ar-SA"/>
    </w:rPr>
  </w:style>
  <w:style w:type="paragraph" w:styleId="1174" w:customStyle="1">
    <w:name w:val="首行缩进"/>
    <w:basedOn w:val="886"/>
    <w:uiPriority w:val="0"/>
    <w:qFormat/>
    <w:pPr>
      <w:ind w:firstLine="480"/>
    </w:pPr>
    <w:rPr>
      <w:lang w:val="zh-CN"/>
    </w:rPr>
  </w:style>
  <w:style w:type="paragraph" w:styleId="1175" w:customStyle="1">
    <w:name w:val="列表段落2"/>
    <w:basedOn w:val="886"/>
    <w:uiPriority w:val="1"/>
    <w:qFormat/>
    <w:pPr>
      <w:ind w:firstLine="420"/>
    </w:p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5F62980-D2CB-468E-828F-502F369088EB}"/>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45</cp:revision>
  <dcterms:created xsi:type="dcterms:W3CDTF">2026-04-24T07:10:00Z</dcterms:created>
  <dcterms:modified xsi:type="dcterms:W3CDTF">2026-10-14T08:11:48Z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EFEA0EE065714C18A2652DFB2CD8CA19_13</vt:lpwstr>
  </property>
  <property fmtid="{D5CDD505-2E9C-101B-9397-08002B2CF9AE}" pid="4" name="KSOTemplateDocerSaveRecord">
    <vt:lpwstr>eyJoZGlkIjoiMzEwNTM5NzYwMDRjMzkwZTVkZjY2ODkwMGIxNGU0OTUiLCJ1c2VySWQiOiI0OTA5NzUwMTIifQ==</vt:lpwstr>
  </property>
</Properties>
</file>