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03"/>
        <w:spacing w:line="360" w:lineRule="auto"/>
        <w:rPr>
          <w:rFonts w:hint="eastAsia" w:ascii="宋体" w:hAnsi="宋体" w:cs="宋体"/>
          <w:b/>
          <w:bCs/>
          <w:color w:val="0000ff"/>
          <w:spacing w:val="40"/>
          <w:sz w:val="32"/>
          <w:szCs w:val="32"/>
          <w:highlight w:val="none"/>
        </w:rPr>
      </w:pPr>
      <w:r>
        <w:rPr>
          <w:rFonts w:hint="eastAsia" w:ascii="宋体" w:hAnsi="宋体" w:cs="宋体"/>
          <w:b/>
          <w:bCs/>
          <w:color w:val="0000ff"/>
          <w:spacing w:val="40"/>
          <w:sz w:val="32"/>
          <w:szCs w:val="32"/>
          <w:highlight w:val="none"/>
        </w:rPr>
      </w:r>
      <w:r/>
    </w:p>
    <w:p>
      <w:pPr>
        <w:ind w:firstLine="803"/>
        <w:spacing w:line="360" w:lineRule="auto"/>
        <w:rPr>
          <w:rFonts w:hint="eastAsia" w:ascii="宋体" w:hAnsi="宋体" w:cs="宋体"/>
          <w:b/>
          <w:bCs/>
          <w:color w:val="0000ff"/>
          <w:spacing w:val="40"/>
          <w:sz w:val="32"/>
          <w:szCs w:val="32"/>
          <w:highlight w:val="none"/>
        </w:rPr>
      </w:pPr>
      <w:r>
        <w:rPr>
          <w:rFonts w:hint="eastAsia" w:ascii="宋体" w:hAnsi="宋体" w:cs="宋体"/>
          <w:b/>
          <w:bCs/>
          <w:color w:val="0000ff"/>
          <w:spacing w:val="40"/>
          <w:sz w:val="32"/>
          <w:szCs w:val="32"/>
          <w:highlight w:val="none"/>
        </w:rPr>
      </w:r>
      <w:r/>
    </w:p>
    <w:p>
      <w:pPr>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南京市公安局江宁分局采购机房空调、</w:t>
      </w:r>
      <w:r/>
    </w:p>
    <w:p>
      <w:pPr>
        <w:jc w:val="center"/>
        <w:spacing w:line="360" w:lineRule="auto"/>
        <w:rPr>
          <w:rFonts w:hint="eastAsia" w:ascii="宋体" w:hAnsi="宋体" w:cs="宋体"/>
          <w:sz w:val="52"/>
          <w:szCs w:val="52"/>
          <w:highlight w:val="none"/>
        </w:rPr>
      </w:pPr>
      <w:r>
        <w:rPr>
          <w:rFonts w:hint="eastAsia" w:ascii="宋体" w:hAnsi="宋体" w:cs="宋体"/>
          <w:b/>
          <w:color w:val="000000"/>
          <w:sz w:val="52"/>
          <w:szCs w:val="52"/>
          <w:highlight w:val="none"/>
        </w:rPr>
        <w:t xml:space="preserve">机柜等设备</w:t>
      </w:r>
      <w:r/>
    </w:p>
    <w:p>
      <w:pPr>
        <w:ind w:firstLine="723"/>
        <w:jc w:val="center"/>
        <w:spacing w:line="360" w:lineRule="auto"/>
        <w:rPr>
          <w:rFonts w:hint="eastAsia" w:ascii="宋体" w:hAnsi="宋体" w:cs="宋体"/>
          <w:highlight w:val="none"/>
        </w:rPr>
      </w:pPr>
      <w:r>
        <w:rPr>
          <w:rFonts w:hint="eastAsia" w:ascii="宋体" w:hAnsi="宋体" w:cs="宋体"/>
          <w:b/>
          <w:color w:val="000000"/>
          <w:sz w:val="36"/>
          <w:highlight w:val="none"/>
        </w:rPr>
        <w:t xml:space="preserve"> </w:t>
      </w:r>
      <w:r/>
    </w:p>
    <w:p>
      <w:pPr>
        <w:ind w:firstLine="1446"/>
        <w:jc w:val="center"/>
        <w:spacing w:line="360" w:lineRule="auto"/>
        <w:rPr>
          <w:rFonts w:hint="eastAsia" w:ascii="宋体" w:hAnsi="宋体" w:cs="宋体"/>
          <w:sz w:val="72"/>
          <w:szCs w:val="72"/>
          <w:highlight w:val="none"/>
        </w:rPr>
      </w:pPr>
      <w:r>
        <w:rPr>
          <w:rFonts w:hint="eastAsia" w:ascii="宋体" w:hAnsi="宋体" w:cs="宋体"/>
          <w:b/>
          <w:color w:val="000000"/>
          <w:sz w:val="72"/>
          <w:szCs w:val="72"/>
          <w:highlight w:val="none"/>
        </w:rPr>
        <w:t xml:space="preserve"> </w:t>
      </w:r>
      <w:r/>
    </w:p>
    <w:p>
      <w:pPr>
        <w:jc w:val="center"/>
        <w:spacing w:line="360" w:lineRule="auto"/>
        <w:rPr>
          <w:rFonts w:hint="eastAsia" w:ascii="宋体" w:hAnsi="宋体" w:cs="宋体"/>
          <w:sz w:val="72"/>
          <w:szCs w:val="72"/>
          <w:highlight w:val="none"/>
        </w:rPr>
      </w:pPr>
      <w:r>
        <w:rPr>
          <w:rFonts w:hint="eastAsia" w:ascii="宋体" w:hAnsi="宋体" w:cs="宋体"/>
          <w:b/>
          <w:color w:val="000000"/>
          <w:sz w:val="72"/>
          <w:szCs w:val="72"/>
          <w:highlight w:val="none"/>
        </w:rPr>
        <w:t xml:space="preserve">招标文件</w:t>
      </w:r>
      <w:r/>
    </w:p>
    <w:p>
      <w:pPr>
        <w:ind w:firstLine="723"/>
        <w:spacing w:line="360" w:lineRule="auto"/>
        <w:rPr>
          <w:rFonts w:hint="eastAsia" w:ascii="宋体" w:hAnsi="宋体" w:cs="宋体"/>
          <w:highlight w:val="none"/>
        </w:rPr>
      </w:pPr>
      <w:r>
        <w:rPr>
          <w:rFonts w:hint="eastAsia" w:ascii="宋体" w:hAnsi="宋体" w:cs="宋体"/>
          <w:b/>
          <w:color w:val="000000"/>
          <w:sz w:val="36"/>
          <w:highlight w:val="none"/>
        </w:rPr>
        <w:t xml:space="preserve"> </w:t>
      </w:r>
      <w:r/>
    </w:p>
    <w:p>
      <w:pPr>
        <w:ind w:firstLine="723"/>
        <w:jc w:val="center"/>
        <w:spacing w:line="360" w:lineRule="auto"/>
        <w:rPr>
          <w:rFonts w:hint="eastAsia" w:ascii="宋体" w:hAnsi="宋体" w:cs="宋体"/>
          <w:highlight w:val="none"/>
        </w:rPr>
      </w:pPr>
      <w:r>
        <w:rPr>
          <w:rFonts w:hint="eastAsia" w:ascii="宋体" w:hAnsi="宋体" w:cs="宋体"/>
          <w:b/>
          <w:color w:val="000000"/>
          <w:sz w:val="36"/>
          <w:highlight w:val="none"/>
        </w:rPr>
        <w:t xml:space="preserve">项目编号：JSZC-320115-YYHH-G2026-0003</w:t>
      </w:r>
      <w:r>
        <w:rPr>
          <w:rFonts w:hint="eastAsia" w:ascii="宋体" w:hAnsi="宋体" w:cs="宋体"/>
          <w:b/>
          <w:color w:val="000000"/>
          <w:sz w:val="36"/>
          <w:highlight w:val="none"/>
        </w:rPr>
        <w:tab/>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ind w:firstLine="723"/>
        <w:spacing w:line="360" w:lineRule="auto"/>
        <w:rPr>
          <w:rFonts w:hint="eastAsia" w:ascii="宋体" w:hAnsi="宋体" w:cs="宋体"/>
          <w:highlight w:val="none"/>
        </w:rPr>
      </w:pPr>
      <w:r>
        <w:rPr>
          <w:rFonts w:hint="eastAsia" w:ascii="宋体" w:hAnsi="宋体" w:cs="宋体"/>
          <w:b/>
          <w:color w:val="000000"/>
          <w:sz w:val="36"/>
          <w:highlight w:val="none"/>
        </w:rPr>
        <w:t xml:space="preserve"> </w:t>
      </w:r>
      <w:r/>
    </w:p>
    <w:p>
      <w:pPr>
        <w:ind w:firstLine="723"/>
        <w:spacing w:line="360" w:lineRule="auto"/>
        <w:rPr>
          <w:rFonts w:hint="eastAsia" w:ascii="宋体" w:hAnsi="宋体" w:cs="宋体"/>
          <w:highlight w:val="none"/>
        </w:rPr>
      </w:pPr>
      <w:r>
        <w:rPr>
          <w:rFonts w:hint="eastAsia" w:ascii="宋体" w:hAnsi="宋体" w:cs="宋体"/>
          <w:b/>
          <w:color w:val="000000"/>
          <w:sz w:val="36"/>
          <w:highlight w:val="none"/>
        </w:rPr>
        <w:t xml:space="preserve">  </w:t>
      </w:r>
      <w:r/>
    </w:p>
    <w:p>
      <w:pPr>
        <w:ind w:right="6" w:firstLine="720"/>
        <w:jc w:val="center"/>
        <w:spacing w:line="360" w:lineRule="auto"/>
        <w:rPr>
          <w:rFonts w:hint="eastAsia" w:ascii="宋体" w:hAnsi="宋体" w:cs="宋体"/>
          <w:sz w:val="36"/>
          <w:highlight w:val="none"/>
        </w:rPr>
      </w:pPr>
      <w:r>
        <w:rPr>
          <w:rFonts w:hint="eastAsia" w:ascii="宋体" w:hAnsi="宋体" w:cs="宋体"/>
          <w:sz w:val="36"/>
          <w:highlight w:val="none"/>
        </w:rPr>
        <w:t xml:space="preserve">南京市公安局江宁分局</w:t>
      </w:r>
      <w:r/>
    </w:p>
    <w:p>
      <w:pPr>
        <w:ind w:right="6" w:firstLine="720"/>
        <w:jc w:val="center"/>
        <w:spacing w:line="360" w:lineRule="auto"/>
        <w:rPr>
          <w:rFonts w:hint="eastAsia" w:ascii="宋体" w:hAnsi="宋体" w:cs="宋体"/>
          <w:b/>
          <w:sz w:val="36"/>
          <w:highlight w:val="none"/>
        </w:rPr>
      </w:pPr>
      <w:r>
        <w:rPr>
          <w:rFonts w:hint="eastAsia" w:ascii="宋体" w:hAnsi="宋体" w:cs="宋体"/>
          <w:sz w:val="36"/>
          <w:highlight w:val="none"/>
        </w:rPr>
        <w:t xml:space="preserve">江苏永和工程管理咨询有限公司</w:t>
      </w:r>
      <w:r/>
    </w:p>
    <w:p>
      <w:pPr>
        <w:ind w:right="6" w:firstLine="723"/>
        <w:jc w:val="center"/>
        <w:spacing w:line="360" w:lineRule="auto"/>
        <w:rPr>
          <w:rFonts w:hint="eastAsia" w:ascii="宋体" w:hAnsi="宋体" w:cs="宋体"/>
          <w:b/>
          <w:sz w:val="36"/>
          <w:highlight w:val="none"/>
        </w:rPr>
      </w:pPr>
      <w:r>
        <w:rPr>
          <w:rFonts w:hint="eastAsia" w:ascii="宋体" w:hAnsi="宋体" w:cs="宋体"/>
          <w:b/>
          <w:sz w:val="36"/>
          <w:highlight w:val="none"/>
        </w:rPr>
        <w:t xml:space="preserve"> 二〇二六年十月</w:t>
      </w:r>
      <w:r/>
    </w:p>
    <w:p>
      <w:pPr>
        <w:ind w:right="6" w:firstLine="723"/>
        <w:jc w:val="center"/>
        <w:spacing w:line="360" w:lineRule="auto"/>
        <w:rPr>
          <w:rFonts w:hint="eastAsia" w:ascii="宋体" w:hAnsi="宋体" w:cs="宋体"/>
          <w:b/>
          <w:sz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0" w:h="16838" w:orient="portrait"/>
          <w:pgMar w:top="1440" w:right="1134" w:bottom="1440" w:left="1134" w:header="0" w:footer="0" w:gutter="0"/>
          <w:cols w:num="1" w:sep="0" w:space="0" w:equalWidth="1"/>
          <w:docGrid w:linePitch="360"/>
        </w:sectPr>
      </w:pPr>
      <w:r>
        <w:rPr>
          <w:rFonts w:hint="eastAsia" w:ascii="宋体" w:hAnsi="宋体" w:cs="宋体"/>
          <w:b/>
          <w:sz w:val="36"/>
          <w:highlight w:val="none"/>
        </w:rPr>
      </w:r>
      <w:r/>
    </w:p>
    <w:p>
      <w:pPr>
        <w:ind w:firstLine="883"/>
        <w:spacing w:line="360" w:lineRule="auto"/>
        <w:rPr>
          <w:rFonts w:hint="eastAsia" w:ascii="宋体" w:hAnsi="宋体" w:cs="宋体"/>
          <w:highlight w:val="none"/>
        </w:rPr>
      </w:pPr>
      <w:r>
        <w:rPr>
          <w:rFonts w:hint="eastAsia" w:ascii="宋体" w:hAnsi="宋体" w:cs="宋体"/>
          <w:b/>
          <w:color w:val="000000"/>
          <w:spacing w:val="40"/>
          <w:sz w:val="36"/>
          <w:highlight w:val="none"/>
        </w:rPr>
        <w:t xml:space="preserve"> </w:t>
      </w:r>
      <w:r/>
    </w:p>
    <w:p>
      <w:pPr>
        <w:ind w:firstLine="643"/>
        <w:jc w:val="center"/>
        <w:spacing w:line="360" w:lineRule="auto"/>
        <w:rPr>
          <w:rFonts w:hint="eastAsia" w:ascii="宋体" w:hAnsi="宋体" w:cs="宋体"/>
          <w:highlight w:val="none"/>
        </w:rPr>
      </w:pPr>
      <w:r>
        <w:rPr>
          <w:rFonts w:hint="eastAsia" w:ascii="宋体" w:hAnsi="宋体" w:cs="宋体"/>
          <w:b/>
          <w:color w:val="000000"/>
          <w:sz w:val="32"/>
          <w:highlight w:val="none"/>
        </w:rPr>
        <w:t xml:space="preserve">目 录</w:t>
      </w:r>
      <w:r/>
    </w:p>
    <w:p>
      <w:pPr>
        <w:pStyle w:val="845"/>
        <w:ind w:firstLine="480"/>
        <w:spacing w:line="360" w:lineRule="auto"/>
        <w:tabs>
          <w:tab w:val="right" w:pos="8296" w:leader="dot"/>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"1-2"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"_Toc193678611" </w:instrText>
      </w:r>
      <w:r>
        <w:rPr>
          <w:highlight w:val="none"/>
        </w:rPr>
        <w:fldChar w:fldCharType="separate"/>
      </w:r>
      <w:r>
        <w:rPr>
          <w:rStyle w:val="869"/>
          <w:rFonts w:hint="eastAsia" w:ascii="宋体" w:hAnsi="宋体" w:cs="宋体"/>
          <w:b/>
          <w:sz w:val="24"/>
          <w:highlight w:val="none"/>
        </w:rPr>
        <w:t xml:space="preserve">第一章  投标邀请</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_Toc193678611 \h </w:instrText>
      </w:r>
      <w:r>
        <w:rPr>
          <w:rFonts w:hint="eastAsia" w:ascii="宋体" w:hAnsi="宋体" w:cs="宋体"/>
          <w:sz w:val="24"/>
          <w:highlight w:val="none"/>
        </w:rPr>
        <w:fldChar w:fldCharType="separate"/>
      </w:r>
      <w:r>
        <w:rPr>
          <w:rFonts w:hint="eastAsia" w:ascii="宋体" w:hAnsi="宋体" w:cs="宋体"/>
          <w:sz w:val="24"/>
          <w:highlight w:val="none"/>
        </w:rPr>
        <w:t xml:space="preserve">3</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845"/>
        <w:ind w:firstLine="420"/>
        <w:spacing w:line="360" w:lineRule="auto"/>
        <w:tabs>
          <w:tab w:val="right" w:pos="8296" w:leader="dot"/>
        </w:tabs>
        <w:rPr>
          <w:rFonts w:hint="eastAsia" w:ascii="宋体" w:hAnsi="宋体" w:cs="宋体"/>
          <w:sz w:val="24"/>
          <w:highlight w:val="none"/>
        </w:rPr>
      </w:pPr>
      <w:r>
        <w:rPr>
          <w:highlight w:val="none"/>
        </w:rPr>
        <w:fldChar w:fldCharType="begin"/>
      </w:r>
      <w:r>
        <w:rPr>
          <w:highlight w:val="none"/>
        </w:rPr>
        <w:instrText xml:space="preserve"> HYPERLINK \l "_Toc193678620" </w:instrText>
      </w:r>
      <w:r>
        <w:rPr>
          <w:highlight w:val="none"/>
        </w:rPr>
        <w:fldChar w:fldCharType="separate"/>
      </w:r>
      <w:r>
        <w:rPr>
          <w:rStyle w:val="869"/>
          <w:rFonts w:hint="eastAsia" w:ascii="宋体" w:hAnsi="宋体" w:cs="宋体"/>
          <w:b/>
          <w:sz w:val="24"/>
          <w:highlight w:val="none"/>
        </w:rPr>
        <w:t xml:space="preserve">第二章  投标人须知</w:t>
      </w:r>
      <w:r>
        <w:rPr>
          <w:rFonts w:hint="eastAsia" w:ascii="宋体" w:hAnsi="宋体" w:cs="宋体"/>
          <w:sz w:val="24"/>
          <w:highlight w:val="none"/>
        </w:rPr>
        <w:tab/>
      </w:r>
      <w:r>
        <w:rPr>
          <w:rFonts w:hint="eastAsia" w:ascii="宋体" w:hAnsi="宋体" w:cs="宋体"/>
          <w:sz w:val="24"/>
          <w:highlight w:val="none"/>
        </w:rPr>
        <w:t xml:space="preserve">7</w:t>
      </w:r>
      <w:r>
        <w:rPr>
          <w:rFonts w:hint="eastAsia" w:ascii="宋体" w:hAnsi="宋体" w:cs="宋体"/>
          <w:sz w:val="24"/>
          <w:highlight w:val="none"/>
        </w:rPr>
        <w:fldChar w:fldCharType="end"/>
      </w:r>
      <w:r/>
    </w:p>
    <w:p>
      <w:pPr>
        <w:pStyle w:val="845"/>
        <w:ind w:firstLine="420"/>
        <w:spacing w:line="360" w:lineRule="auto"/>
        <w:tabs>
          <w:tab w:val="right" w:pos="8296" w:leader="dot"/>
        </w:tabs>
        <w:rPr>
          <w:rFonts w:hint="eastAsia" w:ascii="宋体" w:hAnsi="宋体" w:cs="宋体"/>
          <w:sz w:val="24"/>
          <w:highlight w:val="none"/>
        </w:rPr>
      </w:pPr>
      <w:r>
        <w:rPr>
          <w:highlight w:val="none"/>
        </w:rPr>
        <w:fldChar w:fldCharType="begin"/>
      </w:r>
      <w:r>
        <w:rPr>
          <w:highlight w:val="none"/>
        </w:rPr>
        <w:instrText xml:space="preserve"> HYPERLINK \l "_Toc193678628" </w:instrText>
      </w:r>
      <w:r>
        <w:rPr>
          <w:highlight w:val="none"/>
        </w:rPr>
        <w:fldChar w:fldCharType="separate"/>
      </w:r>
      <w:r>
        <w:rPr>
          <w:rStyle w:val="869"/>
          <w:rFonts w:hint="eastAsia" w:ascii="宋体" w:hAnsi="宋体" w:cs="宋体"/>
          <w:b/>
          <w:sz w:val="24"/>
          <w:highlight w:val="none"/>
        </w:rPr>
        <w:t xml:space="preserve">第三章  合同文本</w:t>
      </w:r>
      <w:r>
        <w:rPr>
          <w:rFonts w:hint="eastAsia" w:ascii="宋体" w:hAnsi="宋体" w:cs="宋体"/>
          <w:sz w:val="24"/>
          <w:highlight w:val="none"/>
        </w:rPr>
        <w:tab/>
      </w:r>
      <w:r>
        <w:rPr>
          <w:rFonts w:hint="eastAsia" w:ascii="宋体" w:hAnsi="宋体" w:cs="宋体"/>
          <w:sz w:val="24"/>
          <w:highlight w:val="none"/>
        </w:rPr>
        <w:t xml:space="preserve">1</w:t>
      </w:r>
      <w:r>
        <w:rPr>
          <w:rFonts w:hint="eastAsia" w:ascii="宋体" w:hAnsi="宋体" w:cs="宋体"/>
          <w:sz w:val="24"/>
          <w:highlight w:val="none"/>
        </w:rPr>
        <w:fldChar w:fldCharType="end"/>
      </w:r>
      <w:r>
        <w:rPr>
          <w:rFonts w:hint="eastAsia" w:ascii="宋体" w:hAnsi="宋体" w:cs="宋体"/>
          <w:sz w:val="24"/>
          <w:highlight w:val="none"/>
        </w:rPr>
        <w:t xml:space="preserve">8</w:t>
      </w:r>
      <w:r/>
    </w:p>
    <w:p>
      <w:pPr>
        <w:pStyle w:val="845"/>
        <w:ind w:firstLine="420"/>
        <w:spacing w:line="360" w:lineRule="auto"/>
        <w:tabs>
          <w:tab w:val="right" w:pos="8296" w:leader="dot"/>
        </w:tabs>
        <w:rPr>
          <w:rFonts w:hint="eastAsia" w:ascii="宋体" w:hAnsi="宋体" w:cs="宋体"/>
          <w:sz w:val="24"/>
          <w:highlight w:val="none"/>
        </w:rPr>
      </w:pPr>
      <w:r>
        <w:rPr>
          <w:highlight w:val="none"/>
        </w:rPr>
        <w:fldChar w:fldCharType="begin"/>
      </w:r>
      <w:r>
        <w:rPr>
          <w:highlight w:val="none"/>
        </w:rPr>
        <w:instrText xml:space="preserve"> HYPERLINK \l "_Toc193678631" </w:instrText>
      </w:r>
      <w:r>
        <w:rPr>
          <w:highlight w:val="none"/>
        </w:rPr>
        <w:fldChar w:fldCharType="separate"/>
      </w:r>
      <w:r>
        <w:rPr>
          <w:rStyle w:val="869"/>
          <w:rFonts w:hint="eastAsia" w:ascii="宋体" w:hAnsi="宋体" w:cs="宋体"/>
          <w:b/>
          <w:sz w:val="24"/>
          <w:highlight w:val="none"/>
        </w:rPr>
        <w:t xml:space="preserve">第四章  采购需求</w:t>
      </w:r>
      <w:r>
        <w:rPr>
          <w:rFonts w:hint="eastAsia" w:ascii="宋体" w:hAnsi="宋体" w:cs="宋体"/>
          <w:sz w:val="24"/>
          <w:highlight w:val="none"/>
        </w:rPr>
        <w:tab/>
      </w:r>
      <w:r>
        <w:rPr>
          <w:rFonts w:hint="eastAsia" w:ascii="宋体" w:hAnsi="宋体" w:cs="宋体"/>
          <w:sz w:val="24"/>
          <w:highlight w:val="none"/>
        </w:rPr>
        <w:t xml:space="preserve">2</w:t>
      </w:r>
      <w:r>
        <w:rPr>
          <w:rFonts w:hint="eastAsia" w:ascii="宋体" w:hAnsi="宋体" w:cs="宋体"/>
          <w:sz w:val="24"/>
          <w:highlight w:val="none"/>
        </w:rPr>
        <w:fldChar w:fldCharType="end"/>
      </w:r>
      <w:r>
        <w:rPr>
          <w:rFonts w:hint="eastAsia" w:ascii="宋体" w:hAnsi="宋体" w:cs="宋体"/>
          <w:sz w:val="24"/>
          <w:highlight w:val="none"/>
        </w:rPr>
        <w:t xml:space="preserve">2</w:t>
      </w:r>
      <w:r/>
    </w:p>
    <w:p>
      <w:pPr>
        <w:pStyle w:val="845"/>
        <w:ind w:firstLine="420"/>
        <w:spacing w:line="360" w:lineRule="auto"/>
        <w:tabs>
          <w:tab w:val="right" w:pos="8296" w:leader="dot"/>
        </w:tabs>
        <w:rPr>
          <w:rFonts w:hint="eastAsia" w:ascii="宋体" w:hAnsi="宋体" w:cs="宋体"/>
          <w:sz w:val="24"/>
          <w:highlight w:val="none"/>
        </w:rPr>
      </w:pPr>
      <w:r>
        <w:rPr>
          <w:highlight w:val="none"/>
        </w:rPr>
        <w:fldChar w:fldCharType="begin"/>
      </w:r>
      <w:r>
        <w:rPr>
          <w:highlight w:val="none"/>
        </w:rPr>
        <w:instrText xml:space="preserve"> HYPERLINK \l "_Toc193678643" </w:instrText>
      </w:r>
      <w:r>
        <w:rPr>
          <w:highlight w:val="none"/>
        </w:rPr>
        <w:fldChar w:fldCharType="separate"/>
      </w:r>
      <w:r>
        <w:rPr>
          <w:rStyle w:val="869"/>
          <w:rFonts w:hint="eastAsia" w:ascii="宋体" w:hAnsi="宋体" w:cs="宋体"/>
          <w:b/>
          <w:sz w:val="24"/>
          <w:highlight w:val="none"/>
        </w:rPr>
        <w:t xml:space="preserve">第五章  评标方法与评标标准</w:t>
      </w:r>
      <w:r>
        <w:rPr>
          <w:rFonts w:hint="eastAsia" w:ascii="宋体" w:hAnsi="宋体" w:cs="宋体"/>
          <w:sz w:val="24"/>
          <w:highlight w:val="none"/>
        </w:rPr>
        <w:tab/>
      </w:r>
      <w:r>
        <w:rPr>
          <w:rFonts w:hint="eastAsia" w:ascii="宋体" w:hAnsi="宋体" w:cs="宋体"/>
          <w:sz w:val="24"/>
          <w:highlight w:val="none"/>
        </w:rPr>
        <w:t xml:space="preserve">3</w:t>
      </w:r>
      <w:r>
        <w:rPr>
          <w:rFonts w:hint="eastAsia" w:ascii="宋体" w:hAnsi="宋体" w:cs="宋体"/>
          <w:sz w:val="24"/>
          <w:highlight w:val="none"/>
        </w:rPr>
        <w:fldChar w:fldCharType="end"/>
      </w:r>
      <w:r>
        <w:rPr>
          <w:rFonts w:hint="eastAsia" w:ascii="宋体" w:hAnsi="宋体" w:cs="宋体"/>
          <w:sz w:val="24"/>
          <w:highlight w:val="none"/>
        </w:rPr>
        <w:t xml:space="preserve">1</w:t>
      </w:r>
      <w:r/>
    </w:p>
    <w:p>
      <w:pPr>
        <w:pStyle w:val="845"/>
        <w:ind w:firstLine="420"/>
        <w:spacing w:line="360" w:lineRule="auto"/>
        <w:tabs>
          <w:tab w:val="right" w:pos="8296" w:leader="dot"/>
        </w:tabs>
        <w:rPr>
          <w:rFonts w:hint="eastAsia" w:ascii="宋体" w:hAnsi="宋体" w:cs="宋体"/>
          <w:sz w:val="24"/>
          <w:highlight w:val="none"/>
        </w:rPr>
      </w:pPr>
      <w:r>
        <w:rPr>
          <w:highlight w:val="none"/>
        </w:rPr>
        <w:fldChar w:fldCharType="begin"/>
      </w:r>
      <w:r>
        <w:rPr>
          <w:highlight w:val="none"/>
        </w:rPr>
        <w:instrText xml:space="preserve"> HYPERLINK \l "_Toc193678647" </w:instrText>
      </w:r>
      <w:r>
        <w:rPr>
          <w:highlight w:val="none"/>
        </w:rPr>
        <w:fldChar w:fldCharType="separate"/>
      </w:r>
      <w:r>
        <w:rPr>
          <w:rStyle w:val="869"/>
          <w:rFonts w:hint="eastAsia" w:ascii="宋体" w:hAnsi="宋体" w:cs="宋体"/>
          <w:b/>
          <w:sz w:val="24"/>
          <w:highlight w:val="none"/>
        </w:rPr>
        <w:t xml:space="preserve">第六章  投标文件格式</w:t>
      </w:r>
      <w:r>
        <w:rPr>
          <w:rFonts w:hint="eastAsia" w:ascii="宋体" w:hAnsi="宋体" w:cs="宋体"/>
          <w:sz w:val="24"/>
          <w:highlight w:val="none"/>
        </w:rPr>
        <w:tab/>
      </w:r>
      <w:r>
        <w:rPr>
          <w:rFonts w:hint="eastAsia" w:ascii="宋体" w:hAnsi="宋体" w:cs="宋体"/>
          <w:sz w:val="24"/>
          <w:highlight w:val="none"/>
        </w:rPr>
        <w:t xml:space="preserve">3</w:t>
      </w:r>
      <w:r>
        <w:rPr>
          <w:rFonts w:hint="eastAsia" w:ascii="宋体" w:hAnsi="宋体" w:cs="宋体"/>
          <w:sz w:val="24"/>
          <w:highlight w:val="none"/>
        </w:rPr>
        <w:fldChar w:fldCharType="end"/>
      </w:r>
      <w:r>
        <w:rPr>
          <w:rFonts w:hint="eastAsia" w:ascii="宋体" w:hAnsi="宋体" w:cs="宋体"/>
          <w:sz w:val="24"/>
          <w:highlight w:val="none"/>
        </w:rPr>
        <w:fldChar w:fldCharType="end"/>
      </w:r>
      <w:r>
        <w:rPr>
          <w:rFonts w:hint="eastAsia" w:ascii="宋体" w:hAnsi="宋体" w:cs="宋体"/>
          <w:sz w:val="24"/>
          <w:highlight w:val="none"/>
        </w:rPr>
        <w:t xml:space="preserve">7</w:t>
      </w:r>
      <w:r/>
    </w:p>
    <w:p>
      <w:pPr>
        <w:ind w:firstLine="482"/>
        <w:jc w:val="center"/>
        <w:spacing w:line="360" w:lineRule="auto"/>
        <w:rPr>
          <w:rFonts w:hint="eastAsia" w:ascii="宋体" w:hAnsi="宋体" w:cs="宋体"/>
          <w:b/>
          <w:color w:val="000000"/>
          <w:sz w:val="32"/>
          <w:highlight w:val="none"/>
        </w:rPr>
        <w:outlineLvl w:val="0"/>
      </w:pPr>
      <w:r/>
      <w:bookmarkStart w:id="0" w:name="_Toc29132"/>
      <w:r>
        <w:rPr>
          <w:rFonts w:hint="eastAsia" w:ascii="宋体" w:hAnsi="宋体" w:cs="宋体"/>
          <w:b/>
          <w:color w:val="000000"/>
          <w:sz w:val="24"/>
          <w:highlight w:val="none"/>
        </w:rPr>
        <w:br w:type="page" w:clear="all"/>
      </w:r>
      <w:bookmarkStart w:id="1" w:name="_Toc32235"/>
      <w:r/>
      <w:bookmarkStart w:id="2" w:name="_Toc193678611"/>
      <w:r/>
      <w:bookmarkStart w:id="3" w:name="_Toc23744"/>
      <w:r/>
      <w:bookmarkStart w:id="4" w:name="_Toc12542"/>
      <w:r/>
      <w:bookmarkStart w:id="5" w:name="_Toc15540"/>
      <w:r/>
      <w:bookmarkStart w:id="6" w:name="_Toc32546"/>
      <w:r>
        <w:rPr>
          <w:rFonts w:hint="eastAsia" w:ascii="宋体" w:hAnsi="宋体" w:cs="宋体"/>
          <w:b/>
          <w:color w:val="000000"/>
          <w:sz w:val="32"/>
          <w:highlight w:val="none"/>
        </w:rPr>
        <w:t xml:space="preserve">第一章  投标邀请</w:t>
      </w:r>
      <w:bookmarkEnd w:id="0"/>
      <w:r/>
      <w:bookmarkEnd w:id="1"/>
      <w:r/>
      <w:bookmarkEnd w:id="2"/>
      <w:r/>
      <w:bookmarkEnd w:id="3"/>
      <w:r/>
      <w:bookmarkEnd w:id="4"/>
      <w:r/>
      <w:bookmarkEnd w:id="5"/>
      <w:r/>
      <w:bookmarkEnd w:id="6"/>
      <w:r/>
      <w:r/>
    </w:p>
    <w:p>
      <w:pPr>
        <w:ind w:firstLine="420"/>
        <w:spacing w:line="360" w:lineRule="auto"/>
        <w:rPr>
          <w:rFonts w:hint="eastAsia" w:ascii="宋体" w:hAnsi="宋体" w:cs="宋体"/>
          <w:highlight w:val="none"/>
        </w:rPr>
      </w:pPr>
      <w:r>
        <w:rPr>
          <w:rFonts w:hint="eastAsia" w:ascii="宋体" w:hAnsi="宋体" w:cs="宋体"/>
          <w:color w:val="000000"/>
          <w:highlight w:val="none"/>
        </w:rPr>
        <w:t xml:space="preserve">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受[</w:t>
      </w:r>
      <w:r>
        <w:rPr>
          <w:rFonts w:hint="eastAsia" w:ascii="宋体" w:hAnsi="宋体" w:cs="宋体"/>
          <w:b/>
          <w:color w:val="000000"/>
          <w:sz w:val="24"/>
          <w:highlight w:val="none"/>
        </w:rPr>
        <w:t xml:space="preserve">南京市公安局江宁分局</w:t>
      </w:r>
      <w:r>
        <w:rPr>
          <w:rFonts w:hint="eastAsia" w:ascii="宋体" w:hAnsi="宋体" w:cs="宋体"/>
          <w:color w:val="000000"/>
          <w:sz w:val="24"/>
          <w:highlight w:val="none"/>
        </w:rPr>
        <w:t xml:space="preserve">]的委托，江苏永和工程管理咨询有限公司就[</w:t>
      </w:r>
      <w:r>
        <w:rPr>
          <w:rFonts w:hint="eastAsia" w:ascii="宋体" w:hAnsi="宋体" w:cs="宋体"/>
          <w:b/>
          <w:color w:val="000000"/>
          <w:sz w:val="24"/>
          <w:highlight w:val="none"/>
        </w:rPr>
        <w:t xml:space="preserve">南京市公安局江宁分局采购机房空调、机柜等设备</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项目编号：JSZC-320115-YYHH-G2026-0003</w:t>
      </w:r>
      <w:r>
        <w:rPr>
          <w:rFonts w:hint="eastAsia" w:ascii="宋体" w:hAnsi="宋体" w:cs="宋体"/>
          <w:color w:val="000000"/>
          <w:sz w:val="24"/>
          <w:highlight w:val="none"/>
        </w:rPr>
        <w:t xml:space="preserve">]采购项目进行公开招标采购，欢迎符合条件的供应商投标。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0"/>
        <w:spacing w:line="360" w:lineRule="auto"/>
        <w:rPr>
          <w:rFonts w:hint="eastAsia" w:ascii="宋体" w:hAnsi="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rPr>
        <w:t xml:space="preserve">项目概况：</w:t>
      </w:r>
      <w:r>
        <w:rPr>
          <w:rFonts w:hint="eastAsia" w:ascii="宋体" w:hAnsi="宋体" w:cs="宋体"/>
          <w:b/>
          <w:color w:val="000000"/>
          <w:sz w:val="24"/>
          <w:highlight w:val="none"/>
          <w:u w:val="single"/>
        </w:rPr>
        <w:t xml:space="preserve">南京市公安局江宁分局采购机房空调、机柜等设备</w:t>
      </w:r>
      <w:r>
        <w:rPr>
          <w:rFonts w:hint="eastAsia" w:ascii="宋体" w:hAnsi="宋体" w:cs="宋体"/>
          <w:color w:val="000000"/>
          <w:sz w:val="24"/>
          <w:highlight w:val="none"/>
        </w:rPr>
        <w:t xml:space="preserve">招标项目的潜在投标人应在</w:t>
      </w:r>
      <w:r>
        <w:rPr>
          <w:rFonts w:hint="eastAsia" w:ascii="宋体" w:hAnsi="宋体" w:cs="宋体"/>
          <w:color w:val="000000"/>
          <w:sz w:val="24"/>
          <w:highlight w:val="none"/>
          <w:u w:val="single"/>
        </w:rPr>
        <w:t xml:space="preserve">“江苏政府采购网”自行免费下载</w:t>
      </w:r>
      <w:r>
        <w:rPr>
          <w:rFonts w:hint="eastAsia" w:ascii="宋体" w:hAnsi="宋体" w:cs="宋体"/>
          <w:color w:val="000000"/>
          <w:sz w:val="24"/>
          <w:highlight w:val="none"/>
        </w:rPr>
        <w:t xml:space="preserve">招标文件获取招标文件，并于</w:t>
      </w:r>
      <w:r>
        <w:rPr>
          <w:rFonts w:hint="eastAsia" w:ascii="宋体" w:hAnsi="宋体" w:cs="宋体"/>
          <w:b/>
          <w:color w:val="000000"/>
          <w:sz w:val="24"/>
          <w:highlight w:val="none"/>
          <w:u w:val="single"/>
        </w:rPr>
        <w:t xml:space="preserve">2026年10月29日09时30分（北京时间）</w:t>
      </w:r>
      <w:r>
        <w:rPr>
          <w:rFonts w:hint="eastAsia" w:ascii="宋体" w:hAnsi="宋体" w:cs="宋体"/>
          <w:color w:val="000000"/>
          <w:sz w:val="24"/>
          <w:highlight w:val="none"/>
        </w:rPr>
        <w:t xml:space="preserve">前递交投标文件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7" w:name="_Toc20970"/>
      <w:r/>
      <w:bookmarkStart w:id="8" w:name="_Toc15960"/>
      <w:r/>
      <w:bookmarkStart w:id="9" w:name="_Toc21703"/>
      <w:r/>
      <w:bookmarkStart w:id="10" w:name="_Toc13758"/>
      <w:r/>
      <w:bookmarkStart w:id="11" w:name="_Toc6703"/>
      <w:r/>
      <w:bookmarkStart w:id="12" w:name="_Toc3958"/>
      <w:r/>
      <w:bookmarkStart w:id="13" w:name="_Toc193678612"/>
      <w:r>
        <w:rPr>
          <w:rFonts w:hint="eastAsia" w:ascii="宋体" w:hAnsi="宋体" w:cs="宋体"/>
          <w:b/>
          <w:color w:val="000000"/>
          <w:sz w:val="24"/>
          <w:highlight w:val="none"/>
        </w:rPr>
        <w:t xml:space="preserve">一、项目基本情况</w:t>
      </w:r>
      <w:bookmarkEnd w:id="7"/>
      <w:r/>
      <w:bookmarkEnd w:id="8"/>
      <w:r/>
      <w:bookmarkEnd w:id="9"/>
      <w:r/>
      <w:bookmarkEnd w:id="10"/>
      <w:r/>
      <w:bookmarkEnd w:id="11"/>
      <w:r/>
      <w:bookmarkEnd w:id="12"/>
      <w:r/>
      <w:bookmarkEnd w:id="1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1、项目编号：</w:t>
      </w:r>
      <w:r>
        <w:rPr>
          <w:rFonts w:hint="eastAsia" w:ascii="宋体" w:hAnsi="宋体" w:cs="宋体"/>
          <w:b/>
          <w:color w:val="000000"/>
          <w:sz w:val="24"/>
          <w:highlight w:val="none"/>
        </w:rPr>
        <w:t xml:space="preserve">JSZC-320115-YYHH-G2026-0003</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b/>
          <w:color w:val="000000"/>
          <w:sz w:val="24"/>
          <w:highlight w:val="none"/>
        </w:rPr>
        <w:t xml:space="preserve">南京市公安局江宁分局采购机房空调、机柜等设备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3、预算金额：173.8万元人民币</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4、最高限价：173.8万元人民币（本项目最高限价详见招标文件第四章《采购需求》“采购清单”，供应商应根据限价填报）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bCs/>
          <w:color w:val="000000"/>
          <w:sz w:val="24"/>
          <w:highlight w:val="none"/>
        </w:rPr>
        <w:t xml:space="preserve">南京市公安局江宁分局采购机房空调、机柜等设备</w:t>
      </w:r>
      <w:r>
        <w:rPr>
          <w:rFonts w:hint="eastAsia" w:ascii="宋体" w:hAnsi="宋体" w:cs="宋体"/>
          <w:color w:val="000000"/>
          <w:sz w:val="24"/>
          <w:highlight w:val="none"/>
        </w:rPr>
        <w:t xml:space="preserve">，具体要求详见招标文件第四章《采购需求》。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6、合同履行期限：合同签订，接到招标方供货通知后60日历天内供货到指定地点，90日历天完成设备安装调试和相关手续办理。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7、本项目不分包，投标人必须对所有品目进行投标。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8、本项目</w:t>
      </w:r>
      <w:r>
        <w:rPr>
          <w:rFonts w:hint="eastAsia" w:ascii="宋体" w:hAnsi="宋体" w:cs="宋体"/>
          <w:b/>
          <w:color w:val="000000"/>
          <w:sz w:val="24"/>
          <w:highlight w:val="none"/>
          <w:u w:val="single"/>
        </w:rPr>
        <w:t xml:space="preserve">不接受进口产品</w:t>
      </w:r>
      <w:r>
        <w:rPr>
          <w:rFonts w:hint="eastAsia" w:ascii="宋体" w:hAnsi="宋体" w:cs="宋体"/>
          <w:color w:val="000000"/>
          <w:sz w:val="24"/>
          <w:highlight w:val="none"/>
        </w:rPr>
        <w:t xml:space="preserve">投标。</w:t>
      </w:r>
      <w:r/>
    </w:p>
    <w:p>
      <w:pPr>
        <w:ind w:firstLine="482"/>
        <w:spacing w:line="360" w:lineRule="auto"/>
        <w:rPr>
          <w:rFonts w:hint="eastAsia" w:ascii="宋体" w:hAnsi="宋体" w:cs="宋体"/>
          <w:highlight w:val="none"/>
        </w:rPr>
        <w:outlineLvl w:val="1"/>
      </w:pPr>
      <w:r/>
      <w:bookmarkStart w:id="14" w:name="_Toc13127"/>
      <w:r/>
      <w:bookmarkStart w:id="15" w:name="_Toc2864"/>
      <w:r/>
      <w:bookmarkStart w:id="16" w:name="_Toc193678613"/>
      <w:r/>
      <w:bookmarkStart w:id="17" w:name="_Toc15207"/>
      <w:r/>
      <w:bookmarkStart w:id="18" w:name="_Toc12992"/>
      <w:r/>
      <w:bookmarkStart w:id="19" w:name="_Toc25497"/>
      <w:r/>
      <w:bookmarkStart w:id="20" w:name="_Toc28818"/>
      <w:r>
        <w:rPr>
          <w:rFonts w:hint="eastAsia" w:ascii="宋体" w:hAnsi="宋体" w:cs="宋体"/>
          <w:b/>
          <w:color w:val="000000"/>
          <w:sz w:val="24"/>
          <w:highlight w:val="none"/>
        </w:rPr>
        <w:t xml:space="preserve">二、申请人的资格要求</w:t>
      </w:r>
      <w:bookmarkEnd w:id="14"/>
      <w:r/>
      <w:bookmarkEnd w:id="15"/>
      <w:r/>
      <w:bookmarkEnd w:id="16"/>
      <w:r/>
      <w:bookmarkEnd w:id="17"/>
      <w:r/>
      <w:bookmarkEnd w:id="18"/>
      <w:r/>
      <w:bookmarkEnd w:id="19"/>
      <w:r/>
      <w:bookmarkEnd w:id="2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（一）通用资格要求</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1.满足《中华人民共和国政府采购法》第二十二条规定：</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1.1具有独立承担民事责任的能力；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1.2投标人提供《</w:t>
      </w:r>
      <w:r>
        <w:rPr>
          <w:rFonts w:hint="eastAsia" w:ascii="宋体" w:hAnsi="宋体" w:cs="宋体"/>
          <w:color w:val="000000"/>
          <w:sz w:val="24"/>
          <w:highlight w:val="none"/>
        </w:rPr>
        <w:t xml:space="preserve">南京市政府采购供应商信用承诺书</w:t>
      </w:r>
      <w:r>
        <w:rPr>
          <w:rFonts w:hint="eastAsia" w:ascii="宋体" w:hAnsi="宋体" w:cs="宋体"/>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1.3具有良好的商业信誉和健全的财务会计制度；</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1.4具备履行合同所必需的设备和专业技术能力；</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1.5有依法缴纳税收和社会保障资金的良好记录；</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1.6参加政府采购活动前三年内，在经营活动中没有重大违法记录；</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1.7法律、行政法规规定的其他条件。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2.1中小企业政策：本项目不专门面向中小企业预留采购份额</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2.2其它落实政府采购政策的资格要求（如有）：无。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w:t>
      </w:r>
      <w:r>
        <w:rPr>
          <w:rFonts w:hint="eastAsia" w:ascii="宋体" w:hAnsi="宋体" w:cs="宋体"/>
          <w:b/>
          <w:color w:val="000000"/>
          <w:sz w:val="24"/>
          <w:highlight w:val="none"/>
          <w:u w:val="single"/>
        </w:rPr>
        <w:t xml:space="preserve">不接受</w:t>
      </w:r>
      <w:r>
        <w:rPr>
          <w:rFonts w:hint="eastAsia" w:ascii="宋体" w:hAnsi="宋体" w:cs="宋体"/>
          <w:color w:val="000000"/>
          <w:sz w:val="24"/>
          <w:highlight w:val="none"/>
        </w:rPr>
        <w:t xml:space="preserve">联合体投标</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（二）本项目的特定资格要求：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1.投标人须提供法人授权书，如果是法定代表人直接参与的可以不提供（但必须在营业执照后附法定代表人身份证复印件）；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2.提供投标人代表投标文件</w:t>
      </w:r>
      <w:r>
        <w:rPr>
          <w:rFonts w:hint="eastAsia" w:ascii="宋体" w:hAnsi="宋体" w:cs="宋体"/>
          <w:sz w:val="24"/>
          <w:highlight w:val="none"/>
        </w:rPr>
        <w:t xml:space="preserve">2026 年 1 月 1 日</w:t>
      </w:r>
      <w:r>
        <w:rPr>
          <w:rFonts w:hint="eastAsia" w:ascii="宋体" w:hAnsi="宋体" w:cs="宋体"/>
          <w:sz w:val="24"/>
          <w:highlight w:val="none"/>
        </w:rPr>
        <w:t xml:space="preserve">以来投标单位为其缴纳社会保障资金的凭据，如果是法定代表人直接参与的可以不提供；</w:t>
      </w:r>
      <w:r/>
    </w:p>
    <w:p>
      <w:pPr>
        <w:ind w:firstLine="482"/>
        <w:spacing w:line="360" w:lineRule="auto"/>
        <w:rPr>
          <w:rFonts w:hint="eastAsia" w:ascii="宋体" w:hAnsi="宋体" w:cs="宋体"/>
          <w:b/>
          <w:sz w:val="24"/>
          <w:highlight w:val="none"/>
        </w:rPr>
      </w:pPr>
      <w:r/>
      <w:bookmarkStart w:id="21" w:name="_Toc18420"/>
      <w:r/>
      <w:bookmarkStart w:id="22" w:name="_Toc2540"/>
      <w:r/>
      <w:bookmarkStart w:id="23" w:name="_Toc20002"/>
      <w:r/>
      <w:bookmarkStart w:id="24" w:name="_Toc13350"/>
      <w:r/>
      <w:bookmarkStart w:id="25" w:name="_Toc30744"/>
      <w:r/>
      <w:r/>
    </w:p>
    <w:p>
      <w:pPr>
        <w:ind w:firstLine="482"/>
        <w:spacing w:line="360" w:lineRule="auto"/>
        <w:rPr>
          <w:rFonts w:hint="eastAsia" w:ascii="宋体" w:hAnsi="宋体" w:cs="宋体"/>
          <w:highlight w:val="none"/>
        </w:rPr>
        <w:outlineLvl w:val="1"/>
      </w:pPr>
      <w:r/>
      <w:bookmarkStart w:id="26" w:name="_Toc193678614"/>
      <w:r>
        <w:rPr>
          <w:rFonts w:hint="eastAsia" w:ascii="宋体" w:hAnsi="宋体" w:cs="宋体"/>
          <w:b/>
          <w:color w:val="000000"/>
          <w:sz w:val="24"/>
          <w:highlight w:val="none"/>
        </w:rPr>
        <w:t xml:space="preserve">三、获取招标文件</w:t>
      </w:r>
      <w:bookmarkEnd w:id="21"/>
      <w:r/>
      <w:bookmarkEnd w:id="22"/>
      <w:r/>
      <w:bookmarkEnd w:id="23"/>
      <w:r/>
      <w:bookmarkEnd w:id="24"/>
      <w:r/>
      <w:bookmarkEnd w:id="25"/>
      <w:r/>
      <w:bookmarkEnd w:id="2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1、时间：自招标文件公告发布之日起五个工作日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2、方式：在“江苏政府采购网”自行免费下载招标文件。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27" w:name="_Toc193678615"/>
      <w:r/>
      <w:bookmarkStart w:id="28" w:name="_Toc18367"/>
      <w:r/>
      <w:bookmarkStart w:id="29" w:name="_Toc10585"/>
      <w:r/>
      <w:bookmarkStart w:id="30" w:name="_Toc6894"/>
      <w:r/>
      <w:bookmarkStart w:id="31" w:name="_Toc24030"/>
      <w:r/>
      <w:bookmarkStart w:id="32" w:name="_Toc14803"/>
      <w:r>
        <w:rPr>
          <w:rFonts w:hint="eastAsia" w:ascii="宋体" w:hAnsi="宋体" w:cs="宋体"/>
          <w:b/>
          <w:color w:val="000000"/>
          <w:sz w:val="24"/>
          <w:highlight w:val="none"/>
        </w:rPr>
        <w:t xml:space="preserve">四、提交投标文件截止时间、开标时间和地点</w:t>
      </w:r>
      <w:bookmarkEnd w:id="27"/>
      <w:r/>
      <w:bookmarkEnd w:id="28"/>
      <w:r/>
      <w:bookmarkEnd w:id="29"/>
      <w:r/>
      <w:bookmarkEnd w:id="30"/>
      <w:r/>
      <w:bookmarkEnd w:id="31"/>
      <w:r/>
      <w:bookmarkEnd w:id="32"/>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1.投标文件接收截止时间（北京时间）：</w:t>
      </w:r>
      <w:r>
        <w:rPr>
          <w:rFonts w:hint="eastAsia" w:ascii="宋体" w:hAnsi="宋体" w:cs="宋体"/>
          <w:color w:val="000000"/>
          <w:sz w:val="24"/>
          <w:highlight w:val="none"/>
          <w:u w:val="single"/>
        </w:rPr>
        <w:t xml:space="preserve">2026年10月29日09时30分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2.地点：“苏采云”政府采购交易系统网上开标大厅。</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bookmarkStart w:id="33" w:name="_Toc3553"/>
      <w:r/>
      <w:bookmarkStart w:id="34" w:name="_Toc23035"/>
      <w:r/>
      <w:bookmarkStart w:id="35" w:name="_Toc25441"/>
      <w:r/>
      <w:bookmarkStart w:id="36" w:name="_Toc18059"/>
      <w:r/>
      <w:bookmarkStart w:id="37" w:name="_Toc193678616"/>
      <w:r/>
      <w:bookmarkStart w:id="38" w:name="_Toc31344"/>
      <w:r>
        <w:rPr>
          <w:rFonts w:hint="eastAsia" w:ascii="宋体" w:hAnsi="宋体" w:cs="宋体"/>
          <w:b/>
          <w:color w:val="000000"/>
          <w:sz w:val="24"/>
          <w:highlight w:val="none"/>
        </w:rPr>
        <w:t xml:space="preserve">五、公告期限</w:t>
      </w:r>
      <w:bookmarkEnd w:id="33"/>
      <w:r/>
      <w:bookmarkEnd w:id="34"/>
      <w:r/>
      <w:bookmarkEnd w:id="35"/>
      <w:r/>
      <w:bookmarkEnd w:id="36"/>
      <w:r/>
      <w:bookmarkEnd w:id="37"/>
      <w:r/>
      <w:bookmarkEnd w:id="38"/>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招标公告及招标文件公告期限为自本公告发布之日起5个工作日。</w:t>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 </w:t>
      </w:r>
      <w:bookmarkStart w:id="39" w:name="_Toc9343"/>
      <w:r/>
      <w:bookmarkStart w:id="40" w:name="_Toc15186"/>
      <w:r/>
      <w:bookmarkStart w:id="41" w:name="_Toc193678617"/>
      <w:r/>
      <w:bookmarkStart w:id="42" w:name="_Toc9002"/>
      <w:r/>
      <w:bookmarkStart w:id="43" w:name="_Toc27337"/>
      <w:r/>
      <w:bookmarkStart w:id="44" w:name="_Toc21684"/>
      <w:r>
        <w:rPr>
          <w:rFonts w:hint="eastAsia" w:ascii="宋体" w:hAnsi="宋体" w:cs="宋体"/>
          <w:b/>
          <w:color w:val="000000"/>
          <w:sz w:val="24"/>
          <w:highlight w:val="none"/>
        </w:rPr>
        <w:t xml:space="preserve">六、其他补充事宜</w:t>
      </w:r>
      <w:bookmarkEnd w:id="39"/>
      <w:r/>
      <w:bookmarkEnd w:id="40"/>
      <w:r/>
      <w:bookmarkEnd w:id="41"/>
      <w:r/>
      <w:bookmarkEnd w:id="42"/>
      <w:r/>
      <w:bookmarkEnd w:id="43"/>
      <w:r/>
      <w:bookmarkEnd w:id="44"/>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1、获取采购文件时间:</w:t>
      </w:r>
      <w:r>
        <w:rPr>
          <w:rFonts w:hint="eastAsia" w:ascii="宋体" w:hAnsi="宋体" w:cs="宋体"/>
          <w:color w:val="000000"/>
          <w:sz w:val="24"/>
          <w:highlight w:val="none"/>
        </w:rPr>
        <w:t xml:space="preserve">自公告发布之日起至2026年10月15日17:30止</w:t>
      </w:r>
      <w:r/>
    </w:p>
    <w:p>
      <w:pPr>
        <w:ind w:right="6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2、根据《关</w:t>
      </w:r>
      <w:r>
        <w:rPr>
          <w:rFonts w:hint="eastAsia" w:ascii="宋体" w:hAnsi="宋体" w:cs="宋体"/>
          <w:color w:val="000000"/>
          <w:sz w:val="24"/>
          <w:highlight w:val="none"/>
        </w:rPr>
        <w:t xml:space="preserve">于在政府采购活动中推行信用承诺制的通知》宁财购通〔2021〕5号规定， 参加南京地区政府采购活动的供应商，应以书面形式向采购人或政府采购代理机构作出信用承诺。供应商应尽早做好承诺工作，点击‘信用中国（江苏南京）’ （https://njcredit.nanjing.gov.cn/cggyscxda/202609/t20260902_5904187.html）《关于关停南京市政府采购供应商诚信档案管理系统的公告》页面下方，自行下载《南京市政府采购供应商信用承诺书》，由法人签字并盖单位公章，随响应文件一并递交。</w:t>
      </w:r>
      <w:r/>
    </w:p>
    <w:p>
      <w:pPr>
        <w:ind w:right="60"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打印时间为本公告发布之日起至递交响应文件截止日前，未按上述要求提供</w:t>
      </w:r>
      <w:r>
        <w:rPr>
          <w:rFonts w:hint="eastAsia" w:ascii="宋体" w:hAnsi="宋体" w:cs="宋体"/>
          <w:b/>
          <w:bCs/>
          <w:sz w:val="24"/>
          <w:highlight w:val="none"/>
        </w:rPr>
        <w:t xml:space="preserve">信用承诺书的</w:t>
      </w:r>
      <w:r>
        <w:rPr>
          <w:rFonts w:hint="eastAsia" w:ascii="宋体" w:hAnsi="宋体" w:cs="宋体"/>
          <w:b/>
          <w:bCs/>
          <w:sz w:val="24"/>
          <w:highlight w:val="none"/>
        </w:rPr>
        <w:t xml:space="preserve">，响应文件作废标处理。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在政府采购资格审查环节，供应商只需提供书面《南京市政府采购供应商信用承诺书》，即可替代以下证明材料：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（1）符合国家相关规定的财务状况报告；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（2）依法缴纳税收的证明材料；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（3）依法缴纳社会保障资金的证明材料；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（4）具备履行政府采购合同所必需的设备和专业技术能力的证明材料；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（5）参加政府采购活动前三年内在经营活动中没有重大违法记录的证明材料；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供应商涉及以下情形的，不适用信用承诺：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（1）供应商被列入严重失信主体名单；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（2）被相关监管部门作出行政处罚且尚在处罚有效期内；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（3）其他法律、行政法规规定的不适用信用承诺的情形。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供应商对信用承诺内容的真实性、合法性、有效性负责。如作出虚假信用承诺，视同为“提供虚假材料谋取中标、成交”的违法行为。</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4、供应商如确定参加投标，可自行下载采购文件及有关资料，按照《操作手册》进行注册，领取CA和办理电子签章，并按《操作手册》要求制作、上传电子投标文件。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45" w:name="_Toc24108"/>
      <w:r/>
      <w:bookmarkStart w:id="46" w:name="_Toc193678618"/>
      <w:r/>
      <w:bookmarkStart w:id="47" w:name="_Toc21883"/>
      <w:r/>
      <w:bookmarkStart w:id="48" w:name="_Toc941"/>
      <w:r/>
      <w:bookmarkStart w:id="49" w:name="_Toc21271"/>
      <w:r>
        <w:rPr>
          <w:rFonts w:hint="eastAsia" w:ascii="宋体" w:hAnsi="宋体" w:cs="宋体"/>
          <w:b/>
          <w:color w:val="000000"/>
          <w:sz w:val="24"/>
          <w:highlight w:val="none"/>
        </w:rPr>
        <w:t xml:space="preserve">七、对本次招标提出询问，请按以下方式联系</w:t>
      </w:r>
      <w:bookmarkEnd w:id="45"/>
      <w:r/>
      <w:bookmarkEnd w:id="46"/>
      <w:r/>
      <w:bookmarkEnd w:id="47"/>
      <w:r/>
      <w:bookmarkEnd w:id="48"/>
      <w:r/>
      <w:bookmarkEnd w:id="4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1、采购人信息</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名  称：</w:t>
      </w:r>
      <w:r>
        <w:rPr>
          <w:rFonts w:hint="eastAsia" w:ascii="宋体" w:hAnsi="宋体" w:cs="宋体"/>
          <w:sz w:val="24"/>
          <w:highlight w:val="none"/>
        </w:rPr>
        <w:t xml:space="preserve">南京市公安局江宁分局</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联系地址：</w:t>
      </w:r>
      <w:r>
        <w:rPr>
          <w:rFonts w:hint="eastAsia" w:ascii="宋体" w:hAnsi="宋体" w:cs="宋体"/>
          <w:sz w:val="24"/>
          <w:highlight w:val="none"/>
        </w:rPr>
        <w:t xml:space="preserve">南京市江宁区天印大道2020号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 系 人：朱警官</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采购代理机构：江苏永和工程管理咨询有限公司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联系地址：南京市嘉陵江东街8号科技创新综合体B3栋2单元5楼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 系 人：王凤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联系电话：15005171375</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50" w:name="_Toc31111"/>
      <w:r/>
      <w:bookmarkStart w:id="51" w:name="_Toc193678619"/>
      <w:r/>
      <w:bookmarkStart w:id="52" w:name="_Toc12578"/>
      <w:r/>
      <w:bookmarkStart w:id="53" w:name="_Toc18322"/>
      <w:r/>
      <w:bookmarkStart w:id="54" w:name="_Toc1753"/>
      <w:r>
        <w:rPr>
          <w:rFonts w:hint="eastAsia" w:ascii="宋体" w:hAnsi="宋体" w:cs="宋体"/>
          <w:b/>
          <w:color w:val="000000"/>
          <w:sz w:val="24"/>
          <w:highlight w:val="none"/>
        </w:rPr>
        <w:t xml:space="preserve">八、其他</w:t>
      </w:r>
      <w:bookmarkEnd w:id="50"/>
      <w:r/>
      <w:bookmarkEnd w:id="51"/>
      <w:r/>
      <w:bookmarkEnd w:id="52"/>
      <w:r/>
      <w:bookmarkEnd w:id="53"/>
      <w:r/>
      <w:bookmarkEnd w:id="54"/>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highlight w:val="none"/>
        </w:rPr>
        <w:t xml:space="preserve">http://www.ccgp-jiangsu.gov.cn/jiangsu/zlxz/ee/ee3a4bc5a3454aa2b0d9312230633ce9.html。</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领取CA和办理电子签章(请至南京汉中门大街145号江苏省政务服务中心办理，具体联系方式见《苏采云系统供应商操作手册》（以下简称《操作手册》））、进行注册并按《操作手册》要求制作、上传电子投标文件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 有关本次招标的事项若存在变动或修改，敬请及时关注“江苏政府采购网”发布的更正公告。</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 本次招标不收取投标保证金。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20"/>
        <w:spacing w:line="360" w:lineRule="auto"/>
        <w:rPr>
          <w:rFonts w:hint="eastAsia" w:ascii="宋体" w:hAnsi="宋体" w:cs="宋体"/>
          <w:highlight w:val="none"/>
        </w:rPr>
      </w:pPr>
      <w:r>
        <w:rPr>
          <w:rFonts w:hint="eastAsia" w:ascii="宋体" w:hAnsi="宋体" w:cs="宋体"/>
          <w:highlight w:val="none"/>
        </w:rPr>
        <w:br w:type="page" w:clear="all"/>
      </w:r>
      <w:r/>
    </w:p>
    <w:p>
      <w:pPr>
        <w:ind w:firstLine="643"/>
        <w:jc w:val="center"/>
        <w:spacing w:line="360" w:lineRule="auto"/>
        <w:rPr>
          <w:rFonts w:hint="eastAsia" w:ascii="宋体" w:hAnsi="宋体" w:cs="宋体"/>
          <w:highlight w:val="none"/>
        </w:rPr>
        <w:outlineLvl w:val="0"/>
      </w:pPr>
      <w:r/>
      <w:bookmarkStart w:id="55" w:name="_Toc193678620"/>
      <w:r/>
      <w:bookmarkStart w:id="56" w:name="_Toc3733"/>
      <w:r/>
      <w:bookmarkStart w:id="57" w:name="_Toc23291"/>
      <w:r/>
      <w:bookmarkStart w:id="58" w:name="_Toc16956"/>
      <w:r/>
      <w:bookmarkStart w:id="59" w:name="_Toc10572"/>
      <w:r>
        <w:rPr>
          <w:rFonts w:hint="eastAsia" w:ascii="宋体" w:hAnsi="宋体" w:cs="宋体"/>
          <w:b/>
          <w:color w:val="000000"/>
          <w:sz w:val="32"/>
          <w:highlight w:val="none"/>
        </w:rPr>
        <w:t xml:space="preserve">第二章  投标人须知</w:t>
      </w:r>
      <w:bookmarkEnd w:id="55"/>
      <w:r/>
      <w:bookmarkEnd w:id="56"/>
      <w:r/>
      <w:bookmarkEnd w:id="57"/>
      <w:r/>
      <w:bookmarkEnd w:id="58"/>
      <w:r/>
      <w:bookmarkEnd w:id="5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bookmarkStart w:id="60" w:name="_Toc8913"/>
      <w:r/>
      <w:bookmarkStart w:id="61" w:name="_Toc193678621"/>
      <w:r/>
      <w:bookmarkStart w:id="62" w:name="_Toc17900"/>
      <w:r/>
      <w:bookmarkStart w:id="63" w:name="_Toc7747"/>
      <w:r/>
      <w:bookmarkStart w:id="64" w:name="_Toc30225"/>
      <w:r>
        <w:rPr>
          <w:rFonts w:hint="eastAsia" w:ascii="宋体" w:hAnsi="宋体" w:cs="宋体"/>
          <w:b/>
          <w:color w:val="000000"/>
          <w:sz w:val="24"/>
          <w:highlight w:val="none"/>
        </w:rPr>
        <w:t xml:space="preserve">一、总则</w:t>
      </w:r>
      <w:bookmarkEnd w:id="60"/>
      <w:r/>
      <w:bookmarkEnd w:id="61"/>
      <w:r/>
      <w:bookmarkEnd w:id="62"/>
      <w:r/>
      <w:bookmarkEnd w:id="63"/>
      <w:r/>
      <w:bookmarkEnd w:id="64"/>
      <w:r/>
      <w:r/>
    </w:p>
    <w:p>
      <w:pPr>
        <w:ind w:firstLine="482"/>
        <w:spacing w:before="161" w:line="360" w:lineRule="auto"/>
        <w:rPr>
          <w:rFonts w:hint="eastAsia" w:ascii="宋体" w:hAnsi="宋体" w:cs="宋体"/>
          <w:highlight w:val="none"/>
        </w:rPr>
        <w:outlineLvl w:val="2"/>
      </w:pPr>
      <w:r/>
      <w:bookmarkStart w:id="65" w:name="_Toc19075"/>
      <w:r/>
      <w:bookmarkStart w:id="66" w:name="_Toc27695"/>
      <w:r/>
      <w:bookmarkStart w:id="67" w:name="_Toc1431"/>
      <w:r>
        <w:rPr>
          <w:rFonts w:hint="eastAsia" w:ascii="宋体" w:hAnsi="宋体" w:cs="宋体"/>
          <w:b/>
          <w:color w:val="000000"/>
          <w:sz w:val="24"/>
          <w:highlight w:val="none"/>
        </w:rPr>
        <w:t xml:space="preserve">1、招标方式</w:t>
      </w:r>
      <w:bookmarkEnd w:id="65"/>
      <w:r/>
      <w:bookmarkEnd w:id="66"/>
      <w:r/>
      <w:bookmarkEnd w:id="67"/>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1.1 本次招标采取公开招标方式，本招标文件仅适用于招标公告中所述项目。</w:t>
      </w:r>
      <w:r/>
    </w:p>
    <w:p>
      <w:pPr>
        <w:ind w:firstLine="482"/>
        <w:spacing w:before="161" w:line="360" w:lineRule="auto"/>
        <w:rPr>
          <w:rFonts w:hint="eastAsia" w:ascii="宋体" w:hAnsi="宋体" w:cs="宋体"/>
          <w:highlight w:val="none"/>
        </w:rPr>
        <w:outlineLvl w:val="2"/>
      </w:pPr>
      <w:r/>
      <w:bookmarkStart w:id="68" w:name="_Toc22410"/>
      <w:r/>
      <w:bookmarkStart w:id="69" w:name="_Toc11513"/>
      <w:r/>
      <w:bookmarkStart w:id="70" w:name="_Toc3856"/>
      <w:r>
        <w:rPr>
          <w:rFonts w:hint="eastAsia" w:ascii="宋体" w:hAnsi="宋体" w:cs="宋体"/>
          <w:b/>
          <w:color w:val="000000"/>
          <w:sz w:val="24"/>
          <w:highlight w:val="none"/>
        </w:rPr>
        <w:t xml:space="preserve">2、合格的投标人</w:t>
      </w:r>
      <w:bookmarkEnd w:id="68"/>
      <w:r/>
      <w:bookmarkEnd w:id="69"/>
      <w:r/>
      <w:bookmarkEnd w:id="7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 满足招标公告中供应商的资格要求的规定。</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2.2 满足本文件实质性要求和条件的规定。</w:t>
      </w:r>
      <w:r/>
    </w:p>
    <w:p>
      <w:pPr>
        <w:ind w:firstLine="482"/>
        <w:spacing w:before="161" w:line="360" w:lineRule="auto"/>
        <w:rPr>
          <w:rFonts w:hint="eastAsia" w:ascii="宋体" w:hAnsi="宋体" w:cs="宋体"/>
          <w:highlight w:val="none"/>
        </w:rPr>
        <w:outlineLvl w:val="2"/>
      </w:pPr>
      <w:r/>
      <w:bookmarkStart w:id="71" w:name="_Toc20130"/>
      <w:r/>
      <w:bookmarkStart w:id="72" w:name="_Toc17102"/>
      <w:r/>
      <w:bookmarkStart w:id="73" w:name="_Toc17586"/>
      <w:r>
        <w:rPr>
          <w:rFonts w:hint="eastAsia" w:ascii="宋体" w:hAnsi="宋体" w:cs="宋体"/>
          <w:b/>
          <w:color w:val="000000"/>
          <w:sz w:val="24"/>
          <w:highlight w:val="none"/>
        </w:rPr>
        <w:t xml:space="preserve">3、适用法律</w:t>
      </w:r>
      <w:bookmarkEnd w:id="71"/>
      <w:r/>
      <w:bookmarkEnd w:id="72"/>
      <w:r/>
      <w:bookmarkEnd w:id="7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3.1 本次招标及由此产生的合同受中华人民共和国有关的法律法规制约和保护。</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3.2 本招标项目执行《中华人民共和国政府采购法》、《中华人民共和国政府采购法实施条例》、《中华人民共和国财政部令第87号》、《财库（2017）141号》、《财库（2014）68号》、《财库（2020）46号》、《苏财购〔2020〕52号》、《苏财购〔2022〕45号》、《财库〔2025〕30号》。</w:t>
      </w:r>
      <w:r/>
    </w:p>
    <w:p>
      <w:pPr>
        <w:ind w:firstLine="482"/>
        <w:spacing w:before="161" w:line="360" w:lineRule="auto"/>
        <w:rPr>
          <w:rFonts w:hint="eastAsia" w:ascii="宋体" w:hAnsi="宋体" w:cs="宋体"/>
          <w:highlight w:val="none"/>
        </w:rPr>
        <w:outlineLvl w:val="2"/>
      </w:pPr>
      <w:r/>
      <w:bookmarkStart w:id="74" w:name="_Toc15465"/>
      <w:r/>
      <w:bookmarkStart w:id="75" w:name="_Toc30125"/>
      <w:r/>
      <w:bookmarkStart w:id="76" w:name="_Toc19813"/>
      <w:r>
        <w:rPr>
          <w:rFonts w:hint="eastAsia" w:ascii="宋体" w:hAnsi="宋体" w:cs="宋体"/>
          <w:b/>
          <w:color w:val="000000"/>
          <w:sz w:val="24"/>
          <w:highlight w:val="none"/>
        </w:rPr>
        <w:t xml:space="preserve">4、投标费用</w:t>
      </w:r>
      <w:bookmarkEnd w:id="74"/>
      <w:r/>
      <w:bookmarkEnd w:id="75"/>
      <w:r/>
      <w:bookmarkEnd w:id="7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4.1 投标人应自行承担所有与参加投标有关的费用，无论投标过程中的做法和结果如何，</w:t>
      </w:r>
      <w:r>
        <w:rPr>
          <w:rFonts w:hint="eastAsia" w:ascii="宋体" w:hAnsi="宋体" w:cs="宋体"/>
          <w:b/>
          <w:color w:val="000000"/>
          <w:sz w:val="24"/>
          <w:highlight w:val="none"/>
        </w:rPr>
        <w:t xml:space="preserve">江苏永和工程管理咨询有限公司（以下简称采购代理机构）</w:t>
      </w:r>
      <w:r>
        <w:rPr>
          <w:rFonts w:hint="eastAsia" w:ascii="宋体" w:hAnsi="宋体" w:cs="宋体"/>
          <w:color w:val="000000"/>
          <w:sz w:val="24"/>
          <w:highlight w:val="none"/>
        </w:rPr>
        <w:t xml:space="preserve">在任何情况下均无义务和责任承担这些费用。</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4.2 本次招标</w:t>
      </w:r>
      <w:r>
        <w:rPr>
          <w:rFonts w:hint="eastAsia" w:ascii="宋体" w:hAnsi="宋体" w:cs="宋体"/>
          <w:b/>
          <w:color w:val="000000"/>
          <w:sz w:val="24"/>
          <w:highlight w:val="none"/>
        </w:rPr>
        <w:t xml:space="preserve">采购代理机构</w:t>
      </w:r>
      <w:r>
        <w:rPr>
          <w:rFonts w:hint="eastAsia" w:ascii="宋体" w:hAnsi="宋体" w:cs="宋体"/>
          <w:color w:val="000000"/>
          <w:sz w:val="24"/>
          <w:highlight w:val="none"/>
        </w:rPr>
        <w:t xml:space="preserve">不收取标书工本费。</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4.3 招标服务费收费标准：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本次项目，代理服务费由中标单位领取中标通知书时支付给代理公司，代理服务收费由中标单位支付，以上费用请供应商综合考虑在报价中，请供应商在报价时予以关注（代理服务费按照本项目成交金额为基数，根据原国家计委 (计价格【2002】1980 号)  《招标代理服务收费管理暂行办法》标准的70%执行，</w:t>
      </w:r>
      <w:r>
        <w:rPr>
          <w:rFonts w:hint="eastAsia" w:ascii="宋体" w:hAnsi="宋体"/>
          <w:sz w:val="24"/>
          <w:highlight w:val="none"/>
        </w:rPr>
        <w:t xml:space="preserve">代理服务费不足三千元的按三千元收取</w:t>
      </w:r>
      <w:r>
        <w:rPr>
          <w:rFonts w:hint="eastAsia" w:ascii="宋体" w:hAnsi="宋体" w:cs="宋体"/>
          <w:color w:val="000000"/>
          <w:sz w:val="24"/>
          <w:highlight w:val="none"/>
        </w:rPr>
        <w:t xml:space="preserve">），后期采购人不单独列支。</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4.4电汇账户信息如下：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开户名：</w:t>
      </w:r>
      <w:r>
        <w:rPr>
          <w:rFonts w:hint="eastAsia" w:ascii="宋体" w:hAnsi="宋体" w:cs="宋体"/>
          <w:color w:val="000000"/>
          <w:sz w:val="24"/>
          <w:highlight w:val="none"/>
          <w:lang w:val="zh-CN"/>
        </w:rPr>
        <w:t xml:space="preserve">江苏永和工程管理咨询有限公司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lang w:val="zh-CN"/>
        </w:rPr>
        <w:t xml:space="preserve">中国银行南京金鱼嘴街区支行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lang w:val="zh-CN"/>
        </w:rPr>
        <w:t xml:space="preserve">511882822328</w:t>
      </w:r>
      <w:r/>
    </w:p>
    <w:p>
      <w:pPr>
        <w:ind w:firstLine="482"/>
        <w:spacing w:before="161" w:line="360" w:lineRule="auto"/>
        <w:rPr>
          <w:rFonts w:hint="eastAsia" w:ascii="宋体" w:hAnsi="宋体" w:cs="宋体"/>
          <w:b/>
          <w:color w:val="000000"/>
          <w:sz w:val="24"/>
          <w:highlight w:val="none"/>
        </w:rPr>
        <w:outlineLvl w:val="2"/>
      </w:pPr>
      <w:r/>
      <w:bookmarkStart w:id="77" w:name="_Toc28956"/>
      <w:r/>
      <w:bookmarkStart w:id="78" w:name="_Toc25686"/>
      <w:r/>
      <w:bookmarkStart w:id="79" w:name="_Toc15360"/>
      <w:r>
        <w:rPr>
          <w:rFonts w:hint="eastAsia" w:ascii="宋体" w:hAnsi="宋体" w:cs="宋体"/>
          <w:b/>
          <w:color w:val="000000"/>
          <w:sz w:val="24"/>
          <w:highlight w:val="none"/>
        </w:rPr>
        <w:t xml:space="preserve">5、招标文件的约束力</w:t>
      </w:r>
      <w:bookmarkEnd w:id="77"/>
      <w:r/>
      <w:bookmarkEnd w:id="78"/>
      <w:r/>
      <w:bookmarkEnd w:id="7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5.1 投标人一旦参加本项目采购活动，即被认为接受了本招标文件的规定和约束。</w:t>
      </w:r>
      <w:r/>
    </w:p>
    <w:p>
      <w:pPr>
        <w:ind w:firstLine="482"/>
        <w:spacing w:line="360" w:lineRule="auto"/>
        <w:rPr>
          <w:rFonts w:hint="eastAsia" w:ascii="宋体" w:hAnsi="宋体" w:cs="宋体"/>
          <w:highlight w:val="none"/>
        </w:rPr>
      </w:pPr>
      <w:r>
        <w:rPr>
          <w:rFonts w:hint="eastAsia" w:ascii="宋体" w:hAnsi="宋体" w:cs="宋体"/>
          <w:b/>
          <w:color w:val="000000"/>
          <w:sz w:val="24"/>
          <w:highlight w:val="none"/>
        </w:rPr>
        <w:t xml:space="preserve"> </w:t>
      </w:r>
      <w:r/>
    </w:p>
    <w:p>
      <w:pPr>
        <w:ind w:firstLine="482"/>
        <w:spacing w:line="360" w:lineRule="auto"/>
        <w:rPr>
          <w:rFonts w:hint="eastAsia" w:ascii="宋体" w:hAnsi="宋体" w:cs="宋体"/>
          <w:highlight w:val="none"/>
        </w:rPr>
        <w:outlineLvl w:val="1"/>
      </w:pPr>
      <w:r/>
      <w:bookmarkStart w:id="80" w:name="_Toc21860"/>
      <w:r/>
      <w:bookmarkStart w:id="81" w:name="_Toc3694"/>
      <w:r/>
      <w:bookmarkStart w:id="82" w:name="_Toc30915"/>
      <w:r/>
      <w:bookmarkStart w:id="83" w:name="_Toc27271"/>
      <w:r/>
      <w:bookmarkStart w:id="84" w:name="_Toc193678622"/>
      <w:r>
        <w:rPr>
          <w:rFonts w:hint="eastAsia" w:ascii="宋体" w:hAnsi="宋体" w:cs="宋体"/>
          <w:b/>
          <w:color w:val="000000"/>
          <w:sz w:val="24"/>
          <w:highlight w:val="none"/>
        </w:rPr>
        <w:t xml:space="preserve">二、招标文件</w:t>
      </w:r>
      <w:bookmarkEnd w:id="80"/>
      <w:r/>
      <w:bookmarkEnd w:id="81"/>
      <w:r/>
      <w:bookmarkEnd w:id="82"/>
      <w:r/>
      <w:bookmarkEnd w:id="83"/>
      <w:r/>
      <w:bookmarkEnd w:id="84"/>
      <w:r/>
      <w:r/>
    </w:p>
    <w:p>
      <w:pPr>
        <w:ind w:firstLine="482"/>
        <w:spacing w:before="161" w:line="360" w:lineRule="auto"/>
        <w:rPr>
          <w:rFonts w:hint="eastAsia" w:ascii="宋体" w:hAnsi="宋体" w:cs="宋体"/>
          <w:highlight w:val="none"/>
        </w:rPr>
        <w:outlineLvl w:val="2"/>
      </w:pPr>
      <w:r/>
      <w:bookmarkStart w:id="85" w:name="_Toc10458"/>
      <w:r/>
      <w:bookmarkStart w:id="86" w:name="_Toc26765"/>
      <w:r/>
      <w:bookmarkStart w:id="87" w:name="_Toc5990"/>
      <w:r>
        <w:rPr>
          <w:rFonts w:hint="eastAsia" w:ascii="宋体" w:hAnsi="宋体" w:cs="宋体"/>
          <w:b/>
          <w:color w:val="000000"/>
          <w:sz w:val="24"/>
          <w:highlight w:val="none"/>
        </w:rPr>
        <w:t xml:space="preserve">6、招标文件构成</w:t>
      </w:r>
      <w:bookmarkEnd w:id="85"/>
      <w:r/>
      <w:bookmarkEnd w:id="86"/>
      <w:r/>
      <w:bookmarkEnd w:id="87"/>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6.1 招标文件由以下部分组成：</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（1）投标邀请</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（2）投标人须知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（3）合同文本</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（4）采购需求</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（5）评标方法与评标标准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（6）投标文件格式</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请仔细检查招标文件是否齐全，如有缺漏请立即与</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联系解决。</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line="360" w:lineRule="auto"/>
        <w:rPr>
          <w:rFonts w:hint="eastAsia" w:ascii="宋体" w:hAnsi="宋体" w:cs="宋体"/>
          <w:highlight w:val="none"/>
        </w:rPr>
        <w:outlineLvl w:val="2"/>
      </w:pPr>
      <w:r/>
      <w:bookmarkStart w:id="88" w:name="_Toc9569"/>
      <w:r/>
      <w:bookmarkStart w:id="89" w:name="_Toc25540"/>
      <w:r/>
      <w:bookmarkStart w:id="90" w:name="_Toc24610"/>
      <w:r>
        <w:rPr>
          <w:rFonts w:hint="eastAsia" w:ascii="宋体" w:hAnsi="宋体" w:cs="宋体"/>
          <w:b/>
          <w:color w:val="000000"/>
          <w:sz w:val="24"/>
          <w:highlight w:val="none"/>
        </w:rPr>
        <w:t xml:space="preserve">7、招标文件的澄清</w:t>
      </w:r>
      <w:bookmarkEnd w:id="88"/>
      <w:r/>
      <w:bookmarkEnd w:id="89"/>
      <w:r/>
      <w:bookmarkEnd w:id="9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7.1 任何要求对招标文件进行澄清的投标人，应在投标截止期十日前按招标公告中的通讯地址，以书面形式通知</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w:t>
      </w:r>
      <w:r/>
    </w:p>
    <w:p>
      <w:pPr>
        <w:ind w:firstLine="482"/>
        <w:spacing w:before="161" w:line="360" w:lineRule="auto"/>
        <w:rPr>
          <w:rFonts w:hint="eastAsia" w:ascii="宋体" w:hAnsi="宋体" w:cs="宋体"/>
          <w:highlight w:val="none"/>
        </w:rPr>
        <w:outlineLvl w:val="2"/>
      </w:pPr>
      <w:r/>
      <w:bookmarkStart w:id="91" w:name="_Toc7163"/>
      <w:r/>
      <w:bookmarkStart w:id="92" w:name="_Toc1972"/>
      <w:r/>
      <w:bookmarkStart w:id="93" w:name="_Toc19126"/>
      <w:r>
        <w:rPr>
          <w:rFonts w:hint="eastAsia" w:ascii="宋体" w:hAnsi="宋体" w:cs="宋体"/>
          <w:b/>
          <w:color w:val="000000"/>
          <w:sz w:val="24"/>
          <w:highlight w:val="none"/>
        </w:rPr>
        <w:t xml:space="preserve">8、招标文件的修改</w:t>
      </w:r>
      <w:bookmarkEnd w:id="91"/>
      <w:r/>
      <w:bookmarkEnd w:id="92"/>
      <w:r/>
      <w:bookmarkEnd w:id="9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8.1 在投标截止时间前，</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可以对招标文件进行修改。</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8.2 </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有权按照法定的要求推迟投标截止日期和开标日期。</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8.3 招标文件的修改将在江苏政府采购网公布，补充文件将作为招标文件的组成部分，并对投标人具有约束力。</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94" w:name="_Toc193678623"/>
      <w:r/>
      <w:bookmarkStart w:id="95" w:name="_Toc17821"/>
      <w:r/>
      <w:bookmarkStart w:id="96" w:name="_Toc24051"/>
      <w:r/>
      <w:bookmarkStart w:id="97" w:name="_Toc15833"/>
      <w:r/>
      <w:bookmarkStart w:id="98" w:name="_Toc1447"/>
      <w:r>
        <w:rPr>
          <w:rFonts w:hint="eastAsia" w:ascii="宋体" w:hAnsi="宋体" w:cs="宋体"/>
          <w:b/>
          <w:color w:val="000000"/>
          <w:sz w:val="24"/>
          <w:highlight w:val="none"/>
        </w:rPr>
        <w:t xml:space="preserve">三、投标文件的编制</w:t>
      </w:r>
      <w:bookmarkEnd w:id="94"/>
      <w:r/>
      <w:bookmarkEnd w:id="95"/>
      <w:r/>
      <w:bookmarkEnd w:id="96"/>
      <w:r/>
      <w:bookmarkEnd w:id="97"/>
      <w:r/>
      <w:bookmarkEnd w:id="98"/>
      <w:r/>
      <w:r/>
    </w:p>
    <w:p>
      <w:pPr>
        <w:ind w:firstLine="482"/>
        <w:spacing w:before="161" w:line="360" w:lineRule="auto"/>
        <w:rPr>
          <w:rFonts w:hint="eastAsia" w:ascii="宋体" w:hAnsi="宋体" w:cs="宋体"/>
          <w:highlight w:val="none"/>
        </w:rPr>
        <w:outlineLvl w:val="2"/>
      </w:pPr>
      <w:r/>
      <w:bookmarkStart w:id="99" w:name="_Toc55"/>
      <w:r/>
      <w:bookmarkStart w:id="100" w:name="_Toc8441"/>
      <w:r/>
      <w:bookmarkStart w:id="101" w:name="_Toc24489"/>
      <w:r>
        <w:rPr>
          <w:rFonts w:hint="eastAsia" w:ascii="宋体" w:hAnsi="宋体" w:cs="宋体"/>
          <w:b/>
          <w:color w:val="000000"/>
          <w:sz w:val="24"/>
          <w:highlight w:val="none"/>
        </w:rPr>
        <w:t xml:space="preserve">9、投标文件的语言及度量衡单位</w:t>
      </w:r>
      <w:bookmarkEnd w:id="99"/>
      <w:r/>
      <w:bookmarkEnd w:id="100"/>
      <w:r/>
      <w:bookmarkEnd w:id="101"/>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9.1 投标人提交的投标文件以及投标人与</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就有关投标的所有来往通知、函件和文件均应使用</w:t>
      </w:r>
      <w:r>
        <w:rPr>
          <w:rFonts w:hint="eastAsia" w:ascii="宋体" w:hAnsi="宋体" w:cs="宋体"/>
          <w:b/>
          <w:color w:val="000000"/>
          <w:sz w:val="24"/>
          <w:highlight w:val="none"/>
        </w:rPr>
        <w:t xml:space="preserve">简体中文</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9.2 除技术性能另有规定外，投标文件所使用的度量衡单位，均须采用国家法定计量单位。</w:t>
      </w:r>
      <w:r/>
    </w:p>
    <w:p>
      <w:pPr>
        <w:ind w:firstLine="482"/>
        <w:spacing w:before="161" w:line="360" w:lineRule="auto"/>
        <w:rPr>
          <w:rFonts w:hint="eastAsia" w:ascii="宋体" w:hAnsi="宋体" w:cs="宋体"/>
          <w:highlight w:val="none"/>
        </w:rPr>
        <w:outlineLvl w:val="2"/>
      </w:pPr>
      <w:r/>
      <w:bookmarkStart w:id="102" w:name="_Toc31965"/>
      <w:r/>
      <w:bookmarkStart w:id="103" w:name="_Toc17349"/>
      <w:r/>
      <w:bookmarkStart w:id="104" w:name="_Toc11610"/>
      <w:r>
        <w:rPr>
          <w:rFonts w:hint="eastAsia" w:ascii="宋体" w:hAnsi="宋体" w:cs="宋体"/>
          <w:b/>
          <w:color w:val="000000"/>
          <w:sz w:val="24"/>
          <w:highlight w:val="none"/>
        </w:rPr>
        <w:t xml:space="preserve">10、投标文件构成</w:t>
      </w:r>
      <w:bookmarkEnd w:id="102"/>
      <w:r/>
      <w:bookmarkEnd w:id="103"/>
      <w:r/>
      <w:bookmarkEnd w:id="104"/>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10.1投标人编写的投标文件应包括资格证明文件</w:t>
      </w:r>
      <w:r>
        <w:rPr>
          <w:rFonts w:hint="eastAsia" w:ascii="宋体" w:hAnsi="宋体" w:cs="宋体"/>
          <w:sz w:val="24"/>
          <w:highlight w:val="none"/>
        </w:rPr>
        <w:t xml:space="preserve">、符合性证明文件、技术、商务条款偏离表、其他证明文件</w:t>
      </w:r>
      <w:r>
        <w:rPr>
          <w:rFonts w:hint="eastAsia" w:ascii="宋体" w:hAnsi="宋体" w:cs="宋体"/>
          <w:color w:val="000000"/>
          <w:sz w:val="24"/>
          <w:highlight w:val="none"/>
        </w:rPr>
        <w:t xml:space="preserve">、响应函、开标一览表等部分。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10.2如标书制作工具中格式和内容与“江苏政府采购网”发布的招标文件不一致，请以“江苏政府采购网”发布的招标文件为准。</w:t>
      </w:r>
      <w:r/>
    </w:p>
    <w:p>
      <w:pPr>
        <w:ind w:firstLine="482"/>
        <w:spacing w:before="161" w:line="360" w:lineRule="auto"/>
        <w:rPr>
          <w:rFonts w:hint="eastAsia" w:ascii="宋体" w:hAnsi="宋体" w:cs="宋体"/>
          <w:highlight w:val="none"/>
        </w:rPr>
        <w:outlineLvl w:val="2"/>
      </w:pPr>
      <w:r/>
      <w:bookmarkStart w:id="105" w:name="_Toc3771"/>
      <w:r/>
      <w:bookmarkStart w:id="106" w:name="_Toc12682"/>
      <w:r/>
      <w:bookmarkStart w:id="107" w:name="_Toc9531"/>
      <w:r>
        <w:rPr>
          <w:rFonts w:hint="eastAsia" w:ascii="宋体" w:hAnsi="宋体" w:cs="宋体"/>
          <w:b/>
          <w:color w:val="000000"/>
          <w:sz w:val="24"/>
          <w:highlight w:val="none"/>
        </w:rPr>
        <w:t xml:space="preserve">11、证明投标人及投标标的符合招标文件规定的文件</w:t>
      </w:r>
      <w:bookmarkEnd w:id="105"/>
      <w:r/>
      <w:bookmarkEnd w:id="106"/>
      <w:r/>
      <w:bookmarkEnd w:id="107"/>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11.1投标人应按照招标文件要求提交证明文件，证明其及投标标的符合招标文件规定。</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11.2招标文件对证明文件无明确形式要求的，证明文件可以以文字资料、图纸和数据等形式提交。</w:t>
      </w:r>
      <w:r/>
    </w:p>
    <w:p>
      <w:pPr>
        <w:ind w:firstLine="482"/>
        <w:spacing w:before="161" w:line="360" w:lineRule="auto"/>
        <w:rPr>
          <w:rFonts w:hint="eastAsia" w:ascii="宋体" w:hAnsi="宋体" w:cs="宋体"/>
          <w:highlight w:val="none"/>
        </w:rPr>
        <w:outlineLvl w:val="2"/>
      </w:pPr>
      <w:r/>
      <w:bookmarkStart w:id="108" w:name="_Toc9759"/>
      <w:r/>
      <w:bookmarkStart w:id="109" w:name="_Toc620"/>
      <w:r/>
      <w:bookmarkStart w:id="110" w:name="_Toc2159"/>
      <w:r>
        <w:rPr>
          <w:rFonts w:hint="eastAsia" w:ascii="宋体" w:hAnsi="宋体" w:cs="宋体"/>
          <w:b/>
          <w:color w:val="000000"/>
          <w:sz w:val="24"/>
          <w:highlight w:val="none"/>
        </w:rPr>
        <w:t xml:space="preserve">12、投标分项报价表</w:t>
      </w:r>
      <w:bookmarkEnd w:id="108"/>
      <w:r/>
      <w:bookmarkEnd w:id="109"/>
      <w:r/>
      <w:bookmarkEnd w:id="11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12.1投标人应按照招标文件规定格式填报投标分项报价表。</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p>
    <w:p>
      <w:pPr>
        <w:ind w:firstLine="482"/>
        <w:spacing w:before="161" w:line="360" w:lineRule="auto"/>
        <w:rPr>
          <w:rFonts w:hint="eastAsia" w:ascii="宋体" w:hAnsi="宋体" w:cs="宋体"/>
          <w:highlight w:val="none"/>
        </w:rPr>
        <w:outlineLvl w:val="2"/>
      </w:pPr>
      <w:r/>
      <w:bookmarkStart w:id="111" w:name="_Toc30377"/>
      <w:r/>
      <w:bookmarkStart w:id="112" w:name="_Toc31506"/>
      <w:r/>
      <w:bookmarkStart w:id="113" w:name="_Toc14924"/>
      <w:r>
        <w:rPr>
          <w:rFonts w:hint="eastAsia" w:ascii="宋体" w:hAnsi="宋体" w:cs="宋体"/>
          <w:b/>
          <w:color w:val="000000"/>
          <w:sz w:val="24"/>
          <w:highlight w:val="none"/>
        </w:rPr>
        <w:t xml:space="preserve">13</w:t>
      </w:r>
      <w:r>
        <w:rPr>
          <w:rFonts w:hint="eastAsia" w:ascii="宋体" w:hAnsi="宋体" w:cs="宋体"/>
          <w:b/>
          <w:sz w:val="24"/>
          <w:highlight w:val="none"/>
        </w:rPr>
        <w:t xml:space="preserve">、</w:t>
      </w:r>
      <w:bookmarkEnd w:id="111"/>
      <w:r/>
      <w:bookmarkEnd w:id="112"/>
      <w:r/>
      <w:bookmarkEnd w:id="113"/>
      <w:r>
        <w:rPr>
          <w:rFonts w:hint="eastAsia" w:ascii="宋体" w:hAnsi="宋体" w:cs="宋体"/>
          <w:b/>
          <w:sz w:val="24"/>
          <w:highlight w:val="none"/>
        </w:rPr>
        <w:t xml:space="preserve">技术、商务条款偏离表</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13.1 投标人需对招标文件中的采购需求作出响应或偏离，并说明原因。</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13.2 如无偏离，仅勾选无偏离即可；如有偏离，则应在本表中对偏离项逐一列明</w:t>
      </w:r>
      <w:r/>
    </w:p>
    <w:p>
      <w:pPr>
        <w:ind w:firstLine="482"/>
        <w:spacing w:before="161" w:line="360" w:lineRule="auto"/>
        <w:rPr>
          <w:rFonts w:hint="eastAsia" w:ascii="宋体" w:hAnsi="宋体" w:cs="宋体"/>
          <w:highlight w:val="none"/>
        </w:rPr>
        <w:outlineLvl w:val="2"/>
      </w:pPr>
      <w:r/>
      <w:bookmarkStart w:id="114" w:name="_Toc2687"/>
      <w:r/>
      <w:bookmarkStart w:id="115" w:name="_Toc2012"/>
      <w:r/>
      <w:bookmarkStart w:id="116" w:name="_Toc30054"/>
      <w:r>
        <w:rPr>
          <w:rFonts w:hint="eastAsia" w:ascii="宋体" w:hAnsi="宋体" w:cs="宋体"/>
          <w:b/>
          <w:color w:val="000000"/>
          <w:sz w:val="24"/>
          <w:highlight w:val="none"/>
        </w:rPr>
        <w:t xml:space="preserve">14、服务承诺、培训计划、人员安排及其他</w:t>
      </w:r>
      <w:bookmarkEnd w:id="114"/>
      <w:r/>
      <w:bookmarkEnd w:id="115"/>
      <w:r/>
      <w:bookmarkEnd w:id="11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14.1投标人需根据招标文件要求提供有关售后服务的管理制度，售后服务机构的分布情况，售后服务人员的数量、素质、技术水平及售后服务的反应能力等。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14.2投标人需根据招标文件要求提供培训计划。</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14.3投标人需根据招标文件要求提供所投标的的主要组成部分、功能设计、实现思路及关键技术等。</w:t>
      </w:r>
      <w:r/>
    </w:p>
    <w:p>
      <w:pPr>
        <w:ind w:firstLine="482"/>
        <w:spacing w:before="161" w:line="360" w:lineRule="auto"/>
        <w:rPr>
          <w:rFonts w:hint="eastAsia" w:ascii="宋体" w:hAnsi="宋体" w:cs="宋体"/>
          <w:highlight w:val="none"/>
        </w:rPr>
        <w:outlineLvl w:val="2"/>
      </w:pPr>
      <w:r/>
      <w:bookmarkStart w:id="117" w:name="_Toc5756"/>
      <w:r/>
      <w:bookmarkStart w:id="118" w:name="_Toc24671"/>
      <w:r/>
      <w:bookmarkStart w:id="119" w:name="_Toc10014"/>
      <w:r>
        <w:rPr>
          <w:rFonts w:hint="eastAsia" w:ascii="宋体" w:hAnsi="宋体" w:cs="宋体"/>
          <w:b/>
          <w:color w:val="000000"/>
          <w:sz w:val="24"/>
          <w:highlight w:val="none"/>
        </w:rPr>
        <w:t xml:space="preserve">15、响应函和开标一览表</w:t>
      </w:r>
      <w:bookmarkEnd w:id="117"/>
      <w:r/>
      <w:bookmarkEnd w:id="118"/>
      <w:r/>
      <w:bookmarkEnd w:id="11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15.1投标人应按照招标文件中提供的格式完整、正确填写响应函、开标一览表。</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line="360" w:lineRule="auto"/>
        <w:rPr>
          <w:rFonts w:hint="eastAsia" w:ascii="宋体" w:hAnsi="宋体" w:cs="宋体"/>
          <w:highlight w:val="none"/>
        </w:rPr>
        <w:outlineLvl w:val="2"/>
      </w:pPr>
      <w:r/>
      <w:bookmarkStart w:id="120" w:name="_Toc10636"/>
      <w:r/>
      <w:bookmarkStart w:id="121" w:name="_Toc16777"/>
      <w:r/>
      <w:bookmarkStart w:id="122" w:name="_Toc997"/>
      <w:r>
        <w:rPr>
          <w:rFonts w:hint="eastAsia" w:ascii="宋体" w:hAnsi="宋体" w:cs="宋体"/>
          <w:b/>
          <w:color w:val="000000"/>
          <w:sz w:val="24"/>
          <w:highlight w:val="none"/>
        </w:rPr>
        <w:t xml:space="preserve">16、投标有效期</w:t>
      </w:r>
      <w:bookmarkEnd w:id="120"/>
      <w:r/>
      <w:bookmarkEnd w:id="121"/>
      <w:r/>
      <w:bookmarkEnd w:id="122"/>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16.1投标有</w:t>
      </w:r>
      <w:r>
        <w:rPr>
          <w:rFonts w:hint="eastAsia" w:ascii="宋体" w:hAnsi="宋体" w:cs="宋体"/>
          <w:sz w:val="24"/>
          <w:highlight w:val="none"/>
        </w:rPr>
        <w:t xml:space="preserve">效期为开标之日起</w:t>
      </w:r>
      <w:r>
        <w:rPr>
          <w:rFonts w:hint="eastAsia" w:ascii="宋体" w:hAnsi="宋体" w:cs="宋体"/>
          <w:b/>
          <w:sz w:val="24"/>
          <w:highlight w:val="none"/>
          <w:u w:val="single"/>
        </w:rPr>
        <w:t xml:space="preserve">六十（60）天</w:t>
      </w:r>
      <w:r>
        <w:rPr>
          <w:rFonts w:hint="eastAsia" w:ascii="宋体" w:hAnsi="宋体" w:cs="宋体"/>
          <w:sz w:val="24"/>
          <w:highlight w:val="none"/>
        </w:rPr>
        <w:t xml:space="preserve">。投标</w:t>
      </w:r>
      <w:r>
        <w:rPr>
          <w:rFonts w:hint="eastAsia" w:ascii="宋体" w:hAnsi="宋体" w:cs="宋体"/>
          <w:color w:val="000000"/>
          <w:sz w:val="24"/>
          <w:highlight w:val="none"/>
        </w:rPr>
        <w:t xml:space="preserve">有效期比规定短的将被视为未实质性响应招标文件而予以拒绝。</w:t>
      </w:r>
      <w:r/>
    </w:p>
    <w:p>
      <w:pPr>
        <w:ind w:firstLine="482"/>
        <w:spacing w:before="161" w:line="360" w:lineRule="auto"/>
        <w:rPr>
          <w:rFonts w:hint="eastAsia" w:ascii="宋体" w:hAnsi="宋体" w:cs="宋体"/>
          <w:highlight w:val="none"/>
        </w:rPr>
        <w:outlineLvl w:val="2"/>
      </w:pPr>
      <w:r/>
      <w:bookmarkStart w:id="123" w:name="_Toc4091"/>
      <w:r/>
      <w:bookmarkStart w:id="124" w:name="_Toc4897"/>
      <w:r/>
      <w:bookmarkStart w:id="125" w:name="_Toc11883"/>
      <w:r>
        <w:rPr>
          <w:rFonts w:hint="eastAsia" w:ascii="宋体" w:hAnsi="宋体" w:cs="宋体"/>
          <w:b/>
          <w:color w:val="000000"/>
          <w:sz w:val="24"/>
          <w:highlight w:val="none"/>
        </w:rPr>
        <w:t xml:space="preserve">17、投标有效期的延长</w:t>
      </w:r>
      <w:bookmarkEnd w:id="123"/>
      <w:r/>
      <w:bookmarkEnd w:id="124"/>
      <w:r/>
      <w:bookmarkEnd w:id="125"/>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17.1在特殊情况下，</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2"/>
        <w:spacing w:line="360" w:lineRule="auto"/>
        <w:rPr>
          <w:rFonts w:hint="eastAsia" w:ascii="宋体" w:hAnsi="宋体" w:cs="宋体"/>
          <w:highlight w:val="none"/>
        </w:rPr>
        <w:outlineLvl w:val="1"/>
      </w:pPr>
      <w:r/>
      <w:bookmarkStart w:id="126" w:name="_Toc17032"/>
      <w:r/>
      <w:bookmarkStart w:id="127" w:name="_Toc9926"/>
      <w:r/>
      <w:bookmarkStart w:id="128" w:name="_Toc193678624"/>
      <w:r/>
      <w:bookmarkStart w:id="129" w:name="_Toc20024"/>
      <w:r/>
      <w:bookmarkStart w:id="130" w:name="_Toc23862"/>
      <w:r>
        <w:rPr>
          <w:rFonts w:hint="eastAsia" w:ascii="宋体" w:hAnsi="宋体" w:cs="宋体"/>
          <w:b/>
          <w:color w:val="000000"/>
          <w:sz w:val="24"/>
          <w:highlight w:val="none"/>
        </w:rPr>
        <w:t xml:space="preserve">四、投标文件的递交</w:t>
      </w:r>
      <w:bookmarkEnd w:id="126"/>
      <w:r/>
      <w:bookmarkEnd w:id="127"/>
      <w:r/>
      <w:bookmarkEnd w:id="128"/>
      <w:r/>
      <w:bookmarkEnd w:id="129"/>
      <w:r/>
      <w:bookmarkEnd w:id="130"/>
      <w:r/>
      <w:r/>
    </w:p>
    <w:p>
      <w:pPr>
        <w:ind w:firstLine="482"/>
        <w:spacing w:before="161" w:line="360" w:lineRule="auto"/>
        <w:rPr>
          <w:rFonts w:hint="eastAsia" w:ascii="宋体" w:hAnsi="宋体" w:cs="宋体"/>
          <w:highlight w:val="none"/>
        </w:rPr>
        <w:outlineLvl w:val="2"/>
      </w:pPr>
      <w:r/>
      <w:bookmarkStart w:id="131" w:name="_Toc2169"/>
      <w:r/>
      <w:bookmarkStart w:id="132" w:name="_Toc3515"/>
      <w:r/>
      <w:bookmarkStart w:id="133" w:name="_Toc23420"/>
      <w:r>
        <w:rPr>
          <w:rFonts w:hint="eastAsia" w:ascii="宋体" w:hAnsi="宋体" w:cs="宋体"/>
          <w:b/>
          <w:color w:val="000000"/>
          <w:sz w:val="24"/>
          <w:highlight w:val="none"/>
        </w:rPr>
        <w:t xml:space="preserve">18、电子投标文件的递交</w:t>
      </w:r>
      <w:bookmarkEnd w:id="131"/>
      <w:r/>
      <w:bookmarkEnd w:id="132"/>
      <w:r/>
      <w:bookmarkEnd w:id="13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18.1投标人应当按照《操作手册》规定，在投标截止时间前制作并上传电子投标文件。</w:t>
      </w:r>
      <w:r/>
    </w:p>
    <w:p>
      <w:pPr>
        <w:ind w:firstLine="482"/>
        <w:spacing w:before="161" w:line="360" w:lineRule="auto"/>
        <w:rPr>
          <w:rFonts w:hint="eastAsia" w:ascii="宋体" w:hAnsi="宋体" w:cs="宋体"/>
          <w:highlight w:val="none"/>
        </w:rPr>
        <w:outlineLvl w:val="2"/>
      </w:pPr>
      <w:r/>
      <w:bookmarkStart w:id="134" w:name="_Toc5011"/>
      <w:r/>
      <w:bookmarkStart w:id="135" w:name="_Toc15219"/>
      <w:r/>
      <w:bookmarkStart w:id="136" w:name="_Toc12413"/>
      <w:r>
        <w:rPr>
          <w:rFonts w:hint="eastAsia" w:ascii="宋体" w:hAnsi="宋体" w:cs="宋体"/>
          <w:b/>
          <w:color w:val="000000"/>
          <w:sz w:val="24"/>
          <w:highlight w:val="none"/>
        </w:rPr>
        <w:t xml:space="preserve">19、投标截止日期</w:t>
      </w:r>
      <w:bookmarkEnd w:id="134"/>
      <w:r/>
      <w:bookmarkEnd w:id="135"/>
      <w:r/>
      <w:bookmarkEnd w:id="13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19.1投标人上传电子投标文件的时间不得迟于招标公告中规定的投标截止时间。</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19.2 </w:t>
      </w:r>
      <w:r>
        <w:rPr>
          <w:rFonts w:hint="eastAsia" w:ascii="宋体" w:hAnsi="宋体" w:cs="宋体"/>
          <w:color w:val="000000"/>
          <w:sz w:val="24"/>
          <w:highlight w:val="none"/>
          <w:u w:val="single"/>
        </w:rPr>
        <w:t xml:space="preserve">采购代理机构</w:t>
      </w:r>
      <w:r>
        <w:rPr>
          <w:rFonts w:hint="eastAsia" w:ascii="宋体" w:hAnsi="宋体" w:cs="宋体"/>
          <w:color w:val="000000"/>
          <w:sz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line="360" w:lineRule="auto"/>
        <w:rPr>
          <w:rFonts w:hint="eastAsia" w:ascii="宋体" w:hAnsi="宋体" w:cs="宋体"/>
          <w:highlight w:val="none"/>
        </w:rPr>
        <w:outlineLvl w:val="2"/>
      </w:pPr>
      <w:r/>
      <w:bookmarkStart w:id="137" w:name="_Toc7348"/>
      <w:r/>
      <w:bookmarkStart w:id="138" w:name="_Toc2267"/>
      <w:r/>
      <w:bookmarkStart w:id="139" w:name="_Toc14611"/>
      <w:r>
        <w:rPr>
          <w:rFonts w:hint="eastAsia" w:ascii="宋体" w:hAnsi="宋体" w:cs="宋体"/>
          <w:b/>
          <w:color w:val="000000"/>
          <w:sz w:val="24"/>
          <w:highlight w:val="none"/>
        </w:rPr>
        <w:t xml:space="preserve">20、投标文件的拒收</w:t>
      </w:r>
      <w:bookmarkEnd w:id="137"/>
      <w:r/>
      <w:bookmarkEnd w:id="138"/>
      <w:r/>
      <w:bookmarkEnd w:id="13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20.1 采购代理机构拒绝接收在其规定的投标截止时间后上传的任何投标文件。</w:t>
      </w:r>
      <w:r/>
    </w:p>
    <w:p>
      <w:pPr>
        <w:ind w:firstLine="482"/>
        <w:spacing w:before="161" w:line="360" w:lineRule="auto"/>
        <w:rPr>
          <w:rFonts w:hint="eastAsia" w:ascii="宋体" w:hAnsi="宋体" w:cs="宋体"/>
          <w:highlight w:val="none"/>
        </w:rPr>
        <w:outlineLvl w:val="2"/>
      </w:pPr>
      <w:r/>
      <w:bookmarkStart w:id="140" w:name="_Toc27685"/>
      <w:r/>
      <w:bookmarkStart w:id="141" w:name="_Toc11769"/>
      <w:r/>
      <w:bookmarkStart w:id="142" w:name="_Toc5294"/>
      <w:r>
        <w:rPr>
          <w:rFonts w:hint="eastAsia" w:ascii="宋体" w:hAnsi="宋体" w:cs="宋体"/>
          <w:b/>
          <w:color w:val="000000"/>
          <w:sz w:val="24"/>
          <w:highlight w:val="none"/>
        </w:rPr>
        <w:t xml:space="preserve">21、投标文件的撤回和修改</w:t>
      </w:r>
      <w:bookmarkEnd w:id="140"/>
      <w:r/>
      <w:bookmarkEnd w:id="141"/>
      <w:r/>
      <w:bookmarkEnd w:id="142"/>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21.1 投标文件的撤回</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21.1.1 电子投标文件的撤回</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21.1.2 投标人撤回电子投标文件，则认为其不再参与本项目投标活动。</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21.2 投标文件的修改</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21.2.1投标人可在投标截止时间前，对其电子投标文件进行修改，具体操作方法见《操作手册》。</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21.2.2 在投标截止时间之后，投标人不得对其电子投标文件作任何修改。</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21.3 在投标截止时间至招标文件中规定的投标有效期满之间的这段时间内，投标人不得撤回其投标。</w:t>
      </w:r>
      <w:r/>
    </w:p>
    <w:p>
      <w:pPr>
        <w:ind w:firstLine="482"/>
        <w:spacing w:line="360" w:lineRule="auto"/>
        <w:rPr>
          <w:rFonts w:hint="eastAsia" w:ascii="宋体" w:hAnsi="宋体" w:cs="宋体"/>
          <w:highlight w:val="none"/>
        </w:rPr>
      </w:pPr>
      <w:r>
        <w:rPr>
          <w:rFonts w:hint="eastAsia" w:ascii="宋体" w:hAnsi="宋体" w:cs="宋体"/>
          <w:b/>
          <w:color w:val="000000"/>
          <w:sz w:val="24"/>
          <w:highlight w:val="none"/>
        </w:rPr>
        <w:t xml:space="preserve"> </w:t>
      </w:r>
      <w:r/>
    </w:p>
    <w:p>
      <w:pPr>
        <w:ind w:firstLine="482"/>
        <w:spacing w:line="360" w:lineRule="auto"/>
        <w:rPr>
          <w:rFonts w:hint="eastAsia" w:ascii="宋体" w:hAnsi="宋体" w:cs="宋体"/>
          <w:highlight w:val="none"/>
        </w:rPr>
        <w:outlineLvl w:val="1"/>
      </w:pPr>
      <w:r/>
      <w:bookmarkStart w:id="143" w:name="_Toc29449"/>
      <w:r/>
      <w:bookmarkStart w:id="144" w:name="_Toc24542"/>
      <w:r/>
      <w:bookmarkStart w:id="145" w:name="_Toc23795"/>
      <w:r/>
      <w:bookmarkStart w:id="146" w:name="_Toc193678625"/>
      <w:r/>
      <w:bookmarkStart w:id="147" w:name="_Toc19690"/>
      <w:r>
        <w:rPr>
          <w:rFonts w:hint="eastAsia" w:ascii="宋体" w:hAnsi="宋体" w:cs="宋体"/>
          <w:b/>
          <w:color w:val="000000"/>
          <w:sz w:val="24"/>
          <w:highlight w:val="none"/>
        </w:rPr>
        <w:t xml:space="preserve">五、开标与评标</w:t>
      </w:r>
      <w:bookmarkEnd w:id="143"/>
      <w:r/>
      <w:bookmarkEnd w:id="144"/>
      <w:r/>
      <w:bookmarkEnd w:id="145"/>
      <w:r/>
      <w:bookmarkEnd w:id="146"/>
      <w:r/>
      <w:bookmarkEnd w:id="147"/>
      <w:r/>
      <w:r/>
    </w:p>
    <w:p>
      <w:pPr>
        <w:ind w:firstLine="482"/>
        <w:spacing w:before="161" w:line="360" w:lineRule="auto"/>
        <w:rPr>
          <w:rFonts w:hint="eastAsia" w:ascii="宋体" w:hAnsi="宋体" w:cs="宋体"/>
          <w:highlight w:val="none"/>
        </w:rPr>
        <w:outlineLvl w:val="2"/>
      </w:pPr>
      <w:r/>
      <w:bookmarkStart w:id="148" w:name="_Toc31936"/>
      <w:r/>
      <w:bookmarkStart w:id="149" w:name="_Toc27136"/>
      <w:r/>
      <w:bookmarkStart w:id="150" w:name="_Toc832"/>
      <w:r>
        <w:rPr>
          <w:rFonts w:hint="eastAsia" w:ascii="宋体" w:hAnsi="宋体" w:cs="宋体"/>
          <w:b/>
          <w:color w:val="000000"/>
          <w:sz w:val="24"/>
          <w:highlight w:val="none"/>
        </w:rPr>
        <w:t xml:space="preserve">22、开标</w:t>
      </w:r>
      <w:bookmarkEnd w:id="148"/>
      <w:r/>
      <w:bookmarkEnd w:id="149"/>
      <w:r/>
      <w:bookmarkEnd w:id="15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22.1 采购代理机构将在招标公告中规定的时间和地点组织公开开标。投标人应当按照《操作手册》规定，参加开标活动和在</w:t>
      </w:r>
      <w:r>
        <w:rPr>
          <w:rFonts w:hint="eastAsia" w:ascii="宋体" w:hAnsi="宋体" w:cs="宋体"/>
          <w:sz w:val="24"/>
          <w:highlight w:val="none"/>
        </w:rPr>
        <w:t xml:space="preserve">苏采云系统规定的时间内对投标文件进行解密。</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22.2 开标仪式由采购代理机构组织。苏采云系统将自动对项目进行开标，并宣布各投标人名称和投标价格。</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22.3 投标人在开标过程中涉及到的投标文件解密、开标结果确认等工作，应按照《操作手册》规定执行。</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22.4 投标人如果对开标过程和开标记录有疑义，应当根据《操作手册》规定提出，如苏采云系统中《开标记录表》宣布</w:t>
      </w:r>
      <w:r>
        <w:rPr>
          <w:rFonts w:hint="eastAsia" w:ascii="宋体" w:hAnsi="宋体" w:cs="宋体"/>
          <w:color w:val="000000"/>
          <w:sz w:val="24"/>
          <w:highlight w:val="none"/>
        </w:rPr>
        <w:t xml:space="preserve">后5分钟内未提出的，视同认可开标结果。</w:t>
      </w:r>
      <w:r/>
    </w:p>
    <w:p>
      <w:pPr>
        <w:ind w:firstLine="482"/>
        <w:spacing w:before="161" w:line="360" w:lineRule="auto"/>
        <w:rPr>
          <w:rFonts w:hint="eastAsia" w:ascii="宋体" w:hAnsi="宋体" w:cs="宋体"/>
          <w:highlight w:val="none"/>
        </w:rPr>
        <w:outlineLvl w:val="2"/>
      </w:pPr>
      <w:r/>
      <w:bookmarkStart w:id="151" w:name="_Toc17534"/>
      <w:r/>
      <w:bookmarkStart w:id="152" w:name="_Toc8566"/>
      <w:r/>
      <w:bookmarkStart w:id="153" w:name="_Toc18519"/>
      <w:r>
        <w:rPr>
          <w:rFonts w:hint="eastAsia" w:ascii="宋体" w:hAnsi="宋体" w:cs="宋体"/>
          <w:b/>
          <w:color w:val="000000"/>
          <w:sz w:val="24"/>
          <w:highlight w:val="none"/>
        </w:rPr>
        <w:t xml:space="preserve">23、评标委员会</w:t>
      </w:r>
      <w:bookmarkEnd w:id="151"/>
      <w:r/>
      <w:bookmarkEnd w:id="152"/>
      <w:r/>
      <w:bookmarkEnd w:id="15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23.1开标后，采购代理机构将立即组织评标委员会（以下简称评委会）进行评标。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23.2 评委会由采购人代表和有关技术、经济等方面的专家组成，且人员构成符合政府采购有关规定。</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23.3评委会独立工作，负责评审所有投标文件并确定中标候选人。</w:t>
      </w:r>
      <w:r/>
    </w:p>
    <w:p>
      <w:pPr>
        <w:ind w:firstLine="482"/>
        <w:spacing w:before="161" w:line="360" w:lineRule="auto"/>
        <w:rPr>
          <w:rFonts w:hint="eastAsia" w:ascii="宋体" w:hAnsi="宋体" w:cs="宋体"/>
          <w:highlight w:val="none"/>
        </w:rPr>
        <w:outlineLvl w:val="2"/>
      </w:pPr>
      <w:r/>
      <w:bookmarkStart w:id="154" w:name="_Toc18807"/>
      <w:r/>
      <w:bookmarkStart w:id="155" w:name="_Toc28337"/>
      <w:r/>
      <w:bookmarkStart w:id="156" w:name="_Toc4363"/>
      <w:r>
        <w:rPr>
          <w:rFonts w:hint="eastAsia" w:ascii="宋体" w:hAnsi="宋体" w:cs="宋体"/>
          <w:b/>
          <w:color w:val="000000"/>
          <w:sz w:val="24"/>
          <w:highlight w:val="none"/>
        </w:rPr>
        <w:t xml:space="preserve">24．评标过程的保密与公正</w:t>
      </w:r>
      <w:bookmarkEnd w:id="154"/>
      <w:r/>
      <w:bookmarkEnd w:id="155"/>
      <w:r/>
      <w:bookmarkEnd w:id="15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24.1 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24.3 采购代理机构和评标委员会不向未中标的投标人解释未中标原因，也不公布评标过程中的相关细节。</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24.4 采用综合评分法的项目，未中标的投标人可于中标结果公告期限届满之日起通过</w:t>
      </w:r>
      <w:r>
        <w:rPr>
          <w:rFonts w:hint="eastAsia" w:ascii="宋体" w:hAnsi="宋体" w:cs="宋体"/>
          <w:sz w:val="24"/>
          <w:highlight w:val="none"/>
        </w:rPr>
        <w:t xml:space="preserve">苏采云系统查看自己的评审得分及</w:t>
      </w:r>
      <w:r>
        <w:rPr>
          <w:rFonts w:hint="eastAsia" w:ascii="宋体" w:hAnsi="宋体" w:cs="宋体"/>
          <w:color w:val="000000"/>
          <w:sz w:val="24"/>
          <w:highlight w:val="none"/>
        </w:rPr>
        <w:t xml:space="preserve">排序情况。</w:t>
      </w:r>
      <w:r/>
    </w:p>
    <w:p>
      <w:pPr>
        <w:ind w:firstLine="482"/>
        <w:spacing w:before="161" w:line="360" w:lineRule="auto"/>
        <w:rPr>
          <w:rFonts w:hint="eastAsia" w:ascii="宋体" w:hAnsi="宋体" w:cs="宋体"/>
          <w:highlight w:val="none"/>
        </w:rPr>
        <w:outlineLvl w:val="2"/>
      </w:pPr>
      <w:r/>
      <w:bookmarkStart w:id="157" w:name="_Toc16416"/>
      <w:r/>
      <w:bookmarkStart w:id="158" w:name="_Toc3225"/>
      <w:r/>
      <w:bookmarkStart w:id="159" w:name="_Toc17272"/>
      <w:r>
        <w:rPr>
          <w:rFonts w:hint="eastAsia" w:ascii="宋体" w:hAnsi="宋体" w:cs="宋体"/>
          <w:b/>
          <w:color w:val="000000"/>
          <w:sz w:val="24"/>
          <w:highlight w:val="none"/>
        </w:rPr>
        <w:t xml:space="preserve">25．投标文件的澄清</w:t>
      </w:r>
      <w:bookmarkEnd w:id="157"/>
      <w:r/>
      <w:bookmarkEnd w:id="158"/>
      <w:r/>
      <w:bookmarkEnd w:id="15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评标委员会并非对每个投标人都做澄清要求。</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25.3 接到评委会澄清、说明和补正要求的投标人如未按规定做出澄清、说明和补正，其风险由投标人自行承担。</w:t>
      </w:r>
      <w:r/>
    </w:p>
    <w:p>
      <w:pPr>
        <w:ind w:firstLine="482"/>
        <w:spacing w:before="161" w:line="360" w:lineRule="auto"/>
        <w:rPr>
          <w:rFonts w:hint="eastAsia" w:ascii="宋体" w:hAnsi="宋体" w:cs="宋体"/>
          <w:highlight w:val="none"/>
        </w:rPr>
        <w:outlineLvl w:val="2"/>
      </w:pPr>
      <w:r/>
      <w:bookmarkStart w:id="160" w:name="_Toc16586"/>
      <w:r/>
      <w:bookmarkStart w:id="161" w:name="_Toc27739"/>
      <w:r/>
      <w:bookmarkStart w:id="162" w:name="_Toc6592"/>
      <w:r>
        <w:rPr>
          <w:rFonts w:hint="eastAsia" w:ascii="宋体" w:hAnsi="宋体" w:cs="宋体"/>
          <w:b/>
          <w:color w:val="000000"/>
          <w:sz w:val="24"/>
          <w:highlight w:val="none"/>
        </w:rPr>
        <w:t xml:space="preserve">26、对投标文件的初审</w:t>
      </w:r>
      <w:bookmarkEnd w:id="160"/>
      <w:r/>
      <w:bookmarkEnd w:id="161"/>
      <w:r/>
      <w:bookmarkEnd w:id="162"/>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26.1 投标文件初审分为资格审查和符合性审查。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26.1.1 资格审查：依据法律法规和招标文件的规定，由</w:t>
      </w:r>
      <w:r>
        <w:rPr>
          <w:rFonts w:hint="eastAsia" w:ascii="宋体" w:hAnsi="宋体" w:cs="宋体"/>
          <w:color w:val="000000"/>
          <w:sz w:val="24"/>
          <w:highlight w:val="none"/>
        </w:rPr>
        <w:t xml:space="preserve">采购人对投标文件中的资格证明文件进行审查</w:t>
      </w:r>
      <w:r>
        <w:rPr>
          <w:rFonts w:hint="eastAsia" w:ascii="宋体" w:hAnsi="宋体" w:cs="宋体"/>
          <w:color w:val="000000"/>
          <w:sz w:val="24"/>
          <w:highlight w:val="none"/>
        </w:rPr>
        <w:t xml:space="preserve">。资格审查的结论，采购人以书面形式向评委会进行反馈。</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（2）大写金额和小写金额不一致的，以大写金额为准。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（4）总价金额与按单价汇总金额不一致的，以单价金额计算结果为准。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同时出现两种以上错误的，按照前款规定的顺序修正。</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26.5评委会将按上述修正错误的方法调整投标文件中的投标报价，并通过</w:t>
      </w:r>
      <w:r>
        <w:rPr>
          <w:rFonts w:hint="eastAsia" w:ascii="宋体" w:hAnsi="宋体" w:cs="宋体"/>
          <w:sz w:val="24"/>
          <w:highlight w:val="none"/>
        </w:rPr>
        <w:t xml:space="preserve">苏采云系统</w:t>
      </w:r>
      <w:r>
        <w:rPr>
          <w:rFonts w:hint="eastAsia" w:ascii="宋体" w:hAnsi="宋体" w:cs="宋体"/>
          <w:color w:val="000000"/>
          <w:sz w:val="24"/>
          <w:highlight w:val="none"/>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非单一产品采购项目，招标文件中将载明其中的核心产品。多家投标人提供的核心产品品牌相同的，按前两条规定处理。符合专业条件的供应商或者对招标文件作实质响应的供应商不足三家的，本项目废标。</w:t>
      </w:r>
      <w:r/>
    </w:p>
    <w:p>
      <w:pPr>
        <w:pStyle w:val="824"/>
        <w:ind w:firstLine="480"/>
        <w:spacing w:line="360" w:lineRule="auto"/>
        <w:rPr>
          <w:rFonts w:hint="eastAsia" w:ascii="宋体" w:hAnsi="宋体" w:cs="宋体"/>
          <w:highlight w:val="none"/>
        </w:rPr>
      </w:pPr>
      <w:r>
        <w:rPr>
          <w:rFonts w:hint="eastAsia" w:ascii="宋体" w:hAnsi="宋体" w:cs="宋体"/>
          <w:highlight w:val="none"/>
        </w:rPr>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26.7投标人在开、评标全过程中应保持通讯畅通，及时登录</w:t>
      </w:r>
      <w:r>
        <w:rPr>
          <w:rFonts w:hint="eastAsia" w:ascii="宋体" w:hAnsi="宋体" w:cs="宋体"/>
          <w:sz w:val="24"/>
          <w:highlight w:val="none"/>
        </w:rPr>
        <w:t xml:space="preserve">苏采云系统</w:t>
      </w:r>
      <w:r>
        <w:rPr>
          <w:rFonts w:hint="eastAsia" w:ascii="宋体" w:hAnsi="宋体" w:cs="宋体"/>
          <w:color w:val="000000"/>
          <w:sz w:val="24"/>
          <w:highlight w:val="none"/>
        </w:rPr>
        <w:t xml:space="preserve">查阅、答复相关信息，并安排专人与采购代理机构及评标委员会联系。</w:t>
      </w:r>
      <w:r/>
    </w:p>
    <w:p>
      <w:pPr>
        <w:ind w:firstLine="482"/>
        <w:spacing w:before="161" w:line="360" w:lineRule="auto"/>
        <w:rPr>
          <w:rFonts w:hint="eastAsia" w:ascii="宋体" w:hAnsi="宋体" w:cs="宋体"/>
          <w:highlight w:val="none"/>
        </w:rPr>
        <w:outlineLvl w:val="2"/>
      </w:pPr>
      <w:r/>
      <w:bookmarkStart w:id="163" w:name="_Toc24173"/>
      <w:r/>
      <w:bookmarkStart w:id="164" w:name="_Toc21676"/>
      <w:r/>
      <w:bookmarkStart w:id="165" w:name="_Toc5175"/>
      <w:r>
        <w:rPr>
          <w:rFonts w:hint="eastAsia" w:ascii="宋体" w:hAnsi="宋体" w:cs="宋体"/>
          <w:b/>
          <w:color w:val="000000"/>
          <w:sz w:val="24"/>
          <w:highlight w:val="none"/>
        </w:rPr>
        <w:t xml:space="preserve">27、无效投标条款和废标条款</w:t>
      </w:r>
      <w:bookmarkEnd w:id="163"/>
      <w:r/>
      <w:bookmarkEnd w:id="164"/>
      <w:r/>
      <w:bookmarkEnd w:id="165"/>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 无效投标条款</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27.1.1投标人在</w:t>
      </w:r>
      <w:r>
        <w:rPr>
          <w:rFonts w:hint="eastAsia" w:ascii="宋体" w:hAnsi="宋体" w:cs="宋体"/>
          <w:sz w:val="24"/>
          <w:highlight w:val="none"/>
        </w:rPr>
        <w:t xml:space="preserve">苏采云系统规定</w:t>
      </w:r>
      <w:r>
        <w:rPr>
          <w:rFonts w:hint="eastAsia" w:ascii="宋体" w:hAnsi="宋体" w:cs="宋体"/>
          <w:color w:val="000000"/>
          <w:sz w:val="24"/>
          <w:highlight w:val="none"/>
        </w:rPr>
        <w:t xml:space="preserve">的时间内未成功解密电子投标文件的。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27.1.2投标人未按照招标文件要求上传电子投标文件的。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27.1.3同一投标人提交两个（含两个）以上不同的投标报价的。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27.1.4投标人不具备招标文件中规定资格要求的。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27.1.5投标人的报价超过了采购预算或最高限价的。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27.1.6未通过符合性审查的。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27.1.7不符合招标文件中规定的实质性要求和条件的（本招标文件中“采购需求”中所有要求均为实质性要求）。</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27.1.8投标人被“信用中国”网站（www.creditchina.gov.cn）列入失信被执行人或</w:t>
      </w:r>
      <w:r>
        <w:rPr>
          <w:rFonts w:hint="eastAsia" w:ascii="宋体" w:hAnsi="宋体" w:cs="宋体"/>
          <w:color w:val="000000"/>
          <w:sz w:val="24"/>
          <w:highlight w:val="none"/>
          <w:u w:val="single"/>
        </w:rPr>
        <w:t xml:space="preserve">重大税收违法失信主体</w:t>
      </w:r>
      <w:r>
        <w:rPr>
          <w:rFonts w:hint="eastAsia" w:ascii="宋体" w:hAnsi="宋体" w:cs="宋体"/>
          <w:color w:val="000000"/>
          <w:sz w:val="24"/>
          <w:highlight w:val="none"/>
        </w:rPr>
        <w:t xml:space="preserve">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27.1.9投标文件含有采购人不能接受的附加条件的。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27.1.10评审过程中出现下列情形之一的，评审委员会应当启动异常低价投标（响应）审查程序：（1）投标（响应）报价低于采购项目预算50%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；（3）评审委员会认定的供应商报价过低、有可能影响产品质量或者不能诚信履约的其他情形。</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27.1.11若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27.1.12投标文件未按照招标文件要求加盖CA电子公章的。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27.1.13其他法律、法规及本招标文件规定的属无效投标的情形。</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27.2废标条款</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27.2.1符合专业条件的供应商或者对招标文件作实质响应的供应商不足三家的。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27.2.2出现影响采购公正的违法、违规行为的。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27.2.3因重大变故，采购任务取消的。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27.2.4评标委员会认定招标文件存在歧义、重大缺陷导致评审工作无法进行。</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27.2.5</w:t>
      </w:r>
      <w:r>
        <w:rPr>
          <w:rFonts w:hint="eastAsia" w:ascii="宋体" w:hAnsi="宋体" w:cs="宋体"/>
          <w:sz w:val="24"/>
          <w:highlight w:val="none"/>
        </w:rPr>
        <w:t xml:space="preserve">因苏采云系统系统故障</w:t>
      </w:r>
      <w:r>
        <w:rPr>
          <w:rFonts w:hint="eastAsia" w:ascii="宋体" w:hAnsi="宋体" w:cs="宋体"/>
          <w:color w:val="000000"/>
          <w:sz w:val="24"/>
          <w:highlight w:val="none"/>
        </w:rPr>
        <w:t xml:space="preserve">原因造成开标不成功的。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27.3投标截止时间结束后参加投标的供应商不足三家的处理：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27.3.1如出现投标截止时间结束后参加投标的供应商或者在评标期间对招标文件做出实质响应的供应商不足三家情况，按政府采购相关规定执行。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highlight w:val="none"/>
        </w:rPr>
      </w:pPr>
      <w:r>
        <w:rPr>
          <w:rFonts w:hint="eastAsia" w:ascii="宋体" w:hAnsi="宋体" w:cs="宋体"/>
          <w:b/>
          <w:color w:val="000000"/>
          <w:sz w:val="24"/>
          <w:highlight w:val="none"/>
        </w:rPr>
        <w:t xml:space="preserve"> </w:t>
      </w:r>
      <w:r/>
    </w:p>
    <w:p>
      <w:pPr>
        <w:ind w:firstLine="482"/>
        <w:spacing w:line="360" w:lineRule="auto"/>
        <w:rPr>
          <w:rFonts w:hint="eastAsia" w:ascii="宋体" w:hAnsi="宋体" w:cs="宋体"/>
          <w:highlight w:val="none"/>
        </w:rPr>
        <w:outlineLvl w:val="1"/>
      </w:pPr>
      <w:r/>
      <w:bookmarkStart w:id="166" w:name="_Toc1840"/>
      <w:r/>
      <w:bookmarkStart w:id="167" w:name="_Toc16229"/>
      <w:r/>
      <w:bookmarkStart w:id="168" w:name="_Toc27408"/>
      <w:r/>
      <w:bookmarkStart w:id="169" w:name="_Toc5966"/>
      <w:r/>
      <w:bookmarkStart w:id="170" w:name="_Toc193678626"/>
      <w:r>
        <w:rPr>
          <w:rFonts w:hint="eastAsia" w:ascii="宋体" w:hAnsi="宋体" w:cs="宋体"/>
          <w:b/>
          <w:color w:val="000000"/>
          <w:sz w:val="24"/>
          <w:highlight w:val="none"/>
        </w:rPr>
        <w:t xml:space="preserve">六、定标</w:t>
      </w:r>
      <w:bookmarkEnd w:id="166"/>
      <w:r/>
      <w:bookmarkEnd w:id="167"/>
      <w:r/>
      <w:bookmarkEnd w:id="168"/>
      <w:r/>
      <w:bookmarkEnd w:id="169"/>
      <w:r/>
      <w:bookmarkEnd w:id="170"/>
      <w:r/>
      <w:r/>
    </w:p>
    <w:p>
      <w:pPr>
        <w:ind w:firstLine="482"/>
        <w:spacing w:before="161" w:line="360" w:lineRule="auto"/>
        <w:rPr>
          <w:rFonts w:hint="eastAsia" w:ascii="宋体" w:hAnsi="宋体" w:cs="宋体"/>
          <w:highlight w:val="none"/>
        </w:rPr>
        <w:outlineLvl w:val="2"/>
      </w:pPr>
      <w:r/>
      <w:bookmarkStart w:id="171" w:name="_Toc6136"/>
      <w:r/>
      <w:bookmarkStart w:id="172" w:name="_Toc7238"/>
      <w:r/>
      <w:bookmarkStart w:id="173" w:name="_Toc12070"/>
      <w:r>
        <w:rPr>
          <w:rFonts w:hint="eastAsia" w:ascii="宋体" w:hAnsi="宋体" w:cs="宋体"/>
          <w:b/>
          <w:color w:val="000000"/>
          <w:sz w:val="24"/>
          <w:highlight w:val="none"/>
        </w:rPr>
        <w:t xml:space="preserve">28、确定中标单位</w:t>
      </w:r>
      <w:bookmarkEnd w:id="171"/>
      <w:r/>
      <w:bookmarkEnd w:id="172"/>
      <w:r/>
      <w:bookmarkEnd w:id="17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28.1中标候选人的选取原则和数量见招标文件第五章规定。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28.2 采购人应根据评委会推荐的中标候选人确定中标人。</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28.3 采购代理机构将在“江苏政府采购网”发布中标公告，公告期限为1个工作日。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 若有充分证据证明，中标人出现下列情况之一的，一经查实，将被取消中标资格：</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28.4.1 提供虚假材料谋取中标的。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28.4.2 向采购人、采购代理机构行贿或者提供其他不正当利益的。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28.4.3 属于本文件规定的无效条件，但在评标过程中又未被评委会发现的。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28.4.4 与采购人或者其他供应商恶意串通的。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28.4.5 采取不正当手段诋毁、排挤其他供应商的。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28.5</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有下列情形之一的，视为投标人串通投标，投标无效：</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28.5.1 不同投标人的投标文件由同一单位或者个人编制；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28.5.2 不同投标人委托同一单位或者个人办理投标事宜；</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28.5.3 不同投标人的投标文件载明的项目管理成员或者联系人员为同一人；</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28.5.4 不同投标人的投标文件异常一致或者投标报价呈规律性差异；</w:t>
      </w:r>
      <w:r/>
    </w:p>
    <w:p>
      <w:pPr>
        <w:ind w:firstLine="482"/>
        <w:spacing w:before="161" w:line="360" w:lineRule="auto"/>
        <w:rPr>
          <w:rFonts w:hint="eastAsia" w:ascii="宋体" w:hAnsi="宋体" w:cs="宋体"/>
          <w:highlight w:val="none"/>
        </w:rPr>
        <w:outlineLvl w:val="2"/>
      </w:pPr>
      <w:r/>
      <w:bookmarkStart w:id="174" w:name="_Toc20091"/>
      <w:r/>
      <w:bookmarkStart w:id="175" w:name="_Toc22100"/>
      <w:r/>
      <w:bookmarkStart w:id="176" w:name="_Toc23187"/>
      <w:r>
        <w:rPr>
          <w:rFonts w:hint="eastAsia" w:ascii="宋体" w:hAnsi="宋体" w:cs="宋体"/>
          <w:b/>
          <w:color w:val="000000"/>
          <w:sz w:val="24"/>
          <w:highlight w:val="none"/>
        </w:rPr>
        <w:t xml:space="preserve">29、质疑处理</w:t>
      </w:r>
      <w:bookmarkEnd w:id="174"/>
      <w:r/>
      <w:bookmarkEnd w:id="175"/>
      <w:r/>
      <w:bookmarkEnd w:id="176"/>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spacing w:line="360" w:lineRule="auto"/>
        <w:rPr>
          <w:rFonts w:hint="eastAsia" w:ascii="宋体" w:hAnsi="宋体" w:cs="宋体"/>
          <w:highlight w:val="none"/>
        </w:rPr>
      </w:pPr>
      <w:r>
        <w:rPr>
          <w:rFonts w:hint="eastAsia" w:ascii="宋体" w:hAnsi="宋体" w:cs="宋体"/>
          <w:color w:val="000000"/>
          <w:sz w:val="24"/>
          <w:highlight w:val="none"/>
        </w:rPr>
        <w:t xml:space="preserve">29.2.1对可以质疑的采购文件提出质疑的，为收到采购文件之日或者采购文件公告期限届满之日；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29.2.2对采购过程提出质疑的，为各采购程序环节结束之日；</w:t>
      </w:r>
      <w:r>
        <w:rPr>
          <w:rFonts w:hint="eastAsia" w:ascii="宋体" w:hAnsi="宋体" w:cs="宋体"/>
          <w:color w:val="000000"/>
          <w:sz w:val="24"/>
          <w:highlight w:val="none"/>
        </w:rPr>
        <w:br/>
      </w:r>
      <w:r>
        <w:rPr>
          <w:rFonts w:hint="eastAsia" w:ascii="宋体" w:hAnsi="宋体" w:cs="宋体"/>
          <w:color w:val="000000"/>
          <w:sz w:val="24"/>
          <w:highlight w:val="none"/>
        </w:rPr>
        <w:t xml:space="preserve"> 29.2.3对中标或者成交结果提出质疑的，为中标或者成交结果公告期限届满之日。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29.4 供应商</w:t>
      </w:r>
      <w:r>
        <w:rPr>
          <w:rFonts w:hint="eastAsia" w:ascii="宋体" w:hAnsi="宋体" w:cs="宋体"/>
          <w:sz w:val="24"/>
          <w:highlight w:val="none"/>
        </w:rPr>
        <w:t xml:space="preserve">（含潜在供应商）</w:t>
      </w:r>
      <w:r>
        <w:rPr>
          <w:rFonts w:hint="eastAsia" w:ascii="宋体" w:hAnsi="宋体" w:cs="宋体"/>
          <w:color w:val="000000"/>
          <w:sz w:val="24"/>
          <w:highlight w:val="none"/>
        </w:rPr>
        <w:t xml:space="preserve">对与本项目有关的所有询问、质疑均请向采购人提出，由采购人负责答复。</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采购人及采购代理机构只接收以纸质原件形式送达的质疑,建议供应商尽量通过邮寄方式提交质疑</w:t>
      </w:r>
      <w:r>
        <w:rPr>
          <w:rFonts w:hint="eastAsia" w:ascii="宋体" w:hAnsi="宋体" w:cs="宋体"/>
          <w:sz w:val="24"/>
          <w:highlight w:val="none"/>
        </w:rPr>
        <w:t xml:space="preserve">（采购人和采购代理机构不接受未填写快递运单的快件）。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采购代理机构质疑接收人</w:t>
      </w:r>
      <w:r>
        <w:rPr>
          <w:rFonts w:hint="eastAsia" w:ascii="宋体" w:hAnsi="宋体" w:cs="宋体"/>
          <w:sz w:val="24"/>
          <w:highlight w:val="none"/>
        </w:rPr>
        <w:t xml:space="preserve">：王凤，联系地址：南京市嘉陵江东街8号科技创新综合体B3栋2单元5楼，联系电话：15005171375。</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采购人质疑接收人及联系方式见招标文件第一章。</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 以下情形的质疑不予受理</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29.5.1 内容不符合《政府采购质疑和投诉办法》第十二条规定的质疑。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29.5.2 超出政府采购法定期限的质疑。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29.5.3 以传真、电子邮件等方式递交的非原件形式的质疑。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29.5.4 未参加投标活动的供应商或在投标活动中自身权益未受到损害的供应商所提出的质疑。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29.5.5供应商组成联合体参加投标，联合体中任何一方或多方未按要求签字、盖章、加盖公章的质疑。</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hint="eastAsia" w:ascii="宋体" w:hAnsi="宋体" w:cs="宋体"/>
          <w:highlight w:val="none"/>
        </w:rPr>
        <w:outlineLvl w:val="2"/>
      </w:pPr>
      <w:r/>
      <w:bookmarkStart w:id="177" w:name="_Toc2273"/>
      <w:r/>
      <w:bookmarkStart w:id="178" w:name="_Toc12870"/>
      <w:r/>
      <w:bookmarkStart w:id="179" w:name="_Toc4655"/>
      <w:r>
        <w:rPr>
          <w:rFonts w:hint="eastAsia" w:ascii="宋体" w:hAnsi="宋体" w:cs="宋体"/>
          <w:b/>
          <w:color w:val="000000"/>
          <w:sz w:val="24"/>
          <w:highlight w:val="none"/>
        </w:rPr>
        <w:t xml:space="preserve">30、中标通知书</w:t>
      </w:r>
      <w:bookmarkEnd w:id="177"/>
      <w:r/>
      <w:bookmarkEnd w:id="178"/>
      <w:r/>
      <w:bookmarkEnd w:id="17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30.l中标结果确定后，采购代理机构将向中标人发出中标通知书。请中标人在中标结果公告届满之日起30日内,使用CA数字证书登</w:t>
      </w:r>
      <w:r>
        <w:rPr>
          <w:rFonts w:hint="eastAsia" w:ascii="宋体" w:hAnsi="宋体" w:cs="宋体"/>
          <w:sz w:val="24"/>
          <w:highlight w:val="none"/>
        </w:rPr>
        <w:t xml:space="preserve">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hint="eastAsia" w:ascii="宋体" w:hAnsi="宋体" w:cs="宋体"/>
          <w:highlight w:val="none"/>
        </w:rPr>
      </w:pPr>
      <w:r>
        <w:rPr>
          <w:rFonts w:hint="eastAsia" w:ascii="宋体" w:hAnsi="宋体" w:cs="宋体"/>
          <w:b/>
          <w:color w:val="000000"/>
          <w:sz w:val="24"/>
          <w:highlight w:val="none"/>
        </w:rPr>
        <w:t xml:space="preserve"> </w:t>
      </w:r>
      <w:r/>
    </w:p>
    <w:p>
      <w:pPr>
        <w:ind w:firstLine="482"/>
        <w:spacing w:line="360" w:lineRule="auto"/>
        <w:rPr>
          <w:rFonts w:hint="eastAsia" w:ascii="宋体" w:hAnsi="宋体" w:cs="宋体"/>
          <w:highlight w:val="none"/>
        </w:rPr>
        <w:outlineLvl w:val="1"/>
      </w:pPr>
      <w:r/>
      <w:bookmarkStart w:id="180" w:name="_Toc19341"/>
      <w:r/>
      <w:bookmarkStart w:id="181" w:name="_Toc29831"/>
      <w:r/>
      <w:bookmarkStart w:id="182" w:name="_Toc844"/>
      <w:r/>
      <w:bookmarkStart w:id="183" w:name="_Toc4070"/>
      <w:r/>
      <w:bookmarkStart w:id="184" w:name="_Toc193678627"/>
      <w:r>
        <w:rPr>
          <w:rFonts w:hint="eastAsia" w:ascii="宋体" w:hAnsi="宋体" w:cs="宋体"/>
          <w:b/>
          <w:color w:val="000000"/>
          <w:sz w:val="24"/>
          <w:highlight w:val="none"/>
        </w:rPr>
        <w:t xml:space="preserve">七、授予合同</w:t>
      </w:r>
      <w:bookmarkEnd w:id="180"/>
      <w:r/>
      <w:bookmarkEnd w:id="181"/>
      <w:r/>
      <w:bookmarkEnd w:id="182"/>
      <w:r/>
      <w:bookmarkEnd w:id="183"/>
      <w:r/>
      <w:bookmarkEnd w:id="184"/>
      <w:r/>
      <w:r/>
    </w:p>
    <w:p>
      <w:pPr>
        <w:ind w:firstLine="482"/>
        <w:spacing w:before="161" w:line="360" w:lineRule="auto"/>
        <w:rPr>
          <w:rFonts w:hint="eastAsia" w:ascii="宋体" w:hAnsi="宋体" w:cs="宋体"/>
          <w:highlight w:val="none"/>
        </w:rPr>
        <w:outlineLvl w:val="2"/>
      </w:pPr>
      <w:r/>
      <w:bookmarkStart w:id="185" w:name="_Toc23447"/>
      <w:r/>
      <w:bookmarkStart w:id="186" w:name="_Toc22036"/>
      <w:r/>
      <w:bookmarkStart w:id="187" w:name="_Toc6645"/>
      <w:r>
        <w:rPr>
          <w:rFonts w:hint="eastAsia" w:ascii="宋体" w:hAnsi="宋体" w:cs="宋体"/>
          <w:b/>
          <w:color w:val="000000"/>
          <w:sz w:val="24"/>
          <w:highlight w:val="none"/>
        </w:rPr>
        <w:t xml:space="preserve">31. 签订合同</w:t>
      </w:r>
      <w:bookmarkEnd w:id="185"/>
      <w:r/>
      <w:bookmarkEnd w:id="186"/>
      <w:r/>
      <w:bookmarkEnd w:id="187"/>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31.l中标人应当在中标通知书发出之日起三十日内，按照招标文件确定的事项与采购人签订政府采购合同。</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31.2招标文件、中标人的投标文件及招标过程中有关澄清、承诺文件均应作为合同附件。</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31.3 签订合同后，</w:t>
      </w:r>
      <w:r>
        <w:rPr>
          <w:rFonts w:hint="eastAsia" w:ascii="宋体" w:hAnsi="宋体" w:cs="宋体"/>
          <w:b/>
          <w:color w:val="000000"/>
          <w:sz w:val="24"/>
          <w:highlight w:val="none"/>
          <w:u w:val="single"/>
        </w:rPr>
        <w:t xml:space="preserve">中标人不得将合同标的进行转包</w:t>
      </w:r>
      <w:r>
        <w:rPr>
          <w:rFonts w:hint="eastAsia" w:ascii="宋体" w:hAnsi="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before="161" w:line="360" w:lineRule="auto"/>
        <w:rPr>
          <w:rFonts w:hint="eastAsia" w:ascii="宋体" w:hAnsi="宋体" w:cs="宋体"/>
          <w:highlight w:val="none"/>
        </w:rPr>
        <w:outlineLvl w:val="2"/>
      </w:pPr>
      <w:r/>
      <w:bookmarkStart w:id="188" w:name="_Toc30929"/>
      <w:r/>
      <w:bookmarkStart w:id="189" w:name="_Toc23130"/>
      <w:r/>
      <w:bookmarkStart w:id="190" w:name="_Toc24477"/>
      <w:r>
        <w:rPr>
          <w:rFonts w:hint="eastAsia" w:ascii="宋体" w:hAnsi="宋体" w:cs="宋体"/>
          <w:b/>
          <w:color w:val="000000"/>
          <w:sz w:val="24"/>
          <w:highlight w:val="none"/>
        </w:rPr>
        <w:t xml:space="preserve">32、货物（包含与货物相关的服务）的追加</w:t>
      </w:r>
      <w:bookmarkEnd w:id="188"/>
      <w:r/>
      <w:bookmarkEnd w:id="189"/>
      <w:r/>
      <w:bookmarkEnd w:id="190"/>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line="360" w:lineRule="auto"/>
        <w:rPr>
          <w:rFonts w:hint="eastAsia" w:ascii="宋体" w:hAnsi="宋体" w:cs="宋体"/>
          <w:highlight w:val="none"/>
        </w:rPr>
        <w:outlineLvl w:val="2"/>
      </w:pPr>
      <w:r/>
      <w:bookmarkStart w:id="191" w:name="_Toc24472"/>
      <w:r/>
      <w:bookmarkStart w:id="192" w:name="_Toc11563"/>
      <w:r/>
      <w:bookmarkStart w:id="193" w:name="_Toc29652"/>
      <w:r>
        <w:rPr>
          <w:rFonts w:hint="eastAsia" w:ascii="宋体" w:hAnsi="宋体" w:cs="宋体"/>
          <w:b/>
          <w:color w:val="000000"/>
          <w:sz w:val="24"/>
          <w:highlight w:val="none"/>
        </w:rPr>
        <w:t xml:space="preserve">33、政府采购履约资金扶持政策</w:t>
      </w:r>
      <w:bookmarkEnd w:id="191"/>
      <w:r/>
      <w:bookmarkEnd w:id="192"/>
      <w:r/>
      <w:bookmarkEnd w:id="19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中标供应商可凭政府采购合同办理融资贷款，详情请见江苏政府采购网“政采贷”专栏。</w:t>
      </w:r>
      <w:r/>
    </w:p>
    <w:p>
      <w:pPr>
        <w:ind w:firstLine="420"/>
        <w:spacing w:line="360" w:lineRule="auto"/>
        <w:rPr>
          <w:rFonts w:hint="eastAsia" w:ascii="宋体" w:hAnsi="宋体" w:cs="宋体"/>
          <w:highlight w:val="none"/>
        </w:rPr>
      </w:pPr>
      <w:r>
        <w:rPr>
          <w:rFonts w:hint="eastAsia" w:ascii="宋体" w:hAnsi="宋体" w:cs="宋体"/>
          <w:color w:val="000000"/>
          <w:highlight w:val="none"/>
        </w:rPr>
        <w:t xml:space="preserve"> </w:t>
      </w:r>
      <w:r/>
    </w:p>
    <w:p>
      <w:pPr>
        <w:ind w:firstLine="420"/>
        <w:spacing w:line="360" w:lineRule="auto"/>
        <w:rPr>
          <w:rFonts w:hint="eastAsia" w:ascii="宋体" w:hAnsi="宋体" w:cs="宋体"/>
          <w:highlight w:val="none"/>
        </w:rPr>
      </w:pPr>
      <w:r>
        <w:rPr>
          <w:rFonts w:hint="eastAsia" w:ascii="宋体" w:hAnsi="宋体" w:cs="宋体"/>
          <w:highlight w:val="none"/>
        </w:rPr>
        <w:br w:type="page" w:clear="all"/>
      </w:r>
      <w:r/>
    </w:p>
    <w:p>
      <w:pPr>
        <w:ind w:firstLine="643"/>
        <w:jc w:val="center"/>
        <w:spacing w:line="360" w:lineRule="auto"/>
        <w:rPr>
          <w:rFonts w:hint="eastAsia" w:ascii="宋体" w:hAnsi="宋体" w:cs="宋体"/>
          <w:highlight w:val="none"/>
        </w:rPr>
        <w:outlineLvl w:val="0"/>
      </w:pPr>
      <w:r/>
      <w:bookmarkStart w:id="194" w:name="_Toc30958"/>
      <w:r/>
      <w:bookmarkStart w:id="195" w:name="_Toc29753"/>
      <w:r/>
      <w:bookmarkStart w:id="196" w:name="_Toc193678628"/>
      <w:r/>
      <w:bookmarkStart w:id="197" w:name="_Toc14206"/>
      <w:r/>
      <w:bookmarkStart w:id="198" w:name="_Toc27875"/>
      <w:r>
        <w:rPr>
          <w:rFonts w:hint="eastAsia" w:ascii="宋体" w:hAnsi="宋体" w:cs="宋体"/>
          <w:b/>
          <w:color w:val="000000"/>
          <w:sz w:val="32"/>
          <w:highlight w:val="none"/>
        </w:rPr>
        <w:t xml:space="preserve">第三章  合同文本</w:t>
      </w:r>
      <w:bookmarkEnd w:id="194"/>
      <w:r/>
      <w:bookmarkEnd w:id="195"/>
      <w:r/>
      <w:bookmarkEnd w:id="196"/>
      <w:r/>
      <w:bookmarkEnd w:id="197"/>
      <w:r/>
      <w:bookmarkEnd w:id="198"/>
      <w:r/>
      <w:r/>
    </w:p>
    <w:p>
      <w:pPr>
        <w:ind w:firstLine="480"/>
        <w:spacing w:line="264" w:lineRule="auto"/>
        <w:rPr>
          <w:rFonts w:hint="eastAsia" w:ascii="宋体" w:hAnsi="宋体" w:cs="宋体"/>
          <w:bCs/>
          <w:color w:val="000000"/>
          <w:sz w:val="24"/>
          <w:szCs w:val="21"/>
          <w:highlight w:val="none"/>
        </w:rPr>
      </w:pPr>
      <w:r/>
      <w:bookmarkStart w:id="199" w:name="_Toc513029243"/>
      <w:r/>
      <w:bookmarkStart w:id="200" w:name="_Toc16938559"/>
      <w:r/>
      <w:bookmarkStart w:id="201" w:name="_Toc20823315"/>
      <w:r/>
      <w:bookmarkStart w:id="202" w:name="_Hlt16619350"/>
      <w:r/>
      <w:bookmarkStart w:id="203" w:name="_Toc30396"/>
      <w:r/>
      <w:bookmarkStart w:id="204" w:name="_Toc305"/>
      <w:r/>
      <w:bookmarkStart w:id="205" w:name="_Toc6234"/>
      <w:r/>
      <w:bookmarkStart w:id="206" w:name="_Toc193678631"/>
      <w:r/>
      <w:bookmarkStart w:id="207" w:name="_Toc22859"/>
      <w:r>
        <w:rPr>
          <w:rFonts w:hint="eastAsia" w:ascii="宋体" w:hAnsi="宋体" w:cs="宋体"/>
          <w:bCs/>
          <w:color w:val="000000"/>
          <w:sz w:val="24"/>
          <w:szCs w:val="21"/>
          <w:highlight w:val="none"/>
        </w:rPr>
        <w:t xml:space="preserve">以下为本项目的合同条款，合同双方不得对招标、投标文件内容作实质性修改。</w:t>
      </w:r>
      <w:r/>
    </w:p>
    <w:p>
      <w:pPr>
        <w:jc w:val="center"/>
        <w:spacing w:before="120" w:after="120" w:line="264" w:lineRule="auto"/>
        <w:rPr>
          <w:rFonts w:hint="eastAsia" w:ascii="宋体" w:hAnsi="宋体" w:cs="宋体"/>
          <w:b/>
          <w:color w:val="000000"/>
          <w:sz w:val="30"/>
          <w:szCs w:val="21"/>
          <w:highlight w:val="none"/>
        </w:rPr>
      </w:pPr>
      <w:r>
        <w:rPr>
          <w:rFonts w:hint="eastAsia" w:ascii="宋体" w:hAnsi="宋体" w:cs="宋体"/>
          <w:b/>
          <w:color w:val="000000"/>
          <w:sz w:val="30"/>
          <w:szCs w:val="21"/>
          <w:highlight w:val="none"/>
        </w:rPr>
      </w:r>
      <w:r/>
    </w:p>
    <w:p>
      <w:pPr>
        <w:jc w:val="center"/>
        <w:spacing w:before="120" w:after="120" w:line="264"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政府采购合同（货物）</w:t>
      </w:r>
      <w:r/>
    </w:p>
    <w:p>
      <w:pPr>
        <w:jc w:val="left"/>
        <w:spacing w:before="120" w:after="120"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合同编号：</w:t>
      </w:r>
      <w:r/>
    </w:p>
    <w:p>
      <w:pPr>
        <w:spacing w:before="120" w:after="120"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项目编号：</w:t>
      </w:r>
      <w:r/>
    </w:p>
    <w:p>
      <w:pPr>
        <w:jc w:val="left"/>
        <w:spacing w:before="120" w:after="120"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p>
    <w:p>
      <w:pPr>
        <w:jc w:val="left"/>
        <w:spacing w:before="120" w:after="120"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乙方（卖方）：</w:t>
      </w:r>
      <w:r/>
    </w:p>
    <w:p>
      <w:pPr>
        <w:jc w:val="left"/>
        <w:spacing w:line="360" w:lineRule="auto"/>
        <w:rPr>
          <w:rFonts w:hint="eastAsia" w:ascii="宋体" w:hAnsi="宋体" w:cs="宋体"/>
          <w:b/>
          <w:bCs/>
          <w:color w:val="000000"/>
          <w:sz w:val="24"/>
          <w:highlight w:val="none"/>
          <w:u w:val="single"/>
        </w:rPr>
      </w:pP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甲、乙双方根据政府采购网组织的</w:t>
      </w:r>
      <w:r>
        <w:rPr>
          <w:rFonts w:hint="eastAsia" w:ascii="宋体" w:hAnsi="宋体" w:cs="宋体"/>
          <w:b/>
          <w:bCs/>
          <w:color w:val="000000"/>
          <w:sz w:val="24"/>
          <w:highlight w:val="none"/>
          <w:u w:val="single"/>
        </w:rPr>
        <w:t xml:space="preserve">南京市公安局江宁分局采购机房空调、机柜等设备</w:t>
      </w:r>
      <w:r/>
    </w:p>
    <w:p>
      <w:pPr>
        <w:spacing w:line="264" w:lineRule="auto"/>
        <w:rPr>
          <w:rFonts w:hint="eastAsia" w:ascii="宋体" w:hAnsi="宋体" w:cs="宋体"/>
          <w:b/>
          <w:color w:val="000000"/>
          <w:sz w:val="24"/>
          <w:highlight w:val="none"/>
        </w:rPr>
      </w:pPr>
      <w:r>
        <w:rPr>
          <w:rFonts w:hint="eastAsia" w:ascii="宋体" w:hAnsi="宋体" w:cs="宋体"/>
          <w:color w:val="000000"/>
          <w:sz w:val="24"/>
          <w:highlight w:val="none"/>
        </w:rPr>
        <w:t xml:space="preserve">项目公开招标结果，签署本合同。</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一、合同内容</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标的名称：</w:t>
      </w:r>
      <w:r/>
    </w:p>
    <w:p>
      <w:pPr>
        <w:spacing w:line="264" w:lineRule="auto"/>
        <w:rPr>
          <w:rFonts w:hint="eastAsia" w:ascii="宋体" w:hAnsi="宋体" w:cs="宋体"/>
          <w:sz w:val="24"/>
          <w:highlight w:val="none"/>
        </w:rPr>
      </w:pPr>
      <w:r>
        <w:rPr>
          <w:rFonts w:hint="eastAsia" w:ascii="宋体" w:hAnsi="宋体" w:cs="宋体"/>
          <w:color w:val="000000"/>
          <w:sz w:val="24"/>
          <w:highlight w:val="none"/>
        </w:rPr>
        <w:t xml:space="preserve">1.2 标的质量：</w:t>
      </w:r>
      <w:r>
        <w:rPr>
          <w:rFonts w:hint="eastAsia" w:ascii="宋体" w:hAnsi="宋体" w:cs="宋体"/>
          <w:sz w:val="24"/>
          <w:highlight w:val="none"/>
        </w:rPr>
        <w:t xml:space="preserve">按招标文件及投标文件执行。</w:t>
      </w:r>
      <w:r/>
    </w:p>
    <w:p>
      <w:pPr>
        <w:spacing w:line="264" w:lineRule="auto"/>
        <w:rPr>
          <w:rFonts w:hint="eastAsia" w:ascii="宋体" w:hAnsi="宋体" w:cs="宋体"/>
          <w:sz w:val="24"/>
          <w:highlight w:val="none"/>
        </w:rPr>
      </w:pPr>
      <w:r>
        <w:rPr>
          <w:rFonts w:hint="eastAsia" w:ascii="宋体" w:hAnsi="宋体" w:cs="宋体"/>
          <w:sz w:val="24"/>
          <w:highlight w:val="none"/>
        </w:rPr>
        <w:t xml:space="preserve">1.3 标的数量（规模）：按招标文件及投标文件执行。</w:t>
      </w:r>
      <w:r/>
    </w:p>
    <w:p>
      <w:pPr>
        <w:spacing w:line="264" w:lineRule="auto"/>
        <w:rPr>
          <w:rFonts w:hint="eastAsia" w:ascii="宋体" w:hAnsi="宋体" w:cs="宋体"/>
          <w:sz w:val="24"/>
          <w:highlight w:val="none"/>
        </w:rPr>
      </w:pPr>
      <w:r>
        <w:rPr>
          <w:rFonts w:hint="eastAsia" w:ascii="宋体" w:hAnsi="宋体" w:cs="宋体"/>
          <w:sz w:val="24"/>
          <w:highlight w:val="none"/>
        </w:rPr>
        <w:t xml:space="preserve">1.4 履行时间（期限）：按招标文件及投标文件执行。</w:t>
      </w:r>
      <w:r/>
    </w:p>
    <w:p>
      <w:pPr>
        <w:spacing w:line="264" w:lineRule="auto"/>
        <w:rPr>
          <w:rFonts w:hint="eastAsia" w:ascii="宋体" w:hAnsi="宋体" w:cs="宋体"/>
          <w:sz w:val="24"/>
          <w:highlight w:val="none"/>
        </w:rPr>
      </w:pPr>
      <w:r>
        <w:rPr>
          <w:rFonts w:hint="eastAsia" w:ascii="宋体" w:hAnsi="宋体" w:cs="宋体"/>
          <w:sz w:val="24"/>
          <w:highlight w:val="none"/>
        </w:rPr>
        <w:t xml:space="preserve">1.5 履行地点：甲方指定地点。</w:t>
      </w:r>
      <w:r/>
    </w:p>
    <w:p>
      <w:pPr>
        <w:spacing w:line="264" w:lineRule="auto"/>
        <w:rPr>
          <w:rFonts w:hint="eastAsia" w:ascii="宋体" w:hAnsi="宋体" w:cs="宋体"/>
          <w:sz w:val="24"/>
          <w:highlight w:val="none"/>
        </w:rPr>
      </w:pPr>
      <w:r>
        <w:rPr>
          <w:rFonts w:hint="eastAsia" w:ascii="宋体" w:hAnsi="宋体" w:cs="宋体"/>
          <w:sz w:val="24"/>
          <w:highlight w:val="none"/>
        </w:rPr>
        <w:t xml:space="preserve">1.6 履行方式：按招标文件及投标文件执行。</w:t>
      </w:r>
      <w:r/>
    </w:p>
    <w:p>
      <w:pPr>
        <w:spacing w:line="264" w:lineRule="auto"/>
        <w:rPr>
          <w:rFonts w:hint="eastAsia" w:ascii="宋体" w:hAnsi="宋体" w:cs="宋体"/>
          <w:sz w:val="24"/>
          <w:highlight w:val="none"/>
        </w:rPr>
      </w:pPr>
      <w:r>
        <w:rPr>
          <w:rFonts w:hint="eastAsia" w:ascii="宋体" w:hAnsi="宋体" w:cs="宋体"/>
          <w:sz w:val="24"/>
          <w:highlight w:val="none"/>
        </w:rPr>
        <w:t xml:space="preserve">1.7 包装方式：按招标文件及投标文件执行。</w:t>
      </w:r>
      <w:r/>
    </w:p>
    <w:p>
      <w:pPr>
        <w:rPr>
          <w:rFonts w:hint="eastAsia" w:ascii="宋体" w:hAnsi="宋体" w:cs="宋体"/>
          <w:highlight w:val="none"/>
        </w:rPr>
      </w:pPr>
      <w:r>
        <w:rPr>
          <w:rFonts w:hint="eastAsia" w:ascii="宋体" w:hAnsi="宋体" w:cs="宋体"/>
          <w:sz w:val="24"/>
          <w:highlight w:val="none"/>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二、合同金额</w:t>
      </w:r>
      <w:r/>
    </w:p>
    <w:p>
      <w:pPr>
        <w:pStyle w:val="766"/>
        <w:spacing w:line="264" w:lineRule="auto"/>
        <w:rPr>
          <w:rFonts w:hint="eastAsia" w:hAnsi="宋体" w:cs="宋体"/>
          <w:color w:val="000000"/>
          <w:sz w:val="24"/>
          <w:szCs w:val="24"/>
          <w:highlight w:val="none"/>
        </w:rPr>
      </w:pPr>
      <w:r>
        <w:rPr>
          <w:rFonts w:hint="eastAsia" w:hAnsi="宋体" w:cs="宋体"/>
          <w:color w:val="000000"/>
          <w:sz w:val="24"/>
          <w:szCs w:val="24"/>
          <w:highlight w:val="none"/>
        </w:rPr>
        <w:t xml:space="preserve">2.1 </w:t>
      </w:r>
      <w:r>
        <w:rPr>
          <w:rFonts w:hint="eastAsia" w:hAnsi="宋体" w:cs="宋体"/>
          <w:sz w:val="24"/>
          <w:szCs w:val="24"/>
          <w:highlight w:val="none"/>
        </w:rPr>
        <w:t xml:space="preserve">本合同金额为：人民币____________________元，（大写：_____________________）</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三、技术资料</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3.1 乙方应按招标文件规定的时间向甲方提供货物（包含与货物相关的服务）的有关技术资料。</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四、知识产权</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五、产权担保</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六、履约保证金</w:t>
      </w:r>
      <w:r/>
    </w:p>
    <w:p>
      <w:pPr>
        <w:spacing w:line="264" w:lineRule="auto"/>
        <w:rPr>
          <w:rFonts w:hint="eastAsia" w:ascii="宋体" w:hAnsi="宋体" w:cs="宋体"/>
          <w:sz w:val="24"/>
          <w:highlight w:val="none"/>
        </w:rPr>
        <w:outlineLvl w:val="3"/>
      </w:pPr>
      <w:r>
        <w:rPr>
          <w:rFonts w:hint="eastAsia" w:ascii="宋体" w:hAnsi="宋体" w:cs="宋体"/>
          <w:sz w:val="24"/>
          <w:highlight w:val="none"/>
        </w:rPr>
        <w:t xml:space="preserve">6.1 本项目乙方无需缴纳履约保证金。</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七、合同款项支付</w:t>
      </w:r>
      <w:r/>
    </w:p>
    <w:p>
      <w:pPr>
        <w:pStyle w:val="766"/>
        <w:spacing w:line="264" w:lineRule="auto"/>
        <w:rPr>
          <w:rFonts w:hint="eastAsia" w:hAnsi="宋体" w:cs="宋体"/>
          <w:sz w:val="24"/>
          <w:szCs w:val="24"/>
          <w:highlight w:val="none"/>
        </w:rPr>
        <w:outlineLvl w:val="3"/>
      </w:pPr>
      <w:r>
        <w:rPr>
          <w:rFonts w:hint="eastAsia" w:hAnsi="宋体" w:cs="宋体"/>
          <w:sz w:val="24"/>
          <w:szCs w:val="24"/>
          <w:highlight w:val="none"/>
        </w:rPr>
        <w:t xml:space="preserve">7.1 合同款项的支付方式及时间</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7.1.1 合同签订10个工作日内，甲方支付合同总额的30%作为预付款；</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7.1.2 设备安装调试完成后10个工作日内，甲方支付合同总额的30%；</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7.1.3 项目验收合格后10个工作日内，甲方支付合同总额的40%。</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7.1.4 满足合同约定支付条件的，甲方收到乙方发票后10个工作日内，将资金支付到合同约定的乙方账户。 </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7.2 根据《保障中小企业款项支付条例》规定，甲方未按合同约定支付款项的，乙方可以向有关部门投诉。</w:t>
      </w:r>
      <w:r/>
    </w:p>
    <w:p>
      <w:pPr>
        <w:pStyle w:val="766"/>
        <w:spacing w:line="264" w:lineRule="auto"/>
        <w:rPr>
          <w:rFonts w:hint="eastAsia" w:hAnsi="宋体" w:cs="宋体"/>
          <w:sz w:val="24"/>
          <w:szCs w:val="24"/>
          <w:highlight w:val="none"/>
        </w:rPr>
      </w:pPr>
      <w:r>
        <w:rPr>
          <w:rFonts w:hint="eastAsia" w:hAnsi="宋体" w:cs="宋体"/>
          <w:sz w:val="24"/>
          <w:szCs w:val="24"/>
          <w:highlight w:val="none"/>
        </w:rPr>
        <w:t xml:space="preserve">7.3 当采购数量与实际使用数量不一致时，乙方应根据实际使用量供货，合同的最终结算金额按实际使用量乘以成交单价进行计算。</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八、税费</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8.1 本合同执行中的相关税费均由乙方负担。</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九、质量保修范围和保修期及售后服务</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9.1 乙方应按招标文件规定的货物性能、技术要求、质量标准向甲方提供未经使用的全新产品。</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9.2.1 更换：由乙方承担所发生的全部费用。</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9.2.2 贬值处理：由甲乙双方合议定价。</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9.2.3 退货处理：乙方应退还甲方支付的合同款，同时应承担该货物的直接费用（运输、保险、检验、货款利息及银行手续费等）。</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9.3 如在使用过程中发生质量问题，乙方应在接到甲方通知后</w:t>
      </w:r>
      <w:r>
        <w:rPr>
          <w:rFonts w:hint="eastAsia" w:ascii="宋体" w:hAnsi="宋体" w:cs="宋体"/>
          <w:color w:val="000000"/>
          <w:sz w:val="24"/>
          <w:highlight w:val="none"/>
          <w:u w:val="single"/>
        </w:rPr>
        <w:t xml:space="preserve"> </w:t>
      </w:r>
      <w:r>
        <w:rPr>
          <w:rFonts w:hint="eastAsia" w:ascii="宋体" w:hAnsi="宋体" w:cs="宋体"/>
          <w:sz w:val="24"/>
          <w:highlight w:val="none"/>
          <w:u w:val="single"/>
        </w:rPr>
        <w:t xml:space="preserve"> 12  </w:t>
      </w:r>
      <w:r>
        <w:rPr>
          <w:rFonts w:hint="eastAsia" w:ascii="宋体" w:hAnsi="宋体" w:cs="宋体"/>
          <w:color w:val="000000"/>
          <w:sz w:val="24"/>
          <w:highlight w:val="none"/>
        </w:rPr>
        <w:t xml:space="preserve">小时内到达甲方现场。</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9.4 质保期内，乙方应对货物出现的质量及安全问题负责处理解决并承担一切费用。</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9.5 质保期为自交货验收合格之日起</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年（精密空调设备原厂3年维护，房间级精密空调及其他设备质保1年），因人为因素出现的故障不在质保范围内。超过质保期的乙方负责终生维修，维修时只收取部件成本费。</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十、项目验收</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10.1 甲方依法组织履约验收工作。</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10.3 对于实际使用人和甲方分离的项目，甲方邀请实际使用人参与验收。</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10.4 如有必要，甲方可邀请参加本项目投标的其他投标人或第三方专业机构及专家参与验收，相关意见将作为验收结论的参考。</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10.5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宋体"/>
          <w:highlight w:val="none"/>
        </w:rPr>
      </w:pPr>
      <w:r>
        <w:rPr>
          <w:rFonts w:hint="eastAsia" w:ascii="宋体" w:hAnsi="宋体" w:cs="宋体"/>
          <w:color w:val="000000"/>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十一、货物的包装、发运及运输</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11.2 使用说明书、质量检验证明书、随配附件和工具以及清单一并附于货物内。</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11.3 乙方在货物发运手续办理完毕后24小时内或货到甲方48小时前通知甲方，以准备接货。</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11.4 货物在交付甲方前发生的风险均由乙方负责。</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11.5 货物在规定的交付期限内由乙方送达甲方指定的地点视为交付，乙方同时需通知甲方货物已送达。</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十二、违约责任</w:t>
      </w:r>
      <w:r/>
    </w:p>
    <w:p>
      <w:pPr>
        <w:spacing w:line="264" w:lineRule="auto"/>
        <w:rPr>
          <w:rFonts w:hint="eastAsia" w:ascii="宋体" w:hAnsi="宋体" w:cs="宋体"/>
          <w:sz w:val="24"/>
          <w:highlight w:val="none"/>
        </w:rPr>
      </w:pPr>
      <w:r>
        <w:rPr>
          <w:rFonts w:hint="eastAsia" w:ascii="宋体" w:hAnsi="宋体" w:cs="宋体"/>
          <w:color w:val="000000"/>
          <w:sz w:val="24"/>
          <w:highlight w:val="none"/>
        </w:rPr>
        <w:t xml:space="preserve">12.1 甲方无正当理由拒收货物</w:t>
      </w:r>
      <w:r>
        <w:rPr>
          <w:rFonts w:hint="eastAsia" w:ascii="宋体" w:hAnsi="宋体" w:cs="宋体"/>
          <w:sz w:val="24"/>
          <w:highlight w:val="none"/>
        </w:rPr>
        <w:t xml:space="preserve">的，应向乙方偿付拒收货物总价款</w:t>
      </w:r>
      <w:r>
        <w:rPr>
          <w:rFonts w:hint="eastAsia" w:ascii="宋体" w:hAnsi="宋体" w:cs="宋体"/>
          <w:sz w:val="24"/>
          <w:highlight w:val="none"/>
          <w:u w:val="single"/>
        </w:rPr>
        <w:t xml:space="preserve"> 5% </w:t>
      </w:r>
      <w:r>
        <w:rPr>
          <w:rFonts w:hint="eastAsia" w:ascii="宋体" w:hAnsi="宋体" w:cs="宋体"/>
          <w:sz w:val="24"/>
          <w:highlight w:val="none"/>
        </w:rPr>
        <w:t xml:space="preserve">的违约金。</w:t>
      </w:r>
      <w:r/>
    </w:p>
    <w:p>
      <w:pPr>
        <w:spacing w:line="264" w:lineRule="auto"/>
        <w:rPr>
          <w:rFonts w:hint="eastAsia" w:ascii="宋体" w:hAnsi="宋体" w:cs="宋体"/>
          <w:sz w:val="24"/>
          <w:highlight w:val="none"/>
        </w:rPr>
      </w:pPr>
      <w:r>
        <w:rPr>
          <w:rFonts w:hint="eastAsia" w:ascii="宋体" w:hAnsi="宋体" w:cs="宋体"/>
          <w:sz w:val="24"/>
          <w:highlight w:val="none"/>
        </w:rPr>
        <w:t xml:space="preserve">12.2 甲方无故逾期验收和办理货款支付手续的，应按逾期付款总额每日</w:t>
      </w:r>
      <w:r>
        <w:rPr>
          <w:rFonts w:hint="eastAsia" w:ascii="宋体" w:hAnsi="宋体" w:cs="宋体"/>
          <w:sz w:val="24"/>
          <w:highlight w:val="none"/>
          <w:u w:val="single"/>
        </w:rPr>
        <w:t xml:space="preserve"> 5‰ </w:t>
      </w:r>
      <w:r>
        <w:rPr>
          <w:rFonts w:hint="eastAsia" w:ascii="宋体" w:hAnsi="宋体" w:cs="宋体"/>
          <w:sz w:val="24"/>
          <w:highlight w:val="none"/>
        </w:rPr>
        <w:t xml:space="preserve">向乙方支付违约金，但违约金最高不得超过合同总价的</w:t>
      </w:r>
      <w:r>
        <w:rPr>
          <w:rFonts w:hint="eastAsia" w:ascii="宋体" w:hAnsi="宋体" w:cs="宋体"/>
          <w:sz w:val="24"/>
          <w:highlight w:val="none"/>
          <w:u w:val="single"/>
        </w:rPr>
        <w:t xml:space="preserve"> 5 </w:t>
      </w:r>
      <w:r>
        <w:rPr>
          <w:rFonts w:hint="eastAsia" w:ascii="宋体" w:hAnsi="宋体" w:cs="宋体"/>
          <w:sz w:val="24"/>
          <w:highlight w:val="none"/>
        </w:rPr>
        <w:t xml:space="preserve">%。</w:t>
      </w:r>
      <w:r/>
    </w:p>
    <w:p>
      <w:pPr>
        <w:spacing w:line="264" w:lineRule="auto"/>
        <w:rPr>
          <w:rFonts w:hint="eastAsia" w:ascii="宋体" w:hAnsi="宋体" w:cs="宋体"/>
          <w:color w:val="000000"/>
          <w:sz w:val="24"/>
          <w:highlight w:val="none"/>
        </w:rPr>
      </w:pPr>
      <w:r>
        <w:rPr>
          <w:rFonts w:hint="eastAsia" w:ascii="宋体" w:hAnsi="宋体" w:cs="宋体"/>
          <w:sz w:val="24"/>
          <w:highlight w:val="none"/>
        </w:rPr>
        <w:t xml:space="preserve">12.3 乙方逾期交付货物的，应按逾期交货总额每日</w:t>
      </w:r>
      <w:r>
        <w:rPr>
          <w:rFonts w:hint="eastAsia" w:ascii="宋体" w:hAnsi="宋体" w:cs="宋体"/>
          <w:sz w:val="24"/>
          <w:highlight w:val="none"/>
          <w:u w:val="single"/>
        </w:rPr>
        <w:t xml:space="preserve"> 5‰ </w:t>
      </w:r>
      <w:r>
        <w:rPr>
          <w:rFonts w:hint="eastAsia" w:ascii="宋体" w:hAnsi="宋体" w:cs="宋体"/>
          <w:sz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宋体"/>
          <w:sz w:val="24"/>
          <w:highlight w:val="none"/>
          <w:u w:val="single"/>
        </w:rPr>
        <w:t xml:space="preserve"> 5% </w:t>
      </w:r>
      <w:r>
        <w:rPr>
          <w:rFonts w:hint="eastAsia" w:ascii="宋体" w:hAnsi="宋体" w:cs="宋体"/>
          <w:sz w:val="24"/>
          <w:highlight w:val="none"/>
        </w:rPr>
        <w:t xml:space="preserve">的违约金</w:t>
      </w:r>
      <w:r>
        <w:rPr>
          <w:rFonts w:hint="eastAsia" w:ascii="宋体" w:hAnsi="宋体" w:cs="宋体"/>
          <w:color w:val="000000"/>
          <w:sz w:val="24"/>
          <w:highlight w:val="none"/>
        </w:rPr>
        <w:t xml:space="preserve">。 </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12.4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cs="宋体"/>
          <w:highlight w:val="none"/>
        </w:rPr>
      </w:pPr>
      <w:r>
        <w:rPr>
          <w:rFonts w:hint="eastAsia" w:ascii="宋体" w:hAnsi="宋体" w:cs="宋体"/>
          <w:color w:val="000000"/>
          <w:sz w:val="24"/>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十三、不可抗力事件处理</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13.1 在合同有效期内，任何一方因不可抗力事件导致不能履行合同，则合同履行期可延长，其延长期与不可抗力影响期相同。</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13.2 不可抗力事件发生后，应立即通知对方并寄送有关权威机构出具的证明。</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13.3 不可抗力事件延续120天以上，双方应通过友好协商确定是否继续履行合同。</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十四、解决争议的方法</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14.1 甲乙双方因合同签订、履行而发生的一切争议，应通过友好协商解决。协商不成的由甲方住所地人民法院管辖。</w:t>
      </w:r>
      <w:r/>
    </w:p>
    <w:p>
      <w:pPr>
        <w:spacing w:line="264"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十五、合同生效及其他</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15.1 本合同经双方加盖单位公章后生效。</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15.2 本合同未尽事宜，遵照《中华人民共和国民法典》《中华人民共和国政府采购法》有关条文执行。</w:t>
      </w:r>
      <w:r/>
    </w:p>
    <w:p>
      <w:pPr>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15.3 本合同正本一式两份，具有同等法律效力，甲方、乙方各执一份。</w:t>
      </w:r>
      <w:bookmarkEnd w:id="199"/>
      <w:bookmarkEnd w:id="200"/>
      <w:bookmarkEnd w:id="201"/>
      <w:r/>
    </w:p>
    <w:p>
      <w:pPr>
        <w:pStyle w:val="766"/>
        <w:spacing w:before="120" w:after="120" w:line="264" w:lineRule="auto"/>
        <w:rPr>
          <w:rFonts w:hint="eastAsia" w:hAnsi="宋体" w:cs="宋体"/>
          <w:sz w:val="24"/>
          <w:szCs w:val="24"/>
          <w:highlight w:val="none"/>
        </w:rPr>
      </w:pPr>
      <w:r/>
      <w:bookmarkStart w:id="208" w:name="_Hlt16619369"/>
      <w:r/>
      <w:bookmarkEnd w:id="208"/>
      <w:r>
        <w:rPr>
          <w:rFonts w:hint="eastAsia" w:hAnsi="宋体" w:cs="宋体"/>
          <w:sz w:val="24"/>
          <w:szCs w:val="24"/>
          <w:highlight w:val="none"/>
        </w:rPr>
        <w:t xml:space="preserve">  </w:t>
      </w:r>
      <w:r/>
    </w:p>
    <w:p>
      <w:pPr>
        <w:pStyle w:val="766"/>
        <w:spacing w:before="120" w:after="120" w:line="264" w:lineRule="auto"/>
        <w:rPr>
          <w:rFonts w:hint="eastAsia" w:hAnsi="宋体" w:cs="宋体"/>
          <w:sz w:val="24"/>
          <w:szCs w:val="24"/>
          <w:highlight w:val="none"/>
        </w:rPr>
      </w:pPr>
      <w:r>
        <w:rPr>
          <w:rFonts w:hint="eastAsia" w:hAnsi="宋体" w:cs="宋体"/>
          <w:sz w:val="24"/>
          <w:szCs w:val="24"/>
          <w:highlight w:val="none"/>
        </w:rPr>
        <w:t xml:space="preserve">甲  方：（公章）                       乙  方：（公章） </w:t>
      </w:r>
      <w:r/>
    </w:p>
    <w:p>
      <w:pPr>
        <w:pStyle w:val="766"/>
        <w:spacing w:before="120" w:after="120" w:line="264" w:lineRule="auto"/>
        <w:rPr>
          <w:rFonts w:hint="eastAsia" w:hAnsi="宋体" w:cs="宋体"/>
          <w:sz w:val="24"/>
          <w:szCs w:val="24"/>
          <w:highlight w:val="none"/>
        </w:rPr>
      </w:pPr>
      <w:r>
        <w:rPr>
          <w:rFonts w:hint="eastAsia" w:hAnsi="宋体" w:cs="宋体"/>
          <w:sz w:val="24"/>
          <w:szCs w:val="24"/>
          <w:highlight w:val="none"/>
        </w:rPr>
        <w:t xml:space="preserve">地  址：                               地  址： </w:t>
      </w:r>
      <w:r/>
    </w:p>
    <w:p>
      <w:pPr>
        <w:pStyle w:val="766"/>
        <w:spacing w:before="120" w:after="120" w:line="264" w:lineRule="auto"/>
        <w:rPr>
          <w:rFonts w:hint="eastAsia" w:hAnsi="宋体" w:cs="宋体"/>
          <w:sz w:val="24"/>
          <w:szCs w:val="24"/>
          <w:highlight w:val="none"/>
        </w:rPr>
      </w:pPr>
      <w:r>
        <w:rPr>
          <w:rFonts w:hint="eastAsia" w:hAnsi="宋体" w:cs="宋体"/>
          <w:sz w:val="24"/>
          <w:szCs w:val="24"/>
          <w:highlight w:val="none"/>
        </w:rPr>
        <w:t xml:space="preserve">法定代表人或授权代表：                 法定代表人或授权代表：</w:t>
      </w:r>
      <w:r/>
    </w:p>
    <w:p>
      <w:pPr>
        <w:pStyle w:val="766"/>
        <w:spacing w:before="120" w:after="120" w:line="264" w:lineRule="auto"/>
        <w:rPr>
          <w:rFonts w:hint="eastAsia" w:hAnsi="宋体" w:cs="宋体"/>
          <w:sz w:val="24"/>
          <w:szCs w:val="24"/>
          <w:highlight w:val="none"/>
        </w:rPr>
      </w:pPr>
      <w:r>
        <w:rPr>
          <w:rFonts w:hint="eastAsia" w:hAnsi="宋体" w:cs="宋体"/>
          <w:sz w:val="24"/>
          <w:szCs w:val="24"/>
          <w:highlight w:val="none"/>
        </w:rPr>
        <w:t xml:space="preserve">联系电话：                             联系电话：          </w:t>
      </w:r>
      <w:r/>
    </w:p>
    <w:p>
      <w:pPr>
        <w:pStyle w:val="766"/>
        <w:spacing w:before="120" w:after="120" w:line="264" w:lineRule="auto"/>
        <w:rPr>
          <w:rFonts w:hint="eastAsia" w:hAnsi="宋体" w:cs="宋体"/>
          <w:sz w:val="24"/>
          <w:szCs w:val="24"/>
          <w:highlight w:val="none"/>
        </w:rPr>
      </w:pPr>
      <w:r>
        <w:rPr>
          <w:rFonts w:hint="eastAsia" w:hAnsi="宋体" w:cs="宋体"/>
          <w:sz w:val="24"/>
          <w:szCs w:val="24"/>
          <w:highlight w:val="none"/>
        </w:rPr>
        <w:t xml:space="preserve">                                          </w:t>
      </w:r>
      <w:r/>
    </w:p>
    <w:p>
      <w:pPr>
        <w:pStyle w:val="766"/>
        <w:ind w:firstLine="4800"/>
        <w:spacing w:before="120" w:after="120" w:line="264" w:lineRule="auto"/>
        <w:rPr>
          <w:rFonts w:hint="eastAsia" w:hAnsi="宋体" w:cs="宋体"/>
          <w:sz w:val="24"/>
          <w:szCs w:val="24"/>
          <w:highlight w:val="none"/>
        </w:rPr>
      </w:pPr>
      <w:r>
        <w:rPr>
          <w:rFonts w:hint="eastAsia" w:hAnsi="宋体" w:cs="宋体"/>
          <w:sz w:val="24"/>
          <w:szCs w:val="24"/>
          <w:highlight w:val="none"/>
        </w:rPr>
        <w:t xml:space="preserve">签订日期：      </w:t>
      </w:r>
      <w:r/>
    </w:p>
    <w:p>
      <w:pPr>
        <w:jc w:val="center"/>
        <w:spacing w:before="120" w:after="120" w:line="264" w:lineRule="auto"/>
        <w:rPr>
          <w:rFonts w:hint="eastAsia" w:ascii="宋体" w:hAnsi="宋体" w:cs="宋体"/>
          <w:b/>
          <w:sz w:val="30"/>
          <w:szCs w:val="21"/>
          <w:highlight w:val="none"/>
        </w:rPr>
      </w:pPr>
      <w:r>
        <w:rPr>
          <w:rFonts w:hint="eastAsia" w:ascii="宋体" w:hAnsi="宋体" w:cs="宋体"/>
          <w:b/>
          <w:sz w:val="30"/>
          <w:szCs w:val="21"/>
          <w:highlight w:val="none"/>
        </w:rPr>
      </w:r>
      <w:r/>
    </w:p>
    <w:p>
      <w:pPr>
        <w:spacing w:before="120" w:after="120" w:line="264" w:lineRule="auto"/>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before="120" w:after="120" w:line="264" w:lineRule="auto"/>
        <w:rPr>
          <w:rFonts w:hint="eastAsia" w:ascii="宋体" w:hAnsi="宋体" w:cs="宋体"/>
          <w:bCs/>
          <w:sz w:val="32"/>
          <w:szCs w:val="32"/>
          <w:highlight w:val="none"/>
        </w:rPr>
        <w:outlineLvl w:val="1"/>
      </w:pPr>
      <w:r>
        <w:rPr>
          <w:rFonts w:hint="eastAsia" w:ascii="宋体" w:hAnsi="宋体" w:cs="宋体"/>
          <w:bCs/>
          <w:sz w:val="32"/>
          <w:szCs w:val="32"/>
          <w:highlight w:val="none"/>
        </w:rPr>
        <w:t xml:space="preserve">《*******合同》补充协议（合同附件）</w:t>
      </w:r>
      <w:r/>
    </w:p>
    <w:p>
      <w:pPr>
        <w:pStyle w:val="766"/>
        <w:ind w:firstLine="480"/>
        <w:jc w:val="left"/>
        <w:spacing w:before="120" w:after="120" w:line="264"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r/>
    </w:p>
    <w:p>
      <w:pPr>
        <w:jc w:val="center"/>
        <w:spacing w:line="360" w:lineRule="auto"/>
        <w:rPr>
          <w:rFonts w:hint="eastAsia" w:ascii="宋体" w:hAnsi="宋体" w:cs="宋体"/>
          <w:highlight w:val="none"/>
        </w:rPr>
      </w:pPr>
      <w:r>
        <w:rPr>
          <w:rFonts w:hint="eastAsia" w:ascii="宋体" w:hAnsi="宋体" w:cs="宋体"/>
          <w:bCs/>
          <w:color w:val="000000"/>
          <w:sz w:val="44"/>
          <w:szCs w:val="21"/>
          <w:highlight w:val="none"/>
        </w:rPr>
        <w:br w:type="page" w:clear="all"/>
      </w:r>
      <w:bookmarkEnd w:id="202"/>
      <w:r>
        <w:rPr>
          <w:rFonts w:hint="eastAsia" w:ascii="宋体" w:hAnsi="宋体" w:cs="宋体"/>
          <w:b/>
          <w:color w:val="000000"/>
          <w:sz w:val="32"/>
          <w:highlight w:val="none"/>
        </w:rPr>
        <w:t xml:space="preserve">第四章  采购需求</w:t>
      </w:r>
      <w:bookmarkEnd w:id="203"/>
      <w:r/>
      <w:bookmarkEnd w:id="204"/>
      <w:r/>
      <w:bookmarkEnd w:id="205"/>
      <w:r/>
      <w:bookmarkEnd w:id="206"/>
      <w:r/>
      <w:bookmarkEnd w:id="207"/>
      <w:r/>
      <w:r/>
    </w:p>
    <w:p>
      <w:pPr>
        <w:ind w:firstLine="420"/>
        <w:spacing w:line="360" w:lineRule="auto"/>
        <w:rPr>
          <w:rFonts w:hint="eastAsia" w:ascii="宋体" w:hAnsi="宋体" w:cs="宋体"/>
          <w:sz w:val="24"/>
          <w:highlight w:val="none"/>
        </w:rPr>
      </w:pPr>
      <w:r>
        <w:rPr>
          <w:rFonts w:hint="eastAsia" w:ascii="宋体" w:hAnsi="宋体" w:cs="宋体"/>
          <w:color w:val="000000"/>
          <w:highlight w:val="none"/>
        </w:rPr>
        <w:t xml:space="preserve"> </w:t>
      </w:r>
      <w:r>
        <w:rPr>
          <w:rFonts w:hint="eastAsia" w:ascii="宋体" w:hAnsi="宋体" w:cs="宋体"/>
          <w:color w:val="000000"/>
          <w:sz w:val="24"/>
          <w:highlight w:val="none"/>
        </w:rPr>
        <w:t xml:space="preserve">项目属性：货物类项目。</w:t>
      </w:r>
      <w:r/>
    </w:p>
    <w:p>
      <w:pPr>
        <w:ind w:firstLine="482"/>
        <w:spacing w:line="360" w:lineRule="auto"/>
        <w:rPr>
          <w:rFonts w:hint="eastAsia" w:ascii="宋体" w:hAnsi="宋体" w:cs="宋体"/>
          <w:highlight w:val="none"/>
        </w:rPr>
        <w:outlineLvl w:val="1"/>
      </w:pPr>
      <w:r/>
      <w:bookmarkStart w:id="209" w:name="_Toc193678632"/>
      <w:r/>
      <w:bookmarkStart w:id="210" w:name="_Toc13844"/>
      <w:r/>
      <w:bookmarkStart w:id="211" w:name="_Toc16865"/>
      <w:r/>
      <w:bookmarkStart w:id="212" w:name="_Toc9786"/>
      <w:r/>
      <w:bookmarkStart w:id="213" w:name="_Toc31080"/>
      <w:r>
        <w:rPr>
          <w:rFonts w:hint="eastAsia" w:ascii="宋体" w:hAnsi="宋体" w:cs="宋体"/>
          <w:b/>
          <w:color w:val="000000"/>
          <w:sz w:val="24"/>
          <w:highlight w:val="none"/>
        </w:rPr>
        <w:t xml:space="preserve">一、项目概况</w:t>
      </w:r>
      <w:bookmarkEnd w:id="209"/>
      <w:r/>
      <w:bookmarkEnd w:id="210"/>
      <w:r/>
      <w:bookmarkEnd w:id="211"/>
      <w:r/>
      <w:bookmarkEnd w:id="212"/>
      <w:r/>
      <w:bookmarkEnd w:id="213"/>
      <w:r/>
      <w:r/>
    </w:p>
    <w:p>
      <w:pPr>
        <w:ind w:firstLine="480"/>
        <w:spacing w:line="360" w:lineRule="auto"/>
        <w:rPr>
          <w:rFonts w:hint="eastAsia" w:ascii="宋体" w:hAnsi="宋体" w:cs="宋体"/>
          <w:color w:val="000000"/>
          <w:sz w:val="24"/>
          <w:highlight w:val="none"/>
        </w:rPr>
      </w:pPr>
      <w:r/>
      <w:bookmarkStart w:id="214" w:name="_Toc193678633"/>
      <w:r/>
      <w:bookmarkStart w:id="215" w:name="_Toc9423"/>
      <w:r/>
      <w:bookmarkStart w:id="216" w:name="_Toc1073"/>
      <w:r/>
      <w:bookmarkStart w:id="217" w:name="_Toc467"/>
      <w:r/>
      <w:bookmarkStart w:id="218" w:name="_Toc2020"/>
      <w:r>
        <w:rPr>
          <w:rFonts w:hint="eastAsia" w:ascii="宋体" w:hAnsi="宋体" w:cs="宋体"/>
          <w:color w:val="000000"/>
          <w:sz w:val="24"/>
          <w:highlight w:val="none"/>
        </w:rPr>
        <w:t xml:space="preserve">（一）项目背景</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落实智慧公安建设及公安信息化发展相关要求，依据《信息安全技术网络安全等级保护基本要求》《公安信息通信机房建设规范》等标准规范，结合南京市公安局江宁分局信息化建设实际情况，组织实施本次机房设备采购项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局机房是全局公安业务系统、警务数据存储、网络通信与指挥调度的关键基础设施，承载着治安防控、执法办案、数据研判、视频传输等核心警务业务。近年来，随着智慧警务应用持续扩容，各类业务系统并发访问量、数据存储与算力需求持续增长，现有机房部分设备服役时间较长，存在硬件老化、性能不足、资源瓶颈突出、冗余保障能力偏弱等问题。现有基础设施已难以满足当前业务高可靠、高稳定、高安全运行要求，不符合等级保护及公安机房规范化运维标准，存在一定的运行及数据安全风险，制约日常警务工作高效开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补齐机房基础设施短板，提升机房供配电、环境保障、安全防护及智能运维能力，消除各类安全隐患，保障全局公安业务系统连续、稳定、安全运行，夯实智慧警务建设基础，适配新时代公安现代化工作发展需要，南京市公安局江宁分局拟开展本次机房设备采购工作，通过更新优化机房硬件设备，全面提升分局机房基础设施承载能力与安全运维水平，为辖区公安各项业务常态化开展与应急警务处置提供坚实的基础保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（二）项目建设遵循标准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遵循国家、行业及地方现行的规范和标准。</w:t>
      </w:r>
      <w:bookmarkEnd w:id="214"/>
      <w:bookmarkEnd w:id="215"/>
      <w:bookmarkEnd w:id="216"/>
      <w:bookmarkEnd w:id="217"/>
      <w:bookmarkEnd w:id="218"/>
      <w:r/>
    </w:p>
    <w:p>
      <w:pPr>
        <w:ind w:firstLine="482"/>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bookmarkStart w:id="219" w:name="_Toc10265"/>
      <w:r/>
      <w:bookmarkStart w:id="220" w:name="_Toc4732"/>
      <w:r/>
      <w:bookmarkStart w:id="221" w:name="_Toc23303"/>
      <w:r/>
      <w:bookmarkStart w:id="222" w:name="_Toc7154"/>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二、项目清单</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（一）主要产品清单</w:t>
      </w:r>
      <w:r/>
    </w:p>
    <w:tbl>
      <w:tblPr>
        <w:tblStyle w:val="759"/>
        <w:tblW w:w="9664"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8"/>
        <w:gridCol w:w="3392"/>
        <w:gridCol w:w="568"/>
        <w:gridCol w:w="568"/>
        <w:gridCol w:w="1136"/>
        <w:gridCol w:w="2830"/>
        <w:gridCol w:w="592"/>
      </w:tblGrid>
      <w:tr>
        <w:trPr>
          <w:jc w:val="center"/>
          <w:tblHeader/>
        </w:trPr>
        <w:tc>
          <w:tcPr>
            <w:tcW w:w="57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3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分项名称</w:t>
            </w:r>
            <w:r/>
          </w:p>
        </w:tc>
        <w:tc>
          <w:tcPr>
            <w:tcW w:w="56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56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1136"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产品类型</w:t>
            </w:r>
            <w:r/>
          </w:p>
        </w:tc>
        <w:tc>
          <w:tcPr>
            <w:tcW w:w="2830"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所属行业</w:t>
            </w:r>
            <w:r/>
          </w:p>
        </w:tc>
        <w:tc>
          <w:tcPr>
            <w:tcW w:w="5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属性</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精密空调系统</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3392"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精密空调室内机</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2</w:t>
            </w:r>
            <w:r/>
          </w:p>
        </w:tc>
        <w:tc>
          <w:tcPr>
            <w:tcW w:w="3392"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精密空调室外机</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3392" w:type="dxa"/>
            <w:vAlign w:val="center"/>
            <w:textDirection w:val="lrTb"/>
            <w:noWrap w:val="false"/>
          </w:tcPr>
          <w:p>
            <w:pPr>
              <w:jc w:val="left"/>
              <w:widowControl/>
              <w:rPr>
                <w:rFonts w:hint="eastAsia" w:ascii="宋体" w:hAnsi="宋体" w:cs="宋体"/>
                <w:szCs w:val="21"/>
                <w:highlight w:val="none"/>
              </w:rPr>
            </w:pPr>
            <w:r>
              <w:rPr>
                <w:rFonts w:ascii="宋体" w:hAnsi="宋体" w:cs="宋体"/>
                <w:color w:val="000000"/>
                <w:szCs w:val="21"/>
                <w:highlight w:val="none"/>
              </w:rPr>
              <w:t xml:space="preserve">房间级精密空调内机</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3392" w:type="dxa"/>
            <w:vAlign w:val="center"/>
            <w:textDirection w:val="lrTb"/>
            <w:noWrap w:val="false"/>
          </w:tcPr>
          <w:p>
            <w:pPr>
              <w:jc w:val="left"/>
              <w:widowControl/>
              <w:rPr>
                <w:rFonts w:hint="eastAsia" w:ascii="宋体" w:hAnsi="宋体" w:cs="宋体"/>
                <w:szCs w:val="21"/>
                <w:highlight w:val="none"/>
              </w:rPr>
            </w:pPr>
            <w:r>
              <w:rPr>
                <w:rFonts w:ascii="宋体" w:hAnsi="宋体" w:cs="宋体"/>
                <w:color w:val="000000"/>
                <w:szCs w:val="21"/>
                <w:highlight w:val="none"/>
              </w:rPr>
              <w:t xml:space="preserve">房间级精密空调外机</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电缆RVV5*16</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电缆RVV5*2.5</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电缆RVVP3*1.5</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抗震支架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9</w:t>
            </w:r>
            <w:r/>
          </w:p>
        </w:tc>
        <w:tc>
          <w:tcPr>
            <w:tcW w:w="3392"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空调铜管19&amp;22</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380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10</w:t>
            </w:r>
            <w:r/>
          </w:p>
        </w:tc>
        <w:tc>
          <w:tcPr>
            <w:tcW w:w="3392"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空调外电源线</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200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11</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12</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机柜设备</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13</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设备机柜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14</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设备机柜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15</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机柜侧门</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16</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16</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机柜层板</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17</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PDU电源插座</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64</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辅材</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19</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配电柜</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动力ATS配电柜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空调柜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UPS输出柜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照明配电箱</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只</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精密配电列头柜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支架设备</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27</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空调支架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28</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配电柜支架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29</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UPS、列头柜设备支架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电池柜支架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电缆桥架及网络线材</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动力主进线电缆</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220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不间断电源主进线电缆</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电缆（UPS输入）</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电缆（列头柜UPS电进线）</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42</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37</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电缆（空调进线）</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60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39</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电缆头制作</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156</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电线</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2600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理线架</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铜缆</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箱</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成品跳线1</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成品跳线2</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光纤跳线1</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光纤跳线2</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47</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光纤跳线3</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光纤跳线4</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50</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光纤跳线5</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光纤跳线6</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货物</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53</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配套施工</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54</w:t>
            </w:r>
            <w:r/>
          </w:p>
        </w:tc>
        <w:tc>
          <w:tcPr>
            <w:tcW w:w="3392"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供配电系统电力测试</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工业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r>
        <w:trPr>
          <w:jc w:val="center"/>
        </w:trPr>
        <w:tc>
          <w:tcPr>
            <w:gridSpan w:val="7"/>
            <w:tcW w:w="96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集成服务</w:t>
            </w:r>
            <w:r/>
          </w:p>
        </w:tc>
      </w:tr>
      <w:tr>
        <w:trPr>
          <w:jc w:val="center"/>
        </w:trPr>
        <w:tc>
          <w:tcPr>
            <w:tcW w:w="57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0"/>
                <w:szCs w:val="20"/>
                <w:highlight w:val="none"/>
              </w:rPr>
              <w:t xml:space="preserve">55</w:t>
            </w:r>
            <w:r/>
          </w:p>
        </w:tc>
        <w:tc>
          <w:tcPr>
            <w:tcW w:w="339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集成服务</w:t>
            </w:r>
            <w:r/>
          </w:p>
        </w:tc>
        <w:tc>
          <w:tcPr>
            <w:tcW w:w="568"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1</w:t>
            </w:r>
            <w:r/>
          </w:p>
        </w:tc>
        <w:tc>
          <w:tcPr>
            <w:tcW w:w="56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项</w:t>
            </w:r>
            <w:r/>
          </w:p>
        </w:tc>
        <w:tc>
          <w:tcPr>
            <w:tcW w:w="1136"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2830" w:type="dxa"/>
            <w:vAlign w:val="center"/>
            <w:textDirection w:val="lrTb"/>
            <w:noWrap w:val="false"/>
          </w:tcPr>
          <w:p>
            <w:pPr>
              <w:jc w:val="center"/>
              <w:rPr>
                <w:rFonts w:hint="eastAsia" w:ascii="宋体" w:hAnsi="宋体" w:cs="宋体"/>
                <w:bCs/>
                <w:szCs w:val="21"/>
                <w:highlight w:val="none"/>
              </w:rPr>
            </w:pPr>
            <w:r>
              <w:rPr>
                <w:rFonts w:hint="eastAsia" w:ascii="宋体" w:hAnsi="宋体" w:cs="宋体"/>
                <w:color w:val="000000"/>
                <w:szCs w:val="21"/>
                <w:highlight w:val="none"/>
              </w:rPr>
              <w:t xml:space="preserve">软件和信息技术服务业</w:t>
            </w:r>
            <w:r/>
          </w:p>
        </w:tc>
        <w:tc>
          <w:tcPr>
            <w:tcW w:w="592"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服务</w:t>
            </w:r>
            <w:r/>
          </w:p>
        </w:tc>
      </w:tr>
    </w:tbl>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（二）技术要求</w:t>
      </w:r>
      <w:r/>
    </w:p>
    <w:tbl>
      <w:tblPr>
        <w:tblStyle w:val="75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365"/>
        <w:gridCol w:w="1746"/>
        <w:gridCol w:w="6105"/>
      </w:tblGrid>
      <w:tr>
        <w:trPr>
          <w:jc w:val="center"/>
          <w:trHeight w:val="20"/>
        </w:trPr>
        <w:tc>
          <w:tcPr>
            <w:tcW w:w="0" w:type="auto"/>
            <w:vAlign w:val="center"/>
            <w:textDirection w:val="lrTb"/>
            <w:noWrap/>
          </w:tcPr>
          <w:p>
            <w:pPr>
              <w:jc w:val="center"/>
              <w:keepNex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0" w:type="auto"/>
            <w:vAlign w:val="center"/>
            <w:textDirection w:val="lrTb"/>
            <w:noWrap w:val="false"/>
          </w:tcPr>
          <w:p>
            <w:pPr>
              <w:jc w:val="center"/>
              <w:keepNext/>
              <w:rPr>
                <w:rFonts w:hint="eastAsia" w:ascii="宋体" w:hAnsi="宋体" w:cs="宋体"/>
                <w:b/>
                <w:color w:val="000000"/>
                <w:szCs w:val="21"/>
                <w:highlight w:val="none"/>
              </w:rPr>
            </w:pPr>
            <w:r>
              <w:rPr>
                <w:rFonts w:hint="eastAsia" w:ascii="宋体" w:hAnsi="宋体" w:cs="宋体"/>
                <w:b/>
                <w:color w:val="000000"/>
                <w:szCs w:val="21"/>
                <w:highlight w:val="none"/>
              </w:rPr>
              <w:t xml:space="preserve">产品</w:t>
            </w:r>
            <w:r/>
          </w:p>
        </w:tc>
        <w:tc>
          <w:tcPr>
            <w:tcW w:w="1746" w:type="dxa"/>
            <w:vAlign w:val="center"/>
            <w:textDirection w:val="lrTb"/>
            <w:noWrap/>
          </w:tcPr>
          <w:p>
            <w:pPr>
              <w:jc w:val="center"/>
              <w:keepNext/>
              <w:rPr>
                <w:rFonts w:hint="eastAsia" w:ascii="宋体" w:hAnsi="宋体" w:cs="宋体"/>
                <w:b/>
                <w:color w:val="000000"/>
                <w:szCs w:val="21"/>
                <w:highlight w:val="none"/>
              </w:rPr>
            </w:pPr>
            <w:r>
              <w:rPr>
                <w:rFonts w:hint="eastAsia" w:ascii="宋体" w:hAnsi="宋体" w:cs="宋体"/>
                <w:b/>
                <w:color w:val="000000"/>
                <w:szCs w:val="21"/>
                <w:highlight w:val="none"/>
              </w:rPr>
              <w:t xml:space="preserve">要求</w:t>
            </w:r>
            <w:r/>
          </w:p>
        </w:tc>
        <w:tc>
          <w:tcPr>
            <w:tcW w:w="6105" w:type="dxa"/>
            <w:vAlign w:val="center"/>
            <w:textDirection w:val="lrTb"/>
            <w:noWrap/>
          </w:tcPr>
          <w:p>
            <w:pPr>
              <w:jc w:val="center"/>
              <w:keepNext/>
              <w:rPr>
                <w:rFonts w:hint="eastAsia" w:ascii="宋体" w:hAnsi="宋体" w:cs="宋体"/>
                <w:b/>
                <w:color w:val="000000"/>
                <w:szCs w:val="21"/>
                <w:highlight w:val="none"/>
              </w:rPr>
            </w:pPr>
            <w:r>
              <w:rPr>
                <w:rFonts w:hint="eastAsia" w:ascii="宋体" w:hAnsi="宋体" w:cs="宋体"/>
                <w:b/>
                <w:color w:val="000000"/>
                <w:szCs w:val="21"/>
                <w:highlight w:val="none"/>
              </w:rPr>
              <w:t xml:space="preserve">功能、性能、配置要求</w:t>
            </w:r>
            <w:r/>
          </w:p>
        </w:tc>
      </w:tr>
      <w:tr>
        <w:trPr>
          <w:jc w:val="center"/>
          <w:trHeight w:val="20"/>
        </w:trPr>
        <w:tc>
          <w:tcPr>
            <w:tcW w:w="0" w:type="auto"/>
            <w:vAlign w:val="center"/>
            <w:vMerge w:val="restart"/>
            <w:textDirection w:val="lrTb"/>
            <w:noWrap/>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精密空调室内机</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1.机组为50KW上送风恒温恒湿定频精密空调，风量≥13000m³/h，加热9KW，加湿8KG/h，要求采用可调速EC风机，含配套平板室外机。</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2.膨胀阀：为保证制冷剂节流装置的精确性，应采用电子膨胀阀；</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3.空调应配置7寸及以上全中文彩色触摸屏显示器</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4.采用环保冷媒R410A制冷剂；</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5.蒸发器形式：应采用铜管套冲缝型亲水铝翘片式蒸发器盘管；</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6.机房专用空调的加湿性能：加湿蒸汽应能直接送到风机进风口，确保湿蒸汽充分混合，避免出风口的凝露情况，要求空调机组采用高效节能的可拆卸式电极式加湿系统，加湿罐应可拆卸，可调节，可单独更换电极。要求加湿速度快，加湿效率高，不接受红外加湿方式。</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▲7.投标系列机型适用于长接管应用场合，机组100m长配管情况下制冷量不应小于标称制冷量的95%（提供带有CMA或CNAS标识的第三方检测报告证明并加盖原厂公章）</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▲8.设备生产厂商具备售后服务体系应通过售后服务认证证书，且认证级别为5星（提供有效的证书扫描件并加盖原厂公章）；</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▲9、设备生产厂家需提供投标产品同系列CRAA产品认证证书及泰尔认证证书（提供相关证书扫描件并加盖原厂公章）</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10、制造商具有较强的研发能力、制造能力、产品测试能力，具有不低于空调能力测试的实验室（如综合性能焓差实验室、中国合格评定国家认可委员会实验室等）提供的实验室证书（提供相关证书扫描件并加盖原厂公章）</w:t>
            </w:r>
            <w:r/>
          </w:p>
        </w:tc>
      </w:tr>
      <w:tr>
        <w:trPr>
          <w:jc w:val="center"/>
          <w:trHeight w:val="20"/>
        </w:trPr>
        <w:tc>
          <w:tcPr>
            <w:tcW w:w="0" w:type="auto"/>
            <w:vAlign w:val="center"/>
            <w:vMerge w:val="restart"/>
            <w:textDirection w:val="lrTb"/>
            <w:noWrap/>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精密空调室外机</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智能温控产品-风冷-室外机</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ascii="宋体" w:hAnsi="宋体" w:cs="宋体"/>
                <w:color w:val="000000"/>
                <w:szCs w:val="21"/>
                <w:highlight w:val="none"/>
              </w:rPr>
              <w:t xml:space="preserve">房间级精密空调内机</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机组总冷量45KW，加热量9KW，送风量≥12000m³/h，，恒温，送风方式为上送风下回风，风机房专用空调,单机尺寸：</w:t>
            </w:r>
            <w:r/>
          </w:p>
          <w:p>
            <w:pPr>
              <w:jc w:val="left"/>
              <w:keepNext/>
              <w:rPr>
                <w:rFonts w:hint="eastAsia" w:ascii="宋体" w:hAnsi="宋体" w:cs="宋体"/>
                <w:szCs w:val="21"/>
                <w:highlight w:val="none"/>
              </w:rPr>
            </w:pPr>
            <w:r>
              <w:rPr>
                <w:rFonts w:ascii="宋体" w:hAnsi="宋体" w:cs="宋体"/>
                <w:szCs w:val="21"/>
                <w:highlight w:val="none"/>
              </w:rPr>
              <w:t xml:space="preserve">宽≤1010mm，深≤995mm，高 =1975mm，允许 ±5mm 公差</w:t>
            </w:r>
            <w:r/>
          </w:p>
          <w:p>
            <w:pPr>
              <w:jc w:val="left"/>
              <w:keepNext/>
              <w:rPr>
                <w:rFonts w:hint="eastAsia" w:ascii="宋体" w:hAnsi="宋体" w:cs="宋体"/>
                <w:szCs w:val="21"/>
                <w:highlight w:val="none"/>
              </w:rPr>
            </w:pPr>
            <w:r>
              <w:rPr>
                <w:rFonts w:hint="eastAsia" w:ascii="宋体" w:hAnsi="宋体" w:cs="宋体"/>
                <w:szCs w:val="21"/>
                <w:highlight w:val="none"/>
              </w:rPr>
              <w:t xml:space="preserve">温度精度：15℃-30℃±0.5℃</w:t>
            </w:r>
            <w:r/>
          </w:p>
          <w:p>
            <w:pPr>
              <w:jc w:val="left"/>
              <w:keepNext/>
              <w:rPr>
                <w:rFonts w:hint="eastAsia" w:ascii="宋体" w:hAnsi="宋体" w:cs="宋体"/>
                <w:szCs w:val="21"/>
                <w:highlight w:val="none"/>
              </w:rPr>
            </w:pPr>
            <w:r>
              <w:rPr>
                <w:rFonts w:hint="eastAsia" w:ascii="宋体" w:hAnsi="宋体" w:cs="宋体"/>
                <w:szCs w:val="21"/>
                <w:highlight w:val="none"/>
              </w:rPr>
              <w:t xml:space="preserve">湿度精度：30%-80%±2%</w:t>
            </w:r>
            <w:r/>
          </w:p>
          <w:p>
            <w:pPr>
              <w:keepNext/>
              <w:rPr>
                <w:rFonts w:hint="eastAsia" w:ascii="宋体" w:hAnsi="宋体" w:cs="宋体"/>
                <w:szCs w:val="21"/>
                <w:highlight w:val="none"/>
              </w:rPr>
            </w:pPr>
            <w:r>
              <w:rPr>
                <w:rFonts w:hint="eastAsia" w:ascii="宋体" w:hAnsi="宋体" w:cs="宋体"/>
                <w:szCs w:val="21"/>
                <w:highlight w:val="none"/>
              </w:rPr>
              <w:t xml:space="preserve">温湿度波动超限发出报警信号。</w:t>
            </w:r>
            <w:r/>
          </w:p>
          <w:p>
            <w:pPr>
              <w:jc w:val="left"/>
              <w:keepNext/>
              <w:rPr>
                <w:rFonts w:hint="eastAsia" w:ascii="宋体" w:hAnsi="宋体" w:cs="宋体"/>
                <w:szCs w:val="21"/>
                <w:highlight w:val="none"/>
              </w:rPr>
            </w:pPr>
            <w:r>
              <w:rPr>
                <w:rFonts w:hint="eastAsia" w:ascii="宋体" w:hAnsi="宋体" w:cs="宋体"/>
                <w:szCs w:val="21"/>
                <w:highlight w:val="none"/>
              </w:rPr>
              <w:t xml:space="preserve">交流电要求：电压380±10%，频率50HZ2HZ</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1.机组总冷量45KW，加热量9KW，送风量≥12000m³/h，，恒温，送风方式为上送风下回风，风机房专用空调,单机尺寸：</w:t>
            </w:r>
            <w:r/>
          </w:p>
          <w:p>
            <w:pPr>
              <w:jc w:val="left"/>
              <w:keepNext/>
              <w:rPr>
                <w:rFonts w:hint="eastAsia" w:ascii="宋体" w:hAnsi="宋体" w:cs="宋体"/>
                <w:szCs w:val="21"/>
                <w:highlight w:val="none"/>
              </w:rPr>
            </w:pPr>
            <w:r>
              <w:rPr>
                <w:rFonts w:ascii="宋体" w:hAnsi="宋体" w:cs="宋体"/>
                <w:szCs w:val="21"/>
                <w:highlight w:val="none"/>
              </w:rPr>
              <w:t xml:space="preserve">宽≤1010mm，深≤995mm，高 =1975mm</w:t>
            </w:r>
            <w:r>
              <w:rPr>
                <w:rFonts w:hint="eastAsia" w:ascii="宋体" w:hAnsi="宋体" w:cs="宋体"/>
                <w:szCs w:val="21"/>
                <w:highlight w:val="none"/>
              </w:rPr>
              <w:t xml:space="preserve">，</w:t>
            </w:r>
            <w:r>
              <w:rPr>
                <w:rFonts w:ascii="宋体" w:hAnsi="宋体" w:cs="宋体"/>
                <w:szCs w:val="21"/>
                <w:highlight w:val="none"/>
              </w:rPr>
              <w:t xml:space="preserve">允许 ±5mm 公差</w:t>
            </w:r>
            <w:r/>
          </w:p>
          <w:p>
            <w:pPr>
              <w:jc w:val="left"/>
              <w:keepNext/>
              <w:rPr>
                <w:rFonts w:hint="eastAsia" w:ascii="宋体" w:hAnsi="宋体" w:cs="宋体"/>
                <w:szCs w:val="21"/>
                <w:highlight w:val="none"/>
              </w:rPr>
            </w:pPr>
            <w:r>
              <w:rPr>
                <w:rFonts w:hint="eastAsia" w:ascii="宋体" w:hAnsi="宋体" w:cs="宋体"/>
                <w:szCs w:val="21"/>
                <w:highlight w:val="none"/>
              </w:rPr>
              <w:t xml:space="preserve">2.温度精度：15℃-30℃±0.5℃</w:t>
            </w:r>
            <w:r/>
          </w:p>
          <w:p>
            <w:pPr>
              <w:jc w:val="left"/>
              <w:keepNext/>
              <w:rPr>
                <w:rFonts w:hint="eastAsia" w:ascii="宋体" w:hAnsi="宋体" w:cs="宋体"/>
                <w:szCs w:val="21"/>
                <w:highlight w:val="none"/>
              </w:rPr>
            </w:pPr>
            <w:r>
              <w:rPr>
                <w:rFonts w:hint="eastAsia" w:ascii="宋体" w:hAnsi="宋体" w:cs="宋体"/>
                <w:szCs w:val="21"/>
                <w:highlight w:val="none"/>
              </w:rPr>
              <w:t xml:space="preserve">3.湿度精度：30%-80%±2%</w:t>
            </w:r>
            <w:r/>
          </w:p>
          <w:p>
            <w:pPr>
              <w:jc w:val="left"/>
              <w:keepNext/>
              <w:rPr>
                <w:rFonts w:hint="eastAsia" w:ascii="宋体" w:hAnsi="宋体" w:cs="宋体"/>
                <w:szCs w:val="21"/>
                <w:highlight w:val="none"/>
              </w:rPr>
            </w:pPr>
            <w:r>
              <w:rPr>
                <w:rFonts w:hint="eastAsia" w:ascii="宋体" w:hAnsi="宋体" w:cs="宋体"/>
                <w:szCs w:val="21"/>
                <w:highlight w:val="none"/>
              </w:rPr>
              <w:t xml:space="preserve">4.温湿度波动超限发出报警信号。</w:t>
            </w:r>
            <w:r/>
          </w:p>
          <w:p>
            <w:pPr>
              <w:jc w:val="left"/>
              <w:keepNext/>
              <w:rPr>
                <w:rFonts w:hint="eastAsia" w:ascii="宋体" w:hAnsi="宋体" w:cs="宋体"/>
                <w:szCs w:val="21"/>
                <w:highlight w:val="none"/>
              </w:rPr>
            </w:pPr>
            <w:r>
              <w:rPr>
                <w:rFonts w:hint="eastAsia" w:ascii="宋体" w:hAnsi="宋体" w:cs="宋体"/>
                <w:szCs w:val="21"/>
                <w:highlight w:val="none"/>
              </w:rPr>
              <w:t xml:space="preserve">5.交流电要求：电压380±10%，频率50HZ±2HZ</w:t>
            </w:r>
            <w:r/>
          </w:p>
          <w:p>
            <w:pPr>
              <w:jc w:val="left"/>
              <w:keepNext/>
              <w:rPr>
                <w:rFonts w:hint="eastAsia" w:ascii="宋体" w:hAnsi="宋体" w:cs="宋体"/>
                <w:szCs w:val="21"/>
                <w:highlight w:val="none"/>
              </w:rPr>
            </w:pPr>
            <w:r>
              <w:rPr>
                <w:rFonts w:hint="eastAsia" w:ascii="宋体" w:hAnsi="宋体" w:cs="宋体"/>
                <w:szCs w:val="21"/>
                <w:highlight w:val="none"/>
              </w:rPr>
              <w:t xml:space="preserve">6.空调控制电路应对交流电源和设备用电的过流、过压、欠压、缺相、短路等有可靠的保护装置，并在发生故障时能够发出报警。</w:t>
            </w:r>
            <w:r/>
          </w:p>
          <w:p>
            <w:pPr>
              <w:jc w:val="left"/>
              <w:keepNext/>
              <w:rPr>
                <w:rFonts w:hint="eastAsia" w:ascii="宋体" w:hAnsi="宋体" w:cs="宋体"/>
                <w:szCs w:val="21"/>
                <w:highlight w:val="none"/>
              </w:rPr>
            </w:pPr>
            <w:r>
              <w:rPr>
                <w:rFonts w:hint="eastAsia" w:ascii="宋体" w:hAnsi="宋体" w:cs="宋体"/>
                <w:szCs w:val="21"/>
                <w:highlight w:val="none"/>
              </w:rPr>
              <w:t xml:space="preserve">7.实现故障诊断，告警记录功能，自动保护，自动恢复，自动重启动等功能。</w:t>
            </w:r>
            <w:r/>
          </w:p>
          <w:p>
            <w:pPr>
              <w:jc w:val="left"/>
              <w:keepNext/>
              <w:rPr>
                <w:rFonts w:hint="eastAsia" w:ascii="宋体" w:hAnsi="宋体" w:cs="宋体"/>
                <w:szCs w:val="21"/>
                <w:highlight w:val="none"/>
              </w:rPr>
            </w:pPr>
            <w:r>
              <w:rPr>
                <w:rFonts w:hint="eastAsia" w:ascii="宋体" w:hAnsi="宋体" w:cs="宋体"/>
                <w:szCs w:val="21"/>
                <w:highlight w:val="none"/>
              </w:rPr>
              <w:t xml:space="preserve">8.当空调机组的输入电源因故障恢复正常后,空调机组应能自动启动。</w:t>
            </w:r>
            <w:r/>
          </w:p>
          <w:p>
            <w:pPr>
              <w:jc w:val="left"/>
              <w:keepNext/>
              <w:rPr>
                <w:rFonts w:hint="eastAsia" w:ascii="宋体" w:hAnsi="宋体" w:cs="宋体"/>
                <w:szCs w:val="21"/>
                <w:highlight w:val="none"/>
              </w:rPr>
            </w:pPr>
            <w:r>
              <w:rPr>
                <w:rFonts w:hint="eastAsia" w:ascii="宋体" w:hAnsi="宋体" w:cs="宋体"/>
                <w:szCs w:val="21"/>
                <w:highlight w:val="none"/>
              </w:rPr>
              <w:t xml:space="preserve">9.空调机组可清洗并反复使用G4标准空气过滤器。空气过滤器应符合Eurovent4-5 标准，过滤器需采用金属框架，可以多次清洗、重复使用，并便于更换。为方便维护，需配置过滤网脏堵报警。</w:t>
            </w:r>
            <w:r/>
          </w:p>
          <w:p>
            <w:pPr>
              <w:jc w:val="left"/>
              <w:keepNext/>
              <w:rPr>
                <w:rFonts w:hint="eastAsia" w:ascii="宋体" w:hAnsi="宋体" w:cs="宋体"/>
                <w:szCs w:val="21"/>
                <w:highlight w:val="none"/>
              </w:rPr>
            </w:pPr>
            <w:r>
              <w:rPr>
                <w:rFonts w:hint="eastAsia" w:ascii="宋体" w:hAnsi="宋体" w:cs="宋体"/>
                <w:szCs w:val="21"/>
                <w:highlight w:val="none"/>
              </w:rPr>
              <w:t xml:space="preserve">10.高效系统设计，换热器盘管采用V&amp;A型结构，大幅提升系统的换热面积：过滤网完全贴合换热器布局，大幅提升换热面积，可有效降低风阻，提高风机效率。</w:t>
            </w:r>
            <w:r/>
          </w:p>
          <w:p>
            <w:pPr>
              <w:jc w:val="left"/>
              <w:keepNext/>
              <w:rPr>
                <w:rFonts w:hint="eastAsia" w:ascii="宋体" w:hAnsi="宋体" w:cs="宋体"/>
                <w:szCs w:val="21"/>
                <w:highlight w:val="none"/>
              </w:rPr>
            </w:pPr>
            <w:r>
              <w:rPr>
                <w:rFonts w:hint="eastAsia" w:ascii="宋体" w:hAnsi="宋体" w:cs="宋体"/>
                <w:szCs w:val="21"/>
                <w:highlight w:val="none"/>
              </w:rPr>
              <w:t xml:space="preserve">11.▲能效比≥4.5 （提供同系列产品的一级能效标识）</w:t>
            </w:r>
            <w:r/>
          </w:p>
          <w:p>
            <w:pPr>
              <w:jc w:val="left"/>
              <w:keepNext/>
              <w:rPr>
                <w:rFonts w:hint="eastAsia" w:ascii="宋体" w:hAnsi="宋体" w:cs="宋体"/>
                <w:szCs w:val="21"/>
                <w:highlight w:val="none"/>
              </w:rPr>
            </w:pPr>
            <w:r>
              <w:rPr>
                <w:rFonts w:hint="eastAsia" w:ascii="宋体" w:hAnsi="宋体" w:cs="宋体"/>
                <w:szCs w:val="21"/>
                <w:highlight w:val="none"/>
              </w:rPr>
              <w:t xml:space="preserve">12.机房专用空调机组采用热力膨胀阀控流，以适用环境以及热负荷的变化。</w:t>
            </w:r>
            <w:r/>
          </w:p>
          <w:p>
            <w:pPr>
              <w:jc w:val="left"/>
              <w:keepNext/>
              <w:rPr>
                <w:rFonts w:hint="eastAsia" w:ascii="宋体" w:hAnsi="宋体" w:cs="宋体"/>
                <w:szCs w:val="21"/>
                <w:highlight w:val="none"/>
              </w:rPr>
            </w:pPr>
            <w:r>
              <w:rPr>
                <w:rFonts w:hint="eastAsia" w:ascii="宋体" w:hAnsi="宋体" w:cs="宋体"/>
                <w:szCs w:val="21"/>
                <w:highlight w:val="none"/>
              </w:rPr>
              <w:t xml:space="preserve">13.机房专用空调系统应采用更环保的R410A制冷剂.</w:t>
            </w:r>
            <w:r/>
          </w:p>
          <w:p>
            <w:pPr>
              <w:jc w:val="left"/>
              <w:keepNext/>
              <w:rPr>
                <w:rFonts w:hint="eastAsia" w:ascii="宋体" w:hAnsi="宋体" w:cs="宋体"/>
                <w:szCs w:val="21"/>
                <w:highlight w:val="none"/>
              </w:rPr>
            </w:pPr>
            <w:r>
              <w:rPr>
                <w:rFonts w:hint="eastAsia" w:ascii="宋体" w:hAnsi="宋体" w:cs="宋体"/>
                <w:szCs w:val="21"/>
                <w:highlight w:val="none"/>
              </w:rPr>
              <w:t xml:space="preserve">14.机房空调机组显冷量与总制冷量之比≥97%。</w:t>
            </w:r>
            <w:r/>
          </w:p>
          <w:p>
            <w:pPr>
              <w:jc w:val="left"/>
              <w:keepNext/>
              <w:rPr>
                <w:rFonts w:hint="eastAsia" w:ascii="宋体" w:hAnsi="宋体" w:cs="宋体"/>
                <w:szCs w:val="21"/>
                <w:highlight w:val="none"/>
              </w:rPr>
            </w:pPr>
            <w:r>
              <w:rPr>
                <w:rFonts w:hint="eastAsia" w:ascii="宋体" w:hAnsi="宋体" w:cs="宋体"/>
                <w:szCs w:val="21"/>
                <w:highlight w:val="none"/>
              </w:rPr>
              <w:t xml:space="preserve">15.可进行远程监控，实现远程开关机、状态查看、参数设置、告警查看及设置等功能。</w:t>
            </w:r>
            <w:r/>
          </w:p>
          <w:p>
            <w:pPr>
              <w:jc w:val="left"/>
              <w:keepNext/>
              <w:rPr>
                <w:rFonts w:hint="eastAsia" w:ascii="宋体" w:hAnsi="宋体" w:cs="宋体"/>
                <w:szCs w:val="21"/>
                <w:highlight w:val="none"/>
              </w:rPr>
            </w:pPr>
            <w:r>
              <w:rPr>
                <w:rFonts w:hint="eastAsia" w:ascii="宋体" w:hAnsi="宋体" w:cs="宋体"/>
                <w:szCs w:val="21"/>
                <w:highlight w:val="none"/>
              </w:rPr>
              <w:t xml:space="preserve">16.压缩机选用高能效比的谷轮涡旋压缩机，采用电极式加湿器、PTC电加热器。</w:t>
            </w:r>
            <w:r/>
          </w:p>
          <w:p>
            <w:pPr>
              <w:jc w:val="left"/>
              <w:keepNext/>
              <w:rPr>
                <w:rFonts w:hint="eastAsia" w:ascii="宋体" w:hAnsi="宋体" w:cs="宋体"/>
                <w:szCs w:val="21"/>
                <w:highlight w:val="none"/>
              </w:rPr>
            </w:pPr>
            <w:r>
              <w:rPr>
                <w:rFonts w:hint="eastAsia" w:ascii="宋体" w:hAnsi="宋体" w:cs="宋体"/>
                <w:szCs w:val="21"/>
                <w:highlight w:val="none"/>
              </w:rPr>
              <w:t xml:space="preserve">17.▲控制程序应具有恒温恒湿功能，具有“温度优先”与“湿度优先”两种选择控制逻辑，以实现节能（提供相关证书及产品功能截图并加盖公章）</w:t>
            </w:r>
            <w:r/>
          </w:p>
          <w:p>
            <w:pPr>
              <w:jc w:val="left"/>
              <w:keepNext/>
              <w:rPr>
                <w:rFonts w:hint="eastAsia" w:ascii="宋体" w:hAnsi="宋体" w:cs="宋体"/>
                <w:szCs w:val="21"/>
                <w:highlight w:val="none"/>
              </w:rPr>
            </w:pPr>
            <w:r>
              <w:rPr>
                <w:rFonts w:hint="eastAsia" w:ascii="宋体" w:hAnsi="宋体" w:cs="宋体"/>
                <w:szCs w:val="21"/>
                <w:highlight w:val="none"/>
              </w:rPr>
              <w:t xml:space="preserve">18.应采用7寸中英文切换显示器，可显示机组内各组件运行状态、控制参数的功能。具有中文界面与英文界面，能直接在控制面板上对主要参数进行设定，并能连续监控机组各组件的运行状况。</w:t>
            </w:r>
            <w:r/>
          </w:p>
          <w:p>
            <w:pPr>
              <w:jc w:val="left"/>
              <w:keepNext/>
              <w:rPr>
                <w:rFonts w:hint="eastAsia" w:ascii="宋体" w:hAnsi="宋体" w:cs="宋体"/>
                <w:szCs w:val="21"/>
                <w:highlight w:val="none"/>
              </w:rPr>
            </w:pPr>
            <w:r>
              <w:rPr>
                <w:rFonts w:hint="eastAsia" w:ascii="宋体" w:hAnsi="宋体" w:cs="宋体"/>
                <w:szCs w:val="21"/>
                <w:highlight w:val="none"/>
              </w:rPr>
              <w:t xml:space="preserve">19.具备联动与群控功能，控制功能包括：备份自动切换功能，当群组中机组发生故障时，备份机组自动投入运行，提高空调系统的可靠性；轮巡：定时切换备份机组；根据机房内热负荷的变化自动控制机组中空调机的运行数量；达到节能的目的；避免竞争运行：避免同一机房内多台空调机同时运行在相反的运行状态（制冷/加热、加湿/除湿），达到节能的目的。</w:t>
            </w:r>
            <w:r/>
          </w:p>
          <w:p>
            <w:pPr>
              <w:jc w:val="left"/>
              <w:keepNext/>
              <w:rPr>
                <w:rFonts w:hint="eastAsia" w:ascii="宋体" w:hAnsi="宋体" w:cs="宋体"/>
                <w:szCs w:val="21"/>
                <w:highlight w:val="none"/>
              </w:rPr>
            </w:pPr>
            <w:r>
              <w:rPr>
                <w:rFonts w:hint="eastAsia" w:ascii="宋体" w:hAnsi="宋体" w:cs="宋体"/>
                <w:szCs w:val="21"/>
                <w:highlight w:val="none"/>
              </w:rPr>
              <w:t xml:space="preserve">20.室外机组结构具有良好的刚性，并做表面喷涂，以适应多种环境条件，室外风机需可调速运行。</w:t>
            </w:r>
            <w:r/>
          </w:p>
          <w:p>
            <w:pPr>
              <w:jc w:val="left"/>
              <w:keepNext/>
              <w:rPr>
                <w:rFonts w:hint="eastAsia" w:ascii="宋体" w:hAnsi="宋体" w:cs="宋体"/>
                <w:szCs w:val="21"/>
                <w:highlight w:val="none"/>
              </w:rPr>
            </w:pPr>
            <w:r>
              <w:rPr>
                <w:rFonts w:hint="eastAsia" w:ascii="宋体" w:hAnsi="宋体" w:cs="宋体"/>
                <w:szCs w:val="21"/>
                <w:highlight w:val="none"/>
              </w:rPr>
              <w:t xml:space="preserve">室内空调机组必须全正面维护，靠墙安装。</w:t>
            </w:r>
            <w:r/>
          </w:p>
          <w:p>
            <w:pPr>
              <w:jc w:val="left"/>
              <w:keepNext/>
              <w:rPr>
                <w:rFonts w:hint="eastAsia" w:ascii="宋体" w:hAnsi="宋体" w:cs="宋体"/>
                <w:szCs w:val="21"/>
                <w:highlight w:val="none"/>
              </w:rPr>
            </w:pPr>
            <w:r>
              <w:rPr>
                <w:rFonts w:hint="eastAsia" w:ascii="宋体" w:hAnsi="宋体" w:cs="宋体"/>
                <w:szCs w:val="21"/>
                <w:highlight w:val="none"/>
              </w:rPr>
              <w:t xml:space="preserve">21.▲为保证售后服务的专业性，空调原厂需取得中国制冷空调设备维修安装企业资质证书，且资质等级达到A类Ⅰ级或以上（提供中国制冷空调设备维修安装企业A类Ⅰ级资质证书复印件并加盖投标人公章）</w:t>
            </w:r>
            <w:r/>
          </w:p>
          <w:p>
            <w:pPr>
              <w:jc w:val="left"/>
              <w:keepNext/>
              <w:rPr>
                <w:rFonts w:hint="eastAsia" w:ascii="宋体" w:hAnsi="宋体" w:cs="宋体"/>
                <w:szCs w:val="21"/>
                <w:highlight w:val="none"/>
              </w:rPr>
            </w:pPr>
            <w:r>
              <w:rPr>
                <w:rFonts w:hint="eastAsia" w:ascii="宋体" w:hAnsi="宋体" w:cs="宋体"/>
                <w:szCs w:val="21"/>
                <w:highlight w:val="none"/>
              </w:rPr>
              <w:t xml:space="preserve">22.▲为保证售后服务的专业性，空调原厂需取得建筑机电安装工程专业承包企业资质证书，且资质等级达到专业承包二级或以上（提供空调原厂建筑机电安装工程专业承包贰级证书复印件并加盖投标人公章）</w:t>
            </w:r>
            <w:r/>
          </w:p>
        </w:tc>
      </w:tr>
      <w:tr>
        <w:trPr>
          <w:jc w:val="center"/>
          <w:trHeight w:val="20"/>
        </w:trPr>
        <w:tc>
          <w:tcPr>
            <w:tcW w:w="0" w:type="auto"/>
            <w:vAlign w:val="center"/>
            <w:vMerge w:val="restart"/>
            <w:textDirection w:val="lrTb"/>
            <w:noWrap/>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ascii="宋体" w:hAnsi="宋体" w:cs="宋体"/>
                <w:color w:val="000000"/>
                <w:szCs w:val="21"/>
                <w:highlight w:val="none"/>
              </w:rPr>
              <w:t xml:space="preserve">房间级精密空调外机</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1.室外机采用镀锌板和表面磷化＋粉末涂层工艺，具有良好的刚性和防腐性能，适应恶劣环境)</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2.精密空调室外机换热器应采用波纹翅片，不能采用开窗翅片，防止积灰脏堵，影响机组性能和可靠性。</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3.精密空调的风冷冷凝器的风机电机、风机调速器、控制器等应有良好的防水性能。</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4.室外风机驱动应采用变频调速器，室外风机调速范围要求在10%-100%，要求风机最低运行频率不高于5Hz，低载运行更稳定。</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5.精密空调的冷凝器出厂时应保压，管路端口应有防止异物进入的措施。</w:t>
            </w:r>
            <w:r/>
          </w:p>
        </w:tc>
      </w:tr>
      <w:tr>
        <w:trPr>
          <w:jc w:val="center"/>
          <w:trHeight w:val="20"/>
        </w:trPr>
        <w:tc>
          <w:tcPr>
            <w:tcW w:w="0" w:type="auto"/>
            <w:vAlign w:val="center"/>
            <w:vMerge w:val="restart"/>
            <w:textDirection w:val="lrTb"/>
            <w:noWrap/>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电缆RVV5*16</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国标阻燃</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电缆RVV5*2.5</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国标阻燃</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电缆RVVP3*1.5</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国标阻燃</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抗震支架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主体材料：</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热镀锌钢（镀锌层≥80μm，符合GB/T 13912标准）或304不锈钢（厚度≥2.5mm）。</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防腐处理：喷塑（RAL色号可选）或环氧树脂涂层（盐雾试验≥500小时）。</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安装方式：</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墙体固定：膨胀螺栓规格：M12×100（混凝土墙体）或化学锚栓（抗拉拔力≥20kN）。</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支架与墙体接触面加装绝缘垫片（防电化学腐蚀）。</w:t>
            </w:r>
            <w:r/>
          </w:p>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地面固定：地脚螺栓+混凝土基座（基座尺寸≥支架投影面积的1.2倍）。</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空调铜管19&amp;22</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空调铜管19&amp;22，含铜管保温</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空调外电源线</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ZB-YJV-3*4mm²</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辅材</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包含焊接气体、焊条、铜管安装的开孔。同时供应商需自备冷媒，R410A制冷剂，10kg/罐，共10罐</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调试安装服务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包含精密空调原厂开机调测服务，室外机基础，包含精密空调三年原厂维护服务及房间级精密空调一年原厂维护服务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设备机柜1</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600*1200*42U设备机柜（含前后门，不含侧门）</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设备机柜2</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800*1200*42U设备机柜（含前后门，不含侧门）</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机柜侧门</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1200机柜侧门</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机柜层板</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1200机柜固定层板</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17</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PDU电源插座</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32A/1P-输出20*GB10A+4*GB16A-全高竖装,端子连接</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安装辅材</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线材，开关，螺丝胶条等</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19</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调试安装服务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机柜设备安装服务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20</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动力ATS配电柜</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国产柜体；规格：700*500*2000，带内屏蔽门；三相五线3P+N、AC380/400V；总进线630A/4P-PC级ATS装置，输出4个500A/3P输出塑壳开关，2只63/3P输出开关及若干预留开关，标配电量仪，支持RS485通讯接入动环监控平台</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空调柜</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国产柜体；规格：700*500*2000，带内屏蔽门；三相五线3P+N、AC380/400V；320A/3P总进线；输出6只80A/3PUPS空调开关，标配电量仪，支持RS485通讯接入动环监控平台</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UPS输出柜</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国产柜体；规格：700*500*2000，带内屏蔽门；三相五线3P+N、AC380/400V；400A/3P总进线；输出1只250A/3P塑壳开关，1只160A/3P塑壳开关，1只80A/3P塑壳开关及若干预留开关，标配电量仪，支持RS485通讯接入动环监控平台</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照明配电箱</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定制照明配电箱，若干照明插座控制开关，带屏蔽门，壁挂安装</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精密配电列头柜</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精密配电列头柜-规格600mm(W)*1200mm(D)*2000mm(H)，智能监控：监测主路三相电压、电流、功率因数、频率、有功/无功功率、谐波(THD)、零地电压；监测各支路电流、开关状态、负载率；支持过载/过流/缺相/开关跳闸声光报警及干接点输出</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线材，开关，螺丝胶条等安装必备辅材</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26</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调试安装服务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配电柜设备调试安装服务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27</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空调支架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国标8#热镀锌槽钢定制，规格：1000*2200*400mm；额定承重≥800kg，三角形稳定结构，双层横担设计（防止机器侧翻），膨胀螺栓固定，采用M12或M14膨胀螺栓​与墙体/混凝土基础连接，每侧不少于4个锚固点；​</w:t>
            </w:r>
            <w:r/>
          </w:p>
          <w:p>
            <w:pPr>
              <w:jc w:val="left"/>
              <w:keepNext/>
              <w:rPr>
                <w:rFonts w:hint="eastAsia" w:ascii="宋体" w:hAnsi="宋体" w:cs="宋体"/>
                <w:szCs w:val="21"/>
                <w:highlight w:val="none"/>
              </w:rPr>
            </w:pPr>
            <w:r>
              <w:rPr>
                <w:rFonts w:hint="eastAsia" w:ascii="宋体" w:hAnsi="宋体" w:cs="宋体"/>
                <w:szCs w:val="21"/>
                <w:highlight w:val="none"/>
              </w:rPr>
              <w:t xml:space="preserve">热镀锌层厚度≥65μm；支架横担上方加装5~10mm厚橡胶减震垫（耐候、耐油）；</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28</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配电柜支架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国标5#热镀锌角铁定制，规格：700*500*400mm，额定承重≥500kg，三角形稳定结构，双层横担设计（防止机器侧翻），膨胀螺栓固定，采用M12或M14膨胀螺栓​与墙体/混凝土基础连接，每侧不少于4个锚固点；​</w:t>
            </w:r>
            <w:r/>
          </w:p>
          <w:p>
            <w:pPr>
              <w:jc w:val="left"/>
              <w:keepNext/>
              <w:rPr>
                <w:rFonts w:hint="eastAsia" w:ascii="宋体" w:hAnsi="宋体" w:cs="宋体"/>
                <w:szCs w:val="21"/>
                <w:highlight w:val="none"/>
              </w:rPr>
            </w:pPr>
            <w:r>
              <w:rPr>
                <w:rFonts w:hint="eastAsia" w:ascii="宋体" w:hAnsi="宋体" w:cs="宋体"/>
                <w:szCs w:val="21"/>
                <w:highlight w:val="none"/>
              </w:rPr>
              <w:t xml:space="preserve">热镀锌层厚度≥65μm；支架横担上方加装5~10mm厚橡胶减震垫（耐候、耐油）；</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29</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UPS、列头柜设备支架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UPS、列头柜支架，国标8#热镀锌槽钢定制，规格1200*600*400mm，额定承重≥800kg，三角形稳定结构，双层横担设计（防止机器侧翻），膨胀螺栓固定，采用M12或M14膨胀螺栓​与墙体/混凝土基础连接，每侧不少于4个锚固点；​</w:t>
            </w:r>
            <w:r/>
          </w:p>
          <w:p>
            <w:pPr>
              <w:jc w:val="left"/>
              <w:keepNext/>
              <w:rPr>
                <w:rFonts w:hint="eastAsia" w:ascii="宋体" w:hAnsi="宋体" w:cs="宋体"/>
                <w:szCs w:val="21"/>
                <w:highlight w:val="none"/>
              </w:rPr>
            </w:pPr>
            <w:r>
              <w:rPr>
                <w:rFonts w:hint="eastAsia" w:ascii="宋体" w:hAnsi="宋体" w:cs="宋体"/>
                <w:szCs w:val="21"/>
                <w:highlight w:val="none"/>
              </w:rPr>
              <w:t xml:space="preserve">热镀锌层厚度≥65μm；支架横担上方加装5~10mm厚橡胶减震垫（耐候、耐油）；</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30</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电池柜支架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国标8#热镀锌槽钢定制，规格2500*600*400mm，额定承重≥1600kg，三角形稳定结构，双层横担设计（防止机器侧翻），膨胀螺栓固定，采用M12或M14膨胀螺栓​与墙体/混凝土基础连接，每侧不少于4个锚固点；​</w:t>
            </w:r>
            <w:r/>
          </w:p>
          <w:p>
            <w:pPr>
              <w:jc w:val="left"/>
              <w:keepNext/>
              <w:rPr>
                <w:rFonts w:hint="eastAsia" w:ascii="宋体" w:hAnsi="宋体" w:cs="宋体"/>
                <w:szCs w:val="21"/>
                <w:highlight w:val="none"/>
              </w:rPr>
            </w:pPr>
            <w:r>
              <w:rPr>
                <w:rFonts w:hint="eastAsia" w:ascii="宋体" w:hAnsi="宋体" w:cs="宋体"/>
                <w:szCs w:val="21"/>
                <w:highlight w:val="none"/>
              </w:rPr>
              <w:t xml:space="preserve">热镀锌层厚度≥65μm；支架横担上方加装5~10mm厚橡胶减震垫（耐候、耐油）；</w:t>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线材，开关，螺丝胶条等安装必备辅材</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调试安装服务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支架设备调试安装服务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动力主进线电缆</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ZB-YJV-4*150+E70mm²，包括16套热缩电缆头制作，含铜鼻、五指套</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不间断电源主进线电缆</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ZB-YJV-4*120+E70mm²，包括12套热缩电缆头制作，含铜鼻、五指套</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电缆（UPS输入）</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ZB-YJV-4*120+E70mm²，包括12套热缩电缆头制作，含铜鼻、五指套</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36</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电缆（列头柜UPS电进线）</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ZB-YJV-4*70+E35mm²，包括4套热缩电缆头制作，含铜鼻、五指套</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37</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电缆（空调进线）</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ZB-YJV-4*25+1*16mm²，包括8套热缩电缆头制作，含铜鼻、五指套</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38</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ZB-YJVR-3*6mm²</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39</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电缆头制作</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ZB-YJVR-3*4mm²冷压电缆头制作，含铜鼻、热塑管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40</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电线</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WDZA-BYJ-2.5mm²</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理线架</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1U理线架</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铜缆</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6类非屏蔽铜缆</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成品跳线1</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6类铜缆跳线2米</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成品跳线2</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6类铜缆跳线3米</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光纤跳线1</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LC-LC万兆多模3米（OM3)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46</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光纤跳线2</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LC-LC万兆多模5米（OM3)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47</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光纤跳线3</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LC-LC万兆多模10米（OM3)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48</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光纤跳线4</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LC-LC万兆多模15米（OM3)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49</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光纤跳线5</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LC-LC万兆多模20米（OM3)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50</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光纤跳线6</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LC-LC万兆多模25米（OM3)</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51</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szCs w:val="21"/>
                <w:highlight w:val="none"/>
              </w:rPr>
              <w:t xml:space="preserve">辅材</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包括PVC扎带、自粘式打印标签、网线水晶头制作等</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52</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调试安装服务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bCs/>
                <w:szCs w:val="21"/>
                <w:highlight w:val="none"/>
              </w:rPr>
              <w:t xml:space="preserve">电缆桥架及网络线材调试安装服务</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53</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配套施工</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48m热镀锌梯式桥架，规格500*100*2.0mm，吊装</w:t>
            </w:r>
            <w:r/>
          </w:p>
          <w:p>
            <w:pPr>
              <w:jc w:val="left"/>
              <w:keepNext/>
              <w:rPr>
                <w:rFonts w:hint="eastAsia" w:ascii="宋体" w:hAnsi="宋体" w:cs="宋体"/>
                <w:szCs w:val="21"/>
                <w:highlight w:val="none"/>
              </w:rPr>
            </w:pPr>
            <w:r>
              <w:rPr>
                <w:rFonts w:hint="eastAsia" w:ascii="宋体" w:hAnsi="宋体" w:cs="宋体"/>
                <w:szCs w:val="21"/>
                <w:highlight w:val="none"/>
              </w:rPr>
              <w:t xml:space="preserve">66m热镀锌梯式桥架，规格300*100*1.5mm，，吊装</w:t>
            </w:r>
            <w:r/>
          </w:p>
          <w:p>
            <w:pPr>
              <w:jc w:val="left"/>
              <w:keepNext/>
              <w:rPr>
                <w:rFonts w:hint="eastAsia" w:ascii="宋体" w:hAnsi="宋体" w:cs="宋体"/>
                <w:szCs w:val="21"/>
                <w:highlight w:val="none"/>
              </w:rPr>
            </w:pPr>
            <w:r>
              <w:rPr>
                <w:rFonts w:hint="eastAsia" w:ascii="宋体" w:hAnsi="宋体" w:cs="宋体"/>
                <w:szCs w:val="21"/>
                <w:highlight w:val="none"/>
              </w:rPr>
              <w:t xml:space="preserve">20m热镀锌梯式桥架，规格200*100*1.2mm，吊装</w:t>
            </w:r>
            <w:r/>
          </w:p>
          <w:p>
            <w:pPr>
              <w:jc w:val="left"/>
              <w:keepNext/>
              <w:rPr>
                <w:rFonts w:hint="eastAsia" w:ascii="宋体" w:hAnsi="宋体" w:cs="宋体"/>
                <w:szCs w:val="21"/>
                <w:highlight w:val="none"/>
              </w:rPr>
            </w:pPr>
            <w:r>
              <w:rPr>
                <w:rFonts w:hint="eastAsia" w:ascii="宋体" w:hAnsi="宋体" w:cs="宋体"/>
                <w:szCs w:val="21"/>
                <w:highlight w:val="none"/>
              </w:rPr>
              <w:t xml:space="preserve">78m光纤桥架240*100mm,ABS阻燃材质，阻燃等级：UL94-V0、FV-0级，氧指数≥32，壁厚：1.2/1.5mm，含盖板及专业连接件</w:t>
            </w:r>
            <w:r/>
          </w:p>
          <w:p>
            <w:pPr>
              <w:jc w:val="left"/>
              <w:keepNext/>
              <w:rPr>
                <w:rFonts w:hint="eastAsia" w:ascii="宋体" w:hAnsi="宋体" w:cs="宋体"/>
                <w:szCs w:val="21"/>
                <w:highlight w:val="none"/>
              </w:rPr>
            </w:pPr>
            <w:r>
              <w:rPr>
                <w:rFonts w:hint="eastAsia" w:ascii="宋体" w:hAnsi="宋体" w:cs="宋体"/>
                <w:szCs w:val="21"/>
                <w:highlight w:val="none"/>
              </w:rPr>
              <w:t xml:space="preserve">6套光纤桥架专用配件，90°水平成品弯头，含专用连接件</w:t>
            </w:r>
            <w:r/>
          </w:p>
          <w:p>
            <w:pPr>
              <w:jc w:val="left"/>
              <w:keepNext/>
              <w:rPr>
                <w:rFonts w:hint="eastAsia" w:ascii="宋体" w:hAnsi="宋体" w:cs="宋体"/>
                <w:szCs w:val="21"/>
                <w:highlight w:val="none"/>
              </w:rPr>
            </w:pPr>
            <w:r>
              <w:rPr>
                <w:rFonts w:hint="eastAsia" w:ascii="宋体" w:hAnsi="宋体" w:cs="宋体"/>
                <w:szCs w:val="21"/>
                <w:highlight w:val="none"/>
              </w:rPr>
              <w:t xml:space="preserve">80m400*100开放式网格桥架，热镀锌，6#钢丝</w:t>
            </w:r>
            <w:r/>
          </w:p>
          <w:p>
            <w:pPr>
              <w:jc w:val="left"/>
              <w:keepNext/>
              <w:rPr>
                <w:rFonts w:hint="eastAsia" w:ascii="宋体" w:hAnsi="宋体" w:cs="宋体"/>
                <w:szCs w:val="21"/>
                <w:highlight w:val="none"/>
              </w:rPr>
            </w:pPr>
            <w:r>
              <w:rPr>
                <w:rFonts w:hint="eastAsia" w:ascii="宋体" w:hAnsi="宋体" w:cs="宋体"/>
                <w:szCs w:val="21"/>
                <w:highlight w:val="none"/>
              </w:rPr>
              <w:t xml:space="preserve">80m200*100开放式网格桥架，热镀锌，6#钢丝</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54</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供配电系统电力测试</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包含绝缘测试，阻抗测试等人力和铁构件定制桥架支架等辅材</w:t>
            </w:r>
            <w:r/>
          </w:p>
        </w:tc>
      </w:tr>
      <w:tr>
        <w:trPr>
          <w:jc w:val="center"/>
          <w:trHeight w:val="20"/>
        </w:trPr>
        <w:tc>
          <w:tcPr>
            <w:tcW w:w="0" w:type="auto"/>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0" w:type="auto"/>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r>
        <w:trPr>
          <w:jc w:val="center"/>
          <w:trHeight w:val="20"/>
        </w:trPr>
        <w:tc>
          <w:tcPr>
            <w:tcW w:w="0" w:type="auto"/>
            <w:vAlign w:val="center"/>
            <w:vMerge w:val="restart"/>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t xml:space="preserve">55</w:t>
            </w:r>
            <w:r/>
          </w:p>
        </w:tc>
        <w:tc>
          <w:tcPr>
            <w:tcW w:w="0" w:type="auto"/>
            <w:vAlign w:val="center"/>
            <w:vMerge w:val="restart"/>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t xml:space="preserve">集成服务</w:t>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t xml:space="preserve">含项目整体集成以及设备安装调试等（包括原厂质保服务的购买）</w:t>
            </w:r>
            <w:r/>
          </w:p>
        </w:tc>
      </w:tr>
      <w:tr>
        <w:trPr>
          <w:jc w:val="center"/>
          <w:trHeight w:val="20"/>
        </w:trPr>
        <w:tc>
          <w:tcPr>
            <w:tcW w:w="638" w:type="dxa"/>
            <w:vAlign w:val="center"/>
            <w:vMerge w:val="continue"/>
            <w:textDirection w:val="lrTb"/>
            <w:noWrap w:val="false"/>
          </w:tcPr>
          <w:p>
            <w:pPr>
              <w:jc w:val="center"/>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vMerge w:val="continue"/>
            <w:textDirection w:val="lrTb"/>
            <w:noWrap w:val="false"/>
          </w:tcPr>
          <w:p>
            <w:pPr>
              <w:jc w:val="left"/>
              <w:keepNex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6" w:type="dxa"/>
            <w:vAlign w:val="center"/>
            <w:textDirection w:val="lrTb"/>
            <w:noWrap w:val="false"/>
          </w:tcPr>
          <w:p>
            <w:pPr>
              <w:keepNext/>
              <w:rPr>
                <w:rFonts w:hint="eastAsia" w:ascii="宋体" w:hAnsi="宋体" w:cs="宋体"/>
                <w:color w:val="000000"/>
                <w:szCs w:val="21"/>
                <w:highlight w:val="none"/>
              </w:rPr>
            </w:pPr>
            <w:r>
              <w:rPr>
                <w:rFonts w:hint="eastAsia" w:ascii="宋体" w:hAnsi="宋体" w:cs="宋体"/>
                <w:color w:val="000000"/>
                <w:szCs w:val="21"/>
                <w:highlight w:val="none"/>
              </w:rPr>
              <w:t xml:space="preserve">非实质性要求</w:t>
            </w:r>
            <w:r/>
          </w:p>
        </w:tc>
        <w:tc>
          <w:tcPr>
            <w:tcW w:w="6105" w:type="dxa"/>
            <w:vAlign w:val="center"/>
            <w:textDirection w:val="lrTb"/>
            <w:noWrap w:val="false"/>
          </w:tcPr>
          <w:p>
            <w:pPr>
              <w:jc w:val="left"/>
              <w:keepNext/>
              <w:rPr>
                <w:rFonts w:hint="eastAsia" w:ascii="宋体" w:hAnsi="宋体" w:cs="宋体"/>
                <w:szCs w:val="21"/>
                <w:highlight w:val="none"/>
              </w:rPr>
            </w:pPr>
            <w:r>
              <w:rPr>
                <w:rFonts w:hint="eastAsia" w:ascii="宋体" w:hAnsi="宋体" w:cs="宋体"/>
                <w:szCs w:val="21"/>
                <w:highlight w:val="none"/>
              </w:rPr>
            </w:r>
            <w:r/>
          </w:p>
        </w:tc>
      </w:tr>
    </w:tbl>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3"/>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（三）商务要求</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1.报价要求</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（2）投标人的任何错漏、优惠、竞争性报价不得作为减轻责任、减少服务、增加收费、降低服务质量的理由。</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（3）投标人报价除包含招标文件中列明的项目外，还应包括保障产品正常使用应当具有的物资和服务，对产品正常使用应当具有的物资和服务理解不一致的以采购人理解为准。</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2.实施要求</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（1）人员要求</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项目经理：1人；</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技术负责人：1人；</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项目服务人员：至少2人。</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（2）培训要求</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供应商应根据项目建设和使用需要，面向采购人管理人员、系统管理员、业务使用人员及运维人员开展培训。培训不少于2课时，每次培训时间1小时。</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3.付款条件</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以第三章合同文本内容为准。</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4.交付时间及地点</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（1）交付时间：合同签订，接到招标方供货通知后60日历天内供货到指定地点，90日历天完成设备安装调试和相关手续办理。</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（2）交付地点：采购人指定地点。</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5.履约保证金</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以第三章合同文本内容为准。</w:t>
      </w:r>
      <w:r/>
    </w:p>
    <w:p>
      <w:pPr>
        <w:pStyle w:val="863"/>
        <w:ind w:firstLine="480"/>
        <w:spacing w:after="0" w:line="360" w:lineRule="auto"/>
        <w:rPr>
          <w:rFonts w:hint="eastAsia" w:ascii="宋体" w:hAnsi="宋体" w:cs="宋体"/>
          <w:color w:val="000000"/>
          <w:sz w:val="24"/>
          <w:highlight w:val="none"/>
        </w:rPr>
      </w:pPr>
      <w:r/>
      <w:bookmarkStart w:id="223" w:name="OLE_LINK1"/>
      <w:r>
        <w:rPr>
          <w:rFonts w:hint="eastAsia" w:ascii="宋体" w:hAnsi="宋体" w:cs="宋体"/>
          <w:color w:val="000000"/>
          <w:sz w:val="24"/>
          <w:highlight w:val="none"/>
        </w:rPr>
        <w:t xml:space="preserve">6.其他要求</w:t>
      </w:r>
      <w:bookmarkEnd w:id="223"/>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招标文件中要求提供证明材料的，签订合同时投标人应按招标文件要求和投标文件响应内容提供相应证明材料原件供采购人核验，否则采购人将取消其中标资格。</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pStyle w:val="863"/>
        <w:ind w:firstLine="482"/>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五、特别说明</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1.核心产品为精密空调室内机。</w:t>
      </w:r>
      <w:r/>
    </w:p>
    <w:p>
      <w:pPr>
        <w:pStyle w:val="863"/>
        <w:ind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2.本章“采购需求”中</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条款均为实质性要求，不可负偏离，否则作为无效投标。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加注“★”符号的关键指标、加注“▲”符号重要指标和一般指标中要求提供相关材料的，均须按照响应文件格式要求对应详细填写响应情况并提供证明材料，未提供的评委有权认定为负偏离。证明材料包含但不限于产品说明书等技术支持资料，如第三方检测报告等（注：功能参数应进行明显标注，采用如箭头、标红或下划线等标注方式，方便评委查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4.商务要求均为实质性条款，不允许负偏离，否则将作无效投标处理。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hint="eastAsia" w:ascii="宋体" w:hAnsi="宋体" w:cs="宋体"/>
          <w:color w:val="000000"/>
          <w:sz w:val="24"/>
          <w:highlight w:val="none"/>
        </w:rPr>
        <w:t xml:space="preserve">.中标供应商在项目实施过程中应严格按照采购需求中的各项要求、合同中的各项条款、采购人要求以及投标文件中确定的事项和承诺履行本项目。</w:t>
      </w:r>
      <w:bookmarkEnd w:id="219"/>
      <w:bookmarkEnd w:id="220"/>
      <w:bookmarkEnd w:id="221"/>
      <w:bookmarkEnd w:id="222"/>
      <w:r/>
    </w:p>
    <w:p>
      <w:pPr>
        <w:ind w:firstLine="420"/>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b/>
          <w:color w:val="000000"/>
          <w:sz w:val="32"/>
          <w:highlight w:val="none"/>
        </w:rPr>
      </w:pPr>
      <w:r/>
      <w:bookmarkStart w:id="224" w:name="_Toc26095"/>
      <w:r/>
      <w:bookmarkStart w:id="225" w:name="_Toc1170"/>
      <w:r/>
      <w:bookmarkStart w:id="226" w:name="_Toc193678643"/>
      <w:r/>
      <w:bookmarkStart w:id="227" w:name="_Toc675"/>
      <w:r/>
      <w:bookmarkStart w:id="228" w:name="_Toc15487"/>
      <w:r>
        <w:rPr>
          <w:rFonts w:hint="eastAsia" w:ascii="宋体" w:hAnsi="宋体" w:cs="宋体"/>
          <w:b/>
          <w:color w:val="000000"/>
          <w:sz w:val="32"/>
          <w:highlight w:val="none"/>
        </w:rPr>
        <w:br w:type="page" w:clear="all"/>
      </w:r>
      <w:r/>
    </w:p>
    <w:p>
      <w:pPr>
        <w:jc w:val="center"/>
        <w:spacing w:line="360" w:lineRule="auto"/>
        <w:rPr>
          <w:rFonts w:hint="eastAsia" w:ascii="宋体" w:hAnsi="宋体" w:cs="宋体"/>
          <w:highlight w:val="none"/>
        </w:rPr>
        <w:outlineLvl w:val="0"/>
      </w:pPr>
      <w:r>
        <w:rPr>
          <w:rFonts w:hint="eastAsia" w:ascii="宋体" w:hAnsi="宋体" w:cs="宋体"/>
          <w:b/>
          <w:color w:val="000000"/>
          <w:sz w:val="32"/>
          <w:highlight w:val="none"/>
        </w:rPr>
        <w:t xml:space="preserve">第五章  评标方法与评标标准</w:t>
      </w:r>
      <w:bookmarkEnd w:id="224"/>
      <w:r/>
      <w:bookmarkEnd w:id="225"/>
      <w:r/>
      <w:bookmarkEnd w:id="226"/>
      <w:r/>
      <w:bookmarkEnd w:id="227"/>
      <w:r/>
      <w:bookmarkEnd w:id="228"/>
      <w:r/>
      <w:r/>
    </w:p>
    <w:p>
      <w:pPr>
        <w:ind w:firstLine="480"/>
        <w:spacing w:before="120" w:after="120" w:line="360" w:lineRule="auto"/>
        <w:rPr>
          <w:rFonts w:hint="eastAsia" w:ascii="宋体" w:hAnsi="宋体" w:cs="宋体"/>
          <w:sz w:val="24"/>
          <w:highlight w:val="none"/>
        </w:rPr>
      </w:pPr>
      <w:r>
        <w:rPr>
          <w:rFonts w:hint="eastAsia" w:ascii="宋体" w:hAnsi="宋体" w:cs="宋体"/>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spacing w:line="360" w:lineRule="auto"/>
        <w:rPr>
          <w:rFonts w:hint="eastAsia" w:ascii="宋体" w:hAnsi="宋体" w:cs="宋体"/>
          <w:b/>
          <w:color w:val="000000"/>
          <w:sz w:val="24"/>
          <w:highlight w:val="none"/>
        </w:rPr>
        <w:outlineLvl w:val="1"/>
      </w:pPr>
      <w:r/>
      <w:bookmarkStart w:id="229" w:name="_Toc193678646"/>
      <w:r/>
      <w:bookmarkStart w:id="230" w:name="_Toc12524"/>
      <w:r/>
      <w:bookmarkStart w:id="231" w:name="_Toc7929"/>
      <w:r/>
      <w:bookmarkStart w:id="232" w:name="_Toc20891"/>
      <w:r/>
      <w:bookmarkStart w:id="233" w:name="_Toc10103"/>
      <w:r>
        <w:rPr>
          <w:rFonts w:hint="eastAsia" w:ascii="宋体" w:hAnsi="宋体" w:cs="宋体"/>
          <w:b/>
          <w:color w:val="000000"/>
          <w:sz w:val="24"/>
          <w:highlight w:val="none"/>
        </w:rPr>
        <w:t xml:space="preserve">评分方法和评标标准</w:t>
      </w:r>
      <w:bookmarkEnd w:id="229"/>
      <w:r>
        <w:rPr>
          <w:rFonts w:hint="eastAsia" w:ascii="宋体" w:hAnsi="宋体" w:cs="宋体"/>
          <w:b/>
          <w:color w:val="000000"/>
          <w:sz w:val="24"/>
          <w:highlight w:val="none"/>
        </w:rPr>
        <w:t xml:space="preserve"> </w:t>
      </w:r>
      <w:bookmarkEnd w:id="230"/>
      <w:r/>
      <w:bookmarkEnd w:id="231"/>
      <w:r/>
      <w:bookmarkEnd w:id="232"/>
      <w:r/>
      <w:bookmarkEnd w:id="233"/>
      <w:r/>
      <w:r/>
    </w:p>
    <w:tbl>
      <w:tblPr>
        <w:tblStyle w:val="75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8"/>
        <w:gridCol w:w="1171"/>
        <w:gridCol w:w="27"/>
        <w:gridCol w:w="6303"/>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spacing w:before="122" w:line="360" w:lineRule="auto"/>
              <w:rPr>
                <w:rFonts w:hint="eastAsia" w:ascii="宋体" w:hAnsi="宋体" w:cs="宋体"/>
                <w:b/>
                <w:bCs/>
                <w:spacing w:val="-3"/>
                <w:szCs w:val="21"/>
                <w:highlight w:val="none"/>
              </w:rPr>
            </w:pPr>
            <w:r>
              <w:rPr>
                <w:rFonts w:hint="eastAsia" w:ascii="宋体" w:hAnsi="宋体" w:cs="宋体"/>
                <w:b/>
                <w:bCs/>
                <w:spacing w:val="-3"/>
                <w:szCs w:val="21"/>
                <w:highlight w:val="none"/>
              </w:rPr>
              <w:t xml:space="preserve">序号</w:t>
            </w:r>
            <w:r/>
          </w:p>
        </w:tc>
        <w:tc>
          <w:tcPr>
            <w:gridSpan w:val="2"/>
            <w:tcBorders>
              <w:top w:val="single" w:color="000000" w:sz="2" w:space="0"/>
              <w:bottom w:val="single" w:color="000000" w:sz="2" w:space="0"/>
            </w:tcBorders>
            <w:tcW w:w="1179" w:type="dxa"/>
            <w:vAlign w:val="center"/>
            <w:textDirection w:val="lrTb"/>
            <w:noWrap w:val="false"/>
          </w:tcPr>
          <w:p>
            <w:pPr>
              <w:jc w:val="center"/>
              <w:spacing w:before="122" w:line="360" w:lineRule="auto"/>
              <w:rPr>
                <w:rFonts w:hint="eastAsia" w:ascii="宋体" w:hAnsi="宋体" w:cs="宋体"/>
                <w:b/>
                <w:bCs/>
                <w:spacing w:val="-3"/>
                <w:szCs w:val="21"/>
                <w:highlight w:val="none"/>
              </w:rPr>
            </w:pPr>
            <w:r>
              <w:rPr>
                <w:rFonts w:hint="eastAsia" w:ascii="宋体" w:hAnsi="宋体" w:cs="宋体"/>
                <w:b/>
                <w:bCs/>
                <w:spacing w:val="-3"/>
                <w:szCs w:val="21"/>
                <w:highlight w:val="none"/>
              </w:rPr>
              <w:t xml:space="preserve">评审因素</w:t>
            </w:r>
            <w:r/>
          </w:p>
        </w:tc>
        <w:tc>
          <w:tcPr>
            <w:gridSpan w:val="2"/>
            <w:tcBorders>
              <w:top w:val="single" w:color="000000" w:sz="2" w:space="0"/>
              <w:bottom w:val="single" w:color="000000" w:sz="2" w:space="0"/>
            </w:tcBorders>
            <w:tcW w:w="6330" w:type="dxa"/>
            <w:vAlign w:val="center"/>
            <w:textDirection w:val="lrTb"/>
            <w:noWrap w:val="false"/>
          </w:tcPr>
          <w:p>
            <w:pPr>
              <w:ind w:firstLine="410"/>
              <w:jc w:val="center"/>
              <w:spacing w:before="122" w:line="360" w:lineRule="auto"/>
              <w:rPr>
                <w:rFonts w:hint="eastAsia" w:ascii="宋体" w:hAnsi="宋体" w:cs="宋体"/>
                <w:b/>
                <w:bCs/>
                <w:spacing w:val="-3"/>
                <w:szCs w:val="21"/>
                <w:highlight w:val="none"/>
              </w:rPr>
            </w:pPr>
            <w:r>
              <w:rPr>
                <w:rFonts w:hint="eastAsia" w:ascii="宋体" w:hAnsi="宋体" w:cs="宋体"/>
                <w:b/>
                <w:bCs/>
                <w:spacing w:val="-3"/>
                <w:szCs w:val="21"/>
                <w:highlight w:val="none"/>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360" w:lineRule="auto"/>
              <w:rPr>
                <w:rFonts w:hint="eastAsia" w:ascii="宋体" w:hAnsi="宋体" w:cs="宋体"/>
                <w:b/>
                <w:bCs/>
                <w:spacing w:val="-3"/>
                <w:szCs w:val="21"/>
                <w:highlight w:val="none"/>
              </w:rPr>
            </w:pPr>
            <w:r>
              <w:rPr>
                <w:rFonts w:hint="eastAsia" w:ascii="宋体" w:hAnsi="宋体" w:cs="宋体"/>
                <w:b/>
                <w:bCs/>
                <w:spacing w:val="-3"/>
                <w:szCs w:val="21"/>
                <w:highlight w:val="none"/>
              </w:rPr>
              <w:t xml:space="preserve">分值</w:t>
            </w:r>
            <w:r/>
          </w:p>
        </w:tc>
        <w:tc>
          <w:tcPr>
            <w:tcBorders>
              <w:top w:val="single" w:color="000000" w:sz="2" w:space="0"/>
              <w:bottom w:val="single" w:color="000000" w:sz="2" w:space="0"/>
            </w:tcBorders>
            <w:tcW w:w="900" w:type="dxa"/>
            <w:vAlign w:val="center"/>
            <w:textDirection w:val="lrTb"/>
            <w:noWrap w:val="false"/>
          </w:tcPr>
          <w:p>
            <w:pPr>
              <w:spacing w:before="122" w:line="360" w:lineRule="auto"/>
              <w:rPr>
                <w:rFonts w:hint="eastAsia" w:ascii="宋体" w:hAnsi="宋体" w:cs="宋体"/>
                <w:b/>
                <w:bCs/>
                <w:spacing w:val="-3"/>
                <w:szCs w:val="21"/>
                <w:highlight w:val="none"/>
              </w:rPr>
            </w:pPr>
            <w:r>
              <w:rPr>
                <w:rFonts w:hint="eastAsia" w:ascii="宋体" w:hAnsi="宋体" w:cs="宋体"/>
                <w:b/>
                <w:bCs/>
                <w:spacing w:val="-3"/>
                <w:szCs w:val="21"/>
                <w:highlight w:val="none"/>
              </w:rPr>
              <w:t xml:space="preserve">类型</w:t>
            </w:r>
            <w:r/>
          </w:p>
        </w:tc>
      </w:tr>
      <w:tr>
        <w:trPr>
          <w:jc w:val="center"/>
          <w:trHeight w:val="460"/>
        </w:trPr>
        <w:tc>
          <w:tcPr>
            <w:gridSpan w:val="7"/>
            <w:tcBorders>
              <w:top w:val="single" w:color="000000" w:sz="2" w:space="0"/>
              <w:bottom w:val="single" w:color="000000" w:sz="2" w:space="0"/>
            </w:tcBorders>
            <w:tcW w:w="9575" w:type="dxa"/>
            <w:textDirection w:val="lrTb"/>
            <w:noWrap w:val="false"/>
          </w:tcPr>
          <w:p>
            <w:pPr>
              <w:jc w:val="center"/>
              <w:spacing w:before="122" w:line="360" w:lineRule="auto"/>
              <w:rPr>
                <w:rFonts w:hint="eastAsia" w:ascii="宋体" w:hAnsi="宋体" w:cs="宋体"/>
                <w:szCs w:val="21"/>
                <w:highlight w:val="none"/>
              </w:rPr>
            </w:pPr>
            <w:r>
              <w:rPr>
                <w:rFonts w:hint="eastAsia" w:ascii="宋体" w:hAnsi="宋体" w:cs="宋体"/>
                <w:b/>
                <w:bCs/>
                <w:spacing w:val="-3"/>
                <w:szCs w:val="21"/>
                <w:highlight w:val="none"/>
              </w:rPr>
              <w:t xml:space="preserve">1.价</w:t>
            </w:r>
            <w:r>
              <w:rPr>
                <w:rFonts w:hint="eastAsia" w:ascii="宋体" w:hAnsi="宋体" w:cs="宋体"/>
                <w:b/>
                <w:bCs/>
                <w:spacing w:val="-2"/>
                <w:szCs w:val="21"/>
                <w:highlight w:val="none"/>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spacing w:before="68" w:line="360" w:lineRule="auto"/>
              <w:rPr>
                <w:rFonts w:hint="eastAsia" w:ascii="宋体" w:hAnsi="宋体" w:cs="宋体"/>
                <w:szCs w:val="21"/>
                <w:highlight w:val="none"/>
              </w:rPr>
            </w:pPr>
            <w:r>
              <w:rPr>
                <w:rFonts w:hint="eastAsia" w:ascii="宋体" w:hAnsi="宋体" w:cs="宋体"/>
                <w:spacing w:val="-6"/>
                <w:szCs w:val="21"/>
                <w:highlight w:val="none"/>
              </w:rPr>
              <w:t xml:space="preserve">1</w:t>
            </w:r>
            <w:r>
              <w:rPr>
                <w:rFonts w:hint="eastAsia" w:ascii="宋体" w:hAnsi="宋体" w:cs="宋体"/>
                <w:spacing w:val="-5"/>
                <w:szCs w:val="21"/>
                <w:highlight w:val="none"/>
              </w:rPr>
              <w:t xml:space="preserve">.1</w:t>
            </w:r>
            <w:r/>
          </w:p>
        </w:tc>
        <w:tc>
          <w:tcPr>
            <w:gridSpan w:val="2"/>
            <w:tcBorders>
              <w:top w:val="single" w:color="000000" w:sz="2" w:space="0"/>
              <w:bottom w:val="single" w:color="000000" w:sz="2" w:space="0"/>
            </w:tcBorders>
            <w:tcW w:w="1179" w:type="dxa"/>
            <w:vAlign w:val="center"/>
            <w:textDirection w:val="lrTb"/>
            <w:noWrap w:val="false"/>
          </w:tcPr>
          <w:p>
            <w:pPr>
              <w:jc w:val="center"/>
              <w:spacing w:before="68" w:line="360" w:lineRule="auto"/>
              <w:rPr>
                <w:rFonts w:hint="eastAsia" w:ascii="宋体" w:hAnsi="宋体" w:cs="宋体"/>
                <w:szCs w:val="21"/>
                <w:highlight w:val="none"/>
              </w:rPr>
            </w:pPr>
            <w:r>
              <w:rPr>
                <w:rFonts w:hint="eastAsia" w:ascii="宋体" w:hAnsi="宋体" w:cs="宋体"/>
                <w:spacing w:val="-2"/>
                <w:szCs w:val="21"/>
                <w:highlight w:val="none"/>
              </w:rPr>
              <w:t xml:space="preserve">价格分</w:t>
            </w:r>
            <w:r/>
          </w:p>
        </w:tc>
        <w:tc>
          <w:tcPr>
            <w:gridSpan w:val="2"/>
            <w:tcBorders>
              <w:top w:val="single" w:color="000000" w:sz="2" w:space="0"/>
              <w:bottom w:val="single" w:color="000000" w:sz="2" w:space="0"/>
            </w:tcBorders>
            <w:tcW w:w="633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pacing w:val="1"/>
                <w:szCs w:val="21"/>
                <w:highlight w:val="none"/>
              </w:rPr>
              <w:t xml:space="preserve">采用低价优先</w:t>
            </w:r>
            <w:r>
              <w:rPr>
                <w:rFonts w:hint="eastAsia" w:ascii="宋体" w:hAnsi="宋体" w:cs="宋体"/>
                <w:szCs w:val="21"/>
                <w:highlight w:val="none"/>
              </w:rPr>
              <w:t xml:space="preserve">法计算，即满足招标文件要求且投标价格最低的投标</w:t>
            </w:r>
            <w:r>
              <w:rPr>
                <w:rFonts w:hint="eastAsia" w:ascii="宋体" w:hAnsi="宋体" w:cs="宋体"/>
                <w:spacing w:val="1"/>
                <w:szCs w:val="21"/>
                <w:highlight w:val="none"/>
              </w:rPr>
              <w:t xml:space="preserve">报价为评标基准</w:t>
            </w:r>
            <w:r>
              <w:rPr>
                <w:rFonts w:hint="eastAsia" w:ascii="宋体" w:hAnsi="宋体" w:cs="宋体"/>
                <w:szCs w:val="21"/>
                <w:highlight w:val="none"/>
              </w:rPr>
              <w:t xml:space="preserve">价，其价格分为满分。其他投标人的价格分统一按</w:t>
            </w:r>
            <w:r>
              <w:rPr>
                <w:rFonts w:hint="eastAsia" w:ascii="宋体" w:hAnsi="宋体" w:cs="宋体"/>
                <w:spacing w:val="-1"/>
                <w:szCs w:val="21"/>
                <w:highlight w:val="none"/>
              </w:rPr>
              <w:t xml:space="preserve">照下列公</w:t>
            </w:r>
            <w:r>
              <w:rPr>
                <w:rFonts w:hint="eastAsia" w:ascii="宋体" w:hAnsi="宋体" w:cs="宋体"/>
                <w:szCs w:val="21"/>
                <w:highlight w:val="none"/>
              </w:rPr>
              <w:t xml:space="preserve">式计算：投标报价得分=（评标基准价/投标报价）×价格分值（小数点保留两位）</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30</w:t>
            </w:r>
            <w:r/>
          </w:p>
        </w:tc>
        <w:tc>
          <w:tcPr>
            <w:tcBorders>
              <w:top w:val="single" w:color="000000" w:sz="2" w:space="0"/>
              <w:bottom w:val="single" w:color="000000" w:sz="2" w:space="0"/>
            </w:tcBorders>
            <w:tcW w:w="90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价格分</w:t>
            </w:r>
            <w:r/>
          </w:p>
        </w:tc>
      </w:tr>
      <w:tr>
        <w:trPr>
          <w:jc w:val="center"/>
          <w:trHeight w:val="460"/>
        </w:trPr>
        <w:tc>
          <w:tcPr>
            <w:gridSpan w:val="7"/>
            <w:tcBorders>
              <w:top w:val="single" w:color="000000" w:sz="2" w:space="0"/>
              <w:bottom w:val="single" w:color="000000" w:sz="2" w:space="0"/>
            </w:tcBorders>
            <w:tcW w:w="9575" w:type="dxa"/>
            <w:textDirection w:val="lrTb"/>
            <w:noWrap w:val="false"/>
          </w:tcPr>
          <w:p>
            <w:pPr>
              <w:jc w:val="center"/>
              <w:spacing w:before="123" w:line="360" w:lineRule="auto"/>
              <w:rPr>
                <w:rFonts w:hint="eastAsia" w:ascii="宋体" w:hAnsi="宋体" w:cs="宋体"/>
                <w:szCs w:val="21"/>
                <w:highlight w:val="none"/>
              </w:rPr>
            </w:pPr>
            <w:r>
              <w:rPr>
                <w:rFonts w:hint="eastAsia" w:ascii="宋体" w:hAnsi="宋体" w:cs="宋体"/>
                <w:b/>
                <w:bCs/>
                <w:spacing w:val="-3"/>
                <w:szCs w:val="21"/>
                <w:highlight w:val="none"/>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0000ff"/>
                <w:spacing w:val="-2"/>
                <w:szCs w:val="21"/>
                <w:highlight w:val="none"/>
              </w:rPr>
            </w:pPr>
            <w:r>
              <w:rPr>
                <w:rFonts w:hint="eastAsia" w:ascii="宋体" w:hAnsi="宋体" w:cs="宋体"/>
                <w:color w:val="000000"/>
                <w:spacing w:val="-2"/>
                <w:szCs w:val="21"/>
                <w:highlight w:val="none"/>
              </w:rPr>
              <w:t xml:space="preserve">2.1</w:t>
            </w:r>
            <w:r/>
          </w:p>
        </w:tc>
        <w:tc>
          <w:tcPr>
            <w:gridSpan w:val="2"/>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zCs w:val="21"/>
                <w:highlight w:val="none"/>
              </w:rPr>
              <w:t xml:space="preserve">产品技术参数</w:t>
            </w:r>
            <w:r/>
          </w:p>
        </w:tc>
        <w:tc>
          <w:tcPr>
            <w:gridSpan w:val="2"/>
            <w:tcBorders>
              <w:top w:val="single" w:color="000000" w:sz="2" w:space="0"/>
              <w:bottom w:val="single" w:color="000000" w:sz="2" w:space="0"/>
            </w:tcBorders>
            <w:tcW w:w="6330" w:type="dxa"/>
            <w:vAlign w:val="center"/>
            <w:textDirection w:val="lrTb"/>
            <w:noWrap w:val="false"/>
          </w:tcPr>
          <w:p>
            <w:pPr>
              <w:spacing w:line="360" w:lineRule="auto"/>
              <w:rPr>
                <w:rFonts w:hint="eastAsia" w:ascii="宋体" w:hAnsi="宋体" w:cs="宋体"/>
                <w:color w:val="0000ff"/>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w:t>
            </w:r>
            <w:r>
              <w:rPr>
                <w:rFonts w:hint="eastAsia" w:ascii="宋体" w:hAnsi="宋体" w:cs="宋体"/>
                <w:szCs w:val="21"/>
                <w:highlight w:val="none"/>
              </w:rPr>
              <w:t xml:space="preserve">。本项最</w:t>
            </w:r>
            <w:r>
              <w:rPr>
                <w:rFonts w:hint="eastAsia" w:ascii="宋体" w:hAnsi="宋体" w:cs="宋体"/>
                <w:color w:val="000000"/>
                <w:szCs w:val="21"/>
                <w:highlight w:val="none"/>
              </w:rPr>
              <w:t xml:space="preserve">低得0分。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spacing w:val="-4"/>
                <w:szCs w:val="21"/>
                <w:highlight w:val="none"/>
              </w:rPr>
              <w:t xml:space="preserve">16</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zCs w:val="21"/>
                <w:highlight w:val="none"/>
              </w:rPr>
            </w:pPr>
            <w:r>
              <w:rPr>
                <w:rFonts w:hint="eastAsia" w:ascii="宋体" w:hAnsi="宋体" w:cs="宋体"/>
                <w:color w:val="000000"/>
                <w:spacing w:val="-6"/>
                <w:szCs w:val="21"/>
                <w:highlight w:val="none"/>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0000ff"/>
                <w:spacing w:val="-2"/>
                <w:szCs w:val="21"/>
                <w:highlight w:val="none"/>
              </w:rPr>
            </w:pPr>
            <w:r>
              <w:rPr>
                <w:rFonts w:hint="eastAsia" w:ascii="宋体" w:hAnsi="宋体" w:cs="宋体"/>
                <w:color w:val="000000"/>
                <w:spacing w:val="-2"/>
                <w:szCs w:val="21"/>
                <w:highlight w:val="none"/>
              </w:rPr>
              <w:t xml:space="preserve">2.2</w:t>
            </w:r>
            <w:r/>
          </w:p>
        </w:tc>
        <w:tc>
          <w:tcPr>
            <w:gridSpan w:val="2"/>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需求理解方案</w:t>
            </w:r>
            <w:r/>
          </w:p>
        </w:tc>
        <w:tc>
          <w:tcPr>
            <w:gridSpan w:val="2"/>
            <w:tcBorders>
              <w:top w:val="single" w:color="000000" w:sz="2" w:space="0"/>
              <w:bottom w:val="single" w:color="000000" w:sz="2" w:space="0"/>
            </w:tcBorders>
            <w:tcW w:w="633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根据本项目采购需求中“技术要求及相关要求”编制方案，内容包含：1.</w:t>
            </w:r>
            <w:r>
              <w:rPr>
                <w:rFonts w:hint="eastAsia" w:ascii="宋体" w:hAnsi="宋体" w:cs="宋体"/>
                <w:color w:val="000000"/>
                <w:szCs w:val="16"/>
                <w:highlight w:val="none"/>
              </w:rPr>
              <w:t xml:space="preserve">重难点分析</w:t>
            </w:r>
            <w:r>
              <w:rPr>
                <w:rFonts w:hint="eastAsia" w:ascii="宋体" w:hAnsi="宋体" w:cs="宋体"/>
                <w:color w:val="000000"/>
                <w:szCs w:val="21"/>
                <w:highlight w:val="none"/>
              </w:rPr>
              <w:t xml:space="preserve">；2.公安系统对接方案；3.工作任务划分；4.安全保障措施。以上每项内容逐项评分：</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w:t>
            </w:r>
            <w:r>
              <w:rPr>
                <w:rFonts w:hint="eastAsia" w:ascii="宋体" w:hAnsi="宋体" w:cs="宋体"/>
                <w:color w:val="000000"/>
                <w:szCs w:val="21"/>
                <w:highlight w:val="none"/>
              </w:rPr>
              <w:t xml:space="preserve">内容全面、可操作性强，且</w:t>
            </w:r>
            <w:r>
              <w:rPr>
                <w:rFonts w:hint="eastAsia" w:ascii="宋体" w:hAnsi="宋体" w:cs="宋体"/>
                <w:color w:val="000000"/>
                <w:highlight w:val="none"/>
              </w:rPr>
              <w:t xml:space="preserve">专门针对本项目，契合采购需求视为符合；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方案内容属于通用类，非专门针对本项目，部分契合采购需求视为部分符合；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方案内容非专门针对本项目，脱离采购需求视为不符合。</w:t>
            </w:r>
            <w:r/>
          </w:p>
          <w:p>
            <w:pPr>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上述每有1项内容符合，该项得1.5分；每有1项部分符合，该项得0.8分；每有1项不符合或不提供，该项不得分。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spacing w:val="-4"/>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spacing w:line="360" w:lineRule="auto"/>
              <w:rPr>
                <w:rFonts w:hint="eastAsia" w:ascii="宋体" w:hAnsi="宋体" w:cs="宋体"/>
                <w:color w:val="0000ff"/>
                <w:szCs w:val="21"/>
                <w:highlight w:val="none"/>
              </w:rPr>
            </w:pPr>
            <w:r>
              <w:rPr>
                <w:rFonts w:hint="eastAsia" w:ascii="宋体" w:hAnsi="宋体" w:cs="宋体"/>
                <w:color w:val="000000"/>
                <w:spacing w:val="-6"/>
                <w:highlight w:val="none"/>
              </w:rPr>
              <w:t xml:space="preserve">主</w:t>
            </w:r>
            <w:r>
              <w:rPr>
                <w:rFonts w:hint="eastAsia" w:ascii="宋体" w:hAnsi="宋体" w:cs="宋体"/>
                <w:color w:val="000000"/>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2.3</w:t>
            </w:r>
            <w:r/>
          </w:p>
        </w:tc>
        <w:tc>
          <w:tcPr>
            <w:gridSpan w:val="2"/>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cs="宋体"/>
                <w:color w:val="0000ff"/>
                <w:szCs w:val="21"/>
                <w:highlight w:val="none"/>
              </w:rPr>
            </w:pPr>
            <w:r>
              <w:rPr>
                <w:rFonts w:hint="eastAsia" w:ascii="宋体" w:hAnsi="宋体" w:cs="宋体"/>
                <w:color w:val="000000"/>
                <w:spacing w:val="-2"/>
                <w:highlight w:val="none"/>
              </w:rPr>
              <w:t xml:space="preserve">部署方案</w:t>
            </w:r>
            <w:r/>
          </w:p>
        </w:tc>
        <w:tc>
          <w:tcPr>
            <w:gridSpan w:val="2"/>
            <w:tcBorders>
              <w:top w:val="single" w:color="000000" w:sz="2" w:space="0"/>
              <w:bottom w:val="single" w:color="000000" w:sz="2" w:space="0"/>
            </w:tcBorders>
            <w:tcW w:w="633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根据本项目采购需求中“技术要求及相关要求”编制方案，内容包含：1.</w:t>
            </w:r>
            <w:r>
              <w:rPr>
                <w:rFonts w:hint="eastAsia" w:ascii="宋体" w:hAnsi="宋体" w:cs="宋体"/>
                <w:color w:val="000000"/>
                <w:szCs w:val="16"/>
                <w:highlight w:val="none"/>
              </w:rPr>
              <w:t xml:space="preserve">供货进度保证措施</w:t>
            </w:r>
            <w:r>
              <w:rPr>
                <w:rFonts w:hint="eastAsia" w:ascii="宋体" w:hAnsi="宋体" w:cs="宋体"/>
                <w:color w:val="000000"/>
                <w:szCs w:val="21"/>
                <w:highlight w:val="none"/>
              </w:rPr>
              <w:t xml:space="preserve">；2.质量保证措施；3.安装调试计划；4.技术文档与交付保障措施。以上每项内容逐项评分：</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w:t>
            </w:r>
            <w:r>
              <w:rPr>
                <w:rFonts w:hint="eastAsia" w:ascii="宋体" w:hAnsi="宋体" w:cs="宋体"/>
                <w:color w:val="000000"/>
                <w:szCs w:val="21"/>
                <w:highlight w:val="none"/>
              </w:rPr>
              <w:t xml:space="preserve">内容全面、可操作性强，且</w:t>
            </w:r>
            <w:r>
              <w:rPr>
                <w:rFonts w:hint="eastAsia" w:ascii="宋体" w:hAnsi="宋体" w:cs="宋体"/>
                <w:color w:val="000000"/>
                <w:highlight w:val="none"/>
              </w:rPr>
              <w:t xml:space="preserve">专门针对本项目，契合采购需求视为符合；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方案内容属于通用类，非专门针对本项目，部分契合采购需求视为部分符合；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方案内容非专门针对本项目，脱离采购需求视为不符合。</w:t>
            </w:r>
            <w:r/>
          </w:p>
          <w:p>
            <w:pPr>
              <w:jc w:val="left"/>
              <w:spacing w:line="360" w:lineRule="auto"/>
              <w:rPr>
                <w:rFonts w:hint="eastAsia" w:ascii="宋体" w:hAnsi="宋体" w:cs="宋体"/>
                <w:color w:val="000000"/>
                <w:szCs w:val="16"/>
                <w:highlight w:val="none"/>
              </w:rPr>
            </w:pPr>
            <w:r>
              <w:rPr>
                <w:rFonts w:hint="eastAsia" w:ascii="宋体" w:hAnsi="宋体" w:cs="宋体"/>
                <w:color w:val="000000"/>
                <w:highlight w:val="none"/>
              </w:rPr>
              <w:t xml:space="preserve">上述每有1项内容符合，该项得2分；每有1项部分符合，该项得1分；每有1项不符合或不提供，该项不得分。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spacing w:val="-4"/>
                <w:szCs w:val="21"/>
                <w:highlight w:val="none"/>
              </w:rPr>
              <w:t xml:space="preserve">8</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zCs w:val="21"/>
                <w:highlight w:val="none"/>
              </w:rPr>
            </w:pPr>
            <w:r>
              <w:rPr>
                <w:rFonts w:hint="eastAsia" w:ascii="宋体" w:hAnsi="宋体" w:cs="宋体"/>
                <w:color w:val="000000"/>
                <w:spacing w:val="-6"/>
                <w:highlight w:val="none"/>
              </w:rPr>
              <w:t xml:space="preserve">主</w:t>
            </w:r>
            <w:r>
              <w:rPr>
                <w:rFonts w:hint="eastAsia" w:ascii="宋体" w:hAnsi="宋体" w:cs="宋体"/>
                <w:color w:val="000000"/>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0000ff"/>
                <w:szCs w:val="21"/>
                <w:highlight w:val="none"/>
              </w:rPr>
            </w:pPr>
            <w:r>
              <w:rPr>
                <w:rFonts w:hint="eastAsia" w:ascii="宋体" w:hAnsi="宋体" w:cs="宋体"/>
                <w:color w:val="000000"/>
                <w:spacing w:val="-2"/>
                <w:highlight w:val="none"/>
              </w:rPr>
              <w:t xml:space="preserve">2.4</w:t>
            </w:r>
            <w:r/>
          </w:p>
        </w:tc>
        <w:tc>
          <w:tcPr>
            <w:gridSpan w:val="2"/>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cs="宋体"/>
                <w:color w:val="0000ff"/>
                <w:szCs w:val="21"/>
                <w:highlight w:val="none"/>
              </w:rPr>
            </w:pPr>
            <w:r>
              <w:rPr>
                <w:rFonts w:hint="eastAsia" w:ascii="宋体" w:hAnsi="宋体" w:cs="宋体"/>
                <w:color w:val="000000"/>
                <w:highlight w:val="none"/>
                <w:lang w:val="en-GB"/>
              </w:rPr>
              <w:t xml:space="preserve">人员培训方案</w:t>
            </w:r>
            <w:r/>
          </w:p>
        </w:tc>
        <w:tc>
          <w:tcPr>
            <w:gridSpan w:val="2"/>
            <w:tcBorders>
              <w:top w:val="single" w:color="000000" w:sz="2" w:space="0"/>
              <w:bottom w:val="single" w:color="000000" w:sz="2" w:space="0"/>
            </w:tcBorders>
            <w:tcW w:w="633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根据本项目采购需求中“技术要求及相关要求”编制方案，内容包含：1.</w:t>
            </w:r>
            <w:r>
              <w:rPr>
                <w:rFonts w:hint="eastAsia" w:ascii="宋体" w:hAnsi="宋体" w:cs="宋体"/>
                <w:color w:val="000000"/>
                <w:szCs w:val="16"/>
                <w:highlight w:val="none"/>
                <w:lang w:val="en-GB"/>
              </w:rPr>
              <w:t xml:space="preserve">培训计划</w:t>
            </w:r>
            <w:r>
              <w:rPr>
                <w:rFonts w:hint="eastAsia" w:ascii="宋体" w:hAnsi="宋体" w:cs="宋体"/>
                <w:color w:val="000000"/>
                <w:szCs w:val="21"/>
                <w:highlight w:val="none"/>
              </w:rPr>
              <w:t xml:space="preserve">；2.</w:t>
            </w:r>
            <w:r>
              <w:rPr>
                <w:rFonts w:hint="eastAsia" w:ascii="宋体" w:hAnsi="宋体" w:cs="宋体"/>
                <w:color w:val="000000"/>
                <w:szCs w:val="16"/>
                <w:highlight w:val="none"/>
                <w:lang w:val="en-GB"/>
              </w:rPr>
              <w:t xml:space="preserve">培训师资力量</w:t>
            </w:r>
            <w:r>
              <w:rPr>
                <w:rFonts w:hint="eastAsia" w:ascii="宋体" w:hAnsi="宋体" w:cs="宋体"/>
                <w:color w:val="000000"/>
                <w:szCs w:val="21"/>
                <w:highlight w:val="none"/>
              </w:rPr>
              <w:t xml:space="preserve">；3.</w:t>
            </w:r>
            <w:r>
              <w:rPr>
                <w:rFonts w:hint="eastAsia" w:ascii="宋体" w:hAnsi="宋体" w:cs="宋体"/>
                <w:color w:val="000000"/>
                <w:szCs w:val="16"/>
                <w:highlight w:val="none"/>
                <w:lang w:val="en-GB"/>
              </w:rPr>
              <w:t xml:space="preserve">培训内容</w:t>
            </w:r>
            <w:r>
              <w:rPr>
                <w:rFonts w:hint="eastAsia" w:ascii="宋体" w:hAnsi="宋体" w:cs="宋体"/>
                <w:color w:val="000000"/>
                <w:szCs w:val="21"/>
                <w:highlight w:val="none"/>
              </w:rPr>
              <w:t xml:space="preserve">；4.</w:t>
            </w:r>
            <w:r>
              <w:rPr>
                <w:rFonts w:hint="eastAsia" w:ascii="宋体" w:hAnsi="宋体" w:cs="宋体"/>
                <w:highlight w:val="none"/>
              </w:rPr>
              <w:t xml:space="preserve"> </w:t>
            </w:r>
            <w:r>
              <w:rPr>
                <w:rFonts w:hint="eastAsia" w:ascii="宋体" w:hAnsi="宋体" w:cs="宋体"/>
                <w:color w:val="000000"/>
                <w:szCs w:val="21"/>
                <w:highlight w:val="none"/>
              </w:rPr>
              <w:t xml:space="preserve">培训考核与效果保障措施。以上每项内容逐项评分：</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w:t>
            </w:r>
            <w:r>
              <w:rPr>
                <w:rFonts w:hint="eastAsia" w:ascii="宋体" w:hAnsi="宋体" w:cs="宋体"/>
                <w:color w:val="000000"/>
                <w:szCs w:val="21"/>
                <w:highlight w:val="none"/>
              </w:rPr>
              <w:t xml:space="preserve">内容全面、可操作性强，且</w:t>
            </w:r>
            <w:r>
              <w:rPr>
                <w:rFonts w:hint="eastAsia" w:ascii="宋体" w:hAnsi="宋体" w:cs="宋体"/>
                <w:color w:val="000000"/>
                <w:highlight w:val="none"/>
              </w:rPr>
              <w:t xml:space="preserve">专门针对本项目，契合采购需求视为符合；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方案内容属于通用类，非专门针对本项目，部分契合采购需求视为部分符合；</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方案内容非专门针对本项目，脱离采购需求视为不符合。</w:t>
            </w:r>
            <w:r/>
          </w:p>
          <w:p>
            <w:pPr>
              <w:jc w:val="left"/>
              <w:spacing w:line="360" w:lineRule="auto"/>
              <w:rPr>
                <w:rFonts w:hint="eastAsia" w:ascii="宋体" w:hAnsi="宋体" w:cs="宋体"/>
                <w:color w:val="000000"/>
                <w:szCs w:val="16"/>
                <w:highlight w:val="none"/>
              </w:rPr>
            </w:pPr>
            <w:r>
              <w:rPr>
                <w:rFonts w:hint="eastAsia" w:ascii="宋体" w:hAnsi="宋体" w:cs="宋体"/>
                <w:color w:val="000000"/>
                <w:highlight w:val="none"/>
              </w:rPr>
              <w:t xml:space="preserve">上述每有1项内容符合，该项得1.5分；每有1项部分符合，该项得0.8分；每有1项不符合或不提供，该项不得分。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spacing w:val="-4"/>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zCs w:val="21"/>
                <w:highlight w:val="none"/>
              </w:rPr>
            </w:pPr>
            <w:r>
              <w:rPr>
                <w:rFonts w:hint="eastAsia" w:ascii="宋体" w:hAnsi="宋体" w:cs="宋体"/>
                <w:color w:val="000000"/>
                <w:spacing w:val="-6"/>
                <w:highlight w:val="none"/>
              </w:rPr>
              <w:t xml:space="preserve">主</w:t>
            </w:r>
            <w:r>
              <w:rPr>
                <w:rFonts w:hint="eastAsia" w:ascii="宋体" w:hAnsi="宋体" w:cs="宋体"/>
                <w:color w:val="000000"/>
                <w:spacing w:val="-4"/>
                <w:highlight w:val="none"/>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2.5</w:t>
            </w:r>
            <w:r/>
          </w:p>
        </w:tc>
        <w:tc>
          <w:tcPr>
            <w:gridSpan w:val="2"/>
            <w:tcBorders>
              <w:top w:val="single" w:color="000000" w:sz="2" w:space="0"/>
              <w:bottom w:val="single" w:color="000000" w:sz="2" w:space="0"/>
            </w:tcBorders>
            <w:tcW w:w="1179"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highlight w:val="none"/>
                <w:lang w:val="en-GB"/>
              </w:rPr>
              <w:t xml:space="preserve">应急响应方案</w:t>
            </w:r>
            <w:r/>
          </w:p>
        </w:tc>
        <w:tc>
          <w:tcPr>
            <w:gridSpan w:val="2"/>
            <w:tcBorders>
              <w:top w:val="single" w:color="000000" w:sz="2" w:space="0"/>
              <w:bottom w:val="single" w:color="000000" w:sz="2" w:space="0"/>
            </w:tcBorders>
            <w:tcW w:w="6330" w:type="dxa"/>
            <w:vAlign w:val="center"/>
            <w:textDirection w:val="lrTb"/>
            <w:noWrap w:val="false"/>
          </w:tcPr>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根据本项目采购需求中“技术要求及相关要求”编制方案，内容包含：1.</w:t>
            </w:r>
            <w:r>
              <w:rPr>
                <w:rFonts w:hint="eastAsia" w:ascii="宋体" w:hAnsi="宋体" w:cs="宋体"/>
                <w:color w:val="000000"/>
                <w:szCs w:val="16"/>
                <w:highlight w:val="none"/>
                <w:lang w:val="en-GB"/>
              </w:rPr>
              <w:t xml:space="preserve">应急响应准备</w:t>
            </w:r>
            <w:r>
              <w:rPr>
                <w:rFonts w:hint="eastAsia" w:ascii="宋体" w:hAnsi="宋体" w:cs="宋体"/>
                <w:color w:val="000000"/>
                <w:szCs w:val="21"/>
                <w:highlight w:val="none"/>
              </w:rPr>
              <w:t xml:space="preserve">；2.</w:t>
            </w:r>
            <w:r>
              <w:rPr>
                <w:rFonts w:hint="eastAsia" w:ascii="宋体" w:hAnsi="宋体" w:cs="宋体"/>
                <w:color w:val="000000"/>
                <w:szCs w:val="16"/>
                <w:highlight w:val="none"/>
                <w:lang w:val="en-GB"/>
              </w:rPr>
              <w:t xml:space="preserve">应急响应组织方案</w:t>
            </w:r>
            <w:r>
              <w:rPr>
                <w:rFonts w:hint="eastAsia" w:ascii="宋体" w:hAnsi="宋体" w:cs="宋体"/>
                <w:color w:val="000000"/>
                <w:szCs w:val="21"/>
                <w:highlight w:val="none"/>
              </w:rPr>
              <w:t xml:space="preserve">；3.</w:t>
            </w:r>
            <w:r>
              <w:rPr>
                <w:rFonts w:hint="eastAsia" w:ascii="宋体" w:hAnsi="宋体" w:cs="宋体"/>
                <w:color w:val="000000"/>
                <w:szCs w:val="16"/>
                <w:highlight w:val="none"/>
                <w:lang w:val="en-GB"/>
              </w:rPr>
              <w:t xml:space="preserve">应急抢修的备品备件配置</w:t>
            </w:r>
            <w:r>
              <w:rPr>
                <w:rFonts w:hint="eastAsia" w:ascii="宋体" w:hAnsi="宋体" w:cs="宋体"/>
                <w:color w:val="000000"/>
                <w:szCs w:val="21"/>
                <w:highlight w:val="none"/>
              </w:rPr>
              <w:t xml:space="preserve">；4.</w:t>
            </w:r>
            <w:r>
              <w:rPr>
                <w:rFonts w:hint="eastAsia" w:ascii="宋体" w:hAnsi="宋体" w:cs="宋体"/>
                <w:color w:val="000000"/>
                <w:szCs w:val="16"/>
                <w:highlight w:val="none"/>
                <w:lang w:val="en-GB"/>
              </w:rPr>
              <w:t xml:space="preserve">应急管理措施</w:t>
            </w:r>
            <w:r>
              <w:rPr>
                <w:rFonts w:hint="eastAsia" w:ascii="宋体" w:hAnsi="宋体" w:cs="宋体"/>
                <w:color w:val="000000"/>
                <w:szCs w:val="21"/>
                <w:highlight w:val="none"/>
              </w:rPr>
              <w:t xml:space="preserve">。以上每项内容逐项评分：</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w:t>
            </w:r>
            <w:r>
              <w:rPr>
                <w:rFonts w:hint="eastAsia" w:ascii="宋体" w:hAnsi="宋体" w:cs="宋体"/>
                <w:color w:val="000000"/>
                <w:szCs w:val="21"/>
                <w:highlight w:val="none"/>
              </w:rPr>
              <w:t xml:space="preserve">内容全面、可操作性强，且</w:t>
            </w:r>
            <w:r>
              <w:rPr>
                <w:rFonts w:hint="eastAsia" w:ascii="宋体" w:hAnsi="宋体" w:cs="宋体"/>
                <w:color w:val="000000"/>
                <w:highlight w:val="none"/>
              </w:rPr>
              <w:t xml:space="preserve">专门针对本项目，契合采购需求视为符合；</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方案内容属于通用类，非专门针对本项目，部分契合采购需求视为部分符合；</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方案内容非专门针对本项目，脱离采购需求视为不符合。</w:t>
            </w:r>
            <w:r/>
          </w:p>
          <w:p>
            <w:pPr>
              <w:ind w:firstLine="420"/>
              <w:jc w:val="left"/>
              <w:spacing w:line="360" w:lineRule="auto"/>
              <w:rPr>
                <w:rFonts w:hint="eastAsia" w:ascii="宋体" w:hAnsi="宋体" w:cs="宋体"/>
                <w:color w:val="000000"/>
                <w:szCs w:val="16"/>
                <w:highlight w:val="none"/>
              </w:rPr>
            </w:pPr>
            <w:r>
              <w:rPr>
                <w:rFonts w:hint="eastAsia" w:ascii="宋体" w:hAnsi="宋体" w:cs="宋体"/>
                <w:color w:val="000000"/>
                <w:highlight w:val="none"/>
              </w:rPr>
              <w:t xml:space="preserve">上述每有1项内容符合，该项得1.5分；每有1项部分符合，该项得0.8分；每有1项不符合或不提供，该项不得分。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spacing w:val="-4"/>
                <w:szCs w:val="21"/>
                <w:highlight w:val="none"/>
              </w:rPr>
              <w:t xml:space="preserve">6</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pacing w:val="-6"/>
                <w:szCs w:val="21"/>
                <w:highlight w:val="none"/>
              </w:rPr>
            </w:pPr>
            <w:r>
              <w:rPr>
                <w:rFonts w:hint="eastAsia" w:ascii="宋体" w:hAnsi="宋体" w:cs="宋体"/>
                <w:color w:val="000000"/>
                <w:spacing w:val="-6"/>
                <w:highlight w:val="none"/>
              </w:rPr>
              <w:t xml:space="preserve">主观分</w:t>
            </w:r>
            <w:r/>
          </w:p>
        </w:tc>
      </w:tr>
      <w:tr>
        <w:trPr>
          <w:jc w:val="center"/>
          <w:trHeight w:val="472"/>
        </w:trPr>
        <w:tc>
          <w:tcPr>
            <w:gridSpan w:val="7"/>
            <w:tcBorders>
              <w:top w:val="single" w:color="000000" w:sz="2" w:space="0"/>
              <w:bottom w:val="single" w:color="000000" w:sz="2" w:space="0"/>
            </w:tcBorders>
            <w:tcW w:w="9575" w:type="dxa"/>
            <w:vAlign w:val="center"/>
            <w:textDirection w:val="lrTb"/>
            <w:noWrap w:val="false"/>
          </w:tcPr>
          <w:p>
            <w:pPr>
              <w:jc w:val="center"/>
              <w:spacing w:line="360" w:lineRule="auto"/>
              <w:rPr>
                <w:rFonts w:hint="eastAsia" w:ascii="宋体" w:hAnsi="宋体" w:cs="宋体"/>
                <w:color w:val="0000ff"/>
                <w:szCs w:val="21"/>
                <w:highlight w:val="none"/>
              </w:rPr>
            </w:pPr>
            <w:r>
              <w:rPr>
                <w:rFonts w:hint="eastAsia" w:ascii="宋体" w:hAnsi="宋体" w:cs="宋体"/>
                <w:b/>
                <w:bCs/>
                <w:color w:val="000000"/>
                <w:spacing w:val="-3"/>
                <w:highlight w:val="none"/>
              </w:rPr>
              <w:t xml:space="preserve">3.业绩</w:t>
            </w:r>
            <w:r/>
          </w:p>
        </w:tc>
      </w:tr>
      <w:tr>
        <w:trPr>
          <w:jc w:val="center"/>
          <w:trHeight w:val="133"/>
        </w:trPr>
        <w:tc>
          <w:tcPr>
            <w:gridSpan w:val="2"/>
            <w:tcBorders>
              <w:top w:val="single" w:color="000000" w:sz="2" w:space="0"/>
              <w:bottom w:val="single" w:color="000000" w:sz="2" w:space="0"/>
            </w:tcBorders>
            <w:tcW w:w="527"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3.1</w:t>
            </w:r>
            <w:r/>
          </w:p>
        </w:tc>
        <w:tc>
          <w:tcPr>
            <w:gridSpan w:val="2"/>
            <w:tcBorders>
              <w:top w:val="single" w:color="000000" w:sz="2" w:space="0"/>
              <w:bottom w:val="single" w:color="000000" w:sz="2" w:space="0"/>
            </w:tcBorders>
            <w:tcW w:w="1198" w:type="dxa"/>
            <w:vAlign w:val="center"/>
            <w:textDirection w:val="lrTb"/>
            <w:noWrap w:val="false"/>
          </w:tcPr>
          <w:p>
            <w:pPr>
              <w:jc w:val="center"/>
              <w:spacing w:line="360" w:lineRule="auto"/>
              <w:rPr>
                <w:rFonts w:hint="eastAsia" w:ascii="宋体" w:hAnsi="宋体" w:cs="宋体"/>
                <w:color w:val="0000ff"/>
                <w:szCs w:val="21"/>
                <w:highlight w:val="none"/>
              </w:rPr>
            </w:pPr>
            <w:r>
              <w:rPr>
                <w:rFonts w:hint="eastAsia" w:ascii="宋体" w:hAnsi="宋体" w:cs="宋体"/>
                <w:color w:val="000000"/>
                <w:spacing w:val="-1"/>
                <w:highlight w:val="none"/>
              </w:rPr>
              <w:t xml:space="preserve">供应商业绩</w:t>
            </w:r>
            <w:r/>
          </w:p>
        </w:tc>
        <w:tc>
          <w:tcPr>
            <w:tcBorders>
              <w:top w:val="single" w:color="000000" w:sz="2" w:space="0"/>
              <w:bottom w:val="single" w:color="000000" w:sz="2" w:space="0"/>
            </w:tcBorders>
            <w:tcW w:w="6303" w:type="dxa"/>
            <w:vAlign w:val="center"/>
            <w:textDirection w:val="lrTb"/>
            <w:noWrap w:val="false"/>
          </w:tcPr>
          <w:p>
            <w:pPr>
              <w:spacing w:line="360" w:lineRule="auto"/>
              <w:rPr>
                <w:rFonts w:hint="eastAsia" w:ascii="宋体" w:hAnsi="宋体" w:cs="宋体"/>
                <w:szCs w:val="16"/>
                <w:highlight w:val="none"/>
              </w:rPr>
            </w:pPr>
            <w:r>
              <w:rPr>
                <w:rFonts w:hint="eastAsia" w:ascii="宋体" w:hAnsi="宋体" w:cs="宋体"/>
                <w:szCs w:val="16"/>
                <w:highlight w:val="none"/>
              </w:rPr>
              <w:t xml:space="preserve">供应商提供2023年1月1日以来完成的类似项目业绩（机房建设类或机房设备采购类），每提供1个得2分，最高得6分。</w:t>
            </w:r>
            <w:r/>
          </w:p>
          <w:p>
            <w:pPr>
              <w:spacing w:line="360" w:lineRule="auto"/>
              <w:rPr>
                <w:rFonts w:hint="eastAsia" w:ascii="宋体" w:hAnsi="宋体" w:cs="宋体"/>
                <w:szCs w:val="21"/>
                <w:highlight w:val="none"/>
              </w:rPr>
            </w:pPr>
            <w:r>
              <w:rPr>
                <w:rFonts w:hint="eastAsia" w:ascii="宋体" w:hAnsi="宋体" w:cs="宋体"/>
                <w:szCs w:val="16"/>
                <w:highlight w:val="none"/>
              </w:rPr>
              <w:t xml:space="preserve">（需提供合同扫描件并加盖公章，时间以合同签订时间为准，合同需能反映项目名称、主要标的物，签订时间和签章需清晰可见；否则视为未提供，不得分。）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highlight w:val="none"/>
              </w:rPr>
              <w:t xml:space="preserve">6</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pacing w:val="-6"/>
                <w:szCs w:val="21"/>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p>
        </w:tc>
      </w:tr>
      <w:tr>
        <w:trPr>
          <w:jc w:val="center"/>
          <w:trHeight w:val="455"/>
        </w:trPr>
        <w:tc>
          <w:tcPr>
            <w:gridSpan w:val="7"/>
            <w:tcBorders>
              <w:top w:val="single" w:color="000000" w:sz="2" w:space="0"/>
              <w:bottom w:val="single" w:color="000000" w:sz="2" w:space="0"/>
            </w:tcBorders>
            <w:tcW w:w="9575" w:type="dxa"/>
            <w:textDirection w:val="lrTb"/>
            <w:noWrap w:val="false"/>
          </w:tcPr>
          <w:p>
            <w:pPr>
              <w:jc w:val="center"/>
              <w:spacing w:before="123" w:line="360" w:lineRule="auto"/>
              <w:rPr>
                <w:rFonts w:hint="eastAsia" w:ascii="宋体" w:hAnsi="宋体" w:cs="宋体"/>
                <w:szCs w:val="21"/>
                <w:highlight w:val="none"/>
              </w:rPr>
            </w:pPr>
            <w:r>
              <w:rPr>
                <w:rFonts w:hint="eastAsia" w:ascii="宋体" w:hAnsi="宋体" w:cs="宋体"/>
                <w:b/>
                <w:bCs/>
                <w:spacing w:val="-3"/>
                <w:highlight w:val="none"/>
              </w:rPr>
              <w:t xml:space="preserve">4.履约能力</w:t>
            </w:r>
            <w:r/>
          </w:p>
        </w:tc>
      </w:tr>
      <w:tr>
        <w:trPr>
          <w:jc w:val="center"/>
          <w:trHeight w:val="1015"/>
        </w:trPr>
        <w:tc>
          <w:tcPr>
            <w:gridSpan w:val="2"/>
            <w:tcBorders>
              <w:top w:val="single" w:color="000000" w:sz="2" w:space="0"/>
              <w:bottom w:val="single" w:color="000000" w:sz="2" w:space="0"/>
            </w:tcBorders>
            <w:tcW w:w="527"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4.1</w:t>
            </w:r>
            <w:r/>
          </w:p>
        </w:tc>
        <w:tc>
          <w:tcPr>
            <w:gridSpan w:val="2"/>
            <w:tcBorders>
              <w:top w:val="single" w:color="000000" w:sz="2" w:space="0"/>
              <w:bottom w:val="single" w:color="000000" w:sz="2" w:space="0"/>
            </w:tcBorders>
            <w:tcW w:w="1198" w:type="dxa"/>
            <w:vAlign w:val="center"/>
            <w:textDirection w:val="lrTb"/>
            <w:noWrap w:val="false"/>
          </w:tcPr>
          <w:p>
            <w:pPr>
              <w:jc w:val="center"/>
              <w:spacing w:line="360" w:lineRule="auto"/>
              <w:rPr>
                <w:rFonts w:hint="eastAsia" w:ascii="宋体" w:hAnsi="宋体" w:cs="宋体"/>
                <w:color w:val="0000ff"/>
                <w:szCs w:val="21"/>
                <w:highlight w:val="none"/>
              </w:rPr>
            </w:pPr>
            <w:r>
              <w:rPr>
                <w:rFonts w:hint="eastAsia" w:ascii="宋体" w:hAnsi="宋体" w:cs="宋体"/>
                <w:color w:val="000000"/>
                <w:szCs w:val="16"/>
                <w:highlight w:val="none"/>
              </w:rPr>
              <w:t xml:space="preserve">企业资质</w:t>
            </w:r>
            <w:r/>
          </w:p>
        </w:tc>
        <w:tc>
          <w:tcPr>
            <w:tcBorders>
              <w:top w:val="single" w:color="000000" w:sz="2" w:space="0"/>
              <w:bottom w:val="single" w:color="000000" w:sz="2" w:space="0"/>
            </w:tcBorders>
            <w:tcW w:w="6303" w:type="dxa"/>
            <w:vAlign w:val="center"/>
            <w:textDirection w:val="lrTb"/>
            <w:noWrap w:val="false"/>
          </w:tcPr>
          <w:p>
            <w:pPr>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（1）供应商具有信息技术服务标准(ITSS)符合性证书运行维护一级的得2分，具有二级的得1分，提供复印件并加盖供应商公章，未提供不得分；</w:t>
            </w:r>
            <w:r/>
          </w:p>
          <w:p>
            <w:pPr>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（2）供应商具有信息系统建设和服务能力评估五级证书(CS5)的得2分，具有四级（CS4）的得1分，未提供不得分。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highlight w:val="none"/>
              </w:rPr>
              <w:t xml:space="preserve">4</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zCs w:val="21"/>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p>
        </w:tc>
      </w:tr>
      <w:tr>
        <w:trPr>
          <w:jc w:val="center"/>
          <w:trHeight w:val="1015"/>
        </w:trPr>
        <w:tc>
          <w:tcPr>
            <w:gridSpan w:val="2"/>
            <w:tcBorders>
              <w:top w:val="single" w:color="000000" w:sz="2" w:space="0"/>
              <w:bottom w:val="single" w:color="000000" w:sz="2" w:space="0"/>
            </w:tcBorders>
            <w:tcW w:w="527"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4.2</w:t>
            </w:r>
            <w:r/>
          </w:p>
        </w:tc>
        <w:tc>
          <w:tcPr>
            <w:gridSpan w:val="2"/>
            <w:tcBorders>
              <w:top w:val="single" w:color="000000" w:sz="2" w:space="0"/>
              <w:bottom w:val="single" w:color="000000" w:sz="2" w:space="0"/>
            </w:tcBorders>
            <w:tcW w:w="1198" w:type="dxa"/>
            <w:vAlign w:val="center"/>
            <w:textDirection w:val="lrTb"/>
            <w:noWrap w:val="false"/>
          </w:tcPr>
          <w:p>
            <w:pPr>
              <w:jc w:val="center"/>
              <w:spacing w:line="360" w:lineRule="auto"/>
              <w:rPr>
                <w:rFonts w:hint="eastAsia" w:ascii="宋体" w:hAnsi="宋体" w:cs="宋体"/>
                <w:color w:val="0000ff"/>
                <w:spacing w:val="-1"/>
                <w:szCs w:val="21"/>
                <w:highlight w:val="none"/>
              </w:rPr>
            </w:pPr>
            <w:r>
              <w:rPr>
                <w:rFonts w:hint="eastAsia" w:ascii="宋体" w:hAnsi="宋体" w:cs="宋体"/>
                <w:color w:val="000000"/>
                <w:szCs w:val="16"/>
                <w:highlight w:val="none"/>
              </w:rPr>
              <w:t xml:space="preserve">项目经理</w:t>
            </w:r>
            <w:r/>
          </w:p>
        </w:tc>
        <w:tc>
          <w:tcPr>
            <w:tcBorders>
              <w:top w:val="single" w:color="000000" w:sz="2" w:space="0"/>
              <w:bottom w:val="single" w:color="000000" w:sz="2" w:space="0"/>
            </w:tcBorders>
            <w:tcW w:w="6303" w:type="dxa"/>
            <w:vAlign w:val="center"/>
            <w:textDirection w:val="lrTb"/>
            <w:noWrap w:val="false"/>
          </w:tcPr>
          <w:p>
            <w:pPr>
              <w:spacing w:line="360" w:lineRule="auto"/>
              <w:rPr>
                <w:rFonts w:hint="eastAsia" w:ascii="宋体" w:hAnsi="宋体" w:cs="宋体"/>
                <w:szCs w:val="16"/>
                <w:highlight w:val="none"/>
              </w:rPr>
            </w:pPr>
            <w:r>
              <w:rPr>
                <w:rFonts w:hint="eastAsia" w:ascii="宋体" w:hAnsi="宋体" w:cs="宋体"/>
                <w:szCs w:val="16"/>
                <w:highlight w:val="none"/>
              </w:rPr>
              <w:t xml:space="preserve">供应商拟投入本项目的项目经理：</w:t>
            </w:r>
            <w:r/>
          </w:p>
          <w:p>
            <w:pPr>
              <w:spacing w:line="360" w:lineRule="auto"/>
              <w:rPr>
                <w:rFonts w:hint="eastAsia" w:ascii="宋体" w:hAnsi="宋体" w:cs="宋体"/>
                <w:szCs w:val="16"/>
                <w:highlight w:val="none"/>
              </w:rPr>
            </w:pPr>
            <w:r>
              <w:rPr>
                <w:rFonts w:hint="eastAsia" w:ascii="宋体" w:hAnsi="宋体" w:cs="宋体"/>
                <w:szCs w:val="16"/>
                <w:highlight w:val="none"/>
              </w:rPr>
              <w:t xml:space="preserve">具有一级建造师证书（机电工程专业）的得2分，具有高级工程师证书的得2分，具有IT服务工程师，具有注册信息安全专业人员CISP证书的得2分，本项最高得8分。</w:t>
            </w:r>
            <w:r/>
          </w:p>
          <w:p>
            <w:pPr>
              <w:spacing w:line="360" w:lineRule="auto"/>
              <w:rPr>
                <w:rFonts w:hint="eastAsia" w:ascii="宋体" w:hAnsi="宋体" w:cs="宋体"/>
                <w:szCs w:val="21"/>
                <w:highlight w:val="none"/>
              </w:rPr>
            </w:pPr>
            <w:r>
              <w:rPr>
                <w:rFonts w:hint="eastAsia" w:ascii="宋体" w:hAnsi="宋体" w:cs="宋体"/>
                <w:szCs w:val="16"/>
                <w:highlight w:val="none"/>
              </w:rPr>
              <w:t xml:space="preserve">（投标人需提供上述证书扫描件并加盖公章和2026年1月1日以来投标人为其缴纳的</w:t>
            </w:r>
            <w:r>
              <w:rPr>
                <w:rFonts w:hint="eastAsia" w:ascii="宋体" w:hAnsi="宋体" w:cs="宋体"/>
                <w:szCs w:val="21"/>
                <w:highlight w:val="none"/>
              </w:rPr>
              <w:t xml:space="preserve">社会保险</w:t>
            </w:r>
            <w:r>
              <w:rPr>
                <w:rFonts w:hint="eastAsia" w:ascii="宋体" w:hAnsi="宋体" w:cs="宋体"/>
                <w:szCs w:val="16"/>
                <w:highlight w:val="none"/>
              </w:rPr>
              <w:t xml:space="preserve">证明材料，加盖社保机构公章或社保中心参保缴费证明电子专用章，否则不得分。）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highlight w:val="none"/>
              </w:rPr>
              <w:t xml:space="preserve">8</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pacing w:val="-6"/>
                <w:szCs w:val="21"/>
                <w:highlight w:val="none"/>
              </w:rPr>
            </w:pPr>
            <w:r>
              <w:rPr>
                <w:rFonts w:hint="eastAsia" w:ascii="宋体" w:hAnsi="宋体" w:cs="宋体"/>
                <w:color w:val="000000"/>
                <w:spacing w:val="-6"/>
                <w:highlight w:val="none"/>
              </w:rPr>
              <w:t xml:space="preserve">客观分</w:t>
            </w:r>
            <w:r/>
          </w:p>
        </w:tc>
      </w:tr>
      <w:tr>
        <w:trPr>
          <w:jc w:val="center"/>
          <w:trHeight w:val="90"/>
        </w:trPr>
        <w:tc>
          <w:tcPr>
            <w:gridSpan w:val="2"/>
            <w:tcBorders>
              <w:top w:val="single" w:color="000000" w:sz="2" w:space="0"/>
              <w:bottom w:val="single" w:color="000000" w:sz="2" w:space="0"/>
            </w:tcBorders>
            <w:tcW w:w="527"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4.3</w:t>
            </w:r>
            <w:r/>
          </w:p>
        </w:tc>
        <w:tc>
          <w:tcPr>
            <w:gridSpan w:val="2"/>
            <w:tcBorders>
              <w:top w:val="single" w:color="000000" w:sz="2" w:space="0"/>
              <w:bottom w:val="single" w:color="000000" w:sz="2" w:space="0"/>
            </w:tcBorders>
            <w:tcW w:w="1198" w:type="dxa"/>
            <w:vAlign w:val="center"/>
            <w:textDirection w:val="lrTb"/>
            <w:noWrap w:val="false"/>
          </w:tcPr>
          <w:p>
            <w:pPr>
              <w:jc w:val="center"/>
              <w:spacing w:line="360" w:lineRule="auto"/>
              <w:rPr>
                <w:rFonts w:hint="eastAsia" w:ascii="宋体" w:hAnsi="宋体" w:cs="宋体"/>
                <w:color w:val="0000ff"/>
                <w:spacing w:val="-1"/>
                <w:szCs w:val="21"/>
                <w:highlight w:val="none"/>
              </w:rPr>
            </w:pPr>
            <w:r>
              <w:rPr>
                <w:rFonts w:hint="eastAsia" w:ascii="宋体" w:hAnsi="宋体" w:cs="宋体"/>
                <w:color w:val="000000"/>
                <w:szCs w:val="16"/>
                <w:highlight w:val="none"/>
              </w:rPr>
              <w:t xml:space="preserve">技术负责人</w:t>
            </w:r>
            <w:r/>
          </w:p>
        </w:tc>
        <w:tc>
          <w:tcPr>
            <w:tcBorders>
              <w:top w:val="single" w:color="000000" w:sz="2" w:space="0"/>
              <w:bottom w:val="single" w:color="000000" w:sz="2" w:space="0"/>
            </w:tcBorders>
            <w:tcW w:w="6303" w:type="dxa"/>
            <w:vAlign w:val="center"/>
            <w:textDirection w:val="lrTb"/>
            <w:noWrap w:val="false"/>
          </w:tcPr>
          <w:p>
            <w:pPr>
              <w:spacing w:line="360" w:lineRule="auto"/>
              <w:rPr>
                <w:rFonts w:hint="eastAsia" w:ascii="宋体" w:hAnsi="宋体" w:cs="宋体"/>
                <w:szCs w:val="16"/>
                <w:highlight w:val="none"/>
              </w:rPr>
            </w:pPr>
            <w:r>
              <w:rPr>
                <w:rFonts w:hint="eastAsia" w:ascii="宋体" w:hAnsi="宋体" w:cs="宋体"/>
                <w:szCs w:val="16"/>
                <w:highlight w:val="none"/>
              </w:rPr>
              <w:t xml:space="preserve">供应商拟投入本项目的技术负责人：</w:t>
            </w:r>
            <w:r/>
          </w:p>
          <w:p>
            <w:pPr>
              <w:spacing w:line="360" w:lineRule="auto"/>
              <w:rPr>
                <w:rFonts w:hint="eastAsia" w:ascii="宋体" w:hAnsi="宋体" w:cs="宋体"/>
                <w:szCs w:val="16"/>
                <w:highlight w:val="none"/>
              </w:rPr>
            </w:pPr>
            <w:r>
              <w:rPr>
                <w:rFonts w:hint="eastAsia" w:ascii="宋体" w:hAnsi="宋体" w:cs="宋体"/>
                <w:szCs w:val="16"/>
                <w:highlight w:val="none"/>
              </w:rPr>
              <w:t xml:space="preserve">具有CISAW信息安全保障人员(安全运维)证书得2分，具有系统集成项目管理工程师证书得2分，具有信息系统项目管理师证书的得2分，本项最高得6分。</w:t>
            </w:r>
            <w:r/>
          </w:p>
          <w:p>
            <w:pPr>
              <w:spacing w:line="360" w:lineRule="auto"/>
              <w:rPr>
                <w:rFonts w:hint="eastAsia" w:ascii="宋体" w:hAnsi="宋体" w:cs="宋体"/>
                <w:szCs w:val="21"/>
                <w:highlight w:val="none"/>
              </w:rPr>
            </w:pPr>
            <w:r>
              <w:rPr>
                <w:rFonts w:hint="eastAsia" w:ascii="宋体" w:hAnsi="宋体" w:cs="宋体"/>
                <w:szCs w:val="16"/>
                <w:highlight w:val="none"/>
              </w:rPr>
              <w:t xml:space="preserve">（投标人需提供上述证书扫描件并加盖公章和2026年1月1日以来投标人为其缴纳的</w:t>
            </w:r>
            <w:r>
              <w:rPr>
                <w:rFonts w:hint="eastAsia" w:ascii="宋体" w:hAnsi="宋体" w:cs="宋体"/>
                <w:szCs w:val="21"/>
                <w:highlight w:val="none"/>
              </w:rPr>
              <w:t xml:space="preserve">社会保险</w:t>
            </w:r>
            <w:r>
              <w:rPr>
                <w:rFonts w:hint="eastAsia" w:ascii="宋体" w:hAnsi="宋体" w:cs="宋体"/>
                <w:szCs w:val="16"/>
                <w:highlight w:val="none"/>
              </w:rPr>
              <w:t xml:space="preserve">证明材料，加盖社保机构公章或社保中心参保缴费证明电子专用章，否则不得分。）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highlight w:val="none"/>
              </w:rPr>
              <w:t xml:space="preserve">6</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pacing w:val="-6"/>
                <w:szCs w:val="21"/>
                <w:highlight w:val="none"/>
              </w:rPr>
            </w:pPr>
            <w:r>
              <w:rPr>
                <w:rFonts w:hint="eastAsia" w:ascii="宋体" w:hAnsi="宋体" w:cs="宋体"/>
                <w:color w:val="000000"/>
                <w:spacing w:val="-6"/>
                <w:highlight w:val="none"/>
              </w:rPr>
              <w:t xml:space="preserve">客观分</w:t>
            </w:r>
            <w:r/>
          </w:p>
        </w:tc>
      </w:tr>
      <w:tr>
        <w:trPr>
          <w:jc w:val="center"/>
          <w:trHeight w:val="1015"/>
        </w:trPr>
        <w:tc>
          <w:tcPr>
            <w:gridSpan w:val="2"/>
            <w:tcBorders>
              <w:top w:val="single" w:color="000000" w:sz="2" w:space="0"/>
              <w:bottom w:val="single" w:color="000000" w:sz="2" w:space="0"/>
            </w:tcBorders>
            <w:tcW w:w="527" w:type="dxa"/>
            <w:vAlign w:val="center"/>
            <w:textDirection w:val="lrTb"/>
            <w:noWrap w:val="false"/>
          </w:tcPr>
          <w:p>
            <w:pPr>
              <w:jc w:val="center"/>
              <w:spacing w:line="360" w:lineRule="auto"/>
              <w:rPr>
                <w:rFonts w:hint="eastAsia" w:ascii="宋体" w:hAnsi="宋体" w:cs="宋体"/>
                <w:color w:val="0000ff"/>
                <w:spacing w:val="-2"/>
                <w:szCs w:val="21"/>
                <w:highlight w:val="none"/>
              </w:rPr>
            </w:pPr>
            <w:r>
              <w:rPr>
                <w:rFonts w:hint="eastAsia" w:ascii="宋体" w:hAnsi="宋体" w:cs="宋体"/>
                <w:color w:val="000000"/>
                <w:spacing w:val="-2"/>
                <w:highlight w:val="none"/>
              </w:rPr>
              <w:t xml:space="preserve">4.4</w:t>
            </w:r>
            <w:r/>
          </w:p>
        </w:tc>
        <w:tc>
          <w:tcPr>
            <w:gridSpan w:val="2"/>
            <w:tcBorders>
              <w:top w:val="single" w:color="000000" w:sz="2" w:space="0"/>
              <w:bottom w:val="single" w:color="000000" w:sz="2" w:space="0"/>
            </w:tcBorders>
            <w:tcW w:w="1198" w:type="dxa"/>
            <w:vAlign w:val="center"/>
            <w:textDirection w:val="lrTb"/>
            <w:noWrap w:val="false"/>
          </w:tcPr>
          <w:p>
            <w:pPr>
              <w:jc w:val="center"/>
              <w:spacing w:line="360" w:lineRule="auto"/>
              <w:rPr>
                <w:rFonts w:hint="eastAsia" w:ascii="宋体" w:hAnsi="宋体" w:cs="宋体"/>
                <w:color w:val="0000ff"/>
                <w:spacing w:val="-1"/>
                <w:szCs w:val="21"/>
                <w:highlight w:val="none"/>
              </w:rPr>
            </w:pPr>
            <w:r>
              <w:rPr>
                <w:rFonts w:hint="eastAsia" w:ascii="宋体" w:hAnsi="宋体" w:cs="宋体"/>
                <w:color w:val="000000"/>
                <w:szCs w:val="16"/>
                <w:highlight w:val="none"/>
              </w:rPr>
              <w:t xml:space="preserve">其他团队成员</w:t>
            </w:r>
            <w:r/>
          </w:p>
        </w:tc>
        <w:tc>
          <w:tcPr>
            <w:tcBorders>
              <w:top w:val="single" w:color="000000" w:sz="2" w:space="0"/>
              <w:bottom w:val="single" w:color="000000" w:sz="2" w:space="0"/>
            </w:tcBorders>
            <w:tcW w:w="6303" w:type="dxa"/>
            <w:vAlign w:val="center"/>
            <w:textDirection w:val="lrTb"/>
            <w:noWrap w:val="false"/>
          </w:tcPr>
          <w:p>
            <w:pPr>
              <w:spacing w:line="360" w:lineRule="auto"/>
              <w:rPr>
                <w:rFonts w:hint="eastAsia" w:ascii="宋体" w:hAnsi="宋体" w:cs="宋体"/>
                <w:szCs w:val="16"/>
                <w:highlight w:val="none"/>
              </w:rPr>
            </w:pPr>
            <w:r>
              <w:rPr>
                <w:rFonts w:hint="eastAsia" w:ascii="宋体" w:hAnsi="宋体" w:cs="宋体"/>
                <w:szCs w:val="16"/>
                <w:highlight w:val="none"/>
              </w:rPr>
              <w:t xml:space="preserve">供应商拟投入本项目的项目成员：</w:t>
            </w:r>
            <w:r/>
          </w:p>
          <w:p>
            <w:pPr>
              <w:spacing w:line="360" w:lineRule="auto"/>
              <w:rPr>
                <w:rFonts w:hint="eastAsia" w:ascii="宋体" w:hAnsi="宋体" w:cs="宋体"/>
                <w:szCs w:val="16"/>
                <w:highlight w:val="none"/>
              </w:rPr>
            </w:pPr>
            <w:r>
              <w:rPr>
                <w:rFonts w:hint="eastAsia" w:ascii="宋体" w:hAnsi="宋体" w:cs="宋体"/>
                <w:szCs w:val="16"/>
                <w:highlight w:val="none"/>
              </w:rPr>
              <w:t xml:space="preserve">除项目经理、技术负责人以外的项目成员具有通信专业技术人员职业资格或高级IT运维工程师证书的，每有一人得2分，最高得4分。（注：一人身兼数职不得分。）</w:t>
            </w:r>
            <w:r/>
          </w:p>
          <w:p>
            <w:pPr>
              <w:spacing w:line="360" w:lineRule="auto"/>
              <w:rPr>
                <w:rFonts w:hint="eastAsia" w:ascii="宋体" w:hAnsi="宋体" w:cs="宋体"/>
                <w:szCs w:val="21"/>
                <w:highlight w:val="none"/>
              </w:rPr>
            </w:pPr>
            <w:r>
              <w:rPr>
                <w:rFonts w:hint="eastAsia" w:ascii="宋体" w:hAnsi="宋体" w:cs="宋体"/>
                <w:szCs w:val="16"/>
                <w:highlight w:val="none"/>
              </w:rPr>
              <w:t xml:space="preserve">（一人多证按一人计；投标人需提供上述证书扫描件并加盖公章和2026年1月1日以来投标人为以上人员缴纳的社保证明材料，加盖社保机构公章或社保中心参保缴费证明电子专用章，否则不得分。）</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hint="eastAsia" w:ascii="宋体" w:hAnsi="宋体" w:cs="宋体"/>
                <w:color w:val="0000ff"/>
                <w:szCs w:val="21"/>
                <w:highlight w:val="none"/>
              </w:rPr>
            </w:pPr>
            <w:r>
              <w:rPr>
                <w:rFonts w:hint="eastAsia" w:ascii="宋体" w:hAnsi="宋体" w:cs="宋体"/>
                <w:color w:val="000000"/>
                <w:highlight w:val="none"/>
              </w:rPr>
              <w:t xml:space="preserve">4</w:t>
            </w:r>
            <w:r/>
          </w:p>
        </w:tc>
        <w:tc>
          <w:tcPr>
            <w:tcBorders>
              <w:top w:val="single" w:color="000000" w:sz="2" w:space="0"/>
              <w:bottom w:val="single" w:color="000000" w:sz="2" w:space="0"/>
            </w:tcBorders>
            <w:tcW w:w="900" w:type="dxa"/>
            <w:vAlign w:val="center"/>
            <w:textDirection w:val="lrTb"/>
            <w:noWrap w:val="false"/>
          </w:tcPr>
          <w:p>
            <w:pPr>
              <w:spacing w:before="68" w:line="360" w:lineRule="auto"/>
              <w:rPr>
                <w:rFonts w:hint="eastAsia" w:ascii="宋体" w:hAnsi="宋体" w:cs="宋体"/>
                <w:color w:val="0000ff"/>
                <w:spacing w:val="-6"/>
                <w:szCs w:val="21"/>
                <w:highlight w:val="none"/>
              </w:rPr>
            </w:pPr>
            <w:r>
              <w:rPr>
                <w:rFonts w:hint="eastAsia" w:ascii="宋体" w:hAnsi="宋体" w:cs="宋体"/>
                <w:color w:val="000000"/>
                <w:spacing w:val="-6"/>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spacing w:line="360" w:lineRule="auto"/>
              <w:rPr>
                <w:rFonts w:hint="eastAsia" w:ascii="宋体" w:hAnsi="宋体" w:cs="宋体"/>
                <w:color w:val="ff0000"/>
                <w:szCs w:val="21"/>
                <w:highlight w:val="none"/>
              </w:rPr>
            </w:pPr>
            <w:r>
              <w:rPr>
                <w:rFonts w:hint="eastAsia" w:ascii="宋体" w:hAnsi="宋体" w:cs="宋体"/>
                <w:spacing w:val="-3"/>
                <w:szCs w:val="21"/>
                <w:highlight w:val="none"/>
              </w:rPr>
              <w:t xml:space="preserve">合</w:t>
            </w:r>
            <w:r>
              <w:rPr>
                <w:rFonts w:hint="eastAsia" w:ascii="宋体" w:hAnsi="宋体" w:cs="宋体"/>
                <w:spacing w:val="-2"/>
                <w:szCs w:val="21"/>
                <w:highlight w:val="none"/>
              </w:rPr>
              <w:t xml:space="preserve">计</w:t>
            </w:r>
            <w:r/>
          </w:p>
        </w:tc>
        <w:tc>
          <w:tcPr>
            <w:gridSpan w:val="4"/>
            <w:tcBorders>
              <w:top w:val="single" w:color="000000" w:sz="2" w:space="0"/>
              <w:bottom w:val="single" w:color="000000" w:sz="2" w:space="0"/>
            </w:tcBorders>
            <w:tcW w:w="7509" w:type="dxa"/>
            <w:vAlign w:val="center"/>
            <w:textDirection w:val="lrTb"/>
            <w:noWrap w:val="false"/>
          </w:tcPr>
          <w:p>
            <w:pPr>
              <w:ind w:left="172" w:firstLine="412"/>
              <w:jc w:val="center"/>
              <w:spacing w:before="123" w:line="360" w:lineRule="auto"/>
              <w:rPr>
                <w:rFonts w:hint="eastAsia" w:ascii="宋体" w:hAnsi="宋体" w:cs="宋体"/>
                <w:color w:val="ff0000"/>
                <w:spacing w:val="-2"/>
                <w:szCs w:val="21"/>
                <w:highlight w:val="none"/>
              </w:rPr>
            </w:pPr>
            <w:r>
              <w:rPr>
                <w:rFonts w:hint="eastAsia" w:ascii="宋体" w:hAnsi="宋体" w:cs="宋体"/>
                <w:color w:val="ff0000"/>
                <w:spacing w:val="-2"/>
                <w:szCs w:val="21"/>
                <w:highlight w:val="none"/>
              </w:rPr>
            </w:r>
            <w:r/>
          </w:p>
        </w:tc>
        <w:tc>
          <w:tcPr>
            <w:gridSpan w:val="2"/>
            <w:tcBorders>
              <w:top w:val="single" w:color="000000" w:sz="2" w:space="0"/>
              <w:bottom w:val="single" w:color="000000" w:sz="2" w:space="0"/>
            </w:tcBorders>
            <w:tcW w:w="1547" w:type="dxa"/>
            <w:vAlign w:val="center"/>
            <w:textDirection w:val="lrTb"/>
            <w:noWrap w:val="false"/>
          </w:tcPr>
          <w:p>
            <w:pPr>
              <w:ind w:firstLine="376"/>
              <w:jc w:val="center"/>
              <w:spacing w:line="360" w:lineRule="auto"/>
              <w:rPr>
                <w:rFonts w:hint="eastAsia" w:ascii="宋体" w:hAnsi="宋体" w:cs="宋体"/>
                <w:szCs w:val="21"/>
                <w:highlight w:val="none"/>
              </w:rPr>
            </w:pPr>
            <w:r>
              <w:rPr>
                <w:rFonts w:hint="eastAsia" w:ascii="宋体" w:hAnsi="宋体" w:cs="宋体"/>
                <w:spacing w:val="-11"/>
                <w:szCs w:val="21"/>
                <w:highlight w:val="none"/>
              </w:rPr>
              <w:t xml:space="preserve">100分</w:t>
            </w:r>
            <w:r/>
          </w:p>
        </w:tc>
      </w:tr>
    </w:tbl>
    <w:p>
      <w:pPr>
        <w:ind w:firstLine="482"/>
        <w:spacing w:line="360" w:lineRule="auto"/>
        <w:rPr>
          <w:rFonts w:hint="eastAsia" w:ascii="宋体" w:hAnsi="宋体" w:cs="宋体"/>
          <w:b/>
          <w:color w:val="000000"/>
          <w:sz w:val="24"/>
          <w:highlight w:val="none"/>
        </w:rPr>
        <w:outlineLvl w:val="1"/>
      </w:pPr>
      <w:r/>
      <w:bookmarkStart w:id="234" w:name="_Toc27458"/>
      <w:r/>
      <w:bookmarkStart w:id="235" w:name="_Toc22996"/>
      <w:r/>
      <w:bookmarkStart w:id="236" w:name="_Toc6416"/>
      <w:r/>
      <w:bookmarkStart w:id="237" w:name="_Toc26336"/>
      <w:r/>
      <w:bookmarkStart w:id="238" w:name="_Toc193678644"/>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政府采购政策功能落实</w:t>
      </w:r>
      <w:bookmarkEnd w:id="234"/>
      <w:r/>
      <w:bookmarkEnd w:id="235"/>
      <w:r/>
      <w:bookmarkEnd w:id="236"/>
      <w:r/>
      <w:bookmarkEnd w:id="237"/>
      <w:r/>
      <w:bookmarkEnd w:id="238"/>
      <w:r/>
      <w:r/>
    </w:p>
    <w:p>
      <w:pPr>
        <w:ind w:firstLine="480"/>
        <w:spacing w:line="360" w:lineRule="auto"/>
        <w:rPr>
          <w:rFonts w:hint="eastAsia" w:ascii="宋体" w:hAnsi="宋体" w:cs="宋体"/>
          <w:highlight w:val="none"/>
        </w:rPr>
        <w:outlineLvl w:val="1"/>
      </w:pPr>
      <w:r>
        <w:rPr>
          <w:rFonts w:hint="eastAsia" w:ascii="宋体" w:hAnsi="宋体" w:cs="宋体"/>
          <w:color w:val="000000"/>
          <w:sz w:val="24"/>
          <w:highlight w:val="none"/>
        </w:rPr>
        <w:t xml:space="preserve">1、小微型企业价格扣除</w:t>
      </w:r>
      <w:r/>
    </w:p>
    <w:p>
      <w:pPr>
        <w:spacing w:line="360" w:lineRule="auto"/>
        <w:rPr>
          <w:rFonts w:hint="eastAsia" w:ascii="宋体" w:hAnsi="宋体" w:cs="宋体"/>
          <w:highlight w:val="none"/>
        </w:rPr>
      </w:pPr>
      <w:r>
        <w:rPr>
          <w:rFonts w:hint="eastAsia" w:ascii="宋体" w:hAnsi="宋体" w:cs="宋体"/>
          <w:color w:val="000000"/>
          <w:sz w:val="24"/>
          <w:highlight w:val="none"/>
        </w:rPr>
        <w:t xml:space="preserve">（1）本项目对小型</w:t>
      </w:r>
      <w:bookmarkStart w:id="300" w:name="_GoBack"/>
      <w:r/>
      <w:bookmarkEnd w:id="300"/>
      <w:r>
        <w:rPr>
          <w:rFonts w:hint="eastAsia" w:ascii="宋体" w:hAnsi="宋体" w:cs="宋体"/>
          <w:color w:val="000000"/>
          <w:sz w:val="24"/>
          <w:highlight w:val="none"/>
        </w:rPr>
        <w:t xml:space="preserve">和微型企业产品给予</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的扣除价格，用扣除后的价格参与评审。</w:t>
      </w:r>
      <w:r/>
    </w:p>
    <w:p>
      <w:pPr>
        <w:spacing w:line="360" w:lineRule="auto"/>
        <w:rPr>
          <w:rFonts w:hint="eastAsia" w:ascii="宋体" w:hAnsi="宋体" w:cs="宋体"/>
          <w:highlight w:val="none"/>
        </w:rPr>
      </w:pPr>
      <w:r>
        <w:rPr>
          <w:rFonts w:hint="eastAsia" w:ascii="宋体" w:hAnsi="宋体" w:cs="宋体"/>
          <w:color w:val="000000"/>
          <w:sz w:val="24"/>
          <w:highlight w:val="none"/>
        </w:rPr>
        <w:t xml:space="preserve">（2）供应商需按照采购文件的要求提供相应的《小微企业声明函》。</w:t>
      </w:r>
      <w:r/>
    </w:p>
    <w:p>
      <w:pPr>
        <w:spacing w:line="360" w:lineRule="auto"/>
        <w:rPr>
          <w:rFonts w:hint="eastAsia" w:ascii="宋体" w:hAnsi="宋体" w:cs="宋体"/>
          <w:highlight w:val="none"/>
        </w:rPr>
      </w:pPr>
      <w:r>
        <w:rPr>
          <w:rFonts w:hint="eastAsia"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2、残疾人福利单位价格扣除</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的价格扣除，用扣除后的价格参与评审。</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（2）残疾人福利单位需按照采购文件的要求提供《残疾人福利性单位声明函》。</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（3）残疾人福利单位标准请参照《关于促进残疾人就业政府采购政策的通知》（财库〔2017〕141号）。</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3、监狱和戒毒企业价格扣除</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的价格扣除，用扣除后的价格参与评审。</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（3）监狱企业标准请参照《关于政府采购支持监狱企业发展有关问题的通知》（财库[2014]68号）。</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4、残疾人福利单位、监狱企业属于小型、微型企业的，不重复享受政策。</w:t>
      </w:r>
      <w:r/>
    </w:p>
    <w:p>
      <w:pPr>
        <w:ind w:firstLine="480"/>
        <w:spacing w:before="161" w:line="360" w:lineRule="auto"/>
        <w:rPr>
          <w:rFonts w:hint="eastAsia" w:ascii="宋体" w:hAnsi="宋体" w:cs="宋体"/>
          <w:highlight w:val="none"/>
        </w:rPr>
      </w:pPr>
      <w:r>
        <w:rPr>
          <w:rFonts w:hint="eastAsia"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rPr>
        <w:t xml:space="preserve">的价格扣除，用扣除后的价格参与评审。</w:t>
      </w: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价格扣除，用扣除后的价格参与评审。</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7、采购本国产品的支持政策</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7.1 本项目政府采购活动中既有本国产品又有非本国产品参与竞争的，依法对本国产品给予价格评审优惠，对本国产品的报价给予20%的价格扣除（仅用于评审打分），用扣除后的价格参与评审。</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hint="eastAsia" w:ascii="宋体" w:hAnsi="宋体" w:cs="宋体"/>
          <w:sz w:val="24"/>
          <w:highlight w:val="none"/>
        </w:rPr>
      </w:pPr>
      <w:r>
        <w:rPr>
          <w:rFonts w:hint="eastAsia" w:ascii="宋体" w:hAnsi="宋体" w:cs="宋体"/>
          <w:sz w:val="24"/>
          <w:highlight w:val="none"/>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82"/>
        <w:spacing w:line="360" w:lineRule="auto"/>
        <w:rPr>
          <w:rFonts w:hint="eastAsia" w:ascii="宋体" w:hAnsi="宋体" w:cs="宋体"/>
          <w:b/>
          <w:color w:val="000000"/>
          <w:sz w:val="24"/>
          <w:highlight w:val="none"/>
        </w:rPr>
        <w:outlineLvl w:val="1"/>
      </w:pPr>
      <w:r/>
      <w:bookmarkStart w:id="239" w:name="_Toc193678645"/>
      <w:r/>
      <w:bookmarkStart w:id="240" w:name="_Toc21141"/>
      <w:r/>
      <w:bookmarkStart w:id="241" w:name="_Toc21053"/>
      <w:r/>
      <w:bookmarkStart w:id="242" w:name="_Toc24524"/>
      <w:r/>
      <w:bookmarkStart w:id="243" w:name="_Toc7136"/>
      <w:r>
        <w:rPr>
          <w:rFonts w:hint="eastAsia" w:ascii="宋体" w:hAnsi="宋体" w:cs="宋体"/>
          <w:b/>
          <w:color w:val="000000"/>
          <w:sz w:val="24"/>
          <w:highlight w:val="none"/>
        </w:rPr>
        <w:t xml:space="preserve">符合性审查内容</w:t>
      </w:r>
      <w:bookmarkEnd w:id="239"/>
      <w:r/>
      <w:bookmarkEnd w:id="240"/>
      <w:r/>
      <w:bookmarkEnd w:id="241"/>
      <w:r/>
      <w:bookmarkEnd w:id="242"/>
      <w:r/>
      <w:bookmarkEnd w:id="243"/>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jc w:val="left"/>
        <w:spacing w:line="360" w:lineRule="auto"/>
        <w:rPr>
          <w:rFonts w:hint="eastAsia" w:ascii="宋体" w:hAnsi="宋体" w:cs="宋体"/>
          <w:color w:val="000000"/>
          <w:sz w:val="24"/>
          <w:highlight w:val="none"/>
        </w:rPr>
      </w:pPr>
      <w:r>
        <w:rPr>
          <w:rFonts w:hint="eastAsia" w:ascii="宋体" w:hAnsi="宋体" w:cs="宋体"/>
          <w:b/>
          <w:bCs/>
          <w:sz w:val="24"/>
          <w:highlight w:val="none"/>
        </w:rPr>
        <w:t xml:space="preserve">报价要求：</w:t>
      </w:r>
      <w:r>
        <w:rPr>
          <w:rFonts w:hint="eastAsia" w:ascii="宋体" w:hAnsi="宋体" w:cs="宋体"/>
          <w:sz w:val="24"/>
          <w:highlight w:val="none"/>
        </w:rPr>
        <w:t xml:space="preserve">不超过最高限价</w:t>
      </w:r>
      <w:r/>
    </w:p>
    <w:p>
      <w:pPr>
        <w:numPr>
          <w:ilvl w:val="0"/>
          <w:numId w:val="4"/>
        </w:num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商务要求：</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2.2《第六章投标文件构成》中“投标文件构成”没有实质性缺漏；</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2.3本项目不接受备选投标方案；</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2.4投标文件没有采购人不能接受的附加条件；</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2.5投标文件没有法律、法规和招标文件规定的其他无效情形；</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2.6没有按要求提供《南京市政府采购供应商信用承诺书》。</w:t>
      </w:r>
      <w:r/>
    </w:p>
    <w:p>
      <w:pPr>
        <w:numPr>
          <w:ilvl w:val="0"/>
          <w:numId w:val="4"/>
        </w:num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技术要求：</w:t>
      </w:r>
      <w:r/>
    </w:p>
    <w:p>
      <w:pPr>
        <w:ind w:firstLine="480"/>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3.1《技术、商务条款偏离表》“★”出现任何负偏离的。</w:t>
      </w:r>
      <w:r/>
    </w:p>
    <w:p>
      <w:pPr>
        <w:ind w:firstLine="480"/>
        <w:spacing w:line="360" w:lineRule="auto"/>
        <w:rPr>
          <w:rFonts w:hint="eastAsia" w:ascii="宋体" w:hAnsi="宋体" w:cs="宋体"/>
          <w:color w:val="0000ff"/>
          <w:sz w:val="24"/>
          <w:highlight w:val="none"/>
        </w:rPr>
      </w:pPr>
      <w:r>
        <w:rPr>
          <w:rFonts w:hint="eastAsia" w:ascii="宋体" w:hAnsi="宋体" w:cs="宋体"/>
          <w:color w:val="0000ff"/>
          <w:sz w:val="24"/>
          <w:highlight w:val="none"/>
        </w:rPr>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highlight w:val="none"/>
        </w:rPr>
        <w:outlineLvl w:val="0"/>
      </w:pPr>
      <w:r>
        <w:rPr>
          <w:rFonts w:hint="eastAsia" w:ascii="宋体" w:hAnsi="宋体" w:cs="宋体"/>
          <w:b/>
          <w:color w:val="000000"/>
          <w:sz w:val="32"/>
          <w:highlight w:val="none"/>
        </w:rPr>
        <w:br w:type="page" w:clear="all"/>
      </w:r>
      <w:bookmarkStart w:id="244" w:name="_Toc193678647"/>
      <w:r/>
      <w:bookmarkStart w:id="245" w:name="_Toc7507"/>
      <w:r/>
      <w:bookmarkStart w:id="246" w:name="_Toc29985"/>
      <w:r/>
      <w:bookmarkStart w:id="247" w:name="_Toc17279"/>
      <w:r/>
      <w:bookmarkStart w:id="248" w:name="_Toc32166"/>
      <w:r>
        <w:rPr>
          <w:rFonts w:hint="eastAsia" w:ascii="宋体" w:hAnsi="宋体" w:cs="宋体"/>
          <w:b/>
          <w:color w:val="000000"/>
          <w:sz w:val="32"/>
          <w:highlight w:val="none"/>
        </w:rPr>
        <w:t xml:space="preserve">第六章  投标文件格式</w:t>
      </w:r>
      <w:bookmarkEnd w:id="244"/>
      <w:r/>
      <w:bookmarkEnd w:id="245"/>
      <w:r/>
      <w:bookmarkEnd w:id="246"/>
      <w:r/>
      <w:bookmarkEnd w:id="247"/>
      <w:r/>
      <w:bookmarkEnd w:id="248"/>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color w:val="000000"/>
          <w:sz w:val="96"/>
          <w:highlight w:val="none"/>
        </w:rPr>
      </w:pPr>
      <w:r>
        <w:rPr>
          <w:rFonts w:hint="eastAsia" w:ascii="宋体" w:hAnsi="宋体" w:cs="宋体"/>
          <w:b/>
          <w:color w:val="000000"/>
          <w:sz w:val="96"/>
          <w:highlight w:val="none"/>
        </w:rPr>
      </w:r>
      <w:r/>
    </w:p>
    <w:p>
      <w:pPr>
        <w:jc w:val="center"/>
        <w:spacing w:line="360" w:lineRule="auto"/>
        <w:rPr>
          <w:rFonts w:hint="eastAsia" w:ascii="宋体" w:hAnsi="宋体" w:cs="宋体"/>
          <w:highlight w:val="none"/>
        </w:rPr>
      </w:pPr>
      <w:r>
        <w:rPr>
          <w:rFonts w:hint="eastAsia" w:ascii="宋体" w:hAnsi="宋体" w:cs="宋体"/>
          <w:b/>
          <w:color w:val="000000"/>
          <w:sz w:val="96"/>
          <w:highlight w:val="none"/>
        </w:rPr>
        <w:t xml:space="preserve">投标文件</w:t>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ind w:firstLine="420"/>
        <w:jc w:val="center"/>
        <w:spacing w:line="360" w:lineRule="auto"/>
        <w:rPr>
          <w:rFonts w:hint="eastAsia" w:ascii="宋体" w:hAnsi="宋体" w:cs="宋体"/>
          <w:highlight w:val="none"/>
        </w:rPr>
      </w:pPr>
      <w:r>
        <w:rPr>
          <w:rFonts w:hint="eastAsia" w:ascii="宋体" w:hAnsi="宋体" w:cs="宋体"/>
          <w:highlight w:val="none"/>
        </w:rPr>
      </w:r>
      <w:r/>
    </w:p>
    <w:tbl>
      <w:tblPr>
        <w:tblStyle w:val="75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336"/>
        <w:gridCol w:w="5688"/>
      </w:tblGrid>
      <w:tr>
        <w:trPr>
          <w:jc w:val="cente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36"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2"/>
                <w:highlight w:val="none"/>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88" w:type="dxa"/>
            <w:vAlign w:val="center"/>
            <w:textDirection w:val="lrTb"/>
            <w:noWrap w:val="false"/>
          </w:tcPr>
          <w:p>
            <w:pPr>
              <w:jc w:val="left"/>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南京市公安局江宁分局采购机房空调、机柜等设备</w:t>
            </w:r>
            <w:r/>
          </w:p>
          <w:p>
            <w:pPr>
              <w:ind w:firstLine="420"/>
              <w:jc w:val="left"/>
              <w:spacing w:line="360" w:lineRule="auto"/>
              <w:rPr>
                <w:rFonts w:hint="eastAsia" w:ascii="宋体" w:hAnsi="宋体" w:cs="宋体"/>
                <w:highlight w:val="none"/>
              </w:rPr>
            </w:pPr>
            <w:r>
              <w:rPr>
                <w:rFonts w:hint="eastAsia" w:ascii="宋体" w:hAnsi="宋体" w:cs="宋体"/>
                <w:highlight w:val="none"/>
              </w:rPr>
            </w:r>
            <w:r/>
          </w:p>
        </w:tc>
      </w:tr>
      <w:tr>
        <w:trPr>
          <w:jc w:val="cente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36"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2"/>
                <w:highlight w:val="none"/>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88"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b/>
                <w:color w:val="000000"/>
                <w:sz w:val="24"/>
                <w:highlight w:val="none"/>
              </w:rPr>
              <w:t xml:space="preserve">JSZC-320115-YYHH-G2026-0003</w:t>
            </w:r>
            <w:r/>
          </w:p>
        </w:tc>
      </w:tr>
      <w:tr>
        <w:trPr>
          <w:jc w:val="cente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36"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2"/>
                <w:highlight w:val="none"/>
                <w:lang w:eastAsia="en-US"/>
              </w:rPr>
              <w:t xml:space="preserve">包号及设备名称：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88" w:type="dxa"/>
            <w:vAlign w:val="center"/>
            <w:textDirection w:val="lrTb"/>
            <w:noWrap w:val="false"/>
          </w:tcPr>
          <w:p>
            <w:pPr>
              <w:ind w:right="963" w:firstLine="420"/>
              <w:jc w:val="left"/>
              <w:spacing w:line="360" w:lineRule="auto"/>
              <w:rPr>
                <w:rFonts w:hint="eastAsia" w:ascii="宋体" w:hAnsi="宋体" w:cs="宋体"/>
                <w:highlight w:val="none"/>
                <w:lang w:eastAsia="en-US"/>
              </w:rPr>
            </w:pPr>
            <w:r>
              <w:rPr>
                <w:rFonts w:hint="eastAsia" w:ascii="宋体" w:hAnsi="宋体" w:cs="宋体"/>
                <w:highlight w:val="none"/>
                <w:lang w:eastAsia="en-US"/>
              </w:rPr>
            </w:r>
            <w:r/>
          </w:p>
        </w:tc>
      </w:tr>
      <w:tr>
        <w:trPr>
          <w:jc w:val="cente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36"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6"/>
                <w:highlight w:val="none"/>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88"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b/>
                <w:color w:val="000000"/>
                <w:sz w:val="36"/>
                <w:highlight w:val="none"/>
              </w:rPr>
              <w:t xml:space="preserve">XXXXXXXXX（加盖CA电子公章）</w:t>
            </w:r>
            <w:r/>
          </w:p>
        </w:tc>
      </w:tr>
      <w:tr>
        <w:trPr>
          <w:jc w:val="cente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36"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2"/>
                <w:highlight w:val="none"/>
                <w:lang w:eastAsia="en-US"/>
              </w:rPr>
              <w:t xml:space="preserve">日期</w:t>
            </w:r>
            <w:r>
              <w:rPr>
                <w:rFonts w:hint="eastAsia" w:ascii="宋体" w:hAnsi="宋体" w:cs="宋体"/>
                <w:b/>
                <w:color w:val="000000"/>
                <w:sz w:val="36"/>
                <w:highlight w:val="none"/>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88" w:type="dxa"/>
            <w:vAlign w:val="center"/>
            <w:textDirection w:val="lrTb"/>
            <w:noWrap w:val="false"/>
          </w:tcPr>
          <w:p>
            <w:pPr>
              <w:jc w:val="left"/>
              <w:spacing w:line="360" w:lineRule="auto"/>
              <w:rPr>
                <w:rFonts w:hint="eastAsia" w:ascii="宋体" w:hAnsi="宋体" w:cs="宋体"/>
                <w:highlight w:val="none"/>
                <w:lang w:eastAsia="en-US"/>
              </w:rPr>
            </w:pPr>
            <w:r>
              <w:rPr>
                <w:rFonts w:hint="eastAsia" w:ascii="宋体" w:hAnsi="宋体" w:cs="宋体"/>
                <w:b/>
                <w:color w:val="000000"/>
                <w:sz w:val="32"/>
                <w:highlight w:val="none"/>
                <w:lang w:eastAsia="en-US"/>
              </w:rPr>
              <w:t xml:space="preserve">202</w:t>
            </w:r>
            <w:r>
              <w:rPr>
                <w:rFonts w:hint="eastAsia" w:ascii="宋体" w:hAnsi="宋体" w:cs="宋体"/>
                <w:b/>
                <w:color w:val="000000"/>
                <w:sz w:val="32"/>
                <w:highlight w:val="none"/>
              </w:rPr>
              <w:t xml:space="preserve">6</w:t>
            </w:r>
            <w:r>
              <w:rPr>
                <w:rFonts w:hint="eastAsia" w:ascii="宋体" w:hAnsi="宋体" w:cs="宋体"/>
                <w:b/>
                <w:color w:val="000000"/>
                <w:sz w:val="32"/>
                <w:highlight w:val="none"/>
                <w:lang w:eastAsia="en-US"/>
              </w:rPr>
              <w:t xml:space="preserve">年XX月XX日</w:t>
            </w:r>
            <w:r/>
          </w:p>
        </w:tc>
      </w:tr>
    </w:tbl>
    <w:p>
      <w:pPr>
        <w:ind w:firstLine="420"/>
        <w:jc w:val="left"/>
        <w:spacing w:line="360" w:lineRule="auto"/>
        <w:rPr>
          <w:rFonts w:hint="eastAsia" w:ascii="宋体" w:hAnsi="宋体" w:cs="宋体"/>
          <w:highlight w:val="none"/>
        </w:rPr>
      </w:pPr>
      <w:r>
        <w:rPr>
          <w:rFonts w:hint="eastAsia" w:ascii="宋体" w:hAnsi="宋体" w:cs="宋体"/>
          <w:highlight w:val="none"/>
        </w:rPr>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ind w:firstLine="420"/>
        <w:jc w:val="center"/>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color w:val="000000"/>
          <w:highlight w:val="none"/>
        </w:rPr>
        <w:t xml:space="preserve"> </w:t>
      </w:r>
      <w:r/>
    </w:p>
    <w:p>
      <w:pPr>
        <w:ind w:firstLine="420"/>
        <w:spacing w:line="360" w:lineRule="auto"/>
        <w:rPr>
          <w:rFonts w:hint="eastAsia" w:ascii="宋体" w:hAnsi="宋体" w:cs="宋体"/>
          <w:highlight w:val="none"/>
        </w:rPr>
      </w:pPr>
      <w:r>
        <w:rPr>
          <w:rFonts w:hint="eastAsia" w:ascii="宋体" w:hAnsi="宋体" w:cs="宋体"/>
          <w:color w:val="000000"/>
          <w:highlight w:val="none"/>
        </w:rPr>
        <w:t xml:space="preserve"> </w:t>
      </w:r>
      <w:r/>
    </w:p>
    <w:p>
      <w:pPr>
        <w:spacing w:line="360" w:lineRule="auto"/>
        <w:rPr>
          <w:rFonts w:hint="eastAsia" w:ascii="宋体" w:hAnsi="宋体" w:cs="宋体"/>
          <w:highlight w:val="none"/>
        </w:rPr>
      </w:pPr>
      <w:r>
        <w:rPr>
          <w:rFonts w:hint="eastAsia" w:ascii="宋体" w:hAnsi="宋体" w:cs="宋体"/>
          <w:highlight w:val="none"/>
        </w:rPr>
        <w:br w:type="page" w:clear="all"/>
      </w:r>
      <w:r>
        <w:rPr>
          <w:rFonts w:hint="eastAsia" w:ascii="宋体" w:hAnsi="宋体" w:cs="宋体"/>
          <w:color w:val="000000"/>
          <w:highlight w:val="none"/>
        </w:rPr>
        <w:t xml:space="preserve">  </w:t>
      </w:r>
      <w:r/>
    </w:p>
    <w:p>
      <w:pPr>
        <w:ind w:firstLine="643"/>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投标文件目录</w:t>
      </w:r>
      <w:r/>
    </w:p>
    <w:p>
      <w:pPr>
        <w:ind w:firstLine="480"/>
        <w:spacing w:line="360" w:lineRule="auto"/>
        <w:rPr>
          <w:rFonts w:hint="eastAsia" w:ascii="宋体" w:hAnsi="宋体" w:cs="宋体"/>
          <w:color w:val="000000"/>
          <w:sz w:val="24"/>
          <w:highlight w:val="none"/>
        </w:rPr>
      </w:pPr>
      <w:r/>
      <w:bookmarkStart w:id="249" w:name="_Toc19450089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、开标一览表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、通用资格要求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、特定资格要求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、法人授权书</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、响应函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投标函</w:t>
      </w:r>
      <w:r>
        <w:rPr>
          <w:rFonts w:hint="eastAsia" w:ascii="宋体" w:hAnsi="宋体" w:cs="宋体"/>
          <w:color w:val="000000"/>
          <w:sz w:val="24"/>
          <w:highlight w:val="none"/>
          <w:lang w:eastAsia="zh-CN"/>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、投标分项报价表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、商务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技术、款偏离表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八</w:t>
      </w:r>
      <w:r>
        <w:rPr>
          <w:rFonts w:hint="eastAsia" w:ascii="宋体" w:hAnsi="宋体" w:cs="宋体"/>
          <w:color w:val="000000"/>
          <w:sz w:val="24"/>
          <w:highlight w:val="none"/>
        </w:rPr>
        <w:t xml:space="preserve">、《南京市政府采购供应商信用承诺书》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、投标人认为需要提供的其它资料（如有）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十、服务方案</w:t>
      </w:r>
      <w:bookmarkEnd w:id="249"/>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十一</w:t>
      </w:r>
      <w:r>
        <w:rPr>
          <w:rFonts w:hint="eastAsia" w:ascii="宋体" w:hAnsi="宋体" w:cs="宋体"/>
          <w:color w:val="000000"/>
          <w:sz w:val="24"/>
          <w:highlight w:val="none"/>
        </w:rPr>
        <w:t xml:space="preserve">、小微企业声明函（如适用）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十二</w:t>
      </w:r>
      <w:r>
        <w:rPr>
          <w:rFonts w:hint="eastAsia" w:ascii="宋体" w:hAnsi="宋体" w:cs="宋体"/>
          <w:color w:val="000000"/>
          <w:sz w:val="24"/>
          <w:highlight w:val="none"/>
        </w:rPr>
        <w:t xml:space="preserve">、残疾人福利性单位声明函（如适用）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十三</w:t>
      </w:r>
      <w:r>
        <w:rPr>
          <w:rFonts w:hint="eastAsia" w:ascii="宋体" w:hAnsi="宋体" w:cs="宋体"/>
          <w:color w:val="000000"/>
          <w:sz w:val="24"/>
          <w:highlight w:val="none"/>
        </w:rPr>
        <w:t xml:space="preserve">、关于符合本国产品标准的声明函（如适用）</w:t>
      </w:r>
      <w:r/>
    </w:p>
    <w:p>
      <w:pPr>
        <w:pStyle w:val="824"/>
        <w:ind w:firstLine="480"/>
        <w:spacing w:line="360" w:lineRule="auto"/>
        <w:rPr>
          <w:rFonts w:hint="eastAsia" w:ascii="宋体" w:hAnsi="宋体" w:cs="宋体"/>
          <w:highlight w:val="none"/>
        </w:rPr>
        <w:sectPr>
          <w:headerReference w:type="default" r:id="rId12"/>
          <w:footerReference w:type="default" r:id="rId16"/>
          <w:footnotePr/>
          <w:endnotePr/>
          <w:type w:val="nextPage"/>
          <w:pgSz w:w="11906" w:h="16838" w:orient="portrait"/>
          <w:pgMar w:top="720" w:right="1134" w:bottom="720" w:left="1134" w:header="850" w:footer="992" w:gutter="0"/>
          <w:cols w:num="1" w:sep="0" w:space="0" w:equalWidth="1"/>
          <w:docGrid w:linePitch="360"/>
        </w:sect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color w:val="000000"/>
          <w:sz w:val="32"/>
          <w:highlight w:val="none"/>
          <w:lang w:val="en-US" w:eastAsia="zh-CN"/>
        </w:rPr>
        <w:t xml:space="preserve">一</w:t>
      </w:r>
      <w:r>
        <w:rPr>
          <w:rFonts w:hint="eastAsia" w:ascii="宋体" w:hAnsi="宋体" w:cs="宋体"/>
          <w:color w:val="000000"/>
          <w:sz w:val="32"/>
          <w:highlight w:val="none"/>
        </w:rPr>
        <w:t xml:space="preserve">、开标一览表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招标编号：                                   分包号：</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8"/>
      </w:tblGrid>
      <w:tr>
        <w:trPr>
          <w:cantSplit/>
          <w:jc w:val="center"/>
          <w:trHeight w:val="1134"/>
        </w:trPr>
        <w:tc>
          <w:tcPr>
            <w:tcW w:w="8208" w:type="dxa"/>
            <w:vAlign w:val="center"/>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   </w:t>
            </w:r>
            <w:r/>
          </w:p>
        </w:tc>
      </w:tr>
    </w:tbl>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pStyle w:val="824"/>
        <w:ind w:firstLine="480"/>
        <w:spacing w:line="360" w:lineRule="auto"/>
        <w:rPr>
          <w:rFonts w:hint="eastAsia" w:ascii="宋体" w:hAnsi="宋体" w:cs="宋体"/>
          <w:highlight w:val="none"/>
        </w:rPr>
        <w:sectPr>
          <w:footnotePr/>
          <w:endnotePr/>
          <w:type w:val="nextPage"/>
          <w:pgSz w:w="11906" w:h="16838" w:orient="portrait"/>
          <w:pgMar w:top="720" w:right="1134" w:bottom="720" w:left="1134" w:header="850" w:footer="992" w:gutter="0"/>
          <w:cols w:num="1" w:sep="0" w:space="0" w:equalWidth="1"/>
          <w:docGrid w:linePitch="360"/>
        </w:sectPr>
      </w:pPr>
      <w:r>
        <w:rPr>
          <w:rFonts w:hint="eastAsia" w:ascii="宋体" w:hAnsi="宋体" w:cs="宋体"/>
          <w:highlight w:val="none"/>
        </w:rPr>
      </w:r>
      <w:r/>
    </w:p>
    <w:p>
      <w:pPr>
        <w:pStyle w:val="824"/>
        <w:ind w:firstLine="480"/>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color w:val="000000"/>
          <w:sz w:val="32"/>
          <w:highlight w:val="none"/>
        </w:rPr>
        <w:outlineLvl w:val="1"/>
      </w:pPr>
      <w:r/>
      <w:bookmarkStart w:id="250" w:name="_Toc30"/>
      <w:r>
        <w:rPr>
          <w:rFonts w:hint="eastAsia" w:ascii="宋体" w:hAnsi="宋体" w:cs="宋体"/>
          <w:color w:val="000000"/>
          <w:sz w:val="32"/>
          <w:highlight w:val="none"/>
        </w:rPr>
        <w:t xml:space="preserve">一、通用资格要求</w:t>
      </w:r>
      <w:r/>
    </w:p>
    <w:p>
      <w:pPr>
        <w:pStyle w:val="937"/>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1.具有独立承担民事责任的能力</w:t>
      </w:r>
      <w:bookmarkEnd w:id="25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法人或者其他组织的营业执照等证明文件，自然人的身份证明；</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 </w:t>
      </w:r>
      <w:r/>
    </w:p>
    <w:p>
      <w:pPr>
        <w:pStyle w:val="937"/>
        <w:ind w:firstLine="482"/>
        <w:spacing w:line="360" w:lineRule="auto"/>
        <w:rPr>
          <w:rFonts w:hint="eastAsia" w:ascii="宋体" w:hAnsi="宋体" w:cs="宋体"/>
          <w:b/>
          <w:bCs/>
          <w:sz w:val="24"/>
          <w:szCs w:val="24"/>
          <w:highlight w:val="none"/>
        </w:rPr>
        <w:outlineLvl w:val="1"/>
      </w:pPr>
      <w:r/>
      <w:bookmarkStart w:id="251" w:name="_Toc32"/>
      <w:r>
        <w:rPr>
          <w:rFonts w:hint="eastAsia" w:ascii="宋体" w:hAnsi="宋体" w:cs="宋体"/>
          <w:b/>
          <w:bCs/>
          <w:sz w:val="24"/>
          <w:szCs w:val="24"/>
          <w:highlight w:val="none"/>
        </w:rPr>
        <w:t xml:space="preserve">2.投标人提供《南京市政府采购供应商信用承诺书》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其中不适用信用承诺的情形: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1）供应商被列入严重失信主体名单；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2）被相关监督部门作出行政处罚且尚处在处罚有效期内；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3）其他法律、行政法规规定的不适用信用承诺的情形。</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p>
    <w:p>
      <w:pPr>
        <w:pStyle w:val="824"/>
        <w:ind w:firstLine="480"/>
        <w:spacing w:line="360" w:lineRule="auto"/>
        <w:rPr>
          <w:rFonts w:hint="eastAsia" w:ascii="宋体" w:hAnsi="宋体" w:cs="宋体"/>
          <w:highlight w:val="none"/>
        </w:rPr>
      </w:pPr>
      <w:r>
        <w:rPr>
          <w:rFonts w:hint="eastAsia" w:ascii="宋体" w:hAnsi="宋体" w:cs="宋体"/>
          <w:highlight w:val="none"/>
        </w:rPr>
      </w:r>
      <w:r/>
    </w:p>
    <w:p>
      <w:pPr>
        <w:pStyle w:val="937"/>
        <w:ind w:firstLine="482"/>
        <w:spacing w:line="360" w:lineRule="auto"/>
        <w:rPr>
          <w:rFonts w:hint="eastAsia" w:ascii="宋体" w:hAnsi="宋体" w:cs="宋体"/>
          <w:b/>
          <w:bCs/>
          <w:sz w:val="24"/>
          <w:szCs w:val="24"/>
          <w:highlight w:val="none"/>
        </w:rPr>
        <w:outlineLvl w:val="1"/>
      </w:pPr>
      <w:r/>
      <w:bookmarkStart w:id="252" w:name="_Toc31"/>
      <w:r>
        <w:rPr>
          <w:rFonts w:hint="eastAsia" w:ascii="宋体" w:hAnsi="宋体" w:cs="宋体"/>
          <w:b/>
          <w:bCs/>
          <w:sz w:val="24"/>
          <w:szCs w:val="24"/>
          <w:highlight w:val="none"/>
        </w:rPr>
        <w:t xml:space="preserve">3.具有良好的商业信誉和健全的财务会计制度</w:t>
      </w:r>
      <w:bookmarkEnd w:id="25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提供上年度财务报表复印件（如为新成立的公司，应提供公司成立之后的财务报表）或投标截止时间前3个月内，由其基本开户银行出具的资信证明。</w:t>
      </w:r>
      <w:bookmarkEnd w:id="251"/>
      <w:r/>
    </w:p>
    <w:p>
      <w:pPr>
        <w:ind w:firstLine="420"/>
        <w:spacing w:line="360" w:lineRule="auto"/>
        <w:rPr>
          <w:rFonts w:hint="eastAsia" w:ascii="宋体" w:hAnsi="宋体" w:cs="宋体"/>
          <w:highlight w:val="none"/>
        </w:rPr>
      </w:pPr>
      <w:r>
        <w:rPr>
          <w:rFonts w:hint="eastAsia" w:ascii="宋体" w:hAnsi="宋体" w:cs="宋体"/>
          <w:highlight w:val="none"/>
        </w:rPr>
      </w:r>
      <w:r/>
    </w:p>
    <w:p>
      <w:pPr>
        <w:pStyle w:val="937"/>
        <w:ind w:firstLine="482"/>
        <w:spacing w:line="360" w:lineRule="auto"/>
        <w:rPr>
          <w:rFonts w:hint="eastAsia" w:ascii="宋体" w:hAnsi="宋体" w:cs="宋体"/>
          <w:b/>
          <w:bCs/>
          <w:sz w:val="24"/>
          <w:szCs w:val="24"/>
          <w:highlight w:val="none"/>
        </w:rPr>
        <w:outlineLvl w:val="1"/>
      </w:pPr>
      <w:r/>
      <w:bookmarkStart w:id="253" w:name="_Toc33"/>
      <w:r>
        <w:rPr>
          <w:rFonts w:hint="eastAsia" w:ascii="宋体" w:hAnsi="宋体" w:cs="宋体"/>
          <w:b/>
          <w:bCs/>
          <w:sz w:val="24"/>
          <w:szCs w:val="24"/>
          <w:highlight w:val="none"/>
        </w:rPr>
        <w:t xml:space="preserve">4.具备履行合同所必需的设备和专业技术能力</w:t>
      </w:r>
      <w:bookmarkEnd w:id="25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投标人提供具备履行合同所必需的设备和专业技术能力的书面声明（由供应商根据项目需求提供材料）；</w:t>
      </w:r>
      <w:r/>
    </w:p>
    <w:p>
      <w:pPr>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声明</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致：南京市公安局江宁分局</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主要设备有：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主要专业技术能力有：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 </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（加盖CA电子公章）</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投标日期：2026年XX月XX日</w:t>
      </w:r>
      <w:r/>
    </w:p>
    <w:p>
      <w:pPr>
        <w:ind w:firstLine="640"/>
        <w:spacing w:line="360" w:lineRule="auto"/>
        <w:rPr>
          <w:rFonts w:hint="eastAsia" w:ascii="宋体" w:hAnsi="宋体" w:cs="宋体"/>
          <w:sz w:val="32"/>
          <w:highlight w:val="none"/>
        </w:rPr>
      </w:pPr>
      <w:r>
        <w:rPr>
          <w:rFonts w:hint="eastAsia" w:ascii="宋体" w:hAnsi="宋体" w:cs="宋体"/>
          <w:sz w:val="32"/>
          <w:highlight w:val="none"/>
        </w:rPr>
      </w:r>
      <w:r/>
    </w:p>
    <w:p>
      <w:pPr>
        <w:pStyle w:val="937"/>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5.有依法缴纳税收和社会保障资金的良好记录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投标人提供提交投标文件截止时间前六个月内至少一个月依法缴纳税收及缴纳社会保障资金的证明材料。投标人依法享受缓缴、免缴的，提供证明材料。</w:t>
      </w:r>
      <w:r/>
    </w:p>
    <w:p>
      <w:pPr>
        <w:pStyle w:val="824"/>
        <w:ind w:firstLine="480"/>
        <w:spacing w:line="360" w:lineRule="auto"/>
        <w:rPr>
          <w:rFonts w:hint="eastAsia" w:ascii="宋体" w:hAnsi="宋体" w:cs="宋体"/>
          <w:highlight w:val="none"/>
        </w:rPr>
      </w:pPr>
      <w:r>
        <w:rPr>
          <w:rFonts w:hint="eastAsia" w:ascii="宋体" w:hAnsi="宋体" w:cs="宋体"/>
          <w:highlight w:val="none"/>
        </w:rPr>
      </w:r>
      <w:r/>
    </w:p>
    <w:p>
      <w:pPr>
        <w:pStyle w:val="937"/>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6.参加本次政府采购活动前三年内，在经营活动中没有重大违法记录</w:t>
      </w:r>
      <w:r/>
    </w:p>
    <w:p>
      <w:pPr>
        <w:ind w:firstLine="480"/>
        <w:jc w:val="center"/>
        <w:spacing w:line="360" w:lineRule="auto"/>
        <w:rPr>
          <w:rFonts w:hint="eastAsia" w:ascii="宋体" w:hAnsi="宋体" w:cs="宋体"/>
          <w:highlight w:val="none"/>
        </w:rPr>
      </w:pPr>
      <w:r>
        <w:rPr>
          <w:rFonts w:hint="eastAsia" w:ascii="宋体" w:hAnsi="宋体" w:cs="宋体"/>
          <w:sz w:val="24"/>
          <w:highlight w:val="none"/>
        </w:rPr>
        <w:t xml:space="preserve">投标人提供在经营活动中没有重大违法记录的承诺（格式自拟，重大违法记录是指供应商因违法经营受到刑事处罚或责令停产停业、吊销许可证或者执照、较大数额等行政处罚）。</w:t>
      </w:r>
      <w:r>
        <w:rPr>
          <w:rFonts w:hint="eastAsia" w:ascii="宋体" w:hAnsi="宋体" w:cs="宋体"/>
          <w:b/>
          <w:bCs/>
          <w:sz w:val="32"/>
          <w:szCs w:val="32"/>
          <w:highlight w:val="none"/>
        </w:rPr>
        <w:t xml:space="preserve">声明</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致：南京市公安局江宁分局</w:t>
      </w:r>
      <w:r/>
    </w:p>
    <w:p>
      <w:pPr>
        <w:ind w:firstLine="482"/>
        <w:spacing w:line="360" w:lineRule="auto"/>
        <w:rPr>
          <w:rFonts w:hint="eastAsia" w:ascii="宋体" w:hAnsi="宋体" w:cs="宋体"/>
          <w:highlight w:val="none"/>
        </w:rPr>
      </w:pPr>
      <w:r>
        <w:rPr>
          <w:rFonts w:hint="eastAsia" w:ascii="宋体" w:hAnsi="宋体" w:cs="宋体"/>
          <w:b/>
          <w:sz w:val="24"/>
          <w:highlight w:val="none"/>
        </w:rPr>
        <w:t xml:space="preserve">   </w:t>
      </w:r>
      <w:r>
        <w:rPr>
          <w:rFonts w:hint="eastAsia" w:ascii="宋体" w:hAnsi="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 </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（加盖CA电子公章）</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投标日期：2026年XX月XX日</w:t>
      </w:r>
      <w:r/>
    </w:p>
    <w:p>
      <w:pPr>
        <w:ind w:firstLine="420"/>
        <w:spacing w:line="360" w:lineRule="auto"/>
        <w:rPr>
          <w:rFonts w:hint="eastAsia" w:ascii="宋体" w:hAnsi="宋体" w:cs="宋体"/>
          <w:highlight w:val="none"/>
        </w:rPr>
      </w:pPr>
      <w:r>
        <w:rPr>
          <w:rFonts w:hint="eastAsia" w:ascii="宋体" w:hAnsi="宋体" w:cs="宋体"/>
          <w:highlight w:val="none"/>
        </w:rPr>
      </w:r>
      <w:r/>
    </w:p>
    <w:p>
      <w:pPr>
        <w:pStyle w:val="937"/>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7.法律、行政法规规定的其他条件。</w:t>
      </w:r>
      <w:r/>
    </w:p>
    <w:p>
      <w:pPr>
        <w:rPr>
          <w:rFonts w:hint="eastAsia" w:ascii="宋体" w:hAnsi="宋体" w:cs="宋体"/>
          <w:color w:val="000000"/>
          <w:sz w:val="32"/>
          <w:highlight w:val="none"/>
          <w:u w:val="single"/>
        </w:rPr>
      </w:pPr>
      <w:r>
        <w:rPr>
          <w:rFonts w:hint="eastAsia" w:ascii="宋体" w:hAnsi="宋体" w:cs="宋体"/>
          <w:color w:val="000000"/>
          <w:sz w:val="32"/>
          <w:highlight w:val="none"/>
          <w:u w:val="single"/>
        </w:rPr>
        <w:br w:type="page" w:clear="all"/>
      </w:r>
      <w:r/>
    </w:p>
    <w:p>
      <w:pPr>
        <w:jc w:val="center"/>
        <w:spacing w:line="360" w:lineRule="auto"/>
        <w:rPr>
          <w:rFonts w:hint="eastAsia" w:ascii="宋体" w:hAnsi="宋体" w:cs="宋体"/>
          <w:color w:val="000000"/>
          <w:sz w:val="32"/>
          <w:highlight w:val="none"/>
        </w:rPr>
        <w:outlineLvl w:val="1"/>
      </w:pPr>
      <w:r>
        <w:rPr>
          <w:rFonts w:hint="eastAsia" w:ascii="宋体" w:hAnsi="宋体" w:cs="宋体"/>
          <w:color w:val="000000"/>
          <w:sz w:val="32"/>
          <w:highlight w:val="none"/>
          <w:lang w:val="en-US" w:eastAsia="zh-CN"/>
        </w:rPr>
        <w:t xml:space="preserve">三</w:t>
      </w:r>
      <w:r>
        <w:rPr>
          <w:rFonts w:hint="eastAsia" w:ascii="宋体" w:hAnsi="宋体" w:cs="宋体"/>
          <w:color w:val="000000"/>
          <w:sz w:val="32"/>
          <w:highlight w:val="none"/>
        </w:rPr>
        <w:t xml:space="preserve">、特定资格要求</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1.投标人须提供法人授权书，如果是法定代表人直接参与的可以不提供（但必须在营业执照后附法定代表人身份证复印件）；</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t xml:space="preserve">2.提供投标人代表投标文件递交截止时间前半年内任一月份投标单位为其缴纳社会保障资金的凭据，如果是法定代表人直接参与的可以不提供。</w:t>
      </w:r>
      <w:r/>
    </w:p>
    <w:p>
      <w:pPr>
        <w:ind w:firstLine="480"/>
        <w:spacing w:line="360" w:lineRule="auto"/>
        <w:rPr>
          <w:rFonts w:hint="eastAsia" w:ascii="宋体" w:hAnsi="宋体" w:cs="宋体"/>
          <w:color w:val="ff0000"/>
          <w:sz w:val="24"/>
          <w:highlight w:val="none"/>
        </w:rPr>
      </w:pPr>
      <w:r>
        <w:rPr>
          <w:rFonts w:hint="eastAsia" w:ascii="宋体" w:hAnsi="宋体" w:cs="宋体"/>
          <w:color w:val="ff0000"/>
          <w:sz w:val="24"/>
          <w:highlight w:val="none"/>
        </w:rPr>
      </w:r>
      <w:r/>
    </w:p>
    <w:p>
      <w:pPr>
        <w:rPr>
          <w:rFonts w:hint="eastAsia" w:ascii="宋体" w:hAnsi="宋体" w:cs="宋体"/>
          <w:color w:val="000000"/>
          <w:sz w:val="32"/>
          <w:highlight w:val="none"/>
        </w:rPr>
      </w:pPr>
      <w:r/>
      <w:bookmarkStart w:id="254" w:name="_Toc13661"/>
      <w:r/>
      <w:bookmarkStart w:id="255" w:name="_Toc9256"/>
      <w:r/>
      <w:bookmarkStart w:id="256" w:name="_Toc12196"/>
      <w:r/>
      <w:bookmarkStart w:id="257" w:name="_Toc20769"/>
      <w:r/>
      <w:bookmarkStart w:id="258" w:name="_Toc193678650"/>
      <w:r>
        <w:rPr>
          <w:rFonts w:hint="eastAsia" w:ascii="宋体" w:hAnsi="宋体" w:cs="宋体"/>
          <w:color w:val="000000"/>
          <w:sz w:val="32"/>
          <w:highlight w:val="none"/>
        </w:rPr>
        <w:br w:type="page" w:clear="all"/>
      </w:r>
      <w:r/>
    </w:p>
    <w:p>
      <w:pPr>
        <w:jc w:val="center"/>
        <w:spacing w:line="360" w:lineRule="auto"/>
        <w:rPr>
          <w:rFonts w:hint="eastAsia" w:ascii="宋体" w:hAnsi="宋体" w:cs="宋体"/>
          <w:highlight w:val="none"/>
        </w:rPr>
        <w:outlineLvl w:val="1"/>
      </w:pPr>
      <w:r>
        <w:rPr>
          <w:rFonts w:hint="eastAsia" w:ascii="宋体" w:hAnsi="宋体" w:cs="宋体"/>
          <w:color w:val="000000"/>
          <w:sz w:val="32"/>
          <w:highlight w:val="none"/>
          <w:lang w:val="en-US" w:eastAsia="zh-CN"/>
        </w:rPr>
        <w:t xml:space="preserve">四</w:t>
      </w:r>
      <w:r>
        <w:rPr>
          <w:rFonts w:hint="eastAsia" w:ascii="宋体" w:hAnsi="宋体" w:cs="宋体"/>
          <w:color w:val="000000"/>
          <w:sz w:val="32"/>
          <w:highlight w:val="none"/>
        </w:rPr>
        <w:t xml:space="preserve">、法人授权书</w:t>
      </w:r>
      <w:bookmarkEnd w:id="254"/>
      <w:r/>
      <w:bookmarkEnd w:id="255"/>
      <w:r/>
      <w:bookmarkEnd w:id="256"/>
      <w:r/>
      <w:bookmarkEnd w:id="257"/>
      <w:r/>
      <w:bookmarkEnd w:id="258"/>
      <w:r/>
      <w:r/>
    </w:p>
    <w:p>
      <w:pPr>
        <w:ind w:firstLine="480"/>
        <w:jc w:val="left"/>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本授权书声明：____________（投标人名称）授权________________（被授权人的姓名）为我方就</w:t>
      </w:r>
      <w:r>
        <w:rPr>
          <w:rFonts w:hint="eastAsia" w:ascii="宋体" w:hAnsi="宋体" w:cs="宋体"/>
          <w:bCs/>
          <w:color w:val="000000"/>
          <w:sz w:val="24"/>
          <w:highlight w:val="none"/>
          <w:u w:val="single"/>
        </w:rPr>
        <w:t xml:space="preserve">JSZC-320115-YYHH-G2026-0003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号项目采购活动的合法代理人，以本单位名义全权处理一切与该项目采购有关的事务。</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本授权书于______年____月____日起生效，特此声明。</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法人代表身份证号码：</w:t>
      </w:r>
      <w:r>
        <w:rPr>
          <w:rFonts w:hint="eastAsia" w:ascii="宋体" w:hAnsi="宋体" w:cs="宋体"/>
          <w:color w:val="000000"/>
          <w:sz w:val="24"/>
          <w:highlight w:val="none"/>
          <w:u w:val="single"/>
        </w:rPr>
        <w:t xml:space="preserve">              </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法人代表联系电话：（手机）</w:t>
      </w:r>
      <w:r>
        <w:rPr>
          <w:rFonts w:hint="eastAsia" w:ascii="宋体" w:hAnsi="宋体" w:cs="宋体"/>
          <w:color w:val="000000"/>
          <w:sz w:val="24"/>
          <w:highlight w:val="none"/>
          <w:u w:val="single"/>
        </w:rPr>
        <w:t xml:space="preserve">           </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被授权人身份证号码：</w:t>
      </w:r>
      <w:r>
        <w:rPr>
          <w:rFonts w:hint="eastAsia" w:ascii="宋体" w:hAnsi="宋体" w:cs="宋体"/>
          <w:color w:val="000000"/>
          <w:sz w:val="24"/>
          <w:highlight w:val="none"/>
          <w:u w:val="single"/>
        </w:rPr>
        <w:t xml:space="preserve">              </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被授权人联系电话：（手机）</w:t>
      </w:r>
      <w:r>
        <w:rPr>
          <w:rFonts w:hint="eastAsia" w:ascii="宋体" w:hAnsi="宋体" w:cs="宋体"/>
          <w:color w:val="000000"/>
          <w:sz w:val="24"/>
          <w:highlight w:val="none"/>
          <w:u w:val="single"/>
        </w:rPr>
        <w:t xml:space="preserve">            </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（加盖CA电子公章）</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                    </w:t>
      </w:r>
      <w:r/>
    </w:p>
    <w:p>
      <w:pPr>
        <w:ind w:firstLine="480"/>
        <w:jc w:val="left"/>
        <w:spacing w:line="360" w:lineRule="auto"/>
        <w:tabs>
          <w:tab w:val="left" w:pos="360" w:leader="none"/>
        </w:tabs>
        <w:rPr>
          <w:rFonts w:hint="eastAsia" w:ascii="宋体" w:hAnsi="宋体" w:cs="宋体"/>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p>
    <w:p>
      <w:pPr>
        <w:ind w:firstLine="480"/>
        <w:jc w:val="left"/>
        <w:spacing w:line="360" w:lineRule="auto"/>
        <w:rPr>
          <w:rFonts w:hint="eastAsia" w:ascii="宋体" w:hAnsi="宋体" w:cs="宋体"/>
          <w:highlight w:val="none"/>
        </w:rPr>
      </w:pPr>
      <w:r>
        <w:rPr>
          <w:rFonts w:hint="eastAsia" w:ascii="宋体" w:hAnsi="宋体" w:cs="宋体"/>
          <w:color w:val="000000"/>
          <w:sz w:val="24"/>
          <w:highlight w:val="none"/>
          <w:u w:val="single"/>
        </w:rPr>
        <w:t xml:space="preserve"> </w:t>
      </w:r>
      <w:r/>
    </w:p>
    <w:p>
      <w:pPr>
        <w:ind w:firstLine="480"/>
        <w:jc w:val="left"/>
        <w:spacing w:line="360" w:lineRule="auto"/>
        <w:rPr>
          <w:rFonts w:hint="eastAsia" w:ascii="宋体" w:hAnsi="宋体" w:cs="宋体"/>
          <w:highlight w:val="none"/>
        </w:rPr>
      </w:pPr>
      <w:r>
        <w:rPr>
          <w:rFonts w:hint="eastAsia" w:ascii="宋体" w:hAnsi="宋体" w:cs="宋体"/>
          <w:color w:val="000000"/>
          <w:sz w:val="24"/>
          <w:highlight w:val="none"/>
          <w:u w:val="single"/>
        </w:rPr>
        <w:t xml:space="preserve">法人代表身份证复印件：</w:t>
      </w:r>
      <w:r/>
    </w:p>
    <w:p>
      <w:pPr>
        <w:ind w:left="420" w:firstLine="420"/>
        <w:jc w:val="left"/>
        <w:spacing w:after="120" w:line="360" w:lineRule="auto"/>
        <w:rPr>
          <w:rFonts w:hint="eastAsia" w:ascii="宋体" w:hAnsi="宋体" w:cs="宋体"/>
          <w:highlight w:val="none"/>
        </w:rPr>
      </w:pPr>
      <w:r>
        <w:rPr>
          <w:rFonts w:hint="eastAsia" w:ascii="宋体" w:hAnsi="宋体" w:cs="宋体"/>
          <w:color w:val="000000"/>
          <w:highlight w:val="none"/>
        </w:rPr>
        <w:t xml:space="preserve"> </w:t>
      </w:r>
      <w:r/>
    </w:p>
    <w:p>
      <w:pPr>
        <w:ind w:left="420" w:firstLine="420"/>
        <w:jc w:val="left"/>
        <w:spacing w:after="120" w:line="360" w:lineRule="auto"/>
        <w:rPr>
          <w:rFonts w:hint="eastAsia" w:ascii="宋体" w:hAnsi="宋体" w:cs="宋体"/>
          <w:highlight w:val="none"/>
        </w:rPr>
      </w:pPr>
      <w:r>
        <w:rPr>
          <w:rFonts w:hint="eastAsia" w:ascii="宋体" w:hAnsi="宋体" w:cs="宋体"/>
          <w:color w:val="000000"/>
          <w:highlight w:val="none"/>
        </w:rPr>
        <w:t xml:space="preserve"> </w:t>
      </w:r>
      <w:r/>
    </w:p>
    <w:p>
      <w:pPr>
        <w:ind w:firstLine="480"/>
        <w:jc w:val="left"/>
        <w:spacing w:line="360" w:lineRule="auto"/>
        <w:rPr>
          <w:rFonts w:hint="eastAsia" w:ascii="宋体" w:hAnsi="宋体" w:cs="宋体"/>
          <w:highlight w:val="none"/>
        </w:rPr>
      </w:pPr>
      <w:r>
        <w:rPr>
          <w:rFonts w:hint="eastAsia" w:ascii="宋体" w:hAnsi="宋体" w:cs="宋体"/>
          <w:color w:val="000000"/>
          <w:sz w:val="24"/>
          <w:highlight w:val="none"/>
          <w:u w:val="single"/>
        </w:rPr>
        <w:t xml:space="preserve">被授权人身份证复印件：</w:t>
      </w:r>
      <w:r/>
    </w:p>
    <w:p>
      <w:pPr>
        <w:ind w:left="420" w:firstLine="420"/>
        <w:jc w:val="left"/>
        <w:spacing w:after="120" w:line="360" w:lineRule="auto"/>
        <w:rPr>
          <w:rFonts w:hint="eastAsia" w:ascii="宋体" w:hAnsi="宋体" w:cs="宋体"/>
          <w:highlight w:val="none"/>
        </w:rPr>
      </w:pPr>
      <w:r>
        <w:rPr>
          <w:rFonts w:hint="eastAsia" w:ascii="宋体" w:hAnsi="宋体" w:cs="宋体"/>
          <w:color w:val="000000"/>
          <w:highlight w:val="none"/>
        </w:rPr>
        <w:t xml:space="preserve"> </w:t>
      </w:r>
      <w:r/>
    </w:p>
    <w:p>
      <w:pPr>
        <w:ind w:left="420" w:firstLine="420"/>
        <w:jc w:val="left"/>
        <w:spacing w:after="120" w:line="360" w:lineRule="auto"/>
        <w:rPr>
          <w:rFonts w:hint="eastAsia" w:ascii="宋体" w:hAnsi="宋体" w:cs="宋体"/>
          <w:highlight w:val="none"/>
        </w:rPr>
      </w:pPr>
      <w:r>
        <w:rPr>
          <w:rFonts w:hint="eastAsia" w:ascii="宋体" w:hAnsi="宋体" w:cs="宋体"/>
          <w:color w:val="000000"/>
          <w:highlight w:val="none"/>
        </w:rPr>
        <w:t xml:space="preserve"> </w:t>
      </w:r>
      <w:r/>
    </w:p>
    <w:p>
      <w:pPr>
        <w:ind w:firstLine="420"/>
        <w:jc w:val="left"/>
        <w:spacing w:before="161" w:line="360" w:lineRule="auto"/>
        <w:rPr>
          <w:rFonts w:hint="eastAsia" w:ascii="宋体" w:hAnsi="宋体" w:cs="宋体"/>
          <w:highlight w:val="none"/>
        </w:rPr>
      </w:pPr>
      <w:r>
        <w:rPr>
          <w:rFonts w:hint="eastAsia" w:ascii="宋体" w:hAnsi="宋体" w:cs="宋体"/>
          <w:color w:val="000000"/>
          <w:highlight w:val="none"/>
        </w:rPr>
        <w:t xml:space="preserve">说明：</w:t>
      </w:r>
      <w:r/>
    </w:p>
    <w:p>
      <w:pPr>
        <w:ind w:firstLine="420"/>
        <w:jc w:val="left"/>
        <w:spacing w:before="161" w:line="360" w:lineRule="auto"/>
        <w:rPr>
          <w:rFonts w:hint="eastAsia" w:ascii="宋体" w:hAnsi="宋体" w:cs="宋体"/>
          <w:highlight w:val="none"/>
        </w:rPr>
      </w:pPr>
      <w:r>
        <w:rPr>
          <w:rFonts w:hint="eastAsia" w:ascii="宋体" w:hAnsi="宋体" w:cs="宋体"/>
          <w:color w:val="000000"/>
          <w:highlight w:val="none"/>
        </w:rPr>
        <w:t xml:space="preserve">（1）本授权委托书之后需附上法定代表人、被授权人身份证复印件（正反面）；</w:t>
      </w:r>
      <w:r/>
    </w:p>
    <w:p>
      <w:pPr>
        <w:ind w:firstLine="420"/>
        <w:jc w:val="left"/>
        <w:spacing w:before="161" w:line="360" w:lineRule="auto"/>
        <w:rPr>
          <w:rFonts w:hint="eastAsia" w:ascii="宋体" w:hAnsi="宋体" w:cs="宋体"/>
          <w:color w:val="000000"/>
          <w:highlight w:val="none"/>
        </w:rPr>
      </w:pPr>
      <w:r>
        <w:rPr>
          <w:rFonts w:hint="eastAsia" w:ascii="宋体" w:hAnsi="宋体" w:cs="宋体"/>
          <w:color w:val="000000"/>
          <w:highlight w:val="none"/>
        </w:rPr>
        <w:t xml:space="preserve">（2）如果是法定代表人直接参与投标活动的可以不提供法人授权书；但必须在营业执照之后附上法定代表人身份证复印件；</w:t>
      </w:r>
      <w:r/>
    </w:p>
    <w:p>
      <w:pPr>
        <w:ind w:firstLine="420"/>
        <w:jc w:val="left"/>
        <w:spacing w:before="161" w:line="360" w:lineRule="auto"/>
        <w:rPr>
          <w:rFonts w:hint="eastAsia" w:ascii="宋体" w:hAnsi="宋体" w:cs="宋体"/>
          <w:color w:val="000000"/>
          <w:highlight w:val="none"/>
        </w:rPr>
      </w:pPr>
      <w:r>
        <w:rPr>
          <w:rFonts w:hint="eastAsia" w:ascii="宋体" w:hAnsi="宋体" w:cs="宋体"/>
          <w:color w:val="000000"/>
          <w:highlight w:val="none"/>
        </w:rPr>
        <w:t xml:space="preserve">（3）未按上述规定随附身份证复印件的，响应无效。</w:t>
      </w:r>
      <w:r/>
    </w:p>
    <w:p>
      <w:pPr>
        <w:jc w:val="center"/>
        <w:spacing w:line="360" w:lineRule="auto"/>
        <w:rPr>
          <w:rFonts w:hint="eastAsia" w:ascii="宋体" w:hAnsi="宋体" w:cs="宋体"/>
          <w:highlight w:val="none"/>
        </w:rPr>
        <w:outlineLvl w:val="1"/>
      </w:pPr>
      <w:r>
        <w:rPr>
          <w:rFonts w:hint="eastAsia" w:ascii="宋体" w:hAnsi="宋体" w:cs="宋体"/>
          <w:highlight w:val="none"/>
        </w:rPr>
        <w:br w:type="page" w:clear="all"/>
      </w:r>
      <w:bookmarkStart w:id="259" w:name="_Toc25072"/>
      <w:r/>
      <w:bookmarkStart w:id="260" w:name="_Toc30352"/>
      <w:r/>
      <w:bookmarkStart w:id="261" w:name="_Toc28523"/>
      <w:r/>
      <w:bookmarkStart w:id="262" w:name="_Toc14585"/>
      <w:r/>
      <w:bookmarkStart w:id="263" w:name="_Toc193678651"/>
      <w:r>
        <w:rPr>
          <w:rFonts w:hint="eastAsia" w:ascii="宋体" w:hAnsi="宋体" w:cs="宋体"/>
          <w:color w:val="000000"/>
          <w:sz w:val="32"/>
          <w:highlight w:val="none"/>
          <w:lang w:val="en-US" w:eastAsia="zh-CN"/>
        </w:rPr>
        <w:t xml:space="preserve">五</w:t>
      </w:r>
      <w:r>
        <w:rPr>
          <w:rFonts w:hint="eastAsia" w:ascii="宋体" w:hAnsi="宋体" w:cs="宋体"/>
          <w:color w:val="000000"/>
          <w:sz w:val="32"/>
          <w:highlight w:val="none"/>
        </w:rPr>
        <w:t xml:space="preserve">、响应函</w:t>
      </w:r>
      <w:bookmarkEnd w:id="259"/>
      <w:r/>
      <w:bookmarkEnd w:id="260"/>
      <w:r/>
      <w:bookmarkEnd w:id="261"/>
      <w:r/>
      <w:bookmarkEnd w:id="262"/>
      <w:r/>
      <w:bookmarkEnd w:id="263"/>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致：南京市公安局江宁分局</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根据贵方的</w:t>
      </w:r>
      <w:r>
        <w:rPr>
          <w:rFonts w:hint="eastAsia" w:ascii="宋体" w:hAnsi="宋体" w:cs="宋体"/>
          <w:color w:val="000000"/>
          <w:sz w:val="24"/>
          <w:highlight w:val="none"/>
          <w:u w:val="single"/>
        </w:rPr>
        <w:t xml:space="preserve"> JSZC-320115-YYHH-G2026-0003</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号招标文件，正式授权下述签字人_________________(姓名)代表我方______________（投标人的名称），全权处理本次项目投标的有关事宜。</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据此函，__________签字人兹宣布同意如下：</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1.按招标文件规定的各项要求，向买方提供所需货物（包含与货物相关的服务）。</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2.我们完全理解贵方不一定将合同授予最低报价的投标人。</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4.</w:t>
      </w:r>
      <w:r>
        <w:rPr>
          <w:rFonts w:hint="eastAsia" w:ascii="宋体" w:hAnsi="宋体" w:cs="宋体"/>
          <w:highlight w:val="none"/>
        </w:rPr>
        <w:t xml:space="preserve"> </w:t>
      </w:r>
      <w:r>
        <w:rPr>
          <w:rFonts w:hint="eastAsia" w:ascii="宋体" w:hAnsi="宋体" w:cs="宋体"/>
          <w:color w:val="000000"/>
          <w:sz w:val="24"/>
          <w:highlight w:val="none"/>
        </w:rPr>
        <w:t xml:space="preserve">本投标有效期为自开标日起</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日。在这期间，本投标文件将始终对我方具有约束力。</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5.同意向贵方提供贵方可能另外要求的与投标有关的任何证据或资料，并保证我方已提供和将要提供的文件是真实的、准确的。</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425" w:firstLine="480"/>
        <w:spacing w:line="360" w:lineRule="auto"/>
        <w:rPr>
          <w:rFonts w:hint="eastAsia" w:ascii="宋体" w:hAnsi="宋体" w:cs="宋体"/>
          <w:highlight w:val="none"/>
        </w:rPr>
      </w:pPr>
      <w:r>
        <w:rPr>
          <w:rFonts w:hint="eastAsia" w:ascii="宋体" w:hAnsi="宋体" w:cs="宋体"/>
          <w:color w:val="000000"/>
          <w:sz w:val="24"/>
          <w:highlight w:val="none"/>
        </w:rPr>
        <w:t xml:space="preserve">7.与本投标有关的正式通讯地址为：</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地        址：</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邮        编：</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电        话：</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传        真：</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投标人开户行：</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账        号： </w:t>
      </w:r>
      <w:r/>
    </w:p>
    <w:p>
      <w:pPr>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期：________年____月____日</w:t>
      </w:r>
      <w:r/>
    </w:p>
    <w:p>
      <w:pPr>
        <w:ind w:left="420"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投标人名称：（加盖CA电子公章）</w:t>
      </w:r>
      <w:r/>
    </w:p>
    <w:p>
      <w:pPr>
        <w:ind w:firstLine="420"/>
        <w:spacing w:line="360" w:lineRule="auto"/>
        <w:rPr>
          <w:rFonts w:hint="eastAsia" w:ascii="宋体" w:hAnsi="宋体" w:cs="宋体"/>
          <w:highlight w:val="none"/>
        </w:rPr>
      </w:pPr>
      <w:r>
        <w:rPr>
          <w:rFonts w:hint="eastAsia" w:ascii="宋体" w:hAnsi="宋体" w:cs="宋体"/>
          <w:highlight w:val="none"/>
        </w:rPr>
        <w:br w:type="page" w:clear="all"/>
      </w:r>
      <w:r/>
    </w:p>
    <w:p>
      <w:pPr>
        <w:ind w:firstLine="640"/>
        <w:jc w:val="center"/>
        <w:spacing w:before="260" w:after="260" w:line="360" w:lineRule="auto"/>
        <w:rPr>
          <w:rFonts w:hint="eastAsia" w:ascii="宋体" w:hAnsi="宋体" w:cs="宋体"/>
          <w:color w:val="000000"/>
          <w:sz w:val="32"/>
          <w:highlight w:val="none"/>
        </w:rPr>
        <w:outlineLvl w:val="1"/>
      </w:pPr>
      <w:r/>
      <w:bookmarkStart w:id="264" w:name="_Toc193678654"/>
      <w:r/>
      <w:bookmarkStart w:id="265" w:name="_Toc27826"/>
      <w:r/>
      <w:bookmarkStart w:id="266" w:name="_Toc6933"/>
      <w:r/>
      <w:bookmarkStart w:id="267" w:name="_Toc30853"/>
      <w:r/>
      <w:bookmarkStart w:id="268" w:name="_Toc6380"/>
      <w:r>
        <w:rPr>
          <w:rFonts w:hint="eastAsia" w:ascii="宋体" w:hAnsi="宋体" w:cs="宋体"/>
          <w:color w:val="000000"/>
          <w:sz w:val="32"/>
          <w:highlight w:val="none"/>
          <w:lang w:val="en-US" w:eastAsia="zh-CN"/>
        </w:rPr>
        <w:t xml:space="preserve">六</w:t>
      </w:r>
      <w:r>
        <w:rPr>
          <w:rFonts w:hint="eastAsia" w:ascii="宋体" w:hAnsi="宋体" w:cs="宋体"/>
          <w:color w:val="000000"/>
          <w:sz w:val="32"/>
          <w:highlight w:val="none"/>
        </w:rPr>
        <w:t xml:space="preserve">、投标分项报价表</w:t>
      </w:r>
      <w:bookmarkEnd w:id="264"/>
      <w:r/>
      <w:bookmarkEnd w:id="265"/>
      <w:r/>
      <w:bookmarkEnd w:id="266"/>
      <w:r/>
      <w:bookmarkEnd w:id="267"/>
      <w:r/>
      <w:bookmarkEnd w:id="268"/>
      <w:r/>
      <w:r/>
    </w:p>
    <w:tbl>
      <w:tblPr>
        <w:tblStyle w:val="759"/>
        <w:tblW w:w="10256"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4"/>
        <w:gridCol w:w="2457"/>
        <w:gridCol w:w="805"/>
        <w:gridCol w:w="845"/>
        <w:gridCol w:w="1418"/>
        <w:gridCol w:w="1228"/>
        <w:gridCol w:w="1131"/>
        <w:gridCol w:w="1808"/>
      </w:tblGrid>
      <w:tr>
        <w:trPr>
          <w:jc w:val="center"/>
          <w:trHeight w:val="567" w:hRule="exact"/>
          <w:tblHeader/>
        </w:trPr>
        <w:tc>
          <w:tcPr>
            <w:tcW w:w="564"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457"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分项名称</w:t>
            </w:r>
            <w:r/>
          </w:p>
        </w:tc>
        <w:tc>
          <w:tcPr>
            <w:tcW w:w="80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84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141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color w:val="000000"/>
                <w:szCs w:val="21"/>
                <w:highlight w:val="none"/>
                <w:lang w:bidi="ar"/>
              </w:rPr>
              <w:t xml:space="preserve">品牌/制造商</w:t>
            </w:r>
            <w:r/>
          </w:p>
        </w:tc>
        <w:tc>
          <w:tcPr>
            <w:tcW w:w="122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color w:val="000000"/>
                <w:szCs w:val="21"/>
                <w:highlight w:val="none"/>
                <w:lang w:bidi="ar"/>
              </w:rPr>
              <w:t xml:space="preserve">型号</w:t>
            </w:r>
            <w:r/>
          </w:p>
        </w:tc>
        <w:tc>
          <w:tcPr>
            <w:tcW w:w="113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单价（元）</w:t>
            </w:r>
            <w:r/>
          </w:p>
        </w:tc>
        <w:tc>
          <w:tcPr>
            <w:tcW w:w="180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color w:val="000000"/>
                <w:szCs w:val="21"/>
                <w:highlight w:val="none"/>
                <w:lang w:bidi="ar"/>
              </w:rPr>
              <w:t xml:space="preserve">小计（元）</w:t>
            </w:r>
            <w:r/>
          </w:p>
        </w:tc>
      </w:tr>
      <w:tr>
        <w:trPr>
          <w:jc w:val="center"/>
          <w:trHeight w:val="567" w:hRule="exact"/>
        </w:trPr>
        <w:tc>
          <w:tcPr>
            <w:tcW w:w="5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精密空调系统</w:t>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2457"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精密空调室内机</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2</w:t>
            </w:r>
            <w:r/>
          </w:p>
        </w:tc>
        <w:tc>
          <w:tcPr>
            <w:tcW w:w="2457"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精密空调室外机</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2457" w:type="dxa"/>
            <w:vAlign w:val="center"/>
            <w:textDirection w:val="lrTb"/>
            <w:noWrap w:val="false"/>
          </w:tcPr>
          <w:p>
            <w:pPr>
              <w:jc w:val="left"/>
              <w:widowControl/>
              <w:rPr>
                <w:rFonts w:hint="eastAsia" w:ascii="宋体" w:hAnsi="宋体" w:cs="宋体"/>
                <w:szCs w:val="21"/>
                <w:highlight w:val="none"/>
              </w:rPr>
            </w:pPr>
            <w:r>
              <w:rPr>
                <w:rFonts w:ascii="宋体" w:hAnsi="宋体" w:cs="宋体"/>
                <w:color w:val="000000"/>
                <w:szCs w:val="21"/>
                <w:highlight w:val="none"/>
              </w:rPr>
              <w:t xml:space="preserve">房间级精密空调内机</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2457" w:type="dxa"/>
            <w:vAlign w:val="center"/>
            <w:textDirection w:val="lrTb"/>
            <w:noWrap w:val="false"/>
          </w:tcPr>
          <w:p>
            <w:pPr>
              <w:jc w:val="left"/>
              <w:widowControl/>
              <w:rPr>
                <w:rFonts w:hint="eastAsia" w:ascii="宋体" w:hAnsi="宋体" w:cs="宋体"/>
                <w:szCs w:val="21"/>
                <w:highlight w:val="none"/>
              </w:rPr>
            </w:pPr>
            <w:r>
              <w:rPr>
                <w:rFonts w:ascii="宋体" w:hAnsi="宋体" w:cs="宋体"/>
                <w:color w:val="000000"/>
                <w:szCs w:val="21"/>
                <w:highlight w:val="none"/>
              </w:rPr>
              <w:t xml:space="preserve">房间级精密空调外机</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电缆RVV5*16</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电缆RVV5*2.5</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电缆RVVP3*1.5</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抗震支架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9</w:t>
            </w:r>
            <w:r/>
          </w:p>
        </w:tc>
        <w:tc>
          <w:tcPr>
            <w:tcW w:w="2457"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空调铜管19&amp;22</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380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10</w:t>
            </w:r>
            <w:r/>
          </w:p>
        </w:tc>
        <w:tc>
          <w:tcPr>
            <w:tcW w:w="2457" w:type="dxa"/>
            <w:vAlign w:val="center"/>
            <w:textDirection w:val="lrTb"/>
            <w:noWrap w:val="false"/>
          </w:tcPr>
          <w:p>
            <w:pPr>
              <w:jc w:val="left"/>
              <w:widowControl/>
              <w:rPr>
                <w:rFonts w:hint="eastAsia" w:ascii="宋体" w:hAnsi="宋体" w:cs="宋体"/>
                <w:bCs/>
                <w:color w:val="0000ff"/>
                <w:szCs w:val="21"/>
                <w:highlight w:val="none"/>
              </w:rPr>
            </w:pPr>
            <w:r>
              <w:rPr>
                <w:rFonts w:hint="eastAsia" w:ascii="宋体" w:hAnsi="宋体" w:cs="宋体"/>
                <w:szCs w:val="21"/>
                <w:highlight w:val="none"/>
              </w:rPr>
              <w:t xml:space="preserve">空调外电源线</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200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米</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color w:val="000000"/>
                <w:szCs w:val="21"/>
                <w:highlight w:val="none"/>
              </w:rPr>
              <w:t xml:space="preserve">11</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12</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机柜设备</w:t>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13</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设备机柜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14</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设备机柜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15</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机柜侧门</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16</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16</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机柜层板</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17</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PDU电源插座</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64</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rPr>
              <w:t xml:space="preserve">18</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调试安装服务</w:t>
            </w:r>
            <w:r/>
          </w:p>
        </w:tc>
        <w:tc>
          <w:tcPr>
            <w:tcW w:w="80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配电柜</w:t>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动力ATS配电柜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空调柜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UPS输出柜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照明配电箱</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只</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精密配电列头柜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3</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台</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辅材</w:t>
            </w:r>
            <w:r/>
          </w:p>
        </w:tc>
        <w:tc>
          <w:tcPr>
            <w:tcW w:w="80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调试安装服务</w:t>
            </w:r>
            <w:r/>
          </w:p>
        </w:tc>
        <w:tc>
          <w:tcPr>
            <w:tcW w:w="80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支架设备</w:t>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27</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空调支架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28</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配电柜支架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29</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UPS、列头柜设备支架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电池柜支架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套</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w:t>
            </w:r>
            <w:r/>
          </w:p>
        </w:tc>
        <w:tc>
          <w:tcPr>
            <w:tcW w:w="245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szCs w:val="21"/>
                <w:highlight w:val="none"/>
              </w:rPr>
              <w:t xml:space="preserve">辅材</w:t>
            </w:r>
            <w:r/>
          </w:p>
        </w:tc>
        <w:tc>
          <w:tcPr>
            <w:tcW w:w="80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w:t>
            </w:r>
            <w:r/>
          </w:p>
        </w:tc>
        <w:tc>
          <w:tcPr>
            <w:tcW w:w="2457"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szCs w:val="21"/>
                <w:highlight w:val="none"/>
              </w:rPr>
              <w:t xml:space="preserve">调试安装服务</w:t>
            </w:r>
            <w:r/>
          </w:p>
        </w:tc>
        <w:tc>
          <w:tcPr>
            <w:tcW w:w="80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电缆桥架及网络线材</w:t>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动力主进线电缆</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220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不间断电源主进线电缆</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电缆（UPS输入）</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电缆（列头柜UPS电进线）</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42</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37</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电缆（空调进线）</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60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39</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电缆头制作</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156</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电线</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2600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m</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理线架</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个</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铜缆</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箱</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成品跳线1</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成品跳线2</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100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光纤跳线1</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光纤跳线2</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47</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光纤跳线3</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光纤跳线4</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50</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光纤跳线5</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光纤跳线6</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25</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辅材</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szCs w:val="21"/>
                <w:highlight w:val="none"/>
              </w:rPr>
              <w:t xml:space="preserve">调试安装服务</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53</w:t>
            </w:r>
            <w:r/>
          </w:p>
        </w:tc>
        <w:tc>
          <w:tcPr>
            <w:tcW w:w="2457" w:type="dxa"/>
            <w:vAlign w:val="center"/>
            <w:textDirection w:val="lrTb"/>
            <w:noWrap w:val="false"/>
          </w:tcPr>
          <w:p>
            <w:pPr>
              <w:jc w:val="left"/>
              <w:widowControl/>
              <w:rPr>
                <w:rFonts w:hint="eastAsia" w:ascii="宋体" w:hAnsi="宋体" w:cs="宋体"/>
                <w:bCs/>
                <w:szCs w:val="21"/>
                <w:highlight w:val="none"/>
              </w:rPr>
            </w:pPr>
            <w:r>
              <w:rPr>
                <w:rFonts w:hint="eastAsia" w:ascii="宋体" w:hAnsi="宋体" w:cs="宋体"/>
                <w:color w:val="000000"/>
                <w:szCs w:val="21"/>
                <w:highlight w:val="none"/>
              </w:rPr>
              <w:t xml:space="preserve">配套施工</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54</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color w:val="000000"/>
                <w:szCs w:val="21"/>
                <w:highlight w:val="none"/>
              </w:rPr>
              <w:t xml:space="preserve">供配电系统电力测试</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tcW w:w="564"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r>
            <w:r/>
          </w:p>
        </w:tc>
        <w:tc>
          <w:tcPr>
            <w:gridSpan w:val="7"/>
            <w:tcW w:w="9692" w:type="dxa"/>
            <w:vAlign w:val="center"/>
            <w:textDirection w:val="lrTb"/>
            <w:noWrap w:val="false"/>
          </w:tcPr>
          <w:p>
            <w:pPr>
              <w:jc w:val="left"/>
              <w:rPr>
                <w:rFonts w:hint="eastAsia" w:ascii="宋体" w:hAnsi="宋体" w:cs="宋体"/>
                <w:bCs/>
                <w:szCs w:val="21"/>
                <w:highlight w:val="none"/>
              </w:rPr>
            </w:pPr>
            <w:r>
              <w:rPr>
                <w:rFonts w:hint="eastAsia" w:ascii="宋体" w:hAnsi="宋体" w:cs="宋体"/>
                <w:bCs/>
                <w:szCs w:val="21"/>
                <w:highlight w:val="none"/>
              </w:rPr>
              <w:t xml:space="preserve">集成服务</w:t>
            </w:r>
            <w:r/>
          </w:p>
        </w:tc>
      </w:tr>
      <w:tr>
        <w:trPr>
          <w:jc w:val="center"/>
          <w:trHeight w:val="567" w:hRule="exact"/>
        </w:trPr>
        <w:tc>
          <w:tcPr>
            <w:tcW w:w="564"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55</w:t>
            </w:r>
            <w:r/>
          </w:p>
        </w:tc>
        <w:tc>
          <w:tcPr>
            <w:tcW w:w="245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集成服务</w:t>
            </w:r>
            <w:r/>
          </w:p>
        </w:tc>
        <w:tc>
          <w:tcPr>
            <w:tcW w:w="805"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1</w:t>
            </w:r>
            <w:r/>
          </w:p>
        </w:tc>
        <w:tc>
          <w:tcPr>
            <w:tcW w:w="845"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项</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22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131"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180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jc w:val="center"/>
          <w:trHeight w:val="567" w:hRule="exact"/>
        </w:trPr>
        <w:tc>
          <w:tcPr>
            <w:gridSpan w:val="8"/>
            <w:tcW w:w="10256" w:type="dxa"/>
            <w:vAlign w:val="center"/>
            <w:textDirection w:val="lrTb"/>
            <w:noWrap w:val="false"/>
          </w:tcPr>
          <w:p>
            <w:pPr>
              <w:ind w:firstLine="1050"/>
              <w:jc w:val="left"/>
              <w:rPr>
                <w:rFonts w:hint="eastAsia" w:ascii="宋体" w:hAnsi="宋体" w:cs="宋体"/>
                <w:bCs/>
                <w:szCs w:val="21"/>
                <w:highlight w:val="none"/>
              </w:rPr>
            </w:pPr>
            <w:r>
              <w:rPr>
                <w:rFonts w:hint="eastAsia" w:ascii="宋体" w:hAnsi="宋体" w:cs="宋体"/>
                <w:color w:val="000000"/>
                <w:szCs w:val="21"/>
                <w:highlight w:val="none"/>
              </w:rPr>
              <w:t xml:space="preserve">投标总报价</w:t>
            </w:r>
            <w:r>
              <w:rPr>
                <w:rFonts w:hint="eastAsia" w:ascii="宋体" w:hAnsi="宋体" w:cs="宋体"/>
                <w:color w:val="000000"/>
                <w:szCs w:val="21"/>
                <w:highlight w:val="none"/>
                <w:lang w:bidi="ar"/>
              </w:rPr>
              <w:t xml:space="preserve">：                                    元</w:t>
            </w:r>
            <w:r/>
          </w:p>
        </w:tc>
      </w:tr>
    </w:tbl>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1.核心产品为精密空调室内机。</w:t>
      </w:r>
      <w:r/>
    </w:p>
    <w:p>
      <w:pPr>
        <w:jc w:val="left"/>
        <w:spacing w:line="360" w:lineRule="auto"/>
        <w:rPr>
          <w:rFonts w:hint="eastAsia" w:ascii="宋体" w:hAnsi="宋体" w:cs="宋体"/>
          <w:color w:val="000000"/>
          <w:sz w:val="24"/>
          <w:highlight w:val="none"/>
        </w:rPr>
      </w:pPr>
      <w:r/>
      <w:bookmarkStart w:id="269" w:name="_Toc22016"/>
      <w:r/>
      <w:bookmarkStart w:id="270" w:name="_Toc193678655"/>
      <w:r/>
      <w:bookmarkStart w:id="271" w:name="_Toc723"/>
      <w:r/>
      <w:bookmarkStart w:id="272" w:name="_Toc4392"/>
      <w:r/>
      <w:bookmarkStart w:id="273" w:name="_Toc749"/>
      <w:r>
        <w:rPr>
          <w:rFonts w:hint="eastAsia" w:ascii="宋体" w:hAnsi="宋体" w:cs="宋体"/>
          <w:color w:val="000000"/>
          <w:sz w:val="24"/>
          <w:highlight w:val="none"/>
        </w:rPr>
        <w:t xml:space="preserve">2.“投标分项报价表”中“投标总报价”数额应当与“开标一览表”中“投标总报价”数额一致。</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4.投标人需认真填写本报价表，尤其注意规格型号的准确填写。</w:t>
      </w:r>
      <w:r/>
    </w:p>
    <w:p>
      <w:pPr>
        <w:jc w:val="left"/>
        <w:spacing w:line="360" w:lineRule="auto"/>
        <w:rPr>
          <w:rFonts w:hint="eastAsia" w:ascii="宋体" w:hAnsi="宋体" w:cs="宋体"/>
          <w:sz w:val="24"/>
          <w:highlight w:val="none"/>
        </w:rPr>
      </w:pPr>
      <w:r>
        <w:rPr>
          <w:rFonts w:hint="eastAsia" w:ascii="宋体" w:hAnsi="宋体" w:cs="宋体"/>
          <w:color w:val="000000"/>
          <w:sz w:val="24"/>
          <w:highlight w:val="none"/>
        </w:rPr>
        <w:t xml:space="preserve">5.</w:t>
      </w:r>
      <w:r>
        <w:rPr>
          <w:rFonts w:hint="eastAsia" w:ascii="宋体" w:hAnsi="宋体" w:cs="宋体"/>
          <w:sz w:val="24"/>
          <w:highlight w:val="none"/>
        </w:rPr>
        <w:t xml:space="preserve">★投标产品不允许缺漏。</w:t>
      </w:r>
      <w:r/>
    </w:p>
    <w:p>
      <w:pPr>
        <w:ind w:firstLine="480"/>
        <w:jc w:val="right"/>
        <w:spacing w:line="360" w:lineRule="auto"/>
        <w:rPr>
          <w:rFonts w:hint="eastAsia" w:ascii="宋体" w:hAnsi="宋体" w:cs="宋体"/>
          <w:color w:val="000000"/>
          <w:sz w:val="24"/>
          <w:highlight w:val="none"/>
        </w:rPr>
      </w:pPr>
      <w:r>
        <w:rPr>
          <w:rFonts w:hint="eastAsia" w:ascii="宋体" w:hAnsi="宋体" w:cs="宋体"/>
          <w:sz w:val="24"/>
          <w:highlight w:val="none"/>
        </w:rPr>
        <w:t xml:space="preserve">6.供应商需逐一注明提供的产品的品牌、制造商、型号等。</w:t>
      </w:r>
      <w:r>
        <w:rPr>
          <w:rFonts w:hint="eastAsia" w:ascii="宋体" w:hAnsi="宋体" w:cs="宋体"/>
          <w:b/>
          <w:bCs/>
          <w:color w:val="000000"/>
          <w:sz w:val="24"/>
          <w:highlight w:val="none"/>
        </w:rPr>
        <w:br w:type="page" w:clear="all"/>
      </w:r>
      <w:bookmarkEnd w:id="269"/>
      <w:r/>
      <w:bookmarkEnd w:id="270"/>
      <w:r/>
      <w:bookmarkEnd w:id="271"/>
      <w:r/>
      <w:bookmarkEnd w:id="272"/>
      <w:r/>
      <w:bookmarkEnd w:id="273"/>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640"/>
        <w:jc w:val="center"/>
        <w:spacing w:line="360" w:lineRule="auto"/>
        <w:rPr>
          <w:rFonts w:hint="eastAsia" w:ascii="宋体" w:hAnsi="宋体" w:cs="宋体"/>
          <w:color w:val="000000"/>
          <w:sz w:val="32"/>
          <w:szCs w:val="32"/>
          <w:highlight w:val="none"/>
        </w:rPr>
      </w:pPr>
      <w:r/>
      <w:bookmarkStart w:id="274" w:name="_Toc193678656"/>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技术、商务条款偏离表</w:t>
      </w:r>
      <w:bookmarkEnd w:id="274"/>
      <w:r/>
      <w:r/>
    </w:p>
    <w:p>
      <w:pPr>
        <w:pStyle w:val="859"/>
        <w:ind w:firstLine="480"/>
        <w:spacing w:before="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（1）商务要求响应及偏离表</w:t>
      </w:r>
      <w:r/>
    </w:p>
    <w:p>
      <w:pPr>
        <w:ind w:firstLine="480"/>
        <w:jc w:val="left"/>
        <w:spacing w:line="360" w:lineRule="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t xml:space="preserve">项目编号/包号：_____________________     项目名称：_____________</w:t>
      </w:r>
      <w:r/>
    </w:p>
    <w:tbl>
      <w:tblPr>
        <w:tblStyle w:val="759"/>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序号</w:t>
            </w:r>
            <w:r/>
          </w:p>
        </w:tc>
        <w:tc>
          <w:tcPr>
            <w:tcW w:w="1844"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1134"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是否偏离</w:t>
            </w:r>
            <w:r/>
          </w:p>
        </w:tc>
        <w:tc>
          <w:tcPr>
            <w:tcW w:w="1781"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偏离说明</w:t>
            </w:r>
            <w:r/>
          </w:p>
        </w:tc>
        <w:tc>
          <w:tcPr>
            <w:tcW w:w="797"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bl>
    <w:p>
      <w:pPr>
        <w:pStyle w:val="857"/>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w:t>
      </w:r>
      <w:r/>
    </w:p>
    <w:p>
      <w:pPr>
        <w:pStyle w:val="857"/>
        <w:ind w:firstLine="480"/>
        <w:spacing w:line="360" w:lineRule="auto"/>
        <w:rPr>
          <w:rFonts w:hint="eastAsia" w:ascii="宋体" w:hAnsi="宋体" w:cs="宋体"/>
          <w:sz w:val="24"/>
          <w:highlight w:val="none"/>
        </w:rPr>
      </w:pPr>
      <w:r>
        <w:rPr>
          <w:rFonts w:hint="eastAsia" w:ascii="宋体" w:hAnsi="宋体" w:cs="宋体"/>
          <w:sz w:val="24"/>
          <w:highlight w:val="none"/>
        </w:rPr>
        <w:t xml:space="preserve">1. 投标人须根据招标文件中第四章：采购需求中“四商务要求”填写此表，作为投标文件的组成部分。</w:t>
      </w:r>
      <w:r/>
    </w:p>
    <w:p>
      <w:pPr>
        <w:pStyle w:val="857"/>
        <w:ind w:firstLine="480"/>
        <w:spacing w:line="360" w:lineRule="auto"/>
        <w:rPr>
          <w:rFonts w:hint="eastAsia" w:ascii="宋体" w:hAnsi="宋体" w:cs="宋体"/>
          <w:sz w:val="24"/>
          <w:highlight w:val="none"/>
        </w:rPr>
      </w:pPr>
      <w:r>
        <w:rPr>
          <w:rFonts w:hint="eastAsia" w:ascii="宋体" w:hAnsi="宋体" w:cs="宋体"/>
          <w:sz w:val="24"/>
          <w:highlight w:val="none"/>
        </w:rPr>
        <w:t xml:space="preserve">2. 所有偏离必须在本表中列出，未在本偏离表中列出偏离，将视为投标人已完全接受招标文件要求。</w:t>
      </w:r>
      <w:r/>
    </w:p>
    <w:p>
      <w:pPr>
        <w:pStyle w:val="857"/>
        <w:ind w:firstLine="480"/>
        <w:spacing w:line="360" w:lineRule="auto"/>
        <w:rPr>
          <w:rFonts w:hint="eastAsia" w:ascii="宋体" w:hAnsi="宋体" w:cs="宋体"/>
          <w:sz w:val="24"/>
          <w:highlight w:val="none"/>
        </w:rPr>
      </w:pPr>
      <w:r>
        <w:rPr>
          <w:rFonts w:hint="eastAsia" w:ascii="宋体" w:hAnsi="宋体" w:cs="宋体"/>
          <w:sz w:val="24"/>
          <w:highlight w:val="none"/>
        </w:rPr>
        <w:t xml:space="preserve">3. 偏离包括正、负偏离，正偏离指投标人的响应优于招标文件要求，负偏离指投标人的响应低于招标文件要求。</w:t>
      </w:r>
      <w:r/>
    </w:p>
    <w:p>
      <w:pPr>
        <w:ind w:firstLine="480"/>
        <w:spacing w:before="25" w:after="25" w:line="360" w:lineRule="auto"/>
        <w:rPr>
          <w:rFonts w:hint="eastAsia" w:ascii="宋体" w:hAnsi="宋体" w:cs="宋体"/>
          <w:sz w:val="24"/>
          <w:highlight w:val="none"/>
          <w:lang w:val="zh-CN"/>
        </w:rPr>
      </w:pPr>
      <w:r>
        <w:rPr>
          <w:rFonts w:hint="eastAsia" w:ascii="宋体" w:hAnsi="宋体" w:cs="宋体"/>
          <w:sz w:val="24"/>
          <w:highlight w:val="none"/>
          <w:lang w:val="zh-CN"/>
        </w:rPr>
        <w:t xml:space="preserve">                   </w:t>
      </w:r>
      <w:r/>
    </w:p>
    <w:p>
      <w:pPr>
        <w:ind w:firstLine="480"/>
        <w:spacing w:before="25" w:after="25" w:line="360" w:lineRule="auto"/>
        <w:rPr>
          <w:rFonts w:hint="eastAsia" w:ascii="宋体" w:hAnsi="宋体" w:cs="宋体"/>
          <w:sz w:val="24"/>
          <w:highlight w:val="none"/>
          <w:lang w:val="zh-CN"/>
        </w:rPr>
      </w:pPr>
      <w:r>
        <w:rPr>
          <w:rFonts w:hint="eastAsia" w:ascii="宋体" w:hAnsi="宋体" w:cs="宋体"/>
          <w:sz w:val="24"/>
          <w:highlight w:val="none"/>
        </w:rPr>
        <w:t xml:space="preserve">投标人名称（加盖电子公章）</w:t>
      </w:r>
      <w:r>
        <w:rPr>
          <w:rFonts w:hint="eastAsia" w:ascii="宋体" w:hAnsi="宋体" w:cs="宋体"/>
          <w:sz w:val="24"/>
          <w:highlight w:val="none"/>
          <w:lang w:val="zh-CN"/>
        </w:rPr>
        <w:t xml:space="preserve">：____________</w:t>
      </w:r>
      <w:r/>
    </w:p>
    <w:p>
      <w:pPr>
        <w:ind w:firstLine="480"/>
        <w:spacing w:before="25" w:after="25" w:line="360" w:lineRule="auto"/>
        <w:rPr>
          <w:rFonts w:hint="eastAsia"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pStyle w:val="824"/>
        <w:ind w:firstLine="480"/>
        <w:jc w:val="center"/>
        <w:spacing w:line="360" w:lineRule="auto"/>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t xml:space="preserve">（2）技术要求响应及偏离表</w:t>
      </w:r>
      <w:r/>
    </w:p>
    <w:p>
      <w:pPr>
        <w:ind w:firstLine="480"/>
        <w:jc w:val="left"/>
        <w:spacing w:line="360" w:lineRule="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t xml:space="preserve">项目编号/包号：_____________________     项目名称：_____________</w:t>
      </w:r>
      <w:r/>
    </w:p>
    <w:p>
      <w:pPr>
        <w:ind w:firstLine="420"/>
        <w:spacing w:line="360" w:lineRule="auto"/>
        <w:rPr>
          <w:rFonts w:hint="eastAsia" w:ascii="宋体" w:hAnsi="宋体" w:cs="宋体"/>
          <w:highlight w:val="none"/>
        </w:rPr>
      </w:pPr>
      <w:r>
        <w:rPr>
          <w:rFonts w:hint="eastAsia" w:ascii="宋体" w:hAnsi="宋体" w:cs="宋体"/>
          <w:highlight w:val="none"/>
        </w:rPr>
      </w:r>
      <w:r/>
    </w:p>
    <w:tbl>
      <w:tblPr>
        <w:tblStyle w:val="759"/>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序号</w:t>
            </w:r>
            <w:r/>
          </w:p>
        </w:tc>
        <w:tc>
          <w:tcPr>
            <w:tcW w:w="1844"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招标文件的技术条款</w:t>
            </w:r>
            <w:r/>
          </w:p>
        </w:tc>
        <w:tc>
          <w:tcPr>
            <w:tcW w:w="1134"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是否偏离</w:t>
            </w:r>
            <w:r/>
          </w:p>
        </w:tc>
        <w:tc>
          <w:tcPr>
            <w:tcW w:w="1781"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偏离说明</w:t>
            </w:r>
            <w:r/>
          </w:p>
        </w:tc>
        <w:tc>
          <w:tcPr>
            <w:tcW w:w="797" w:type="dxa"/>
            <w:vAlign w:val="center"/>
            <w:textDirection w:val="lrTb"/>
            <w:noWrap/>
          </w:tcPr>
          <w:p>
            <w:pPr>
              <w:pStyle w:val="967"/>
              <w:ind w:firstLine="0"/>
              <w:jc w:val="center"/>
              <w:rPr>
                <w:rFonts w:hint="eastAsia" w:hAnsi="宋体" w:cs="宋体"/>
                <w:sz w:val="21"/>
                <w:szCs w:val="21"/>
                <w:highlight w:val="none"/>
              </w:rPr>
            </w:pPr>
            <w:r>
              <w:rPr>
                <w:rFonts w:hint="eastAsia" w:hAnsi="宋体" w:cs="宋体"/>
                <w:sz w:val="21"/>
                <w:szCs w:val="21"/>
                <w:highlight w:val="none"/>
              </w:rPr>
              <w:t xml:space="preserve">备注</w:t>
            </w:r>
            <w:r/>
          </w:p>
        </w:tc>
      </w:tr>
      <w:tr>
        <w:trPr>
          <w:jc w:val="center"/>
          <w:trHeight w:val="570"/>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1"/>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90"/>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14"/>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682"/>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r>
        <w:trPr>
          <w:jc w:val="center"/>
          <w:trHeight w:val="707"/>
        </w:trPr>
        <w:tc>
          <w:tcPr>
            <w:tcW w:w="653"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134"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1781"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c>
          <w:tcPr>
            <w:tcW w:w="797" w:type="dxa"/>
            <w:vAlign w:val="center"/>
            <w:textDirection w:val="lrTb"/>
            <w:noWrap/>
          </w:tcPr>
          <w:p>
            <w:pPr>
              <w:pStyle w:val="967"/>
              <w:ind w:firstLine="420"/>
              <w:jc w:val="center"/>
              <w:rPr>
                <w:rFonts w:hint="eastAsia" w:hAnsi="宋体" w:cs="宋体"/>
                <w:sz w:val="21"/>
                <w:szCs w:val="21"/>
                <w:highlight w:val="none"/>
              </w:rPr>
            </w:pPr>
            <w:r>
              <w:rPr>
                <w:rFonts w:hint="eastAsia" w:hAnsi="宋体" w:cs="宋体"/>
                <w:sz w:val="21"/>
                <w:szCs w:val="21"/>
                <w:highlight w:val="none"/>
              </w:rPr>
            </w:r>
            <w:r/>
          </w:p>
        </w:tc>
      </w:tr>
    </w:tbl>
    <w:p>
      <w:pPr>
        <w:ind w:firstLine="420"/>
        <w:spacing w:line="360" w:lineRule="auto"/>
        <w:rPr>
          <w:rFonts w:hint="eastAsia" w:ascii="宋体" w:hAnsi="宋体" w:cs="宋体"/>
          <w:highlight w:val="none"/>
        </w:rPr>
      </w:pPr>
      <w:r>
        <w:rPr>
          <w:rFonts w:hint="eastAsia" w:ascii="宋体" w:hAnsi="宋体" w:cs="宋体"/>
          <w:highlight w:val="none"/>
        </w:rPr>
      </w:r>
      <w:r/>
    </w:p>
    <w:p>
      <w:pPr>
        <w:pStyle w:val="857"/>
        <w:spacing w:line="360" w:lineRule="auto"/>
        <w:rPr>
          <w:rFonts w:hint="eastAsia" w:ascii="宋体" w:hAnsi="宋体" w:cs="宋体"/>
          <w:sz w:val="24"/>
          <w:highlight w:val="none"/>
        </w:rPr>
      </w:pPr>
      <w:r>
        <w:rPr>
          <w:rFonts w:hint="eastAsia" w:ascii="宋体" w:hAnsi="宋体" w:cs="宋体"/>
          <w:sz w:val="24"/>
          <w:highlight w:val="none"/>
        </w:rPr>
        <w:t xml:space="preserve">注：</w:t>
      </w:r>
      <w:r/>
    </w:p>
    <w:p>
      <w:pPr>
        <w:pStyle w:val="857"/>
        <w:spacing w:line="360" w:lineRule="auto"/>
        <w:rPr>
          <w:rFonts w:hint="eastAsia" w:ascii="宋体" w:hAnsi="宋体" w:cs="宋体"/>
          <w:sz w:val="24"/>
          <w:highlight w:val="none"/>
        </w:rPr>
      </w:pPr>
      <w:r>
        <w:rPr>
          <w:rFonts w:hint="eastAsia" w:ascii="宋体" w:hAnsi="宋体" w:cs="宋体"/>
          <w:sz w:val="24"/>
          <w:highlight w:val="none"/>
        </w:rPr>
        <w:t xml:space="preserve">1. 投标人须根据招标文件第四章：采购需求中三、项目清单（包含（一）主要产品清单和（二）机组技术参数）技术条款要求填写此表，作为投标文件的组成部分。</w:t>
      </w:r>
      <w:r/>
    </w:p>
    <w:p>
      <w:pPr>
        <w:pStyle w:val="857"/>
        <w:spacing w:line="360" w:lineRule="auto"/>
        <w:rPr>
          <w:rFonts w:hint="eastAsia" w:ascii="宋体" w:hAnsi="宋体" w:cs="宋体"/>
          <w:sz w:val="24"/>
          <w:highlight w:val="none"/>
        </w:rPr>
      </w:pPr>
      <w:r>
        <w:rPr>
          <w:rFonts w:hint="eastAsia" w:ascii="宋体" w:hAnsi="宋体" w:cs="宋体"/>
          <w:sz w:val="24"/>
          <w:highlight w:val="none"/>
        </w:rPr>
        <w:t xml:space="preserve">2. 加注“★”符号的关键指标、加注“▲”符号重要指标和一般指标中要求提供相关材料的，均须按照响应文件格式要求对应详细填写响应情况并提供证明材料，未提供的评委有权认定为负偏离。证明材料包含但不限于产品说明书等技术支持资料，如第三方检测报告等（注：功能参数应进行明显标注，采用如箭头、标红或下划线等标注方式，方便评委查看）。</w:t>
      </w:r>
      <w:r/>
    </w:p>
    <w:p>
      <w:pPr>
        <w:spacing w:line="360" w:lineRule="auto"/>
        <w:rPr>
          <w:rFonts w:hint="eastAsia" w:ascii="宋体" w:hAnsi="宋体" w:cs="宋体"/>
          <w:sz w:val="24"/>
          <w:highlight w:val="none"/>
        </w:rPr>
      </w:pPr>
      <w:r>
        <w:rPr>
          <w:rFonts w:hint="eastAsia" w:ascii="宋体" w:hAnsi="宋体" w:cs="宋体"/>
          <w:sz w:val="24"/>
          <w:highlight w:val="none"/>
        </w:rPr>
        <w:t xml:space="preserve">3. 偏离包括正、负偏离，正偏离指投标人的响应优于招标文件要求，负偏离指投标人的响应低于招标文件要求。</w:t>
      </w:r>
      <w:r/>
    </w:p>
    <w:p>
      <w:pPr>
        <w:ind w:firstLine="480"/>
        <w:spacing w:line="360" w:lineRule="auto"/>
        <w:rPr>
          <w:rFonts w:hint="eastAsia" w:ascii="宋体" w:hAnsi="宋体" w:cs="宋体"/>
          <w:sz w:val="24"/>
          <w:highlight w:val="none"/>
        </w:rPr>
        <w:sectPr>
          <w:footnotePr/>
          <w:endnotePr/>
          <w:type w:val="nextPage"/>
          <w:pgSz w:w="11906" w:h="16838" w:orient="portrait"/>
          <w:pgMar w:top="720" w:right="1134" w:bottom="720" w:left="1134" w:header="850" w:footer="992" w:gutter="0"/>
          <w:cols w:num="1" w:sep="0" w:space="0" w:equalWidth="1"/>
          <w:docGrid w:linePitch="360"/>
        </w:sectPr>
      </w:pPr>
      <w:r>
        <w:rPr>
          <w:rFonts w:hint="eastAsia" w:ascii="宋体" w:hAnsi="宋体" w:cs="宋体"/>
          <w:sz w:val="24"/>
          <w:highlight w:val="none"/>
        </w:rPr>
      </w:r>
      <w:r/>
    </w:p>
    <w:p>
      <w:pPr>
        <w:ind w:firstLine="600"/>
        <w:jc w:val="center"/>
        <w:spacing w:before="260" w:line="360" w:lineRule="auto"/>
        <w:rPr>
          <w:rFonts w:hint="eastAsia" w:ascii="宋体" w:hAnsi="宋体" w:cs="宋体"/>
          <w:sz w:val="30"/>
          <w:szCs w:val="30"/>
          <w:highlight w:val="none"/>
        </w:rPr>
        <w:outlineLvl w:val="1"/>
      </w:pPr>
      <w:r/>
      <w:bookmarkStart w:id="275" w:name="_Toc18114"/>
      <w:r/>
      <w:bookmarkStart w:id="276" w:name="_Toc32719"/>
      <w:r/>
      <w:bookmarkStart w:id="277" w:name="_Toc193678658"/>
      <w:r/>
      <w:bookmarkStart w:id="278" w:name="_Toc3537"/>
      <w:r/>
      <w:bookmarkStart w:id="279" w:name="_Toc23789"/>
      <w:r>
        <w:rPr>
          <w:rFonts w:hint="eastAsia" w:ascii="宋体" w:hAnsi="宋体" w:cs="宋体"/>
          <w:color w:val="000000"/>
          <w:sz w:val="30"/>
          <w:szCs w:val="30"/>
          <w:highlight w:val="none"/>
          <w:lang w:val="en-US" w:eastAsia="zh-CN"/>
        </w:rPr>
        <w:t xml:space="preserve">八、</w:t>
      </w:r>
      <w:r>
        <w:rPr>
          <w:rFonts w:hint="eastAsia" w:ascii="宋体" w:hAnsi="宋体" w:cs="宋体"/>
          <w:color w:val="000000"/>
          <w:sz w:val="30"/>
          <w:szCs w:val="30"/>
          <w:highlight w:val="none"/>
        </w:rPr>
        <w:t xml:space="preserve">《</w:t>
      </w:r>
      <w:r>
        <w:rPr>
          <w:rFonts w:hint="eastAsia" w:ascii="宋体" w:hAnsi="宋体" w:cs="宋体"/>
          <w:sz w:val="30"/>
          <w:szCs w:val="30"/>
          <w:highlight w:val="none"/>
        </w:rPr>
        <w:t xml:space="preserve">南京市政府采购供应商信用承诺书</w:t>
      </w:r>
      <w:r>
        <w:rPr>
          <w:rFonts w:hint="eastAsia" w:ascii="宋体" w:hAnsi="宋体" w:cs="宋体"/>
          <w:color w:val="000000"/>
          <w:sz w:val="30"/>
          <w:szCs w:val="30"/>
          <w:highlight w:val="none"/>
        </w:rPr>
        <w:t xml:space="preserve">》</w:t>
      </w:r>
      <w:bookmarkEnd w:id="275"/>
      <w:r/>
      <w:bookmarkEnd w:id="276"/>
      <w:r/>
      <w:bookmarkEnd w:id="277"/>
      <w:r/>
      <w:bookmarkEnd w:id="278"/>
      <w:r/>
      <w:bookmarkEnd w:id="279"/>
      <w:r/>
      <w:r/>
    </w:p>
    <w:p>
      <w:pPr>
        <w:ind w:firstLine="420"/>
        <w:jc w:val="center"/>
        <w:spacing w:before="260" w:line="360" w:lineRule="auto"/>
        <w:rPr>
          <w:rFonts w:hint="eastAsia" w:ascii="宋体" w:hAnsi="宋体" w:cs="宋体"/>
          <w:highlight w:val="none"/>
        </w:rPr>
        <w:outlineLvl w:val="1"/>
      </w:pPr>
      <w:r>
        <w:rPr>
          <w:rFonts w:hint="eastAsia" w:ascii="宋体" w:hAnsi="宋体" w:cs="宋体"/>
          <w:highlight w:val="none"/>
        </w:rPr>
        <w:br w:type="page" w:clear="all"/>
      </w:r>
      <w:bookmarkStart w:id="280" w:name="_Toc24522"/>
      <w:r/>
      <w:bookmarkStart w:id="281" w:name="_Toc19560"/>
      <w:r/>
      <w:bookmarkStart w:id="282" w:name="_Toc4782"/>
      <w:r/>
      <w:bookmarkStart w:id="283" w:name="_Toc773"/>
      <w:r/>
      <w:bookmarkStart w:id="284" w:name="_Toc193678659"/>
      <w:r>
        <w:rPr>
          <w:rFonts w:hint="eastAsia" w:ascii="宋体" w:hAnsi="宋体" w:cs="宋体"/>
          <w:color w:val="000000"/>
          <w:sz w:val="30"/>
          <w:szCs w:val="30"/>
          <w:highlight w:val="none"/>
          <w:lang w:val="en-US" w:eastAsia="zh-CN"/>
        </w:rPr>
        <w:t xml:space="preserve">九、</w:t>
      </w:r>
      <w:r>
        <w:rPr>
          <w:rFonts w:hint="eastAsia" w:ascii="宋体" w:hAnsi="宋体" w:cs="宋体"/>
          <w:color w:val="000000"/>
          <w:sz w:val="30"/>
          <w:szCs w:val="30"/>
          <w:highlight w:val="none"/>
        </w:rPr>
        <w:t xml:space="preserve">投标人认为需要提供的其它资料</w:t>
      </w:r>
      <w:bookmarkEnd w:id="280"/>
      <w:r/>
      <w:bookmarkEnd w:id="281"/>
      <w:r/>
      <w:bookmarkEnd w:id="282"/>
      <w:r/>
      <w:bookmarkEnd w:id="283"/>
      <w:r>
        <w:rPr>
          <w:rFonts w:hint="eastAsia" w:ascii="宋体" w:hAnsi="宋体" w:cs="宋体"/>
          <w:color w:val="000000"/>
          <w:sz w:val="30"/>
          <w:szCs w:val="30"/>
          <w:highlight w:val="none"/>
        </w:rPr>
        <w:t xml:space="preserve">（如有）</w:t>
      </w:r>
      <w:bookmarkEnd w:id="284"/>
      <w:r/>
      <w:r/>
    </w:p>
    <w:p>
      <w:pPr>
        <w:ind w:firstLine="560"/>
        <w:jc w:val="center"/>
        <w:spacing w:line="360" w:lineRule="auto"/>
        <w:rPr>
          <w:rFonts w:hint="default" w:ascii="宋体" w:hAnsi="宋体" w:eastAsia="宋体" w:cs="宋体"/>
          <w:color w:val="000000"/>
          <w:sz w:val="28"/>
          <w:highlight w:val="none"/>
          <w:lang w:val="en-US" w:eastAsia="zh-CN"/>
        </w:rPr>
        <w:sectPr>
          <w:footnotePr/>
          <w:endnotePr/>
          <w:type w:val="nextPage"/>
          <w:pgSz w:w="11906" w:h="16838" w:orient="portrait"/>
          <w:pgMar w:top="720" w:right="1134" w:bottom="720" w:left="1134" w:header="850" w:footer="992" w:gutter="0"/>
          <w:cols w:num="1" w:sep="0" w:space="0" w:equalWidth="1"/>
          <w:docGrid w:linePitch="360"/>
        </w:sectPr>
      </w:pPr>
      <w:r>
        <w:rPr>
          <w:rFonts w:hint="eastAsia" w:ascii="宋体" w:hAnsi="宋体" w:cs="宋体"/>
          <w:color w:val="000000"/>
          <w:sz w:val="28"/>
          <w:highlight w:val="none"/>
        </w:rPr>
        <w:t xml:space="preserve">（评分或招标文件中要求提供</w:t>
      </w:r>
      <w:r>
        <w:rPr>
          <w:rFonts w:hint="eastAsia" w:ascii="宋体" w:hAnsi="宋体" w:cs="宋体"/>
          <w:color w:val="000000"/>
          <w:sz w:val="28"/>
          <w:highlight w:val="none"/>
          <w:lang w:val="en-US" w:eastAsia="zh-CN"/>
        </w:rPr>
        <w:t xml:space="preserve">的材料，格式自拟）</w:t>
      </w:r>
      <w:r/>
    </w:p>
    <w:p>
      <w:pPr>
        <w:ind w:firstLine="640"/>
        <w:jc w:val="center"/>
        <w:spacing w:line="360" w:lineRule="auto"/>
        <w:rPr>
          <w:rFonts w:hint="eastAsia" w:ascii="宋体" w:hAnsi="宋体" w:cs="宋体"/>
          <w:color w:val="000000"/>
          <w:sz w:val="32"/>
          <w:highlight w:val="none"/>
        </w:rPr>
        <w:outlineLvl w:val="1"/>
      </w:pPr>
      <w:r/>
      <w:bookmarkStart w:id="285" w:name="_Toc923"/>
      <w:r/>
      <w:bookmarkStart w:id="286" w:name="_Toc193678657"/>
      <w:r/>
      <w:bookmarkStart w:id="287" w:name="_Toc1974"/>
      <w:r/>
      <w:bookmarkStart w:id="288" w:name="_Toc7460"/>
      <w:r/>
      <w:bookmarkStart w:id="289" w:name="_Toc12174"/>
      <w:r>
        <w:rPr>
          <w:rFonts w:hint="eastAsia" w:ascii="宋体" w:hAnsi="宋体" w:cs="宋体"/>
          <w:color w:val="000000"/>
          <w:sz w:val="32"/>
          <w:highlight w:val="none"/>
        </w:rPr>
        <w:t xml:space="preserve">十、服务方案</w:t>
      </w:r>
      <w:bookmarkEnd w:id="285"/>
      <w:r/>
      <w:bookmarkEnd w:id="286"/>
      <w:r/>
      <w:bookmarkEnd w:id="287"/>
      <w:r/>
      <w:bookmarkEnd w:id="288"/>
      <w:r/>
      <w:bookmarkEnd w:id="289"/>
      <w:r/>
      <w:r/>
    </w:p>
    <w:p>
      <w:pPr>
        <w:ind w:left="420" w:firstLine="480"/>
        <w:jc w:val="center"/>
        <w:spacing w:line="360" w:lineRule="auto"/>
        <w:rPr>
          <w:rFonts w:hint="eastAsia" w:ascii="宋体" w:hAnsi="宋体" w:cs="宋体"/>
          <w:highlight w:val="none"/>
        </w:rPr>
      </w:pPr>
      <w:r>
        <w:rPr>
          <w:rFonts w:hint="eastAsia" w:ascii="宋体" w:hAnsi="宋体" w:cs="宋体"/>
          <w:color w:val="ff0000"/>
          <w:sz w:val="24"/>
          <w:highlight w:val="none"/>
        </w:rPr>
        <w:t xml:space="preserve">投标人须根据本项目的采购需求及评标标准的要求编制项目服务方案按顺序编写，格式自拟</w:t>
      </w:r>
      <w:r/>
    </w:p>
    <w:p>
      <w:pPr>
        <w:ind w:firstLine="420"/>
        <w:spacing w:line="360" w:lineRule="auto"/>
        <w:rPr>
          <w:rFonts w:hint="eastAsia" w:ascii="宋体" w:hAnsi="宋体" w:cs="宋体"/>
          <w:highlight w:val="none"/>
        </w:rPr>
      </w:pPr>
      <w:r>
        <w:rPr>
          <w:rFonts w:hint="eastAsia" w:ascii="宋体" w:hAnsi="宋体" w:cs="宋体"/>
          <w:highlight w:val="none"/>
        </w:rPr>
        <w:br w:type="page" w:clear="all"/>
      </w:r>
      <w:r/>
    </w:p>
    <w:p>
      <w:pPr>
        <w:ind w:firstLine="640"/>
        <w:jc w:val="center"/>
        <w:spacing w:before="260" w:after="260" w:line="360" w:lineRule="auto"/>
        <w:rPr>
          <w:rFonts w:hint="eastAsia" w:ascii="宋体" w:hAnsi="宋体" w:cs="宋体"/>
          <w:color w:val="000000"/>
          <w:sz w:val="32"/>
          <w:highlight w:val="none"/>
        </w:rPr>
        <w:outlineLvl w:val="1"/>
      </w:pPr>
      <w:r/>
      <w:bookmarkStart w:id="290" w:name="_Toc193678652"/>
      <w:r/>
      <w:bookmarkStart w:id="291" w:name="_Toc8814"/>
      <w:r/>
      <w:bookmarkStart w:id="292" w:name="_Toc27757"/>
      <w:r/>
      <w:bookmarkStart w:id="293" w:name="_Toc8595"/>
      <w:r/>
      <w:bookmarkStart w:id="294" w:name="_Toc20288"/>
      <w:r>
        <w:rPr>
          <w:rFonts w:hint="eastAsia" w:ascii="宋体" w:hAnsi="宋体" w:cs="宋体"/>
          <w:color w:val="000000"/>
          <w:sz w:val="32"/>
          <w:highlight w:val="none"/>
          <w:lang w:val="en-US" w:eastAsia="zh-CN"/>
        </w:rPr>
        <w:t xml:space="preserve">十一</w:t>
      </w:r>
      <w:r>
        <w:rPr>
          <w:rFonts w:hint="eastAsia" w:ascii="宋体" w:hAnsi="宋体" w:cs="宋体"/>
          <w:color w:val="000000"/>
          <w:sz w:val="32"/>
          <w:highlight w:val="none"/>
        </w:rPr>
        <w:t xml:space="preserve">、小微企业声明函（货物）（如适用）</w:t>
      </w:r>
      <w:bookmarkEnd w:id="290"/>
      <w:r/>
      <w:bookmarkEnd w:id="291"/>
      <w:r/>
      <w:bookmarkEnd w:id="292"/>
      <w:r/>
      <w:bookmarkEnd w:id="293"/>
      <w:r/>
      <w:bookmarkEnd w:id="294"/>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本公司（联合体）郑重声明，根据《政府采购促进中小企业发展管理办法》(财库[2020]46号)的规定，本公司（联合体）参加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采购编号为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（项目名称）（分包号：**）</w:t>
      </w:r>
      <w:r>
        <w:rPr>
          <w:rFonts w:hint="eastAsia" w:ascii="宋体" w:hAnsi="宋体" w:cs="宋体"/>
          <w:color w:val="000000"/>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（小型企业、微型企业）；</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（小型企业、微型企业）；</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0"/>
        <w:jc w:val="center"/>
        <w:spacing w:line="360" w:lineRule="auto"/>
        <w:rPr>
          <w:rFonts w:hint="eastAsia" w:ascii="宋体" w:hAnsi="宋体" w:cs="宋体"/>
          <w:highlight w:val="none"/>
        </w:rPr>
      </w:pPr>
      <w:r>
        <w:rPr>
          <w:rFonts w:hint="eastAsia" w:ascii="宋体" w:hAnsi="宋体" w:cs="宋体"/>
          <w:color w:val="000000"/>
          <w:sz w:val="24"/>
          <w:highlight w:val="none"/>
        </w:rPr>
        <w:t xml:space="preserve">                  企业名称（加盖CA电子公章）：</w:t>
      </w:r>
      <w:r/>
    </w:p>
    <w:p>
      <w:pPr>
        <w:ind w:firstLine="480"/>
        <w:jc w:val="center"/>
        <w:spacing w:line="360" w:lineRule="auto"/>
        <w:rPr>
          <w:rFonts w:hint="eastAsia" w:ascii="宋体" w:hAnsi="宋体" w:cs="宋体"/>
          <w:highlight w:val="none"/>
        </w:rPr>
      </w:pPr>
      <w:r>
        <w:rPr>
          <w:rFonts w:hint="eastAsia" w:ascii="宋体" w:hAnsi="宋体" w:cs="宋体"/>
          <w:color w:val="000000"/>
          <w:sz w:val="24"/>
          <w:highlight w:val="none"/>
        </w:rPr>
        <w:t xml:space="preserve">                                                      日  期：</w:t>
      </w:r>
      <w:r/>
    </w:p>
    <w:p>
      <w:pPr>
        <w:ind w:firstLine="720"/>
        <w:spacing w:line="360" w:lineRule="auto"/>
        <w:rPr>
          <w:rFonts w:hint="eastAsia" w:ascii="宋体" w:hAnsi="宋体" w:cs="宋体"/>
          <w:highlight w:val="none"/>
        </w:rPr>
      </w:pPr>
      <w:r>
        <w:rPr>
          <w:rFonts w:hint="eastAsia" w:ascii="宋体" w:hAnsi="宋体" w:cs="宋体"/>
          <w:color w:val="000000"/>
          <w:sz w:val="36"/>
          <w:highlight w:val="none"/>
        </w:rPr>
        <w:t xml:space="preserve">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备注1：从业人员、营业收入、资产总额填报上一年度数据，无上一年度数据的新成立企业可不填报。</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备注2：供应商如不提供此声明函，价格将不做相应扣除。</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填表说明：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1、投标人提供的所有货物均是小微企业供货（制造商），按照《政府采购促进中小企业发展管理办法》财库【2020】46号文的要求提供《中小企业声明函》，才能享受小微折扣</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2、中标人的《中小企业声明函》将随中标公告进行公示。供应商按照本办法规定提供声明内容不实的，属于提供虚假材料谋取中标，依照《中华人民共和国政府采购法》等国家有关规定追究相应责任。</w:t>
      </w:r>
      <w:r/>
    </w:p>
    <w:p>
      <w:pPr>
        <w:ind w:firstLine="420"/>
        <w:spacing w:line="360" w:lineRule="auto"/>
        <w:rPr>
          <w:rFonts w:hint="eastAsia" w:ascii="宋体" w:hAnsi="宋体" w:cs="宋体"/>
          <w:bCs/>
          <w:highlight w:val="none"/>
        </w:rPr>
      </w:pPr>
      <w:r>
        <w:rPr>
          <w:rFonts w:hint="eastAsia" w:ascii="宋体" w:hAnsi="宋体" w:cs="宋体"/>
          <w:bCs/>
          <w:highlight w:val="none"/>
        </w:rPr>
        <w:br w:type="page" w:clear="all"/>
      </w:r>
      <w:r/>
    </w:p>
    <w:p>
      <w:pPr>
        <w:jc w:val="center"/>
        <w:spacing w:line="360" w:lineRule="auto"/>
        <w:rPr>
          <w:rFonts w:hint="eastAsia" w:ascii="宋体" w:hAnsi="宋体" w:cs="宋体"/>
          <w:highlight w:val="none"/>
        </w:rPr>
      </w:pPr>
      <w:r/>
      <w:bookmarkStart w:id="295" w:name="_Toc193678653"/>
      <w:r/>
      <w:bookmarkStart w:id="296" w:name="_Toc12199"/>
      <w:r/>
      <w:bookmarkStart w:id="297" w:name="_Toc18122"/>
      <w:r/>
      <w:bookmarkStart w:id="298" w:name="_Toc3226"/>
      <w:r/>
      <w:bookmarkStart w:id="299" w:name="_Toc31552"/>
      <w:r>
        <w:rPr>
          <w:rFonts w:hint="eastAsia" w:ascii="宋体" w:hAnsi="宋体" w:cs="宋体"/>
          <w:color w:val="000000"/>
          <w:sz w:val="32"/>
          <w:highlight w:val="none"/>
          <w:lang w:val="en-US" w:eastAsia="zh-CN"/>
        </w:rPr>
        <w:t xml:space="preserve">十二</w:t>
      </w:r>
      <w:r>
        <w:rPr>
          <w:rFonts w:hint="eastAsia" w:ascii="宋体" w:hAnsi="宋体" w:cs="宋体"/>
          <w:color w:val="000000"/>
          <w:sz w:val="32"/>
          <w:highlight w:val="none"/>
        </w:rPr>
        <w:t xml:space="preserve">、残疾人福利性单位声明函（如适用）</w:t>
      </w:r>
      <w:bookmarkEnd w:id="295"/>
      <w:r/>
      <w:bookmarkEnd w:id="296"/>
      <w:r/>
      <w:bookmarkEnd w:id="297"/>
      <w:r/>
      <w:bookmarkEnd w:id="298"/>
      <w:r/>
      <w:bookmarkEnd w:id="299"/>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本单位对上述声明的真实性负责。如有虚假，将依法承担相应责任。</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p>
    <w:p>
      <w:pPr>
        <w:ind w:firstLine="480"/>
        <w:spacing w:line="360" w:lineRule="auto"/>
        <w:rPr>
          <w:rFonts w:hint="eastAsia" w:ascii="宋体" w:hAnsi="宋体" w:cs="宋体"/>
          <w:highlight w:val="none"/>
        </w:rPr>
      </w:pPr>
      <w:r>
        <w:rPr>
          <w:rFonts w:hint="eastAsia" w:ascii="宋体" w:hAnsi="宋体" w:cs="宋体"/>
          <w:color w:val="000000"/>
          <w:sz w:val="24"/>
          <w:highlight w:val="none"/>
        </w:rPr>
        <w:t xml:space="preserve"> </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480"/>
        <w:jc w:val="center"/>
        <w:spacing w:line="360" w:lineRule="auto"/>
        <w:rPr>
          <w:rFonts w:hint="eastAsia" w:ascii="宋体" w:hAnsi="宋体" w:cs="宋体"/>
          <w:highlight w:val="none"/>
        </w:rPr>
      </w:pPr>
      <w:r>
        <w:rPr>
          <w:rFonts w:hint="eastAsia" w:ascii="宋体" w:hAnsi="宋体" w:cs="宋体"/>
          <w:color w:val="000000"/>
          <w:sz w:val="24"/>
          <w:highlight w:val="none"/>
        </w:rPr>
        <w:t xml:space="preserve">企业名称（加盖CA电子公章）：</w:t>
      </w:r>
      <w:r/>
    </w:p>
    <w:p>
      <w:pPr>
        <w:ind w:firstLine="480"/>
        <w:jc w:val="center"/>
        <w:spacing w:line="360" w:lineRule="auto"/>
        <w:rPr>
          <w:rFonts w:hint="eastAsia" w:ascii="宋体" w:hAnsi="宋体" w:cs="宋体"/>
          <w:highlight w:val="none"/>
        </w:rPr>
      </w:pPr>
      <w:r>
        <w:rPr>
          <w:rFonts w:hint="eastAsia" w:ascii="宋体" w:hAnsi="宋体" w:cs="宋体"/>
          <w:color w:val="000000"/>
          <w:sz w:val="24"/>
          <w:highlight w:val="none"/>
        </w:rPr>
        <w:t xml:space="preserve">                                                      日  期：</w:t>
      </w:r>
      <w:r/>
    </w:p>
    <w:p>
      <w:pPr>
        <w:jc w:val="center"/>
        <w:spacing w:before="260" w:after="260" w:line="360" w:lineRule="auto"/>
        <w:rPr>
          <w:rFonts w:hint="eastAsia" w:ascii="宋体" w:hAnsi="宋体" w:cs="宋体"/>
          <w:color w:val="000000"/>
          <w:sz w:val="32"/>
          <w:highlight w:val="none"/>
        </w:rPr>
        <w:outlineLvl w:val="1"/>
      </w:pPr>
      <w:r>
        <w:rPr>
          <w:rFonts w:hint="eastAsia" w:ascii="宋体" w:hAnsi="宋体" w:cs="宋体"/>
          <w:highlight w:val="none"/>
        </w:rPr>
        <w:br w:type="page" w:clear="all"/>
      </w:r>
      <w:r>
        <w:rPr>
          <w:rFonts w:hint="eastAsia" w:ascii="宋体" w:hAnsi="宋体" w:cs="宋体"/>
          <w:color w:val="000000"/>
          <w:sz w:val="32"/>
          <w:highlight w:val="none"/>
          <w:lang w:val="en-US" w:eastAsia="zh-CN"/>
        </w:rPr>
        <w:t xml:space="preserve">十三</w:t>
      </w:r>
      <w:r>
        <w:rPr>
          <w:rFonts w:hint="eastAsia" w:ascii="宋体" w:hAnsi="宋体" w:cs="宋体"/>
          <w:color w:val="000000"/>
          <w:sz w:val="32"/>
          <w:highlight w:val="none"/>
        </w:rPr>
        <w:t xml:space="preserve">、关于符合本国产品标准的声明函（如适用）</w:t>
      </w:r>
      <w:r/>
    </w:p>
    <w:p>
      <w:pPr>
        <w:pStyle w:val="858"/>
        <w:ind w:firstLine="480"/>
        <w:spacing w:before="0" w:beforeAutospacing="0" w:after="0" w:afterAutospacing="0" w:line="360" w:lineRule="auto"/>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1.</w:t>
      </w:r>
      <w:r>
        <w:rPr>
          <w:rStyle w:val="868"/>
          <w:rFonts w:hint="eastAsia"/>
          <w:i w:val="0"/>
          <w:color w:val="000000"/>
          <w:highlight w:val="none"/>
          <w:u w:val="single"/>
          <w:shd w:val="clear" w:color="auto" w:fill="ffffff"/>
        </w:rPr>
        <w:t xml:space="preserve">（产品名称1）</w:t>
      </w:r>
      <w:r>
        <w:rPr>
          <w:rStyle w:val="868"/>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68"/>
          <w:rFonts w:hint="eastAsia"/>
          <w:i w:val="0"/>
          <w:color w:val="000000"/>
          <w:highlight w:val="none"/>
          <w:u w:val="single"/>
          <w:shd w:val="clear" w:color="auto" w:fill="ffffff"/>
        </w:rPr>
        <w:t xml:space="preserve">（厂名）</w:t>
      </w:r>
      <w:r>
        <w:rPr>
          <w:rStyle w:val="868"/>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6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68"/>
          <w:rFonts w:hint="eastAsia"/>
          <w:i w:val="0"/>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68"/>
          <w:rFonts w:hint="eastAsia"/>
          <w:i w:val="0"/>
          <w:color w:val="000000"/>
          <w:highlight w:val="none"/>
          <w:u w:val="single"/>
          <w:shd w:val="clear" w:color="auto" w:fill="ffffff"/>
        </w:rPr>
        <w:t xml:space="preserve">（规定比例）</w:t>
      </w:r>
      <w:r>
        <w:rPr>
          <w:rStyle w:val="868"/>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68"/>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68"/>
          <w:rFonts w:hint="eastAsia"/>
          <w:i w:val="0"/>
          <w:color w:val="000000"/>
          <w:highlight w:val="none"/>
          <w:u w:val="single"/>
          <w:shd w:val="clear" w:color="auto" w:fill="ffffff"/>
        </w:rPr>
        <w:t xml:space="preserve">（关键组件）</w:t>
      </w:r>
      <w:r>
        <w:rPr>
          <w:rStyle w:val="868"/>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68"/>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68"/>
          <w:rFonts w:hint="eastAsia"/>
          <w:i w:val="0"/>
          <w:color w:val="000000"/>
          <w:highlight w:val="none"/>
          <w:u w:val="single"/>
          <w:shd w:val="clear" w:color="auto" w:fill="ffffff"/>
        </w:rPr>
        <w:t xml:space="preserve">（关键工序）</w:t>
      </w:r>
      <w:r>
        <w:rPr>
          <w:rStyle w:val="868"/>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2.</w:t>
      </w:r>
      <w:r>
        <w:rPr>
          <w:rStyle w:val="868"/>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68"/>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68"/>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68"/>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68"/>
          <w:rFonts w:hint="eastAsia"/>
          <w:i w:val="0"/>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68"/>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68"/>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68"/>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68"/>
          <w:rFonts w:hint="eastAsia"/>
          <w:i w:val="0"/>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rPr>
      </w:r>
      <w:r/>
    </w:p>
    <w:p>
      <w:pPr>
        <w:pStyle w:val="858"/>
        <w:ind w:right="480"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公司（单位）名称（盖章）：　        </w:t>
      </w:r>
      <w:r/>
    </w:p>
    <w:p>
      <w:pPr>
        <w:pStyle w:val="858"/>
        <w:ind w:firstLine="480"/>
        <w:jc w:val="center"/>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                                日期：　   年　  月　  日         </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__________________</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1.产品如有型号，请在“产品名称”栏一并填写。</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858"/>
        <w:ind w:firstLine="480"/>
        <w:spacing w:before="30" w:beforeAutospacing="0" w:after="30" w:afterAutospacing="0" w:line="360" w:lineRule="auto"/>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858"/>
        <w:ind w:firstLine="480"/>
        <w:spacing w:before="30" w:beforeAutospacing="0" w:after="30"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p>
    <w:p>
      <w:pPr>
        <w:pStyle w:val="858"/>
        <w:ind w:firstLine="480"/>
        <w:spacing w:before="30" w:beforeAutospacing="0" w:after="30" w:afterAutospacing="0" w:line="360" w:lineRule="auto"/>
        <w:rPr>
          <w:rFonts w:hint="eastAsia" w:ascii="宋体" w:hAnsi="宋体" w:cs="宋体"/>
          <w:highlight w:val="none"/>
        </w:rPr>
      </w:pPr>
      <w:r>
        <w:rPr>
          <w:rFonts w:hint="eastAsia"/>
          <w:color w:val="000000"/>
          <w:highlight w:val="none"/>
          <w:shd w:val="clear" w:color="auto" w:fill="ffffff"/>
        </w:rPr>
        <w:t xml:space="preserve">6.用斜线划除的地方无需填写。</w:t>
      </w:r>
      <w:r/>
    </w:p>
    <w:sectPr>
      <w:footnotePr/>
      <w:endnotePr/>
      <w:type w:val="nextPage"/>
      <w:pgSz w:w="11906" w:h="16838" w:orient="portrait"/>
      <w:pgMar w:top="720" w:right="1134" w:bottom="720"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7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8577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85775" cy="131445"/>
                      </a:xfrm>
                      <a:prstGeom prst="rect">
                        <a:avLst/>
                      </a:prstGeom>
                      <a:noFill/>
                      <a:ln w="6350">
                        <a:noFill/>
                      </a:ln>
                      <a:effectLst/>
                    </wps:spPr>
                    <wps:txbx>
                      <w:txbxContent>
                        <w:p>
                          <w:pPr>
                            <w:pStyle w:val="922"/>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squar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8.2pt;height:10.3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spacing w:line="40" w:lineRule="exact"/>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50"/>
      <w:isLgl w:val="false"/>
      <w:suff w:val="tab"/>
      <w:lvlText w:val="%1.%2."/>
      <w:lvlJc w:val="left"/>
      <w:pPr>
        <w:ind w:left="747" w:hanging="567"/>
        <w:tabs>
          <w:tab w:val="left" w:pos="747" w:leader="none"/>
        </w:tabs>
      </w:pPr>
      <w:rPr>
        <w:rFonts w:cs="Times New Roman"/>
      </w:rPr>
    </w:lvl>
    <w:lvl w:ilvl="2">
      <w:start w:val="1"/>
      <w:numFmt w:val="decimal"/>
      <w:pStyle w:val="751"/>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1">
    <w:multiLevelType w:val="hybridMultilevel"/>
    <w:lvl w:ilvl="0">
      <w:start w:val="5"/>
      <w:numFmt w:val="upperLetter"/>
      <w:pStyle w:val="749"/>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3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8"/>
    <w:link w:val="754"/>
    <w:uiPriority w:val="9"/>
    <w:rPr>
      <w:rFonts w:ascii="Arial" w:hAnsi="Arial" w:eastAsia="Arial" w:cs="Arial"/>
      <w:b/>
      <w:bCs/>
      <w:sz w:val="22"/>
      <w:szCs w:val="22"/>
    </w:rPr>
  </w:style>
  <w:style w:type="character" w:styleId="25">
    <w:name w:val="Heading 7 Char"/>
    <w:basedOn w:val="758"/>
    <w:link w:val="755"/>
    <w:uiPriority w:val="9"/>
    <w:rPr>
      <w:rFonts w:ascii="Arial" w:hAnsi="Arial" w:eastAsia="Arial" w:cs="Arial"/>
      <w:b/>
      <w:bCs/>
      <w:i/>
      <w:iCs/>
      <w:sz w:val="22"/>
      <w:szCs w:val="22"/>
    </w:rPr>
  </w:style>
  <w:style w:type="character" w:styleId="27">
    <w:name w:val="Heading 8 Char"/>
    <w:basedOn w:val="758"/>
    <w:link w:val="756"/>
    <w:uiPriority w:val="9"/>
    <w:rPr>
      <w:rFonts w:ascii="Arial" w:hAnsi="Arial" w:eastAsia="Arial" w:cs="Arial"/>
      <w:i/>
      <w:iCs/>
      <w:sz w:val="22"/>
      <w:szCs w:val="22"/>
    </w:rPr>
  </w:style>
  <w:style w:type="character" w:styleId="29">
    <w:name w:val="Heading 9 Char"/>
    <w:basedOn w:val="758"/>
    <w:link w:val="757"/>
    <w:uiPriority w:val="9"/>
    <w:rPr>
      <w:rFonts w:ascii="Arial" w:hAnsi="Arial" w:eastAsia="Arial" w:cs="Arial"/>
      <w:i/>
      <w:iCs/>
      <w:sz w:val="21"/>
      <w:szCs w:val="21"/>
    </w:rPr>
  </w:style>
  <w:style w:type="character" w:styleId="34">
    <w:name w:val="Title Char"/>
    <w:basedOn w:val="758"/>
    <w:link w:val="779"/>
    <w:uiPriority w:val="10"/>
    <w:rPr>
      <w:sz w:val="48"/>
      <w:szCs w:val="48"/>
    </w:rPr>
  </w:style>
  <w:style w:type="character" w:styleId="36">
    <w:name w:val="Subtitle Char"/>
    <w:basedOn w:val="758"/>
    <w:link w:val="773"/>
    <w:uiPriority w:val="11"/>
    <w:rPr>
      <w:sz w:val="24"/>
      <w:szCs w:val="24"/>
    </w:rPr>
  </w:style>
  <w:style w:type="character" w:styleId="38">
    <w:name w:val="Quote Char"/>
    <w:link w:val="790"/>
    <w:uiPriority w:val="29"/>
    <w:rPr>
      <w:i/>
    </w:rPr>
  </w:style>
  <w:style w:type="character" w:styleId="40">
    <w:name w:val="Intense Quote Char"/>
    <w:link w:val="792"/>
    <w:uiPriority w:val="30"/>
    <w:rPr>
      <w:i/>
    </w:rPr>
  </w:style>
  <w:style w:type="table" w:styleId="49">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4"/>
    <w:uiPriority w:val="99"/>
    <w:rPr>
      <w:sz w:val="18"/>
    </w:rPr>
  </w:style>
  <w:style w:type="character" w:styleId="178">
    <w:name w:val="Endnote Text Char"/>
    <w:link w:val="768"/>
    <w:uiPriority w:val="99"/>
    <w:rPr>
      <w:sz w:val="20"/>
    </w:rPr>
  </w:style>
  <w:style w:type="paragraph" w:styleId="189">
    <w:name w:val="TOC Heading"/>
    <w:uiPriority w:val="39"/>
    <w:unhideWhenUsed/>
  </w:style>
  <w:style w:type="paragraph" w:styleId="7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9">
    <w:name w:val="Heading 1"/>
    <w:basedOn w:val="748"/>
    <w:next w:val="748"/>
    <w:link w:val="899"/>
    <w:uiPriority w:val="99"/>
    <w:qFormat/>
    <w:pPr>
      <w:numPr>
        <w:ilvl w:val="0"/>
        <w:numId w:val="1"/>
      </w:numPr>
      <w:keepNext/>
      <w:outlineLvl w:val="0"/>
    </w:pPr>
    <w:rPr>
      <w:rFonts w:eastAsia="黑体"/>
      <w:b/>
      <w:sz w:val="28"/>
      <w:szCs w:val="20"/>
    </w:rPr>
  </w:style>
  <w:style w:type="paragraph" w:styleId="750">
    <w:name w:val="Heading 2"/>
    <w:basedOn w:val="748"/>
    <w:next w:val="748"/>
    <w:link w:val="91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51">
    <w:name w:val="Heading 3"/>
    <w:basedOn w:val="748"/>
    <w:next w:val="760"/>
    <w:link w:val="916"/>
    <w:uiPriority w:val="99"/>
    <w:qFormat/>
    <w:pPr>
      <w:numPr>
        <w:ilvl w:val="2"/>
        <w:numId w:val="2"/>
      </w:numPr>
      <w:jc w:val="center"/>
      <w:keepNext/>
      <w:spacing w:line="400" w:lineRule="exact"/>
      <w:outlineLvl w:val="2"/>
    </w:pPr>
    <w:rPr>
      <w:rFonts w:ascii="仿宋_GB2312" w:eastAsia="仿宋_GB2312"/>
      <w:sz w:val="32"/>
      <w:szCs w:val="20"/>
    </w:rPr>
  </w:style>
  <w:style w:type="paragraph" w:styleId="752">
    <w:name w:val="Heading 4"/>
    <w:basedOn w:val="748"/>
    <w:next w:val="748"/>
    <w:link w:val="885"/>
    <w:uiPriority w:val="99"/>
    <w:qFormat/>
    <w:pPr>
      <w:keepLines/>
      <w:keepNext/>
      <w:spacing w:before="280" w:after="290" w:line="376" w:lineRule="auto"/>
      <w:outlineLvl w:val="3"/>
    </w:pPr>
    <w:rPr>
      <w:rFonts w:ascii="Cambria" w:hAnsi="Cambria"/>
      <w:b/>
      <w:bCs/>
      <w:sz w:val="28"/>
      <w:szCs w:val="28"/>
    </w:rPr>
  </w:style>
  <w:style w:type="paragraph" w:styleId="753">
    <w:name w:val="Heading 5"/>
    <w:basedOn w:val="748"/>
    <w:next w:val="748"/>
    <w:link w:val="908"/>
    <w:uiPriority w:val="99"/>
    <w:qFormat/>
    <w:pPr>
      <w:keepLines/>
      <w:keepNext/>
      <w:spacing w:before="280" w:after="290" w:line="376" w:lineRule="auto"/>
      <w:outlineLvl w:val="4"/>
    </w:pPr>
    <w:rPr>
      <w:b/>
      <w:bCs/>
      <w:sz w:val="28"/>
      <w:szCs w:val="28"/>
    </w:rPr>
  </w:style>
  <w:style w:type="paragraph" w:styleId="754">
    <w:name w:val="Heading 6"/>
    <w:basedOn w:val="748"/>
    <w:next w:val="748"/>
    <w:link w:val="872"/>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89"/>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913"/>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style>
  <w:style w:type="table" w:styleId="759" w:default="1">
    <w:name w:val="Normal Table"/>
    <w:uiPriority w:val="99"/>
    <w:semiHidden/>
    <w:unhideWhenUsed/>
    <w:tblPr>
      <w:tblCellMar>
        <w:left w:w="108" w:type="dxa"/>
        <w:top w:w="0" w:type="dxa"/>
        <w:right w:w="108" w:type="dxa"/>
        <w:bottom w:w="0" w:type="dxa"/>
      </w:tblCellMar>
    </w:tblPr>
  </w:style>
  <w:style w:type="paragraph" w:styleId="760" w:customStyle="1">
    <w:name w:val="正文缩进1"/>
    <w:basedOn w:val="748"/>
    <w:uiPriority w:val="99"/>
    <w:qFormat/>
    <w:pPr>
      <w:ind w:firstLine="420"/>
      <w:jc w:val="left"/>
      <w:widowControl/>
    </w:pPr>
    <w:rPr>
      <w:sz w:val="20"/>
      <w:szCs w:val="20"/>
    </w:rPr>
  </w:style>
  <w:style w:type="paragraph" w:styleId="761">
    <w:name w:val="toc 7"/>
    <w:basedOn w:val="748"/>
    <w:next w:val="748"/>
    <w:uiPriority w:val="39"/>
    <w:unhideWhenUsed/>
    <w:qFormat/>
    <w:pPr>
      <w:ind w:left="1701"/>
      <w:spacing w:after="57"/>
    </w:pPr>
  </w:style>
  <w:style w:type="paragraph" w:styleId="762">
    <w:name w:val="Caption"/>
    <w:basedOn w:val="748"/>
    <w:next w:val="748"/>
    <w:uiPriority w:val="35"/>
    <w:semiHidden/>
    <w:unhideWhenUsed/>
    <w:qFormat/>
    <w:pPr>
      <w:spacing w:line="276" w:lineRule="auto"/>
    </w:pPr>
    <w:rPr>
      <w:b/>
      <w:bCs/>
      <w:color w:val="4f81bd"/>
      <w:sz w:val="18"/>
      <w:szCs w:val="18"/>
    </w:rPr>
  </w:style>
  <w:style w:type="paragraph" w:styleId="763">
    <w:name w:val="annotation text"/>
    <w:basedOn w:val="748"/>
    <w:link w:val="1094"/>
    <w:uiPriority w:val="99"/>
    <w:semiHidden/>
    <w:unhideWhenUsed/>
    <w:qFormat/>
    <w:pPr>
      <w:jc w:val="left"/>
    </w:pPr>
  </w:style>
  <w:style w:type="paragraph" w:styleId="764">
    <w:name w:val="toc 5"/>
    <w:basedOn w:val="748"/>
    <w:next w:val="748"/>
    <w:uiPriority w:val="39"/>
    <w:unhideWhenUsed/>
    <w:qFormat/>
    <w:pPr>
      <w:ind w:left="1134"/>
      <w:spacing w:after="57"/>
    </w:pPr>
  </w:style>
  <w:style w:type="paragraph" w:styleId="765">
    <w:name w:val="toc 3"/>
    <w:basedOn w:val="748"/>
    <w:next w:val="748"/>
    <w:uiPriority w:val="39"/>
    <w:unhideWhenUsed/>
    <w:qFormat/>
    <w:pPr>
      <w:ind w:left="567"/>
      <w:spacing w:after="57"/>
    </w:pPr>
  </w:style>
  <w:style w:type="paragraph" w:styleId="766">
    <w:name w:val="Plain Text"/>
    <w:basedOn w:val="748"/>
    <w:uiPriority w:val="0"/>
    <w:qFormat/>
    <w:rPr>
      <w:rFonts w:ascii="宋体" w:hAnsi="Courier New" w:cs="Courier New"/>
      <w:szCs w:val="21"/>
    </w:rPr>
  </w:style>
  <w:style w:type="paragraph" w:styleId="767">
    <w:name w:val="toc 8"/>
    <w:basedOn w:val="748"/>
    <w:next w:val="748"/>
    <w:uiPriority w:val="39"/>
    <w:unhideWhenUsed/>
    <w:qFormat/>
    <w:pPr>
      <w:ind w:left="1984"/>
      <w:spacing w:after="57"/>
    </w:pPr>
  </w:style>
  <w:style w:type="paragraph" w:styleId="768">
    <w:name w:val="endnote text"/>
    <w:basedOn w:val="748"/>
    <w:link w:val="814"/>
    <w:uiPriority w:val="99"/>
    <w:semiHidden/>
    <w:unhideWhenUsed/>
    <w:qFormat/>
    <w:rPr>
      <w:sz w:val="20"/>
    </w:rPr>
  </w:style>
  <w:style w:type="paragraph" w:styleId="769">
    <w:name w:val="Footer"/>
    <w:basedOn w:val="748"/>
    <w:uiPriority w:val="99"/>
    <w:unhideWhenUsed/>
    <w:qFormat/>
    <w:pPr>
      <w:tabs>
        <w:tab w:val="center" w:pos="7143" w:leader="none"/>
        <w:tab w:val="right" w:pos="14287" w:leader="none"/>
      </w:tabs>
    </w:pPr>
  </w:style>
  <w:style w:type="paragraph" w:styleId="770">
    <w:name w:val="Header"/>
    <w:basedOn w:val="748"/>
    <w:uiPriority w:val="99"/>
    <w:unhideWhenUsed/>
    <w:qFormat/>
    <w:pPr>
      <w:tabs>
        <w:tab w:val="center" w:pos="7143" w:leader="none"/>
        <w:tab w:val="right" w:pos="14287" w:leader="none"/>
      </w:tabs>
    </w:pPr>
  </w:style>
  <w:style w:type="paragraph" w:styleId="771">
    <w:name w:val="toc 1"/>
    <w:basedOn w:val="748"/>
    <w:next w:val="748"/>
    <w:uiPriority w:val="39"/>
    <w:unhideWhenUsed/>
    <w:qFormat/>
    <w:pPr>
      <w:spacing w:after="57"/>
    </w:pPr>
  </w:style>
  <w:style w:type="paragraph" w:styleId="772">
    <w:name w:val="toc 4"/>
    <w:basedOn w:val="748"/>
    <w:next w:val="748"/>
    <w:uiPriority w:val="39"/>
    <w:unhideWhenUsed/>
    <w:qFormat/>
    <w:pPr>
      <w:ind w:left="850"/>
      <w:spacing w:after="57"/>
    </w:pPr>
  </w:style>
  <w:style w:type="paragraph" w:styleId="773">
    <w:name w:val="Subtitle"/>
    <w:basedOn w:val="748"/>
    <w:next w:val="748"/>
    <w:link w:val="789"/>
    <w:uiPriority w:val="11"/>
    <w:qFormat/>
    <w:pPr>
      <w:spacing w:before="200" w:after="200"/>
    </w:pPr>
    <w:rPr>
      <w:sz w:val="24"/>
    </w:rPr>
  </w:style>
  <w:style w:type="paragraph" w:styleId="774">
    <w:name w:val="footnote text"/>
    <w:basedOn w:val="748"/>
    <w:link w:val="813"/>
    <w:uiPriority w:val="99"/>
    <w:semiHidden/>
    <w:unhideWhenUsed/>
    <w:qFormat/>
    <w:pPr>
      <w:spacing w:after="40"/>
    </w:pPr>
    <w:rPr>
      <w:sz w:val="18"/>
    </w:rPr>
  </w:style>
  <w:style w:type="paragraph" w:styleId="775">
    <w:name w:val="toc 6"/>
    <w:basedOn w:val="748"/>
    <w:next w:val="748"/>
    <w:uiPriority w:val="39"/>
    <w:unhideWhenUsed/>
    <w:qFormat/>
    <w:pPr>
      <w:ind w:left="1417"/>
      <w:spacing w:after="57"/>
    </w:pPr>
  </w:style>
  <w:style w:type="paragraph" w:styleId="776">
    <w:name w:val="table of figures"/>
    <w:basedOn w:val="748"/>
    <w:next w:val="748"/>
    <w:uiPriority w:val="99"/>
    <w:unhideWhenUsed/>
    <w:qFormat/>
  </w:style>
  <w:style w:type="paragraph" w:styleId="777">
    <w:name w:val="toc 2"/>
    <w:basedOn w:val="748"/>
    <w:next w:val="748"/>
    <w:uiPriority w:val="39"/>
    <w:unhideWhenUsed/>
    <w:qFormat/>
    <w:pPr>
      <w:ind w:left="283"/>
      <w:spacing w:after="57"/>
    </w:pPr>
  </w:style>
  <w:style w:type="paragraph" w:styleId="778">
    <w:name w:val="toc 9"/>
    <w:basedOn w:val="748"/>
    <w:next w:val="748"/>
    <w:uiPriority w:val="39"/>
    <w:unhideWhenUsed/>
    <w:qFormat/>
    <w:pPr>
      <w:ind w:left="2268"/>
      <w:spacing w:after="57"/>
    </w:pPr>
  </w:style>
  <w:style w:type="paragraph" w:styleId="779">
    <w:name w:val="Title"/>
    <w:basedOn w:val="748"/>
    <w:next w:val="748"/>
    <w:link w:val="788"/>
    <w:uiPriority w:val="10"/>
    <w:qFormat/>
    <w:pPr>
      <w:contextualSpacing/>
      <w:spacing w:before="300" w:after="200"/>
    </w:pPr>
    <w:rPr>
      <w:sz w:val="48"/>
      <w:szCs w:val="48"/>
    </w:rPr>
  </w:style>
  <w:style w:type="paragraph" w:styleId="780">
    <w:name w:val="annotation subject"/>
    <w:basedOn w:val="763"/>
    <w:next w:val="763"/>
    <w:link w:val="1095"/>
    <w:uiPriority w:val="99"/>
    <w:semiHidden/>
    <w:unhideWhenUsed/>
    <w:qFormat/>
    <w:rPr>
      <w:b/>
      <w:bCs/>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u w:val="single"/>
    </w:rPr>
  </w:style>
  <w:style w:type="character" w:styleId="784">
    <w:name w:val="annotation reference"/>
    <w:basedOn w:val="758"/>
    <w:uiPriority w:val="99"/>
    <w:semiHidden/>
    <w:unhideWhenUsed/>
    <w:qFormat/>
    <w:rPr>
      <w:sz w:val="21"/>
      <w:szCs w:val="21"/>
    </w:rPr>
  </w:style>
  <w:style w:type="character" w:styleId="785">
    <w:name w:val="footnote reference"/>
    <w:uiPriority w:val="99"/>
    <w:unhideWhenUsed/>
    <w:qFormat/>
    <w:rPr>
      <w:vertAlign w:val="superscript"/>
    </w:rPr>
  </w:style>
  <w:style w:type="paragraph" w:styleId="786">
    <w:name w:val="List Paragraph"/>
    <w:basedOn w:val="748"/>
    <w:uiPriority w:val="34"/>
    <w:qFormat/>
    <w:pPr>
      <w:contextualSpacing/>
      <w:ind w:left="720"/>
    </w:pPr>
  </w:style>
  <w:style w:type="paragraph" w:styleId="787">
    <w:name w:val="No Spacing"/>
    <w:uiPriority w:val="1"/>
    <w:qFormat/>
    <w:rPr>
      <w:rFonts w:ascii="Times New Roman" w:hAnsi="Times New Roman" w:eastAsia="宋体" w:cs="Times New Roman"/>
      <w:lang w:val="en-US" w:eastAsia="zh-CN" w:bidi="ar-SA"/>
    </w:rPr>
  </w:style>
  <w:style w:type="character" w:styleId="788" w:customStyle="1">
    <w:name w:val="标题 字符1"/>
    <w:link w:val="779"/>
    <w:uiPriority w:val="10"/>
    <w:qFormat/>
    <w:rPr>
      <w:sz w:val="48"/>
      <w:szCs w:val="48"/>
    </w:rPr>
  </w:style>
  <w:style w:type="character" w:styleId="789" w:customStyle="1">
    <w:name w:val="副标题 字符1"/>
    <w:link w:val="773"/>
    <w:uiPriority w:val="11"/>
    <w:qFormat/>
    <w:rPr>
      <w:sz w:val="24"/>
      <w:szCs w:val="24"/>
    </w:rPr>
  </w:style>
  <w:style w:type="paragraph" w:styleId="790">
    <w:name w:val="Quote"/>
    <w:basedOn w:val="748"/>
    <w:next w:val="748"/>
    <w:link w:val="791"/>
    <w:uiPriority w:val="29"/>
    <w:qFormat/>
    <w:pPr>
      <w:ind w:left="720" w:right="720"/>
    </w:pPr>
    <w:rPr>
      <w:i/>
    </w:rPr>
  </w:style>
  <w:style w:type="character" w:styleId="791" w:customStyle="1">
    <w:name w:val="引用 字符1"/>
    <w:link w:val="790"/>
    <w:uiPriority w:val="29"/>
    <w:qFormat/>
    <w:rPr>
      <w:i/>
    </w:rPr>
  </w:style>
  <w:style w:type="paragraph" w:styleId="792">
    <w:name w:val="Intense Quote"/>
    <w:basedOn w:val="748"/>
    <w:next w:val="748"/>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1"/>
    <w:link w:val="792"/>
    <w:uiPriority w:val="30"/>
    <w:qFormat/>
    <w:rPr>
      <w:i/>
    </w:rPr>
  </w:style>
  <w:style w:type="table" w:styleId="7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6" w:customStyle="1">
    <w:name w:val="无格式表格 31"/>
    <w:uiPriority w:val="99"/>
    <w:qFormat/>
    <w:tblPr>
      <w:tblCellMar>
        <w:left w:w="0" w:type="dxa"/>
        <w:top w:w="0" w:type="dxa"/>
        <w:right w:w="0" w:type="dxa"/>
        <w:bottom w:w="0" w:type="dxa"/>
      </w:tblCellMar>
    </w:tblPr>
  </w:style>
  <w:style w:type="table" w:styleId="797" w:customStyle="1">
    <w:name w:val="无格式表格 41"/>
    <w:uiPriority w:val="99"/>
    <w:qFormat/>
    <w:tblPr>
      <w:tblCellMar>
        <w:left w:w="0" w:type="dxa"/>
        <w:top w:w="0" w:type="dxa"/>
        <w:right w:w="0" w:type="dxa"/>
        <w:bottom w:w="0" w:type="dxa"/>
      </w:tblCellMar>
    </w:tblPr>
  </w:style>
  <w:style w:type="table" w:styleId="798" w:customStyle="1">
    <w:name w:val="无格式表格 51"/>
    <w:uiPriority w:val="99"/>
    <w:qFormat/>
    <w:tblPr>
      <w:tblCellMar>
        <w:left w:w="0" w:type="dxa"/>
        <w:top w:w="0" w:type="dxa"/>
        <w:right w:w="0" w:type="dxa"/>
        <w:bottom w:w="0" w:type="dxa"/>
      </w:tblCellMar>
    </w:tblPr>
  </w:style>
  <w:style w:type="table" w:styleId="7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3"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6" w:customStyle="1">
    <w:name w:val="清单表 1 浅色1"/>
    <w:uiPriority w:val="99"/>
    <w:qFormat/>
    <w:tblPr>
      <w:tblCellMar>
        <w:left w:w="0" w:type="dxa"/>
        <w:top w:w="0" w:type="dxa"/>
        <w:right w:w="0" w:type="dxa"/>
        <w:bottom w:w="0" w:type="dxa"/>
      </w:tblCellMar>
    </w:tblPr>
  </w:style>
  <w:style w:type="table" w:styleId="80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2"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13" w:customStyle="1">
    <w:name w:val="脚注文本 字符1"/>
    <w:link w:val="774"/>
    <w:uiPriority w:val="99"/>
    <w:qFormat/>
    <w:rPr>
      <w:sz w:val="18"/>
    </w:rPr>
  </w:style>
  <w:style w:type="character" w:styleId="814" w:customStyle="1">
    <w:name w:val="尾注文本 字符1"/>
    <w:link w:val="768"/>
    <w:uiPriority w:val="99"/>
    <w:qFormat/>
    <w:rPr>
      <w:sz w:val="20"/>
    </w:rPr>
  </w:style>
  <w:style w:type="paragraph" w:styleId="815" w:customStyle="1">
    <w:name w:val="TOC 标题1"/>
    <w:uiPriority w:val="39"/>
    <w:unhideWhenUsed/>
    <w:qFormat/>
    <w:rPr>
      <w:rFonts w:ascii="Times New Roman" w:hAnsi="Times New Roman" w:eastAsia="宋体" w:cs="Times New Roman"/>
      <w:lang w:val="en-US" w:eastAsia="zh-CN" w:bidi="ar-SA"/>
    </w:rPr>
  </w:style>
  <w:style w:type="paragraph" w:styleId="816" w:customStyle="1">
    <w:name w:val="标题 41"/>
    <w:basedOn w:val="748"/>
    <w:next w:val="748"/>
    <w:uiPriority w:val="99"/>
    <w:qFormat/>
    <w:pPr>
      <w:keepLines/>
      <w:keepNext/>
      <w:spacing w:before="280" w:after="290" w:line="376" w:lineRule="auto"/>
      <w:outlineLvl w:val="3"/>
    </w:pPr>
    <w:rPr>
      <w:rFonts w:ascii="Cambria" w:hAnsi="Cambria"/>
      <w:b/>
      <w:bCs/>
      <w:sz w:val="28"/>
      <w:szCs w:val="28"/>
    </w:rPr>
  </w:style>
  <w:style w:type="character" w:styleId="817" w:customStyle="1">
    <w:name w:val="默认段落字体1"/>
    <w:uiPriority w:val="1"/>
    <w:unhideWhenUsed/>
    <w:qFormat/>
  </w:style>
  <w:style w:type="table" w:styleId="818" w:customStyle="1">
    <w:name w:val="普通表格1"/>
    <w:uiPriority w:val="99"/>
    <w:unhideWhenUsed/>
    <w:qFormat/>
    <w:tblPr>
      <w:tblCellMar>
        <w:left w:w="0" w:type="dxa"/>
        <w:top w:w="0" w:type="dxa"/>
        <w:right w:w="0" w:type="dxa"/>
        <w:bottom w:w="0" w:type="dxa"/>
      </w:tblCellMar>
    </w:tblPr>
  </w:style>
  <w:style w:type="paragraph" w:styleId="819" w:customStyle="1">
    <w:name w:val="目录 71"/>
    <w:basedOn w:val="748"/>
    <w:next w:val="748"/>
    <w:uiPriority w:val="39"/>
    <w:unhideWhenUsed/>
    <w:qFormat/>
    <w:pPr>
      <w:ind w:left="1701"/>
      <w:spacing w:after="57"/>
    </w:pPr>
  </w:style>
  <w:style w:type="paragraph" w:styleId="820" w:customStyle="1">
    <w:name w:val="批注文字1"/>
    <w:basedOn w:val="748"/>
    <w:link w:val="821"/>
    <w:uiPriority w:val="99"/>
    <w:unhideWhenUsed/>
    <w:qFormat/>
    <w:pPr>
      <w:jc w:val="left"/>
    </w:pPr>
  </w:style>
  <w:style w:type="character" w:styleId="821" w:customStyle="1">
    <w:name w:val="批注文字 字符"/>
    <w:link w:val="820"/>
    <w:uiPriority w:val="99"/>
    <w:qFormat/>
    <w:rPr>
      <w:sz w:val="21"/>
      <w:szCs w:val="24"/>
    </w:rPr>
  </w:style>
  <w:style w:type="paragraph" w:styleId="822" w:customStyle="1">
    <w:name w:val="正文文本 31"/>
    <w:basedOn w:val="748"/>
    <w:link w:val="823"/>
    <w:uiPriority w:val="99"/>
    <w:qFormat/>
    <w:pPr>
      <w:jc w:val="left"/>
      <w:spacing w:line="300" w:lineRule="auto"/>
      <w:widowControl/>
    </w:pPr>
    <w:rPr>
      <w:sz w:val="16"/>
      <w:szCs w:val="16"/>
    </w:rPr>
  </w:style>
  <w:style w:type="character" w:styleId="823" w:customStyle="1">
    <w:name w:val="正文文本 3 字符"/>
    <w:link w:val="822"/>
    <w:uiPriority w:val="99"/>
    <w:semiHidden/>
    <w:qFormat/>
    <w:rPr>
      <w:rFonts w:cs="Times New Roman"/>
      <w:sz w:val="16"/>
      <w:szCs w:val="16"/>
    </w:rPr>
  </w:style>
  <w:style w:type="paragraph" w:styleId="824" w:customStyle="1">
    <w:name w:val="正文文本11"/>
    <w:basedOn w:val="748"/>
    <w:link w:val="825"/>
    <w:uiPriority w:val="99"/>
    <w:qFormat/>
    <w:pPr>
      <w:spacing w:after="120"/>
    </w:pPr>
    <w:rPr>
      <w:sz w:val="24"/>
    </w:rPr>
  </w:style>
  <w:style w:type="character" w:styleId="825" w:customStyle="1">
    <w:name w:val="正文文本 字符"/>
    <w:link w:val="824"/>
    <w:uiPriority w:val="99"/>
    <w:semiHidden/>
    <w:qFormat/>
    <w:rPr>
      <w:rFonts w:cs="Times New Roman"/>
      <w:sz w:val="24"/>
      <w:szCs w:val="24"/>
    </w:rPr>
  </w:style>
  <w:style w:type="paragraph" w:styleId="826" w:customStyle="1">
    <w:name w:val="正文文本缩进1"/>
    <w:basedOn w:val="748"/>
    <w:link w:val="827"/>
    <w:uiPriority w:val="99"/>
    <w:qFormat/>
    <w:pPr>
      <w:ind w:firstLine="420"/>
    </w:pPr>
    <w:rPr>
      <w:sz w:val="24"/>
      <w:shd w:val="pct10" w:color="auto" w:fill="ffffff"/>
    </w:rPr>
  </w:style>
  <w:style w:type="character" w:styleId="827" w:customStyle="1">
    <w:name w:val="正文文本缩进 字符"/>
    <w:link w:val="826"/>
    <w:uiPriority w:val="99"/>
    <w:semiHidden/>
    <w:qFormat/>
    <w:rPr>
      <w:rFonts w:cs="Times New Roman"/>
      <w:sz w:val="24"/>
      <w:szCs w:val="24"/>
    </w:rPr>
  </w:style>
  <w:style w:type="paragraph" w:styleId="828" w:customStyle="1">
    <w:name w:val="文本块1"/>
    <w:basedOn w:val="748"/>
    <w:uiPriority w:val="99"/>
    <w:qFormat/>
    <w:pPr>
      <w:ind w:left="113" w:right="113"/>
      <w:jc w:val="center"/>
    </w:pPr>
    <w:rPr>
      <w:b/>
      <w:bCs/>
      <w:sz w:val="18"/>
      <w:szCs w:val="20"/>
    </w:rPr>
  </w:style>
  <w:style w:type="paragraph" w:styleId="829" w:customStyle="1">
    <w:name w:val="索引 411"/>
    <w:basedOn w:val="748"/>
    <w:next w:val="748"/>
    <w:uiPriority w:val="99"/>
    <w:unhideWhenUsed/>
    <w:qFormat/>
    <w:pPr>
      <w:ind w:left="600"/>
    </w:pPr>
    <w:rPr>
      <w:rFonts w:ascii="Calibri" w:hAnsi="Calibri" w:eastAsia="Arial" w:cs="Arial"/>
      <w:szCs w:val="22"/>
    </w:rPr>
  </w:style>
  <w:style w:type="paragraph" w:styleId="830" w:customStyle="1">
    <w:name w:val="目录 51"/>
    <w:basedOn w:val="748"/>
    <w:next w:val="748"/>
    <w:uiPriority w:val="39"/>
    <w:unhideWhenUsed/>
    <w:qFormat/>
    <w:pPr>
      <w:ind w:left="1134"/>
      <w:spacing w:after="57"/>
    </w:pPr>
  </w:style>
  <w:style w:type="paragraph" w:styleId="831" w:customStyle="1">
    <w:name w:val="目录 31"/>
    <w:basedOn w:val="748"/>
    <w:next w:val="748"/>
    <w:uiPriority w:val="39"/>
    <w:qFormat/>
    <w:pPr>
      <w:ind w:left="840"/>
    </w:pPr>
  </w:style>
  <w:style w:type="paragraph" w:styleId="832" w:customStyle="1">
    <w:name w:val="纯文本1"/>
    <w:basedOn w:val="748"/>
    <w:link w:val="833"/>
    <w:uiPriority w:val="99"/>
    <w:qFormat/>
    <w:rPr>
      <w:rFonts w:ascii="宋体" w:hAnsi="Courier New"/>
      <w:szCs w:val="21"/>
    </w:rPr>
  </w:style>
  <w:style w:type="character" w:styleId="833" w:customStyle="1">
    <w:name w:val="纯文本 字符"/>
    <w:link w:val="832"/>
    <w:uiPriority w:val="99"/>
    <w:qFormat/>
    <w:rPr>
      <w:rFonts w:ascii="宋体" w:hAnsi="Courier New" w:eastAsia="宋体" w:cs="Times New Roman"/>
      <w:sz w:val="21"/>
      <w:szCs w:val="21"/>
      <w:lang w:val="en-US" w:eastAsia="zh-CN" w:bidi="ar-SA"/>
    </w:rPr>
  </w:style>
  <w:style w:type="paragraph" w:styleId="834" w:customStyle="1">
    <w:name w:val="目录 81"/>
    <w:basedOn w:val="748"/>
    <w:next w:val="748"/>
    <w:uiPriority w:val="39"/>
    <w:unhideWhenUsed/>
    <w:qFormat/>
    <w:pPr>
      <w:ind w:left="1984"/>
      <w:spacing w:after="57"/>
    </w:pPr>
  </w:style>
  <w:style w:type="paragraph" w:styleId="835" w:customStyle="1">
    <w:name w:val="日期1"/>
    <w:basedOn w:val="748"/>
    <w:next w:val="748"/>
    <w:link w:val="836"/>
    <w:uiPriority w:val="0"/>
    <w:qFormat/>
    <w:pPr>
      <w:ind w:left="100"/>
    </w:pPr>
    <w:rPr>
      <w:sz w:val="24"/>
    </w:rPr>
  </w:style>
  <w:style w:type="character" w:styleId="836" w:customStyle="1">
    <w:name w:val="日期 字符"/>
    <w:link w:val="835"/>
    <w:uiPriority w:val="0"/>
    <w:qFormat/>
    <w:rPr>
      <w:rFonts w:cs="Times New Roman"/>
      <w:sz w:val="24"/>
      <w:szCs w:val="24"/>
    </w:rPr>
  </w:style>
  <w:style w:type="paragraph" w:styleId="837" w:customStyle="1">
    <w:name w:val="正文文本缩进 21"/>
    <w:basedOn w:val="748"/>
    <w:link w:val="838"/>
    <w:uiPriority w:val="99"/>
    <w:qFormat/>
    <w:pPr>
      <w:ind w:left="420"/>
      <w:spacing w:after="120" w:line="480" w:lineRule="auto"/>
    </w:pPr>
    <w:rPr>
      <w:sz w:val="24"/>
    </w:rPr>
  </w:style>
  <w:style w:type="character" w:styleId="838" w:customStyle="1">
    <w:name w:val="正文文本缩进 2 字符"/>
    <w:link w:val="837"/>
    <w:uiPriority w:val="99"/>
    <w:semiHidden/>
    <w:qFormat/>
    <w:rPr>
      <w:rFonts w:cs="Times New Roman"/>
      <w:sz w:val="24"/>
      <w:szCs w:val="24"/>
    </w:rPr>
  </w:style>
  <w:style w:type="paragraph" w:styleId="839" w:customStyle="1">
    <w:name w:val="尾注文本1"/>
    <w:basedOn w:val="748"/>
    <w:link w:val="840"/>
    <w:uiPriority w:val="99"/>
    <w:unhideWhenUsed/>
    <w:qFormat/>
    <w:rPr>
      <w:sz w:val="20"/>
    </w:rPr>
  </w:style>
  <w:style w:type="character" w:styleId="840" w:customStyle="1">
    <w:name w:val="尾注文本 字符"/>
    <w:link w:val="839"/>
    <w:uiPriority w:val="99"/>
    <w:qFormat/>
    <w:rPr>
      <w:sz w:val="20"/>
    </w:rPr>
  </w:style>
  <w:style w:type="paragraph" w:styleId="841" w:customStyle="1">
    <w:name w:val="批注框文本1"/>
    <w:basedOn w:val="748"/>
    <w:link w:val="842"/>
    <w:uiPriority w:val="99"/>
    <w:qFormat/>
    <w:rPr>
      <w:sz w:val="18"/>
      <w:szCs w:val="18"/>
    </w:rPr>
  </w:style>
  <w:style w:type="character" w:styleId="842" w:customStyle="1">
    <w:name w:val="批注框文本 字符"/>
    <w:link w:val="841"/>
    <w:uiPriority w:val="99"/>
    <w:qFormat/>
    <w:rPr>
      <w:rFonts w:cs="Times New Roman"/>
      <w:sz w:val="18"/>
      <w:szCs w:val="18"/>
    </w:rPr>
  </w:style>
  <w:style w:type="paragraph" w:styleId="843" w:customStyle="1">
    <w:name w:val="页脚11"/>
    <w:basedOn w:val="748"/>
    <w:uiPriority w:val="0"/>
    <w:qFormat/>
    <w:pPr>
      <w:jc w:val="left"/>
      <w:tabs>
        <w:tab w:val="center" w:pos="4153" w:leader="none"/>
        <w:tab w:val="right" w:pos="8306" w:leader="none"/>
      </w:tabs>
    </w:pPr>
    <w:rPr>
      <w:sz w:val="18"/>
    </w:rPr>
  </w:style>
  <w:style w:type="paragraph" w:styleId="844" w:customStyle="1">
    <w:name w:val="页眉11"/>
    <w:basedOn w:val="748"/>
    <w:uiPriority w:val="0"/>
    <w:qFormat/>
    <w:pPr>
      <w:jc w:val="center"/>
      <w:tabs>
        <w:tab w:val="center" w:pos="4153" w:leader="none"/>
        <w:tab w:val="right" w:pos="8306" w:leader="none"/>
      </w:tabs>
    </w:pPr>
    <w:rPr>
      <w:sz w:val="18"/>
    </w:rPr>
  </w:style>
  <w:style w:type="paragraph" w:styleId="845" w:customStyle="1">
    <w:name w:val="目录 11"/>
    <w:basedOn w:val="748"/>
    <w:next w:val="748"/>
    <w:uiPriority w:val="39"/>
    <w:qFormat/>
  </w:style>
  <w:style w:type="paragraph" w:styleId="846" w:customStyle="1">
    <w:name w:val="目录 41"/>
    <w:basedOn w:val="748"/>
    <w:next w:val="748"/>
    <w:uiPriority w:val="39"/>
    <w:unhideWhenUsed/>
    <w:qFormat/>
    <w:pPr>
      <w:ind w:left="850"/>
      <w:spacing w:after="57"/>
    </w:pPr>
  </w:style>
  <w:style w:type="paragraph" w:styleId="847" w:customStyle="1">
    <w:name w:val="副标题1"/>
    <w:basedOn w:val="748"/>
    <w:next w:val="748"/>
    <w:link w:val="848"/>
    <w:uiPriority w:val="11"/>
    <w:qFormat/>
    <w:pPr>
      <w:spacing w:before="200" w:after="200"/>
    </w:pPr>
    <w:rPr>
      <w:sz w:val="24"/>
    </w:rPr>
  </w:style>
  <w:style w:type="character" w:styleId="848" w:customStyle="1">
    <w:name w:val="副标题 字符"/>
    <w:link w:val="847"/>
    <w:uiPriority w:val="11"/>
    <w:qFormat/>
    <w:rPr>
      <w:sz w:val="24"/>
      <w:szCs w:val="24"/>
    </w:rPr>
  </w:style>
  <w:style w:type="paragraph" w:styleId="849" w:customStyle="1">
    <w:name w:val="脚注文本1"/>
    <w:basedOn w:val="748"/>
    <w:link w:val="850"/>
    <w:uiPriority w:val="99"/>
    <w:unhideWhenUsed/>
    <w:qFormat/>
    <w:pPr>
      <w:spacing w:after="40"/>
    </w:pPr>
    <w:rPr>
      <w:sz w:val="18"/>
    </w:rPr>
  </w:style>
  <w:style w:type="character" w:styleId="850" w:customStyle="1">
    <w:name w:val="脚注文本 字符"/>
    <w:link w:val="849"/>
    <w:uiPriority w:val="99"/>
    <w:qFormat/>
    <w:rPr>
      <w:sz w:val="18"/>
    </w:rPr>
  </w:style>
  <w:style w:type="paragraph" w:styleId="851" w:customStyle="1">
    <w:name w:val="目录 61"/>
    <w:basedOn w:val="748"/>
    <w:next w:val="748"/>
    <w:uiPriority w:val="39"/>
    <w:unhideWhenUsed/>
    <w:qFormat/>
    <w:pPr>
      <w:ind w:left="1417"/>
      <w:spacing w:after="57"/>
    </w:pPr>
  </w:style>
  <w:style w:type="paragraph" w:styleId="852" w:customStyle="1">
    <w:name w:val="正文文本缩进 31"/>
    <w:basedOn w:val="748"/>
    <w:link w:val="853"/>
    <w:uiPriority w:val="99"/>
    <w:qFormat/>
    <w:pPr>
      <w:ind w:firstLine="412"/>
    </w:pPr>
    <w:rPr>
      <w:sz w:val="16"/>
      <w:szCs w:val="16"/>
    </w:rPr>
  </w:style>
  <w:style w:type="character" w:styleId="853" w:customStyle="1">
    <w:name w:val="正文文本缩进 3 字符"/>
    <w:link w:val="852"/>
    <w:uiPriority w:val="99"/>
    <w:semiHidden/>
    <w:qFormat/>
    <w:rPr>
      <w:rFonts w:cs="Times New Roman"/>
      <w:sz w:val="16"/>
      <w:szCs w:val="16"/>
    </w:rPr>
  </w:style>
  <w:style w:type="paragraph" w:styleId="854" w:customStyle="1">
    <w:name w:val="图表目录1"/>
    <w:basedOn w:val="748"/>
    <w:next w:val="748"/>
    <w:uiPriority w:val="99"/>
    <w:unhideWhenUsed/>
    <w:qFormat/>
  </w:style>
  <w:style w:type="paragraph" w:styleId="855" w:customStyle="1">
    <w:name w:val="目录 21"/>
    <w:basedOn w:val="748"/>
    <w:next w:val="748"/>
    <w:uiPriority w:val="39"/>
    <w:qFormat/>
    <w:pPr>
      <w:ind w:left="420"/>
    </w:pPr>
  </w:style>
  <w:style w:type="paragraph" w:styleId="856" w:customStyle="1">
    <w:name w:val="目录 91"/>
    <w:basedOn w:val="748"/>
    <w:next w:val="748"/>
    <w:uiPriority w:val="39"/>
    <w:unhideWhenUsed/>
    <w:qFormat/>
    <w:pPr>
      <w:ind w:left="2268"/>
      <w:spacing w:after="57"/>
    </w:pPr>
  </w:style>
  <w:style w:type="paragraph" w:styleId="857" w:customStyle="1">
    <w:name w:val="正文文本 21"/>
    <w:basedOn w:val="748"/>
    <w:uiPriority w:val="0"/>
    <w:qFormat/>
    <w:pPr>
      <w:spacing w:after="120" w:line="480" w:lineRule="auto"/>
    </w:pPr>
    <w:rPr>
      <w:rFonts w:ascii="Calibri" w:hAnsi="Calibri"/>
    </w:rPr>
  </w:style>
  <w:style w:type="paragraph" w:styleId="858" w:customStyle="1">
    <w:name w:val="普通(网站)1"/>
    <w:basedOn w:val="748"/>
    <w:uiPriority w:val="99"/>
    <w:unhideWhenUsed/>
    <w:qFormat/>
    <w:pPr>
      <w:jc w:val="left"/>
      <w:spacing w:before="100" w:beforeAutospacing="1" w:after="100" w:afterAutospacing="1"/>
      <w:widowControl/>
    </w:pPr>
    <w:rPr>
      <w:rFonts w:ascii="宋体" w:hAnsi="宋体" w:cs="宋体"/>
      <w:sz w:val="24"/>
    </w:rPr>
  </w:style>
  <w:style w:type="paragraph" w:styleId="859" w:customStyle="1">
    <w:name w:val="标题1"/>
    <w:basedOn w:val="748"/>
    <w:next w:val="748"/>
    <w:link w:val="860"/>
    <w:uiPriority w:val="0"/>
    <w:qFormat/>
    <w:pPr>
      <w:jc w:val="center"/>
      <w:spacing w:before="240" w:after="60"/>
      <w:outlineLvl w:val="0"/>
    </w:pPr>
    <w:rPr>
      <w:rFonts w:ascii="Cambria" w:hAnsi="Cambria" w:eastAsia="Arial" w:cs="Arial"/>
      <w:b/>
      <w:bCs/>
      <w:sz w:val="32"/>
      <w:szCs w:val="32"/>
    </w:rPr>
  </w:style>
  <w:style w:type="character" w:styleId="860" w:customStyle="1">
    <w:name w:val="标题 字符"/>
    <w:link w:val="859"/>
    <w:uiPriority w:val="10"/>
    <w:qFormat/>
    <w:rPr>
      <w:sz w:val="48"/>
      <w:szCs w:val="48"/>
    </w:rPr>
  </w:style>
  <w:style w:type="paragraph" w:styleId="861" w:customStyle="1">
    <w:name w:val="批注主题1"/>
    <w:basedOn w:val="820"/>
    <w:next w:val="820"/>
    <w:link w:val="862"/>
    <w:uiPriority w:val="99"/>
    <w:unhideWhenUsed/>
    <w:qFormat/>
    <w:rPr>
      <w:b/>
      <w:bCs/>
    </w:rPr>
  </w:style>
  <w:style w:type="character" w:styleId="862" w:customStyle="1">
    <w:name w:val="批注主题 字符"/>
    <w:link w:val="861"/>
    <w:uiPriority w:val="99"/>
    <w:semiHidden/>
    <w:qFormat/>
    <w:rPr>
      <w:b/>
      <w:bCs/>
      <w:sz w:val="21"/>
      <w:szCs w:val="24"/>
    </w:rPr>
  </w:style>
  <w:style w:type="paragraph" w:styleId="863" w:customStyle="1">
    <w:name w:val="正文首行缩进1"/>
    <w:basedOn w:val="824"/>
    <w:uiPriority w:val="0"/>
    <w:qFormat/>
    <w:pPr>
      <w:ind w:firstLine="420"/>
      <w:jc w:val="left"/>
      <w:spacing w:line="360" w:lineRule="exact"/>
      <w:tabs>
        <w:tab w:val="left" w:pos="851" w:leader="none"/>
      </w:tabs>
    </w:pPr>
    <w:rPr>
      <w:rFonts w:ascii="Arial" w:hAnsi="Arial"/>
      <w:sz w:val="20"/>
    </w:rPr>
  </w:style>
  <w:style w:type="table" w:styleId="864" w:customStyle="1">
    <w:name w:val="网格型11"/>
    <w:basedOn w:val="818"/>
    <w:uiPriority w:val="99"/>
    <w:qFormat/>
    <w:pPr>
      <w:jc w:val="both"/>
      <w:widowControl w:val="off"/>
    </w:pPr>
    <w:rPr>
      <w:rFonts w:eastAsia="Times New Roman"/>
    </w:rPr>
    <w:tblPr/>
  </w:style>
  <w:style w:type="character" w:styleId="865" w:customStyle="1">
    <w:name w:val="要点1"/>
    <w:uiPriority w:val="0"/>
    <w:qFormat/>
    <w:rPr>
      <w:b/>
      <w:bCs/>
    </w:rPr>
  </w:style>
  <w:style w:type="character" w:styleId="866" w:customStyle="1">
    <w:name w:val="尾注引用1"/>
    <w:uiPriority w:val="99"/>
    <w:unhideWhenUsed/>
    <w:qFormat/>
    <w:rPr>
      <w:vertAlign w:val="superscript"/>
    </w:rPr>
  </w:style>
  <w:style w:type="character" w:styleId="867" w:customStyle="1">
    <w:name w:val="页码11"/>
    <w:uiPriority w:val="0"/>
    <w:qFormat/>
    <w:rPr>
      <w:rFonts w:cs="Times New Roman"/>
    </w:rPr>
  </w:style>
  <w:style w:type="character" w:styleId="868" w:customStyle="1">
    <w:name w:val="强调1"/>
    <w:uiPriority w:val="0"/>
    <w:qFormat/>
    <w:rPr>
      <w:i/>
    </w:rPr>
  </w:style>
  <w:style w:type="character" w:styleId="869" w:customStyle="1">
    <w:name w:val="超链接1"/>
    <w:uiPriority w:val="99"/>
    <w:unhideWhenUsed/>
    <w:qFormat/>
    <w:rPr>
      <w:color w:val="0000ff"/>
      <w:u w:val="single"/>
    </w:rPr>
  </w:style>
  <w:style w:type="character" w:styleId="870" w:customStyle="1">
    <w:name w:val="批注引用1"/>
    <w:uiPriority w:val="99"/>
    <w:unhideWhenUsed/>
    <w:qFormat/>
    <w:rPr>
      <w:sz w:val="21"/>
      <w:szCs w:val="21"/>
    </w:rPr>
  </w:style>
  <w:style w:type="character" w:styleId="871" w:customStyle="1">
    <w:name w:val="脚注引用1"/>
    <w:uiPriority w:val="99"/>
    <w:unhideWhenUsed/>
    <w:qFormat/>
    <w:rPr>
      <w:vertAlign w:val="superscript"/>
    </w:rPr>
  </w:style>
  <w:style w:type="character" w:styleId="872" w:customStyle="1">
    <w:name w:val="标题 6 字符"/>
    <w:link w:val="754"/>
    <w:uiPriority w:val="9"/>
    <w:qFormat/>
    <w:rPr>
      <w:rFonts w:ascii="Arial" w:hAnsi="Arial" w:eastAsia="Arial" w:cs="Arial"/>
      <w:b/>
      <w:bCs/>
      <w:sz w:val="22"/>
      <w:szCs w:val="22"/>
    </w:rPr>
  </w:style>
  <w:style w:type="character" w:styleId="873" w:customStyle="1">
    <w:name w:val="CharAttribute4"/>
    <w:uiPriority w:val="99"/>
    <w:qFormat/>
    <w:rPr>
      <w:rFonts w:ascii="Arial Narrow" w:eastAsia="仿宋_GB2312"/>
      <w:sz w:val="21"/>
    </w:rPr>
  </w:style>
  <w:style w:type="character" w:styleId="874" w:customStyle="1">
    <w:name w:val="CharAttribute11"/>
    <w:uiPriority w:val="99"/>
    <w:qFormat/>
    <w:rPr>
      <w:rFonts w:ascii="长城大标宋体" w:eastAsia="Times New Roman"/>
      <w:sz w:val="21"/>
    </w:rPr>
  </w:style>
  <w:style w:type="character" w:styleId="875" w:customStyle="1">
    <w:name w:val="font41"/>
    <w:uiPriority w:val="0"/>
    <w:qFormat/>
    <w:rPr>
      <w:rFonts w:hint="eastAsia" w:ascii="宋体" w:hAnsi="宋体" w:eastAsia="宋体" w:cs="宋体"/>
      <w:color w:val="ff0000"/>
      <w:sz w:val="22"/>
      <w:szCs w:val="22"/>
      <w:u w:val="none"/>
    </w:rPr>
  </w:style>
  <w:style w:type="character" w:styleId="876" w:customStyle="1">
    <w:name w:val="Heading 4 Char"/>
    <w:uiPriority w:val="9"/>
    <w:qFormat/>
    <w:rPr>
      <w:rFonts w:ascii="Arial" w:hAnsi="Arial" w:eastAsia="Arial" w:cs="Arial"/>
      <w:b/>
      <w:bCs/>
      <w:sz w:val="26"/>
      <w:szCs w:val="26"/>
    </w:rPr>
  </w:style>
  <w:style w:type="character" w:styleId="877" w:customStyle="1">
    <w:name w:val="MAICO Bold Zchn"/>
    <w:link w:val="878"/>
    <w:uiPriority w:val="99"/>
    <w:qFormat/>
    <w:rPr>
      <w:rFonts w:ascii="FrutBold" w:hAnsi="FrutBold" w:cs="Times New Roman"/>
      <w:sz w:val="28"/>
      <w:szCs w:val="28"/>
      <w:lang w:val="en-GB"/>
    </w:rPr>
  </w:style>
  <w:style w:type="paragraph" w:styleId="878" w:customStyle="1">
    <w:name w:val="MAICO Bold"/>
    <w:basedOn w:val="748"/>
    <w:link w:val="87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79" w:customStyle="1">
    <w:name w:val="Footer Char"/>
    <w:uiPriority w:val="99"/>
    <w:qFormat/>
  </w:style>
  <w:style w:type="character" w:styleId="880" w:customStyle="1">
    <w:name w:val="mark"/>
    <w:uiPriority w:val="0"/>
    <w:qFormat/>
  </w:style>
  <w:style w:type="character" w:styleId="881" w:customStyle="1">
    <w:name w:val="font21"/>
    <w:uiPriority w:val="0"/>
    <w:qFormat/>
    <w:rPr>
      <w:rFonts w:hint="eastAsia" w:ascii="宋体" w:hAnsi="宋体" w:eastAsia="宋体" w:cs="宋体"/>
      <w:color w:val="0000ff"/>
      <w:sz w:val="21"/>
      <w:szCs w:val="21"/>
      <w:u w:val="none"/>
    </w:rPr>
  </w:style>
  <w:style w:type="character" w:styleId="882" w:customStyle="1">
    <w:name w:val="Heading 5 Char"/>
    <w:uiPriority w:val="9"/>
    <w:qFormat/>
    <w:rPr>
      <w:rFonts w:ascii="Arial" w:hAnsi="Arial" w:eastAsia="Arial" w:cs="Arial"/>
      <w:b/>
      <w:bCs/>
      <w:sz w:val="24"/>
      <w:szCs w:val="24"/>
    </w:rPr>
  </w:style>
  <w:style w:type="character" w:styleId="883" w:customStyle="1">
    <w:name w:val="bumpedfont15"/>
    <w:uiPriority w:val="0"/>
    <w:qFormat/>
  </w:style>
  <w:style w:type="character" w:styleId="884" w:customStyle="1">
    <w:name w:val="CharAttribute14"/>
    <w:uiPriority w:val="99"/>
    <w:qFormat/>
    <w:rPr>
      <w:rFonts w:ascii="仿宋_GB2312" w:eastAsia="仿宋_GB2312"/>
      <w:sz w:val="21"/>
    </w:rPr>
  </w:style>
  <w:style w:type="character" w:styleId="885" w:customStyle="1">
    <w:name w:val="标题 4 字符"/>
    <w:link w:val="752"/>
    <w:uiPriority w:val="99"/>
    <w:semiHidden/>
    <w:qFormat/>
    <w:rPr>
      <w:rFonts w:ascii="Cambria" w:hAnsi="Cambria" w:eastAsia="宋体" w:cs="Times New Roman"/>
      <w:b/>
      <w:bCs/>
      <w:sz w:val="28"/>
      <w:szCs w:val="28"/>
    </w:rPr>
  </w:style>
  <w:style w:type="character" w:styleId="886" w:customStyle="1">
    <w:name w:val="Heading 3 Char"/>
    <w:uiPriority w:val="9"/>
    <w:qFormat/>
    <w:rPr>
      <w:rFonts w:ascii="Arial" w:hAnsi="Arial" w:eastAsia="Arial" w:cs="Arial"/>
      <w:sz w:val="30"/>
      <w:szCs w:val="30"/>
    </w:rPr>
  </w:style>
  <w:style w:type="character" w:styleId="887" w:customStyle="1">
    <w:name w:val="NormalCharacter1"/>
    <w:uiPriority w:val="0"/>
    <w:semiHidden/>
    <w:qFormat/>
  </w:style>
  <w:style w:type="character" w:styleId="888" w:customStyle="1">
    <w:name w:val="占位符文本1"/>
    <w:uiPriority w:val="99"/>
    <w:semiHidden/>
    <w:qFormat/>
    <w:rPr>
      <w:color w:val="808080"/>
    </w:rPr>
  </w:style>
  <w:style w:type="character" w:styleId="889" w:customStyle="1">
    <w:name w:val="标题 8 字符"/>
    <w:link w:val="756"/>
    <w:uiPriority w:val="9"/>
    <w:qFormat/>
    <w:rPr>
      <w:rFonts w:ascii="Arial" w:hAnsi="Arial" w:eastAsia="Arial" w:cs="Arial"/>
      <w:i/>
      <w:iCs/>
      <w:sz w:val="22"/>
      <w:szCs w:val="22"/>
    </w:rPr>
  </w:style>
  <w:style w:type="character" w:styleId="890" w:customStyle="1">
    <w:name w:val="font61"/>
    <w:uiPriority w:val="0"/>
    <w:qFormat/>
    <w:rPr>
      <w:rFonts w:hint="eastAsia" w:ascii="宋体" w:hAnsi="宋体" w:eastAsia="宋体" w:cs="宋体"/>
      <w:color w:val="000000"/>
      <w:sz w:val="24"/>
      <w:szCs w:val="24"/>
      <w:u w:val="none"/>
    </w:rPr>
  </w:style>
  <w:style w:type="character" w:styleId="891" w:customStyle="1">
    <w:name w:val="CharAttribute18"/>
    <w:uiPriority w:val="99"/>
    <w:qFormat/>
    <w:rPr>
      <w:rFonts w:ascii="仿宋_GB2312" w:eastAsia="仿宋_GB2312"/>
      <w:sz w:val="24"/>
    </w:rPr>
  </w:style>
  <w:style w:type="character" w:styleId="892" w:customStyle="1">
    <w:name w:val="CharAttribute12"/>
    <w:uiPriority w:val="99"/>
    <w:qFormat/>
    <w:rPr>
      <w:rFonts w:ascii="Arial Narrow" w:eastAsia="Times New Roman"/>
      <w:sz w:val="21"/>
    </w:rPr>
  </w:style>
  <w:style w:type="character" w:styleId="893" w:customStyle="1">
    <w:name w:val="CharAttribute9"/>
    <w:uiPriority w:val="99"/>
    <w:qFormat/>
    <w:rPr>
      <w:rFonts w:ascii="Arial" w:eastAsia="宋体"/>
      <w:sz w:val="21"/>
    </w:rPr>
  </w:style>
  <w:style w:type="character" w:styleId="894" w:customStyle="1">
    <w:name w:val="bumpedfont20"/>
    <w:uiPriority w:val="0"/>
    <w:qFormat/>
  </w:style>
  <w:style w:type="character" w:styleId="895" w:customStyle="1">
    <w:name w:val="font81"/>
    <w:uiPriority w:val="0"/>
    <w:qFormat/>
    <w:rPr>
      <w:rFonts w:ascii="Calibri" w:hAnsi="Calibri" w:cs="Calibri"/>
      <w:color w:val="000000"/>
      <w:sz w:val="22"/>
      <w:szCs w:val="22"/>
      <w:u w:val="none"/>
    </w:rPr>
  </w:style>
  <w:style w:type="character" w:styleId="896" w:customStyle="1">
    <w:name w:val="页眉 字符"/>
    <w:link w:val="897"/>
    <w:uiPriority w:val="0"/>
    <w:qFormat/>
    <w:rPr>
      <w:rFonts w:cs="Times New Roman"/>
      <w:sz w:val="18"/>
      <w:szCs w:val="18"/>
    </w:rPr>
  </w:style>
  <w:style w:type="paragraph" w:styleId="897" w:customStyle="1">
    <w:name w:val="Header1"/>
    <w:basedOn w:val="748"/>
    <w:link w:val="896"/>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98" w:customStyle="1">
    <w:name w:val="font51"/>
    <w:uiPriority w:val="0"/>
    <w:qFormat/>
    <w:rPr>
      <w:rFonts w:ascii="Calibri" w:hAnsi="Calibri" w:cs="Calibri"/>
      <w:color w:val="000000"/>
      <w:sz w:val="24"/>
      <w:szCs w:val="24"/>
      <w:u w:val="none"/>
    </w:rPr>
  </w:style>
  <w:style w:type="character" w:styleId="899" w:customStyle="1">
    <w:name w:val="标题 1 字符"/>
    <w:link w:val="749"/>
    <w:uiPriority w:val="99"/>
    <w:qFormat/>
    <w:rPr>
      <w:rFonts w:eastAsia="黑体"/>
      <w:b/>
      <w:sz w:val="28"/>
    </w:rPr>
  </w:style>
  <w:style w:type="character" w:styleId="900" w:customStyle="1">
    <w:name w:val="页码1"/>
    <w:uiPriority w:val="0"/>
    <w:qFormat/>
    <w:rPr>
      <w:rFonts w:ascii="Times New Roman" w:hAnsi="Times New Roman" w:eastAsia="宋体" w:cs="Times New Roman"/>
      <w:sz w:val="21"/>
      <w:szCs w:val="24"/>
      <w:lang w:val="en-US" w:eastAsia="zh-CN" w:bidi="ar-SA"/>
    </w:rPr>
  </w:style>
  <w:style w:type="character" w:styleId="901" w:customStyle="1">
    <w:name w:val="Heading 1 Char"/>
    <w:uiPriority w:val="9"/>
    <w:qFormat/>
    <w:rPr>
      <w:rFonts w:ascii="Arial" w:hAnsi="Arial" w:eastAsia="Arial" w:cs="Arial"/>
      <w:sz w:val="40"/>
      <w:szCs w:val="40"/>
    </w:rPr>
  </w:style>
  <w:style w:type="character" w:styleId="902" w:customStyle="1">
    <w:name w:val="明显引用 字符"/>
    <w:link w:val="903"/>
    <w:uiPriority w:val="30"/>
    <w:qFormat/>
    <w:rPr>
      <w:i/>
    </w:rPr>
  </w:style>
  <w:style w:type="paragraph" w:styleId="903" w:customStyle="1">
    <w:name w:val="明显引用1"/>
    <w:basedOn w:val="748"/>
    <w:next w:val="748"/>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引用 字符"/>
    <w:link w:val="905"/>
    <w:uiPriority w:val="29"/>
    <w:qFormat/>
    <w:rPr>
      <w:i/>
    </w:rPr>
  </w:style>
  <w:style w:type="paragraph" w:styleId="905" w:customStyle="1">
    <w:name w:val="引用1"/>
    <w:basedOn w:val="748"/>
    <w:next w:val="748"/>
    <w:link w:val="904"/>
    <w:uiPriority w:val="29"/>
    <w:qFormat/>
    <w:pPr>
      <w:ind w:left="720" w:right="720"/>
    </w:pPr>
    <w:rPr>
      <w:i/>
    </w:rPr>
  </w:style>
  <w:style w:type="character" w:styleId="906" w:customStyle="1">
    <w:name w:val="font71"/>
    <w:uiPriority w:val="0"/>
    <w:qFormat/>
    <w:rPr>
      <w:rFonts w:hint="eastAsia" w:ascii="宋体" w:hAnsi="宋体" w:eastAsia="宋体" w:cs="宋体"/>
      <w:color w:val="000000"/>
      <w:sz w:val="18"/>
      <w:szCs w:val="18"/>
      <w:u w:val="none"/>
    </w:rPr>
  </w:style>
  <w:style w:type="character" w:styleId="907" w:customStyle="1">
    <w:name w:val="bot_zi"/>
    <w:uiPriority w:val="0"/>
    <w:qFormat/>
  </w:style>
  <w:style w:type="character" w:styleId="908" w:customStyle="1">
    <w:name w:val="标题 5 字符"/>
    <w:link w:val="753"/>
    <w:uiPriority w:val="99"/>
    <w:semiHidden/>
    <w:qFormat/>
    <w:rPr>
      <w:rFonts w:cs="Times New Roman"/>
      <w:b/>
      <w:bCs/>
      <w:sz w:val="28"/>
      <w:szCs w:val="28"/>
    </w:rPr>
  </w:style>
  <w:style w:type="character" w:styleId="909" w:customStyle="1">
    <w:name w:val="Char Char3"/>
    <w:uiPriority w:val="99"/>
    <w:qFormat/>
    <w:rPr>
      <w:rFonts w:ascii="宋体" w:hAnsi="Courier New" w:eastAsia="宋体" w:cs="Times New Roman"/>
      <w:sz w:val="21"/>
      <w:szCs w:val="21"/>
      <w:lang w:val="en-US" w:eastAsia="zh-CN" w:bidi="ar-SA"/>
    </w:rPr>
  </w:style>
  <w:style w:type="character" w:styleId="910" w:customStyle="1">
    <w:name w:val="Heading 2 Char"/>
    <w:uiPriority w:val="9"/>
    <w:qFormat/>
    <w:rPr>
      <w:rFonts w:ascii="Arial" w:hAnsi="Arial" w:eastAsia="Arial" w:cs="Arial"/>
      <w:sz w:val="34"/>
    </w:rPr>
  </w:style>
  <w:style w:type="character" w:styleId="911" w:customStyle="1">
    <w:name w:val="CharAttribute7"/>
    <w:uiPriority w:val="99"/>
    <w:qFormat/>
    <w:rPr>
      <w:rFonts w:ascii="Times New Roman" w:eastAsia="宋体"/>
      <w:sz w:val="21"/>
    </w:rPr>
  </w:style>
  <w:style w:type="character" w:styleId="912" w:customStyle="1">
    <w:name w:val="CharAttribute2"/>
    <w:uiPriority w:val="99"/>
    <w:qFormat/>
    <w:rPr>
      <w:rFonts w:ascii="Times New Roman" w:eastAsia="宋体"/>
      <w:b/>
      <w:sz w:val="21"/>
    </w:rPr>
  </w:style>
  <w:style w:type="character" w:styleId="913" w:customStyle="1">
    <w:name w:val="标题 9 字符"/>
    <w:link w:val="757"/>
    <w:uiPriority w:val="9"/>
    <w:qFormat/>
    <w:rPr>
      <w:rFonts w:ascii="Arial" w:hAnsi="Arial" w:eastAsia="Arial" w:cs="Arial"/>
      <w:i/>
      <w:iCs/>
      <w:sz w:val="21"/>
      <w:szCs w:val="21"/>
    </w:rPr>
  </w:style>
  <w:style w:type="character" w:styleId="914" w:customStyle="1">
    <w:name w:val="font31"/>
    <w:uiPriority w:val="0"/>
    <w:qFormat/>
    <w:rPr>
      <w:rFonts w:hint="eastAsia" w:ascii="宋体" w:hAnsi="宋体" w:eastAsia="宋体" w:cs="宋体"/>
      <w:color w:val="000000"/>
      <w:sz w:val="24"/>
      <w:szCs w:val="24"/>
      <w:u w:val="none"/>
    </w:rPr>
  </w:style>
  <w:style w:type="character" w:styleId="915" w:customStyle="1">
    <w:name w:val="标题 2 字符"/>
    <w:link w:val="750"/>
    <w:uiPriority w:val="99"/>
    <w:qFormat/>
    <w:rPr>
      <w:rFonts w:ascii="Arial" w:hAnsi="Arial" w:eastAsia="黑体"/>
      <w:sz w:val="24"/>
    </w:rPr>
  </w:style>
  <w:style w:type="character" w:styleId="916" w:customStyle="1">
    <w:name w:val="标题 3 字符"/>
    <w:link w:val="751"/>
    <w:uiPriority w:val="99"/>
    <w:qFormat/>
    <w:rPr>
      <w:rFonts w:ascii="仿宋_GB2312" w:eastAsia="仿宋_GB2312"/>
      <w:sz w:val="32"/>
    </w:rPr>
  </w:style>
  <w:style w:type="character" w:styleId="917" w:customStyle="1">
    <w:name w:val="MAICO light Zchn"/>
    <w:link w:val="918"/>
    <w:uiPriority w:val="99"/>
    <w:qFormat/>
    <w:rPr>
      <w:rFonts w:ascii="华文仿宋" w:hAnsi="华文仿宋" w:eastAsia="华文仿宋" w:cs="Times New Roman"/>
      <w:b/>
      <w:sz w:val="28"/>
      <w:szCs w:val="28"/>
      <w:lang w:val="en-GB"/>
    </w:rPr>
  </w:style>
  <w:style w:type="paragraph" w:styleId="918" w:customStyle="1">
    <w:name w:val="MAICO light"/>
    <w:basedOn w:val="748"/>
    <w:link w:val="917"/>
    <w:uiPriority w:val="99"/>
    <w:qFormat/>
    <w:pPr>
      <w:ind w:firstLine="561"/>
      <w:spacing w:line="360" w:lineRule="auto"/>
      <w:widowControl/>
    </w:pPr>
    <w:rPr>
      <w:rFonts w:ascii="华文仿宋" w:hAnsi="华文仿宋" w:eastAsia="华文仿宋"/>
      <w:b/>
      <w:sz w:val="28"/>
      <w:szCs w:val="28"/>
      <w:lang w:val="en-GB"/>
    </w:rPr>
  </w:style>
  <w:style w:type="character" w:styleId="919" w:customStyle="1">
    <w:name w:val="标题 7 字符"/>
    <w:link w:val="755"/>
    <w:uiPriority w:val="9"/>
    <w:qFormat/>
    <w:rPr>
      <w:rFonts w:ascii="Arial" w:hAnsi="Arial" w:eastAsia="Arial" w:cs="Arial"/>
      <w:b/>
      <w:bCs/>
      <w:i/>
      <w:iCs/>
      <w:sz w:val="22"/>
      <w:szCs w:val="22"/>
    </w:rPr>
  </w:style>
  <w:style w:type="character" w:styleId="920" w:customStyle="1">
    <w:name w:val="font11"/>
    <w:uiPriority w:val="0"/>
    <w:qFormat/>
    <w:rPr>
      <w:rFonts w:hint="eastAsia" w:ascii="宋体" w:hAnsi="宋体" w:eastAsia="宋体" w:cs="宋体"/>
      <w:color w:val="000000"/>
      <w:sz w:val="21"/>
      <w:szCs w:val="21"/>
      <w:u w:val="none"/>
    </w:rPr>
  </w:style>
  <w:style w:type="character" w:styleId="921" w:customStyle="1">
    <w:name w:val="页脚 字符"/>
    <w:link w:val="922"/>
    <w:uiPriority w:val="0"/>
    <w:qFormat/>
    <w:rPr>
      <w:rFonts w:cs="Times New Roman"/>
      <w:sz w:val="18"/>
      <w:szCs w:val="18"/>
    </w:rPr>
  </w:style>
  <w:style w:type="paragraph" w:styleId="922" w:customStyle="1">
    <w:name w:val="Footer1"/>
    <w:basedOn w:val="748"/>
    <w:link w:val="921"/>
    <w:uiPriority w:val="0"/>
    <w:qFormat/>
    <w:pPr>
      <w:jc w:val="left"/>
      <w:widowControl/>
      <w:tabs>
        <w:tab w:val="center" w:pos="4153" w:leader="none"/>
        <w:tab w:val="right" w:pos="8306" w:leader="none"/>
      </w:tabs>
    </w:pPr>
    <w:rPr>
      <w:sz w:val="18"/>
      <w:szCs w:val="18"/>
    </w:rPr>
  </w:style>
  <w:style w:type="character" w:styleId="923" w:customStyle="1">
    <w:name w:val="Caption Char"/>
    <w:uiPriority w:val="99"/>
    <w:qFormat/>
  </w:style>
  <w:style w:type="character" w:styleId="924" w:customStyle="1">
    <w:name w:val="Header Char"/>
    <w:uiPriority w:val="99"/>
    <w:qFormat/>
  </w:style>
  <w:style w:type="character" w:styleId="925" w:customStyle="1">
    <w:name w:val="标题一级 Char"/>
    <w:link w:val="926"/>
    <w:uiPriority w:val="0"/>
    <w:qFormat/>
    <w:rPr>
      <w:rFonts w:ascii="宋体" w:hAnsi="宋体"/>
      <w:b/>
      <w:sz w:val="21"/>
      <w:szCs w:val="21"/>
    </w:rPr>
  </w:style>
  <w:style w:type="paragraph" w:styleId="926" w:customStyle="1">
    <w:name w:val="标题一级"/>
    <w:basedOn w:val="748"/>
    <w:link w:val="925"/>
    <w:uiPriority w:val="0"/>
    <w:qFormat/>
    <w:pPr>
      <w:ind w:left="422"/>
    </w:pPr>
    <w:rPr>
      <w:rFonts w:ascii="宋体" w:hAnsi="宋体"/>
      <w:b/>
      <w:szCs w:val="21"/>
    </w:rPr>
  </w:style>
  <w:style w:type="character" w:styleId="927" w:customStyle="1">
    <w:name w:val="font01"/>
    <w:uiPriority w:val="0"/>
    <w:qFormat/>
    <w:rPr>
      <w:rFonts w:hint="eastAsia" w:ascii="宋体" w:hAnsi="宋体" w:eastAsia="宋体" w:cs="宋体"/>
      <w:color w:val="000000"/>
      <w:sz w:val="22"/>
      <w:szCs w:val="22"/>
      <w:u w:val="none"/>
    </w:rPr>
  </w:style>
  <w:style w:type="character" w:styleId="928" w:customStyle="1">
    <w:name w:val="px121"/>
    <w:uiPriority w:val="99"/>
    <w:qFormat/>
    <w:rPr>
      <w:rFonts w:cs="Times New Roman"/>
      <w:spacing w:val="312"/>
    </w:rPr>
  </w:style>
  <w:style w:type="paragraph" w:styleId="929"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930" w:customStyle="1">
    <w:name w:val="Char1"/>
    <w:basedOn w:val="748"/>
    <w:uiPriority w:val="99"/>
    <w:qFormat/>
    <w:rPr>
      <w:sz w:val="24"/>
    </w:rPr>
  </w:style>
  <w:style w:type="paragraph" w:styleId="931" w:customStyle="1">
    <w:name w:val="Default"/>
    <w:uiPriority w:val="99"/>
    <w:qFormat/>
    <w:pPr>
      <w:widowControl w:val="off"/>
    </w:pPr>
    <w:rPr>
      <w:rFonts w:ascii="黑体" w:hAnsi="Calibri" w:eastAsia="黑体" w:cs="黑体"/>
      <w:color w:val="000000"/>
      <w:sz w:val="24"/>
      <w:szCs w:val="24"/>
      <w:lang w:val="en-US" w:eastAsia="zh-CN" w:bidi="ar-SA"/>
    </w:rPr>
  </w:style>
  <w:style w:type="paragraph" w:styleId="932" w:customStyle="1">
    <w:name w:val="列出段落11"/>
    <w:uiPriority w:val="99"/>
    <w:qFormat/>
    <w:pPr>
      <w:ind w:firstLine="420"/>
    </w:pPr>
    <w:rPr>
      <w:rFonts w:ascii="Times New Roman" w:hAnsi="Times New Roman" w:eastAsia="宋体" w:cs="Times New Roman"/>
      <w:lang w:val="en-US" w:eastAsia="zh-CN" w:bidi="ar-SA"/>
    </w:rPr>
  </w:style>
  <w:style w:type="paragraph" w:styleId="933" w:customStyle="1">
    <w:name w:val="段"/>
    <w:basedOn w:val="748"/>
    <w:next w:val="748"/>
    <w:uiPriority w:val="0"/>
    <w:qFormat/>
    <w:pPr>
      <w:ind w:firstLine="200"/>
      <w:widowControl/>
    </w:pPr>
    <w:rPr>
      <w:rFonts w:hint="eastAsia" w:ascii="宋体"/>
      <w:szCs w:val="20"/>
    </w:rPr>
  </w:style>
  <w:style w:type="paragraph" w:styleId="934"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章标题"/>
    <w:next w:val="74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列出段落"/>
    <w:basedOn w:val="748"/>
    <w:uiPriority w:val="99"/>
    <w:qFormat/>
    <w:pPr>
      <w:ind w:firstLine="420"/>
    </w:pPr>
    <w:rPr>
      <w:rFonts w:ascii="Calibri" w:hAnsi="Calibri"/>
      <w:szCs w:val="22"/>
    </w:rPr>
  </w:style>
  <w:style w:type="paragraph" w:styleId="938" w:customStyle="1">
    <w:name w:val="一级条标题"/>
    <w:basedOn w:val="935"/>
    <w:next w:val="933"/>
    <w:uiPriority w:val="0"/>
    <w:qFormat/>
    <w:pPr>
      <w:numPr>
        <w:ilvl w:val="1"/>
        <w:numId w:val="3"/>
      </w:numPr>
      <w:outlineLvl w:val="2"/>
    </w:pPr>
    <w:rPr>
      <w:rFonts w:hAnsi="Times New Roman" w:cs="Arial"/>
      <w:szCs w:val="21"/>
    </w:rPr>
  </w:style>
  <w:style w:type="paragraph" w:styleId="939" w:customStyle="1">
    <w:name w:val="修订1"/>
    <w:uiPriority w:val="99"/>
    <w:unhideWhenUsed/>
    <w:qFormat/>
    <w:rPr>
      <w:rFonts w:ascii="Times New Roman" w:hAnsi="Times New Roman" w:eastAsia="宋体" w:cs="Times New Roman"/>
      <w:sz w:val="21"/>
      <w:szCs w:val="24"/>
      <w:lang w:val="en-US" w:eastAsia="zh-CN" w:bidi="ar-SA"/>
    </w:rPr>
  </w:style>
  <w:style w:type="paragraph" w:styleId="940" w:customStyle="1">
    <w:name w:val="ITB-0"/>
    <w:basedOn w:val="748"/>
    <w:uiPriority w:val="0"/>
    <w:qFormat/>
    <w:pPr>
      <w:jc w:val="center"/>
    </w:pPr>
    <w:rPr>
      <w:b/>
      <w:sz w:val="32"/>
      <w:szCs w:val="20"/>
    </w:rPr>
  </w:style>
  <w:style w:type="paragraph" w:styleId="941" w:customStyle="1">
    <w:name w:val="List Paragraph1"/>
    <w:basedOn w:val="748"/>
    <w:uiPriority w:val="99"/>
    <w:qFormat/>
    <w:pPr>
      <w:ind w:firstLine="420"/>
    </w:pPr>
    <w:rPr>
      <w:rFonts w:ascii="Calibri" w:hAnsi="Calibri"/>
      <w:szCs w:val="22"/>
    </w:rPr>
  </w:style>
  <w:style w:type="paragraph" w:styleId="942" w:customStyle="1">
    <w:name w:val="样式 标4 + 段前: 0.5 行1"/>
    <w:basedOn w:val="748"/>
    <w:uiPriority w:val="99"/>
    <w:qFormat/>
    <w:pPr>
      <w:tabs>
        <w:tab w:val="left" w:pos="1260" w:leader="none"/>
      </w:tabs>
      <w:outlineLvl w:val="3"/>
    </w:pPr>
    <w:rPr>
      <w:rFonts w:ascii="Arial Narrow" w:hAnsi="Arial Narrow" w:eastAsia="仿宋_GB2312" w:cs="宋体"/>
      <w:sz w:val="28"/>
      <w:szCs w:val="20"/>
    </w:rPr>
  </w:style>
  <w:style w:type="paragraph" w:styleId="943"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paragraph" w:styleId="944" w:customStyle="1">
    <w:name w:val="s3"/>
    <w:basedOn w:val="748"/>
    <w:uiPriority w:val="0"/>
    <w:qFormat/>
    <w:pPr>
      <w:jc w:val="left"/>
      <w:spacing w:before="100" w:beforeAutospacing="1" w:after="100" w:afterAutospacing="1"/>
      <w:widowControl/>
    </w:pPr>
    <w:rPr>
      <w:rFonts w:ascii="宋体" w:hAnsi="宋体" w:cs="宋体"/>
      <w:sz w:val="24"/>
    </w:rPr>
  </w:style>
  <w:style w:type="paragraph" w:styleId="945" w:customStyle="1">
    <w:name w:val="p22"/>
    <w:basedOn w:val="748"/>
    <w:uiPriority w:val="99"/>
    <w:qFormat/>
    <w:pPr>
      <w:ind w:left="720"/>
      <w:jc w:val="left"/>
      <w:spacing w:line="360" w:lineRule="auto"/>
      <w:widowControl/>
    </w:pPr>
    <w:rPr>
      <w:rFonts w:ascii="Verdana" w:hAnsi="Verdana" w:cs="宋体"/>
      <w:sz w:val="24"/>
    </w:rPr>
  </w:style>
  <w:style w:type="paragraph" w:styleId="946" w:customStyle="1">
    <w:name w:val="页脚1"/>
    <w:basedOn w:val="748"/>
    <w:uiPriority w:val="99"/>
    <w:qFormat/>
    <w:pPr>
      <w:jc w:val="left"/>
      <w:tabs>
        <w:tab w:val="center" w:pos="4153" w:leader="none"/>
        <w:tab w:val="right" w:pos="8306" w:leader="none"/>
      </w:tabs>
    </w:pPr>
    <w:rPr>
      <w:sz w:val="18"/>
      <w:szCs w:val="18"/>
    </w:rPr>
  </w:style>
  <w:style w:type="paragraph" w:styleId="947" w:customStyle="1">
    <w:name w:val="TOC 标题2"/>
    <w:uiPriority w:val="39"/>
    <w:qFormat/>
    <w:rPr>
      <w:rFonts w:ascii="Times New Roman" w:hAnsi="Times New Roman" w:eastAsia="宋体" w:cs="Times New Roman"/>
      <w:lang w:val="en-US" w:eastAsia="zh-CN" w:bidi="ar-SA"/>
    </w:rPr>
  </w:style>
  <w:style w:type="paragraph" w:styleId="948" w:customStyle="1">
    <w:name w:val="s7"/>
    <w:basedOn w:val="748"/>
    <w:uiPriority w:val="0"/>
    <w:qFormat/>
    <w:pPr>
      <w:jc w:val="left"/>
      <w:spacing w:before="100" w:beforeAutospacing="1" w:after="100" w:afterAutospacing="1"/>
      <w:widowControl/>
    </w:pPr>
    <w:rPr>
      <w:rFonts w:ascii="宋体" w:hAnsi="宋体" w:cs="宋体"/>
      <w:sz w:val="24"/>
    </w:rPr>
  </w:style>
  <w:style w:type="paragraph" w:styleId="949" w:customStyle="1">
    <w:name w:val="报告正文"/>
    <w:basedOn w:val="748"/>
    <w:uiPriority w:val="99"/>
    <w:qFormat/>
    <w:pPr>
      <w:ind w:firstLine="567"/>
    </w:pPr>
    <w:rPr>
      <w:rFonts w:ascii="Arial Narrow" w:hAnsi="Arial Narrow" w:eastAsia="仿宋_GB2312"/>
      <w:sz w:val="28"/>
      <w:szCs w:val="20"/>
    </w:rPr>
  </w:style>
  <w:style w:type="paragraph" w:styleId="950"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951" w:customStyle="1">
    <w:name w:val="表格文字"/>
    <w:basedOn w:val="748"/>
    <w:uiPriority w:val="99"/>
    <w:qFormat/>
    <w:pPr>
      <w:spacing w:before="120"/>
    </w:pPr>
    <w:rPr>
      <w:rFonts w:ascii="Arial Narrow" w:hAnsi="Arial Narrow" w:eastAsia="仿宋_GB2312"/>
      <w:sz w:val="24"/>
      <w:szCs w:val="20"/>
    </w:rPr>
  </w:style>
  <w:style w:type="paragraph" w:styleId="952" w:customStyle="1">
    <w:name w:val="标题二级"/>
    <w:basedOn w:val="748"/>
    <w:uiPriority w:val="0"/>
    <w:qFormat/>
    <w:rPr>
      <w:rFonts w:ascii="宋体" w:hAnsi="宋体"/>
      <w:szCs w:val="21"/>
    </w:rPr>
  </w:style>
  <w:style w:type="paragraph" w:styleId="953" w:customStyle="1">
    <w:name w:val="p0"/>
    <w:uiPriority w:val="0"/>
    <w:qFormat/>
    <w:rPr>
      <w:rFonts w:ascii="Times New Roman" w:hAnsi="Times New Roman" w:eastAsia="宋体" w:cs="Times New Roman"/>
      <w:szCs w:val="21"/>
      <w:lang w:val="en-US" w:eastAsia="zh-CN" w:bidi="ar-SA"/>
    </w:rPr>
  </w:style>
  <w:style w:type="paragraph" w:styleId="954" w:customStyle="1">
    <w:name w:val="默认段落字体 Para Char Char Char Char"/>
    <w:basedOn w:val="748"/>
    <w:uiPriority w:val="99"/>
    <w:qFormat/>
    <w:rPr>
      <w:szCs w:val="21"/>
    </w:rPr>
  </w:style>
  <w:style w:type="paragraph" w:styleId="955" w:customStyle="1">
    <w:name w:val="彩色列表 - 强调文字颜色 11"/>
    <w:basedOn w:val="748"/>
    <w:uiPriority w:val="34"/>
    <w:qFormat/>
    <w:pPr>
      <w:ind w:firstLine="420"/>
    </w:pPr>
    <w:rPr>
      <w:rFonts w:ascii="Calibri" w:hAnsi="Calibri"/>
      <w:szCs w:val="22"/>
    </w:rPr>
  </w:style>
  <w:style w:type="paragraph" w:styleId="956" w:customStyle="1">
    <w:name w:val="Caption1"/>
    <w:basedOn w:val="748"/>
    <w:next w:val="748"/>
    <w:uiPriority w:val="35"/>
    <w:unhideWhenUsed/>
    <w:qFormat/>
    <w:pPr>
      <w:spacing w:line="276" w:lineRule="auto"/>
    </w:pPr>
    <w:rPr>
      <w:b/>
      <w:bCs/>
      <w:color w:val="4f81bd"/>
      <w:sz w:val="18"/>
      <w:szCs w:val="18"/>
    </w:rPr>
  </w:style>
  <w:style w:type="paragraph" w:styleId="957"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58" w:customStyle="1">
    <w:name w:val="索引 41"/>
    <w:basedOn w:val="748"/>
    <w:next w:val="748"/>
    <w:uiPriority w:val="99"/>
    <w:qFormat/>
    <w:pPr>
      <w:ind w:left="600"/>
    </w:pPr>
    <w:rPr>
      <w:szCs w:val="20"/>
    </w:rPr>
  </w:style>
  <w:style w:type="paragraph" w:styleId="959" w:customStyle="1">
    <w:name w:val="Char"/>
    <w:basedOn w:val="748"/>
    <w:uiPriority w:val="99"/>
    <w:qFormat/>
    <w:rPr>
      <w:sz w:val="30"/>
    </w:rPr>
  </w:style>
  <w:style w:type="paragraph" w:styleId="960" w:customStyle="1">
    <w:name w:val="Char Char3 Char Char"/>
    <w:basedOn w:val="748"/>
    <w:uiPriority w:val="99"/>
    <w:qFormat/>
    <w:rPr>
      <w:rFonts w:ascii="Tahoma" w:hAnsi="Tahoma"/>
      <w:sz w:val="24"/>
      <w:szCs w:val="20"/>
    </w:rPr>
  </w:style>
  <w:style w:type="paragraph" w:styleId="961" w:customStyle="1">
    <w:name w:val="正文文本1"/>
    <w:basedOn w:val="748"/>
    <w:next w:val="748"/>
    <w:uiPriority w:val="0"/>
    <w:qFormat/>
    <w:pPr>
      <w:spacing w:line="60" w:lineRule="auto"/>
    </w:pPr>
    <w:rPr>
      <w:rFonts w:ascii="仿宋_GB2312" w:eastAsia="仿宋_GB2312"/>
      <w:sz w:val="32"/>
    </w:rPr>
  </w:style>
  <w:style w:type="paragraph" w:styleId="962" w:customStyle="1">
    <w:name w:val="列出段落1"/>
    <w:uiPriority w:val="99"/>
    <w:qFormat/>
    <w:pPr>
      <w:ind w:firstLine="420"/>
    </w:pPr>
    <w:rPr>
      <w:rFonts w:ascii="Times New Roman" w:hAnsi="Times New Roman" w:eastAsia="宋体" w:cs="Times New Roman"/>
      <w:lang w:val="en-US" w:eastAsia="zh-CN" w:bidi="ar-SA"/>
    </w:rPr>
  </w:style>
  <w:style w:type="paragraph" w:styleId="963"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964"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965"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966" w:customStyle="1">
    <w:name w:val="正文1"/>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纯文本2"/>
    <w:basedOn w:val="748"/>
    <w:uiPriority w:val="0"/>
    <w:qFormat/>
    <w:pPr>
      <w:ind w:firstLine="200"/>
      <w:spacing w:line="360" w:lineRule="auto"/>
    </w:pPr>
    <w:rPr>
      <w:rFonts w:ascii="宋体" w:hAnsi="Courier New"/>
      <w:sz w:val="20"/>
      <w:szCs w:val="20"/>
    </w:rPr>
  </w:style>
  <w:style w:type="table" w:styleId="968" w:customStyle="1">
    <w:name w:val="List Table 4 - Accent 2"/>
    <w:basedOn w:val="818"/>
    <w:uiPriority w:val="99"/>
    <w:qFormat/>
    <w:tblPr/>
  </w:style>
  <w:style w:type="table" w:styleId="969" w:customStyle="1">
    <w:name w:val="Grid Table 6 Colorful - Accent 1"/>
    <w:basedOn w:val="818"/>
    <w:uiPriority w:val="99"/>
    <w:qFormat/>
    <w:tblPr/>
  </w:style>
  <w:style w:type="table" w:styleId="970" w:customStyle="1">
    <w:name w:val="List Table 4 - Accent 4"/>
    <w:basedOn w:val="818"/>
    <w:uiPriority w:val="99"/>
    <w:qFormat/>
    <w:tblPr/>
  </w:style>
  <w:style w:type="table" w:styleId="971" w:customStyle="1">
    <w:name w:val="Grid Table 3 - Accent 3"/>
    <w:basedOn w:val="818"/>
    <w:uiPriority w:val="99"/>
    <w:qFormat/>
    <w:tblPr/>
  </w:style>
  <w:style w:type="table" w:styleId="972" w:customStyle="1">
    <w:name w:val="Grid Table 7 Colorful - Accent 6"/>
    <w:basedOn w:val="818"/>
    <w:uiPriority w:val="99"/>
    <w:qFormat/>
    <w:tblPr/>
  </w:style>
  <w:style w:type="table" w:styleId="973" w:customStyle="1">
    <w:name w:val="Grid Table 7 Colorful - Accent 2"/>
    <w:basedOn w:val="818"/>
    <w:uiPriority w:val="99"/>
    <w:qFormat/>
    <w:tblPr/>
  </w:style>
  <w:style w:type="table" w:styleId="974" w:customStyle="1">
    <w:name w:val="无格式表格 32"/>
    <w:basedOn w:val="818"/>
    <w:uiPriority w:val="99"/>
    <w:qFormat/>
    <w:tblPr/>
  </w:style>
  <w:style w:type="table" w:styleId="975" w:customStyle="1">
    <w:name w:val="网格表 5 深色2"/>
    <w:basedOn w:val="818"/>
    <w:uiPriority w:val="99"/>
    <w:qFormat/>
    <w:tblPr/>
  </w:style>
  <w:style w:type="table" w:styleId="976" w:customStyle="1">
    <w:name w:val="Grid Table 3 - Accent 4"/>
    <w:basedOn w:val="818"/>
    <w:uiPriority w:val="99"/>
    <w:qFormat/>
    <w:tblPr/>
  </w:style>
  <w:style w:type="table" w:styleId="977" w:customStyle="1">
    <w:name w:val="Grid Table 6 Colorful - Accent 2"/>
    <w:basedOn w:val="818"/>
    <w:uiPriority w:val="99"/>
    <w:qFormat/>
    <w:tblPr/>
  </w:style>
  <w:style w:type="table" w:styleId="978" w:customStyle="1">
    <w:name w:val="Grid Table 2 - Accent 4"/>
    <w:basedOn w:val="818"/>
    <w:uiPriority w:val="99"/>
    <w:qFormat/>
    <w:tblPr/>
  </w:style>
  <w:style w:type="table" w:styleId="979" w:customStyle="1">
    <w:name w:val="Grid Table 7 Colorful - Accent 4"/>
    <w:basedOn w:val="818"/>
    <w:uiPriority w:val="99"/>
    <w:qFormat/>
    <w:tblPr/>
  </w:style>
  <w:style w:type="table" w:styleId="980" w:customStyle="1">
    <w:name w:val="Grid Table 3 - Accent 5"/>
    <w:basedOn w:val="818"/>
    <w:uiPriority w:val="99"/>
    <w:qFormat/>
    <w:tblPr/>
  </w:style>
  <w:style w:type="table" w:styleId="981" w:customStyle="1">
    <w:name w:val="List Table 4 - Accent 1"/>
    <w:basedOn w:val="818"/>
    <w:uiPriority w:val="99"/>
    <w:qFormat/>
    <w:tblPr/>
  </w:style>
  <w:style w:type="table" w:styleId="982" w:customStyle="1">
    <w:name w:val="Bordered - Accent 6"/>
    <w:basedOn w:val="818"/>
    <w:uiPriority w:val="99"/>
    <w:qFormat/>
    <w:tblPr/>
  </w:style>
  <w:style w:type="table" w:styleId="983" w:customStyle="1">
    <w:name w:val="网格表 7 彩色2"/>
    <w:basedOn w:val="818"/>
    <w:uiPriority w:val="99"/>
    <w:qFormat/>
    <w:tblPr/>
  </w:style>
  <w:style w:type="table" w:styleId="984" w:customStyle="1">
    <w:name w:val="List Table 3 - Accent 6"/>
    <w:basedOn w:val="818"/>
    <w:uiPriority w:val="99"/>
    <w:qFormat/>
    <w:tblPr/>
  </w:style>
  <w:style w:type="table" w:styleId="985" w:customStyle="1">
    <w:name w:val="Grid Table 6 Colorful - Accent 6"/>
    <w:basedOn w:val="818"/>
    <w:uiPriority w:val="99"/>
    <w:qFormat/>
    <w:tblPr/>
  </w:style>
  <w:style w:type="table" w:styleId="986" w:customStyle="1">
    <w:name w:val="Grid Table 6 Colorful - Accent 3"/>
    <w:basedOn w:val="818"/>
    <w:uiPriority w:val="99"/>
    <w:qFormat/>
    <w:tblPr/>
  </w:style>
  <w:style w:type="table" w:styleId="987" w:customStyle="1">
    <w:name w:val="Grid Table 7 Colorful - Accent 1"/>
    <w:basedOn w:val="818"/>
    <w:uiPriority w:val="99"/>
    <w:qFormat/>
    <w:tblPr/>
  </w:style>
  <w:style w:type="table" w:styleId="988" w:customStyle="1">
    <w:name w:val="List Table 1 Light - Accent 3"/>
    <w:basedOn w:val="818"/>
    <w:uiPriority w:val="99"/>
    <w:qFormat/>
    <w:tblPr/>
  </w:style>
  <w:style w:type="table" w:styleId="989" w:customStyle="1">
    <w:name w:val="网格表 1 浅色2"/>
    <w:basedOn w:val="818"/>
    <w:uiPriority w:val="99"/>
    <w:qFormat/>
    <w:tblPr/>
  </w:style>
  <w:style w:type="table" w:styleId="990" w:customStyle="1">
    <w:name w:val="Bordered - Accent 3"/>
    <w:basedOn w:val="818"/>
    <w:uiPriority w:val="99"/>
    <w:qFormat/>
    <w:tblPr/>
  </w:style>
  <w:style w:type="table" w:styleId="991" w:customStyle="1">
    <w:name w:val="List Table 7 Colorful - Accent 3"/>
    <w:basedOn w:val="818"/>
    <w:uiPriority w:val="99"/>
    <w:qFormat/>
    <w:tblPr/>
  </w:style>
  <w:style w:type="table" w:styleId="992" w:customStyle="1">
    <w:name w:val="Grid Table 4 - Accent 2"/>
    <w:basedOn w:val="818"/>
    <w:uiPriority w:val="59"/>
    <w:qFormat/>
    <w:tblPr/>
  </w:style>
  <w:style w:type="table" w:styleId="993" w:customStyle="1">
    <w:name w:val="Grid Table 3 - Accent 2"/>
    <w:basedOn w:val="818"/>
    <w:uiPriority w:val="99"/>
    <w:qFormat/>
    <w:tblPr/>
  </w:style>
  <w:style w:type="table" w:styleId="994" w:customStyle="1">
    <w:name w:val="Grid Table 4 - Accent 3"/>
    <w:basedOn w:val="818"/>
    <w:uiPriority w:val="59"/>
    <w:qFormat/>
    <w:tblPr/>
  </w:style>
  <w:style w:type="table" w:styleId="995" w:customStyle="1">
    <w:name w:val="Bordered &amp; Lined - Accent 4"/>
    <w:basedOn w:val="818"/>
    <w:uiPriority w:val="99"/>
    <w:qFormat/>
    <w:rPr>
      <w:color w:val="404040"/>
    </w:rPr>
    <w:tblPr/>
  </w:style>
  <w:style w:type="table" w:styleId="996" w:customStyle="1">
    <w:name w:val="无格式表格 12"/>
    <w:basedOn w:val="818"/>
    <w:uiPriority w:val="59"/>
    <w:qFormat/>
    <w:tblPr/>
  </w:style>
  <w:style w:type="table" w:styleId="997" w:customStyle="1">
    <w:name w:val="Grid Table 1 Light - Accent 4"/>
    <w:basedOn w:val="818"/>
    <w:uiPriority w:val="99"/>
    <w:qFormat/>
    <w:tblPr/>
  </w:style>
  <w:style w:type="table" w:styleId="998" w:customStyle="1">
    <w:name w:val="Grid Table 3 - Accent 1"/>
    <w:basedOn w:val="818"/>
    <w:uiPriority w:val="99"/>
    <w:qFormat/>
    <w:tblPr/>
  </w:style>
  <w:style w:type="table" w:styleId="999" w:customStyle="1">
    <w:name w:val="Bordered &amp; Lined - Accent 6"/>
    <w:basedOn w:val="818"/>
    <w:uiPriority w:val="99"/>
    <w:qFormat/>
    <w:rPr>
      <w:color w:val="404040"/>
    </w:rPr>
    <w:tblPr/>
  </w:style>
  <w:style w:type="table" w:styleId="1000" w:customStyle="1">
    <w:name w:val="Bordered &amp; Lined - Accent"/>
    <w:basedOn w:val="818"/>
    <w:uiPriority w:val="99"/>
    <w:qFormat/>
    <w:rPr>
      <w:color w:val="404040"/>
    </w:rPr>
    <w:tblPr/>
  </w:style>
  <w:style w:type="table" w:styleId="1001" w:customStyle="1">
    <w:name w:val="Grid Table 1 Light - Accent 2"/>
    <w:basedOn w:val="818"/>
    <w:uiPriority w:val="99"/>
    <w:qFormat/>
    <w:tblPr/>
  </w:style>
  <w:style w:type="table" w:styleId="1002" w:customStyle="1">
    <w:name w:val="List Table 1 Light - Accent 5"/>
    <w:basedOn w:val="818"/>
    <w:uiPriority w:val="99"/>
    <w:qFormat/>
    <w:tblPr/>
  </w:style>
  <w:style w:type="table" w:styleId="1003" w:customStyle="1">
    <w:name w:val="网格表 42"/>
    <w:basedOn w:val="818"/>
    <w:uiPriority w:val="59"/>
    <w:qFormat/>
    <w:tblPr/>
  </w:style>
  <w:style w:type="table" w:styleId="1004" w:customStyle="1">
    <w:name w:val="List Table 5 Dark - Accent 4"/>
    <w:basedOn w:val="818"/>
    <w:uiPriority w:val="99"/>
    <w:qFormat/>
    <w:tblPr/>
  </w:style>
  <w:style w:type="table" w:styleId="1005" w:customStyle="1">
    <w:name w:val="Lined - Accent 6"/>
    <w:basedOn w:val="818"/>
    <w:uiPriority w:val="99"/>
    <w:qFormat/>
    <w:rPr>
      <w:color w:val="404040"/>
    </w:rPr>
    <w:tblPr/>
  </w:style>
  <w:style w:type="table" w:styleId="1006" w:customStyle="1">
    <w:name w:val="List Table 3 - Accent 5"/>
    <w:basedOn w:val="818"/>
    <w:uiPriority w:val="99"/>
    <w:qFormat/>
    <w:tblPr/>
  </w:style>
  <w:style w:type="table" w:styleId="1007" w:customStyle="1">
    <w:name w:val="网格表 32"/>
    <w:basedOn w:val="818"/>
    <w:uiPriority w:val="99"/>
    <w:qFormat/>
    <w:tblPr/>
  </w:style>
  <w:style w:type="table" w:styleId="1008" w:customStyle="1">
    <w:name w:val="List Table 4 - Accent 6"/>
    <w:basedOn w:val="818"/>
    <w:uiPriority w:val="99"/>
    <w:qFormat/>
    <w:tblPr/>
  </w:style>
  <w:style w:type="table" w:styleId="1009" w:customStyle="1">
    <w:name w:val="List Table 3 - Accent 3"/>
    <w:basedOn w:val="818"/>
    <w:uiPriority w:val="99"/>
    <w:qFormat/>
    <w:tblPr/>
  </w:style>
  <w:style w:type="table" w:styleId="1010" w:customStyle="1">
    <w:name w:val="Grid Table 2 - Accent 1"/>
    <w:basedOn w:val="818"/>
    <w:uiPriority w:val="99"/>
    <w:qFormat/>
    <w:tblPr/>
  </w:style>
  <w:style w:type="table" w:styleId="1011" w:customStyle="1">
    <w:name w:val="Grid Table 1 Light - Accent 6"/>
    <w:basedOn w:val="818"/>
    <w:uiPriority w:val="99"/>
    <w:qFormat/>
    <w:tblPr/>
  </w:style>
  <w:style w:type="table" w:styleId="1012" w:customStyle="1">
    <w:name w:val="无格式表格 42"/>
    <w:basedOn w:val="818"/>
    <w:uiPriority w:val="99"/>
    <w:qFormat/>
    <w:tblPr/>
  </w:style>
  <w:style w:type="table" w:styleId="1013" w:customStyle="1">
    <w:name w:val="清单表 7 彩色2"/>
    <w:basedOn w:val="818"/>
    <w:uiPriority w:val="99"/>
    <w:qFormat/>
    <w:tblPr/>
  </w:style>
  <w:style w:type="table" w:styleId="1014" w:customStyle="1">
    <w:name w:val="Grid Table 1 Light - Accent 1"/>
    <w:basedOn w:val="818"/>
    <w:uiPriority w:val="99"/>
    <w:qFormat/>
    <w:tblPr/>
  </w:style>
  <w:style w:type="table" w:styleId="1015" w:customStyle="1">
    <w:name w:val="Grid Table 4 - Accent 4"/>
    <w:basedOn w:val="818"/>
    <w:uiPriority w:val="59"/>
    <w:qFormat/>
    <w:tblPr/>
  </w:style>
  <w:style w:type="table" w:styleId="1016" w:customStyle="1">
    <w:name w:val="Bordered &amp; Lined - Accent 2"/>
    <w:basedOn w:val="818"/>
    <w:uiPriority w:val="99"/>
    <w:qFormat/>
    <w:rPr>
      <w:color w:val="404040"/>
    </w:rPr>
    <w:tblPr/>
  </w:style>
  <w:style w:type="table" w:styleId="1017" w:customStyle="1">
    <w:name w:val="Grid Table 5 Dark - Accent 2"/>
    <w:basedOn w:val="818"/>
    <w:uiPriority w:val="99"/>
    <w:qFormat/>
    <w:tblPr/>
  </w:style>
  <w:style w:type="table" w:styleId="1018" w:customStyle="1">
    <w:name w:val="Grid Table 5 Dark - Accent 5"/>
    <w:basedOn w:val="818"/>
    <w:uiPriority w:val="99"/>
    <w:qFormat/>
    <w:tblPr/>
  </w:style>
  <w:style w:type="table" w:styleId="1019" w:customStyle="1">
    <w:name w:val="清单表 6 彩色2"/>
    <w:basedOn w:val="818"/>
    <w:uiPriority w:val="99"/>
    <w:qFormat/>
    <w:tblPr/>
  </w:style>
  <w:style w:type="table" w:styleId="1020" w:customStyle="1">
    <w:name w:val="Grid Table 7 Colorful - Accent 3"/>
    <w:basedOn w:val="818"/>
    <w:uiPriority w:val="99"/>
    <w:qFormat/>
    <w:tblPr/>
  </w:style>
  <w:style w:type="table" w:styleId="1021" w:customStyle="1">
    <w:name w:val="List Table 2 - Accent 6"/>
    <w:basedOn w:val="818"/>
    <w:uiPriority w:val="99"/>
    <w:qFormat/>
    <w:tblPr/>
  </w:style>
  <w:style w:type="table" w:styleId="1022" w:customStyle="1">
    <w:name w:val="List Table 1 Light - Accent 4"/>
    <w:basedOn w:val="818"/>
    <w:uiPriority w:val="99"/>
    <w:qFormat/>
    <w:tblPr/>
  </w:style>
  <w:style w:type="table" w:styleId="1023" w:customStyle="1">
    <w:name w:val="Grid Table 5 Dark - Accent 3"/>
    <w:basedOn w:val="818"/>
    <w:uiPriority w:val="99"/>
    <w:qFormat/>
    <w:tblPr/>
  </w:style>
  <w:style w:type="table" w:styleId="1024" w:customStyle="1">
    <w:name w:val="Lined - Accent 5"/>
    <w:basedOn w:val="818"/>
    <w:uiPriority w:val="99"/>
    <w:qFormat/>
    <w:rPr>
      <w:color w:val="404040"/>
    </w:rPr>
    <w:tblPr/>
  </w:style>
  <w:style w:type="table" w:styleId="1025" w:customStyle="1">
    <w:name w:val="List Table 1 Light - Accent 1"/>
    <w:basedOn w:val="818"/>
    <w:uiPriority w:val="99"/>
    <w:qFormat/>
    <w:tblPr/>
  </w:style>
  <w:style w:type="table" w:styleId="1026" w:customStyle="1">
    <w:name w:val="网格型1"/>
    <w:basedOn w:val="818"/>
    <w:uiPriority w:val="59"/>
    <w:qFormat/>
    <w:tblPr/>
  </w:style>
  <w:style w:type="table" w:styleId="1027" w:customStyle="1">
    <w:name w:val="清单表 5 深色2"/>
    <w:basedOn w:val="818"/>
    <w:uiPriority w:val="99"/>
    <w:qFormat/>
    <w:tblPr/>
  </w:style>
  <w:style w:type="table" w:styleId="1028" w:customStyle="1">
    <w:name w:val="Grid Table 3 - Accent 6"/>
    <w:basedOn w:val="818"/>
    <w:uiPriority w:val="99"/>
    <w:qFormat/>
    <w:tblPr/>
  </w:style>
  <w:style w:type="table" w:styleId="1029" w:customStyle="1">
    <w:name w:val="List Table 5 Dark - Accent 2"/>
    <w:basedOn w:val="818"/>
    <w:uiPriority w:val="99"/>
    <w:qFormat/>
    <w:tblPr/>
  </w:style>
  <w:style w:type="table" w:styleId="1030" w:customStyle="1">
    <w:name w:val="List Table 4 - Accent 5"/>
    <w:basedOn w:val="818"/>
    <w:uiPriority w:val="99"/>
    <w:qFormat/>
    <w:tblPr/>
  </w:style>
  <w:style w:type="table" w:styleId="1031" w:customStyle="1">
    <w:name w:val="List Table 5 Dark - Accent 5"/>
    <w:basedOn w:val="818"/>
    <w:uiPriority w:val="99"/>
    <w:qFormat/>
    <w:tblPr/>
  </w:style>
  <w:style w:type="table" w:styleId="1032" w:customStyle="1">
    <w:name w:val="List Table 3 - Accent 2"/>
    <w:basedOn w:val="818"/>
    <w:uiPriority w:val="99"/>
    <w:qFormat/>
    <w:tblPr/>
  </w:style>
  <w:style w:type="table" w:styleId="1033" w:customStyle="1">
    <w:name w:val="Grid Table 5 Dark - Accent 6"/>
    <w:basedOn w:val="818"/>
    <w:uiPriority w:val="99"/>
    <w:qFormat/>
    <w:tblPr/>
  </w:style>
  <w:style w:type="table" w:styleId="1034" w:customStyle="1">
    <w:name w:val="清单表 1 浅色2"/>
    <w:basedOn w:val="818"/>
    <w:uiPriority w:val="99"/>
    <w:qFormat/>
    <w:tblPr/>
  </w:style>
  <w:style w:type="table" w:styleId="1035" w:customStyle="1">
    <w:name w:val="List Table 1 Light - Accent 6"/>
    <w:basedOn w:val="818"/>
    <w:uiPriority w:val="99"/>
    <w:qFormat/>
    <w:tblPr/>
  </w:style>
  <w:style w:type="table" w:styleId="1036" w:customStyle="1">
    <w:name w:val="清单表 42"/>
    <w:basedOn w:val="818"/>
    <w:uiPriority w:val="99"/>
    <w:qFormat/>
    <w:tblPr/>
  </w:style>
  <w:style w:type="table" w:styleId="1037" w:customStyle="1">
    <w:name w:val="List Table 7 Colorful - Accent 5"/>
    <w:basedOn w:val="818"/>
    <w:uiPriority w:val="99"/>
    <w:qFormat/>
    <w:tblPr/>
  </w:style>
  <w:style w:type="table" w:styleId="1038" w:customStyle="1">
    <w:name w:val="Lined - Accent 3"/>
    <w:basedOn w:val="818"/>
    <w:uiPriority w:val="99"/>
    <w:qFormat/>
    <w:rPr>
      <w:color w:val="404040"/>
    </w:rPr>
    <w:tblPr/>
  </w:style>
  <w:style w:type="table" w:styleId="1039" w:customStyle="1">
    <w:name w:val="Grid Table 2 - Accent 3"/>
    <w:basedOn w:val="818"/>
    <w:uiPriority w:val="99"/>
    <w:qFormat/>
    <w:tblPr/>
  </w:style>
  <w:style w:type="table" w:styleId="1040" w:customStyle="1">
    <w:name w:val="List Table 5 Dark - Accent 3"/>
    <w:basedOn w:val="818"/>
    <w:uiPriority w:val="99"/>
    <w:qFormat/>
    <w:tblPr/>
  </w:style>
  <w:style w:type="table" w:styleId="1041" w:customStyle="1">
    <w:name w:val="Bordered &amp; Lined - Accent 1"/>
    <w:basedOn w:val="818"/>
    <w:uiPriority w:val="99"/>
    <w:qFormat/>
    <w:rPr>
      <w:color w:val="404040"/>
    </w:rPr>
    <w:tblPr/>
  </w:style>
  <w:style w:type="table" w:styleId="1042" w:customStyle="1">
    <w:name w:val="Lined - Accent 1"/>
    <w:basedOn w:val="818"/>
    <w:uiPriority w:val="99"/>
    <w:qFormat/>
    <w:rPr>
      <w:color w:val="404040"/>
    </w:rPr>
    <w:tblPr/>
  </w:style>
  <w:style w:type="table" w:styleId="1043" w:customStyle="1">
    <w:name w:val="List Table 4 - Accent 3"/>
    <w:basedOn w:val="818"/>
    <w:uiPriority w:val="99"/>
    <w:qFormat/>
    <w:tblPr/>
  </w:style>
  <w:style w:type="table" w:styleId="1044" w:customStyle="1">
    <w:name w:val="List Table 2 - Accent 4"/>
    <w:basedOn w:val="818"/>
    <w:uiPriority w:val="99"/>
    <w:qFormat/>
    <w:tblPr/>
  </w:style>
  <w:style w:type="table" w:styleId="1045" w:customStyle="1">
    <w:name w:val="Grid Table 1 Light - Accent 5"/>
    <w:basedOn w:val="818"/>
    <w:uiPriority w:val="99"/>
    <w:qFormat/>
    <w:tblPr/>
  </w:style>
  <w:style w:type="table" w:styleId="1046" w:customStyle="1">
    <w:name w:val="Grid Table 6 Colorful - Accent 5"/>
    <w:basedOn w:val="818"/>
    <w:uiPriority w:val="99"/>
    <w:qFormat/>
    <w:tblPr/>
  </w:style>
  <w:style w:type="table" w:styleId="1047" w:customStyle="1">
    <w:name w:val="Grid Table 4 - Accent 1"/>
    <w:basedOn w:val="818"/>
    <w:uiPriority w:val="59"/>
    <w:qFormat/>
    <w:tblPr/>
  </w:style>
  <w:style w:type="table" w:styleId="1048" w:customStyle="1">
    <w:name w:val="Grid Table 4 - Accent 5"/>
    <w:basedOn w:val="818"/>
    <w:uiPriority w:val="59"/>
    <w:qFormat/>
    <w:tblPr/>
  </w:style>
  <w:style w:type="table" w:styleId="1049" w:customStyle="1">
    <w:name w:val="List Table 7 Colorful - Accent 2"/>
    <w:basedOn w:val="818"/>
    <w:uiPriority w:val="99"/>
    <w:qFormat/>
    <w:tblPr/>
  </w:style>
  <w:style w:type="table" w:styleId="1050" w:customStyle="1">
    <w:name w:val="Lined - Accent 2"/>
    <w:basedOn w:val="818"/>
    <w:uiPriority w:val="99"/>
    <w:qFormat/>
    <w:rPr>
      <w:color w:val="404040"/>
    </w:rPr>
    <w:tblPr/>
  </w:style>
  <w:style w:type="table" w:styleId="1051" w:customStyle="1">
    <w:name w:val="Grid Table 1 Light - Accent 3"/>
    <w:basedOn w:val="818"/>
    <w:uiPriority w:val="99"/>
    <w:qFormat/>
    <w:tblPr/>
  </w:style>
  <w:style w:type="table" w:styleId="1052" w:customStyle="1">
    <w:name w:val="List Table 6 Colorful - Accent 5"/>
    <w:basedOn w:val="818"/>
    <w:uiPriority w:val="99"/>
    <w:qFormat/>
    <w:tblPr/>
  </w:style>
  <w:style w:type="table" w:styleId="1053" w:customStyle="1">
    <w:name w:val="List Table 6 Colorful - Accent 4"/>
    <w:basedOn w:val="818"/>
    <w:uiPriority w:val="99"/>
    <w:qFormat/>
    <w:tblPr/>
  </w:style>
  <w:style w:type="table" w:styleId="1054" w:customStyle="1">
    <w:name w:val="清单表 32"/>
    <w:basedOn w:val="818"/>
    <w:uiPriority w:val="99"/>
    <w:qFormat/>
    <w:tblPr/>
  </w:style>
  <w:style w:type="table" w:styleId="1055" w:customStyle="1">
    <w:name w:val="Bordered - Accent 2"/>
    <w:basedOn w:val="818"/>
    <w:uiPriority w:val="99"/>
    <w:qFormat/>
    <w:tblPr/>
  </w:style>
  <w:style w:type="table" w:styleId="1056" w:customStyle="1">
    <w:name w:val="List Table 7 Colorful - Accent 4"/>
    <w:basedOn w:val="818"/>
    <w:uiPriority w:val="99"/>
    <w:qFormat/>
    <w:tblPr/>
  </w:style>
  <w:style w:type="table" w:styleId="1057" w:customStyle="1">
    <w:name w:val="Grid Table 5 Dark- Accent 1"/>
    <w:basedOn w:val="818"/>
    <w:uiPriority w:val="99"/>
    <w:qFormat/>
    <w:tblPr/>
  </w:style>
  <w:style w:type="table" w:styleId="1058" w:customStyle="1">
    <w:name w:val="Lined - Accent"/>
    <w:basedOn w:val="818"/>
    <w:uiPriority w:val="99"/>
    <w:qFormat/>
    <w:rPr>
      <w:color w:val="404040"/>
    </w:rPr>
    <w:tblPr/>
  </w:style>
  <w:style w:type="table" w:styleId="1059" w:customStyle="1">
    <w:name w:val="List Table 2 - Accent 5"/>
    <w:basedOn w:val="818"/>
    <w:uiPriority w:val="99"/>
    <w:qFormat/>
    <w:tblPr/>
  </w:style>
  <w:style w:type="table" w:styleId="1060" w:customStyle="1">
    <w:name w:val="Bordered"/>
    <w:basedOn w:val="818"/>
    <w:uiPriority w:val="99"/>
    <w:qFormat/>
    <w:tblPr/>
  </w:style>
  <w:style w:type="table" w:styleId="1061" w:customStyle="1">
    <w:name w:val="List Table 7 Colorful - Accent 1"/>
    <w:basedOn w:val="818"/>
    <w:uiPriority w:val="99"/>
    <w:qFormat/>
    <w:tblPr/>
  </w:style>
  <w:style w:type="table" w:styleId="1062" w:customStyle="1">
    <w:name w:val="清单表 22"/>
    <w:basedOn w:val="818"/>
    <w:uiPriority w:val="99"/>
    <w:qFormat/>
    <w:tblPr/>
  </w:style>
  <w:style w:type="table" w:styleId="1063" w:customStyle="1">
    <w:name w:val="网格表 6 彩色2"/>
    <w:basedOn w:val="818"/>
    <w:uiPriority w:val="99"/>
    <w:qFormat/>
    <w:tblPr/>
  </w:style>
  <w:style w:type="table" w:styleId="1064" w:customStyle="1">
    <w:name w:val="List Table 5 Dark - Accent 1"/>
    <w:basedOn w:val="818"/>
    <w:uiPriority w:val="99"/>
    <w:qFormat/>
    <w:tblPr/>
  </w:style>
  <w:style w:type="table" w:styleId="1065" w:customStyle="1">
    <w:name w:val="Grid Table 2 - Accent 6"/>
    <w:basedOn w:val="818"/>
    <w:uiPriority w:val="99"/>
    <w:qFormat/>
    <w:tblPr/>
  </w:style>
  <w:style w:type="table" w:styleId="1066" w:customStyle="1">
    <w:name w:val="Table Grid Light"/>
    <w:basedOn w:val="818"/>
    <w:uiPriority w:val="59"/>
    <w:qFormat/>
    <w:tblPr/>
  </w:style>
  <w:style w:type="table" w:styleId="1067" w:customStyle="1">
    <w:name w:val="List Table 2 - Accent 2"/>
    <w:basedOn w:val="818"/>
    <w:uiPriority w:val="99"/>
    <w:qFormat/>
    <w:tblPr/>
  </w:style>
  <w:style w:type="table" w:styleId="1068" w:customStyle="1">
    <w:name w:val="List Table 2 - Accent 1"/>
    <w:basedOn w:val="818"/>
    <w:uiPriority w:val="99"/>
    <w:qFormat/>
    <w:tblPr/>
  </w:style>
  <w:style w:type="table" w:styleId="1069" w:customStyle="1">
    <w:name w:val="List Table 6 Colorful - Accent 6"/>
    <w:basedOn w:val="818"/>
    <w:uiPriority w:val="99"/>
    <w:qFormat/>
    <w:tblPr/>
  </w:style>
  <w:style w:type="table" w:styleId="1070" w:customStyle="1">
    <w:name w:val="Grid Table 2 - Accent 5"/>
    <w:basedOn w:val="818"/>
    <w:uiPriority w:val="99"/>
    <w:qFormat/>
    <w:tblPr/>
  </w:style>
  <w:style w:type="table" w:styleId="1071" w:customStyle="1">
    <w:name w:val="Bordered - Accent 1"/>
    <w:basedOn w:val="818"/>
    <w:uiPriority w:val="99"/>
    <w:qFormat/>
    <w:tblPr/>
  </w:style>
  <w:style w:type="table" w:styleId="1072" w:customStyle="1">
    <w:name w:val="Grid Table 5 Dark- Accent 4"/>
    <w:basedOn w:val="818"/>
    <w:uiPriority w:val="99"/>
    <w:qFormat/>
    <w:tblPr/>
  </w:style>
  <w:style w:type="table" w:styleId="1073" w:customStyle="1">
    <w:name w:val="Grid Table 7 Colorful - Accent 5"/>
    <w:basedOn w:val="818"/>
    <w:uiPriority w:val="99"/>
    <w:qFormat/>
    <w:tblPr/>
  </w:style>
  <w:style w:type="table" w:styleId="1074" w:customStyle="1">
    <w:name w:val="List Table 6 Colorful - Accent 3"/>
    <w:basedOn w:val="818"/>
    <w:uiPriority w:val="99"/>
    <w:qFormat/>
    <w:tblPr/>
  </w:style>
  <w:style w:type="table" w:styleId="1075" w:customStyle="1">
    <w:name w:val="List Table 2 - Accent 3"/>
    <w:basedOn w:val="818"/>
    <w:uiPriority w:val="99"/>
    <w:qFormat/>
    <w:tblPr/>
  </w:style>
  <w:style w:type="table" w:styleId="1076" w:customStyle="1">
    <w:name w:val="网格表 22"/>
    <w:basedOn w:val="818"/>
    <w:uiPriority w:val="99"/>
    <w:qFormat/>
    <w:tblPr/>
  </w:style>
  <w:style w:type="table" w:styleId="1077" w:customStyle="1">
    <w:name w:val="List Table 5 Dark - Accent 6"/>
    <w:basedOn w:val="818"/>
    <w:uiPriority w:val="99"/>
    <w:qFormat/>
    <w:tblPr/>
  </w:style>
  <w:style w:type="table" w:styleId="1078" w:customStyle="1">
    <w:name w:val="Bordered &amp; Lined - Accent 5"/>
    <w:basedOn w:val="818"/>
    <w:uiPriority w:val="99"/>
    <w:qFormat/>
    <w:rPr>
      <w:color w:val="404040"/>
    </w:rPr>
    <w:tblPr/>
  </w:style>
  <w:style w:type="table" w:styleId="1079" w:customStyle="1">
    <w:name w:val="List Table 7 Colorful - Accent 6"/>
    <w:basedOn w:val="818"/>
    <w:uiPriority w:val="99"/>
    <w:qFormat/>
    <w:tblPr/>
  </w:style>
  <w:style w:type="table" w:styleId="1080" w:customStyle="1">
    <w:name w:val="无格式表格 52"/>
    <w:basedOn w:val="818"/>
    <w:uiPriority w:val="99"/>
    <w:qFormat/>
    <w:tblPr/>
  </w:style>
  <w:style w:type="table" w:styleId="1081" w:customStyle="1">
    <w:name w:val="Bordered - Accent 5"/>
    <w:basedOn w:val="818"/>
    <w:uiPriority w:val="99"/>
    <w:qFormat/>
    <w:tblPr/>
  </w:style>
  <w:style w:type="table" w:styleId="1082" w:customStyle="1">
    <w:name w:val="List Table 6 Colorful - Accent 1"/>
    <w:basedOn w:val="818"/>
    <w:uiPriority w:val="99"/>
    <w:qFormat/>
    <w:tblPr/>
  </w:style>
  <w:style w:type="table" w:styleId="1083" w:customStyle="1">
    <w:name w:val="List Table 3 - Accent 4"/>
    <w:basedOn w:val="818"/>
    <w:uiPriority w:val="99"/>
    <w:qFormat/>
    <w:tblPr/>
  </w:style>
  <w:style w:type="table" w:styleId="1084" w:customStyle="1">
    <w:name w:val="Lined - Accent 4"/>
    <w:basedOn w:val="818"/>
    <w:uiPriority w:val="99"/>
    <w:qFormat/>
    <w:rPr>
      <w:color w:val="404040"/>
    </w:rPr>
    <w:tblPr/>
  </w:style>
  <w:style w:type="table" w:styleId="1085" w:customStyle="1">
    <w:name w:val="List Table 6 Colorful - Accent 2"/>
    <w:basedOn w:val="818"/>
    <w:uiPriority w:val="99"/>
    <w:qFormat/>
    <w:tblPr/>
  </w:style>
  <w:style w:type="table" w:styleId="1086" w:customStyle="1">
    <w:name w:val="无格式表格 22"/>
    <w:basedOn w:val="818"/>
    <w:uiPriority w:val="59"/>
    <w:qFormat/>
    <w:tblPr/>
  </w:style>
  <w:style w:type="table" w:styleId="1087" w:customStyle="1">
    <w:name w:val="Bordered &amp; Lined - Accent 3"/>
    <w:basedOn w:val="818"/>
    <w:uiPriority w:val="99"/>
    <w:qFormat/>
    <w:rPr>
      <w:color w:val="404040"/>
    </w:rPr>
    <w:tblPr/>
  </w:style>
  <w:style w:type="table" w:styleId="1088" w:customStyle="1">
    <w:name w:val="Grid Table 4 - Accent 6"/>
    <w:basedOn w:val="818"/>
    <w:uiPriority w:val="59"/>
    <w:qFormat/>
    <w:tblPr/>
  </w:style>
  <w:style w:type="table" w:styleId="1089" w:customStyle="1">
    <w:name w:val="List Table 3 - Accent 1"/>
    <w:basedOn w:val="818"/>
    <w:uiPriority w:val="99"/>
    <w:qFormat/>
    <w:tblPr/>
  </w:style>
  <w:style w:type="table" w:styleId="1090" w:customStyle="1">
    <w:name w:val="List Table 1 Light - Accent 2"/>
    <w:basedOn w:val="818"/>
    <w:uiPriority w:val="99"/>
    <w:qFormat/>
    <w:tblPr/>
  </w:style>
  <w:style w:type="table" w:styleId="1091" w:customStyle="1">
    <w:name w:val="Grid Table 6 Colorful - Accent 4"/>
    <w:basedOn w:val="818"/>
    <w:uiPriority w:val="99"/>
    <w:qFormat/>
    <w:tblPr/>
  </w:style>
  <w:style w:type="table" w:styleId="1092" w:customStyle="1">
    <w:name w:val="Grid Table 2 - Accent 2"/>
    <w:basedOn w:val="818"/>
    <w:uiPriority w:val="99"/>
    <w:qFormat/>
    <w:tblPr/>
  </w:style>
  <w:style w:type="table" w:styleId="1093" w:customStyle="1">
    <w:name w:val="Bordered - Accent 4"/>
    <w:basedOn w:val="818"/>
    <w:uiPriority w:val="99"/>
    <w:qFormat/>
    <w:tblPr/>
  </w:style>
  <w:style w:type="character" w:styleId="1094" w:customStyle="1">
    <w:name w:val="批注文字 字符1"/>
    <w:basedOn w:val="758"/>
    <w:link w:val="763"/>
    <w:uiPriority w:val="99"/>
    <w:semiHidden/>
    <w:qFormat/>
    <w:rPr>
      <w:sz w:val="21"/>
      <w:szCs w:val="24"/>
    </w:rPr>
  </w:style>
  <w:style w:type="character" w:styleId="1095" w:customStyle="1">
    <w:name w:val="批注主题 字符1"/>
    <w:basedOn w:val="1094"/>
    <w:link w:val="780"/>
    <w:uiPriority w:val="99"/>
    <w:semiHidden/>
    <w:qFormat/>
    <w:rPr>
      <w:b/>
      <w:bCs/>
      <w:sz w:val="21"/>
      <w:szCs w:val="24"/>
    </w:rPr>
  </w:style>
  <w:style w:type="numbering" w:styleId="20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124CA75-2A42-4CCE-96CB-73F6CD3BBB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王凤</cp:lastModifiedBy>
  <cp:revision>16</cp:revision>
  <dcterms:created xsi:type="dcterms:W3CDTF">2026-01-21T05:08:00Z</dcterms:created>
  <dcterms:modified xsi:type="dcterms:W3CDTF">2026-10-10T08:14:34Z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eyJoZGlkIjoiOGNmOGQ4ZjU0NzNmNjZiNWEyNjc5MmQwMDg0ZmViODciLCJ1c2VySWQiOiIzNzQzNjk4NTEifQ==</vt:lpwstr>
  </property>
  <property fmtid="{D5CDD505-2E9C-101B-9397-08002B2CF9AE}" pid="3" name="KSOProductBuildVer">
    <vt:lpwstr>2052-12.1.0.29161</vt:lpwstr>
  </property>
  <property fmtid="{D5CDD505-2E9C-101B-9397-08002B2CF9AE}" pid="4" name="ICV">
    <vt:lpwstr>394893439BD742129846FA46444D15A7_13</vt:lpwstr>
  </property>
</Properties>
</file>