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jc w:val="center"/>
        <w:spacing w:line="520" w:lineRule="exact"/>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-786764</wp:posOffset>
                </wp:positionH>
                <wp:positionV relativeFrom="paragraph">
                  <wp:posOffset>-726439</wp:posOffset>
                </wp:positionV>
                <wp:extent cx="7633335" cy="1076007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33335" cy="1076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61.9pt;mso-position-horizontal:absolute;mso-position-vertical-relative:text;margin-top:-57.2pt;mso-position-vertical:absolute;width:601.0pt;height:847.2pt;mso-wrap-distance-left:9.0pt;mso-wrap-distance-top:0.0pt;mso-wrap-distance-right:9.0pt;mso-wrap-distance-bottom:0.0pt;" stroked="f">
                <v:path textboxrect="0,0,0,0"/>
                <v:imagedata r:id="rId18" o:title=""/>
              </v:shape>
            </w:pict>
          </mc:Fallback>
        </mc:AlternateContent>
      </w: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jc w:val="center"/>
        <w:spacing w:line="520" w:lineRule="exact"/>
        <w:rPr>
          <w:rFonts w:hint="eastAsia"/>
          <w:lang w:eastAsia="zh-CN"/>
        </w:rPr>
      </w:pPr>
      <w:r>
        <w:rPr>
          <w:rFonts w:hint="eastAsia"/>
          <w:lang w:eastAsia="zh-CN"/>
        </w:rPr>
      </w:r>
      <w:r/>
    </w:p>
    <w:p>
      <w:pPr>
        <w:pStyle w:val="1024"/>
        <w:ind w:firstLine="3855"/>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w:r>
      <w:r/>
    </w:p>
    <w:p>
      <w:pPr>
        <w:pStyle w:val="1024"/>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4"/>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4"/>
        <w:spacing w:line="480" w:lineRule="exact"/>
        <w:rPr>
          <w:rFonts w:ascii="宋体" w:hAnsi="宋体"/>
          <w:color w:val="000000"/>
          <w:sz w:val="28"/>
          <w:highlight w:val="none"/>
        </w:rPr>
      </w:pPr>
      <w:r>
        <w:rPr>
          <w:rFonts w:ascii="宋体" w:hAnsi="宋体"/>
          <w:color w:val="000000"/>
          <w:sz w:val="28"/>
          <w:highlight w:val="none"/>
        </w:rPr>
      </w:r>
      <w:r/>
    </w:p>
    <w:p>
      <w:pPr>
        <w:pStyle w:val="1024"/>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4"/>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4"/>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4"/>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4"/>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4"/>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4"/>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24</w:t>
      </w:r>
      <w:r>
        <w:rPr>
          <w:rFonts w:ascii="宋体" w:hAnsi="宋体" w:eastAsia="宋体"/>
          <w:color w:val="000000"/>
          <w:sz w:val="30"/>
          <w:highlight w:val="none"/>
          <w:lang w:val="en-US" w:eastAsia="zh-CN"/>
        </w:rPr>
      </w:r>
      <w:r/>
    </w:p>
    <w:p>
      <w:pPr>
        <w:pStyle w:val="1024"/>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29</w:t>
      </w:r>
      <w:r>
        <w:rPr>
          <w:rFonts w:hint="eastAsia" w:ascii="宋体" w:hAnsi="宋体"/>
          <w:color w:val="000000"/>
          <w:sz w:val="30"/>
          <w:highlight w:val="none"/>
        </w:rPr>
        <w:t xml:space="preserve">   </w:t>
      </w:r>
      <w:r>
        <w:rPr>
          <w:rFonts w:ascii="宋体" w:hAnsi="宋体"/>
          <w:color w:val="000000"/>
          <w:sz w:val="30"/>
          <w:highlight w:val="none"/>
        </w:rPr>
      </w:r>
      <w:r/>
    </w:p>
    <w:p>
      <w:pPr>
        <w:pStyle w:val="102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34</w:t>
      </w:r>
      <w:r>
        <w:rPr>
          <w:rFonts w:ascii="宋体" w:hAnsi="宋体" w:eastAsia="宋体"/>
          <w:color w:val="000000"/>
          <w:sz w:val="30"/>
          <w:highlight w:val="none"/>
          <w:lang w:val="en-US" w:eastAsia="zh-CN"/>
        </w:rPr>
      </w:r>
      <w:r/>
    </w:p>
    <w:p>
      <w:pPr>
        <w:pStyle w:val="1024"/>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39</w:t>
      </w:r>
      <w:r>
        <w:rPr>
          <w:rFonts w:ascii="宋体" w:hAnsi="宋体" w:eastAsia="宋体"/>
          <w:color w:val="000000"/>
          <w:sz w:val="30"/>
          <w:highlight w:val="none"/>
          <w:lang w:val="en-US" w:eastAsia="zh-CN"/>
        </w:rPr>
      </w:r>
      <w:r/>
    </w:p>
    <w:p>
      <w:pPr>
        <w:pStyle w:val="1049"/>
        <w:ind w:firstLine="482"/>
        <w:rPr>
          <w:rFonts w:hint="eastAsia" w:ascii="宋体" w:hAnsi="宋体"/>
          <w:b/>
          <w:color w:val="000000"/>
          <w:sz w:val="48"/>
          <w:highlight w:val="none"/>
        </w:rPr>
      </w:pPr>
      <w:r>
        <w:rPr>
          <w:rFonts w:hint="eastAsia" w:ascii="宋体" w:hAnsi="宋体"/>
          <w:b/>
          <w:color w:val="000000"/>
          <w:sz w:val="48"/>
          <w:highlight w:val="none"/>
        </w:rPr>
      </w:r>
      <w:r/>
    </w:p>
    <w:p>
      <w:pPr>
        <w:pStyle w:val="1024"/>
        <w:rPr>
          <w:rFonts w:hint="eastAsia" w:ascii="宋体" w:hAnsi="宋体"/>
          <w:b/>
          <w:color w:val="000000"/>
          <w:sz w:val="48"/>
          <w:highlight w:val="none"/>
        </w:rPr>
      </w:pPr>
      <w:r>
        <w:rPr>
          <w:rFonts w:hint="eastAsia" w:ascii="宋体" w:hAnsi="宋体"/>
          <w:b/>
          <w:color w:val="000000"/>
          <w:sz w:val="48"/>
          <w:highlight w:val="none"/>
        </w:rPr>
      </w:r>
      <w:r/>
    </w:p>
    <w:p>
      <w:pPr>
        <w:pStyle w:val="1024"/>
        <w:rPr>
          <w:rFonts w:hint="eastAsia"/>
          <w:color w:val="000000"/>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37"/>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4"/>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4"/>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建湖县卫生健康委员会彩色多普勒超声设备采购项目</w:t>
            </w:r>
            <w:r>
              <w:rPr>
                <w:rFonts w:hint="eastAsia" w:ascii="宋体" w:hAnsi="宋体"/>
                <w:bCs/>
                <w:color w:val="000000"/>
                <w:sz w:val="24"/>
                <w:highlight w:val="none"/>
                <w:lang w:eastAsia="zh-CN"/>
              </w:rPr>
              <w:t xml:space="preserve">JSZC-320925-JSTX-G2026-0035</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11</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3</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4"/>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4"/>
        <w:ind w:firstLine="480"/>
        <w:jc w:val="left"/>
        <w:keepLines w:val="0"/>
        <w:keepNext w:val="0"/>
        <w:pageBreakBefore w:val="0"/>
        <w:spacing w:line="480" w:lineRule="exact"/>
        <w:widowControl/>
        <w:rPr>
          <w:rFonts w:hint="eastAsia" w:ascii="宋体" w:hAnsi="宋体" w:eastAsia="宋体" w:cs="Times New Roman"/>
          <w:bCs/>
          <w:color w:val="000000"/>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JSZC-320925-JSTX-G2026-0035</w:t>
      </w:r>
      <w:r>
        <w:rPr>
          <w:rFonts w:hint="eastAsia" w:ascii="宋体" w:hAnsi="宋体" w:eastAsia="宋体" w:cs="Times New Roman"/>
          <w:bCs/>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建湖县卫生健康委员会彩色多普勒超声设备采购项目</w:t>
      </w:r>
      <w:r>
        <w:rPr>
          <w:rFonts w:hint="eastAsia" w:ascii="宋体" w:hAnsi="宋体" w:cs="宋体"/>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292.6万元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最高限价（如有）：</w:t>
      </w:r>
      <w:r>
        <w:rPr>
          <w:rFonts w:hint="eastAsia" w:ascii="宋体" w:hAnsi="宋体" w:cs="宋体"/>
          <w:color w:val="000000"/>
          <w:sz w:val="24"/>
          <w:highlight w:val="none"/>
          <w:lang w:val="en-US" w:eastAsia="zh-CN"/>
        </w:rPr>
        <w:t xml:space="preserve">292.6万元，高于该最高限价的作无效标论处；</w:t>
      </w:r>
      <w:r>
        <w:rPr>
          <w:rFonts w:hint="eastAsia" w:ascii="宋体" w:hAnsi="宋体" w:cs="宋体"/>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采购需求：本次采购彩色多普勒超声数量为7套，采购范围内所有产品的供应、运输、安装、调试、验收交付、售后及维保等伴随服务工作，具体内容详见招标文件；</w:t>
      </w:r>
      <w:r>
        <w:rPr>
          <w:rFonts w:hint="eastAsia" w:ascii="宋体" w:hAnsi="宋体" w:eastAsia="宋体" w:cs="Arial"/>
          <w:bCs/>
          <w:color w:val="000000"/>
          <w:sz w:val="24"/>
          <w:szCs w:val="20"/>
          <w:highlight w:val="none"/>
          <w:lang w:val="en-US" w:eastAsia="zh-CN" w:bidi="ar-SA"/>
        </w:rPr>
      </w:r>
      <w:r/>
    </w:p>
    <w:p>
      <w:pPr>
        <w:pStyle w:val="102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24"/>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质保期：8年；</w:t>
      </w:r>
      <w:r>
        <w:rPr>
          <w:rFonts w:hint="eastAsia" w:ascii="宋体" w:hAnsi="宋体" w:eastAsia="宋体" w:cs="Arial"/>
          <w:bCs/>
          <w:color w:val="000000"/>
          <w:sz w:val="24"/>
          <w:szCs w:val="20"/>
          <w:highlight w:val="none"/>
          <w:lang w:val="en-US" w:eastAsia="zh-CN" w:bidi="ar-SA"/>
        </w:rPr>
      </w:r>
      <w:r/>
    </w:p>
    <w:p>
      <w:pPr>
        <w:pStyle w:val="1024"/>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验收标准：应与产品原始样本技术数据及标书技术文件一致，符合国家有关安全技术规范和技术标准；</w:t>
      </w:r>
      <w:r>
        <w:rPr>
          <w:rFonts w:hint="eastAsia" w:ascii="宋体" w:hAnsi="宋体" w:eastAsia="宋体" w:cs="Arial"/>
          <w:bCs/>
          <w:color w:val="000000"/>
          <w:sz w:val="24"/>
          <w:szCs w:val="20"/>
          <w:highlight w:val="none"/>
          <w:lang w:val="en-US" w:eastAsia="zh-CN" w:bidi="ar-SA"/>
        </w:rPr>
      </w:r>
      <w:r/>
    </w:p>
    <w:p>
      <w:pPr>
        <w:pStyle w:val="1024"/>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1024"/>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4"/>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4"/>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4"/>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4"/>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4"/>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1.政策采购促进中小企业发展；</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2.政府采购促进残疾人福利单位发展；</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3.政府采购促进监狱和戒毒企业发展；</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4.政府采购鼓励采购节能环保产品；</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6.政府采购鼓励优先采购节能产品、环境标志产品：严格执行政府采购关于支持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r>
      <w:r/>
    </w:p>
    <w:p>
      <w:pPr>
        <w:pStyle w:val="1024"/>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rPr>
      </w:r>
      <w:r/>
    </w:p>
    <w:p>
      <w:pPr>
        <w:pStyle w:val="1024"/>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8.执行数据中心采购相关政策：若涉及到数据中心采购，应按照“关于印发《绿色数据中心政府采购需求标准（试行）》的通知（财库〔2023〕7号）”执行。</w:t>
      </w:r>
      <w:r>
        <w:rPr>
          <w:rFonts w:ascii="宋体" w:hAnsi="宋体" w:cs="宋体"/>
          <w:bCs/>
          <w:color w:val="000000"/>
          <w:sz w:val="24"/>
        </w:rPr>
      </w:r>
      <w:r/>
    </w:p>
    <w:p>
      <w:pPr>
        <w:pStyle w:val="1024"/>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3.投标人须提供投标产品的《医疗器械注册证》；</w:t>
      </w:r>
      <w:r>
        <w:rPr>
          <w:rFonts w:hint="eastAsia" w:ascii="宋体" w:hAnsi="宋体" w:cs="Arial"/>
          <w:bCs/>
          <w:color w:val="000000"/>
          <w:sz w:val="24"/>
          <w:szCs w:val="24"/>
          <w:highlight w:val="none"/>
          <w:lang w:val="en-US" w:eastAsia="zh-CN"/>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yellow"/>
          <w:lang w:val="en-US" w:eastAsia="zh-CN"/>
        </w:rPr>
      </w:pPr>
      <w:r>
        <w:rPr>
          <w:rFonts w:hint="eastAsia" w:ascii="宋体" w:hAnsi="宋体" w:cs="Arial"/>
          <w:bCs/>
          <w:color w:val="000000"/>
          <w:sz w:val="24"/>
          <w:szCs w:val="24"/>
          <w:highlight w:val="none"/>
          <w:lang w:val="en-US" w:eastAsia="zh-CN"/>
        </w:rPr>
        <w:t xml:space="preserve">4.投标人为医疗器械经营企业的，须根据投标产品的类别，提供投标人的《医疗器械经营许可证》或者《二类医疗器械经营备案凭证》;若医疗器械生产企业投标本企业产品的，须提供《医疗器械生产许可证》；</w:t>
      </w:r>
      <w:r>
        <w:rPr>
          <w:rFonts w:hint="eastAsia" w:ascii="宋体" w:hAnsi="宋体" w:cs="Arial"/>
          <w:bCs/>
          <w:color w:val="000000"/>
          <w:sz w:val="24"/>
          <w:szCs w:val="24"/>
          <w:highlight w:val="yellow"/>
          <w:lang w:val="en-US" w:eastAsia="zh-CN"/>
        </w:rPr>
      </w:r>
      <w:r/>
    </w:p>
    <w:p>
      <w:pPr>
        <w:pStyle w:val="1024"/>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QLCZYSX_1"/>
      <w:r/>
      <w:bookmarkStart w:id="1" w:name="_Toc42249797"/>
      <w:r/>
      <w:bookmarkStart w:id="2"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4"/>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val="0"/>
          <w:bCs/>
          <w:color w:val="000000"/>
          <w:sz w:val="24"/>
          <w:highlight w:val="none"/>
          <w:lang w:eastAsia="zh-CN"/>
        </w:rPr>
        <w:t xml:space="preserve">2026</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11</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3   9</w:t>
      </w:r>
      <w:r>
        <w:rPr>
          <w:rFonts w:hint="eastAsia" w:ascii="宋体" w:hAnsi="宋体" w:cs="宋体"/>
          <w:b w:val="0"/>
          <w:bCs/>
          <w:color w:val="000000"/>
          <w:sz w:val="24"/>
          <w:highlight w:val="none"/>
        </w:rPr>
        <w:t xml:space="preserve">:00 </w:t>
      </w:r>
      <w:r>
        <w:rPr>
          <w:rFonts w:hint="eastAsia" w:ascii="宋体" w:hAnsi="宋体" w:cs="宋体"/>
          <w:bCs/>
          <w:color w:val="000000"/>
          <w:sz w:val="24"/>
          <w:highlight w:val="none"/>
        </w:rPr>
        <w:t xml:space="preserve">（北京时间）</w:t>
      </w:r>
      <w:r>
        <w:rPr>
          <w:rFonts w:hint="eastAsia" w:ascii="宋体" w:hAnsi="宋体" w:cs="宋体"/>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4"/>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4"/>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4"/>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4"/>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4"/>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2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建湖县卫生健康委员会</w:t>
      </w:r>
      <w:r>
        <w:rPr>
          <w:rFonts w:hint="eastAsia" w:ascii="宋体" w:hAnsi="宋体" w:eastAsia="宋体" w:cs="宋体"/>
          <w:bCs/>
          <w:color w:val="000000"/>
          <w:sz w:val="24"/>
          <w:highlight w:val="none"/>
          <w:lang w:eastAsia="zh-CN"/>
        </w:rPr>
      </w:r>
      <w:r/>
    </w:p>
    <w:p>
      <w:pPr>
        <w:pStyle w:val="102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建湖县人民南路908号</w:t>
      </w:r>
      <w:r>
        <w:rPr>
          <w:rFonts w:hint="eastAsia" w:ascii="宋体" w:hAnsi="宋体" w:eastAsia="宋体" w:cs="宋体"/>
          <w:bCs/>
          <w:color w:val="000000"/>
          <w:sz w:val="24"/>
          <w:highlight w:val="none"/>
          <w:lang w:eastAsia="zh-CN"/>
        </w:rPr>
      </w:r>
      <w:r/>
    </w:p>
    <w:p>
      <w:pPr>
        <w:pStyle w:val="1024"/>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0515-86211719</w:t>
      </w:r>
      <w:r>
        <w:rPr>
          <w:rFonts w:ascii="宋体" w:hAnsi="宋体" w:eastAsia="宋体" w:cs="宋体"/>
          <w:bCs/>
          <w:color w:val="000000"/>
          <w:sz w:val="24"/>
          <w:highlight w:val="none"/>
          <w:lang w:val="en-US" w:eastAsia="zh-CN"/>
        </w:rPr>
      </w:r>
      <w:r/>
    </w:p>
    <w:p>
      <w:pPr>
        <w:pStyle w:val="102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2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4"/>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建湖县湖中南路天铂·铂金街（建湖宝龙广场）8号楼二楼</w:t>
      </w:r>
      <w:r>
        <w:rPr>
          <w:rFonts w:hint="eastAsia" w:ascii="宋体" w:hAnsi="宋体" w:cs="宋体"/>
          <w:bCs/>
          <w:color w:val="000000"/>
          <w:sz w:val="24"/>
          <w:highlight w:val="none"/>
          <w:lang w:eastAsia="zh-CN"/>
        </w:rPr>
      </w:r>
      <w:r/>
    </w:p>
    <w:p>
      <w:pPr>
        <w:pStyle w:val="1024"/>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24"/>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24"/>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24"/>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eastAsia="宋体" w:cs="宋体"/>
          <w:b/>
          <w:color w:val="000000"/>
          <w:sz w:val="44"/>
          <w:szCs w:val="44"/>
          <w:highlight w:val="none"/>
          <w:lang w:eastAsia="zh-CN"/>
        </w:rPr>
      </w:r>
      <w:r/>
    </w:p>
    <w:p>
      <w:pPr>
        <w:pStyle w:val="1024"/>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4"/>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4"/>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建湖县卫生健康委员会彩色多普勒超声设备采购项目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4"/>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本次采购彩色多普勒超声数量为7套，采购范围内所有产品的供应、运输、安装、调试、验收交付、售后及维保等伴随服务工作，具体内容详见招标文件；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4"/>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4"/>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4"/>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苏女士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0515-86211719</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4"/>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4"/>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4"/>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24"/>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供货期</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4"/>
              <w:jc w:val="center"/>
              <w:rPr>
                <w:rFonts w:ascii="宋体" w:hAnsi="宋体" w:eastAsia="宋体" w:cs="Arial"/>
                <w:color w:val="000000"/>
                <w:sz w:val="24"/>
                <w:highlight w:val="none"/>
                <w:lang w:val="en-US" w:eastAsia="zh-CN"/>
              </w:rPr>
            </w:pPr>
            <w:r>
              <w:rPr>
                <w:rFonts w:hint="eastAsia" w:ascii="宋体" w:hAnsi="宋体" w:cs="Arial"/>
                <w:bCs/>
                <w:color w:val="000000"/>
                <w:sz w:val="24"/>
                <w:szCs w:val="24"/>
                <w:highlight w:val="none"/>
              </w:rPr>
              <w:t xml:space="preserve">合同签订后</w:t>
            </w:r>
            <w:r>
              <w:rPr>
                <w:rFonts w:hint="eastAsia" w:ascii="宋体" w:hAnsi="宋体" w:cs="Arial"/>
                <w:bCs/>
                <w:color w:val="000000"/>
                <w:sz w:val="24"/>
                <w:szCs w:val="24"/>
                <w:highlight w:val="none"/>
                <w:lang w:val="en-US" w:eastAsia="zh-CN"/>
              </w:rPr>
              <w:t xml:space="preserve">30</w:t>
            </w:r>
            <w:r>
              <w:rPr>
                <w:rFonts w:hint="eastAsia" w:ascii="宋体" w:hAnsi="宋体" w:cs="Arial"/>
                <w:bCs/>
                <w:color w:val="000000"/>
                <w:sz w:val="24"/>
                <w:szCs w:val="24"/>
                <w:highlight w:val="none"/>
              </w:rPr>
              <w:t xml:space="preserve">天内完成项目（含安装调试）并通过验收</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024"/>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024"/>
              <w:ind w:firstLine="3600"/>
              <w:jc w:val="left"/>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cs="Arial"/>
                <w:bCs/>
                <w:color w:val="000000"/>
                <w:sz w:val="24"/>
                <w:highlight w:val="none"/>
                <w:lang w:val="en-US" w:eastAsia="zh-CN"/>
              </w:rPr>
              <w:t xml:space="preserve">8年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4"/>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4"/>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4"/>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4"/>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4"/>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4"/>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4"/>
              <w:jc w:val="left"/>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4"/>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4"/>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292.6万元</w:t>
            </w:r>
            <w:r>
              <w:rPr>
                <w:rFonts w:hint="eastAsia" w:ascii="宋体" w:hAnsi="宋体" w:eastAsia="宋体"/>
                <w:b/>
                <w:bCs/>
                <w:color w:val="000000"/>
                <w:sz w:val="24"/>
                <w:highlight w:val="none"/>
                <w:lang w:eastAsia="zh-CN"/>
              </w:rPr>
            </w:r>
            <w:r/>
          </w:p>
        </w:tc>
      </w:tr>
      <w:tr>
        <w:trPr>
          <w:trHeight w:val="719"/>
        </w:trPr>
        <w:tc>
          <w:tcPr>
            <w:tcW w:w="2183" w:type="dxa"/>
            <w:vAlign w:val="center"/>
            <w:textDirection w:val="lrTb"/>
            <w:noWrap/>
          </w:tcPr>
          <w:p>
            <w:pPr>
              <w:pStyle w:val="1024"/>
              <w:jc w:val="center"/>
              <w:spacing w:line="300" w:lineRule="exact"/>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rPr>
                <w:rFonts w:hint="eastAsia" w:ascii="宋体" w:hAnsi="宋体"/>
                <w:bCs/>
                <w:color w:val="000000"/>
                <w:sz w:val="24"/>
                <w:highlight w:val="none"/>
                <w:lang w:val="en-US" w:eastAsia="zh-CN"/>
              </w:rPr>
            </w:r>
            <w:r/>
          </w:p>
        </w:tc>
        <w:tc>
          <w:tcPr>
            <w:gridSpan w:val="3"/>
            <w:tcW w:w="7965" w:type="dxa"/>
            <w:vAlign w:val="center"/>
            <w:textDirection w:val="lrTb"/>
            <w:noWrap/>
          </w:tcPr>
          <w:p>
            <w:pPr>
              <w:pStyle w:val="1024"/>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292.6万元，高于该最高限价的作无效标论处；</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4"/>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4"/>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4"/>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13"/>
                <w:szCs w:val="13"/>
                <w:highlight w:val="none"/>
              </w:rPr>
              <w:t xml:space="preserve"> </w:t>
            </w:r>
            <w:r>
              <w:rPr>
                <w:rFonts w:hint="eastAsia" w:ascii="宋体" w:hAnsi="宋体" w:eastAsia="宋体" w:cs="Arial"/>
                <w:color w:val="000000"/>
                <w:sz w:val="24"/>
                <w:szCs w:val="22"/>
                <w:highlight w:val="none"/>
                <w:lang w:eastAsia="zh-CN"/>
              </w:rPr>
              <w:t xml:space="preserve">建湖县卫生健康委员会</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4"/>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0515-86211719</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24"/>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建湖县人民南路908号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4"/>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4"/>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4"/>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4"/>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4"/>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4"/>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4"/>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4"/>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4"/>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24"/>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4"/>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24"/>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24"/>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24"/>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24"/>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4"/>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24"/>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4"/>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4"/>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24"/>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4"/>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4"/>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4"/>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31"/>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4"/>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24"/>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5.1投标人在收到招标文件后，如有疑问需要澄清，应以规定的时间和方式（2026年10月29日17:00前）向采购人或代理机构提出，如在规定期限内未递交疑问或未按规定提交投标疑问的，则视为该投标人无疑问。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4"/>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4"/>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24"/>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4"/>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4"/>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4"/>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4"/>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4"/>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4"/>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1"/>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4"/>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24"/>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4"/>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292.6万元</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投标报价高于预算</w:t>
      </w:r>
      <w:r>
        <w:rPr>
          <w:rFonts w:hint="eastAsia" w:ascii="宋体" w:hAnsi="宋体"/>
          <w:b/>
          <w:bCs/>
          <w:color w:val="000000"/>
          <w:sz w:val="24"/>
          <w:highlight w:val="none"/>
        </w:rPr>
        <w:t xml:space="preserve">价的作无效标论处</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024"/>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24"/>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lang w:eastAsia="zh-CN"/>
        </w:rPr>
        <w:t xml:space="preserve">全部货物、运输、人工、装卸、安装调试、检验检测、验收、培训、售后服务费、</w:t>
      </w:r>
      <w:r>
        <w:rPr>
          <w:rFonts w:hint="eastAsia" w:ascii="宋体" w:hAnsi="宋体"/>
          <w:color w:val="000000"/>
          <w:sz w:val="24"/>
          <w:lang w:val="en-US" w:eastAsia="zh-CN"/>
        </w:rPr>
        <w:t xml:space="preserve">PACS</w:t>
      </w:r>
      <w:r>
        <w:rPr>
          <w:rFonts w:hint="eastAsia" w:ascii="宋体" w:hAnsi="宋体"/>
          <w:color w:val="000000"/>
          <w:sz w:val="24"/>
          <w:lang w:eastAsia="zh-CN"/>
        </w:rPr>
        <w:t xml:space="preserve">接口费、利息、税金、招标代理费、不可预见费、备品备件、伴随服务、人员培训发生等一切费用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4"/>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24"/>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为叁万壹仟伍佰肆拾伍元整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31"/>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4"/>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4"/>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4"/>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4"/>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4"/>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7</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4"/>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4"/>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4"/>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4"/>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4"/>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4"/>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⑥投标人须提供投标产品的《医疗器械注册证》原件扫描件；</w:t>
      </w:r>
      <w:r>
        <w:rPr>
          <w:rFonts w:hint="eastAsia" w:ascii="宋体" w:hAnsi="宋体"/>
          <w:b w:val="0"/>
          <w:bCs/>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⑦投标人为医疗器械经营企业的，须根据投标产品的类别，提供投标人的《医疗器械经营许可证》或者《二类医疗器械经营备案凭证》原件扫描件;若医疗器械生产企业投标本企业产品的，须提供《医疗器械生产许可证》原件扫描件；</w:t>
      </w:r>
      <w:r>
        <w:rPr>
          <w:rFonts w:hint="eastAsia" w:ascii="宋体" w:hAnsi="宋体"/>
          <w:b w:val="0"/>
          <w:bCs/>
          <w:color w:val="000000"/>
          <w:sz w:val="24"/>
          <w:highlight w:val="none"/>
          <w:lang w:eastAsia="zh-CN"/>
        </w:rPr>
      </w:r>
      <w:r/>
    </w:p>
    <w:p>
      <w:pPr>
        <w:pStyle w:val="1024"/>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4"/>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4"/>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1024"/>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4"/>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4"/>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24"/>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24"/>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24"/>
        <w:ind w:firstLine="482"/>
        <w:jc w:val="left"/>
        <w:keepLines w:val="0"/>
        <w:keepNext w:val="0"/>
        <w:pageBreakBefore w:val="0"/>
        <w:spacing w:line="500" w:lineRule="exact"/>
        <w:widowControl/>
        <w:tabs>
          <w:tab w:val="left" w:pos="144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1024"/>
        <w:ind w:firstLine="482"/>
        <w:jc w:val="left"/>
        <w:keepLines w:val="0"/>
        <w:keepNext w:val="0"/>
        <w:pageBreakBefore w:val="0"/>
        <w:spacing w:line="500" w:lineRule="exact"/>
        <w:widowControl/>
        <w:tabs>
          <w:tab w:val="left" w:pos="1440" w:leader="none"/>
        </w:tabs>
        <w:rPr>
          <w:rFonts w:ascii="宋体" w:hAnsi="宋体" w:eastAsia="宋体"/>
          <w:bCs/>
          <w:color w:val="000000"/>
          <w:sz w:val="24"/>
          <w:szCs w:val="20"/>
          <w:highlight w:val="none"/>
          <w:lang w:val="en-US" w:eastAsia="zh-CN"/>
        </w:rPr>
      </w:pPr>
      <w:r>
        <w:rPr>
          <w:rFonts w:hint="eastAsia" w:ascii="宋体" w:hAnsi="宋体"/>
          <w:bCs/>
          <w:color w:val="000000"/>
          <w:sz w:val="24"/>
          <w:szCs w:val="20"/>
          <w:highlight w:val="none"/>
          <w:lang w:eastAsia="zh-CN"/>
        </w:rPr>
        <w:t xml:space="preserve">（</w:t>
      </w:r>
      <w:r>
        <w:rPr>
          <w:rFonts w:hint="eastAsia" w:ascii="宋体" w:hAnsi="宋体"/>
          <w:bCs/>
          <w:color w:val="000000"/>
          <w:sz w:val="24"/>
          <w:szCs w:val="20"/>
          <w:highlight w:val="none"/>
          <w:lang w:val="en-US" w:eastAsia="zh-CN"/>
        </w:rPr>
        <w:t xml:space="preserve">2）关于符合本国产品标准的声明函，提供《关于符合本国产品标准的声明函》（加盖电子签章，填写完整，格式见招标文件第六章《投标文件相关格式》）</w:t>
      </w:r>
      <w:r>
        <w:rPr>
          <w:rFonts w:ascii="宋体" w:hAnsi="宋体" w:eastAsia="宋体"/>
          <w:bCs/>
          <w:color w:val="000000"/>
          <w:sz w:val="24"/>
          <w:szCs w:val="20"/>
          <w:highlight w:val="none"/>
          <w:lang w:val="en-US" w:eastAsia="zh-CN"/>
        </w:rPr>
      </w:r>
      <w:r/>
    </w:p>
    <w:p>
      <w:pPr>
        <w:pStyle w:val="1024"/>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3</w:t>
      </w:r>
      <w:r>
        <w:rPr>
          <w:rFonts w:hint="eastAsia" w:ascii="宋体" w:hAnsi="宋体" w:cs="Arial"/>
          <w:b/>
          <w:bCs w:val="0"/>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24"/>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24"/>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1024"/>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24"/>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24"/>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2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4"/>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4"/>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4"/>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4"/>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4"/>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4"/>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24"/>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24"/>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4"/>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4"/>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2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4"/>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24"/>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4"/>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4"/>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4"/>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24"/>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4"/>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24"/>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4"/>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4"/>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4"/>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4"/>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4"/>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4"/>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4"/>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4"/>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en-US"/>
        </w:rPr>
      </w:pPr>
      <w:r>
        <w:rPr>
          <w:rFonts w:hint="eastAsia" w:ascii="宋体" w:hAnsi="宋体" w:eastAsia="宋体" w:cs="Times New Roman"/>
          <w:b w:val="0"/>
          <w:bCs w:val="0"/>
          <w:color w:val="000000"/>
          <w:sz w:val="24"/>
          <w:szCs w:val="20"/>
          <w:highlight w:val="none"/>
          <w:lang w:val="en-US" w:eastAsia="en-US"/>
        </w:rPr>
        <w:t xml:space="preserve">17.</w:t>
      </w:r>
      <w:r>
        <w:rPr>
          <w:rFonts w:hint="eastAsia" w:ascii="宋体" w:hAnsi="宋体" w:eastAsia="宋体" w:cs="Times New Roman"/>
          <w:b w:val="0"/>
          <w:bCs w:val="0"/>
          <w:color w:val="000000"/>
          <w:sz w:val="24"/>
          <w:szCs w:val="20"/>
          <w:highlight w:val="none"/>
          <w:lang w:val="en-US" w:eastAsia="zh-CN"/>
        </w:rPr>
        <w:t xml:space="preserve">3异常低价审查，根据（财库〔2026〕2号）文件要求</w:t>
      </w:r>
      <w:r>
        <w:rPr>
          <w:rFonts w:hint="eastAsia" w:ascii="宋体" w:hAnsi="宋体" w:eastAsia="宋体" w:cs="Times New Roman"/>
          <w:b w:val="0"/>
          <w:bCs w:val="0"/>
          <w:color w:val="000000"/>
          <w:sz w:val="24"/>
          <w:szCs w:val="20"/>
          <w:highlight w:val="none"/>
          <w:lang w:val="en-US" w:eastAsia="en-US"/>
        </w:rPr>
      </w:r>
      <w:r/>
    </w:p>
    <w:p>
      <w:pPr>
        <w:pStyle w:val="1024"/>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hint="eastAsia"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（2）启动异常低价投标（响应）审查后，评审委员会</w:t>
      </w:r>
      <w:r>
        <w:rPr>
          <w:rFonts w:ascii="宋体" w:hAnsi="宋体" w:eastAsia="宋体" w:cs="Times New Roman"/>
          <w:b w:val="0"/>
          <w:bCs w:val="0"/>
          <w:color w:val="000000"/>
          <w:sz w:val="24"/>
          <w:szCs w:val="20"/>
          <w:highlight w:val="none"/>
          <w:lang w:val="en-US" w:eastAsia="zh-CN"/>
        </w:rPr>
        <w:t xml:space="preserve">应当要求相关供应商在评审现场合理的时间内</w:t>
      </w:r>
      <w:r>
        <w:rPr>
          <w:rFonts w:hint="eastAsia" w:ascii="宋体" w:hAnsi="宋体" w:eastAsia="宋体" w:cs="Times New Roman"/>
          <w:b w:val="0"/>
          <w:bCs w:val="0"/>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val="0"/>
          <w:bCs w:val="0"/>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val="0"/>
          <w:bCs w:val="0"/>
          <w:color w:val="000000"/>
          <w:sz w:val="24"/>
          <w:szCs w:val="20"/>
          <w:highlight w:val="none"/>
          <w:lang w:val="en-US" w:eastAsia="zh-CN"/>
        </w:rPr>
        <w:t xml:space="preserve">投标（响应）报价低于采购项目最高限价45%的</w:t>
      </w:r>
      <w:r>
        <w:rPr>
          <w:rFonts w:ascii="宋体" w:hAnsi="宋体" w:eastAsia="宋体" w:cs="Times New Roman"/>
          <w:b w:val="0"/>
          <w:bCs w:val="0"/>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（3）</w:t>
      </w:r>
      <w:r>
        <w:rPr>
          <w:rFonts w:ascii="宋体" w:hAnsi="宋体" w:eastAsia="宋体" w:cs="Times New Roman"/>
          <w:b w:val="0"/>
          <w:bCs w:val="0"/>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val="0"/>
          <w:bCs w:val="0"/>
          <w:color w:val="000000"/>
          <w:sz w:val="24"/>
          <w:szCs w:val="20"/>
          <w:highlight w:val="none"/>
          <w:lang w:val="en-US" w:eastAsia="zh-CN"/>
        </w:rPr>
      </w:r>
      <w:r/>
    </w:p>
    <w:p>
      <w:pPr>
        <w:pStyle w:val="1024"/>
        <w:ind w:left="2" w:firstLine="475"/>
        <w:keepLines w:val="0"/>
        <w:keepNext w:val="0"/>
        <w:pageBreakBefore w:val="0"/>
        <w:spacing w:line="460" w:lineRule="exact"/>
        <w:rPr>
          <w:rFonts w:ascii="宋体" w:hAnsi="宋体" w:eastAsia="宋体" w:cs="Times New Roman"/>
          <w:b w:val="0"/>
          <w:bCs w:val="0"/>
          <w:color w:val="000000"/>
          <w:sz w:val="24"/>
          <w:szCs w:val="20"/>
          <w:highlight w:val="none"/>
          <w:lang w:val="en-US" w:eastAsia="zh-CN"/>
        </w:rPr>
      </w:pPr>
      <w:r>
        <w:rPr>
          <w:rFonts w:hint="eastAsia" w:ascii="宋体" w:hAnsi="宋体" w:eastAsia="宋体" w:cs="Times New Roman"/>
          <w:b w:val="0"/>
          <w:bCs w:val="0"/>
          <w:color w:val="000000"/>
          <w:sz w:val="24"/>
          <w:szCs w:val="20"/>
          <w:highlight w:val="none"/>
          <w:lang w:val="en-US" w:eastAsia="zh-CN"/>
        </w:rPr>
        <w:t xml:space="preserve">（4）</w:t>
      </w:r>
      <w:r>
        <w:rPr>
          <w:rFonts w:ascii="宋体" w:hAnsi="宋体" w:eastAsia="宋体" w:cs="Times New Roman"/>
          <w:b w:val="0"/>
          <w:bCs w:val="0"/>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val="0"/>
          <w:bCs w:val="0"/>
          <w:color w:val="000000"/>
          <w:sz w:val="24"/>
          <w:szCs w:val="20"/>
          <w:highlight w:val="none"/>
          <w:lang w:val="en-US" w:eastAsia="zh-CN"/>
        </w:rPr>
      </w:r>
      <w:r/>
    </w:p>
    <w:p>
      <w:pPr>
        <w:pStyle w:val="1024"/>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24"/>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4"/>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4"/>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4"/>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4"/>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本次招标评标方法为综合评分法。</w:t>
      </w:r>
      <w:r>
        <w:rPr>
          <w:rFonts w:hint="eastAsia" w:ascii="宋体" w:hAnsi="宋体" w:cs="宋体"/>
          <w:b/>
          <w:bCs/>
          <w:color w:val="000000"/>
          <w:sz w:val="24"/>
          <w:highlight w:val="none"/>
        </w:rPr>
      </w:r>
      <w:r/>
    </w:p>
    <w:p>
      <w:pPr>
        <w:pStyle w:val="1024"/>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24"/>
        <w:ind w:firstLine="482"/>
        <w:spacing w:line="480" w:lineRule="exact"/>
        <w:rPr>
          <w:rFonts w:hint="eastAsia" w:ascii="宋体" w:hAnsi="宋体" w:cs="宋体"/>
          <w:b/>
          <w:color w:val="000000"/>
          <w:sz w:val="24"/>
        </w:rPr>
      </w:pPr>
      <w:r>
        <w:rPr>
          <w:rFonts w:hint="eastAsia" w:ascii="宋体" w:hAnsi="宋体" w:cs="宋体"/>
          <w:b/>
          <w:bCs/>
          <w:color w:val="000000"/>
          <w:sz w:val="24"/>
          <w:highlight w:val="none"/>
        </w:rPr>
        <w:t xml:space="preserve">注：</w:t>
      </w: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eastAsia="zh-CN"/>
        </w:rPr>
        <w:t xml:space="preserve">彩色多普勒超声</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，且通过资格审查、符合性审查的，不同投标人按一家投标人计算，</w:t>
      </w:r>
      <w:r>
        <w:rPr>
          <w:rFonts w:hint="eastAsia" w:ascii="宋体" w:hAnsi="宋体" w:cs="宋体"/>
          <w:b/>
          <w:color w:val="000000"/>
          <w:sz w:val="24"/>
        </w:rPr>
        <w:t xml:space="preserve">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1060"/>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24"/>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4"/>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4"/>
        <w:numPr>
          <w:ilvl w:val="0"/>
          <w:numId w:val="0"/>
        </w:numPr>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4"/>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4"/>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4"/>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4"/>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4"/>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4"/>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4"/>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val="0"/>
          <w:bCs/>
          <w:color w:val="000000"/>
          <w:sz w:val="24"/>
          <w:szCs w:val="24"/>
          <w:highlight w:val="none"/>
        </w:rPr>
      </w:r>
      <w:r/>
    </w:p>
    <w:p>
      <w:pPr>
        <w:pStyle w:val="1024"/>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24"/>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4"/>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024"/>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24"/>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024"/>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024"/>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024"/>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024"/>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024"/>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1024"/>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本项目落实预付款制度，预付款比例为</w:t>
      </w:r>
      <w:r>
        <w:rPr>
          <w:rFonts w:ascii="宋体" w:hAnsi="宋体"/>
          <w:b/>
          <w:color w:val="000000"/>
          <w:sz w:val="24"/>
          <w:u w:val="single"/>
        </w:rPr>
        <w:t xml:space="preserve">30</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1024"/>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1024"/>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1024"/>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1024"/>
        <w:spacing w:before="50" w:line="440" w:lineRule="exact"/>
        <w:rPr>
          <w:rFonts w:hint="eastAsia" w:ascii="宋体" w:hAnsi="宋体" w:cs="宋体"/>
          <w:b/>
          <w:color w:val="000000"/>
          <w:sz w:val="44"/>
          <w:szCs w:val="44"/>
          <w:highlight w:val="none"/>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color w:val="000000"/>
          <w:sz w:val="44"/>
          <w:szCs w:val="44"/>
          <w:highlight w:val="none"/>
        </w:rPr>
      </w:r>
      <w:r/>
    </w:p>
    <w:p>
      <w:pPr>
        <w:pStyle w:val="1024"/>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4"/>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4"/>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1024"/>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建湖县卫生健康委员会彩色多普勒超声设备采购项目</w:t>
      </w:r>
      <w:r>
        <w:rPr>
          <w:rFonts w:hint="eastAsia" w:ascii="宋体" w:hAnsi="宋体" w:cs="宋体"/>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本项目预算金额为</w:t>
      </w:r>
      <w:r>
        <w:rPr>
          <w:rFonts w:hint="eastAsia" w:ascii="宋体" w:hAnsi="宋体" w:cs="宋体"/>
          <w:color w:val="000000"/>
          <w:sz w:val="24"/>
          <w:highlight w:val="none"/>
          <w:lang w:val="en-US" w:eastAsia="zh-CN"/>
        </w:rPr>
        <w:t xml:space="preserve">292.6万元</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投标报价高于预算</w:t>
      </w:r>
      <w:r>
        <w:rPr>
          <w:rFonts w:hint="eastAsia" w:ascii="宋体" w:hAnsi="宋体" w:cs="宋体"/>
          <w:color w:val="000000"/>
          <w:sz w:val="24"/>
          <w:highlight w:val="none"/>
        </w:rPr>
        <w:t xml:space="preserve">价的作无效标论处</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2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4.采购需求：本次采购彩色多普勒超声数量为7套，采购范围内所有产品的供应（含售前服务）、运输、安装、调试、验收交付、售后及维保等伴随服务工作，具体内容详见招标文件；</w:t>
      </w:r>
      <w:r>
        <w:rPr>
          <w:rFonts w:hint="eastAsia" w:ascii="宋体" w:hAnsi="宋体" w:cs="Arial"/>
          <w:bCs/>
          <w:color w:val="000000"/>
          <w:sz w:val="24"/>
          <w:szCs w:val="24"/>
          <w:highlight w:val="none"/>
        </w:rPr>
      </w:r>
      <w:r/>
    </w:p>
    <w:p>
      <w:pPr>
        <w:pStyle w:val="1024"/>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：合同签订后30天内完成本项目的供货、安装、调试并通过验收；安装标准须符合国家有关安全技术规范和技术标准；</w:t>
      </w:r>
      <w:r>
        <w:rPr>
          <w:rFonts w:hint="eastAsia" w:ascii="宋体" w:hAnsi="宋体" w:cs="Arial"/>
          <w:bCs/>
          <w:color w:val="000000"/>
          <w:sz w:val="24"/>
          <w:szCs w:val="24"/>
          <w:highlight w:val="none"/>
        </w:rPr>
      </w:r>
      <w:r/>
    </w:p>
    <w:p>
      <w:pPr>
        <w:pStyle w:val="1024"/>
        <w:ind w:firstLine="480"/>
        <w:jc w:val="left"/>
        <w:keepLines w:val="0"/>
        <w:keepNext w:val="0"/>
        <w:pageBreakBefore w:val="0"/>
        <w:spacing w:line="500" w:lineRule="exact"/>
        <w:widowControl/>
        <w:rPr>
          <w:rFonts w:hint="eastAsia" w:ascii="宋体" w:hAnsi="宋体" w:cs="Arial"/>
          <w:bCs/>
          <w:color w:val="000000"/>
          <w:sz w:val="24"/>
          <w:highlight w:val="none"/>
          <w:lang w:eastAsia="zh-CN"/>
        </w:rPr>
      </w:pP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8年</w:t>
      </w:r>
      <w:r>
        <w:rPr>
          <w:rFonts w:hint="eastAsia" w:ascii="宋体" w:hAnsi="宋体" w:cs="Arial"/>
          <w:bCs/>
          <w:color w:val="000000"/>
          <w:sz w:val="24"/>
          <w:highlight w:val="none"/>
          <w:lang w:eastAsia="zh-CN"/>
        </w:rPr>
        <w:t xml:space="preserve">；</w:t>
      </w:r>
      <w:r>
        <w:rPr>
          <w:rFonts w:hint="eastAsia" w:ascii="宋体" w:hAnsi="宋体" w:cs="Arial"/>
          <w:bCs/>
          <w:color w:val="000000"/>
          <w:sz w:val="24"/>
          <w:highlight w:val="none"/>
          <w:lang w:eastAsia="zh-CN"/>
        </w:rPr>
      </w:r>
      <w:r/>
    </w:p>
    <w:p>
      <w:pPr>
        <w:pStyle w:val="1024"/>
        <w:ind w:firstLine="480"/>
        <w:jc w:val="left"/>
        <w:keepLines w:val="0"/>
        <w:keepNext w:val="0"/>
        <w:pageBreakBefore w:val="0"/>
        <w:spacing w:line="500" w:lineRule="exact"/>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7.</w:t>
      </w:r>
      <w:r>
        <w:rPr>
          <w:rFonts w:hint="eastAsia" w:ascii="宋体" w:hAnsi="宋体"/>
          <w:sz w:val="24"/>
          <w:highlight w:val="none"/>
        </w:rPr>
        <w:t xml:space="preserve">验收标准：</w:t>
      </w:r>
      <w:r>
        <w:rPr>
          <w:rFonts w:hint="eastAsia" w:ascii="宋体" w:hAnsi="宋体" w:cs="宋体"/>
          <w:sz w:val="24"/>
          <w:szCs w:val="24"/>
          <w:highlight w:val="none"/>
        </w:rPr>
        <w:t xml:space="preserve">应与产品原始样本技术数据及标书技术文件一致，符合国家有关安全技术规范和技术标准</w:t>
      </w:r>
      <w:r>
        <w:rPr>
          <w:rFonts w:hint="eastAsia" w:ascii="宋体" w:hAnsi="宋体" w:cs="宋体"/>
          <w:sz w:val="24"/>
          <w:szCs w:val="24"/>
          <w:highlight w:val="none"/>
          <w:lang w:eastAsia="zh-CN"/>
        </w:rPr>
        <w:t xml:space="preserve">；</w:t>
      </w:r>
      <w:r>
        <w:rPr>
          <w:rFonts w:hint="eastAsia" w:ascii="宋体" w:hAnsi="宋体" w:eastAsia="宋体" w:cs="Arial"/>
          <w:bCs/>
          <w:color w:val="000000"/>
          <w:sz w:val="24"/>
          <w:highlight w:val="none"/>
          <w:lang w:val="en-US" w:eastAsia="zh-CN"/>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4"/>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9.本项目（是/否）进口产品投标：不接受进口产品</w:t>
      </w:r>
      <w:r>
        <w:rPr>
          <w:rFonts w:hint="eastAsia" w:ascii="宋体" w:hAnsi="宋体" w:cs="Arial"/>
          <w:bCs/>
          <w:color w:val="000000"/>
          <w:sz w:val="24"/>
          <w:szCs w:val="24"/>
          <w:highlight w:val="none"/>
        </w:rPr>
      </w:r>
      <w:r/>
    </w:p>
    <w:p>
      <w:pPr>
        <w:pStyle w:val="106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1.</w:t>
      </w:r>
      <w:r>
        <w:rPr>
          <w:rFonts w:hint="eastAsia" w:ascii="宋体" w:hAnsi="宋体" w:eastAsia="宋体"/>
          <w:b/>
          <w:bCs w:val="0"/>
          <w:sz w:val="24"/>
          <w:szCs w:val="20"/>
          <w:lang w:eastAsia="zh-CN"/>
        </w:rPr>
        <w:t xml:space="preserve">彩色多普勒超声波诊断仪</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eastAsia="宋体"/>
          <w:b w:val="0"/>
          <w:bCs/>
          <w:sz w:val="24"/>
          <w:szCs w:val="20"/>
          <w:lang w:val="en-US" w:eastAsia="zh-CN"/>
        </w:rPr>
        <w:t xml:space="preserve">1.1</w:t>
      </w:r>
      <w:r>
        <w:rPr>
          <w:rFonts w:hint="eastAsia" w:ascii="宋体" w:hAnsi="宋体" w:eastAsia="宋体"/>
          <w:b w:val="0"/>
          <w:bCs/>
          <w:sz w:val="24"/>
          <w:szCs w:val="20"/>
          <w:lang w:eastAsia="zh-CN"/>
        </w:rPr>
        <w:t xml:space="preserve">高分辨率LED液晶显示器≥23英寸，自由臂设计，可以上下左右俯仰调整≥15英寸液晶触摸屏，操作控制台可以上下左右调整</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1.</w:t>
      </w:r>
      <w:r>
        <w:rPr>
          <w:rFonts w:hint="eastAsia" w:ascii="宋体" w:hAnsi="宋体"/>
          <w:b w:val="0"/>
          <w:bCs/>
          <w:sz w:val="24"/>
          <w:szCs w:val="20"/>
          <w:lang w:val="en-US" w:eastAsia="zh-CN"/>
        </w:rPr>
        <w:t xml:space="preserve">2</w:t>
      </w:r>
      <w:r>
        <w:rPr>
          <w:rFonts w:hint="eastAsia" w:ascii="宋体" w:hAnsi="宋体" w:eastAsia="宋体"/>
          <w:b w:val="0"/>
          <w:bCs/>
          <w:sz w:val="24"/>
          <w:szCs w:val="20"/>
          <w:lang w:eastAsia="zh-CN"/>
        </w:rPr>
        <w:t xml:space="preserve">声速校正技术，可根据人体组织真实情况，实时匹配至最佳成像声速，并显示≥10个具体声速数值</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1.</w:t>
      </w:r>
      <w:r>
        <w:rPr>
          <w:rFonts w:hint="eastAsia" w:ascii="宋体" w:hAnsi="宋体"/>
          <w:b w:val="0"/>
          <w:bCs/>
          <w:sz w:val="24"/>
          <w:szCs w:val="20"/>
          <w:lang w:val="en-US" w:eastAsia="zh-CN"/>
        </w:rPr>
        <w:t xml:space="preserve">3</w:t>
      </w:r>
      <w:r>
        <w:rPr>
          <w:rFonts w:hint="eastAsia" w:ascii="宋体" w:hAnsi="宋体" w:eastAsia="宋体"/>
          <w:b w:val="0"/>
          <w:bCs/>
          <w:sz w:val="24"/>
          <w:szCs w:val="20"/>
          <w:lang w:eastAsia="zh-CN"/>
        </w:rPr>
        <w:t xml:space="preserve">弹性成像及定量分析技术：一幅图中可取≥8个范围进行弹性系数分析，支持腹部、浅表和腔内探头</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1.</w:t>
      </w:r>
      <w:r>
        <w:rPr>
          <w:rFonts w:hint="eastAsia" w:ascii="宋体" w:hAnsi="宋体"/>
          <w:b w:val="0"/>
          <w:bCs/>
          <w:sz w:val="24"/>
          <w:szCs w:val="20"/>
          <w:lang w:val="en-US" w:eastAsia="zh-CN"/>
        </w:rPr>
        <w:t xml:space="preserve">4</w:t>
      </w:r>
      <w:r>
        <w:rPr>
          <w:rFonts w:hint="eastAsia" w:ascii="宋体" w:hAnsi="宋体" w:eastAsia="宋体"/>
          <w:b w:val="0"/>
          <w:bCs/>
          <w:sz w:val="24"/>
          <w:szCs w:val="20"/>
          <w:lang w:eastAsia="zh-CN"/>
        </w:rPr>
        <w:t xml:space="preserve">宽景成像，最长视野≥160cm，可用于包含相控阵在内的所有探头</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1.</w:t>
      </w:r>
      <w:r>
        <w:rPr>
          <w:rFonts w:hint="eastAsia" w:ascii="宋体" w:hAnsi="宋体"/>
          <w:b w:val="0"/>
          <w:bCs/>
          <w:sz w:val="24"/>
          <w:szCs w:val="20"/>
          <w:lang w:val="en-US" w:eastAsia="zh-CN"/>
        </w:rPr>
        <w:t xml:space="preserve">5</w:t>
      </w:r>
      <w:r>
        <w:rPr>
          <w:rFonts w:hint="eastAsia" w:ascii="宋体" w:hAnsi="宋体" w:eastAsia="宋体"/>
          <w:b w:val="0"/>
          <w:bCs/>
          <w:sz w:val="24"/>
          <w:szCs w:val="20"/>
          <w:lang w:eastAsia="zh-CN"/>
        </w:rPr>
        <w:t xml:space="preserve">曲线解剖M型</w:t>
      </w:r>
      <w:r>
        <w:rPr>
          <w:rFonts w:hint="eastAsia" w:ascii="宋体" w:hAnsi="宋体"/>
          <w:b w:val="0"/>
          <w:bCs/>
          <w:sz w:val="24"/>
          <w:szCs w:val="20"/>
          <w:lang w:eastAsia="zh-CN"/>
        </w:rPr>
        <w:t xml:space="preserve">，</w:t>
      </w:r>
      <w:r>
        <w:rPr>
          <w:rFonts w:hint="eastAsia" w:ascii="宋体" w:hAnsi="宋体" w:eastAsia="宋体"/>
          <w:b w:val="0"/>
          <w:bCs/>
          <w:sz w:val="24"/>
          <w:szCs w:val="20"/>
          <w:lang w:eastAsia="zh-CN"/>
        </w:rPr>
        <w:t xml:space="preserve">组织多普勒：包括组织多普勒速度图，频谱图；具有组织多普勒定量分析曲线，一幅图上可取≥8点心肌运动分析曲线</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sz w:val="24"/>
          <w:szCs w:val="20"/>
          <w:lang w:val="en-US" w:eastAsia="zh-CN"/>
        </w:rPr>
      </w:pPr>
      <w:r>
        <w:rPr>
          <w:rFonts w:hint="eastAsia" w:ascii="宋体" w:hAnsi="宋体" w:eastAsia="宋体"/>
          <w:b w:val="0"/>
          <w:bCs/>
          <w:sz w:val="24"/>
          <w:szCs w:val="20"/>
          <w:lang w:eastAsia="zh-CN"/>
        </w:rPr>
        <w:t xml:space="preserve">1.</w:t>
      </w:r>
      <w:r>
        <w:rPr>
          <w:rFonts w:hint="eastAsia" w:ascii="宋体" w:hAnsi="宋体"/>
          <w:b w:val="0"/>
          <w:bCs/>
          <w:sz w:val="24"/>
          <w:szCs w:val="20"/>
          <w:lang w:val="en-US" w:eastAsia="zh-CN"/>
        </w:rPr>
        <w:t xml:space="preserve">6</w:t>
      </w:r>
      <w:r>
        <w:rPr>
          <w:rFonts w:hint="eastAsia" w:ascii="宋体" w:hAnsi="宋体" w:eastAsia="宋体"/>
          <w:b w:val="0"/>
          <w:bCs/>
          <w:sz w:val="24"/>
          <w:szCs w:val="20"/>
          <w:lang w:eastAsia="zh-CN"/>
        </w:rPr>
        <w:t xml:space="preserve">具备血细胞级别血流显像技术，可在不需要注射造影剂的情况下观察真正的血流动力学成像，支持凸阵、线阵、腔内探头等</w:t>
      </w:r>
      <w:r>
        <w:rPr>
          <w:rFonts w:ascii="宋体" w:hAnsi="宋体" w:eastAsia="宋体"/>
          <w:b w:val="0"/>
          <w:bCs/>
          <w:sz w:val="24"/>
          <w:szCs w:val="20"/>
          <w:lang w:val="en-US"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2.</w:t>
      </w:r>
      <w:r>
        <w:rPr>
          <w:rFonts w:hint="eastAsia" w:ascii="宋体" w:hAnsi="宋体" w:eastAsia="宋体"/>
          <w:b/>
          <w:bCs w:val="0"/>
          <w:sz w:val="24"/>
          <w:szCs w:val="20"/>
          <w:lang w:eastAsia="zh-CN"/>
        </w:rPr>
        <w:t xml:space="preserve">人机工程学技术要求</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2.1</w:t>
      </w:r>
      <w:r>
        <w:rPr>
          <w:rFonts w:hint="eastAsia" w:ascii="宋体" w:hAnsi="宋体" w:eastAsia="宋体"/>
          <w:b w:val="0"/>
          <w:bCs/>
          <w:sz w:val="24"/>
          <w:szCs w:val="20"/>
          <w:lang w:eastAsia="zh-CN"/>
        </w:rPr>
        <w:t xml:space="preserve">内置快捷操作指导模块：通过文字、图片、视频等形式指导用户快速掌握机器操作，可随时调阅</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2.2</w:t>
      </w:r>
      <w:r>
        <w:rPr>
          <w:rFonts w:hint="eastAsia" w:ascii="宋体" w:hAnsi="宋体" w:eastAsia="宋体"/>
          <w:b w:val="0"/>
          <w:bCs/>
          <w:sz w:val="24"/>
          <w:szCs w:val="20"/>
          <w:lang w:eastAsia="zh-CN"/>
        </w:rPr>
        <w:t xml:space="preserve">系统内置操作切面实时指导工具：可在屏幕上分屏显示各脏器标准扫查切面超声图与扫查手法图片、flash动画图并配以文字说明，可实时指导操作者找到标准切面并进行正确测量</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2.3</w:t>
      </w:r>
      <w:r>
        <w:rPr>
          <w:rFonts w:hint="eastAsia" w:ascii="宋体" w:hAnsi="宋体" w:eastAsia="宋体"/>
          <w:b w:val="0"/>
          <w:bCs/>
          <w:sz w:val="24"/>
          <w:szCs w:val="20"/>
          <w:lang w:eastAsia="zh-CN"/>
        </w:rPr>
        <w:t xml:space="preserve">乳腺自动化扫查流程：自动化扫查包括灰阶图、血流图、弹性图、图像存储等一系列规范的工作流程，协助操作者避免扫查区域的遗漏；可进行Bi-RADS分级；提供专门的乳腺报告设计</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2.4</w:t>
      </w:r>
      <w:r>
        <w:rPr>
          <w:rFonts w:hint="eastAsia" w:ascii="宋体" w:hAnsi="宋体" w:eastAsia="宋体"/>
          <w:b w:val="0"/>
          <w:bCs/>
          <w:sz w:val="24"/>
          <w:szCs w:val="20"/>
          <w:lang w:eastAsia="zh-CN"/>
        </w:rPr>
        <w:t xml:space="preserve">智能随访工具包：可将前次扫描图像与当前实时扫描图像进行同屏对比，还原前次图像的扫查参数，并具有影像融合技术，即把前次扫描的图像用伪彩颜色叠加显示在当前扫描图像上，前次的测量结果将作为比较参考</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2.5</w:t>
      </w:r>
      <w:r>
        <w:rPr>
          <w:rFonts w:hint="eastAsia" w:ascii="宋体" w:hAnsi="宋体" w:eastAsia="宋体"/>
          <w:b w:val="0"/>
          <w:bCs/>
          <w:sz w:val="24"/>
          <w:szCs w:val="20"/>
          <w:lang w:eastAsia="zh-CN"/>
        </w:rPr>
        <w:t xml:space="preserve">可在屏幕上显示自定义按键个数≥7个，且同时显示自定义按键的功能名称</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2.</w:t>
      </w:r>
      <w:r>
        <w:rPr>
          <w:rFonts w:hint="eastAsia" w:ascii="宋体" w:hAnsi="宋体"/>
          <w:b w:val="0"/>
          <w:bCs/>
          <w:sz w:val="24"/>
          <w:szCs w:val="20"/>
          <w:lang w:val="en-US" w:eastAsia="zh-CN"/>
        </w:rPr>
        <w:t xml:space="preserve">6</w:t>
      </w:r>
      <w:r>
        <w:rPr>
          <w:rFonts w:hint="eastAsia" w:ascii="宋体" w:hAnsi="宋体" w:eastAsia="宋体"/>
          <w:b w:val="0"/>
          <w:bCs/>
          <w:sz w:val="24"/>
          <w:szCs w:val="20"/>
          <w:lang w:eastAsia="zh-CN"/>
        </w:rPr>
        <w:t xml:space="preserve">触摸屏快捷手势键：触摸屏上可自定义四个快捷手势键并赋予相应功能，通过手指上下左右滑动触摸屏即可实现该功能</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2.</w:t>
      </w:r>
      <w:r>
        <w:rPr>
          <w:rFonts w:hint="eastAsia" w:ascii="宋体" w:hAnsi="宋体"/>
          <w:b w:val="0"/>
          <w:bCs/>
          <w:sz w:val="24"/>
          <w:szCs w:val="20"/>
          <w:lang w:val="en-US" w:eastAsia="zh-CN"/>
        </w:rPr>
        <w:t xml:space="preserve">7</w:t>
      </w:r>
      <w:r>
        <w:rPr>
          <w:rFonts w:hint="eastAsia" w:ascii="宋体" w:hAnsi="宋体" w:eastAsia="宋体"/>
          <w:b w:val="0"/>
          <w:bCs/>
          <w:sz w:val="24"/>
          <w:szCs w:val="20"/>
          <w:lang w:eastAsia="zh-CN"/>
        </w:rPr>
        <w:t xml:space="preserve">回声强度比：自动测量两个区域的回声强度比值（单位为dB），在B模式下进行，可定量评价脂肪肝的严重程度，为临床研究提供依据</w:t>
      </w:r>
      <w:r>
        <w:rPr>
          <w:rFonts w:ascii="宋体" w:hAnsi="宋体" w:eastAsia="宋体"/>
          <w:b w:val="0"/>
          <w:bCs/>
          <w:color w:val="ff0000"/>
          <w:sz w:val="24"/>
          <w:szCs w:val="20"/>
          <w:lang w:val="en-US"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3.</w:t>
      </w:r>
      <w:r>
        <w:rPr>
          <w:rFonts w:hint="eastAsia" w:ascii="宋体" w:hAnsi="宋体" w:eastAsia="宋体"/>
          <w:b/>
          <w:bCs w:val="0"/>
          <w:sz w:val="24"/>
          <w:szCs w:val="20"/>
          <w:lang w:eastAsia="zh-CN"/>
        </w:rPr>
        <w:t xml:space="preserve">探头规格</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3.1</w:t>
      </w:r>
      <w:r>
        <w:rPr>
          <w:rFonts w:hint="eastAsia" w:ascii="宋体" w:hAnsi="宋体" w:eastAsia="宋体"/>
          <w:b w:val="0"/>
          <w:bCs/>
          <w:sz w:val="24"/>
          <w:szCs w:val="20"/>
          <w:lang w:eastAsia="zh-CN"/>
        </w:rPr>
        <w:t xml:space="preserve">激活探头接口≥4个</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b w:val="0"/>
          <w:bCs/>
          <w:sz w:val="24"/>
          <w:szCs w:val="20"/>
          <w:lang w:val="en-US" w:eastAsia="zh-CN"/>
        </w:rPr>
        <w:t xml:space="preserve">3.2</w:t>
      </w:r>
      <w:r>
        <w:rPr>
          <w:rFonts w:hint="eastAsia" w:ascii="宋体" w:hAnsi="宋体" w:eastAsia="宋体"/>
          <w:b w:val="0"/>
          <w:bCs/>
          <w:sz w:val="24"/>
          <w:szCs w:val="20"/>
          <w:lang w:eastAsia="zh-CN"/>
        </w:rPr>
        <w:t xml:space="preserve">穿刺导向：具有穿刺引导线</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3.</w:t>
      </w:r>
      <w:r>
        <w:rPr>
          <w:rFonts w:hint="eastAsia" w:ascii="宋体" w:hAnsi="宋体"/>
          <w:b w:val="0"/>
          <w:bCs/>
          <w:sz w:val="24"/>
          <w:szCs w:val="20"/>
          <w:lang w:val="en-US" w:eastAsia="zh-CN"/>
        </w:rPr>
        <w:t xml:space="preserve">3</w:t>
      </w:r>
      <w:r>
        <w:rPr>
          <w:rFonts w:hint="eastAsia" w:ascii="宋体" w:hAnsi="宋体" w:eastAsia="宋体"/>
          <w:b w:val="0"/>
          <w:bCs/>
          <w:sz w:val="24"/>
          <w:szCs w:val="20"/>
          <w:lang w:eastAsia="zh-CN"/>
        </w:rPr>
        <w:t xml:space="preserve">扫描频率：</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电子凸阵：可视可调中心频率2.0—5.0MHz</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电子线阵：可视可调中心频率3.6—12.0MHz</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相控阵探头：可视可调中心频率1.7—4.0MHz</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腔内探头：可视可调中心频率4.0—10.0 MHz</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仿宋" w:hAnsi="仿宋" w:eastAsia="仿宋" w:cs="仿宋"/>
          <w:sz w:val="24"/>
          <w:szCs w:val="24"/>
          <w:lang w:val="en-US" w:eastAsia="zh-CN"/>
        </w:rPr>
        <w:t xml:space="preserve">▲</w:t>
      </w:r>
      <w:r>
        <w:rPr>
          <w:rFonts w:hint="eastAsia" w:ascii="宋体" w:hAnsi="宋体" w:eastAsia="宋体"/>
          <w:b w:val="0"/>
          <w:bCs/>
          <w:sz w:val="24"/>
          <w:szCs w:val="20"/>
          <w:lang w:val="en-US" w:eastAsia="zh-CN"/>
        </w:rPr>
        <w:t xml:space="preserve">3.</w:t>
      </w:r>
      <w:r>
        <w:rPr>
          <w:rFonts w:hint="eastAsia" w:ascii="宋体" w:hAnsi="宋体"/>
          <w:b w:val="0"/>
          <w:bCs/>
          <w:sz w:val="24"/>
          <w:szCs w:val="20"/>
          <w:lang w:val="en-US" w:eastAsia="zh-CN"/>
        </w:rPr>
        <w:t xml:space="preserve">4</w:t>
      </w:r>
      <w:r>
        <w:rPr>
          <w:rFonts w:hint="eastAsia" w:ascii="宋体" w:hAnsi="宋体" w:eastAsia="宋体"/>
          <w:b w:val="0"/>
          <w:bCs/>
          <w:sz w:val="24"/>
          <w:szCs w:val="20"/>
          <w:lang w:eastAsia="zh-CN"/>
        </w:rPr>
        <w:t xml:space="preserve">相控阵探头扫描角度≥120°</w:t>
      </w:r>
      <w:r>
        <w:rPr>
          <w:rFonts w:hint="eastAsia" w:ascii="宋体" w:hAnsi="宋体"/>
          <w:b w:val="0"/>
          <w:bCs/>
          <w:sz w:val="24"/>
          <w:szCs w:val="20"/>
          <w:lang w:eastAsia="zh-CN"/>
        </w:rPr>
        <w:t xml:space="preserve">，</w:t>
      </w:r>
      <w:r>
        <w:rPr>
          <w:rFonts w:hint="eastAsia" w:ascii="宋体" w:hAnsi="宋体" w:eastAsia="宋体"/>
          <w:b w:val="0"/>
          <w:bCs/>
          <w:sz w:val="24"/>
          <w:szCs w:val="20"/>
          <w:lang w:eastAsia="zh-CN"/>
        </w:rPr>
        <w:t xml:space="preserve">腔内探头角度≥180°</w:t>
      </w:r>
      <w:r>
        <w:rPr>
          <w:rFonts w:hint="eastAsia" w:ascii="宋体" w:hAnsi="宋体" w:eastAsia="宋体"/>
          <w:b w:val="0"/>
          <w:bCs/>
          <w:sz w:val="24"/>
          <w:szCs w:val="20"/>
          <w:lang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4.</w:t>
      </w:r>
      <w:r>
        <w:rPr>
          <w:rFonts w:hint="eastAsia" w:ascii="宋体" w:hAnsi="宋体" w:eastAsia="宋体"/>
          <w:b/>
          <w:bCs w:val="0"/>
          <w:sz w:val="24"/>
          <w:szCs w:val="20"/>
          <w:lang w:eastAsia="zh-CN"/>
        </w:rPr>
        <w:t xml:space="preserve">B型成像主要参数</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sz w:val="24"/>
          <w:szCs w:val="20"/>
          <w:lang w:val="en-US" w:eastAsia="zh-CN"/>
        </w:rPr>
      </w:pPr>
      <w:r>
        <w:rPr>
          <w:rFonts w:hint="eastAsia" w:ascii="宋体" w:hAnsi="宋体" w:eastAsia="宋体"/>
          <w:b w:val="0"/>
          <w:bCs/>
          <w:sz w:val="24"/>
          <w:szCs w:val="20"/>
          <w:lang w:val="en-US" w:eastAsia="zh-CN"/>
        </w:rPr>
        <w:t xml:space="preserve">4.1</w:t>
      </w:r>
      <w:r>
        <w:rPr>
          <w:rFonts w:hint="eastAsia" w:ascii="宋体" w:hAnsi="宋体"/>
          <w:b w:val="0"/>
          <w:bCs/>
          <w:sz w:val="24"/>
          <w:szCs w:val="20"/>
          <w:lang w:val="en-US" w:eastAsia="zh-CN"/>
        </w:rPr>
        <w:t xml:space="preserve"> </w:t>
      </w:r>
      <w:r>
        <w:rPr>
          <w:rFonts w:hint="eastAsia" w:ascii="宋体" w:hAnsi="宋体" w:eastAsia="宋体"/>
          <w:b w:val="0"/>
          <w:bCs/>
          <w:sz w:val="24"/>
          <w:szCs w:val="20"/>
          <w:lang w:eastAsia="zh-CN"/>
        </w:rPr>
        <w:t xml:space="preserve">≥256灰阶</w:t>
      </w:r>
      <w:r>
        <w:rPr>
          <w:rFonts w:ascii="宋体" w:hAnsi="宋体" w:eastAsia="宋体"/>
          <w:b w:val="0"/>
          <w:bCs/>
          <w:sz w:val="24"/>
          <w:szCs w:val="20"/>
          <w:lang w:val="en-US"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b w:val="0"/>
          <w:bCs/>
          <w:sz w:val="24"/>
          <w:szCs w:val="20"/>
          <w:lang w:val="en-US" w:eastAsia="zh-CN"/>
        </w:rPr>
        <w:t xml:space="preserve">4.2</w:t>
      </w:r>
      <w:r>
        <w:rPr>
          <w:rFonts w:hint="eastAsia" w:ascii="宋体" w:hAnsi="宋体" w:eastAsia="宋体"/>
          <w:b w:val="0"/>
          <w:bCs/>
          <w:sz w:val="24"/>
          <w:szCs w:val="20"/>
          <w:lang w:eastAsia="zh-CN"/>
        </w:rPr>
        <w:t xml:space="preserve">回放重现：灰阶图像回放≥3000帧、回放时间≥180秒</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b w:val="0"/>
          <w:bCs/>
          <w:sz w:val="24"/>
          <w:szCs w:val="20"/>
          <w:lang w:val="en-US" w:eastAsia="zh-CN"/>
        </w:rPr>
        <w:t xml:space="preserve">4.3</w:t>
      </w:r>
      <w:r>
        <w:rPr>
          <w:rFonts w:hint="eastAsia" w:ascii="宋体" w:hAnsi="宋体" w:eastAsia="宋体"/>
          <w:b w:val="0"/>
          <w:bCs/>
          <w:sz w:val="24"/>
          <w:szCs w:val="20"/>
          <w:lang w:eastAsia="zh-CN"/>
        </w:rPr>
        <w:t xml:space="preserve">预设条件：针对不同的检查脏器，预置最佳化图像的检查条件≥30种，可自定义建立多个预设条件</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ascii="宋体" w:hAnsi="宋体" w:eastAsia="宋体"/>
          <w:b w:val="0"/>
          <w:bCs/>
          <w:sz w:val="24"/>
          <w:szCs w:val="20"/>
          <w:lang w:val="en-US" w:eastAsia="zh-CN"/>
        </w:rPr>
      </w:pPr>
      <w:r>
        <w:rPr>
          <w:rFonts w:hint="eastAsia" w:ascii="宋体" w:hAnsi="宋体" w:eastAsia="宋体"/>
          <w:b w:val="0"/>
          <w:bCs/>
          <w:sz w:val="24"/>
          <w:szCs w:val="20"/>
          <w:lang w:eastAsia="zh-CN"/>
        </w:rPr>
        <w:t xml:space="preserve">▲</w:t>
      </w:r>
      <w:r>
        <w:rPr>
          <w:rFonts w:hint="eastAsia" w:ascii="宋体" w:hAnsi="宋体" w:eastAsia="宋体"/>
          <w:b w:val="0"/>
          <w:bCs/>
          <w:sz w:val="24"/>
          <w:szCs w:val="20"/>
          <w:lang w:val="en-US" w:eastAsia="zh-CN"/>
        </w:rPr>
        <w:t xml:space="preserve">4.</w:t>
      </w:r>
      <w:r>
        <w:rPr>
          <w:rFonts w:hint="eastAsia" w:ascii="宋体" w:hAnsi="宋体"/>
          <w:b w:val="0"/>
          <w:bCs/>
          <w:sz w:val="24"/>
          <w:szCs w:val="20"/>
          <w:lang w:val="en-US" w:eastAsia="zh-CN"/>
        </w:rPr>
        <w:t xml:space="preserve">4 </w:t>
      </w:r>
      <w:r>
        <w:rPr>
          <w:rFonts w:hint="eastAsia" w:ascii="宋体" w:hAnsi="宋体" w:eastAsia="宋体"/>
          <w:b w:val="0"/>
          <w:bCs/>
          <w:sz w:val="24"/>
          <w:szCs w:val="20"/>
          <w:lang w:eastAsia="zh-CN"/>
        </w:rPr>
        <w:t xml:space="preserve">TGC调节≥10段</w:t>
      </w:r>
      <w:r>
        <w:rPr>
          <w:rFonts w:hint="eastAsia" w:ascii="宋体" w:hAnsi="宋体"/>
          <w:b w:val="0"/>
          <w:bCs/>
          <w:sz w:val="24"/>
          <w:szCs w:val="20"/>
          <w:lang w:eastAsia="zh-CN"/>
        </w:rPr>
        <w:t xml:space="preserve">，</w:t>
      </w:r>
      <w:r>
        <w:rPr>
          <w:rFonts w:hint="eastAsia" w:ascii="宋体" w:hAnsi="宋体"/>
          <w:b w:val="0"/>
          <w:bCs/>
          <w:sz w:val="24"/>
          <w:szCs w:val="20"/>
          <w:lang w:val="en-US" w:eastAsia="zh-CN"/>
        </w:rPr>
        <w:t xml:space="preserve"> </w:t>
      </w:r>
      <w:r>
        <w:rPr>
          <w:rFonts w:hint="eastAsia" w:ascii="宋体" w:hAnsi="宋体" w:eastAsia="宋体"/>
          <w:b w:val="0"/>
          <w:bCs/>
          <w:sz w:val="24"/>
          <w:szCs w:val="20"/>
          <w:lang w:eastAsia="zh-CN"/>
        </w:rPr>
        <w:t xml:space="preserve">LGC调节≥8段</w:t>
      </w:r>
      <w:r>
        <w:rPr>
          <w:rFonts w:hint="eastAsia" w:ascii="宋体" w:hAnsi="宋体"/>
          <w:b w:val="0"/>
          <w:bCs/>
          <w:sz w:val="24"/>
          <w:szCs w:val="20"/>
          <w:lang w:val="en-US" w:eastAsia="zh-CN"/>
        </w:rPr>
        <w:t xml:space="preserve"> </w:t>
      </w:r>
      <w:r>
        <w:rPr>
          <w:rFonts w:ascii="宋体" w:hAnsi="宋体" w:eastAsia="宋体"/>
          <w:b w:val="0"/>
          <w:bCs/>
          <w:sz w:val="24"/>
          <w:szCs w:val="20"/>
          <w:lang w:val="en-US" w:eastAsia="zh-CN"/>
        </w:rPr>
      </w:r>
      <w:r/>
    </w:p>
    <w:p>
      <w:pPr>
        <w:pStyle w:val="1024"/>
        <w:ind w:firstLine="480"/>
        <w:keepLines w:val="0"/>
        <w:keepNext w:val="0"/>
        <w:pageBreakBefore w:val="0"/>
        <w:spacing w:line="480" w:lineRule="exact"/>
        <w:widowControl w:val="off"/>
        <w:rPr>
          <w:rFonts w:hint="eastAsia" w:ascii="宋体" w:hAnsi="宋体"/>
          <w:b w:val="0"/>
          <w:bCs/>
          <w:sz w:val="24"/>
          <w:szCs w:val="20"/>
          <w:lang w:val="en-US" w:eastAsia="zh-CN"/>
        </w:rPr>
      </w:pPr>
      <w:r>
        <w:rPr>
          <w:rFonts w:hint="eastAsia" w:ascii="宋体" w:hAnsi="宋体" w:eastAsia="宋体"/>
          <w:b w:val="0"/>
          <w:bCs/>
          <w:sz w:val="24"/>
          <w:szCs w:val="20"/>
          <w:lang w:eastAsia="zh-CN"/>
        </w:rPr>
        <w:t xml:space="preserve">▲</w:t>
      </w:r>
      <w:r>
        <w:rPr>
          <w:rFonts w:hint="eastAsia" w:ascii="宋体" w:hAnsi="宋体" w:eastAsia="宋体"/>
          <w:b w:val="0"/>
          <w:bCs/>
          <w:sz w:val="24"/>
          <w:szCs w:val="20"/>
          <w:lang w:val="en-US" w:eastAsia="zh-CN"/>
        </w:rPr>
        <w:t xml:space="preserve">4.</w:t>
      </w:r>
      <w:r>
        <w:rPr>
          <w:rFonts w:hint="eastAsia" w:ascii="宋体" w:hAnsi="宋体"/>
          <w:b w:val="0"/>
          <w:bCs/>
          <w:sz w:val="24"/>
          <w:szCs w:val="20"/>
          <w:lang w:val="en-US" w:eastAsia="zh-CN"/>
        </w:rPr>
        <w:t xml:space="preserve">5</w:t>
      </w:r>
      <w:r>
        <w:rPr>
          <w:rFonts w:hint="eastAsia" w:ascii="宋体" w:hAnsi="宋体" w:eastAsia="宋体"/>
          <w:b w:val="0"/>
          <w:bCs/>
          <w:sz w:val="24"/>
          <w:szCs w:val="20"/>
          <w:lang w:eastAsia="zh-CN"/>
        </w:rPr>
        <w:t xml:space="preserve">超声系统最大探查深度≥50 cm</w:t>
      </w:r>
      <w:r>
        <w:rPr>
          <w:rFonts w:hint="eastAsia" w:ascii="宋体" w:hAnsi="宋体"/>
          <w:b w:val="0"/>
          <w:bCs/>
          <w:sz w:val="24"/>
          <w:szCs w:val="20"/>
          <w:lang w:val="en-US" w:eastAsia="zh-CN"/>
        </w:rPr>
        <w:t xml:space="preserve"> </w:t>
      </w:r>
      <w:r>
        <w:rPr>
          <w:rFonts w:hint="eastAsia" w:ascii="宋体" w:hAnsi="宋体"/>
          <w:b w:val="0"/>
          <w:bCs/>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4</w:t>
      </w:r>
      <w:r>
        <w:rPr>
          <w:rFonts w:hint="eastAsia" w:ascii="宋体" w:hAnsi="宋体"/>
          <w:b w:val="0"/>
          <w:bCs/>
          <w:sz w:val="24"/>
          <w:szCs w:val="20"/>
          <w:lang w:val="en-US" w:eastAsia="zh-CN"/>
        </w:rPr>
        <w:t xml:space="preserve">.6</w:t>
      </w:r>
      <w:r>
        <w:rPr>
          <w:rFonts w:hint="eastAsia" w:ascii="宋体" w:hAnsi="宋体" w:eastAsia="宋体"/>
          <w:b w:val="0"/>
          <w:bCs/>
          <w:sz w:val="24"/>
          <w:szCs w:val="20"/>
          <w:lang w:eastAsia="zh-CN"/>
        </w:rPr>
        <w:t xml:space="preserve">系统动态范围≥275dB</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val="en-US" w:eastAsia="zh-CN"/>
        </w:rPr>
        <w:t xml:space="preserve">4</w:t>
      </w:r>
      <w:r>
        <w:rPr>
          <w:rFonts w:hint="eastAsia" w:ascii="宋体" w:hAnsi="宋体" w:eastAsia="宋体"/>
          <w:b w:val="0"/>
          <w:bCs/>
          <w:sz w:val="24"/>
          <w:szCs w:val="20"/>
          <w:lang w:eastAsia="zh-CN"/>
        </w:rPr>
        <w:t xml:space="preserve">.</w:t>
      </w:r>
      <w:r>
        <w:rPr>
          <w:rFonts w:hint="eastAsia" w:ascii="宋体" w:hAnsi="宋体"/>
          <w:b w:val="0"/>
          <w:bCs/>
          <w:sz w:val="24"/>
          <w:szCs w:val="20"/>
          <w:lang w:val="en-US" w:eastAsia="zh-CN"/>
        </w:rPr>
        <w:t xml:space="preserve">7</w:t>
      </w:r>
      <w:r>
        <w:rPr>
          <w:rFonts w:hint="eastAsia" w:ascii="宋体" w:hAnsi="宋体" w:eastAsia="宋体"/>
          <w:b w:val="0"/>
          <w:bCs/>
          <w:sz w:val="24"/>
          <w:szCs w:val="20"/>
          <w:lang w:eastAsia="zh-CN"/>
        </w:rPr>
        <w:t xml:space="preserve">凸阵探头最大视角，18cm深度时，帧频≥35帧；；相控阵探头90°视角，18cm深度时，帧频≥60帧</w:t>
      </w:r>
      <w:r>
        <w:rPr>
          <w:rFonts w:ascii="宋体" w:hAnsi="宋体" w:eastAsia="宋体"/>
          <w:b w:val="0"/>
          <w:bCs/>
          <w:color w:val="ff0000"/>
          <w:sz w:val="24"/>
          <w:szCs w:val="20"/>
          <w:lang w:val="en-US"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5.</w:t>
      </w:r>
      <w:r>
        <w:rPr>
          <w:rFonts w:hint="eastAsia" w:ascii="宋体" w:hAnsi="宋体" w:eastAsia="宋体"/>
          <w:b/>
          <w:bCs w:val="0"/>
          <w:sz w:val="24"/>
          <w:szCs w:val="20"/>
          <w:lang w:eastAsia="zh-CN"/>
        </w:rPr>
        <w:t xml:space="preserve">频谱多普勒</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eastAsia="宋体"/>
          <w:b w:val="0"/>
          <w:bCs/>
          <w:sz w:val="24"/>
          <w:szCs w:val="20"/>
          <w:lang w:val="en-US" w:eastAsia="zh-CN"/>
        </w:rPr>
        <w:t xml:space="preserve">5.1</w:t>
      </w:r>
      <w:r>
        <w:rPr>
          <w:rFonts w:hint="eastAsia" w:ascii="宋体" w:hAnsi="宋体" w:eastAsia="宋体"/>
          <w:b w:val="0"/>
          <w:bCs/>
          <w:sz w:val="24"/>
          <w:szCs w:val="20"/>
          <w:lang w:eastAsia="zh-CN"/>
        </w:rPr>
        <w:t xml:space="preserve">最大测量速度：PWD：≥20m/s ；CWD:≥40m/s</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eastAsia="宋体"/>
          <w:b w:val="0"/>
          <w:bCs/>
          <w:sz w:val="24"/>
          <w:szCs w:val="20"/>
          <w:lang w:val="en-US" w:eastAsia="zh-CN"/>
        </w:rPr>
        <w:t xml:space="preserve">5.2</w:t>
      </w:r>
      <w:r>
        <w:rPr>
          <w:rFonts w:hint="eastAsia" w:ascii="宋体" w:hAnsi="宋体" w:eastAsia="宋体"/>
          <w:b w:val="0"/>
          <w:bCs/>
          <w:sz w:val="24"/>
          <w:szCs w:val="20"/>
          <w:lang w:eastAsia="zh-CN"/>
        </w:rPr>
        <w:t xml:space="preserve">最小测量速度：≤1mm/s</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5.3</w:t>
      </w:r>
      <w:r>
        <w:rPr>
          <w:rFonts w:hint="eastAsia" w:ascii="宋体" w:hAnsi="宋体" w:eastAsia="宋体"/>
          <w:b w:val="0"/>
          <w:bCs/>
          <w:sz w:val="24"/>
          <w:szCs w:val="20"/>
          <w:lang w:eastAsia="zh-CN"/>
        </w:rPr>
        <w:t xml:space="preserve">多普勒取样容积距离体表的深度可在屏幕上实时显示</w:t>
      </w:r>
      <w:r>
        <w:rPr>
          <w:rFonts w:hint="eastAsia" w:ascii="宋体" w:hAnsi="宋体" w:eastAsia="宋体"/>
          <w:b w:val="0"/>
          <w:bCs/>
          <w:sz w:val="24"/>
          <w:szCs w:val="20"/>
          <w:lang w:eastAsia="zh-CN"/>
        </w:rPr>
      </w:r>
      <w:r/>
    </w:p>
    <w:p>
      <w:pPr>
        <w:pStyle w:val="1024"/>
        <w:ind w:firstLine="96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eastAsia="宋体"/>
          <w:b w:val="0"/>
          <w:bCs/>
          <w:sz w:val="24"/>
          <w:szCs w:val="20"/>
          <w:lang w:eastAsia="zh-CN"/>
        </w:rPr>
        <w:t xml:space="preserve">PW取样容积宽度1-16mm</w:t>
      </w:r>
      <w:r>
        <w:rPr>
          <w:rFonts w:ascii="宋体" w:hAnsi="宋体" w:eastAsia="宋体"/>
          <w:b w:val="0"/>
          <w:bCs/>
          <w:color w:val="ff0000"/>
          <w:sz w:val="24"/>
          <w:szCs w:val="20"/>
          <w:lang w:val="en-US"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eastAsia="宋体"/>
          <w:b/>
          <w:bCs w:val="0"/>
          <w:sz w:val="24"/>
          <w:szCs w:val="20"/>
          <w:lang w:val="en-US" w:eastAsia="zh-CN"/>
        </w:rPr>
        <w:t xml:space="preserve">6.</w:t>
      </w:r>
      <w:r>
        <w:rPr>
          <w:rFonts w:hint="eastAsia" w:ascii="宋体" w:hAnsi="宋体" w:eastAsia="宋体"/>
          <w:b/>
          <w:bCs w:val="0"/>
          <w:sz w:val="24"/>
          <w:szCs w:val="20"/>
          <w:lang w:eastAsia="zh-CN"/>
        </w:rPr>
        <w:t xml:space="preserve">彩色多普勒</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6.1</w:t>
      </w:r>
      <w:r>
        <w:rPr>
          <w:rFonts w:hint="eastAsia" w:ascii="宋体" w:hAnsi="宋体" w:eastAsia="宋体"/>
          <w:b w:val="0"/>
          <w:bCs/>
          <w:sz w:val="24"/>
          <w:szCs w:val="20"/>
          <w:lang w:eastAsia="zh-CN"/>
        </w:rPr>
        <w:t xml:space="preserve">凸阵探头最大视角，最大取样框，18cm深度时，彩色帧频≥6帧</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6.2</w:t>
      </w:r>
      <w:r>
        <w:rPr>
          <w:rFonts w:hint="eastAsia" w:ascii="宋体" w:hAnsi="宋体" w:eastAsia="宋体"/>
          <w:b w:val="0"/>
          <w:bCs/>
          <w:sz w:val="24"/>
          <w:szCs w:val="20"/>
          <w:lang w:eastAsia="zh-CN"/>
        </w:rPr>
        <w:t xml:space="preserve">相控阵探头90°视角, 最大取样框，18cm深度时，彩色帧频≥12帧</w:t>
      </w:r>
      <w:r>
        <w:rPr>
          <w:rFonts w:hint="eastAsia" w:ascii="宋体" w:hAnsi="宋体" w:eastAsia="宋体"/>
          <w:b w:val="0"/>
          <w:bCs/>
          <w:sz w:val="24"/>
          <w:szCs w:val="20"/>
          <w:lang w:eastAsia="zh-CN"/>
        </w:rPr>
      </w:r>
      <w:r/>
    </w:p>
    <w:p>
      <w:pPr>
        <w:pStyle w:val="1024"/>
        <w:ind w:firstLine="482"/>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bCs w:val="0"/>
          <w:sz w:val="24"/>
          <w:szCs w:val="20"/>
          <w:lang w:val="en-US" w:eastAsia="zh-CN"/>
        </w:rPr>
        <w:t xml:space="preserve">7.</w:t>
      </w:r>
      <w:r>
        <w:rPr>
          <w:rFonts w:hint="eastAsia" w:ascii="宋体" w:hAnsi="宋体" w:eastAsia="宋体"/>
          <w:b/>
          <w:bCs w:val="0"/>
          <w:sz w:val="24"/>
          <w:szCs w:val="20"/>
          <w:lang w:eastAsia="zh-CN"/>
        </w:rPr>
        <w:t xml:space="preserve">测量和分析：(B型、M型、频谱多普勒、彩色模式)</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color w:val="ff0000"/>
          <w:sz w:val="24"/>
          <w:szCs w:val="20"/>
          <w:lang w:val="en-US" w:eastAsia="zh-CN"/>
        </w:rPr>
      </w:pPr>
      <w:r>
        <w:rPr>
          <w:rFonts w:hint="eastAsia" w:ascii="宋体" w:hAnsi="宋体"/>
          <w:b w:val="0"/>
          <w:bCs/>
          <w:sz w:val="24"/>
          <w:szCs w:val="20"/>
          <w:lang w:val="en-US" w:eastAsia="zh-CN"/>
        </w:rPr>
        <w:t xml:space="preserve">7.1</w:t>
      </w:r>
      <w:r>
        <w:rPr>
          <w:rFonts w:hint="eastAsia" w:ascii="宋体" w:hAnsi="宋体" w:eastAsia="宋体"/>
          <w:b w:val="0"/>
          <w:bCs/>
          <w:sz w:val="24"/>
          <w:szCs w:val="20"/>
          <w:lang w:eastAsia="zh-CN"/>
        </w:rPr>
        <w:t xml:space="preserve">具有双胎甚至4胎参数测量及生长发育曲线；单胎具有≥20种生长发育曲线</w:t>
      </w:r>
      <w:r>
        <w:rPr>
          <w:rFonts w:ascii="宋体" w:hAnsi="宋体" w:eastAsia="宋体"/>
          <w:b w:val="0"/>
          <w:bCs/>
          <w:color w:val="ff0000"/>
          <w:sz w:val="24"/>
          <w:szCs w:val="20"/>
          <w:lang w:val="en-US" w:eastAsia="zh-CN"/>
        </w:rPr>
      </w:r>
      <w:r/>
    </w:p>
    <w:p>
      <w:pPr>
        <w:pStyle w:val="1024"/>
        <w:ind w:firstLine="480"/>
        <w:keepLines w:val="0"/>
        <w:keepNext w:val="0"/>
        <w:pageBreakBefore w:val="0"/>
        <w:spacing w:line="480" w:lineRule="exact"/>
        <w:widowControl w:val="off"/>
        <w:rPr>
          <w:rFonts w:ascii="宋体" w:hAnsi="宋体" w:eastAsia="宋体"/>
          <w:b w:val="0"/>
          <w:bCs/>
          <w:sz w:val="24"/>
          <w:szCs w:val="20"/>
          <w:lang w:val="en-US" w:eastAsia="zh-CN"/>
        </w:rPr>
      </w:pPr>
      <w:r>
        <w:rPr>
          <w:rFonts w:hint="eastAsia" w:ascii="宋体" w:hAnsi="宋体"/>
          <w:b w:val="0"/>
          <w:bCs/>
          <w:sz w:val="24"/>
          <w:szCs w:val="20"/>
          <w:lang w:val="en-US" w:eastAsia="zh-CN"/>
        </w:rPr>
        <w:t xml:space="preserve">7.2</w:t>
      </w:r>
      <w:r>
        <w:rPr>
          <w:rFonts w:hint="eastAsia" w:ascii="宋体" w:hAnsi="宋体" w:eastAsia="宋体"/>
          <w:b w:val="0"/>
          <w:bCs/>
          <w:sz w:val="24"/>
          <w:szCs w:val="20"/>
          <w:lang w:eastAsia="zh-CN"/>
        </w:rPr>
        <w:t xml:space="preserve">产科自动测量软件：对于常见的胎儿发育指标参数（双顶径、头围、腹围、股骨长、肱骨长等），系统可以自动识别、测量，并计算出结果</w:t>
      </w:r>
      <w:r>
        <w:rPr>
          <w:rFonts w:ascii="宋体" w:hAnsi="宋体" w:eastAsia="宋体"/>
          <w:b w:val="0"/>
          <w:bCs/>
          <w:sz w:val="24"/>
          <w:szCs w:val="20"/>
          <w:lang w:val="en-US"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7.3</w:t>
      </w:r>
      <w:r>
        <w:rPr>
          <w:rFonts w:hint="eastAsia" w:ascii="宋体" w:hAnsi="宋体" w:eastAsia="宋体"/>
          <w:b w:val="0"/>
          <w:bCs/>
          <w:sz w:val="24"/>
          <w:szCs w:val="20"/>
          <w:lang w:eastAsia="zh-CN"/>
        </w:rPr>
        <w:t xml:space="preserve">频谱多普勒自动包络测量和计算，可自动测量和计算≥12个参数</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7.4</w:t>
      </w:r>
      <w:r>
        <w:rPr>
          <w:rFonts w:hint="eastAsia" w:ascii="宋体" w:hAnsi="宋体" w:eastAsia="宋体"/>
          <w:b w:val="0"/>
          <w:bCs/>
          <w:sz w:val="24"/>
          <w:szCs w:val="20"/>
          <w:lang w:eastAsia="zh-CN"/>
        </w:rPr>
        <w:t xml:space="preserve">泌尿系统测量与分析，具有膀胱容积自动测量：自动识别膀胱壁，标记各径线大小，系统自动计算膀胱容积</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7.5</w:t>
      </w:r>
      <w:r>
        <w:rPr>
          <w:rFonts w:hint="eastAsia" w:ascii="宋体" w:hAnsi="宋体" w:eastAsia="宋体"/>
          <w:b w:val="0"/>
          <w:bCs/>
          <w:sz w:val="24"/>
          <w:szCs w:val="20"/>
          <w:lang w:eastAsia="zh-CN"/>
        </w:rPr>
        <w:t xml:space="preserve">血管内中膜厚度自动测量：可以在同切面、且无需180°旋转切面方向的状态下先后自动测量血管前后壁的内中膜厚度，每次可自动测量≥6种参数值</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ascii="宋体" w:hAnsi="宋体" w:eastAsia="宋体"/>
          <w:b w:val="0"/>
          <w:bCs/>
          <w:sz w:val="24"/>
          <w:szCs w:val="20"/>
          <w:lang w:val="en-US" w:eastAsia="zh-CN"/>
        </w:rPr>
      </w:pPr>
      <w:r>
        <w:rPr>
          <w:rFonts w:hint="eastAsia" w:ascii="宋体" w:hAnsi="宋体"/>
          <w:b w:val="0"/>
          <w:bCs/>
          <w:sz w:val="24"/>
          <w:szCs w:val="20"/>
          <w:lang w:val="en-US" w:eastAsia="zh-CN"/>
        </w:rPr>
        <w:t xml:space="preserve">7.6</w:t>
      </w:r>
      <w:r>
        <w:rPr>
          <w:rFonts w:hint="eastAsia" w:ascii="宋体" w:hAnsi="宋体" w:eastAsia="宋体"/>
          <w:b w:val="0"/>
          <w:bCs/>
          <w:sz w:val="24"/>
          <w:szCs w:val="20"/>
          <w:lang w:eastAsia="zh-CN"/>
        </w:rPr>
        <w:t xml:space="preserve">甲状腺、乳腺自动测量：可自动识别结节、肿瘤等占位病变，并自动包络病变轮廓，自动测量计算，可在机进行Ti-RADS\Bi-RADS分级评估，并将测量和评估结果以在机报告形式显示出来，支持随时打印</w:t>
      </w:r>
      <w:r>
        <w:rPr>
          <w:rFonts w:ascii="宋体" w:hAnsi="宋体" w:eastAsia="宋体"/>
          <w:b w:val="0"/>
          <w:bCs/>
          <w:sz w:val="24"/>
          <w:szCs w:val="20"/>
          <w:lang w:val="en-US" w:eastAsia="zh-CN"/>
        </w:rPr>
      </w:r>
      <w:r/>
    </w:p>
    <w:p>
      <w:pPr>
        <w:pStyle w:val="1024"/>
        <w:ind w:firstLine="482"/>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b/>
          <w:bCs w:val="0"/>
          <w:sz w:val="24"/>
          <w:szCs w:val="20"/>
          <w:lang w:val="en-US" w:eastAsia="zh-CN"/>
        </w:rPr>
        <w:t xml:space="preserve">8</w:t>
      </w:r>
      <w:r>
        <w:rPr>
          <w:rFonts w:hint="eastAsia" w:ascii="宋体" w:hAnsi="宋体" w:eastAsia="宋体"/>
          <w:b/>
          <w:bCs w:val="0"/>
          <w:sz w:val="24"/>
          <w:szCs w:val="20"/>
          <w:lang w:val="en-US" w:eastAsia="zh-CN"/>
        </w:rPr>
        <w:t xml:space="preserve">.</w:t>
      </w:r>
      <w:r>
        <w:rPr>
          <w:rFonts w:hint="eastAsia" w:ascii="宋体" w:hAnsi="宋体"/>
          <w:b/>
          <w:bCs w:val="0"/>
          <w:sz w:val="24"/>
          <w:szCs w:val="20"/>
          <w:lang w:val="en-US" w:eastAsia="zh-CN"/>
        </w:rPr>
        <w:t xml:space="preserve">外置</w:t>
      </w:r>
      <w:r>
        <w:rPr>
          <w:rFonts w:hint="eastAsia" w:ascii="宋体" w:hAnsi="宋体" w:eastAsia="宋体"/>
          <w:b/>
          <w:bCs w:val="0"/>
          <w:sz w:val="24"/>
          <w:szCs w:val="20"/>
          <w:lang w:eastAsia="zh-CN"/>
        </w:rPr>
        <w:t xml:space="preserve">超声影像处理工作站（AI系统）</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w:t>
      </w:r>
      <w:r>
        <w:rPr>
          <w:rFonts w:hint="eastAsia" w:ascii="宋体" w:hAnsi="宋体" w:eastAsia="宋体"/>
          <w:b w:val="0"/>
          <w:bCs/>
          <w:sz w:val="24"/>
          <w:szCs w:val="20"/>
          <w:lang w:eastAsia="zh-CN"/>
        </w:rPr>
        <w:t xml:space="preserve">资质认证：乳腺AI取得三类医疗器械注册证</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.2</w:t>
      </w:r>
      <w:r>
        <w:rPr>
          <w:rFonts w:hint="eastAsia" w:ascii="宋体" w:hAnsi="宋体" w:eastAsia="宋体"/>
          <w:b w:val="0"/>
          <w:bCs/>
          <w:sz w:val="24"/>
          <w:szCs w:val="20"/>
          <w:lang w:eastAsia="zh-CN"/>
        </w:rPr>
        <w:t xml:space="preserve">显示器：≥15.6 英寸，分辨率≥1920*1080，支架：独立显示器支架，CPU：i7-1165G7，内存 ：16G ，系统硬盘：1TSSD 显卡 ：RTX 2060</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.3</w:t>
      </w:r>
      <w:r>
        <w:rPr>
          <w:rFonts w:hint="eastAsia" w:ascii="宋体" w:hAnsi="宋体" w:eastAsia="宋体"/>
          <w:b w:val="0"/>
          <w:bCs/>
          <w:sz w:val="24"/>
          <w:szCs w:val="20"/>
          <w:lang w:eastAsia="zh-CN"/>
        </w:rPr>
        <w:t xml:space="preserve">开机自启动：支持开机后系统自行启动，进入工作状态</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.4</w:t>
      </w:r>
      <w:r>
        <w:rPr>
          <w:rFonts w:hint="eastAsia" w:ascii="宋体" w:hAnsi="宋体" w:eastAsia="宋体"/>
          <w:b w:val="0"/>
          <w:bCs/>
          <w:sz w:val="24"/>
          <w:szCs w:val="20"/>
          <w:lang w:eastAsia="zh-CN"/>
        </w:rPr>
        <w:t xml:space="preserve">影像传输、显示模块：接收超声设备推送的影像视频信号，并在显示器上实时显示，无肉眼可见的图像延时</w:t>
      </w:r>
      <w:r>
        <w:rPr>
          <w:rFonts w:hint="eastAsia" w:ascii="宋体" w:hAnsi="宋体"/>
          <w:b w:val="0"/>
          <w:bCs/>
          <w:color w:val="ff0000"/>
          <w:sz w:val="24"/>
          <w:szCs w:val="20"/>
          <w:lang w:val="en-US" w:eastAsia="zh-CN"/>
        </w:rPr>
        <w:t xml:space="preserve"> </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.5</w:t>
      </w:r>
      <w:r>
        <w:rPr>
          <w:rFonts w:hint="eastAsia" w:ascii="宋体" w:hAnsi="宋体" w:eastAsia="宋体"/>
          <w:b w:val="0"/>
          <w:bCs/>
          <w:sz w:val="24"/>
          <w:szCs w:val="20"/>
          <w:lang w:eastAsia="zh-CN"/>
        </w:rPr>
        <w:t xml:space="preserve">影像区域放大：系统自动识别有效影像区域，并等比放大至最佳状态</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.6</w:t>
      </w:r>
      <w:r>
        <w:rPr>
          <w:rFonts w:hint="eastAsia" w:ascii="宋体" w:hAnsi="宋体" w:eastAsia="宋体"/>
          <w:b w:val="0"/>
          <w:bCs/>
          <w:sz w:val="24"/>
          <w:szCs w:val="20"/>
          <w:lang w:eastAsia="zh-CN"/>
        </w:rPr>
        <w:t xml:space="preserve">新建检查：进行患者信息的录入，包括患者检查ID、患者ID、姓名、性别、年龄等信息</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.7</w:t>
      </w:r>
      <w:r>
        <w:rPr>
          <w:rFonts w:hint="eastAsia" w:ascii="宋体" w:hAnsi="宋体" w:eastAsia="宋体"/>
          <w:b w:val="0"/>
          <w:bCs/>
          <w:sz w:val="24"/>
          <w:szCs w:val="20"/>
          <w:lang w:eastAsia="zh-CN"/>
        </w:rPr>
        <w:t xml:space="preserve">乳腺动态实时检出模块</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.8</w:t>
      </w:r>
      <w:r>
        <w:rPr>
          <w:rFonts w:hint="eastAsia" w:ascii="宋体" w:hAnsi="宋体" w:eastAsia="宋体"/>
          <w:b w:val="0"/>
          <w:bCs/>
          <w:sz w:val="24"/>
          <w:szCs w:val="20"/>
          <w:lang w:eastAsia="zh-CN"/>
        </w:rPr>
        <w:t xml:space="preserve">病灶自动检出及定位：检出模式下系统自动检出乳腺病灶，给出提示框及病灶信息；并根据病灶不同分类结果使用不同颜色的提示框，提示框颜色≥3种</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.9</w:t>
      </w:r>
      <w:r>
        <w:rPr>
          <w:rFonts w:hint="eastAsia" w:ascii="宋体" w:hAnsi="宋体" w:eastAsia="宋体"/>
          <w:b w:val="0"/>
          <w:bCs/>
          <w:sz w:val="24"/>
          <w:szCs w:val="20"/>
          <w:lang w:eastAsia="zh-CN"/>
        </w:rPr>
        <w:t xml:space="preserve">实时分类结果提示：支持系统对当前乳腺病灶进行实时分析</w:t>
      </w:r>
      <w:r>
        <w:rPr>
          <w:rFonts w:hint="eastAsia" w:ascii="宋体" w:hAnsi="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.10</w:t>
      </w:r>
      <w:r>
        <w:rPr>
          <w:rFonts w:hint="eastAsia" w:ascii="宋体" w:hAnsi="宋体" w:eastAsia="宋体"/>
          <w:b w:val="0"/>
          <w:bCs/>
          <w:sz w:val="24"/>
          <w:szCs w:val="20"/>
          <w:lang w:eastAsia="zh-CN"/>
        </w:rPr>
        <w:t xml:space="preserve">检出提示音：支持系统在检测病灶的同时辅以提示音提示</w:t>
      </w:r>
      <w:r>
        <w:rPr>
          <w:rFonts w:hint="eastAsia" w:ascii="宋体" w:hAnsi="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w:t>
      </w: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.11</w:t>
      </w:r>
      <w:r>
        <w:rPr>
          <w:rFonts w:hint="eastAsia" w:ascii="宋体" w:hAnsi="宋体" w:eastAsia="宋体"/>
          <w:b w:val="0"/>
          <w:bCs/>
          <w:sz w:val="24"/>
          <w:szCs w:val="20"/>
          <w:lang w:eastAsia="zh-CN"/>
        </w:rPr>
        <w:t xml:space="preserve">快捷分析：在检测到乳腺病灶后，系统快速提示关键切面的分析结果</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.12</w:t>
      </w:r>
      <w:r>
        <w:rPr>
          <w:rFonts w:hint="eastAsia" w:ascii="宋体" w:hAnsi="宋体" w:eastAsia="宋体"/>
          <w:b w:val="0"/>
          <w:bCs/>
          <w:sz w:val="24"/>
          <w:szCs w:val="20"/>
          <w:lang w:eastAsia="zh-CN"/>
        </w:rPr>
        <w:t xml:space="preserve">形状描述≥5类</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.13</w:t>
      </w:r>
      <w:r>
        <w:rPr>
          <w:rFonts w:hint="eastAsia" w:ascii="宋体" w:hAnsi="宋体" w:eastAsia="宋体"/>
          <w:b w:val="0"/>
          <w:bCs/>
          <w:sz w:val="24"/>
          <w:szCs w:val="20"/>
          <w:lang w:eastAsia="zh-CN"/>
        </w:rPr>
        <w:t xml:space="preserve">系统自动判断分析检出象限，提供≥10种区间选择</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bCs w:val="0"/>
          <w:sz w:val="24"/>
          <w:szCs w:val="20"/>
          <w:lang w:eastAsia="zh-CN"/>
        </w:rPr>
      </w:pPr>
      <w:r>
        <w:rPr>
          <w:rFonts w:hint="eastAsia" w:ascii="宋体" w:hAnsi="宋体"/>
          <w:b w:val="0"/>
          <w:bCs/>
          <w:sz w:val="24"/>
          <w:szCs w:val="20"/>
          <w:lang w:val="en-US" w:eastAsia="zh-CN"/>
        </w:rPr>
        <w:t xml:space="preserve">8</w:t>
      </w:r>
      <w:r>
        <w:rPr>
          <w:rFonts w:hint="eastAsia" w:ascii="宋体" w:hAnsi="宋体" w:eastAsia="宋体"/>
          <w:b w:val="0"/>
          <w:bCs/>
          <w:sz w:val="24"/>
          <w:szCs w:val="20"/>
          <w:lang w:val="en-US" w:eastAsia="zh-CN"/>
        </w:rPr>
        <w:t xml:space="preserve">.14</w:t>
      </w:r>
      <w:r>
        <w:rPr>
          <w:rFonts w:hint="eastAsia" w:ascii="宋体" w:hAnsi="宋体" w:eastAsia="宋体"/>
          <w:b w:val="0"/>
          <w:bCs/>
          <w:sz w:val="24"/>
          <w:szCs w:val="20"/>
          <w:lang w:eastAsia="zh-CN"/>
        </w:rPr>
        <w:t xml:space="preserve">系统自动判断分析检出时钟方向，提供≥12种选择</w:t>
      </w:r>
      <w:r>
        <w:rPr>
          <w:rFonts w:hint="eastAsia" w:ascii="宋体" w:hAnsi="宋体" w:eastAsia="宋体"/>
          <w:b/>
          <w:bCs w:val="0"/>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8.1</w:t>
      </w:r>
      <w:r>
        <w:rPr>
          <w:rFonts w:hint="eastAsia" w:ascii="宋体" w:hAnsi="宋体"/>
          <w:b w:val="0"/>
          <w:bCs/>
          <w:sz w:val="24"/>
          <w:szCs w:val="20"/>
          <w:lang w:val="en-US" w:eastAsia="zh-CN"/>
        </w:rPr>
        <w:t xml:space="preserve">5</w:t>
      </w:r>
      <w:r>
        <w:rPr>
          <w:rFonts w:hint="eastAsia" w:ascii="宋体" w:hAnsi="宋体" w:eastAsia="宋体"/>
          <w:b w:val="0"/>
          <w:bCs/>
          <w:sz w:val="24"/>
          <w:szCs w:val="20"/>
          <w:lang w:eastAsia="zh-CN"/>
        </w:rPr>
        <w:t xml:space="preserve">账号设置：支持用户修改账户密码、退出登录；并可设置不同类型账号，分为管理员账号、普通账号，方便科室进行账号管理</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通用设置：患者信息：显示/隐藏主页面的患者信息；病灶检出声音：开启/关闭；字体：支持设置检出框上的字体大小；保存路径：可设置视频、图片保存的文件夹路径；影像原始分辨率：支持快速设置超声机影像分辨率</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影像设置：支持手动/自动识别有效区域，支持将实时检出的超声影像放大到固定比例大小</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eastAsia="zh-CN"/>
        </w:rPr>
        <w:t xml:space="preserve">智能设置：ROI阈值调节：≥7档；部位切换模式≥3种；实时分类结果：显示/隐藏，并根据不同分类，用不同颜色的病灶框标出病灶位置，提示框种类≥3种</w:t>
      </w:r>
      <w:r>
        <w:rPr>
          <w:rFonts w:hint="eastAsia" w:ascii="宋体" w:hAnsi="宋体" w:eastAsia="宋体"/>
          <w:b w:val="0"/>
          <w:bCs/>
          <w:sz w:val="24"/>
          <w:szCs w:val="20"/>
          <w:lang w:eastAsia="zh-CN"/>
        </w:rPr>
      </w:r>
      <w:r/>
    </w:p>
    <w:p>
      <w:pPr>
        <w:pStyle w:val="1024"/>
        <w:ind w:firstLine="480"/>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eastAsia="宋体"/>
          <w:b w:val="0"/>
          <w:bCs/>
          <w:sz w:val="24"/>
          <w:szCs w:val="20"/>
          <w:lang w:val="en-US" w:eastAsia="zh-CN"/>
        </w:rPr>
        <w:t xml:space="preserve">8.</w:t>
      </w:r>
      <w:r>
        <w:rPr>
          <w:rFonts w:hint="eastAsia" w:ascii="宋体" w:hAnsi="宋体"/>
          <w:b w:val="0"/>
          <w:bCs/>
          <w:sz w:val="24"/>
          <w:szCs w:val="20"/>
          <w:lang w:val="en-US" w:eastAsia="zh-CN"/>
        </w:rPr>
        <w:t xml:space="preserve">16</w:t>
      </w:r>
      <w:r>
        <w:rPr>
          <w:rFonts w:hint="eastAsia" w:ascii="宋体" w:hAnsi="宋体" w:eastAsia="宋体"/>
          <w:b w:val="0"/>
          <w:bCs/>
          <w:sz w:val="24"/>
          <w:szCs w:val="20"/>
          <w:lang w:eastAsia="zh-CN"/>
        </w:rPr>
        <w:t xml:space="preserve">快捷操作：支持根据用户需求自定义快捷操作方式</w:t>
      </w:r>
      <w:r>
        <w:rPr>
          <w:rFonts w:hint="eastAsia" w:ascii="宋体" w:hAnsi="宋体" w:eastAsia="宋体"/>
          <w:b w:val="0"/>
          <w:bCs/>
          <w:sz w:val="24"/>
          <w:szCs w:val="20"/>
          <w:lang w:eastAsia="zh-CN"/>
        </w:rPr>
      </w:r>
      <w:r/>
    </w:p>
    <w:p>
      <w:pPr>
        <w:pStyle w:val="1024"/>
        <w:ind w:firstLine="482"/>
        <w:keepLines w:val="0"/>
        <w:keepNext w:val="0"/>
        <w:pageBreakBefore w:val="0"/>
        <w:spacing w:line="480" w:lineRule="exact"/>
        <w:widowControl w:val="off"/>
        <w:rPr>
          <w:rFonts w:hint="eastAsia" w:ascii="宋体" w:hAnsi="宋体" w:eastAsia="宋体"/>
          <w:b w:val="0"/>
          <w:bCs/>
          <w:sz w:val="24"/>
          <w:szCs w:val="20"/>
          <w:lang w:eastAsia="zh-CN"/>
        </w:rPr>
      </w:pPr>
      <w:r>
        <w:rPr>
          <w:rFonts w:hint="eastAsia" w:ascii="宋体" w:hAnsi="宋体"/>
          <w:b/>
          <w:bCs w:val="0"/>
          <w:sz w:val="24"/>
          <w:szCs w:val="20"/>
          <w:lang w:val="en-US" w:eastAsia="zh-CN"/>
        </w:rPr>
        <w:t xml:space="preserve">9.</w:t>
      </w:r>
      <w:r>
        <w:rPr>
          <w:rFonts w:hint="eastAsia" w:ascii="宋体" w:hAnsi="宋体" w:eastAsia="宋体"/>
          <w:b/>
          <w:bCs w:val="0"/>
          <w:sz w:val="24"/>
          <w:szCs w:val="20"/>
          <w:lang w:eastAsia="zh-CN"/>
        </w:rPr>
        <w:t xml:space="preserve">负责所投机型连接医院PACS系统</w:t>
      </w:r>
      <w:r>
        <w:rPr>
          <w:rFonts w:hint="eastAsia" w:ascii="宋体" w:hAnsi="宋体" w:eastAsia="宋体"/>
          <w:b w:val="0"/>
          <w:bCs/>
          <w:sz w:val="24"/>
          <w:szCs w:val="20"/>
          <w:lang w:eastAsia="zh-CN"/>
        </w:rPr>
      </w:r>
      <w:r/>
    </w:p>
    <w:p>
      <w:pPr>
        <w:pStyle w:val="1024"/>
        <w:ind w:firstLine="482"/>
        <w:keepLines w:val="0"/>
        <w:keepNext w:val="0"/>
        <w:pageBreakBefore w:val="0"/>
        <w:spacing w:before="120" w:after="120" w:line="480" w:lineRule="exact"/>
        <w:rPr>
          <w:rFonts w:hint="eastAsia" w:ascii="宋体" w:hAnsi="宋体" w:eastAsia="宋体"/>
          <w:b/>
          <w:sz w:val="24"/>
          <w:szCs w:val="20"/>
        </w:rPr>
      </w:pPr>
      <w:r>
        <w:rPr>
          <w:rFonts w:hint="eastAsia" w:ascii="宋体" w:hAnsi="宋体" w:eastAsia="宋体"/>
          <w:b/>
          <w:sz w:val="24"/>
          <w:szCs w:val="20"/>
          <w:lang w:eastAsia="zh-CN"/>
        </w:rPr>
        <w:t xml:space="preserve">三</w:t>
      </w:r>
      <w:r>
        <w:rPr>
          <w:rFonts w:hint="eastAsia" w:ascii="宋体" w:hAnsi="宋体" w:eastAsia="宋体"/>
          <w:b/>
          <w:sz w:val="24"/>
          <w:szCs w:val="20"/>
        </w:rPr>
        <w:t xml:space="preserve">、服务保障和承诺要求</w:t>
      </w:r>
      <w:r>
        <w:rPr>
          <w:rFonts w:hint="eastAsia" w:ascii="宋体" w:hAnsi="宋体" w:eastAsia="宋体"/>
          <w:b/>
          <w:sz w:val="24"/>
          <w:szCs w:val="20"/>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供应商自行承担运输、指导安装、调试过程中的安全责任</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3.供应商在服务过程中涉及第三方产品知识产权情况，若出现技术、经济或法律上的纠纷，应由承包方全面承担并全权解决，并确保不影响项目的进度。</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质保期限（自安装验收合格之日算起）：</w:t>
      </w:r>
      <w:r>
        <w:rPr>
          <w:rFonts w:hint="eastAsia" w:ascii="宋体" w:hAnsi="宋体" w:cs="宋体"/>
          <w:sz w:val="24"/>
          <w:szCs w:val="24"/>
          <w:highlight w:val="none"/>
          <w:lang w:val="en-US" w:eastAsia="zh-CN"/>
        </w:rPr>
        <w:t xml:space="preserve">8年</w:t>
      </w:r>
      <w:r>
        <w:rPr>
          <w:rFonts w:hint="eastAsia" w:ascii="宋体" w:hAnsi="宋体" w:cs="宋体"/>
          <w:sz w:val="24"/>
          <w:szCs w:val="24"/>
          <w:highlight w:val="none"/>
        </w:rPr>
        <w:t xml:space="preserve">质保。质保期内负责设备整机包修、维护及保养。中标方中标后提供生产厂家出具其免费质保期限服务承诺。</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eastAsia="宋体"/>
          <w:highlight w:val="yellow"/>
          <w:lang w:val="en-US" w:eastAsia="zh-CN"/>
        </w:rPr>
      </w:pPr>
      <w:r>
        <w:rPr>
          <w:rFonts w:hint="eastAsia" w:ascii="宋体" w:hAnsi="宋体" w:cs="宋体"/>
          <w:sz w:val="24"/>
          <w:szCs w:val="24"/>
          <w:highlight w:val="none"/>
          <w:lang w:val="en-US" w:eastAsia="zh-CN"/>
        </w:rPr>
        <w:t xml:space="preserve">5.中标后提供仪3把探头（含心脏、腹部、腔内、高频四选三）。</w:t>
      </w:r>
      <w:r>
        <w:rPr>
          <w:rFonts w:eastAsia="宋体"/>
          <w:highlight w:val="yellow"/>
          <w:lang w:val="en-US" w:eastAsia="zh-CN"/>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中标方必须有严格的售后服务保障体系，能提供正常的技术支持和备件</w:t>
      </w:r>
      <w:r>
        <w:rPr>
          <w:rFonts w:hint="eastAsia" w:ascii="宋体" w:hAnsi="宋体" w:cs="宋体"/>
          <w:sz w:val="24"/>
          <w:szCs w:val="24"/>
          <w:highlight w:val="none"/>
          <w:lang w:eastAsia="zh-CN"/>
        </w:rPr>
        <w:t xml:space="preserve">供应</w:t>
      </w:r>
      <w:r>
        <w:rPr>
          <w:rFonts w:hint="eastAsia" w:ascii="宋体" w:hAnsi="宋体" w:cs="宋体"/>
          <w:sz w:val="24"/>
          <w:szCs w:val="24"/>
          <w:highlight w:val="none"/>
        </w:rPr>
        <w:t xml:space="preserve">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宋体" w:hAnsi="宋体" w:cs="宋体"/>
          <w:sz w:val="24"/>
          <w:szCs w:val="24"/>
          <w:highlight w:val="none"/>
        </w:rPr>
      </w:r>
      <w:r/>
    </w:p>
    <w:p>
      <w:pPr>
        <w:pStyle w:val="1060"/>
        <w:ind w:left="479" w:firstLine="0"/>
        <w:spacing w:before="0" w:after="0" w:line="460" w:lineRule="exact"/>
        <w:rPr>
          <w:rFonts w:hint="eastAsia" w:ascii="宋体" w:hAnsi="宋体" w:cs="Arial"/>
          <w:b/>
          <w:bCs/>
          <w:highlight w:val="none"/>
        </w:rPr>
      </w:pPr>
      <w:r>
        <w:rPr>
          <w:rFonts w:hint="eastAsia" w:ascii="宋体" w:hAnsi="宋体" w:cs="Arial"/>
          <w:b/>
          <w:bCs/>
          <w:highlight w:val="none"/>
        </w:rPr>
        <w:t xml:space="preserve">注：以上要求须在投标文件《</w:t>
      </w:r>
      <w:r>
        <w:rPr>
          <w:rFonts w:hint="eastAsia" w:ascii="宋体" w:hAnsi="宋体" w:cs="Arial"/>
          <w:b/>
          <w:bCs/>
          <w:highlight w:val="none"/>
          <w:lang w:eastAsia="zh-CN"/>
        </w:rPr>
        <w:t xml:space="preserve">售后</w:t>
      </w:r>
      <w:r>
        <w:rPr>
          <w:rFonts w:hint="eastAsia" w:ascii="宋体" w:hAnsi="宋体" w:cs="Arial"/>
          <w:b/>
          <w:bCs/>
          <w:highlight w:val="none"/>
        </w:rPr>
        <w:t xml:space="preserve">服务承诺函》中逐条响应，未响应或部分响应的作无效标论处。</w:t>
      </w:r>
      <w:r>
        <w:rPr>
          <w:rFonts w:hint="eastAsia" w:ascii="宋体" w:hAnsi="宋体" w:cs="Arial"/>
          <w:b/>
          <w:bCs/>
          <w:highlight w:val="none"/>
        </w:rPr>
      </w:r>
      <w:r/>
    </w:p>
    <w:p>
      <w:pPr>
        <w:pStyle w:val="1048"/>
        <w:ind w:firstLine="482"/>
        <w:jc w:val="both"/>
        <w:spacing w:before="0" w:beforeAutospacing="0" w:after="0" w:afterAutospacing="0" w:line="360" w:lineRule="auto"/>
        <w:rPr>
          <w:rFonts w:hint="eastAsia" w:ascii="宋体" w:hAnsi="宋体" w:eastAsia="宋体"/>
          <w:b/>
          <w:bCs/>
        </w:rPr>
      </w:pPr>
      <w:r>
        <w:rPr>
          <w:rFonts w:hint="eastAsia" w:ascii="宋体" w:hAnsi="宋体"/>
          <w:b/>
          <w:bCs/>
          <w:lang w:eastAsia="zh-CN"/>
        </w:rPr>
        <w:t xml:space="preserve">四</w:t>
      </w:r>
      <w:r>
        <w:rPr>
          <w:rFonts w:hint="eastAsia" w:ascii="宋体" w:hAnsi="宋体" w:eastAsia="宋体"/>
          <w:b/>
          <w:bCs/>
        </w:rPr>
        <w:t xml:space="preserve">、采购标的对应的中小企业划分标准所属行业一览表</w:t>
      </w:r>
      <w:r>
        <w:rPr>
          <w:rFonts w:hint="eastAsia" w:ascii="宋体" w:hAnsi="宋体" w:eastAsia="宋体"/>
          <w:b/>
          <w:bCs/>
        </w:rPr>
      </w:r>
      <w:r/>
    </w:p>
    <w:tbl>
      <w:tblPr>
        <w:tblpPr w:horzAnchor="page" w:tblpX="1467" w:vertAnchor="text" w:tblpY="73" w:leftFromText="180" w:topFromText="0" w:rightFromText="180" w:bottomFromText="0"/>
        <w:tblW w:w="892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111"/>
        <w:gridCol w:w="3969"/>
      </w:tblGrid>
      <w:tr>
        <w:trPr>
          <w:tblCellSpacing w:w="0" w:type="dxa"/>
          <w:trHeight w:val="931"/>
        </w:trPr>
        <w:tc>
          <w:tcPr>
            <w:tcW w:w="846"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序号</w:t>
            </w:r>
            <w:r>
              <w:rPr>
                <w:rFonts w:hint="eastAsia" w:ascii="宋体" w:hAnsi="宋体" w:eastAsia="宋体"/>
              </w:rPr>
            </w:r>
            <w:r/>
          </w:p>
        </w:tc>
        <w:tc>
          <w:tcPr>
            <w:tcW w:w="4111"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采购标的</w:t>
            </w:r>
            <w:r>
              <w:rPr>
                <w:rFonts w:hint="eastAsia" w:ascii="宋体" w:hAnsi="宋体" w:eastAsia="宋体"/>
              </w:rPr>
            </w:r>
            <w:r/>
          </w:p>
        </w:tc>
        <w:tc>
          <w:tcPr>
            <w:tcW w:w="3969"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对应中小企业划分标准所属行业</w:t>
            </w:r>
            <w:r>
              <w:rPr>
                <w:rFonts w:hint="eastAsia" w:ascii="宋体" w:hAnsi="宋体" w:eastAsia="宋体"/>
              </w:rPr>
            </w:r>
            <w:r/>
          </w:p>
        </w:tc>
      </w:tr>
      <w:tr>
        <w:trPr>
          <w:tblCellSpacing w:w="0" w:type="dxa"/>
          <w:trHeight w:val="587"/>
        </w:trPr>
        <w:tc>
          <w:tcPr>
            <w:tcW w:w="846"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1</w:t>
            </w:r>
            <w:r>
              <w:rPr>
                <w:rFonts w:hint="eastAsia" w:ascii="宋体" w:hAnsi="宋体" w:eastAsia="宋体"/>
              </w:rPr>
            </w:r>
            <w:r/>
          </w:p>
        </w:tc>
        <w:tc>
          <w:tcPr>
            <w:tcW w:w="4111"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清单中所有产品标的</w:t>
            </w:r>
            <w:r>
              <w:rPr>
                <w:rFonts w:hint="eastAsia" w:ascii="宋体" w:hAnsi="宋体" w:eastAsia="宋体"/>
              </w:rPr>
            </w:r>
            <w:r/>
          </w:p>
        </w:tc>
        <w:tc>
          <w:tcPr>
            <w:tcW w:w="3969" w:type="dxa"/>
            <w:vAlign w:val="center"/>
            <w:textDirection w:val="lrTb"/>
            <w:noWrap w:val="false"/>
          </w:tcPr>
          <w:p>
            <w:pPr>
              <w:pStyle w:val="1048"/>
              <w:jc w:val="center"/>
              <w:spacing w:beforeAutospacing="0" w:afterAutospacing="0" w:line="0" w:lineRule="atLeast"/>
              <w:rPr>
                <w:rFonts w:hint="eastAsia" w:ascii="宋体" w:hAnsi="宋体" w:eastAsia="宋体"/>
              </w:rPr>
              <w:framePr w:vAnchor="text" w:hAnchor="page" w:x="1467" w:y="73"/>
            </w:pPr>
            <w:r>
              <w:rPr>
                <w:rFonts w:hint="eastAsia" w:ascii="宋体" w:hAnsi="宋体" w:eastAsia="宋体"/>
              </w:rPr>
              <w:t xml:space="preserve">工业</w:t>
            </w:r>
            <w:r>
              <w:rPr>
                <w:rFonts w:hint="eastAsia" w:ascii="宋体" w:hAnsi="宋体" w:eastAsia="宋体"/>
              </w:rPr>
            </w:r>
            <w:r/>
          </w:p>
        </w:tc>
      </w:tr>
    </w:tbl>
    <w:p>
      <w:pPr>
        <w:pStyle w:val="1060"/>
        <w:keepLines w:val="0"/>
        <w:keepNext w:val="0"/>
        <w:pageBreakBefore w:val="0"/>
        <w:spacing w:before="0" w:after="0" w:line="480" w:lineRule="exact"/>
        <w:rPr>
          <w:rFonts w:hint="eastAsia" w:ascii="宋体" w:hAnsi="宋体" w:cs="Arial"/>
          <w:b/>
          <w:bCs/>
          <w:color w:val="000000"/>
          <w:highlight w:val="none"/>
          <w:lang w:eastAsia="zh-CN"/>
        </w:rPr>
      </w:pPr>
      <w:r>
        <w:rPr>
          <w:rFonts w:hint="eastAsia" w:ascii="宋体" w:hAnsi="宋体" w:cs="Arial"/>
          <w:b/>
          <w:bCs/>
          <w:color w:val="000000"/>
          <w:highlight w:val="none"/>
          <w:lang w:eastAsia="zh-CN"/>
        </w:rPr>
      </w:r>
      <w:r/>
    </w:p>
    <w:p>
      <w:pPr>
        <w:pStyle w:val="1024"/>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4"/>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4"/>
        <w:jc w:val="center"/>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w:t>
      </w:r>
      <w:r>
        <w:rPr>
          <w:rFonts w:hint="eastAsia" w:ascii="宋体" w:hAnsi="宋体"/>
          <w:b/>
          <w:bCs/>
          <w:color w:val="000000"/>
          <w:sz w:val="24"/>
          <w:highlight w:val="none"/>
          <w:lang w:eastAsia="zh-CN"/>
        </w:rPr>
        <w:t xml:space="preserve">综合评分</w:t>
      </w:r>
      <w:r>
        <w:rPr>
          <w:rFonts w:hint="eastAsia" w:ascii="宋体" w:hAnsi="宋体"/>
          <w:b/>
          <w:bCs/>
          <w:color w:val="000000"/>
          <w:sz w:val="24"/>
          <w:highlight w:val="none"/>
        </w:rPr>
        <w:t xml:space="preserve">法</w:t>
      </w:r>
      <w:r>
        <w:rPr>
          <w:rFonts w:hint="eastAsia" w:ascii="宋体" w:hAnsi="宋体"/>
          <w:color w:val="000000"/>
          <w:sz w:val="24"/>
          <w:highlight w:val="none"/>
        </w:rPr>
      </w:r>
      <w:r/>
    </w:p>
    <w:p>
      <w:pPr>
        <w:pStyle w:val="1024"/>
        <w:ind w:firstLine="480"/>
        <w:spacing w:line="480" w:lineRule="exact"/>
        <w:rPr>
          <w:rFonts w:ascii="宋体" w:hAnsi="宋体" w:cs="宋体"/>
          <w:bCs/>
          <w:sz w:val="24"/>
          <w:highlight w:val="none"/>
        </w:rPr>
      </w:pPr>
      <w:r>
        <w:rPr>
          <w:rFonts w:hint="eastAsia" w:ascii="宋体" w:hAnsi="宋体" w:cs="宋体"/>
          <w:bCs/>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sz w:val="24"/>
          <w:highlight w:val="none"/>
        </w:rPr>
      </w:r>
      <w:r/>
    </w:p>
    <w:p>
      <w:pPr>
        <w:pStyle w:val="1024"/>
        <w:ind w:firstLine="480"/>
        <w:spacing w:line="480" w:lineRule="exact"/>
        <w:rPr>
          <w:rFonts w:ascii="宋体" w:hAnsi="宋体" w:cs="宋体"/>
          <w:bCs/>
          <w:sz w:val="24"/>
          <w:highlight w:val="none"/>
        </w:rPr>
      </w:pPr>
      <w:r>
        <w:rPr>
          <w:rFonts w:hint="eastAsia" w:ascii="宋体" w:hAnsi="宋体" w:cs="宋体"/>
          <w:bCs/>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sz w:val="24"/>
          <w:highlight w:val="none"/>
        </w:rPr>
      </w:r>
      <w:r/>
    </w:p>
    <w:p>
      <w:pPr>
        <w:pStyle w:val="1024"/>
        <w:ind w:firstLine="480"/>
        <w:spacing w:line="480" w:lineRule="exact"/>
        <w:rPr>
          <w:rFonts w:ascii="宋体" w:hAnsi="宋体" w:cs="宋体"/>
          <w:bCs/>
          <w:sz w:val="24"/>
          <w:highlight w:val="none"/>
        </w:rPr>
      </w:pPr>
      <w:r>
        <w:rPr>
          <w:rFonts w:hint="eastAsia" w:ascii="宋体" w:hAnsi="宋体" w:cs="宋体"/>
          <w:bCs/>
          <w:sz w:val="24"/>
          <w:highlight w:val="none"/>
        </w:rPr>
        <w:t xml:space="preserve">3.总得分最高的即为中标候选人。</w:t>
      </w:r>
      <w:r>
        <w:rPr>
          <w:rFonts w:ascii="宋体" w:hAnsi="宋体" w:cs="宋体"/>
          <w:bCs/>
          <w:sz w:val="24"/>
          <w:highlight w:val="none"/>
        </w:rPr>
      </w:r>
      <w:r/>
    </w:p>
    <w:p>
      <w:pPr>
        <w:pStyle w:val="1024"/>
        <w:ind w:firstLine="480"/>
        <w:spacing w:line="480" w:lineRule="exact"/>
        <w:rPr>
          <w:rFonts w:hint="eastAsia" w:ascii="宋体" w:hAnsi="宋体" w:cs="宋体"/>
          <w:bCs/>
          <w:sz w:val="24"/>
          <w:highlight w:val="none"/>
        </w:rPr>
      </w:pPr>
      <w:r>
        <w:rPr>
          <w:rFonts w:hint="eastAsia" w:ascii="宋体" w:hAnsi="宋体" w:cs="宋体"/>
          <w:bCs/>
          <w:sz w:val="24"/>
          <w:highlight w:val="none"/>
        </w:rPr>
        <w:t xml:space="preserve">4.推荐的中标候选人数：1名。</w:t>
      </w:r>
      <w:r>
        <w:rPr>
          <w:rFonts w:hint="eastAsia" w:ascii="宋体" w:hAnsi="宋体" w:cs="宋体"/>
          <w:bCs/>
          <w:sz w:val="24"/>
          <w:highlight w:val="none"/>
        </w:rPr>
      </w:r>
      <w:r/>
    </w:p>
    <w:p>
      <w:pPr>
        <w:pStyle w:val="1024"/>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（一）小微企业优惠情况：</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1、对小型和微型企业产品最后价格给予20%的扣除，用扣除后的价格参与评审。 </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如项目为工程类或服务类，施工单位/服务全部由符合政策要求的小微企业承接，对其总报价给予20%的扣除，用扣除后的价格参与价格评审。</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2、供应商须按照采购文件要求提供相应的《企业声明函》（格式附后），不提供声明函或有弄虚作假的，将依法承担相应责任。</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3、企业标准请参照《关于印发中小企业划型标准规定的通知》（工信部联企业【2011】300号）文件规定自行填写。</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4、以上规定未尽事项，按《政府采购促进中小企业发展管理办法》 （财库【2020】46号）等有关制度规定执行。</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（二）残疾人福利单位价格扣除</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1、本项目对残疾人福利性单位视同小型、微型企业，给予20%的价格扣除，用扣除后的价格参与评审。</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2、残疾人福利单位需按照采购文件的要求提供《残疾人福利性单位声明函》。</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3、残疾人福利单位标准请参照《关于促进残疾人就业政府采购政策的通知》（财库〔2017〕</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141号）。</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（三）监狱和戒毒企业价格扣除</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1、本项目对监狱和戒毒企业（简称监狱企业）视同小型、微型企业，给予20%的价格扣除，用扣除后的价格参与评审。</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3、监狱企业标准请参照《关于政府采购支持监狱企业发展有关问题的通知》（财库[2014]68号）。</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（四）残疾人福利单位、监狱企业属于小型、微型企业的，不重复享受政策。</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（五）严格执行政府采购关于支持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（六）供应商对于投标产品的商品包装、快递包装应按照“财办库〔2020〕123号《关于印发《商品包装政府采购需求标准（试行）》、《快递包装政府采购需求标准（试行）》的通知》”执行。</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rPr>
        <w:t xml:space="preserve">（七）本文件中若涉及到数据中心采购，应按照《&lt;绿色数据中心政府采购需求标准（试行）&gt;的通知》（财库〔2023〕7号）执行。</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（八）采购本国产品的支持政策</w:t>
      </w:r>
      <w:r>
        <w:rPr>
          <w:rFonts w:hint="eastAsia" w:ascii="宋体" w:hAnsi="宋体" w:cs="宋体"/>
          <w:b w:val="0"/>
          <w:bCs/>
          <w:sz w:val="24"/>
          <w:highlight w:val="none"/>
          <w:lang w:val="en-US" w:eastAsia="zh-CN"/>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24"/>
        <w:ind w:firstLine="480"/>
        <w:spacing w:line="40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8</w:t>
      </w:r>
      <w:r>
        <w:rPr>
          <w:rFonts w:hint="eastAsia" w:ascii="宋体" w:hAnsi="宋体" w:cs="宋体"/>
          <w:b w:val="0"/>
          <w:bCs/>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rPr>
      </w:r>
      <w:r/>
    </w:p>
    <w:p>
      <w:pPr>
        <w:pStyle w:val="1024"/>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三、评分标准（总分值为100分）</w:t>
      </w:r>
      <w:r>
        <w:rPr>
          <w:rFonts w:hint="eastAsia" w:ascii="宋体" w:hAnsi="宋体" w:cs="宋体"/>
          <w:b/>
          <w:sz w:val="24"/>
          <w:highlight w:val="none"/>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82"/>
        <w:gridCol w:w="840"/>
        <w:gridCol w:w="6976"/>
      </w:tblGrid>
      <w:tr>
        <w:trPr>
          <w:trHeight w:val="492"/>
        </w:trPr>
        <w:tc>
          <w:tcPr>
            <w:tcW w:w="780"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82"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评分项目</w:t>
            </w: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分值</w:t>
            </w:r>
            <w:r>
              <w:rPr>
                <w:rFonts w:hint="eastAsia" w:ascii="宋体" w:hAnsi="宋体" w:cs="宋体"/>
                <w:sz w:val="24"/>
                <w:szCs w:val="24"/>
                <w:highlight w:val="none"/>
              </w:rPr>
            </w:r>
            <w:r/>
          </w:p>
        </w:tc>
        <w:tc>
          <w:tcPr>
            <w:tcW w:w="6976"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评分细则</w:t>
            </w:r>
            <w:r>
              <w:rPr>
                <w:rFonts w:hint="eastAsia" w:ascii="宋体" w:hAnsi="宋体" w:cs="宋体"/>
                <w:sz w:val="24"/>
                <w:szCs w:val="24"/>
                <w:highlight w:val="none"/>
              </w:rPr>
            </w:r>
            <w:r/>
          </w:p>
        </w:tc>
      </w:tr>
      <w:tr>
        <w:trPr>
          <w:trHeight w:val="90"/>
        </w:trPr>
        <w:tc>
          <w:tcPr>
            <w:tcW w:w="78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宋体"/>
                <w:sz w:val="24"/>
                <w:szCs w:val="24"/>
                <w:highlight w:val="none"/>
              </w:rPr>
            </w:r>
            <w:r/>
          </w:p>
        </w:tc>
        <w:tc>
          <w:tcPr>
            <w:tcW w:w="1182" w:type="dxa"/>
            <w:vAlign w:val="center"/>
            <w:textDirection w:val="lrTb"/>
            <w:noWrap w:val="false"/>
          </w:tcPr>
          <w:p>
            <w:pPr>
              <w:pStyle w:val="1032"/>
              <w:ind w:firstLine="240"/>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报价分</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满足招标文件要求且投标价格最低的投标报价为评标基准价，其价格分为满分</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其他投标人的价格分统一按照下列公式计算：投标报价得分=（评标基准价/投标报价）×</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，结果保留两位小数。（有效投标报价为</w:t>
            </w:r>
            <w:r>
              <w:rPr>
                <w:rFonts w:hint="eastAsia" w:ascii="宋体" w:hAnsi="宋体" w:cs="宋体"/>
                <w:sz w:val="24"/>
                <w:szCs w:val="24"/>
                <w:highlight w:val="none"/>
                <w:lang w:val="zh-CN"/>
              </w:rPr>
              <w:t xml:space="preserve">未被评标委员会判定为废标的投标文件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sz w:val="24"/>
                <w:highlight w:val="none"/>
              </w:rPr>
              <w:t xml:space="preserve">注：小微企业优惠政策详见本文第四章第二项“小微企业优惠情况”</w:t>
            </w:r>
            <w:r>
              <w:rPr>
                <w:rFonts w:hint="eastAsia" w:ascii="宋体" w:hAnsi="宋体" w:cs="宋体"/>
                <w:sz w:val="24"/>
                <w:szCs w:val="24"/>
                <w:highlight w:val="none"/>
              </w:rPr>
            </w:r>
            <w:r/>
          </w:p>
        </w:tc>
      </w:tr>
      <w:tr>
        <w:trPr>
          <w:trHeight w:val="4323"/>
        </w:trPr>
        <w:tc>
          <w:tcPr>
            <w:tcW w:w="78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rPr>
                <w:rFonts w:hint="eastAsia" w:ascii="宋体" w:hAnsi="宋体" w:cs="宋体"/>
                <w:sz w:val="24"/>
                <w:szCs w:val="24"/>
                <w:highlight w:val="none"/>
              </w:rPr>
            </w:r>
            <w:r/>
          </w:p>
        </w:tc>
        <w:tc>
          <w:tcPr>
            <w:tcW w:w="1182"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技术参数（</w:t>
            </w:r>
            <w:r>
              <w:rPr>
                <w:rFonts w:hint="eastAsia" w:ascii="宋体" w:hAnsi="宋体" w:cs="宋体"/>
                <w:sz w:val="24"/>
                <w:szCs w:val="24"/>
                <w:highlight w:val="none"/>
                <w:lang w:val="en-US" w:eastAsia="zh-CN"/>
              </w:rPr>
              <w:t xml:space="preserve">48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投标产品技术要求完全符合投标文件要求的，得</w:t>
            </w:r>
            <w:r>
              <w:rPr>
                <w:rFonts w:hint="eastAsia" w:ascii="宋体" w:hAnsi="宋体" w:cs="宋体"/>
                <w:sz w:val="24"/>
                <w:szCs w:val="24"/>
                <w:highlight w:val="none"/>
                <w:lang w:val="en-US" w:eastAsia="zh-CN"/>
              </w:rPr>
              <w:t xml:space="preserve">48</w:t>
            </w:r>
            <w:r>
              <w:rPr>
                <w:rFonts w:hint="eastAsia" w:ascii="宋体" w:hAnsi="宋体" w:cs="宋体"/>
                <w:sz w:val="24"/>
                <w:szCs w:val="24"/>
                <w:highlight w:val="none"/>
              </w:rPr>
              <w:t xml:space="preserve">分，“★”符号为关键指标，</w:t>
            </w:r>
            <w:r>
              <w:rPr>
                <w:rFonts w:hint="eastAsia" w:ascii="宋体" w:hAnsi="宋体" w:cs="宋体"/>
                <w:sz w:val="24"/>
                <w:szCs w:val="24"/>
                <w:highlight w:val="none"/>
                <w:lang w:val="en-US" w:eastAsia="zh-CN"/>
              </w:rPr>
              <w:t xml:space="preserve">必须满足否则</w:t>
            </w:r>
            <w:r>
              <w:rPr>
                <w:rFonts w:hint="eastAsia" w:ascii="宋体" w:hAnsi="宋体" w:cs="宋体"/>
                <w:sz w:val="24"/>
                <w:szCs w:val="24"/>
                <w:highlight w:val="none"/>
              </w:rPr>
              <w:t xml:space="preserve">按无效投标处理；加注“▲”符号为重要指标，存在一项负偏离扣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分；其他为一般指标，存在一项负偏离扣</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2"/>
              <w:jc w:val="both"/>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注：①技术参数中打★和▲的参数要求提供的证明材料以提供加盖投标单位公章的相关佐证材料</w:t>
            </w:r>
            <w:r>
              <w:rPr>
                <w:rFonts w:hint="eastAsia" w:ascii="宋体" w:hAnsi="宋体" w:cs="宋体"/>
                <w:sz w:val="24"/>
                <w:szCs w:val="24"/>
                <w:highlight w:val="none"/>
                <w:lang w:eastAsia="zh-CN"/>
              </w:rPr>
              <w:t xml:space="preserve">（包括但不限于产品</w:t>
            </w:r>
            <w:r>
              <w:rPr>
                <w:rFonts w:hint="eastAsia" w:ascii="宋体" w:hAnsi="宋体" w:cs="宋体"/>
                <w:sz w:val="24"/>
                <w:szCs w:val="24"/>
                <w:highlight w:val="none"/>
                <w:lang w:eastAsia="zh-CN"/>
              </w:rPr>
              <w:t xml:space="preserve">技术白皮书</w:t>
            </w:r>
            <w:r>
              <w:rPr>
                <w:rFonts w:hint="eastAsia" w:ascii="宋体" w:hAnsi="宋体" w:cs="宋体"/>
                <w:sz w:val="24"/>
                <w:szCs w:val="24"/>
                <w:highlight w:val="none"/>
              </w:rPr>
              <w:t xml:space="preserve">或医疗器械注册证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彩色</w:t>
            </w:r>
            <w:r>
              <w:rPr>
                <w:rFonts w:hint="eastAsia" w:ascii="宋体" w:hAnsi="宋体" w:cs="宋体"/>
                <w:sz w:val="24"/>
                <w:szCs w:val="24"/>
                <w:highlight w:val="none"/>
                <w:lang w:eastAsia="zh-CN"/>
              </w:rPr>
              <w:t xml:space="preserve">原件</w:t>
            </w:r>
            <w:r>
              <w:rPr>
                <w:rFonts w:hint="eastAsia" w:ascii="宋体" w:hAnsi="宋体" w:cs="宋体"/>
                <w:sz w:val="24"/>
                <w:szCs w:val="24"/>
                <w:highlight w:val="none"/>
              </w:rPr>
              <w:t xml:space="preserve">扫描件</w:t>
            </w:r>
            <w:r>
              <w:rPr>
                <w:rFonts w:hint="eastAsia" w:ascii="宋体" w:hAnsi="宋体" w:cs="宋体"/>
                <w:sz w:val="24"/>
                <w:szCs w:val="24"/>
                <w:highlight w:val="none"/>
                <w:lang w:eastAsia="zh-CN"/>
              </w:rPr>
              <w:t xml:space="preserve">加盖投标单位公章</w:t>
            </w:r>
            <w:r>
              <w:rPr>
                <w:rFonts w:hint="eastAsia" w:ascii="宋体" w:hAnsi="宋体" w:cs="宋体"/>
                <w:sz w:val="24"/>
                <w:szCs w:val="24"/>
                <w:highlight w:val="none"/>
              </w:rPr>
              <w:t xml:space="preserve">为准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2"/>
              <w:jc w:val="both"/>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②其他参数以技术参数响应表或证明材料加盖投标单位公章为准，否则视为负偏离；</w:t>
            </w:r>
            <w:r>
              <w:rPr>
                <w:rFonts w:hint="eastAsia" w:ascii="宋体" w:hAnsi="宋体" w:cs="宋体"/>
                <w:sz w:val="24"/>
                <w:szCs w:val="24"/>
                <w:highlight w:val="none"/>
                <w:lang w:eastAsia="zh-CN"/>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③在技术响应表中标注对应条款序号和页码。</w:t>
            </w:r>
            <w:r>
              <w:rPr>
                <w:rFonts w:hint="eastAsia" w:ascii="宋体" w:hAnsi="宋体" w:cs="宋体"/>
                <w:sz w:val="24"/>
                <w:szCs w:val="24"/>
                <w:highlight w:val="none"/>
              </w:rPr>
            </w:r>
            <w:r/>
          </w:p>
        </w:tc>
      </w:tr>
      <w:tr>
        <w:trPr>
          <w:trHeight w:val="1085"/>
        </w:trPr>
        <w:tc>
          <w:tcPr>
            <w:tcW w:w="78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rPr>
                <w:rFonts w:hint="eastAsia" w:ascii="宋体" w:hAnsi="宋体" w:cs="宋体"/>
                <w:sz w:val="24"/>
                <w:szCs w:val="24"/>
                <w:highlight w:val="none"/>
              </w:rPr>
            </w:r>
            <w:r/>
          </w:p>
        </w:tc>
        <w:tc>
          <w:tcPr>
            <w:tcW w:w="1182" w:type="dxa"/>
            <w:vAlign w:val="center"/>
            <w:textDirection w:val="lrTb"/>
            <w:noWrap w:val="false"/>
          </w:tcPr>
          <w:p>
            <w:pPr>
              <w:pStyle w:val="1032"/>
              <w:jc w:val="both"/>
              <w:spacing w:line="400" w:lineRule="exact"/>
              <w:rPr>
                <w:rFonts w:ascii="宋体" w:hAnsi="宋体" w:cs="宋体"/>
                <w:sz w:val="24"/>
                <w:szCs w:val="24"/>
                <w:highlight w:val="none"/>
              </w:rPr>
            </w:pPr>
            <w:r>
              <w:rPr>
                <w:rFonts w:hint="eastAsia" w:ascii="宋体" w:hAnsi="宋体" w:cs="宋体"/>
                <w:sz w:val="24"/>
                <w:szCs w:val="24"/>
                <w:highlight w:val="none"/>
              </w:rPr>
              <w:t xml:space="preserve">企业实力（</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1、投标单位202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年1月以来承接过（以合同签订时间为准）类似项目业绩的，每提供一个得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须</w:t>
            </w:r>
            <w:r>
              <w:rPr>
                <w:rFonts w:hint="eastAsia" w:ascii="宋体" w:hAnsi="宋体" w:cs="宋体"/>
                <w:sz w:val="24"/>
                <w:szCs w:val="24"/>
                <w:highlight w:val="none"/>
              </w:rPr>
              <w:t xml:space="preserve">提供合同</w:t>
            </w:r>
            <w:r>
              <w:rPr>
                <w:rFonts w:hint="eastAsia" w:ascii="宋体" w:hAnsi="宋体" w:cs="宋体"/>
                <w:sz w:val="24"/>
                <w:szCs w:val="24"/>
                <w:highlight w:val="none"/>
                <w:lang w:eastAsia="zh-CN"/>
              </w:rPr>
              <w:t xml:space="preserve">原件扫描件</w:t>
            </w:r>
            <w:r>
              <w:rPr>
                <w:rFonts w:hint="eastAsia" w:ascii="宋体" w:hAnsi="宋体" w:cs="宋体"/>
                <w:sz w:val="24"/>
                <w:szCs w:val="24"/>
                <w:highlight w:val="none"/>
              </w:rPr>
              <w:t xml:space="preserve">加盖投标单位公章，不提供或提供不齐全的不得分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注：上述类似项目业绩是指投标人所提供的业绩需与本项目内容相关（</w:t>
            </w:r>
            <w:r>
              <w:rPr>
                <w:rFonts w:hint="eastAsia" w:ascii="宋体" w:hAnsi="宋体" w:cs="宋体"/>
                <w:sz w:val="24"/>
                <w:szCs w:val="24"/>
                <w:highlight w:val="none"/>
                <w:lang w:eastAsia="zh-CN"/>
              </w:rPr>
              <w:t xml:space="preserve">彩色多普勒超声</w:t>
            </w:r>
            <w:r>
              <w:rPr>
                <w:rFonts w:hint="eastAsia" w:ascii="宋体" w:hAnsi="宋体" w:cs="宋体"/>
                <w:sz w:val="24"/>
                <w:szCs w:val="24"/>
                <w:highlight w:val="none"/>
              </w:rPr>
              <w:t xml:space="preserve">）的项目业绩，合同中必须体现甲乙双方单位名称、项目内容、产品名称、产品品牌，否则不得分。</w:t>
            </w:r>
            <w:r>
              <w:rPr>
                <w:rFonts w:hint="eastAsia" w:ascii="宋体" w:hAnsi="宋体" w:cs="宋体"/>
                <w:sz w:val="24"/>
                <w:szCs w:val="24"/>
                <w:highlight w:val="none"/>
              </w:rPr>
            </w:r>
            <w:r/>
          </w:p>
        </w:tc>
      </w:tr>
      <w:tr>
        <w:trPr>
          <w:trHeight w:val="2785"/>
        </w:trPr>
        <w:tc>
          <w:tcPr>
            <w:tcW w:w="780" w:type="dxa"/>
            <w:vAlign w:val="center"/>
            <w:vMerge w:val="restart"/>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rPr>
                <w:rFonts w:hint="eastAsia" w:ascii="宋体" w:hAnsi="宋体" w:cs="宋体"/>
                <w:sz w:val="24"/>
                <w:szCs w:val="24"/>
                <w:highlight w:val="none"/>
              </w:rPr>
            </w:r>
            <w:r/>
          </w:p>
        </w:tc>
        <w:tc>
          <w:tcPr>
            <w:tcW w:w="1182" w:type="dxa"/>
            <w:vAlign w:val="center"/>
            <w:vMerge w:val="restart"/>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服务方案（</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976"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产品供货方案</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评标委员会根据各投标人项目实施方案中产品供货方案进行评定，提供有针对性的、科学有效的产品供货方案，至少包含：①供货周期及进度计划；②质量保证措施；③安装调试方案；</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项目组织机构、技术人员配备等方面。</w:t>
            </w:r>
            <w:r>
              <w:rPr>
                <w:rFonts w:hint="eastAsia" w:ascii="宋体" w:hAnsi="宋体" w:cs="宋体"/>
                <w:sz w:val="24"/>
                <w:szCs w:val="24"/>
                <w:highlight w:val="none"/>
                <w:lang w:val="zh-CN"/>
              </w:rPr>
              <w:br w:type="textWrapping" w:clear="all"/>
            </w: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419"/>
        </w:trPr>
        <w:tc>
          <w:tcPr>
            <w:tcW w:w="780" w:type="dxa"/>
            <w:vAlign w:val="center"/>
            <w:vMerge w:val="continue"/>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976" w:type="dxa"/>
            <w:vAlign w:val="top"/>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2、培训方案</w:t>
            </w:r>
            <w:r>
              <w:rPr>
                <w:rFonts w:hint="eastAsia" w:ascii="宋体" w:hAnsi="宋体" w:cs="宋体"/>
                <w:sz w:val="24"/>
                <w:szCs w:val="24"/>
                <w:highlight w:val="none"/>
              </w:rPr>
            </w:r>
            <w:r/>
          </w:p>
          <w:p>
            <w:pPr>
              <w:pStyle w:val="1032"/>
              <w:jc w:val="both"/>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评标委员会根据各投标人项目实施方案中人员培训方案进行评定，提供有针对性的、科学合理的产品人员培训方案，至少包含：①日常保养；②业务技术功能培训；</w:t>
            </w:r>
            <w:r>
              <w:rPr>
                <w:rFonts w:hint="eastAsia" w:ascii="宋体" w:hAnsi="宋体" w:eastAsia="宋体" w:cs="宋体"/>
                <w:sz w:val="24"/>
                <w:szCs w:val="24"/>
                <w:highlight w:val="none"/>
                <w:lang w:val="zh-CN"/>
              </w:rPr>
              <w:t xml:space="preserve">③</w:t>
            </w:r>
            <w:r>
              <w:rPr>
                <w:rFonts w:hint="eastAsia" w:ascii="宋体" w:hAnsi="宋体" w:cs="宋体"/>
                <w:sz w:val="24"/>
                <w:szCs w:val="24"/>
                <w:highlight w:val="none"/>
                <w:lang w:val="zh-CN"/>
              </w:rPr>
              <w:t xml:space="preserve">质保服务措施培训；</w:t>
            </w:r>
            <w:r>
              <w:rPr>
                <w:rFonts w:hint="eastAsia" w:ascii="宋体" w:hAnsi="宋体" w:eastAsia="宋体" w:cs="宋体"/>
                <w:sz w:val="24"/>
                <w:szCs w:val="24"/>
                <w:highlight w:val="none"/>
                <w:lang w:val="zh-CN"/>
              </w:rPr>
              <w:t xml:space="preserve">④</w:t>
            </w:r>
            <w:r>
              <w:rPr>
                <w:rFonts w:hint="eastAsia" w:ascii="宋体" w:hAnsi="宋体" w:cs="宋体"/>
                <w:sz w:val="24"/>
                <w:szCs w:val="24"/>
                <w:highlight w:val="none"/>
                <w:lang w:val="zh-CN"/>
              </w:rPr>
              <w:t xml:space="preserve">常见故障处理培训；</w:t>
            </w:r>
            <w:r>
              <w:rPr>
                <w:rFonts w:hint="eastAsia" w:ascii="宋体" w:hAnsi="宋体" w:cs="宋体"/>
                <w:sz w:val="24"/>
                <w:szCs w:val="24"/>
                <w:highlight w:val="none"/>
                <w:lang w:val="zh-CN"/>
              </w:rPr>
            </w:r>
            <w:r/>
          </w:p>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投标人应在投标文件“项目实施方案”中设置专节来对上述</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项内容作出响应性说明，每项为</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分共</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zh-CN"/>
              </w:rPr>
              <w:t xml:space="preserve">分，每缺一项说明或者说明内容与项目无关扣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分。</w:t>
            </w:r>
            <w:r>
              <w:rPr>
                <w:rFonts w:hint="eastAsia" w:ascii="宋体" w:hAnsi="宋体" w:cs="宋体"/>
                <w:sz w:val="24"/>
                <w:szCs w:val="24"/>
                <w:highlight w:val="none"/>
              </w:rPr>
            </w:r>
            <w:r/>
          </w:p>
        </w:tc>
      </w:tr>
      <w:tr>
        <w:trPr>
          <w:trHeight w:val="2264"/>
        </w:trPr>
        <w:tc>
          <w:tcPr>
            <w:tcW w:w="780" w:type="dxa"/>
            <w:vAlign w:val="center"/>
            <w:vMerge w:val="continue"/>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82" w:type="dxa"/>
            <w:vAlign w:val="center"/>
            <w:vMerge w:val="continue"/>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6976" w:type="dxa"/>
            <w:vAlign w:val="center"/>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3、售后服务方案</w:t>
            </w:r>
            <w:r>
              <w:rPr>
                <w:rFonts w:hint="eastAsia" w:ascii="宋体" w:hAnsi="宋体" w:cs="宋体"/>
                <w:sz w:val="24"/>
                <w:szCs w:val="24"/>
                <w:highlight w:val="none"/>
              </w:rPr>
            </w:r>
            <w:r/>
          </w:p>
          <w:p>
            <w:pPr>
              <w:pStyle w:val="1032"/>
              <w:jc w:val="both"/>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评标委员会根据各投标人项目实施方案中售后服务方案进行评定，提供有针对性的、完整合理的售后服务方案至少包含：①维修响应时间、专业维修人员的配置；</w:t>
            </w:r>
            <w:r>
              <w:rPr>
                <w:rFonts w:hint="eastAsia" w:ascii="宋体" w:hAnsi="宋体" w:eastAsia="宋体" w:cs="宋体"/>
                <w:color w:val="000000"/>
                <w:sz w:val="24"/>
                <w:highlight w:val="none"/>
                <w:lang w:val="zh-CN"/>
              </w:rPr>
              <w:t xml:space="preserve">②</w:t>
            </w:r>
            <w:r>
              <w:rPr>
                <w:rFonts w:hint="eastAsia" w:ascii="宋体" w:hAnsi="宋体" w:cs="宋体"/>
                <w:color w:val="000000"/>
                <w:sz w:val="24"/>
                <w:highlight w:val="none"/>
                <w:lang w:val="zh-CN"/>
              </w:rPr>
              <w:t xml:space="preserve">质保、服务、配件供应方案；③突发故障解决措施；</w:t>
            </w:r>
            <w:r>
              <w:rPr>
                <w:rFonts w:hint="eastAsia" w:ascii="宋体" w:hAnsi="宋体" w:cs="宋体"/>
                <w:color w:val="000000"/>
                <w:sz w:val="24"/>
                <w:highlight w:val="none"/>
                <w:lang w:val="zh-CN"/>
              </w:rPr>
            </w:r>
            <w:r/>
          </w:p>
          <w:p>
            <w:pPr>
              <w:pStyle w:val="1032"/>
              <w:jc w:val="both"/>
              <w:spacing w:line="400" w:lineRule="exact"/>
              <w:rPr>
                <w:sz w:val="24"/>
                <w:szCs w:val="32"/>
                <w:highlight w:val="none"/>
              </w:rPr>
            </w:pPr>
            <w:r>
              <w:rPr>
                <w:rFonts w:hint="eastAsia" w:ascii="宋体" w:hAnsi="宋体" w:cs="宋体"/>
                <w:color w:val="000000"/>
                <w:sz w:val="24"/>
                <w:highlight w:val="none"/>
                <w:lang w:val="zh-CN"/>
              </w:rPr>
              <w:t xml:space="preserve">投标人应在投标文件“项目实施方案”中设置专节来对上述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项内容作出响应性说明，每项为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分共</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分，每缺一项说明或者说明内容与项目无关扣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w:t>
            </w:r>
            <w:r>
              <w:rPr>
                <w:sz w:val="24"/>
                <w:szCs w:val="32"/>
                <w:highlight w:val="none"/>
              </w:rPr>
            </w:r>
            <w:r/>
          </w:p>
        </w:tc>
      </w:tr>
      <w:tr>
        <w:trPr>
          <w:trHeight w:val="2264"/>
        </w:trPr>
        <w:tc>
          <w:tcPr>
            <w:tcW w:w="780" w:type="dxa"/>
            <w:vAlign w:val="center"/>
            <w:textDirection w:val="lrTb"/>
            <w:noWrap w:val="false"/>
          </w:tcPr>
          <w:p>
            <w:pPr>
              <w:pStyle w:val="1032"/>
              <w:jc w:val="both"/>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lang w:eastAsia="zh-CN"/>
              </w:rPr>
            </w:r>
            <w:r/>
          </w:p>
        </w:tc>
        <w:tc>
          <w:tcPr>
            <w:tcW w:w="1182" w:type="dxa"/>
            <w:vAlign w:val="center"/>
            <w:textDirection w:val="lrTb"/>
            <w:noWrap w:val="false"/>
          </w:tcPr>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节能</w:t>
            </w:r>
            <w:r>
              <w:rPr>
                <w:rFonts w:hint="eastAsia" w:ascii="宋体" w:hAnsi="宋体" w:cs="宋体"/>
                <w:sz w:val="24"/>
                <w:szCs w:val="24"/>
                <w:highlight w:val="none"/>
              </w:rPr>
            </w:r>
            <w:r/>
          </w:p>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环保</w:t>
            </w:r>
            <w:r>
              <w:rPr>
                <w:rFonts w:hint="eastAsia" w:ascii="宋体" w:hAnsi="宋体" w:cs="宋体"/>
                <w:sz w:val="24"/>
                <w:szCs w:val="24"/>
                <w:highlight w:val="none"/>
              </w:rPr>
            </w:r>
            <w:r/>
          </w:p>
          <w:p>
            <w:pPr>
              <w:pStyle w:val="1032"/>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（2分）</w:t>
            </w:r>
            <w:r>
              <w:rPr>
                <w:rFonts w:hint="eastAsia" w:ascii="宋体" w:hAnsi="宋体" w:cs="宋体"/>
                <w:sz w:val="24"/>
                <w:szCs w:val="24"/>
                <w:highlight w:val="none"/>
              </w:rPr>
            </w:r>
            <w:r/>
          </w:p>
        </w:tc>
        <w:tc>
          <w:tcPr>
            <w:tcW w:w="840" w:type="dxa"/>
            <w:vAlign w:val="center"/>
            <w:textDirection w:val="lrTb"/>
            <w:noWrap w:val="false"/>
          </w:tcPr>
          <w:p>
            <w:pPr>
              <w:pStyle w:val="1032"/>
              <w:jc w:val="cente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2分</w:t>
            </w:r>
            <w:r>
              <w:rPr>
                <w:rFonts w:hint="eastAsia" w:ascii="宋体" w:hAnsi="宋体" w:cs="宋体"/>
                <w:sz w:val="24"/>
                <w:szCs w:val="24"/>
                <w:highlight w:val="none"/>
                <w:lang w:val="en-US" w:eastAsia="zh-CN"/>
              </w:rPr>
            </w:r>
            <w:r/>
          </w:p>
        </w:tc>
        <w:tc>
          <w:tcPr>
            <w:tcW w:w="6976" w:type="dxa"/>
            <w:vAlign w:val="top"/>
            <w:textDirection w:val="lrTb"/>
            <w:noWrap w:val="false"/>
          </w:tcPr>
          <w:p>
            <w:pPr>
              <w:pStyle w:val="1032"/>
              <w:jc w:val="both"/>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highlight w:val="none"/>
              </w:rPr>
            </w:r>
            <w:r/>
          </w:p>
          <w:p>
            <w:pPr>
              <w:pStyle w:val="1032"/>
              <w:jc w:val="both"/>
              <w:spacing w:line="400" w:lineRule="exact"/>
              <w:rPr>
                <w:rFonts w:hint="eastAsia" w:ascii="宋体" w:hAnsi="宋体" w:cs="宋体"/>
                <w:color w:val="000000"/>
                <w:sz w:val="24"/>
                <w:highlight w:val="none"/>
                <w:lang w:val="zh-CN"/>
              </w:rPr>
            </w:pPr>
            <w:r>
              <w:rPr>
                <w:rFonts w:hint="eastAsia" w:ascii="宋体" w:hAnsi="宋体" w:cs="宋体"/>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highlight w:val="none"/>
                <w:lang w:val="zh-CN"/>
              </w:rPr>
            </w:r>
            <w:r/>
          </w:p>
        </w:tc>
      </w:tr>
    </w:tbl>
    <w:p>
      <w:pPr>
        <w:pStyle w:val="1060"/>
        <w:ind w:firstLine="482"/>
        <w:spacing w:line="400" w:lineRule="exact"/>
        <w:rPr>
          <w:rFonts w:hint="eastAsia" w:ascii="宋体" w:hAnsi="宋体"/>
          <w:b/>
          <w:sz w:val="36"/>
          <w:szCs w:val="36"/>
          <w:highlight w:val="none"/>
        </w:rPr>
      </w:pPr>
      <w:r>
        <w:rPr>
          <w:rFonts w:hint="eastAsia" w:ascii="宋体" w:hAnsi="宋体"/>
          <w:b/>
          <w:bCs/>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sz w:val="36"/>
          <w:szCs w:val="36"/>
          <w:highlight w:val="none"/>
        </w:rPr>
      </w:r>
      <w:r/>
    </w:p>
    <w:p>
      <w:pPr>
        <w:pStyle w:val="1024"/>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24"/>
        <w:keepLines w:val="0"/>
        <w:keepNext w:val="0"/>
        <w:pageBreakBefore w:val="0"/>
        <w:spacing w:line="440" w:lineRule="exact"/>
        <w:widowControl w:val="off"/>
        <w:rPr>
          <w:rFonts w:hint="eastAsia" w:ascii="宋体" w:hAnsi="宋体" w:eastAsia="宋体" w:cs="宋体"/>
          <w:bCs/>
          <w:color w:val="000000"/>
          <w:sz w:val="24"/>
          <w:highlight w:val="none"/>
        </w:rPr>
        <w:sectPr>
          <w:headerReference w:type="default" r:id="rId9"/>
          <w:footerReference w:type="default" r:id="rId14"/>
          <w:footnotePr/>
          <w:endnotePr/>
          <w:type w:val="nextPage"/>
          <w:pgSz w:w="11907" w:h="16840" w:orient="portrait"/>
          <w:pgMar w:top="1440" w:right="1080" w:bottom="1440" w:left="1080" w:header="624" w:footer="992" w:gutter="0"/>
          <w:cols w:num="1" w:sep="0" w:space="1701" w:equalWidth="1"/>
          <w:docGrid w:linePitch="360"/>
        </w:sectPr>
      </w:pPr>
      <w:r>
        <w:rPr>
          <w:rFonts w:hint="eastAsia" w:ascii="宋体" w:hAnsi="宋体" w:eastAsia="宋体" w:cs="宋体"/>
          <w:bCs/>
          <w:color w:val="000000"/>
          <w:sz w:val="24"/>
          <w:highlight w:val="none"/>
        </w:rPr>
      </w:r>
      <w:r/>
    </w:p>
    <w:p>
      <w:pPr>
        <w:pStyle w:val="1033"/>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4"/>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建湖县卫生健康委员会</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4"/>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4"/>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建湖县卫生健康委员会彩色多普勒超声设备采购项目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4"/>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24"/>
        <w:ind w:firstLine="460"/>
        <w:spacing w:line="480" w:lineRule="exact"/>
        <w:rPr>
          <w:rFonts w:hint="eastAsia" w:ascii="宋体" w:hAnsi="宋体" w:eastAsia="宋体" w:cs="宋体"/>
          <w:color w:val="000000"/>
          <w:sz w:val="24"/>
          <w:szCs w:val="24"/>
          <w:highlight w:val="none"/>
          <w:lang w:val="en-US" w:eastAsia="zh-CN"/>
        </w:rPr>
      </w:pPr>
      <w:r>
        <w:rPr>
          <w:rFonts w:hint="eastAsia"/>
          <w:color w:val="000000"/>
          <w:sz w:val="24"/>
          <w:highlight w:val="none"/>
        </w:rPr>
        <w:t xml:space="preserve">本合同项下</w:t>
      </w:r>
      <w:r>
        <w:rPr>
          <w:rFonts w:hint="eastAsia"/>
          <w:color w:val="000000"/>
          <w:sz w:val="24"/>
          <w:highlight w:val="none"/>
          <w:lang w:val="en-US" w:eastAsia="zh-CN"/>
        </w:rPr>
        <w:t xml:space="preserve">合同</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 ，</w:t>
      </w:r>
      <w:r>
        <w:rPr>
          <w:rFonts w:hint="eastAsia" w:ascii="宋体" w:hAnsi="宋体"/>
          <w:color w:val="000000"/>
          <w:sz w:val="24"/>
          <w:highlight w:val="none"/>
        </w:rPr>
        <w:t xml:space="preserve">合同价应包括</w:t>
      </w:r>
      <w:r>
        <w:rPr>
          <w:rFonts w:hint="eastAsia" w:ascii="宋体" w:hAnsi="宋体"/>
          <w:color w:val="000000"/>
          <w:sz w:val="24"/>
          <w:lang w:eastAsia="zh-CN"/>
        </w:rPr>
        <w:t xml:space="preserve">全部货物、运输、人工、装卸、安装调试、检验检测、验收、培训、售后服务费、</w:t>
      </w:r>
      <w:r>
        <w:rPr>
          <w:rFonts w:hint="eastAsia" w:ascii="宋体" w:hAnsi="宋体"/>
          <w:color w:val="000000"/>
          <w:sz w:val="24"/>
          <w:lang w:val="en-US" w:eastAsia="zh-CN"/>
        </w:rPr>
        <w:t xml:space="preserve">PACS</w:t>
      </w:r>
      <w:r>
        <w:rPr>
          <w:rFonts w:hint="eastAsia" w:ascii="宋体" w:hAnsi="宋体"/>
          <w:color w:val="000000"/>
          <w:sz w:val="24"/>
          <w:lang w:eastAsia="zh-CN"/>
        </w:rPr>
        <w:t xml:space="preserve">接口费、利息、税金、招标代理费、不可预见费、备品备件、伴随服务、人员培训发生等一切费用</w:t>
      </w:r>
      <w:r>
        <w:rPr>
          <w:rFonts w:ascii="宋体" w:hAnsi="宋体"/>
          <w:color w:val="000000"/>
          <w:sz w:val="24"/>
          <w:highlight w:val="none"/>
        </w:rPr>
        <w:t xml:space="preserve">（综合报价）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4"/>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024"/>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024"/>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024"/>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024"/>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1024"/>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024"/>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024"/>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24"/>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60"/>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1024"/>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024"/>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24"/>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1024"/>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024"/>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1024"/>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1024"/>
        <w:ind w:firstLine="482"/>
        <w:spacing w:line="480" w:lineRule="exact"/>
        <w:widowControl/>
        <w:rPr>
          <w:rFonts w:hint="eastAsia" w:ascii="宋体" w:hAnsi="宋体"/>
          <w:b w:val="0"/>
          <w:bCs/>
          <w:color w:val="000000"/>
          <w:sz w:val="24"/>
        </w:rPr>
      </w:pPr>
      <w:r>
        <w:rPr>
          <w:rFonts w:hint="eastAsia" w:ascii="宋体" w:hAnsi="宋体"/>
          <w:b/>
          <w:color w:val="000000"/>
          <w:sz w:val="24"/>
          <w:highlight w:val="none"/>
        </w:rPr>
        <w:t xml:space="preserve">1.交付时间：</w:t>
      </w:r>
      <w:r>
        <w:rPr>
          <w:rFonts w:hint="eastAsia" w:ascii="宋体" w:hAnsi="宋体"/>
          <w:b w:val="0"/>
          <w:bCs/>
          <w:color w:val="000000"/>
          <w:sz w:val="24"/>
          <w:highlight w:val="none"/>
        </w:rPr>
        <w:t xml:space="preserve">合同签订后30天内完成本项目的供货、安装、调试并通过验收；安装标准须符合国家有关安全技术规范和技术标准；</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2.交付地点：</w:t>
      </w:r>
      <w:r>
        <w:rPr>
          <w:rFonts w:hint="eastAsia" w:ascii="宋体" w:hAnsi="宋体"/>
          <w:b w:val="0"/>
          <w:bCs/>
          <w:color w:val="000000"/>
          <w:sz w:val="24"/>
          <w:u w:val="single"/>
          <w:lang w:val="en-US" w:eastAsia="zh-CN"/>
        </w:rPr>
        <w:t xml:space="preserve">采购人</w:t>
      </w:r>
      <w:r>
        <w:rPr>
          <w:rFonts w:hint="eastAsia" w:ascii="宋体" w:hAnsi="宋体"/>
          <w:b w:val="0"/>
          <w:bCs/>
          <w:color w:val="000000"/>
          <w:sz w:val="24"/>
          <w:u w:val="single"/>
        </w:rPr>
        <w:t xml:space="preserve">指定地点</w:t>
      </w:r>
      <w:r>
        <w:rPr>
          <w:rFonts w:hint="eastAsia" w:ascii="宋体" w:hAnsi="宋体"/>
          <w:b w:val="0"/>
          <w:bCs/>
          <w:color w:val="000000"/>
          <w:sz w:val="24"/>
        </w:rPr>
        <w:t xml:space="preserve">；</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3.乙方按照本合同或招标文件规定的时间和方式向甲方交付货物，交付地点由甲方指定。货物的验收包括型号、规格、数量、外观质量及包装、货物的装箱清单、用户手册、原厂保修卡、随货物资料及配件工具，由于货物运输不当所造成的一切损失和责任由乙方负责；</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4.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5</w:t>
      </w:r>
      <w:r>
        <w:rPr>
          <w:rFonts w:hint="eastAsia" w:ascii="宋体" w:hAnsi="宋体"/>
          <w:b w:val="0"/>
          <w:bCs/>
          <w:color w:val="000000"/>
          <w:sz w:val="24"/>
        </w:rPr>
        <w:t xml:space="preserve">.验收标准：应与产品原始样本技术数据及标书技术文件一致，符合国家有关安全技术规范和技术标准。</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6</w:t>
      </w:r>
      <w:r>
        <w:rPr>
          <w:rFonts w:hint="eastAsia" w:ascii="宋体" w:hAnsi="宋体"/>
          <w:b w:val="0"/>
          <w:bCs/>
          <w:color w:val="000000"/>
          <w:sz w:val="24"/>
        </w:rPr>
        <w:t xml:space="preserve">.甲方根据合同规定的内容和国家标准进行验收，同时比较乙方出具的检验证明，经检验无误后由甲方出具验收合格证明加盖单位公章，该证明作为最终付款所需文件的组成部分；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7</w:t>
      </w:r>
      <w:r>
        <w:rPr>
          <w:rFonts w:hint="eastAsia" w:ascii="宋体" w:hAnsi="宋体"/>
          <w:b w:val="0"/>
          <w:bCs/>
          <w:color w:val="000000"/>
          <w:sz w:val="24"/>
        </w:rPr>
        <w:t xml:space="preserve">.甲方在验收中，如果发现产品的品种、规格、质量不合规定的情况，应妥为保管，同时甲方应在7天内向乙方提出异议</w:t>
      </w:r>
      <w:r>
        <w:rPr>
          <w:rFonts w:hint="eastAsia" w:ascii="宋体" w:hAnsi="宋体"/>
          <w:b w:val="0"/>
          <w:bCs/>
          <w:color w:val="000000"/>
          <w:sz w:val="24"/>
          <w:lang w:eastAsia="zh-CN"/>
        </w:rPr>
        <w:t xml:space="preserve">，</w:t>
      </w:r>
      <w:r>
        <w:rPr>
          <w:rFonts w:hint="eastAsia" w:ascii="宋体" w:hAnsi="宋体"/>
          <w:b w:val="0"/>
          <w:bCs/>
          <w:color w:val="000000"/>
          <w:sz w:val="24"/>
        </w:rPr>
        <w:t xml:space="preserve">在此期间，甲方有权拒付不符合合同规定部分的货款。甲方怠于通知或者自产品收到之日起超过两天未通知乙方的，视为产品合乎规定</w:t>
      </w:r>
      <w:r>
        <w:rPr>
          <w:rFonts w:hint="eastAsia" w:ascii="宋体" w:hAnsi="宋体"/>
          <w:b w:val="0"/>
          <w:bCs/>
          <w:color w:val="000000"/>
          <w:sz w:val="24"/>
          <w:lang w:eastAsia="zh-CN"/>
        </w:rPr>
        <w:t xml:space="preserve">，</w:t>
      </w:r>
      <w:r>
        <w:rPr>
          <w:rFonts w:hint="eastAsia" w:ascii="宋体" w:hAnsi="宋体"/>
          <w:b w:val="0"/>
          <w:bCs/>
          <w:color w:val="000000"/>
          <w:sz w:val="24"/>
        </w:rPr>
        <w:t xml:space="preserve">乙方在接到甲方异议后，应在7天内负责处理；</w:t>
      </w:r>
      <w:r>
        <w:rPr>
          <w:rFonts w:hint="eastAsia" w:ascii="宋体" w:hAnsi="宋体"/>
          <w:b w:val="0"/>
          <w:bCs/>
          <w:color w:val="000000"/>
          <w:sz w:val="24"/>
        </w:rPr>
      </w:r>
      <w:r/>
    </w:p>
    <w:p>
      <w:pPr>
        <w:pStyle w:val="1024"/>
        <w:ind w:firstLine="480"/>
        <w:spacing w:line="480" w:lineRule="exact"/>
        <w:widowControl/>
        <w:rPr>
          <w:rFonts w:hint="eastAsia" w:ascii="宋体" w:hAnsi="宋体"/>
          <w:b w:val="0"/>
          <w:bCs/>
          <w:color w:val="000000"/>
          <w:sz w:val="24"/>
        </w:rPr>
      </w:pPr>
      <w:r>
        <w:rPr>
          <w:rFonts w:hint="eastAsia" w:ascii="宋体" w:hAnsi="宋体"/>
          <w:b w:val="0"/>
          <w:bCs/>
          <w:color w:val="000000"/>
          <w:sz w:val="24"/>
          <w:lang w:val="en-US" w:eastAsia="zh-CN"/>
        </w:rPr>
        <w:t xml:space="preserve">8</w:t>
      </w:r>
      <w:r>
        <w:rPr>
          <w:rFonts w:hint="eastAsia" w:ascii="宋体" w:hAnsi="宋体"/>
          <w:b w:val="0"/>
          <w:bCs/>
          <w:color w:val="000000"/>
          <w:sz w:val="24"/>
        </w:rPr>
        <w:t xml:space="preserve">.甲方或者招标代理机构应当按照政府采购合同规定的技术、服务、安全标准组织对供应商履约情况进行验收，并出具验收书。验收书应当包括每一项技术、服务、安全标准的履约情况。</w:t>
      </w:r>
      <w:r>
        <w:rPr>
          <w:rFonts w:hint="eastAsia" w:ascii="宋体" w:hAnsi="宋体"/>
          <w:b w:val="0"/>
          <w:bCs/>
          <w:color w:val="000000"/>
          <w:sz w:val="24"/>
        </w:rPr>
      </w:r>
      <w:r/>
    </w:p>
    <w:p>
      <w:pPr>
        <w:pStyle w:val="1024"/>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1.乙方承诺所投产品免费质保期为8年</w:t>
      </w:r>
      <w:r>
        <w:rPr>
          <w:rFonts w:hint="eastAsia" w:ascii="宋体" w:hAnsi="宋体" w:cs="宋体"/>
          <w:sz w:val="24"/>
          <w:szCs w:val="24"/>
          <w:highlight w:val="none"/>
        </w:rPr>
        <w:t xml:space="preserve">。质保期内负责设备整机包修、维护及保养。中标方中标后提供生产厂家出具其免费质保期限服务承诺。</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eastAsia="宋体"/>
          <w:highlight w:val="yellow"/>
          <w:lang w:val="en-US" w:eastAsia="zh-CN"/>
        </w:rPr>
      </w:pPr>
      <w:r>
        <w:rPr>
          <w:rFonts w:hint="eastAsia" w:ascii="宋体" w:hAnsi="宋体" w:cs="宋体"/>
          <w:sz w:val="24"/>
          <w:szCs w:val="24"/>
          <w:highlight w:val="none"/>
          <w:lang w:val="en-US" w:eastAsia="zh-CN"/>
        </w:rPr>
        <w:t xml:space="preserve">2.中标后提供仪3把探头（含心脏、腹部、腔内、高频四选三）。</w:t>
      </w:r>
      <w:r>
        <w:rPr>
          <w:rFonts w:eastAsia="宋体"/>
          <w:highlight w:val="yellow"/>
          <w:lang w:val="en-US" w:eastAsia="zh-CN"/>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所投产品与服务不得有知识产权争议。</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供货时设备出厂日期不超过合同签订日6个月。</w:t>
      </w:r>
      <w:r>
        <w:rPr>
          <w:rFonts w:hint="eastAsia" w:ascii="宋体" w:hAnsi="宋体" w:cs="宋体"/>
          <w:sz w:val="24"/>
          <w:szCs w:val="24"/>
          <w:highlight w:val="none"/>
        </w:rPr>
      </w:r>
      <w:r/>
    </w:p>
    <w:p>
      <w:pPr>
        <w:pStyle w:val="1024"/>
        <w:ind w:firstLine="480"/>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对因故障所造成的损失后果负责。所发生的一切费用均由</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自行承担。</w:t>
      </w:r>
      <w:r>
        <w:rPr>
          <w:rFonts w:hint="eastAsia" w:ascii="宋体" w:hAnsi="宋体" w:cs="宋体"/>
          <w:sz w:val="24"/>
          <w:szCs w:val="24"/>
          <w:highlight w:val="none"/>
        </w:rPr>
      </w:r>
      <w:r/>
    </w:p>
    <w:p>
      <w:pPr>
        <w:pStyle w:val="1024"/>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1024"/>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024"/>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1024"/>
        <w:ind w:firstLine="482"/>
        <w:spacing w:line="480" w:lineRule="exact"/>
        <w:widowControl/>
        <w:tabs>
          <w:tab w:val="left" w:pos="630" w:leader="none"/>
        </w:tabs>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lang w:val="en-US" w:eastAsia="zh-CN"/>
        </w:rPr>
      </w:r>
      <w:r/>
    </w:p>
    <w:p>
      <w:pPr>
        <w:pStyle w:val="1024"/>
        <w:ind w:firstLine="482"/>
        <w:spacing w:line="480" w:lineRule="exact"/>
        <w:widowControl/>
        <w:tabs>
          <w:tab w:val="left" w:pos="630" w:leader="none"/>
        </w:tabs>
        <w:rPr>
          <w:rFonts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（2）项目装机调试验收合格后付至合同价的90%，质保期满一年后余款一次性付清。</w:t>
      </w:r>
      <w:r>
        <w:rPr>
          <w:rFonts w:ascii="宋体" w:hAnsi="宋体" w:cs="宋体"/>
          <w:b w:val="0"/>
          <w:bCs/>
          <w:color w:val="000000"/>
          <w:sz w:val="24"/>
          <w:highlight w:val="none"/>
          <w:lang w:val="en-US" w:eastAsia="zh-CN"/>
        </w:rPr>
      </w:r>
      <w:r/>
    </w:p>
    <w:p>
      <w:pPr>
        <w:pStyle w:val="102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九、违约责任</w:t>
      </w:r>
      <w:r>
        <w:rPr>
          <w:rFonts w:hint="eastAsia" w:ascii="宋体" w:hAnsi="宋体"/>
          <w:color w:val="000000"/>
          <w:sz w:val="24"/>
          <w:highlight w:val="none"/>
        </w:rPr>
      </w:r>
      <w:r/>
    </w:p>
    <w:p>
      <w:pPr>
        <w:pStyle w:val="102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24"/>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24"/>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24"/>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24"/>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rPr>
      </w:r>
      <w:r/>
    </w:p>
    <w:p>
      <w:pPr>
        <w:pStyle w:val="1024"/>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1024"/>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1024"/>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不可抗力事件持续超过15日，任一方均有权解除本合同。</w:t>
      </w:r>
      <w:r>
        <w:rPr>
          <w:rFonts w:hint="eastAsia" w:ascii="宋体" w:hAnsi="宋体"/>
          <w:color w:val="000000"/>
          <w:sz w:val="24"/>
          <w:highlight w:val="none"/>
        </w:rPr>
      </w:r>
      <w:r/>
    </w:p>
    <w:p>
      <w:pPr>
        <w:pStyle w:val="1024"/>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24"/>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1024"/>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24"/>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1024"/>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24"/>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24"/>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24"/>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1024"/>
        <w:ind w:firstLine="482"/>
        <w:jc w:val="left"/>
        <w:keepLines w:val="0"/>
        <w:keepNext w:val="0"/>
        <w:pageBreakBefore w:val="0"/>
        <w:spacing w:line="46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lang w:val="en-US" w:eastAsia="zh-CN"/>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1024"/>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4"/>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4"/>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4"/>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4"/>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4"/>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4"/>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24"/>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48"/>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2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2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24"/>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24"/>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建湖县卫生健康委员会彩色多普勒超声设备采购项目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24"/>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24"/>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897"/>
        </w:trPr>
        <w:tc>
          <w:tcPr>
            <w:tcW w:w="3889" w:type="dxa"/>
            <w:vAlign w:val="center"/>
            <w:textDirection w:val="lrTb"/>
            <w:noWrap w:val="false"/>
          </w:tcPr>
          <w:p>
            <w:pPr>
              <w:pStyle w:val="1024"/>
              <w:jc w:val="center"/>
              <w:spacing w:before="100" w:beforeAutospacing="1" w:after="100" w:afterAutospacing="1"/>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核心产品品牌：</w:t>
            </w:r>
            <w:r>
              <w:rPr>
                <w:rFonts w:hint="eastAsia" w:ascii="宋体" w:hAnsi="宋体" w:cs="宋体"/>
                <w:color w:val="000000"/>
                <w:sz w:val="24"/>
                <w:highlight w:val="none"/>
                <w:lang w:eastAsia="zh-CN"/>
              </w:rPr>
            </w:r>
            <w:r/>
          </w:p>
        </w:tc>
        <w:tc>
          <w:tcPr>
            <w:gridSpan w:val="2"/>
            <w:tcW w:w="5396" w:type="dxa"/>
            <w:vAlign w:val="center"/>
            <w:textDirection w:val="lrTb"/>
            <w:noWrap w:val="false"/>
          </w:tcPr>
          <w:p>
            <w:pPr>
              <w:pStyle w:val="1024"/>
              <w:jc w:val="right"/>
              <w:spacing w:before="100" w:beforeAutospacing="1" w:after="100" w:afterAutospacing="1"/>
              <w:widowControl/>
              <w:rPr>
                <w:rFonts w:hint="eastAsia" w:ascii="宋体" w:hAnsi="宋体" w:cs="Segoe UI"/>
                <w:color w:val="000000"/>
                <w:sz w:val="24"/>
                <w:highlight w:val="none"/>
              </w:rPr>
            </w:pPr>
            <w:r>
              <w:rPr>
                <w:rFonts w:hint="eastAsia" w:ascii="宋体" w:hAnsi="宋体" w:cs="Segoe UI"/>
                <w:color w:val="000000"/>
                <w:sz w:val="24"/>
                <w:highlight w:val="none"/>
              </w:rPr>
            </w:r>
            <w:r/>
          </w:p>
        </w:tc>
      </w:tr>
      <w:tr>
        <w:trPr>
          <w:trHeight w:val="782"/>
        </w:trPr>
        <w:tc>
          <w:tcPr>
            <w:tcW w:w="3889" w:type="dxa"/>
            <w:vAlign w:val="center"/>
            <w:textDirection w:val="lrTb"/>
            <w:noWrap w:val="false"/>
          </w:tcPr>
          <w:p>
            <w:pPr>
              <w:pStyle w:val="1024"/>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lang w:val="en-US" w:eastAsia="zh-CN"/>
              </w:rPr>
              <w:t xml:space="preserve">总价</w:t>
            </w:r>
            <w:r>
              <w:rPr>
                <w:rFonts w:ascii="宋体" w:hAnsi="宋体" w:cs="Segoe UI"/>
                <w:color w:val="000000"/>
                <w:sz w:val="24"/>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24"/>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pStyle w:val="1048"/>
        <w:keepLines w:val="0"/>
        <w:keepNext w:val="0"/>
        <w:widowControl/>
        <w:rPr>
          <w:color w:val="000000"/>
          <w:highlight w:val="none"/>
        </w:rPr>
        <w:suppressLineNumbers w:val="0"/>
      </w:pPr>
      <w:r>
        <w:rPr>
          <w:color w:val="000000"/>
          <w:highlight w:val="none"/>
        </w:rPr>
      </w:r>
      <w:r/>
    </w:p>
    <w:p>
      <w:pPr>
        <w:pStyle w:val="1048"/>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48"/>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4"/>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4"/>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7"/>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37"/>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建湖县卫生健康委员会</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31"/>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建湖县卫生健康委员会彩色多普勒超声设备采购项目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的招标文件，我单位经市场考察和研究上述项目招标文件的投标须知、相关标准及技术要求和其他有关文件后，我方愿以人民币（大写）</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元</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2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2.一旦我方中标，</w:t>
      </w:r>
      <w:r>
        <w:rPr>
          <w:rFonts w:hint="eastAsia" w:ascii="宋体" w:hAnsi="宋体" w:cs="宋体"/>
          <w:color w:val="000000"/>
          <w:sz w:val="24"/>
          <w:highlight w:val="none"/>
        </w:rPr>
        <w:t xml:space="preserve">我方保证合同签订后30天内完成本项目的供货、安装、调试并通过验收；安装标准须符合国家有关安全技术规范和技术标准；</w:t>
      </w:r>
      <w:r>
        <w:rPr>
          <w:rFonts w:hint="eastAsia" w:ascii="宋体" w:hAnsi="宋体" w:cs="宋体"/>
          <w:color w:val="000000"/>
          <w:sz w:val="24"/>
          <w:highlight w:val="none"/>
        </w:rPr>
      </w:r>
      <w:r/>
    </w:p>
    <w:p>
      <w:pPr>
        <w:pStyle w:val="102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3.验收标准：应与产品原始样本技术数据及标书技术文件一致，符合国家有关安全技术规范和技术标准；</w:t>
      </w:r>
      <w:r>
        <w:rPr>
          <w:rFonts w:hint="eastAsia" w:ascii="宋体" w:hAnsi="宋体" w:cs="宋体"/>
          <w:color w:val="000000"/>
          <w:sz w:val="24"/>
          <w:highlight w:val="none"/>
        </w:rPr>
      </w:r>
      <w:r/>
    </w:p>
    <w:p>
      <w:pPr>
        <w:pStyle w:val="102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 我方本项目的投标核心产品“</w:t>
      </w:r>
      <w:r>
        <w:rPr>
          <w:rFonts w:hint="eastAsia" w:ascii="宋体" w:hAnsi="宋体" w:cs="宋体"/>
          <w:color w:val="000000"/>
          <w:sz w:val="24"/>
          <w:highlight w:val="none"/>
          <w:lang w:val="en-US" w:eastAsia="zh-CN"/>
        </w:rPr>
        <w:t xml:space="preserve">*彩色多普勒超声</w:t>
      </w:r>
      <w:r>
        <w:rPr>
          <w:rFonts w:hint="eastAsia" w:ascii="宋体" w:hAnsi="宋体" w:cs="宋体"/>
          <w:color w:val="000000"/>
          <w:sz w:val="24"/>
          <w:highlight w:val="none"/>
        </w:rPr>
        <w:t xml:space="preserve">”品牌为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1"/>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031"/>
        <w:ind w:firstLine="48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024"/>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7.</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102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24"/>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024"/>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37"/>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37"/>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3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7"/>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3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7"/>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4"/>
        <w:rPr>
          <w:color w:val="000000"/>
          <w:highlight w:val="none"/>
        </w:rPr>
      </w:pPr>
      <w:r>
        <w:rPr>
          <w:color w:val="000000"/>
          <w:highlight w:val="none"/>
        </w:rPr>
      </w:r>
      <w:r/>
    </w:p>
    <w:p>
      <w:pPr>
        <w:pStyle w:val="1024"/>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4"/>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37"/>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建湖县卫生健康委员会</w:t>
      </w:r>
      <w:r>
        <w:rPr>
          <w:rFonts w:hint="eastAsia" w:hAnsi="宋体" w:eastAsia="宋体" w:cs="Arial"/>
          <w:b/>
          <w:color w:val="000000"/>
          <w:sz w:val="24"/>
          <w:highlight w:val="none"/>
          <w:u w:val="single"/>
          <w:lang w:eastAsia="zh-CN"/>
        </w:rPr>
      </w:r>
      <w:r/>
    </w:p>
    <w:p>
      <w:pPr>
        <w:pStyle w:val="1024"/>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建湖县卫生健康委员会彩色多普勒超声设备采购项目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4"/>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4"/>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7"/>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37"/>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37"/>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37"/>
        <w:ind w:left="5250" w:firstLine="403"/>
        <w:spacing w:line="480" w:lineRule="exact"/>
        <w:rPr>
          <w:rFonts w:hAnsi="宋体"/>
          <w:color w:val="000000"/>
          <w:highlight w:val="none"/>
        </w:rPr>
      </w:pPr>
      <w:r>
        <w:rPr>
          <w:rFonts w:hAnsi="宋体"/>
          <w:color w:val="000000"/>
          <w:highlight w:val="none"/>
        </w:rPr>
      </w:r>
      <w:r/>
    </w:p>
    <w:p>
      <w:pPr>
        <w:pStyle w:val="1037"/>
        <w:ind w:left="5250" w:firstLine="403"/>
        <w:spacing w:line="480" w:lineRule="exact"/>
        <w:rPr>
          <w:rFonts w:hAnsi="宋体"/>
          <w:color w:val="000000"/>
          <w:highlight w:val="none"/>
        </w:rPr>
      </w:pPr>
      <w:r>
        <w:rPr>
          <w:rFonts w:hAnsi="宋体"/>
          <w:color w:val="000000"/>
          <w:highlight w:val="none"/>
        </w:rPr>
      </w:r>
      <w:r/>
    </w:p>
    <w:p>
      <w:pPr>
        <w:pStyle w:val="1024"/>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4"/>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4"/>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5"/>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4"/>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4"/>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4"/>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49"/>
        <w:ind w:left="0" w:firstLine="0"/>
        <w:rPr>
          <w:rFonts w:hint="eastAsia"/>
          <w:color w:val="000000"/>
          <w:highlight w:val="none"/>
        </w:rPr>
      </w:pPr>
      <w:r>
        <w:rPr>
          <w:rFonts w:hint="eastAsia"/>
          <w:color w:val="000000"/>
          <w:highlight w:val="none"/>
        </w:rPr>
      </w:r>
      <w:r/>
    </w:p>
    <w:p>
      <w:pPr>
        <w:pStyle w:val="1037"/>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37"/>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24"/>
        <w:rPr>
          <w:rFonts w:hint="eastAsia" w:ascii="宋体" w:hAnsi="宋体"/>
          <w:color w:val="000000"/>
          <w:sz w:val="32"/>
          <w:highlight w:val="none"/>
        </w:rPr>
      </w:pPr>
      <w:r>
        <w:rPr>
          <w:rFonts w:hint="eastAsia" w:ascii="宋体" w:hAnsi="宋体"/>
          <w:color w:val="000000"/>
          <w:sz w:val="32"/>
          <w:highlight w:val="none"/>
        </w:rPr>
      </w:r>
      <w:r/>
    </w:p>
    <w:p>
      <w:pPr>
        <w:pStyle w:val="1024"/>
        <w:rPr>
          <w:rFonts w:hint="eastAsia" w:ascii="宋体" w:hAnsi="宋体"/>
          <w:color w:val="000000"/>
          <w:sz w:val="32"/>
          <w:highlight w:val="none"/>
        </w:rPr>
      </w:pPr>
      <w:r>
        <w:rPr>
          <w:rFonts w:hint="eastAsia" w:ascii="宋体" w:hAnsi="宋体"/>
          <w:color w:val="000000"/>
          <w:sz w:val="32"/>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4"/>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4"/>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4"/>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25"/>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37"/>
        <w:ind w:firstLine="2530"/>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024"/>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4"/>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4"/>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24"/>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4"/>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r>
      <w:r/>
    </w:p>
    <w:p>
      <w:pPr>
        <w:pStyle w:val="1024"/>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4"/>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4"/>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4"/>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4"/>
        <w:jc w:val="left"/>
        <w:spacing w:line="480" w:lineRule="exact"/>
        <w:rPr>
          <w:rFonts w:ascii="宋体" w:hAnsi="宋体"/>
          <w:color w:val="000000"/>
          <w:sz w:val="24"/>
          <w:highlight w:val="none"/>
        </w:rPr>
      </w:pPr>
      <w:r>
        <w:rPr>
          <w:rFonts w:ascii="宋体" w:hAnsi="宋体"/>
          <w:color w:val="000000"/>
          <w:sz w:val="24"/>
          <w:highlight w:val="none"/>
        </w:rPr>
      </w:r>
      <w:r/>
    </w:p>
    <w:p>
      <w:pPr>
        <w:pStyle w:val="1024"/>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4"/>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4"/>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4"/>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4"/>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4"/>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 w:name="_GoBack"/>
      <w:r/>
      <w:bookmarkEnd w:id="4"/>
      <w:r>
        <w:rPr>
          <w:rFonts w:hint="eastAsia" w:ascii="宋体" w:hAnsi="宋体"/>
          <w:bCs/>
          <w:color w:val="000000"/>
          <w:sz w:val="24"/>
          <w:highlight w:val="none"/>
        </w:rPr>
      </w:r>
      <w:r/>
    </w:p>
    <w:p>
      <w:pPr>
        <w:pStyle w:val="1024"/>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4"/>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4"/>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4"/>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4"/>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4"/>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4"/>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4"/>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4"/>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1024"/>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024"/>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建湖县卫生健康委员会</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建湖县卫生健康委员会彩色多普勒超声设备采购项目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1024"/>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24"/>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33"/>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024"/>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24"/>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24"/>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024"/>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1024"/>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注：供应商如不提供此声明函或不提供证明材料的，投标报价将不做相应扣除。</w:t>
      </w:r>
      <w:r>
        <w:rPr>
          <w:rFonts w:ascii="宋体" w:hAnsi="宋体"/>
          <w:b/>
          <w:color w:val="000000"/>
          <w:sz w:val="24"/>
          <w:highlight w:val="none"/>
        </w:rPr>
      </w:r>
      <w:r/>
    </w:p>
    <w:p>
      <w:pPr>
        <w:pStyle w:val="1024"/>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24"/>
        <w:rPr>
          <w:color w:val="000000"/>
          <w:highlight w:val="none"/>
          <w:u w:val="single"/>
        </w:rPr>
      </w:pPr>
      <w:r>
        <w:rPr>
          <w:rFonts w:hint="eastAsia"/>
          <w:color w:val="000000"/>
          <w:highlight w:val="none"/>
          <w:u w:val="single"/>
        </w:rPr>
        <w:t xml:space="preserve">                                  </w:t>
      </w:r>
      <w:r>
        <w:rPr>
          <w:color w:val="000000"/>
          <w:highlight w:val="none"/>
          <w:u w:val="single"/>
        </w:rPr>
      </w:r>
      <w:r/>
    </w:p>
    <w:p>
      <w:pPr>
        <w:pStyle w:val="1024"/>
        <w:rPr>
          <w:color w:val="000000"/>
          <w:highlight w:val="none"/>
          <w:u w:val="singl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u w:val="single"/>
        </w:rPr>
      </w:r>
      <w:r/>
    </w:p>
    <w:p>
      <w:pPr>
        <w:pStyle w:val="1027"/>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4"/>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4"/>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49"/>
        <w:shd w:val="clear" w:color="auto" w:fill="auto"/>
        <w:rPr>
          <w:rFonts w:hint="eastAsia"/>
          <w:color w:val="000000"/>
          <w:highlight w:val="none"/>
        </w:rPr>
      </w:pPr>
      <w:r>
        <w:rPr>
          <w:rFonts w:hint="eastAsia"/>
          <w:color w:val="000000"/>
          <w:highlight w:val="none"/>
        </w:rPr>
      </w:r>
      <w:r/>
    </w:p>
    <w:p>
      <w:pPr>
        <w:pStyle w:val="1024"/>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27"/>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3"/>
        <w:ind w:left="1454"/>
        <w:spacing w:before="75" w:line="190" w:lineRule="auto"/>
        <w:rPr>
          <w:b/>
          <w:bCs/>
          <w:spacing w:val="-3"/>
          <w:sz w:val="36"/>
          <w:szCs w:val="36"/>
        </w:rPr>
        <w:outlineLvl w:val="0"/>
      </w:pPr>
      <w:r>
        <w:rPr>
          <w:b/>
          <w:bCs/>
          <w:spacing w:val="-3"/>
          <w:sz w:val="36"/>
          <w:szCs w:val="36"/>
        </w:rPr>
      </w:r>
      <w:r/>
    </w:p>
    <w:p>
      <w:pPr>
        <w:pStyle w:val="1033"/>
        <w:ind w:left="1454"/>
        <w:spacing w:before="75" w:line="190" w:lineRule="auto"/>
        <w:rPr>
          <w:rFonts w:ascii="Arial"/>
          <w:sz w:val="21"/>
        </w:rPr>
        <w:outlineLvl w:val="0"/>
      </w:pPr>
      <w:r>
        <w:rPr>
          <w:b/>
          <w:bCs/>
          <w:spacing w:val="-3"/>
          <w:sz w:val="36"/>
          <w:szCs w:val="36"/>
        </w:rPr>
        <w:t xml:space="preserve">（十一）关于符合本国产品标准的声明函</w:t>
      </w:r>
      <w:r>
        <w:rPr>
          <w:rFonts w:ascii="Arial"/>
          <w:sz w:val="21"/>
        </w:rPr>
      </w:r>
      <w:r/>
    </w:p>
    <w:p>
      <w:pPr>
        <w:pStyle w:val="1033"/>
        <w:ind w:firstLine="421"/>
        <w:jc w:val="both"/>
        <w:spacing w:before="103" w:line="364"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w:t>
      </w:r>
      <w:r>
        <w:rPr>
          <w:rFonts w:hint="eastAsia" w:ascii="宋体" w:hAnsi="宋体" w:eastAsia="宋体" w:cs="宋体"/>
          <w:spacing w:val="-1"/>
          <w:sz w:val="24"/>
          <w:szCs w:val="24"/>
        </w:rPr>
        <w:t xml:space="preserve">国产品标准</w:t>
      </w:r>
      <w:r>
        <w:rPr>
          <w:rFonts w:hint="eastAsia" w:ascii="宋体" w:hAnsi="宋体" w:eastAsia="宋体" w:cs="宋体"/>
          <w:sz w:val="24"/>
          <w:szCs w:val="24"/>
        </w:rPr>
        <w:t xml:space="preserve">及相关政策的通知》（国办发〔2025〕34</w:t>
      </w:r>
      <w:r>
        <w:rPr>
          <w:rFonts w:hint="eastAsia" w:ascii="宋体" w:hAnsi="宋体" w:eastAsia="宋体" w:cs="宋体"/>
          <w:spacing w:val="-56"/>
          <w:sz w:val="24"/>
          <w:szCs w:val="24"/>
        </w:rPr>
        <w:t xml:space="preserve"> </w:t>
      </w:r>
      <w:r>
        <w:rPr>
          <w:rFonts w:hint="eastAsia" w:ascii="宋体" w:hAnsi="宋体" w:eastAsia="宋体" w:cs="宋体"/>
          <w:sz w:val="24"/>
          <w:szCs w:val="24"/>
        </w:rPr>
        <w:t xml:space="preserve">号）的规定，本公司（单位）</w:t>
      </w:r>
      <w:r>
        <w:rPr>
          <w:rFonts w:hint="eastAsia" w:ascii="宋体" w:hAnsi="宋体" w:eastAsia="宋体" w:cs="宋体"/>
          <w:spacing w:val="-1"/>
          <w:sz w:val="24"/>
          <w:szCs w:val="24"/>
        </w:rPr>
        <w:t xml:space="preserve">提供的以下产品</w:t>
      </w:r>
      <w:r>
        <w:rPr>
          <w:rFonts w:hint="eastAsia" w:ascii="宋体" w:hAnsi="宋体" w:eastAsia="宋体" w:cs="宋体"/>
          <w:spacing w:val="-4"/>
          <w:sz w:val="24"/>
          <w:szCs w:val="24"/>
        </w:rPr>
        <w:t xml:space="preserve">属于本国产品。具体情况如下：</w:t>
      </w:r>
      <w:r>
        <w:rPr>
          <w:rFonts w:hint="eastAsia" w:ascii="宋体" w:hAnsi="宋体" w:eastAsia="宋体" w:cs="宋体"/>
          <w:sz w:val="24"/>
          <w:szCs w:val="24"/>
        </w:rPr>
      </w:r>
      <w:r/>
    </w:p>
    <w:p>
      <w:pPr>
        <w:pStyle w:val="1033"/>
        <w:ind w:left="11" w:right="3" w:firstLine="433"/>
        <w:spacing w:before="1" w:line="367" w:lineRule="auto"/>
        <w:rPr>
          <w:rFonts w:hint="eastAsia" w:ascii="宋体" w:hAnsi="宋体" w:eastAsia="宋体" w:cs="宋体"/>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u w:val="single"/>
        </w:rPr>
        <w:t xml:space="preserve">（产品名称</w:t>
      </w:r>
      <w:r>
        <w:rPr>
          <w:rFonts w:hint="eastAsia" w:ascii="宋体" w:hAnsi="宋体" w:eastAsia="宋体" w:cs="宋体"/>
          <w:spacing w:val="23"/>
          <w:sz w:val="24"/>
          <w:szCs w:val="24"/>
          <w:u w:val="single"/>
        </w:rPr>
        <w:t xml:space="preserve"> </w:t>
      </w:r>
      <w:r>
        <w:rPr>
          <w:rFonts w:hint="eastAsia" w:ascii="宋体" w:hAnsi="宋体" w:eastAsia="宋体" w:cs="宋体"/>
          <w:spacing w:val="-3"/>
          <w:sz w:val="24"/>
          <w:szCs w:val="24"/>
          <w:u w:val="single"/>
        </w:rPr>
        <w:t xml:space="preserve">1）</w:t>
      </w:r>
      <w:r>
        <w:rPr>
          <w:rFonts w:hint="eastAsia" w:ascii="宋体" w:hAnsi="宋体" w:eastAsia="宋体" w:cs="宋体"/>
          <w:spacing w:val="-3"/>
          <w:position w:val="11"/>
          <w:sz w:val="24"/>
          <w:szCs w:val="24"/>
        </w:rPr>
        <w:t xml:space="preserve">1</w:t>
      </w:r>
      <w:r>
        <w:rPr>
          <w:rFonts w:hint="eastAsia" w:ascii="宋体" w:hAnsi="宋体" w:eastAsia="宋体" w:cs="宋体"/>
          <w:spacing w:val="-3"/>
          <w:sz w:val="24"/>
          <w:szCs w:val="24"/>
        </w:rPr>
        <w:t xml:space="preserve">，生产厂为</w:t>
      </w:r>
      <w:r>
        <w:rPr>
          <w:rFonts w:hint="eastAsia" w:ascii="宋体" w:hAnsi="宋体" w:eastAsia="宋体" w:cs="宋体"/>
          <w:spacing w:val="-3"/>
          <w:sz w:val="24"/>
          <w:szCs w:val="24"/>
          <w:u w:val="single"/>
        </w:rPr>
        <w:t xml:space="preserve">（厂名）</w:t>
      </w:r>
      <w:r>
        <w:rPr>
          <w:rFonts w:hint="eastAsia" w:ascii="宋体" w:hAnsi="宋体" w:eastAsia="宋体" w:cs="宋体"/>
          <w:spacing w:val="-3"/>
          <w:position w:val="11"/>
          <w:sz w:val="24"/>
          <w:szCs w:val="24"/>
        </w:rPr>
        <w:t xml:space="preserve">2</w:t>
      </w:r>
      <w:r>
        <w:rPr>
          <w:rFonts w:hint="eastAsia" w:ascii="宋体" w:hAnsi="宋体" w:eastAsia="宋体" w:cs="宋体"/>
          <w:spacing w:val="-3"/>
          <w:sz w:val="24"/>
          <w:szCs w:val="24"/>
        </w:rPr>
        <w:t xml:space="preserve">，厂址为</w:t>
      </w:r>
      <w:r>
        <w:rPr>
          <w:rFonts w:hint="eastAsia" w:ascii="宋体" w:hAnsi="宋体" w:eastAsia="宋体" w:cs="宋体"/>
          <w:spacing w:val="-3"/>
          <w:sz w:val="24"/>
          <w:szCs w:val="24"/>
          <w:u w:val="single"/>
        </w:rPr>
        <w:t xml:space="preserve">（生产厂址）</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的中国境内生产</w:t>
      </w:r>
      <w:r>
        <w:rPr>
          <w:rFonts w:hint="eastAsia" w:ascii="宋体" w:hAnsi="宋体" w:eastAsia="宋体" w:cs="宋体"/>
          <w:spacing w:val="-2"/>
          <w:sz w:val="24"/>
          <w:szCs w:val="24"/>
        </w:rPr>
        <w:t xml:space="preserve">的组件成本占比≥</w:t>
      </w:r>
      <w:r>
        <w:rPr>
          <w:rFonts w:hint="eastAsia" w:ascii="宋体" w:hAnsi="宋体" w:eastAsia="宋体" w:cs="宋体"/>
          <w:spacing w:val="-2"/>
          <w:sz w:val="24"/>
          <w:szCs w:val="24"/>
          <w:u w:val="single"/>
        </w:rPr>
        <w:t xml:space="preserve">   /   </w:t>
      </w:r>
      <w:r>
        <w:rPr>
          <w:rFonts w:hint="eastAsia" w:ascii="宋体" w:hAnsi="宋体" w:eastAsia="宋体" w:cs="宋体"/>
          <w:spacing w:val="-103"/>
          <w:sz w:val="24"/>
          <w:szCs w:val="24"/>
        </w:rPr>
        <w:t xml:space="preserve"> </w:t>
      </w:r>
      <w:r>
        <w:rPr>
          <w:rFonts w:hint="eastAsia" w:ascii="宋体" w:hAnsi="宋体" w:eastAsia="宋体" w:cs="宋体"/>
          <w:spacing w:val="-2"/>
          <w:position w:val="11"/>
          <w:sz w:val="24"/>
          <w:szCs w:val="24"/>
        </w:rPr>
        <w:t xml:space="preserve">3</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   </w:t>
      </w:r>
      <w:r>
        <w:rPr>
          <w:rFonts w:hint="eastAsia" w:ascii="宋体" w:hAnsi="宋体" w:eastAsia="宋体" w:cs="宋体"/>
          <w:spacing w:val="-116"/>
          <w:sz w:val="24"/>
          <w:szCs w:val="24"/>
        </w:rPr>
        <w:t xml:space="preserve"> </w:t>
      </w:r>
      <w:r>
        <w:rPr>
          <w:rFonts w:hint="eastAsia" w:ascii="宋体" w:hAnsi="宋体" w:eastAsia="宋体" w:cs="宋体"/>
          <w:spacing w:val="-2"/>
          <w:position w:val="11"/>
          <w:sz w:val="24"/>
          <w:szCs w:val="24"/>
        </w:rPr>
        <w:t xml:space="preserve">4</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2"/>
          <w:position w:val="11"/>
          <w:sz w:val="24"/>
          <w:szCs w:val="24"/>
        </w:rPr>
        <w:t xml:space="preserve">5</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8"/>
          <w:sz w:val="24"/>
          <w:szCs w:val="24"/>
        </w:rPr>
        <w:t xml:space="preserve">中国境内完成。</w:t>
      </w:r>
      <w:r>
        <w:rPr>
          <w:rFonts w:hint="eastAsia" w:ascii="宋体" w:hAnsi="宋体" w:eastAsia="宋体" w:cs="宋体"/>
          <w:sz w:val="24"/>
          <w:szCs w:val="24"/>
        </w:rPr>
      </w:r>
      <w:r/>
    </w:p>
    <w:p>
      <w:pPr>
        <w:pStyle w:val="1033"/>
        <w:ind w:right="58" w:firstLine="429"/>
        <w:spacing w:before="28" w:line="369" w:lineRule="auto"/>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（产品名称 2</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生产厂为</w:t>
      </w:r>
      <w:r>
        <w:rPr>
          <w:rFonts w:hint="eastAsia" w:ascii="宋体" w:hAnsi="宋体" w:eastAsia="宋体" w:cs="宋体"/>
          <w:spacing w:val="-2"/>
          <w:sz w:val="24"/>
          <w:szCs w:val="24"/>
          <w:u w:val="single"/>
        </w:rPr>
        <w:t xml:space="preserve">（厂名</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厂址为</w:t>
      </w:r>
      <w:r>
        <w:rPr>
          <w:rFonts w:hint="eastAsia" w:ascii="宋体" w:hAnsi="宋体" w:eastAsia="宋体" w:cs="宋体"/>
          <w:spacing w:val="-2"/>
          <w:sz w:val="24"/>
          <w:szCs w:val="24"/>
          <w:u w:val="single"/>
        </w:rPr>
        <w:t xml:space="preserve">（生产厂址）</w:t>
      </w:r>
      <w:r>
        <w:rPr>
          <w:rFonts w:hint="eastAsia" w:ascii="宋体" w:hAnsi="宋体" w:eastAsia="宋体" w:cs="宋体"/>
          <w:spacing w:val="-36"/>
          <w:sz w:val="24"/>
          <w:szCs w:val="24"/>
          <w:u w:val="single"/>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 xml:space="preserve">的中国境内生</w:t>
      </w:r>
      <w:r>
        <w:rPr>
          <w:rFonts w:hint="eastAsia" w:ascii="宋体" w:hAnsi="宋体" w:eastAsia="宋体" w:cs="宋体"/>
          <w:spacing w:val="-1"/>
          <w:sz w:val="24"/>
          <w:szCs w:val="24"/>
        </w:rPr>
        <w:t xml:space="preserve">产的组件成本占比≥</w:t>
      </w:r>
      <w:r>
        <w:rPr>
          <w:rFonts w:hint="eastAsia" w:ascii="宋体" w:hAnsi="宋体" w:eastAsia="宋体" w:cs="宋体"/>
          <w:spacing w:val="-1"/>
          <w:sz w:val="24"/>
          <w:szCs w:val="24"/>
          <w:u w:val="single"/>
        </w:rPr>
        <w:t xml:space="preserve">   /   </w:t>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1"/>
          <w:sz w:val="24"/>
          <w:szCs w:val="24"/>
        </w:rPr>
        <w:t xml:space="preserve">的</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6"/>
          <w:sz w:val="24"/>
          <w:szCs w:val="24"/>
        </w:rPr>
        <w:t xml:space="preserve">中国境内完成。</w:t>
      </w:r>
      <w:r>
        <w:rPr>
          <w:rFonts w:hint="eastAsia" w:ascii="宋体" w:hAnsi="宋体" w:eastAsia="宋体" w:cs="宋体"/>
          <w:sz w:val="24"/>
          <w:szCs w:val="24"/>
        </w:rPr>
      </w:r>
      <w:r/>
    </w:p>
    <w:p>
      <w:pPr>
        <w:pStyle w:val="1033"/>
        <w:ind w:left="435"/>
        <w:spacing w:before="179" w:line="137" w:lineRule="exact"/>
        <w:rPr>
          <w:rFonts w:hint="eastAsia" w:ascii="宋体" w:hAnsi="宋体" w:eastAsia="宋体" w:cs="宋体"/>
          <w:sz w:val="24"/>
          <w:szCs w:val="24"/>
        </w:rPr>
      </w:pPr>
      <w:r>
        <w:rPr>
          <w:rFonts w:hint="eastAsia" w:ascii="宋体" w:hAnsi="宋体" w:eastAsia="宋体" w:cs="宋体"/>
          <w:spacing w:val="-5"/>
          <w:position w:val="-3"/>
          <w:sz w:val="24"/>
          <w:szCs w:val="24"/>
        </w:rPr>
        <w:t xml:space="preserve">……</w:t>
      </w:r>
      <w:r>
        <w:rPr>
          <w:rFonts w:hint="eastAsia" w:ascii="宋体" w:hAnsi="宋体" w:eastAsia="宋体" w:cs="宋体"/>
          <w:sz w:val="24"/>
          <w:szCs w:val="24"/>
        </w:rPr>
      </w:r>
      <w:r/>
    </w:p>
    <w:p>
      <w:pPr>
        <w:pStyle w:val="1024"/>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1033"/>
        <w:ind w:left="421"/>
        <w:spacing w:before="104" w:line="189"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本公司（单位）对上述声明内容的真实性负责。如</w:t>
      </w:r>
      <w:r>
        <w:rPr>
          <w:rFonts w:hint="eastAsia" w:ascii="宋体" w:hAnsi="宋体" w:eastAsia="宋体" w:cs="宋体"/>
          <w:spacing w:val="-2"/>
          <w:sz w:val="24"/>
          <w:szCs w:val="24"/>
        </w:rPr>
        <w:t xml:space="preserve">有虚假，愿承担相应法律责任。</w:t>
      </w:r>
      <w:r>
        <w:rPr>
          <w:rFonts w:hint="eastAsia" w:ascii="宋体" w:hAnsi="宋体" w:eastAsia="宋体" w:cs="宋体"/>
          <w:sz w:val="24"/>
          <w:szCs w:val="24"/>
        </w:rPr>
      </w:r>
      <w:r/>
    </w:p>
    <w:p>
      <w:pPr>
        <w:pStyle w:val="1024"/>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24"/>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33"/>
        <w:ind w:left="2938"/>
        <w:spacing w:before="104" w:line="189" w:lineRule="auto"/>
        <w:rPr>
          <w:rFonts w:hint="eastAsia" w:ascii="宋体" w:hAnsi="宋体" w:eastAsia="宋体" w:cs="宋体"/>
          <w:sz w:val="24"/>
          <w:szCs w:val="24"/>
        </w:rPr>
      </w:pPr>
      <w:r>
        <w:rPr>
          <w:rFonts w:hint="eastAsia" w:ascii="宋体" w:hAnsi="宋体" w:eastAsia="宋体" w:cs="宋体"/>
          <w:spacing w:val="-3"/>
          <w:sz w:val="24"/>
          <w:szCs w:val="24"/>
        </w:rPr>
        <w:t xml:space="preserve">公司（单位）名称（加盖 CA</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电子公章</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1033"/>
        <w:ind w:left="3003"/>
        <w:spacing w:before="329" w:line="194" w:lineRule="auto"/>
        <w:rPr>
          <w:rFonts w:hint="eastAsia"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3"/>
          <w:sz w:val="24"/>
          <w:szCs w:val="24"/>
        </w:rPr>
        <w:t xml:space="preserve">  年         月         日</w:t>
      </w:r>
      <w:r>
        <w:rPr>
          <w:rFonts w:hint="eastAsia" w:ascii="宋体" w:hAnsi="宋体" w:eastAsia="宋体" w:cs="宋体"/>
          <w:sz w:val="24"/>
          <w:szCs w:val="24"/>
        </w:rPr>
      </w:r>
      <w:r/>
    </w:p>
    <w:p>
      <w:pPr>
        <w:pStyle w:val="1024"/>
        <w:spacing w:line="273" w:lineRule="auto"/>
        <w:rPr>
          <w:rFonts w:hint="eastAsia" w:ascii="宋体" w:hAnsi="宋体" w:eastAsia="宋体" w:cs="宋体"/>
          <w:sz w:val="24"/>
          <w:szCs w:val="24"/>
        </w:rPr>
      </w:pPr>
      <w:r>
        <w:rPr>
          <w:rFonts w:hint="eastAsia" w:ascii="宋体" w:hAnsi="宋体" w:eastAsia="宋体" w:cs="宋体"/>
          <w:sz w:val="24"/>
          <w:szCs w:val="24"/>
        </w:rPr>
      </w:r>
      <w:r/>
    </w:p>
    <w:p>
      <w:pPr>
        <w:pStyle w:val="1024"/>
        <w:spacing w:line="273"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150495</wp:posOffset>
                </wp:positionH>
                <wp:positionV relativeFrom="paragraph">
                  <wp:posOffset>63500</wp:posOffset>
                </wp:positionV>
                <wp:extent cx="1295400" cy="63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9540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1;o:allowoverlap:true;o:allowincell:true;mso-position-horizontal-relative:text;margin-left:11.8pt;mso-position-horizontal:absolute;mso-position-vertical-relative:text;margin-top:5.0pt;mso-position-vertical:absolute;width:102.0pt;height:0.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rPr>
      </w:r>
      <w:r/>
    </w:p>
    <w:p>
      <w:pPr>
        <w:pStyle w:val="1033"/>
        <w:ind w:left="24"/>
        <w:spacing w:before="104"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1.产品如有型号，请在“产品名称”栏一并填写。</w:t>
      </w:r>
      <w:r>
        <w:rPr>
          <w:rFonts w:hint="eastAsia" w:ascii="宋体" w:hAnsi="宋体" w:eastAsia="宋体" w:cs="宋体"/>
          <w:sz w:val="24"/>
          <w:szCs w:val="24"/>
        </w:rPr>
      </w:r>
      <w:r/>
    </w:p>
    <w:p>
      <w:pPr>
        <w:pStyle w:val="1033"/>
        <w:ind w:left="9"/>
        <w:spacing w:before="309"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2.生产厂名与厂址应与生产厂营业执照载明的相关</w:t>
      </w:r>
      <w:r>
        <w:rPr>
          <w:rFonts w:hint="eastAsia" w:ascii="宋体" w:hAnsi="宋体" w:eastAsia="宋体" w:cs="宋体"/>
          <w:spacing w:val="-2"/>
          <w:sz w:val="24"/>
          <w:szCs w:val="24"/>
        </w:rPr>
        <w:t xml:space="preserve">信息保持一致。</w:t>
      </w:r>
      <w:r>
        <w:rPr>
          <w:rFonts w:hint="eastAsia" w:ascii="宋体" w:hAnsi="宋体" w:eastAsia="宋体" w:cs="宋体"/>
          <w:sz w:val="24"/>
          <w:szCs w:val="24"/>
        </w:rPr>
      </w:r>
      <w:r/>
    </w:p>
    <w:p>
      <w:pPr>
        <w:pStyle w:val="1033"/>
        <w:ind w:left="11"/>
        <w:spacing w:before="312" w:line="200" w:lineRule="auto"/>
        <w:rPr>
          <w:rFonts w:hint="eastAsia" w:ascii="宋体" w:hAnsi="宋体" w:eastAsia="宋体" w:cs="宋体"/>
          <w:sz w:val="24"/>
          <w:szCs w:val="24"/>
        </w:rPr>
      </w:pPr>
      <w:r>
        <w:rPr>
          <w:rFonts w:hint="eastAsia" w:ascii="宋体" w:hAnsi="宋体" w:eastAsia="宋体" w:cs="宋体"/>
          <w:spacing w:val="-8"/>
          <w:sz w:val="24"/>
          <w:szCs w:val="24"/>
        </w:rPr>
        <w:t xml:space="preserve">3.该产品的中国境内生产的组件成本占比相关要求实施</w:t>
      </w:r>
      <w:r>
        <w:rPr>
          <w:rFonts w:hint="eastAsia" w:ascii="宋体" w:hAnsi="宋体" w:eastAsia="宋体" w:cs="宋体"/>
          <w:spacing w:val="-9"/>
          <w:sz w:val="24"/>
          <w:szCs w:val="24"/>
        </w:rPr>
        <w:t xml:space="preserve">前，“规定比例”栏可不填，下同。</w:t>
      </w:r>
      <w:r>
        <w:rPr>
          <w:rFonts w:hint="eastAsia" w:ascii="宋体" w:hAnsi="宋体" w:eastAsia="宋体" w:cs="宋体"/>
          <w:sz w:val="24"/>
          <w:szCs w:val="24"/>
        </w:rPr>
      </w:r>
      <w:r/>
    </w:p>
    <w:p>
      <w:pPr>
        <w:pStyle w:val="1033"/>
        <w:ind w:left="5"/>
        <w:spacing w:before="309"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4.该产品的关键组件要求实施前，“关键组件”栏可不填，下同。</w:t>
      </w:r>
      <w:r>
        <w:rPr>
          <w:rFonts w:hint="eastAsia" w:ascii="宋体" w:hAnsi="宋体" w:eastAsia="宋体" w:cs="宋体"/>
          <w:sz w:val="24"/>
          <w:szCs w:val="24"/>
        </w:rPr>
      </w:r>
      <w:r/>
    </w:p>
    <w:p>
      <w:pPr>
        <w:pStyle w:val="1033"/>
        <w:ind w:left="11"/>
        <w:spacing w:before="312"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5.该产品的关键工序要求实施前，“关键工序”栏可不填，下同。</w:t>
      </w:r>
      <w:r>
        <w:rPr>
          <w:rFonts w:hint="eastAsia" w:ascii="宋体" w:hAnsi="宋体" w:eastAsia="宋体" w:cs="宋体"/>
          <w:sz w:val="24"/>
          <w:szCs w:val="24"/>
        </w:rPr>
      </w:r>
      <w:r/>
    </w:p>
    <w:p>
      <w:pPr>
        <w:pStyle w:val="1033"/>
        <w:ind w:left="8"/>
        <w:spacing w:before="310"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6.《声明函》中标注“</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”的地方无需填写。</w:t>
      </w:r>
      <w:r>
        <w:rPr>
          <w:rFonts w:hint="eastAsia" w:ascii="宋体" w:hAnsi="宋体" w:eastAsia="宋体" w:cs="宋体"/>
          <w:sz w:val="24"/>
          <w:szCs w:val="24"/>
        </w:rPr>
      </w:r>
      <w:r/>
    </w:p>
    <w:p>
      <w:pPr>
        <w:pStyle w:val="1024"/>
        <w:ind w:firstLine="480"/>
        <w:jc w:val="right"/>
        <w:keepLines w:val="0"/>
        <w:keepNext w:val="0"/>
        <w:pageBreakBefore w:val="0"/>
        <w:spacing w:line="520" w:lineRule="exact"/>
        <w:shd w:val="clear" w:color="auto" w:fill="auto"/>
        <w:widowControl/>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Times New Roman"/>
          <w:color w:val="000000"/>
          <w:sz w:val="24"/>
          <w:szCs w:val="22"/>
          <w:highlight w:val="none"/>
        </w:rPr>
      </w:r>
      <w:r/>
    </w:p>
    <w:p>
      <w:pPr>
        <w:pStyle w:val="1024"/>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4"/>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27"/>
        <w:jc w:val="center"/>
        <w:rPr>
          <w:rFonts w:ascii="宋体" w:hAnsi="宋体"/>
          <w:color w:val="000000"/>
          <w:sz w:val="24"/>
          <w:szCs w:val="24"/>
          <w:highlight w:val="none"/>
        </w:rPr>
      </w:pPr>
      <w:r>
        <w:rPr>
          <w:rFonts w:ascii="宋体" w:hAnsi="宋体"/>
          <w:color w:val="000000"/>
          <w:sz w:val="24"/>
          <w:szCs w:val="24"/>
          <w:highlight w:val="none"/>
        </w:rPr>
      </w:r>
      <w:r/>
    </w:p>
    <w:p>
      <w:pPr>
        <w:pStyle w:val="1024"/>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4"/>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4"/>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4"/>
        <w:spacing w:line="600" w:lineRule="exact"/>
        <w:rPr>
          <w:rFonts w:ascii="宋体" w:hAnsi="宋体"/>
          <w:bCs/>
          <w:color w:val="000000"/>
          <w:sz w:val="24"/>
          <w:highlight w:val="none"/>
        </w:rPr>
      </w:pPr>
      <w:r>
        <w:rPr>
          <w:rFonts w:ascii="宋体" w:hAnsi="宋体"/>
          <w:bCs/>
          <w:color w:val="000000"/>
          <w:sz w:val="24"/>
          <w:highlight w:val="none"/>
        </w:rPr>
      </w:r>
      <w:r/>
    </w:p>
    <w:p>
      <w:pPr>
        <w:pStyle w:val="1024"/>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4"/>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4"/>
        <w:spacing w:line="460" w:lineRule="exact"/>
        <w:rPr>
          <w:rFonts w:ascii="宋体" w:hAnsi="宋体"/>
          <w:bCs/>
          <w:color w:val="000000"/>
          <w:sz w:val="24"/>
          <w:highlight w:val="none"/>
        </w:rPr>
      </w:pPr>
      <w:r>
        <w:rPr>
          <w:rFonts w:ascii="宋体" w:hAnsi="宋体"/>
          <w:bCs/>
          <w:color w:val="000000"/>
          <w:sz w:val="24"/>
          <w:highlight w:val="none"/>
        </w:rPr>
      </w:r>
      <w:r/>
    </w:p>
    <w:p>
      <w:pPr>
        <w:pStyle w:val="1027"/>
        <w:jc w:val="center"/>
        <w:rPr>
          <w:rFonts w:ascii="宋体" w:hAnsi="宋体"/>
          <w:bCs w:val="0"/>
          <w:color w:val="000000"/>
          <w:sz w:val="24"/>
          <w:highlight w:val="none"/>
        </w:rPr>
      </w:pPr>
      <w:r>
        <w:rPr>
          <w:rFonts w:ascii="宋体" w:hAnsi="宋体"/>
          <w:bCs w:val="0"/>
          <w:color w:val="000000"/>
          <w:sz w:val="24"/>
          <w:highlight w:val="none"/>
        </w:rPr>
      </w:r>
      <w:r/>
    </w:p>
    <w:p>
      <w:pPr>
        <w:pStyle w:val="1027"/>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4"/>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9"/>
        <w:ind w:firstLine="210"/>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rPr>
          <w:rFonts w:hint="eastAsia"/>
          <w:color w:val="000000"/>
          <w:highlight w:val="none"/>
        </w:rPr>
      </w:pPr>
      <w:r>
        <w:rPr>
          <w:rFonts w:hint="eastAsia"/>
          <w:color w:val="000000"/>
          <w:highlight w:val="none"/>
        </w:rPr>
      </w:r>
      <w:r/>
    </w:p>
    <w:p>
      <w:pPr>
        <w:pStyle w:val="1024"/>
        <w:jc w:val="both"/>
        <w:spacing w:line="400" w:lineRule="exact"/>
        <w:rPr>
          <w:rFonts w:ascii="宋体" w:hAnsi="宋体"/>
          <w:color w:val="000000"/>
          <w:sz w:val="24"/>
          <w:highlight w:val="none"/>
          <w:lang w:val="en-US"/>
        </w:rPr>
        <w:sectPr>
          <w:headerReference w:type="default" r:id="rId10"/>
          <w:footerReference w:type="default" r:id="rId15"/>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1024"/>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4"/>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建湖县卫生健康委员会</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4"/>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38"/>
        <w:gridCol w:w="942"/>
        <w:gridCol w:w="2774"/>
        <w:gridCol w:w="939"/>
        <w:gridCol w:w="1021"/>
        <w:gridCol w:w="1387"/>
      </w:tblGrid>
      <w:tr>
        <w:trPr>
          <w:trHeight w:val="939"/>
        </w:trPr>
        <w:tc>
          <w:tcPr>
            <w:tcW w:w="835"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序号</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24"/>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设备名称</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数量</w:t>
            </w:r>
            <w:r>
              <w:rPr>
                <w:rFonts w:hint="eastAsia" w:ascii="宋体" w:hAnsi="宋体" w:eastAsia="宋体" w:cs="宋体"/>
                <w:b w:val="0"/>
                <w:bCs w:val="0"/>
                <w:spacing w:val="-2"/>
                <w:sz w:val="24"/>
                <w:szCs w:val="24"/>
                <w:highlight w:val="none"/>
              </w:rPr>
            </w:r>
            <w:r/>
          </w:p>
        </w:tc>
        <w:tc>
          <w:tcPr>
            <w:tcW w:w="2774" w:type="dxa"/>
            <w:vAlign w:val="center"/>
            <w:textDirection w:val="lrTb"/>
            <w:noWrap w:val="false"/>
          </w:tcPr>
          <w:p>
            <w:pPr>
              <w:pStyle w:val="1024"/>
              <w:ind w:firstLine="472"/>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投标品牌及型号</w:t>
            </w:r>
            <w:r>
              <w:rPr>
                <w:rFonts w:hint="eastAsia" w:ascii="宋体" w:hAnsi="宋体" w:eastAsia="宋体" w:cs="宋体"/>
                <w:b w:val="0"/>
                <w:bCs w:val="0"/>
                <w:spacing w:val="-2"/>
                <w:sz w:val="24"/>
                <w:szCs w:val="24"/>
                <w:highlight w:val="none"/>
              </w:rPr>
            </w:r>
            <w:r/>
          </w:p>
        </w:tc>
        <w:tc>
          <w:tcPr>
            <w:tcW w:w="939"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单价</w:t>
            </w:r>
            <w:r>
              <w:rPr>
                <w:rFonts w:hint="eastAsia" w:ascii="宋体" w:hAnsi="宋体" w:eastAsia="宋体" w:cs="宋体"/>
                <w:b w:val="0"/>
                <w:bCs w:val="0"/>
                <w:spacing w:val="-2"/>
                <w:sz w:val="24"/>
                <w:szCs w:val="24"/>
                <w:highlight w:val="none"/>
              </w:rPr>
            </w:r>
            <w:r/>
          </w:p>
        </w:tc>
        <w:tc>
          <w:tcPr>
            <w:tcW w:w="1021"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合计</w:t>
            </w:r>
            <w:r>
              <w:rPr>
                <w:rFonts w:hint="eastAsia" w:ascii="宋体" w:hAnsi="宋体" w:eastAsia="宋体" w:cs="宋体"/>
                <w:b w:val="0"/>
                <w:bCs w:val="0"/>
                <w:spacing w:val="-2"/>
                <w:sz w:val="24"/>
                <w:szCs w:val="24"/>
                <w:highlight w:val="none"/>
              </w:rPr>
            </w:r>
            <w:r/>
          </w:p>
        </w:tc>
        <w:tc>
          <w:tcPr>
            <w:tcW w:w="1387" w:type="dxa"/>
            <w:vAlign w:val="center"/>
            <w:textDirection w:val="lrTb"/>
            <w:noWrap w:val="false"/>
          </w:tcPr>
          <w:p>
            <w:pPr>
              <w:pStyle w:val="1024"/>
              <w:ind w:firstLine="236"/>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备注</w:t>
            </w:r>
            <w:r>
              <w:rPr>
                <w:rFonts w:hint="eastAsia" w:ascii="宋体" w:hAnsi="宋体" w:eastAsia="宋体" w:cs="宋体"/>
                <w:b w:val="0"/>
                <w:bCs w:val="0"/>
                <w:spacing w:val="-2"/>
                <w:sz w:val="24"/>
                <w:szCs w:val="24"/>
                <w:highlight w:val="none"/>
              </w:rPr>
            </w:r>
            <w:r/>
          </w:p>
        </w:tc>
      </w:tr>
      <w:tr>
        <w:trPr>
          <w:trHeight w:val="920"/>
        </w:trPr>
        <w:tc>
          <w:tcPr>
            <w:tcW w:w="835"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1</w:t>
            </w:r>
            <w:r>
              <w:rPr>
                <w:rFonts w:hint="eastAsia" w:ascii="宋体" w:hAnsi="宋体" w:eastAsia="宋体" w:cs="宋体"/>
                <w:b w:val="0"/>
                <w:bCs w:val="0"/>
                <w:spacing w:val="-2"/>
                <w:sz w:val="24"/>
                <w:szCs w:val="24"/>
                <w:highlight w:val="none"/>
              </w:rPr>
            </w:r>
            <w:r/>
          </w:p>
        </w:tc>
        <w:tc>
          <w:tcPr>
            <w:tcW w:w="1638"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w:t>
            </w:r>
            <w:r>
              <w:rPr>
                <w:rFonts w:hint="eastAsia" w:ascii="宋体" w:hAnsi="宋体" w:eastAsia="宋体" w:cs="宋体"/>
                <w:b w:val="0"/>
                <w:bCs w:val="0"/>
                <w:spacing w:val="-2"/>
                <w:sz w:val="24"/>
                <w:szCs w:val="24"/>
                <w:highlight w:val="none"/>
                <w:lang w:eastAsia="zh-CN"/>
              </w:rPr>
              <w:t xml:space="preserve">彩色多普勒超声</w:t>
            </w:r>
            <w:r>
              <w:rPr>
                <w:rFonts w:hint="eastAsia" w:ascii="宋体" w:hAnsi="宋体" w:eastAsia="宋体" w:cs="宋体"/>
                <w:b w:val="0"/>
                <w:bCs w:val="0"/>
                <w:spacing w:val="-2"/>
                <w:sz w:val="24"/>
                <w:szCs w:val="24"/>
                <w:highlight w:val="none"/>
              </w:rPr>
            </w:r>
            <w:r/>
          </w:p>
        </w:tc>
        <w:tc>
          <w:tcPr>
            <w:tcW w:w="942" w:type="dxa"/>
            <w:vAlign w:val="center"/>
            <w:textDirection w:val="lrTb"/>
            <w:noWrap w:val="false"/>
          </w:tcPr>
          <w:p>
            <w:pPr>
              <w:pStyle w:val="1024"/>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lang w:val="en-US" w:eastAsia="zh-CN"/>
              </w:rPr>
              <w:t xml:space="preserve">7套</w:t>
            </w:r>
            <w:r>
              <w:rPr>
                <w:rFonts w:hint="eastAsia" w:ascii="宋体" w:hAnsi="宋体" w:eastAsia="宋体" w:cs="宋体"/>
                <w:b w:val="0"/>
                <w:bCs w:val="0"/>
                <w:spacing w:val="-2"/>
                <w:sz w:val="24"/>
                <w:szCs w:val="24"/>
                <w:highlight w:val="none"/>
              </w:rPr>
            </w:r>
            <w:r/>
          </w:p>
        </w:tc>
        <w:tc>
          <w:tcPr>
            <w:tcW w:w="2774" w:type="dxa"/>
            <w:vAlign w:val="center"/>
            <w:textDirection w:val="lrTb"/>
            <w:noWrap w:val="false"/>
          </w:tcPr>
          <w:p>
            <w:pPr>
              <w:pStyle w:val="1024"/>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939" w:type="dxa"/>
            <w:vAlign w:val="center"/>
            <w:textDirection w:val="lrTb"/>
            <w:noWrap w:val="false"/>
          </w:tcPr>
          <w:p>
            <w:pPr>
              <w:pStyle w:val="1024"/>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021" w:type="dxa"/>
            <w:vAlign w:val="center"/>
            <w:textDirection w:val="lrTb"/>
            <w:noWrap w:val="false"/>
          </w:tcPr>
          <w:p>
            <w:pPr>
              <w:pStyle w:val="1024"/>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c>
          <w:tcPr>
            <w:tcW w:w="1387" w:type="dxa"/>
            <w:vAlign w:val="center"/>
            <w:textDirection w:val="lrTb"/>
            <w:noWrap w:val="false"/>
          </w:tcPr>
          <w:p>
            <w:pPr>
              <w:pStyle w:val="1024"/>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r>
            <w:r/>
          </w:p>
        </w:tc>
      </w:tr>
      <w:tr>
        <w:trPr>
          <w:trHeight w:val="810"/>
        </w:trPr>
        <w:tc>
          <w:tcPr>
            <w:gridSpan w:val="2"/>
            <w:tcW w:w="2473" w:type="dxa"/>
            <w:vAlign w:val="center"/>
            <w:textDirection w:val="lrTb"/>
            <w:noWrap w:val="false"/>
          </w:tcPr>
          <w:p>
            <w:pPr>
              <w:pStyle w:val="1024"/>
              <w:ind w:firstLine="472"/>
              <w:jc w:val="center"/>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合 计</w:t>
            </w:r>
            <w:r>
              <w:rPr>
                <w:rFonts w:hint="eastAsia" w:ascii="宋体" w:hAnsi="宋体" w:eastAsia="宋体" w:cs="宋体"/>
                <w:b w:val="0"/>
                <w:bCs w:val="0"/>
                <w:spacing w:val="-2"/>
                <w:sz w:val="24"/>
                <w:szCs w:val="24"/>
                <w:highlight w:val="none"/>
              </w:rPr>
            </w:r>
            <w:r/>
          </w:p>
        </w:tc>
        <w:tc>
          <w:tcPr>
            <w:gridSpan w:val="5"/>
            <w:tcW w:w="7063" w:type="dxa"/>
            <w:vAlign w:val="center"/>
            <w:textDirection w:val="lrTb"/>
            <w:noWrap w:val="false"/>
          </w:tcPr>
          <w:p>
            <w:pPr>
              <w:pStyle w:val="1024"/>
              <w:ind w:firstLine="472"/>
              <w:spacing w:line="480" w:lineRule="exact"/>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（大写）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t xml:space="preserve"> （小写）</w:t>
            </w:r>
            <w:r>
              <w:rPr>
                <w:rFonts w:hint="eastAsia" w:ascii="宋体" w:hAnsi="宋体" w:eastAsia="宋体" w:cs="宋体"/>
                <w:b w:val="0"/>
                <w:bCs w:val="0"/>
                <w:spacing w:val="-2"/>
                <w:sz w:val="24"/>
                <w:szCs w:val="24"/>
                <w:highlight w:val="none"/>
                <w:u w:val="single"/>
              </w:rPr>
              <w:t xml:space="preserve">             </w:t>
            </w:r>
            <w:r>
              <w:rPr>
                <w:rFonts w:hint="eastAsia" w:ascii="宋体" w:hAnsi="宋体" w:eastAsia="宋体" w:cs="宋体"/>
                <w:b w:val="0"/>
                <w:bCs w:val="0"/>
                <w:spacing w:val="-2"/>
                <w:sz w:val="24"/>
                <w:szCs w:val="24"/>
                <w:highlight w:val="none"/>
              </w:rPr>
            </w:r>
            <w:r/>
          </w:p>
        </w:tc>
      </w:tr>
    </w:tbl>
    <w:p>
      <w:pPr>
        <w:pStyle w:val="1024"/>
        <w:ind w:firstLine="474"/>
        <w:spacing w:line="520" w:lineRule="exact"/>
        <w:tabs>
          <w:tab w:val="left" w:pos="900" w:leader="none"/>
        </w:tabs>
        <w:rPr>
          <w:rFonts w:hint="eastAsia" w:ascii="宋体" w:hAnsi="宋体"/>
          <w:color w:val="000000"/>
          <w:sz w:val="24"/>
          <w:highlight w:val="none"/>
          <w:lang w:val="en-US" w:eastAsia="zh-CN"/>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全部货物、运输、人工、装卸、安装调试、检验检测、验收、培训、售后服务费、</w:t>
      </w:r>
      <w:r>
        <w:rPr>
          <w:rFonts w:hint="eastAsia" w:ascii="宋体" w:hAnsi="宋体"/>
          <w:color w:val="000000"/>
          <w:sz w:val="24"/>
          <w:highlight w:val="none"/>
          <w:lang w:val="en-US" w:eastAsia="zh-CN"/>
        </w:rPr>
        <w:t xml:space="preserve">PACS</w:t>
      </w:r>
      <w:r>
        <w:rPr>
          <w:rFonts w:hint="eastAsia" w:ascii="宋体" w:hAnsi="宋体"/>
          <w:color w:val="000000"/>
          <w:sz w:val="24"/>
          <w:highlight w:val="none"/>
          <w:lang w:eastAsia="zh-CN"/>
        </w:rPr>
        <w:t xml:space="preserve">接口费、利息、税金、招标代理费、不可预见费、备品备件、伴随服务、人员培训发生等一切费用</w:t>
      </w:r>
      <w:r>
        <w:rPr>
          <w:rFonts w:hint="eastAsia" w:ascii="宋体" w:hAnsi="宋体"/>
          <w:color w:val="000000"/>
          <w:sz w:val="24"/>
          <w:highlight w:val="none"/>
        </w:rPr>
        <w:t xml:space="preserve">（综合报价）。对投标人认为没有考虑到的费用项目采购单位将不予支付，并认</w:t>
      </w:r>
      <w:r>
        <w:rPr>
          <w:rFonts w:hint="eastAsia" w:ascii="宋体" w:hAnsi="宋体"/>
          <w:color w:val="000000"/>
          <w:sz w:val="24"/>
          <w:highlight w:val="none"/>
        </w:rPr>
        <w:t xml:space="preserve">为此项费用已包含在投标报价中。</w:t>
      </w:r>
      <w:r>
        <w:rPr>
          <w:rFonts w:hint="eastAsia" w:ascii="宋体" w:hAnsi="宋体"/>
          <w:color w:val="000000"/>
          <w:sz w:val="24"/>
          <w:highlight w:val="none"/>
          <w:lang w:val="en-US" w:eastAsia="zh-CN"/>
        </w:rPr>
      </w:r>
      <w:r/>
    </w:p>
    <w:p>
      <w:pPr>
        <w:pStyle w:val="1024"/>
        <w:ind w:firstLine="480"/>
        <w:spacing w:line="520" w:lineRule="exact"/>
        <w:tabs>
          <w:tab w:val="left" w:pos="900" w:leader="none"/>
        </w:tabs>
        <w:rPr>
          <w:rFonts w:hint="eastAsia" w:ascii="宋体" w:hAnsi="宋体" w:eastAsia="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：本项目预算金额为292.6万元，投标报价高于预算价的作无效标论处；</w:t>
      </w:r>
      <w:r>
        <w:rPr>
          <w:rFonts w:hint="eastAsia" w:ascii="宋体" w:hAnsi="宋体" w:eastAsia="宋体"/>
          <w:color w:val="000000"/>
          <w:sz w:val="24"/>
          <w:highlight w:val="none"/>
          <w:lang w:val="en-US" w:eastAsia="zh-CN"/>
        </w:rPr>
      </w:r>
      <w:r/>
    </w:p>
    <w:p>
      <w:pPr>
        <w:pStyle w:val="1024"/>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投标单位投标时须在报价明细表中注明投标选用品牌，本项目核心产品为“</w:t>
      </w:r>
      <w:r>
        <w:rPr>
          <w:rFonts w:hint="eastAsia" w:ascii="宋体" w:hAnsi="宋体" w:cs="宋体"/>
          <w:color w:val="000000"/>
          <w:sz w:val="24"/>
          <w:highlight w:val="none"/>
          <w:lang w:val="zh-CN" w:eastAsia="zh-CN"/>
        </w:rPr>
        <w:t xml:space="preserve">*彩色多普勒超声</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72"/>
        <w:spacing w:line="44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2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4"/>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4"/>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4"/>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4"/>
        <w:jc w:val="right"/>
        <w:spacing w:line="400" w:lineRule="exact"/>
        <w:rPr>
          <w:rFonts w:ascii="宋体" w:hAnsi="宋体"/>
          <w:color w:val="000000"/>
          <w:sz w:val="24"/>
          <w:highlight w:val="none"/>
        </w:rPr>
      </w:pPr>
      <w:r>
        <w:rPr>
          <w:rFonts w:ascii="宋体" w:hAnsi="宋体"/>
          <w:color w:val="000000"/>
          <w:sz w:val="24"/>
          <w:highlight w:val="none"/>
        </w:rPr>
      </w:r>
      <w:r/>
    </w:p>
    <w:p>
      <w:pPr>
        <w:pStyle w:val="1024"/>
        <w:jc w:val="right"/>
        <w:spacing w:line="400" w:lineRule="exact"/>
        <w:rPr>
          <w:rFonts w:hint="eastAsia"/>
          <w:color w:val="000000"/>
          <w:highlight w:val="none"/>
          <w:lang w:eastAsia="zh-CN"/>
        </w:rPr>
        <w:sectPr>
          <w:headerReference w:type="default" r:id="rId11"/>
          <w:footerReference w:type="default" r:id="rId16"/>
          <w:footnotePr/>
          <w:endnotePr/>
          <w:type w:val="nextPage"/>
          <w:pgSz w:w="11906" w:h="16838" w:orient="portrait"/>
          <w:pgMar w:top="1440" w:right="1080" w:bottom="1440" w:left="1080" w:header="0" w:footer="992" w:gutter="0"/>
          <w:pgNumType w:start="45"/>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1024"/>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21"/>
      </w:tblGrid>
      <w:tr>
        <w:trPr>
          <w:trHeight w:val="3840"/>
        </w:trPr>
        <w:tc>
          <w:tcPr>
            <w:tcW w:w="2405" w:type="dxa"/>
            <w:vAlign w:val="center"/>
            <w:textDirection w:val="lrTb"/>
            <w:noWrap w:val="false"/>
          </w:tcPr>
          <w:p>
            <w:pPr>
              <w:pStyle w:val="102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102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7421" w:type="dxa"/>
            <w:vAlign w:val="top"/>
            <w:textDirection w:val="lrTb"/>
            <w:noWrap w:val="false"/>
          </w:tcPr>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1.各投标人必须严格按照本次招标服务要求进行合理报价，如后期出现重大管理失误或严重违约不合格情形视同虚假承诺谋取中标成交，将被列入不良行为记录名单。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2.供应商自行承担运输、指导安装、调试过程中的安全责任。</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3.供应商在服务过程中涉及第三方产品知识产权情况，若出现技术、经济或法律上的纠纷，应由承包方全面承担并全权解决，并确保不影响项目的进度。</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4.质保期限（自安装验收合格之日算起）：8年质保。质保期内负责设备整机包修、维护及保养。中标方中标后提供生产厂家出具其免费质保期限服务承诺。</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5.中标后提供仪3把探头（含心脏、腹部、腔内、高频四选三）。</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6.供货时设备出厂日期不超过合同签订日6个月。</w:t>
            </w:r>
            <w:r>
              <w:rPr>
                <w:rFonts w:hint="eastAsia" w:ascii="宋体" w:hAnsi="宋体" w:eastAsia="宋体" w:cs="宋体"/>
                <w:color w:val="000000"/>
                <w:sz w:val="24"/>
                <w:szCs w:val="24"/>
                <w:highlight w:val="none"/>
                <w:lang w:val="en-US" w:eastAsia="zh-CN"/>
              </w:rPr>
            </w:r>
            <w:r/>
          </w:p>
          <w:p>
            <w:pPr>
              <w:pStyle w:val="1024"/>
              <w:keepLines w:val="0"/>
              <w:keepNext w:val="0"/>
              <w:pageBreakBefore w:val="0"/>
              <w:spacing w:line="480" w:lineRule="exact"/>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7.中标方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color w:val="000000"/>
                <w:highlight w:val="none"/>
                <w:lang w:val="en-US" w:eastAsia="zh-CN"/>
              </w:rPr>
            </w:r>
            <w:r/>
          </w:p>
        </w:tc>
      </w:tr>
      <w:tr>
        <w:trPr>
          <w:trHeight w:val="1538"/>
        </w:trPr>
        <w:tc>
          <w:tcPr>
            <w:tcW w:w="2405" w:type="dxa"/>
            <w:vAlign w:val="center"/>
            <w:textDirection w:val="lrTb"/>
            <w:noWrap w:val="false"/>
          </w:tcPr>
          <w:p>
            <w:pPr>
              <w:pStyle w:val="1024"/>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7421" w:type="dxa"/>
            <w:vAlign w:val="top"/>
            <w:textDirection w:val="lrTb"/>
            <w:noWrap w:val="false"/>
          </w:tcPr>
          <w:p>
            <w:pPr>
              <w:pStyle w:val="1024"/>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4"/>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4"/>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4"/>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1024"/>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4"/>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4"/>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4"/>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60"/>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注：1.投标人应根据投标设备的性能指标、对照招标文件要求</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w:t>
      </w:r>
      <w:r>
        <w:rPr>
          <w:rFonts w:hint="eastAsia" w:ascii="宋体"/>
          <w:b/>
          <w:bCs/>
          <w:color w:val="000000"/>
          <w:spacing w:val="-2"/>
          <w:sz w:val="24"/>
          <w:highlight w:val="none"/>
          <w:lang w:eastAsia="zh-CN"/>
        </w:rPr>
        <w:t xml:space="preserve">二、技术要求及相关说明”</w:t>
      </w:r>
      <w:r>
        <w:rPr>
          <w:rFonts w:hint="eastAsia" w:ascii="宋体"/>
          <w:b/>
          <w:bCs/>
          <w:color w:val="000000"/>
          <w:spacing w:val="-2"/>
          <w:sz w:val="24"/>
          <w:highlight w:val="none"/>
        </w:rPr>
        <w:t xml:space="preserve">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w:t>
      </w:r>
      <w:r>
        <w:rPr>
          <w:rFonts w:hint="eastAsia" w:ascii="宋体"/>
          <w:b/>
          <w:bCs/>
          <w:color w:val="000000"/>
          <w:spacing w:val="-2"/>
          <w:sz w:val="24"/>
          <w:highlight w:val="none"/>
          <w:lang w:eastAsia="zh-CN"/>
        </w:rPr>
        <w:t xml:space="preserve">评分标准</w:t>
      </w:r>
      <w:r>
        <w:rPr>
          <w:rFonts w:hint="eastAsia" w:ascii="宋体"/>
          <w:b/>
          <w:bCs/>
          <w:color w:val="000000"/>
          <w:spacing w:val="-2"/>
          <w:sz w:val="24"/>
          <w:highlight w:val="none"/>
        </w:rPr>
        <w:t xml:space="preserve">中技术</w:t>
      </w:r>
      <w:r>
        <w:rPr>
          <w:rFonts w:hint="eastAsia" w:ascii="宋体"/>
          <w:b/>
          <w:bCs/>
          <w:color w:val="000000"/>
          <w:spacing w:val="-2"/>
          <w:sz w:val="24"/>
          <w:highlight w:val="none"/>
          <w:lang w:eastAsia="zh-CN"/>
        </w:rPr>
        <w:t xml:space="preserve">参数</w:t>
      </w:r>
      <w:r>
        <w:rPr>
          <w:rFonts w:hint="eastAsia" w:ascii="宋体"/>
          <w:b/>
          <w:bCs/>
          <w:color w:val="000000"/>
          <w:spacing w:val="-2"/>
          <w:sz w:val="24"/>
          <w:highlight w:val="none"/>
        </w:rPr>
        <w:t xml:space="preserve">的约定作相应处理，需要提供相关佐证材料的以提供加盖投标单位公章的相关佐证材料</w:t>
      </w:r>
      <w:r>
        <w:rPr>
          <w:rFonts w:hint="eastAsia" w:ascii="宋体"/>
          <w:b/>
          <w:bCs/>
          <w:color w:val="000000"/>
          <w:spacing w:val="-2"/>
          <w:sz w:val="24"/>
          <w:highlight w:val="none"/>
          <w:lang w:val="en-US" w:eastAsia="zh-CN"/>
        </w:rPr>
        <w:t xml:space="preserve">彩色</w:t>
      </w:r>
      <w:r>
        <w:rPr>
          <w:rFonts w:hint="eastAsia" w:ascii="宋体"/>
          <w:b/>
          <w:bCs/>
          <w:color w:val="000000"/>
          <w:spacing w:val="-2"/>
          <w:sz w:val="24"/>
          <w:highlight w:val="none"/>
        </w:rPr>
        <w:t xml:space="preserve">扫描件</w:t>
      </w:r>
      <w:r>
        <w:rPr>
          <w:rFonts w:hint="eastAsia" w:ascii="宋体"/>
          <w:b/>
          <w:bCs/>
          <w:color w:val="000000"/>
          <w:spacing w:val="-2"/>
          <w:sz w:val="24"/>
          <w:highlight w:val="none"/>
          <w:lang w:eastAsia="zh-CN"/>
        </w:rPr>
        <w:t xml:space="preserve">加盖投标单位公章</w:t>
      </w:r>
      <w:r>
        <w:rPr>
          <w:rFonts w:hint="eastAsia" w:ascii="宋体"/>
          <w:b/>
          <w:bCs/>
          <w:color w:val="000000"/>
          <w:spacing w:val="-2"/>
          <w:sz w:val="24"/>
          <w:highlight w:val="none"/>
        </w:rPr>
        <w:t xml:space="preserve">为准。</w:t>
      </w:r>
      <w:r>
        <w:rPr>
          <w:rFonts w:hint="eastAsia" w:ascii="宋体"/>
          <w:b/>
          <w:bCs/>
          <w:color w:val="000000"/>
          <w:spacing w:val="-2"/>
          <w:sz w:val="24"/>
          <w:highlight w:val="none"/>
        </w:rPr>
      </w:r>
      <w:r/>
    </w:p>
    <w:p>
      <w:pPr>
        <w:pStyle w:val="1024"/>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24"/>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24"/>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24"/>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4"/>
        <w:ind w:firstLine="480"/>
        <w:jc w:val="right"/>
        <w:spacing w:before="100" w:beforeAutospacing="1" w:after="100" w:afterAutospacing="1" w:line="460" w:lineRule="exact"/>
        <w:rPr>
          <w:rFonts w:hint="eastAsia"/>
          <w:color w:val="000000"/>
          <w:sz w:val="24"/>
          <w:highlight w:val="none"/>
          <w:lang w:eastAsia="zh-CN"/>
        </w:rPr>
      </w:pPr>
      <w:r>
        <w:rPr>
          <w:rFonts w:hint="eastAsia"/>
          <w:color w:val="000000"/>
          <w:sz w:val="24"/>
          <w:highlight w:val="none"/>
        </w:rPr>
        <w:t xml:space="preserve">年    月   </w:t>
      </w:r>
      <w:r>
        <w:rPr>
          <w:rFonts w:hint="eastAsia"/>
          <w:color w:val="000000"/>
          <w:sz w:val="24"/>
          <w:highlight w:val="none"/>
          <w:lang w:eastAsia="zh-CN"/>
        </w:rPr>
        <w:t xml:space="preserve">日</w:t>
      </w:r>
      <w:r/>
    </w:p>
    <w:sectPr>
      <w:headerReference w:type="default" r:id="rId12"/>
      <w:footerReference w:type="default" r:id="rId17"/>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5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4"/>
                    </w:pPr>
                    <w:r/>
                    <w:r/>
                  </w:p>
                </w:txbxContent>
              </v:textbox>
            </v:shape>
          </w:pict>
        </mc:Fallback>
      </mc:AlternateContent>
    </w:r>
    <w:r>
      <w:rPr>
        <w:rStyle w:val="1058"/>
        <w:rFonts w:hint="eastAsia"/>
      </w:rPr>
    </w:r>
    <w:r/>
  </w:p>
  <w:p>
    <w:pPr>
      <w:pStyle w:val="1040"/>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4"/>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4"/>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420"/>
                            <w:tabs>
                              <w:tab w:val="clear" w:pos="180" w:leader="none"/>
                            </w:tabs>
                            <w:rPr>
                              <w:sz w:val="21"/>
                              <w:szCs w:val="21"/>
                            </w:rPr>
                          </w:pPr>
                          <w:r>
                            <w:rPr>
                              <w:sz w:val="21"/>
                              <w:szCs w:val="21"/>
                            </w:rPr>
                            <w:fldChar w:fldCharType="begin"/>
                          </w:r>
                          <w:r>
                            <w:rPr>
                              <w:rStyle w:val="1058"/>
                              <w:sz w:val="21"/>
                              <w:szCs w:val="21"/>
                            </w:rPr>
                            <w:instrText xml:space="preserve"> PAGE  </w:instrText>
                          </w:r>
                          <w:r>
                            <w:rPr>
                              <w:sz w:val="21"/>
                              <w:szCs w:val="21"/>
                            </w:rPr>
                            <w:fldChar w:fldCharType="separate"/>
                          </w:r>
                          <w:r>
                            <w:rPr>
                              <w:rStyle w:val="1058"/>
                              <w:sz w:val="21"/>
                              <w:szCs w:val="21"/>
                            </w:rPr>
                            <w:t xml:space="preserve">21</w:t>
                          </w:r>
                          <w:r>
                            <w:rPr>
                              <w:sz w:val="21"/>
                              <w:szCs w:val="21"/>
                            </w:rPr>
                            <w:fldChar w:fldCharType="end"/>
                          </w:r>
                          <w:r>
                            <w:rPr>
                              <w:sz w:val="21"/>
                              <w:szCs w:val="21"/>
                            </w:rPr>
                          </w:r>
                          <w:r/>
                        </w:p>
                        <w:p>
                          <w:pPr>
                            <w:pStyle w:val="1024"/>
                          </w:pPr>
                          <w:r/>
                          <w:r/>
                        </w:p>
                        <w:p>
                          <w:pPr>
                            <w:pStyle w:val="102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420"/>
                      <w:tabs>
                        <w:tab w:val="clear" w:pos="180" w:leader="none"/>
                      </w:tabs>
                      <w:rPr>
                        <w:sz w:val="21"/>
                        <w:szCs w:val="21"/>
                      </w:rPr>
                    </w:pPr>
                    <w:r>
                      <w:rPr>
                        <w:sz w:val="21"/>
                        <w:szCs w:val="21"/>
                      </w:rPr>
                      <w:fldChar w:fldCharType="begin"/>
                    </w:r>
                    <w:r>
                      <w:rPr>
                        <w:rStyle w:val="1058"/>
                        <w:sz w:val="21"/>
                        <w:szCs w:val="21"/>
                      </w:rPr>
                      <w:instrText xml:space="preserve"> PAGE  </w:instrText>
                    </w:r>
                    <w:r>
                      <w:rPr>
                        <w:sz w:val="21"/>
                        <w:szCs w:val="21"/>
                      </w:rPr>
                      <w:fldChar w:fldCharType="separate"/>
                    </w:r>
                    <w:r>
                      <w:rPr>
                        <w:rStyle w:val="1058"/>
                        <w:sz w:val="21"/>
                        <w:szCs w:val="21"/>
                      </w:rPr>
                      <w:t xml:space="preserve">21</w:t>
                    </w:r>
                    <w:r>
                      <w:rPr>
                        <w:sz w:val="21"/>
                        <w:szCs w:val="21"/>
                      </w:rPr>
                      <w:fldChar w:fldCharType="end"/>
                    </w:r>
                    <w:r>
                      <w:rPr>
                        <w:sz w:val="21"/>
                        <w:szCs w:val="21"/>
                      </w:rPr>
                    </w:r>
                    <w:r/>
                  </w:p>
                  <w:p>
                    <w:pPr>
                      <w:pStyle w:val="1024"/>
                    </w:pPr>
                    <w:r/>
                    <w:r/>
                  </w:p>
                  <w:p>
                    <w:pPr>
                      <w:pStyle w:val="10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4"/>
    <w:next w:val="1024"/>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4"/>
    <w:next w:val="1024"/>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4"/>
    <w:next w:val="1024"/>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4"/>
    <w:next w:val="1024"/>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4"/>
    <w:next w:val="1024"/>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4"/>
    <w:next w:val="1024"/>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4"/>
    <w:next w:val="1024"/>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4"/>
    <w:next w:val="1024"/>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4"/>
    <w:next w:val="1024"/>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List Paragraph"/>
    <w:basedOn w:val="1024"/>
    <w:uiPriority w:val="34"/>
    <w:qFormat/>
    <w:pPr>
      <w:contextualSpacing/>
      <w:ind w:left="720"/>
    </w:pPr>
  </w:style>
  <w:style w:type="paragraph" w:styleId="867">
    <w:name w:val="Title"/>
    <w:basedOn w:val="1024"/>
    <w:next w:val="1024"/>
    <w:link w:val="868"/>
    <w:uiPriority w:val="10"/>
    <w:qFormat/>
    <w:pPr>
      <w:contextualSpacing/>
      <w:spacing w:before="300" w:after="200"/>
    </w:pPr>
    <w:rPr>
      <w:sz w:val="48"/>
      <w:szCs w:val="48"/>
    </w:rPr>
  </w:style>
  <w:style w:type="character" w:styleId="868">
    <w:name w:val="Title Char"/>
    <w:link w:val="867"/>
    <w:uiPriority w:val="10"/>
    <w:rPr>
      <w:sz w:val="48"/>
      <w:szCs w:val="48"/>
    </w:rPr>
  </w:style>
  <w:style w:type="paragraph" w:styleId="869">
    <w:name w:val="Subtitle"/>
    <w:basedOn w:val="1024"/>
    <w:next w:val="1024"/>
    <w:link w:val="870"/>
    <w:uiPriority w:val="11"/>
    <w:qFormat/>
    <w:pPr>
      <w:spacing w:before="200" w:after="200"/>
    </w:pPr>
    <w:rPr>
      <w:sz w:val="24"/>
      <w:szCs w:val="24"/>
    </w:rPr>
  </w:style>
  <w:style w:type="character" w:styleId="870">
    <w:name w:val="Subtitle Char"/>
    <w:link w:val="869"/>
    <w:uiPriority w:val="11"/>
    <w:rPr>
      <w:sz w:val="24"/>
      <w:szCs w:val="24"/>
    </w:rPr>
  </w:style>
  <w:style w:type="paragraph" w:styleId="871">
    <w:name w:val="Quote"/>
    <w:basedOn w:val="1024"/>
    <w:next w:val="1024"/>
    <w:link w:val="872"/>
    <w:uiPriority w:val="29"/>
    <w:qFormat/>
    <w:pPr>
      <w:ind w:left="720" w:right="720"/>
    </w:pPr>
    <w:rPr>
      <w:i/>
    </w:rPr>
  </w:style>
  <w:style w:type="character" w:styleId="872">
    <w:name w:val="Quote Char"/>
    <w:link w:val="871"/>
    <w:uiPriority w:val="29"/>
    <w:rPr>
      <w:i/>
    </w:rPr>
  </w:style>
  <w:style w:type="paragraph" w:styleId="873">
    <w:name w:val="Intense Quote"/>
    <w:basedOn w:val="1024"/>
    <w:next w:val="1024"/>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Intense Quote Char"/>
    <w:link w:val="873"/>
    <w:uiPriority w:val="30"/>
    <w:rPr>
      <w:i/>
    </w:rPr>
  </w:style>
  <w:style w:type="paragraph" w:styleId="875">
    <w:name w:val="Header"/>
    <w:basedOn w:val="1024"/>
    <w:link w:val="876"/>
    <w:uiPriority w:val="99"/>
    <w:unhideWhenUsed/>
    <w:pPr>
      <w:spacing w:after="0" w:line="240" w:lineRule="auto"/>
      <w:tabs>
        <w:tab w:val="center" w:pos="7143" w:leader="none"/>
        <w:tab w:val="right" w:pos="14287" w:leader="none"/>
      </w:tabs>
    </w:pPr>
  </w:style>
  <w:style w:type="character" w:styleId="876">
    <w:name w:val="Header Char"/>
    <w:link w:val="875"/>
    <w:uiPriority w:val="99"/>
  </w:style>
  <w:style w:type="paragraph" w:styleId="877">
    <w:name w:val="Footer"/>
    <w:basedOn w:val="1024"/>
    <w:link w:val="880"/>
    <w:uiPriority w:val="99"/>
    <w:unhideWhenUsed/>
    <w:pPr>
      <w:spacing w:after="0" w:line="240" w:lineRule="auto"/>
      <w:tabs>
        <w:tab w:val="center" w:pos="7143" w:leader="none"/>
        <w:tab w:val="right" w:pos="14287" w:leader="none"/>
      </w:tabs>
    </w:pPr>
  </w:style>
  <w:style w:type="character" w:styleId="878">
    <w:name w:val="Footer Char"/>
    <w:link w:val="877"/>
    <w:uiPriority w:val="99"/>
  </w:style>
  <w:style w:type="paragraph" w:styleId="879">
    <w:name w:val="Caption"/>
    <w:basedOn w:val="1024"/>
    <w:next w:val="1024"/>
    <w:uiPriority w:val="35"/>
    <w:semiHidden/>
    <w:unhideWhenUsed/>
    <w:qFormat/>
    <w:pPr>
      <w:spacing w:line="276" w:lineRule="auto"/>
    </w:pPr>
    <w:rPr>
      <w:b/>
      <w:bCs/>
      <w:color w:val="4f81bd" w:themeColor="accent1"/>
      <w:sz w:val="18"/>
      <w:szCs w:val="18"/>
    </w:rPr>
  </w:style>
  <w:style w:type="character" w:styleId="880">
    <w:name w:val="Caption Char"/>
    <w:basedOn w:val="879"/>
    <w:link w:val="877"/>
    <w:uiPriority w:val="99"/>
  </w:style>
  <w:style w:type="table" w:styleId="8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pPr>
      <w:jc w:val="both"/>
      <w:widowControl w:val="off"/>
    </w:pPr>
    <w:rPr>
      <w:sz w:val="21"/>
      <w:lang w:val="en-US" w:eastAsia="zh-CN" w:bidi="ar-SA"/>
    </w:rPr>
  </w:style>
  <w:style w:type="paragraph" w:styleId="1025">
    <w:name w:val="标题 1"/>
    <w:basedOn w:val="1024"/>
    <w:next w:val="1024"/>
    <w:link w:val="1024"/>
    <w:uiPriority w:val="9"/>
    <w:qFormat/>
    <w:pPr>
      <w:keepLines/>
      <w:keepNext/>
      <w:spacing w:before="340" w:after="330" w:line="578" w:lineRule="auto"/>
      <w:outlineLvl w:val="0"/>
    </w:pPr>
    <w:rPr>
      <w:b/>
      <w:bCs/>
      <w:sz w:val="44"/>
      <w:szCs w:val="44"/>
    </w:rPr>
  </w:style>
  <w:style w:type="paragraph" w:styleId="1026">
    <w:name w:val="标题 2"/>
    <w:basedOn w:val="1024"/>
    <w:next w:val="1024"/>
    <w:link w:val="1024"/>
    <w:qFormat/>
    <w:pPr>
      <w:jc w:val="left"/>
      <w:spacing w:beforeAutospacing="1" w:afterAutospacing="1"/>
      <w:widowControl/>
      <w:outlineLvl w:val="1"/>
    </w:pPr>
    <w:rPr>
      <w:rFonts w:hint="eastAsia" w:ascii="宋体" w:hAnsi="宋体" w:eastAsia="宋体" w:cs="Times New Roman"/>
      <w:b/>
      <w:bCs/>
      <w:sz w:val="36"/>
      <w:szCs w:val="36"/>
    </w:rPr>
  </w:style>
  <w:style w:type="paragraph" w:styleId="1027">
    <w:name w:val="标题 3"/>
    <w:basedOn w:val="1024"/>
    <w:next w:val="1024"/>
    <w:link w:val="1024"/>
    <w:uiPriority w:val="9"/>
    <w:qFormat/>
    <w:pPr>
      <w:keepLines/>
      <w:keepNext/>
      <w:spacing w:before="260" w:after="260" w:line="416" w:lineRule="auto"/>
      <w:outlineLvl w:val="2"/>
    </w:pPr>
    <w:rPr>
      <w:b/>
      <w:bCs/>
      <w:sz w:val="32"/>
      <w:szCs w:val="32"/>
    </w:rPr>
  </w:style>
  <w:style w:type="paragraph" w:styleId="1028">
    <w:name w:val="标题 4"/>
    <w:basedOn w:val="1024"/>
    <w:next w:val="1024"/>
    <w:link w:val="1024"/>
    <w:uiPriority w:val="9"/>
    <w:qFormat/>
    <w:pPr>
      <w:keepLines/>
      <w:keepNext/>
      <w:spacing w:before="120" w:after="120"/>
      <w:outlineLvl w:val="3"/>
    </w:pPr>
    <w:rPr>
      <w:rFonts w:ascii="Arial" w:hAnsi="Arial" w:eastAsia="黑体"/>
      <w:b/>
      <w:sz w:val="20"/>
      <w:szCs w:val="20"/>
    </w:rPr>
  </w:style>
  <w:style w:type="character" w:styleId="1029">
    <w:name w:val="默认段落字体"/>
    <w:next w:val="1029"/>
    <w:link w:val="1024"/>
    <w:uiPriority w:val="1"/>
    <w:unhideWhenUsed/>
  </w:style>
  <w:style w:type="table" w:styleId="1030">
    <w:name w:val="普通表格"/>
    <w:next w:val="1030"/>
    <w:link w:val="1024"/>
    <w:uiPriority w:val="99"/>
    <w:unhideWhenUsed/>
    <w:qFormat/>
    <w:tblPr/>
  </w:style>
  <w:style w:type="paragraph" w:styleId="1031">
    <w:name w:val="正文缩进"/>
    <w:basedOn w:val="1024"/>
    <w:next w:val="1031"/>
    <w:link w:val="1024"/>
    <w:qFormat/>
    <w:pPr>
      <w:ind w:firstLine="420"/>
    </w:pPr>
    <w:rPr>
      <w:szCs w:val="24"/>
    </w:rPr>
  </w:style>
  <w:style w:type="paragraph" w:styleId="1032">
    <w:name w:val="批注文字"/>
    <w:basedOn w:val="1024"/>
    <w:next w:val="1032"/>
    <w:link w:val="1024"/>
    <w:qFormat/>
    <w:pPr>
      <w:jc w:val="left"/>
    </w:pPr>
    <w:rPr>
      <w:sz w:val="21"/>
    </w:rPr>
  </w:style>
  <w:style w:type="paragraph" w:styleId="1033">
    <w:name w:val="正文文本"/>
    <w:basedOn w:val="1024"/>
    <w:next w:val="1033"/>
    <w:link w:val="1024"/>
    <w:qFormat/>
    <w:rPr>
      <w:rFonts w:ascii="Tahoma" w:hAnsi="Tahoma"/>
      <w:szCs w:val="24"/>
    </w:rPr>
  </w:style>
  <w:style w:type="paragraph" w:styleId="1034">
    <w:name w:val="正文文本缩进"/>
    <w:basedOn w:val="1024"/>
    <w:next w:val="1035"/>
    <w:link w:val="1024"/>
    <w:qFormat/>
    <w:pPr>
      <w:ind w:firstLine="480"/>
      <w:tabs>
        <w:tab w:val="left" w:pos="180" w:leader="none"/>
      </w:tabs>
    </w:pPr>
    <w:rPr>
      <w:rFonts w:ascii="Tahoma" w:hAnsi="Tahoma"/>
      <w:sz w:val="24"/>
    </w:rPr>
  </w:style>
  <w:style w:type="paragraph" w:styleId="1035">
    <w:name w:val="寄信人地址"/>
    <w:basedOn w:val="1024"/>
    <w:next w:val="1035"/>
    <w:link w:val="1024"/>
    <w:qFormat/>
    <w:rPr>
      <w:rFonts w:ascii="Arial" w:hAnsi="Arial"/>
    </w:rPr>
  </w:style>
  <w:style w:type="paragraph" w:styleId="1036">
    <w:name w:val="索引 4"/>
    <w:basedOn w:val="1024"/>
    <w:next w:val="1024"/>
    <w:link w:val="1024"/>
    <w:qFormat/>
    <w:pPr>
      <w:ind w:left="600"/>
      <w:spacing w:line="440" w:lineRule="exact"/>
    </w:pPr>
  </w:style>
  <w:style w:type="paragraph" w:styleId="1037">
    <w:name w:val="纯文本"/>
    <w:basedOn w:val="1024"/>
    <w:next w:val="1024"/>
    <w:link w:val="1024"/>
    <w:qFormat/>
    <w:rPr>
      <w:rFonts w:ascii="宋体" w:hAnsi="Courier New"/>
    </w:rPr>
  </w:style>
  <w:style w:type="paragraph" w:styleId="1038">
    <w:name w:val="批注框文本"/>
    <w:basedOn w:val="1024"/>
    <w:next w:val="1038"/>
    <w:link w:val="1039"/>
    <w:rPr>
      <w:sz w:val="18"/>
      <w:szCs w:val="18"/>
    </w:rPr>
  </w:style>
  <w:style w:type="character" w:styleId="1039">
    <w:name w:val="批注框文本 Char"/>
    <w:next w:val="1039"/>
    <w:link w:val="1038"/>
    <w:rPr>
      <w:sz w:val="18"/>
      <w:szCs w:val="18"/>
    </w:rPr>
  </w:style>
  <w:style w:type="paragraph" w:styleId="1040">
    <w:name w:val="页脚"/>
    <w:basedOn w:val="1024"/>
    <w:next w:val="1040"/>
    <w:link w:val="1024"/>
    <w:uiPriority w:val="99"/>
    <w:unhideWhenUsed/>
    <w:qFormat/>
    <w:pPr>
      <w:jc w:val="left"/>
      <w:tabs>
        <w:tab w:val="center" w:pos="4153" w:leader="none"/>
        <w:tab w:val="right" w:pos="8306" w:leader="none"/>
      </w:tabs>
    </w:pPr>
    <w:rPr>
      <w:sz w:val="18"/>
      <w:szCs w:val="18"/>
    </w:rPr>
  </w:style>
  <w:style w:type="paragraph" w:styleId="1041">
    <w:name w:val="页眉"/>
    <w:basedOn w:val="1024"/>
    <w:next w:val="1041"/>
    <w:link w:val="1042"/>
    <w:pPr>
      <w:jc w:val="center"/>
      <w:tabs>
        <w:tab w:val="center" w:pos="4153" w:leader="none"/>
        <w:tab w:val="right" w:pos="8306" w:leader="none"/>
      </w:tabs>
      <w:pBdr>
        <w:bottom w:val="single" w:color="000000" w:sz="6" w:space="1"/>
      </w:pBdr>
    </w:pPr>
    <w:rPr>
      <w:sz w:val="18"/>
      <w:szCs w:val="18"/>
    </w:rPr>
  </w:style>
  <w:style w:type="character" w:styleId="1042">
    <w:name w:val="页眉 Char"/>
    <w:next w:val="1042"/>
    <w:link w:val="1041"/>
    <w:rPr>
      <w:rFonts w:ascii="Times New Roman" w:hAnsi="Times New Roman" w:eastAsia="宋体" w:cs="Times New Roman"/>
      <w:sz w:val="18"/>
      <w:szCs w:val="18"/>
    </w:rPr>
  </w:style>
  <w:style w:type="paragraph" w:styleId="1043">
    <w:name w:val="索引标题"/>
    <w:basedOn w:val="1024"/>
    <w:next w:val="1044"/>
    <w:link w:val="1024"/>
    <w:uiPriority w:val="99"/>
    <w:unhideWhenUsed/>
    <w:qFormat/>
    <w:pPr>
      <w:spacing w:line="500" w:lineRule="exact"/>
    </w:pPr>
    <w:rPr>
      <w:rFonts w:ascii="仿宋_GB2312" w:hAnsi="Calibri"/>
      <w:sz w:val="28"/>
    </w:rPr>
  </w:style>
  <w:style w:type="paragraph" w:styleId="1044">
    <w:name w:val="索引 1"/>
    <w:basedOn w:val="1024"/>
    <w:next w:val="1024"/>
    <w:link w:val="1024"/>
    <w:uiPriority w:val="99"/>
    <w:unhideWhenUsed/>
    <w:qFormat/>
  </w:style>
  <w:style w:type="paragraph" w:styleId="1045">
    <w:name w:val="列表"/>
    <w:basedOn w:val="1024"/>
    <w:next w:val="1045"/>
    <w:link w:val="1024"/>
    <w:qFormat/>
    <w:pPr>
      <w:ind w:left="420" w:hanging="420"/>
    </w:pPr>
  </w:style>
  <w:style w:type="paragraph" w:styleId="1046">
    <w:name w:val="正文文本缩进 3"/>
    <w:basedOn w:val="1024"/>
    <w:next w:val="1046"/>
    <w:link w:val="1024"/>
    <w:qFormat/>
    <w:pPr>
      <w:ind w:firstLine="480"/>
      <w:spacing w:line="400" w:lineRule="exact"/>
    </w:pPr>
    <w:rPr>
      <w:sz w:val="24"/>
    </w:rPr>
  </w:style>
  <w:style w:type="paragraph" w:styleId="1047">
    <w:name w:val="目录 2"/>
    <w:basedOn w:val="1024"/>
    <w:next w:val="1024"/>
    <w:link w:val="1024"/>
    <w:uiPriority w:val="39"/>
    <w:unhideWhenUsed/>
    <w:qFormat/>
    <w:pPr>
      <w:ind w:left="283" w:right="0" w:firstLine="0"/>
      <w:spacing w:after="57"/>
    </w:pPr>
  </w:style>
  <w:style w:type="paragraph" w:styleId="1048">
    <w:name w:val="普通(网站)"/>
    <w:basedOn w:val="1024"/>
    <w:next w:val="1048"/>
    <w:link w:val="1024"/>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49">
    <w:name w:val="正文首行缩进"/>
    <w:basedOn w:val="1050"/>
    <w:next w:val="1024"/>
    <w:link w:val="1024"/>
    <w:qFormat/>
    <w:pPr>
      <w:ind w:firstLine="420"/>
    </w:pPr>
  </w:style>
  <w:style w:type="paragraph" w:styleId="1050">
    <w:name w:val="正文文本113"/>
    <w:basedOn w:val="1024"/>
    <w:next w:val="1051"/>
    <w:link w:val="1024"/>
    <w:qFormat/>
    <w:pPr>
      <w:spacing w:after="120"/>
    </w:pPr>
    <w:rPr>
      <w:sz w:val="28"/>
    </w:rPr>
  </w:style>
  <w:style w:type="paragraph" w:styleId="1051">
    <w:name w:val="一级条标题"/>
    <w:basedOn w:val="1052"/>
    <w:next w:val="1053"/>
    <w:link w:val="102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name w:val="章标题"/>
    <w:next w:val="1024"/>
    <w:link w:val="102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3">
    <w:name w:val="段"/>
    <w:next w:val="1054"/>
    <w:link w:val="1024"/>
    <w:qFormat/>
    <w:pPr>
      <w:ind w:firstLine="200"/>
      <w:jc w:val="both"/>
      <w:widowControl w:val="off"/>
    </w:pPr>
    <w:rPr>
      <w:rFonts w:ascii="宋体" w:hAnsi="宋体" w:cs="宋体"/>
      <w:color w:val="000000"/>
      <w:sz w:val="21"/>
      <w:szCs w:val="21"/>
      <w:lang w:val="en-US" w:eastAsia="zh-CN" w:bidi="ar-SA"/>
    </w:rPr>
  </w:style>
  <w:style w:type="paragraph" w:styleId="1054">
    <w:name w:val="正文 A"/>
    <w:next w:val="1053"/>
    <w:link w:val="1024"/>
    <w:qFormat/>
    <w:pPr>
      <w:jc w:val="both"/>
      <w:widowControl w:val="off"/>
    </w:pPr>
    <w:rPr>
      <w:rFonts w:ascii="Calibri" w:hAnsi="Calibri" w:eastAsia="Calibri" w:cs="Calibri"/>
      <w:color w:val="000000"/>
      <w:sz w:val="21"/>
      <w:szCs w:val="21"/>
      <w:lang w:val="en-US" w:eastAsia="zh-CN" w:bidi="ar-SA"/>
    </w:rPr>
  </w:style>
  <w:style w:type="paragraph" w:styleId="1055">
    <w:name w:val="正文首行缩进 2"/>
    <w:basedOn w:val="1034"/>
    <w:next w:val="1024"/>
    <w:link w:val="1024"/>
    <w:qFormat/>
    <w:pPr>
      <w:ind w:left="420" w:firstLine="420"/>
      <w:tabs>
        <w:tab w:val="left" w:pos="180" w:leader="none"/>
      </w:tabs>
    </w:pPr>
    <w:rPr>
      <w:rFonts w:ascii="Times New Roman" w:hAnsi="Times New Roman"/>
      <w:szCs w:val="24"/>
    </w:rPr>
  </w:style>
  <w:style w:type="table" w:styleId="1056">
    <w:name w:val="网格型"/>
    <w:basedOn w:val="1030"/>
    <w:next w:val="1056"/>
    <w:link w:val="1024"/>
    <w:uiPriority w:val="99"/>
    <w:qFormat/>
    <w:rPr>
      <w:rFonts w:ascii="Calibri" w:hAnsi="Calibri" w:eastAsia="宋体" w:cs="Times New Roman"/>
      <w:sz w:val="20"/>
      <w:szCs w:val="20"/>
    </w:rPr>
    <w:tblPr/>
  </w:style>
  <w:style w:type="character" w:styleId="1057">
    <w:name w:val="要点"/>
    <w:next w:val="1057"/>
    <w:link w:val="1024"/>
    <w:qFormat/>
    <w:rPr>
      <w:b/>
      <w:bCs/>
    </w:rPr>
  </w:style>
  <w:style w:type="character" w:styleId="1058">
    <w:name w:val="页码"/>
    <w:basedOn w:val="1029"/>
    <w:next w:val="1058"/>
    <w:link w:val="1024"/>
    <w:qFormat/>
    <w:rPr>
      <w:rFonts w:ascii="Times New Roman" w:hAnsi="Times New Roman" w:eastAsia="宋体" w:cs="Times New Roman"/>
    </w:rPr>
  </w:style>
  <w:style w:type="character" w:styleId="1059">
    <w:name w:val="超链接"/>
    <w:next w:val="1059"/>
    <w:link w:val="1024"/>
    <w:rPr>
      <w:color w:val="0000ff"/>
      <w:u w:val="single"/>
    </w:rPr>
  </w:style>
  <w:style w:type="paragraph" w:styleId="1060">
    <w:name w:val="普通正文"/>
    <w:next w:val="1060"/>
    <w:link w:val="1024"/>
    <w:qFormat/>
    <w:pPr>
      <w:ind w:firstLine="480"/>
      <w:spacing w:before="120" w:after="120" w:line="360" w:lineRule="auto"/>
      <w:widowControl w:val="off"/>
    </w:pPr>
    <w:rPr>
      <w:rFonts w:ascii="Arial" w:hAnsi="Arial"/>
      <w:sz w:val="24"/>
      <w:szCs w:val="24"/>
      <w:lang w:val="en-US" w:eastAsia="zh-CN" w:bidi="ar-SA"/>
    </w:rPr>
  </w:style>
  <w:style w:type="paragraph" w:styleId="1061">
    <w:name w:val="列出段落"/>
    <w:basedOn w:val="1024"/>
    <w:next w:val="1061"/>
    <w:link w:val="1024"/>
    <w:uiPriority w:val="34"/>
    <w:qFormat/>
    <w:pPr>
      <w:ind w:firstLine="420"/>
    </w:pPr>
  </w:style>
  <w:style w:type="paragraph" w:styleId="1062">
    <w:name w:val="标题 3111"/>
    <w:basedOn w:val="1024"/>
    <w:next w:val="1024"/>
    <w:link w:val="1024"/>
    <w:uiPriority w:val="9"/>
    <w:qFormat/>
    <w:pPr>
      <w:keepLines/>
      <w:keepNext/>
      <w:spacing w:before="320" w:after="200"/>
      <w:outlineLvl w:val="2"/>
    </w:pPr>
    <w:rPr>
      <w:rFonts w:ascii="Arial" w:hAnsi="Arial" w:eastAsia="Arial"/>
      <w:sz w:val="30"/>
      <w:szCs w:val="30"/>
    </w:rPr>
  </w:style>
  <w:style w:type="paragraph" w:styleId="1063">
    <w:name w:val="TOC 标题1"/>
    <w:basedOn w:val="1025"/>
    <w:next w:val="1024"/>
    <w:link w:val="1024"/>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64">
    <w:name w:val="正文首行缩进1"/>
    <w:basedOn w:val="1065"/>
    <w:next w:val="1024"/>
    <w:link w:val="1024"/>
    <w:qFormat/>
    <w:pPr>
      <w:ind w:firstLine="420"/>
    </w:pPr>
  </w:style>
  <w:style w:type="paragraph" w:styleId="1065">
    <w:name w:val="正文文本1"/>
    <w:basedOn w:val="1024"/>
    <w:next w:val="1024"/>
    <w:link w:val="1024"/>
    <w:qFormat/>
    <w:rPr>
      <w:rFonts w:ascii="Tahoma" w:hAnsi="Tahoma"/>
      <w:szCs w:val="24"/>
    </w:rPr>
  </w:style>
  <w:style w:type="paragraph" w:styleId="1066">
    <w:name w:val="Default"/>
    <w:next w:val="1066"/>
    <w:link w:val="1024"/>
    <w:qFormat/>
    <w:pPr>
      <w:widowControl w:val="off"/>
    </w:pPr>
    <w:rPr>
      <w:rFonts w:ascii="宋体"/>
      <w:color w:val="000000"/>
      <w:sz w:val="24"/>
      <w:szCs w:val="24"/>
      <w:lang w:val="en-US" w:eastAsia="zh-CN" w:bidi="ar-SA"/>
    </w:rPr>
  </w:style>
  <w:style w:type="paragraph" w:styleId="1067">
    <w:name w:val="标题 31"/>
    <w:basedOn w:val="1024"/>
    <w:next w:val="1024"/>
    <w:link w:val="1024"/>
    <w:uiPriority w:val="9"/>
    <w:qFormat/>
    <w:pPr>
      <w:keepLines/>
      <w:keepNext/>
      <w:spacing w:before="260" w:after="260" w:line="416" w:lineRule="auto"/>
      <w:outlineLvl w:val="2"/>
    </w:pPr>
    <w:rPr>
      <w:rFonts w:ascii="Calibri" w:hAnsi="Calibri"/>
      <w:b/>
      <w:bCs/>
      <w:sz w:val="32"/>
      <w:szCs w:val="32"/>
    </w:rPr>
  </w:style>
  <w:style w:type="paragraph" w:styleId="1068">
    <w:name w:val="正文1"/>
    <w:basedOn w:val="1024"/>
    <w:next w:val="1068"/>
    <w:link w:val="1024"/>
    <w:qFormat/>
    <w:pPr>
      <w:ind w:right="-167"/>
      <w:spacing w:line="440" w:lineRule="exact"/>
      <w:widowControl/>
    </w:pPr>
    <w:rPr>
      <w:b/>
    </w:rPr>
  </w:style>
  <w:style w:type="paragraph" w:styleId="1069">
    <w:name w:val="msolistparagraph"/>
    <w:basedOn w:val="1024"/>
    <w:next w:val="1069"/>
    <w:link w:val="1024"/>
    <w:qFormat/>
    <w:pPr>
      <w:ind w:firstLine="420"/>
    </w:pPr>
    <w:rPr>
      <w:rFonts w:ascii="Calibri" w:hAnsi="Calibri" w:eastAsia="宋体" w:cs="Times New Roman"/>
    </w:rPr>
  </w:style>
  <w:style w:type="paragraph" w:styleId="1070">
    <w:name w:val="179"/>
    <w:basedOn w:val="1024"/>
    <w:next w:val="1070"/>
    <w:link w:val="1024"/>
    <w:qFormat/>
    <w:pPr>
      <w:ind w:firstLine="420"/>
      <w:widowControl/>
    </w:pPr>
    <w:rPr>
      <w:rFonts w:ascii="Calibri" w:hAnsi="Calibri"/>
    </w:rPr>
  </w:style>
  <w:style w:type="character" w:styleId="1071">
    <w:name w:val="NormalCharacter1"/>
    <w:next w:val="1071"/>
    <w:link w:val="1024"/>
    <w:semiHidden/>
    <w:qFormat/>
  </w:style>
  <w:style w:type="paragraph" w:styleId="1072">
    <w:name w:val="Heading21"/>
    <w:basedOn w:val="1024"/>
    <w:next w:val="1024"/>
    <w:link w:val="1024"/>
    <w:qFormat/>
    <w:pPr>
      <w:keepLines/>
      <w:keepNext/>
      <w:spacing w:before="260" w:after="260" w:line="412" w:lineRule="auto"/>
      <w:widowControl/>
    </w:pPr>
    <w:rPr>
      <w:rFonts w:ascii="Arial" w:hAnsi="Arial" w:eastAsia="黑体"/>
      <w:sz w:val="32"/>
      <w:szCs w:val="32"/>
    </w:rPr>
  </w:style>
  <w:style w:type="table" w:styleId="1073">
    <w:name w:val="Plain Table 1"/>
    <w:next w:val="1073"/>
    <w:link w:val="1024"/>
    <w:uiPriority w:val="41"/>
    <w:qFormat/>
    <w:rPr>
      <w:lang w:val="en-US" w:eastAsia="zh-CN" w:bidi="ar-SA"/>
    </w:rPr>
    <w:tblPr/>
  </w:style>
  <w:style w:type="paragraph" w:styleId="1074">
    <w:name w:val="列表段落1"/>
    <w:basedOn w:val="1024"/>
    <w:next w:val="1074"/>
    <w:link w:val="1024"/>
    <w:uiPriority w:val="34"/>
    <w:qFormat/>
    <w:pPr>
      <w:ind w:firstLine="420"/>
    </w:pPr>
    <w:rPr>
      <w:rFonts w:ascii="Times New Roman" w:hAnsi="Times New Roman" w:eastAsia="宋体" w:cs="Times New Roman"/>
      <w:szCs w:val="21"/>
    </w:rPr>
  </w:style>
  <w:style w:type="paragraph" w:styleId="1075">
    <w:name w:val="表格文字"/>
    <w:basedOn w:val="1024"/>
    <w:next w:val="1033"/>
    <w:link w:val="1024"/>
    <w:qFormat/>
    <w:pPr>
      <w:jc w:val="left"/>
      <w:spacing w:before="25" w:after="25"/>
    </w:pPr>
    <w:rPr>
      <w:bCs/>
      <w:spacing w:val="10"/>
      <w:sz w:val="24"/>
      <w:szCs w:val="20"/>
    </w:rPr>
  </w:style>
  <w:style w:type="paragraph" w:styleId="1076">
    <w:name w:val="列出段落1"/>
    <w:basedOn w:val="1024"/>
    <w:next w:val="1076"/>
    <w:link w:val="1024"/>
    <w:qFormat/>
    <w:pPr>
      <w:ind w:firstLine="420"/>
    </w:pPr>
  </w:style>
  <w:style w:type="character" w:styleId="1077">
    <w:name w:val="font21"/>
    <w:basedOn w:val="1029"/>
    <w:next w:val="1077"/>
    <w:link w:val="1024"/>
    <w:qFormat/>
    <w:rPr>
      <w:rFonts w:ascii="方正仿宋_GBK" w:hAnsi="方正仿宋_GBK" w:eastAsia="方正仿宋_GBK" w:cs="方正仿宋_GBK"/>
      <w:color w:val="000000"/>
      <w:sz w:val="22"/>
      <w:szCs w:val="22"/>
      <w:u w:val="none"/>
    </w:rPr>
  </w:style>
  <w:style w:type="character" w:styleId="1078">
    <w:name w:val="font51"/>
    <w:basedOn w:val="1029"/>
    <w:next w:val="1078"/>
    <w:link w:val="1024"/>
    <w:qFormat/>
    <w:rPr>
      <w:rFonts w:ascii="Times New Roman" w:hAnsi="Times New Roman" w:cs="Times New Roman"/>
      <w:color w:val="000000"/>
      <w:sz w:val="20"/>
      <w:szCs w:val="20"/>
      <w:u w:val="none"/>
    </w:rPr>
  </w:style>
  <w:style w:type="character" w:styleId="1079">
    <w:name w:val="font101"/>
    <w:basedOn w:val="1029"/>
    <w:next w:val="1079"/>
    <w:link w:val="1024"/>
    <w:qFormat/>
    <w:rPr>
      <w:rFonts w:ascii="方正仿宋_GBK" w:hAnsi="方正仿宋_GBK" w:eastAsia="方正仿宋_GBK" w:cs="方正仿宋_GBK"/>
      <w:color w:val="000000"/>
      <w:sz w:val="20"/>
      <w:szCs w:val="20"/>
      <w:u w:val="none"/>
    </w:rPr>
  </w:style>
  <w:style w:type="character" w:styleId="1080">
    <w:name w:val="font131"/>
    <w:basedOn w:val="1029"/>
    <w:next w:val="1080"/>
    <w:link w:val="1024"/>
    <w:qFormat/>
    <w:rPr>
      <w:rFonts w:ascii="方正仿宋_GBK" w:hAnsi="方正仿宋_GBK" w:eastAsia="方正仿宋_GBK" w:cs="方正仿宋_GBK"/>
      <w:color w:val="000000"/>
      <w:sz w:val="20"/>
      <w:szCs w:val="20"/>
      <w:u w:val="none"/>
    </w:rPr>
  </w:style>
  <w:style w:type="character" w:styleId="1081">
    <w:name w:val="font111"/>
    <w:basedOn w:val="1029"/>
    <w:next w:val="1081"/>
    <w:link w:val="1024"/>
    <w:qFormat/>
    <w:rPr>
      <w:rFonts w:ascii="仿宋" w:hAnsi="仿宋" w:eastAsia="仿宋" w:cs="仿宋"/>
      <w:color w:val="000000"/>
      <w:sz w:val="24"/>
      <w:szCs w:val="24"/>
      <w:u w:val="none"/>
    </w:rPr>
  </w:style>
  <w:style w:type="character" w:styleId="1082">
    <w:name w:val="font151"/>
    <w:basedOn w:val="1029"/>
    <w:next w:val="1082"/>
    <w:link w:val="1024"/>
    <w:qFormat/>
    <w:rPr>
      <w:rFonts w:ascii="仿宋" w:hAnsi="仿宋" w:eastAsia="仿宋" w:cs="仿宋"/>
      <w:color w:val="000000"/>
      <w:sz w:val="24"/>
      <w:szCs w:val="24"/>
      <w:u w:val="none"/>
    </w:rPr>
  </w:style>
  <w:style w:type="paragraph" w:styleId="1083">
    <w:name w:val="No Spacing"/>
    <w:next w:val="1083"/>
    <w:link w:val="1024"/>
    <w:uiPriority w:val="1"/>
    <w:qFormat/>
    <w:pPr>
      <w:spacing w:before="0" w:after="0" w:line="240" w:lineRule="auto"/>
    </w:pPr>
    <w:rPr>
      <w:rFonts w:ascii="Times New Roman" w:hAnsi="Times New Roman" w:eastAsia="宋体" w:cs="Times New Roman"/>
    </w:rPr>
  </w:style>
  <w:style w:type="paragraph" w:styleId="1084">
    <w:name w:val="_正文段落"/>
    <w:basedOn w:val="1024"/>
    <w:next w:val="1084"/>
    <w:link w:val="1024"/>
    <w:qFormat/>
    <w:pPr>
      <w:ind w:firstLine="200"/>
      <w:spacing w:line="560" w:lineRule="exact"/>
    </w:pPr>
    <w:rPr>
      <w:rFonts w:ascii="Calibri" w:hAnsi="Calibri" w:eastAsia="仿宋_GB2312"/>
      <w:color w:val="000000"/>
      <w:sz w:val="32"/>
      <w:szCs w:val="24"/>
    </w:rPr>
  </w:style>
  <w:style w:type="table" w:styleId="1085">
    <w:name w:val="Table Normal"/>
    <w:next w:val="1085"/>
    <w:link w:val="1024"/>
    <w:unhideWhenUsed/>
    <w:qFormat/>
    <w:tblPr/>
  </w:style>
  <w:style w:type="paragraph" w:styleId="1086">
    <w:name w:val="Table Text"/>
    <w:basedOn w:val="1024"/>
    <w:next w:val="1086"/>
    <w:link w:val="1024"/>
    <w:semiHidden/>
    <w:qFormat/>
    <w:rPr>
      <w:rFonts w:ascii="微软雅黑" w:hAnsi="微软雅黑" w:eastAsia="微软雅黑" w:cs="微软雅黑"/>
      <w:sz w:val="31"/>
      <w:szCs w:val="31"/>
      <w:lang w:val="en-US" w:eastAsia="en-US" w:bidi="ar-SA"/>
    </w:rPr>
  </w:style>
  <w:style w:type="paragraph" w:styleId="1087">
    <w:name w:val="正文缩进1"/>
    <w:basedOn w:val="1024"/>
    <w:next w:val="1065"/>
    <w:link w:val="1024"/>
    <w:qFormat/>
    <w:pPr>
      <w:ind w:firstLine="420"/>
    </w:pPr>
    <w:rPr>
      <w:rFonts w:ascii="Times New Roman" w:hAnsi="Times New Roman"/>
      <w:sz w:val="20"/>
      <w:szCs w:val="21"/>
    </w:rPr>
  </w:style>
  <w:style w:type="paragraph" w:styleId="1088">
    <w:name w:val="Plain Text1"/>
    <w:basedOn w:val="1024"/>
    <w:next w:val="1088"/>
    <w:link w:val="1024"/>
    <w:qFormat/>
    <w:rPr>
      <w:rFonts w:ascii="宋体" w:hAnsi="Courier New" w:eastAsia="楷体_GB2312"/>
      <w:sz w:val="28"/>
      <w:szCs w:val="20"/>
    </w:rPr>
  </w:style>
  <w:style w:type="paragraph" w:styleId="1089">
    <w:name w:val="普通(网站)111"/>
    <w:basedOn w:val="1024"/>
    <w:next w:val="1089"/>
    <w:link w:val="1024"/>
    <w:uiPriority w:val="99"/>
    <w:unhideWhenUsed/>
    <w:qFormat/>
    <w:pPr>
      <w:jc w:val="left"/>
      <w:spacing w:before="100" w:beforeAutospacing="1" w:after="100" w:afterAutospacing="1"/>
    </w:pPr>
    <w:rPr>
      <w:sz w:val="24"/>
    </w:rPr>
  </w:style>
  <w:style w:type="paragraph" w:styleId="1090">
    <w:name w:val="cas_content"/>
    <w:basedOn w:val="1024"/>
    <w:next w:val="1090"/>
    <w:link w:val="1024"/>
    <w:qFormat/>
    <w:pPr>
      <w:jc w:val="left"/>
      <w:spacing w:before="100" w:beforeAutospacing="1" w:after="100" w:afterAutospacing="1"/>
      <w:widowControl/>
    </w:pPr>
    <w:rPr>
      <w:rFonts w:ascii="宋体" w:hAnsi="宋体" w:cs="宋体"/>
      <w:sz w:val="24"/>
    </w:rPr>
  </w:style>
  <w:style w:type="paragraph" w:styleId="1091">
    <w:name w:val="正文首行缩进 2121"/>
    <w:basedOn w:val="1092"/>
    <w:next w:val="1091"/>
    <w:link w:val="1024"/>
    <w:qFormat/>
    <w:pPr>
      <w:ind w:left="420" w:firstLine="420"/>
      <w:tabs>
        <w:tab w:val="left" w:pos="180" w:leader="none"/>
      </w:tabs>
    </w:pPr>
    <w:rPr>
      <w:rFonts w:ascii="Times New Roman" w:hAnsi="Times New Roman"/>
    </w:rPr>
  </w:style>
  <w:style w:type="paragraph" w:styleId="1092">
    <w:name w:val="正文文本缩进111"/>
    <w:basedOn w:val="1024"/>
    <w:next w:val="1093"/>
    <w:link w:val="1024"/>
    <w:uiPriority w:val="99"/>
    <w:qFormat/>
    <w:pPr>
      <w:ind w:firstLine="480"/>
      <w:tabs>
        <w:tab w:val="left" w:pos="180" w:leader="none"/>
      </w:tabs>
    </w:pPr>
    <w:rPr>
      <w:rFonts w:ascii="Tahoma" w:hAnsi="Tahoma"/>
      <w:sz w:val="24"/>
    </w:rPr>
  </w:style>
  <w:style w:type="paragraph" w:styleId="1093">
    <w:name w:val="寄信人地址111"/>
    <w:basedOn w:val="1024"/>
    <w:next w:val="1093"/>
    <w:link w:val="1024"/>
    <w:qFormat/>
    <w:rPr>
      <w:rFonts w:ascii="Arial" w:hAnsi="Arial"/>
    </w:rPr>
  </w:style>
  <w:style w:type="paragraph" w:styleId="1094">
    <w:name w:val="彩色列表1"/>
    <w:basedOn w:val="1024"/>
    <w:next w:val="1094"/>
    <w:link w:val="1024"/>
    <w:qFormat/>
    <w:pPr>
      <w:ind w:firstLine="420"/>
    </w:pPr>
    <w:rPr>
      <w:rFonts w:ascii="Times New Roman" w:hAnsi="Times New Roman" w:eastAsia="宋体" w:cs="Times New Roman"/>
    </w:rPr>
  </w:style>
  <w:style w:type="paragraph" w:styleId="1095">
    <w:name w:val="003标题三"/>
    <w:basedOn w:val="1024"/>
    <w:next w:val="1095"/>
    <w:link w:val="1024"/>
    <w:pPr>
      <w:jc w:val="center"/>
      <w:spacing w:before="120" w:after="120" w:line="300" w:lineRule="auto"/>
      <w:outlineLvl w:val="2"/>
    </w:pPr>
    <w:rPr>
      <w:rFonts w:hint="eastAsia" w:ascii="仿宋" w:hAnsi="仿宋" w:eastAsia="仿宋" w:cs="仿宋"/>
      <w:b/>
      <w:color w:val="000000"/>
      <w:sz w:val="30"/>
      <w:szCs w:val="30"/>
    </w:rPr>
  </w:style>
  <w:style w:type="paragraph" w:styleId="1096">
    <w:name w:val="普通(网站)1"/>
    <w:basedOn w:val="1024"/>
    <w:next w:val="1096"/>
    <w:link w:val="1024"/>
    <w:uiPriority w:val="99"/>
    <w:qFormat/>
    <w:pPr>
      <w:jc w:val="left"/>
      <w:spacing w:beforeAutospacing="1" w:afterAutospacing="1"/>
    </w:pPr>
    <w:rPr>
      <w:rFonts w:cs="Times New Roman"/>
      <w:sz w:val="24"/>
    </w:rPr>
  </w:style>
  <w:style w:type="character" w:styleId="1097">
    <w:name w:val="强调1"/>
    <w:next w:val="1097"/>
    <w:link w:val="1024"/>
    <w:qFormat/>
    <w:rPr>
      <w:i/>
    </w:rPr>
  </w:style>
  <w:style w:type="paragraph" w:styleId="1098">
    <w:name w:val="列出段落2"/>
    <w:basedOn w:val="1024"/>
    <w:next w:val="1098"/>
    <w:link w:val="1024"/>
    <w:qFormat/>
    <w:pPr>
      <w:ind w:firstLine="420"/>
    </w:pPr>
    <w:rPr>
      <w:rFonts w:ascii="Calibri" w:hAnsi="Calibri"/>
      <w:szCs w:val="22"/>
    </w:rPr>
  </w:style>
  <w:style w:type="character" w:styleId="1099" w:default="1">
    <w:name w:val="Default Paragraph Font"/>
    <w:uiPriority w:val="1"/>
    <w:semiHidden/>
    <w:unhideWhenUsed/>
  </w:style>
  <w:style w:type="numbering" w:styleId="1100" w:default="1">
    <w:name w:val="No List"/>
    <w:uiPriority w:val="99"/>
    <w:semiHidden/>
    <w:unhideWhenUsed/>
  </w:style>
  <w:style w:type="table" w:styleId="1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3</cp:revision>
  <dcterms:created xsi:type="dcterms:W3CDTF">2024-03-08T16:57:00Z</dcterms:created>
  <dcterms:modified xsi:type="dcterms:W3CDTF">2026-10-13T06:56:02Z</dcterms:modified>
</cp:coreProperties>
</file>