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ascii="Arial" w:hAnsi="Arial" w:eastAsia="黑体"/>
          <w:b/>
          <w:bCs/>
          <w:color w:val="000000"/>
          <w:sz w:val="84"/>
          <w:szCs w:val="24"/>
          <w:highlight w:val="none"/>
        </w:rPr>
      </w:r>
      <w:r/>
    </w:p>
    <w:p>
      <w:pPr>
        <w:pStyle w:val="962"/>
        <w:rPr>
          <w:rFonts w:hint="eastAsia"/>
          <w:highlight w:val="none"/>
        </w:rPr>
      </w:pPr>
      <w:r>
        <w:rPr>
          <w:rFonts w:hint="eastAsia"/>
          <w:highlight w:val="none"/>
        </w:rPr>
      </w:r>
      <w:r/>
    </w:p>
    <w:p>
      <w:pPr>
        <w:pStyle w:val="979"/>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83"/>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b/>
          <w:color w:val="000000"/>
          <w:sz w:val="32"/>
          <w:szCs w:val="32"/>
        </w:rPr>
        <w:t xml:space="preserve">智慧规划资源2025系统研发标段二 </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883"/>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JSZC-320100-JZCG-G2026-0348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8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8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5"/>
        <w:rPr>
          <w:rFonts w:hint="eastAsia"/>
        </w:rPr>
      </w:pPr>
      <w:r>
        <w:rPr>
          <w:rFonts w:hint="eastAsia"/>
        </w:rPr>
      </w:r>
      <w:r/>
    </w:p>
    <w:p>
      <w:pPr>
        <w:pStyle w:val="88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9"/>
        <w:ind w:firstLine="0"/>
        <w:jc w:val="center"/>
        <w:rPr>
          <w:rFonts w:hint="eastAsia"/>
          <w:b/>
          <w:bCs/>
          <w:color w:val="000000"/>
          <w:sz w:val="32"/>
          <w:highlight w:val="none"/>
          <w:lang w:eastAsia="zh-CN"/>
        </w:rPr>
      </w:pPr>
      <w:r>
        <w:rPr>
          <w:rFonts w:hint="eastAsia"/>
          <w:b/>
          <w:bCs/>
          <w:sz w:val="32"/>
          <w:highlight w:val="none"/>
          <w:lang w:eastAsia="zh-CN"/>
        </w:rPr>
        <w:t xml:space="preserve">南京</w:t>
      </w:r>
      <w:r>
        <w:rPr>
          <w:rFonts w:hint="eastAsia"/>
          <w:b/>
          <w:bCs/>
          <w:color w:val="000000"/>
          <w:sz w:val="32"/>
          <w:highlight w:val="none"/>
          <w:lang w:eastAsia="zh-CN"/>
        </w:rPr>
        <w:t xml:space="preserve">市公共资源交易中心</w:t>
      </w:r>
      <w:r>
        <w:rPr>
          <w:rFonts w:hint="eastAsia"/>
          <w:b/>
          <w:bCs/>
          <w:color w:val="000000"/>
          <w:sz w:val="32"/>
          <w:highlight w:val="none"/>
          <w:lang w:eastAsia="zh-CN"/>
        </w:rPr>
      </w:r>
      <w:r/>
    </w:p>
    <w:p>
      <w:pPr>
        <w:pStyle w:val="88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88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8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95"/>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895"/>
        <w:rPr>
          <w:rFonts w:hint="eastAsia" w:ascii="Arial" w:hAnsi="Arial"/>
          <w:color w:val="000000"/>
          <w:sz w:val="24"/>
          <w:szCs w:val="24"/>
          <w:highlight w:val="none"/>
        </w:rPr>
      </w:pPr>
      <w:r>
        <w:rPr>
          <w:rFonts w:hint="eastAsia" w:ascii="Arial" w:hAnsi="Arial"/>
          <w:color w:val="000000"/>
          <w:sz w:val="24"/>
          <w:szCs w:val="24"/>
          <w:highlight w:val="none"/>
        </w:rPr>
      </w:r>
      <w:r/>
    </w:p>
    <w:p>
      <w:pPr>
        <w:pStyle w:val="883"/>
        <w:rPr>
          <w:rFonts w:hint="eastAsia" w:ascii="Arial" w:hAnsi="Arial"/>
          <w:color w:val="000000"/>
          <w:sz w:val="24"/>
          <w:szCs w:val="24"/>
          <w:highlight w:val="none"/>
        </w:rPr>
      </w:pPr>
      <w:r>
        <w:rPr>
          <w:rFonts w:hint="eastAsia" w:ascii="Arial" w:hAnsi="Arial"/>
          <w:color w:val="000000"/>
          <w:sz w:val="24"/>
          <w:szCs w:val="24"/>
          <w:highlight w:val="none"/>
        </w:rPr>
      </w:r>
      <w:r/>
    </w:p>
    <w:p>
      <w:pPr>
        <w:pStyle w:val="895"/>
        <w:rPr>
          <w:rFonts w:hint="eastAsia"/>
        </w:rPr>
      </w:pPr>
      <w:r>
        <w:rPr>
          <w:rFonts w:hint="eastAsia"/>
        </w:rPr>
      </w:r>
      <w:r/>
    </w:p>
    <w:p>
      <w:pPr>
        <w:pStyle w:val="962"/>
        <w:rPr>
          <w:rFonts w:hint="eastAsia"/>
          <w:highlight w:val="none"/>
        </w:rPr>
      </w:pPr>
      <w:r>
        <w:rPr>
          <w:rFonts w:hint="eastAsia"/>
          <w:highlight w:val="none"/>
        </w:rPr>
      </w:r>
      <w:r/>
    </w:p>
    <w:p>
      <w:pPr>
        <w:pStyle w:val="883"/>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8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8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88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8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15</w:t>
      </w:r>
      <w:r/>
    </w:p>
    <w:p>
      <w:pPr>
        <w:pStyle w:val="88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themeColor="text1"/>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8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41</w:t>
      </w:r>
      <w:r/>
    </w:p>
    <w:p>
      <w:pPr>
        <w:pStyle w:val="88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45</w:t>
      </w:r>
      <w:r/>
    </w:p>
    <w:p>
      <w:pPr>
        <w:pStyle w:val="883"/>
        <w:rPr>
          <w:rFonts w:hint="eastAsia"/>
          <w:color w:val="000000"/>
          <w:highlight w:val="none"/>
        </w:rPr>
      </w:pPr>
      <w:r>
        <w:rPr>
          <w:rFonts w:hint="eastAsia"/>
          <w:color w:val="000000"/>
          <w:highlight w:val="none"/>
        </w:rPr>
      </w:r>
      <w:r/>
    </w:p>
    <w:p>
      <w:pPr>
        <w:pStyle w:val="883"/>
        <w:rPr>
          <w:rFonts w:hint="eastAsia"/>
          <w:color w:val="000000"/>
          <w:highlight w:val="none"/>
        </w:rPr>
      </w:pPr>
      <w:r>
        <w:rPr>
          <w:rFonts w:hint="eastAsia"/>
          <w:color w:val="000000"/>
          <w:highlight w:val="none"/>
        </w:rPr>
      </w:r>
      <w:r/>
    </w:p>
    <w:p>
      <w:pPr>
        <w:pStyle w:val="883"/>
        <w:rPr>
          <w:rFonts w:hint="eastAsia"/>
          <w:color w:val="000000"/>
          <w:highlight w:val="none"/>
        </w:rPr>
      </w:pPr>
      <w:r>
        <w:rPr>
          <w:rFonts w:hint="eastAsia"/>
          <w:color w:val="000000"/>
          <w:highlight w:val="none"/>
        </w:rPr>
      </w:r>
      <w:r/>
    </w:p>
    <w:p>
      <w:pPr>
        <w:pStyle w:val="883"/>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8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83"/>
        <w:ind w:firstLine="480"/>
        <w:pageBreakBefore w:val="0"/>
        <w:spacing w:line="240" w:lineRule="auto"/>
        <w:widowControl w:val="off"/>
        <w:rPr>
          <w:rFonts w:ascii="宋体" w:hAnsi="宋体"/>
          <w:color w:val="000000"/>
          <w:sz w:val="24"/>
          <w:szCs w:val="24"/>
          <w:highlight w:val="none"/>
        </w:rPr>
      </w:pPr>
      <w:r/>
      <w:bookmarkEnd w:id="11"/>
      <w:r>
        <w:rPr>
          <w:rFonts w:hint="eastAsia" w:ascii="宋体" w:hAnsi="宋体"/>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JSZC-320100-JZCG-G2026-0348</w:t>
      </w:r>
      <w:r>
        <w:rPr>
          <w:rFonts w:ascii="宋体" w:hAnsi="宋体"/>
          <w:color w:val="000000"/>
          <w:sz w:val="24"/>
          <w:szCs w:val="24"/>
          <w:highlight w:val="none"/>
        </w:rPr>
      </w:r>
      <w:r/>
    </w:p>
    <w:p>
      <w:pPr>
        <w:pStyle w:val="883"/>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bookmarkStart w:id="12" w:name="OLE_LINK1"/>
      <w:r>
        <w:rPr>
          <w:rFonts w:hint="eastAsia" w:ascii="宋体" w:hAnsi="宋体"/>
          <w:color w:val="000000"/>
          <w:sz w:val="24"/>
          <w:szCs w:val="24"/>
          <w:highlight w:val="none"/>
        </w:rPr>
        <w:t xml:space="preserve">智慧规划资源</w:t>
      </w:r>
      <w:bookmarkEnd w:id="12"/>
      <w:r>
        <w:rPr>
          <w:rFonts w:hint="eastAsia" w:ascii="宋体" w:hAnsi="宋体"/>
          <w:color w:val="000000"/>
          <w:sz w:val="24"/>
          <w:szCs w:val="24"/>
          <w:highlight w:val="none"/>
        </w:rPr>
        <w:t xml:space="preserve">2025系统研发标段二</w:t>
      </w:r>
      <w:r>
        <w:rPr>
          <w:rFonts w:hint="eastAsia" w:ascii="宋体" w:hAnsi="宋体" w:eastAsia="宋体"/>
          <w:color w:val="000000"/>
          <w:sz w:val="24"/>
          <w:szCs w:val="24"/>
          <w:highlight w:val="none"/>
          <w:lang w:eastAsia="zh-CN"/>
        </w:rPr>
      </w:r>
      <w:r/>
    </w:p>
    <w:p>
      <w:pPr>
        <w:pStyle w:val="883"/>
        <w:ind w:firstLine="480"/>
        <w:spacing w:line="240" w:lineRule="auto"/>
        <w:rPr>
          <w:rFonts w:ascii="宋体" w:hAnsi="宋体"/>
          <w:sz w:val="24"/>
          <w:szCs w:val="24"/>
          <w:highlight w:val="none"/>
        </w:rPr>
      </w:pPr>
      <w:r>
        <w:rPr>
          <w:rFonts w:hint="eastAsia" w:ascii="宋体" w:hAnsi="宋体"/>
          <w:sz w:val="24"/>
          <w:szCs w:val="24"/>
          <w:highlight w:val="none"/>
        </w:rPr>
        <w:t xml:space="preserve">3.预算金额：572.92万元</w:t>
      </w:r>
      <w:r>
        <w:rPr>
          <w:rFonts w:ascii="宋体" w:hAnsi="宋体"/>
          <w:sz w:val="24"/>
          <w:szCs w:val="24"/>
          <w:highlight w:val="none"/>
        </w:rPr>
      </w:r>
      <w:r/>
    </w:p>
    <w:p>
      <w:pPr>
        <w:pStyle w:val="883"/>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sz w:val="24"/>
          <w:szCs w:val="24"/>
          <w:highlight w:val="none"/>
        </w:rPr>
        <w:t xml:space="preserve">4.</w:t>
      </w:r>
      <w:r>
        <w:rPr>
          <w:rFonts w:hint="eastAsia" w:ascii="宋体" w:hAnsi="宋体"/>
          <w:color w:val="000000"/>
          <w:sz w:val="24"/>
          <w:szCs w:val="24"/>
          <w:highlight w:val="none"/>
          <w:lang w:val="en-US" w:eastAsia="zh-CN"/>
        </w:rPr>
        <w:t xml:space="preserve">最高限价：572.92万元</w:t>
      </w:r>
      <w:r>
        <w:rPr>
          <w:rFonts w:hint="eastAsia" w:ascii="宋体" w:hAnsi="宋体" w:eastAsia="宋体" w:cs="宋体"/>
          <w:sz w:val="24"/>
          <w:szCs w:val="24"/>
          <w:highlight w:val="none"/>
        </w:rPr>
      </w:r>
      <w:r/>
    </w:p>
    <w:p>
      <w:pPr>
        <w:pStyle w:val="883"/>
        <w:ind w:firstLine="480"/>
        <w:pageBreakBefore w:val="0"/>
        <w:spacing w:line="240" w:lineRule="auto"/>
        <w:widowControl w:val="off"/>
        <w:rPr>
          <w:rFonts w:ascii="宋体" w:hAnsi="宋体"/>
          <w:sz w:val="24"/>
          <w:szCs w:val="24"/>
          <w:highlight w:val="none"/>
          <w:u w:val="single"/>
        </w:rPr>
      </w:pPr>
      <w:r>
        <w:rPr>
          <w:rFonts w:hint="eastAsia" w:ascii="宋体" w:hAnsi="宋体"/>
          <w:sz w:val="24"/>
          <w:szCs w:val="24"/>
          <w:highlight w:val="none"/>
        </w:rPr>
        <w:t xml:space="preserve">5.采购需求（简介）：深入贯彻落实《自然资源数字化治理能力提升总体方案》及《南京市公共数据资源开发利用攻坚三年行动方案（2024-2026年）》要求，聚焦当前自然资源资产管理中存在的问题，以推动管理现代化与信息化转型为目标，适应新形势下资产管理精细化、信息化、自动化的需求，亟需构建一套集成化、自动化的信息化管理模块，以实现对硬件、数据、数据库、系统、指标等信息化资产的高效管理，促进信息共享与协作，优化资源配置，提升整体管理水平和服务质量。（详细内容见本招标文件第四章）</w:t>
      </w:r>
      <w:r>
        <w:rPr>
          <w:rFonts w:hint="eastAsia" w:ascii="宋体" w:hAnsi="宋体" w:cs="宋体"/>
          <w:sz w:val="24"/>
          <w:szCs w:val="24"/>
          <w:highlight w:val="none"/>
        </w:rPr>
        <w:t xml:space="preserve"> </w:t>
      </w:r>
      <w:r>
        <w:rPr>
          <w:rFonts w:ascii="宋体" w:hAnsi="宋体"/>
          <w:sz w:val="24"/>
          <w:szCs w:val="24"/>
          <w:highlight w:val="none"/>
          <w:u w:val="single"/>
        </w:rPr>
      </w:r>
      <w:r/>
    </w:p>
    <w:p>
      <w:pPr>
        <w:pStyle w:val="883"/>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rPr>
          <w:rFonts w:hint="eastAsia" w:ascii="宋体" w:hAnsi="宋体" w:eastAsia="宋体" w:cs="Times New Roman"/>
          <w:color w:val="000000"/>
          <w:sz w:val="24"/>
          <w:szCs w:val="24"/>
          <w:highlight w:val="none"/>
        </w:rPr>
        <w:t xml:space="preserve">合同履行期限：1080天（项目实施时间为合同签订后450天内，新建系统（含升级）</w:t>
      </w:r>
      <w:r>
        <w:rPr>
          <w:rFonts w:hint="eastAsia" w:ascii="宋体" w:hAnsi="宋体" w:eastAsia="宋体" w:cs="Times New Roman"/>
          <w:color w:val="000000"/>
          <w:sz w:val="24"/>
          <w:szCs w:val="24"/>
          <w:highlight w:val="none"/>
          <w:lang w:val="en-US" w:eastAsia="zh-CN"/>
        </w:rPr>
        <w:t xml:space="preserve">运维</w:t>
      </w:r>
      <w:r>
        <w:rPr>
          <w:rFonts w:hint="eastAsia" w:ascii="宋体" w:hAnsi="宋体" w:eastAsia="宋体" w:cs="Times New Roman"/>
          <w:color w:val="000000"/>
          <w:sz w:val="24"/>
          <w:szCs w:val="24"/>
          <w:highlight w:val="none"/>
        </w:rPr>
        <w:t xml:space="preserve">时间为验收合格后630天）</w:t>
      </w:r>
      <w:r>
        <w:rPr>
          <w:rFonts w:hint="eastAsia" w:ascii="宋体" w:hAnsi="宋体" w:eastAsia="宋体" w:cs="Times New Roman"/>
          <w:color w:val="000000"/>
          <w:sz w:val="24"/>
          <w:szCs w:val="24"/>
          <w:highlight w:val="none"/>
        </w:rPr>
      </w:r>
      <w:r/>
    </w:p>
    <w:p>
      <w:pPr>
        <w:pStyle w:val="883"/>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8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8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8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 w:name="_Toc28359003"/>
      <w:r/>
      <w:bookmarkStart w:id="14" w:name="_Toc28359080"/>
      <w:r/>
      <w:bookmarkStart w:id="15" w:name="_Toc35393622"/>
      <w:r/>
      <w:bookmarkStart w:id="16" w:name="_Toc38985264"/>
      <w:r/>
      <w:bookmarkStart w:id="17" w:name="_Toc35393791"/>
      <w:r>
        <w:rPr>
          <w:rFonts w:hint="eastAsia" w:ascii="方正黑体_GBK" w:hAnsi="方正黑体_GBK" w:eastAsia="方正黑体_GBK" w:cs="方正黑体_GBK"/>
          <w:b w:val="0"/>
          <w:bCs w:val="0"/>
          <w:color w:val="000000"/>
          <w:sz w:val="30"/>
          <w:szCs w:val="30"/>
          <w:highlight w:val="none"/>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highlight w:val="none"/>
        </w:rPr>
      </w:r>
      <w:r/>
    </w:p>
    <w:p>
      <w:pPr>
        <w:pStyle w:val="883"/>
        <w:ind w:firstLine="480"/>
        <w:pageBreakBefore w:val="0"/>
        <w:spacing w:line="252" w:lineRule="auto"/>
        <w:widowControl w:val="off"/>
        <w:rPr>
          <w:rFonts w:hint="eastAsia" w:ascii="宋体" w:hAnsi="宋体"/>
          <w:color w:val="000000"/>
          <w:sz w:val="24"/>
          <w:szCs w:val="24"/>
          <w:highlight w:val="none"/>
        </w:rPr>
      </w:pPr>
      <w:r/>
      <w:bookmarkStart w:id="18" w:name="_Toc38985265"/>
      <w:r/>
      <w:bookmarkStart w:id="19" w:name="_Toc35393623"/>
      <w:r/>
      <w:bookmarkStart w:id="20" w:name="_Toc35393792"/>
      <w:r/>
      <w:bookmarkStart w:id="21" w:name="_Toc28359081"/>
      <w:r/>
      <w:bookmarkStart w:id="22"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8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8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83"/>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83"/>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：供应商具备有效期内的测绘乙级及以上资质（专业范围须包含地理信息系统工程专业，提供证书</w:t>
      </w:r>
      <w:r>
        <w:rPr>
          <w:rFonts w:hint="eastAsia" w:ascii="宋体" w:hAnsi="宋体"/>
          <w:color w:val="000000"/>
          <w:sz w:val="24"/>
          <w:szCs w:val="24"/>
          <w:highlight w:val="none"/>
          <w:lang w:val="en-US" w:eastAsia="zh-CN"/>
        </w:rPr>
        <w:t xml:space="preserve">电子件或扫描件</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highlight w:val="none"/>
        </w:rPr>
      </w:r>
      <w:r/>
    </w:p>
    <w:p>
      <w:pPr>
        <w:pStyle w:val="883"/>
        <w:ind w:firstLine="480"/>
        <w:pageBreakBefore w:val="0"/>
        <w:spacing w:line="240" w:lineRule="auto"/>
        <w:widowControl w:val="off"/>
        <w:rPr>
          <w:rFonts w:ascii="宋体" w:hAnsi="宋体" w:cs="宋体"/>
          <w:sz w:val="24"/>
          <w:szCs w:val="24"/>
          <w:highlight w:val="none"/>
        </w:rPr>
      </w:pPr>
      <w:r/>
      <w:bookmarkStart w:id="23" w:name="_Toc35393624"/>
      <w:r/>
      <w:bookmarkStart w:id="24" w:name="_Toc38985266"/>
      <w:r/>
      <w:bookmarkStart w:id="25" w:name="_Toc28359005"/>
      <w:r/>
      <w:bookmarkStart w:id="26" w:name="_Toc28359082"/>
      <w:r/>
      <w:bookmarkStart w:id="27" w:name="_Toc35393793"/>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83"/>
        <w:ind w:firstLine="480"/>
        <w:pageBreakBefore w:val="0"/>
        <w:spacing w:line="240"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8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5"/>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7"/>
      <w:r>
        <w:rPr>
          <w:rFonts w:hint="eastAsia" w:ascii="方正黑体_GBK" w:hAnsi="方正黑体_GBK" w:eastAsia="方正黑体_GBK" w:cs="方正黑体_GBK"/>
          <w:b w:val="0"/>
          <w:bCs w:val="0"/>
          <w:color w:val="000000"/>
          <w:sz w:val="30"/>
          <w:szCs w:val="30"/>
          <w:highlight w:val="none"/>
        </w:rPr>
      </w:r>
      <w:r/>
    </w:p>
    <w:p>
      <w:pPr>
        <w:ind w:firstLine="480"/>
        <w:pageBreakBefore w:val="0"/>
        <w:spacing w:line="240" w:lineRule="auto"/>
        <w:widowControl w:val="off"/>
        <w:rPr>
          <w:rFonts w:hint="eastAsia" w:ascii="宋体" w:hAnsi="宋体" w:eastAsia="宋体"/>
          <w:bCs/>
          <w:sz w:val="24"/>
          <w:szCs w:val="24"/>
          <w:highlight w:val="none"/>
          <w:u w:val="single"/>
          <w:lang w:val="en-US" w:eastAsia="zh-CN"/>
        </w:rPr>
      </w:pPr>
      <w:r/>
      <w:bookmarkStart w:id="28" w:name="_Toc35393794"/>
      <w:r/>
      <w:bookmarkStart w:id="29" w:name="_Toc28359007"/>
      <w:r/>
      <w:bookmarkStart w:id="30" w:name="_Toc38985267"/>
      <w:r/>
      <w:bookmarkStart w:id="31" w:name="_Toc35393625"/>
      <w:r/>
      <w:bookmarkStart w:id="32" w:name="_Toc28359084"/>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lang w:val="en-US" w:eastAsia="zh-CN"/>
        </w:rPr>
        <w:t xml:space="preserve">11月</w:t>
      </w:r>
      <w:r>
        <w:rPr>
          <w:rFonts w:hint="eastAsia" w:ascii="宋体" w:hAnsi="宋体" w:eastAsia="宋体" w:cs="宋体"/>
          <w:sz w:val="24"/>
          <w:szCs w:val="24"/>
          <w:highlight w:val="none"/>
          <w:lang w:val="en-US" w:eastAsia="zh-CN"/>
        </w:rPr>
        <w:t xml:space="preserve">3日</w:t>
      </w:r>
      <w:r>
        <w:rPr>
          <w:rFonts w:hint="eastAsia" w:ascii="宋体" w:hAnsi="宋体" w:eastAsia="宋体" w:cs="宋体"/>
          <w:sz w:val="24"/>
          <w:szCs w:val="24"/>
          <w:highlight w:val="none"/>
          <w:lang w:val="en-US" w:eastAsia="zh-CN"/>
        </w:rPr>
        <w:t xml:space="preserve">9时</w:t>
      </w:r>
      <w:r>
        <w:rPr>
          <w:rFonts w:hint="eastAsia" w:ascii="宋体" w:hAnsi="宋体" w:eastAsia="宋体" w:cs="宋体"/>
          <w:sz w:val="24"/>
          <w:szCs w:val="24"/>
          <w:highlight w:val="none"/>
          <w:lang w:val="en-US" w:eastAsia="zh-CN"/>
        </w:rPr>
        <w:t xml:space="preserve">30分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83"/>
        <w:ind w:firstLine="480"/>
        <w:pageBreakBefore w:val="0"/>
        <w:spacing w:line="240"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8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highlight w:val="none"/>
        </w:rPr>
      </w:r>
      <w:r/>
    </w:p>
    <w:p>
      <w:pPr>
        <w:pStyle w:val="883"/>
        <w:ind w:firstLine="480"/>
        <w:pageBreakBefore w:val="0"/>
        <w:spacing w:line="240" w:lineRule="auto"/>
        <w:widowControl w:val="off"/>
        <w:rPr>
          <w:rFonts w:hint="eastAsia" w:ascii="宋体" w:hAnsi="宋体" w:cs="宋体"/>
          <w:sz w:val="24"/>
          <w:szCs w:val="24"/>
          <w:highlight w:val="none"/>
        </w:rPr>
      </w:pPr>
      <w:r/>
      <w:bookmarkStart w:id="33" w:name="_Toc35393795"/>
      <w:r/>
      <w:bookmarkStart w:id="34" w:name="_Toc35393626"/>
      <w:r/>
      <w:bookmarkStart w:id="35" w:name="_Toc38985268"/>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88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highlight w:val="none"/>
        </w:rPr>
      </w:r>
      <w:r/>
    </w:p>
    <w:p>
      <w:pPr>
        <w:pStyle w:val="883"/>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6" w:name="_Toc35393627"/>
      <w:r/>
      <w:bookmarkStart w:id="37" w:name="_Toc35393796"/>
      <w:r/>
      <w:bookmarkStart w:id="38" w:name="_Toc28359008"/>
      <w:r/>
      <w:bookmarkStart w:id="39" w:name="_Toc38985269"/>
      <w:r/>
      <w:bookmarkStart w:id="40" w:name="_Toc28359085"/>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83"/>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83"/>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8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83"/>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83"/>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olor w:val="000000"/>
          <w:sz w:val="24"/>
          <w:szCs w:val="24"/>
        </w:rPr>
        <w:t xml:space="preserve">倪</w:t>
      </w:r>
      <w:r>
        <w:rPr>
          <w:rFonts w:hint="eastAsia" w:ascii="宋体" w:hAnsi="宋体"/>
          <w:color w:val="000000"/>
          <w:sz w:val="24"/>
          <w:szCs w:val="24"/>
          <w:lang w:val="en-US" w:eastAsia="zh-CN"/>
        </w:rPr>
        <w:t xml:space="preserve">先生</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color w:val="000000"/>
          <w:sz w:val="24"/>
          <w:szCs w:val="21"/>
          <w:highlight w:val="none"/>
          <w:u w:val="none"/>
          <w:lang w:val="en-US" w:eastAsia="zh-CN"/>
        </w:rPr>
        <w:t xml:space="preserve">南京市鼓楼区中山路171号，</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color w:val="000000"/>
          <w:sz w:val="24"/>
          <w:szCs w:val="24"/>
        </w:rPr>
        <w:t xml:space="preserve">025-</w:t>
      </w:r>
      <w:r>
        <w:rPr>
          <w:rFonts w:ascii="宋体" w:hAnsi="宋体"/>
          <w:color w:val="000000"/>
          <w:sz w:val="24"/>
          <w:szCs w:val="24"/>
        </w:rPr>
        <w:t xml:space="preserve">89691508</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883"/>
        <w:ind w:firstLine="480"/>
        <w:keepLines w:val="0"/>
        <w:keepNext w:val="0"/>
        <w:pageBreakBefore w:val="0"/>
        <w:spacing w:line="240" w:lineRule="auto"/>
        <w:widowControl/>
        <w:tabs>
          <w:tab w:val="left" w:pos="900" w:leader="none"/>
        </w:tabs>
        <w:rPr>
          <w:rFonts w:hint="eastAsia" w:ascii="宋体" w:hAnsi="宋体" w:eastAsia="宋体" w:cs="Times New Roman"/>
          <w:color w:val="0000ff"/>
          <w:sz w:val="24"/>
          <w:highlight w:val="none"/>
          <w:lang w:val="en-US" w:eastAsia="zh-CN"/>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color w:val="0000ff"/>
          <w:sz w:val="24"/>
          <w:highlight w:val="none"/>
          <w:lang w:val="en-US" w:eastAsia="zh-CN"/>
        </w:rPr>
      </w:r>
      <w:r/>
    </w:p>
    <w:p>
      <w:pPr>
        <w:pStyle w:val="886"/>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highlight w:val="none"/>
        </w:rPr>
      </w:r>
      <w:r/>
    </w:p>
    <w:p>
      <w:pPr>
        <w:pStyle w:val="88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sz w:val="24"/>
          <w:szCs w:val="24"/>
          <w:highlight w:val="none"/>
          <w:lang w:val="en-US" w:eastAsia="zh-CN"/>
        </w:rPr>
        <w:t xml:space="preserve">1.采</w:t>
      </w:r>
      <w:r>
        <w:rPr>
          <w:rFonts w:hint="eastAsia" w:ascii="宋体" w:hAnsi="宋体" w:eastAsia="宋体" w:cs="Times New Roman"/>
          <w:color w:val="000000"/>
          <w:sz w:val="24"/>
          <w:szCs w:val="24"/>
          <w:highlight w:val="none"/>
          <w:lang w:val="en-US" w:eastAsia="zh-CN"/>
        </w:rPr>
        <w:t xml:space="preserve">购人</w:t>
      </w:r>
      <w:r>
        <w:rPr>
          <w:rFonts w:hint="eastAsia" w:ascii="宋体" w:hAnsi="宋体" w:eastAsia="宋体" w:cs="Times New Roman"/>
          <w:color w:val="000000"/>
          <w:sz w:val="24"/>
          <w:szCs w:val="24"/>
          <w:highlight w:val="none"/>
          <w:lang w:val="en-US" w:eastAsia="zh-CN"/>
        </w:rPr>
      </w:r>
      <w:r/>
    </w:p>
    <w:p>
      <w:pPr>
        <w:pStyle w:val="883"/>
        <w:ind w:firstLine="480"/>
        <w:spacing w:line="252" w:lineRule="auto"/>
        <w:rPr>
          <w:rFonts w:hint="eastAsia" w:ascii="宋体" w:hAnsi="宋体"/>
          <w:color w:val="000000"/>
          <w:sz w:val="24"/>
          <w:szCs w:val="24"/>
        </w:rPr>
      </w:pPr>
      <w:r/>
      <w:bookmarkStart w:id="41" w:name="_Toc28359009"/>
      <w:r/>
      <w:bookmarkStart w:id="42" w:name="_Toc28359086"/>
      <w:r>
        <w:rPr>
          <w:rFonts w:hint="eastAsia" w:ascii="宋体" w:hAnsi="宋体"/>
          <w:color w:val="000000"/>
          <w:sz w:val="24"/>
          <w:szCs w:val="24"/>
        </w:rPr>
        <w:t xml:space="preserve">名  称：南京市规划和自然资源局          </w:t>
      </w:r>
      <w:r>
        <w:rPr>
          <w:rFonts w:hint="eastAsia" w:ascii="宋体" w:hAnsi="宋体"/>
          <w:color w:val="000000"/>
          <w:sz w:val="24"/>
          <w:szCs w:val="24"/>
        </w:rPr>
      </w:r>
      <w:r/>
    </w:p>
    <w:p>
      <w:pPr>
        <w:pStyle w:val="88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址：南京市鼓楼区中山路171号    </w:t>
      </w:r>
      <w:r>
        <w:rPr>
          <w:rFonts w:hint="eastAsia" w:ascii="宋体" w:hAnsi="宋体"/>
          <w:color w:val="000000"/>
          <w:sz w:val="24"/>
          <w:szCs w:val="24"/>
        </w:rPr>
      </w:r>
      <w:r/>
    </w:p>
    <w:p>
      <w:pPr>
        <w:pStyle w:val="88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联系人：倪</w:t>
      </w:r>
      <w:r>
        <w:rPr>
          <w:rFonts w:hint="eastAsia" w:ascii="宋体" w:hAnsi="宋体"/>
          <w:color w:val="000000"/>
          <w:sz w:val="24"/>
          <w:szCs w:val="24"/>
          <w:lang w:val="en-US" w:eastAsia="zh-CN"/>
        </w:rPr>
        <w:t xml:space="preserve">先生</w:t>
      </w:r>
      <w:r>
        <w:rPr>
          <w:rFonts w:hint="eastAsia" w:ascii="宋体" w:hAnsi="宋体"/>
          <w:color w:val="000000"/>
          <w:sz w:val="24"/>
          <w:szCs w:val="24"/>
        </w:rPr>
        <w:t xml:space="preserve"> </w:t>
      </w:r>
      <w:r>
        <w:rPr>
          <w:rFonts w:hint="eastAsia" w:ascii="宋体" w:hAnsi="宋体"/>
          <w:color w:val="000000"/>
          <w:sz w:val="24"/>
          <w:szCs w:val="24"/>
        </w:rPr>
      </w:r>
      <w:r/>
    </w:p>
    <w:p>
      <w:pPr>
        <w:pStyle w:val="88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w:t>
      </w:r>
      <w:r>
        <w:rPr>
          <w:rFonts w:ascii="宋体" w:hAnsi="宋体"/>
          <w:color w:val="000000"/>
          <w:sz w:val="24"/>
          <w:szCs w:val="24"/>
        </w:rPr>
        <w:t xml:space="preserve">89691508</w:t>
      </w:r>
      <w:r>
        <w:rPr>
          <w:rFonts w:hint="eastAsia" w:ascii="宋体" w:hAnsi="宋体"/>
          <w:color w:val="000000"/>
          <w:sz w:val="24"/>
          <w:szCs w:val="24"/>
        </w:rPr>
        <w:t xml:space="preserve"> </w:t>
      </w:r>
      <w:r>
        <w:rPr>
          <w:rFonts w:hint="eastAsia" w:ascii="宋体" w:hAnsi="宋体"/>
          <w:color w:val="000000"/>
          <w:sz w:val="24"/>
          <w:szCs w:val="24"/>
        </w:rPr>
      </w:r>
      <w:r/>
    </w:p>
    <w:p>
      <w:pPr>
        <w:pStyle w:val="883"/>
        <w:ind w:firstLine="480"/>
        <w:pageBreakBefore w:val="0"/>
        <w:spacing w:line="288" w:lineRule="auto"/>
        <w:widowControl w:val="off"/>
        <w:rPr>
          <w:rFonts w:hint="eastAsia" w:ascii="宋体" w:hAnsi="宋体" w:eastAsia="宋体" w:cs="Times New Roman"/>
          <w:color w:val="000000"/>
          <w:sz w:val="24"/>
          <w:szCs w:val="24"/>
          <w:highlight w:val="none"/>
          <w:u w:val="none"/>
          <w:lang w:val="en-US" w:eastAsia="zh-CN"/>
        </w:rPr>
        <w:outlineLvl w:val="2"/>
      </w:pPr>
      <w:r>
        <w:rPr>
          <w:rFonts w:hint="eastAsia" w:ascii="宋体" w:hAnsi="宋体" w:eastAsia="宋体" w:cs="Times New Roman"/>
          <w:color w:val="000000"/>
          <w:sz w:val="24"/>
          <w:szCs w:val="24"/>
          <w:highlight w:val="none"/>
          <w:u w:val="none"/>
          <w:lang w:val="en-US" w:eastAsia="zh-CN"/>
        </w:rPr>
        <w:t xml:space="preserve">2.交易中心</w:t>
      </w:r>
      <w:r>
        <w:rPr>
          <w:rFonts w:hint="eastAsia" w:ascii="宋体" w:hAnsi="宋体" w:eastAsia="宋体" w:cs="Times New Roman"/>
          <w:color w:val="000000"/>
          <w:sz w:val="24"/>
          <w:szCs w:val="24"/>
          <w:highlight w:val="none"/>
          <w:u w:val="none"/>
          <w:lang w:val="en-US" w:eastAsia="zh-CN"/>
        </w:rPr>
      </w:r>
      <w:r/>
    </w:p>
    <w:p>
      <w:pPr>
        <w:pStyle w:val="883"/>
        <w:ind w:firstLine="480"/>
        <w:pageBreakBefore w:val="0"/>
        <w:spacing w:line="288"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bookmarkStart w:id="43" w:name="OLE_LINK2"/>
      <w:r>
        <w:rPr>
          <w:rFonts w:hint="eastAsia" w:ascii="宋体" w:hAnsi="宋体" w:eastAsia="宋体" w:cs="Times New Roman"/>
          <w:color w:val="000000"/>
          <w:sz w:val="24"/>
          <w:szCs w:val="24"/>
          <w:u w:val="none"/>
          <w:lang w:val="en-US" w:eastAsia="zh-CN"/>
        </w:rPr>
        <w:t xml:space="preserve">：</w:t>
      </w:r>
      <w:bookmarkEnd w:id="43"/>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83"/>
        <w:ind w:firstLine="480"/>
        <w:pageBreakBefore w:val="0"/>
        <w:spacing w:line="288"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联系人：王女士</w:t>
      </w:r>
      <w:r>
        <w:rPr>
          <w:rFonts w:ascii="宋体" w:hAnsi="宋体" w:eastAsia="宋体" w:cs="Times New Roman"/>
          <w:color w:val="000000"/>
          <w:sz w:val="24"/>
          <w:szCs w:val="24"/>
          <w:u w:val="none"/>
          <w:lang w:val="en-US" w:eastAsia="zh-CN"/>
        </w:rPr>
      </w:r>
      <w:r/>
    </w:p>
    <w:p>
      <w:pPr>
        <w:pStyle w:val="883"/>
        <w:ind w:right="0" w:firstLine="480"/>
        <w:jc w:val="both"/>
        <w:spacing w:line="288" w:lineRule="auto"/>
        <w:rPr>
          <w:rFonts w:ascii="宋体" w:hAnsi="宋体" w:eastAsia="宋体" w:cs="Times New Roman"/>
          <w:color w:val="000000"/>
          <w:sz w:val="24"/>
          <w:szCs w:val="24"/>
          <w:u w:val="none"/>
          <w:lang w:val="en-US" w:eastAsia="zh-CN"/>
        </w:rPr>
        <w:outlineLvl w:val="9"/>
      </w:pPr>
      <w:r>
        <w:rPr>
          <w:rFonts w:hint="eastAsia" w:ascii="宋体" w:hAnsi="宋体" w:eastAsia="宋体" w:cs="Times New Roman"/>
          <w:color w:val="000000"/>
          <w:sz w:val="24"/>
          <w:szCs w:val="24"/>
          <w:u w:val="none"/>
          <w:lang w:val="en-US" w:eastAsia="zh-CN"/>
        </w:rPr>
        <w:t xml:space="preserve">联系电话：025-68505944</w:t>
      </w:r>
      <w:r>
        <w:rPr>
          <w:rFonts w:ascii="宋体" w:hAnsi="宋体" w:eastAsia="宋体" w:cs="Times New Roman"/>
          <w:color w:val="000000"/>
          <w:sz w:val="24"/>
          <w:szCs w:val="24"/>
          <w:u w:val="none"/>
          <w:lang w:val="en-US" w:eastAsia="zh-CN"/>
        </w:rPr>
      </w:r>
      <w:r/>
    </w:p>
    <w:p>
      <w:pPr>
        <w:pStyle w:val="883"/>
        <w:ind w:firstLine="480"/>
        <w:pageBreakBefore w:val="0"/>
        <w:spacing w:line="240" w:lineRule="auto"/>
        <w:widowControl w:val="off"/>
        <w:rPr>
          <w:rFonts w:hint="eastAsia"/>
          <w:highlight w:val="none"/>
          <w:u w:val="none"/>
        </w:rPr>
      </w:pPr>
      <w:r/>
      <w:bookmarkEnd w:id="41"/>
      <w:r/>
      <w:bookmarkEnd w:id="42"/>
      <w:r>
        <w:rPr>
          <w:rFonts w:hint="eastAsia" w:ascii="宋体" w:hAnsi="宋体" w:eastAsia="宋体" w:cs="Times New Roman"/>
          <w:color w:val="0000ff"/>
          <w:sz w:val="24"/>
          <w:szCs w:val="24"/>
          <w:highlight w:val="none"/>
          <w:u w:val="none"/>
          <w:lang w:val="en-US" w:eastAsia="zh-CN"/>
        </w:rPr>
        <w:t xml:space="preserve"> </w:t>
      </w:r>
      <w:r>
        <w:rPr>
          <w:rFonts w:hint="eastAsia"/>
          <w:highlight w:val="none"/>
          <w:u w:val="none"/>
        </w:rPr>
      </w:r>
      <w:r/>
    </w:p>
    <w:p>
      <w:pPr>
        <w:pStyle w:val="96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4" w:name="_Hlt16619350"/>
      <w:r/>
      <w:bookmarkStart w:id="45" w:name="_Toc120614244"/>
      <w:r/>
      <w:bookmarkStart w:id="46" w:name="_Toc20823346"/>
      <w:r/>
      <w:bookmarkStart w:id="47" w:name="_Toc16938590"/>
      <w:r/>
      <w:bookmarkStart w:id="48" w:name="_Toc479757211"/>
      <w:r/>
      <w:bookmarkStart w:id="49" w:name="_Toc462564139"/>
      <w:r>
        <w:rPr>
          <w:rFonts w:ascii="黑体" w:eastAsia="黑体"/>
          <w:bCs/>
          <w:sz w:val="44"/>
          <w:highlight w:val="none"/>
        </w:rPr>
        <w:br w:type="page" w:clear="all"/>
      </w:r>
      <w:bookmarkStart w:id="50"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83"/>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87"/>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8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87"/>
        <w:ind w:firstLine="422"/>
        <w:spacing w:before="0" w:after="0" w:line="240" w:lineRule="auto"/>
        <w:rPr>
          <w:rFonts w:hint="eastAsia"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lang w:val="en-US" w:eastAsia="zh-CN"/>
        </w:rPr>
        <w:t xml:space="preserve">18.</w:t>
      </w:r>
      <w:r>
        <w:rPr>
          <w:rFonts w:hint="eastAsia" w:ascii="方正楷体_GBK" w:hAnsi="方正楷体_GBK" w:eastAsia="方正楷体_GBK" w:cs="方正楷体_GBK"/>
          <w:b/>
          <w:bCs/>
          <w:color w:val="000000"/>
          <w:sz w:val="28"/>
          <w:szCs w:val="28"/>
          <w:highlight w:val="none"/>
          <w:lang w:val="en-US"/>
        </w:rPr>
        <w:t xml:space="preserve">评标</w:t>
      </w:r>
      <w:r>
        <w:rPr>
          <w:rFonts w:hint="eastAsia" w:ascii="方正楷体_GBK" w:hAnsi="方正楷体_GBK" w:eastAsia="方正楷体_GBK" w:cs="方正楷体_GBK"/>
          <w:b/>
          <w:bCs/>
          <w:color w:val="000000"/>
          <w:sz w:val="28"/>
          <w:szCs w:val="28"/>
          <w:highlight w:val="none"/>
          <w:lang w:val="en-US"/>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8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8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8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8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8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8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4"/>
          <w:highlight w:val="none"/>
          <w:u w:val="single"/>
          <w:lang w:val="zh-CN" w:eastAsia="zh-CN"/>
        </w:rPr>
        <w:t xml:space="preserve">45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4"/>
          <w:highlight w:val="none"/>
          <w:u w:val="single"/>
          <w:lang w:val="zh-CN" w:eastAsia="zh-CN"/>
        </w:rPr>
        <w:t xml:space="preserve">45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8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8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8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8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83"/>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83"/>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8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8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8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87"/>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8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8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8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8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8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8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87"/>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8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8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8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8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8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8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83"/>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87"/>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8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8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8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87"/>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8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8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8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8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87"/>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83"/>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87"/>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8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8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87"/>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83"/>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83"/>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8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8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83"/>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83"/>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83"/>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8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8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83"/>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83"/>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8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83"/>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8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83"/>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83"/>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83"/>
        <w:ind w:firstLine="420"/>
        <w:rPr>
          <w:highlight w:val="none"/>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50"/>
      <w:r/>
      <w:bookmarkStart w:id="51" w:name="_Toc20823314"/>
      <w:r/>
      <w:bookmarkStart w:id="52" w:name="_Toc513029242"/>
      <w:r/>
      <w:bookmarkStart w:id="53" w:name="_Toc120614221"/>
      <w:r/>
      <w:bookmarkStart w:id="54" w:name="_Toc16938558"/>
      <w:r/>
      <w:bookmarkStart w:id="55" w:name="_Toc479757207"/>
      <w:r>
        <w:rPr>
          <w:highlight w:val="none"/>
        </w:rPr>
      </w:r>
      <w:r/>
    </w:p>
    <w:p>
      <w:pPr>
        <w:pStyle w:val="888"/>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sz w:val="28"/>
          <w:highlight w:val="none"/>
          <w:lang w:val="zh-CN" w:eastAsia="zh-CN"/>
        </w:rPr>
        <w:t xml:space="preserve">4</w:t>
      </w:r>
      <w:r>
        <w:rPr>
          <w:rFonts w:hint="eastAsia" w:ascii="方正楷体_GBK" w:hAnsi="方正楷体_GBK" w:eastAsia="方正楷体_GBK" w:cs="方正楷体_GBK"/>
          <w:b/>
          <w:bCs/>
          <w:sz w:val="28"/>
          <w:highlight w:val="none"/>
          <w:lang w:val="en-US" w:eastAsia="zh-CN"/>
        </w:rPr>
        <w:t xml:space="preserve">1</w:t>
      </w:r>
      <w:r>
        <w:rPr>
          <w:rFonts w:hint="eastAsia" w:ascii="方正楷体_GBK" w:hAnsi="方正楷体_GBK" w:eastAsia="方正楷体_GBK" w:cs="方正楷体_GBK"/>
          <w:b/>
          <w:bCs/>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8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数据交易标的包括数据产品、数据服务、数据工具。</w:t>
      </w:r>
      <w:r>
        <w:rPr>
          <w:rFonts w:hint="eastAsia" w:ascii="宋体" w:hAnsi="宋体" w:eastAsia="宋体" w:cs="Times New Roman"/>
          <w:color w:val="000000"/>
          <w:sz w:val="24"/>
          <w:highlight w:val="none"/>
          <w:lang w:val="zh-CN" w:eastAsia="zh-CN"/>
        </w:rPr>
      </w:r>
      <w:r/>
    </w:p>
    <w:p>
      <w:pPr>
        <w:pStyle w:val="88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8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8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62"/>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83"/>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6" w:name="_Toc513029243"/>
      <w:r/>
      <w:bookmarkStart w:id="57" w:name="_Toc16938559"/>
      <w:r/>
      <w:bookmarkStart w:id="58"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62"/>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88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83"/>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83"/>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8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8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8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83"/>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83"/>
        <w:spacing w:line="240" w:lineRule="auto"/>
        <w:rPr>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highlight w:val="none"/>
        </w:rPr>
      </w:r>
      <w:r/>
    </w:p>
    <w:p>
      <w:pPr>
        <w:pStyle w:val="88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24"/>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b w:val="0"/>
          <w:bCs w:val="0"/>
          <w:color w:val="0000ff"/>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宋体" w:hAnsi="宋体" w:eastAsia="宋体" w:cs="Courier New"/>
          <w:b w:val="0"/>
          <w:bCs w:val="0"/>
          <w:color w:val="0000ff"/>
          <w:sz w:val="24"/>
          <w:szCs w:val="24"/>
          <w:highlight w:val="none"/>
          <w:lang w:val="en-US" w:eastAsia="zh-CN"/>
        </w:rPr>
      </w:r>
      <w:r/>
    </w:p>
    <w:p>
      <w:pPr>
        <w:pStyle w:val="88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5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83"/>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8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83"/>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8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83"/>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8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8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83"/>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24"/>
        <w:rPr>
          <w:rFonts w:hint="eastAsia" w:ascii="宋体" w:hAnsi="宋体" w:eastAsia="宋体" w:cs="Courier New"/>
          <w:color w:val="000000"/>
          <w:sz w:val="24"/>
          <w:szCs w:val="24"/>
          <w:lang w:val="en-US" w:eastAsia="zh-CN" w:bidi="ar-SA"/>
        </w:rPr>
        <w:outlineLvl w:val="3"/>
      </w:pPr>
      <w:r>
        <w:rPr>
          <w:rFonts w:hint="eastAsia" w:hAnsi="宋体"/>
          <w:sz w:val="24"/>
          <w:szCs w:val="24"/>
        </w:rPr>
        <w:t xml:space="preserve">8.1 </w:t>
      </w:r>
      <w:r>
        <w:rPr>
          <w:rFonts w:hint="eastAsia" w:ascii="宋体" w:hAnsi="宋体" w:eastAsia="宋体" w:cs="Courier New"/>
          <w:color w:val="000000"/>
          <w:sz w:val="24"/>
          <w:szCs w:val="24"/>
          <w:lang w:val="en-US" w:eastAsia="zh-CN" w:bidi="ar-SA"/>
        </w:rPr>
        <w:t xml:space="preserve">合同款项的支付方式及时间</w:t>
      </w:r>
      <w:r>
        <w:rPr>
          <w:rFonts w:hint="eastAsia" w:ascii="宋体" w:hAnsi="宋体" w:eastAsia="宋体" w:cs="Courier New"/>
          <w:color w:val="000000"/>
          <w:sz w:val="24"/>
          <w:szCs w:val="24"/>
          <w:lang w:val="en-US" w:eastAsia="zh-CN" w:bidi="ar-SA"/>
        </w:rPr>
      </w:r>
      <w:r/>
    </w:p>
    <w:p>
      <w:pPr>
        <w:pStyle w:val="883"/>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8.1.1 本项目合同签订后，采购人向供应商支付本合同总金额的30%。</w:t>
      </w:r>
      <w:r>
        <w:rPr>
          <w:rFonts w:hint="eastAsia" w:ascii="宋体" w:hAnsi="宋体" w:eastAsia="宋体" w:cs="Courier New"/>
          <w:color w:val="000000"/>
          <w:sz w:val="24"/>
          <w:szCs w:val="24"/>
          <w:lang w:val="en-US" w:eastAsia="zh-CN" w:bidi="ar-SA"/>
        </w:rPr>
      </w:r>
      <w:r/>
    </w:p>
    <w:p>
      <w:pPr>
        <w:pStyle w:val="924"/>
        <w:spacing w:line="264" w:lineRule="auto"/>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8.1.2 项目成果获得甲方认可并上线试运行后，采购人向供应商支付合同总金额的40%。</w:t>
      </w:r>
      <w:r>
        <w:rPr>
          <w:rFonts w:hint="eastAsia" w:ascii="宋体" w:hAnsi="宋体" w:eastAsia="宋体" w:cs="Courier New"/>
          <w:color w:val="000000"/>
          <w:sz w:val="24"/>
          <w:szCs w:val="24"/>
          <w:lang w:val="en-US" w:eastAsia="zh-CN" w:bidi="ar-SA"/>
        </w:rPr>
      </w:r>
      <w:r/>
    </w:p>
    <w:p>
      <w:pPr>
        <w:pStyle w:val="924"/>
        <w:spacing w:line="264" w:lineRule="auto"/>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8.1.3 项目成果通过甲方验收后，采购人向供应商支付本合同总金额的30%。</w:t>
      </w:r>
      <w:r>
        <w:rPr>
          <w:rFonts w:hint="eastAsia" w:ascii="宋体" w:hAnsi="宋体" w:eastAsia="宋体" w:cs="Courier New"/>
          <w:color w:val="000000"/>
          <w:sz w:val="24"/>
          <w:szCs w:val="24"/>
          <w:lang w:val="en-US" w:eastAsia="zh-CN" w:bidi="ar-SA"/>
        </w:rPr>
      </w:r>
      <w:r/>
    </w:p>
    <w:p>
      <w:pPr>
        <w:pStyle w:val="924"/>
        <w:spacing w:line="264" w:lineRule="auto"/>
        <w:rPr>
          <w:rFonts w:hint="eastAsia"/>
          <w:color w:val="000000"/>
          <w:highlight w:val="none"/>
          <w:lang w:val="en-US" w:eastAsia="zh-CN"/>
        </w:rPr>
      </w:pPr>
      <w:r>
        <w:rPr>
          <w:rFonts w:hint="eastAsia" w:ascii="宋体" w:hAnsi="宋体" w:eastAsia="宋体" w:cs="Courier New"/>
          <w:color w:val="000000"/>
          <w:sz w:val="24"/>
          <w:szCs w:val="24"/>
          <w:lang w:val="en-US" w:eastAsia="zh-CN" w:bidi="ar-SA"/>
        </w:rPr>
        <w:t xml:space="preserve">8.1.4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t xml:space="preserve"> </w:t>
      </w:r>
      <w:r>
        <w:rPr>
          <w:rFonts w:hint="eastAsia"/>
          <w:color w:val="000000"/>
          <w:highlight w:val="none"/>
          <w:lang w:val="en-US" w:eastAsia="zh-CN"/>
        </w:rPr>
      </w:r>
      <w:r/>
    </w:p>
    <w:p>
      <w:pPr>
        <w:pStyle w:val="924"/>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8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8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ascii="宋体" w:hAnsi="宋体" w:eastAsia="宋体" w:cs="Courier New"/>
          <w:color w:val="0000ff"/>
          <w:sz w:val="24"/>
          <w:szCs w:val="24"/>
          <w:highlight w:val="none"/>
          <w:lang w:val="zh-CN" w:eastAsia="zh-CN"/>
        </w:rPr>
      </w:r>
      <w:r/>
    </w:p>
    <w:p>
      <w:pPr>
        <w:pStyle w:val="88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sz w:val="24"/>
          <w:szCs w:val="24"/>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5</w:t>
      </w:r>
      <w:r>
        <w:rPr>
          <w:rFonts w:hint="eastAsia" w:ascii="宋体" w:hAnsi="宋体" w:eastAsia="宋体" w:cs="Courier New"/>
          <w:color w:val="000000"/>
          <w:sz w:val="24"/>
          <w:szCs w:val="24"/>
          <w:highlight w:val="none"/>
          <w:u w:val="single"/>
        </w:rPr>
        <w:t xml:space="preserve">%</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83"/>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sz w:val="24"/>
          <w:szCs w:val="24"/>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5%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8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8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24"/>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24"/>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bookmarkEnd w:id="56"/>
      <w:r/>
      <w:bookmarkEnd w:id="57"/>
      <w:r/>
      <w:bookmarkEnd w:id="58"/>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24"/>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24"/>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24"/>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24"/>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24"/>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924"/>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8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8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24"/>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100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4"/>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eastAsia="zh-CN" w:bidi="ar-SA"/>
        </w:rPr>
      </w:r>
      <w:r/>
    </w:p>
    <w:p>
      <w:pPr>
        <w:pStyle w:val="883"/>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9" w:name="_Toc49090575"/>
      <w:r/>
      <w:bookmarkStart w:id="60"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8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8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83"/>
        <w:ind w:firstLine="480"/>
        <w:spacing w:line="252" w:lineRule="auto"/>
        <w:rPr>
          <w:rFonts w:hint="eastAsia" w:ascii="宋体" w:hAnsi="宋体"/>
          <w:sz w:val="24"/>
          <w:szCs w:val="24"/>
        </w:rPr>
      </w:pPr>
      <w:r>
        <w:rPr>
          <w:rFonts w:hint="eastAsia" w:ascii="宋体" w:hAnsi="宋体"/>
          <w:sz w:val="24"/>
          <w:szCs w:val="24"/>
        </w:rPr>
        <w:t xml:space="preserve">为深入贯彻落实《自然资源数字化治理能力提升总体方案》及《南京市公共数据资源开发利用攻坚三年行动方案（2024-2026年）》要求，聚焦当前自然资源资产管理中存在的问题，以推动</w:t>
      </w:r>
      <w:r>
        <w:rPr>
          <w:rFonts w:hint="eastAsia" w:ascii="宋体" w:hAnsi="宋体"/>
          <w:sz w:val="24"/>
          <w:szCs w:val="24"/>
        </w:rPr>
        <w:t xml:space="preserve">管理现代化与信息化转型为目标，启动本系统建设项目。当前的信息管理模式存在资产管理效率低下、数据孤岛、信息更新不及时、数据不一致等问题，制约了资产管理效能的整体提升，同时现有的应用系统在集成化与自动化、各类清单管理、工作流管理等方面存在较大差距，无法实现对各类信息化资产的全生命周期精细化管理。为适应新形势下资产管理精细化、信息化、自动化的需求，亟需构建一套集成化、自动化的信息化管理模块，以实现对硬件、数据、数据库、系统、指标等信息化资产的高效管理，促进信息共享与协作，优化资源配置，提升整体管理水平和服务质量。</w:t>
      </w:r>
      <w:r>
        <w:rPr>
          <w:rFonts w:hint="eastAsia" w:ascii="宋体" w:hAnsi="宋体"/>
          <w:sz w:val="24"/>
          <w:szCs w:val="24"/>
        </w:rPr>
      </w:r>
      <w:r/>
    </w:p>
    <w:p>
      <w:pPr>
        <w:pStyle w:val="883"/>
        <w:ind w:firstLine="480"/>
        <w:spacing w:line="252" w:lineRule="auto"/>
        <w:rPr>
          <w:rFonts w:hint="eastAsia" w:ascii="宋体" w:hAnsi="宋体"/>
          <w:sz w:val="24"/>
          <w:szCs w:val="24"/>
        </w:rPr>
      </w:pPr>
      <w:r>
        <w:rPr>
          <w:rFonts w:hint="eastAsia" w:ascii="宋体" w:hAnsi="宋体"/>
          <w:sz w:val="24"/>
          <w:szCs w:val="24"/>
        </w:rPr>
        <w:t xml:space="preserve">2023年2月，中共中央、国务院印发《数字中国建设整体布局规划》，作为我国数字化发展的顶层设计，提出了数字中国建设的整体布局和绿色智慧数字生态文明总体部署，明确要求“完善自然资源三维立体‘一张图’和国土空间基础信息平台”“以数字化驱动生产生活和治理方式变革”。2024年2月，自然资源部印发《自然资源数字化治理能力提升总体方案》中明确</w:t>
      </w:r>
      <w:r>
        <w:rPr>
          <w:rFonts w:hint="eastAsia" w:ascii="宋体" w:hAnsi="宋体"/>
          <w:sz w:val="24"/>
          <w:szCs w:val="24"/>
        </w:rPr>
        <w:t xml:space="preserve">提出到2025年统一的国土空间基础信息平台全面建成，由平台统一管理数据，敏捷支撑各类业务场景搭建，众筹共建数字生态基本形成。同时明确提高国土空间基础信息平台智能化水平，建立开放包容的基础开发环境，建设统一的应用开发框架，支持快速组装、部署和运维；研制智能计算工具，包括基础算法和模型、数据处理、空间分析等通用工具；建立统一协同共享服务机制，高效服务于纵向业务联动、横向业务协同和社会化服务供给。因此，南京市国土空间基础信息平台亟需进一步提高平台支撑能力，为局内统一登录、统一用户等场景提供国产化下的基础能力保障。</w:t>
      </w:r>
      <w:r>
        <w:rPr>
          <w:rFonts w:hint="eastAsia" w:ascii="宋体" w:hAnsi="宋体"/>
          <w:sz w:val="24"/>
          <w:szCs w:val="24"/>
        </w:rPr>
      </w:r>
      <w:r/>
    </w:p>
    <w:p>
      <w:pPr>
        <w:pStyle w:val="883"/>
        <w:ind w:firstLine="480"/>
        <w:spacing w:line="252" w:lineRule="auto"/>
        <w:rPr>
          <w:rFonts w:hint="eastAsia" w:ascii="宋体" w:hAnsi="宋体"/>
          <w:sz w:val="24"/>
          <w:szCs w:val="24"/>
        </w:rPr>
      </w:pPr>
      <w:r>
        <w:rPr>
          <w:rFonts w:hint="eastAsia" w:ascii="宋体" w:hAnsi="宋体"/>
          <w:sz w:val="24"/>
          <w:szCs w:val="24"/>
        </w:rPr>
        <w:t xml:space="preserve">2020年12月，自然资源部办公厅在《关于进一步做好村庄规划工作的意见》（自然资办发〔2020〕57号）中提出，要统筹城镇和乡村发展，合理优化村庄布局，根据不同类型村庄发展需要推进村庄规划编制。2023年3月，习近平总书记在参加十四届全国人大一次会议江苏代表团审议时强调，要优化镇村布局规划，统筹乡村基础设施和公共服务体系建设，加快建设宜居宜业和美乡村。2023年8月，江苏省自然资源厅发布《江苏省镇村布局规划编制指南（2023年版</w:t>
      </w:r>
      <w:r>
        <w:rPr>
          <w:rFonts w:hint="eastAsia" w:ascii="宋体" w:hAnsi="宋体"/>
          <w:sz w:val="24"/>
          <w:szCs w:val="24"/>
        </w:rPr>
        <w:t xml:space="preserve">）》，用于指导各地规范开展镇村布局规划动态更新和成果汇交工作；同年10月，在《江苏省自然资源厅中共江苏省委农村工作领导小组办公室关于加强村庄规划引领宜居宜业和美乡村建设的通知》中进一步要求，坚持系统谋划、因地制宜、分类施策，加快构建完善“镇村布局规划+村庄规划”的乡村规划体系和配套实施政策，统筹谋划县域乡村发展，加强镇村布局规划实施和动态更新，进一步明确小城镇、不同类型村庄在城镇村体系中的定位和作用，细化村庄分类、布局和发展引导要求。2025年12月，江苏省自然资源厅发布《江苏省镇村布局规划编制指南（202</w:t>
      </w:r>
      <w:r>
        <w:rPr>
          <w:rFonts w:hint="eastAsia" w:ascii="宋体" w:hAnsi="宋体"/>
          <w:sz w:val="24"/>
          <w:szCs w:val="24"/>
          <w:lang w:val="en-US" w:eastAsia="zh-CN"/>
        </w:rPr>
        <w:t xml:space="preserve">5</w:t>
      </w:r>
      <w:r>
        <w:rPr>
          <w:rFonts w:hint="eastAsia" w:ascii="宋体" w:hAnsi="宋体"/>
          <w:sz w:val="24"/>
          <w:szCs w:val="24"/>
        </w:rPr>
        <w:t xml:space="preserve">年版）》，突出加强县域统筹、细化村庄分类、加强特色塑造、有序动态化方面的内容。“十五五”时期是我国基本实现社会主义现代化的关键时期，在《中共中央关于制定国民经济和社会发展第十五个五年规划的建议》中明确提出，要深化城乡融合发展、扎实推进乡村全面振兴，为镇村发展划定了“全域一体、系统布局”的战略方向。</w:t>
      </w:r>
      <w:r>
        <w:rPr>
          <w:rFonts w:hint="eastAsia" w:ascii="宋体" w:hAnsi="宋体"/>
          <w:sz w:val="24"/>
          <w:szCs w:val="24"/>
        </w:rPr>
      </w:r>
      <w:r/>
    </w:p>
    <w:p>
      <w:pPr>
        <w:pStyle w:val="883"/>
        <w:ind w:firstLine="480"/>
        <w:spacing w:line="252" w:lineRule="auto"/>
        <w:rPr>
          <w:rFonts w:hint="eastAsia" w:ascii="宋体" w:hAnsi="宋体"/>
          <w:sz w:val="24"/>
          <w:szCs w:val="24"/>
        </w:rPr>
      </w:pPr>
      <w:r>
        <w:rPr>
          <w:rFonts w:hint="eastAsia" w:ascii="宋体" w:hAnsi="宋体"/>
          <w:sz w:val="24"/>
          <w:szCs w:val="24"/>
        </w:rPr>
        <w:t xml:space="preserve">长期以来，镇村布局规划一直是江苏优化乡村空间格局、加强村庄规划建设管理、统筹城乡基础设施和公共服务设施建设、规范农民建房等工作的重要依据，其成果质量更是直接关系到“十五五”时期城乡融合发展目标的实现效能。为贯彻落实国家和省、市相关要求，促进乡村振兴战略深入实施，统筹城乡发展，加强规划引领，结合实际工作需求，深入开展镇村布局规划成果入库质检工作，构建科学高效的镇村布局规划成果质检工具，通过标准化质检模块、智能化校验算法，精准校验“政策集成”要求下的规划合规性，为镇村布局规划工作有序推进提供技术支撑。</w:t>
      </w:r>
      <w:r>
        <w:rPr>
          <w:rFonts w:hint="eastAsia" w:ascii="宋体" w:hAnsi="宋体"/>
          <w:sz w:val="24"/>
          <w:szCs w:val="24"/>
        </w:rPr>
      </w:r>
      <w:r/>
    </w:p>
    <w:p>
      <w:pPr>
        <w:pStyle w:val="883"/>
        <w:ind w:firstLine="480"/>
        <w:spacing w:line="252" w:lineRule="auto"/>
        <w:rPr>
          <w:rFonts w:hint="eastAsia" w:ascii="宋体" w:hAnsi="宋体"/>
          <w:sz w:val="24"/>
          <w:szCs w:val="24"/>
        </w:rPr>
      </w:pPr>
      <w:r>
        <w:rPr>
          <w:rFonts w:hint="eastAsia" w:ascii="宋体" w:hAnsi="宋体"/>
          <w:sz w:val="24"/>
          <w:szCs w:val="24"/>
        </w:rPr>
        <w:t xml:space="preserve">为贯彻落实南京市国土空间总体规划批复后的审查新要求，需在现有平台服务基础上，为技术审查和日常运维的提供有效支撑能力，保障相关业务的顺利开展，并为各类规划成果的合规性审查提供技术保障。同时，需结合“一张图”实施监督信息系统功能框架，分析多规审查模块的功能需求，在现有基础上对多规审查功能进行建设，提升其支撑能力。</w:t>
      </w:r>
      <w:r>
        <w:rPr>
          <w:rFonts w:hint="eastAsia" w:ascii="宋体" w:hAnsi="宋体"/>
          <w:sz w:val="24"/>
          <w:szCs w:val="24"/>
        </w:rPr>
      </w:r>
      <w:r/>
    </w:p>
    <w:p>
      <w:pPr>
        <w:pStyle w:val="883"/>
        <w:ind w:firstLine="480"/>
        <w:spacing w:line="252" w:lineRule="auto"/>
        <w:rPr>
          <w:rFonts w:hint="eastAsia" w:ascii="宋体" w:hAnsi="宋体"/>
          <w:sz w:val="24"/>
          <w:szCs w:val="24"/>
        </w:rPr>
      </w:pPr>
      <w:r>
        <w:rPr>
          <w:rFonts w:hint="eastAsia" w:ascii="宋体" w:hAnsi="宋体"/>
          <w:sz w:val="24"/>
          <w:szCs w:val="24"/>
        </w:rPr>
        <w:t xml:space="preserve">为深入贯彻《关于印发&lt;江苏省乡镇国土空间总体规划编制指南（2025年版）&gt;</w:t>
      </w:r>
      <w:r>
        <w:rPr>
          <w:rFonts w:hint="eastAsia" w:ascii="宋体" w:hAnsi="宋体"/>
          <w:sz w:val="24"/>
          <w:szCs w:val="24"/>
        </w:rPr>
        <w:t xml:space="preserve">、&lt;江苏省镇村布局规划编制指南（2025年版）&gt;、&lt;江苏省村庄规划编制指南（2025年版）&gt;的通知》（苏自然资源发〔2025〕307号）政策要求，落实南京市镇村布局规划组织、审查等职责分工，打通传统线下编审过程中部门协同，加强工作流程留痕，提升成果归档效率，需搭建镇村布局规划编审管理模块，通过信息化手段规范编制审批流程，从技术审查与入库归档两方面实现成果提交、多方会审、项目分类、审查意见归档等全流程数字化管理，提升编审工作的高效性、有序性和公开性，为镇村布局规划从技术审查到入库归档的全周期管理提供坚实支撑。</w:t>
      </w:r>
      <w:r>
        <w:rPr>
          <w:rFonts w:hint="eastAsia" w:ascii="宋体" w:hAnsi="宋体"/>
          <w:sz w:val="24"/>
          <w:szCs w:val="24"/>
        </w:rPr>
      </w:r>
      <w:r/>
    </w:p>
    <w:p>
      <w:pPr>
        <w:pStyle w:val="883"/>
        <w:ind w:firstLine="480"/>
        <w:spacing w:line="252" w:lineRule="auto"/>
        <w:rPr>
          <w:rFonts w:hint="eastAsia" w:ascii="宋体" w:hAnsi="宋体"/>
          <w:sz w:val="24"/>
          <w:szCs w:val="24"/>
        </w:rPr>
      </w:pPr>
      <w:r>
        <w:rPr>
          <w:rFonts w:hint="eastAsia" w:ascii="宋体" w:hAnsi="宋体"/>
          <w:sz w:val="24"/>
          <w:szCs w:val="24"/>
        </w:rPr>
        <w:t xml:space="preserve">为深入贯彻《市政府关于印发南京市集体土地征收补偿安置办法的通知》《关于贯彻落实南京市集体土地征收补偿安置办法的通知》相关政策要求，结合实际管理工作需要，</w:t>
      </w:r>
      <w:r>
        <w:rPr>
          <w:rFonts w:hint="eastAsia" w:ascii="宋体" w:hAnsi="宋体"/>
          <w:sz w:val="24"/>
          <w:szCs w:val="24"/>
          <w:lang w:val="en-US" w:eastAsia="zh-CN"/>
        </w:rPr>
        <w:t xml:space="preserve">在</w:t>
      </w:r>
      <w:r>
        <w:rPr>
          <w:rFonts w:hint="eastAsia" w:ascii="宋体" w:hAnsi="宋体"/>
          <w:sz w:val="24"/>
          <w:szCs w:val="24"/>
        </w:rPr>
        <w:t xml:space="preserve">前期搭建的集体土地征收补偿系统框架基础上增设功能模块，以此提升批后案件的管理能力、强化平台共享协同能力、扩展平台辅助工具、优化平台服务共享。</w:t>
      </w:r>
      <w:r>
        <w:rPr>
          <w:rFonts w:hint="eastAsia" w:ascii="宋体" w:hAnsi="宋体"/>
          <w:sz w:val="24"/>
          <w:szCs w:val="24"/>
        </w:rPr>
      </w:r>
      <w:r/>
    </w:p>
    <w:p>
      <w:pPr>
        <w:pStyle w:val="883"/>
        <w:ind w:firstLine="480"/>
        <w:spacing w:line="252" w:lineRule="auto"/>
        <w:rPr>
          <w:rFonts w:hint="eastAsia" w:ascii="宋体" w:hAnsi="宋体"/>
          <w:sz w:val="24"/>
          <w:szCs w:val="24"/>
        </w:rPr>
      </w:pPr>
      <w:r>
        <w:rPr>
          <w:rFonts w:hint="eastAsia" w:ascii="宋体" w:hAnsi="宋体"/>
          <w:sz w:val="24"/>
          <w:szCs w:val="24"/>
        </w:rPr>
        <w:t xml:space="preserve">为深入贯彻《南京市政务信息化项目建设和资金管理办法》（宁政发〔2025〕24号）的核心管理要求，优化信息化项目建设过程中的软硬件管理、代码管理、开发环境统一管理、技术栈统一等工作过程，提升多部门协同效率，提升数据共享效率，降低信息化项目研发与维护成本。通过网络及软硬件设备集成管理、统一代码管理、统一开发环境、统一技术栈四大核心建设内容，推动政务信息化资源集约利用、开发流程标准化、系统建设规范化，全面提升政务数据共享能力与业务协同效率，为南京市规划和资源信息化建设提供坚实的技术支撑与制度保障。</w:t>
      </w:r>
      <w:r>
        <w:rPr>
          <w:rFonts w:hint="eastAsia" w:ascii="宋体" w:hAnsi="宋体"/>
          <w:sz w:val="24"/>
          <w:szCs w:val="24"/>
        </w:rPr>
      </w:r>
      <w:r/>
    </w:p>
    <w:p>
      <w:pPr>
        <w:pStyle w:val="883"/>
        <w:ind w:firstLine="480"/>
        <w:spacing w:line="252" w:lineRule="auto"/>
        <w:rPr>
          <w:rFonts w:hint="eastAsia" w:ascii="宋体" w:hAnsi="宋体"/>
          <w:sz w:val="24"/>
          <w:szCs w:val="24"/>
        </w:rPr>
      </w:pPr>
      <w:r>
        <w:rPr>
          <w:rFonts w:hint="eastAsia" w:ascii="宋体" w:hAnsi="宋体"/>
          <w:sz w:val="24"/>
          <w:szCs w:val="24"/>
        </w:rPr>
        <w:t xml:space="preserve">为深入贯彻落实党中央、国务院关于严格耕地保护的系列决策部署，以及自然资源部、江苏省关于提升自然资源数字化治理能力的总体要求，南京市规划和自然资源局为持续推进耕地保护管理工作的数字化转</w:t>
      </w:r>
      <w:r>
        <w:rPr>
          <w:rFonts w:hint="eastAsia" w:ascii="宋体" w:hAnsi="宋体"/>
          <w:sz w:val="24"/>
          <w:szCs w:val="24"/>
        </w:rPr>
        <w:t xml:space="preserve">型，在已有工作基础上，当前耕地保护业务面临着从“数量管护”向“数量、质量、生态”三位一体精细化管理升级的迫切需求。现有系统在数据整合深度、分析智能化水平以及多维度台账管理等方面仍存在提升空间，难以完全满足新形势下对耕地资源全域、全要素、全周期数字化管控的要求。因此，亟需在现有南京市智慧耕地保护综合管理子系统基础上，启动本次南京市智慧耕地保护综合管理子系统数据专项建设，通过深化“一张图”空间分析能力、健全“一本账”统计监管体系，筑牢耕地保护的数据基底，为实施最严格的耕地保护制度提供更加坚实、智能的信息化支撑。</w:t>
      </w:r>
      <w:r>
        <w:rPr>
          <w:rFonts w:hint="eastAsia" w:ascii="宋体" w:hAnsi="宋体"/>
          <w:sz w:val="24"/>
          <w:szCs w:val="24"/>
        </w:rPr>
      </w:r>
      <w:r/>
    </w:p>
    <w:p>
      <w:pPr>
        <w:pStyle w:val="883"/>
        <w:ind w:firstLine="480"/>
        <w:spacing w:line="252" w:lineRule="auto"/>
        <w:rPr>
          <w:rFonts w:hint="eastAsia" w:ascii="宋体" w:hAnsi="宋体"/>
          <w:sz w:val="24"/>
          <w:szCs w:val="24"/>
        </w:rPr>
      </w:pPr>
      <w:r>
        <w:rPr>
          <w:rFonts w:hint="eastAsia" w:ascii="宋体" w:hAnsi="宋体"/>
          <w:sz w:val="24"/>
          <w:szCs w:val="24"/>
        </w:rPr>
        <w:t xml:space="preserve">为贯彻自然资源部“加快建立贯通部、省、市、县（乡）的卫星应用技术体系”要求，南京市依托自然资源卫星遥感云服务平台，目前已接收超过3TB的南京市域范围高分系列、资源系列等公益卫星影像数据，平均每年接收400多景。按照“资源共享，务实管用”目标，需要常态化开展影像数据生产、管理与应用工作，更好服务于自然资源与经济社会管理。</w:t>
      </w:r>
      <w:r>
        <w:rPr>
          <w:rFonts w:hint="eastAsia" w:ascii="宋体" w:hAnsi="宋体"/>
          <w:sz w:val="24"/>
          <w:szCs w:val="24"/>
        </w:rPr>
      </w:r>
      <w:r/>
    </w:p>
    <w:p>
      <w:pPr>
        <w:pStyle w:val="88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（二）项目建设遵循标准</w:t>
      </w:r>
      <w:r>
        <w:rPr>
          <w:rFonts w:hint="eastAsia" w:ascii="宋体" w:hAnsi="宋体" w:eastAsia="宋体" w:cs="Times New Roman"/>
          <w:color w:val="000000"/>
          <w:sz w:val="24"/>
          <w:szCs w:val="24"/>
          <w:highlight w:val="none"/>
          <w:lang w:eastAsia="zh-CN"/>
        </w:rPr>
      </w:r>
      <w:r/>
    </w:p>
    <w:p>
      <w:pPr>
        <w:pStyle w:val="88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83"/>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val="zh-CN"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宋体" w:hAnsi="宋体" w:eastAsia="宋体" w:cs="宋体"/>
          <w:bCs/>
          <w:color w:val="0000ff"/>
          <w:sz w:val="24"/>
          <w:szCs w:val="24"/>
          <w:highlight w:val="none"/>
          <w:lang w:val="zh-CN" w:eastAsia="zh-CN"/>
        </w:rPr>
      </w:r>
      <w:r/>
    </w:p>
    <w:tbl>
      <w:tblPr>
        <w:tblW w:w="520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64"/>
        <w:gridCol w:w="2757"/>
        <w:gridCol w:w="733"/>
        <w:gridCol w:w="660"/>
        <w:gridCol w:w="1044"/>
        <w:gridCol w:w="1175"/>
        <w:gridCol w:w="1600"/>
        <w:gridCol w:w="682"/>
        <w:gridCol w:w="955"/>
      </w:tblGrid>
      <w:tr>
        <w:trPr>
          <w:trHeight w:val="881"/>
        </w:trPr>
        <w:tc>
          <w:tcPr>
            <w:tcW w:w="2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135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分项名称</w:t>
            </w:r>
            <w:r>
              <w:rPr>
                <w:rFonts w:hint="eastAsia" w:ascii="宋体" w:hAnsi="宋体" w:eastAsia="宋体" w:cs="宋体"/>
                <w:bCs/>
                <w:sz w:val="24"/>
                <w:szCs w:val="24"/>
                <w:highlight w:val="none"/>
              </w:rPr>
            </w:r>
            <w:r/>
          </w:p>
        </w:tc>
        <w:tc>
          <w:tcPr>
            <w:tcW w:w="360"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2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rPr>
            </w:r>
            <w:r/>
          </w:p>
        </w:tc>
        <w:tc>
          <w:tcPr>
            <w:tcW w:w="513"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单价上限</w:t>
            </w:r>
            <w:r>
              <w:rPr>
                <w:rFonts w:hint="eastAsia" w:ascii="宋体" w:hAnsi="宋体" w:eastAsia="宋体" w:cs="宋体"/>
                <w:bCs/>
                <w:sz w:val="24"/>
                <w:szCs w:val="24"/>
                <w:highlight w:val="none"/>
              </w:rPr>
            </w:r>
            <w:r/>
          </w:p>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万</w:t>
            </w:r>
            <w:r>
              <w:rPr>
                <w:rFonts w:hint="eastAsia" w:ascii="宋体" w:hAnsi="宋体" w:eastAsia="宋体" w:cs="宋体"/>
                <w:bCs/>
                <w:sz w:val="24"/>
                <w:szCs w:val="24"/>
                <w:highlight w:val="none"/>
              </w:rPr>
              <w:t xml:space="preserve">元）</w:t>
            </w:r>
            <w:r>
              <w:rPr>
                <w:rFonts w:hint="eastAsia" w:ascii="宋体" w:hAnsi="宋体" w:eastAsia="宋体" w:cs="宋体"/>
                <w:bCs/>
                <w:sz w:val="24"/>
                <w:szCs w:val="24"/>
                <w:highlight w:val="none"/>
              </w:rPr>
            </w:r>
            <w:r/>
          </w:p>
        </w:tc>
        <w:tc>
          <w:tcPr>
            <w:tcW w:w="5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产品类型</w:t>
            </w:r>
            <w:r>
              <w:rPr>
                <w:rFonts w:hint="eastAsia" w:ascii="宋体" w:hAnsi="宋体" w:eastAsia="宋体" w:cs="宋体"/>
                <w:bCs/>
                <w:sz w:val="24"/>
                <w:szCs w:val="24"/>
                <w:highlight w:val="none"/>
              </w:rPr>
            </w:r>
            <w:r/>
          </w:p>
        </w:tc>
        <w:tc>
          <w:tcPr>
            <w:tcW w:w="786"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中小企业划分标准所属行业</w:t>
            </w:r>
            <w:r>
              <w:rPr>
                <w:rFonts w:hint="eastAsia" w:ascii="宋体" w:hAnsi="宋体" w:eastAsia="宋体" w:cs="宋体"/>
                <w:bCs/>
                <w:sz w:val="24"/>
                <w:szCs w:val="24"/>
                <w:highlight w:val="none"/>
              </w:rPr>
            </w:r>
            <w:r/>
          </w:p>
        </w:tc>
        <w:tc>
          <w:tcPr>
            <w:tcW w:w="335"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属性</w:t>
            </w:r>
            <w:r>
              <w:rPr>
                <w:rFonts w:hint="eastAsia" w:ascii="宋体" w:hAnsi="宋体" w:eastAsia="宋体" w:cs="宋体"/>
                <w:bCs/>
                <w:sz w:val="24"/>
                <w:szCs w:val="24"/>
                <w:highlight w:val="none"/>
              </w:rPr>
            </w:r>
            <w:r/>
          </w:p>
        </w:tc>
        <w:tc>
          <w:tcPr>
            <w:tcW w:w="469"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rPr>
                <w:rFonts w:hint="eastAsia" w:ascii="宋体" w:hAnsi="宋体" w:eastAsia="宋体" w:cs="宋体"/>
                <w:bCs/>
                <w:sz w:val="24"/>
                <w:szCs w:val="24"/>
                <w:highlight w:val="none"/>
              </w:rPr>
            </w:r>
            <w:r/>
          </w:p>
        </w:tc>
      </w:tr>
      <w:tr>
        <w:trPr>
          <w:trHeight w:val="680"/>
        </w:trPr>
        <w:tc>
          <w:tcPr>
            <w:tcW w:w="2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135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南京市规划资源信息化管理模块建设</w:t>
            </w:r>
            <w:r>
              <w:rPr>
                <w:rFonts w:hint="eastAsia" w:ascii="宋体" w:hAnsi="宋体" w:eastAsia="宋体" w:cs="宋体"/>
                <w:bCs/>
                <w:sz w:val="24"/>
                <w:szCs w:val="24"/>
                <w:highlight w:val="none"/>
              </w:rPr>
            </w:r>
            <w:r/>
          </w:p>
        </w:tc>
        <w:tc>
          <w:tcPr>
            <w:tcW w:w="360"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32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w:t>
            </w:r>
            <w:r>
              <w:rPr>
                <w:rFonts w:hint="eastAsia" w:ascii="宋体" w:hAnsi="宋体" w:eastAsia="宋体" w:cs="宋体"/>
                <w:bCs/>
                <w:sz w:val="24"/>
                <w:szCs w:val="24"/>
                <w:highlight w:val="none"/>
              </w:rPr>
            </w:r>
            <w:r/>
          </w:p>
        </w:tc>
        <w:tc>
          <w:tcPr>
            <w:tcW w:w="513"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219.99</w:t>
            </w:r>
            <w:r>
              <w:rPr>
                <w:rFonts w:hint="eastAsia" w:ascii="宋体" w:hAnsi="宋体" w:eastAsia="宋体" w:cs="宋体"/>
                <w:bCs/>
                <w:sz w:val="24"/>
                <w:szCs w:val="24"/>
                <w:highlight w:val="none"/>
              </w:rPr>
            </w:r>
            <w:r/>
          </w:p>
        </w:tc>
        <w:tc>
          <w:tcPr>
            <w:tcW w:w="5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主要产品</w:t>
            </w:r>
            <w:r>
              <w:rPr>
                <w:rFonts w:hint="eastAsia" w:ascii="宋体" w:hAnsi="宋体" w:eastAsia="宋体" w:cs="宋体"/>
                <w:bCs/>
                <w:sz w:val="24"/>
                <w:szCs w:val="24"/>
                <w:highlight w:val="none"/>
              </w:rPr>
            </w:r>
            <w:r/>
          </w:p>
        </w:tc>
        <w:tc>
          <w:tcPr>
            <w:tcW w:w="786"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软件和信息技术服务业</w:t>
            </w:r>
            <w:r>
              <w:rPr>
                <w:rFonts w:hint="eastAsia" w:ascii="宋体" w:hAnsi="宋体" w:eastAsia="宋体" w:cs="宋体"/>
                <w:bCs/>
                <w:sz w:val="24"/>
                <w:szCs w:val="24"/>
                <w:highlight w:val="none"/>
              </w:rPr>
            </w:r>
            <w:r/>
          </w:p>
        </w:tc>
        <w:tc>
          <w:tcPr>
            <w:tcW w:w="335"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w:t>
            </w:r>
            <w:r>
              <w:rPr>
                <w:rFonts w:hint="eastAsia" w:ascii="宋体" w:hAnsi="宋体" w:eastAsia="宋体" w:cs="宋体"/>
                <w:bCs/>
                <w:sz w:val="24"/>
                <w:szCs w:val="24"/>
                <w:highlight w:val="none"/>
              </w:rPr>
            </w:r>
            <w:r/>
          </w:p>
        </w:tc>
        <w:tc>
          <w:tcPr>
            <w:tcW w:w="469"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1356"/>
        </w:trPr>
        <w:tc>
          <w:tcPr>
            <w:tcW w:w="2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rPr>
            </w:r>
            <w:r/>
          </w:p>
        </w:tc>
        <w:tc>
          <w:tcPr>
            <w:tcW w:w="135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国土空间基础信息平台基础支撑能力建设（全局统一组织机构用户建设、公共组件建设等）</w:t>
            </w:r>
            <w:r>
              <w:rPr>
                <w:rFonts w:hint="eastAsia" w:ascii="宋体" w:hAnsi="宋体" w:eastAsia="宋体" w:cs="宋体"/>
                <w:bCs/>
                <w:sz w:val="24"/>
                <w:szCs w:val="24"/>
                <w:highlight w:val="none"/>
              </w:rPr>
            </w:r>
            <w:r/>
          </w:p>
        </w:tc>
        <w:tc>
          <w:tcPr>
            <w:tcW w:w="360"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32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w:t>
            </w:r>
            <w:r>
              <w:rPr>
                <w:rFonts w:hint="eastAsia" w:ascii="宋体" w:hAnsi="宋体" w:eastAsia="宋体" w:cs="宋体"/>
                <w:bCs/>
                <w:sz w:val="24"/>
                <w:szCs w:val="24"/>
                <w:highlight w:val="none"/>
              </w:rPr>
            </w:r>
            <w:r/>
          </w:p>
        </w:tc>
        <w:tc>
          <w:tcPr>
            <w:tcW w:w="513"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52.19</w:t>
            </w:r>
            <w:r/>
          </w:p>
        </w:tc>
        <w:tc>
          <w:tcPr>
            <w:tcW w:w="5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786"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软件和信息技术服务业</w:t>
            </w:r>
            <w:r>
              <w:rPr>
                <w:rFonts w:hint="eastAsia" w:ascii="宋体" w:hAnsi="宋体" w:eastAsia="宋体" w:cs="宋体"/>
                <w:bCs/>
                <w:sz w:val="24"/>
                <w:szCs w:val="24"/>
                <w:highlight w:val="none"/>
              </w:rPr>
            </w:r>
            <w:r/>
          </w:p>
        </w:tc>
        <w:tc>
          <w:tcPr>
            <w:tcW w:w="335"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w:t>
            </w:r>
            <w:r>
              <w:rPr>
                <w:rFonts w:hint="eastAsia" w:ascii="宋体" w:hAnsi="宋体" w:eastAsia="宋体" w:cs="宋体"/>
                <w:bCs/>
                <w:sz w:val="24"/>
                <w:szCs w:val="24"/>
                <w:highlight w:val="none"/>
              </w:rPr>
            </w:r>
            <w:r/>
          </w:p>
        </w:tc>
        <w:tc>
          <w:tcPr>
            <w:tcW w:w="469"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1019"/>
        </w:trPr>
        <w:tc>
          <w:tcPr>
            <w:tcW w:w="2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rPr>
            </w:r>
            <w:r/>
          </w:p>
        </w:tc>
        <w:tc>
          <w:tcPr>
            <w:tcW w:w="135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南京市国土空间规划“一张图”实施监督2025应用场景建设内容</w:t>
            </w:r>
            <w:r>
              <w:rPr>
                <w:rFonts w:hint="eastAsia" w:ascii="宋体" w:hAnsi="宋体" w:eastAsia="宋体" w:cs="宋体"/>
                <w:bCs/>
                <w:sz w:val="24"/>
                <w:szCs w:val="24"/>
                <w:highlight w:val="none"/>
              </w:rPr>
            </w:r>
            <w:r/>
          </w:p>
        </w:tc>
        <w:tc>
          <w:tcPr>
            <w:tcW w:w="360"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32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w:t>
            </w:r>
            <w:r>
              <w:rPr>
                <w:rFonts w:hint="eastAsia" w:ascii="宋体" w:hAnsi="宋体" w:eastAsia="宋体" w:cs="宋体"/>
                <w:bCs/>
                <w:sz w:val="24"/>
                <w:szCs w:val="24"/>
                <w:highlight w:val="none"/>
              </w:rPr>
            </w:r>
            <w:r/>
          </w:p>
        </w:tc>
        <w:tc>
          <w:tcPr>
            <w:tcW w:w="513"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28.01</w:t>
            </w:r>
            <w:r/>
          </w:p>
        </w:tc>
        <w:tc>
          <w:tcPr>
            <w:tcW w:w="5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786"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软件和信息技术服务业</w:t>
            </w:r>
            <w:r>
              <w:rPr>
                <w:rFonts w:hint="eastAsia" w:ascii="宋体" w:hAnsi="宋体" w:eastAsia="宋体" w:cs="宋体"/>
                <w:bCs/>
                <w:sz w:val="24"/>
                <w:szCs w:val="24"/>
                <w:highlight w:val="none"/>
              </w:rPr>
            </w:r>
            <w:r/>
          </w:p>
        </w:tc>
        <w:tc>
          <w:tcPr>
            <w:tcW w:w="335"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w:t>
            </w:r>
            <w:r>
              <w:rPr>
                <w:rFonts w:hint="eastAsia" w:ascii="宋体" w:hAnsi="宋体" w:eastAsia="宋体" w:cs="宋体"/>
                <w:bCs/>
                <w:sz w:val="24"/>
                <w:szCs w:val="24"/>
                <w:highlight w:val="none"/>
              </w:rPr>
            </w:r>
            <w:r/>
          </w:p>
        </w:tc>
        <w:tc>
          <w:tcPr>
            <w:tcW w:w="469"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680"/>
        </w:trPr>
        <w:tc>
          <w:tcPr>
            <w:tcW w:w="2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rPr>
            </w:r>
            <w:r/>
          </w:p>
        </w:tc>
        <w:tc>
          <w:tcPr>
            <w:tcW w:w="135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一体化政务服务系统部分流程建设及业务对接</w:t>
            </w:r>
            <w:r>
              <w:rPr>
                <w:rFonts w:hint="eastAsia" w:ascii="宋体" w:hAnsi="宋体" w:eastAsia="宋体" w:cs="宋体"/>
                <w:bCs/>
                <w:sz w:val="24"/>
                <w:szCs w:val="24"/>
                <w:highlight w:val="none"/>
              </w:rPr>
            </w:r>
            <w:r/>
          </w:p>
        </w:tc>
        <w:tc>
          <w:tcPr>
            <w:tcW w:w="360"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32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w:t>
            </w:r>
            <w:r>
              <w:rPr>
                <w:rFonts w:hint="eastAsia" w:ascii="宋体" w:hAnsi="宋体" w:eastAsia="宋体" w:cs="宋体"/>
                <w:bCs/>
                <w:sz w:val="24"/>
                <w:szCs w:val="24"/>
                <w:highlight w:val="none"/>
              </w:rPr>
            </w:r>
            <w:r/>
          </w:p>
        </w:tc>
        <w:tc>
          <w:tcPr>
            <w:tcW w:w="513"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76</w:t>
            </w:r>
            <w:r/>
          </w:p>
        </w:tc>
        <w:tc>
          <w:tcPr>
            <w:tcW w:w="5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786"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软件和信息技术服务业</w:t>
            </w:r>
            <w:r>
              <w:rPr>
                <w:rFonts w:hint="eastAsia" w:ascii="宋体" w:hAnsi="宋体" w:eastAsia="宋体" w:cs="宋体"/>
                <w:bCs/>
                <w:sz w:val="24"/>
                <w:szCs w:val="24"/>
                <w:highlight w:val="none"/>
              </w:rPr>
            </w:r>
            <w:r/>
          </w:p>
        </w:tc>
        <w:tc>
          <w:tcPr>
            <w:tcW w:w="335"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w:t>
            </w:r>
            <w:r>
              <w:rPr>
                <w:rFonts w:hint="eastAsia" w:ascii="宋体" w:hAnsi="宋体" w:eastAsia="宋体" w:cs="宋体"/>
                <w:bCs/>
                <w:sz w:val="24"/>
                <w:szCs w:val="24"/>
                <w:highlight w:val="none"/>
              </w:rPr>
            </w:r>
            <w:r/>
          </w:p>
        </w:tc>
        <w:tc>
          <w:tcPr>
            <w:tcW w:w="469"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680"/>
        </w:trPr>
        <w:tc>
          <w:tcPr>
            <w:tcW w:w="2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rPr>
            </w:r>
            <w:r/>
          </w:p>
        </w:tc>
        <w:tc>
          <w:tcPr>
            <w:tcW w:w="135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系统集成与信息技术咨询</w:t>
            </w:r>
            <w:r>
              <w:rPr>
                <w:rFonts w:hint="eastAsia" w:ascii="宋体" w:hAnsi="宋体" w:eastAsia="宋体" w:cs="宋体"/>
                <w:bCs/>
                <w:sz w:val="24"/>
                <w:szCs w:val="24"/>
                <w:highlight w:val="none"/>
              </w:rPr>
            </w:r>
            <w:r/>
          </w:p>
        </w:tc>
        <w:tc>
          <w:tcPr>
            <w:tcW w:w="360"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32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w:t>
            </w:r>
            <w:r>
              <w:rPr>
                <w:rFonts w:hint="eastAsia" w:ascii="宋体" w:hAnsi="宋体" w:eastAsia="宋体" w:cs="宋体"/>
                <w:bCs/>
                <w:sz w:val="24"/>
                <w:szCs w:val="24"/>
                <w:highlight w:val="none"/>
              </w:rPr>
            </w:r>
            <w:r/>
          </w:p>
        </w:tc>
        <w:tc>
          <w:tcPr>
            <w:tcW w:w="513"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80</w:t>
            </w:r>
            <w:r/>
          </w:p>
        </w:tc>
        <w:tc>
          <w:tcPr>
            <w:tcW w:w="5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786"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软件和信息技术服务业</w:t>
            </w:r>
            <w:r>
              <w:rPr>
                <w:rFonts w:hint="eastAsia" w:ascii="宋体" w:hAnsi="宋体" w:eastAsia="宋体" w:cs="宋体"/>
                <w:bCs/>
                <w:sz w:val="24"/>
                <w:szCs w:val="24"/>
                <w:highlight w:val="none"/>
              </w:rPr>
            </w:r>
            <w:r/>
          </w:p>
        </w:tc>
        <w:tc>
          <w:tcPr>
            <w:tcW w:w="335"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w:t>
            </w:r>
            <w:r>
              <w:rPr>
                <w:rFonts w:hint="eastAsia" w:ascii="宋体" w:hAnsi="宋体" w:eastAsia="宋体" w:cs="宋体"/>
                <w:bCs/>
                <w:sz w:val="24"/>
                <w:szCs w:val="24"/>
                <w:highlight w:val="none"/>
              </w:rPr>
            </w:r>
            <w:r/>
          </w:p>
        </w:tc>
        <w:tc>
          <w:tcPr>
            <w:tcW w:w="469"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680"/>
        </w:trPr>
        <w:tc>
          <w:tcPr>
            <w:tcW w:w="2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rPr>
            </w:r>
            <w:r/>
          </w:p>
        </w:tc>
        <w:tc>
          <w:tcPr>
            <w:tcW w:w="135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南京市智慧耕地保护综合管理子系统数据建设内容</w:t>
            </w:r>
            <w:r>
              <w:rPr>
                <w:rFonts w:hint="eastAsia" w:ascii="宋体" w:hAnsi="宋体" w:eastAsia="宋体" w:cs="宋体"/>
                <w:bCs/>
                <w:sz w:val="24"/>
                <w:szCs w:val="24"/>
                <w:highlight w:val="none"/>
              </w:rPr>
            </w:r>
            <w:r/>
          </w:p>
        </w:tc>
        <w:tc>
          <w:tcPr>
            <w:tcW w:w="360"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32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w:t>
            </w:r>
            <w:r>
              <w:rPr>
                <w:rFonts w:hint="eastAsia" w:ascii="宋体" w:hAnsi="宋体" w:eastAsia="宋体" w:cs="宋体"/>
                <w:bCs/>
                <w:sz w:val="24"/>
                <w:szCs w:val="24"/>
                <w:highlight w:val="none"/>
              </w:rPr>
            </w:r>
            <w:r/>
          </w:p>
        </w:tc>
        <w:tc>
          <w:tcPr>
            <w:tcW w:w="513"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97.75</w:t>
            </w:r>
            <w:r>
              <w:rPr>
                <w:rFonts w:hint="eastAsia" w:ascii="宋体" w:hAnsi="宋体" w:eastAsia="宋体" w:cs="宋体"/>
                <w:bCs/>
                <w:sz w:val="24"/>
                <w:szCs w:val="24"/>
                <w:highlight w:val="none"/>
              </w:rPr>
            </w:r>
            <w:r/>
          </w:p>
        </w:tc>
        <w:tc>
          <w:tcPr>
            <w:tcW w:w="5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主要产品</w:t>
            </w:r>
            <w:r>
              <w:rPr>
                <w:rFonts w:hint="eastAsia" w:ascii="宋体" w:hAnsi="宋体" w:eastAsia="宋体" w:cs="宋体"/>
                <w:bCs/>
                <w:sz w:val="24"/>
                <w:szCs w:val="24"/>
                <w:highlight w:val="none"/>
              </w:rPr>
            </w:r>
            <w:r/>
          </w:p>
        </w:tc>
        <w:tc>
          <w:tcPr>
            <w:tcW w:w="786"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软件和信息技术服务业</w:t>
            </w:r>
            <w:r>
              <w:rPr>
                <w:rFonts w:hint="eastAsia" w:ascii="宋体" w:hAnsi="宋体" w:eastAsia="宋体" w:cs="宋体"/>
                <w:bCs/>
                <w:sz w:val="24"/>
                <w:szCs w:val="24"/>
                <w:highlight w:val="none"/>
              </w:rPr>
            </w:r>
            <w:r/>
          </w:p>
        </w:tc>
        <w:tc>
          <w:tcPr>
            <w:tcW w:w="335"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w:t>
            </w:r>
            <w:r>
              <w:rPr>
                <w:rFonts w:hint="eastAsia" w:ascii="宋体" w:hAnsi="宋体" w:eastAsia="宋体" w:cs="宋体"/>
                <w:bCs/>
                <w:sz w:val="24"/>
                <w:szCs w:val="24"/>
                <w:highlight w:val="none"/>
              </w:rPr>
            </w:r>
            <w:r/>
          </w:p>
        </w:tc>
        <w:tc>
          <w:tcPr>
            <w:tcW w:w="469"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685"/>
        </w:trPr>
        <w:tc>
          <w:tcPr>
            <w:tcW w:w="2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w:t>
            </w:r>
            <w:r>
              <w:rPr>
                <w:rFonts w:hint="eastAsia" w:ascii="宋体" w:hAnsi="宋体" w:eastAsia="宋体" w:cs="宋体"/>
                <w:bCs/>
                <w:sz w:val="24"/>
                <w:szCs w:val="24"/>
                <w:highlight w:val="none"/>
              </w:rPr>
            </w:r>
            <w:r/>
          </w:p>
        </w:tc>
        <w:tc>
          <w:tcPr>
            <w:tcW w:w="135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调查影像处理</w:t>
            </w:r>
            <w:r>
              <w:rPr>
                <w:rFonts w:hint="eastAsia" w:ascii="宋体" w:hAnsi="宋体" w:eastAsia="宋体" w:cs="宋体"/>
                <w:bCs/>
                <w:sz w:val="24"/>
                <w:szCs w:val="24"/>
                <w:highlight w:val="none"/>
              </w:rPr>
            </w:r>
            <w:r/>
          </w:p>
        </w:tc>
        <w:tc>
          <w:tcPr>
            <w:tcW w:w="360"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324"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w:t>
            </w:r>
            <w:r>
              <w:rPr>
                <w:rFonts w:hint="eastAsia" w:ascii="宋体" w:hAnsi="宋体" w:eastAsia="宋体" w:cs="宋体"/>
                <w:bCs/>
                <w:sz w:val="24"/>
                <w:szCs w:val="24"/>
                <w:highlight w:val="none"/>
              </w:rPr>
            </w:r>
            <w:r/>
          </w:p>
        </w:tc>
        <w:tc>
          <w:tcPr>
            <w:tcW w:w="513"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18.98</w:t>
            </w:r>
            <w:r/>
          </w:p>
        </w:tc>
        <w:tc>
          <w:tcPr>
            <w:tcW w:w="577"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786"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软件和信息技术服务业</w:t>
            </w:r>
            <w:r>
              <w:rPr>
                <w:rFonts w:hint="eastAsia" w:ascii="宋体" w:hAnsi="宋体" w:eastAsia="宋体" w:cs="宋体"/>
                <w:bCs/>
                <w:sz w:val="24"/>
                <w:szCs w:val="24"/>
                <w:highlight w:val="none"/>
              </w:rPr>
            </w:r>
            <w:r/>
          </w:p>
        </w:tc>
        <w:tc>
          <w:tcPr>
            <w:tcW w:w="335"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w:t>
            </w:r>
            <w:r>
              <w:rPr>
                <w:rFonts w:hint="eastAsia" w:ascii="宋体" w:hAnsi="宋体" w:eastAsia="宋体" w:cs="宋体"/>
                <w:bCs/>
                <w:sz w:val="24"/>
                <w:szCs w:val="24"/>
                <w:highlight w:val="none"/>
              </w:rPr>
            </w:r>
            <w:r/>
          </w:p>
        </w:tc>
        <w:tc>
          <w:tcPr>
            <w:tcW w:w="469" w:type="dxa"/>
            <w:vAlign w:val="center"/>
            <w:textDirection w:val="lrTb"/>
            <w:noWrap w:val="false"/>
          </w:tcPr>
          <w:p>
            <w:pPr>
              <w:pStyle w:val="88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bl>
    <w:p>
      <w:pPr>
        <w:pStyle w:val="883"/>
        <w:keepLines w:val="0"/>
        <w:keepNext w:val="0"/>
        <w:pageBreakBefore w:val="0"/>
        <w:spacing w:line="264" w:lineRule="auto"/>
        <w:widowControl/>
        <w:rPr>
          <w:rFonts w:hint="eastAsia" w:ascii="宋体" w:hAnsi="宋体" w:eastAsia="宋体" w:cs="宋体"/>
          <w:bCs/>
          <w:color w:val="0000ff"/>
          <w:sz w:val="24"/>
          <w:szCs w:val="24"/>
          <w:highlight w:val="none"/>
          <w:lang w:val="zh-CN" w:eastAsia="zh-CN"/>
        </w:rPr>
      </w:pPr>
      <w:r>
        <w:rPr>
          <w:rFonts w:hint="eastAsia" w:ascii="宋体" w:hAnsi="宋体" w:eastAsia="宋体" w:cs="宋体"/>
          <w:bCs/>
          <w:color w:val="0000ff"/>
          <w:sz w:val="24"/>
          <w:szCs w:val="24"/>
          <w:highlight w:val="none"/>
          <w:lang w:val="zh-CN" w:eastAsia="zh-CN"/>
        </w:rPr>
      </w:r>
      <w:r/>
    </w:p>
    <w:p>
      <w:pPr>
        <w:pStyle w:val="88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8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83"/>
        <w:ind w:firstLine="482"/>
        <w:spacing w:line="264"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内容一：</w:t>
      </w:r>
      <w:r>
        <w:rPr>
          <w:rFonts w:hint="eastAsia" w:ascii="宋体" w:hAnsi="宋体" w:eastAsia="宋体" w:cs="宋体"/>
          <w:b/>
          <w:bCs w:val="0"/>
          <w:color w:val="000000"/>
          <w:sz w:val="24"/>
          <w:szCs w:val="24"/>
          <w:highlight w:val="none"/>
        </w:rPr>
        <w:t xml:space="preserve">南京市规划资源信息化管理模块建设</w:t>
      </w:r>
      <w:r>
        <w:rPr>
          <w:rFonts w:hint="eastAsia" w:ascii="宋体" w:hAnsi="宋体" w:eastAsia="宋体" w:cs="宋体"/>
          <w:b/>
          <w:bCs w:val="0"/>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硬件清单管理功能</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硬件清单数据库建设：盘点机房基础设施，涵盖机房、机房空间、机柜、计算存储设备、网络设备、安全设备及其他基础硬件设备等实体资产，集群、应用服务器等虚拟资产。制定并采用统一的数据录入标准，确保每项硬件资产的信息格式规范一致，满足标准化管理要求。基于盘点成果，构建结构化的硬件清单信息数据库，实现硬件资产的集中化存储与管理。同时，建立高</w:t>
      </w:r>
      <w:r>
        <w:rPr>
          <w:rFonts w:hint="eastAsia" w:ascii="宋体" w:hAnsi="宋体" w:eastAsia="宋体" w:cs="宋体"/>
          <w:bCs/>
          <w:color w:val="000000"/>
          <w:sz w:val="24"/>
          <w:szCs w:val="24"/>
          <w:highlight w:val="none"/>
        </w:rPr>
        <w:t xml:space="preserve">效的数据同步机制，确保硬件信息库的动态更新与实时同步，保障数据的准确性与时效性。为强化数据安全，实施多层次的安全防护措施，包括访问控制、留痕追踪等，确保硬件资产数据的隐私性、完整性与可用性，为信息化管理提供可靠的基础支撑。</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硬件清单管理工作流程：通过对现有硬件资产运维流程的调研与分析，明确流程核心节点，挖掘优化改进空间，推动硬件维护工作的标准化与自动化升级。采用国产化工作流引擎，对硬件资产的录入、申请、审批及维护等流程进行统一管理，确保各环节无缝衔接与高效协同。通过流程标准化与系统自动化，减少人工干预，降低操作误差，提升硬件资产管理效率。同时，基于工作流引擎的可配置性与扩展性，灵活适配业务需求变化，为硬件资产的生命周期管理提供可靠支撑，全面提升运维管理的规范化水平与整体工作效率。</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硬件清单展示功能建设：基于硬件资产管理的不同阶段需求，自动生成详细的清单报告，满足多种类型填报与审计要求。通过多样化的图表工具，直观展示硬件资产的数量分布、使用状态、生命周期等统计概览信息，为决策提供数据支撑。针对机房各维度数据的多层级特点，开发贴合实际需求的动态展示视图，支持从全局概览到细节数据的逐层下钻分析。交互方式</w:t>
      </w:r>
      <w:r>
        <w:rPr>
          <w:rFonts w:hint="eastAsia" w:ascii="宋体" w:hAnsi="宋体" w:eastAsia="宋体" w:cs="宋体"/>
          <w:bCs/>
          <w:color w:val="000000"/>
          <w:sz w:val="24"/>
          <w:szCs w:val="24"/>
          <w:highlight w:val="none"/>
        </w:rPr>
        <w:t xml:space="preserve">上，模拟真实的设备运维场景，直观呈现机房、机房空间布局、机柜分布及设备位置、基本详情等，便于快速掌握机房整体情况。同时，提供高效的搜索与过滤功能，支持按设备类型、名称、资产编号、位置信息、IP、部署时间等多条件组合查询，提供高效的资产检索方式，实现硬件资产的快速定位与管理。支持展示设备名称、品牌、型号、单价等固定资产管理信息，并利用设备唯一资产编号，可与固定资产管理系统进行对照查询，定位资产卡片信息。通过场景化、交互式的数据展示与检索功能，提升机房运维效率，优化资产管理体验，为决策提供直观、可靠的数据支持。</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清单间关系构建：系统性分析硬件清单数据与系统清单、数据清单等其他关键清单之间的关联关系，构建贯穿式的清单资产关系网络，全面展示硬件资产在信息化体系中的支撑作用及其影响范围。通过可视化技术，直观呈现硬件设备与系统应用、数据资源之间的依赖关系，明确硬件资产对业务运行的底层支撑价值。基于关系网络的动态分析能力，可识别硬件变更或故障对系统及数据等信息化要素的潜在影响，为资源配置优化与风险防控提供数据依据。通过增强清单数据的整体性与关联性，提升系统的可管理性与协同效率，为信息化资产的全面管控与高效运维奠定基础。</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数据清单管理功能</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数据清单整合与规范化：整合数据清单台账信息，基于实际业务需求，分析并明确界定数据梳理的业务规则，对数据进行规范化与标准化处理，制定统一的数据标准和规范，形成统一的录入准则，以确保数据格式的规范性和标准的统一性。对接市规划资源局现有数据资源清单，对各类数据资源的名称、数据来源、坐标系、数据分级、共享类型、责任部门、保管部门、数据标准等关键信息进行校验和标准化处理；同时，对接并录入完整的政务资源目录清单，校验</w:t>
      </w:r>
      <w:r>
        <w:rPr>
          <w:rFonts w:hint="eastAsia" w:ascii="宋体" w:hAnsi="宋体" w:eastAsia="宋体" w:cs="宋体"/>
          <w:bCs/>
          <w:color w:val="000000"/>
          <w:sz w:val="24"/>
          <w:szCs w:val="24"/>
          <w:highlight w:val="none"/>
          <w:lang w:val="en-US" w:eastAsia="zh-CN"/>
        </w:rPr>
        <w:t xml:space="preserve">数据</w:t>
      </w:r>
      <w:r>
        <w:rPr>
          <w:rFonts w:hint="eastAsia" w:ascii="宋体" w:hAnsi="宋体" w:eastAsia="宋体" w:cs="宋体"/>
          <w:bCs/>
          <w:color w:val="000000"/>
          <w:sz w:val="24"/>
          <w:szCs w:val="24"/>
          <w:highlight w:val="none"/>
        </w:rPr>
        <w:t xml:space="preserve">资源目录的符合性和一致性。在此基础上，将政务资源目录清单与数据资源清单进行关联挂接，确保两者之间的无缝对接，从而提升数据清单管理的完整性和准确性。</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数据清单质量管理：集成规划资源领域多种类型的数据质量检测工具，对数据的准确性、完整性、一致性和时效性等核心指标进行评估检测。基于评估检测结果，分析数据健康度，生成直观的质量指标，并支持定期开展主动评估，确保数据质量的持续监控与优化。针对评估过程中发现的问题数据，系统将及时发出数据治理预警，提示相关部门启动数据治理流程，确保问题得到快速响应与解决。同时，建立标准化的规划资源数据质量评估流程，明确评估标准、方法和责任主体，确保评估过程的权威性、规范性和可靠性，为数据治理工作提供科学依据和制度保障。</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数据清单管理工作流程：针对规划资源数据清单和数据目录的动态更新管理需求，对现有数据管理流程进行优化与改进，精简冗余环节、优化操作步骤，提升流程效率和管理效能。通过集成工作流二次开发框架，构建从数据发布、申请、审核、更新到下架废弃的自动化管理机制，实现数据管理流程的标准化、规范化和自动化。通过流程优化与自动化技术的融合，确保规划资源数据的动态更新管理更加高效、精准和可追溯，为数据资源的持续利用和价值挖掘提供有力支撑。</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数据清单数据库构建：采用分布式数据库架构，支持数据清单信息的高效存储与检索，确保系统具备高并发处理能力和弹性扩展性。采用实时数据更新策略，对规划资源数据进行动态同步与更新，确保内部数据仓库的时效性和一致性，满足业务对数据实时性的要求。同时，实施多层次的安全防护措施，包括访问控制、身份认证和审计日志等，构建多方位的数据安全防护体系，有效保护敏感数据免受未授权访问、数据泄露及其他潜在安全威胁，确保数据的安全性和合规性。</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数据清单报表定制与统计概览：支持按场景自动生成数据资源清单和数据资源目录的多种类型分析报表，包括但不限于数据质量评估报告、数据情况分析报告、数据资源分布统计等。基于数据资源清单和数据资源目录的管理需求，集成图形化可视化工具，直观展示规划资源数据清单的多维度特征，包括数据资源总量、注册上架进度、分管处室分布、安全等级划分等关键指标。通过交互式仪表板，实现数据的多角度透视分析，并获得丰富的可视化呈现效果，有效提升数据资源管理的科学性和决策支持能力。</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数据清单信息查询与展示：提供统一的数据信息查询视图，促进信息高效共享，简化跨部门协作流程。通过界面交互设计，确保数据展示兼具美观性与易读性，提升使用体验。针对规划资源数据清单的查询需求，内置高级筛选功能，支持用户基于资源名称、数据来源、坐标系、数据分级、共享类型、责任部门、保管部门、数据标准等关键字段进行多条件组合查询。该功能可快速定位目标数据目录及资源条目，显著提高数据检索效率，为各部门提供精准的数据支持服务。</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清单间关系构建：通过结构化梳理，明确数据资源清单与系统清单、硬件清单等其他清单之间的逻辑关联关系，并采用可视化技术展示数据集之间的上下游依赖关系，可快速查看数据流动路径、依赖关系及交互链路，提升数据透明度，为数据治理提供直观参考。同时，支持通过数据映射与匹配机制，以多种形式展示数据资源清单与数据目录清单之间，以及数据清单与其他清单数据之间的交叉引用关系和冗余情况，有效增强可操作性与实用性，为数据资源优化整合提供科学依据。</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数据接口对接：开发标准化的数据目录查询接口、数据清单统计接口以及外部系统调用接口，并经过充分的接口调试与功能验证，确保与其他外部系统接口及页面的无缝对接，保障数据传输的稳定性和可靠性。同时，通过对接国基平台，对接市级数据共享平台，支持跨层级、跨部门的数据共享与互联互通。通过构建统一的数据交换机制，促进数据要素的高效流通与共享，为打破数据孤岛、实现数据资源整合利用提供强有力的技术支撑，助力数据价值的最大化释放。</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数据库清单管理功能</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数据库清单数据库建设：对规划资源相关的数据库清单信息进行全面梳理与规范化管理，涵盖数据库类型（如人大金仓、MySQL、PostgreSQL等）、数据库名称、用途描述、管理者信息、用户账号、权限配置、库表结构及表描述等关键属性，确保数据格式的规范性与一致性，形成标准化的数据库清单资产目录。基于此，构建统一的数据库清单信息库，并建立数据更新机制，支持动态维护数据库信息的时效性与准确性。同时，实现细粒度的权限控制体系，确保数据访问的安全性与合规性，为数据库资源的高效管理与安全使用提供可靠保障。</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数据库清单管理工作流程：针对规划资源数据库清单的动态更新管理需求，对数据库及库表的创建、下架、备份等核心工作流程进行优化与改进。通过集成统一的工作流引擎框架，实现了数据库全生命周期管理的标准化与规范化。支持流程节点的自定义配置，确保各环节操作符合既定的管理规范与安全要求，同时提供流程追溯与审计功能，保障操作的可控性与透明度。</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数据库清单展示功能：采用</w:t>
      </w:r>
      <w:r>
        <w:rPr>
          <w:rFonts w:hint="eastAsia" w:ascii="宋体" w:hAnsi="宋体" w:eastAsia="宋体" w:cs="宋体"/>
          <w:bCs/>
          <w:color w:val="000000"/>
          <w:sz w:val="24"/>
          <w:szCs w:val="24"/>
          <w:highlight w:val="none"/>
        </w:rPr>
        <w:t xml:space="preserve">多维度、多层级的结构对数据库清单信息进行集中化管理与可视化展示，覆盖数据库的状态、结构及相关属性，确保能够直观掌握数据库的整体情况。系统支持实时连接多种类型的数据库，并自动获取库表的基础信息，包括表名称、表结构、字段类型等元数据，同时提供实时查询库表样例数据的功能，便于快速了解数据内容。此外提供基于表字段组合的高级数据筛选功能，支持通过多条件查询定位目标数据详情，提升数据检索效率。通过集成可视化组件，支持以图表、曲线图等多种形式直观展示数据库清单的统计概览信息，并支持多维度数据分析，提供数据洞察与决策支持。</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清单间关系构建：对数据库清单与其他清单数据（如系统清单、指标清单、硬件清单等）的关联关系进行梳理与整合，构建多维度的数据关系网络。通过可视化技术，展示数据库与其他清单数据之间的逻辑关联与依赖关系，提升数据的联动效率与可追溯性。支持快速定位相关数据资源，为跨领域的数据分析与决策提供了强有力的支撑，助力实现数据驱动的科学决策与高效管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系统清单管理功能</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系统清单数据库建设：对规划资源相关业务系统的信息进行全面梳理与规范化管理，确保信息的完整性、实时性以及数据格式的规范性与标准一致性，并在此基础上形成统一的业务系统资产清单。通过构建系统清单信息数据库，实现对业务系统数据的集中化存储与管理。同时，建立数据维护机制，确保规划资源系统清单数据的时效性与准确性。实现细粒度的权限控制机制，支持基于角色、组织结构、用户的多层次访问权限配置，保障系统清单数据的安全性与合规性，为业务系统的高效管理与安全运维提供可靠支撑。</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系统清单管理工作流程：针对规划资源系统清单的动态更新管理需求，对业务系统的上线、下线、录入、下架等核心工作流程进行优化与改进，确保各环节操作符合标准化与规范化的管理要求。通过集成统一的工作流引擎框架，实现信息录入、修改等操作的自动化流转与高效执行，显著提升流程效率与管理透明度。同时，支持流程节点的配置与实时监控，确保各环节操作可追溯、可审计，为规划资源系统清单的全生命周期管理提供强有力的技术支撑，助力实现业务流程的规范化与自动化。</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系统清单展示功能建设：基于业务系统管理报表的实际需求，支持自动化生成规划资源系统清单的基础报表，涵盖数量信息、系统状态、使用情况等关键指标。通过集成多样化的可视化组件，能够以图表、曲线图等形式直观展示统计概览信息，提供清晰的数据洞察。同时，实现业务系统信息的集中化管理，支持表格、仪表盘、卡片等多种数据展示方式，满足不同场景下的分析需求。此外，针对规划资源系统清单信息的特点，系统提供数据钻取、高级过滤等交互式探索功能，能够灵活分析数据细节，快速定位关键信息，为业务决策提供高效支持。</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清单间关系构建：对系统清单与数据清单、硬件清单等其他关键清单数据之间的关联关系进行全面梳理与整合，构建多维度的数据关系网络。通过可视化技术，清晰展示系统清单与其他清单数据之间的逻辑关联与依赖关系，提升清单间数据联动的效率与协同能力。这一功能支持快速定位相关资源信息，为跨领域的数据分析与决策提供强有力的支撑，助力实现数据资源的高效整合与科学管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指标清单管理功能</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指标清单整合与规范化：对指标清单信息及其关联的模型清单进行补充与完善，确保指标定义、计算规则、数据来源以及模型逻辑等关键信息的完整性、准确性和一致性，以支持可靠的指标分析。</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指标模型配置管理：通过对接国基平台，实现数据及数据服务接口的挂接，能够实时获取模型计算所需的各类原始数据，确保数据源的及时性与可靠性。开发自动化的模型生成工具，根据指标模型的业务需求及数据源特征，通过规则配置等方式生成相应的指标模型，包括模型输入输出定义、计算规则配置及参数设置等功能，提升模型构建效率。基于配置完成的指标模型，获取各类数据源，支持执行指标计算任务，并确保计算结果的准确性与一致性。同时，提供直观的可视化界面，支持多种展现形式展示指标数据，快速掌握指标动态，为业务决策提供高效、直观的数据支持。</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指标模型建设：依据《南京市规划和自然资源指标体系》，面向调查监测、权属、规划、管控、利用、修复和执法7大核心业务，在自然资源监测、自然资源调查评价、土地供应计划、建设用地供应、存量住宅用地、土地市场运行、农用地转用和土地征收等37类业务中选取100余项核心综合统计指标，开展模型设计、数源分析、数据对接、模型配置等工作，实现指标运算，输出指标成果，为研判规划资源发展规律、服务领导决策提供基础支撑。指标模型建设流程如下图所示：</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inline xmlns:wp="http://schemas.openxmlformats.org/drawingml/2006/wordprocessingDrawing" distT="0" distB="0" distL="0" distR="0">
                <wp:extent cx="5287010" cy="297327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87010" cy="29732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6.3pt;height:234.1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bCs/>
          <w:color w:val="000000"/>
          <w:sz w:val="24"/>
          <w:szCs w:val="24"/>
          <w:highlight w:val="none"/>
        </w:rPr>
      </w:r>
      <w:r/>
    </w:p>
    <w:p>
      <w:pPr>
        <w:pStyle w:val="883"/>
        <w:jc w:val="center"/>
        <w:spacing w:line="264"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指标模型建设流程</w:t>
      </w:r>
      <w:r>
        <w:rPr>
          <w:rFonts w:hint="eastAsia" w:ascii="宋体" w:hAnsi="宋体" w:eastAsia="宋体" w:cs="宋体"/>
          <w:bCs/>
          <w:color w:val="000000"/>
          <w:sz w:val="21"/>
          <w:szCs w:val="21"/>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指标选取。以《南京市规划和自然资源指标体系》为基础，结合部门业务需求，从七大业务中开展核心指标选取；②模型设计。分析指标体系、指标数据源、指标元数据，指标计算规则，开展指标模型构建等；③模型配置。利用指标管理系统，进行指标数据录入，基于指标模型中的数据项、计算规则，进行数据对接、算法配置；④指标运算。定期或动态开展指标数值计算，并做好指标存储及指标数值的历史版本管理；⑤指标模型应用。结合指标运算结果，为空间规划、土地资源配置、实施监督、评估预警等提供支撑。</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指标清单管理工作流程：针对规划资源指标清单的动态更新管理需求，对现有指标管理流程进行调研与优化改进，确保流程的标准化、规范化与自动化。通过集成可扩展的工作流二次开发框架，实现指标录入、更新、发布、下架等操作的全流程自动化管理，提升指标管理的效率与透明度。支持流程节点的配置与实时监控，确保各环节操作可追溯、可审计，同时提供自动化任务调度与</w:t>
      </w:r>
      <w:r>
        <w:rPr>
          <w:rFonts w:hint="eastAsia" w:ascii="宋体" w:hAnsi="宋体" w:eastAsia="宋体" w:cs="宋体"/>
          <w:bCs/>
          <w:color w:val="000000"/>
          <w:sz w:val="24"/>
          <w:szCs w:val="24"/>
          <w:highlight w:val="none"/>
        </w:rPr>
        <w:t xml:space="preserve">提醒功能，减少人工干预，降低管理成本。这一功能为规划资源指标的生命周期管理提供了技术支撑，助力实现指标管理的高效化与自动化。通过接口形式对接指标管理模块与“宁资谱”模块，基于指标元数据信息，将指标清单管理中的指标体系、指标项、指标计算公式、指标属性等信息对接至“宁资谱”指标图谱图数据库，实现指标信息的同步更新；基于指标计算模型，将指标计算数值对接至指标图谱数据库，实现指标计算数值的同步更新。基于“宁资谱”模块，接收更新的指标信息后，分析更新指标项所影响的其他指标、数据、系统、处室等信息，推送至指标管理模块。</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指标清单数据库建设：基于指标模型的具体业务需求与技术规范，设计高可靠性的指标清单信息数据库结构，采用高效的存储模型与索引机制，确保数据结构的合理性与查询性能的最优化，以支持复杂的信息查询与分析任务。建立数据维护机制，包括实时更新、版本控制及变更记录等功能，确保规划资源指标清单数据的时效性与准确性，保持指标信息的鲜活度与实用性。同时，实施细粒度的权限控制策略，支持基于角色、部门及用户的多层次访问权限配置，有效保障指标清单中敏感信息的安全性与隐私性，为指标数据的高效管理与安全使用提供可靠保障。</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指标清单报表定制与统计概览：支持根据业务场景自动生成指标清单的各类报表，包括业务场景报表与通用报表，支持内容和布局定制。结合指标清单的报表分析与展示需求，集成多样化的可视化组件，能够以柱状图、饼图、曲线图等多种形式直观展示关键数值型指标及其趋势分析结果。通过优化交互设计和展示方式，快速获取数据洞察，为业务决策提供高效、直观的数据支持，显著提升报表分析的实用性与可操作性。</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指标清单信息查询与展示：实现指标清单信息数据的整合与集中化管理，支持以多种形式展示指标数据，满足不同场景下的展示分析需求。针对指标清单数据的筛选需求，提供高效的筛选工具，支持基于指标类型、时间范围、业务维度等多条件组合查询，快速定位目标数据。同时支持数据钻取及高级过滤等交互功能，深入分析数据细节，提升数据检索与分析效率，为业务决策提供精准、可靠的数据支持。</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指标共享能力建设：通过与国基平台对接，实现指标、数据及模型的注册与共享，以支持跨部门、跨组织的数据资源互通与协同利用，有效促进数据要素的高效流通与整合，打破数据孤岛，为跨领域的数据分析与决策提供统一的数据基础。同时，确保共享过程的合规性与安全性，助力实现数据价值的最大化释放与协同创新。</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清单间关系构建：对指标清单与数据清单、硬件清单等其他关键清单数据之间的关联关系进行全面梳理与整合，构建多维度的清单间关系网络。基于指标清单数据的特点及其与其他清单建立关系的具体需求，通过多种可视化形式，直观展示清单间的依赖关系、层级结构及交叉引用信息。</w:t>
      </w:r>
      <w:r>
        <w:rPr>
          <w:rFonts w:hint="eastAsia" w:ascii="宋体" w:hAnsi="宋体" w:eastAsia="宋体" w:cs="宋体"/>
          <w:bCs/>
          <w:color w:val="000000"/>
          <w:sz w:val="24"/>
          <w:szCs w:val="24"/>
          <w:highlight w:val="none"/>
          <w:lang w:val="en-US" w:eastAsia="zh-CN"/>
        </w:rPr>
        <w:t xml:space="preserve">通过</w:t>
      </w:r>
      <w:r>
        <w:rPr>
          <w:rFonts w:hint="eastAsia" w:ascii="宋体" w:hAnsi="宋体" w:eastAsia="宋体" w:cs="宋体"/>
          <w:bCs/>
          <w:color w:val="000000"/>
          <w:sz w:val="24"/>
          <w:szCs w:val="24"/>
          <w:highlight w:val="none"/>
        </w:rPr>
        <w:t xml:space="preserve">这一功能提升清单间数据联动的效率与协同能力，支持快速定位相关资源信息，为跨领域的数据分析与决策提供强有力的支撑，助力实现数据资源的高效整合与科学管理。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集成化首页与导航</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导航入口：建设集成化的统一门户首页，提供通往各个子系统及核心功能的快捷入口，支持高效导航。首页设计采用模块化布局，清晰展示清单模块及常用操作入口，可根据需求快速定位目标功能，显著提升操作效率与体验。</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搜索功能：集成综合信息搜索功能，支持用户对各清单中的核心数据进行快速检索与查询。通过搜索算法与多条件筛选机制，可迅速定位并获取所需的关键信息，显著提升数据检索效率。同时，支持模糊搜索、关键词匹配等功能，确保搜索结果全面且精准。这一功能</w:t>
      </w:r>
      <w:r>
        <w:rPr>
          <w:rFonts w:hint="eastAsia" w:ascii="宋体" w:hAnsi="宋体" w:eastAsia="宋体" w:cs="宋体"/>
          <w:bCs/>
          <w:color w:val="000000"/>
          <w:sz w:val="24"/>
          <w:szCs w:val="24"/>
          <w:highlight w:val="none"/>
          <w:lang w:val="en-US" w:eastAsia="zh-CN"/>
        </w:rPr>
        <w:t xml:space="preserve">为用户</w:t>
      </w:r>
      <w:r>
        <w:rPr>
          <w:rFonts w:hint="eastAsia" w:ascii="宋体" w:hAnsi="宋体" w:eastAsia="宋体" w:cs="宋体"/>
          <w:bCs/>
          <w:color w:val="000000"/>
          <w:sz w:val="24"/>
          <w:szCs w:val="24"/>
          <w:highlight w:val="none"/>
        </w:rPr>
        <w:t xml:space="preserve">提供高效、便捷的数据查询体验，助力快速获取业务决策所需的关键信息，提升整体工作效率。</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动态信息展示：以统计数值的形式集中展示各大清单的关键动态统计信息。通过预警机制，帮助及时发现问题并采取相应措施。同时，支持从统计数值快速跳转至相关清单详情页面，提供便捷的访问路径，方便用户深入分析数据细节。</w:t>
      </w:r>
      <w:r>
        <w:rPr>
          <w:rFonts w:hint="eastAsia" w:ascii="宋体" w:hAnsi="宋体" w:eastAsia="宋体" w:cs="宋体"/>
          <w:bCs/>
          <w:color w:val="000000"/>
          <w:sz w:val="24"/>
          <w:szCs w:val="24"/>
          <w:highlight w:val="none"/>
        </w:rPr>
      </w:r>
      <w:r/>
    </w:p>
    <w:p>
      <w:pPr>
        <w:pStyle w:val="883"/>
        <w:ind w:firstLine="482"/>
        <w:spacing w:line="264"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内容二：</w:t>
      </w:r>
      <w:r>
        <w:rPr>
          <w:rFonts w:hint="eastAsia" w:ascii="宋体" w:hAnsi="宋体" w:eastAsia="宋体" w:cs="宋体"/>
          <w:b/>
          <w:bCs w:val="0"/>
          <w:color w:val="000000"/>
          <w:sz w:val="24"/>
          <w:szCs w:val="24"/>
          <w:highlight w:val="none"/>
        </w:rPr>
        <w:t xml:space="preserve">国土空间基础信息平台基础支撑能力建设（全局统一组织机构用户建设、公共组件建设等）</w:t>
      </w:r>
      <w:r>
        <w:rPr>
          <w:rFonts w:hint="eastAsia" w:ascii="宋体" w:hAnsi="宋体" w:eastAsia="宋体" w:cs="宋体"/>
          <w:b/>
          <w:bCs w:val="0"/>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全局统一组织机构用户建设</w:t>
      </w:r>
      <w:r>
        <w:rPr>
          <w:rFonts w:hint="eastAsia" w:ascii="宋体" w:hAnsi="宋体" w:eastAsia="宋体" w:cs="宋体"/>
          <w:bCs/>
          <w:color w:val="000000"/>
          <w:sz w:val="24"/>
          <w:szCs w:val="24"/>
          <w:highlight w:val="none"/>
        </w:rPr>
      </w:r>
      <w:r/>
    </w:p>
    <w:p>
      <w:pPr>
        <w:pStyle w:val="883"/>
        <w:numPr>
          <w:ilvl w:val="0"/>
          <w:numId w:val="5"/>
        </w:numPr>
        <w:ind w:left="0"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cs="宋体"/>
          <w:bCs/>
          <w:color w:val="000000"/>
          <w:sz w:val="24"/>
          <w:szCs w:val="24"/>
          <w:highlight w:val="none"/>
        </w:rPr>
        <w:t xml:space="preserve">组织机构用户模块-管理功能：组织机构管理：支持组织机构信息的创建、编辑、删除及多维度</w:t>
      </w:r>
      <w:r>
        <w:rPr>
          <w:rFonts w:hint="eastAsia" w:ascii="宋体" w:hAnsi="宋体" w:cs="宋体"/>
          <w:bCs/>
          <w:color w:val="000000"/>
          <w:sz w:val="24"/>
          <w:szCs w:val="24"/>
        </w:rPr>
        <w:t xml:space="preserve">查询；用户信息管理：支持用户基础信息的创建、编辑、删除及全量/分页查询；关联关系管理：支持组织机构与用户间的双向关联绑定与解绑操作，实现组织架构与人员归属的</w:t>
      </w:r>
      <w:r>
        <w:rPr>
          <w:rFonts w:hint="eastAsia" w:ascii="宋体" w:hAnsi="宋体" w:eastAsia="宋体" w:cs="宋体"/>
          <w:bCs/>
          <w:color w:val="000000"/>
          <w:sz w:val="24"/>
          <w:szCs w:val="24"/>
        </w:rPr>
        <w:t xml:space="preserve">动态映射。</w:t>
      </w:r>
      <w:r>
        <w:rPr>
          <w:rFonts w:hint="eastAsia" w:ascii="宋体" w:hAnsi="宋体" w:eastAsia="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统一组织机构用户模块-双岗功能：构建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主岗+副岗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多维度岗位管理体系。包含组织机构用户关联岗位信息，支持主副岗配置和切换；支持根据当前用户信息获取主岗和副岗信息；支持二次开发框架获取用户主副岗信息并切换状态。</w:t>
      </w:r>
      <w:r>
        <w:rPr>
          <w:rFonts w:hint="eastAsia" w:ascii="宋体" w:hAnsi="宋体" w:eastAsia="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统一组织机构用户模块-展示面板：支持基于用户信息查询并全面展示以下核心信息。包含基础信息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角色信息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权限信息</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岗位信息等信息；管理人员可一键快捷确认人员身份、职权范围及工作关系等多维度信息；支持在展示</w:t>
      </w:r>
      <w:r>
        <w:rPr>
          <w:rFonts w:hint="eastAsia" w:ascii="宋体" w:hAnsi="宋体" w:eastAsia="宋体" w:cs="宋体"/>
          <w:bCs/>
          <w:color w:val="000000"/>
          <w:sz w:val="24"/>
          <w:szCs w:val="24"/>
          <w:lang w:val="en-US" w:eastAsia="zh-CN"/>
        </w:rPr>
        <w:t xml:space="preserve">面板</w:t>
      </w:r>
      <w:r>
        <w:rPr>
          <w:rFonts w:hint="eastAsia" w:ascii="宋体" w:hAnsi="宋体" w:eastAsia="宋体" w:cs="宋体"/>
          <w:bCs/>
          <w:color w:val="000000"/>
          <w:sz w:val="24"/>
          <w:szCs w:val="24"/>
        </w:rPr>
        <w:t xml:space="preserve">对上述基本信息进行增加、修改和删除的统一操作。</w:t>
      </w:r>
      <w:r>
        <w:rPr>
          <w:rFonts w:hint="eastAsia" w:ascii="宋体" w:hAnsi="宋体" w:eastAsia="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eastAsia="宋体" w:cs="宋体"/>
          <w:bCs/>
          <w:color w:val="000000"/>
          <w:sz w:val="24"/>
          <w:szCs w:val="24"/>
        </w:rPr>
        <w:t xml:space="preserve">角色权限</w:t>
      </w:r>
      <w:r>
        <w:rPr>
          <w:rFonts w:hint="eastAsia" w:ascii="宋体" w:hAnsi="宋体" w:cs="宋体"/>
          <w:bCs/>
          <w:color w:val="000000"/>
          <w:sz w:val="24"/>
          <w:szCs w:val="24"/>
        </w:rPr>
        <w:t xml:space="preserve">管理模块-角色功能：包含角色信息、角色用户映射信息、角色组织机构映射信息。支持角色信息的新增、修改、删除和查询；支持角色关联用户、解除用户；支持角色关联组织机构、解除组织机构。</w:t>
      </w:r>
      <w:r>
        <w:rPr>
          <w:rFonts w:hint="eastAsia" w:ascii="宋体" w:hAnsi="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角色权限管理模块-权限管理：包含权限信息、角色权限映射信息。支持权限信息的配置和查询；支持角色关联权限、解除权限；支持根据用户信息查询角色和权限。</w:t>
      </w:r>
      <w:r>
        <w:rPr>
          <w:rFonts w:hint="eastAsia" w:ascii="宋体" w:hAnsi="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角色权限管理模块-分权管理：包含角色租户映射信息。支持租户关联角色、解除角色；支持根据租户信息查询管理的角色信息。</w:t>
      </w:r>
      <w:r>
        <w:rPr>
          <w:rFonts w:hint="eastAsia" w:ascii="宋体" w:hAnsi="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组织机构用户信息同步模块-捕获封装：包含组织机构用户变更信息。编制组织机构用户变更信息规范；支持将变更信息转换成规范格式。</w:t>
      </w:r>
      <w:r>
        <w:rPr>
          <w:rFonts w:hint="eastAsia" w:ascii="宋体" w:hAnsi="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组织机构用户信息同步模块-应用管理：包含应用管理信息。支持应用信息的新增、修改、删除和查询；支持验证应用接收接口是否联通功能。</w:t>
      </w:r>
      <w:r>
        <w:rPr>
          <w:rFonts w:hint="eastAsia" w:ascii="宋体" w:hAnsi="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组织机构用户信息同步模块-信息推送：支持自动推送与手动推送双模式的可配置化选择，满足不同业务场景下的触发需求；支持对变更信息进行精细化操作；支持差异化定时同步策略设置，可根据不同应用系统的同步需求，定义同步时间节点、频率等参数，实现同步任务的个性化调度。</w:t>
      </w:r>
      <w:r>
        <w:rPr>
          <w:rFonts w:hint="eastAsia" w:ascii="宋体" w:hAnsi="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组织机构用户信息同步模块-日志记录：支持组织机构用户信息更新的记录，记录信息变更的操作时间、操作主体、变更类型及变更前后数据信息，实现用户信息从产生到更新的全周期追溯；支持消息推送行为的日志记录，涵盖推送任务ID、目标应用系统标识、推送触发时间、实际推送状态、失败具体原因等信息；支持日志记录按照应用、变更内容、推送时间段、状态等维度筛选和统计。</w:t>
      </w:r>
      <w:r>
        <w:rPr>
          <w:rFonts w:hint="eastAsia" w:ascii="宋体" w:hAnsi="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组织机构用户信息更新确认流程：新建更新确认流程；支持选择单条或多条变更信息发起更新流程；支持可指定目标接收应用；目标应用的管理员可通过在办箱模块实时查看待确认的更新流程任务；管理员完成信息核对确认后，点击提交按钮即可完成更新确认操作，同步更新流程状态至办结箱。</w:t>
      </w:r>
      <w:r>
        <w:rPr>
          <w:rFonts w:hint="eastAsia" w:ascii="宋体" w:hAnsi="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组织机构用户信息更新确认流程-查询统计：综合查询：支持基于时间范围、应用名称、流程状态等多条件组合查询，查询更新流程的进度和详细信息；状态统计：支持按照应用系统、处理时长、异常同步等多维度的统计分析。</w:t>
      </w:r>
      <w:r>
        <w:rPr>
          <w:rFonts w:hint="eastAsia" w:ascii="宋体" w:hAnsi="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组织机构用户信息更新确认流程-同步校验：支持按预设周期主动对接入的应用发起自动化校核任务，</w:t>
      </w:r>
      <w:r>
        <w:rPr>
          <w:rFonts w:ascii="宋体" w:hAnsi="宋体" w:eastAsia="宋体" w:cs="宋体"/>
          <w:sz w:val="24"/>
          <w:szCs w:val="24"/>
        </w:rPr>
        <w:t xml:space="preserve">通过比对平台与应用的组织机构、用户信息，核验信息是否实时正确同步，并做好记录</w:t>
      </w:r>
      <w:r>
        <w:rPr>
          <w:rFonts w:hint="eastAsia" w:ascii="宋体" w:hAnsi="宋体" w:cs="宋体"/>
          <w:bCs/>
          <w:color w:val="000000"/>
          <w:sz w:val="24"/>
          <w:szCs w:val="24"/>
        </w:rPr>
        <w:t xml:space="preserve">；制定组织机构用户信息校核管理规范，明确接入应用需遵循该规范开发标准化校核接口，统一数据校验规则与交互协议。</w:t>
      </w:r>
      <w:r>
        <w:rPr>
          <w:rFonts w:hint="eastAsia" w:ascii="宋体" w:hAnsi="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统一单点登录功能：基于现有工作流二次开发整体框架，采用新一代授权协议，研发标准化、可扩展的统一单点登录功能模块。该模块通过构建集中式身份认证中心与跨应用令牌管理机制，实现用户在不同异构系统间的无感知身份传递与跨域访问切换。包含用户认证信息。支持基于角色、权限或属性的细粒度访问控制策略；支持生成用户访问凭证；支持验证用户访问凭证；支持用户仅需一次身份认证即可流畅访问所有授权应用，提升跨应用协作效率与用户体验；支持通过动态权限校验机制保障访问过程的安全性与合规性。</w:t>
      </w:r>
      <w:r>
        <w:rPr>
          <w:rFonts w:hint="eastAsia" w:ascii="宋体" w:hAnsi="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统一单点登录功能-扩展能力：支持多场景差异化定制开发与参数化灵活配置</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可根据不同业务场景的需求特征，提供针对性的功能定制与参数调优能力，满足多样化业务场景的个性化接入要求；支持统一认证网关实现异构应用的无缝对接，为各类应用提供覆盖身份认证、权限授权、用户信息及代理转发的服务。</w:t>
      </w:r>
      <w:r>
        <w:rPr>
          <w:rFonts w:hint="eastAsia" w:ascii="宋体" w:hAnsi="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统一单点登录功能-系统访问日志模块：包含系统访问日志信息。支持日志记录；支持登录信息分页展示；支持系统访问情况统计功能。</w:t>
      </w:r>
      <w:r>
        <w:rPr>
          <w:rFonts w:hint="eastAsia" w:ascii="宋体" w:hAnsi="宋体" w:cs="宋体"/>
          <w:bCs/>
          <w:color w:val="000000"/>
          <w:sz w:val="24"/>
          <w:szCs w:val="24"/>
        </w:rPr>
      </w:r>
      <w:r/>
    </w:p>
    <w:p>
      <w:pPr>
        <w:pStyle w:val="883"/>
        <w:numPr>
          <w:ilvl w:val="0"/>
          <w:numId w:val="5"/>
        </w:numPr>
        <w:ind w:left="0"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统一单点登录功能-用户登录状态审计管理模块：包含用户会话信息。支持强制下线用户；支持实时查看在线用户状态的功能。</w:t>
      </w:r>
      <w:r>
        <w:rPr>
          <w:rFonts w:hint="eastAsia" w:ascii="宋体" w:hAnsi="宋体" w:cs="宋体"/>
          <w:bCs/>
          <w:color w:val="000000"/>
          <w:sz w:val="24"/>
          <w:szCs w:val="24"/>
        </w:rPr>
      </w:r>
      <w:r/>
    </w:p>
    <w:p>
      <w:pPr>
        <w:pStyle w:val="883"/>
        <w:numPr>
          <w:ilvl w:val="0"/>
          <w:numId w:val="5"/>
        </w:numPr>
        <w:ind w:left="0" w:firstLine="420"/>
        <w:keepLines w:val="0"/>
        <w:keepNext w:val="0"/>
        <w:pageBreakBefore w:val="0"/>
        <w:spacing w:line="264" w:lineRule="auto"/>
        <w:widowControl w:val="off"/>
        <w:rPr>
          <w:rFonts w:hint="eastAsia" w:ascii="宋体" w:hAnsi="宋体" w:cs="宋体"/>
          <w:bCs/>
          <w:color w:val="000000"/>
          <w:sz w:val="24"/>
          <w:szCs w:val="24"/>
          <w:highlight w:val="none"/>
        </w:rPr>
      </w:pPr>
      <w:r>
        <w:rPr>
          <w:rFonts w:hint="eastAsia"/>
          <w:lang w:val="en-US" w:eastAsia="zh-CN"/>
        </w:rPr>
        <w:t xml:space="preserve">统</w:t>
      </w:r>
      <w:r>
        <w:rPr>
          <w:rFonts w:hint="eastAsia" w:ascii="宋体" w:hAnsi="宋体" w:cs="宋体"/>
          <w:bCs/>
          <w:color w:val="000000"/>
          <w:sz w:val="24"/>
          <w:szCs w:val="24"/>
        </w:rPr>
        <w:t xml:space="preserve">一单点登录功能-兼容性开发：新单点登录功能采用兼容性设计，适配现有单点登录认证体系，确保各业务应用在系统升级、迁移或迭代过程中，认证能力实现平滑过渡与无感知切换，</w:t>
      </w:r>
      <w:r>
        <w:rPr>
          <w:rFonts w:hint="eastAsia" w:ascii="宋体" w:hAnsi="宋体" w:cs="宋体"/>
          <w:bCs/>
          <w:color w:val="000000"/>
          <w:sz w:val="24"/>
          <w:szCs w:val="24"/>
          <w:highlight w:val="none"/>
        </w:rPr>
        <w:t xml:space="preserve">切实保障业务连续性与用户体验的一致性。</w:t>
      </w:r>
      <w:r>
        <w:rPr>
          <w:rFonts w:hint="eastAsia" w:ascii="宋体" w:hAnsi="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2.公共组件</w:t>
      </w:r>
      <w:r>
        <w:rPr>
          <w:rFonts w:hint="eastAsia" w:ascii="宋体" w:hAnsi="宋体" w:eastAsia="宋体" w:cs="宋体"/>
          <w:bCs/>
          <w:color w:val="000000"/>
          <w:sz w:val="24"/>
          <w:szCs w:val="24"/>
          <w:highlight w:val="none"/>
        </w:rPr>
        <w:t xml:space="preserve">建设</w:t>
      </w:r>
      <w:r>
        <w:rPr>
          <w:rFonts w:hint="eastAsia" w:ascii="宋体" w:hAnsi="宋体" w:eastAsia="宋体" w:cs="宋体"/>
          <w:bCs/>
          <w:color w:val="000000"/>
          <w:sz w:val="24"/>
          <w:szCs w:val="24"/>
          <w:highlight w:val="none"/>
        </w:rPr>
      </w:r>
      <w:r/>
    </w:p>
    <w:p>
      <w:pPr>
        <w:pStyle w:val="883"/>
        <w:numPr>
          <w:ilvl w:val="0"/>
          <w:numId w:val="6"/>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highlight w:val="none"/>
        </w:rPr>
        <w:t xml:space="preserve">Ge</w:t>
      </w:r>
      <w:r>
        <w:rPr>
          <w:rFonts w:hint="eastAsia" w:ascii="宋体" w:hAnsi="宋体" w:cs="宋体"/>
          <w:bCs/>
          <w:color w:val="000000"/>
          <w:sz w:val="24"/>
          <w:szCs w:val="24"/>
        </w:rPr>
        <w:t xml:space="preserve">oJson转换文件组件的多格式转换功能：研发GeoJson转换SHP、GeoJson转换DWG和GeoJson转换TXT等功能。支持将GeoJson数据基于转换规则，转换成符合目标格式规范数据。</w:t>
      </w:r>
      <w:r>
        <w:rPr>
          <w:rFonts w:hint="eastAsia" w:ascii="宋体" w:hAnsi="宋体" w:cs="宋体"/>
          <w:bCs/>
          <w:color w:val="000000"/>
          <w:sz w:val="24"/>
          <w:szCs w:val="24"/>
        </w:rPr>
      </w:r>
      <w:r/>
    </w:p>
    <w:p>
      <w:pPr>
        <w:pStyle w:val="883"/>
        <w:numPr>
          <w:ilvl w:val="0"/>
          <w:numId w:val="6"/>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GeoJson转换文件组件的封装功能：将组件封装成接口，接收外部输入的标准GeoJson数据及目标类型（SHP/DWG/TXT），调用多格式转换功能完成转换后，将可下载文件输出至外部，完成数据状态的转换与传递。封装的组件将纳入国基平台统一管理，并对外共享开放，以支撑业务应用建设。</w:t>
      </w:r>
      <w:r>
        <w:rPr>
          <w:rFonts w:hint="eastAsia" w:ascii="宋体" w:hAnsi="宋体" w:cs="宋体"/>
          <w:bCs/>
          <w:color w:val="000000"/>
          <w:sz w:val="24"/>
          <w:szCs w:val="24"/>
        </w:rPr>
      </w:r>
      <w:r/>
    </w:p>
    <w:p>
      <w:pPr>
        <w:pStyle w:val="883"/>
        <w:numPr>
          <w:ilvl w:val="0"/>
          <w:numId w:val="6"/>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SHP转换GeoJson组件的格式转换功能：研发SHP转换GeoJson功能。支持将SHP文件基于转换规则，转换成符合目标格式规范数据。</w:t>
      </w:r>
      <w:r>
        <w:rPr>
          <w:rFonts w:hint="eastAsia" w:ascii="宋体" w:hAnsi="宋体" w:cs="宋体"/>
          <w:bCs/>
          <w:color w:val="000000"/>
          <w:sz w:val="24"/>
          <w:szCs w:val="24"/>
        </w:rPr>
      </w:r>
      <w:r/>
    </w:p>
    <w:p>
      <w:pPr>
        <w:pStyle w:val="883"/>
        <w:numPr>
          <w:ilvl w:val="0"/>
          <w:numId w:val="6"/>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SHP转换GeoJson组件的封装功能：将组件封装成接口，接收外部输入的标准SHP文件数据，调用格式转换功能完成转换后，将GeoJson数据输出至外部，完成数据状态的转换与传递。封装的组件将纳入国基平台统一管理，并对外共享开放，以支撑业务应用建设。</w:t>
      </w:r>
      <w:r>
        <w:rPr>
          <w:rFonts w:hint="eastAsia" w:ascii="宋体" w:hAnsi="宋体" w:cs="宋体"/>
          <w:bCs/>
          <w:color w:val="000000"/>
          <w:sz w:val="24"/>
          <w:szCs w:val="24"/>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镇村布局规划成果入库质检工具建设</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开发镇村布局规划数据建库质检桌面端工具，实现镇村布局规划建库归档成果数据的成果完整性、图层规范性、几何、拓扑、图层间属性一致性、空间逻辑一致性等各项质量检查。</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成果完整性检查</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依据数据汇交规范，工具支持对镇村布局规划成果数据的文件组成架构、图层组成架构、表格组成架构等执行标准化核查，并区分硬性核查和建议性核查，分类型输出质检结果。</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图层规范性检查</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依据数据汇交规范，工具支持对镇村布局规划成果数据的图层名称、属性结构、字段必填性、编号唯一性、字段值域、是否存在空值、几何类型、空间参考等要素执行标准化核查。</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①图层名称检查：</w:t>
      </w:r>
      <w:r>
        <w:rPr>
          <w:rFonts w:hint="eastAsia" w:ascii="宋体" w:hAnsi="宋体" w:eastAsia="宋体" w:cs="宋体"/>
          <w:bCs/>
          <w:color w:val="000000"/>
          <w:sz w:val="24"/>
          <w:szCs w:val="24"/>
          <w:highlight w:val="none"/>
        </w:rPr>
        <w:t xml:space="preserve">对即将建库的镇村布局规划成果数据进行核查，确保图层数量及名称与汇交规范保持一致。</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②属性结构检查：</w:t>
      </w:r>
      <w:r>
        <w:rPr>
          <w:rFonts w:hint="eastAsia" w:ascii="宋体" w:hAnsi="宋体" w:eastAsia="宋体" w:cs="宋体"/>
          <w:bCs/>
          <w:color w:val="000000"/>
          <w:sz w:val="24"/>
          <w:szCs w:val="24"/>
          <w:highlight w:val="none"/>
        </w:rPr>
        <w:t xml:space="preserve">对数据成果中各图层的属性结构定义进行核查，包括字段名称、字段类型、字段长度、小数位数等，确保属性结构与汇交规范保持一致。</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③字段必填性检查：</w:t>
      </w:r>
      <w:r>
        <w:rPr>
          <w:rFonts w:hint="eastAsia" w:ascii="宋体" w:hAnsi="宋体" w:eastAsia="宋体" w:cs="宋体"/>
          <w:bCs/>
          <w:color w:val="000000"/>
          <w:sz w:val="24"/>
          <w:szCs w:val="24"/>
          <w:highlight w:val="none"/>
        </w:rPr>
        <w:t xml:space="preserve">对数据成果中各图层的必填字段进行核查，确保必填字段的存在性。</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④编号唯一性：</w:t>
      </w:r>
      <w:r>
        <w:rPr>
          <w:rFonts w:hint="eastAsia" w:ascii="宋体" w:hAnsi="宋体" w:eastAsia="宋体" w:cs="宋体"/>
          <w:bCs/>
          <w:color w:val="000000"/>
          <w:sz w:val="24"/>
          <w:szCs w:val="24"/>
          <w:highlight w:val="none"/>
        </w:rPr>
        <w:t xml:space="preserve">对数据成果中各图层中要求的唯一性字段进行核查，确保该字段内容的唯一性。</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⑤字段值域：</w:t>
      </w:r>
      <w:r>
        <w:rPr>
          <w:rFonts w:hint="eastAsia" w:ascii="宋体" w:hAnsi="宋体" w:eastAsia="宋体" w:cs="宋体"/>
          <w:bCs/>
          <w:color w:val="000000"/>
          <w:sz w:val="24"/>
          <w:szCs w:val="24"/>
          <w:highlight w:val="none"/>
        </w:rPr>
        <w:t xml:space="preserve">对数据成果中各图层中有值域要求的字段进行核查，确保该字段值域符合字典表要求。</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⑥是否存在空值：</w:t>
      </w:r>
      <w:r>
        <w:rPr>
          <w:rFonts w:hint="eastAsia" w:ascii="宋体" w:hAnsi="宋体" w:eastAsia="宋体" w:cs="宋体"/>
          <w:bCs/>
          <w:color w:val="000000"/>
          <w:sz w:val="24"/>
          <w:szCs w:val="24"/>
          <w:highlight w:val="none"/>
        </w:rPr>
        <w:t xml:space="preserve">对数据成果中各图层中要求非空的字段进行核查，确保该字段内容不存在空值。</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rPr>
        <w:t xml:space="preserve">⑦</w:t>
      </w:r>
      <w:r>
        <w:rPr>
          <w:rFonts w:hint="eastAsia" w:ascii="宋体" w:hAnsi="宋体" w:eastAsia="宋体" w:cs="宋体"/>
          <w:bCs/>
          <w:color w:val="000000"/>
          <w:sz w:val="24"/>
          <w:szCs w:val="24"/>
          <w:highlight w:val="none"/>
          <w:lang w:eastAsia="zh-CN"/>
        </w:rPr>
        <w:t xml:space="preserve">几何类型：</w:t>
      </w:r>
      <w:r>
        <w:rPr>
          <w:rFonts w:hint="eastAsia" w:ascii="宋体" w:hAnsi="宋体" w:eastAsia="宋体" w:cs="宋体"/>
          <w:bCs/>
          <w:color w:val="000000"/>
          <w:sz w:val="24"/>
          <w:szCs w:val="24"/>
          <w:highlight w:val="none"/>
        </w:rPr>
        <w:t xml:space="preserve">对数据成果中各图层的几何类型定义进行核查，确保该字段几何类型与汇交规范保持一致。</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rPr>
        <w:t xml:space="preserve">⑧</w:t>
      </w:r>
      <w:r>
        <w:rPr>
          <w:rFonts w:hint="eastAsia" w:ascii="宋体" w:hAnsi="宋体" w:eastAsia="宋体" w:cs="宋体"/>
          <w:bCs/>
          <w:color w:val="000000"/>
          <w:sz w:val="24"/>
          <w:szCs w:val="24"/>
          <w:highlight w:val="none"/>
          <w:lang w:eastAsia="zh-CN"/>
        </w:rPr>
        <w:t xml:space="preserve">空间参考：</w:t>
      </w:r>
      <w:r>
        <w:rPr>
          <w:rFonts w:hint="eastAsia" w:ascii="宋体" w:hAnsi="宋体" w:eastAsia="宋体" w:cs="宋体"/>
          <w:bCs/>
          <w:color w:val="000000"/>
          <w:sz w:val="24"/>
          <w:szCs w:val="24"/>
          <w:highlight w:val="none"/>
        </w:rPr>
        <w:t xml:space="preserve">确保成果数据采用的坐标系统为2000国家大地坐标系（CGCS2000），并以1985国家高程基准作为高程基准。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几何检查</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工具实现对数据表进行几何检查，发现其中的几何错误，包括多边形边界自相交、多边形外壳存在未完全闭合圆环及多边形未正确闭合等问题。</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拓扑检查</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工具实现对数据表的拓扑关系构建，并对数据表内部的拓扑关系错误进行检测。针对点要素，确保无重复项；对于面状要素，则检查数据表内无重复要素或要素间无相互重叠现象。</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图层间属性一致性检查</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工具实现对村庄布点和自然村范围图层建立属性连接，核查村庄布点数据中的镇街名称、行政村名称、自然村名称、村庄分类等字段属性与自然村范围图层对应字段属性是否一致。</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空间逻辑一致性检查</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具实现分别对村庄布点图层和行政村范围图层建立空间关系、对自然村图层和行政村范围图层建立空间关系、对村庄布点和自然村范围图层建立空间关系，并核查空间逻辑一致性，指出村庄布点或自然村超出行政村范围的情况以及村庄布点和自然村范围的对应情况。</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质检结果预览、输出、管理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①结果汇总</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工具实现对本次质检任务情况进行记录，包括任务名称、创建时间、保存路径、质检对象、质检时长、质检总条目、错误总数、是否质检完成等参数，并归类呈现至浏览面板。</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②空间浏览</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工具实现对抽象的质检结果列表与具象的空间位置进行强关联，实现从“逻辑错误”到“空间问题”的一键式精准定位与高亮展示，提升质检入库人员排查问题、探究原因的效率和精准度。</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③报告预览</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工具实现对质检报告生成与预览模块功能，将自动化质检产生的结构化数据结果，合成一份格式规范、内容详实Excel格式报告，使用户无需跳出软件即可全面、直观地审视质检结论。</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④报告导出</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工具实现对已预览的报告以标准文件形式持久化保存至本地的能力，方便报告的归档、备案以及通过邮件、移动存储等线下方式传阅给相关方。</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⑤任务管理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工具实现对历史任务进行创建、持久化存储、统一管理，支持任务打开、删除和预览操作，为后续的版本追溯和历史管理奠定基础。</w:t>
      </w:r>
      <w:r>
        <w:rPr>
          <w:rFonts w:hint="eastAsia" w:ascii="宋体" w:hAnsi="宋体" w:eastAsia="宋体" w:cs="宋体"/>
          <w:bCs/>
          <w:color w:val="000000"/>
          <w:sz w:val="24"/>
          <w:szCs w:val="24"/>
          <w:highlight w:val="none"/>
        </w:rPr>
      </w:r>
      <w:r/>
    </w:p>
    <w:p>
      <w:pPr>
        <w:pStyle w:val="883"/>
        <w:ind w:firstLine="482"/>
        <w:spacing w:line="264"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内容三：</w:t>
      </w:r>
      <w:r>
        <w:rPr>
          <w:rFonts w:hint="eastAsia" w:ascii="宋体" w:hAnsi="宋体" w:eastAsia="宋体" w:cs="宋体"/>
          <w:b/>
          <w:bCs w:val="0"/>
          <w:color w:val="000000"/>
          <w:sz w:val="24"/>
          <w:szCs w:val="24"/>
          <w:highlight w:val="none"/>
        </w:rPr>
        <w:t xml:space="preserve">南京市国土空间规划“一张图”实施监督2025应用场景建设内容</w:t>
      </w:r>
      <w:r>
        <w:rPr>
          <w:rFonts w:hint="eastAsia" w:ascii="宋体" w:hAnsi="宋体" w:eastAsia="宋体" w:cs="宋体"/>
          <w:b/>
          <w:bCs w:val="0"/>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在前期初步整合的基础上，以南京市“一张图”实施监督信息系统新框架对多规审查模块进行功能重构，结合新技术实施系统性的功能重构，从代码底层逻辑到界面呈现细节，逐一优化。数据以南京市国土空间基础信息平台为依托，在统一的系统框架、统一的数据体系、统一的标准规范下，实现多规功能模块与南京市“一张图”实施监督信息系统的功能深度融合，构建深度应用、联动协调的前端技术框架。让用户在操作过程中，无论是信息检索、统计查询还是结果查看，都能感受到流畅、便捷的交互体验，全面优化每个操作环节的用户感知。</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重新梳理并构建多规审查业务流程，从项目申报入口，到资料初审、处室会审、结果复核，再到最终办结归档，流程环节需要结合新需求进行斟酌、优化调整。随着“多规合一”技术平台与国土空间规划“一张图”实施监督信息平台的深度融合，根据自然资源领域实际业务需求，突出技术审查的工作重点，在现有审查流程基础上，按照全局统一工作流引擎的要求，重构多规审查业务流程，并按照国土空间总体规划批复后的新要求，对多规审查涉及的部门、流程、人员进行调整更新维护，保障多规审查工作的运转。</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开展全面的数据源精细配置，从海量的数据源头中甄别、筛选最精准、最具时效性</w:t>
      </w:r>
      <w:r>
        <w:rPr>
          <w:rFonts w:hint="eastAsia" w:ascii="宋体" w:hAnsi="宋体" w:eastAsia="宋体" w:cs="宋体"/>
          <w:bCs/>
          <w:color w:val="000000"/>
          <w:sz w:val="24"/>
          <w:szCs w:val="24"/>
          <w:highlight w:val="none"/>
        </w:rPr>
        <w:t xml:space="preserve">的数据源；对要素类进行精准设定，使其各归其位、属性明确；实时更新数据服务，让数据的调用、共享及时迅速；审查内容优化调整，确保系统能够精准实现国土空间总体规划批复后，发挥规划指引的关键作用，规划核心内容实施严格审查，不遗漏可能影响城市可持续发展的重要细节。对审查的数据内容进行数据源配置、要素类配置、数据服务更新及相应的功能调整完善，实现国土空间总体规划批复后原城乡规划、土地利用规划、规划用地、生态保护红线、城镇开发边界、永久基本农田等内容的审查，发挥技术平台的系统优势，进一步提升规划审查的数字化、智能化水平。</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对动态优化调整后的城镇开发边界数据，实现相应的审查内容更新，保障审查功能的现势性。城镇开发边界调整优化政策要求，在严格落实耕地保护优先序，确保城镇建设用地规模和城镇开发边界扩展倍数不突破的前提下，实施全域整治确需统筹优化城镇开发边界的，可进行局部优化。涉及调出城镇开发边界的区域，应加强规划管控，不得开展城镇集中建设。鼓励城镇开发边界外的批而未用建设用地，有序腾挪迁建，在城镇开发边界内集中连片建设；城镇开发边界边缘规模较小、分散零碎的空间，可以有序复垦退出，实现空间布局优化。</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结合管控要求，依据最新政策解读、实践案例反馈，对多规审查规则进行调整，保障规划审查和精准传导的实现；对审查报告的内容，结合内容调整和审查内容调整，保障基于系统自动出具更新后的技术审查报告。依托系统自动化优势，将复杂的数据、审查结论转化为规划文本阐述、精准直观的图表展示，一键出具更新后的专业技术审查报告，为规划审查工作提供有力的数据支撑与决策依据，成为自然资源规划管理的得力助手。为筑牢城市规划合规性的 “防火墙”，研发合规性审查</w:t>
      </w:r>
      <w:r>
        <w:rPr>
          <w:rFonts w:hint="eastAsia" w:ascii="宋体" w:hAnsi="宋体" w:eastAsia="宋体" w:cs="宋体"/>
          <w:bCs/>
          <w:color w:val="000000"/>
          <w:sz w:val="24"/>
          <w:szCs w:val="24"/>
          <w:highlight w:val="none"/>
        </w:rPr>
        <w:t xml:space="preserve">组件，其旨在实现对总体规划传导要求落实情况的实时动态监测，支持对集中建设区、非集中建设区、点布局规划等多种项目类型数据进行控制线精准检测及各部门现行规划底线检测。控制线检测主要是检测对象是否涉及永久基本农田、生态保护红线、生态空间管控区域以及城镇开发边界。各部门现行规划检测主要是检测对象是否涉及超出允许建设区、禁止建设区、限制建设区以及有条件建设区。系统能够实时将检测结果以文、图、表有机融合的审查报告形式高效生成并便捷导出，为规划审查工作提供一站式、可视化的数据呈现，成为城市规划辅助决策不可或缺的得力助手。</w:t>
      </w:r>
      <w:r>
        <w:rPr>
          <w:rFonts w:hint="eastAsia" w:ascii="宋体" w:hAnsi="宋体" w:eastAsia="宋体" w:cs="宋体"/>
          <w:bCs/>
          <w:color w:val="000000"/>
          <w:sz w:val="24"/>
          <w:szCs w:val="24"/>
          <w:highlight w:val="none"/>
        </w:rPr>
      </w:r>
      <w:r/>
    </w:p>
    <w:p>
      <w:pPr>
        <w:pStyle w:val="883"/>
        <w:ind w:firstLine="482"/>
        <w:spacing w:line="264"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内容四：</w:t>
      </w:r>
      <w:r>
        <w:rPr>
          <w:rFonts w:hint="eastAsia" w:ascii="宋体" w:hAnsi="宋体" w:eastAsia="宋体" w:cs="宋体"/>
          <w:b/>
          <w:bCs w:val="0"/>
          <w:color w:val="000000"/>
          <w:sz w:val="24"/>
          <w:szCs w:val="24"/>
          <w:highlight w:val="none"/>
        </w:rPr>
        <w:t xml:space="preserve">一体化政务服务系统部分流程建设及业务对接</w:t>
      </w:r>
      <w:r>
        <w:rPr>
          <w:rFonts w:hint="eastAsia" w:ascii="宋体" w:hAnsi="宋体" w:eastAsia="宋体" w:cs="宋体"/>
          <w:b/>
          <w:bCs w:val="0"/>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镇村布局规划编审管理模块</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线下镇村布局审查的需求与成果归档的标准，构建技术审查与入库归档编审流程，实现镇村布局规划项目的分类管理、审查环节的协同流转、审查成果的上报初检以及审查意见的汇总归档等信息化功能。旨在支撑镇村布局规划编审管理工作的高效执行，降低线下多部门间人工沟通与核对的工作量，审查过程全留痕，以保障审查工作的有序性和公开性。</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镇村布局规划技术审查功能研发</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①技术审查流程构建</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基于现有镇村布局规划编审规则，构建多轮次线上技术审查编审工作流程。支持线上由分局经办人申请审查和分局领导审批后，提至信息中心技术审查和耕保处初审，经多处室完成会审并汇交意见后，最终由耕保处完成上会整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流程支持多轮次审查情况，在中心技术审查或耕保处初审环节进行中，一方要求补正材料后，审查将自动进入下一轮，分局经办人需重新申请并递交待审查材料。流程按审查阶段分为待审核、审核意见已反馈规划修改、修改后提交成果待审核、审核已通过待上会和已上会五类状态，并在关键节点要求中心审查人员上传技术审查报告，耕保处最终整理人员上传会议纪要。</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②技术审查项目管理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根据经办人员的实际参与情况，将镇村布局规划编审技术审查项目从办理状态的角度细分为待办任务、已办任务以及全部项目列表三个子维度进行管理。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审查待办列表展示当前经办人员待处理的项目年度、名称、编号、上会状态、审查轮次、节点名称和申请部门等基本信息。技术审查已办列表展示当前经办人员已处理的项目名称、编号、上会状态、审查轮次、已办节点、申请部门、负责人和编制单位等基本信息。技术审查全部项目列表按在办和办结状态区分项目，统计各自数量，并展示项目名称、上会状态、审查轮次、当前流程、更新时间和办结时间等基本信息。三类列表均支持按上会类型和项目名称进行二次筛选。</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③技术审查环节的协同流转</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流程的流转过程中，支持单一部门内部的审核流程，即由经办人进行初审，然后提交给部门负责人进行终审的模式；支持多部门并行处理的业务审查模式，允许所有相关部门同时进行审查工作，一旦所有相关部门都完成内部评审流程并表示同意，才可以统一提交进入下一环节。两类处理方式协同多部门镇村布局规划编审技术审查环节流转，提高实际审查工作效率和审查质量。</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④技术审查成果初检与整理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支持在技术审查流程创建时直接由经办人员上传完整的成果文件夹，并自动执行初步校验，包括文档结构的正确性、必需文件的存在性以及文件名称的完整性，校验通过后自动整理文件体系，形成结构化的成果文件树。技术审查流程中的各环节经办人员均可下载成果文件树，并对部分格式文件进行快速在线预览。在多轮次技术审查的流程中，成果文件树会根据审查轮次保存相应的文件成果。技术审查过程中每一轮次必要的中心技术审查报告和技术审查上会报告，也会在对应经办人员上传后自动整理归档至成果文件树。</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⑤技术审查意见汇总</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收集镇村布局规划编审技术审查项目流转过程中技术审查中心、整理部门和会审部门经办人员的审查意见，并按部门对经办人员的意见进行详细归档，包括所有经办人员的姓名、审查时间、审查轮次以及审查意见等详细信息。支持对经办人员上传的相关意见附件进行预览，便于部门间意见交汇、审查发起人员成果修改和审查最终办结整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镇村布局规划入库归档功能研发</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①入库归档流程构建</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基于现有镇村布局规划编审规则，构建多轮次线上入库归档编审工作流程。支持线上由分局经办人申请审查和分局领导审批后，提至信息中心入库质检，质检通过后最终由耕保处完成入库整理。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流程支持多轮次审查情况，在中心入库质检环节进行中，要求补正材料后，审查自动进入下一轮，分局经办人需重新申请并递交待审查材料，中心经办人员在入库质检环节上传入库质检报告。</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②入库归档项目管理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根据经办人员的实际参与情况，将镇村布局规划编审入库归档项目从办理状态的角度细分为待办任务、已办任务以及全部项目列表三个子维度进行管理。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入库归档待办列表展示当前经办人员待处理的项目年度、名称、编号、区政府批复时间、省厅备案时间、验收轮次、节点名称和申请部门等基本信息。入库归档已办列表展示当前经办人员已处理的项目名称、编号、验收轮次、已办节点和申请部门等基本信息。入库归档全部项目列表按在办和办结状态区分项目，统计各自数量，并展示项目名称、验收轮次、当前流程、更新时间和办结时间等基本信息。三类列表均支持按项目名称进行二次筛选。</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③入库归档项目关联</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结合技术审查与入库归档实际办理经验，在某一技术审查流程办结后，将自动关联创建入库归档流程，构建表单回填技术审查项目的基本信息。提醒经办人该项目的入库归档流程已完成创建，待进行数据核对与提交后，入库归档流程直接开始流转，减少经办人员重复填写项目信息的繁琐操作。</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④入库归档成果初检与整理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支持在入库归档流程创建时直接由经办人员上传完整的成果文件夹，并自动执行初步校验，包括文档结构的正确性、必需文件的存在性以及文件名称的完整性，校验通过后自动整理文件体系，形成结构化的成果文件树。入库归档流程中的各环节经办人员均可下载成果文件树，并对部分格式文件进行快速在线预览。在多轮次入库归档的流程中，成果文件树会根据验收轮次保存相应的文件成果。入库归档过程中每一轮次必要的中心入库质检报告，也会在对应经办人员上传后自动整理归档至成果文件树。</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⑤入库归档意见汇总</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收集镇村布局规划编审入库归档项目流转过程中入库质检中心和整理部门经办人员的验收意见，并按部门对经办人员的意见进行详细归档，包括所有经办人员的姓名、验收时间、验收轮次以及验收意见等详细信息。支持对经办人员上传的相关意见附件进行预览，便于部门间意见交汇、验收发起人员成果修改和审查最终办结整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征收补偿管理应用功能模块</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提升批后案件的管理能力</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征地报批案件同步：对接征地报批业务应用，提供征地报批案件的定时同步功能。同步内容主要包括批次名称、批准文号、批准日期、征地项目名称、来案号、批准文件附件、用地面积等基本信息。同时，本应用提供手动更新功能，便于用户及时获取最新数据。</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征地报批案件展示：提供层级式展示案件列表功能。以报批项目作为主要展示列表，通过征地项目最后一列的展开操作，可以下拉展示出报批项目中包含的征地项目。同时，支持通过报批项目名称、征地项目名称、来案号等字段进行案件查询。</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批后业务发起管理：支持四个流程的发起：共享征地批文、共享征收公告、办理费用拨付以及办理费用结算。共享征地批文业务的发起位于报批项目的操作栏，而其他三个业务的发起则位于征地项目的操作栏。支持识别并高亮显示未发起的业务按钮，同时将已发起的业务按钮置灰，使其不可点击。支持已发起的业务通过批次名称或项目名称进行查看。</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④批后业务办理预警：支持根据业务办理的时限，配置正常、提醒、预警、超时四种办理预警提示。支持鼠标悬浮至预警栏，悬浮展示各项业务的具体预警内容，主要包括取得日期、截止日期、未完成案件量。</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⑤批后业务待办案件量：在批后办理功能中，支持悬浮显示待办案件的数量。待办案件的数量是根据批次项目进行统计的，只有当整个批次，包括征地项目全部完成，才视为该批次完成。</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加强平台共享协同能力</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①扩充共享内容：支持在征地批文共享业务，增加征地项目一览表、项目分类面积表以及纳税通知单附件的共享。同时，支持限制上传附件的格式，并对用户上传的附件进行格式校验，确保符合规定。</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业务关联展示：支持在办理详情页面的右侧增设关联用地报批项目和征地前期项目的树形结构展示。通过与用地报批应用的对接，实现点击业务名称后自动跳转至用地报批案件的详情页面，以便用户查阅相关信息。</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③信息自动带入：支持在共享征地批文、共享征收公告、办理费用拨付以及办理费用结算这四个业务流程发起时，自动从征地报批应用中导入相关信息</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有助于用户快速办理业务。</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扩展平台辅助工具</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业务补正功能：支持在业务发起后更换附件。用户可以对已共享但尚未完成的案件执行补正操作，通过点击补正功能，更新可编辑的表单信息和附件，并重新输入办理意见以完成补正。此外，补正后的案件会在案件名称前显示补正信息，以通知其他用户该案件已进行过补正。同时，已阅知该案件的用户在案件重新发送时能够收到通知并查看更新内容。</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②模板打印功能：支持根据文书模板自动填充应用数据，实现文书的自动生成。所支持的文书类型主要包括征地费用拨付联系单、预存征地补偿款结算单、预存征地规费结算单等。</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③统计导出功能：支持将统计表格导出为Excel格式，以便根据展示的表格内容进行详细分析。需要包括工作进度、费用情况、批次详情以及项目详情的导出功能。</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④统计关联功能：支持统计表格间的联动关联功能，以及批次详情的统计。能够根据批次名称自动跳转至项目详情，并筛选后展示查看。</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⑤案件查询功能：支持根据业务类型、案件名称、办件时间等属性信息进行查询，并提供批次和项目维度的查询功能，以及批量文件下载等服务。</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综合管理功能：综合管理员角色能够监控和追踪各分局的案件处理进度，支持综合管理员对在办案件、已办结案件以及批后管理的全面查看权限。管理员能够查看所有分局的案件处理情况。一是批后管理模块支持查看，但禁止发起新的案件处理；二是在办箱功能支持打开案件，但不允许编辑数据、添加意见、上传附件或执行任何可能产生记录的操作</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三是管理员可以执行下载和生成模板文档等不产生记录的操作。</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通知公告功能：通知公告功能提供帮助文档、功能更新、系统维护等公告类信息。其主要功能涵盖：以纯文字或PDF格式展示通知内容；查看历史通知；展示用户操作手册；自动弹出未读公告；以及高亮显示新通知消息。</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优化平台服务共享</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①完善表单页面：优化征地费用拨付与征地费用结算业务表单，整合表单中的共通元素，并改进填写控件的设计，以提升用户填写的效率。</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②完善统计项：扩展统计维度和数据项，从工作进度、费用情况、批次详情、项目详情四个维度进行统计设计和优化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以满足征地补偿安置工作的统计和查询需求。</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③提升共享提交：优化提交选择人员控件功能，支持根据各个分局的具体情况，配置相应的默认提交人员。支持用户能够根据案件的具体情况，选择合适的共享人员。</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流程建设</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新增临时用地批后监管页面，监测全市临时用地的批准、使用、复垦等情况；实现局信访流程改造，按照国家信访局表单格式规范管理，新增信访办理结果归档督办管理；研发公文拟办环节局领导排序校验提醒；完善事务管理请假流程，自动核减节假日，开通审计查询权限，支持X86、信创、移动端同步实现；开展与城市生命线项目对接，为其开发市政工程许可、规划验线、规划核实等业务数据查询接口（API）；开展与省厅前置库对接；开发将办结的用地预审、协议出让等业务数据推送至省厅前置库的接口（API）。</w:t>
      </w:r>
      <w:r>
        <w:rPr>
          <w:rFonts w:hint="eastAsia" w:ascii="宋体" w:hAnsi="宋体" w:eastAsia="宋体" w:cs="宋体"/>
          <w:bCs/>
          <w:color w:val="000000"/>
          <w:sz w:val="24"/>
          <w:szCs w:val="24"/>
          <w:highlight w:val="none"/>
        </w:rPr>
      </w:r>
      <w:r/>
    </w:p>
    <w:p>
      <w:pPr>
        <w:pStyle w:val="883"/>
        <w:ind w:firstLine="482"/>
        <w:spacing w:line="264"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内容五：</w:t>
      </w:r>
      <w:r>
        <w:rPr>
          <w:rFonts w:hint="eastAsia" w:ascii="宋体" w:hAnsi="宋体" w:eastAsia="宋体" w:cs="宋体"/>
          <w:b/>
          <w:bCs w:val="0"/>
          <w:color w:val="000000"/>
          <w:sz w:val="24"/>
          <w:szCs w:val="24"/>
          <w:highlight w:val="none"/>
        </w:rPr>
        <w:t xml:space="preserve">系统集成与信息技术咨询</w:t>
      </w:r>
      <w:r>
        <w:rPr>
          <w:rFonts w:hint="eastAsia" w:ascii="宋体" w:hAnsi="宋体" w:eastAsia="宋体" w:cs="宋体"/>
          <w:b/>
          <w:bCs w:val="0"/>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bookmarkStart w:id="61" w:name="_Toc211265065"/>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项目相关的网络及软硬件设备集成管理</w:t>
      </w:r>
      <w:bookmarkEnd w:id="61"/>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软硬件设备设施管理</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配合对采购的各类软硬件到货后开展软硬件接收工作，软件类配合接受相关的授权许可，并登记保管到位；硬件类设备配合到货检验。</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依据项目需要提供服务器相关资源</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展服务资源和网络的配置，包括服务器CPU、内存、存储、IP地址等资源分配工作以及操作系统、数据库、病毒防范、NTP服务器配置、远程端口更改等基础软件的初始安装和系统配置，设置服务器的管理员账号初始密码，配置堡垒机对应管理账户权限等工作。</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bookmarkStart w:id="62" w:name="_Toc211265066"/>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统一代码管理</w:t>
      </w:r>
      <w:bookmarkEnd w:id="62"/>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南京市规划和自然资源局信息化建设项目种类丰富、系统数量可观，但各系统代码由牵头部门独立管理，存在代码丢失、更新滞后、二次开发和维护困难等问题。为解决这些问题，需构建一个功能完备的统一代码管理系统。该系统将实现所有信息系统代码的集中存储与管理，确保代码的安全性和可追溯性；通过租户区分，为不同租户提供独</w:t>
      </w:r>
      <w:r>
        <w:rPr>
          <w:rFonts w:hint="eastAsia" w:ascii="宋体" w:hAnsi="宋体" w:eastAsia="宋体" w:cs="宋体"/>
          <w:bCs/>
          <w:color w:val="000000"/>
          <w:sz w:val="24"/>
          <w:szCs w:val="24"/>
          <w:highlight w:val="none"/>
        </w:rPr>
        <w:t xml:space="preserve">立的代码空间，保障数据隔离与安全；基于角色分配和权限管理，精准设定不同角色对代码的访问、修改、审核等权限，确保代码安全合规使用；同时，支持版本控制与分支管理，对不同项目代码进行分类、标识和版本控制，为开发、测试、生产等不同环境创建相应分支，支持协同并行开发，降低代码合并冲突风险；此外，规范代码提交流程和格式，确保代码质量，并支持代码周期性同步，指定代码同步策略，及时更新代码库，保障项目开发进度与代码一致性。通过系统的建设，显著提升信息化建设项目的开发效率和代码质量，为信息化研发工作提供安全、合规的基础保障。</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bookmarkStart w:id="63" w:name="_Toc211265067"/>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统一开发环境</w:t>
      </w:r>
      <w:bookmarkEnd w:id="63"/>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提升南京市规划和自然资源局信息化建设项目的开发效率与应用质量，需构建一个高效、稳定的软件开发全周期环境，覆盖从统一代码管理系统中拉取实时最新代码开始，到代码质量检测、应用打包、部署及发布的完整自动化流程。通过构建自动化工具链实现开发与部署的无缝衔接，减少人工干预导致的失误率，确保代码的一致性和可追溯性</w:t>
      </w:r>
      <w:r>
        <w:rPr>
          <w:rFonts w:hint="eastAsia" w:ascii="宋体" w:hAnsi="宋体" w:eastAsia="宋体" w:cs="宋体"/>
          <w:bCs/>
          <w:color w:val="000000"/>
          <w:sz w:val="24"/>
          <w:szCs w:val="24"/>
          <w:highlight w:val="none"/>
        </w:rPr>
        <w:t xml:space="preserve">；同时，提供标准化的开发工具和框架，消除环境差异，保障不同开发人员在相同环境下高效协作。此外，支持多项目并行自动化工作，具备灵活的资源调度与管理能力，集成持续集成（CI）和持续部署（CD）工具，进一步缩短开发周期，加快项目交付速度。系统部署的人员、时间、工程详情等信息将被详细记录，确保过程可追溯，当出现系统故障时能够快速定位问题源头并进行修复。通过这一统一的软件开发环境，不仅能够优化研发效率，更能增强系统的稳定性与安全性，为南京市规划和自然资源局的信息化项目提供坚实的技术支撑，推动项目顺利实施与高质量交付。</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bookmarkStart w:id="64" w:name="_Toc211265068"/>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统一技术栈</w:t>
      </w:r>
      <w:bookmarkEnd w:id="64"/>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提升南京市规划和自然资源局信息化建设项目的研发效率与系统可维护性，需实施统一的技术栈策略，构建一个稳定、一致且高效的研发工作技术栈框架。不同研发团队采用多种技术栈，导致后期维护复杂、沟通成本高昂，且难以实现代码复用与标准化。通过调研并选择经过验证的行业主流的自主可控的成熟的</w:t>
      </w:r>
      <w:r>
        <w:rPr>
          <w:rFonts w:hint="eastAsia" w:ascii="宋体" w:hAnsi="宋体" w:eastAsia="宋体" w:cs="宋体"/>
          <w:bCs/>
          <w:color w:val="000000"/>
          <w:sz w:val="24"/>
          <w:szCs w:val="24"/>
          <w:highlight w:val="none"/>
        </w:rPr>
        <w:t xml:space="preserve">技术栈，设计或采用模块化、组件化的开发框架，覆盖从系统设计、开发到部署和维护的全生命周期，确保所有团队在项目周期内使用协调一致的技术解决方案。显著降低因多种技术并存导致的系统复杂度，集中资源优化特定领域的技术与工具，减少长期维护成本；同时，通过组件可复用性和模块化设计与开发工作，提升代码清晰度与可维护性，促进开发流程的标准化与团队间协作，提高生产效率。统一技术栈方案将构建一个稳定、可预测的开发框架，增强系统整体性能、安全性和可维护性，为信息化建设项目的成功奠定坚实的技术基础，推动项目高质量交付与可持续发展。</w:t>
      </w:r>
      <w:r>
        <w:rPr>
          <w:rFonts w:hint="eastAsia" w:ascii="宋体" w:hAnsi="宋体" w:eastAsia="宋体" w:cs="宋体"/>
          <w:bCs/>
          <w:color w:val="000000"/>
          <w:sz w:val="24"/>
          <w:szCs w:val="24"/>
          <w:highlight w:val="none"/>
        </w:rPr>
      </w:r>
      <w:r/>
    </w:p>
    <w:p>
      <w:pPr>
        <w:pStyle w:val="883"/>
        <w:numPr>
          <w:ilvl w:val="0"/>
          <w:numId w:val="0"/>
        </w:numPr>
        <w:ind w:firstLine="482"/>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lang w:val="en-US" w:eastAsia="zh-CN" w:bidi="ar-SA"/>
        </w:rPr>
        <w:t xml:space="preserve">内容六：</w:t>
      </w:r>
      <w:r>
        <w:rPr>
          <w:rFonts w:hint="eastAsia" w:ascii="宋体" w:hAnsi="宋体" w:eastAsia="宋体" w:cs="宋体"/>
          <w:b/>
          <w:bCs w:val="0"/>
          <w:color w:val="000000"/>
          <w:sz w:val="24"/>
          <w:szCs w:val="24"/>
          <w:highlight w:val="none"/>
        </w:rPr>
        <w:t xml:space="preserve">南京市智慧耕地保护综合管理子系统数据建设内容</w:t>
      </w:r>
      <w:r>
        <w:rPr>
          <w:rFonts w:hint="eastAsia" w:ascii="宋体" w:hAnsi="宋体" w:eastAsia="宋体" w:cs="宋体"/>
          <w:b/>
          <w:bCs w:val="0"/>
          <w:color w:val="000000"/>
          <w:sz w:val="24"/>
          <w:szCs w:val="24"/>
          <w:highlight w:val="none"/>
        </w:rPr>
      </w:r>
      <w:r/>
    </w:p>
    <w:p>
      <w:pPr>
        <w:pStyle w:val="883"/>
        <w:numPr>
          <w:ilvl w:val="0"/>
          <w:numId w:val="0"/>
        </w:num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基于耕地保护智能体开展永久基本农田专题台账梳理更新建库（根据《永久基本农田红线管理办法》最新要求）</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永久基本农田储备区、核实整改、占用补划等数据入库规范性检查，按照标准规范要求对各项数据进行规范性检查，检查内容包括但不限于数据的完整性、准确性、逻辑一致性以及格式规范性等，对于不符合标准规范的数据进行标记，以便后续反馈数据提交部门完成数据修正和完善。</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变更调查耕地、永久基本农田各类专题数据入库，包括数据格式转换、数据纠错、数据去重、数据标准化、数据入库。</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将耕地、永久基本农田等各类专题数据发布地图服务，可视化展示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永久基本农田任务和年度永久基本农田专题台账。将国家下达的南京市永久基本农田保护任务按区、镇街、村图数联动管理，并对比各区年度永久基本农田面积，建立专题账本，实现年度永久基本农田保护任务考核得分预测。</w:t>
      </w:r>
      <w:r>
        <w:rPr>
          <w:rFonts w:hint="eastAsia" w:ascii="宋体" w:hAnsi="宋体" w:eastAsia="宋体" w:cs="宋体"/>
          <w:bCs/>
          <w:color w:val="000000"/>
          <w:sz w:val="24"/>
          <w:szCs w:val="24"/>
          <w:highlight w:val="none"/>
        </w:rPr>
      </w:r>
      <w:r/>
    </w:p>
    <w:p>
      <w:pPr>
        <w:pStyle w:val="883"/>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永久基本农田调整补划专题账本设计与数据统计。根据永久基本农田年度评估工作需要，统计汇总永久基本农田调入调出数据，掌握永久基本农田最新底数和实现永久基本农田动态更新。</w:t>
      </w:r>
      <w:r>
        <w:rPr>
          <w:rFonts w:hint="eastAsia" w:ascii="宋体" w:hAnsi="宋体" w:eastAsia="宋体" w:cs="宋体"/>
          <w:bCs/>
          <w:color w:val="000000"/>
          <w:sz w:val="24"/>
          <w:szCs w:val="24"/>
          <w:highlight w:val="none"/>
        </w:rPr>
      </w:r>
      <w:r/>
    </w:p>
    <w:p>
      <w:pPr>
        <w:pStyle w:val="883"/>
        <w:numPr>
          <w:ilvl w:val="0"/>
          <w:numId w:val="0"/>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bidi="ar-SA"/>
        </w:rPr>
        <w:t xml:space="preserve">（6）</w:t>
      </w:r>
      <w:r>
        <w:rPr>
          <w:rFonts w:hint="eastAsia" w:ascii="宋体" w:hAnsi="宋体" w:cs="宋体"/>
          <w:bCs/>
          <w:color w:val="000000"/>
          <w:sz w:val="24"/>
          <w:szCs w:val="24"/>
        </w:rPr>
        <w:t xml:space="preserve">永久基本农田占用补划专题账本。建立重大项目占用永久基本农田补划专题账本，统计重大项目占用与补划地块数量的对应关系，支撑永久基本农田占补平衡。</w:t>
      </w:r>
      <w:r>
        <w:rPr>
          <w:rFonts w:hint="eastAsia" w:ascii="宋体" w:hAnsi="宋体" w:cs="宋体"/>
          <w:bCs/>
          <w:color w:val="000000"/>
          <w:sz w:val="24"/>
          <w:szCs w:val="24"/>
        </w:rPr>
      </w:r>
      <w:r/>
    </w:p>
    <w:p>
      <w:pPr>
        <w:pStyle w:val="883"/>
        <w:numPr>
          <w:ilvl w:val="0"/>
          <w:numId w:val="0"/>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bidi="ar-SA"/>
        </w:rPr>
        <w:t xml:space="preserve">（7）</w:t>
      </w:r>
      <w:r>
        <w:rPr>
          <w:rFonts w:hint="eastAsia" w:ascii="宋体" w:hAnsi="宋体" w:cs="宋体"/>
          <w:bCs/>
          <w:color w:val="000000"/>
          <w:sz w:val="24"/>
          <w:szCs w:val="24"/>
        </w:rPr>
        <w:t xml:space="preserve">永久基本农田高标准农田建成情况专题账本。根据农业农村局提供的高标准农田数据成果，与永久基本农田进行叠加分析，展示已建成高标准农田，但还未划入永久基本农田的面积，支撑永农补划选址工作。</w:t>
      </w:r>
      <w:r>
        <w:rPr>
          <w:rFonts w:hint="eastAsia" w:ascii="宋体" w:hAnsi="宋体" w:cs="宋体"/>
          <w:bCs/>
          <w:color w:val="000000"/>
          <w:sz w:val="24"/>
          <w:szCs w:val="24"/>
        </w:rPr>
      </w:r>
      <w:r/>
    </w:p>
    <w:p>
      <w:pPr>
        <w:pStyle w:val="883"/>
        <w:numPr>
          <w:ilvl w:val="0"/>
          <w:numId w:val="0"/>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bidi="ar-SA"/>
        </w:rPr>
        <w:t xml:space="preserve">（8）</w:t>
      </w:r>
      <w:r>
        <w:rPr>
          <w:rFonts w:hint="eastAsia" w:ascii="宋体" w:hAnsi="宋体" w:cs="宋体"/>
          <w:bCs/>
          <w:color w:val="000000"/>
          <w:sz w:val="24"/>
          <w:szCs w:val="24"/>
        </w:rPr>
        <w:t xml:space="preserve">永久基本农田储备区专题账本。根据年度永久基本农田储备区划定地块，建立各区永久基本农田储备区专题账本，支撑永久基本农田调整补划等工作。 </w:t>
      </w:r>
      <w:r>
        <w:rPr>
          <w:rFonts w:hint="eastAsia" w:ascii="宋体" w:hAnsi="宋体" w:cs="宋体"/>
          <w:bCs/>
          <w:color w:val="000000"/>
          <w:sz w:val="24"/>
          <w:szCs w:val="24"/>
        </w:rPr>
      </w:r>
      <w:r/>
    </w:p>
    <w:p>
      <w:pPr>
        <w:pStyle w:val="883"/>
        <w:numPr>
          <w:ilvl w:val="0"/>
          <w:numId w:val="0"/>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bidi="ar-SA"/>
        </w:rPr>
        <w:t xml:space="preserve">2.</w:t>
      </w:r>
      <w:r>
        <w:rPr>
          <w:rFonts w:hint="eastAsia" w:ascii="宋体" w:hAnsi="宋体" w:cs="宋体"/>
          <w:bCs/>
          <w:color w:val="000000"/>
          <w:sz w:val="24"/>
          <w:szCs w:val="24"/>
        </w:rPr>
        <w:t xml:space="preserve">宁耕保扫码功能公开管控及相关法律政策知识管理。</w:t>
      </w:r>
      <w:r>
        <w:rPr>
          <w:rFonts w:hint="eastAsia" w:ascii="宋体" w:hAnsi="宋体" w:cs="宋体"/>
          <w:bCs/>
          <w:color w:val="000000"/>
          <w:sz w:val="24"/>
          <w:szCs w:val="24"/>
        </w:rPr>
      </w:r>
      <w:r/>
    </w:p>
    <w:p>
      <w:pPr>
        <w:pStyle w:val="883"/>
        <w:numPr>
          <w:ilvl w:val="0"/>
          <w:numId w:val="7"/>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政策法规分类展示，提供各管控要求的详细分类展示，包括但不限于耕地保护政策、高标准农田建设标准、标准化菜地管理要求等。通过点击不同分类，展示相应的政策文件、管理标准或具体要求，方便用户快速查找和了解相关信息。</w:t>
      </w:r>
      <w:r>
        <w:rPr>
          <w:rFonts w:hint="eastAsia" w:ascii="宋体" w:hAnsi="宋体" w:cs="宋体"/>
          <w:bCs/>
          <w:color w:val="000000"/>
          <w:sz w:val="24"/>
          <w:szCs w:val="24"/>
        </w:rPr>
      </w:r>
      <w:r/>
    </w:p>
    <w:p>
      <w:pPr>
        <w:pStyle w:val="883"/>
        <w:numPr>
          <w:ilvl w:val="0"/>
          <w:numId w:val="7"/>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政策法规分类管理，现有的“宁耕保”政策法规按照耕地、永久基本农田、生态保护红线等管控要求，及耕地保护、高标准农田、标准化菜地、林地、临时用地、设施农用地、农村道路及农村乱占耕地建房整治等管理政策类别进行资料的管理。</w:t>
      </w:r>
      <w:r>
        <w:rPr>
          <w:rFonts w:hint="eastAsia" w:ascii="宋体" w:hAnsi="宋体" w:cs="宋体"/>
          <w:bCs/>
          <w:color w:val="000000"/>
          <w:sz w:val="24"/>
          <w:szCs w:val="24"/>
        </w:rPr>
      </w:r>
      <w:r/>
    </w:p>
    <w:p>
      <w:pPr>
        <w:pStyle w:val="883"/>
        <w:numPr>
          <w:ilvl w:val="0"/>
          <w:numId w:val="7"/>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政策法规信息查看，支持对入库的管控要求及相关法律政策知识的在线阅读和查看。</w:t>
      </w:r>
      <w:r>
        <w:rPr>
          <w:rFonts w:hint="eastAsia" w:ascii="宋体" w:hAnsi="宋体" w:cs="宋体"/>
          <w:bCs/>
          <w:color w:val="000000"/>
          <w:sz w:val="24"/>
          <w:szCs w:val="24"/>
        </w:rPr>
      </w:r>
      <w:r/>
    </w:p>
    <w:p>
      <w:pPr>
        <w:pStyle w:val="883"/>
        <w:numPr>
          <w:ilvl w:val="0"/>
          <w:numId w:val="7"/>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政策法规查询检索，支持通过关键词、发布日期等方式快速查找所需的法律法规。</w:t>
      </w:r>
      <w:r>
        <w:rPr>
          <w:rFonts w:hint="eastAsia" w:ascii="宋体" w:hAnsi="宋体" w:cs="宋体"/>
          <w:bCs/>
          <w:color w:val="000000"/>
          <w:sz w:val="24"/>
          <w:szCs w:val="24"/>
        </w:rPr>
      </w:r>
      <w:r/>
    </w:p>
    <w:p>
      <w:pPr>
        <w:pStyle w:val="883"/>
        <w:numPr>
          <w:ilvl w:val="0"/>
          <w:numId w:val="0"/>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bidi="ar-SA"/>
        </w:rPr>
        <w:t xml:space="preserve">3.</w:t>
      </w:r>
      <w:r>
        <w:rPr>
          <w:rFonts w:hint="eastAsia" w:ascii="宋体" w:hAnsi="宋体" w:cs="宋体"/>
          <w:bCs/>
          <w:color w:val="000000"/>
          <w:sz w:val="24"/>
          <w:szCs w:val="24"/>
        </w:rPr>
        <w:t xml:space="preserve">基于耕地保护智能体的耕保专题账本梳理建库</w:t>
      </w:r>
      <w:r>
        <w:rPr>
          <w:rFonts w:hint="eastAsia" w:ascii="宋体" w:hAnsi="宋体" w:cs="宋体"/>
          <w:bCs/>
          <w:color w:val="000000"/>
          <w:sz w:val="24"/>
          <w:szCs w:val="24"/>
        </w:rPr>
      </w:r>
      <w:r/>
    </w:p>
    <w:p>
      <w:pPr>
        <w:pStyle w:val="883"/>
        <w:numPr>
          <w:ilvl w:val="0"/>
          <w:numId w:val="8"/>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耕地资源总览。耕地保护目标和当年度耕地保有量、当年度变更调查耕地、最近两个年度变更调查耕地、基期年和当年度长稳耕地、“二调”和</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三调</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耕地等关键数值对比、汇总统计表、对比图展示。</w:t>
      </w:r>
      <w:r>
        <w:rPr>
          <w:rFonts w:hint="eastAsia" w:ascii="宋体" w:hAnsi="宋体" w:cs="宋体"/>
          <w:bCs/>
          <w:color w:val="000000"/>
          <w:sz w:val="24"/>
          <w:szCs w:val="24"/>
        </w:rPr>
      </w:r>
      <w:r/>
    </w:p>
    <w:p>
      <w:pPr>
        <w:pStyle w:val="883"/>
        <w:numPr>
          <w:ilvl w:val="0"/>
          <w:numId w:val="8"/>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耕地补充调查专题账本。根据“一田一码”耕地现状补充调查情况，包括耕地资源补充调查情况、拟恢复补充耕地情况、耕地坡度情况、永久基本农田情况、高标准农田情况、林草湿情况等统计图表。</w:t>
      </w:r>
      <w:r>
        <w:rPr>
          <w:rFonts w:hint="eastAsia" w:ascii="宋体" w:hAnsi="宋体" w:cs="宋体"/>
          <w:bCs/>
          <w:color w:val="000000"/>
          <w:sz w:val="24"/>
          <w:szCs w:val="24"/>
        </w:rPr>
      </w:r>
      <w:r/>
    </w:p>
    <w:p>
      <w:pPr>
        <w:pStyle w:val="883"/>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①耕地资源补充调查情况：对耕地补充调查数据按照行政区、地类分类进行统计并以图表联动的形式进行展示；智能分析统计补充调查中耕地、非耕地比例及非耕地地类现状，并以统计图形式直观展示，帮助用户了解耕地现状情况；</w:t>
      </w:r>
      <w:r>
        <w:rPr>
          <w:rFonts w:hint="eastAsia" w:ascii="宋体" w:hAnsi="宋体" w:cs="宋体"/>
          <w:bCs/>
          <w:color w:val="000000"/>
          <w:sz w:val="24"/>
          <w:szCs w:val="24"/>
        </w:rPr>
      </w:r>
      <w:r/>
    </w:p>
    <w:p>
      <w:pPr>
        <w:pStyle w:val="883"/>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②拟恢复补充耕地情况：按照行政区对耕地恢复补充数据情况进行统计并展示；智能分析恢复补充计划情况，分析各区域耕地恢复补充分布情况及比例，为后续决策提供数据参考；</w:t>
      </w:r>
      <w:r>
        <w:rPr>
          <w:rFonts w:hint="eastAsia" w:ascii="宋体" w:hAnsi="宋体" w:cs="宋体"/>
          <w:bCs/>
          <w:color w:val="000000"/>
          <w:sz w:val="24"/>
          <w:szCs w:val="24"/>
        </w:rPr>
      </w:r>
      <w:r/>
    </w:p>
    <w:p>
      <w:pPr>
        <w:pStyle w:val="883"/>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③耕地坡度情况：对耕地坡度数据按照行政区、坡度进行统计并以图表联动的形式进行展示；智能分析统计各区域内耕地坡度情况，精准筛查坡度25度以上的不适宜地块，为后续永农保护范围调整提供数据基础；</w:t>
      </w:r>
      <w:r>
        <w:rPr>
          <w:rFonts w:hint="eastAsia" w:ascii="宋体" w:hAnsi="宋体" w:cs="宋体"/>
          <w:bCs/>
          <w:color w:val="000000"/>
          <w:sz w:val="24"/>
          <w:szCs w:val="24"/>
        </w:rPr>
      </w:r>
      <w:r/>
    </w:p>
    <w:p>
      <w:pPr>
        <w:pStyle w:val="883"/>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④林草湿情况：智能分析计算各区域内林草湿地所占比例并展示，帮助用户快速了解区域内林草湿地情况</w:t>
      </w:r>
      <w:r>
        <w:rPr>
          <w:rFonts w:hint="eastAsia" w:ascii="宋体" w:hAnsi="宋体" w:cs="宋体"/>
          <w:bCs/>
          <w:color w:val="000000"/>
          <w:sz w:val="24"/>
          <w:szCs w:val="24"/>
        </w:rPr>
      </w:r>
      <w:r/>
    </w:p>
    <w:p>
      <w:pPr>
        <w:pStyle w:val="883"/>
        <w:numPr>
          <w:ilvl w:val="0"/>
          <w:numId w:val="8"/>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耕地潜力资源专题账本。包括2020年以来耕地流入流出情况、耕地恢复潜力调查情况、耕地后备资源情况、耕地恢复补充情况等统计结果图表展示。</w:t>
      </w:r>
      <w:r>
        <w:rPr>
          <w:rFonts w:hint="eastAsia" w:ascii="宋体" w:hAnsi="宋体" w:cs="宋体"/>
          <w:bCs/>
          <w:color w:val="000000"/>
          <w:sz w:val="24"/>
          <w:szCs w:val="24"/>
        </w:rPr>
      </w:r>
      <w:r/>
    </w:p>
    <w:p>
      <w:pPr>
        <w:pStyle w:val="883"/>
        <w:numPr>
          <w:ilvl w:val="0"/>
          <w:numId w:val="8"/>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耕地占补平衡专题账本。依据省级监管系统相关指标，展示指标报备入库、剩余可用指标、指标项目挂钩、后期补充管护等环节统计数据图表。</w:t>
      </w:r>
      <w:r>
        <w:rPr>
          <w:rFonts w:hint="eastAsia" w:ascii="宋体" w:hAnsi="宋体" w:cs="宋体"/>
          <w:bCs/>
          <w:color w:val="000000"/>
          <w:sz w:val="24"/>
          <w:szCs w:val="24"/>
        </w:rPr>
      </w:r>
      <w:r/>
    </w:p>
    <w:p>
      <w:pPr>
        <w:pStyle w:val="883"/>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①对接省厅耕地占补平衡监管系统与非农储备库系统，一账统览“报备入库—可用剩余—实际剩余—项目挂钩—补充管理”全链条指标的闭环监管；</w:t>
      </w:r>
      <w:r>
        <w:rPr>
          <w:rFonts w:hint="eastAsia" w:ascii="宋体" w:hAnsi="宋体" w:cs="宋体"/>
          <w:bCs/>
          <w:color w:val="000000"/>
          <w:sz w:val="24"/>
          <w:szCs w:val="24"/>
        </w:rPr>
      </w:r>
      <w:r/>
    </w:p>
    <w:p>
      <w:pPr>
        <w:pStyle w:val="883"/>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②占补平衡账本统计表：以表格形式直观展现各类占补平衡账本统计数据；</w:t>
      </w:r>
      <w:r>
        <w:rPr>
          <w:rFonts w:hint="eastAsia" w:ascii="宋体" w:hAnsi="宋体" w:cs="宋体"/>
          <w:bCs/>
          <w:color w:val="000000"/>
          <w:sz w:val="24"/>
          <w:szCs w:val="24"/>
        </w:rPr>
      </w:r>
      <w:r/>
    </w:p>
    <w:p>
      <w:pPr>
        <w:pStyle w:val="883"/>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③占补平衡账本搜索及下载：提供按行政区、年份等快速筛选的功能，方便用户快速找到要查看的占补平衡账本信息，并支持以</w:t>
      </w:r>
      <w:r>
        <w:rPr>
          <w:rFonts w:hint="eastAsia" w:ascii="宋体" w:hAnsi="宋体" w:cs="宋体"/>
          <w:bCs/>
          <w:color w:val="000000"/>
          <w:sz w:val="24"/>
          <w:szCs w:val="24"/>
          <w:lang w:val="en-US" w:eastAsia="zh-CN"/>
        </w:rPr>
        <w:t xml:space="preserve">E</w:t>
      </w:r>
      <w:r>
        <w:rPr>
          <w:rFonts w:hint="eastAsia" w:ascii="宋体" w:hAnsi="宋体" w:cs="宋体"/>
          <w:bCs/>
          <w:color w:val="000000"/>
          <w:sz w:val="24"/>
          <w:szCs w:val="24"/>
        </w:rPr>
        <w:t xml:space="preserve">xcel的格式将各类占补平衡账本数据下载至本地。</w:t>
      </w:r>
      <w:r>
        <w:rPr>
          <w:rFonts w:hint="eastAsia" w:ascii="宋体" w:hAnsi="宋体" w:cs="宋体"/>
          <w:bCs/>
          <w:color w:val="000000"/>
          <w:sz w:val="24"/>
          <w:szCs w:val="24"/>
        </w:rPr>
      </w:r>
      <w:r/>
    </w:p>
    <w:p>
      <w:pPr>
        <w:pStyle w:val="883"/>
        <w:numPr>
          <w:ilvl w:val="0"/>
          <w:numId w:val="8"/>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耕地数据年度时序分析专题账本</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依托“一田一码”全生命周期数据档案，整合历年耕地变更调查、年度更新、遥感监测等多源数据，构建耕地数据时序分析专题账本。</w:t>
      </w:r>
      <w:r>
        <w:rPr>
          <w:rFonts w:hint="eastAsia" w:ascii="宋体" w:hAnsi="宋体" w:cs="宋体"/>
          <w:bCs/>
          <w:color w:val="000000"/>
          <w:sz w:val="24"/>
          <w:szCs w:val="24"/>
        </w:rPr>
      </w:r>
      <w:r/>
    </w:p>
    <w:p>
      <w:pPr>
        <w:pStyle w:val="883"/>
        <w:numPr>
          <w:ilvl w:val="0"/>
          <w:numId w:val="8"/>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耕地保护智能体数据服务API接口开发</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基于专题账本全量数据与耕地保护智能体建设要求，封装标准化数据查询与服务API接口。</w:t>
      </w:r>
      <w:r>
        <w:rPr>
          <w:rFonts w:hint="eastAsia" w:ascii="宋体" w:hAnsi="宋体" w:cs="宋体"/>
          <w:bCs/>
          <w:color w:val="000000"/>
          <w:sz w:val="24"/>
          <w:szCs w:val="24"/>
        </w:rPr>
      </w:r>
      <w:r/>
    </w:p>
    <w:p>
      <w:pPr>
        <w:pStyle w:val="883"/>
        <w:numPr>
          <w:ilvl w:val="0"/>
          <w:numId w:val="8"/>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统计展示页面布局设计。采用卡片式布局，设置顶部导航区、中部核心展示区、底部统计图表辅助展示区。根据不同专题账本业务需要，设计需展示卡片数量与展示内容。</w:t>
      </w:r>
      <w:r>
        <w:rPr>
          <w:rFonts w:hint="eastAsia" w:ascii="宋体" w:hAnsi="宋体" w:cs="宋体"/>
          <w:bCs/>
          <w:color w:val="000000"/>
          <w:sz w:val="24"/>
          <w:szCs w:val="24"/>
        </w:rPr>
      </w:r>
      <w:r/>
    </w:p>
    <w:p>
      <w:pPr>
        <w:pStyle w:val="883"/>
        <w:numPr>
          <w:ilvl w:val="0"/>
          <w:numId w:val="8"/>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统计图表格式设计。根据不同专题账本，设计相应指标统计图表，如趋势分析图、对比分析图等，采用柱状图、环形图、饼状图等展示，实现图表联动。</w:t>
      </w:r>
      <w:r>
        <w:rPr>
          <w:rFonts w:hint="eastAsia" w:ascii="宋体" w:hAnsi="宋体" w:cs="宋体"/>
          <w:bCs/>
          <w:color w:val="000000"/>
          <w:sz w:val="24"/>
          <w:szCs w:val="24"/>
        </w:rPr>
      </w:r>
      <w:r/>
    </w:p>
    <w:p>
      <w:pPr>
        <w:pStyle w:val="883"/>
        <w:numPr>
          <w:ilvl w:val="0"/>
          <w:numId w:val="8"/>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视觉交互设计。支持按市、区、街道、村不同层级数据统计展示、鼠标悬停数据显示、统计单位切换等交互体验。</w:t>
      </w:r>
      <w:r>
        <w:rPr>
          <w:rFonts w:hint="eastAsia" w:ascii="宋体" w:hAnsi="宋体" w:cs="宋体"/>
          <w:bCs/>
          <w:color w:val="000000"/>
          <w:sz w:val="24"/>
          <w:szCs w:val="24"/>
        </w:rPr>
      </w:r>
      <w:r/>
    </w:p>
    <w:p>
      <w:pPr>
        <w:pStyle w:val="883"/>
        <w:numPr>
          <w:ilvl w:val="0"/>
          <w:numId w:val="8"/>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统一权限管理与报表导出</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支持报表一键导出，依据用户角色控制数据的可见范围和导出权限。</w:t>
      </w:r>
      <w:r>
        <w:rPr>
          <w:rFonts w:hint="eastAsia" w:ascii="宋体" w:hAnsi="宋体" w:cs="宋体"/>
          <w:bCs/>
          <w:color w:val="000000"/>
          <w:sz w:val="24"/>
          <w:szCs w:val="24"/>
        </w:rPr>
      </w:r>
      <w:r/>
    </w:p>
    <w:p>
      <w:pPr>
        <w:pStyle w:val="883"/>
        <w:numPr>
          <w:ilvl w:val="0"/>
          <w:numId w:val="0"/>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bidi="ar-SA"/>
        </w:rPr>
        <w:t xml:space="preserve">4.</w:t>
      </w:r>
      <w:r>
        <w:rPr>
          <w:rFonts w:hint="eastAsia" w:ascii="宋体" w:hAnsi="宋体" w:cs="宋体"/>
          <w:bCs/>
          <w:color w:val="000000"/>
          <w:sz w:val="24"/>
          <w:szCs w:val="24"/>
        </w:rPr>
        <w:t xml:space="preserve">耕地保护AI知识库梳理建库及宁耕保管理版专题账本建设</w:t>
      </w:r>
      <w:r>
        <w:rPr>
          <w:rFonts w:hint="eastAsia" w:ascii="宋体" w:hAnsi="宋体" w:cs="宋体"/>
          <w:bCs/>
          <w:color w:val="000000"/>
          <w:sz w:val="24"/>
          <w:szCs w:val="24"/>
        </w:rPr>
      </w:r>
      <w:r/>
    </w:p>
    <w:p>
      <w:pPr>
        <w:pStyle w:val="883"/>
        <w:numPr>
          <w:ilvl w:val="0"/>
          <w:numId w:val="9"/>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新增农用地未利用地、耕地专项调查、林业、农业、耕地、耕地及永久基本农田总览等数据账本的建设，多维度图表联动智能分析用地、坡度、永久基本农田等数据。</w:t>
      </w:r>
      <w:r>
        <w:rPr>
          <w:rFonts w:hint="eastAsia" w:ascii="宋体" w:hAnsi="宋体" w:cs="宋体"/>
          <w:bCs/>
          <w:color w:val="000000"/>
          <w:sz w:val="24"/>
          <w:szCs w:val="24"/>
        </w:rPr>
      </w:r>
      <w:r/>
    </w:p>
    <w:p>
      <w:pPr>
        <w:pStyle w:val="883"/>
        <w:numPr>
          <w:ilvl w:val="0"/>
          <w:numId w:val="9"/>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收集耕地保护相关政策文件，建立耕地保护知识库</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r>
      <w:r/>
    </w:p>
    <w:p>
      <w:pPr>
        <w:pStyle w:val="883"/>
        <w:numPr>
          <w:ilvl w:val="0"/>
          <w:numId w:val="9"/>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集成耕地保护智能体</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在移动端增加耕地保护智能体，支撑查询耕地法律法规知识以及各类耕地相关数据。</w:t>
      </w:r>
      <w:r>
        <w:rPr>
          <w:rFonts w:hint="eastAsia" w:ascii="宋体" w:hAnsi="宋体" w:cs="宋体"/>
          <w:bCs/>
          <w:color w:val="000000"/>
          <w:sz w:val="24"/>
          <w:szCs w:val="24"/>
        </w:rPr>
      </w:r>
      <w:r/>
    </w:p>
    <w:p>
      <w:pPr>
        <w:pStyle w:val="883"/>
        <w:numPr>
          <w:ilvl w:val="0"/>
          <w:numId w:val="9"/>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移动端闭环处置流程，接入无人机违法线索，包含线索基本信息、图斑范围、前后景照片以及线索报告等。</w:t>
      </w:r>
      <w:r>
        <w:rPr>
          <w:rFonts w:hint="eastAsia" w:ascii="宋体" w:hAnsi="宋体" w:cs="宋体"/>
          <w:bCs/>
          <w:color w:val="000000"/>
          <w:sz w:val="24"/>
          <w:szCs w:val="24"/>
        </w:rPr>
      </w:r>
      <w:r/>
    </w:p>
    <w:p>
      <w:pPr>
        <w:pStyle w:val="883"/>
        <w:numPr>
          <w:ilvl w:val="0"/>
          <w:numId w:val="9"/>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移动端新增线索范围核实功能，当现场核查时发现推送范围与实际范围有出入时，可重绘范围进行入库，支持无人机线索图斑和核实后图斑同时查看，以不同颜色进行区分，绘制、按巡查线路定位生成。PC端同步进行调整。</w:t>
      </w:r>
      <w:r>
        <w:rPr>
          <w:rFonts w:hint="eastAsia" w:ascii="宋体" w:hAnsi="宋体" w:cs="宋体"/>
          <w:bCs/>
          <w:color w:val="000000"/>
          <w:sz w:val="24"/>
          <w:szCs w:val="24"/>
        </w:rPr>
      </w:r>
      <w:r/>
    </w:p>
    <w:p>
      <w:pPr>
        <w:pStyle w:val="883"/>
        <w:numPr>
          <w:ilvl w:val="0"/>
          <w:numId w:val="9"/>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宁耕保中新增无人机线索闭环处置流程，并同步增加知会环节，并具备阅办功能。</w:t>
      </w:r>
      <w:r>
        <w:rPr>
          <w:rFonts w:hint="eastAsia" w:ascii="宋体" w:hAnsi="宋体" w:cs="宋体"/>
          <w:bCs/>
          <w:color w:val="000000"/>
          <w:sz w:val="24"/>
          <w:szCs w:val="24"/>
        </w:rPr>
      </w:r>
      <w:r/>
    </w:p>
    <w:p>
      <w:pPr>
        <w:pStyle w:val="883"/>
        <w:numPr>
          <w:ilvl w:val="0"/>
          <w:numId w:val="9"/>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新增移动端专题账本设计。设置右下角悬浮导航区、顶部数据筛选区、中下部数据展示区。根据不同专题账本业务需要，设计需展示卡片数量与展示内容。</w:t>
      </w:r>
      <w:r>
        <w:rPr>
          <w:rFonts w:hint="eastAsia" w:ascii="宋体" w:hAnsi="宋体" w:cs="宋体"/>
          <w:bCs/>
          <w:color w:val="000000"/>
          <w:sz w:val="24"/>
          <w:szCs w:val="24"/>
        </w:rPr>
      </w:r>
      <w:r/>
    </w:p>
    <w:p>
      <w:pPr>
        <w:pStyle w:val="883"/>
        <w:numPr>
          <w:ilvl w:val="0"/>
          <w:numId w:val="9"/>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围绕专题账本开展指标统计图表设计，设计开发趋势图、对比图、柱状图、环形图、饼图等样式，完成图表联动展示。</w:t>
      </w:r>
      <w:r>
        <w:rPr>
          <w:rFonts w:hint="eastAsia" w:ascii="宋体" w:hAnsi="宋体" w:cs="宋体"/>
          <w:bCs/>
          <w:color w:val="000000"/>
          <w:sz w:val="24"/>
          <w:szCs w:val="24"/>
        </w:rPr>
      </w:r>
      <w:r/>
    </w:p>
    <w:p>
      <w:pPr>
        <w:pStyle w:val="883"/>
        <w:numPr>
          <w:ilvl w:val="0"/>
          <w:numId w:val="9"/>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视觉交互层面，实现市、区、街道、村四级数据联动展示与统计，支持指标、台账间的便捷切换，优化用户操作体验。</w:t>
      </w:r>
      <w:r>
        <w:rPr>
          <w:rFonts w:hint="eastAsia" w:ascii="宋体" w:hAnsi="宋体" w:cs="宋体"/>
          <w:bCs/>
          <w:color w:val="000000"/>
          <w:sz w:val="24"/>
          <w:szCs w:val="24"/>
        </w:rPr>
      </w:r>
      <w:r/>
    </w:p>
    <w:p>
      <w:pPr>
        <w:pStyle w:val="883"/>
        <w:numPr>
          <w:ilvl w:val="0"/>
          <w:numId w:val="9"/>
        </w:numPr>
        <w:ind w:left="0" w:firstLine="442"/>
        <w:spacing w:line="264"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rPr>
        <w:t xml:space="preserve">统一权限管理</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依据用户角色控制数据的可见范围。</w:t>
      </w:r>
      <w:r>
        <w:rPr>
          <w:rFonts w:hint="eastAsia" w:ascii="宋体" w:hAnsi="宋体" w:eastAsia="宋体" w:cs="宋体"/>
          <w:bCs/>
          <w:color w:val="000000"/>
          <w:sz w:val="24"/>
          <w:szCs w:val="24"/>
          <w:highlight w:val="none"/>
        </w:rPr>
      </w:r>
      <w:r/>
    </w:p>
    <w:p>
      <w:pPr>
        <w:pStyle w:val="883"/>
        <w:ind w:firstLine="482"/>
        <w:spacing w:line="264"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内容七：</w:t>
      </w:r>
      <w:r>
        <w:rPr>
          <w:rFonts w:hint="eastAsia" w:ascii="宋体" w:hAnsi="宋体" w:eastAsia="宋体" w:cs="宋体"/>
          <w:b/>
          <w:bCs w:val="0"/>
          <w:color w:val="000000"/>
          <w:sz w:val="24"/>
          <w:szCs w:val="24"/>
          <w:highlight w:val="none"/>
        </w:rPr>
        <w:t xml:space="preserve">调查影像处理</w:t>
      </w:r>
      <w:r>
        <w:rPr>
          <w:rFonts w:hint="eastAsia" w:ascii="宋体" w:hAnsi="宋体" w:eastAsia="宋体" w:cs="宋体"/>
          <w:b/>
          <w:bCs w:val="0"/>
          <w:color w:val="000000"/>
          <w:sz w:val="24"/>
          <w:szCs w:val="24"/>
          <w:highlight w:val="none"/>
        </w:rPr>
      </w:r>
      <w:r/>
    </w:p>
    <w:p>
      <w:pPr>
        <w:pStyle w:val="883"/>
        <w:numPr>
          <w:ilvl w:val="1"/>
          <w:numId w:val="10"/>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卫星影像数据收集：完成2025年部下发卫星影像数据的接收、入库、备份</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r>
      <w:r/>
    </w:p>
    <w:p>
      <w:pPr>
        <w:pStyle w:val="883"/>
        <w:numPr>
          <w:ilvl w:val="1"/>
          <w:numId w:val="10"/>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季度影像产品生产：对2025年部下发卫星影像进行挑片、纠正、镶嵌、质检等加工处理，完成2025年四个季度的南京市域覆盖的影像产品生产。</w:t>
      </w:r>
      <w:r>
        <w:rPr>
          <w:rFonts w:hint="eastAsia" w:ascii="宋体" w:hAnsi="宋体" w:cs="宋体"/>
          <w:bCs/>
          <w:color w:val="000000"/>
          <w:sz w:val="24"/>
          <w:szCs w:val="24"/>
        </w:rPr>
      </w:r>
      <w:r/>
    </w:p>
    <w:p>
      <w:pPr>
        <w:pStyle w:val="883"/>
        <w:numPr>
          <w:ilvl w:val="1"/>
          <w:numId w:val="10"/>
        </w:numPr>
        <w:ind w:left="0" w:firstLine="44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按需提供影像及相关的影像产品：收集、汇总、整合相关部门工作所需的影像需求，并按需求提供影像及相关产品。</w:t>
      </w:r>
      <w:r>
        <w:rPr>
          <w:rFonts w:hint="eastAsia" w:ascii="宋体" w:hAnsi="宋体" w:cs="宋体"/>
          <w:bCs/>
          <w:color w:val="000000"/>
          <w:sz w:val="24"/>
          <w:szCs w:val="24"/>
        </w:rPr>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outlineLvl w:val="2"/>
      </w:pPr>
      <w:r>
        <w:rPr>
          <w:rFonts w:hint="eastAsia" w:ascii="宋体" w:hAnsi="宋体" w:eastAsia="宋体" w:cs="宋体"/>
          <w:bCs/>
          <w:color w:val="000000"/>
          <w:sz w:val="24"/>
          <w:szCs w:val="24"/>
          <w:highlight w:val="none"/>
        </w:rPr>
      </w:r>
      <w:r>
        <w:rPr>
          <w:rFonts w:hint="eastAsia" w:ascii="宋体" w:hAnsi="宋体" w:eastAsia="宋体" w:cs="宋体"/>
          <w:bCs/>
          <w:color w:val="000000"/>
          <w:sz w:val="24"/>
          <w:szCs w:val="24"/>
          <w:highlight w:val="none"/>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8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w:t>
      </w:r>
      <w:r>
        <w:rPr>
          <w:rFonts w:hint="eastAsia" w:ascii="宋体" w:hAnsi="宋体" w:eastAsia="宋体" w:cs="宋体"/>
          <w:bCs/>
          <w:color w:val="000000"/>
          <w:sz w:val="24"/>
          <w:szCs w:val="24"/>
          <w:highlight w:val="none"/>
          <w:lang w:val="en-US" w:eastAsia="zh-CN"/>
        </w:rPr>
        <w:t xml:space="preserve">收、配套服务等所有含税费用。同时，还应包含支付给员工的工资和国家强制缴纳的各种社会保障资金，以及投标人认为需要的其他费用等。</w:t>
      </w:r>
      <w:r>
        <w:rPr>
          <w:rFonts w:hint="eastAsia" w:ascii="宋体" w:hAnsi="宋体" w:eastAsia="宋体" w:cs="宋体"/>
          <w:bCs/>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bCs/>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2.实施要求</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（1）总体要求</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①系统安全要求：供应商提供安全保障方案（包括安全管理制度、安全保障措施等）。</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②项目管理要求：</w:t>
      </w:r>
      <w:r>
        <w:rPr>
          <w:rFonts w:hint="eastAsia" w:ascii="宋体" w:hAnsi="宋体" w:eastAsia="宋体" w:cs="宋体"/>
          <w:color w:val="000000"/>
          <w:sz w:val="24"/>
          <w:szCs w:val="24"/>
          <w:highlight w:val="none"/>
          <w:lang w:val="en-US" w:eastAsia="en-US"/>
        </w:rPr>
        <w:t xml:space="preserve">供应商提供详细、明确、可执行的项目实施方案，项目实施方案需包括工期计划及控制措施、项目组织架构、安全保密措施、培训方案等内容。</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③安全保密要求：</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供应商对本项目所有信息负有保密义务，不得侵害、外泄或以任何直接或间接的方法使任何第三人知悉或使用。</w:t>
      </w:r>
      <w:r>
        <w:rPr>
          <w:rFonts w:hint="eastAsia" w:ascii="宋体" w:hAnsi="宋体" w:eastAsia="宋体" w:cs="宋体"/>
          <w:color w:val="000000"/>
          <w:sz w:val="24"/>
          <w:szCs w:val="24"/>
          <w:highlight w:val="none"/>
          <w:lang w:val="en-US" w:eastAsia="en-US"/>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供应商保证信息介质的使用安全，做好介质的管理工作，不能随意摆放。</w:t>
      </w:r>
      <w:r>
        <w:rPr>
          <w:rFonts w:hint="eastAsia" w:ascii="宋体" w:hAnsi="宋体" w:eastAsia="宋体" w:cs="宋体"/>
          <w:color w:val="000000"/>
          <w:sz w:val="24"/>
          <w:szCs w:val="24"/>
          <w:highlight w:val="none"/>
          <w:lang w:val="en-US" w:eastAsia="en-US"/>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供应商保证参与采购人工作过程中严格遵守关于网络安全的相关规定。所使用的电脑软、硬件设施都满足采购人的安全要求。</w:t>
      </w:r>
      <w:r>
        <w:rPr>
          <w:rFonts w:hint="eastAsia" w:ascii="宋体" w:hAnsi="宋体" w:eastAsia="宋体" w:cs="宋体"/>
          <w:color w:val="000000"/>
          <w:sz w:val="24"/>
          <w:szCs w:val="24"/>
          <w:highlight w:val="none"/>
          <w:lang w:val="en-US" w:eastAsia="en-US"/>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供应商在此项目中必须按相关规定签署保密协议，跟项目组人员同时签订保密协议，出现安全保密事故，记入诚信档案，列入黑名单。保证在整个项目的制作中，所有数据、文档等均不得外泄，若在项目进行中，有数据泄露，采购人有权取消合同并追究相应的法律责任。项目完成后，中标供应商需将与本项目相关的所有成果、资料进行销毁处理，否则采购人有权追究其法律责任。</w:t>
      </w:r>
      <w:r>
        <w:rPr>
          <w:rFonts w:hint="eastAsia" w:ascii="宋体" w:hAnsi="宋体" w:eastAsia="宋体" w:cs="宋体"/>
          <w:color w:val="000000"/>
          <w:sz w:val="24"/>
          <w:szCs w:val="24"/>
          <w:highlight w:val="none"/>
          <w:lang w:val="en-US" w:eastAsia="en-US"/>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供应商具备健全的网络和数据安全保护机制，团队人员为正式员工，并有专门的网络安全负责人。</w:t>
      </w:r>
      <w:r>
        <w:rPr>
          <w:rFonts w:hint="eastAsia" w:ascii="宋体" w:hAnsi="宋体" w:eastAsia="宋体" w:cs="宋体"/>
          <w:color w:val="000000"/>
          <w:sz w:val="24"/>
          <w:szCs w:val="24"/>
          <w:highlight w:val="none"/>
          <w:lang w:val="en-US" w:eastAsia="en-US"/>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供应商应按要求做好数据和相关系统平台的备份。</w:t>
      </w:r>
      <w:r>
        <w:rPr>
          <w:rFonts w:hint="eastAsia" w:ascii="宋体" w:hAnsi="宋体" w:eastAsia="宋体" w:cs="宋体"/>
          <w:color w:val="000000"/>
          <w:sz w:val="24"/>
          <w:szCs w:val="24"/>
          <w:highlight w:val="none"/>
          <w:lang w:val="en-US" w:eastAsia="en-US"/>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供应商应做好等保测评及第三方测试整改等工作。</w:t>
      </w:r>
      <w:r>
        <w:rPr>
          <w:rFonts w:hint="eastAsia" w:ascii="宋体" w:hAnsi="宋体" w:eastAsia="宋体" w:cs="宋体"/>
          <w:color w:val="000000"/>
          <w:sz w:val="24"/>
          <w:szCs w:val="24"/>
          <w:highlight w:val="none"/>
          <w:lang w:val="en-US" w:eastAsia="en-US"/>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④质量检查要求：</w:t>
      </w:r>
      <w:r>
        <w:rPr>
          <w:rFonts w:hint="eastAsia" w:ascii="宋体" w:hAnsi="宋体" w:cs="宋体"/>
          <w:bCs/>
          <w:sz w:val="24"/>
          <w:szCs w:val="24"/>
          <w:highlight w:val="none"/>
        </w:rPr>
        <w:t xml:space="preserve">供应商</w:t>
      </w:r>
      <w:r>
        <w:rPr>
          <w:rFonts w:hint="eastAsia" w:ascii="宋体" w:hAnsi="宋体" w:eastAsia="宋体" w:cs="宋体"/>
          <w:color w:val="000000"/>
          <w:sz w:val="24"/>
          <w:szCs w:val="24"/>
          <w:highlight w:val="none"/>
          <w:lang w:val="en-US" w:eastAsia="en-US"/>
        </w:rPr>
        <w:t xml:space="preserve">提供包括质量目标、质量保障体系、质量保证措施的质量保障方案。</w:t>
      </w:r>
      <w:r>
        <w:rPr>
          <w:rFonts w:hint="eastAsia" w:ascii="宋体" w:hAnsi="宋体" w:eastAsia="宋体" w:cs="宋体"/>
          <w:color w:val="000000"/>
          <w:sz w:val="24"/>
          <w:szCs w:val="24"/>
          <w:highlight w:val="none"/>
          <w:lang w:val="en-US" w:eastAsia="en-US"/>
        </w:rPr>
      </w:r>
      <w:r/>
    </w:p>
    <w:p>
      <w:pPr>
        <w:pStyle w:val="883"/>
        <w:ind w:firstLine="480"/>
        <w:spacing w:line="264" w:lineRule="auto"/>
        <w:rPr>
          <w:rFonts w:hint="eastAsia" w:ascii="宋体" w:hAnsi="宋体" w:eastAsia="宋体" w:cs="宋体"/>
          <w:bCs w:val="0"/>
          <w:color w:val="000000"/>
          <w:sz w:val="24"/>
          <w:szCs w:val="24"/>
          <w:highlight w:val="none"/>
          <w:lang w:eastAsia="en-US"/>
        </w:rPr>
      </w:pPr>
      <w:r>
        <w:rPr>
          <w:rFonts w:hint="eastAsia" w:ascii="宋体" w:hAnsi="宋体" w:eastAsia="宋体" w:cs="宋体"/>
          <w:bCs w:val="0"/>
          <w:color w:val="000000"/>
          <w:sz w:val="24"/>
          <w:szCs w:val="24"/>
          <w:highlight w:val="none"/>
          <w:lang w:eastAsia="en-US"/>
        </w:rPr>
        <w:t xml:space="preserve">⑤监理要求：供应商应接受采购人招标确定的监理单位的全程监理。</w:t>
      </w:r>
      <w:r>
        <w:rPr>
          <w:rFonts w:hint="eastAsia" w:ascii="宋体" w:hAnsi="宋体" w:eastAsia="宋体" w:cs="宋体"/>
          <w:bCs w:val="0"/>
          <w:color w:val="000000"/>
          <w:sz w:val="24"/>
          <w:szCs w:val="24"/>
          <w:highlight w:val="none"/>
          <w:lang w:eastAsia="en-US"/>
        </w:rPr>
      </w:r>
      <w:r/>
    </w:p>
    <w:p>
      <w:pPr>
        <w:pStyle w:val="883"/>
        <w:ind w:firstLine="480"/>
        <w:spacing w:line="264" w:lineRule="auto"/>
        <w:rPr>
          <w:rFonts w:hint="eastAsia" w:ascii="宋体" w:hAnsi="宋体" w:eastAsia="宋体" w:cs="宋体"/>
          <w:color w:val="000000"/>
          <w:sz w:val="24"/>
          <w:szCs w:val="24"/>
          <w:highlight w:val="none"/>
          <w:lang w:val="en-US" w:eastAsia="en-US"/>
        </w:rPr>
      </w:pPr>
      <w:r>
        <w:rPr>
          <w:rFonts w:hint="eastAsia" w:ascii="宋体" w:hAnsi="宋体" w:eastAsia="宋体" w:cs="宋体"/>
          <w:bCs w:val="0"/>
          <w:color w:val="000000"/>
          <w:sz w:val="24"/>
          <w:szCs w:val="24"/>
          <w:highlight w:val="none"/>
          <w:lang w:val="en-US" w:eastAsia="en-US"/>
        </w:rPr>
        <w:t xml:space="preserve">⑥对接要求：各系统对接，由采购人负责协调，联系人联系方式见招标文件第一章，对接费用包含在供应商报价中。</w:t>
      </w:r>
      <w:r>
        <w:rPr>
          <w:rFonts w:hint="eastAsia" w:ascii="宋体" w:hAnsi="宋体" w:eastAsia="宋体" w:cs="宋体"/>
          <w:color w:val="000000"/>
          <w:sz w:val="24"/>
          <w:szCs w:val="24"/>
          <w:highlight w:val="none"/>
          <w:lang w:val="en-US" w:eastAsia="en-US"/>
        </w:rPr>
      </w:r>
      <w:r/>
    </w:p>
    <w:p>
      <w:pPr>
        <w:pStyle w:val="88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（2）服务要求</w:t>
      </w:r>
      <w:r>
        <w:rPr>
          <w:rFonts w:ascii="宋体" w:hAnsi="宋体" w:eastAsia="宋体" w:cs="宋体"/>
          <w:bCs/>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①运维要求</w:t>
      </w:r>
      <w:r>
        <w:rPr>
          <w:rFonts w:hint="eastAsia" w:ascii="宋体" w:hAnsi="宋体" w:eastAsia="宋体" w:cs="宋体"/>
          <w:bCs/>
          <w:color w:val="000000"/>
          <w:sz w:val="24"/>
          <w:szCs w:val="24"/>
          <w:highlight w:val="none"/>
          <w:lang w:val="en-US" w:eastAsia="zh-CN"/>
        </w:rPr>
      </w:r>
      <w:r/>
    </w:p>
    <w:p>
      <w:pPr>
        <w:pStyle w:val="88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供应商应确保本次采购所有项目的安全稳定运行，并提供不低于</w:t>
      </w:r>
      <w:r>
        <w:rPr>
          <w:rFonts w:hint="eastAsia" w:ascii="宋体" w:hAnsi="宋体" w:cs="宋体"/>
          <w:bCs/>
          <w:color w:val="000000"/>
          <w:sz w:val="24"/>
          <w:szCs w:val="24"/>
          <w:highlight w:val="none"/>
          <w:lang w:val="en-US" w:eastAsia="zh-CN"/>
        </w:rPr>
        <w:t xml:space="preserve">630天的运维</w:t>
      </w: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自验收报告签字确认日起，开始进入</w:t>
      </w:r>
      <w:r>
        <w:rPr>
          <w:rFonts w:hint="eastAsia" w:ascii="宋体" w:hAnsi="宋体" w:cs="宋体"/>
          <w:bCs/>
          <w:color w:val="000000"/>
          <w:sz w:val="24"/>
          <w:szCs w:val="24"/>
          <w:highlight w:val="none"/>
          <w:lang w:val="en-US" w:eastAsia="zh-CN"/>
        </w:rPr>
        <w:t xml:space="preserve">运维</w:t>
      </w:r>
      <w:r>
        <w:rPr>
          <w:rFonts w:hint="eastAsia" w:ascii="宋体" w:hAnsi="宋体" w:cs="宋体"/>
          <w:bCs/>
          <w:color w:val="000000"/>
          <w:sz w:val="24"/>
          <w:szCs w:val="24"/>
          <w:highlight w:val="none"/>
        </w:rPr>
        <w:t xml:space="preserve">期，</w:t>
      </w:r>
      <w:r>
        <w:rPr>
          <w:rFonts w:hint="eastAsia" w:ascii="宋体" w:hAnsi="宋体" w:cs="宋体"/>
          <w:bCs/>
          <w:color w:val="000000"/>
          <w:sz w:val="24"/>
          <w:szCs w:val="24"/>
          <w:highlight w:val="none"/>
          <w:lang w:eastAsia="zh-CN"/>
        </w:rPr>
        <w:t xml:space="preserve">运维</w:t>
      </w:r>
      <w:r>
        <w:rPr>
          <w:rFonts w:hint="eastAsia" w:ascii="宋体" w:hAnsi="宋体" w:cs="宋体"/>
          <w:bCs/>
          <w:color w:val="000000"/>
          <w:sz w:val="24"/>
          <w:szCs w:val="24"/>
          <w:highlight w:val="none"/>
        </w:rPr>
        <w:t xml:space="preserve">期内相关服务费用包含在总报价中</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83"/>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运维</w:t>
      </w:r>
      <w:r>
        <w:rPr>
          <w:rFonts w:hint="eastAsia" w:ascii="宋体" w:hAnsi="宋体" w:cs="宋体"/>
          <w:bCs/>
          <w:color w:val="000000"/>
          <w:sz w:val="24"/>
          <w:szCs w:val="24"/>
          <w:highlight w:val="none"/>
        </w:rPr>
        <w:t xml:space="preserve">期内，本合同项目所有技术和服务发生任何非人为故障，由供应商负责系统恢复。故障报修的响应时间为即时，到达现场的时间为2小时</w:t>
      </w:r>
      <w:r>
        <w:rPr>
          <w:rFonts w:hint="eastAsia" w:ascii="宋体" w:hAnsi="宋体" w:cs="宋体"/>
          <w:bCs/>
          <w:color w:val="000000"/>
          <w:sz w:val="24"/>
          <w:szCs w:val="24"/>
          <w:highlight w:val="none"/>
          <w:lang w:val="en-US" w:eastAsia="zh-CN"/>
        </w:rPr>
        <w:t xml:space="preserve">内</w:t>
      </w:r>
      <w:r>
        <w:rPr>
          <w:rFonts w:hint="eastAsia" w:ascii="宋体" w:hAnsi="宋体" w:cs="宋体"/>
          <w:bCs/>
          <w:color w:val="000000"/>
          <w:sz w:val="24"/>
          <w:szCs w:val="24"/>
          <w:highlight w:val="none"/>
        </w:rPr>
        <w:t xml:space="preserve">，小型故障恢复时间为4个小时</w:t>
      </w:r>
      <w:r>
        <w:rPr>
          <w:rFonts w:hint="eastAsia" w:ascii="宋体" w:hAnsi="宋体" w:cs="宋体"/>
          <w:bCs/>
          <w:color w:val="000000"/>
          <w:sz w:val="24"/>
          <w:szCs w:val="24"/>
          <w:highlight w:val="none"/>
          <w:lang w:val="en-US" w:eastAsia="zh-CN"/>
        </w:rPr>
        <w:t xml:space="preserve">内</w:t>
      </w:r>
      <w:r>
        <w:rPr>
          <w:rFonts w:hint="eastAsia" w:ascii="宋体" w:hAnsi="宋体" w:cs="宋体"/>
          <w:bCs/>
          <w:color w:val="000000"/>
          <w:sz w:val="24"/>
          <w:szCs w:val="24"/>
          <w:highlight w:val="none"/>
        </w:rPr>
        <w:t xml:space="preserve">，严重故障恢复时间为24小时内，并及时提供有效的解决方案。</w:t>
      </w:r>
      <w:r>
        <w:rPr>
          <w:rFonts w:ascii="宋体" w:hAnsi="宋体" w:cs="宋体"/>
          <w:bCs/>
          <w:color w:val="000000"/>
          <w:sz w:val="24"/>
          <w:szCs w:val="24"/>
          <w:highlight w:val="none"/>
        </w:rPr>
      </w:r>
      <w:r/>
    </w:p>
    <w:p>
      <w:pPr>
        <w:pStyle w:val="88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运维</w:t>
      </w:r>
      <w:r>
        <w:rPr>
          <w:rFonts w:hint="eastAsia" w:ascii="宋体" w:hAnsi="宋体" w:cs="宋体"/>
          <w:bCs/>
          <w:color w:val="000000"/>
          <w:sz w:val="24"/>
          <w:szCs w:val="24"/>
          <w:highlight w:val="none"/>
        </w:rPr>
        <w:t xml:space="preserve">期内，对采购人提出的合理服务要求，供应商必须即时进行电话、邮件及远程网络支持，并在2小时内到场服务。如不到场，采购人有权自行处理，相关费用由供应商负责。 </w:t>
      </w:r>
      <w:r>
        <w:rPr>
          <w:rFonts w:hint="eastAsia" w:ascii="宋体" w:hAnsi="宋体" w:cs="宋体"/>
          <w:bCs/>
          <w:color w:val="000000"/>
          <w:sz w:val="24"/>
          <w:szCs w:val="24"/>
          <w:highlight w:val="none"/>
        </w:rPr>
      </w:r>
      <w:r/>
    </w:p>
    <w:p>
      <w:pPr>
        <w:pStyle w:val="883"/>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供应商需提供定期回访服务，对采购人提出的合理优化建议应提供升级服务。</w:t>
      </w:r>
      <w:r>
        <w:rPr>
          <w:rFonts w:ascii="宋体" w:hAnsi="宋体" w:cs="宋体"/>
          <w:bCs/>
          <w:color w:val="000000"/>
          <w:sz w:val="24"/>
          <w:szCs w:val="24"/>
          <w:highlight w:val="none"/>
        </w:rPr>
      </w:r>
      <w:r/>
    </w:p>
    <w:p>
      <w:pPr>
        <w:pStyle w:val="883"/>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所有的服务方式均为供应商上门保修，即由供应商派员到系统使用现场进行故障恢复，由此产生的一切费用均由供应商承担。</w:t>
      </w:r>
      <w:r>
        <w:rPr>
          <w:rFonts w:hint="eastAsia" w:ascii="宋体" w:hAnsi="宋体" w:cs="宋体"/>
          <w:bCs/>
          <w:color w:val="000000"/>
          <w:sz w:val="24"/>
          <w:szCs w:val="24"/>
          <w:highlight w:val="none"/>
        </w:rPr>
      </w:r>
      <w:r/>
    </w:p>
    <w:p>
      <w:pPr>
        <w:pStyle w:val="88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②培训要求</w:t>
      </w:r>
      <w:r>
        <w:rPr>
          <w:rFonts w:hint="eastAsia" w:ascii="宋体" w:hAnsi="宋体" w:eastAsia="宋体" w:cs="宋体"/>
          <w:bCs/>
          <w:color w:val="000000"/>
          <w:sz w:val="24"/>
          <w:szCs w:val="24"/>
          <w:highlight w:val="none"/>
          <w:lang w:val="en-US" w:eastAsia="zh-CN"/>
        </w:rPr>
      </w:r>
      <w:r/>
    </w:p>
    <w:p>
      <w:pPr>
        <w:pStyle w:val="883"/>
        <w:ind w:firstLine="480"/>
        <w:spacing w:line="264" w:lineRule="auto"/>
        <w:rPr>
          <w:rFonts w:ascii="宋体" w:hAnsi="宋体" w:cs="宋体"/>
          <w:bCs/>
          <w:sz w:val="24"/>
          <w:szCs w:val="24"/>
          <w:highlight w:val="none"/>
        </w:rPr>
      </w:pPr>
      <w:r>
        <w:rPr>
          <w:rFonts w:hint="eastAsia" w:ascii="宋体" w:hAnsi="宋体" w:cs="宋体"/>
          <w:bCs/>
          <w:sz w:val="24"/>
          <w:szCs w:val="24"/>
          <w:highlight w:val="none"/>
        </w:rPr>
        <w:t xml:space="preserve">供应商</w:t>
      </w:r>
      <w:r>
        <w:rPr>
          <w:rFonts w:hint="eastAsia" w:ascii="宋体" w:hAnsi="宋体" w:cs="宋体"/>
          <w:bCs/>
          <w:sz w:val="24"/>
          <w:szCs w:val="24"/>
          <w:highlight w:val="none"/>
          <w:lang w:val="en-US" w:eastAsia="zh-CN"/>
        </w:rPr>
        <w:t xml:space="preserve">中标后</w:t>
      </w:r>
      <w:r>
        <w:rPr>
          <w:rFonts w:hint="eastAsia" w:ascii="宋体" w:hAnsi="宋体" w:cs="宋体"/>
          <w:bCs/>
          <w:sz w:val="24"/>
          <w:szCs w:val="24"/>
          <w:highlight w:val="none"/>
        </w:rPr>
        <w:t xml:space="preserve">提供包括培训目的、培训对象、培训内容、培训计划及培训时间的培训方案。</w:t>
      </w:r>
      <w:r>
        <w:rPr>
          <w:rFonts w:ascii="宋体" w:hAnsi="宋体" w:cs="宋体"/>
          <w:bCs/>
          <w:sz w:val="24"/>
          <w:szCs w:val="24"/>
          <w:highlight w:val="none"/>
        </w:rPr>
      </w:r>
      <w:r/>
    </w:p>
    <w:p>
      <w:pPr>
        <w:pStyle w:val="88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cs="宋体"/>
          <w:bCs/>
          <w:sz w:val="24"/>
          <w:szCs w:val="24"/>
          <w:highlight w:val="none"/>
        </w:rPr>
        <w:t xml:space="preserve">提供</w:t>
      </w:r>
      <w:r>
        <w:rPr>
          <w:rFonts w:hint="eastAsia" w:ascii="宋体" w:hAnsi="宋体" w:eastAsia="宋体" w:cs="宋体"/>
          <w:color w:val="000000"/>
          <w:sz w:val="24"/>
          <w:szCs w:val="24"/>
          <w:highlight w:val="none"/>
          <w:lang w:val="en-US" w:eastAsia="zh-CN"/>
        </w:rPr>
        <w:t xml:space="preserve">产品使用和系统运维等方面的培训，所有培训课程应在项目验收前完成。</w:t>
      </w:r>
      <w:r>
        <w:rPr>
          <w:rFonts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实施过程中提供全面的培训，包括面向相关负责人、普通用户人员和系统管理员的培训，费用包含在投标总价中。</w:t>
      </w:r>
      <w:r>
        <w:rPr>
          <w:rFonts w:ascii="宋体" w:hAnsi="宋体" w:eastAsia="宋体" w:cs="宋体"/>
          <w:color w:val="000000"/>
          <w:sz w:val="24"/>
          <w:szCs w:val="24"/>
          <w:highlight w:val="none"/>
          <w:lang w:val="en-US" w:eastAsia="zh-CN"/>
        </w:rPr>
      </w:r>
      <w:r/>
    </w:p>
    <w:p>
      <w:pPr>
        <w:pStyle w:val="883"/>
        <w:ind w:firstLine="480"/>
        <w:spacing w:line="264" w:lineRule="auto"/>
        <w:rPr>
          <w:rFonts w:hint="eastAsia"/>
          <w:lang w:val="en-US" w:eastAsia="zh-CN"/>
        </w:rPr>
      </w:pPr>
      <w:r>
        <w:rPr>
          <w:rFonts w:hint="eastAsia" w:ascii="宋体" w:hAnsi="宋体" w:eastAsia="宋体" w:cs="宋体"/>
          <w:color w:val="000000"/>
          <w:sz w:val="24"/>
          <w:szCs w:val="24"/>
          <w:highlight w:val="none"/>
          <w:lang w:val="en-US" w:eastAsia="zh-CN"/>
        </w:rPr>
        <w:t xml:space="preserve">供应商必须为所有被培训人员提供培训用文字资料和讲义等相关用品，所有的资料必须是中文书写。</w:t>
      </w:r>
      <w:r>
        <w:rPr>
          <w:rFonts w:hint="eastAsia"/>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（3）验收要求</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项目完成后，供应商需配合采购人指定的第三方机构完成测试，范围包括性能测试、功能测试及安全测试。</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（4）人员要求</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①项目经理：1人，具有信息化项目管理工作经验，项目开发期间须驻场服务。 </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②技术负责人：5人，具有信息化项目技术管理工作经验，项目开发期间须驻场服务。  </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③开发实施人员：不少于16人，具有信息化工作经验，项目开发期间须驻场服务。 </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④项目组所有人员必须为投标人正式工作人员，不得兼任其他项目工作，未经采购人同意，人员不得更换。 </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（5）知识产权要求</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项目资料及工作成果（供应商原有产品除外）的知识产权权利归采购人所有，供应商应保证本项目使用的任何产品和服务（包括部分使用时）时，不会产生因第三方提出侵犯其专利权、商标权或其他知识产权而引起的法律和经济纠纷，如产生相关纠纷，由供应商承担所有相关责任的同时不得耽误本项目履约。</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未经采购人许可，供应商不得将本项目涉及到的有关资料泄露给第三方。</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（6）建设成果要求</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源代码成果：供应商就本项目开发的软件，向采购人提供全部源代码、安装程序和文档，并按采购人要求，配置源代码管理和调试环境。采购人有权委托第三方使用本系统资料（含源代码、安装程序、项目文档等）进行二次开发。</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②系统和数据库建设成果：供应商应提供符合采购需求的可操作的部署完善的系统软件及系统相关数据库，本项目中涉及的系统和数据库，归采购人所有。</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③文档成果：文档成果包括技术方案、用户需求说明书、系统设计说明书、数据标准和规范、测试方案、测试用</w:t>
      </w:r>
      <w:r>
        <w:rPr>
          <w:rFonts w:hint="eastAsia" w:ascii="宋体" w:hAnsi="宋体" w:eastAsia="宋体" w:cs="Times New Roman"/>
          <w:color w:val="000000"/>
          <w:sz w:val="24"/>
          <w:szCs w:val="24"/>
          <w:highlight w:val="none"/>
          <w:lang w:val="en-US" w:eastAsia="zh-CN"/>
        </w:rPr>
        <w:t xml:space="preserve">例、系统用户手册、系统安装配置说明、系统测试报告、试运行报告的全套成果电子文件（文字WORD格式）及纸质材料。</w:t>
      </w:r>
      <w:r>
        <w:rPr>
          <w:rFonts w:hint="eastAsia" w:ascii="宋体" w:hAnsi="宋体" w:eastAsia="宋体" w:cs="Times New Roman"/>
          <w:b w:val="0"/>
          <w:bCs w:val="0"/>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（7）信创适配要求</w:t>
      </w:r>
      <w:r>
        <w:rPr>
          <w:rFonts w:hint="eastAsia" w:ascii="宋体" w:hAnsi="宋体" w:eastAsia="宋体" w:cs="Times New Roman"/>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落实国家信创工作要求，按照信创技术路线组织建设，相关应用系统应依托市政务云环境进行部署。</w:t>
      </w:r>
      <w:r>
        <w:rPr>
          <w:rFonts w:hint="eastAsia" w:ascii="宋体" w:hAnsi="宋体" w:eastAsia="宋体" w:cs="Times New Roman"/>
          <w:color w:val="000000"/>
          <w:sz w:val="24"/>
          <w:szCs w:val="24"/>
          <w:highlight w:val="none"/>
          <w:lang w:val="en-US" w:eastAsia="zh-CN"/>
        </w:rPr>
      </w:r>
      <w:r/>
    </w:p>
    <w:p>
      <w:pPr>
        <w:pStyle w:val="88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宋体"/>
          <w:bCs/>
          <w:color w:val="000000"/>
          <w:sz w:val="24"/>
          <w:szCs w:val="24"/>
          <w:highlight w:val="none"/>
        </w:rPr>
        <w:t xml:space="preserve">合同签订后</w:t>
      </w:r>
      <w:r>
        <w:rPr>
          <w:rFonts w:hint="eastAsia" w:ascii="宋体" w:hAnsi="宋体" w:eastAsia="宋体" w:cs="宋体"/>
          <w:bCs/>
          <w:color w:val="000000"/>
          <w:sz w:val="24"/>
          <w:szCs w:val="24"/>
          <w:highlight w:val="none"/>
          <w:lang w:val="en-US" w:eastAsia="zh-CN"/>
        </w:rPr>
        <w:t xml:space="preserve">450</w:t>
      </w:r>
      <w:r>
        <w:rPr>
          <w:rFonts w:hint="eastAsia" w:ascii="宋体" w:hAnsi="宋体" w:eastAsia="宋体" w:cs="宋体"/>
          <w:bCs/>
          <w:color w:val="000000"/>
          <w:sz w:val="24"/>
          <w:szCs w:val="24"/>
          <w:highlight w:val="none"/>
        </w:rPr>
        <w:t xml:space="preserve">天</w:t>
      </w:r>
      <w:r>
        <w:rPr>
          <w:rFonts w:hint="eastAsia" w:ascii="宋体" w:hAnsi="宋体" w:eastAsia="宋体" w:cs="宋体"/>
          <w:bCs/>
          <w:color w:val="000000"/>
          <w:sz w:val="24"/>
          <w:szCs w:val="24"/>
          <w:highlight w:val="none"/>
        </w:rPr>
        <w:t xml:space="preserve">内</w:t>
      </w:r>
      <w:r>
        <w:rPr>
          <w:rFonts w:hint="eastAsia" w:ascii="宋体" w:hAnsi="宋体" w:eastAsia="宋体" w:cs="宋体"/>
          <w:bCs/>
          <w:color w:val="000000"/>
          <w:sz w:val="24"/>
          <w:szCs w:val="24"/>
          <w:highlight w:val="none"/>
          <w:lang w:eastAsia="zh-CN"/>
        </w:rPr>
        <w:t xml:space="preserve">完成系统开发</w:t>
      </w:r>
      <w:r>
        <w:rPr>
          <w:rFonts w:hint="eastAsia" w:ascii="宋体" w:hAnsi="宋体" w:eastAsia="宋体" w:cs="宋体"/>
          <w:bCs/>
          <w:color w:val="000000"/>
          <w:sz w:val="24"/>
          <w:szCs w:val="24"/>
          <w:highlight w:val="none"/>
          <w:lang w:val="en-US" w:eastAsia="zh-CN"/>
        </w:rPr>
        <w:t xml:space="preserve">及完成项目整体交付</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8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8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6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highlight w:val="none"/>
        </w:rPr>
        <w:br w:type="page" w:clear="all"/>
      </w:r>
      <w:bookmarkStart w:id="65"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8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8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83"/>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采用综合评分法，评标结果按评审后得分由高</w:t>
      </w:r>
      <w:r>
        <w:rPr>
          <w:rFonts w:hint="eastAsia" w:ascii="宋体" w:hAnsi="宋体" w:eastAsia="宋体" w:cs="宋体"/>
          <w:color w:val="000000"/>
          <w:sz w:val="24"/>
          <w:szCs w:val="24"/>
          <w:highlight w:val="none"/>
        </w:rPr>
        <w:t xml:space="preserve">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8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8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zh-CN"/>
        </w:rPr>
        <w:t xml:space="preserve">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83"/>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w:t>
      </w:r>
      <w:r>
        <w:rPr>
          <w:rFonts w:hint="eastAsia" w:ascii="宋体" w:hAnsi="宋体" w:eastAsia="宋体" w:cs="宋体"/>
          <w:sz w:val="24"/>
          <w:szCs w:val="24"/>
          <w:highlight w:val="none"/>
        </w:rPr>
        <w:t xml:space="preserve">、微型企业的，不重复享受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8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W w:w="5058" w:type="pct"/>
        <w:tblInd w:w="5" w:type="dxa"/>
        <w:tblLayout w:type="fixed"/>
        <w:tblCellMar>
          <w:left w:w="108" w:type="dxa"/>
          <w:top w:w="0" w:type="dxa"/>
          <w:right w:w="108" w:type="dxa"/>
          <w:bottom w:w="0" w:type="dxa"/>
        </w:tblCellMar>
        <w:tblLook w:val="04A0" w:firstRow="1" w:lastRow="0" w:firstColumn="1" w:lastColumn="0" w:noHBand="0" w:noVBand="1"/>
      </w:tblPr>
      <w:tblGrid>
        <w:gridCol w:w="724"/>
        <w:gridCol w:w="1276"/>
        <w:gridCol w:w="6520"/>
        <w:gridCol w:w="709"/>
        <w:gridCol w:w="850"/>
      </w:tblGrid>
      <w:tr>
        <w:trPr>
          <w:trHeight w:val="308"/>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tcPr>
          <w:p>
            <w:pPr>
              <w:pStyle w:val="883"/>
              <w:jc w:val="center"/>
              <w:keepLines w:val="0"/>
              <w:keepNext w:val="0"/>
              <w:pageBreakBefore w:val="0"/>
              <w:spacing w:before="122" w:line="288" w:lineRule="auto"/>
              <w:widowControl w:val="off"/>
              <w:rPr>
                <w:rFonts w:hint="eastAsia"/>
                <w:b/>
                <w:bCs/>
                <w:color w:val="000000"/>
              </w:rPr>
            </w:pPr>
            <w:r>
              <w:rPr>
                <w:rFonts w:ascii="宋体" w:hAnsi="宋体" w:eastAsia="宋体" w:cs="宋体"/>
                <w:b/>
                <w:bCs/>
                <w:color w:val="000000"/>
                <w:spacing w:val="-3"/>
                <w:sz w:val="21"/>
                <w:szCs w:val="21"/>
                <w:highlight w:val="none"/>
              </w:rPr>
              <w:t xml:space="preserve">序号</w:t>
            </w:r>
            <w:r>
              <w:rPr>
                <w:rFonts w:hint="eastAsia"/>
                <w:b/>
                <w:bCs/>
                <w:color w:val="000000"/>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883"/>
              <w:jc w:val="center"/>
              <w:keepLines w:val="0"/>
              <w:keepNext w:val="0"/>
              <w:pageBreakBefore w:val="0"/>
              <w:spacing w:before="122" w:line="288" w:lineRule="auto"/>
              <w:widowControl w:val="off"/>
              <w:rPr>
                <w:rFonts w:hint="eastAsia"/>
                <w:b/>
                <w:bCs/>
                <w:color w:val="000000"/>
              </w:rPr>
            </w:pPr>
            <w:r>
              <w:rPr>
                <w:rFonts w:ascii="宋体" w:hAnsi="宋体" w:eastAsia="宋体" w:cs="宋体"/>
                <w:b/>
                <w:bCs/>
                <w:color w:val="000000"/>
                <w:spacing w:val="-3"/>
                <w:sz w:val="21"/>
                <w:szCs w:val="21"/>
                <w:highlight w:val="none"/>
              </w:rPr>
              <w:t xml:space="preserve">评审因素</w:t>
            </w:r>
            <w:r>
              <w:rPr>
                <w:rFonts w:hint="eastAsia"/>
                <w:b/>
                <w:bCs/>
                <w:color w:val="000000"/>
              </w:rPr>
            </w:r>
            <w:r/>
          </w:p>
        </w:tc>
        <w:tc>
          <w:tcPr>
            <w:tcBorders>
              <w:top w:val="single" w:color="000000" w:sz="4" w:space="0"/>
              <w:left w:val="none" w:color="000000" w:sz="4" w:space="0"/>
              <w:bottom w:val="single" w:color="000000" w:sz="4" w:space="0"/>
              <w:right w:val="single" w:color="000000" w:sz="4" w:space="0"/>
            </w:tcBorders>
            <w:tcW w:w="6520" w:type="dxa"/>
            <w:vAlign w:val="top"/>
            <w:textDirection w:val="lrTb"/>
            <w:noWrap/>
          </w:tcPr>
          <w:p>
            <w:pPr>
              <w:pStyle w:val="883"/>
              <w:jc w:val="center"/>
              <w:keepLines w:val="0"/>
              <w:keepNext w:val="0"/>
              <w:pageBreakBefore w:val="0"/>
              <w:spacing w:before="122" w:line="288" w:lineRule="auto"/>
              <w:widowControl w:val="off"/>
              <w:rPr>
                <w:rFonts w:hint="eastAsia"/>
                <w:b/>
                <w:bCs/>
                <w:color w:val="000000"/>
              </w:rPr>
            </w:pPr>
            <w:r>
              <w:rPr>
                <w:rFonts w:ascii="宋体" w:hAnsi="宋体" w:eastAsia="宋体" w:cs="宋体"/>
                <w:b/>
                <w:bCs/>
                <w:color w:val="000000"/>
                <w:spacing w:val="-3"/>
                <w:sz w:val="21"/>
                <w:szCs w:val="21"/>
                <w:highlight w:val="none"/>
              </w:rPr>
              <w:t xml:space="preserve">评审细则</w:t>
            </w:r>
            <w:r>
              <w:rPr>
                <w:rFonts w:hint="eastAsia"/>
                <w:b/>
                <w:bCs/>
                <w:color w:val="000000"/>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tcPr>
          <w:p>
            <w:pPr>
              <w:pStyle w:val="883"/>
              <w:jc w:val="center"/>
              <w:keepLines w:val="0"/>
              <w:keepNext w:val="0"/>
              <w:pageBreakBefore w:val="0"/>
              <w:spacing w:before="122" w:line="288" w:lineRule="auto"/>
              <w:widowControl w:val="off"/>
              <w:rPr>
                <w:rFonts w:hint="eastAsia"/>
                <w:b/>
                <w:bCs/>
                <w:color w:val="000000"/>
              </w:rPr>
            </w:pPr>
            <w:r>
              <w:rPr>
                <w:rFonts w:ascii="宋体" w:hAnsi="宋体" w:eastAsia="宋体" w:cs="宋体"/>
                <w:b/>
                <w:bCs/>
                <w:color w:val="000000"/>
                <w:spacing w:val="-3"/>
                <w:sz w:val="21"/>
                <w:szCs w:val="21"/>
                <w:highlight w:val="none"/>
              </w:rPr>
              <w:t xml:space="preserve">分值</w:t>
            </w:r>
            <w:r>
              <w:rPr>
                <w:rFonts w:hint="eastAsia"/>
                <w:b/>
                <w:bCs/>
                <w:color w:val="000000"/>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83"/>
              <w:jc w:val="center"/>
              <w:keepLines w:val="0"/>
              <w:keepNext w:val="0"/>
              <w:pageBreakBefore w:val="0"/>
              <w:spacing w:before="122" w:line="288" w:lineRule="auto"/>
              <w:widowControl w:val="off"/>
              <w:rPr>
                <w:rFonts w:hint="eastAsia"/>
                <w:b/>
                <w:bCs/>
                <w:color w:val="000000"/>
              </w:rPr>
            </w:pPr>
            <w:r>
              <w:rPr>
                <w:rFonts w:ascii="宋体" w:hAnsi="宋体" w:eastAsia="宋体" w:cs="宋体"/>
                <w:b/>
                <w:bCs/>
                <w:color w:val="000000"/>
                <w:spacing w:val="-3"/>
                <w:sz w:val="21"/>
                <w:szCs w:val="21"/>
                <w:highlight w:val="none"/>
              </w:rPr>
              <w:t xml:space="preserve">类型</w:t>
            </w:r>
            <w:r>
              <w:rPr>
                <w:rFonts w:hint="eastAsia"/>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10078" w:type="dxa"/>
            <w:vAlign w:val="top"/>
            <w:textDirection w:val="lrTb"/>
            <w:noWrap/>
          </w:tcPr>
          <w:p>
            <w:pPr>
              <w:pStyle w:val="883"/>
              <w:keepLines w:val="0"/>
              <w:keepNext w:val="0"/>
              <w:pageBreakBefore w:val="0"/>
              <w:spacing w:before="122" w:line="264" w:lineRule="auto"/>
              <w:widowControl w:val="off"/>
              <w:rPr>
                <w:rFonts w:hint="eastAsia"/>
                <w:b/>
                <w:bCs/>
                <w:color w:val="000000"/>
              </w:rPr>
            </w:pPr>
            <w:r>
              <w:rPr>
                <w:rFonts w:hint="eastAsia" w:ascii="宋体" w:hAnsi="宋体" w:eastAsia="宋体" w:cs="宋体"/>
                <w:b/>
                <w:bCs/>
                <w:spacing w:val="-3"/>
                <w:sz w:val="21"/>
                <w:szCs w:val="21"/>
                <w:highlight w:val="none"/>
                <w:lang w:val="en-US" w:eastAsia="zh-CN"/>
              </w:rPr>
              <w:t xml:space="preserve">1.</w:t>
            </w:r>
            <w:r>
              <w:rPr>
                <w:rFonts w:ascii="宋体" w:hAnsi="宋体" w:eastAsia="宋体" w:cs="宋体"/>
                <w:b/>
                <w:bCs/>
                <w:spacing w:val="-3"/>
                <w:sz w:val="21"/>
                <w:szCs w:val="21"/>
                <w:highlight w:val="none"/>
              </w:rPr>
              <w:t xml:space="preserve">价</w:t>
            </w:r>
            <w:r>
              <w:rPr>
                <w:rFonts w:ascii="宋体" w:hAnsi="宋体" w:eastAsia="宋体" w:cs="宋体"/>
                <w:b/>
                <w:bCs/>
                <w:spacing w:val="-2"/>
                <w:sz w:val="21"/>
                <w:szCs w:val="21"/>
                <w:highlight w:val="none"/>
              </w:rPr>
              <w:t xml:space="preserve">格</w:t>
            </w:r>
            <w:r>
              <w:rPr>
                <w:rFonts w:hint="eastAsia"/>
                <w:b/>
                <w:bCs/>
                <w:color w:val="000000"/>
              </w:rPr>
            </w:r>
            <w:r/>
          </w:p>
        </w:tc>
      </w:tr>
      <w:tr>
        <w:trPr>
          <w:trHeight w:val="1871"/>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83"/>
              <w:jc w:val="center"/>
              <w:keepLines w:val="0"/>
              <w:keepNext w:val="0"/>
              <w:pageBreakBefore w:val="0"/>
              <w:spacing w:before="68" w:line="264" w:lineRule="auto"/>
              <w:widowControl w:val="off"/>
              <w:rPr>
                <w:rFonts w:hint="eastAsia"/>
                <w:color w:val="000000"/>
              </w:rPr>
            </w:pPr>
            <w:r>
              <w:rPr>
                <w:rFonts w:hint="eastAsia" w:ascii="宋体" w:hAnsi="宋体" w:eastAsia="宋体" w:cs="宋体"/>
                <w:spacing w:val="-6"/>
                <w:sz w:val="21"/>
                <w:szCs w:val="21"/>
                <w:highlight w:val="none"/>
              </w:rPr>
              <w:t xml:space="preserve">1.1</w:t>
            </w:r>
            <w:r>
              <w:rPr>
                <w:rFonts w:hint="eastAsia"/>
                <w:color w:val="000000"/>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83"/>
              <w:jc w:val="left"/>
              <w:keepLines w:val="0"/>
              <w:keepNext w:val="0"/>
              <w:pageBreakBefore w:val="0"/>
              <w:spacing w:before="68" w:line="264" w:lineRule="auto"/>
              <w:widowControl w:val="off"/>
              <w:rPr>
                <w:rFonts w:hint="eastAsia"/>
                <w:color w:val="000000"/>
              </w:rPr>
            </w:pPr>
            <w:r>
              <w:rPr>
                <w:rFonts w:ascii="宋体" w:hAnsi="宋体" w:eastAsia="宋体" w:cs="宋体"/>
                <w:color w:val="000000"/>
                <w:spacing w:val="-2"/>
                <w:sz w:val="21"/>
                <w:szCs w:val="21"/>
                <w:highlight w:val="none"/>
              </w:rPr>
              <w:t xml:space="preserve">价格分</w:t>
            </w:r>
            <w:r>
              <w:rPr>
                <w:rFonts w:hint="eastAsia"/>
                <w:color w:val="000000"/>
              </w:rPr>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pStyle w:val="883"/>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961"/>
              <w:ind w:left="0" w:firstLine="0"/>
              <w:rPr>
                <w:rFonts w:hint="eastAsia" w:ascii="仿宋" w:hAnsi="仿宋" w:eastAsia="仿宋" w:cs="宋体"/>
                <w:color w:val="000000"/>
                <w:sz w:val="24"/>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仿宋" w:hAnsi="仿宋" w:eastAsia="仿宋" w:cs="宋体"/>
                <w:color w:val="000000"/>
                <w:sz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hint="eastAsia"/>
                <w:color w:val="000000"/>
              </w:rPr>
            </w:pPr>
            <w:r>
              <w:rPr>
                <w:color w:val="000000"/>
                <w:highlight w:val="none"/>
                <w:lang w:val="en-US" w:eastAsia="zh-CN"/>
              </w:rPr>
              <w:t xml:space="preserve">10</w:t>
            </w:r>
            <w:r>
              <w:rPr>
                <w:color w:val="000000"/>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83"/>
              <w:jc w:val="center"/>
              <w:keepLines w:val="0"/>
              <w:keepNext w:val="0"/>
              <w:pageBreakBefore w:val="0"/>
              <w:spacing w:before="68" w:line="264" w:lineRule="auto"/>
              <w:widowControl w:val="off"/>
              <w:rPr>
                <w:rFonts w:hint="eastAsia"/>
                <w:color w:val="000000"/>
              </w:rPr>
            </w:pPr>
            <w:r>
              <w:rPr>
                <w:rFonts w:hint="eastAsia" w:ascii="宋体" w:hAnsi="宋体" w:eastAsia="宋体" w:cs="宋体"/>
                <w:color w:val="000000"/>
                <w:sz w:val="21"/>
                <w:szCs w:val="21"/>
                <w:highlight w:val="none"/>
                <w:lang w:val="en-US" w:eastAsia="zh-CN"/>
              </w:rPr>
              <w:t xml:space="preserve">价格分</w:t>
            </w:r>
            <w:r>
              <w:rPr>
                <w:rFonts w:hint="eastAsia"/>
                <w:color w:val="000000"/>
              </w:rPr>
            </w:r>
            <w:r/>
          </w:p>
        </w:tc>
      </w:tr>
      <w:tr>
        <w:trPr/>
        <w:tc>
          <w:tcPr>
            <w:gridSpan w:val="5"/>
            <w:tcBorders>
              <w:top w:val="none" w:color="000000" w:sz="4" w:space="0"/>
              <w:left w:val="single" w:color="000000" w:sz="4" w:space="0"/>
              <w:bottom w:val="single" w:color="000000" w:sz="4" w:space="0"/>
              <w:right w:val="single" w:color="000000" w:sz="4" w:space="0"/>
            </w:tcBorders>
            <w:tcW w:w="10078" w:type="dxa"/>
            <w:vAlign w:val="top"/>
            <w:textDirection w:val="lrTb"/>
            <w:noWrap/>
          </w:tcPr>
          <w:p>
            <w:pPr>
              <w:pStyle w:val="883"/>
              <w:keepLines w:val="0"/>
              <w:keepNext w:val="0"/>
              <w:pageBreakBefore w:val="0"/>
              <w:spacing w:before="123" w:line="264" w:lineRule="auto"/>
              <w:widowControl w:val="off"/>
              <w:rPr>
                <w:rFonts w:hint="eastAsia"/>
                <w:b/>
                <w:bCs/>
                <w:color w:val="000000"/>
              </w:rPr>
            </w:pPr>
            <w:r>
              <w:rPr>
                <w:rFonts w:hint="eastAsia" w:ascii="宋体" w:hAnsi="宋体" w:eastAsia="宋体" w:cs="宋体"/>
                <w:b/>
                <w:bCs/>
                <w:color w:val="000000"/>
                <w:spacing w:val="-3"/>
                <w:sz w:val="21"/>
                <w:szCs w:val="21"/>
                <w:highlight w:val="none"/>
                <w:lang w:val="en-US" w:eastAsia="zh-CN"/>
              </w:rPr>
              <w:t xml:space="preserve">2.技术</w:t>
            </w:r>
            <w:r>
              <w:rPr>
                <w:rFonts w:hint="eastAsia"/>
                <w:b/>
                <w:bCs/>
                <w:color w:val="000000"/>
              </w:rPr>
            </w:r>
            <w:r/>
          </w:p>
        </w:tc>
      </w:tr>
      <w:tr>
        <w:trPr>
          <w:trHeight w:val="1073"/>
        </w:trPr>
        <w:tc>
          <w:tcPr>
            <w:tcBorders>
              <w:top w:val="none" w:color="000000" w:sz="4" w:space="0"/>
              <w:left w:val="single" w:color="000000" w:sz="4" w:space="0"/>
              <w:bottom w:val="none" w:color="000000" w:sz="0" w:space="0"/>
              <w:right w:val="single" w:color="000000" w:sz="4" w:space="0"/>
            </w:tcBorders>
            <w:tcW w:w="724" w:type="dxa"/>
            <w:vAlign w:val="center"/>
            <w:textDirection w:val="lrTb"/>
            <w:noWrap/>
          </w:tcPr>
          <w:p>
            <w:pPr>
              <w:pStyle w:val="883"/>
              <w:jc w:val="center"/>
              <w:rPr>
                <w:rFonts w:hint="eastAsia"/>
                <w:color w:val="000000"/>
              </w:rPr>
            </w:pPr>
            <w:r>
              <w:rPr>
                <w:rFonts w:hint="eastAsia"/>
                <w:color w:val="000000"/>
              </w:rPr>
              <w:t xml:space="preserve">2.1</w:t>
            </w:r>
            <w:r>
              <w:rPr>
                <w:rFonts w:hint="eastAsia"/>
                <w:color w:val="000000"/>
              </w:rPr>
            </w:r>
            <w:r/>
          </w:p>
        </w:tc>
        <w:tc>
          <w:tcPr>
            <w:tcBorders>
              <w:top w:val="none" w:color="000000" w:sz="4" w:space="0"/>
              <w:left w:val="none" w:color="000000" w:sz="4" w:space="0"/>
              <w:bottom w:val="none" w:color="000000" w:sz="0" w:space="0"/>
              <w:right w:val="single" w:color="000000" w:sz="4" w:space="0"/>
            </w:tcBorders>
            <w:tcW w:w="1276" w:type="dxa"/>
            <w:vAlign w:val="center"/>
            <w:textDirection w:val="lrTb"/>
            <w:noWrap w:val="false"/>
          </w:tcPr>
          <w:p>
            <w:pPr>
              <w:pStyle w:val="883"/>
              <w:rPr>
                <w:rFonts w:hint="eastAsia"/>
                <w:color w:val="000000"/>
              </w:rPr>
            </w:pPr>
            <w:r>
              <w:rPr>
                <w:rFonts w:hint="eastAsia"/>
                <w:color w:val="000000"/>
              </w:rPr>
              <w:t xml:space="preserve">需求理解</w:t>
            </w:r>
            <w:r>
              <w:rPr>
                <w:rFonts w:hint="eastAsia"/>
                <w:color w:val="000000"/>
              </w:rPr>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rPr>
              <w:t xml:space="preserve">根据本项目采购需求及相关要求编制方案，内容包含：1.</w:t>
            </w:r>
            <w:r>
              <w:rPr>
                <w:color w:val="000000"/>
                <w:sz w:val="21"/>
                <w:szCs w:val="21"/>
                <w:highlight w:val="none"/>
              </w:rPr>
              <w:t xml:space="preserve">建设背景</w:t>
            </w:r>
            <w:r>
              <w:rPr>
                <w:color w:val="000000"/>
                <w:sz w:val="21"/>
                <w:szCs w:val="21"/>
                <w:highlight w:val="none"/>
              </w:rPr>
              <w:t xml:space="preserve">；2.</w:t>
            </w:r>
            <w:r>
              <w:rPr>
                <w:color w:val="000000"/>
                <w:sz w:val="21"/>
                <w:szCs w:val="21"/>
                <w:highlight w:val="none"/>
              </w:rPr>
              <w:t xml:space="preserve">建设目标</w:t>
            </w:r>
            <w:r>
              <w:rPr>
                <w:color w:val="000000"/>
                <w:sz w:val="21"/>
                <w:szCs w:val="21"/>
                <w:highlight w:val="none"/>
              </w:rPr>
              <w:t xml:space="preserve">；</w:t>
            </w:r>
            <w:r>
              <w:rPr>
                <w:color w:val="000000"/>
                <w:sz w:val="21"/>
                <w:szCs w:val="21"/>
                <w:highlight w:val="none"/>
              </w:rPr>
              <w:t xml:space="preserve">3.</w:t>
            </w:r>
            <w:r>
              <w:rPr>
                <w:color w:val="000000"/>
                <w:sz w:val="21"/>
                <w:szCs w:val="21"/>
                <w:highlight w:val="none"/>
                <w:lang w:val="en-US" w:eastAsia="zh-CN"/>
              </w:rPr>
              <w:t xml:space="preserve">需求</w:t>
            </w:r>
            <w:r>
              <w:rPr>
                <w:color w:val="000000"/>
                <w:sz w:val="21"/>
                <w:szCs w:val="21"/>
                <w:highlight w:val="none"/>
              </w:rPr>
              <w:t xml:space="preserve">分析；4.架构理解；</w:t>
            </w:r>
            <w:r>
              <w:rPr>
                <w:color w:val="000000"/>
                <w:sz w:val="21"/>
                <w:szCs w:val="21"/>
                <w:highlight w:val="none"/>
                <w:lang w:val="en-US" w:eastAsia="zh-CN"/>
              </w:rPr>
              <w:t xml:space="preserve">5.重难点分析</w:t>
            </w:r>
            <w:r>
              <w:rPr>
                <w:color w:val="000000"/>
                <w:sz w:val="21"/>
                <w:szCs w:val="21"/>
                <w:highlight w:val="none"/>
              </w:rPr>
              <w:t xml:space="preserve">。以上每项内容逐条阐述。</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rPr>
              <w:t xml:space="preserve">方案内容完整深刻，且专门针对本项目，契合采购需求视为符合；方案内容属于通用类，非专门针对本项目，部分契合采购需求视为部分符合；方案内容非专门针对本项目，脱离采购需求视为不符合。</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rPr>
              <w:t xml:space="preserve">上述每项内容符合得1分；部分符合得0.5分；不符合或不提供不得分。</w:t>
            </w:r>
            <w:r>
              <w:rPr>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3"/>
              <w:jc w:val="center"/>
              <w:rPr>
                <w:rFonts w:hint="eastAsia"/>
                <w:color w:val="000000"/>
                <w:highlight w:val="none"/>
              </w:rPr>
            </w:pPr>
            <w:r>
              <w:rPr>
                <w:color w:val="000000"/>
                <w:highlight w:val="none"/>
              </w:rPr>
              <w:t xml:space="preserve">5</w:t>
            </w:r>
            <w:r>
              <w:rPr>
                <w:rFonts w:hint="eastAsia"/>
                <w:color w:val="000000"/>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83"/>
              <w:rPr>
                <w:rFonts w:hint="eastAsia"/>
                <w:color w:val="000000"/>
              </w:rPr>
            </w:pPr>
            <w:r>
              <w:rPr>
                <w:rFonts w:hint="eastAsia"/>
                <w:color w:val="000000"/>
              </w:rPr>
              <w:t xml:space="preserve">主观分</w:t>
            </w:r>
            <w:r>
              <w:rPr>
                <w:rFonts w:hint="eastAsia"/>
                <w:color w:val="000000"/>
              </w:rPr>
            </w:r>
            <w:r/>
          </w:p>
        </w:tc>
      </w:tr>
      <w:tr>
        <w:trPr>
          <w:trHeight w:val="1539"/>
        </w:trPr>
        <w:tc>
          <w:tcPr>
            <w:tcBorders>
              <w:top w:val="single" w:color="000000" w:sz="4" w:space="0"/>
              <w:left w:val="single" w:color="000000" w:sz="4" w:space="0"/>
              <w:bottom w:val="none" w:color="000000" w:sz="0" w:space="0"/>
              <w:right w:val="single" w:color="000000" w:sz="4" w:space="0"/>
            </w:tcBorders>
            <w:tcW w:w="724" w:type="dxa"/>
            <w:vAlign w:val="center"/>
            <w:textDirection w:val="lrTb"/>
            <w:noWrap/>
          </w:tcPr>
          <w:p>
            <w:pPr>
              <w:pStyle w:val="883"/>
              <w:jc w:val="center"/>
              <w:rPr>
                <w:rFonts w:hint="eastAsia"/>
                <w:color w:val="000000"/>
              </w:rPr>
            </w:pPr>
            <w:r>
              <w:rPr>
                <w:rFonts w:hint="eastAsia"/>
                <w:color w:val="000000"/>
              </w:rPr>
              <w:t xml:space="preserve">2.2</w:t>
            </w:r>
            <w:r>
              <w:rPr>
                <w:rFonts w:hint="eastAsia"/>
                <w:color w:val="000000"/>
              </w:rPr>
            </w:r>
            <w:r/>
          </w:p>
        </w:tc>
        <w:tc>
          <w:tcPr>
            <w:tcBorders>
              <w:top w:val="single" w:color="000000" w:sz="4" w:space="0"/>
              <w:left w:val="single" w:color="000000" w:sz="4" w:space="0"/>
              <w:bottom w:val="none" w:color="000000" w:sz="0" w:space="0"/>
              <w:right w:val="single" w:color="000000" w:sz="4" w:space="0"/>
            </w:tcBorders>
            <w:tcW w:w="1276" w:type="dxa"/>
            <w:vAlign w:val="center"/>
            <w:textDirection w:val="lrTb"/>
            <w:noWrap w:val="false"/>
          </w:tcPr>
          <w:p>
            <w:pPr>
              <w:pStyle w:val="883"/>
              <w:rPr>
                <w:rFonts w:hint="eastAsia"/>
                <w:color w:val="000000"/>
              </w:rPr>
            </w:pPr>
            <w:r>
              <w:rPr>
                <w:rFonts w:hint="eastAsia"/>
                <w:color w:val="000000"/>
              </w:rPr>
              <w:t xml:space="preserve">建设方案</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bidi="ar-SA"/>
              </w:rPr>
              <w:t xml:space="preserve">根据本项目采购需求编制方案，内容包含：</w:t>
            </w:r>
            <w:r>
              <w:rPr>
                <w:color w:val="000000"/>
                <w:sz w:val="21"/>
                <w:szCs w:val="21"/>
                <w:highlight w:val="none"/>
              </w:rPr>
              <w:t xml:space="preserve">1.</w:t>
            </w:r>
            <w:r>
              <w:rPr>
                <w:color w:val="000000"/>
                <w:sz w:val="21"/>
                <w:szCs w:val="21"/>
                <w:highlight w:val="none"/>
              </w:rPr>
              <w:t xml:space="preserve">项目建设思路2.项目架构设计；3.技术路线与选型；4.项目管理方案；5.</w:t>
            </w:r>
            <w:r>
              <w:rPr>
                <w:color w:val="000000"/>
                <w:sz w:val="21"/>
                <w:szCs w:val="21"/>
                <w:highlight w:val="none"/>
              </w:rPr>
              <w:t xml:space="preserve">安全保障方案</w:t>
            </w:r>
            <w:r>
              <w:rPr>
                <w:color w:val="000000"/>
                <w:sz w:val="21"/>
                <w:szCs w:val="21"/>
                <w:highlight w:val="none"/>
              </w:rPr>
              <w:t xml:space="preserve">。</w:t>
            </w:r>
            <w:r>
              <w:rPr>
                <w:color w:val="000000"/>
                <w:sz w:val="21"/>
                <w:szCs w:val="21"/>
                <w:highlight w:val="none"/>
              </w:rPr>
              <w:t xml:space="preserve">以上每项内容逐项评分：</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bidi="ar-SA"/>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bidi="ar-SA"/>
              </w:rPr>
              <w:t xml:space="preserve">上述每项内容符合得1分；部分符合得0.5分；不符合或不提供不得分。</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3"/>
              <w:jc w:val="center"/>
              <w:rPr>
                <w:rFonts w:hint="eastAsia"/>
                <w:color w:val="000000"/>
                <w:highlight w:val="none"/>
              </w:rPr>
            </w:pPr>
            <w:r>
              <w:rPr>
                <w:color w:val="000000"/>
                <w:highlight w:val="none"/>
              </w:rPr>
              <w:t xml:space="preserve">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rPr>
                <w:color w:val="000000"/>
              </w:rPr>
            </w:pPr>
            <w:r>
              <w:rPr>
                <w:rFonts w:hint="eastAsia"/>
                <w:color w:val="000000"/>
              </w:rPr>
              <w:t xml:space="preserve">主观分</w:t>
            </w:r>
            <w:r>
              <w:rPr>
                <w:color w:val="000000"/>
              </w:rPr>
            </w:r>
            <w:r/>
          </w:p>
        </w:tc>
      </w:tr>
      <w:tr>
        <w:trPr/>
        <w:tc>
          <w:tcPr>
            <w:tcBorders>
              <w:top w:val="single" w:color="000000" w:sz="4" w:space="0"/>
              <w:left w:val="single" w:color="000000" w:sz="4" w:space="0"/>
              <w:bottom w:val="none" w:color="000000" w:sz="0" w:space="0"/>
              <w:right w:val="single" w:color="000000" w:sz="4" w:space="0"/>
            </w:tcBorders>
            <w:tcW w:w="724" w:type="dxa"/>
            <w:vAlign w:val="center"/>
            <w:textDirection w:val="lrTb"/>
            <w:noWrap/>
          </w:tcPr>
          <w:p>
            <w:pPr>
              <w:pStyle w:val="883"/>
              <w:jc w:val="center"/>
              <w:rPr>
                <w:rFonts w:hint="eastAsia"/>
                <w:color w:val="000000"/>
              </w:rPr>
            </w:pPr>
            <w:r>
              <w:rPr>
                <w:rFonts w:hint="eastAsia"/>
                <w:color w:val="000000"/>
              </w:rPr>
              <w:t xml:space="preserve">2.3</w:t>
            </w:r>
            <w:r>
              <w:rPr>
                <w:rFonts w:hint="eastAsia"/>
                <w:color w:val="000000"/>
              </w:rPr>
            </w:r>
            <w:r/>
          </w:p>
        </w:tc>
        <w:tc>
          <w:tcPr>
            <w:tcBorders>
              <w:top w:val="single" w:color="000000" w:sz="4" w:space="0"/>
              <w:left w:val="single" w:color="000000" w:sz="4" w:space="0"/>
              <w:bottom w:val="none" w:color="000000" w:sz="0" w:space="0"/>
              <w:right w:val="single" w:color="000000" w:sz="4" w:space="0"/>
            </w:tcBorders>
            <w:tcW w:w="1276" w:type="dxa"/>
            <w:vAlign w:val="center"/>
            <w:textDirection w:val="lrTb"/>
            <w:noWrap w:val="false"/>
          </w:tcPr>
          <w:p>
            <w:pPr>
              <w:pStyle w:val="883"/>
              <w:rPr>
                <w:rFonts w:hint="eastAsia" w:eastAsia="宋体"/>
                <w:color w:val="000000"/>
                <w:lang w:val="en-US" w:eastAsia="zh-CN"/>
              </w:rPr>
            </w:pPr>
            <w:r>
              <w:rPr>
                <w:rFonts w:hint="eastAsia" w:eastAsia="宋体"/>
                <w:color w:val="000000"/>
                <w:lang w:val="en-US" w:eastAsia="zh-CN"/>
              </w:rPr>
              <w:t xml:space="preserve">南京市规划资源信息化管理模块实施方案</w:t>
            </w:r>
            <w:r>
              <w:rPr>
                <w:rFonts w:hint="eastAsia" w:eastAsia="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rPr>
              <w:t xml:space="preserve">根据本项目采购需</w:t>
            </w:r>
            <w:r>
              <w:rPr>
                <w:color w:val="000000"/>
                <w:sz w:val="21"/>
                <w:szCs w:val="21"/>
                <w:highlight w:val="none"/>
                <w:lang w:val="en-US" w:eastAsia="zh-CN"/>
              </w:rPr>
              <w:t xml:space="preserve">求</w:t>
            </w:r>
            <w:r>
              <w:rPr>
                <w:color w:val="000000"/>
                <w:sz w:val="21"/>
                <w:szCs w:val="21"/>
                <w:highlight w:val="none"/>
              </w:rPr>
              <w:t xml:space="preserve">编制</w:t>
            </w:r>
            <w:r>
              <w:rPr>
                <w:color w:val="000000"/>
                <w:sz w:val="21"/>
                <w:szCs w:val="21"/>
                <w:highlight w:val="none"/>
              </w:rPr>
              <w:t xml:space="preserve">南京市规划资源信息化管理模块实施方案</w:t>
            </w:r>
            <w:r>
              <w:rPr>
                <w:color w:val="000000"/>
                <w:sz w:val="21"/>
                <w:szCs w:val="21"/>
                <w:highlight w:val="none"/>
              </w:rPr>
              <w:t xml:space="preserve">，内容包含：</w:t>
            </w:r>
            <w:r>
              <w:rPr>
                <w:color w:val="000000"/>
                <w:sz w:val="21"/>
                <w:szCs w:val="21"/>
                <w:highlight w:val="none"/>
                <w:lang w:val="en-US" w:eastAsia="zh-CN"/>
              </w:rPr>
              <w:t xml:space="preserve">1.</w:t>
            </w:r>
            <w:r>
              <w:rPr>
                <w:color w:val="000000"/>
                <w:sz w:val="21"/>
                <w:szCs w:val="21"/>
                <w:highlight w:val="none"/>
              </w:rPr>
              <w:t xml:space="preserve">进度安排</w:t>
            </w:r>
            <w:r>
              <w:rPr>
                <w:color w:val="000000"/>
                <w:sz w:val="21"/>
                <w:szCs w:val="21"/>
                <w:highlight w:val="none"/>
                <w:lang w:eastAsia="zh-CN"/>
              </w:rPr>
              <w:t xml:space="preserve">；</w:t>
            </w:r>
            <w:r>
              <w:rPr>
                <w:color w:val="000000"/>
                <w:sz w:val="21"/>
                <w:szCs w:val="21"/>
                <w:highlight w:val="none"/>
                <w:lang w:val="en-US" w:eastAsia="zh-CN"/>
              </w:rPr>
              <w:t xml:space="preserve">2.</w:t>
            </w:r>
            <w:r>
              <w:rPr>
                <w:color w:val="000000"/>
                <w:sz w:val="21"/>
                <w:szCs w:val="21"/>
                <w:highlight w:val="none"/>
              </w:rPr>
              <w:t xml:space="preserve">风险控制管理</w:t>
            </w:r>
            <w:r>
              <w:rPr>
                <w:color w:val="000000"/>
                <w:sz w:val="21"/>
                <w:szCs w:val="21"/>
                <w:highlight w:val="none"/>
                <w:lang w:eastAsia="zh-CN"/>
              </w:rPr>
              <w:t xml:space="preserve">；</w:t>
            </w:r>
            <w:r>
              <w:rPr>
                <w:color w:val="000000"/>
                <w:sz w:val="21"/>
                <w:szCs w:val="21"/>
                <w:highlight w:val="none"/>
                <w:lang w:val="en-US" w:eastAsia="zh-CN"/>
              </w:rPr>
              <w:t xml:space="preserve">3.</w:t>
            </w:r>
            <w:r>
              <w:rPr>
                <w:color w:val="000000"/>
                <w:sz w:val="21"/>
                <w:szCs w:val="21"/>
                <w:highlight w:val="none"/>
              </w:rPr>
              <w:t xml:space="preserve">质量保障措施</w:t>
            </w:r>
            <w:r>
              <w:rPr>
                <w:color w:val="000000"/>
                <w:sz w:val="21"/>
                <w:szCs w:val="21"/>
                <w:highlight w:val="none"/>
                <w:lang w:eastAsia="zh-CN"/>
              </w:rPr>
              <w:t xml:space="preserve">；</w:t>
            </w:r>
            <w:r>
              <w:rPr>
                <w:color w:val="000000"/>
                <w:sz w:val="21"/>
                <w:szCs w:val="21"/>
                <w:highlight w:val="none"/>
                <w:lang w:val="en-US" w:eastAsia="zh-CN"/>
              </w:rPr>
              <w:t xml:space="preserve">4.</w:t>
            </w:r>
            <w:r>
              <w:rPr>
                <w:color w:val="000000"/>
                <w:sz w:val="21"/>
                <w:szCs w:val="21"/>
                <w:highlight w:val="none"/>
              </w:rPr>
              <w:t xml:space="preserve">信息安全管理措施</w:t>
            </w:r>
            <w:r>
              <w:rPr>
                <w:color w:val="000000"/>
                <w:sz w:val="21"/>
                <w:szCs w:val="21"/>
                <w:highlight w:val="none"/>
                <w:lang w:eastAsia="zh-CN"/>
              </w:rPr>
              <w:t xml:space="preserve">；</w:t>
            </w:r>
            <w:r>
              <w:rPr>
                <w:color w:val="000000"/>
                <w:sz w:val="21"/>
                <w:szCs w:val="21"/>
                <w:highlight w:val="none"/>
                <w:lang w:val="en-US" w:eastAsia="zh-CN"/>
              </w:rPr>
              <w:t xml:space="preserve">5.</w:t>
            </w:r>
            <w:r>
              <w:rPr>
                <w:color w:val="000000"/>
                <w:sz w:val="21"/>
                <w:szCs w:val="21"/>
                <w:highlight w:val="none"/>
              </w:rPr>
              <w:t xml:space="preserve">文档管理措施</w:t>
            </w:r>
            <w:r>
              <w:rPr>
                <w:color w:val="000000"/>
                <w:sz w:val="21"/>
                <w:szCs w:val="21"/>
                <w:highlight w:val="none"/>
                <w:lang w:val="en-US" w:bidi="ar-SA"/>
              </w:rPr>
              <w:t xml:space="preserve">。以上每项内容逐项评分：</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方案内容</w:t>
            </w:r>
            <w:r>
              <w:rPr>
                <w:color w:val="000000"/>
                <w:sz w:val="21"/>
                <w:szCs w:val="21"/>
                <w:highlight w:val="none"/>
              </w:rPr>
              <w:t xml:space="preserve">完整深刻、可行性强</w:t>
            </w:r>
            <w:r>
              <w:rPr>
                <w:color w:val="000000"/>
                <w:sz w:val="21"/>
                <w:szCs w:val="21"/>
                <w:highlight w:val="none"/>
                <w:lang w:val="en-US" w:bidi="ar-SA"/>
              </w:rPr>
              <w:t xml:space="preserve">，且</w:t>
            </w:r>
            <w:r>
              <w:rPr>
                <w:color w:val="000000"/>
                <w:sz w:val="21"/>
                <w:szCs w:val="21"/>
                <w:highlight w:val="none"/>
                <w:lang w:val="en-US"/>
              </w:rPr>
              <w:t xml:space="preserve">专门针对本项目，</w:t>
            </w:r>
            <w:r>
              <w:rPr>
                <w:color w:val="000000"/>
                <w:sz w:val="21"/>
                <w:szCs w:val="21"/>
                <w:highlight w:val="none"/>
                <w:lang w:val="en-US" w:eastAsia="zh-CN"/>
              </w:rPr>
              <w:t xml:space="preserve">契合</w:t>
            </w:r>
            <w:r>
              <w:rPr>
                <w:color w:val="000000"/>
                <w:sz w:val="21"/>
                <w:szCs w:val="21"/>
                <w:highlight w:val="none"/>
                <w:lang w:val="en-US"/>
              </w:rPr>
              <w:t xml:space="preserve">采购需求视为符合；方案内容属于通用类，非专门针对本项目，部分</w:t>
            </w:r>
            <w:r>
              <w:rPr>
                <w:color w:val="000000"/>
                <w:sz w:val="21"/>
                <w:szCs w:val="21"/>
                <w:highlight w:val="none"/>
                <w:lang w:val="en-US" w:eastAsia="zh-CN"/>
              </w:rPr>
              <w:t xml:space="preserve">契合采购需求</w:t>
            </w:r>
            <w:r>
              <w:rPr>
                <w:color w:val="000000"/>
                <w:sz w:val="21"/>
                <w:szCs w:val="21"/>
                <w:highlight w:val="none"/>
                <w:lang w:val="en-US"/>
              </w:rPr>
              <w:t xml:space="preserve">视为部分符合；方案内容非专门针对本项目</w:t>
            </w:r>
            <w:r>
              <w:rPr>
                <w:color w:val="000000"/>
                <w:sz w:val="21"/>
                <w:szCs w:val="21"/>
                <w:highlight w:val="none"/>
                <w:lang w:val="en-US" w:eastAsia="zh-CN"/>
              </w:rPr>
              <w:t xml:space="preserve">，脱离</w:t>
            </w:r>
            <w:r>
              <w:rPr>
                <w:color w:val="000000"/>
                <w:sz w:val="21"/>
                <w:szCs w:val="21"/>
                <w:highlight w:val="none"/>
                <w:lang w:val="en-US"/>
              </w:rPr>
              <w:t xml:space="preserve">采购需求视为不符合。</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bidi="ar-SA"/>
              </w:rPr>
              <w:t xml:space="preserve">上述每项内容符合得1分；部分符合得0.5分；不符合或不提供不得分。</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3"/>
              <w:jc w:val="center"/>
              <w:rPr>
                <w:rFonts w:eastAsia="宋体"/>
                <w:color w:val="000000"/>
                <w:lang w:val="en-US" w:eastAsia="zh-CN"/>
              </w:rPr>
            </w:pPr>
            <w:r>
              <w:rPr>
                <w:rFonts w:hint="eastAsia"/>
                <w:color w:val="000000"/>
                <w:lang w:val="en-US" w:eastAsia="zh-CN"/>
              </w:rPr>
              <w:t xml:space="preserve">5</w:t>
            </w:r>
            <w:r>
              <w:rPr>
                <w:rFonts w:eastAsia="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rPr>
                <w:color w:val="000000"/>
              </w:rPr>
            </w:pPr>
            <w:r>
              <w:rPr>
                <w:rFonts w:hint="eastAsia"/>
                <w:color w:val="000000"/>
              </w:rPr>
              <w:t xml:space="preserve">主观分</w:t>
            </w:r>
            <w:r>
              <w:rPr>
                <w:color w:val="000000"/>
              </w:rPr>
            </w:r>
            <w:r/>
          </w:p>
        </w:tc>
      </w:tr>
      <w:tr>
        <w:trPr/>
        <w:tc>
          <w:tcPr>
            <w:tcBorders>
              <w:top w:val="single" w:color="000000" w:sz="4" w:space="0"/>
              <w:left w:val="single" w:color="000000" w:sz="4" w:space="0"/>
              <w:bottom w:val="none" w:color="000000" w:sz="0" w:space="0"/>
              <w:right w:val="single" w:color="000000" w:sz="4" w:space="0"/>
            </w:tcBorders>
            <w:tcW w:w="724" w:type="dxa"/>
            <w:vAlign w:val="center"/>
            <w:textDirection w:val="lrTb"/>
            <w:noWrap/>
          </w:tcPr>
          <w:p>
            <w:pPr>
              <w:pStyle w:val="883"/>
              <w:jc w:val="center"/>
              <w:rPr>
                <w:rFonts w:eastAsia="宋体"/>
                <w:color w:val="000000"/>
                <w:lang w:val="en-US" w:eastAsia="zh-CN"/>
              </w:rPr>
            </w:pPr>
            <w:r>
              <w:rPr>
                <w:rFonts w:hint="eastAsia"/>
                <w:color w:val="000000"/>
                <w:lang w:val="en-US" w:eastAsia="zh-CN"/>
              </w:rPr>
              <w:t xml:space="preserve">2.4</w:t>
            </w:r>
            <w:r>
              <w:rPr>
                <w:rFonts w:eastAsia="宋体"/>
                <w:color w:val="000000"/>
                <w:lang w:val="en-US" w:eastAsia="zh-CN"/>
              </w:rPr>
            </w:r>
            <w:r/>
          </w:p>
        </w:tc>
        <w:tc>
          <w:tcPr>
            <w:tcBorders>
              <w:top w:val="single" w:color="000000" w:sz="4" w:space="0"/>
              <w:left w:val="single" w:color="000000" w:sz="4" w:space="0"/>
              <w:bottom w:val="none" w:color="000000" w:sz="0" w:space="0"/>
              <w:right w:val="single" w:color="000000" w:sz="4" w:space="0"/>
            </w:tcBorders>
            <w:tcW w:w="1276" w:type="dxa"/>
            <w:vAlign w:val="center"/>
            <w:textDirection w:val="lrTb"/>
            <w:noWrap w:val="false"/>
          </w:tcPr>
          <w:p>
            <w:pPr>
              <w:pStyle w:val="883"/>
              <w:rPr>
                <w:rFonts w:hint="eastAsia" w:eastAsia="宋体"/>
                <w:color w:val="000000"/>
                <w:lang w:val="en-US" w:eastAsia="zh-CN"/>
              </w:rPr>
            </w:pPr>
            <w:r>
              <w:rPr>
                <w:rFonts w:hint="eastAsia" w:ascii="Times New Roman" w:hAnsi="Times New Roman" w:eastAsia="宋体" w:cs="Times New Roman"/>
                <w:color w:val="000000"/>
              </w:rPr>
              <w:t xml:space="preserve">国土空间基础信息平台基础支撑能力建设实施方案</w:t>
            </w:r>
            <w:r>
              <w:rPr>
                <w:rFonts w:hint="eastAsia" w:eastAsia="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rPr>
              <w:t xml:space="preserve">根据本项目采购需</w:t>
            </w:r>
            <w:r>
              <w:rPr>
                <w:color w:val="000000"/>
                <w:sz w:val="21"/>
                <w:szCs w:val="21"/>
                <w:highlight w:val="none"/>
                <w:lang w:val="en-US" w:eastAsia="zh-CN"/>
              </w:rPr>
              <w:t xml:space="preserve">求</w:t>
            </w:r>
            <w:r>
              <w:rPr>
                <w:color w:val="000000"/>
                <w:sz w:val="21"/>
                <w:szCs w:val="21"/>
                <w:highlight w:val="none"/>
              </w:rPr>
              <w:t xml:space="preserve">编制</w:t>
            </w:r>
            <w:r>
              <w:rPr>
                <w:color w:val="000000"/>
                <w:sz w:val="21"/>
                <w:szCs w:val="21"/>
                <w:highlight w:val="none"/>
              </w:rPr>
              <w:t xml:space="preserve">国土空间基础信息平台基础支撑能力建设（全局统一组织机构用户建设、公共组件建设等）实施方案</w:t>
            </w:r>
            <w:r>
              <w:rPr>
                <w:color w:val="000000"/>
                <w:sz w:val="21"/>
                <w:szCs w:val="21"/>
                <w:highlight w:val="none"/>
              </w:rPr>
              <w:t xml:space="preserve">，内容包含：</w:t>
            </w:r>
            <w:r>
              <w:rPr>
                <w:color w:val="000000"/>
                <w:sz w:val="21"/>
                <w:szCs w:val="21"/>
                <w:highlight w:val="none"/>
                <w:lang w:val="en-US" w:eastAsia="zh-CN"/>
              </w:rPr>
              <w:t xml:space="preserve">1.</w:t>
            </w:r>
            <w:r>
              <w:rPr>
                <w:color w:val="000000"/>
                <w:sz w:val="21"/>
                <w:szCs w:val="21"/>
                <w:highlight w:val="none"/>
              </w:rPr>
              <w:t xml:space="preserve">进度安排</w:t>
            </w:r>
            <w:r>
              <w:rPr>
                <w:color w:val="000000"/>
                <w:sz w:val="21"/>
                <w:szCs w:val="21"/>
                <w:highlight w:val="none"/>
                <w:lang w:eastAsia="zh-CN"/>
              </w:rPr>
              <w:t xml:space="preserve">；</w:t>
            </w:r>
            <w:r>
              <w:rPr>
                <w:color w:val="000000"/>
                <w:sz w:val="21"/>
                <w:szCs w:val="21"/>
                <w:highlight w:val="none"/>
                <w:lang w:val="en-US" w:eastAsia="zh-CN"/>
              </w:rPr>
              <w:t xml:space="preserve">2.</w:t>
            </w:r>
            <w:r>
              <w:rPr>
                <w:color w:val="000000"/>
                <w:sz w:val="21"/>
                <w:szCs w:val="21"/>
                <w:highlight w:val="none"/>
              </w:rPr>
              <w:t xml:space="preserve">风险控制管理</w:t>
            </w:r>
            <w:r>
              <w:rPr>
                <w:color w:val="000000"/>
                <w:sz w:val="21"/>
                <w:szCs w:val="21"/>
                <w:highlight w:val="none"/>
                <w:lang w:eastAsia="zh-CN"/>
              </w:rPr>
              <w:t xml:space="preserve">；</w:t>
            </w:r>
            <w:r>
              <w:rPr>
                <w:color w:val="000000"/>
                <w:sz w:val="21"/>
                <w:szCs w:val="21"/>
                <w:highlight w:val="none"/>
                <w:lang w:val="en-US" w:eastAsia="zh-CN"/>
              </w:rPr>
              <w:t xml:space="preserve">3.</w:t>
            </w:r>
            <w:r>
              <w:rPr>
                <w:color w:val="000000"/>
                <w:sz w:val="21"/>
                <w:szCs w:val="21"/>
                <w:highlight w:val="none"/>
              </w:rPr>
              <w:t xml:space="preserve">质量保障措施</w:t>
            </w:r>
            <w:r>
              <w:rPr>
                <w:color w:val="000000"/>
                <w:sz w:val="21"/>
                <w:szCs w:val="21"/>
                <w:highlight w:val="none"/>
                <w:lang w:eastAsia="zh-CN"/>
              </w:rPr>
              <w:t xml:space="preserve">；</w:t>
            </w:r>
            <w:r>
              <w:rPr>
                <w:color w:val="000000"/>
                <w:sz w:val="21"/>
                <w:szCs w:val="21"/>
                <w:highlight w:val="none"/>
                <w:lang w:val="en-US" w:eastAsia="zh-CN"/>
              </w:rPr>
              <w:t xml:space="preserve">4.</w:t>
            </w:r>
            <w:r>
              <w:rPr>
                <w:color w:val="000000"/>
                <w:sz w:val="21"/>
                <w:szCs w:val="21"/>
                <w:highlight w:val="none"/>
              </w:rPr>
              <w:t xml:space="preserve">信息安全管理措施</w:t>
            </w:r>
            <w:r>
              <w:rPr>
                <w:color w:val="000000"/>
                <w:sz w:val="21"/>
                <w:szCs w:val="21"/>
                <w:highlight w:val="none"/>
                <w:lang w:eastAsia="zh-CN"/>
              </w:rPr>
              <w:t xml:space="preserve">；</w:t>
            </w:r>
            <w:r>
              <w:rPr>
                <w:color w:val="000000"/>
                <w:sz w:val="21"/>
                <w:szCs w:val="21"/>
                <w:highlight w:val="none"/>
                <w:lang w:val="en-US" w:eastAsia="zh-CN"/>
              </w:rPr>
              <w:t xml:space="preserve">5.</w:t>
            </w:r>
            <w:r>
              <w:rPr>
                <w:color w:val="000000"/>
                <w:sz w:val="21"/>
                <w:szCs w:val="21"/>
                <w:highlight w:val="none"/>
              </w:rPr>
              <w:t xml:space="preserve">文档管理措施</w:t>
            </w:r>
            <w:r>
              <w:rPr>
                <w:color w:val="000000"/>
                <w:sz w:val="21"/>
                <w:szCs w:val="21"/>
                <w:highlight w:val="none"/>
                <w:lang w:val="en-US" w:bidi="ar-SA"/>
              </w:rPr>
              <w:t xml:space="preserve">。以上每项内容逐项评分：</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方案内容</w:t>
            </w:r>
            <w:r>
              <w:rPr>
                <w:color w:val="000000"/>
                <w:sz w:val="21"/>
                <w:szCs w:val="21"/>
                <w:highlight w:val="none"/>
              </w:rPr>
              <w:t xml:space="preserve">完整深刻、可行性强</w:t>
            </w:r>
            <w:r>
              <w:rPr>
                <w:color w:val="000000"/>
                <w:sz w:val="21"/>
                <w:szCs w:val="21"/>
                <w:highlight w:val="none"/>
                <w:lang w:val="en-US" w:bidi="ar-SA"/>
              </w:rPr>
              <w:t xml:space="preserve">，且</w:t>
            </w:r>
            <w:r>
              <w:rPr>
                <w:color w:val="000000"/>
                <w:sz w:val="21"/>
                <w:szCs w:val="21"/>
                <w:highlight w:val="none"/>
                <w:lang w:val="en-US"/>
              </w:rPr>
              <w:t xml:space="preserve">专门针对本项目，</w:t>
            </w:r>
            <w:r>
              <w:rPr>
                <w:color w:val="000000"/>
                <w:sz w:val="21"/>
                <w:szCs w:val="21"/>
                <w:highlight w:val="none"/>
                <w:lang w:val="en-US" w:eastAsia="zh-CN"/>
              </w:rPr>
              <w:t xml:space="preserve">契合</w:t>
            </w:r>
            <w:r>
              <w:rPr>
                <w:color w:val="000000"/>
                <w:sz w:val="21"/>
                <w:szCs w:val="21"/>
                <w:highlight w:val="none"/>
                <w:lang w:val="en-US"/>
              </w:rPr>
              <w:t xml:space="preserve">采购需求视为符合；方案内容属于通用类，非专门针对本项目，部分</w:t>
            </w:r>
            <w:r>
              <w:rPr>
                <w:color w:val="000000"/>
                <w:sz w:val="21"/>
                <w:szCs w:val="21"/>
                <w:highlight w:val="none"/>
                <w:lang w:val="en-US" w:eastAsia="zh-CN"/>
              </w:rPr>
              <w:t xml:space="preserve">契合采购需求</w:t>
            </w:r>
            <w:r>
              <w:rPr>
                <w:color w:val="000000"/>
                <w:sz w:val="21"/>
                <w:szCs w:val="21"/>
                <w:highlight w:val="none"/>
                <w:lang w:val="en-US"/>
              </w:rPr>
              <w:t xml:space="preserve">视为部分符合；方案内容非专门针对本项目</w:t>
            </w:r>
            <w:r>
              <w:rPr>
                <w:color w:val="000000"/>
                <w:sz w:val="21"/>
                <w:szCs w:val="21"/>
                <w:highlight w:val="none"/>
                <w:lang w:val="en-US" w:eastAsia="zh-CN"/>
              </w:rPr>
              <w:t xml:space="preserve">，脱离</w:t>
            </w:r>
            <w:r>
              <w:rPr>
                <w:color w:val="000000"/>
                <w:sz w:val="21"/>
                <w:szCs w:val="21"/>
                <w:highlight w:val="none"/>
                <w:lang w:val="en-US"/>
              </w:rPr>
              <w:t xml:space="preserve">采购需求视为不符合。</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bidi="ar-SA"/>
              </w:rPr>
              <w:t xml:space="preserve">上述每项内容符合得1分；部分符合得0.5分；不符合或不提供不得分。</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3"/>
              <w:jc w:val="center"/>
              <w:rPr>
                <w:rFonts w:hint="eastAsia" w:ascii="Times New Roman" w:hAnsi="Times New Roman" w:eastAsia="宋体"/>
                <w:color w:val="000000"/>
                <w:sz w:val="21"/>
                <w:szCs w:val="21"/>
                <w:lang w:val="en-US" w:eastAsia="zh-CN" w:bidi="ar-SA"/>
              </w:rPr>
            </w:pPr>
            <w:r>
              <w:rPr>
                <w:rFonts w:hint="eastAsia"/>
                <w:color w:val="000000"/>
                <w:lang w:val="en-US" w:eastAsia="zh-CN"/>
              </w:rPr>
              <w:t xml:space="preserve">5</w:t>
            </w:r>
            <w:r>
              <w:rPr>
                <w:rFonts w:hint="eastAsia" w:ascii="Times New Roman" w:hAnsi="Times New Roman" w:eastAsia="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rPr>
                <w:rFonts w:hint="eastAsia" w:ascii="Times New Roman" w:hAnsi="Times New Roman"/>
                <w:color w:val="000000"/>
                <w:sz w:val="21"/>
                <w:szCs w:val="21"/>
                <w:lang w:val="en-US" w:eastAsia="zh-CN" w:bidi="ar-SA"/>
              </w:rPr>
            </w:pPr>
            <w:r>
              <w:rPr>
                <w:rFonts w:hint="eastAsia"/>
                <w:color w:val="000000"/>
              </w:rPr>
              <w:t xml:space="preserve">主观分</w:t>
            </w:r>
            <w:r>
              <w:rPr>
                <w:rFonts w:hint="eastAsia" w:ascii="Times New Roman" w:hAnsi="Times New Roman"/>
                <w:color w:val="000000"/>
                <w:sz w:val="21"/>
                <w:szCs w:val="21"/>
                <w:lang w:val="en-US" w:eastAsia="zh-CN" w:bidi="ar-SA"/>
              </w:rPr>
            </w:r>
            <w:r/>
          </w:p>
        </w:tc>
      </w:tr>
      <w:tr>
        <w:trPr/>
        <w:tc>
          <w:tcPr>
            <w:tcBorders>
              <w:top w:val="single" w:color="000000" w:sz="4" w:space="0"/>
              <w:left w:val="single" w:color="000000" w:sz="4" w:space="0"/>
              <w:bottom w:val="none" w:color="000000" w:sz="0" w:space="0"/>
              <w:right w:val="single" w:color="000000" w:sz="4" w:space="0"/>
            </w:tcBorders>
            <w:tcW w:w="724" w:type="dxa"/>
            <w:vAlign w:val="center"/>
            <w:textDirection w:val="lrTb"/>
            <w:noWrap/>
          </w:tcPr>
          <w:p>
            <w:pPr>
              <w:pStyle w:val="883"/>
              <w:jc w:val="center"/>
              <w:rPr>
                <w:rFonts w:ascii="Times New Roman" w:hAnsi="Times New Roman" w:eastAsia="宋体"/>
                <w:color w:val="000000"/>
                <w:sz w:val="21"/>
                <w:szCs w:val="21"/>
                <w:lang w:val="en-US" w:eastAsia="zh-CN" w:bidi="ar-SA"/>
              </w:rPr>
            </w:pPr>
            <w:r>
              <w:rPr>
                <w:rFonts w:hint="eastAsia"/>
                <w:color w:val="000000"/>
                <w:lang w:val="en-US" w:eastAsia="zh-CN"/>
              </w:rPr>
              <w:t xml:space="preserve">2.5</w:t>
            </w:r>
            <w:r>
              <w:rPr>
                <w:rFonts w:ascii="Times New Roman" w:hAnsi="Times New Roman" w:eastAsia="宋体"/>
                <w:color w:val="000000"/>
                <w:sz w:val="21"/>
                <w:szCs w:val="21"/>
                <w:lang w:val="en-US" w:eastAsia="zh-CN" w:bidi="ar-SA"/>
              </w:rPr>
            </w:r>
            <w:r/>
          </w:p>
        </w:tc>
        <w:tc>
          <w:tcPr>
            <w:tcBorders>
              <w:top w:val="single" w:color="000000" w:sz="4" w:space="0"/>
              <w:left w:val="single" w:color="000000" w:sz="4" w:space="0"/>
              <w:bottom w:val="none" w:color="000000" w:sz="0" w:space="0"/>
              <w:right w:val="single" w:color="000000" w:sz="4" w:space="0"/>
            </w:tcBorders>
            <w:tcW w:w="1276" w:type="dxa"/>
            <w:vAlign w:val="center"/>
            <w:textDirection w:val="lrTb"/>
            <w:noWrap w:val="false"/>
          </w:tcPr>
          <w:p>
            <w:pPr>
              <w:pStyle w:val="883"/>
              <w:rPr>
                <w:rFonts w:hint="eastAsia" w:ascii="Times New Roman" w:hAnsi="Times New Roman" w:eastAsia="宋体"/>
                <w:color w:val="000000"/>
                <w:sz w:val="21"/>
                <w:szCs w:val="21"/>
                <w:lang w:val="en-US" w:eastAsia="zh-CN" w:bidi="ar-SA"/>
              </w:rPr>
            </w:pPr>
            <w:r>
              <w:rPr>
                <w:rFonts w:hint="eastAsia"/>
                <w:color w:val="000000"/>
              </w:rPr>
              <w:t xml:space="preserve">南京市国土空间规划“一张图”实施监督2025应用场景建设实施方案</w:t>
            </w:r>
            <w:r>
              <w:rPr>
                <w:rFonts w:hint="eastAsia" w:ascii="Times New Roman" w:hAnsi="Times New Roman" w:eastAsia="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rPr>
              <w:t xml:space="preserve">根据本项目采购需</w:t>
            </w:r>
            <w:r>
              <w:rPr>
                <w:color w:val="000000"/>
                <w:sz w:val="21"/>
                <w:szCs w:val="21"/>
                <w:highlight w:val="none"/>
                <w:lang w:val="en-US" w:eastAsia="zh-CN"/>
              </w:rPr>
              <w:t xml:space="preserve">求</w:t>
            </w:r>
            <w:r>
              <w:rPr>
                <w:color w:val="000000"/>
                <w:sz w:val="21"/>
                <w:szCs w:val="21"/>
                <w:highlight w:val="none"/>
              </w:rPr>
              <w:t xml:space="preserve">编制</w:t>
            </w:r>
            <w:r>
              <w:rPr>
                <w:color w:val="000000"/>
                <w:sz w:val="21"/>
                <w:szCs w:val="21"/>
                <w:highlight w:val="none"/>
              </w:rPr>
              <w:t xml:space="preserve">南京市国土空间规划“一张图”实施监督2025应用场景建设实施方案</w:t>
            </w:r>
            <w:r>
              <w:rPr>
                <w:color w:val="000000"/>
                <w:sz w:val="21"/>
                <w:szCs w:val="21"/>
                <w:highlight w:val="none"/>
              </w:rPr>
              <w:t xml:space="preserve">，内容包含：</w:t>
            </w:r>
            <w:r>
              <w:rPr>
                <w:color w:val="000000"/>
                <w:sz w:val="21"/>
                <w:szCs w:val="21"/>
                <w:highlight w:val="none"/>
                <w:lang w:val="en-US" w:eastAsia="zh-CN"/>
              </w:rPr>
              <w:t xml:space="preserve">1.</w:t>
            </w:r>
            <w:r>
              <w:rPr>
                <w:color w:val="000000"/>
                <w:sz w:val="21"/>
                <w:szCs w:val="21"/>
                <w:highlight w:val="none"/>
              </w:rPr>
              <w:t xml:space="preserve">进度安排</w:t>
            </w:r>
            <w:r>
              <w:rPr>
                <w:color w:val="000000"/>
                <w:sz w:val="21"/>
                <w:szCs w:val="21"/>
                <w:highlight w:val="none"/>
                <w:lang w:eastAsia="zh-CN"/>
              </w:rPr>
              <w:t xml:space="preserve">；</w:t>
            </w:r>
            <w:r>
              <w:rPr>
                <w:color w:val="000000"/>
                <w:sz w:val="21"/>
                <w:szCs w:val="21"/>
                <w:highlight w:val="none"/>
                <w:lang w:val="en-US" w:eastAsia="zh-CN"/>
              </w:rPr>
              <w:t xml:space="preserve">2.</w:t>
            </w:r>
            <w:r>
              <w:rPr>
                <w:color w:val="000000"/>
                <w:sz w:val="21"/>
                <w:szCs w:val="21"/>
                <w:highlight w:val="none"/>
              </w:rPr>
              <w:t xml:space="preserve">风险控制管理</w:t>
            </w:r>
            <w:r>
              <w:rPr>
                <w:color w:val="000000"/>
                <w:sz w:val="21"/>
                <w:szCs w:val="21"/>
                <w:highlight w:val="none"/>
                <w:lang w:eastAsia="zh-CN"/>
              </w:rPr>
              <w:t xml:space="preserve">；</w:t>
            </w:r>
            <w:r>
              <w:rPr>
                <w:color w:val="000000"/>
                <w:sz w:val="21"/>
                <w:szCs w:val="21"/>
                <w:highlight w:val="none"/>
                <w:lang w:val="en-US" w:eastAsia="zh-CN"/>
              </w:rPr>
              <w:t xml:space="preserve">3.</w:t>
            </w:r>
            <w:r>
              <w:rPr>
                <w:color w:val="000000"/>
                <w:sz w:val="21"/>
                <w:szCs w:val="21"/>
                <w:highlight w:val="none"/>
              </w:rPr>
              <w:t xml:space="preserve">质量保障措施</w:t>
            </w:r>
            <w:r>
              <w:rPr>
                <w:color w:val="000000"/>
                <w:sz w:val="21"/>
                <w:szCs w:val="21"/>
                <w:highlight w:val="none"/>
                <w:lang w:eastAsia="zh-CN"/>
              </w:rPr>
              <w:t xml:space="preserve">；</w:t>
            </w:r>
            <w:r>
              <w:rPr>
                <w:color w:val="000000"/>
                <w:sz w:val="21"/>
                <w:szCs w:val="21"/>
                <w:highlight w:val="none"/>
                <w:lang w:val="en-US" w:eastAsia="zh-CN"/>
              </w:rPr>
              <w:t xml:space="preserve">4.</w:t>
            </w:r>
            <w:r>
              <w:rPr>
                <w:color w:val="000000"/>
                <w:sz w:val="21"/>
                <w:szCs w:val="21"/>
                <w:highlight w:val="none"/>
              </w:rPr>
              <w:t xml:space="preserve">信息安全管理措施</w:t>
            </w:r>
            <w:r>
              <w:rPr>
                <w:color w:val="000000"/>
                <w:sz w:val="21"/>
                <w:szCs w:val="21"/>
                <w:highlight w:val="none"/>
                <w:lang w:eastAsia="zh-CN"/>
              </w:rPr>
              <w:t xml:space="preserve">；</w:t>
            </w:r>
            <w:r>
              <w:rPr>
                <w:color w:val="000000"/>
                <w:sz w:val="21"/>
                <w:szCs w:val="21"/>
                <w:highlight w:val="none"/>
                <w:lang w:val="en-US" w:eastAsia="zh-CN"/>
              </w:rPr>
              <w:t xml:space="preserve">5.</w:t>
            </w:r>
            <w:r>
              <w:rPr>
                <w:color w:val="000000"/>
                <w:sz w:val="21"/>
                <w:szCs w:val="21"/>
                <w:highlight w:val="none"/>
              </w:rPr>
              <w:t xml:space="preserve">文档管理措施</w:t>
            </w:r>
            <w:r>
              <w:rPr>
                <w:color w:val="000000"/>
                <w:sz w:val="21"/>
                <w:szCs w:val="21"/>
                <w:highlight w:val="none"/>
                <w:lang w:val="en-US" w:bidi="ar-SA"/>
              </w:rPr>
              <w:t xml:space="preserve">。以上每项内容逐项评分：</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方案内容</w:t>
            </w:r>
            <w:r>
              <w:rPr>
                <w:color w:val="000000"/>
                <w:sz w:val="21"/>
                <w:szCs w:val="21"/>
                <w:highlight w:val="none"/>
              </w:rPr>
              <w:t xml:space="preserve">完整深刻、可行性强</w:t>
            </w:r>
            <w:r>
              <w:rPr>
                <w:color w:val="000000"/>
                <w:sz w:val="21"/>
                <w:szCs w:val="21"/>
                <w:highlight w:val="none"/>
                <w:lang w:val="en-US" w:bidi="ar-SA"/>
              </w:rPr>
              <w:t xml:space="preserve">，且</w:t>
            </w:r>
            <w:r>
              <w:rPr>
                <w:color w:val="000000"/>
                <w:sz w:val="21"/>
                <w:szCs w:val="21"/>
                <w:highlight w:val="none"/>
                <w:lang w:val="en-US"/>
              </w:rPr>
              <w:t xml:space="preserve">专门针对本项目，</w:t>
            </w:r>
            <w:r>
              <w:rPr>
                <w:color w:val="000000"/>
                <w:sz w:val="21"/>
                <w:szCs w:val="21"/>
                <w:highlight w:val="none"/>
                <w:lang w:val="en-US" w:eastAsia="zh-CN"/>
              </w:rPr>
              <w:t xml:space="preserve">契合</w:t>
            </w:r>
            <w:r>
              <w:rPr>
                <w:color w:val="000000"/>
                <w:sz w:val="21"/>
                <w:szCs w:val="21"/>
                <w:highlight w:val="none"/>
                <w:lang w:val="en-US"/>
              </w:rPr>
              <w:t xml:space="preserve">采购需求视为符合；方案内容属于通用类，非专门针对本项目，部分</w:t>
            </w:r>
            <w:r>
              <w:rPr>
                <w:color w:val="000000"/>
                <w:sz w:val="21"/>
                <w:szCs w:val="21"/>
                <w:highlight w:val="none"/>
                <w:lang w:val="en-US" w:eastAsia="zh-CN"/>
              </w:rPr>
              <w:t xml:space="preserve">契合采购需求</w:t>
            </w:r>
            <w:r>
              <w:rPr>
                <w:color w:val="000000"/>
                <w:sz w:val="21"/>
                <w:szCs w:val="21"/>
                <w:highlight w:val="none"/>
                <w:lang w:val="en-US"/>
              </w:rPr>
              <w:t xml:space="preserve">视为部分符合；方案内容非专门针对本项目</w:t>
            </w:r>
            <w:r>
              <w:rPr>
                <w:color w:val="000000"/>
                <w:sz w:val="21"/>
                <w:szCs w:val="21"/>
                <w:highlight w:val="none"/>
                <w:lang w:val="en-US" w:eastAsia="zh-CN"/>
              </w:rPr>
              <w:t xml:space="preserve">，脱离</w:t>
            </w:r>
            <w:r>
              <w:rPr>
                <w:color w:val="000000"/>
                <w:sz w:val="21"/>
                <w:szCs w:val="21"/>
                <w:highlight w:val="none"/>
                <w:lang w:val="en-US"/>
              </w:rPr>
              <w:t xml:space="preserve">采购需求视为不符合。</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bidi="ar-SA"/>
              </w:rPr>
              <w:t xml:space="preserve">上述每项内容符合得1分；部分符合得0.5分；不符合或不提供不得分。</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3"/>
              <w:jc w:val="center"/>
              <w:rPr>
                <w:rFonts w:hint="eastAsia" w:ascii="Times New Roman" w:hAnsi="Times New Roman" w:eastAsia="宋体"/>
                <w:color w:val="000000"/>
                <w:sz w:val="21"/>
                <w:szCs w:val="21"/>
                <w:lang w:val="en-US" w:eastAsia="zh-CN" w:bidi="ar-SA"/>
              </w:rPr>
            </w:pPr>
            <w:r>
              <w:rPr>
                <w:rFonts w:hint="eastAsia"/>
                <w:color w:val="000000"/>
                <w:lang w:val="en-US" w:eastAsia="zh-CN"/>
              </w:rPr>
              <w:t xml:space="preserve">5</w:t>
            </w:r>
            <w:r>
              <w:rPr>
                <w:rFonts w:hint="eastAsia" w:ascii="Times New Roman" w:hAnsi="Times New Roman" w:eastAsia="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rPr>
                <w:rFonts w:hint="eastAsia" w:ascii="Times New Roman" w:hAnsi="Times New Roman"/>
                <w:color w:val="000000"/>
                <w:sz w:val="21"/>
                <w:szCs w:val="21"/>
                <w:lang w:val="en-US" w:eastAsia="zh-CN" w:bidi="ar-SA"/>
              </w:rPr>
            </w:pPr>
            <w:r>
              <w:rPr>
                <w:rFonts w:hint="eastAsia"/>
                <w:color w:val="000000"/>
              </w:rPr>
              <w:t xml:space="preserve">主观分</w:t>
            </w:r>
            <w:r>
              <w:rPr>
                <w:rFonts w:hint="eastAsia" w:ascii="Times New Roman" w:hAnsi="Times New Roman"/>
                <w:color w:val="000000"/>
                <w:sz w:val="21"/>
                <w:szCs w:val="21"/>
                <w:lang w:val="en-US" w:eastAsia="zh-CN" w:bidi="ar-SA"/>
              </w:rPr>
            </w:r>
            <w:r/>
          </w:p>
        </w:tc>
      </w:tr>
      <w:tr>
        <w:trPr/>
        <w:tc>
          <w:tcPr>
            <w:tcBorders>
              <w:top w:val="single" w:color="000000" w:sz="4" w:space="0"/>
              <w:left w:val="single" w:color="000000" w:sz="4" w:space="0"/>
              <w:bottom w:val="none" w:color="000000" w:sz="0" w:space="0"/>
              <w:right w:val="single" w:color="000000" w:sz="4" w:space="0"/>
            </w:tcBorders>
            <w:tcW w:w="724" w:type="dxa"/>
            <w:vAlign w:val="center"/>
            <w:textDirection w:val="lrTb"/>
            <w:noWrap/>
          </w:tcPr>
          <w:p>
            <w:pPr>
              <w:pStyle w:val="883"/>
              <w:jc w:val="center"/>
              <w:rPr>
                <w:rFonts w:ascii="Times New Roman" w:hAnsi="Times New Roman" w:eastAsia="宋体"/>
                <w:color w:val="000000"/>
                <w:sz w:val="21"/>
                <w:szCs w:val="21"/>
                <w:lang w:val="en-US" w:eastAsia="zh-CN" w:bidi="ar-SA"/>
              </w:rPr>
            </w:pPr>
            <w:r>
              <w:rPr>
                <w:rFonts w:hint="eastAsia"/>
                <w:color w:val="000000"/>
                <w:lang w:val="en-US" w:eastAsia="zh-CN"/>
              </w:rPr>
              <w:t xml:space="preserve">2.6</w:t>
            </w:r>
            <w:r>
              <w:rPr>
                <w:rFonts w:ascii="Times New Roman" w:hAnsi="Times New Roman" w:eastAsia="宋体"/>
                <w:color w:val="000000"/>
                <w:sz w:val="21"/>
                <w:szCs w:val="21"/>
                <w:lang w:val="en-US" w:eastAsia="zh-CN" w:bidi="ar-SA"/>
              </w:rPr>
            </w:r>
            <w:r/>
          </w:p>
        </w:tc>
        <w:tc>
          <w:tcPr>
            <w:tcBorders>
              <w:top w:val="single" w:color="000000" w:sz="4" w:space="0"/>
              <w:left w:val="single" w:color="000000" w:sz="4" w:space="0"/>
              <w:bottom w:val="none" w:color="000000" w:sz="0" w:space="0"/>
              <w:right w:val="single" w:color="000000" w:sz="4" w:space="0"/>
            </w:tcBorders>
            <w:tcW w:w="1276" w:type="dxa"/>
            <w:vAlign w:val="center"/>
            <w:textDirection w:val="lrTb"/>
            <w:noWrap w:val="false"/>
          </w:tcPr>
          <w:p>
            <w:pPr>
              <w:pStyle w:val="883"/>
              <w:rPr>
                <w:rFonts w:hint="eastAsia" w:ascii="Times New Roman" w:hAnsi="Times New Roman" w:eastAsia="宋体"/>
                <w:color w:val="000000"/>
                <w:sz w:val="21"/>
                <w:szCs w:val="21"/>
                <w:lang w:val="en-US" w:eastAsia="zh-CN" w:bidi="ar-SA"/>
              </w:rPr>
            </w:pPr>
            <w:r>
              <w:rPr>
                <w:rFonts w:hint="eastAsia"/>
                <w:color w:val="000000"/>
              </w:rPr>
              <w:t xml:space="preserve">一体化政务服务系统部分流程建设及业务对接实施方案</w:t>
            </w:r>
            <w:r>
              <w:rPr>
                <w:rFonts w:hint="eastAsia" w:ascii="Times New Roman" w:hAnsi="Times New Roman" w:eastAsia="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rPr>
              <w:t xml:space="preserve">根据本项目采购需</w:t>
            </w:r>
            <w:r>
              <w:rPr>
                <w:color w:val="000000"/>
                <w:sz w:val="21"/>
                <w:szCs w:val="21"/>
                <w:highlight w:val="none"/>
                <w:lang w:val="en-US" w:eastAsia="zh-CN"/>
              </w:rPr>
              <w:t xml:space="preserve">求</w:t>
            </w:r>
            <w:r>
              <w:rPr>
                <w:color w:val="000000"/>
                <w:sz w:val="21"/>
                <w:szCs w:val="21"/>
                <w:highlight w:val="none"/>
              </w:rPr>
              <w:t xml:space="preserve">编制</w:t>
            </w:r>
            <w:r>
              <w:rPr>
                <w:color w:val="000000"/>
                <w:sz w:val="21"/>
                <w:szCs w:val="21"/>
                <w:highlight w:val="none"/>
              </w:rPr>
              <w:t xml:space="preserve">一体化政务服务系统部分流程建设及业务对接实施方案</w:t>
            </w:r>
            <w:r>
              <w:rPr>
                <w:color w:val="000000"/>
                <w:sz w:val="21"/>
                <w:szCs w:val="21"/>
                <w:highlight w:val="none"/>
              </w:rPr>
              <w:t xml:space="preserve">，内容包含：</w:t>
            </w:r>
            <w:r>
              <w:rPr>
                <w:color w:val="000000"/>
                <w:sz w:val="21"/>
                <w:szCs w:val="21"/>
                <w:highlight w:val="none"/>
                <w:lang w:val="en-US" w:eastAsia="zh-CN"/>
              </w:rPr>
              <w:t xml:space="preserve">1.</w:t>
            </w:r>
            <w:r>
              <w:rPr>
                <w:color w:val="000000"/>
                <w:sz w:val="21"/>
                <w:szCs w:val="21"/>
                <w:highlight w:val="none"/>
              </w:rPr>
              <w:t xml:space="preserve">进度安排</w:t>
            </w:r>
            <w:r>
              <w:rPr>
                <w:color w:val="000000"/>
                <w:sz w:val="21"/>
                <w:szCs w:val="21"/>
                <w:highlight w:val="none"/>
                <w:lang w:eastAsia="zh-CN"/>
              </w:rPr>
              <w:t xml:space="preserve">；</w:t>
            </w:r>
            <w:r>
              <w:rPr>
                <w:color w:val="000000"/>
                <w:sz w:val="21"/>
                <w:szCs w:val="21"/>
                <w:highlight w:val="none"/>
                <w:lang w:val="en-US" w:eastAsia="zh-CN"/>
              </w:rPr>
              <w:t xml:space="preserve">2.</w:t>
            </w:r>
            <w:r>
              <w:rPr>
                <w:color w:val="000000"/>
                <w:sz w:val="21"/>
                <w:szCs w:val="21"/>
                <w:highlight w:val="none"/>
              </w:rPr>
              <w:t xml:space="preserve">风险控制管理</w:t>
            </w:r>
            <w:r>
              <w:rPr>
                <w:color w:val="000000"/>
                <w:sz w:val="21"/>
                <w:szCs w:val="21"/>
                <w:highlight w:val="none"/>
                <w:lang w:eastAsia="zh-CN"/>
              </w:rPr>
              <w:t xml:space="preserve">；</w:t>
            </w:r>
            <w:r>
              <w:rPr>
                <w:color w:val="000000"/>
                <w:sz w:val="21"/>
                <w:szCs w:val="21"/>
                <w:highlight w:val="none"/>
                <w:lang w:val="en-US" w:eastAsia="zh-CN"/>
              </w:rPr>
              <w:t xml:space="preserve">3.</w:t>
            </w:r>
            <w:r>
              <w:rPr>
                <w:color w:val="000000"/>
                <w:sz w:val="21"/>
                <w:szCs w:val="21"/>
                <w:highlight w:val="none"/>
              </w:rPr>
              <w:t xml:space="preserve">质量保障措施</w:t>
            </w:r>
            <w:r>
              <w:rPr>
                <w:color w:val="000000"/>
                <w:sz w:val="21"/>
                <w:szCs w:val="21"/>
                <w:highlight w:val="none"/>
                <w:lang w:eastAsia="zh-CN"/>
              </w:rPr>
              <w:t xml:space="preserve">；</w:t>
            </w:r>
            <w:r>
              <w:rPr>
                <w:color w:val="000000"/>
                <w:sz w:val="21"/>
                <w:szCs w:val="21"/>
                <w:highlight w:val="none"/>
                <w:lang w:val="en-US" w:eastAsia="zh-CN"/>
              </w:rPr>
              <w:t xml:space="preserve">4.</w:t>
            </w:r>
            <w:r>
              <w:rPr>
                <w:color w:val="000000"/>
                <w:sz w:val="21"/>
                <w:szCs w:val="21"/>
                <w:highlight w:val="none"/>
              </w:rPr>
              <w:t xml:space="preserve">信息安全管理措施</w:t>
            </w:r>
            <w:r>
              <w:rPr>
                <w:color w:val="000000"/>
                <w:sz w:val="21"/>
                <w:szCs w:val="21"/>
                <w:highlight w:val="none"/>
                <w:lang w:eastAsia="zh-CN"/>
              </w:rPr>
              <w:t xml:space="preserve">；</w:t>
            </w:r>
            <w:r>
              <w:rPr>
                <w:color w:val="000000"/>
                <w:sz w:val="21"/>
                <w:szCs w:val="21"/>
                <w:highlight w:val="none"/>
                <w:lang w:val="en-US" w:eastAsia="zh-CN"/>
              </w:rPr>
              <w:t xml:space="preserve">5.</w:t>
            </w:r>
            <w:r>
              <w:rPr>
                <w:color w:val="000000"/>
                <w:sz w:val="21"/>
                <w:szCs w:val="21"/>
                <w:highlight w:val="none"/>
              </w:rPr>
              <w:t xml:space="preserve">文档管理措施</w:t>
            </w:r>
            <w:r>
              <w:rPr>
                <w:color w:val="000000"/>
                <w:sz w:val="21"/>
                <w:szCs w:val="21"/>
                <w:highlight w:val="none"/>
                <w:lang w:val="en-US" w:bidi="ar-SA"/>
              </w:rPr>
              <w:t xml:space="preserve">。以上每项内容逐项评分：</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方案内容</w:t>
            </w:r>
            <w:r>
              <w:rPr>
                <w:color w:val="000000"/>
                <w:sz w:val="21"/>
                <w:szCs w:val="21"/>
                <w:highlight w:val="none"/>
              </w:rPr>
              <w:t xml:space="preserve">完整深刻、可行性强</w:t>
            </w:r>
            <w:r>
              <w:rPr>
                <w:color w:val="000000"/>
                <w:sz w:val="21"/>
                <w:szCs w:val="21"/>
                <w:highlight w:val="none"/>
                <w:lang w:val="en-US" w:bidi="ar-SA"/>
              </w:rPr>
              <w:t xml:space="preserve">，且</w:t>
            </w:r>
            <w:r>
              <w:rPr>
                <w:color w:val="000000"/>
                <w:sz w:val="21"/>
                <w:szCs w:val="21"/>
                <w:highlight w:val="none"/>
                <w:lang w:val="en-US"/>
              </w:rPr>
              <w:t xml:space="preserve">专门针对本项目，</w:t>
            </w:r>
            <w:r>
              <w:rPr>
                <w:color w:val="000000"/>
                <w:sz w:val="21"/>
                <w:szCs w:val="21"/>
                <w:highlight w:val="none"/>
                <w:lang w:val="en-US" w:eastAsia="zh-CN"/>
              </w:rPr>
              <w:t xml:space="preserve">契合</w:t>
            </w:r>
            <w:r>
              <w:rPr>
                <w:color w:val="000000"/>
                <w:sz w:val="21"/>
                <w:szCs w:val="21"/>
                <w:highlight w:val="none"/>
                <w:lang w:val="en-US"/>
              </w:rPr>
              <w:t xml:space="preserve">采购需求视为符合；方案内容属于通用类，非专门针对本项目，部分</w:t>
            </w:r>
            <w:r>
              <w:rPr>
                <w:color w:val="000000"/>
                <w:sz w:val="21"/>
                <w:szCs w:val="21"/>
                <w:highlight w:val="none"/>
                <w:lang w:val="en-US" w:eastAsia="zh-CN"/>
              </w:rPr>
              <w:t xml:space="preserve">契合采购需求</w:t>
            </w:r>
            <w:r>
              <w:rPr>
                <w:color w:val="000000"/>
                <w:sz w:val="21"/>
                <w:szCs w:val="21"/>
                <w:highlight w:val="none"/>
                <w:lang w:val="en-US"/>
              </w:rPr>
              <w:t xml:space="preserve">视为部分符合；方案内容非专门针对本项目</w:t>
            </w:r>
            <w:r>
              <w:rPr>
                <w:color w:val="000000"/>
                <w:sz w:val="21"/>
                <w:szCs w:val="21"/>
                <w:highlight w:val="none"/>
                <w:lang w:val="en-US" w:eastAsia="zh-CN"/>
              </w:rPr>
              <w:t xml:space="preserve">，脱离</w:t>
            </w:r>
            <w:r>
              <w:rPr>
                <w:color w:val="000000"/>
                <w:sz w:val="21"/>
                <w:szCs w:val="21"/>
                <w:highlight w:val="none"/>
                <w:lang w:val="en-US"/>
              </w:rPr>
              <w:t xml:space="preserve">采购需求视为不符合。</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bidi="ar-SA"/>
              </w:rPr>
              <w:t xml:space="preserve">上述每项内容符合得1分；部分符合得0.5分；不符合或不提供不得分。</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3"/>
              <w:jc w:val="center"/>
              <w:rPr>
                <w:rFonts w:hint="eastAsia" w:ascii="Times New Roman" w:hAnsi="Times New Roman" w:eastAsia="宋体"/>
                <w:color w:val="000000"/>
                <w:sz w:val="21"/>
                <w:szCs w:val="21"/>
                <w:lang w:val="en-US" w:eastAsia="zh-CN" w:bidi="ar-SA"/>
              </w:rPr>
            </w:pPr>
            <w:r>
              <w:rPr>
                <w:rFonts w:hint="eastAsia"/>
                <w:color w:val="000000"/>
                <w:lang w:val="en-US" w:eastAsia="zh-CN"/>
              </w:rPr>
              <w:t xml:space="preserve">5</w:t>
            </w:r>
            <w:r>
              <w:rPr>
                <w:rFonts w:hint="eastAsia" w:ascii="Times New Roman" w:hAnsi="Times New Roman" w:eastAsia="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rPr>
                <w:rFonts w:hint="eastAsia" w:ascii="Times New Roman" w:hAnsi="Times New Roman"/>
                <w:color w:val="000000"/>
                <w:sz w:val="21"/>
                <w:szCs w:val="21"/>
                <w:lang w:val="en-US" w:eastAsia="zh-CN" w:bidi="ar-SA"/>
              </w:rPr>
            </w:pPr>
            <w:r>
              <w:rPr>
                <w:rFonts w:hint="eastAsia"/>
                <w:color w:val="000000"/>
              </w:rPr>
              <w:t xml:space="preserve">主观分</w:t>
            </w:r>
            <w:r>
              <w:rPr>
                <w:rFonts w:hint="eastAsia" w:ascii="Times New Roman" w:hAnsi="Times New Roman"/>
                <w:color w:val="000000"/>
                <w:sz w:val="21"/>
                <w:szCs w:val="21"/>
                <w:lang w:val="en-US" w:eastAsia="zh-CN" w:bidi="ar-SA"/>
              </w:rPr>
            </w:r>
            <w:r/>
          </w:p>
        </w:tc>
      </w:tr>
      <w:tr>
        <w:trPr/>
        <w:tc>
          <w:tcPr>
            <w:tcBorders>
              <w:top w:val="single" w:color="000000" w:sz="4" w:space="0"/>
              <w:left w:val="single" w:color="000000" w:sz="4" w:space="0"/>
              <w:bottom w:val="none" w:color="000000" w:sz="0" w:space="0"/>
              <w:right w:val="single" w:color="000000" w:sz="4" w:space="0"/>
            </w:tcBorders>
            <w:tcW w:w="724" w:type="dxa"/>
            <w:vAlign w:val="center"/>
            <w:textDirection w:val="lrTb"/>
            <w:noWrap/>
          </w:tcPr>
          <w:p>
            <w:pPr>
              <w:pStyle w:val="883"/>
              <w:jc w:val="center"/>
              <w:rPr>
                <w:rFonts w:ascii="Times New Roman" w:hAnsi="Times New Roman" w:eastAsia="宋体"/>
                <w:color w:val="000000"/>
                <w:sz w:val="21"/>
                <w:szCs w:val="21"/>
                <w:lang w:val="en-US" w:eastAsia="zh-CN" w:bidi="ar-SA"/>
              </w:rPr>
            </w:pPr>
            <w:r>
              <w:rPr>
                <w:rFonts w:hint="eastAsia"/>
                <w:color w:val="000000"/>
                <w:lang w:val="en-US" w:eastAsia="zh-CN"/>
              </w:rPr>
              <w:t xml:space="preserve">2.7</w:t>
            </w:r>
            <w:r>
              <w:rPr>
                <w:rFonts w:ascii="Times New Roman" w:hAnsi="Times New Roman" w:eastAsia="宋体"/>
                <w:color w:val="000000"/>
                <w:sz w:val="21"/>
                <w:szCs w:val="21"/>
                <w:lang w:val="en-US" w:eastAsia="zh-CN" w:bidi="ar-SA"/>
              </w:rPr>
            </w:r>
            <w:r/>
          </w:p>
        </w:tc>
        <w:tc>
          <w:tcPr>
            <w:tcBorders>
              <w:top w:val="single" w:color="000000" w:sz="4" w:space="0"/>
              <w:left w:val="single" w:color="000000" w:sz="4" w:space="0"/>
              <w:bottom w:val="none" w:color="000000" w:sz="0" w:space="0"/>
              <w:right w:val="single" w:color="000000" w:sz="4" w:space="0"/>
            </w:tcBorders>
            <w:tcW w:w="1276" w:type="dxa"/>
            <w:vAlign w:val="center"/>
            <w:textDirection w:val="lrTb"/>
            <w:noWrap w:val="false"/>
          </w:tcPr>
          <w:p>
            <w:pPr>
              <w:pStyle w:val="883"/>
              <w:rPr>
                <w:rFonts w:hint="eastAsia" w:ascii="Times New Roman" w:hAnsi="Times New Roman" w:eastAsia="宋体"/>
                <w:color w:val="000000"/>
                <w:sz w:val="21"/>
                <w:szCs w:val="21"/>
                <w:lang w:val="en-US" w:eastAsia="zh-CN" w:bidi="ar-SA"/>
              </w:rPr>
            </w:pPr>
            <w:r>
              <w:rPr>
                <w:rFonts w:hint="eastAsia"/>
                <w:color w:val="000000"/>
              </w:rPr>
              <w:t xml:space="preserve">系统集成与信息技术咨询实施方案</w:t>
            </w:r>
            <w:r>
              <w:rPr>
                <w:rFonts w:hint="eastAsia" w:ascii="Times New Roman" w:hAnsi="Times New Roman" w:eastAsia="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rPr>
              <w:t xml:space="preserve">根据本项目采购需</w:t>
            </w:r>
            <w:r>
              <w:rPr>
                <w:color w:val="000000"/>
                <w:sz w:val="21"/>
                <w:szCs w:val="21"/>
                <w:highlight w:val="none"/>
                <w:lang w:val="en-US" w:eastAsia="zh-CN"/>
              </w:rPr>
              <w:t xml:space="preserve">求编制</w:t>
            </w:r>
            <w:r>
              <w:rPr>
                <w:color w:val="000000"/>
                <w:sz w:val="21"/>
                <w:szCs w:val="21"/>
                <w:highlight w:val="none"/>
              </w:rPr>
              <w:t xml:space="preserve">系统集成与信息技术咨询实施方案</w:t>
            </w:r>
            <w:r>
              <w:rPr>
                <w:color w:val="000000"/>
                <w:sz w:val="21"/>
                <w:szCs w:val="21"/>
                <w:highlight w:val="none"/>
              </w:rPr>
              <w:t xml:space="preserve">，内容包含：</w:t>
            </w:r>
            <w:r>
              <w:rPr>
                <w:color w:val="000000"/>
                <w:sz w:val="21"/>
                <w:szCs w:val="21"/>
                <w:highlight w:val="none"/>
                <w:lang w:val="en-US" w:eastAsia="zh-CN"/>
              </w:rPr>
              <w:t xml:space="preserve">1.</w:t>
            </w:r>
            <w:r>
              <w:rPr>
                <w:color w:val="000000"/>
                <w:sz w:val="21"/>
                <w:szCs w:val="21"/>
                <w:highlight w:val="none"/>
              </w:rPr>
              <w:t xml:space="preserve">进度安排</w:t>
            </w:r>
            <w:r>
              <w:rPr>
                <w:color w:val="000000"/>
                <w:sz w:val="21"/>
                <w:szCs w:val="21"/>
                <w:highlight w:val="none"/>
                <w:lang w:eastAsia="zh-CN"/>
              </w:rPr>
              <w:t xml:space="preserve">；</w:t>
            </w:r>
            <w:r>
              <w:rPr>
                <w:color w:val="000000"/>
                <w:sz w:val="21"/>
                <w:szCs w:val="21"/>
                <w:highlight w:val="none"/>
                <w:lang w:val="en-US" w:eastAsia="zh-CN"/>
              </w:rPr>
              <w:t xml:space="preserve">2.</w:t>
            </w:r>
            <w:r>
              <w:rPr>
                <w:color w:val="000000"/>
                <w:sz w:val="21"/>
                <w:szCs w:val="21"/>
                <w:highlight w:val="none"/>
              </w:rPr>
              <w:t xml:space="preserve">风险控制管理</w:t>
            </w:r>
            <w:r>
              <w:rPr>
                <w:color w:val="000000"/>
                <w:sz w:val="21"/>
                <w:szCs w:val="21"/>
                <w:highlight w:val="none"/>
                <w:lang w:eastAsia="zh-CN"/>
              </w:rPr>
              <w:t xml:space="preserve">；</w:t>
            </w:r>
            <w:r>
              <w:rPr>
                <w:color w:val="000000"/>
                <w:sz w:val="21"/>
                <w:szCs w:val="21"/>
                <w:highlight w:val="none"/>
                <w:lang w:val="en-US" w:eastAsia="zh-CN"/>
              </w:rPr>
              <w:t xml:space="preserve">3.</w:t>
            </w:r>
            <w:r>
              <w:rPr>
                <w:color w:val="000000"/>
                <w:sz w:val="21"/>
                <w:szCs w:val="21"/>
                <w:highlight w:val="none"/>
              </w:rPr>
              <w:t xml:space="preserve">质量保障措施</w:t>
            </w:r>
            <w:r>
              <w:rPr>
                <w:color w:val="000000"/>
                <w:sz w:val="21"/>
                <w:szCs w:val="21"/>
                <w:highlight w:val="none"/>
                <w:lang w:eastAsia="zh-CN"/>
              </w:rPr>
              <w:t xml:space="preserve">；</w:t>
            </w:r>
            <w:r>
              <w:rPr>
                <w:color w:val="000000"/>
                <w:sz w:val="21"/>
                <w:szCs w:val="21"/>
                <w:highlight w:val="none"/>
                <w:lang w:val="en-US" w:eastAsia="zh-CN"/>
              </w:rPr>
              <w:t xml:space="preserve">4.</w:t>
            </w:r>
            <w:r>
              <w:rPr>
                <w:color w:val="000000"/>
                <w:sz w:val="21"/>
                <w:szCs w:val="21"/>
                <w:highlight w:val="none"/>
              </w:rPr>
              <w:t xml:space="preserve">信息安全管理措施</w:t>
            </w:r>
            <w:r>
              <w:rPr>
                <w:color w:val="000000"/>
                <w:sz w:val="21"/>
                <w:szCs w:val="21"/>
                <w:highlight w:val="none"/>
                <w:lang w:eastAsia="zh-CN"/>
              </w:rPr>
              <w:t xml:space="preserve">；</w:t>
            </w:r>
            <w:r>
              <w:rPr>
                <w:color w:val="000000"/>
                <w:sz w:val="21"/>
                <w:szCs w:val="21"/>
                <w:highlight w:val="none"/>
                <w:lang w:val="en-US" w:eastAsia="zh-CN"/>
              </w:rPr>
              <w:t xml:space="preserve">5.</w:t>
            </w:r>
            <w:r>
              <w:rPr>
                <w:color w:val="000000"/>
                <w:sz w:val="21"/>
                <w:szCs w:val="21"/>
                <w:highlight w:val="none"/>
              </w:rPr>
              <w:t xml:space="preserve">文档管理措施</w:t>
            </w:r>
            <w:r>
              <w:rPr>
                <w:color w:val="000000"/>
                <w:sz w:val="21"/>
                <w:szCs w:val="21"/>
                <w:highlight w:val="none"/>
                <w:lang w:val="en-US" w:bidi="ar-SA"/>
              </w:rPr>
              <w:t xml:space="preserve">。以上每项内容逐项评分：</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方案内容</w:t>
            </w:r>
            <w:r>
              <w:rPr>
                <w:color w:val="000000"/>
                <w:sz w:val="21"/>
                <w:szCs w:val="21"/>
                <w:highlight w:val="none"/>
              </w:rPr>
              <w:t xml:space="preserve">完整深刻、可行性强</w:t>
            </w:r>
            <w:r>
              <w:rPr>
                <w:color w:val="000000"/>
                <w:sz w:val="21"/>
                <w:szCs w:val="21"/>
                <w:highlight w:val="none"/>
                <w:lang w:val="en-US" w:bidi="ar-SA"/>
              </w:rPr>
              <w:t xml:space="preserve">，且</w:t>
            </w:r>
            <w:r>
              <w:rPr>
                <w:color w:val="000000"/>
                <w:sz w:val="21"/>
                <w:szCs w:val="21"/>
                <w:highlight w:val="none"/>
                <w:lang w:val="en-US"/>
              </w:rPr>
              <w:t xml:space="preserve">专门针对本项目，</w:t>
            </w:r>
            <w:r>
              <w:rPr>
                <w:color w:val="000000"/>
                <w:sz w:val="21"/>
                <w:szCs w:val="21"/>
                <w:highlight w:val="none"/>
                <w:lang w:val="en-US" w:eastAsia="zh-CN"/>
              </w:rPr>
              <w:t xml:space="preserve">契合</w:t>
            </w:r>
            <w:r>
              <w:rPr>
                <w:color w:val="000000"/>
                <w:sz w:val="21"/>
                <w:szCs w:val="21"/>
                <w:highlight w:val="none"/>
                <w:lang w:val="en-US"/>
              </w:rPr>
              <w:t xml:space="preserve">采购需求视为符合；方案内容属于通用类，非专门针对本项目，部分</w:t>
            </w:r>
            <w:r>
              <w:rPr>
                <w:color w:val="000000"/>
                <w:sz w:val="21"/>
                <w:szCs w:val="21"/>
                <w:highlight w:val="none"/>
                <w:lang w:val="en-US" w:eastAsia="zh-CN"/>
              </w:rPr>
              <w:t xml:space="preserve">契合采购需求</w:t>
            </w:r>
            <w:r>
              <w:rPr>
                <w:color w:val="000000"/>
                <w:sz w:val="21"/>
                <w:szCs w:val="21"/>
                <w:highlight w:val="none"/>
                <w:lang w:val="en-US"/>
              </w:rPr>
              <w:t xml:space="preserve">视为部分符合；方案内容非专门针对本项目</w:t>
            </w:r>
            <w:r>
              <w:rPr>
                <w:color w:val="000000"/>
                <w:sz w:val="21"/>
                <w:szCs w:val="21"/>
                <w:highlight w:val="none"/>
                <w:lang w:val="en-US" w:eastAsia="zh-CN"/>
              </w:rPr>
              <w:t xml:space="preserve">，脱离</w:t>
            </w:r>
            <w:r>
              <w:rPr>
                <w:color w:val="000000"/>
                <w:sz w:val="21"/>
                <w:szCs w:val="21"/>
                <w:highlight w:val="none"/>
                <w:lang w:val="en-US"/>
              </w:rPr>
              <w:t xml:space="preserve">采购需求视为不符合。</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bidi="ar-SA"/>
              </w:rPr>
              <w:t xml:space="preserve">上述每项内容符合得1分；部分符合得0.5分；不符合或不提供不得分。</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3"/>
              <w:jc w:val="center"/>
              <w:rPr>
                <w:rFonts w:hint="eastAsia" w:ascii="Times New Roman" w:hAnsi="Times New Roman" w:eastAsia="宋体"/>
                <w:color w:val="000000"/>
                <w:sz w:val="21"/>
                <w:szCs w:val="21"/>
                <w:lang w:val="en-US" w:eastAsia="zh-CN" w:bidi="ar-SA"/>
              </w:rPr>
            </w:pPr>
            <w:r>
              <w:rPr>
                <w:rFonts w:hint="eastAsia"/>
                <w:color w:val="000000"/>
                <w:lang w:val="en-US" w:eastAsia="zh-CN"/>
              </w:rPr>
              <w:t xml:space="preserve">5</w:t>
            </w:r>
            <w:r>
              <w:rPr>
                <w:rFonts w:hint="eastAsia" w:ascii="Times New Roman" w:hAnsi="Times New Roman" w:eastAsia="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rPr>
                <w:rFonts w:hint="eastAsia" w:ascii="Times New Roman" w:hAnsi="Times New Roman"/>
                <w:color w:val="000000"/>
                <w:sz w:val="21"/>
                <w:szCs w:val="21"/>
                <w:lang w:val="en-US" w:eastAsia="zh-CN" w:bidi="ar-SA"/>
              </w:rPr>
            </w:pPr>
            <w:r>
              <w:rPr>
                <w:rFonts w:hint="eastAsia"/>
                <w:color w:val="000000"/>
              </w:rPr>
              <w:t xml:space="preserve">主观分</w:t>
            </w:r>
            <w:r>
              <w:rPr>
                <w:rFonts w:hint="eastAsia" w:ascii="Times New Roman" w:hAnsi="Times New Roman"/>
                <w:color w:val="000000"/>
                <w:sz w:val="21"/>
                <w:szCs w:val="21"/>
                <w:lang w:val="en-US" w:eastAsia="zh-CN" w:bidi="ar-SA"/>
              </w:rPr>
            </w:r>
            <w:r/>
          </w:p>
        </w:tc>
      </w:tr>
      <w:tr>
        <w:trPr/>
        <w:tc>
          <w:tcPr>
            <w:tcBorders>
              <w:top w:val="single" w:color="000000" w:sz="4" w:space="0"/>
              <w:left w:val="single" w:color="000000" w:sz="4" w:space="0"/>
              <w:bottom w:val="none" w:color="000000" w:sz="0" w:space="0"/>
              <w:right w:val="single" w:color="000000" w:sz="4" w:space="0"/>
            </w:tcBorders>
            <w:tcW w:w="724" w:type="dxa"/>
            <w:vAlign w:val="center"/>
            <w:textDirection w:val="lrTb"/>
            <w:noWrap/>
          </w:tcPr>
          <w:p>
            <w:pPr>
              <w:pStyle w:val="883"/>
              <w:jc w:val="center"/>
              <w:rPr>
                <w:rFonts w:ascii="Times New Roman" w:hAnsi="Times New Roman" w:eastAsia="宋体"/>
                <w:color w:val="000000"/>
                <w:sz w:val="21"/>
                <w:szCs w:val="21"/>
                <w:lang w:val="en-US" w:eastAsia="zh-CN" w:bidi="ar-SA"/>
              </w:rPr>
            </w:pPr>
            <w:r>
              <w:rPr>
                <w:rFonts w:hint="eastAsia"/>
                <w:color w:val="000000"/>
                <w:lang w:val="en-US" w:eastAsia="zh-CN"/>
              </w:rPr>
              <w:t xml:space="preserve">2.8</w:t>
            </w:r>
            <w:r>
              <w:rPr>
                <w:rFonts w:ascii="Times New Roman" w:hAnsi="Times New Roman" w:eastAsia="宋体"/>
                <w:color w:val="000000"/>
                <w:sz w:val="21"/>
                <w:szCs w:val="21"/>
                <w:lang w:val="en-US" w:eastAsia="zh-CN" w:bidi="ar-SA"/>
              </w:rPr>
            </w:r>
            <w:r/>
          </w:p>
        </w:tc>
        <w:tc>
          <w:tcPr>
            <w:tcBorders>
              <w:top w:val="single" w:color="000000" w:sz="4" w:space="0"/>
              <w:left w:val="single" w:color="000000" w:sz="4" w:space="0"/>
              <w:bottom w:val="none" w:color="000000" w:sz="0" w:space="0"/>
              <w:right w:val="single" w:color="000000" w:sz="4" w:space="0"/>
            </w:tcBorders>
            <w:tcW w:w="1276" w:type="dxa"/>
            <w:vAlign w:val="center"/>
            <w:textDirection w:val="lrTb"/>
            <w:noWrap w:val="false"/>
          </w:tcPr>
          <w:p>
            <w:pPr>
              <w:pStyle w:val="883"/>
              <w:rPr>
                <w:rFonts w:hint="eastAsia" w:ascii="Times New Roman" w:hAnsi="Times New Roman" w:eastAsia="宋体"/>
                <w:color w:val="000000"/>
                <w:sz w:val="21"/>
                <w:szCs w:val="21"/>
                <w:lang w:val="en-US" w:eastAsia="zh-CN" w:bidi="ar-SA"/>
              </w:rPr>
            </w:pPr>
            <w:r>
              <w:rPr>
                <w:rFonts w:hint="eastAsia"/>
                <w:color w:val="000000"/>
              </w:rPr>
              <w:t xml:space="preserve">南京市智慧耕地保护综合管理子系统数据建设实施方案</w:t>
            </w:r>
            <w:r>
              <w:rPr>
                <w:rFonts w:hint="eastAsia" w:ascii="Times New Roman" w:hAnsi="Times New Roman" w:eastAsia="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rPr>
              <w:t xml:space="preserve">根据本项目采购需</w:t>
            </w:r>
            <w:r>
              <w:rPr>
                <w:color w:val="000000"/>
                <w:sz w:val="21"/>
                <w:szCs w:val="21"/>
                <w:highlight w:val="none"/>
                <w:lang w:val="en-US" w:eastAsia="zh-CN"/>
              </w:rPr>
              <w:t xml:space="preserve">求</w:t>
            </w:r>
            <w:r>
              <w:rPr>
                <w:color w:val="000000"/>
                <w:sz w:val="21"/>
                <w:szCs w:val="21"/>
                <w:highlight w:val="none"/>
              </w:rPr>
              <w:t xml:space="preserve">编制</w:t>
            </w:r>
            <w:r>
              <w:rPr>
                <w:color w:val="000000"/>
                <w:sz w:val="21"/>
                <w:szCs w:val="21"/>
                <w:highlight w:val="none"/>
              </w:rPr>
              <w:t xml:space="preserve">南京市智慧耕地保护综合管理子系统数据建设实施方案</w:t>
            </w:r>
            <w:r>
              <w:rPr>
                <w:color w:val="000000"/>
                <w:sz w:val="21"/>
                <w:szCs w:val="21"/>
                <w:highlight w:val="none"/>
              </w:rPr>
              <w:t xml:space="preserve">，内容包含：</w:t>
            </w:r>
            <w:r>
              <w:rPr>
                <w:color w:val="000000"/>
                <w:sz w:val="21"/>
                <w:szCs w:val="21"/>
                <w:highlight w:val="none"/>
                <w:lang w:val="en-US" w:eastAsia="zh-CN"/>
              </w:rPr>
              <w:t xml:space="preserve">1.</w:t>
            </w:r>
            <w:r>
              <w:rPr>
                <w:color w:val="000000"/>
                <w:sz w:val="21"/>
                <w:szCs w:val="21"/>
                <w:highlight w:val="none"/>
              </w:rPr>
              <w:t xml:space="preserve">进度安排</w:t>
            </w:r>
            <w:r>
              <w:rPr>
                <w:color w:val="000000"/>
                <w:sz w:val="21"/>
                <w:szCs w:val="21"/>
                <w:highlight w:val="none"/>
                <w:lang w:eastAsia="zh-CN"/>
              </w:rPr>
              <w:t xml:space="preserve">；</w:t>
            </w:r>
            <w:r>
              <w:rPr>
                <w:color w:val="000000"/>
                <w:sz w:val="21"/>
                <w:szCs w:val="21"/>
                <w:highlight w:val="none"/>
                <w:lang w:val="en-US" w:eastAsia="zh-CN"/>
              </w:rPr>
              <w:t xml:space="preserve">2.</w:t>
            </w:r>
            <w:r>
              <w:rPr>
                <w:color w:val="000000"/>
                <w:sz w:val="21"/>
                <w:szCs w:val="21"/>
                <w:highlight w:val="none"/>
              </w:rPr>
              <w:t xml:space="preserve">风险控制管理</w:t>
            </w:r>
            <w:r>
              <w:rPr>
                <w:color w:val="000000"/>
                <w:sz w:val="21"/>
                <w:szCs w:val="21"/>
                <w:highlight w:val="none"/>
                <w:lang w:eastAsia="zh-CN"/>
              </w:rPr>
              <w:t xml:space="preserve">；</w:t>
            </w:r>
            <w:r>
              <w:rPr>
                <w:color w:val="000000"/>
                <w:sz w:val="21"/>
                <w:szCs w:val="21"/>
                <w:highlight w:val="none"/>
                <w:lang w:val="en-US" w:eastAsia="zh-CN"/>
              </w:rPr>
              <w:t xml:space="preserve">3.</w:t>
            </w:r>
            <w:r>
              <w:rPr>
                <w:color w:val="000000"/>
                <w:sz w:val="21"/>
                <w:szCs w:val="21"/>
                <w:highlight w:val="none"/>
              </w:rPr>
              <w:t xml:space="preserve">质量保障措施</w:t>
            </w:r>
            <w:r>
              <w:rPr>
                <w:color w:val="000000"/>
                <w:sz w:val="21"/>
                <w:szCs w:val="21"/>
                <w:highlight w:val="none"/>
                <w:lang w:eastAsia="zh-CN"/>
              </w:rPr>
              <w:t xml:space="preserve">；</w:t>
            </w:r>
            <w:r>
              <w:rPr>
                <w:color w:val="000000"/>
                <w:sz w:val="21"/>
                <w:szCs w:val="21"/>
                <w:highlight w:val="none"/>
                <w:lang w:val="en-US" w:eastAsia="zh-CN"/>
              </w:rPr>
              <w:t xml:space="preserve">4.</w:t>
            </w:r>
            <w:r>
              <w:rPr>
                <w:color w:val="000000"/>
                <w:sz w:val="21"/>
                <w:szCs w:val="21"/>
                <w:highlight w:val="none"/>
              </w:rPr>
              <w:t xml:space="preserve">信息安全管理措施</w:t>
            </w:r>
            <w:r>
              <w:rPr>
                <w:color w:val="000000"/>
                <w:sz w:val="21"/>
                <w:szCs w:val="21"/>
                <w:highlight w:val="none"/>
                <w:lang w:eastAsia="zh-CN"/>
              </w:rPr>
              <w:t xml:space="preserve">；</w:t>
            </w:r>
            <w:r>
              <w:rPr>
                <w:color w:val="000000"/>
                <w:sz w:val="21"/>
                <w:szCs w:val="21"/>
                <w:highlight w:val="none"/>
                <w:lang w:val="en-US" w:eastAsia="zh-CN"/>
              </w:rPr>
              <w:t xml:space="preserve">5.</w:t>
            </w:r>
            <w:r>
              <w:rPr>
                <w:color w:val="000000"/>
                <w:sz w:val="21"/>
                <w:szCs w:val="21"/>
                <w:highlight w:val="none"/>
              </w:rPr>
              <w:t xml:space="preserve">文档管理措施</w:t>
            </w:r>
            <w:r>
              <w:rPr>
                <w:color w:val="000000"/>
                <w:sz w:val="21"/>
                <w:szCs w:val="21"/>
                <w:highlight w:val="none"/>
                <w:lang w:val="en-US" w:bidi="ar-SA"/>
              </w:rPr>
              <w:t xml:space="preserve">。以上每项内容逐项评分：</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方案内容</w:t>
            </w:r>
            <w:r>
              <w:rPr>
                <w:color w:val="000000"/>
                <w:sz w:val="21"/>
                <w:szCs w:val="21"/>
                <w:highlight w:val="none"/>
              </w:rPr>
              <w:t xml:space="preserve">完整深刻、可行性强</w:t>
            </w:r>
            <w:r>
              <w:rPr>
                <w:color w:val="000000"/>
                <w:sz w:val="21"/>
                <w:szCs w:val="21"/>
                <w:highlight w:val="none"/>
                <w:lang w:val="en-US" w:bidi="ar-SA"/>
              </w:rPr>
              <w:t xml:space="preserve">，且</w:t>
            </w:r>
            <w:r>
              <w:rPr>
                <w:color w:val="000000"/>
                <w:sz w:val="21"/>
                <w:szCs w:val="21"/>
                <w:highlight w:val="none"/>
                <w:lang w:val="en-US"/>
              </w:rPr>
              <w:t xml:space="preserve">专门针对本项目，</w:t>
            </w:r>
            <w:r>
              <w:rPr>
                <w:color w:val="000000"/>
                <w:sz w:val="21"/>
                <w:szCs w:val="21"/>
                <w:highlight w:val="none"/>
                <w:lang w:val="en-US" w:eastAsia="zh-CN"/>
              </w:rPr>
              <w:t xml:space="preserve">契合</w:t>
            </w:r>
            <w:r>
              <w:rPr>
                <w:color w:val="000000"/>
                <w:sz w:val="21"/>
                <w:szCs w:val="21"/>
                <w:highlight w:val="none"/>
                <w:lang w:val="en-US"/>
              </w:rPr>
              <w:t xml:space="preserve">采购需求视为符合；方案内容属于通用类，非专门针对本项目，部分</w:t>
            </w:r>
            <w:r>
              <w:rPr>
                <w:color w:val="000000"/>
                <w:sz w:val="21"/>
                <w:szCs w:val="21"/>
                <w:highlight w:val="none"/>
                <w:lang w:val="en-US" w:eastAsia="zh-CN"/>
              </w:rPr>
              <w:t xml:space="preserve">契合采购需求</w:t>
            </w:r>
            <w:r>
              <w:rPr>
                <w:color w:val="000000"/>
                <w:sz w:val="21"/>
                <w:szCs w:val="21"/>
                <w:highlight w:val="none"/>
                <w:lang w:val="en-US"/>
              </w:rPr>
              <w:t xml:space="preserve">视为部分符合；方案内容非专门针对本项目</w:t>
            </w:r>
            <w:r>
              <w:rPr>
                <w:color w:val="000000"/>
                <w:sz w:val="21"/>
                <w:szCs w:val="21"/>
                <w:highlight w:val="none"/>
                <w:lang w:val="en-US" w:eastAsia="zh-CN"/>
              </w:rPr>
              <w:t xml:space="preserve">，脱离</w:t>
            </w:r>
            <w:r>
              <w:rPr>
                <w:color w:val="000000"/>
                <w:sz w:val="21"/>
                <w:szCs w:val="21"/>
                <w:highlight w:val="none"/>
                <w:lang w:val="en-US"/>
              </w:rPr>
              <w:t xml:space="preserve">采购需求视为不符合。</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bidi="ar-SA"/>
              </w:rPr>
              <w:t xml:space="preserve">上述每项内容符合得1分；部分符合得0.5分；不符合或不提供不得分。</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3"/>
              <w:jc w:val="center"/>
              <w:rPr>
                <w:rFonts w:hint="eastAsia" w:ascii="Times New Roman" w:hAnsi="Times New Roman" w:eastAsia="宋体"/>
                <w:color w:val="000000"/>
                <w:sz w:val="21"/>
                <w:szCs w:val="21"/>
                <w:lang w:val="en-US" w:eastAsia="zh-CN" w:bidi="ar-SA"/>
              </w:rPr>
            </w:pPr>
            <w:r>
              <w:rPr>
                <w:rFonts w:hint="eastAsia"/>
                <w:color w:val="000000"/>
                <w:lang w:val="en-US" w:eastAsia="zh-CN"/>
              </w:rPr>
              <w:t xml:space="preserve">5</w:t>
            </w:r>
            <w:r>
              <w:rPr>
                <w:rFonts w:hint="eastAsia" w:ascii="Times New Roman" w:hAnsi="Times New Roman" w:eastAsia="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rPr>
                <w:rFonts w:hint="eastAsia" w:ascii="Times New Roman" w:hAnsi="Times New Roman"/>
                <w:color w:val="000000"/>
                <w:sz w:val="21"/>
                <w:szCs w:val="21"/>
                <w:lang w:val="en-US" w:eastAsia="zh-CN" w:bidi="ar-SA"/>
              </w:rPr>
            </w:pPr>
            <w:r>
              <w:rPr>
                <w:rFonts w:hint="eastAsia"/>
                <w:color w:val="000000"/>
              </w:rPr>
              <w:t xml:space="preserve">主观分</w:t>
            </w:r>
            <w:r>
              <w:rPr>
                <w:rFonts w:hint="eastAsia" w:ascii="Times New Roman" w:hAnsi="Times New Roman"/>
                <w:color w:val="000000"/>
                <w:sz w:val="21"/>
                <w:szCs w:val="21"/>
                <w:lang w:val="en-US" w:eastAsia="zh-CN" w:bidi="ar-SA"/>
              </w:rPr>
            </w:r>
            <w:r/>
          </w:p>
        </w:tc>
      </w:tr>
      <w:tr>
        <w:trPr/>
        <w:tc>
          <w:tcPr>
            <w:tcBorders>
              <w:top w:val="single" w:color="000000" w:sz="4" w:space="0"/>
              <w:left w:val="single" w:color="000000" w:sz="4" w:space="0"/>
              <w:bottom w:val="none" w:color="000000" w:sz="0" w:space="0"/>
              <w:right w:val="single" w:color="000000" w:sz="4" w:space="0"/>
            </w:tcBorders>
            <w:tcW w:w="724" w:type="dxa"/>
            <w:vAlign w:val="center"/>
            <w:textDirection w:val="lrTb"/>
            <w:noWrap/>
          </w:tcPr>
          <w:p>
            <w:pPr>
              <w:pStyle w:val="883"/>
              <w:jc w:val="center"/>
              <w:rPr>
                <w:color w:val="000000"/>
                <w:lang w:val="en-US" w:eastAsia="zh-CN"/>
              </w:rPr>
            </w:pPr>
            <w:r>
              <w:rPr>
                <w:rFonts w:hint="eastAsia"/>
                <w:color w:val="000000"/>
                <w:lang w:val="en-US" w:eastAsia="zh-CN"/>
              </w:rPr>
              <w:t xml:space="preserve">2.9</w:t>
            </w:r>
            <w:r>
              <w:rPr>
                <w:color w:val="000000"/>
                <w:lang w:val="en-US" w:eastAsia="zh-CN"/>
              </w:rPr>
            </w:r>
            <w:r/>
          </w:p>
        </w:tc>
        <w:tc>
          <w:tcPr>
            <w:tcBorders>
              <w:top w:val="single" w:color="000000" w:sz="4" w:space="0"/>
              <w:left w:val="single" w:color="000000" w:sz="4" w:space="0"/>
              <w:bottom w:val="none" w:color="000000" w:sz="0" w:space="0"/>
              <w:right w:val="single" w:color="000000" w:sz="4" w:space="0"/>
            </w:tcBorders>
            <w:tcW w:w="1276" w:type="dxa"/>
            <w:vAlign w:val="center"/>
            <w:textDirection w:val="lrTb"/>
            <w:noWrap w:val="false"/>
          </w:tcPr>
          <w:p>
            <w:pPr>
              <w:pStyle w:val="883"/>
              <w:rPr>
                <w:rFonts w:hint="eastAsia" w:eastAsia="宋体"/>
                <w:color w:val="000000"/>
                <w:lang w:val="en-US" w:eastAsia="zh-CN"/>
              </w:rPr>
            </w:pPr>
            <w:r>
              <w:rPr>
                <w:rFonts w:hint="eastAsia"/>
                <w:color w:val="000000"/>
              </w:rPr>
              <w:t xml:space="preserve">调查影像处理实施方案</w:t>
            </w:r>
            <w:r>
              <w:rPr>
                <w:rFonts w:hint="eastAsia" w:eastAsia="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rPr>
              <w:t xml:space="preserve">根据本项目采购需</w:t>
            </w:r>
            <w:r>
              <w:rPr>
                <w:color w:val="000000"/>
                <w:sz w:val="21"/>
                <w:szCs w:val="21"/>
                <w:highlight w:val="none"/>
                <w:lang w:val="en-US" w:eastAsia="zh-CN"/>
              </w:rPr>
              <w:t xml:space="preserve">求</w:t>
            </w:r>
            <w:r>
              <w:rPr>
                <w:color w:val="000000"/>
                <w:sz w:val="21"/>
                <w:szCs w:val="21"/>
                <w:highlight w:val="none"/>
              </w:rPr>
              <w:t xml:space="preserve">编制</w:t>
            </w:r>
            <w:r>
              <w:rPr>
                <w:color w:val="000000"/>
                <w:sz w:val="21"/>
                <w:szCs w:val="21"/>
                <w:highlight w:val="none"/>
              </w:rPr>
              <w:t xml:space="preserve">调查影像处理实施方案</w:t>
            </w:r>
            <w:r>
              <w:rPr>
                <w:color w:val="000000"/>
                <w:sz w:val="21"/>
                <w:szCs w:val="21"/>
                <w:highlight w:val="none"/>
              </w:rPr>
              <w:t xml:space="preserve">，内容包含：</w:t>
            </w:r>
            <w:r>
              <w:rPr>
                <w:color w:val="000000"/>
                <w:sz w:val="21"/>
                <w:szCs w:val="21"/>
                <w:highlight w:val="none"/>
                <w:lang w:val="en-US" w:eastAsia="zh-CN"/>
              </w:rPr>
              <w:t xml:space="preserve">1.</w:t>
            </w:r>
            <w:r>
              <w:rPr>
                <w:color w:val="000000"/>
                <w:sz w:val="21"/>
                <w:szCs w:val="21"/>
                <w:highlight w:val="none"/>
              </w:rPr>
              <w:t xml:space="preserve">进度安排</w:t>
            </w:r>
            <w:r>
              <w:rPr>
                <w:color w:val="000000"/>
                <w:sz w:val="21"/>
                <w:szCs w:val="21"/>
                <w:highlight w:val="none"/>
                <w:lang w:eastAsia="zh-CN"/>
              </w:rPr>
              <w:t xml:space="preserve">；</w:t>
            </w:r>
            <w:r>
              <w:rPr>
                <w:color w:val="000000"/>
                <w:sz w:val="21"/>
                <w:szCs w:val="21"/>
                <w:highlight w:val="none"/>
                <w:lang w:val="en-US" w:eastAsia="zh-CN"/>
              </w:rPr>
              <w:t xml:space="preserve">2.</w:t>
            </w:r>
            <w:r>
              <w:rPr>
                <w:color w:val="000000"/>
                <w:sz w:val="21"/>
                <w:szCs w:val="21"/>
                <w:highlight w:val="none"/>
              </w:rPr>
              <w:t xml:space="preserve">风险控制管理</w:t>
            </w:r>
            <w:r>
              <w:rPr>
                <w:color w:val="000000"/>
                <w:sz w:val="21"/>
                <w:szCs w:val="21"/>
                <w:highlight w:val="none"/>
                <w:lang w:eastAsia="zh-CN"/>
              </w:rPr>
              <w:t xml:space="preserve">；</w:t>
            </w:r>
            <w:r>
              <w:rPr>
                <w:color w:val="000000"/>
                <w:sz w:val="21"/>
                <w:szCs w:val="21"/>
                <w:highlight w:val="none"/>
                <w:lang w:val="en-US" w:eastAsia="zh-CN"/>
              </w:rPr>
              <w:t xml:space="preserve">3.</w:t>
            </w:r>
            <w:r>
              <w:rPr>
                <w:color w:val="000000"/>
                <w:sz w:val="21"/>
                <w:szCs w:val="21"/>
                <w:highlight w:val="none"/>
              </w:rPr>
              <w:t xml:space="preserve">质量保障措施</w:t>
            </w:r>
            <w:r>
              <w:rPr>
                <w:color w:val="000000"/>
                <w:sz w:val="21"/>
                <w:szCs w:val="21"/>
                <w:highlight w:val="none"/>
                <w:lang w:eastAsia="zh-CN"/>
              </w:rPr>
              <w:t xml:space="preserve">；</w:t>
            </w:r>
            <w:r>
              <w:rPr>
                <w:color w:val="000000"/>
                <w:sz w:val="21"/>
                <w:szCs w:val="21"/>
                <w:highlight w:val="none"/>
                <w:lang w:val="en-US" w:eastAsia="zh-CN"/>
              </w:rPr>
              <w:t xml:space="preserve">4.</w:t>
            </w:r>
            <w:r>
              <w:rPr>
                <w:color w:val="000000"/>
                <w:sz w:val="21"/>
                <w:szCs w:val="21"/>
                <w:highlight w:val="none"/>
              </w:rPr>
              <w:t xml:space="preserve">信息安全管理措施</w:t>
            </w:r>
            <w:r>
              <w:rPr>
                <w:color w:val="000000"/>
                <w:sz w:val="21"/>
                <w:szCs w:val="21"/>
                <w:highlight w:val="none"/>
                <w:lang w:eastAsia="zh-CN"/>
              </w:rPr>
              <w:t xml:space="preserve">；</w:t>
            </w:r>
            <w:r>
              <w:rPr>
                <w:color w:val="000000"/>
                <w:sz w:val="21"/>
                <w:szCs w:val="21"/>
                <w:highlight w:val="none"/>
                <w:lang w:val="en-US" w:eastAsia="zh-CN"/>
              </w:rPr>
              <w:t xml:space="preserve">5.</w:t>
            </w:r>
            <w:r>
              <w:rPr>
                <w:color w:val="000000"/>
                <w:sz w:val="21"/>
                <w:szCs w:val="21"/>
                <w:highlight w:val="none"/>
              </w:rPr>
              <w:t xml:space="preserve">文档管理措施</w:t>
            </w:r>
            <w:r>
              <w:rPr>
                <w:color w:val="000000"/>
                <w:sz w:val="21"/>
                <w:szCs w:val="21"/>
                <w:highlight w:val="none"/>
                <w:lang w:val="en-US" w:bidi="ar-SA"/>
              </w:rPr>
              <w:t xml:space="preserve">。以上每项内容逐项评分：</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rPr>
              <w:t xml:space="preserve">方案内容</w:t>
            </w:r>
            <w:r>
              <w:rPr>
                <w:color w:val="000000"/>
                <w:sz w:val="21"/>
                <w:szCs w:val="21"/>
                <w:highlight w:val="none"/>
              </w:rPr>
              <w:t xml:space="preserve">完整深刻、可行性强</w:t>
            </w:r>
            <w:r>
              <w:rPr>
                <w:color w:val="000000"/>
                <w:sz w:val="21"/>
                <w:szCs w:val="21"/>
                <w:highlight w:val="none"/>
                <w:lang w:val="en-US" w:bidi="ar-SA"/>
              </w:rPr>
              <w:t xml:space="preserve">，且</w:t>
            </w:r>
            <w:r>
              <w:rPr>
                <w:color w:val="000000"/>
                <w:sz w:val="21"/>
                <w:szCs w:val="21"/>
                <w:highlight w:val="none"/>
                <w:lang w:val="en-US"/>
              </w:rPr>
              <w:t xml:space="preserve">专门针对本项目，</w:t>
            </w:r>
            <w:r>
              <w:rPr>
                <w:color w:val="000000"/>
                <w:sz w:val="21"/>
                <w:szCs w:val="21"/>
                <w:highlight w:val="none"/>
                <w:lang w:val="en-US" w:eastAsia="zh-CN"/>
              </w:rPr>
              <w:t xml:space="preserve">契合</w:t>
            </w:r>
            <w:r>
              <w:rPr>
                <w:color w:val="000000"/>
                <w:sz w:val="21"/>
                <w:szCs w:val="21"/>
                <w:highlight w:val="none"/>
                <w:lang w:val="en-US"/>
              </w:rPr>
              <w:t xml:space="preserve">采购需求视为符合；方案内容属于通用类，非专门针对本项目，部分</w:t>
            </w:r>
            <w:r>
              <w:rPr>
                <w:color w:val="000000"/>
                <w:sz w:val="21"/>
                <w:szCs w:val="21"/>
                <w:highlight w:val="none"/>
                <w:lang w:val="en-US" w:eastAsia="zh-CN"/>
              </w:rPr>
              <w:t xml:space="preserve">契合采购需求</w:t>
            </w:r>
            <w:r>
              <w:rPr>
                <w:color w:val="000000"/>
                <w:sz w:val="21"/>
                <w:szCs w:val="21"/>
                <w:highlight w:val="none"/>
                <w:lang w:val="en-US"/>
              </w:rPr>
              <w:t xml:space="preserve">视为部分符合；方案内容非专门针对本项目</w:t>
            </w:r>
            <w:r>
              <w:rPr>
                <w:color w:val="000000"/>
                <w:sz w:val="21"/>
                <w:szCs w:val="21"/>
                <w:highlight w:val="none"/>
                <w:lang w:val="en-US" w:eastAsia="zh-CN"/>
              </w:rPr>
              <w:t xml:space="preserve">，脱离</w:t>
            </w:r>
            <w:r>
              <w:rPr>
                <w:color w:val="000000"/>
                <w:sz w:val="21"/>
                <w:szCs w:val="21"/>
                <w:highlight w:val="none"/>
                <w:lang w:val="en-US"/>
              </w:rPr>
              <w:t xml:space="preserve">采购需求视为不符合。</w:t>
            </w:r>
            <w:r>
              <w:rPr>
                <w:color w:val="000000"/>
                <w:sz w:val="21"/>
                <w:szCs w:val="21"/>
                <w:highlight w:val="none"/>
              </w:rPr>
            </w:r>
            <w:r/>
          </w:p>
          <w:p>
            <w:pPr>
              <w:jc w:val="left"/>
              <w:keepLines w:val="0"/>
              <w:keepNext w:val="0"/>
              <w:pageBreakBefore w:val="0"/>
              <w:spacing w:line="264" w:lineRule="auto"/>
              <w:widowControl w:val="off"/>
              <w:rPr>
                <w:color w:val="000000"/>
                <w:sz w:val="21"/>
                <w:szCs w:val="21"/>
                <w:highlight w:val="none"/>
                <w14:ligatures w14:val="none"/>
              </w:rPr>
            </w:pPr>
            <w:r>
              <w:rPr>
                <w:color w:val="000000"/>
                <w:sz w:val="21"/>
                <w:szCs w:val="21"/>
                <w:highlight w:val="none"/>
                <w:lang w:val="en-US" w:eastAsia="zh-CN" w:bidi="ar-SA"/>
              </w:rPr>
              <w:t xml:space="preserve">上述每项内容符合得1分；部分符合得0.5分；不符合或不提供不得分。</w:t>
            </w:r>
            <w:r>
              <w:rPr>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3"/>
              <w:jc w:val="center"/>
              <w:rPr>
                <w:rFonts w:hint="eastAsia"/>
                <w:color w:val="000000"/>
                <w:lang w:val="en-US" w:eastAsia="zh-CN"/>
              </w:rPr>
            </w:pPr>
            <w:r>
              <w:rPr>
                <w:rFonts w:hint="eastAsia"/>
                <w:color w:val="000000"/>
                <w:lang w:val="en-US" w:eastAsia="zh-CN"/>
              </w:rPr>
              <w:t xml:space="preserve">5</w:t>
            </w:r>
            <w:r>
              <w:rPr>
                <w:rFonts w:hint="eastAsia"/>
                <w:color w:val="000000"/>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rPr>
                <w:rFonts w:hint="eastAsia"/>
                <w:color w:val="000000"/>
              </w:rPr>
            </w:pPr>
            <w:r>
              <w:rPr>
                <w:rFonts w:hint="eastAsia"/>
                <w:color w:val="000000"/>
              </w:rPr>
              <w:t xml:space="preserve">主观分</w:t>
            </w:r>
            <w:r>
              <w:rPr>
                <w:rFonts w:hint="eastAsia"/>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10078" w:type="dxa"/>
            <w:vAlign w:val="center"/>
            <w:textDirection w:val="lrTb"/>
            <w:noWrap/>
          </w:tcPr>
          <w:p>
            <w:pPr>
              <w:pStyle w:val="883"/>
              <w:jc w:val="left"/>
              <w:rPr>
                <w:rFonts w:hint="eastAsia" w:eastAsia="宋体"/>
                <w:b/>
                <w:bCs/>
                <w:color w:val="000000"/>
                <w:lang w:val="en-US" w:eastAsia="zh-CN"/>
              </w:rPr>
            </w:pPr>
            <w:r>
              <w:rPr>
                <w:rFonts w:hint="eastAsia"/>
                <w:b/>
                <w:bCs/>
                <w:color w:val="000000"/>
              </w:rPr>
              <w:t xml:space="preserve">3.</w:t>
            </w:r>
            <w:r>
              <w:rPr>
                <w:rFonts w:hint="eastAsia"/>
                <w:b/>
                <w:bCs/>
                <w:color w:val="000000"/>
                <w:lang w:val="en-US" w:eastAsia="zh-CN"/>
              </w:rPr>
              <w:t xml:space="preserve">服务</w:t>
            </w:r>
            <w:r>
              <w:rPr>
                <w:rFonts w:hint="eastAsia" w:eastAsia="宋体"/>
                <w:b/>
                <w:bCs/>
                <w:color w:val="000000"/>
                <w:lang w:val="en-US" w:eastAsia="zh-CN"/>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883"/>
              <w:jc w:val="center"/>
              <w:rPr>
                <w:rFonts w:eastAsia="宋体"/>
                <w:color w:val="000000"/>
                <w:lang w:val="en-US" w:eastAsia="zh-CN"/>
              </w:rPr>
            </w:pPr>
            <w:r>
              <w:rPr>
                <w:rFonts w:hint="eastAsia"/>
                <w:color w:val="000000"/>
                <w:lang w:val="en-US" w:eastAsia="zh-CN"/>
              </w:rPr>
              <w:t xml:space="preserve">3.1</w:t>
            </w:r>
            <w:r>
              <w:rPr>
                <w:rFonts w:eastAsia="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3"/>
              <w:rPr>
                <w:rFonts w:hint="eastAsia"/>
                <w:color w:val="000000"/>
              </w:rPr>
            </w:pPr>
            <w:r>
              <w:rPr>
                <w:rFonts w:hint="eastAsia"/>
                <w:color w:val="000000"/>
                <w:lang w:val="en-US" w:eastAsia="zh-CN"/>
              </w:rPr>
              <w:t xml:space="preserve">运维</w:t>
            </w:r>
            <w:r>
              <w:rPr>
                <w:rFonts w:hint="eastAsia"/>
                <w:color w:val="000000"/>
              </w:rPr>
              <w:t xml:space="preserve">服务方案</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883"/>
              <w:rPr>
                <w:color w:val="000000"/>
                <w:sz w:val="21"/>
                <w:szCs w:val="21"/>
                <w:highlight w:val="none"/>
                <w:lang w:val="en-US" w:bidi="ar-SA"/>
              </w:rPr>
            </w:pPr>
            <w:r>
              <w:rPr>
                <w:rFonts w:hint="eastAsia" w:ascii="Times New Roman" w:hAnsi="Times New Roman" w:eastAsia="宋体" w:cs="Times New Roman"/>
                <w:color w:val="000000"/>
              </w:rPr>
              <w:t xml:space="preserve">根据本项目采购需求及相关要求编制方案，</w:t>
            </w:r>
            <w:r>
              <w:rPr>
                <w:rFonts w:hint="eastAsia" w:ascii="Times New Roman" w:hAnsi="Times New Roman" w:eastAsia="宋体" w:cs="Times New Roman"/>
                <w:color w:val="000000"/>
              </w:rPr>
              <w:t xml:space="preserve">内容包含：</w:t>
            </w:r>
            <w:r>
              <w:rPr>
                <w:rFonts w:hint="eastAsia" w:ascii="Times New Roman" w:hAnsi="Times New Roman" w:eastAsia="宋体" w:cs="Times New Roman"/>
                <w:color w:val="000000"/>
                <w:lang w:val="en-US" w:eastAsia="zh-CN"/>
              </w:rPr>
              <w:t xml:space="preserve">1.</w:t>
            </w:r>
            <w:r>
              <w:rPr>
                <w:rFonts w:hint="eastAsia" w:ascii="Times New Roman" w:hAnsi="Times New Roman" w:eastAsia="宋体" w:cs="Times New Roman"/>
                <w:color w:val="000000"/>
                <w:lang w:val="en-US" w:eastAsia="zh-CN"/>
              </w:rPr>
              <w:t xml:space="preserve">服务设施</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en-US" w:eastAsia="zh-CN"/>
              </w:rPr>
              <w:t xml:space="preserve">2.服务计划</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en-US" w:eastAsia="zh-CN"/>
              </w:rPr>
              <w:t xml:space="preserve">3.服务保障体系；4.服务团队配置；5.服务应急保障预案</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883"/>
              <w:rPr>
                <w:color w:val="000000"/>
                <w:highlight w:val="none"/>
                <w:lang w:val="en-US"/>
              </w:rPr>
            </w:pPr>
            <w:r>
              <w:rPr>
                <w:color w:val="000000"/>
                <w:highlight w:val="none"/>
                <w:lang w:val="en-US"/>
              </w:rPr>
              <w:t xml:space="preserve">方案内容</w:t>
            </w:r>
            <w:r>
              <w:rPr>
                <w:rFonts w:hint="eastAsia"/>
                <w:color w:val="000000"/>
              </w:rPr>
              <w:t xml:space="preserve">完整详细合理</w:t>
            </w:r>
            <w:r>
              <w:rPr>
                <w:rFonts w:hint="eastAsia"/>
                <w:color w:val="000000"/>
              </w:rPr>
              <w:t xml:space="preserve">、</w:t>
            </w:r>
            <w:r>
              <w:rPr>
                <w:rFonts w:hint="eastAsia"/>
                <w:color w:val="000000"/>
              </w:rPr>
              <w:t xml:space="preserve">符合项目需求</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883"/>
              <w:rPr>
                <w:rFonts w:hint="eastAsia"/>
                <w:color w:val="000000"/>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3"/>
              <w:jc w:val="center"/>
              <w:rPr>
                <w:rFonts w:hint="eastAsia" w:eastAsia="宋体"/>
                <w:color w:val="000000"/>
                <w:lang w:val="en-US" w:eastAsia="zh-CN"/>
              </w:rPr>
            </w:pPr>
            <w:r>
              <w:rPr>
                <w:rFonts w:hint="eastAsia"/>
                <w:color w:val="000000"/>
                <w:lang w:val="en-US" w:eastAsia="zh-CN"/>
              </w:rPr>
              <w:t xml:space="preserve">5</w:t>
            </w:r>
            <w:r>
              <w:rPr>
                <w:rFonts w:hint="eastAsia" w:eastAsia="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rPr>
                <w:rFonts w:hint="eastAsia"/>
                <w:color w:val="000000"/>
              </w:rPr>
            </w:pPr>
            <w:r>
              <w:rPr>
                <w:rFonts w:hint="eastAsia"/>
                <w:color w:val="000000"/>
                <w:lang w:val="en-US" w:eastAsia="zh-CN"/>
              </w:rPr>
              <w:t xml:space="preserve">主观</w:t>
            </w:r>
            <w:r>
              <w:rPr>
                <w:color w:val="000000"/>
              </w:rPr>
              <w:t xml:space="preserve">分</w:t>
            </w:r>
            <w:r>
              <w:rPr>
                <w:rFonts w:hint="eastAsia"/>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10078" w:type="dxa"/>
            <w:vAlign w:val="center"/>
            <w:textDirection w:val="lrTb"/>
            <w:noWrap/>
          </w:tcPr>
          <w:p>
            <w:pPr>
              <w:pStyle w:val="883"/>
              <w:rPr>
                <w:rFonts w:hint="eastAsia"/>
                <w:b/>
                <w:bCs/>
                <w:color w:val="000000"/>
              </w:rPr>
            </w:pPr>
            <w:r>
              <w:rPr>
                <w:rFonts w:hint="eastAsia"/>
                <w:b/>
                <w:bCs/>
                <w:color w:val="000000"/>
              </w:rPr>
              <w:t xml:space="preserve">4</w:t>
            </w:r>
            <w:r>
              <w:rPr>
                <w:b/>
                <w:bCs/>
                <w:color w:val="000000"/>
              </w:rPr>
              <w:t xml:space="preserve">.</w:t>
            </w:r>
            <w:r>
              <w:rPr>
                <w:rFonts w:hint="eastAsia"/>
                <w:b/>
                <w:bCs/>
                <w:color w:val="000000"/>
              </w:rPr>
              <w:t xml:space="preserve">业绩</w:t>
            </w:r>
            <w:r>
              <w:rPr>
                <w:rFonts w:hint="eastAsia"/>
                <w:b/>
                <w:bCs/>
                <w:color w:val="000000"/>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883"/>
              <w:jc w:val="center"/>
              <w:rPr>
                <w:rFonts w:eastAsia="宋体"/>
                <w:color w:val="000000"/>
                <w:lang w:val="en-US" w:eastAsia="zh-CN"/>
              </w:rPr>
            </w:pPr>
            <w:r>
              <w:rPr>
                <w:rFonts w:hint="eastAsia"/>
                <w:color w:val="000000"/>
                <w:lang w:val="en-US" w:eastAsia="zh-CN"/>
              </w:rPr>
              <w:t xml:space="preserve">4.1</w:t>
            </w:r>
            <w:r>
              <w:rPr>
                <w:rFonts w:eastAsia="宋体"/>
                <w:color w:val="000000"/>
                <w:lang w:val="en-US" w:eastAsia="zh-CN"/>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3"/>
              <w:rPr>
                <w:rFonts w:eastAsia="宋体"/>
                <w:color w:val="000000"/>
                <w:lang w:val="en-US" w:eastAsia="zh-CN"/>
              </w:rPr>
            </w:pPr>
            <w:r>
              <w:rPr>
                <w:rFonts w:hint="eastAsia"/>
                <w:color w:val="000000"/>
                <w:lang w:val="en-US" w:eastAsia="zh-CN"/>
              </w:rPr>
              <w:t xml:space="preserve">投标人业绩</w:t>
            </w:r>
            <w:r>
              <w:rPr>
                <w:rFonts w:eastAsia="宋体"/>
                <w:color w:val="000000"/>
                <w:lang w:val="en-US" w:eastAsia="zh-CN"/>
              </w:rPr>
            </w:r>
            <w:r/>
          </w:p>
        </w:tc>
        <w:tc>
          <w:tcPr>
            <w:tcBorders>
              <w:top w:val="single" w:color="000000" w:sz="4" w:space="0"/>
              <w:left w:val="none" w:color="000000" w:sz="4" w:space="0"/>
              <w:bottom w:val="single" w:color="000000" w:sz="4" w:space="0"/>
              <w:right w:val="single" w:color="000000" w:sz="4" w:space="0"/>
            </w:tcBorders>
            <w:tcW w:w="6520" w:type="dxa"/>
            <w:vAlign w:val="center"/>
            <w:textDirection w:val="lrTb"/>
            <w:noWrap w:val="false"/>
          </w:tcPr>
          <w:p>
            <w:pPr>
              <w:rPr>
                <w:rFonts w:hint="eastAsia" w:ascii="Times New Roman" w:hAnsi="Times New Roman" w:eastAsia="宋体" w:cs="Times New Roman"/>
                <w:color w:val="000000"/>
                <w14:ligatures w14:val="none"/>
              </w:rPr>
            </w:pPr>
            <w:r>
              <w:rPr>
                <w:rFonts w:hint="eastAsia" w:ascii="Times New Roman" w:hAnsi="Times New Roman" w:eastAsia="宋体" w:cs="Times New Roman"/>
                <w:color w:val="000000"/>
              </w:rPr>
              <w:t xml:space="preserve">投标人202</w:t>
            </w:r>
            <w:r>
              <w:rPr>
                <w:rFonts w:hint="eastAsia" w:ascii="Times New Roman" w:hAnsi="Times New Roman" w:eastAsia="宋体" w:cs="Times New Roman"/>
                <w:color w:val="000000"/>
              </w:rPr>
              <w:t xml:space="preserve">3年1月1日</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en-US" w:eastAsia="zh-CN"/>
              </w:rPr>
              <w:t xml:space="preserve">含</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en-US" w:eastAsia="zh-CN"/>
              </w:rPr>
              <w:t xml:space="preserve">以来</w:t>
            </w:r>
            <w:r>
              <w:rPr>
                <w:rFonts w:hint="eastAsia" w:ascii="Times New Roman" w:hAnsi="Times New Roman" w:eastAsia="宋体" w:cs="Times New Roman"/>
                <w:color w:val="000000"/>
              </w:rPr>
              <w:t xml:space="preserve">完成的类似信息化系统研发项目</w:t>
            </w: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rPr>
              <w:t xml:space="preserve">至少包含信息化系统研发</w:t>
            </w:r>
            <w:r>
              <w:rPr>
                <w:rFonts w:hint="eastAsia" w:ascii="Times New Roman" w:hAnsi="Times New Roman" w:eastAsia="宋体" w:cs="Times New Roman"/>
                <w:color w:val="000000"/>
                <w:lang w:val="en-US" w:eastAsia="zh-CN"/>
              </w:rPr>
              <w:t xml:space="preserve">或</w:t>
            </w:r>
            <w:r>
              <w:rPr>
                <w:rFonts w:hint="eastAsia" w:ascii="Times New Roman" w:hAnsi="Times New Roman" w:eastAsia="宋体" w:cs="Times New Roman"/>
                <w:color w:val="000000"/>
              </w:rPr>
              <w:t xml:space="preserve">数据治理</w:t>
            </w:r>
            <w:r>
              <w:rPr>
                <w:rFonts w:hint="eastAsia" w:ascii="Times New Roman" w:hAnsi="Times New Roman" w:eastAsia="宋体" w:cs="Times New Roman"/>
                <w:color w:val="000000"/>
                <w:lang w:val="en-US" w:eastAsia="zh-CN"/>
              </w:rPr>
              <w:t xml:space="preserve">或</w:t>
            </w:r>
            <w:r>
              <w:rPr>
                <w:rFonts w:hint="eastAsia" w:ascii="Times New Roman" w:hAnsi="Times New Roman" w:eastAsia="宋体" w:cs="Times New Roman"/>
                <w:color w:val="000000"/>
              </w:rPr>
              <w:t xml:space="preserve">一张图建设</w:t>
            </w:r>
            <w:r>
              <w:rPr>
                <w:rFonts w:hint="eastAsia" w:ascii="Times New Roman" w:hAnsi="Times New Roman" w:eastAsia="宋体" w:cs="Times New Roman"/>
                <w:color w:val="000000"/>
                <w:lang w:val="en-US" w:eastAsia="zh-CN"/>
              </w:rPr>
              <w:t xml:space="preserve">或</w:t>
            </w:r>
            <w:r>
              <w:rPr>
                <w:rFonts w:hint="eastAsia" w:ascii="Times New Roman" w:hAnsi="Times New Roman" w:eastAsia="宋体" w:cs="Times New Roman"/>
                <w:color w:val="000000"/>
              </w:rPr>
              <w:t xml:space="preserve">信息化系统技术管理与服务</w:t>
            </w: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t xml:space="preserve">每提供1个得</w:t>
            </w:r>
            <w:r>
              <w:rPr>
                <w:rFonts w:hint="eastAsia" w:ascii="Times New Roman" w:hAnsi="Times New Roman" w:eastAsia="宋体" w:cs="Times New Roman"/>
                <w:color w:val="000000"/>
                <w:lang w:val="en-US" w:eastAsia="zh-CN"/>
              </w:rPr>
              <w:t xml:space="preserve">3</w:t>
            </w:r>
            <w:r>
              <w:rPr>
                <w:rFonts w:hint="eastAsia" w:ascii="Times New Roman" w:hAnsi="Times New Roman" w:eastAsia="宋体" w:cs="Times New Roman"/>
                <w:color w:val="000000"/>
              </w:rPr>
              <w:t xml:space="preserve">分，同一项目</w:t>
            </w:r>
            <w:r>
              <w:rPr>
                <w:rFonts w:hint="eastAsia" w:ascii="Times New Roman" w:hAnsi="Times New Roman" w:eastAsia="宋体" w:cs="Times New Roman"/>
                <w:color w:val="000000"/>
                <w:lang w:val="en-US" w:eastAsia="zh-CN"/>
              </w:rPr>
              <w:t xml:space="preserve">包含所列两个及以上内容的只按一个项目业绩计分</w:t>
            </w:r>
            <w:r>
              <w:rPr>
                <w:rFonts w:hint="eastAsia" w:ascii="Times New Roman" w:hAnsi="Times New Roman" w:eastAsia="宋体" w:cs="Times New Roman"/>
                <w:color w:val="000000"/>
              </w:rPr>
              <w:t xml:space="preserve">，最多</w:t>
            </w:r>
            <w:r>
              <w:rPr>
                <w:rFonts w:hint="eastAsia" w:ascii="Times New Roman" w:hAnsi="Times New Roman" w:eastAsia="宋体" w:cs="Times New Roman"/>
                <w:color w:val="000000"/>
                <w:lang w:val="en-US" w:eastAsia="zh-CN"/>
              </w:rPr>
              <w:t xml:space="preserve">得9</w:t>
            </w:r>
            <w:r>
              <w:rPr>
                <w:rFonts w:hint="eastAsia" w:ascii="Times New Roman" w:hAnsi="Times New Roman" w:eastAsia="宋体" w:cs="Times New Roman"/>
                <w:color w:val="000000"/>
              </w:rPr>
              <w:t xml:space="preserve">分。</w:t>
            </w:r>
            <w:r>
              <w:rPr>
                <w:rFonts w:hint="eastAsia" w:ascii="Times New Roman" w:hAnsi="Times New Roman" w:eastAsia="宋体" w:cs="Times New Roman"/>
                <w:color w:val="000000"/>
              </w:rPr>
            </w:r>
            <w:r/>
          </w:p>
          <w:p>
            <w:pPr>
              <w:rPr>
                <w:rFonts w:hint="eastAsia" w:ascii="Times New Roman" w:hAnsi="Times New Roman" w:eastAsia="宋体" w:cs="Times New Roman"/>
                <w:color w:val="000000"/>
                <w14:ligatures w14:val="none"/>
              </w:rPr>
            </w:pP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时间以合同签订时间为准，</w:t>
            </w:r>
            <w:r>
              <w:rPr>
                <w:rFonts w:hint="eastAsia" w:ascii="Times New Roman" w:hAnsi="Times New Roman" w:eastAsia="宋体" w:cs="Times New Roman"/>
                <w:color w:val="000000"/>
              </w:rPr>
              <w:t xml:space="preserve">提供</w:t>
            </w:r>
            <w:r>
              <w:rPr>
                <w:rFonts w:hint="eastAsia" w:ascii="Times New Roman" w:hAnsi="Times New Roman" w:eastAsia="宋体" w:cs="Times New Roman"/>
                <w:color w:val="000000"/>
                <w:lang w:val="en-US" w:eastAsia="zh-CN"/>
              </w:rPr>
              <w:t xml:space="preserve">有效</w:t>
            </w:r>
            <w:r>
              <w:rPr>
                <w:rFonts w:hint="eastAsia" w:ascii="Times New Roman" w:hAnsi="Times New Roman" w:eastAsia="宋体" w:cs="Times New Roman"/>
                <w:color w:val="000000"/>
              </w:rPr>
              <w:t xml:space="preserve">合同，合同须能反映项目名称、主要标的物，签订时间和签章清晰可见）</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3"/>
              <w:jc w:val="center"/>
              <w:rPr>
                <w:rFonts w:hint="eastAsia"/>
                <w:color w:val="000000"/>
              </w:rPr>
            </w:pPr>
            <w:r>
              <w:rPr>
                <w:rFonts w:hint="eastAsia"/>
                <w:color w:val="000000"/>
                <w:lang w:val="en-US" w:eastAsia="zh-CN"/>
              </w:rPr>
              <w:t xml:space="preserve">9</w:t>
            </w:r>
            <w:r>
              <w:rPr>
                <w:rFonts w:hint="eastAsia"/>
                <w:color w:val="000000"/>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83"/>
              <w:rPr>
                <w:color w:val="000000"/>
              </w:rPr>
            </w:pPr>
            <w:r>
              <w:rPr>
                <w:rFonts w:hint="eastAsia"/>
                <w:color w:val="000000"/>
              </w:rPr>
              <w:t xml:space="preserve">客观</w:t>
            </w:r>
            <w:r>
              <w:rPr>
                <w:color w:val="000000"/>
              </w:rPr>
              <w:t xml:space="preserve">分</w:t>
            </w:r>
            <w:r>
              <w:rPr>
                <w:color w:val="000000"/>
              </w:rPr>
            </w:r>
            <w:r/>
          </w:p>
        </w:tc>
      </w:tr>
      <w:tr>
        <w:trPr/>
        <w:tc>
          <w:tcPr>
            <w:gridSpan w:val="5"/>
            <w:tcBorders>
              <w:top w:val="none" w:color="000000" w:sz="4" w:space="0"/>
              <w:left w:val="single" w:color="000000" w:sz="4" w:space="0"/>
              <w:bottom w:val="single" w:color="000000" w:sz="4" w:space="0"/>
              <w:right w:val="single" w:color="000000" w:sz="4" w:space="0"/>
            </w:tcBorders>
            <w:tcW w:w="10078" w:type="dxa"/>
            <w:vAlign w:val="center"/>
            <w:textDirection w:val="lrTb"/>
            <w:noWrap/>
          </w:tcPr>
          <w:p>
            <w:pPr>
              <w:pStyle w:val="883"/>
              <w:rPr>
                <w:rFonts w:hint="eastAsia"/>
                <w:b/>
                <w:bCs/>
                <w:color w:val="000000"/>
              </w:rPr>
            </w:pPr>
            <w:r>
              <w:rPr>
                <w:rFonts w:hint="eastAsia"/>
                <w:b/>
                <w:bCs/>
                <w:color w:val="000000"/>
              </w:rPr>
              <w:t xml:space="preserve">5.履约能力</w:t>
            </w:r>
            <w:r>
              <w:rPr>
                <w:rFonts w:hint="eastAsia"/>
                <w:b/>
                <w:bCs/>
                <w:color w:val="000000"/>
              </w:rPr>
            </w:r>
            <w:r/>
          </w:p>
        </w:tc>
      </w:tr>
      <w:tr>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83"/>
              <w:jc w:val="center"/>
              <w:rPr>
                <w:rFonts w:hint="eastAsia"/>
                <w:color w:val="000000"/>
              </w:rPr>
            </w:pPr>
            <w:r>
              <w:rPr>
                <w:rFonts w:hint="eastAsia"/>
                <w:color w:val="000000"/>
              </w:rPr>
              <w:t xml:space="preserve">5</w:t>
            </w:r>
            <w:r>
              <w:rPr>
                <w:color w:val="000000"/>
              </w:rPr>
              <w:t xml:space="preserve">.</w:t>
            </w:r>
            <w:r>
              <w:rPr>
                <w:rFonts w:hint="eastAsia"/>
                <w:color w:val="000000"/>
              </w:rPr>
              <w:t xml:space="preserve">1</w:t>
            </w:r>
            <w:r>
              <w:rPr>
                <w:rFonts w:hint="eastAsia"/>
                <w:color w:val="000000"/>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83"/>
              <w:rPr>
                <w:rFonts w:eastAsia="宋体"/>
                <w:color w:val="000000"/>
                <w:lang w:val="en-US" w:eastAsia="zh-CN"/>
              </w:rPr>
            </w:pPr>
            <w:r>
              <w:rPr>
                <w:rFonts w:hint="eastAsia"/>
                <w:color w:val="000000"/>
                <w:lang w:val="en-US" w:eastAsia="zh-CN"/>
              </w:rPr>
              <w:t xml:space="preserve">履约能力1</w:t>
            </w:r>
            <w:r>
              <w:rPr>
                <w:rFonts w:eastAsia="宋体"/>
                <w:color w:val="000000"/>
                <w:lang w:val="en-US" w:eastAsia="zh-CN"/>
              </w:rPr>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rPr>
                <w:rFonts w:hint="eastAsia" w:ascii="Times New Roman" w:hAnsi="Times New Roman" w:eastAsia="宋体" w:cs="Times New Roman"/>
                <w:color w:val="000000"/>
                <w14:ligatures w14:val="none"/>
              </w:rPr>
            </w:pPr>
            <w:r>
              <w:rPr>
                <w:rFonts w:hint="eastAsia" w:ascii="Times New Roman" w:hAnsi="Times New Roman" w:eastAsia="宋体" w:cs="Times New Roman"/>
                <w:color w:val="000000"/>
                <w:lang w:val="en-US" w:eastAsia="zh-CN"/>
              </w:rPr>
              <w:t xml:space="preserve">项目经理能力：</w:t>
            </w:r>
            <w:r>
              <w:rPr>
                <w:rFonts w:hint="eastAsia" w:ascii="Times New Roman" w:hAnsi="Times New Roman" w:eastAsia="宋体" w:cs="Times New Roman"/>
                <w:color w:val="000000"/>
              </w:rPr>
            </w:r>
            <w:r/>
          </w:p>
          <w:p>
            <w:pPr>
              <w:rPr>
                <w:rFonts w:hint="eastAsia" w:ascii="Times New Roman" w:hAnsi="Times New Roman" w:eastAsia="宋体" w:cs="Times New Roman"/>
                <w:color w:val="000000"/>
                <w14:ligatures w14:val="none"/>
              </w:rPr>
            </w:pPr>
            <w:r>
              <w:rPr>
                <w:rFonts w:hint="eastAsia" w:ascii="Times New Roman" w:hAnsi="Times New Roman" w:eastAsia="宋体" w:cs="Times New Roman"/>
                <w:color w:val="000000"/>
                <w:lang w:val="en-US" w:eastAsia="zh-CN"/>
              </w:rPr>
              <w:t xml:space="preserve">①</w:t>
            </w:r>
            <w:r>
              <w:rPr>
                <w:rFonts w:hint="eastAsia" w:ascii="Times New Roman" w:hAnsi="Times New Roman" w:eastAsia="宋体" w:cs="Times New Roman"/>
                <w:color w:val="000000"/>
              </w:rPr>
              <w:t xml:space="preserve">具有自然资源工程类或电子信息化类</w:t>
            </w:r>
            <w:r>
              <w:rPr>
                <w:rFonts w:hint="eastAsia" w:ascii="Times New Roman" w:hAnsi="Times New Roman" w:eastAsia="宋体" w:cs="Times New Roman"/>
                <w:color w:val="000000"/>
                <w:lang w:val="en-US" w:eastAsia="zh-CN"/>
              </w:rPr>
              <w:t xml:space="preserve">或数字经济类</w:t>
            </w:r>
            <w:r>
              <w:rPr>
                <w:rFonts w:hint="eastAsia" w:ascii="Times New Roman" w:hAnsi="Times New Roman" w:eastAsia="宋体" w:cs="Times New Roman"/>
                <w:color w:val="000000"/>
              </w:rPr>
              <w:t xml:space="preserve">正高级工程师证书，得5分。</w:t>
            </w:r>
            <w:r>
              <w:rPr>
                <w:rFonts w:hint="eastAsia" w:ascii="Times New Roman" w:hAnsi="Times New Roman" w:eastAsia="宋体" w:cs="Times New Roman"/>
                <w:color w:val="000000"/>
              </w:rPr>
            </w:r>
            <w:r/>
          </w:p>
          <w:p>
            <w:pPr>
              <w:rPr>
                <w:rFonts w:hint="eastAsia" w:ascii="Times New Roman" w:hAnsi="Times New Roman" w:eastAsia="宋体" w:cs="Times New Roman"/>
                <w:color w:val="000000"/>
                <w14:ligatures w14:val="none"/>
              </w:rPr>
            </w:pPr>
            <w:r>
              <w:rPr>
                <w:rFonts w:hint="eastAsia" w:ascii="Times New Roman" w:hAnsi="Times New Roman" w:eastAsia="宋体" w:cs="Times New Roman"/>
                <w:color w:val="000000"/>
                <w:lang w:val="en-US" w:eastAsia="zh-CN"/>
              </w:rPr>
              <w:t xml:space="preserve">②</w:t>
            </w:r>
            <w:r>
              <w:rPr>
                <w:rFonts w:hint="eastAsia" w:ascii="Times New Roman" w:hAnsi="Times New Roman" w:eastAsia="宋体" w:cs="Times New Roman"/>
                <w:color w:val="000000"/>
                <w:lang w:val="en-US" w:eastAsia="zh-CN"/>
              </w:rPr>
              <w:t xml:space="preserve">具有20年（含）以上信息化项目相关工作经验的，得3分</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en-US" w:eastAsia="zh-CN"/>
              </w:rPr>
              <w:t xml:space="preserve">具有10年（含）以上至20年（不含）信息化项目相关工作经验的，得2分；具有5年（含）以上至10年（不含）信息化项目相关工作经验的，得1分。</w:t>
            </w:r>
            <w:r>
              <w:rPr>
                <w:rFonts w:hint="eastAsia" w:ascii="Times New Roman" w:hAnsi="Times New Roman" w:eastAsia="宋体" w:cs="Times New Roman"/>
                <w:color w:val="000000"/>
              </w:rPr>
            </w:r>
            <w:r/>
          </w:p>
          <w:p>
            <w:pPr>
              <w:rPr>
                <w:rFonts w:hint="eastAsia" w:ascii="Times New Roman" w:hAnsi="Times New Roman" w:eastAsia="宋体" w:cs="Times New Roman"/>
                <w:color w:val="000000"/>
                <w14:ligatures w14:val="none"/>
              </w:rPr>
            </w:pPr>
            <w:r>
              <w:rPr>
                <w:rFonts w:hint="eastAsia" w:ascii="Times New Roman" w:hAnsi="Times New Roman" w:eastAsia="宋体" w:cs="Times New Roman"/>
                <w:color w:val="000000"/>
                <w:lang w:val="en-US" w:eastAsia="zh-CN"/>
              </w:rPr>
              <w:t xml:space="preserve">注：</w:t>
            </w:r>
            <w:r>
              <w:rPr>
                <w:rFonts w:hint="eastAsia" w:ascii="Times New Roman" w:hAnsi="Times New Roman" w:eastAsia="宋体" w:cs="Times New Roman"/>
                <w:color w:val="000000"/>
                <w:lang w:val="en-US" w:eastAsia="zh-CN"/>
              </w:rPr>
              <w:t xml:space="preserve">1.</w:t>
            </w:r>
            <w:r>
              <w:rPr>
                <w:rFonts w:hint="eastAsia" w:ascii="Times New Roman" w:hAnsi="Times New Roman" w:eastAsia="宋体" w:cs="Times New Roman"/>
                <w:color w:val="000000"/>
              </w:rPr>
              <w:t xml:space="preserve">提供</w:t>
            </w:r>
            <w:r>
              <w:rPr>
                <w:rFonts w:hint="eastAsia" w:ascii="Times New Roman" w:hAnsi="Times New Roman" w:eastAsia="宋体" w:cs="Times New Roman"/>
                <w:color w:val="000000"/>
                <w:lang w:val="en-US" w:eastAsia="zh-CN"/>
              </w:rPr>
              <w:t xml:space="preserve">人员</w:t>
            </w:r>
            <w:r>
              <w:rPr>
                <w:rFonts w:hint="eastAsia" w:ascii="Times New Roman" w:hAnsi="Times New Roman" w:eastAsia="宋体" w:cs="Times New Roman"/>
                <w:color w:val="000000"/>
              </w:rPr>
              <w:t xml:space="preserve">证书</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14:ligatures w14:val="none"/>
              </w:rPr>
            </w:r>
            <w:r/>
          </w:p>
          <w:p>
            <w:pPr>
              <w:rPr>
                <w:rFonts w:hint="eastAsia" w:ascii="Times New Roman" w:hAnsi="Times New Roman" w:eastAsia="宋体" w:cs="Times New Roman"/>
                <w:color w:val="000000"/>
                <w14:ligatures w14:val="none"/>
              </w:rPr>
            </w:pPr>
            <w:r>
              <w:rPr>
                <w:rFonts w:hint="eastAsia" w:ascii="Times New Roman" w:hAnsi="Times New Roman" w:eastAsia="宋体" w:cs="Times New Roman"/>
                <w:color w:val="000000"/>
                <w:lang w:val="en-US" w:eastAsia="zh-CN"/>
              </w:rPr>
              <w:t xml:space="preserve">2.提供信息化项目合同，合同若不能反映人员信息化项目相关工作信息，则还须投标人提供证明材料，证明材料应能反映人员信息、工作内容，并加盖公章；</w:t>
            </w:r>
            <w:r>
              <w:rPr>
                <w:rFonts w:hint="eastAsia" w:ascii="Times New Roman" w:hAnsi="Times New Roman" w:eastAsia="宋体" w:cs="Times New Roman"/>
                <w:color w:val="000000"/>
              </w:rPr>
            </w:r>
            <w:r/>
          </w:p>
          <w:p>
            <w:pPr>
              <w:rPr>
                <w:rFonts w:hint="eastAsia" w:ascii="Times New Roman" w:hAnsi="Times New Roman" w:eastAsia="宋体" w:cs="Times New Roman"/>
                <w:color w:val="000000"/>
                <w14:ligatures w14:val="none"/>
              </w:rPr>
            </w:pPr>
            <w:r>
              <w:rPr>
                <w:rFonts w:hint="eastAsia" w:ascii="Times New Roman" w:hAnsi="Times New Roman" w:eastAsia="宋体" w:cs="Times New Roman"/>
                <w:color w:val="000000"/>
                <w:lang w:val="en-US" w:eastAsia="zh-CN"/>
              </w:rPr>
              <w:t xml:space="preserve">3.提供</w:t>
            </w:r>
            <w:r>
              <w:rPr>
                <w:rFonts w:hint="eastAsia" w:ascii="Times New Roman" w:hAnsi="Times New Roman" w:eastAsia="宋体" w:cs="Times New Roman"/>
                <w:color w:val="000000"/>
              </w:rPr>
              <w:t xml:space="preserve">投标</w:t>
            </w:r>
            <w:r>
              <w:rPr>
                <w:rFonts w:hint="eastAsia" w:ascii="Times New Roman" w:hAnsi="Times New Roman" w:eastAsia="宋体" w:cs="Times New Roman"/>
                <w:color w:val="000000"/>
                <w:lang w:val="en-US" w:eastAsia="zh-CN"/>
              </w:rPr>
              <w:t xml:space="preserve">人</w:t>
            </w:r>
            <w:r>
              <w:rPr>
                <w:rFonts w:hint="eastAsia" w:ascii="Times New Roman" w:hAnsi="Times New Roman" w:eastAsia="宋体" w:cs="Times New Roman"/>
                <w:color w:val="000000"/>
              </w:rPr>
              <w:t xml:space="preserve">为其缴纳的</w:t>
            </w:r>
            <w:r>
              <w:rPr>
                <w:rFonts w:hint="eastAsia" w:ascii="Times New Roman" w:hAnsi="Times New Roman" w:eastAsia="宋体" w:cs="Times New Roman"/>
                <w:color w:val="000000"/>
              </w:rPr>
              <w:t xml:space="preserve">202</w:t>
            </w:r>
            <w:r>
              <w:rPr>
                <w:rFonts w:hint="eastAsia" w:ascii="Times New Roman" w:hAnsi="Times New Roman" w:eastAsia="宋体" w:cs="Times New Roman"/>
                <w:color w:val="000000"/>
              </w:rPr>
              <w:t xml:space="preserve">6年4月份以来任意一个月的社保缴费证明材料</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3"/>
              <w:jc w:val="center"/>
              <w:rPr>
                <w:rFonts w:hint="eastAsia" w:eastAsia="宋体"/>
                <w:color w:val="000000"/>
                <w:lang w:val="en-US" w:eastAsia="zh-CN"/>
              </w:rPr>
            </w:pPr>
            <w:r>
              <w:rPr>
                <w:rFonts w:hint="eastAsia"/>
                <w:color w:val="000000"/>
                <w:lang w:val="en-US" w:eastAsia="zh-CN"/>
              </w:rPr>
              <w:t xml:space="preserve">8</w:t>
            </w:r>
            <w:r>
              <w:rPr>
                <w:rFonts w:hint="eastAsia" w:eastAsia="宋体"/>
                <w:color w:val="000000"/>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83"/>
              <w:rPr>
                <w:rFonts w:hint="eastAsia"/>
                <w:color w:val="000000"/>
              </w:rPr>
            </w:pPr>
            <w:r>
              <w:rPr>
                <w:rFonts w:hint="eastAsia"/>
                <w:color w:val="000000"/>
              </w:rPr>
              <w:t xml:space="preserve">客观</w:t>
            </w:r>
            <w:r>
              <w:rPr>
                <w:color w:val="000000"/>
              </w:rPr>
              <w:t xml:space="preserve">分</w:t>
            </w:r>
            <w:r>
              <w:rPr>
                <w:rFonts w:hint="eastAsia"/>
                <w:color w:val="000000"/>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883"/>
              <w:jc w:val="center"/>
              <w:rPr>
                <w:rFonts w:ascii="Times New Roman" w:hAnsi="Times New Roman"/>
                <w:color w:val="000000"/>
                <w:sz w:val="21"/>
                <w:szCs w:val="21"/>
                <w:lang w:val="en-US" w:eastAsia="zh-CN" w:bidi="ar-SA"/>
              </w:rPr>
            </w:pPr>
            <w:r>
              <w:rPr>
                <w:rFonts w:hint="eastAsia"/>
                <w:color w:val="000000"/>
                <w:sz w:val="21"/>
                <w:szCs w:val="21"/>
                <w:lang w:val="en-US" w:eastAsia="zh-CN" w:bidi="ar-SA"/>
              </w:rPr>
              <w:t xml:space="preserve">5.2</w:t>
            </w:r>
            <w:r>
              <w:rPr>
                <w:rFonts w:ascii="Times New Roman" w:hAnsi="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3"/>
              <w:rPr>
                <w:rFonts w:ascii="Times New Roman" w:hAnsi="Times New Roman"/>
                <w:color w:val="000000"/>
                <w:sz w:val="21"/>
                <w:szCs w:val="21"/>
                <w:lang w:val="en-US" w:eastAsia="zh-CN" w:bidi="ar-SA"/>
              </w:rPr>
            </w:pPr>
            <w:r>
              <w:rPr>
                <w:rFonts w:hint="eastAsia"/>
                <w:color w:val="000000"/>
                <w:lang w:val="en-US" w:eastAsia="zh-CN"/>
              </w:rPr>
              <w:t xml:space="preserve">履约能力2</w:t>
            </w:r>
            <w:r>
              <w:rPr>
                <w:rFonts w:ascii="Times New Roman" w:hAnsi="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520" w:type="dxa"/>
            <w:vAlign w:val="center"/>
            <w:textDirection w:val="lrTb"/>
            <w:noWrap/>
          </w:tcPr>
          <w:p>
            <w:pPr>
              <w:pStyle w:val="883"/>
              <w:jc w:val="left"/>
              <w:keepLines w:val="0"/>
              <w:keepNext w:val="0"/>
              <w:pageBreakBefore w:val="0"/>
              <w:spacing w:line="264" w:lineRule="auto"/>
              <w:widowControl w:val="off"/>
              <w:rPr>
                <w:rFonts w:hint="eastAsia" w:ascii="Times New Roman" w:hAnsi="Times New Roman" w:eastAsia="宋体" w:cs="Times New Roman"/>
                <w:color w:val="000000"/>
                <w:sz w:val="21"/>
                <w:highlight w:val="none"/>
              </w:rPr>
            </w:pPr>
            <w:r>
              <w:rPr>
                <w:rFonts w:hint="eastAsia" w:ascii="宋体" w:hAnsi="宋体" w:eastAsia="宋体" w:cs="宋体"/>
                <w:color w:val="000000"/>
                <w:sz w:val="21"/>
                <w:szCs w:val="21"/>
                <w:highlight w:val="none"/>
                <w:lang w:val="en-US" w:eastAsia="zh-CN"/>
              </w:rPr>
              <w:t xml:space="preserve">技术负责人能力：</w:t>
            </w:r>
            <w:r>
              <w:rPr>
                <w:rFonts w:hint="eastAsia" w:ascii="Times New Roman" w:hAnsi="Times New Roman" w:eastAsia="宋体" w:cs="Times New Roman"/>
                <w:color w:val="000000"/>
                <w:sz w:val="21"/>
                <w:highlight w:val="none"/>
              </w:rPr>
            </w:r>
            <w:r/>
          </w:p>
          <w:p>
            <w:pPr>
              <w:pStyle w:val="883"/>
              <w:jc w:val="left"/>
              <w:rPr>
                <w:rFonts w:hint="eastAsia"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rPr>
              <w:t xml:space="preserve">技术负责人具有</w:t>
            </w:r>
            <w:r>
              <w:rPr>
                <w:rFonts w:hint="eastAsia" w:ascii="宋体" w:hAnsi="宋体" w:cs="宋体"/>
                <w:highlight w:val="none"/>
              </w:rPr>
              <w:t xml:space="preserve">自然资源工程类或电子信息化类或数字经济类</w:t>
            </w:r>
            <w:r>
              <w:rPr>
                <w:rFonts w:hint="eastAsia" w:ascii="Times New Roman" w:hAnsi="Times New Roman" w:eastAsia="宋体" w:cs="Times New Roman"/>
                <w:color w:val="000000"/>
                <w:sz w:val="21"/>
                <w:highlight w:val="none"/>
              </w:rPr>
              <w:t xml:space="preserve">高级及以上工程师职称证书或信息系统项目管理师或系统架构</w:t>
            </w:r>
            <w:r>
              <w:rPr>
                <w:rFonts w:hint="eastAsia" w:eastAsia="宋体" w:cs="Times New Roman"/>
                <w:color w:val="000000"/>
                <w:sz w:val="21"/>
                <w:highlight w:val="none"/>
                <w:lang w:val="en-US" w:eastAsia="zh-CN"/>
              </w:rPr>
              <w:t xml:space="preserve">设计</w:t>
            </w:r>
            <w:r>
              <w:rPr>
                <w:rFonts w:hint="eastAsia" w:ascii="Times New Roman" w:hAnsi="Times New Roman" w:eastAsia="宋体" w:cs="Times New Roman"/>
                <w:color w:val="000000"/>
                <w:sz w:val="21"/>
                <w:highlight w:val="none"/>
              </w:rPr>
              <w:t xml:space="preserve">师证书的</w:t>
            </w:r>
            <w:r>
              <w:rPr>
                <w:rFonts w:hint="eastAsia" w:eastAsia="宋体" w:cs="Times New Roman"/>
                <w:color w:val="000000"/>
                <w:sz w:val="21"/>
                <w:highlight w:val="none"/>
                <w:lang w:val="en-US" w:eastAsia="zh-CN"/>
              </w:rPr>
              <w:t xml:space="preserve">每提供一个证书得1分，最多</w:t>
            </w:r>
            <w:r>
              <w:rPr>
                <w:rFonts w:hint="eastAsia" w:ascii="Times New Roman" w:hAnsi="Times New Roman" w:eastAsia="宋体" w:cs="Times New Roman"/>
                <w:color w:val="000000"/>
                <w:sz w:val="21"/>
                <w:highlight w:val="none"/>
              </w:rPr>
              <w:t xml:space="preserve">得</w:t>
            </w:r>
            <w:r>
              <w:rPr>
                <w:rFonts w:hint="eastAsia" w:ascii="Times New Roman" w:hAnsi="Times New Roman" w:eastAsia="宋体" w:cs="Times New Roman"/>
                <w:color w:val="000000"/>
                <w:sz w:val="21"/>
                <w:highlight w:val="none"/>
                <w:lang w:val="en-US" w:eastAsia="zh-CN"/>
              </w:rPr>
              <w:t xml:space="preserve">5</w:t>
            </w:r>
            <w:r>
              <w:rPr>
                <w:rFonts w:hint="eastAsia" w:ascii="Times New Roman" w:hAnsi="Times New Roman" w:eastAsia="宋体" w:cs="Times New Roman"/>
                <w:color w:val="000000"/>
                <w:sz w:val="21"/>
                <w:highlight w:val="none"/>
              </w:rPr>
              <w:t xml:space="preserve">分。</w:t>
            </w:r>
            <w:r>
              <w:rPr>
                <w:rFonts w:hint="eastAsia" w:ascii="Times New Roman" w:hAnsi="Times New Roman" w:eastAsia="宋体" w:cs="Times New Roman"/>
                <w:color w:val="000000"/>
                <w:sz w:val="21"/>
                <w:highlight w:val="none"/>
              </w:rPr>
              <w:br w:type="textWrapping" w:clear="all"/>
            </w:r>
            <w:r>
              <w:rPr>
                <w:rFonts w:hint="eastAsia" w:eastAsia="宋体" w:cs="Times New Roman"/>
                <w:color w:val="000000"/>
                <w:sz w:val="21"/>
                <w:highlight w:val="none"/>
                <w:lang w:val="en-US" w:eastAsia="zh-CN"/>
              </w:rPr>
              <w:t xml:space="preserve">注：1.</w:t>
            </w:r>
            <w:r>
              <w:rPr>
                <w:rFonts w:hint="eastAsia" w:ascii="Times New Roman" w:hAnsi="Times New Roman" w:eastAsia="宋体" w:cs="Times New Roman"/>
                <w:color w:val="000000"/>
                <w:sz w:val="21"/>
                <w:highlight w:val="none"/>
              </w:rPr>
              <w:t xml:space="preserve">提供</w:t>
            </w:r>
            <w:r>
              <w:rPr>
                <w:rFonts w:hint="eastAsia" w:eastAsia="宋体" w:cs="Times New Roman"/>
                <w:color w:val="000000"/>
                <w:sz w:val="21"/>
                <w:highlight w:val="none"/>
                <w:lang w:val="en-US" w:eastAsia="zh-CN"/>
              </w:rPr>
              <w:t xml:space="preserve">人员</w:t>
            </w:r>
            <w:r>
              <w:rPr>
                <w:rFonts w:hint="eastAsia" w:ascii="Times New Roman" w:hAnsi="Times New Roman" w:eastAsia="宋体" w:cs="Times New Roman"/>
                <w:color w:val="000000"/>
                <w:sz w:val="21"/>
                <w:highlight w:val="none"/>
              </w:rPr>
              <w:t xml:space="preserve">证书</w:t>
            </w:r>
            <w:r>
              <w:rPr>
                <w:rFonts w:hint="eastAsia" w:eastAsia="宋体" w:cs="Times New Roman"/>
                <w:color w:val="000000"/>
                <w:sz w:val="21"/>
                <w:highlight w:val="none"/>
                <w:lang w:eastAsia="zh-CN"/>
              </w:rPr>
              <w:t xml:space="preserve">；</w:t>
            </w:r>
            <w:r>
              <w:rPr>
                <w:rFonts w:hint="eastAsia" w:eastAsia="宋体" w:cs="Times New Roman"/>
                <w:color w:val="000000"/>
                <w:sz w:val="21"/>
                <w:highlight w:val="none"/>
                <w:lang w:val="en-US" w:eastAsia="zh-CN"/>
              </w:rPr>
            </w:r>
            <w:r/>
          </w:p>
          <w:p>
            <w:pPr>
              <w:pStyle w:val="883"/>
              <w:jc w:val="left"/>
              <w:rPr>
                <w:rFonts w:hint="eastAsia" w:eastAsia="宋体" w:cs="Times New Roman"/>
                <w:color w:val="000000"/>
                <w:sz w:val="21"/>
                <w:highlight w:val="none"/>
                <w:lang w:eastAsia="zh-CN"/>
              </w:rPr>
            </w:pPr>
            <w:r>
              <w:rPr>
                <w:rFonts w:hint="eastAsia" w:eastAsia="宋体" w:cs="Times New Roman"/>
                <w:color w:val="000000"/>
                <w:sz w:val="21"/>
                <w:highlight w:val="none"/>
                <w:lang w:val="en-US" w:eastAsia="zh-CN"/>
              </w:rPr>
              <w:t xml:space="preserve">2.</w:t>
            </w:r>
            <w:r>
              <w:rPr>
                <w:rFonts w:hint="eastAsia" w:ascii="Times New Roman" w:hAnsi="Times New Roman" w:eastAsia="宋体" w:cs="Times New Roman"/>
                <w:color w:val="000000"/>
                <w:sz w:val="21"/>
                <w:highlight w:val="none"/>
                <w:lang w:val="en-US" w:eastAsia="zh-CN"/>
              </w:rPr>
              <w:t xml:space="preserve">多人一证、一人多证不重复计分</w:t>
            </w:r>
            <w:r>
              <w:rPr>
                <w:rFonts w:hint="eastAsia" w:eastAsia="宋体" w:cs="Times New Roman"/>
                <w:color w:val="000000"/>
                <w:sz w:val="21"/>
                <w:highlight w:val="none"/>
                <w:lang w:val="en-US" w:eastAsia="zh-CN"/>
              </w:rPr>
              <w:t xml:space="preserve">；</w:t>
            </w:r>
            <w:r>
              <w:rPr>
                <w:rFonts w:hint="eastAsia" w:eastAsia="宋体" w:cs="Times New Roman"/>
                <w:color w:val="000000"/>
                <w:sz w:val="21"/>
                <w:highlight w:val="none"/>
                <w:lang w:eastAsia="zh-CN"/>
              </w:rPr>
            </w:r>
            <w:r/>
          </w:p>
          <w:p>
            <w:pPr>
              <w:rPr>
                <w:rFonts w:hint="eastAsia" w:ascii="Times New Roman" w:hAnsi="Times New Roman"/>
                <w:color w:val="000000"/>
                <w:sz w:val="21"/>
                <w:szCs w:val="21"/>
                <w:highlight w:val="none"/>
                <w:lang w:val="en-US" w:eastAsia="zh-CN" w:bidi="ar-SA"/>
              </w:rPr>
            </w:pPr>
            <w:r>
              <w:rPr>
                <w:rFonts w:hint="eastAsia" w:eastAsia="宋体" w:cs="Times New Roman"/>
                <w:color w:val="000000"/>
                <w:sz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lang w:val="en-US" w:eastAsia="zh-CN"/>
              </w:rPr>
              <w:t xml:space="preserve">5名技术负责人</w:t>
            </w:r>
            <w:r>
              <w:rPr>
                <w:rFonts w:hint="eastAsia" w:ascii="宋体" w:hAnsi="宋体" w:eastAsia="宋体" w:cs="宋体"/>
                <w:color w:val="000000"/>
                <w:sz w:val="21"/>
                <w:szCs w:val="21"/>
                <w:highlight w:val="none"/>
                <w:lang w:val="en-US" w:eastAsia="zh-CN"/>
              </w:rPr>
              <w:t xml:space="preserve">缴纳</w:t>
            </w:r>
            <w:r>
              <w:rPr>
                <w:rFonts w:hint="eastAsia" w:ascii="Times New Roman" w:hAnsi="Times New Roman" w:eastAsia="宋体" w:cs="Times New Roman"/>
                <w:color w:val="000000"/>
                <w:lang w:val="en-US" w:eastAsia="zh-CN"/>
              </w:rPr>
              <w:t xml:space="preserve">的</w:t>
            </w:r>
            <w:r>
              <w:rPr>
                <w:rFonts w:hint="eastAsia" w:ascii="Times New Roman" w:hAnsi="Times New Roman" w:eastAsia="宋体" w:cs="Times New Roman"/>
                <w:color w:val="000000"/>
                <w:lang w:val="en-US" w:eastAsia="zh-CN"/>
              </w:rPr>
              <w:t xml:space="preserve">202</w:t>
            </w:r>
            <w:r>
              <w:rPr>
                <w:rFonts w:hint="eastAsia" w:ascii="Times New Roman" w:hAnsi="Times New Roman" w:eastAsia="宋体" w:cs="Times New Roman"/>
                <w:color w:val="000000"/>
                <w:lang w:val="en-US" w:eastAsia="zh-CN"/>
              </w:rPr>
              <w:t xml:space="preserve">6年4月份</w:t>
            </w:r>
            <w:r>
              <w:rPr>
                <w:rFonts w:hint="eastAsia" w:ascii="宋体" w:hAnsi="宋体" w:eastAsia="宋体" w:cs="宋体"/>
                <w:color w:val="000000"/>
                <w:sz w:val="21"/>
                <w:szCs w:val="21"/>
                <w:highlight w:val="none"/>
                <w:lang w:val="en-US" w:eastAsia="zh-CN"/>
              </w:rPr>
              <w:t xml:space="preserve">以来任意一个月的社保缴费证明材料</w:t>
            </w:r>
            <w:r>
              <w:rPr>
                <w:rFonts w:hint="eastAsia"/>
                <w:color w:val="000000"/>
                <w:highlight w:val="none"/>
                <w:lang w:eastAsia="zh-CN"/>
              </w:rPr>
              <w:t xml:space="preserve">。</w:t>
            </w:r>
            <w:r>
              <w:rPr>
                <w:rFonts w:hint="eastAsia" w:ascii="Times New Roman" w:hAnsi="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3"/>
              <w:jc w:val="center"/>
              <w:rPr>
                <w:rFonts w:ascii="Times New Roman" w:hAnsi="Times New Roman"/>
                <w:color w:val="000000"/>
                <w:sz w:val="21"/>
                <w:szCs w:val="21"/>
                <w:lang w:val="en-US" w:eastAsia="zh-CN" w:bidi="ar-SA"/>
              </w:rPr>
            </w:pPr>
            <w:r>
              <w:rPr>
                <w:rFonts w:hint="eastAsia"/>
                <w:color w:val="000000"/>
                <w:sz w:val="21"/>
                <w:szCs w:val="21"/>
                <w:lang w:val="en-US" w:eastAsia="zh-CN" w:bidi="ar-SA"/>
              </w:rPr>
              <w:t xml:space="preserve">5</w:t>
            </w:r>
            <w:r>
              <w:rPr>
                <w:rFonts w:ascii="Times New Roman" w:hAnsi="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83"/>
              <w:rPr>
                <w:rFonts w:hint="eastAsia" w:ascii="Times New Roman" w:hAnsi="Times New Roman"/>
                <w:color w:val="000000"/>
                <w:sz w:val="21"/>
                <w:szCs w:val="21"/>
                <w:lang w:val="en-US" w:eastAsia="zh-CN" w:bidi="ar-SA"/>
              </w:rPr>
            </w:pPr>
            <w:r>
              <w:rPr>
                <w:rFonts w:hint="eastAsia"/>
                <w:color w:val="000000"/>
              </w:rPr>
              <w:t xml:space="preserve">客观</w:t>
            </w:r>
            <w:r>
              <w:rPr>
                <w:color w:val="000000"/>
              </w:rPr>
              <w:t xml:space="preserve">分</w:t>
            </w:r>
            <w:r>
              <w:rPr>
                <w:rFonts w:hint="eastAsia" w:ascii="Times New Roman" w:hAnsi="Times New Roman"/>
                <w:color w:val="000000"/>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883"/>
              <w:jc w:val="center"/>
              <w:rPr>
                <w:rFonts w:ascii="Times New Roman" w:hAnsi="Times New Roman" w:eastAsia="宋体"/>
                <w:color w:val="000000"/>
                <w:sz w:val="21"/>
                <w:szCs w:val="21"/>
                <w:lang w:val="en-US" w:eastAsia="zh-CN" w:bidi="ar-SA"/>
              </w:rPr>
            </w:pPr>
            <w:r>
              <w:rPr>
                <w:rFonts w:hint="eastAsia"/>
                <w:color w:val="000000"/>
                <w:lang w:val="en-US" w:eastAsia="zh-CN"/>
              </w:rPr>
              <w:t xml:space="preserve">5.3</w:t>
            </w:r>
            <w:r>
              <w:rPr>
                <w:rFonts w:ascii="Times New Roman" w:hAnsi="Times New Roman" w:eastAsia="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3"/>
              <w:rPr>
                <w:rFonts w:ascii="Times New Roman" w:hAnsi="Times New Roman"/>
                <w:color w:val="000000"/>
                <w:sz w:val="21"/>
                <w:szCs w:val="21"/>
                <w:lang w:val="en-US" w:eastAsia="zh-CN" w:bidi="ar-SA"/>
              </w:rPr>
            </w:pPr>
            <w:r>
              <w:rPr>
                <w:rFonts w:hint="eastAsia"/>
                <w:color w:val="000000"/>
                <w:lang w:val="en-US" w:eastAsia="zh-CN"/>
              </w:rPr>
              <w:t xml:space="preserve">履约能力3</w:t>
            </w:r>
            <w:r>
              <w:rPr>
                <w:rFonts w:ascii="Times New Roman" w:hAnsi="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520" w:type="dxa"/>
            <w:vAlign w:val="center"/>
            <w:textDirection w:val="lrTb"/>
            <w:noWrap/>
          </w:tcPr>
          <w:p>
            <w:pPr>
              <w:pStyle w:val="883"/>
              <w:rPr>
                <w:rFonts w:hint="eastAsia"/>
                <w:color w:val="000000"/>
              </w:rPr>
            </w:pPr>
            <w:r>
              <w:rPr>
                <w:rFonts w:hint="eastAsia"/>
                <w:color w:val="000000"/>
              </w:rPr>
              <w:t xml:space="preserve">项目实施人员（项目负责人、技术负责人除外）具有以下证书：</w:t>
            </w:r>
            <w:r>
              <w:rPr>
                <w:rFonts w:hint="eastAsia"/>
                <w:color w:val="000000"/>
              </w:rPr>
            </w:r>
            <w:r/>
          </w:p>
          <w:p>
            <w:pPr>
              <w:pStyle w:val="883"/>
              <w:widowControl/>
              <w:rPr>
                <w:rFonts w:hint="eastAsia" w:ascii="Times New Roman" w:hAnsi="Times New Roman" w:eastAsia="宋体" w:cs="Times New Roman"/>
                <w:color w:val="000000"/>
                <w:sz w:val="21"/>
              </w:rPr>
            </w:pPr>
            <w:r>
              <w:rPr>
                <w:rFonts w:hint="eastAsia" w:ascii="Times New Roman" w:hAnsi="Times New Roman" w:eastAsia="宋体" w:cs="Times New Roman"/>
                <w:color w:val="000000"/>
                <w:sz w:val="21"/>
              </w:rPr>
              <w:t xml:space="preserve">（1）具</w:t>
            </w:r>
            <w:r>
              <w:rPr>
                <w:rFonts w:hint="eastAsia"/>
                <w:color w:val="000000"/>
              </w:rPr>
              <w:t xml:space="preserve">有土地类或测绘类或电子信息类</w:t>
            </w:r>
            <w:r>
              <w:rPr>
                <w:rFonts w:hint="eastAsia"/>
                <w:color w:val="000000"/>
                <w:lang w:val="en-US" w:eastAsia="zh-CN"/>
              </w:rPr>
              <w:t xml:space="preserve">或数字经济类</w:t>
            </w:r>
            <w:r>
              <w:rPr>
                <w:rFonts w:hint="eastAsia"/>
                <w:color w:val="000000"/>
              </w:rPr>
              <w:t xml:space="preserve">高级或以上职称</w:t>
            </w:r>
            <w:r>
              <w:rPr>
                <w:rFonts w:hint="eastAsia" w:ascii="Times New Roman" w:hAnsi="Times New Roman" w:eastAsia="宋体" w:cs="Times New Roman"/>
                <w:color w:val="000000"/>
                <w:sz w:val="21"/>
              </w:rPr>
              <w:t xml:space="preserve">证书</w:t>
            </w:r>
            <w:r>
              <w:rPr>
                <w:rFonts w:hint="eastAsia" w:eastAsia="宋体" w:cs="Times New Roman"/>
                <w:color w:val="000000"/>
                <w:sz w:val="21"/>
                <w:lang w:val="en-US" w:eastAsia="zh-CN"/>
              </w:rPr>
              <w:t xml:space="preserve">的</w:t>
            </w:r>
            <w:r>
              <w:rPr>
                <w:rFonts w:hint="eastAsia" w:ascii="Times New Roman" w:hAnsi="Times New Roman" w:eastAsia="宋体" w:cs="Times New Roman"/>
                <w:color w:val="000000"/>
                <w:sz w:val="21"/>
              </w:rPr>
              <w:t xml:space="preserve">，每提供一个得</w:t>
            </w:r>
            <w:r>
              <w:rPr>
                <w:rFonts w:ascii="Times New Roman" w:hAnsi="Times New Roman" w:eastAsia="宋体" w:cs="Times New Roman"/>
                <w:color w:val="000000"/>
                <w:sz w:val="21"/>
              </w:rPr>
              <w:t xml:space="preserve">2</w:t>
            </w:r>
            <w:r>
              <w:rPr>
                <w:rFonts w:hint="eastAsia" w:ascii="Times New Roman" w:hAnsi="Times New Roman" w:eastAsia="宋体" w:cs="Times New Roman"/>
                <w:color w:val="000000"/>
                <w:sz w:val="21"/>
              </w:rPr>
              <w:t xml:space="preserve">分，</w:t>
            </w:r>
            <w:r>
              <w:rPr>
                <w:rFonts w:hint="eastAsia"/>
              </w:rPr>
              <w:t xml:space="preserve">具有</w:t>
            </w:r>
            <w:r>
              <w:t xml:space="preserve">系统集成项目管理工程师</w:t>
            </w:r>
            <w:r>
              <w:rPr>
                <w:rFonts w:hint="eastAsia"/>
              </w:rPr>
              <w:t xml:space="preserve">或</w:t>
            </w:r>
            <w:r>
              <w:t xml:space="preserve">数据库系统工程师</w:t>
            </w:r>
            <w:r>
              <w:rPr>
                <w:rFonts w:hint="eastAsia"/>
              </w:rPr>
              <w:t xml:space="preserve">或</w:t>
            </w:r>
            <w:r>
              <w:t xml:space="preserve">信息系统管理工程师</w:t>
            </w:r>
            <w:r>
              <w:rPr>
                <w:rFonts w:hint="eastAsia"/>
              </w:rPr>
              <w:t xml:space="preserve">证书的</w:t>
            </w:r>
            <w:r>
              <w:rPr>
                <w:rFonts w:hint="eastAsia" w:ascii="Times New Roman" w:hAnsi="Times New Roman" w:eastAsia="宋体" w:cs="Times New Roman"/>
                <w:color w:val="000000"/>
                <w:sz w:val="21"/>
              </w:rPr>
              <w:t xml:space="preserve">，每提供一个得</w:t>
            </w:r>
            <w:r>
              <w:rPr>
                <w:rFonts w:ascii="Times New Roman" w:hAnsi="Times New Roman" w:eastAsia="宋体" w:cs="Times New Roman"/>
                <w:color w:val="000000"/>
                <w:sz w:val="21"/>
              </w:rPr>
              <w:t xml:space="preserve">1</w:t>
            </w:r>
            <w:r>
              <w:rPr>
                <w:rFonts w:hint="eastAsia" w:ascii="Times New Roman" w:hAnsi="Times New Roman" w:eastAsia="宋体" w:cs="Times New Roman"/>
                <w:color w:val="000000"/>
                <w:sz w:val="21"/>
              </w:rPr>
              <w:t xml:space="preserve">分</w:t>
            </w:r>
            <w:r>
              <w:rPr>
                <w:rFonts w:hint="eastAsia" w:eastAsia="宋体" w:cs="Times New Roman"/>
                <w:color w:val="000000"/>
                <w:sz w:val="21"/>
                <w:lang w:eastAsia="zh-CN"/>
              </w:rPr>
              <w:t xml:space="preserve">；</w:t>
            </w:r>
            <w:r>
              <w:rPr>
                <w:rFonts w:hint="eastAsia" w:eastAsia="宋体" w:cs="Times New Roman"/>
                <w:color w:val="000000"/>
                <w:sz w:val="21"/>
                <w:lang w:val="en-US" w:eastAsia="zh-CN"/>
              </w:rPr>
              <w:t xml:space="preserve">本项</w:t>
            </w:r>
            <w:r>
              <w:rPr>
                <w:rFonts w:hint="eastAsia" w:ascii="Times New Roman" w:hAnsi="Times New Roman" w:eastAsia="宋体" w:cs="Times New Roman"/>
                <w:color w:val="000000"/>
                <w:sz w:val="21"/>
              </w:rPr>
              <w:t xml:space="preserve">最</w:t>
            </w:r>
            <w:r>
              <w:rPr>
                <w:rFonts w:hint="eastAsia" w:eastAsia="宋体" w:cs="Times New Roman"/>
                <w:color w:val="000000"/>
                <w:sz w:val="21"/>
                <w:lang w:val="en-US" w:eastAsia="zh-CN"/>
              </w:rPr>
              <w:t xml:space="preserve">多</w:t>
            </w:r>
            <w:r>
              <w:rPr>
                <w:rFonts w:hint="eastAsia" w:ascii="Times New Roman" w:hAnsi="Times New Roman" w:eastAsia="宋体" w:cs="Times New Roman"/>
                <w:color w:val="000000"/>
                <w:sz w:val="21"/>
              </w:rPr>
              <w:t xml:space="preserve">得</w:t>
            </w:r>
            <w:r>
              <w:rPr>
                <w:rFonts w:hint="eastAsia" w:ascii="Times New Roman" w:hAnsi="Times New Roman" w:eastAsia="宋体" w:cs="Times New Roman"/>
                <w:color w:val="000000"/>
                <w:sz w:val="21"/>
                <w:lang w:val="en-US" w:eastAsia="zh-CN"/>
              </w:rPr>
              <w:t xml:space="preserve">7</w:t>
            </w:r>
            <w:r>
              <w:rPr>
                <w:rFonts w:hint="eastAsia" w:ascii="Times New Roman" w:hAnsi="Times New Roman" w:eastAsia="宋体" w:cs="Times New Roman"/>
                <w:color w:val="000000"/>
                <w:sz w:val="21"/>
              </w:rPr>
              <w:t xml:space="preserve">分；</w:t>
            </w:r>
            <w:r>
              <w:rPr>
                <w:rFonts w:hint="eastAsia" w:ascii="Times New Roman" w:hAnsi="Times New Roman" w:eastAsia="宋体" w:cs="Times New Roman"/>
                <w:color w:val="000000"/>
                <w:sz w:val="21"/>
              </w:rPr>
            </w:r>
            <w:r/>
          </w:p>
          <w:p>
            <w:pPr>
              <w:pStyle w:val="883"/>
              <w:widowControl/>
              <w:rPr>
                <w:rFonts w:hint="eastAsia" w:ascii="Times New Roman" w:hAnsi="Times New Roman" w:eastAsia="宋体" w:cs="Times New Roman"/>
                <w:color w:val="000000"/>
                <w:sz w:val="21"/>
              </w:rPr>
            </w:pPr>
            <w:r>
              <w:rPr>
                <w:rFonts w:hint="eastAsia" w:ascii="Times New Roman" w:hAnsi="Times New Roman" w:eastAsia="宋体" w:cs="Times New Roman"/>
                <w:color w:val="000000"/>
                <w:sz w:val="21"/>
              </w:rPr>
              <w:t xml:space="preserve">（2）具有</w:t>
            </w:r>
            <w:r>
              <w:rPr>
                <w:color w:val="000000"/>
              </w:rPr>
              <w:t xml:space="preserve">信息系统项目管理师</w:t>
            </w:r>
            <w:r>
              <w:rPr>
                <w:rFonts w:hint="eastAsia"/>
                <w:color w:val="000000"/>
              </w:rPr>
              <w:t xml:space="preserve">或系统分析师证书或</w:t>
            </w:r>
            <w:r>
              <w:rPr>
                <w:color w:val="000000"/>
              </w:rPr>
              <w:t xml:space="preserve">系统架构设计师</w:t>
            </w:r>
            <w:r>
              <w:rPr>
                <w:rFonts w:hint="eastAsia"/>
                <w:color w:val="000000"/>
              </w:rPr>
              <w:t xml:space="preserve">或</w:t>
            </w:r>
            <w:r>
              <w:rPr>
                <w:color w:val="000000"/>
              </w:rPr>
              <w:t xml:space="preserve">系统规划与管理师</w:t>
            </w:r>
            <w:r>
              <w:rPr>
                <w:rFonts w:hint="eastAsia"/>
                <w:color w:val="000000"/>
              </w:rPr>
              <w:t xml:space="preserve">证书</w:t>
            </w:r>
            <w:r>
              <w:rPr>
                <w:rFonts w:hint="eastAsia"/>
                <w:color w:val="000000"/>
                <w:lang w:val="en-US" w:eastAsia="zh-CN"/>
              </w:rPr>
              <w:t xml:space="preserve">的</w:t>
            </w:r>
            <w:r>
              <w:rPr>
                <w:rFonts w:hint="eastAsia" w:ascii="Times New Roman" w:hAnsi="Times New Roman" w:eastAsia="宋体" w:cs="Times New Roman"/>
                <w:color w:val="000000"/>
                <w:sz w:val="21"/>
              </w:rPr>
              <w:t xml:space="preserve">，每提供一个得</w:t>
            </w:r>
            <w:r>
              <w:rPr>
                <w:rFonts w:ascii="Times New Roman" w:hAnsi="Times New Roman" w:eastAsia="宋体" w:cs="Times New Roman"/>
                <w:color w:val="000000"/>
                <w:sz w:val="21"/>
              </w:rPr>
              <w:t xml:space="preserve">2</w:t>
            </w:r>
            <w:r>
              <w:rPr>
                <w:rFonts w:hint="eastAsia" w:ascii="Times New Roman" w:hAnsi="Times New Roman" w:eastAsia="宋体" w:cs="Times New Roman"/>
                <w:color w:val="000000"/>
                <w:sz w:val="21"/>
              </w:rPr>
              <w:t xml:space="preserve">分，最多得</w:t>
            </w:r>
            <w:r>
              <w:rPr>
                <w:rFonts w:hint="eastAsia" w:eastAsia="宋体" w:cs="Times New Roman"/>
                <w:color w:val="000000"/>
                <w:sz w:val="21"/>
                <w:lang w:val="en-US" w:eastAsia="zh-CN"/>
              </w:rPr>
              <w:t xml:space="preserve">6</w:t>
            </w:r>
            <w:r>
              <w:rPr>
                <w:rFonts w:hint="eastAsia" w:ascii="Times New Roman" w:hAnsi="Times New Roman" w:eastAsia="宋体" w:cs="Times New Roman"/>
                <w:color w:val="000000"/>
                <w:sz w:val="21"/>
              </w:rPr>
              <w:t xml:space="preserve">分；</w:t>
            </w:r>
            <w:r>
              <w:rPr>
                <w:rFonts w:hint="eastAsia" w:ascii="Times New Roman" w:hAnsi="Times New Roman" w:eastAsia="宋体" w:cs="Times New Roman"/>
                <w:color w:val="000000"/>
                <w:sz w:val="21"/>
              </w:rPr>
            </w:r>
            <w:r/>
          </w:p>
          <w:p>
            <w:pPr>
              <w:pStyle w:val="883"/>
              <w:rPr>
                <w:rFonts w:hint="eastAsia" w:eastAsia="宋体" w:cs="Times New Roman"/>
                <w:color w:val="000000"/>
                <w:sz w:val="21"/>
                <w:lang w:val="en-US" w:eastAsia="zh-CN"/>
              </w:rPr>
            </w:pPr>
            <w:r>
              <w:rPr>
                <w:rFonts w:hint="eastAsia" w:eastAsia="宋体" w:cs="Times New Roman"/>
                <w:color w:val="000000"/>
                <w:sz w:val="21"/>
                <w:lang w:val="en-US" w:eastAsia="zh-CN"/>
              </w:rPr>
              <w:t xml:space="preserve">注：1.提供人员证书；</w:t>
            </w:r>
            <w:r>
              <w:rPr>
                <w:rFonts w:hint="eastAsia" w:eastAsia="宋体" w:cs="Times New Roman"/>
                <w:color w:val="000000"/>
                <w:sz w:val="21"/>
                <w:lang w:val="en-US" w:eastAsia="zh-CN"/>
              </w:rPr>
            </w:r>
            <w:r/>
          </w:p>
          <w:p>
            <w:pPr>
              <w:pStyle w:val="883"/>
              <w:rPr>
                <w:rFonts w:hint="eastAsia" w:eastAsia="宋体" w:cs="Times New Roman"/>
                <w:color w:val="000000"/>
                <w:sz w:val="21"/>
                <w:lang w:val="en-US" w:eastAsia="zh-CN"/>
              </w:rPr>
            </w:pPr>
            <w:r>
              <w:rPr>
                <w:rFonts w:hint="eastAsia" w:eastAsia="宋体" w:cs="Times New Roman"/>
                <w:color w:val="000000"/>
                <w:sz w:val="21"/>
                <w:lang w:val="en-US" w:eastAsia="zh-CN"/>
              </w:rPr>
              <w:t xml:space="preserve">2.多人一证、一人多证不重复计分；</w:t>
            </w:r>
            <w:r>
              <w:rPr>
                <w:rFonts w:hint="eastAsia" w:eastAsia="宋体" w:cs="Times New Roman"/>
                <w:color w:val="000000"/>
                <w:sz w:val="21"/>
                <w:lang w:val="en-US" w:eastAsia="zh-CN"/>
              </w:rPr>
            </w:r>
            <w:r/>
          </w:p>
          <w:p>
            <w:pPr>
              <w:pStyle w:val="883"/>
              <w:rPr>
                <w:rFonts w:hint="eastAsia" w:ascii="宋体" w:hAnsi="宋体" w:eastAsia="宋体"/>
                <w:sz w:val="21"/>
                <w:szCs w:val="20"/>
                <w:lang w:val="en-US" w:eastAsia="zh-CN" w:bidi="ar-SA"/>
              </w:rPr>
            </w:pPr>
            <w:r>
              <w:rPr>
                <w:rFonts w:hint="eastAsia" w:eastAsia="宋体" w:cs="Times New Roman"/>
                <w:color w:val="000000"/>
                <w:sz w:val="21"/>
                <w:lang w:val="en-US" w:eastAsia="zh-CN"/>
              </w:rPr>
              <w:t xml:space="preserve">3.提供投标人为全部实施人员（项目负责人、技术负责人除外）缴纳的2026年4月份以来任意一个月的社保缴费证明材料。</w:t>
            </w:r>
            <w:r>
              <w:rPr>
                <w:rFonts w:hint="eastAsia" w:ascii="宋体" w:hAnsi="宋体" w:eastAsia="宋体"/>
                <w:sz w:val="21"/>
                <w:szCs w:val="20"/>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Times New Roman" w:hAnsi="Times New Roman"/>
                <w:color w:val="000000"/>
                <w:sz w:val="21"/>
                <w:szCs w:val="21"/>
                <w:lang w:val="en-US" w:eastAsia="zh-CN" w:bidi="ar-SA"/>
              </w:rPr>
            </w:pPr>
            <w:r>
              <w:rPr>
                <w:rFonts w:hint="eastAsia"/>
                <w:color w:val="000000"/>
              </w:rPr>
              <w:t xml:space="preserve">1</w:t>
            </w:r>
            <w:r>
              <w:rPr>
                <w:rFonts w:hint="eastAsia"/>
                <w:color w:val="000000"/>
                <w:lang w:val="en-US" w:eastAsia="zh-CN"/>
              </w:rPr>
              <w:t xml:space="preserve">3</w:t>
            </w:r>
            <w:r>
              <w:rPr>
                <w:rFonts w:hint="eastAsia" w:ascii="Times New Roman" w:hAnsi="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83"/>
              <w:rPr>
                <w:rFonts w:hint="eastAsia" w:ascii="Times New Roman" w:hAnsi="Times New Roman"/>
                <w:color w:val="000000"/>
                <w:sz w:val="21"/>
                <w:szCs w:val="21"/>
                <w:lang w:val="en-US" w:eastAsia="zh-CN" w:bidi="ar-SA"/>
              </w:rPr>
            </w:pPr>
            <w:r>
              <w:rPr>
                <w:rFonts w:hint="eastAsia"/>
                <w:color w:val="000000"/>
              </w:rPr>
              <w:t xml:space="preserve">客观</w:t>
            </w:r>
            <w:r>
              <w:rPr>
                <w:color w:val="000000"/>
              </w:rPr>
              <w:t xml:space="preserve">分</w:t>
            </w:r>
            <w:r>
              <w:rPr>
                <w:rFonts w:hint="eastAsia" w:ascii="Times New Roman" w:hAnsi="Times New Roman"/>
                <w:color w:val="000000"/>
                <w:sz w:val="21"/>
                <w:szCs w:val="21"/>
                <w:lang w:val="en-US" w:eastAsia="zh-CN" w:bidi="ar-SA"/>
              </w:rPr>
            </w:r>
            <w:r/>
          </w:p>
        </w:tc>
      </w:tr>
      <w:tr>
        <w:trPr>
          <w:trHeight w:val="544"/>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883"/>
              <w:jc w:val="center"/>
              <w:rPr>
                <w:rFonts w:ascii="Times New Roman" w:hAnsi="Times New Roman"/>
                <w:color w:val="000000"/>
                <w:sz w:val="21"/>
                <w:szCs w:val="21"/>
                <w:lang w:val="en-US" w:eastAsia="zh-CN" w:bidi="ar-SA"/>
              </w:rPr>
            </w:pPr>
            <w:r>
              <w:rPr>
                <w:rFonts w:hint="eastAsia"/>
                <w:color w:val="000000"/>
                <w:sz w:val="21"/>
                <w:szCs w:val="21"/>
                <w:lang w:val="en-US" w:eastAsia="zh-CN" w:bidi="ar-SA"/>
              </w:rPr>
              <w:t xml:space="preserve">5.4</w:t>
            </w:r>
            <w:r>
              <w:rPr>
                <w:rFonts w:ascii="Times New Roman" w:hAnsi="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3"/>
              <w:rPr>
                <w:rFonts w:ascii="Times New Roman" w:hAnsi="Times New Roman"/>
                <w:color w:val="000000"/>
                <w:sz w:val="21"/>
                <w:szCs w:val="21"/>
                <w:lang w:val="en-US" w:eastAsia="zh-CN" w:bidi="ar-SA"/>
              </w:rPr>
            </w:pPr>
            <w:r>
              <w:rPr>
                <w:rFonts w:hint="eastAsia"/>
                <w:color w:val="000000"/>
                <w:lang w:val="en-US" w:eastAsia="zh-CN"/>
              </w:rPr>
              <w:t xml:space="preserve">履约能力4</w:t>
            </w:r>
            <w:r>
              <w:rPr>
                <w:rFonts w:ascii="Times New Roman" w:hAnsi="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520" w:type="dxa"/>
            <w:vAlign w:val="center"/>
            <w:textDirection w:val="lrTb"/>
            <w:noWrap/>
          </w:tcPr>
          <w:p>
            <w:pPr>
              <w:pStyle w:val="883"/>
              <w:widowControl/>
              <w:rPr>
                <w:rFonts w:hint="eastAsia" w:ascii="Times New Roman" w:hAnsi="Times New Roman" w:eastAsia="宋体" w:cs="Times New Roman"/>
                <w:color w:val="000000"/>
                <w:sz w:val="21"/>
                <w:lang w:val="en-US" w:eastAsia="zh-CN"/>
              </w:rPr>
            </w:pPr>
            <w:r>
              <w:rPr>
                <w:rFonts w:hint="eastAsia" w:ascii="Times New Roman" w:hAnsi="Times New Roman" w:eastAsia="宋体" w:cs="Times New Roman"/>
                <w:color w:val="000000"/>
                <w:sz w:val="21"/>
                <w:lang w:val="en-US" w:eastAsia="zh-CN"/>
              </w:rPr>
              <w:t xml:space="preserve">投标人具有本项目相关的软件著作权证书，包括“地理信息类、自然资源类、城乡规划类”等，每提供1个证书得1分，最多得5分。</w:t>
            </w:r>
            <w:r>
              <w:rPr>
                <w:rFonts w:hint="eastAsia" w:ascii="Times New Roman" w:hAnsi="Times New Roman" w:eastAsia="宋体" w:cs="Times New Roman"/>
                <w:color w:val="000000"/>
                <w:sz w:val="21"/>
                <w:lang w:val="en-US" w:eastAsia="zh-CN"/>
              </w:rPr>
            </w:r>
            <w:r/>
          </w:p>
          <w:p>
            <w:pPr>
              <w:pStyle w:val="883"/>
              <w:widowControl/>
              <w:rPr>
                <w:rFonts w:hint="eastAsia"/>
                <w:lang w:val="en-US" w:eastAsia="zh-CN"/>
              </w:rPr>
            </w:pPr>
            <w:r>
              <w:rPr>
                <w:rFonts w:hint="eastAsia" w:ascii="宋体" w:hAnsi="宋体" w:eastAsia="宋体" w:cs="宋体"/>
                <w:color w:val="000000"/>
                <w:sz w:val="21"/>
                <w:szCs w:val="21"/>
                <w:highlight w:val="none"/>
                <w:lang w:val="en-US" w:eastAsia="zh-CN"/>
              </w:rPr>
              <w:t xml:space="preserve">（所提供证书</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软件名称</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与评分细则规定不同时，应提供符合上述要求的内容（功能）说明及关键信息，否则不予认可。）</w:t>
            </w:r>
            <w:r>
              <w:rPr>
                <w:rFonts w:hint="eastAsia"/>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3"/>
              <w:jc w:val="center"/>
              <w:rPr>
                <w:rFonts w:ascii="Times New Roman" w:hAnsi="Times New Roman"/>
                <w:color w:val="000000"/>
                <w:sz w:val="21"/>
                <w:szCs w:val="21"/>
                <w:lang w:val="en-US" w:eastAsia="zh-CN" w:bidi="ar-SA"/>
              </w:rPr>
            </w:pPr>
            <w:r>
              <w:rPr>
                <w:rFonts w:hint="eastAsia"/>
                <w:color w:val="000000"/>
                <w:sz w:val="21"/>
                <w:szCs w:val="21"/>
                <w:lang w:val="en-US" w:eastAsia="zh-CN" w:bidi="ar-SA"/>
              </w:rPr>
              <w:t xml:space="preserve">5</w:t>
            </w:r>
            <w:r>
              <w:rPr>
                <w:rFonts w:ascii="Times New Roman" w:hAnsi="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83"/>
              <w:rPr>
                <w:rFonts w:hint="eastAsia" w:ascii="Times New Roman" w:hAnsi="Times New Roman"/>
                <w:color w:val="000000"/>
                <w:sz w:val="21"/>
                <w:szCs w:val="21"/>
                <w:lang w:val="en-US" w:eastAsia="zh-CN" w:bidi="ar-SA"/>
              </w:rPr>
            </w:pPr>
            <w:r>
              <w:rPr>
                <w:rFonts w:hint="eastAsia"/>
                <w:color w:val="000000"/>
              </w:rPr>
              <w:t xml:space="preserve">客观</w:t>
            </w:r>
            <w:r>
              <w:rPr>
                <w:color w:val="000000"/>
              </w:rPr>
              <w:t xml:space="preserve">分</w:t>
            </w:r>
            <w:r>
              <w:rPr>
                <w:rFonts w:hint="eastAsia" w:ascii="Times New Roman" w:hAnsi="Times New Roman"/>
                <w:color w:val="000000"/>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883"/>
              <w:jc w:val="center"/>
              <w:rPr>
                <w:rFonts w:ascii="Times New Roman" w:hAnsi="Times New Roman"/>
                <w:color w:val="000000"/>
                <w:sz w:val="21"/>
                <w:szCs w:val="21"/>
                <w:lang w:val="en-US" w:eastAsia="zh-CN" w:bidi="ar-SA"/>
              </w:rPr>
            </w:pPr>
            <w:r>
              <w:rPr>
                <w:rFonts w:hint="eastAsia"/>
                <w:color w:val="000000"/>
                <w:sz w:val="21"/>
                <w:szCs w:val="21"/>
                <w:lang w:val="en-US" w:eastAsia="zh-CN" w:bidi="ar-SA"/>
              </w:rPr>
              <w:t xml:space="preserve">合计</w:t>
            </w:r>
            <w:r>
              <w:rPr>
                <w:rFonts w:ascii="Times New Roman" w:hAnsi="Times New Roman"/>
                <w:color w:val="000000"/>
                <w:sz w:val="21"/>
                <w:szCs w:val="21"/>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7795" w:type="dxa"/>
            <w:vAlign w:val="center"/>
            <w:textDirection w:val="lrTb"/>
            <w:noWrap w:val="false"/>
          </w:tcPr>
          <w:p>
            <w:pPr>
              <w:pStyle w:val="883"/>
              <w:rPr>
                <w:rFonts w:hint="eastAsia" w:ascii="Times New Roman" w:hAnsi="Times New Roman"/>
                <w:color w:val="000000"/>
                <w:sz w:val="21"/>
                <w:szCs w:val="21"/>
                <w:lang w:val="en-US" w:eastAsia="zh-CN" w:bidi="ar-SA"/>
              </w:rPr>
            </w:pPr>
            <w:r>
              <w:rPr>
                <w:rFonts w:hint="eastAsia" w:ascii="Times New Roman" w:hAnsi="Times New Roman"/>
                <w:color w:val="000000"/>
                <w:sz w:val="21"/>
                <w:szCs w:val="21"/>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83"/>
              <w:jc w:val="center"/>
              <w:rPr>
                <w:rFonts w:hint="eastAsia" w:ascii="Times New Roman" w:hAnsi="Times New Roman"/>
                <w:color w:val="000000"/>
                <w:sz w:val="21"/>
                <w:szCs w:val="21"/>
                <w:lang w:val="en-US" w:eastAsia="zh-CN" w:bidi="ar-SA"/>
              </w:rPr>
            </w:pPr>
            <w:r>
              <w:rPr>
                <w:rFonts w:ascii="宋体" w:hAnsi="宋体" w:eastAsia="宋体" w:cs="宋体"/>
                <w:color w:val="000000"/>
                <w:spacing w:val="-11"/>
                <w:sz w:val="21"/>
                <w:szCs w:val="21"/>
                <w:highlight w:val="none"/>
              </w:rPr>
              <w:t xml:space="preserve">100分</w:t>
            </w:r>
            <w:r>
              <w:rPr>
                <w:rFonts w:hint="eastAsia" w:ascii="Times New Roman" w:hAnsi="Times New Roman"/>
                <w:color w:val="000000"/>
                <w:sz w:val="21"/>
                <w:szCs w:val="21"/>
                <w:lang w:val="en-US" w:eastAsia="zh-CN" w:bidi="ar-SA"/>
              </w:rPr>
            </w:r>
            <w:r/>
          </w:p>
        </w:tc>
      </w:tr>
    </w:tbl>
    <w:p>
      <w:pPr>
        <w:pStyle w:val="895"/>
        <w:ind w:left="0" w:firstLine="0"/>
        <w:rPr>
          <w:rFonts w:hint="eastAsia"/>
          <w:lang w:eastAsia="zh-CN"/>
        </w:rPr>
      </w:pPr>
      <w:r>
        <w:rPr>
          <w:rFonts w:hint="eastAsia"/>
          <w:lang w:eastAsia="zh-CN"/>
        </w:rPr>
      </w:r>
      <w:r/>
    </w:p>
    <w:p>
      <w:pPr>
        <w:pStyle w:val="883"/>
        <w:keepLines w:val="0"/>
        <w:keepNext w:val="0"/>
        <w:pageBreakBefore w:val="0"/>
        <w:spacing w:line="264" w:lineRule="auto"/>
        <w:widowControl w:val="off"/>
        <w:rPr>
          <w:rFonts w:hint="eastAsia"/>
          <w:highlight w:val="none"/>
        </w:rPr>
      </w:pPr>
      <w:r>
        <w:rPr>
          <w:rFonts w:hint="eastAsia"/>
          <w:highlight w:val="none"/>
        </w:rPr>
      </w:r>
      <w:r/>
    </w:p>
    <w:p>
      <w:pPr>
        <w:pStyle w:val="883"/>
        <w:keepLines w:val="0"/>
        <w:keepNext w:val="0"/>
        <w:pageBreakBefore w:val="0"/>
        <w:spacing w:line="264" w:lineRule="auto"/>
        <w:widowControl w:val="off"/>
        <w:rPr>
          <w:rFonts w:hint="eastAsia"/>
          <w:highlight w:val="none"/>
        </w:rPr>
      </w:pPr>
      <w:r>
        <w:rPr>
          <w:rFonts w:hint="eastAsia"/>
          <w:highlight w:val="none"/>
        </w:rPr>
      </w:r>
      <w:r/>
    </w:p>
    <w:p>
      <w:pPr>
        <w:pStyle w:val="883"/>
        <w:keepLines w:val="0"/>
        <w:keepNext w:val="0"/>
        <w:pageBreakBefore w:val="0"/>
        <w:spacing w:line="264" w:lineRule="auto"/>
        <w:widowControl w:val="off"/>
        <w:rPr>
          <w:rFonts w:hint="eastAsia"/>
          <w:highlight w:val="none"/>
        </w:rPr>
      </w:pPr>
      <w:r>
        <w:rPr>
          <w:rFonts w:hint="eastAsia"/>
          <w:highlight w:val="none"/>
        </w:rPr>
      </w:r>
      <w:r/>
    </w:p>
    <w:p>
      <w:pPr>
        <w:pStyle w:val="962"/>
        <w:rPr>
          <w:rFonts w:hint="eastAsia"/>
          <w:highlight w:val="none"/>
        </w:rPr>
      </w:pPr>
      <w:r>
        <w:rPr>
          <w:rFonts w:hint="eastAsia"/>
          <w:highlight w:val="none"/>
        </w:rPr>
      </w:r>
      <w:r/>
    </w:p>
    <w:p>
      <w:pPr>
        <w:pStyle w:val="883"/>
        <w:rPr>
          <w:rFonts w:hint="eastAsia"/>
          <w:highlight w:val="none"/>
        </w:rPr>
      </w:pPr>
      <w:r>
        <w:rPr>
          <w:rFonts w:hint="eastAsia"/>
          <w:highlight w:val="none"/>
        </w:rPr>
      </w:r>
      <w:r/>
    </w:p>
    <w:p>
      <w:pPr>
        <w:pStyle w:val="962"/>
        <w:rPr>
          <w:rFonts w:hint="eastAsia"/>
          <w:highlight w:val="none"/>
        </w:rPr>
      </w:pPr>
      <w:r>
        <w:rPr>
          <w:rFonts w:hint="eastAsia"/>
          <w:highlight w:val="none"/>
        </w:rPr>
      </w:r>
      <w:r/>
    </w:p>
    <w:p>
      <w:pPr>
        <w:pStyle w:val="883"/>
        <w:rPr>
          <w:rFonts w:hint="eastAsia"/>
          <w:highlight w:val="none"/>
        </w:rPr>
      </w:pPr>
      <w:r>
        <w:rPr>
          <w:rFonts w:hint="eastAsia"/>
          <w:highlight w:val="none"/>
        </w:rPr>
      </w:r>
      <w:r/>
    </w:p>
    <w:p>
      <w:pPr>
        <w:pStyle w:val="962"/>
        <w:rPr>
          <w:rFonts w:hint="eastAsia"/>
          <w:highlight w:val="none"/>
        </w:rPr>
      </w:pPr>
      <w:r>
        <w:rPr>
          <w:rFonts w:hint="eastAsia"/>
          <w:highlight w:val="none"/>
        </w:rPr>
      </w:r>
      <w:r/>
    </w:p>
    <w:p>
      <w:pPr>
        <w:pStyle w:val="883"/>
        <w:rPr>
          <w:rFonts w:hint="eastAsia"/>
          <w:highlight w:val="none"/>
        </w:rPr>
      </w:pPr>
      <w:r>
        <w:rPr>
          <w:rFonts w:hint="eastAsia"/>
          <w:highlight w:val="none"/>
        </w:rPr>
      </w:r>
      <w:r/>
    </w:p>
    <w:p>
      <w:pPr>
        <w:pStyle w:val="962"/>
        <w:rPr>
          <w:rFonts w:hint="eastAsia"/>
          <w:highlight w:val="none"/>
        </w:rPr>
      </w:pPr>
      <w:r>
        <w:rPr>
          <w:rFonts w:hint="eastAsia"/>
          <w:highlight w:val="none"/>
        </w:rPr>
      </w:r>
      <w:r/>
    </w:p>
    <w:p>
      <w:pPr>
        <w:pStyle w:val="883"/>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9"/>
      <w:r/>
      <w:bookmarkEnd w:id="60"/>
      <w:r/>
      <w:bookmarkEnd w:id="65"/>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83"/>
        <w:jc w:val="center"/>
        <w:rPr>
          <w:rFonts w:hint="eastAsia" w:ascii="宋体" w:hAnsi="宋体"/>
          <w:b/>
          <w:sz w:val="72"/>
          <w:highlight w:val="none"/>
        </w:rPr>
      </w:pPr>
      <w:r/>
      <w:bookmarkStart w:id="66" w:name="_Hlt26955039"/>
      <w:r/>
      <w:bookmarkEnd w:id="66"/>
      <w:r/>
      <w:bookmarkStart w:id="67" w:name="_Hlt26671244"/>
      <w:r/>
      <w:bookmarkEnd w:id="67"/>
      <w:r/>
      <w:bookmarkStart w:id="68" w:name="_Toc26554094"/>
      <w:r/>
      <w:bookmarkStart w:id="69" w:name="_Toc120614282"/>
      <w:r/>
      <w:bookmarkStart w:id="70" w:name="_Toc49090576"/>
      <w:r>
        <w:rPr>
          <w:rFonts w:hint="eastAsia" w:ascii="宋体" w:hAnsi="宋体"/>
          <w:b/>
          <w:sz w:val="72"/>
          <w:highlight w:val="none"/>
        </w:rPr>
      </w:r>
      <w:r/>
    </w:p>
    <w:p>
      <w:pPr>
        <w:pStyle w:val="883"/>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883"/>
        <w:jc w:val="center"/>
        <w:rPr>
          <w:rFonts w:hint="eastAsia" w:ascii="宋体" w:hAnsi="宋体"/>
          <w:b/>
          <w:sz w:val="72"/>
          <w:highlight w:val="none"/>
        </w:rPr>
      </w:pPr>
      <w:r>
        <w:rPr>
          <w:rFonts w:hint="eastAsia" w:ascii="宋体" w:hAnsi="宋体"/>
          <w:b/>
          <w:sz w:val="72"/>
          <w:highlight w:val="none"/>
        </w:rPr>
      </w:r>
      <w:r/>
    </w:p>
    <w:p>
      <w:pPr>
        <w:pStyle w:val="883"/>
        <w:jc w:val="center"/>
        <w:rPr>
          <w:rFonts w:hint="eastAsia" w:ascii="宋体" w:hAnsi="宋体"/>
          <w:b/>
          <w:sz w:val="72"/>
          <w:highlight w:val="none"/>
        </w:rPr>
      </w:pPr>
      <w:r>
        <w:rPr>
          <w:rFonts w:hint="eastAsia" w:ascii="宋体" w:hAnsi="宋体"/>
          <w:b/>
          <w:sz w:val="72"/>
          <w:highlight w:val="none"/>
        </w:rPr>
      </w:r>
      <w:r/>
    </w:p>
    <w:p>
      <w:pPr>
        <w:pStyle w:val="883"/>
        <w:jc w:val="center"/>
        <w:rPr>
          <w:rFonts w:hint="eastAsia" w:ascii="宋体" w:hAnsi="宋体"/>
          <w:b/>
          <w:sz w:val="36"/>
          <w:highlight w:val="none"/>
        </w:rPr>
      </w:pPr>
      <w:r>
        <w:rPr>
          <w:rFonts w:hint="eastAsia" w:ascii="宋体" w:hAnsi="宋体"/>
          <w:b/>
          <w:sz w:val="36"/>
          <w:highlight w:val="none"/>
        </w:rPr>
      </w:r>
      <w:r/>
    </w:p>
    <w:p>
      <w:pPr>
        <w:pStyle w:val="883"/>
        <w:jc w:val="center"/>
        <w:rPr>
          <w:rFonts w:hint="eastAsia" w:ascii="宋体" w:hAnsi="宋体"/>
          <w:b/>
          <w:sz w:val="36"/>
          <w:highlight w:val="none"/>
        </w:rPr>
      </w:pPr>
      <w:r>
        <w:rPr>
          <w:rFonts w:hint="eastAsia" w:ascii="宋体" w:hAnsi="宋体"/>
          <w:b/>
          <w:sz w:val="36"/>
          <w:highlight w:val="none"/>
        </w:rPr>
      </w:r>
      <w:r/>
    </w:p>
    <w:p>
      <w:pPr>
        <w:pStyle w:val="883"/>
        <w:jc w:val="center"/>
        <w:rPr>
          <w:rFonts w:hint="eastAsia" w:ascii="宋体" w:hAnsi="宋体"/>
          <w:b/>
          <w:sz w:val="36"/>
          <w:highlight w:val="none"/>
        </w:rPr>
      </w:pPr>
      <w:r>
        <w:rPr>
          <w:rFonts w:hint="eastAsia" w:ascii="宋体" w:hAnsi="宋体"/>
          <w:b/>
          <w:sz w:val="36"/>
          <w:highlight w:val="none"/>
        </w:rPr>
      </w:r>
      <w:r/>
    </w:p>
    <w:p>
      <w:pPr>
        <w:pStyle w:val="883"/>
        <w:ind w:firstLine="1084"/>
        <w:rPr>
          <w:rFonts w:ascii="宋体" w:hAnsi="宋体" w:eastAsia="宋体"/>
          <w:b/>
          <w:sz w:val="36"/>
          <w:highlight w:val="none"/>
          <w:lang w:val="en-US" w:eastAsia="zh-CN"/>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lang w:val="en-US" w:eastAsia="zh-CN"/>
        </w:rPr>
      </w:r>
      <w:r/>
    </w:p>
    <w:p>
      <w:pPr>
        <w:pStyle w:val="883"/>
        <w:ind w:firstLine="1084"/>
        <w:rPr>
          <w:rFonts w:ascii="宋体" w:hAnsi="宋体" w:eastAsia="宋体"/>
          <w:b/>
          <w:sz w:val="36"/>
          <w:highlight w:val="none"/>
          <w:u w:val="single"/>
          <w:lang w:val="en-US" w:eastAsia="zh-CN"/>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83"/>
        <w:rPr>
          <w:rFonts w:ascii="宋体" w:hAnsi="宋体" w:eastAsia="宋体"/>
          <w:b/>
          <w:sz w:val="36"/>
          <w:highlight w:val="none"/>
          <w:u w:val="single"/>
          <w:lang w:val="en-US" w:eastAsia="zh-CN"/>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83"/>
        <w:rPr>
          <w:rFonts w:ascii="宋体" w:hAnsi="宋体" w:eastAsia="宋体"/>
          <w:b/>
          <w:sz w:val="36"/>
          <w:highlight w:val="none"/>
          <w:u w:val="single"/>
          <w:lang w:val="en-US" w:eastAsia="zh-CN"/>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83"/>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83"/>
        <w:spacing w:line="440" w:lineRule="exact"/>
        <w:rPr>
          <w:rFonts w:ascii="宋体" w:hAnsi="宋体"/>
          <w:highlight w:val="none"/>
        </w:rPr>
      </w:pPr>
      <w:r>
        <w:rPr>
          <w:rFonts w:ascii="宋体" w:hAnsi="宋体"/>
          <w:highlight w:val="none"/>
        </w:rPr>
      </w:r>
      <w:r/>
    </w:p>
    <w:p>
      <w:pPr>
        <w:pStyle w:val="883"/>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8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w:t>
      </w:r>
      <w:r>
        <w:rPr>
          <w:rFonts w:hint="eastAsia" w:ascii="宋体" w:hAnsi="宋体" w:cs="宋体"/>
          <w:sz w:val="28"/>
          <w:szCs w:val="28"/>
          <w:highlight w:val="none"/>
        </w:rPr>
      </w:r>
      <w:r/>
    </w:p>
    <w:p>
      <w:pPr>
        <w:pStyle w:val="8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8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88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8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8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83"/>
        <w:ind w:firstLine="480"/>
        <w:spacing w:line="440" w:lineRule="exact"/>
        <w:rPr>
          <w:rFonts w:ascii="宋体" w:hAnsi="宋体"/>
          <w:sz w:val="24"/>
          <w:highlight w:val="none"/>
        </w:rPr>
      </w:pPr>
      <w:r>
        <w:rPr>
          <w:rFonts w:ascii="宋体" w:hAnsi="宋体"/>
          <w:sz w:val="24"/>
          <w:highlight w:val="none"/>
        </w:rPr>
      </w:r>
      <w:r/>
    </w:p>
    <w:p>
      <w:pPr>
        <w:pStyle w:val="883"/>
        <w:ind w:firstLine="480"/>
        <w:spacing w:line="440" w:lineRule="exact"/>
        <w:rPr>
          <w:rFonts w:ascii="宋体" w:hAnsi="宋体"/>
          <w:sz w:val="24"/>
          <w:highlight w:val="none"/>
        </w:rPr>
      </w:pPr>
      <w:r>
        <w:rPr>
          <w:rFonts w:ascii="宋体" w:hAnsi="宋体"/>
          <w:sz w:val="24"/>
          <w:highlight w:val="none"/>
        </w:rPr>
      </w:r>
      <w:r/>
    </w:p>
    <w:p>
      <w:pPr>
        <w:pStyle w:val="968"/>
        <w:rPr>
          <w:rFonts w:ascii="宋体" w:hAnsi="宋体"/>
          <w:sz w:val="24"/>
          <w:highlight w:val="none"/>
        </w:rPr>
      </w:pPr>
      <w:r>
        <w:rPr>
          <w:rFonts w:ascii="宋体" w:hAnsi="宋体"/>
          <w:sz w:val="24"/>
          <w:highlight w:val="none"/>
        </w:rPr>
      </w:r>
      <w:r/>
    </w:p>
    <w:p>
      <w:pPr>
        <w:pStyle w:val="968"/>
        <w:rPr>
          <w:rFonts w:ascii="宋体" w:hAnsi="宋体"/>
          <w:sz w:val="24"/>
          <w:highlight w:val="none"/>
        </w:rPr>
      </w:pPr>
      <w:r>
        <w:rPr>
          <w:rFonts w:ascii="宋体" w:hAnsi="宋体"/>
          <w:sz w:val="24"/>
          <w:highlight w:val="none"/>
        </w:rPr>
      </w:r>
      <w:r/>
    </w:p>
    <w:p>
      <w:pPr>
        <w:pStyle w:val="968"/>
        <w:rPr>
          <w:rFonts w:ascii="宋体" w:hAnsi="宋体"/>
          <w:sz w:val="24"/>
          <w:highlight w:val="none"/>
        </w:rPr>
      </w:pPr>
      <w:r>
        <w:rPr>
          <w:rFonts w:ascii="宋体" w:hAnsi="宋体"/>
          <w:sz w:val="24"/>
          <w:highlight w:val="none"/>
        </w:rPr>
      </w:r>
      <w:r/>
    </w:p>
    <w:p>
      <w:pPr>
        <w:pStyle w:val="968"/>
        <w:rPr>
          <w:rFonts w:ascii="宋体" w:hAnsi="宋体"/>
          <w:sz w:val="24"/>
          <w:highlight w:val="none"/>
        </w:rPr>
      </w:pPr>
      <w:r>
        <w:rPr>
          <w:rFonts w:ascii="宋体" w:hAnsi="宋体"/>
          <w:sz w:val="24"/>
          <w:highlight w:val="none"/>
        </w:rPr>
      </w:r>
      <w:r/>
    </w:p>
    <w:p>
      <w:pPr>
        <w:pStyle w:val="968"/>
        <w:rPr>
          <w:rFonts w:ascii="宋体" w:hAnsi="宋体"/>
          <w:sz w:val="24"/>
          <w:highlight w:val="none"/>
        </w:rPr>
      </w:pPr>
      <w:r>
        <w:rPr>
          <w:rFonts w:ascii="宋体" w:hAnsi="宋体"/>
          <w:sz w:val="24"/>
          <w:highlight w:val="none"/>
        </w:rPr>
      </w:r>
      <w:r/>
    </w:p>
    <w:p>
      <w:pPr>
        <w:pStyle w:val="883"/>
        <w:ind w:firstLine="480"/>
        <w:spacing w:line="440" w:lineRule="exact"/>
        <w:rPr>
          <w:rFonts w:ascii="宋体" w:hAnsi="宋体"/>
          <w:sz w:val="24"/>
          <w:highlight w:val="none"/>
        </w:rPr>
      </w:pPr>
      <w:r>
        <w:rPr>
          <w:rFonts w:ascii="宋体" w:hAnsi="宋体"/>
          <w:sz w:val="24"/>
          <w:highlight w:val="none"/>
        </w:rPr>
      </w:r>
      <w:r/>
    </w:p>
    <w:p>
      <w:pPr>
        <w:pStyle w:val="883"/>
        <w:jc w:val="left"/>
        <w:spacing w:line="360" w:lineRule="auto"/>
        <w:rPr>
          <w:rFonts w:hint="eastAsia" w:ascii="黑体" w:hAnsi="黑体" w:eastAsia="黑体" w:cs="Times New Roman"/>
          <w:i w:val="0"/>
          <w:sz w:val="32"/>
          <w:szCs w:val="32"/>
          <w:highlight w:val="none"/>
          <w:u w:val="none"/>
          <w:lang w:val="en-US" w:eastAsia="zh-CN"/>
        </w:rPr>
      </w:pPr>
      <w:r/>
      <w:bookmarkEnd w:id="68"/>
      <w:r/>
      <w:bookmarkEnd w:id="69"/>
      <w:r/>
      <w:bookmarkEnd w:id="70"/>
      <w:r/>
      <w:bookmarkStart w:id="71" w:name="_Toc120614284"/>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8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8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8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8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8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8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8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8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8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8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8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8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8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83"/>
        <w:ind w:firstLine="492"/>
        <w:spacing w:line="460" w:lineRule="exact"/>
        <w:rPr>
          <w:color w:val="000000"/>
          <w:sz w:val="24"/>
          <w:szCs w:val="24"/>
          <w:highlight w:val="none"/>
        </w:rPr>
      </w:pPr>
      <w:r>
        <w:rPr>
          <w:color w:val="000000"/>
          <w:sz w:val="24"/>
          <w:szCs w:val="24"/>
          <w:highlight w:val="none"/>
        </w:rPr>
      </w:r>
      <w:r/>
    </w:p>
    <w:p>
      <w:pPr>
        <w:pStyle w:val="1005"/>
        <w:rPr>
          <w:color w:val="000000"/>
          <w:sz w:val="24"/>
          <w:szCs w:val="24"/>
          <w:highlight w:val="none"/>
        </w:rPr>
      </w:pPr>
      <w:r>
        <w:rPr>
          <w:color w:val="000000"/>
          <w:sz w:val="24"/>
          <w:szCs w:val="24"/>
          <w:highlight w:val="none"/>
        </w:rPr>
      </w:r>
      <w:r/>
    </w:p>
    <w:p>
      <w:pPr>
        <w:pStyle w:val="883"/>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83"/>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83"/>
        <w:rPr>
          <w:sz w:val="24"/>
          <w:szCs w:val="24"/>
          <w:highlight w:val="none"/>
        </w:rPr>
      </w:pPr>
      <w:r>
        <w:rPr>
          <w:sz w:val="24"/>
          <w:szCs w:val="24"/>
          <w:highlight w:val="none"/>
        </w:rPr>
      </w:r>
      <w:r/>
    </w:p>
    <w:p>
      <w:pPr>
        <w:pStyle w:val="883"/>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83"/>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8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77"/>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77"/>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77"/>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77"/>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7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7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7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7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代理人联系方式（手机号码）：_______________</w:t>
      </w:r>
      <w:r>
        <w:rPr>
          <w:rFonts w:hint="eastAsia" w:ascii="Times New Roman" w:hAnsi="Times New Roman" w:eastAsia="宋体" w:cs="Times New Roman"/>
          <w:i w:val="0"/>
          <w:sz w:val="24"/>
          <w:szCs w:val="24"/>
          <w:highlight w:val="none"/>
          <w:u w:val="none"/>
        </w:rPr>
      </w:r>
      <w:r/>
    </w:p>
    <w:p>
      <w:pPr>
        <w:pStyle w:val="97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77"/>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902"/>
        <w:ind w:firstLine="0"/>
        <w:rPr>
          <w:rFonts w:hint="eastAsia"/>
          <w:highlight w:val="none"/>
        </w:rPr>
      </w:pPr>
      <w:r>
        <w:rPr>
          <w:rFonts w:hint="eastAsia"/>
          <w:highlight w:val="none"/>
        </w:rPr>
      </w:r>
      <w:r/>
    </w:p>
    <w:p>
      <w:pPr>
        <w:pStyle w:val="97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7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7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7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7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7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77"/>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83"/>
        <w:jc w:val="left"/>
        <w:spacing w:line="360" w:lineRule="auto"/>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8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79"/>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79"/>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79"/>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rPr>
        <w:t xml:space="preserve">贵</w:t>
      </w:r>
      <w:r>
        <w:rPr>
          <w:rFonts w:hint="eastAsia" w:ascii="宋体" w:hAnsi="宋体"/>
          <w:szCs w:val="21"/>
          <w:highlight w:val="none"/>
        </w:rPr>
        <w:t xml:space="preserve">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79"/>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79"/>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79"/>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79"/>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79"/>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w:t>
      </w:r>
      <w:r>
        <w:rPr>
          <w:rFonts w:hint="eastAsia" w:ascii="宋体" w:hAnsi="宋体"/>
          <w:szCs w:val="21"/>
          <w:highlight w:val="none"/>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979"/>
        <w:spacing w:before="0" w:after="0" w:line="420" w:lineRule="exact"/>
        <w:rPr>
          <w:rFonts w:hint="eastAsia" w:ascii="宋体" w:hAnsi="宋体" w:eastAsia="宋体" w:cs="Times New Roman"/>
          <w:sz w:val="24"/>
          <w:szCs w:val="24"/>
          <w:highlight w:val="none"/>
          <w:lang w:val="en-US" w:eastAsia="zh-CN"/>
        </w:rPr>
      </w:pPr>
      <w:r>
        <w:rPr>
          <w:rFonts w:ascii="宋体" w:hAnsi="宋体"/>
          <w:highlight w:val="none"/>
          <w:lang w:val="en-US" w:eastAsia="zh-CN"/>
        </w:rPr>
        <w:t xml:space="preserve">7.</w:t>
      </w:r>
      <w:r>
        <w:rPr>
          <w:rFonts w:ascii="宋体" w:hAnsi="宋体"/>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79"/>
        <w:spacing w:before="0" w:after="0"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r>
      <w:r>
        <w:rPr>
          <w:rFonts w:ascii="宋体" w:hAnsi="宋体"/>
          <w:highlight w:val="none"/>
          <w:lang w:val="en-US" w:eastAsia="zh-CN"/>
        </w:rPr>
        <w:t xml:space="preserve">8.我方</w:t>
      </w:r>
      <w:r>
        <w:rPr>
          <w:rFonts w:hint="eastAsia"/>
          <w:sz w:val="24"/>
          <w:szCs w:val="24"/>
          <w:highlight w:val="none"/>
          <w:lang w:val="en-US" w:eastAsia="zh-CN"/>
        </w:rPr>
        <w:t xml:space="preserve">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hint="eastAsia" w:ascii="宋体" w:hAnsi="宋体" w:eastAsia="宋体" w:cs="Times New Roman"/>
          <w:sz w:val="24"/>
          <w:szCs w:val="24"/>
          <w:highlight w:val="none"/>
        </w:rPr>
      </w:r>
      <w:r/>
    </w:p>
    <w:p>
      <w:pPr>
        <w:pStyle w:val="979"/>
        <w:spacing w:before="0" w:after="0" w:line="420" w:lineRule="exact"/>
        <w:rPr>
          <w:rFonts w:hint="eastAsia" w:ascii="宋体" w:hAnsi="宋体"/>
          <w:szCs w:val="21"/>
          <w:highlight w:val="none"/>
        </w:rPr>
      </w:pPr>
      <w:r>
        <w:rPr>
          <w:rFonts w:ascii="宋体" w:hAnsi="宋体"/>
          <w:highlight w:val="none"/>
          <w:lang w:val="en-US" w:eastAsia="zh-CN"/>
        </w:rPr>
        <w:t xml:space="preserve">9</w:t>
      </w:r>
      <w:r>
        <w:rPr>
          <w:rFonts w:ascii="宋体" w:hAnsi="宋体"/>
          <w:highlight w:val="none"/>
          <w:lang w:val="en-US" w:eastAsia="zh-CN"/>
        </w:rPr>
        <w:t xml:space="preserve">.</w:t>
      </w:r>
      <w:r>
        <w:rPr>
          <w:rFonts w:ascii="宋体" w:hAnsi="宋体"/>
          <w:highlight w:val="none"/>
          <w:lang w:val="en-US" w:eastAsia="zh-CN"/>
        </w:rPr>
        <w:t xml:space="preserve">我</w:t>
      </w:r>
      <w:r>
        <w:rPr>
          <w:rFonts w:hint="eastAsia" w:ascii="宋体" w:hAnsi="宋体"/>
          <w:szCs w:val="21"/>
          <w:highlight w:val="none"/>
          <w:lang w:val="en-US" w:eastAsia="zh-CN"/>
        </w:rPr>
        <w:t xml:space="preserve">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7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79"/>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7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7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7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7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83"/>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7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79"/>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88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8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8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8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83"/>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83"/>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83"/>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83"/>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79"/>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83"/>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883"/>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83"/>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95"/>
        <w:rPr>
          <w:rFonts w:hint="eastAsia"/>
          <w:highlight w:val="none"/>
        </w:rPr>
      </w:pPr>
      <w:r>
        <w:rPr>
          <w:rFonts w:hint="eastAsia"/>
          <w:highlight w:val="none"/>
        </w:rPr>
      </w:r>
      <w:r/>
    </w:p>
    <w:p>
      <w:pPr>
        <w:pStyle w:val="883"/>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95"/>
        <w:rPr>
          <w:rFonts w:hint="eastAsia"/>
          <w:highlight w:val="none"/>
          <w:lang w:val="en-US" w:eastAsia="zh-CN"/>
        </w:rPr>
      </w:pPr>
      <w:r>
        <w:rPr>
          <w:rFonts w:hint="eastAsia"/>
          <w:highlight w:val="none"/>
          <w:lang w:val="en-US" w:eastAsia="zh-CN"/>
        </w:rPr>
      </w:r>
      <w:r/>
    </w:p>
    <w:p>
      <w:pPr>
        <w:pStyle w:val="883"/>
        <w:rPr>
          <w:rFonts w:hint="eastAsia"/>
          <w:highlight w:val="none"/>
          <w:lang w:val="en-US" w:eastAsia="zh-CN"/>
        </w:rPr>
      </w:pPr>
      <w:r>
        <w:rPr>
          <w:rFonts w:hint="eastAsia"/>
          <w:highlight w:val="none"/>
          <w:lang w:val="en-US" w:eastAsia="zh-CN"/>
        </w:rPr>
      </w:r>
      <w:r/>
    </w:p>
    <w:p>
      <w:pPr>
        <w:pStyle w:val="895"/>
        <w:rPr>
          <w:rFonts w:hint="eastAsia"/>
          <w:highlight w:val="none"/>
          <w:lang w:val="en-US" w:eastAsia="zh-CN"/>
        </w:rPr>
      </w:pPr>
      <w:r>
        <w:rPr>
          <w:rFonts w:hint="eastAsia"/>
          <w:highlight w:val="none"/>
          <w:lang w:val="en-US" w:eastAsia="zh-CN"/>
        </w:rPr>
      </w:r>
      <w:r/>
    </w:p>
    <w:p>
      <w:pPr>
        <w:pStyle w:val="96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8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6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6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8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rPr>
          <w:rFonts w:hint="eastAsia" w:ascii="黑体" w:hAnsi="黑体" w:eastAsia="黑体" w:cs="Times New Roman"/>
          <w:i w:val="0"/>
          <w:sz w:val="32"/>
          <w:szCs w:val="32"/>
          <w:highlight w:val="none"/>
          <w:u w:val="none"/>
          <w:lang w:val="en-US" w:eastAsia="zh-CN"/>
        </w:rPr>
      </w:r>
      <w:r/>
    </w:p>
    <w:p>
      <w:pPr>
        <w:pStyle w:val="88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8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72"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8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83"/>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72"/>
      <w:r>
        <w:rPr>
          <w:rFonts w:hint="eastAsia" w:ascii="宋体" w:hAnsi="宋体" w:eastAsia="宋体" w:cs="Times New Roman"/>
          <w:sz w:val="24"/>
          <w:szCs w:val="24"/>
          <w:highlight w:val="none"/>
          <w:lang w:val="en-US" w:eastAsia="zh-CN"/>
        </w:rPr>
      </w:r>
      <w:r/>
    </w:p>
    <w:tbl>
      <w:tblPr>
        <w:tblW w:w="10116" w:type="dxa"/>
        <w:tblInd w:w="-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40"/>
        <w:gridCol w:w="970"/>
        <w:gridCol w:w="1790"/>
        <w:gridCol w:w="1470"/>
        <w:gridCol w:w="830"/>
        <w:gridCol w:w="820"/>
        <w:gridCol w:w="826"/>
        <w:gridCol w:w="1434"/>
      </w:tblGrid>
      <w:tr>
        <w:trPr>
          <w:cantSplit/>
          <w:trHeight w:val="544"/>
        </w:trPr>
        <w:tc>
          <w:tcPr>
            <w:tcW w:w="736" w:type="dxa"/>
            <w:vAlign w:val="center"/>
            <w:vMerge w:val="restart"/>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lang w:val="en-US" w:eastAsia="zh-CN"/>
              </w:rPr>
              <w:t xml:space="preserve">号</w:t>
            </w:r>
            <w:r>
              <w:rPr>
                <w:rFonts w:hint="eastAsia" w:ascii="宋体" w:hAnsi="宋体"/>
                <w:sz w:val="24"/>
                <w:szCs w:val="24"/>
                <w:highlight w:val="none"/>
                <w:lang w:val="en-US" w:eastAsia="zh-CN"/>
              </w:rPr>
            </w:r>
            <w:r/>
          </w:p>
        </w:tc>
        <w:tc>
          <w:tcPr>
            <w:tcW w:w="1240" w:type="dxa"/>
            <w:vAlign w:val="center"/>
            <w:textDirection w:val="lrTb"/>
            <w:noWrap w:val="false"/>
          </w:tcPr>
          <w:p>
            <w:pPr>
              <w:pStyle w:val="883"/>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83"/>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8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8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8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8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8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83"/>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736" w:type="dxa"/>
            <w:vAlign w:val="center"/>
            <w:vMerge w:val="continue"/>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83"/>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8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8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83"/>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8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736"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736"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736"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8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736" w:type="dxa"/>
            <w:vAlign w:val="center"/>
            <w:textDirection w:val="lrTb"/>
            <w:noWrap w:val="false"/>
          </w:tcPr>
          <w:p>
            <w:pPr>
              <w:pStyle w:val="883"/>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83"/>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83"/>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4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4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4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48"/>
        <w:ind w:firstLine="480"/>
        <w:jc w:val="both"/>
        <w:keepLines w:val="0"/>
        <w:keepNext w:val="0"/>
        <w:pageBreakBefore w:val="0"/>
        <w:spacing w:before="0" w:beforeAutospacing="0" w:after="0" w:afterAutospacing="0" w:line="360" w:lineRule="auto"/>
        <w:widowControl/>
        <w:rPr>
          <w:rFonts w:hint="eastAsia"/>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b/>
          <w:bCs/>
          <w:highlight w:val="none"/>
        </w:rPr>
      </w:r>
      <w:r/>
    </w:p>
    <w:p>
      <w:pPr>
        <w:pStyle w:val="94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8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8"/>
      <w:r/>
      <w:bookmarkEnd w:id="49"/>
      <w:r/>
      <w:bookmarkEnd w:id="71"/>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8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8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8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83"/>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8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83"/>
              <w:jc w:val="center"/>
              <w:rPr>
                <w:highlight w:val="none"/>
              </w:rPr>
            </w:pPr>
            <w:r>
              <w:rPr>
                <w:highlight w:val="none"/>
              </w:rPr>
            </w:r>
            <w:r/>
          </w:p>
          <w:p>
            <w:pPr>
              <w:pStyle w:val="895"/>
              <w:rPr>
                <w:rFonts w:hint="eastAsia"/>
                <w:highlight w:val="none"/>
              </w:rPr>
            </w:pPr>
            <w:r>
              <w:rPr>
                <w:rFonts w:hint="eastAsia"/>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8"/>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8"/>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48"/>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48"/>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48"/>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88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8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8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8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83"/>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83"/>
              <w:jc w:val="center"/>
              <w:rPr>
                <w:rFonts w:hint="eastAsia" w:ascii="宋体" w:hAnsi="宋体"/>
                <w:color w:val="000000"/>
                <w:sz w:val="24"/>
                <w:szCs w:val="24"/>
                <w:highlight w:val="none"/>
              </w:rPr>
            </w:pPr>
            <w:r/>
            <w:bookmarkStart w:id="73" w:name="_Hlt26671343"/>
            <w:r/>
            <w:bookmarkEnd w:id="73"/>
            <w:r/>
            <w:bookmarkStart w:id="74" w:name="_Hlt26782999"/>
            <w:r/>
            <w:bookmarkEnd w:id="74"/>
            <w:r/>
            <w:bookmarkStart w:id="75" w:name="_Hlt26609391"/>
            <w:r/>
            <w:bookmarkEnd w:id="75"/>
            <w:r/>
            <w:bookmarkStart w:id="76" w:name="_Hlt26955064"/>
            <w:r/>
            <w:bookmarkEnd w:id="76"/>
            <w:r/>
            <w:bookmarkStart w:id="77" w:name="_Hlt26671372"/>
            <w:r/>
            <w:bookmarkEnd w:id="77"/>
            <w:r/>
            <w:bookmarkStart w:id="78" w:name="_Hlt24879081"/>
            <w:r/>
            <w:bookmarkEnd w:id="78"/>
            <w:r/>
            <w:bookmarkStart w:id="79" w:name="_Hlt26955056"/>
            <w:r/>
            <w:bookmarkEnd w:id="79"/>
            <w:r/>
            <w:bookmarkStart w:id="80" w:name="_Hlt26580838"/>
            <w:r/>
            <w:bookmarkEnd w:id="8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8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83"/>
              <w:jc w:val="center"/>
              <w:rPr>
                <w:highlight w:val="none"/>
              </w:rPr>
            </w:pPr>
            <w:r>
              <w:rPr>
                <w:highlight w:val="none"/>
              </w:rPr>
            </w:r>
            <w:r/>
          </w:p>
          <w:p>
            <w:pPr>
              <w:pStyle w:val="895"/>
              <w:rPr>
                <w:rFonts w:hint="eastAsia"/>
                <w:highlight w:val="none"/>
              </w:rPr>
            </w:pPr>
            <w:r>
              <w:rPr>
                <w:rFonts w:hint="eastAsia"/>
                <w:highlight w:val="none"/>
              </w:rPr>
            </w:r>
            <w:r/>
          </w:p>
        </w:tc>
        <w:tc>
          <w:tcPr>
            <w:tcW w:w="2832"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8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4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4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83"/>
        <w:rPr>
          <w:color w:val="000000"/>
          <w:highlight w:val="none"/>
        </w:rPr>
      </w:pPr>
      <w:r>
        <w:rPr>
          <w:color w:val="000000"/>
          <w:highlight w:val="none"/>
        </w:rPr>
      </w:r>
      <w:r/>
    </w:p>
    <w:p>
      <w:pPr>
        <w:pStyle w:val="88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62"/>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8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62"/>
        <w:rPr>
          <w:rFonts w:hint="eastAsia"/>
          <w:color w:val="000000"/>
          <w:highlight w:val="none"/>
        </w:rPr>
      </w:pPr>
      <w:r>
        <w:rPr>
          <w:rFonts w:hint="eastAsia"/>
          <w:color w:val="000000"/>
          <w:highlight w:val="none"/>
        </w:rPr>
      </w:r>
      <w:r/>
    </w:p>
    <w:p>
      <w:pPr>
        <w:pStyle w:val="88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8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8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8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83"/>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83"/>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83"/>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8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83"/>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62"/>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83"/>
        <w:keepLines w:val="0"/>
        <w:keepNext w:val="0"/>
        <w:pageBreakBefore w:val="0"/>
        <w:spacing w:line="360" w:lineRule="auto"/>
        <w:rPr>
          <w:rFonts w:hint="eastAsia"/>
          <w:highlight w:val="none"/>
          <w:lang w:eastAsia="zh-CN"/>
        </w:rPr>
      </w:pPr>
      <w:r>
        <w:rPr>
          <w:rFonts w:hint="eastAsia"/>
          <w:highlight w:val="none"/>
          <w:lang w:eastAsia="zh-CN"/>
        </w:rPr>
      </w:r>
      <w:r/>
    </w:p>
    <w:p>
      <w:pPr>
        <w:pStyle w:val="88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83"/>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8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8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83"/>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83"/>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8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83"/>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8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62"/>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83"/>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8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83"/>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83"/>
        <w:ind w:firstLine="480"/>
        <w:spacing w:line="480" w:lineRule="exact"/>
        <w:rPr>
          <w:rFonts w:ascii="宋体" w:hAnsi="宋体"/>
          <w:sz w:val="24"/>
          <w:highlight w:val="none"/>
        </w:rPr>
      </w:pPr>
      <w:r>
        <w:rPr>
          <w:rFonts w:ascii="宋体" w:hAnsi="宋体"/>
          <w:sz w:val="24"/>
          <w:highlight w:val="none"/>
        </w:rPr>
      </w:r>
      <w:r/>
    </w:p>
    <w:p>
      <w:pPr>
        <w:pStyle w:val="88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8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83"/>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8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83"/>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83"/>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83"/>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83"/>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83"/>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83"/>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83"/>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83"/>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8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8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83"/>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83"/>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highlight w:val="none"/>
          <w:lang w:val="en-US" w:eastAsia="zh-CN"/>
        </w:rPr>
        <w:t xml:space="preserve">.</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895"/>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83"/>
        <w:rPr>
          <w:rFonts w:hint="eastAsia"/>
          <w:highlight w:val="none"/>
        </w:rPr>
      </w:pPr>
      <w:r>
        <w:rPr>
          <w:rFonts w:hint="eastAsia"/>
          <w:highlight w:val="none"/>
        </w:rPr>
      </w:r>
      <w:r/>
    </w:p>
    <w:p>
      <w:pPr>
        <w:pStyle w:val="962"/>
        <w:rPr>
          <w:rFonts w:hint="eastAsia"/>
          <w:highlight w:val="none"/>
        </w:rPr>
      </w:pPr>
      <w:r>
        <w:rPr>
          <w:rFonts w:hint="eastAsia"/>
          <w:highlight w:val="none"/>
        </w:rPr>
      </w:r>
      <w:r/>
    </w:p>
    <w:p>
      <w:pPr>
        <w:pStyle w:val="883"/>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83"/>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4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4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58"/>
          <w:rFonts w:hint="eastAsia"/>
          <w:i w:val="0"/>
          <w:highlight w:val="none"/>
          <w:u w:val="single"/>
          <w:shd w:val="clear" w:color="auto" w:fill="ffffff"/>
        </w:rPr>
        <w:t xml:space="preserve">（产品名称1）</w:t>
      </w:r>
      <w:r>
        <w:rPr>
          <w:rStyle w:val="958"/>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58"/>
          <w:rFonts w:hint="eastAsia"/>
          <w:i w:val="0"/>
          <w:highlight w:val="none"/>
          <w:u w:val="single"/>
          <w:shd w:val="clear" w:color="auto" w:fill="ffffff"/>
        </w:rPr>
        <w:t xml:space="preserve">（厂名）</w:t>
      </w:r>
      <w:r>
        <w:rPr>
          <w:rStyle w:val="958"/>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5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5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58"/>
          <w:rFonts w:hint="eastAsia"/>
          <w:i/>
          <w:strike w:val="0"/>
          <w:highlight w:val="none"/>
          <w:u w:val="single"/>
          <w:shd w:val="clear" w:color="auto" w:fill="ffffff"/>
        </w:rPr>
        <w:t xml:space="preserve">（规定比例）</w:t>
      </w:r>
      <w:r>
        <w:rPr>
          <w:rStyle w:val="958"/>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5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58"/>
          <w:rFonts w:hint="eastAsia"/>
          <w:i/>
          <w:strike w:val="0"/>
          <w:highlight w:val="none"/>
          <w:u w:val="single"/>
          <w:shd w:val="clear" w:color="auto" w:fill="ffffff"/>
        </w:rPr>
        <w:t xml:space="preserve">（关键组件）</w:t>
      </w:r>
      <w:r>
        <w:rPr>
          <w:rStyle w:val="958"/>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5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58"/>
          <w:rFonts w:hint="eastAsia"/>
          <w:i/>
          <w:strike w:val="0"/>
          <w:highlight w:val="none"/>
          <w:u w:val="single"/>
          <w:shd w:val="clear" w:color="auto" w:fill="ffffff"/>
        </w:rPr>
        <w:t xml:space="preserve">（关键工序）</w:t>
      </w:r>
      <w:r>
        <w:rPr>
          <w:rStyle w:val="958"/>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48"/>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58"/>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58"/>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5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5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58"/>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5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58"/>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5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58"/>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48"/>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4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48"/>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48"/>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48"/>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48"/>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48"/>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48"/>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4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4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883"/>
        <w:jc w:val="left"/>
        <w:keepLines w:val="0"/>
        <w:keepNext w:val="0"/>
        <w:pageBreakBefore w:val="0"/>
        <w:spacing w:line="360" w:lineRule="auto"/>
        <w:widowControl/>
        <w:rPr>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83"/>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83"/>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8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8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8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8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8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8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8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8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8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8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8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8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83"/>
              <w:jc w:val="center"/>
              <w:keepLines w:val="0"/>
              <w:keepNext w:val="0"/>
              <w:widowControl/>
              <w:rPr>
                <w:highlight w:val="none"/>
                <w:vertAlign w:val="baseline"/>
              </w:rPr>
              <w:suppressLineNumbers w:val="0"/>
            </w:pPr>
            <w:r>
              <w:rPr>
                <w:highlight w:val="none"/>
                <w:vertAlign w:val="baseline"/>
              </w:rPr>
            </w:r>
            <w:r/>
          </w:p>
        </w:tc>
      </w:tr>
    </w:tbl>
    <w:p>
      <w:pPr>
        <w:pStyle w:val="88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8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8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8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8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83"/>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83"/>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8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8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8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8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8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8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8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8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8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8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8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8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8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8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83"/>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83"/>
        <w:numPr>
          <w:ilvl w:val="0"/>
          <w:numId w:val="11"/>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883"/>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8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8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83"/>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83"/>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8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8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83"/>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83"/>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8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8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8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8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83"/>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8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83"/>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8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83"/>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8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8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83"/>
        <w:rPr>
          <w:rFonts w:hint="eastAsia" w:ascii="宋体" w:hAnsi="宋体"/>
          <w:sz w:val="24"/>
          <w:szCs w:val="24"/>
          <w:highlight w:val="none"/>
        </w:rPr>
      </w:pPr>
      <w:r>
        <w:rPr>
          <w:rFonts w:hint="eastAsia" w:ascii="宋体" w:hAnsi="宋体"/>
          <w:sz w:val="24"/>
          <w:szCs w:val="24"/>
          <w:highlight w:val="none"/>
        </w:rPr>
      </w:r>
      <w:r/>
    </w:p>
    <w:p>
      <w:pPr>
        <w:pStyle w:val="883"/>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83"/>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8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8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83"/>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8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83"/>
        <w:ind w:firstLine="480"/>
        <w:spacing w:line="480" w:lineRule="exact"/>
        <w:rPr>
          <w:rFonts w:hint="eastAsia" w:ascii="宋体" w:hAnsi="宋体" w:eastAsia="宋体" w:cs="仿宋"/>
          <w:b/>
          <w:bCs/>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bCs/>
          <w:sz w:val="24"/>
          <w:szCs w:val="24"/>
          <w:highlight w:val="none"/>
        </w:rPr>
      </w:r>
      <w:r/>
    </w:p>
    <w:p>
      <w:pPr>
        <w:pStyle w:val="88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8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8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8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8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rPr>
        <w:rStyle w:val="956"/>
        <w:rFonts w:ascii="宋体" w:hAnsi="宋体"/>
      </w:rPr>
      <w:framePr w:wrap="around" w:vAnchor="text" w:hAnchor="margin" w:xAlign="center" w:y="1"/>
    </w:pPr>
    <w:r>
      <w:rPr>
        <w:rFonts w:ascii="宋体" w:hAnsi="宋体"/>
      </w:rPr>
      <w:fldChar w:fldCharType="begin"/>
    </w:r>
    <w:r>
      <w:rPr>
        <w:rStyle w:val="956"/>
        <w:rFonts w:ascii="宋体" w:hAnsi="宋体"/>
      </w:rPr>
      <w:instrText xml:space="preserve">PAGE  </w:instrText>
    </w:r>
    <w:r>
      <w:rPr>
        <w:rFonts w:ascii="宋体" w:hAnsi="宋体"/>
      </w:rPr>
      <w:fldChar w:fldCharType="separate"/>
    </w:r>
    <w:r>
      <w:rPr>
        <w:rStyle w:val="956"/>
        <w:rFonts w:ascii="宋体" w:hAnsi="宋体"/>
      </w:rPr>
      <w:t xml:space="preserve">３５</w:t>
    </w:r>
    <w:r>
      <w:rPr>
        <w:rFonts w:ascii="宋体" w:hAnsi="宋体"/>
      </w:rPr>
      <w:fldChar w:fldCharType="end"/>
    </w:r>
    <w:r>
      <w:rPr>
        <w:rStyle w:val="956"/>
        <w:rFonts w:ascii="宋体" w:hAnsi="宋体"/>
      </w:rPr>
    </w:r>
    <w:r/>
  </w:p>
  <w:p>
    <w:pPr>
      <w:pStyle w:val="93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rPr>
        <w:rStyle w:val="956"/>
      </w:rPr>
    </w:r>
    <w:r/>
  </w:p>
  <w:p>
    <w:pPr>
      <w:pStyle w:val="9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3"/>
        <w:ind w:left="920" w:hanging="440"/>
      </w:pPr>
    </w:lvl>
    <w:lvl w:ilvl="1">
      <w:start w:val="1"/>
      <w:numFmt w:val="lowerLetter"/>
      <w:isLgl w:val="false"/>
      <w:suff w:val="tab"/>
      <w:lvlText w:val="%2)"/>
      <w:lvlJc w:val="left"/>
      <w:pPr>
        <w:pStyle w:val="883"/>
        <w:ind w:left="1360" w:hanging="440"/>
      </w:pPr>
    </w:lvl>
    <w:lvl w:ilvl="2">
      <w:start w:val="1"/>
      <w:numFmt w:val="lowerRoman"/>
      <w:isLgl w:val="false"/>
      <w:suff w:val="tab"/>
      <w:lvlText w:val="%3."/>
      <w:lvlJc w:val="right"/>
      <w:pPr>
        <w:pStyle w:val="883"/>
        <w:ind w:left="1800" w:hanging="440"/>
      </w:pPr>
    </w:lvl>
    <w:lvl w:ilvl="3">
      <w:start w:val="1"/>
      <w:numFmt w:val="decimal"/>
      <w:isLgl w:val="false"/>
      <w:suff w:val="tab"/>
      <w:lvlText w:val="%4."/>
      <w:lvlJc w:val="left"/>
      <w:pPr>
        <w:pStyle w:val="883"/>
        <w:ind w:left="2240" w:hanging="440"/>
      </w:pPr>
    </w:lvl>
    <w:lvl w:ilvl="4">
      <w:start w:val="1"/>
      <w:numFmt w:val="lowerLetter"/>
      <w:isLgl w:val="false"/>
      <w:suff w:val="tab"/>
      <w:lvlText w:val="%5)"/>
      <w:lvlJc w:val="left"/>
      <w:pPr>
        <w:pStyle w:val="883"/>
        <w:ind w:left="2680" w:hanging="440"/>
      </w:pPr>
    </w:lvl>
    <w:lvl w:ilvl="5">
      <w:start w:val="1"/>
      <w:numFmt w:val="lowerRoman"/>
      <w:isLgl w:val="false"/>
      <w:suff w:val="tab"/>
      <w:lvlText w:val="%6."/>
      <w:lvlJc w:val="right"/>
      <w:pPr>
        <w:pStyle w:val="883"/>
        <w:ind w:left="3120" w:hanging="440"/>
      </w:pPr>
    </w:lvl>
    <w:lvl w:ilvl="6">
      <w:start w:val="1"/>
      <w:numFmt w:val="decimal"/>
      <w:isLgl w:val="false"/>
      <w:suff w:val="tab"/>
      <w:lvlText w:val="%7."/>
      <w:lvlJc w:val="left"/>
      <w:pPr>
        <w:pStyle w:val="883"/>
        <w:ind w:left="3560" w:hanging="440"/>
      </w:pPr>
    </w:lvl>
    <w:lvl w:ilvl="7">
      <w:start w:val="1"/>
      <w:numFmt w:val="lowerLetter"/>
      <w:isLgl w:val="false"/>
      <w:suff w:val="tab"/>
      <w:lvlText w:val="%8)"/>
      <w:lvlJc w:val="left"/>
      <w:pPr>
        <w:pStyle w:val="883"/>
        <w:ind w:left="4000" w:hanging="440"/>
      </w:pPr>
    </w:lvl>
    <w:lvl w:ilvl="8">
      <w:start w:val="1"/>
      <w:numFmt w:val="lowerRoman"/>
      <w:isLgl w:val="false"/>
      <w:suff w:val="tab"/>
      <w:lvlText w:val="%9."/>
      <w:lvlJc w:val="right"/>
      <w:pPr>
        <w:pStyle w:val="883"/>
        <w:ind w:left="4440" w:hanging="440"/>
      </w:pPr>
    </w:lvl>
  </w:abstractNum>
  <w:abstractNum w:abstractNumId="2">
    <w:multiLevelType w:val="hybridMultilevel"/>
    <w:lvl w:ilvl="0">
      <w:start w:val="1"/>
      <w:numFmt w:val="upperLetter"/>
      <w:pStyle w:val="971"/>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83"/>
        <w:ind w:left="920" w:hanging="440"/>
      </w:pPr>
    </w:lvl>
    <w:lvl w:ilvl="1">
      <w:start w:val="1"/>
      <w:numFmt w:val="decimal"/>
      <w:isLgl w:val="false"/>
      <w:suff w:val="tab"/>
      <w:lvlText w:val="%2."/>
      <w:lvlJc w:val="left"/>
      <w:pPr>
        <w:pStyle w:val="883"/>
        <w:ind w:left="920" w:hanging="440"/>
      </w:pPr>
    </w:lvl>
    <w:lvl w:ilvl="2">
      <w:start w:val="1"/>
      <w:numFmt w:val="lowerRoman"/>
      <w:isLgl w:val="false"/>
      <w:suff w:val="tab"/>
      <w:lvlText w:val="%3."/>
      <w:lvlJc w:val="right"/>
      <w:pPr>
        <w:pStyle w:val="883"/>
        <w:ind w:left="1800" w:hanging="440"/>
      </w:pPr>
    </w:lvl>
    <w:lvl w:ilvl="3">
      <w:start w:val="1"/>
      <w:numFmt w:val="decimal"/>
      <w:isLgl w:val="false"/>
      <w:suff w:val="tab"/>
      <w:lvlText w:val="%4."/>
      <w:lvlJc w:val="left"/>
      <w:pPr>
        <w:pStyle w:val="883"/>
        <w:ind w:left="2240" w:hanging="440"/>
      </w:pPr>
    </w:lvl>
    <w:lvl w:ilvl="4">
      <w:start w:val="1"/>
      <w:numFmt w:val="lowerLetter"/>
      <w:isLgl w:val="false"/>
      <w:suff w:val="tab"/>
      <w:lvlText w:val="%5)"/>
      <w:lvlJc w:val="left"/>
      <w:pPr>
        <w:pStyle w:val="883"/>
        <w:ind w:left="2680" w:hanging="440"/>
      </w:pPr>
    </w:lvl>
    <w:lvl w:ilvl="5">
      <w:start w:val="1"/>
      <w:numFmt w:val="lowerRoman"/>
      <w:isLgl w:val="false"/>
      <w:suff w:val="tab"/>
      <w:lvlText w:val="%6."/>
      <w:lvlJc w:val="right"/>
      <w:pPr>
        <w:pStyle w:val="883"/>
        <w:ind w:left="3120" w:hanging="440"/>
      </w:pPr>
    </w:lvl>
    <w:lvl w:ilvl="6">
      <w:start w:val="1"/>
      <w:numFmt w:val="decimal"/>
      <w:isLgl w:val="false"/>
      <w:suff w:val="tab"/>
      <w:lvlText w:val="%7."/>
      <w:lvlJc w:val="left"/>
      <w:pPr>
        <w:pStyle w:val="883"/>
        <w:ind w:left="3560" w:hanging="440"/>
      </w:pPr>
    </w:lvl>
    <w:lvl w:ilvl="7">
      <w:start w:val="1"/>
      <w:numFmt w:val="lowerLetter"/>
      <w:isLgl w:val="false"/>
      <w:suff w:val="tab"/>
      <w:lvlText w:val="%8)"/>
      <w:lvlJc w:val="left"/>
      <w:pPr>
        <w:pStyle w:val="883"/>
        <w:ind w:left="4000" w:hanging="440"/>
      </w:pPr>
    </w:lvl>
    <w:lvl w:ilvl="8">
      <w:start w:val="1"/>
      <w:numFmt w:val="lowerRoman"/>
      <w:isLgl w:val="false"/>
      <w:suff w:val="tab"/>
      <w:lvlText w:val="%9."/>
      <w:lvlJc w:val="right"/>
      <w:pPr>
        <w:pStyle w:val="883"/>
        <w:ind w:left="4440" w:hanging="440"/>
      </w:pPr>
    </w:lvl>
  </w:abstractNum>
  <w:abstractNum w:abstractNumId="4">
    <w:multiLevelType w:val="hybridMultilevel"/>
    <w:lvl w:ilvl="0">
      <w:start w:val="1"/>
      <w:numFmt w:val="decimal"/>
      <w:pStyle w:val="988"/>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883"/>
        <w:ind w:left="920" w:hanging="440"/>
      </w:pPr>
    </w:lvl>
    <w:lvl w:ilvl="1">
      <w:start w:val="1"/>
      <w:numFmt w:val="lowerLetter"/>
      <w:isLgl w:val="false"/>
      <w:suff w:val="tab"/>
      <w:lvlText w:val="%2)"/>
      <w:lvlJc w:val="left"/>
      <w:pPr>
        <w:pStyle w:val="883"/>
        <w:ind w:left="1360" w:hanging="440"/>
      </w:pPr>
    </w:lvl>
    <w:lvl w:ilvl="2">
      <w:start w:val="1"/>
      <w:numFmt w:val="lowerRoman"/>
      <w:isLgl w:val="false"/>
      <w:suff w:val="tab"/>
      <w:lvlText w:val="%3."/>
      <w:lvlJc w:val="right"/>
      <w:pPr>
        <w:pStyle w:val="883"/>
        <w:ind w:left="1800" w:hanging="440"/>
      </w:pPr>
    </w:lvl>
    <w:lvl w:ilvl="3">
      <w:start w:val="1"/>
      <w:numFmt w:val="decimal"/>
      <w:isLgl w:val="false"/>
      <w:suff w:val="tab"/>
      <w:lvlText w:val="%4."/>
      <w:lvlJc w:val="left"/>
      <w:pPr>
        <w:pStyle w:val="883"/>
        <w:ind w:left="2240" w:hanging="440"/>
      </w:pPr>
    </w:lvl>
    <w:lvl w:ilvl="4">
      <w:start w:val="1"/>
      <w:numFmt w:val="lowerLetter"/>
      <w:isLgl w:val="false"/>
      <w:suff w:val="tab"/>
      <w:lvlText w:val="%5)"/>
      <w:lvlJc w:val="left"/>
      <w:pPr>
        <w:pStyle w:val="883"/>
        <w:ind w:left="2680" w:hanging="440"/>
      </w:pPr>
    </w:lvl>
    <w:lvl w:ilvl="5">
      <w:start w:val="1"/>
      <w:numFmt w:val="lowerRoman"/>
      <w:isLgl w:val="false"/>
      <w:suff w:val="tab"/>
      <w:lvlText w:val="%6."/>
      <w:lvlJc w:val="right"/>
      <w:pPr>
        <w:pStyle w:val="883"/>
        <w:ind w:left="3120" w:hanging="440"/>
      </w:pPr>
    </w:lvl>
    <w:lvl w:ilvl="6">
      <w:start w:val="1"/>
      <w:numFmt w:val="decimal"/>
      <w:isLgl w:val="false"/>
      <w:suff w:val="tab"/>
      <w:lvlText w:val="%7."/>
      <w:lvlJc w:val="left"/>
      <w:pPr>
        <w:pStyle w:val="883"/>
        <w:ind w:left="3560" w:hanging="440"/>
      </w:pPr>
    </w:lvl>
    <w:lvl w:ilvl="7">
      <w:start w:val="1"/>
      <w:numFmt w:val="lowerLetter"/>
      <w:isLgl w:val="false"/>
      <w:suff w:val="tab"/>
      <w:lvlText w:val="%8)"/>
      <w:lvlJc w:val="left"/>
      <w:pPr>
        <w:pStyle w:val="883"/>
        <w:ind w:left="4000" w:hanging="440"/>
      </w:pPr>
    </w:lvl>
    <w:lvl w:ilvl="8">
      <w:start w:val="1"/>
      <w:numFmt w:val="lowerRoman"/>
      <w:isLgl w:val="false"/>
      <w:suff w:val="tab"/>
      <w:lvlText w:val="%9."/>
      <w:lvlJc w:val="right"/>
      <w:pPr>
        <w:pStyle w:val="883"/>
        <w:ind w:left="4440" w:hanging="440"/>
      </w:p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1149" w:hanging="440"/>
      </w:pPr>
    </w:lvl>
    <w:lvl w:ilvl="1">
      <w:start w:val="1"/>
      <w:numFmt w:val="decimal"/>
      <w:isLgl w:val="false"/>
      <w:suff w:val="tab"/>
      <w:lvlText w:val="（%2）"/>
      <w:lvlJc w:val="left"/>
      <w:pPr>
        <w:pStyle w:val="883"/>
        <w:ind w:left="1869" w:hanging="720"/>
      </w:pPr>
    </w:lvl>
    <w:lvl w:ilvl="2">
      <w:start w:val="1"/>
      <w:numFmt w:val="lowerRoman"/>
      <w:isLgl w:val="false"/>
      <w:suff w:val="tab"/>
      <w:lvlText w:val="%3."/>
      <w:lvlJc w:val="right"/>
      <w:pPr>
        <w:pStyle w:val="883"/>
        <w:ind w:left="2029" w:hanging="440"/>
      </w:pPr>
    </w:lvl>
    <w:lvl w:ilvl="3">
      <w:start w:val="1"/>
      <w:numFmt w:val="decimal"/>
      <w:isLgl w:val="false"/>
      <w:suff w:val="tab"/>
      <w:lvlText w:val="%4."/>
      <w:lvlJc w:val="left"/>
      <w:pPr>
        <w:pStyle w:val="883"/>
        <w:ind w:left="2469" w:hanging="440"/>
      </w:pPr>
    </w:lvl>
    <w:lvl w:ilvl="4">
      <w:start w:val="1"/>
      <w:numFmt w:val="lowerLetter"/>
      <w:isLgl w:val="false"/>
      <w:suff w:val="tab"/>
      <w:lvlText w:val="%5)"/>
      <w:lvlJc w:val="left"/>
      <w:pPr>
        <w:pStyle w:val="883"/>
        <w:ind w:left="2909" w:hanging="440"/>
      </w:pPr>
    </w:lvl>
    <w:lvl w:ilvl="5">
      <w:start w:val="1"/>
      <w:numFmt w:val="lowerRoman"/>
      <w:isLgl w:val="false"/>
      <w:suff w:val="tab"/>
      <w:lvlText w:val="%6."/>
      <w:lvlJc w:val="right"/>
      <w:pPr>
        <w:pStyle w:val="883"/>
        <w:ind w:left="3349" w:hanging="440"/>
      </w:pPr>
    </w:lvl>
    <w:lvl w:ilvl="6">
      <w:start w:val="1"/>
      <w:numFmt w:val="decimal"/>
      <w:isLgl w:val="false"/>
      <w:suff w:val="tab"/>
      <w:lvlText w:val="%7."/>
      <w:lvlJc w:val="left"/>
      <w:pPr>
        <w:pStyle w:val="883"/>
        <w:ind w:left="3789" w:hanging="440"/>
      </w:pPr>
    </w:lvl>
    <w:lvl w:ilvl="7">
      <w:start w:val="1"/>
      <w:numFmt w:val="lowerLetter"/>
      <w:isLgl w:val="false"/>
      <w:suff w:val="tab"/>
      <w:lvlText w:val="%8)"/>
      <w:lvlJc w:val="left"/>
      <w:pPr>
        <w:pStyle w:val="883"/>
        <w:ind w:left="4229" w:hanging="440"/>
      </w:pPr>
    </w:lvl>
    <w:lvl w:ilvl="8">
      <w:start w:val="1"/>
      <w:numFmt w:val="lowerRoman"/>
      <w:isLgl w:val="false"/>
      <w:suff w:val="tab"/>
      <w:lvlText w:val="%9."/>
      <w:lvlJc w:val="right"/>
      <w:pPr>
        <w:pStyle w:val="883"/>
        <w:ind w:left="4669" w:hanging="440"/>
      </w:pPr>
    </w:lvl>
  </w:abstractNum>
  <w:abstractNum w:abstractNumId="8">
    <w:multiLevelType w:val="hybridMultilevel"/>
    <w:lvl w:ilvl="0">
      <w:start w:val="1"/>
      <w:numFmt w:val="decimal"/>
      <w:isLgl w:val="false"/>
      <w:suff w:val="tab"/>
      <w:lvlText w:val="（%1）"/>
      <w:lvlJc w:val="left"/>
      <w:pPr>
        <w:pStyle w:val="883"/>
        <w:ind w:left="1149" w:hanging="440"/>
      </w:pPr>
    </w:lvl>
    <w:lvl w:ilvl="1">
      <w:start w:val="1"/>
      <w:numFmt w:val="decimal"/>
      <w:isLgl w:val="false"/>
      <w:suff w:val="tab"/>
      <w:lvlText w:val="（%2）"/>
      <w:lvlJc w:val="left"/>
      <w:pPr>
        <w:pStyle w:val="883"/>
        <w:ind w:left="1869" w:hanging="720"/>
      </w:pPr>
    </w:lvl>
    <w:lvl w:ilvl="2">
      <w:start w:val="1"/>
      <w:numFmt w:val="lowerRoman"/>
      <w:isLgl w:val="false"/>
      <w:suff w:val="tab"/>
      <w:lvlText w:val="%3."/>
      <w:lvlJc w:val="right"/>
      <w:pPr>
        <w:pStyle w:val="883"/>
        <w:ind w:left="2029" w:hanging="440"/>
      </w:pPr>
    </w:lvl>
    <w:lvl w:ilvl="3">
      <w:start w:val="1"/>
      <w:numFmt w:val="decimal"/>
      <w:isLgl w:val="false"/>
      <w:suff w:val="tab"/>
      <w:lvlText w:val="%4."/>
      <w:lvlJc w:val="left"/>
      <w:pPr>
        <w:pStyle w:val="883"/>
        <w:ind w:left="2469" w:hanging="440"/>
      </w:pPr>
    </w:lvl>
    <w:lvl w:ilvl="4">
      <w:start w:val="1"/>
      <w:numFmt w:val="lowerLetter"/>
      <w:isLgl w:val="false"/>
      <w:suff w:val="tab"/>
      <w:lvlText w:val="%5)"/>
      <w:lvlJc w:val="left"/>
      <w:pPr>
        <w:pStyle w:val="883"/>
        <w:ind w:left="2909" w:hanging="440"/>
      </w:pPr>
    </w:lvl>
    <w:lvl w:ilvl="5">
      <w:start w:val="1"/>
      <w:numFmt w:val="lowerRoman"/>
      <w:isLgl w:val="false"/>
      <w:suff w:val="tab"/>
      <w:lvlText w:val="%6."/>
      <w:lvlJc w:val="right"/>
      <w:pPr>
        <w:pStyle w:val="883"/>
        <w:ind w:left="3349" w:hanging="440"/>
      </w:pPr>
    </w:lvl>
    <w:lvl w:ilvl="6">
      <w:start w:val="1"/>
      <w:numFmt w:val="decimal"/>
      <w:isLgl w:val="false"/>
      <w:suff w:val="tab"/>
      <w:lvlText w:val="%7."/>
      <w:lvlJc w:val="left"/>
      <w:pPr>
        <w:pStyle w:val="883"/>
        <w:ind w:left="3789" w:hanging="440"/>
      </w:pPr>
    </w:lvl>
    <w:lvl w:ilvl="7">
      <w:start w:val="1"/>
      <w:numFmt w:val="lowerLetter"/>
      <w:isLgl w:val="false"/>
      <w:suff w:val="tab"/>
      <w:lvlText w:val="%8)"/>
      <w:lvlJc w:val="left"/>
      <w:pPr>
        <w:pStyle w:val="883"/>
        <w:ind w:left="4229" w:hanging="440"/>
      </w:pPr>
    </w:lvl>
    <w:lvl w:ilvl="8">
      <w:start w:val="1"/>
      <w:numFmt w:val="lowerRoman"/>
      <w:isLgl w:val="false"/>
      <w:suff w:val="tab"/>
      <w:lvlText w:val="%9."/>
      <w:lvlJc w:val="right"/>
      <w:pPr>
        <w:pStyle w:val="883"/>
        <w:ind w:left="4669" w:hanging="440"/>
      </w:pPr>
    </w:lvl>
  </w:abstractNum>
  <w:abstractNum w:abstractNumId="9">
    <w:multiLevelType w:val="hybridMultilevel"/>
    <w:lvl w:ilvl="0">
      <w:start w:val="3"/>
      <w:numFmt w:val="decimal"/>
      <w:isLgl w:val="false"/>
      <w:suff w:val="space"/>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83"/>
        <w:ind w:left="920" w:hanging="440"/>
      </w:pPr>
    </w:lvl>
    <w:lvl w:ilvl="1">
      <w:start w:val="1"/>
      <w:numFmt w:val="decimal"/>
      <w:isLgl w:val="false"/>
      <w:suff w:val="tab"/>
      <w:lvlText w:val="（%2）"/>
      <w:lvlJc w:val="left"/>
      <w:pPr>
        <w:pStyle w:val="883"/>
        <w:ind w:left="1640" w:hanging="720"/>
      </w:pPr>
    </w:lvl>
    <w:lvl w:ilvl="2">
      <w:start w:val="1"/>
      <w:numFmt w:val="lowerRoman"/>
      <w:isLgl w:val="false"/>
      <w:suff w:val="tab"/>
      <w:lvlText w:val="%3."/>
      <w:lvlJc w:val="right"/>
      <w:pPr>
        <w:pStyle w:val="883"/>
        <w:ind w:left="1800" w:hanging="440"/>
      </w:pPr>
    </w:lvl>
    <w:lvl w:ilvl="3">
      <w:start w:val="1"/>
      <w:numFmt w:val="decimal"/>
      <w:isLgl w:val="false"/>
      <w:suff w:val="tab"/>
      <w:lvlText w:val="%4."/>
      <w:lvlJc w:val="left"/>
      <w:pPr>
        <w:pStyle w:val="883"/>
        <w:ind w:left="2240" w:hanging="440"/>
      </w:pPr>
    </w:lvl>
    <w:lvl w:ilvl="4">
      <w:start w:val="1"/>
      <w:numFmt w:val="lowerLetter"/>
      <w:isLgl w:val="false"/>
      <w:suff w:val="tab"/>
      <w:lvlText w:val="%5)"/>
      <w:lvlJc w:val="left"/>
      <w:pPr>
        <w:pStyle w:val="883"/>
        <w:ind w:left="2680" w:hanging="440"/>
      </w:pPr>
    </w:lvl>
    <w:lvl w:ilvl="5">
      <w:start w:val="1"/>
      <w:numFmt w:val="lowerRoman"/>
      <w:isLgl w:val="false"/>
      <w:suff w:val="tab"/>
      <w:lvlText w:val="%6."/>
      <w:lvlJc w:val="right"/>
      <w:pPr>
        <w:pStyle w:val="883"/>
        <w:ind w:left="3120" w:hanging="440"/>
      </w:pPr>
    </w:lvl>
    <w:lvl w:ilvl="6">
      <w:start w:val="1"/>
      <w:numFmt w:val="decimal"/>
      <w:isLgl w:val="false"/>
      <w:suff w:val="tab"/>
      <w:lvlText w:val="%7."/>
      <w:lvlJc w:val="left"/>
      <w:pPr>
        <w:pStyle w:val="883"/>
        <w:ind w:left="3560" w:hanging="440"/>
      </w:pPr>
    </w:lvl>
    <w:lvl w:ilvl="7">
      <w:start w:val="1"/>
      <w:numFmt w:val="lowerLetter"/>
      <w:isLgl w:val="false"/>
      <w:suff w:val="tab"/>
      <w:lvlText w:val="%8)"/>
      <w:lvlJc w:val="left"/>
      <w:pPr>
        <w:pStyle w:val="883"/>
        <w:ind w:left="4000" w:hanging="440"/>
      </w:pPr>
    </w:lvl>
    <w:lvl w:ilvl="8">
      <w:start w:val="1"/>
      <w:numFmt w:val="lowerRoman"/>
      <w:isLgl w:val="false"/>
      <w:suff w:val="tab"/>
      <w:lvlText w:val="%9."/>
      <w:lvlJc w:val="right"/>
      <w:pPr>
        <w:pStyle w:val="883"/>
        <w:ind w:left="4440" w:hanging="440"/>
      </w:pPr>
    </w:lvl>
  </w:abstractNum>
  <w:num w:numId="1">
    <w:abstractNumId w:val="6"/>
  </w:num>
  <w:num w:numId="2">
    <w:abstractNumId w:val="2"/>
  </w:num>
  <w:num w:numId="3">
    <w:abstractNumId w:val="4"/>
  </w:num>
  <w:num w:numId="4">
    <w:abstractNumId w:val="0"/>
  </w:num>
  <w:num w:numId="5">
    <w:abstractNumId w:val="1"/>
  </w:num>
  <w:num w:numId="6">
    <w:abstractNumId w:val="5"/>
  </w:num>
  <w:num w:numId="7">
    <w:abstractNumId w:val="10"/>
  </w:num>
  <w:num w:numId="8">
    <w:abstractNumId w:val="8"/>
  </w:num>
  <w:num w:numId="9">
    <w:abstractNumId w:val="7"/>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95"/>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900"/>
    <w:qFormat/>
    <w:pPr>
      <w:jc w:val="center"/>
      <w:keepNext/>
      <w:outlineLvl w:val="0"/>
    </w:pPr>
    <w:rPr>
      <w:rFonts w:ascii="楷体_GB2312" w:eastAsia="楷体_GB2312"/>
      <w:sz w:val="28"/>
      <w:szCs w:val="28"/>
    </w:rPr>
  </w:style>
  <w:style w:type="paragraph" w:styleId="885">
    <w:name w:val="标题 2"/>
    <w:basedOn w:val="883"/>
    <w:next w:val="902"/>
    <w:link w:val="901"/>
    <w:qFormat/>
    <w:pPr>
      <w:jc w:val="center"/>
      <w:keepLines/>
      <w:keepNext/>
      <w:spacing w:before="260" w:after="260" w:line="416" w:lineRule="auto"/>
      <w:outlineLvl w:val="1"/>
    </w:pPr>
    <w:rPr>
      <w:rFonts w:ascii="Arial" w:hAnsi="Arial" w:eastAsia="幼圆" w:cs="Arial"/>
      <w:b/>
      <w:bCs/>
      <w:sz w:val="44"/>
      <w:szCs w:val="44"/>
    </w:rPr>
  </w:style>
  <w:style w:type="paragraph" w:styleId="886">
    <w:name w:val="标题 3"/>
    <w:basedOn w:val="883"/>
    <w:next w:val="902"/>
    <w:link w:val="904"/>
    <w:qFormat/>
    <w:pPr>
      <w:keepLines/>
      <w:keepNext/>
      <w:spacing w:before="260" w:after="260" w:line="416" w:lineRule="auto"/>
      <w:outlineLvl w:val="2"/>
    </w:pPr>
    <w:rPr>
      <w:b/>
      <w:bCs/>
      <w:sz w:val="32"/>
      <w:szCs w:val="32"/>
    </w:rPr>
  </w:style>
  <w:style w:type="paragraph" w:styleId="887">
    <w:name w:val="标题 4"/>
    <w:basedOn w:val="883"/>
    <w:next w:val="902"/>
    <w:link w:val="905"/>
    <w:qFormat/>
    <w:pPr>
      <w:keepLines/>
      <w:keepNext/>
      <w:spacing w:before="280" w:after="290" w:line="376" w:lineRule="auto"/>
      <w:outlineLvl w:val="3"/>
    </w:pPr>
    <w:rPr>
      <w:rFonts w:ascii="Arial" w:hAnsi="Arial" w:eastAsia="黑体" w:cs="Arial"/>
      <w:b/>
      <w:bCs/>
      <w:sz w:val="28"/>
      <w:szCs w:val="28"/>
    </w:rPr>
  </w:style>
  <w:style w:type="paragraph" w:styleId="888">
    <w:name w:val="标题 5"/>
    <w:basedOn w:val="883"/>
    <w:next w:val="902"/>
    <w:link w:val="906"/>
    <w:qFormat/>
    <w:pPr>
      <w:keepNext/>
      <w:outlineLvl w:val="4"/>
    </w:pPr>
    <w:rPr>
      <w:rFonts w:ascii="宋体"/>
      <w:color w:val="000000"/>
      <w:sz w:val="28"/>
      <w:szCs w:val="28"/>
    </w:rPr>
  </w:style>
  <w:style w:type="paragraph" w:styleId="889">
    <w:name w:val="标题 6"/>
    <w:basedOn w:val="883"/>
    <w:next w:val="883"/>
    <w:link w:val="907"/>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8"/>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9"/>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10"/>
    <w:qFormat/>
    <w:pPr>
      <w:numPr>
        <w:ilvl w:val="8"/>
        <w:numId w:val="1"/>
      </w:numPr>
      <w:keepLines/>
      <w:keepNext/>
      <w:spacing w:before="240" w:after="64" w:line="320" w:lineRule="auto"/>
      <w:outlineLvl w:val="8"/>
    </w:pPr>
    <w:rPr>
      <w:rFonts w:ascii="Arial" w:hAnsi="Arial" w:eastAsia="黑体"/>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paragraph" w:styleId="895">
    <w:name w:val="正文首行缩进 2"/>
    <w:basedOn w:val="896"/>
    <w:next w:val="883"/>
    <w:link w:val="899"/>
    <w:pPr>
      <w:ind w:firstLine="420"/>
      <w:spacing w:line="360" w:lineRule="auto"/>
    </w:pPr>
    <w:rPr>
      <w:rFonts w:ascii="宋体" w:hAnsi="宋体" w:eastAsia="宋体"/>
      <w:sz w:val="21"/>
      <w:szCs w:val="20"/>
    </w:rPr>
  </w:style>
  <w:style w:type="paragraph" w:styleId="896">
    <w:name w:val="正文文本缩进"/>
    <w:basedOn w:val="883"/>
    <w:next w:val="898"/>
    <w:link w:val="897"/>
    <w:pPr>
      <w:ind w:firstLine="645"/>
    </w:pPr>
    <w:rPr>
      <w:rFonts w:ascii="楷体_GB2312" w:eastAsia="楷体_GB2312"/>
      <w:sz w:val="32"/>
      <w:szCs w:val="32"/>
    </w:rPr>
  </w:style>
  <w:style w:type="character" w:styleId="897">
    <w:name w:val="正文文本缩进 Char"/>
    <w:next w:val="897"/>
    <w:link w:val="896"/>
    <w:rPr>
      <w:rFonts w:ascii="楷体_GB2312" w:hAnsi="Times New Roman" w:eastAsia="楷体_GB2312" w:cs="Times New Roman"/>
      <w:sz w:val="32"/>
      <w:szCs w:val="32"/>
    </w:rPr>
  </w:style>
  <w:style w:type="paragraph" w:styleId="898">
    <w:name w:val="寄信人地址"/>
    <w:basedOn w:val="883"/>
    <w:next w:val="898"/>
    <w:link w:val="883"/>
    <w:qFormat/>
    <w:rPr>
      <w:rFonts w:ascii="Arial" w:hAnsi="Arial" w:eastAsia="宋体" w:cs="宋体"/>
    </w:rPr>
  </w:style>
  <w:style w:type="character" w:styleId="899">
    <w:name w:val="正文首行缩进 2 Char"/>
    <w:next w:val="899"/>
    <w:link w:val="895"/>
    <w:rPr>
      <w:rFonts w:ascii="宋体" w:hAnsi="宋体" w:eastAsia="宋体" w:cs="Times New Roman"/>
      <w:sz w:val="32"/>
      <w:szCs w:val="20"/>
    </w:rPr>
  </w:style>
  <w:style w:type="character" w:styleId="900">
    <w:name w:val="标题 1 Char"/>
    <w:next w:val="900"/>
    <w:link w:val="884"/>
    <w:rPr>
      <w:rFonts w:ascii="楷体_GB2312" w:hAnsi="Times New Roman" w:eastAsia="楷体_GB2312" w:cs="Times New Roman"/>
      <w:sz w:val="28"/>
      <w:szCs w:val="28"/>
    </w:rPr>
  </w:style>
  <w:style w:type="character" w:styleId="901">
    <w:name w:val="标题 2 Char"/>
    <w:next w:val="901"/>
    <w:link w:val="885"/>
    <w:rPr>
      <w:rFonts w:ascii="Arial" w:hAnsi="Arial" w:eastAsia="幼圆" w:cs="Arial"/>
      <w:b/>
      <w:bCs/>
      <w:sz w:val="44"/>
      <w:szCs w:val="44"/>
    </w:rPr>
  </w:style>
  <w:style w:type="paragraph" w:styleId="902">
    <w:name w:val="正文缩进"/>
    <w:basedOn w:val="883"/>
    <w:next w:val="902"/>
    <w:link w:val="903"/>
    <w:pPr>
      <w:ind w:firstLine="420"/>
    </w:pPr>
  </w:style>
  <w:style w:type="character" w:styleId="903">
    <w:name w:val="正文缩进 Char"/>
    <w:next w:val="903"/>
    <w:link w:val="902"/>
    <w:rPr>
      <w:rFonts w:ascii="Times New Roman" w:hAnsi="Times New Roman" w:eastAsia="宋体" w:cs="Times New Roman"/>
      <w:szCs w:val="21"/>
    </w:rPr>
  </w:style>
  <w:style w:type="character" w:styleId="904">
    <w:name w:val="标题 3 Char"/>
    <w:next w:val="904"/>
    <w:link w:val="886"/>
    <w:rPr>
      <w:rFonts w:ascii="Times New Roman" w:hAnsi="Times New Roman" w:eastAsia="宋体" w:cs="Times New Roman"/>
      <w:b/>
      <w:bCs/>
      <w:sz w:val="32"/>
      <w:szCs w:val="32"/>
    </w:rPr>
  </w:style>
  <w:style w:type="character" w:styleId="905">
    <w:name w:val="标题 4 Char"/>
    <w:next w:val="905"/>
    <w:link w:val="887"/>
    <w:rPr>
      <w:rFonts w:ascii="Arial" w:hAnsi="Arial" w:eastAsia="黑体" w:cs="Arial"/>
      <w:b/>
      <w:bCs/>
      <w:sz w:val="28"/>
      <w:szCs w:val="28"/>
    </w:rPr>
  </w:style>
  <w:style w:type="character" w:styleId="906">
    <w:name w:val="标题 5 Char"/>
    <w:next w:val="906"/>
    <w:link w:val="888"/>
    <w:rPr>
      <w:rFonts w:ascii="宋体" w:hAnsi="Times New Roman" w:eastAsia="宋体" w:cs="Times New Roman"/>
      <w:color w:val="000000"/>
      <w:sz w:val="28"/>
      <w:szCs w:val="28"/>
    </w:rPr>
  </w:style>
  <w:style w:type="character" w:styleId="907">
    <w:name w:val="标题 6 Char"/>
    <w:next w:val="907"/>
    <w:link w:val="889"/>
    <w:rPr>
      <w:rFonts w:ascii="Arial" w:hAnsi="Arial" w:eastAsia="黑体" w:cs="Times New Roman"/>
      <w:b/>
      <w:bCs/>
      <w:sz w:val="24"/>
      <w:szCs w:val="24"/>
    </w:rPr>
  </w:style>
  <w:style w:type="character" w:styleId="908">
    <w:name w:val="标题 7 Char"/>
    <w:next w:val="908"/>
    <w:link w:val="890"/>
    <w:rPr>
      <w:rFonts w:ascii="Times New Roman" w:hAnsi="Times New Roman" w:eastAsia="宋体" w:cs="Times New Roman"/>
      <w:b/>
      <w:bCs/>
      <w:sz w:val="24"/>
      <w:szCs w:val="24"/>
    </w:rPr>
  </w:style>
  <w:style w:type="character" w:styleId="909">
    <w:name w:val="标题 8 Char"/>
    <w:next w:val="909"/>
    <w:link w:val="891"/>
    <w:rPr>
      <w:rFonts w:ascii="Arial" w:hAnsi="Arial" w:eastAsia="黑体" w:cs="Times New Roman"/>
      <w:sz w:val="24"/>
      <w:szCs w:val="24"/>
    </w:rPr>
  </w:style>
  <w:style w:type="character" w:styleId="910">
    <w:name w:val="标题 9 Char"/>
    <w:next w:val="910"/>
    <w:link w:val="892"/>
    <w:rPr>
      <w:rFonts w:ascii="Arial" w:hAnsi="Arial" w:eastAsia="黑体" w:cs="Times New Roman"/>
      <w:szCs w:val="21"/>
    </w:rPr>
  </w:style>
  <w:style w:type="paragraph" w:styleId="911">
    <w:name w:val="列表 3"/>
    <w:basedOn w:val="883"/>
    <w:next w:val="911"/>
    <w:link w:val="883"/>
    <w:pPr>
      <w:ind w:left="100" w:hanging="200"/>
    </w:pPr>
  </w:style>
  <w:style w:type="paragraph" w:styleId="912">
    <w:name w:val="目录 7"/>
    <w:basedOn w:val="883"/>
    <w:next w:val="883"/>
    <w:link w:val="883"/>
    <w:semiHidden/>
    <w:pPr>
      <w:ind w:left="1260"/>
      <w:jc w:val="left"/>
    </w:pPr>
  </w:style>
  <w:style w:type="paragraph" w:styleId="913">
    <w:name w:val="文档结构图"/>
    <w:basedOn w:val="883"/>
    <w:next w:val="913"/>
    <w:link w:val="914"/>
    <w:semiHidden/>
    <w:pPr>
      <w:shd w:val="clear" w:color="auto" w:fill="000080"/>
    </w:pPr>
  </w:style>
  <w:style w:type="character" w:styleId="914">
    <w:name w:val="文档结构图 Char"/>
    <w:next w:val="914"/>
    <w:link w:val="913"/>
    <w:semiHidden/>
    <w:rPr>
      <w:rFonts w:ascii="Times New Roman" w:hAnsi="Times New Roman" w:eastAsia="宋体" w:cs="Times New Roman"/>
      <w:szCs w:val="21"/>
      <w:shd w:val="clear" w:color="auto" w:fill="000080"/>
    </w:rPr>
  </w:style>
  <w:style w:type="paragraph" w:styleId="915">
    <w:name w:val="批注文字"/>
    <w:basedOn w:val="883"/>
    <w:next w:val="915"/>
    <w:link w:val="916"/>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16">
    <w:name w:val="批注文字 Char"/>
    <w:next w:val="916"/>
    <w:link w:val="915"/>
    <w:semiHidden/>
    <w:rPr>
      <w:rFonts w:ascii="Times New Roman" w:hAnsi="Times New Roman" w:eastAsia="宋体" w:cs="Times New Roman"/>
      <w:szCs w:val="21"/>
    </w:rPr>
  </w:style>
  <w:style w:type="paragraph" w:styleId="917">
    <w:name w:val="正文文本 3"/>
    <w:basedOn w:val="883"/>
    <w:next w:val="917"/>
    <w:link w:val="918"/>
    <w:rPr>
      <w:rFonts w:ascii="仿宋_GB2312" w:hAnsi="Arial" w:eastAsia="仿宋_GB2312"/>
      <w:sz w:val="32"/>
      <w:szCs w:val="32"/>
    </w:rPr>
  </w:style>
  <w:style w:type="character" w:styleId="918">
    <w:name w:val="正文文本 3 Char"/>
    <w:next w:val="918"/>
    <w:link w:val="917"/>
    <w:rPr>
      <w:rFonts w:ascii="仿宋_GB2312" w:hAnsi="Arial" w:eastAsia="仿宋_GB2312" w:cs="Times New Roman"/>
      <w:sz w:val="32"/>
      <w:szCs w:val="32"/>
    </w:rPr>
  </w:style>
  <w:style w:type="paragraph" w:styleId="919">
    <w:name w:val="正文文本"/>
    <w:basedOn w:val="883"/>
    <w:next w:val="919"/>
    <w:link w:val="920"/>
    <w:rPr>
      <w:rFonts w:ascii="楷体_GB2312" w:hAnsi="Arial" w:eastAsia="楷体_GB2312"/>
      <w:sz w:val="28"/>
      <w:szCs w:val="28"/>
    </w:rPr>
  </w:style>
  <w:style w:type="character" w:styleId="920">
    <w:name w:val="正文文本 Char"/>
    <w:next w:val="920"/>
    <w:link w:val="919"/>
    <w:rPr>
      <w:rFonts w:ascii="楷体_GB2312" w:hAnsi="Arial" w:eastAsia="楷体_GB2312" w:cs="Times New Roman"/>
      <w:sz w:val="28"/>
      <w:szCs w:val="28"/>
    </w:rPr>
  </w:style>
  <w:style w:type="paragraph" w:styleId="921">
    <w:name w:val="列表 2"/>
    <w:basedOn w:val="883"/>
    <w:next w:val="921"/>
    <w:link w:val="883"/>
    <w:pPr>
      <w:ind w:left="100" w:hanging="200"/>
    </w:pPr>
  </w:style>
  <w:style w:type="paragraph" w:styleId="922">
    <w:name w:val="目录 5"/>
    <w:basedOn w:val="883"/>
    <w:next w:val="883"/>
    <w:link w:val="883"/>
    <w:semiHidden/>
    <w:pPr>
      <w:ind w:left="840"/>
      <w:jc w:val="left"/>
    </w:pPr>
  </w:style>
  <w:style w:type="paragraph" w:styleId="923">
    <w:name w:val="目录 3"/>
    <w:basedOn w:val="883"/>
    <w:next w:val="883"/>
    <w:link w:val="883"/>
    <w:semiHidden/>
    <w:pPr>
      <w:ind w:left="420"/>
      <w:jc w:val="left"/>
    </w:pPr>
    <w:rPr>
      <w:i/>
      <w:iCs/>
      <w:szCs w:val="24"/>
    </w:rPr>
  </w:style>
  <w:style w:type="paragraph" w:styleId="924">
    <w:name w:val="纯文本"/>
    <w:basedOn w:val="883"/>
    <w:next w:val="924"/>
    <w:link w:val="925"/>
    <w:rPr>
      <w:rFonts w:ascii="宋体" w:hAnsi="Courier New" w:cs="Courier New"/>
    </w:rPr>
  </w:style>
  <w:style w:type="character" w:styleId="925">
    <w:name w:val="纯文本 Char"/>
    <w:next w:val="925"/>
    <w:link w:val="924"/>
    <w:rPr>
      <w:rFonts w:ascii="宋体" w:hAnsi="Courier New" w:eastAsia="宋体" w:cs="Courier New"/>
      <w:szCs w:val="21"/>
    </w:rPr>
  </w:style>
  <w:style w:type="paragraph" w:styleId="926">
    <w:name w:val="目录 8"/>
    <w:basedOn w:val="883"/>
    <w:next w:val="883"/>
    <w:link w:val="883"/>
    <w:semiHidden/>
    <w:pPr>
      <w:ind w:left="1470"/>
      <w:jc w:val="left"/>
    </w:pPr>
  </w:style>
  <w:style w:type="paragraph" w:styleId="927">
    <w:name w:val="日期"/>
    <w:basedOn w:val="883"/>
    <w:next w:val="883"/>
    <w:link w:val="928"/>
    <w:rPr>
      <w:sz w:val="24"/>
      <w:szCs w:val="24"/>
    </w:rPr>
  </w:style>
  <w:style w:type="character" w:styleId="928">
    <w:name w:val="日期 Char"/>
    <w:next w:val="928"/>
    <w:link w:val="927"/>
    <w:rPr>
      <w:rFonts w:ascii="Times New Roman" w:hAnsi="Times New Roman" w:eastAsia="宋体" w:cs="Times New Roman"/>
      <w:sz w:val="24"/>
      <w:szCs w:val="24"/>
    </w:rPr>
  </w:style>
  <w:style w:type="paragraph" w:styleId="929">
    <w:name w:val="正文文本缩进 2"/>
    <w:basedOn w:val="883"/>
    <w:next w:val="929"/>
    <w:link w:val="930"/>
    <w:pPr>
      <w:ind w:left="630" w:firstLine="645"/>
    </w:pPr>
    <w:rPr>
      <w:rFonts w:ascii="Arial" w:hAnsi="Arial" w:eastAsia="仿宋_GB2312" w:cs="Arial"/>
      <w:sz w:val="32"/>
      <w:szCs w:val="32"/>
    </w:rPr>
  </w:style>
  <w:style w:type="character" w:styleId="930">
    <w:name w:val="正文文本缩进 2 Char"/>
    <w:next w:val="930"/>
    <w:link w:val="929"/>
    <w:rPr>
      <w:rFonts w:ascii="Arial" w:hAnsi="Arial" w:eastAsia="仿宋_GB2312" w:cs="Arial"/>
      <w:sz w:val="32"/>
      <w:szCs w:val="32"/>
    </w:rPr>
  </w:style>
  <w:style w:type="paragraph" w:styleId="931">
    <w:name w:val="批注框文本"/>
    <w:basedOn w:val="883"/>
    <w:next w:val="931"/>
    <w:link w:val="932"/>
    <w:semiHidden/>
    <w:rPr>
      <w:sz w:val="18"/>
      <w:szCs w:val="18"/>
    </w:rPr>
  </w:style>
  <w:style w:type="character" w:styleId="932">
    <w:name w:val="批注框文本 Char"/>
    <w:next w:val="932"/>
    <w:link w:val="931"/>
    <w:semiHidden/>
    <w:rPr>
      <w:rFonts w:ascii="Times New Roman" w:hAnsi="Times New Roman" w:eastAsia="宋体" w:cs="Times New Roman"/>
      <w:sz w:val="18"/>
      <w:szCs w:val="18"/>
    </w:rPr>
  </w:style>
  <w:style w:type="paragraph" w:styleId="933">
    <w:name w:val="页脚"/>
    <w:basedOn w:val="883"/>
    <w:next w:val="933"/>
    <w:link w:val="934"/>
    <w:pPr>
      <w:jc w:val="left"/>
      <w:tabs>
        <w:tab w:val="center" w:pos="4153" w:leader="none"/>
        <w:tab w:val="right" w:pos="8306" w:leader="none"/>
      </w:tabs>
    </w:pPr>
    <w:rPr>
      <w:sz w:val="18"/>
      <w:szCs w:val="18"/>
    </w:rPr>
  </w:style>
  <w:style w:type="character" w:styleId="934">
    <w:name w:val="页脚 Char"/>
    <w:next w:val="934"/>
    <w:link w:val="933"/>
    <w:rPr>
      <w:rFonts w:ascii="Times New Roman" w:hAnsi="Times New Roman" w:eastAsia="宋体" w:cs="Times New Roman"/>
      <w:sz w:val="18"/>
      <w:szCs w:val="18"/>
    </w:rPr>
  </w:style>
  <w:style w:type="paragraph" w:styleId="935">
    <w:name w:val="页眉"/>
    <w:basedOn w:val="883"/>
    <w:next w:val="935"/>
    <w:link w:val="936"/>
    <w:pPr>
      <w:jc w:val="center"/>
      <w:tabs>
        <w:tab w:val="center" w:pos="4153" w:leader="none"/>
        <w:tab w:val="right" w:pos="8306" w:leader="none"/>
      </w:tabs>
      <w:pBdr>
        <w:bottom w:val="single" w:color="000000" w:sz="6" w:space="1"/>
      </w:pBdr>
    </w:pPr>
    <w:rPr>
      <w:sz w:val="18"/>
      <w:szCs w:val="18"/>
    </w:rPr>
  </w:style>
  <w:style w:type="character" w:styleId="936">
    <w:name w:val="页眉 Char"/>
    <w:next w:val="936"/>
    <w:link w:val="935"/>
    <w:rPr>
      <w:rFonts w:ascii="Times New Roman" w:hAnsi="Times New Roman" w:eastAsia="宋体" w:cs="Times New Roman"/>
      <w:sz w:val="18"/>
      <w:szCs w:val="18"/>
    </w:rPr>
  </w:style>
  <w:style w:type="paragraph" w:styleId="937">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8">
    <w:name w:val="目录 4"/>
    <w:basedOn w:val="883"/>
    <w:next w:val="883"/>
    <w:link w:val="883"/>
    <w:semiHidden/>
    <w:pPr>
      <w:ind w:left="630"/>
      <w:jc w:val="left"/>
    </w:pPr>
  </w:style>
  <w:style w:type="paragraph" w:styleId="939">
    <w:name w:val="列表"/>
    <w:basedOn w:val="883"/>
    <w:next w:val="939"/>
    <w:link w:val="883"/>
    <w:pPr>
      <w:ind w:left="200" w:hanging="200"/>
    </w:pPr>
  </w:style>
  <w:style w:type="paragraph" w:styleId="940">
    <w:name w:val="目录 6"/>
    <w:basedOn w:val="883"/>
    <w:next w:val="883"/>
    <w:link w:val="883"/>
    <w:semiHidden/>
    <w:pPr>
      <w:ind w:left="1050"/>
      <w:jc w:val="left"/>
    </w:pPr>
  </w:style>
  <w:style w:type="paragraph" w:styleId="941">
    <w:name w:val="正文文本缩进 3"/>
    <w:basedOn w:val="883"/>
    <w:next w:val="941"/>
    <w:link w:val="942"/>
    <w:pPr>
      <w:ind w:left="645" w:firstLine="645"/>
    </w:pPr>
    <w:rPr>
      <w:rFonts w:ascii="Arial" w:hAnsi="Arial" w:eastAsia="仿宋_GB2312" w:cs="Arial"/>
      <w:color w:val="ffff00"/>
      <w:sz w:val="32"/>
      <w:szCs w:val="32"/>
    </w:rPr>
  </w:style>
  <w:style w:type="character" w:styleId="942">
    <w:name w:val="正文文本缩进 3 Char"/>
    <w:next w:val="942"/>
    <w:link w:val="941"/>
    <w:rPr>
      <w:rFonts w:ascii="Arial" w:hAnsi="Arial" w:eastAsia="仿宋_GB2312" w:cs="Arial"/>
      <w:color w:val="ffff00"/>
      <w:sz w:val="32"/>
      <w:szCs w:val="32"/>
    </w:rPr>
  </w:style>
  <w:style w:type="paragraph" w:styleId="943">
    <w:name w:val="图表目录"/>
    <w:basedOn w:val="883"/>
    <w:next w:val="883"/>
    <w:link w:val="883"/>
    <w:semiHidden/>
    <w:pPr>
      <w:ind w:left="840" w:hanging="420"/>
    </w:pPr>
  </w:style>
  <w:style w:type="paragraph" w:styleId="944">
    <w:name w:val="目录 2"/>
    <w:basedOn w:val="883"/>
    <w:next w:val="883"/>
    <w:link w:val="883"/>
    <w:semiHidden/>
    <w:pPr>
      <w:ind w:left="210"/>
      <w:jc w:val="left"/>
    </w:pPr>
    <w:rPr>
      <w:smallCaps/>
      <w:szCs w:val="24"/>
    </w:rPr>
  </w:style>
  <w:style w:type="paragraph" w:styleId="945">
    <w:name w:val="目录 9"/>
    <w:basedOn w:val="883"/>
    <w:next w:val="883"/>
    <w:link w:val="883"/>
    <w:semiHidden/>
    <w:pPr>
      <w:ind w:left="1680"/>
      <w:jc w:val="left"/>
    </w:pPr>
  </w:style>
  <w:style w:type="paragraph" w:styleId="946">
    <w:name w:val="正文文本 2"/>
    <w:basedOn w:val="883"/>
    <w:next w:val="946"/>
    <w:link w:val="947"/>
    <w:pPr>
      <w:jc w:val="center"/>
      <w:widowControl/>
    </w:pPr>
    <w:rPr>
      <w:rFonts w:ascii="楷体_GB2312" w:eastAsia="楷体_GB2312"/>
      <w:sz w:val="28"/>
      <w:szCs w:val="28"/>
    </w:rPr>
  </w:style>
  <w:style w:type="character" w:styleId="947">
    <w:name w:val="正文文本 2 Char"/>
    <w:next w:val="947"/>
    <w:link w:val="946"/>
    <w:rPr>
      <w:rFonts w:ascii="楷体_GB2312" w:hAnsi="Times New Roman" w:eastAsia="楷体_GB2312" w:cs="Times New Roman"/>
      <w:sz w:val="28"/>
      <w:szCs w:val="28"/>
    </w:rPr>
  </w:style>
  <w:style w:type="paragraph" w:styleId="948">
    <w:name w:val="普通(网站)"/>
    <w:basedOn w:val="883"/>
    <w:next w:val="948"/>
    <w:link w:val="883"/>
    <w:uiPriority w:val="99"/>
    <w:pPr>
      <w:jc w:val="left"/>
      <w:spacing w:before="100" w:beforeAutospacing="1" w:after="100" w:afterAutospacing="1"/>
      <w:widowControl/>
    </w:pPr>
    <w:rPr>
      <w:rFonts w:ascii="宋体" w:hAnsi="宋体" w:cs="宋体"/>
      <w:sz w:val="24"/>
      <w:szCs w:val="24"/>
    </w:rPr>
  </w:style>
  <w:style w:type="paragraph" w:styleId="949">
    <w:name w:val="索引 1"/>
    <w:basedOn w:val="883"/>
    <w:next w:val="883"/>
    <w:link w:val="883"/>
    <w:semiHidden/>
    <w:pPr>
      <w:spacing w:line="240" w:lineRule="atLeast"/>
    </w:pPr>
    <w:rPr>
      <w:b/>
      <w:bCs/>
    </w:rPr>
  </w:style>
  <w:style w:type="paragraph" w:styleId="950">
    <w:name w:val="批注主题"/>
    <w:basedOn w:val="915"/>
    <w:next w:val="915"/>
    <w:link w:val="951"/>
    <w:semiHidden/>
    <w:rPr>
      <w:b/>
      <w:bCs/>
    </w:rPr>
  </w:style>
  <w:style w:type="character" w:styleId="951">
    <w:name w:val="批注主题 Char"/>
    <w:next w:val="951"/>
    <w:link w:val="950"/>
    <w:semiHidden/>
    <w:rPr>
      <w:rFonts w:ascii="Times New Roman" w:hAnsi="Times New Roman" w:eastAsia="宋体" w:cs="Times New Roman"/>
      <w:b/>
      <w:bCs/>
      <w:szCs w:val="21"/>
    </w:rPr>
  </w:style>
  <w:style w:type="paragraph" w:styleId="952">
    <w:name w:val="正文首行缩进"/>
    <w:basedOn w:val="883"/>
    <w:next w:val="952"/>
    <w:link w:val="953"/>
    <w:pPr>
      <w:ind w:firstLine="200"/>
      <w:spacing w:line="360" w:lineRule="auto"/>
    </w:pPr>
    <w:rPr>
      <w:rFonts w:ascii="仿宋_GB2312" w:eastAsia="仿宋_GB2312"/>
      <w:sz w:val="30"/>
      <w:szCs w:val="30"/>
    </w:rPr>
  </w:style>
  <w:style w:type="character" w:styleId="953">
    <w:name w:val="正文首行缩进 Char"/>
    <w:next w:val="953"/>
    <w:link w:val="952"/>
    <w:rPr>
      <w:rFonts w:ascii="仿宋_GB2312" w:hAnsi="Times New Roman" w:eastAsia="仿宋_GB2312" w:cs="Times New Roman"/>
      <w:sz w:val="30"/>
      <w:szCs w:val="30"/>
    </w:rPr>
  </w:style>
  <w:style w:type="table" w:styleId="954">
    <w:name w:val="网格型"/>
    <w:basedOn w:val="894"/>
    <w:next w:val="954"/>
    <w:link w:val="883"/>
    <w:pPr>
      <w:jc w:val="both"/>
      <w:widowControl w:val="off"/>
    </w:pPr>
    <w:rPr>
      <w:rFonts w:ascii="Times New Roman" w:hAnsi="Times New Roman" w:eastAsia="宋体" w:cs="Times New Roman"/>
      <w:sz w:val="20"/>
      <w:szCs w:val="20"/>
    </w:rPr>
    <w:tblPr/>
  </w:style>
  <w:style w:type="character" w:styleId="955">
    <w:name w:val="要点"/>
    <w:next w:val="955"/>
    <w:link w:val="883"/>
    <w:qFormat/>
    <w:rPr>
      <w:b/>
      <w:bCs/>
    </w:rPr>
  </w:style>
  <w:style w:type="character" w:styleId="956">
    <w:name w:val="页码"/>
    <w:next w:val="956"/>
    <w:link w:val="883"/>
  </w:style>
  <w:style w:type="character" w:styleId="957">
    <w:name w:val="已访问的超链接"/>
    <w:next w:val="957"/>
    <w:link w:val="883"/>
    <w:rPr>
      <w:color w:val="800080"/>
      <w:u w:val="single"/>
    </w:rPr>
  </w:style>
  <w:style w:type="character" w:styleId="958">
    <w:name w:val="强调"/>
    <w:next w:val="958"/>
    <w:link w:val="883"/>
    <w:qFormat/>
    <w:rPr>
      <w:i/>
    </w:rPr>
  </w:style>
  <w:style w:type="character" w:styleId="959">
    <w:name w:val="超链接"/>
    <w:next w:val="959"/>
    <w:link w:val="883"/>
    <w:rPr>
      <w:color w:val="0000ff"/>
      <w:u w:val="single"/>
    </w:rPr>
  </w:style>
  <w:style w:type="character" w:styleId="960">
    <w:name w:val="批注引用"/>
    <w:next w:val="960"/>
    <w:link w:val="883"/>
    <w:semiHidden/>
    <w:rPr>
      <w:sz w:val="21"/>
      <w:szCs w:val="21"/>
    </w:rPr>
  </w:style>
  <w:style w:type="paragraph" w:styleId="961">
    <w:name w:val="正文1"/>
    <w:basedOn w:val="883"/>
    <w:next w:val="961"/>
    <w:link w:val="883"/>
    <w:qFormat/>
    <w:pPr>
      <w:ind w:left="350" w:firstLine="0"/>
    </w:pPr>
    <w:rPr>
      <w:rFonts w:cs="Times New Roman"/>
      <w:sz w:val="20"/>
      <w:szCs w:val="24"/>
    </w:rPr>
  </w:style>
  <w:style w:type="paragraph" w:styleId="962">
    <w:name w:val="索引 41"/>
    <w:basedOn w:val="883"/>
    <w:next w:val="883"/>
    <w:link w:val="883"/>
    <w:semiHidden/>
    <w:qFormat/>
    <w:pPr>
      <w:ind w:left="1260"/>
    </w:pPr>
    <w:rPr>
      <w:rFonts w:ascii="Calibri" w:hAnsi="Calibri" w:eastAsia="Calibri" w:cs="宋体"/>
      <w:sz w:val="20"/>
      <w:lang w:val="zh-CN"/>
    </w:rPr>
  </w:style>
  <w:style w:type="paragraph" w:styleId="963">
    <w:name w:val="正文首行缩进 21"/>
    <w:basedOn w:val="964"/>
    <w:next w:val="883"/>
    <w:link w:val="883"/>
    <w:qFormat/>
    <w:pPr>
      <w:ind w:firstLine="420"/>
      <w:spacing w:line="360" w:lineRule="auto"/>
    </w:pPr>
    <w:rPr>
      <w:rFonts w:ascii="宋体" w:hAnsi="宋体" w:eastAsia="宋体"/>
      <w:sz w:val="21"/>
      <w:szCs w:val="20"/>
    </w:rPr>
  </w:style>
  <w:style w:type="paragraph" w:styleId="964">
    <w:name w:val="正文文本缩进11"/>
    <w:basedOn w:val="883"/>
    <w:next w:val="965"/>
    <w:link w:val="883"/>
    <w:qFormat/>
    <w:pPr>
      <w:ind w:firstLine="645"/>
    </w:pPr>
    <w:rPr>
      <w:rFonts w:ascii="楷体_GB2312" w:eastAsia="楷体_GB2312"/>
      <w:sz w:val="32"/>
      <w:szCs w:val="32"/>
    </w:rPr>
  </w:style>
  <w:style w:type="paragraph" w:styleId="965">
    <w:name w:val="寄信人地址1"/>
    <w:basedOn w:val="883"/>
    <w:next w:val="965"/>
    <w:link w:val="883"/>
    <w:qFormat/>
    <w:rPr>
      <w:rFonts w:ascii="Arial" w:hAnsi="Arial" w:eastAsia="宋体" w:cs="宋体"/>
    </w:rPr>
  </w:style>
  <w:style w:type="paragraph" w:styleId="966">
    <w:name w:val="标题 41"/>
    <w:basedOn w:val="883"/>
    <w:next w:val="967"/>
    <w:link w:val="883"/>
    <w:qFormat/>
    <w:pPr>
      <w:keepLines/>
      <w:keepNext/>
      <w:spacing w:before="280" w:after="290" w:line="376" w:lineRule="auto"/>
      <w:outlineLvl w:val="3"/>
    </w:pPr>
    <w:rPr>
      <w:rFonts w:ascii="Arial" w:hAnsi="Arial" w:eastAsia="黑体" w:cs="Arial"/>
      <w:b/>
      <w:bCs/>
      <w:sz w:val="28"/>
      <w:szCs w:val="28"/>
    </w:rPr>
  </w:style>
  <w:style w:type="paragraph" w:styleId="967">
    <w:name w:val="正文缩进1"/>
    <w:basedOn w:val="883"/>
    <w:next w:val="967"/>
    <w:link w:val="883"/>
    <w:qFormat/>
    <w:pPr>
      <w:ind w:firstLine="420"/>
    </w:pPr>
  </w:style>
  <w:style w:type="paragraph" w:styleId="968">
    <w:name w:val="正文文本12"/>
    <w:basedOn w:val="883"/>
    <w:next w:val="968"/>
    <w:link w:val="883"/>
    <w:uiPriority w:val="1"/>
    <w:qFormat/>
    <w:pPr>
      <w:ind w:left="120"/>
    </w:pPr>
    <w:rPr>
      <w:rFonts w:ascii="宋体" w:hAnsi="宋体" w:eastAsia="宋体" w:cs="宋体"/>
      <w:sz w:val="21"/>
      <w:szCs w:val="21"/>
      <w:lang w:val="zh-CN" w:eastAsia="zh-CN" w:bidi="zh-CN"/>
    </w:rPr>
  </w:style>
  <w:style w:type="character" w:styleId="969">
    <w:name w:val="font5 Char"/>
    <w:next w:val="969"/>
    <w:link w:val="883"/>
    <w:rPr>
      <w:rFonts w:ascii="宋体" w:hAnsi="宋体" w:eastAsia="宋体"/>
      <w:sz w:val="28"/>
      <w:szCs w:val="28"/>
      <w:lang w:val="en-US" w:eastAsia="zh-CN" w:bidi="ar-SA"/>
    </w:rPr>
  </w:style>
  <w:style w:type="character" w:styleId="970">
    <w:name w:val="二级目录 Char"/>
    <w:next w:val="970"/>
    <w:link w:val="971"/>
    <w:rPr>
      <w:b/>
      <w:sz w:val="30"/>
      <w:szCs w:val="28"/>
    </w:rPr>
  </w:style>
  <w:style w:type="paragraph" w:styleId="971">
    <w:name w:val="二级目录"/>
    <w:next w:val="883"/>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83"/>
    <w:next w:val="973"/>
    <w:link w:val="972"/>
    <w:qFormat/>
    <w:pPr>
      <w:contextualSpacing/>
      <w:ind w:left="720"/>
      <w:jc w:val="left"/>
      <w:widowControl/>
    </w:pPr>
    <w:rPr>
      <w:rFonts w:ascii="Calibri" w:hAnsi="Calibri" w:eastAsia="宋体" w:cs="Times New Roman"/>
      <w:sz w:val="24"/>
      <w:szCs w:val="24"/>
      <w:lang w:eastAsia="en-US" w:bidi="en-US"/>
    </w:rPr>
  </w:style>
  <w:style w:type="paragraph" w:styleId="974">
    <w:name w:val="Body Text(ch)"/>
    <w:basedOn w:val="883"/>
    <w:next w:val="919"/>
    <w:link w:val="883"/>
    <w:pPr>
      <w:spacing w:after="120"/>
    </w:pPr>
    <w:rPr>
      <w:rFonts w:ascii="宋体" w:hAnsi="Arial"/>
      <w:bCs/>
      <w:iCs/>
      <w:szCs w:val="24"/>
    </w:rPr>
  </w:style>
  <w:style w:type="paragraph" w:styleId="975">
    <w:name w:val="xl27"/>
    <w:basedOn w:val="883"/>
    <w:next w:val="975"/>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6"/>
    <w:basedOn w:val="883"/>
    <w:next w:val="976"/>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name w:val="Char"/>
    <w:basedOn w:val="883"/>
    <w:next w:val="977"/>
    <w:link w:val="883"/>
    <w:pPr>
      <w:ind w:firstLine="200"/>
      <w:tabs>
        <w:tab w:val="left" w:pos="360" w:leader="none"/>
      </w:tabs>
    </w:pPr>
    <w:rPr>
      <w:sz w:val="28"/>
      <w:szCs w:val="30"/>
    </w:rPr>
  </w:style>
  <w:style w:type="paragraph" w:styleId="978">
    <w:name w:val=" Char"/>
    <w:basedOn w:val="913"/>
    <w:next w:val="978"/>
    <w:link w:val="883"/>
    <w:rPr>
      <w:rFonts w:ascii="Tahoma" w:hAnsi="Tahoma"/>
      <w:sz w:val="24"/>
      <w:szCs w:val="24"/>
    </w:rPr>
  </w:style>
  <w:style w:type="paragraph" w:styleId="979">
    <w:name w:val="普通正文"/>
    <w:basedOn w:val="883"/>
    <w:next w:val="979"/>
    <w:link w:val="883"/>
    <w:pPr>
      <w:ind w:firstLine="480"/>
      <w:jc w:val="left"/>
      <w:spacing w:before="120" w:after="120" w:line="360" w:lineRule="auto"/>
    </w:pPr>
    <w:rPr>
      <w:rFonts w:ascii="Arial" w:hAnsi="Arial"/>
      <w:sz w:val="24"/>
      <w:szCs w:val="24"/>
    </w:rPr>
  </w:style>
  <w:style w:type="paragraph" w:styleId="980">
    <w:name w:val="table_lines"/>
    <w:basedOn w:val="883"/>
    <w:next w:val="980"/>
    <w:link w:val="883"/>
    <w:pPr>
      <w:jc w:val="left"/>
      <w:widowControl/>
    </w:pPr>
    <w:rPr>
      <w:sz w:val="20"/>
      <w:szCs w:val="20"/>
      <w:lang w:val="de-DE" w:eastAsia="de-DE"/>
    </w:rPr>
  </w:style>
  <w:style w:type="paragraph" w:styleId="981">
    <w:name w:val="附录1"/>
    <w:next w:val="981"/>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83"/>
    <w:next w:val="982"/>
    <w:link w:val="883"/>
    <w:pPr>
      <w:jc w:val="left"/>
      <w:spacing w:before="100" w:beforeAutospacing="1" w:after="100" w:afterAutospacing="1"/>
      <w:widowControl/>
    </w:pPr>
    <w:rPr>
      <w:rFonts w:hint="eastAsia" w:ascii="宋体" w:hAnsi="宋体"/>
      <w:sz w:val="18"/>
      <w:szCs w:val="18"/>
    </w:rPr>
  </w:style>
  <w:style w:type="paragraph" w:styleId="983">
    <w:name w:val=" Char Char Char Char"/>
    <w:basedOn w:val="913"/>
    <w:next w:val="983"/>
    <w:link w:val="883"/>
    <w:pPr>
      <w:spacing w:line="360" w:lineRule="auto"/>
    </w:pPr>
    <w:rPr>
      <w:rFonts w:ascii="Tahoma" w:hAnsi="Tahoma"/>
      <w:sz w:val="24"/>
      <w:szCs w:val="24"/>
    </w:rPr>
  </w:style>
  <w:style w:type="paragraph" w:styleId="984">
    <w:name w:val="列出段落"/>
    <w:basedOn w:val="883"/>
    <w:next w:val="984"/>
    <w:link w:val="883"/>
    <w:qFormat/>
    <w:pPr>
      <w:contextualSpacing/>
      <w:ind w:left="720"/>
      <w:jc w:val="left"/>
      <w:widowControl/>
    </w:pPr>
    <w:rPr>
      <w:rFonts w:ascii="Calibri" w:hAnsi="Calibri"/>
      <w:sz w:val="24"/>
      <w:szCs w:val="24"/>
      <w:lang w:eastAsia="en-US" w:bidi="en-US"/>
    </w:rPr>
  </w:style>
  <w:style w:type="paragraph" w:styleId="985">
    <w:name w:val="4"/>
    <w:basedOn w:val="883"/>
    <w:next w:val="941"/>
    <w:link w:val="883"/>
    <w:pPr>
      <w:ind w:firstLine="420"/>
      <w:spacing w:line="360" w:lineRule="auto"/>
    </w:pPr>
    <w:rPr>
      <w:color w:val="ff0000"/>
      <w:sz w:val="24"/>
      <w:szCs w:val="24"/>
    </w:rPr>
  </w:style>
  <w:style w:type="paragraph" w:styleId="986">
    <w:name w:val="普通 (Web)"/>
    <w:basedOn w:val="883"/>
    <w:next w:val="986"/>
    <w:link w:val="883"/>
    <w:pPr>
      <w:jc w:val="left"/>
      <w:spacing w:before="100" w:beforeAutospacing="1" w:after="100" w:afterAutospacing="1"/>
      <w:widowControl/>
    </w:pPr>
    <w:rPr>
      <w:rFonts w:ascii="宋体" w:hAnsi="宋体"/>
      <w:sz w:val="24"/>
      <w:szCs w:val="24"/>
    </w:rPr>
  </w:style>
  <w:style w:type="paragraph" w:styleId="987">
    <w:name w:val=" Char Char Char Char Char Char Char Char Char Char"/>
    <w:basedOn w:val="883"/>
    <w:next w:val="987"/>
    <w:link w:val="883"/>
    <w:pPr>
      <w:spacing w:line="360" w:lineRule="auto"/>
    </w:pPr>
    <w:rPr>
      <w:sz w:val="24"/>
      <w:szCs w:val="20"/>
    </w:rPr>
  </w:style>
  <w:style w:type="paragraph" w:styleId="988">
    <w:name w:val="样式1"/>
    <w:basedOn w:val="883"/>
    <w:next w:val="988"/>
    <w:link w:val="883"/>
    <w:pPr>
      <w:numPr>
        <w:ilvl w:val="0"/>
        <w:numId w:val="3"/>
      </w:numPr>
      <w:tabs>
        <w:tab w:val="left" w:pos="709" w:leader="none"/>
      </w:tabs>
    </w:pPr>
    <w:rPr>
      <w:rFonts w:ascii="宋体" w:hAnsi="宋体"/>
    </w:rPr>
  </w:style>
  <w:style w:type="paragraph" w:styleId="989">
    <w:name w:val="font6"/>
    <w:basedOn w:val="883"/>
    <w:next w:val="989"/>
    <w:link w:val="883"/>
    <w:pPr>
      <w:jc w:val="left"/>
      <w:spacing w:before="100" w:beforeAutospacing="1" w:after="100" w:afterAutospacing="1"/>
      <w:widowControl/>
    </w:pPr>
    <w:rPr>
      <w:rFonts w:hint="eastAsia" w:ascii="宋体" w:hAnsi="宋体"/>
      <w:sz w:val="28"/>
      <w:szCs w:val="28"/>
      <w:u w:val="single"/>
    </w:rPr>
  </w:style>
  <w:style w:type="paragraph" w:styleId="990">
    <w:name w:val="xl25"/>
    <w:basedOn w:val="883"/>
    <w:next w:val="990"/>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name w:val="标题3"/>
    <w:basedOn w:val="883"/>
    <w:next w:val="883"/>
    <w:link w:val="883"/>
    <w:pPr>
      <w:ind w:firstLine="624"/>
      <w:spacing w:line="590" w:lineRule="atLeast"/>
    </w:pPr>
    <w:rPr>
      <w:rFonts w:ascii="方正黑体_GBK" w:eastAsia="方正黑体_GBK"/>
      <w:sz w:val="32"/>
      <w:szCs w:val="32"/>
    </w:rPr>
  </w:style>
  <w:style w:type="paragraph" w:styleId="993">
    <w:name w:val="xl24"/>
    <w:basedOn w:val="883"/>
    <w:next w:val="993"/>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xl29"/>
    <w:basedOn w:val="883"/>
    <w:next w:val="994"/>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name w:val="Char Char Char Char Char Char Char Char"/>
    <w:basedOn w:val="883"/>
    <w:next w:val="995"/>
    <w:link w:val="883"/>
    <w:pPr>
      <w:jc w:val="left"/>
      <w:spacing w:after="160" w:line="240" w:lineRule="exact"/>
      <w:widowControl/>
    </w:pPr>
    <w:rPr>
      <w:rFonts w:ascii="Verdana" w:hAnsi="Verdana"/>
      <w:sz w:val="20"/>
      <w:szCs w:val="20"/>
      <w:lang w:eastAsia="en-US"/>
    </w:rPr>
  </w:style>
  <w:style w:type="paragraph" w:styleId="996">
    <w:name w:val="xl28"/>
    <w:basedOn w:val="883"/>
    <w:next w:val="996"/>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name w:val=" Char Char Char Char Char Char Char Char"/>
    <w:basedOn w:val="883"/>
    <w:next w:val="997"/>
    <w:link w:val="883"/>
    <w:pPr>
      <w:jc w:val="left"/>
      <w:spacing w:after="160" w:line="240" w:lineRule="exact"/>
      <w:widowControl/>
    </w:pPr>
    <w:rPr>
      <w:rFonts w:ascii="Verdana" w:hAnsi="Verdana"/>
      <w:sz w:val="20"/>
      <w:szCs w:val="20"/>
      <w:lang w:eastAsia="en-US"/>
    </w:rPr>
  </w:style>
  <w:style w:type="paragraph" w:styleId="998">
    <w:name w:val="xl30"/>
    <w:basedOn w:val="883"/>
    <w:next w:val="998"/>
    <w:link w:val="883"/>
    <w:pPr>
      <w:jc w:val="center"/>
      <w:spacing w:before="100" w:beforeAutospacing="1" w:after="100" w:afterAutospacing="1"/>
      <w:widowControl/>
    </w:pPr>
    <w:rPr>
      <w:rFonts w:ascii="宋体" w:hAnsi="宋体"/>
      <w:b/>
      <w:bCs/>
      <w:sz w:val="36"/>
      <w:szCs w:val="36"/>
    </w:rPr>
  </w:style>
  <w:style w:type="paragraph" w:styleId="999">
    <w:name w:val="Char Char Char Char"/>
    <w:basedOn w:val="913"/>
    <w:next w:val="999"/>
    <w:link w:val="883"/>
    <w:pPr>
      <w:spacing w:line="360" w:lineRule="auto"/>
    </w:pPr>
    <w:rPr>
      <w:rFonts w:ascii="Tahoma" w:hAnsi="Tahoma"/>
      <w:sz w:val="24"/>
      <w:szCs w:val="24"/>
    </w:rPr>
  </w:style>
  <w:style w:type="paragraph" w:styleId="1000">
    <w:name w:val="table_1stline"/>
    <w:basedOn w:val="883"/>
    <w:next w:val="1000"/>
    <w:link w:val="883"/>
    <w:pPr>
      <w:jc w:val="left"/>
      <w:spacing w:before="120"/>
      <w:widowControl/>
    </w:pPr>
    <w:rPr>
      <w:bCs/>
      <w:sz w:val="20"/>
      <w:szCs w:val="20"/>
      <w:lang w:val="de-DE" w:eastAsia="de-DE"/>
    </w:rPr>
  </w:style>
  <w:style w:type="paragraph" w:styleId="1001">
    <w:name w:val="font5"/>
    <w:basedOn w:val="883"/>
    <w:next w:val="1001"/>
    <w:link w:val="883"/>
    <w:pPr>
      <w:jc w:val="left"/>
      <w:spacing w:before="100" w:beforeAutospacing="1" w:after="100" w:afterAutospacing="1"/>
      <w:widowControl/>
    </w:pPr>
    <w:rPr>
      <w:rFonts w:hint="eastAsia" w:ascii="宋体" w:hAnsi="宋体"/>
      <w:sz w:val="28"/>
      <w:szCs w:val="28"/>
    </w:rPr>
  </w:style>
  <w:style w:type="paragraph" w:styleId="1002">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name w:val="修订"/>
    <w:next w:val="1003"/>
    <w:link w:val="883"/>
    <w:uiPriority w:val="99"/>
    <w:semiHidden/>
    <w:rPr>
      <w:rFonts w:ascii="Times New Roman" w:hAnsi="Times New Roman"/>
      <w:sz w:val="21"/>
      <w:szCs w:val="21"/>
      <w:lang w:val="en-US" w:eastAsia="zh-CN" w:bidi="ar-SA"/>
    </w:rPr>
  </w:style>
  <w:style w:type="paragraph" w:styleId="1004">
    <w:name w:val="无间隔"/>
    <w:next w:val="1004"/>
    <w:link w:val="883"/>
    <w:uiPriority w:val="99"/>
    <w:qFormat/>
    <w:pPr>
      <w:jc w:val="both"/>
      <w:widowControl w:val="off"/>
    </w:pPr>
    <w:rPr>
      <w:rFonts w:ascii="Times New Roman" w:hAnsi="Times New Roman"/>
      <w:sz w:val="21"/>
      <w:szCs w:val="21"/>
      <w:lang w:val="en-US" w:eastAsia="zh-CN" w:bidi="ar-SA"/>
    </w:rPr>
  </w:style>
  <w:style w:type="paragraph" w:styleId="1005">
    <w:name w:val="正文文本 211"/>
    <w:basedOn w:val="883"/>
    <w:next w:val="1005"/>
    <w:link w:val="883"/>
    <w:uiPriority w:val="99"/>
    <w:qFormat/>
    <w:pPr>
      <w:jc w:val="center"/>
    </w:pPr>
    <w:rPr>
      <w:b/>
      <w:bCs/>
      <w:sz w:val="20"/>
      <w:szCs w:val="20"/>
    </w:rPr>
  </w:style>
  <w:style w:type="table" w:styleId="1006">
    <w:name w:val="Table Normal"/>
    <w:next w:val="1006"/>
    <w:link w:val="883"/>
    <w:qFormat/>
    <w:tblPr/>
  </w:style>
  <w:style w:type="paragraph" w:styleId="1007">
    <w:name w:val="正文文本1"/>
    <w:basedOn w:val="883"/>
    <w:next w:val="883"/>
    <w:link w:val="883"/>
    <w:semiHidden/>
    <w:qFormat/>
    <w:rPr>
      <w:rFonts w:ascii="Arial" w:hAnsi="Arial" w:eastAsia="Arial" w:cs="Arial"/>
      <w:sz w:val="21"/>
      <w:szCs w:val="21"/>
      <w:lang w:val="en-US" w:eastAsia="en-US" w:bidi="ar-SA"/>
    </w:rPr>
  </w:style>
  <w:style w:type="paragraph" w:styleId="1008">
    <w:name w:val="纯文本1"/>
    <w:basedOn w:val="883"/>
    <w:next w:val="1008"/>
    <w:link w:val="883"/>
    <w:qFormat/>
    <w:rPr>
      <w:rFonts w:ascii="宋体" w:hAnsi="Courier New" w:cs="Courier New"/>
    </w:rPr>
  </w:style>
  <w:style w:type="table" w:styleId="1009">
    <w:name w:val="网格型1"/>
    <w:basedOn w:val="1010"/>
    <w:next w:val="1009"/>
    <w:link w:val="883"/>
    <w:qFormat/>
    <w:pPr>
      <w:jc w:val="both"/>
      <w:widowControl w:val="off"/>
    </w:pPr>
    <w:tblPr/>
  </w:style>
  <w:style w:type="table" w:styleId="1010">
    <w:name w:val="普通表格1"/>
    <w:next w:val="1010"/>
    <w:link w:val="883"/>
    <w:uiPriority w:val="99"/>
    <w:unhideWhenUsed/>
    <w:qFormat/>
    <w:tblPr/>
  </w:style>
  <w:style w:type="character" w:styleId="1011">
    <w:name w:val="15"/>
    <w:basedOn w:val="893"/>
    <w:next w:val="1011"/>
    <w:link w:val="883"/>
    <w:rPr>
      <w:rFonts w:ascii="Times New Roman" w:hAnsi="Times New Roman" w:cs="Times New Roman"/>
    </w:rPr>
  </w:style>
  <w:style w:type="paragraph" w:styleId="1012">
    <w:name w:val="正文首行缩进 211"/>
    <w:basedOn w:val="964"/>
    <w:next w:val="883"/>
    <w:link w:val="883"/>
    <w:qFormat/>
    <w:pPr>
      <w:ind w:left="0" w:firstLine="420"/>
      <w:spacing w:after="0" w:line="360" w:lineRule="auto"/>
    </w:pPr>
    <w:rPr>
      <w:rFonts w:ascii="宋体" w:hAnsi="宋体" w:eastAsia="宋体" w:cs="Times New Roman"/>
      <w:szCs w:val="20"/>
    </w:rPr>
  </w:style>
  <w:style w:type="paragraph" w:styleId="1013">
    <w:name w:val="Table Paragraph"/>
    <w:basedOn w:val="883"/>
    <w:next w:val="1013"/>
    <w:link w:val="883"/>
    <w:uiPriority w:val="1"/>
    <w:qFormat/>
    <w:pPr>
      <w:jc w:val="left"/>
    </w:pPr>
    <w:rPr>
      <w:rFonts w:ascii="宋体" w:hAnsi="宋体" w:eastAsia="宋体" w:cs="宋体"/>
      <w:sz w:val="22"/>
      <w:szCs w:val="22"/>
      <w:lang w:val="zh-CN" w:bidi="zh-CN"/>
    </w:rPr>
  </w:style>
  <w:style w:type="paragraph" w:styleId="1014">
    <w:name w:val="正文首行缩进 22"/>
    <w:basedOn w:val="896"/>
    <w:next w:val="883"/>
    <w:link w:val="883"/>
    <w:qFormat/>
    <w:pPr>
      <w:ind w:firstLine="420"/>
      <w:spacing w:line="360" w:lineRule="auto"/>
    </w:pPr>
    <w:rPr>
      <w:rFonts w:ascii="宋体" w:hAnsi="宋体" w:eastAsia="宋体"/>
      <w:sz w:val="21"/>
      <w:szCs w:val="20"/>
    </w:rPr>
  </w:style>
  <w:style w:type="character" w:styleId="1015" w:default="1">
    <w:name w:val="Default Paragraph Font"/>
    <w:uiPriority w:val="1"/>
    <w:semiHidden/>
    <w:unhideWhenUsed/>
  </w:style>
  <w:style w:type="numbering" w:styleId="1016" w:default="1">
    <w:name w:val="No List"/>
    <w:uiPriority w:val="99"/>
    <w:semiHidden/>
    <w:unhideWhenUsed/>
  </w:style>
  <w:style w:type="table" w:styleId="10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王炜辰</cp:lastModifiedBy>
  <cp:revision>5</cp:revision>
  <dcterms:created xsi:type="dcterms:W3CDTF">2023-03-16T02:16:00Z</dcterms:created>
  <dcterms:modified xsi:type="dcterms:W3CDTF">2026-10-13T02:19:01Z</dcterms:modified>
</cp:coreProperties>
</file>