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spacing w:before="120" w:beforeAutospacing="0" w:after="120" w:afterAutospacing="0" w:line="360" w:lineRule="auto"/>
        <w:rPr>
          <w:color w:val="000000"/>
        </w:rPr>
      </w:pPr>
      <w:r>
        <w:rPr>
          <w:color w:val="000000"/>
        </w:rPr>
        <w:t xml:space="preserve"> </w:t>
      </w:r>
      <w:r>
        <w:rPr>
          <w:color w:val="000000"/>
        </w:rPr>
      </w:r>
      <w:r/>
    </w:p>
    <w:p>
      <w:pPr>
        <w:pStyle w:val="654"/>
        <w:jc w:val="center"/>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t xml:space="preserve">招 标 文 件</w:t>
      </w:r>
      <w:r>
        <w:rPr>
          <w:rFonts w:ascii="宋体" w:hAnsi="宋体" w:cs="Arial"/>
          <w:b/>
          <w:color w:val="000000"/>
          <w:sz w:val="84"/>
          <w:szCs w:val="84"/>
        </w:rPr>
      </w:r>
      <w:r/>
    </w:p>
    <w:p>
      <w:pPr>
        <w:pStyle w:val="654"/>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r>
      <w:r/>
    </w:p>
    <w:p>
      <w:pPr>
        <w:pStyle w:val="654"/>
        <w:jc w:val="center"/>
        <w:spacing w:before="120" w:beforeAutospacing="0" w:after="120" w:afterAutospacing="0" w:line="360" w:lineRule="auto"/>
        <w:rPr>
          <w:rFonts w:hint="eastAsia" w:ascii="宋体" w:hAnsi="宋体" w:eastAsia="宋体" w:cs="Arial"/>
          <w:b/>
          <w:color w:val="000000"/>
          <w:sz w:val="32"/>
          <w:szCs w:val="32"/>
        </w:rPr>
      </w:pPr>
      <w:r>
        <w:rPr>
          <w:rFonts w:ascii="宋体" w:hAnsi="宋体" w:cs="Arial"/>
          <w:b/>
          <w:color w:val="000000"/>
          <w:sz w:val="32"/>
          <w:szCs w:val="32"/>
        </w:rPr>
        <w:t xml:space="preserve">项目名称：</w:t>
      </w:r>
      <w:r>
        <w:rPr>
          <w:rFonts w:hint="eastAsia" w:ascii="宋体" w:hAnsi="宋体" w:cs="Arial"/>
          <w:b/>
          <w:color w:val="000000"/>
          <w:sz w:val="32"/>
          <w:szCs w:val="32"/>
        </w:rPr>
        <w:t xml:space="preserve">射阳县住房和城乡建设局射阳县城市生命线与地下管线智慧化安全工程项目</w:t>
      </w:r>
      <w:r>
        <w:rPr>
          <w:rFonts w:hint="eastAsia" w:ascii="宋体" w:hAnsi="宋体" w:eastAsia="宋体" w:cs="Arial"/>
          <w:b/>
          <w:color w:val="000000"/>
          <w:sz w:val="32"/>
          <w:szCs w:val="32"/>
        </w:rPr>
      </w:r>
      <w:r/>
    </w:p>
    <w:p>
      <w:pPr>
        <w:pStyle w:val="654"/>
        <w:ind w:firstLine="321"/>
        <w:jc w:val="both"/>
        <w:spacing w:before="120" w:beforeAutospacing="0" w:after="120" w:afterAutospacing="0" w:line="360" w:lineRule="auto"/>
        <w:rPr>
          <w:rFonts w:hint="eastAsia" w:ascii="宋体" w:hAnsi="宋体" w:eastAsia="宋体" w:cs="Arial"/>
          <w:b/>
          <w:color w:val="000000"/>
          <w:sz w:val="32"/>
          <w:szCs w:val="32"/>
        </w:rPr>
      </w:pPr>
      <w:r>
        <w:rPr>
          <w:rFonts w:ascii="宋体" w:hAnsi="宋体" w:cs="Arial"/>
          <w:b/>
          <w:color w:val="000000"/>
          <w:sz w:val="32"/>
          <w:szCs w:val="32"/>
        </w:rPr>
        <w:t xml:space="preserve">项目编号：</w:t>
      </w:r>
      <w:r>
        <w:rPr>
          <w:rFonts w:hint="eastAsia" w:ascii="宋体" w:hAnsi="宋体" w:cs="Arial"/>
          <w:b/>
          <w:color w:val="000000"/>
          <w:sz w:val="32"/>
          <w:szCs w:val="32"/>
        </w:rPr>
        <w:t xml:space="preserve">JSZC-320924-JZCG-G2026-0042</w:t>
      </w:r>
      <w:r>
        <w:rPr>
          <w:rFonts w:hint="eastAsia" w:ascii="宋体" w:hAnsi="宋体" w:eastAsia="宋体" w:cs="Arial"/>
          <w:b/>
          <w:color w:val="000000"/>
          <w:sz w:val="32"/>
          <w:szCs w:val="32"/>
        </w:rPr>
      </w:r>
      <w:r/>
    </w:p>
    <w:p>
      <w:pPr>
        <w:pStyle w:val="654"/>
        <w:spacing w:beforeAutospacing="0" w:afterAutospacing="0" w:line="360" w:lineRule="auto"/>
        <w:rPr>
          <w:rFonts w:ascii="宋体" w:hAnsi="宋体"/>
          <w:color w:val="000000"/>
        </w:rPr>
      </w:pPr>
      <w:r>
        <w:rPr>
          <w:rFonts w:ascii="宋体" w:hAnsi="宋体"/>
          <w:color w:val="000000"/>
        </w:rPr>
        <w:t xml:space="preserve">  </w:t>
      </w: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t xml:space="preserve"> </w:t>
      </w: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t xml:space="preserve"> </w:t>
      </w: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t xml:space="preserve"> </w:t>
      </w: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t xml:space="preserve"> </w:t>
      </w: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r>
      <w:r/>
    </w:p>
    <w:p>
      <w:pPr>
        <w:pStyle w:val="654"/>
        <w:spacing w:beforeAutospacing="0" w:afterAutospacing="0" w:line="360" w:lineRule="auto"/>
        <w:rPr>
          <w:rFonts w:ascii="宋体" w:hAnsi="宋体"/>
          <w:color w:val="000000"/>
        </w:rPr>
      </w:pPr>
      <w:r>
        <w:rPr>
          <w:rFonts w:ascii="宋体" w:hAnsi="宋体"/>
          <w:color w:val="000000"/>
        </w:rPr>
      </w:r>
      <w:r/>
    </w:p>
    <w:p>
      <w:pPr>
        <w:pStyle w:val="654"/>
        <w:jc w:val="center"/>
        <w:spacing w:before="120" w:beforeAutospacing="0" w:after="120" w:afterAutospacing="0" w:line="360" w:lineRule="auto"/>
        <w:rPr>
          <w:rFonts w:hint="eastAsia" w:ascii="宋体" w:hAnsi="宋体" w:eastAsia="宋体" w:cs="Arial"/>
          <w:b/>
          <w:color w:val="000000"/>
          <w:sz w:val="32"/>
          <w:szCs w:val="32"/>
        </w:rPr>
      </w:pPr>
      <w:r>
        <w:rPr>
          <w:rFonts w:hint="eastAsia" w:ascii="宋体" w:hAnsi="宋体" w:cs="Arial"/>
          <w:b/>
          <w:color w:val="000000"/>
          <w:sz w:val="32"/>
          <w:szCs w:val="32"/>
        </w:rPr>
        <w:t xml:space="preserve">射阳县住房和城乡建设局</w:t>
      </w:r>
      <w:r>
        <w:rPr>
          <w:rFonts w:hint="eastAsia" w:ascii="宋体" w:hAnsi="宋体" w:eastAsia="宋体" w:cs="Arial"/>
          <w:b/>
          <w:color w:val="000000"/>
          <w:sz w:val="32"/>
          <w:szCs w:val="32"/>
        </w:rPr>
      </w:r>
      <w:r/>
    </w:p>
    <w:p>
      <w:pPr>
        <w:pStyle w:val="654"/>
        <w:jc w:val="center"/>
        <w:spacing w:before="120" w:beforeAutospacing="0" w:after="120" w:afterAutospacing="0" w:line="360" w:lineRule="auto"/>
        <w:rPr>
          <w:rFonts w:ascii="宋体" w:hAnsi="宋体"/>
          <w:color w:val="000000"/>
        </w:rPr>
      </w:pPr>
      <w:r>
        <w:rPr>
          <w:rFonts w:hint="eastAsia" w:ascii="宋体" w:hAnsi="宋体" w:cs="Arial"/>
          <w:b/>
          <w:color w:val="000000"/>
          <w:sz w:val="32"/>
          <w:szCs w:val="32"/>
        </w:rPr>
        <w:t xml:space="preserve">2026</w:t>
      </w:r>
      <w:r>
        <w:rPr>
          <w:rFonts w:ascii="宋体" w:hAnsi="宋体" w:cs="Arial"/>
          <w:b/>
          <w:color w:val="000000"/>
          <w:sz w:val="32"/>
          <w:szCs w:val="32"/>
        </w:rPr>
        <w:t xml:space="preserve">年</w:t>
      </w:r>
      <w:r>
        <w:rPr>
          <w:rFonts w:hint="eastAsia" w:ascii="宋体" w:hAnsi="宋体" w:cs="Arial"/>
          <w:b/>
          <w:color w:val="000000"/>
          <w:sz w:val="32"/>
          <w:szCs w:val="32"/>
        </w:rPr>
        <w:t xml:space="preserve">9</w:t>
      </w:r>
      <w:r>
        <w:rPr>
          <w:rFonts w:ascii="宋体" w:hAnsi="宋体" w:cs="Arial"/>
          <w:b/>
          <w:color w:val="000000"/>
          <w:sz w:val="32"/>
          <w:szCs w:val="32"/>
        </w:rPr>
        <w:t xml:space="preserve">月</w:t>
      </w:r>
      <w:r>
        <w:rPr>
          <w:rFonts w:ascii="宋体" w:hAnsi="宋体"/>
          <w:color w:val="000000"/>
        </w:rPr>
      </w:r>
      <w:r/>
    </w:p>
    <w:p>
      <w:pPr>
        <w:pStyle w:val="654"/>
        <w:spacing w:before="120" w:beforeAutospacing="0" w:after="120" w:afterAutospacing="0" w:line="360" w:lineRule="auto"/>
        <w:rPr>
          <w:color w:val="000000"/>
        </w:rPr>
      </w:pPr>
      <w:r>
        <w:rPr>
          <w:rFonts w:ascii="Arial" w:hAnsi="Arial" w:cs="Arial"/>
          <w:color w:val="000000"/>
        </w:rPr>
        <w:t xml:space="preserve">                        </w:t>
      </w:r>
      <w:r>
        <w:rPr>
          <w:color w:val="000000"/>
        </w:rPr>
      </w:r>
      <w:r/>
    </w:p>
    <w:p>
      <w:pPr>
        <w:pStyle w:val="654"/>
        <w:jc w:val="center"/>
        <w:spacing w:before="120" w:beforeAutospacing="0" w:after="120" w:afterAutospacing="0" w:line="360" w:lineRule="auto"/>
        <w:rPr>
          <w:color w:val="000000"/>
        </w:rPr>
      </w:pPr>
      <w:r>
        <w:rPr>
          <w:color w:val="000000"/>
        </w:rPr>
        <w:t xml:space="preserve"> </w:t>
      </w:r>
      <w:r>
        <w:rPr>
          <w:color w:val="000000"/>
        </w:rPr>
      </w:r>
      <w:r/>
    </w:p>
    <w:p>
      <w:pPr>
        <w:pStyle w:val="654"/>
        <w:jc w:val="center"/>
        <w:spacing w:beforeAutospacing="0" w:afterAutospacing="0" w:line="480" w:lineRule="auto"/>
        <w:rPr>
          <w:rFonts w:ascii="Times New Roman" w:hAnsi="Times New Roman"/>
          <w:color w:val="000000"/>
          <w:sz w:val="2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color w:val="000000"/>
          <w:sz w:val="21"/>
          <w:szCs w:val="21"/>
        </w:rPr>
      </w:r>
      <w:r/>
    </w:p>
    <w:p>
      <w:pPr>
        <w:pStyle w:val="654"/>
        <w:jc w:val="center"/>
        <w:spacing w:beforeAutospacing="0" w:afterAutospacing="0" w:line="480" w:lineRule="auto"/>
        <w:rPr>
          <w:color w:val="000000"/>
        </w:rPr>
      </w:pPr>
      <w:r>
        <w:rPr>
          <w:rFonts w:ascii="Times New Roman" w:hAnsi="Times New Roman"/>
          <w:color w:val="000000"/>
          <w:sz w:val="21"/>
          <w:szCs w:val="21"/>
        </w:rPr>
        <w:t xml:space="preserve"> </w:t>
      </w:r>
      <w:bookmarkStart w:id="0" w:name="_Toc20823272"/>
      <w:r/>
      <w:bookmarkStart w:id="1" w:name="_Toc523127445"/>
      <w:r/>
      <w:bookmarkStart w:id="2" w:name="_Toc120614210"/>
      <w:r/>
      <w:bookmarkStart w:id="3" w:name="_Toc16938516"/>
      <w:r/>
      <w:bookmarkStart w:id="4" w:name="_Toc479757206"/>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Pr>
          <w:color w:val="000000"/>
        </w:rPr>
      </w:r>
      <w:r/>
    </w:p>
    <w:p>
      <w:pPr>
        <w:pStyle w:val="654"/>
        <w:jc w:val="both"/>
        <w:spacing w:beforeAutospacing="0" w:afterAutospacing="0" w:line="480" w:lineRule="auto"/>
        <w:rPr>
          <w:color w:val="000000"/>
        </w:rPr>
      </w:pPr>
      <w:r>
        <w:rPr>
          <w:color w:val="000000"/>
        </w:rPr>
        <w:t xml:space="preserve"> </w:t>
      </w:r>
      <w:r>
        <w:rPr>
          <w:color w:val="000000"/>
        </w:rPr>
      </w:r>
      <w:r/>
    </w:p>
    <w:p>
      <w:pPr>
        <w:pStyle w:val="654"/>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招标公告…………………………………… </w:t>
      </w:r>
      <w:r>
        <w:rPr>
          <w:color w:val="000000"/>
        </w:rPr>
      </w:r>
      <w:r/>
    </w:p>
    <w:p>
      <w:pPr>
        <w:pStyle w:val="654"/>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投标人须知…………………………………  </w:t>
      </w:r>
      <w:r>
        <w:rPr>
          <w:color w:val="000000"/>
        </w:rPr>
      </w:r>
      <w:r/>
    </w:p>
    <w:p>
      <w:pPr>
        <w:pStyle w:val="654"/>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合同文本……………………………………</w:t>
      </w:r>
      <w:r>
        <w:rPr>
          <w:color w:val="000000"/>
        </w:rPr>
      </w:r>
      <w:r/>
    </w:p>
    <w:p>
      <w:pPr>
        <w:pStyle w:val="654"/>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采购需求……………………………………</w:t>
      </w:r>
      <w:r>
        <w:rPr>
          <w:color w:val="000000"/>
        </w:rPr>
      </w:r>
      <w:r/>
    </w:p>
    <w:p>
      <w:pPr>
        <w:pStyle w:val="654"/>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评标方法与评标标准………………………</w:t>
      </w:r>
      <w:r>
        <w:rPr>
          <w:color w:val="000000"/>
        </w:rPr>
      </w:r>
      <w:r/>
    </w:p>
    <w:p>
      <w:pPr>
        <w:pStyle w:val="654"/>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投标文件格式………………………………</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center"/>
        <w:spacing w:beforeAutospacing="0" w:afterAutospacing="0"/>
        <w:rPr>
          <w:rFonts w:ascii="宋体" w:hAnsi="宋体"/>
          <w:b/>
          <w:color w:val="000000"/>
        </w:rPr>
      </w:pPr>
      <w:r>
        <w:rPr>
          <w:rFonts w:hint="eastAsia" w:ascii="黑体" w:hAnsi="宋体" w:eastAsia="黑体" w:cs="黑体"/>
          <w:color w:val="000000"/>
          <w:sz w:val="44"/>
          <w:szCs w:val="44"/>
        </w:rPr>
        <w:t xml:space="preserve">第一章 招标公告</w:t>
      </w:r>
      <w:bookmarkStart w:id="6" w:name="_Toc28359009"/>
      <w:r>
        <w:rPr>
          <w:rFonts w:ascii="宋体" w:hAnsi="宋体"/>
          <w:b/>
          <w:color w:val="000000"/>
        </w:rPr>
      </w:r>
      <w:r/>
    </w:p>
    <w:p>
      <w:pPr>
        <w:pStyle w:val="654"/>
        <w:ind w:firstLine="480"/>
        <w:jc w:val="both"/>
        <w:spacing w:beforeAutospacing="0" w:afterAutospacing="0" w:line="560" w:lineRule="exact"/>
        <w:rPr>
          <w:rFonts w:ascii="宋体" w:hAnsi="宋体"/>
          <w:color w:val="000000"/>
        </w:rPr>
        <w:pBdr>
          <w:top w:val="single" w:color="000000" w:sz="4" w:space="0"/>
          <w:left w:val="single" w:color="000000" w:sz="4" w:space="0"/>
          <w:bottom w:val="single" w:color="000000" w:sz="4" w:space="0"/>
          <w:right w:val="single" w:color="000000" w:sz="4" w:space="20"/>
        </w:pBdr>
      </w:pPr>
      <w:r>
        <w:rPr>
          <w:rFonts w:hint="eastAsia" w:ascii="宋体" w:hAnsi="宋体" w:cs="宋体"/>
          <w:color w:val="000000"/>
        </w:rPr>
        <w:t xml:space="preserve">项目概况</w:t>
      </w:r>
      <w:r>
        <w:rPr>
          <w:rFonts w:ascii="宋体" w:hAnsi="宋体"/>
          <w:color w:val="000000"/>
        </w:rPr>
      </w:r>
      <w:r/>
    </w:p>
    <w:p>
      <w:pPr>
        <w:pStyle w:val="654"/>
        <w:ind w:firstLine="482"/>
        <w:jc w:val="both"/>
        <w:spacing w:beforeAutospacing="0" w:afterAutospacing="0" w:line="560" w:lineRule="exact"/>
        <w:rPr>
          <w:rFonts w:ascii="宋体" w:hAnsi="宋体"/>
          <w:color w:val="000000"/>
        </w:rPr>
        <w:pBdr>
          <w:top w:val="single" w:color="000000" w:sz="4" w:space="0"/>
          <w:left w:val="single" w:color="000000" w:sz="4" w:space="0"/>
          <w:bottom w:val="single" w:color="000000" w:sz="4" w:space="0"/>
          <w:right w:val="single" w:color="000000" w:sz="4" w:space="20"/>
        </w:pBdr>
      </w:pPr>
      <w:r>
        <w:rPr>
          <w:rFonts w:hint="eastAsia" w:ascii="宋体" w:hAnsi="宋体" w:cs="宋体"/>
          <w:color w:val="000000"/>
        </w:rPr>
        <w:t xml:space="preserve">射阳县住房和城乡建设局射阳县城市生命线与地下管线智慧化安全工程项目JSZC-320924-JZCG-G2026-0042招标项目的潜在投标人应在“苏采云”系统内免费下载（投标人必须在苏采云系统中获取采购文件，方能参与政府采购项目）获取招标文件，并于2026-1</w:t>
      </w:r>
      <w:r>
        <w:rPr>
          <w:rFonts w:hint="eastAsia" w:ascii="宋体" w:hAnsi="宋体" w:eastAsia="宋体" w:cs="宋体"/>
          <w:color w:val="000000"/>
        </w:rPr>
        <w:t xml:space="preserve">1</w:t>
      </w:r>
      <w:r>
        <w:rPr>
          <w:rFonts w:hint="eastAsia" w:ascii="宋体" w:hAnsi="宋体" w:cs="宋体"/>
          <w:color w:val="000000"/>
        </w:rPr>
        <w:t xml:space="preserve">- </w:t>
      </w:r>
      <w:r>
        <w:rPr>
          <w:rFonts w:hint="eastAsia" w:ascii="宋体" w:hAnsi="宋体" w:eastAsia="宋体" w:cs="宋体"/>
          <w:color w:val="000000"/>
        </w:rPr>
        <w:t xml:space="preserve">2</w:t>
      </w:r>
      <w:r>
        <w:rPr>
          <w:rFonts w:hint="eastAsia" w:ascii="宋体" w:hAnsi="宋体" w:cs="宋体"/>
          <w:color w:val="000000"/>
        </w:rPr>
        <w:t xml:space="preserve">  </w:t>
      </w:r>
      <w:r>
        <w:rPr>
          <w:rFonts w:hint="eastAsia" w:ascii="宋体" w:hAnsi="宋体" w:eastAsia="宋体" w:cs="宋体"/>
          <w:color w:val="000000"/>
        </w:rPr>
        <w:t xml:space="preserve">15</w:t>
      </w:r>
      <w:r>
        <w:rPr>
          <w:rFonts w:hint="eastAsia" w:ascii="宋体" w:hAnsi="宋体" w:cs="宋体"/>
          <w:color w:val="000000"/>
        </w:rPr>
        <w:t xml:space="preserve">:00（北京时间）前递交投标文件。 </w:t>
      </w:r>
      <w:r>
        <w:rPr>
          <w:rFonts w:ascii="宋体" w:hAnsi="宋体"/>
          <w:color w:val="000000"/>
        </w:rPr>
      </w:r>
      <w:r/>
    </w:p>
    <w:p>
      <w:pPr>
        <w:pStyle w:val="654"/>
        <w:ind w:firstLine="498"/>
        <w:jc w:val="both"/>
        <w:keepLines/>
        <w:keepNext/>
        <w:spacing w:before="145" w:beforeAutospacing="0" w:after="145" w:afterAutospacing="0" w:line="560" w:lineRule="exact"/>
        <w:rPr>
          <w:rFonts w:ascii="宋体" w:hAnsi="宋体"/>
          <w:color w:val="000000"/>
        </w:rPr>
      </w:pPr>
      <w:r/>
      <w:bookmarkStart w:id="7" w:name="_Toc38985263"/>
      <w:r/>
      <w:bookmarkStart w:id="8" w:name="_Toc35393621"/>
      <w:r/>
      <w:bookmarkStart w:id="9" w:name="_Toc28359079"/>
      <w:r/>
      <w:bookmarkStart w:id="10" w:name="_Hlk24379207"/>
      <w:r/>
      <w:bookmarkStart w:id="11" w:name="_Toc28359002"/>
      <w:r/>
      <w:bookmarkStart w:id="12" w:name="_Toc35393790"/>
      <w:r>
        <w:rPr>
          <w:rFonts w:ascii="宋体" w:hAnsi="宋体"/>
          <w:b/>
          <w:color w:val="000000"/>
          <w:sz w:val="32"/>
          <w:szCs w:val="32"/>
        </w:rPr>
        <w:t xml:space="preserve">一、项目基本情况</w:t>
      </w:r>
      <w:bookmarkEnd w:id="7"/>
      <w:r/>
      <w:bookmarkEnd w:id="8"/>
      <w:r/>
      <w:bookmarkEnd w:id="9"/>
      <w:r/>
      <w:bookmarkEnd w:id="10"/>
      <w:r/>
      <w:bookmarkEnd w:id="11"/>
      <w:r/>
      <w:bookmarkEnd w:id="12"/>
      <w:r>
        <w:rPr>
          <w:rFonts w:ascii="宋体" w:hAnsi="宋体"/>
          <w:color w:val="000000"/>
        </w:rPr>
      </w:r>
      <w:r/>
    </w:p>
    <w:p>
      <w:pPr>
        <w:pStyle w:val="654"/>
        <w:ind w:firstLine="482"/>
        <w:jc w:val="both"/>
        <w:spacing w:beforeAutospacing="0" w:afterAutospacing="0" w:line="560" w:lineRule="exact"/>
        <w:rPr>
          <w:rFonts w:hint="eastAsia" w:ascii="宋体" w:hAnsi="宋体" w:eastAsia="宋体"/>
          <w:color w:val="000000"/>
        </w:rPr>
      </w:pPr>
      <w:r>
        <w:rPr>
          <w:rFonts w:hint="eastAsia" w:ascii="宋体" w:hAnsi="宋体" w:cs="宋体"/>
          <w:color w:val="000000"/>
        </w:rPr>
        <w:t xml:space="preserve">1.项目编号：JSZC-320924-JZCG-G2026-0042</w:t>
      </w:r>
      <w:r>
        <w:rPr>
          <w:rFonts w:hint="eastAsia" w:ascii="宋体" w:hAnsi="宋体" w:eastAsia="宋体"/>
          <w:color w:val="000000"/>
        </w:rPr>
      </w:r>
      <w:r/>
    </w:p>
    <w:p>
      <w:pPr>
        <w:pStyle w:val="654"/>
        <w:ind w:firstLine="482"/>
        <w:jc w:val="both"/>
        <w:spacing w:beforeAutospacing="0" w:afterAutospacing="0" w:line="560" w:lineRule="exact"/>
        <w:rPr>
          <w:rFonts w:hint="eastAsia" w:ascii="宋体" w:hAnsi="宋体" w:eastAsia="宋体" w:cs="宋体"/>
          <w:color w:val="000000"/>
        </w:rPr>
      </w:pPr>
      <w:r>
        <w:rPr>
          <w:rFonts w:hint="eastAsia" w:ascii="宋体" w:hAnsi="宋体" w:cs="宋体"/>
          <w:color w:val="000000"/>
        </w:rPr>
        <w:t xml:space="preserve">2.项目名称：射阳县住房和城乡建设局射阳县城市生命线与地下管线智慧化安全工程项目</w:t>
      </w:r>
      <w:r>
        <w:rPr>
          <w:rFonts w:hint="eastAsia" w:ascii="宋体" w:hAnsi="宋体" w:eastAsia="宋体" w:cs="宋体"/>
          <w:color w:val="000000"/>
        </w:rPr>
      </w:r>
      <w:r/>
    </w:p>
    <w:p>
      <w:pPr>
        <w:pStyle w:val="654"/>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3.采购方式：公开招标</w:t>
      </w:r>
      <w:r>
        <w:rPr>
          <w:rFonts w:ascii="宋体" w:hAnsi="宋体" w:cs="宋体"/>
          <w:color w:val="000000"/>
        </w:rPr>
      </w:r>
      <w:r/>
    </w:p>
    <w:p>
      <w:pPr>
        <w:pStyle w:val="654"/>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4.</w:t>
      </w:r>
      <w:bookmarkStart w:id="13" w:name="OLE_LINK3"/>
      <w:r/>
      <w:bookmarkStart w:id="14" w:name="OLE_LINK4"/>
      <w:r>
        <w:rPr>
          <w:rFonts w:hint="eastAsia" w:ascii="宋体" w:hAnsi="宋体" w:cs="宋体"/>
          <w:color w:val="000000"/>
        </w:rPr>
        <w:t xml:space="preserve">预算金额： 2914.28万元</w:t>
      </w:r>
      <w:bookmarkEnd w:id="13"/>
      <w:r/>
      <w:bookmarkEnd w:id="14"/>
      <w:r>
        <w:rPr>
          <w:rFonts w:hint="eastAsia" w:ascii="宋体" w:hAnsi="宋体" w:cs="宋体"/>
          <w:color w:val="000000"/>
        </w:rPr>
      </w:r>
      <w:r/>
    </w:p>
    <w:p>
      <w:pPr>
        <w:pStyle w:val="654"/>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5.</w:t>
      </w:r>
      <w:bookmarkStart w:id="15" w:name="OLE_LINK5"/>
      <w:r/>
      <w:bookmarkStart w:id="16" w:name="OLE_LINK7"/>
      <w:r/>
      <w:bookmarkStart w:id="17" w:name="OLE_LINK6"/>
      <w:r>
        <w:rPr>
          <w:rFonts w:hint="eastAsia" w:ascii="宋体" w:hAnsi="宋体" w:cs="宋体"/>
          <w:color w:val="000000"/>
        </w:rPr>
        <w:t xml:space="preserve">最高限价：</w:t>
      </w:r>
      <w:bookmarkEnd w:id="15"/>
      <w:r>
        <w:rPr>
          <w:rFonts w:hint="eastAsia" w:ascii="宋体" w:hAnsi="宋体" w:cs="宋体"/>
          <w:color w:val="000000"/>
        </w:rPr>
        <w:t xml:space="preserve"> 2914.28万元</w:t>
      </w:r>
      <w:bookmarkEnd w:id="16"/>
      <w:r/>
      <w:bookmarkEnd w:id="17"/>
      <w:r>
        <w:rPr>
          <w:rFonts w:hint="eastAsia" w:ascii="宋体" w:hAnsi="宋体" w:cs="宋体"/>
          <w:color w:val="000000"/>
        </w:rPr>
      </w:r>
      <w:r/>
    </w:p>
    <w:p>
      <w:pPr>
        <w:pStyle w:val="654"/>
        <w:ind w:firstLine="482"/>
        <w:jc w:val="both"/>
        <w:spacing w:beforeAutospacing="0" w:afterAutospacing="0" w:line="560" w:lineRule="exact"/>
        <w:widowControl/>
        <w:rPr>
          <w:rFonts w:hint="eastAsia" w:ascii="宋体" w:hAnsi="宋体" w:cs="宋体"/>
          <w:color w:val="000000"/>
        </w:rPr>
      </w:pPr>
      <w:r>
        <w:rPr>
          <w:rFonts w:hint="eastAsia" w:ascii="宋体" w:hAnsi="宋体" w:cs="宋体"/>
          <w:color w:val="000000"/>
        </w:rPr>
        <w:t xml:space="preserve">6.采购需求：</w:t>
      </w:r>
      <w:bookmarkStart w:id="18" w:name="OLE_LINK45"/>
      <w:r/>
      <w:bookmarkStart w:id="19" w:name="OLE_LINK54"/>
      <w:r>
        <w:rPr>
          <w:rFonts w:hint="eastAsia" w:ascii="宋体" w:hAnsi="宋体" w:cs="宋体"/>
          <w:color w:val="000000"/>
        </w:rPr>
        <w:t xml:space="preserve">本项目</w:t>
      </w:r>
      <w:bookmarkEnd w:id="18"/>
      <w:r/>
      <w:bookmarkEnd w:id="19"/>
      <w:r>
        <w:rPr>
          <w:rFonts w:hint="eastAsia" w:ascii="宋体" w:hAnsi="宋体" w:cs="宋体"/>
          <w:color w:val="000000"/>
        </w:rPr>
        <w:t xml:space="preserve">建设内容为扩大对桥梁、排水管网、燃气管网等城市生命线的安全监测覆盖，开发内涝等风险预警模型，升级城市生命线安全工程综合监管平台;开展全县地下管线补充普查与数据入库，建设升级城市地下管线综合管理信息系统，实现数据共享与应用。（详细内容见本招标文件第四章）。</w:t>
      </w:r>
      <w:r>
        <w:rPr>
          <w:rFonts w:hint="eastAsia" w:ascii="宋体" w:hAnsi="宋体" w:cs="宋体"/>
          <w:color w:val="000000"/>
        </w:rPr>
      </w:r>
      <w:r/>
    </w:p>
    <w:p>
      <w:pPr>
        <w:pStyle w:val="654"/>
        <w:ind w:firstLine="482"/>
        <w:jc w:val="both"/>
        <w:spacing w:beforeAutospacing="0" w:afterAutospacing="0" w:line="560" w:lineRule="exact"/>
        <w:widowControl/>
        <w:rPr>
          <w:rFonts w:hint="eastAsia" w:ascii="宋体" w:hAnsi="宋体" w:cs="宋体"/>
          <w:color w:val="000000"/>
        </w:rPr>
      </w:pPr>
      <w:r>
        <w:rPr>
          <w:rFonts w:hint="eastAsia" w:ascii="宋体" w:hAnsi="宋体" w:cs="宋体"/>
          <w:color w:val="000000"/>
        </w:rPr>
        <w:t xml:space="preserve">7.合同履行期限： 第一阶段，自合同签订生效之日起至2026年12月31日，完成年度物联网感知设备部署及监管平台建设工作，并基于省住建厅、市住建局的要求完成相关工作任务。阶段建设内容完成后组织验收，通过终验后，提供三年运维服务。</w:t>
      </w:r>
      <w:r>
        <w:rPr>
          <w:rFonts w:hint="eastAsia" w:ascii="宋体" w:hAnsi="宋体" w:cs="宋体"/>
          <w:color w:val="000000"/>
        </w:rPr>
      </w:r>
      <w:r/>
    </w:p>
    <w:p>
      <w:pPr>
        <w:pStyle w:val="654"/>
        <w:ind w:firstLine="482"/>
        <w:jc w:val="both"/>
        <w:spacing w:beforeAutospacing="0" w:afterAutospacing="0" w:line="560" w:lineRule="exact"/>
        <w:widowControl/>
        <w:rPr>
          <w:rFonts w:hint="eastAsia" w:ascii="宋体" w:hAnsi="宋体" w:cs="宋体"/>
          <w:color w:val="000000"/>
        </w:rPr>
      </w:pPr>
      <w:r>
        <w:rPr>
          <w:rFonts w:hint="eastAsia" w:ascii="宋体" w:hAnsi="宋体" w:cs="宋体"/>
          <w:color w:val="000000"/>
        </w:rPr>
        <w:t xml:space="preserve">第二阶段，自2027年1月1日起至2027年12月31日，根据采购人实际需求并经确认后完成剩余物联网感知设备部署及配套建设，并基于省住建厅、市住建局的要求完成相关工作任务。阶段建设内容完成后组织验收，通过终验后，提供三年运维服务。</w:t>
      </w:r>
      <w:r>
        <w:rPr>
          <w:rFonts w:hint="eastAsia" w:ascii="宋体" w:hAnsi="宋体" w:cs="宋体"/>
          <w:color w:val="000000"/>
        </w:rPr>
      </w:r>
      <w:r/>
    </w:p>
    <w:p>
      <w:pPr>
        <w:pStyle w:val="654"/>
        <w:ind w:firstLine="482"/>
        <w:spacing w:line="560" w:lineRule="exact"/>
        <w:widowControl/>
        <w:rPr>
          <w:rFonts w:hint="eastAsia" w:ascii="宋体" w:hAnsi="宋体" w:cs="宋体"/>
          <w:color w:val="000000"/>
        </w:rPr>
      </w:pPr>
      <w:r>
        <w:rPr>
          <w:rFonts w:hint="eastAsia" w:ascii="宋体" w:hAnsi="宋体" w:cs="宋体"/>
          <w:color w:val="000000"/>
        </w:rPr>
        <w:t xml:space="preserve">具体交货安排，需根据采购人实际需求调整。</w:t>
      </w:r>
      <w:r>
        <w:rPr>
          <w:rFonts w:hint="eastAsia" w:ascii="宋体" w:hAnsi="宋体" w:cs="宋体"/>
          <w:color w:val="000000"/>
        </w:rPr>
      </w:r>
      <w:r/>
    </w:p>
    <w:p>
      <w:pPr>
        <w:pStyle w:val="654"/>
        <w:ind w:firstLine="482"/>
        <w:jc w:val="both"/>
        <w:spacing w:beforeAutospacing="0" w:afterAutospacing="0" w:line="560" w:lineRule="exact"/>
        <w:rPr>
          <w:rFonts w:hint="eastAsia" w:ascii="宋体" w:hAnsi="宋体" w:eastAsia="宋体" w:cs="宋体"/>
          <w:color w:val="000000"/>
          <w:highlight w:val="yellow"/>
        </w:rPr>
      </w:pPr>
      <w:r>
        <w:rPr>
          <w:rFonts w:hint="eastAsia" w:ascii="宋体" w:hAnsi="宋体" w:cs="宋体"/>
          <w:color w:val="000000"/>
          <w:highlight w:val="yellow"/>
        </w:rPr>
        <w:t xml:space="preserve">8.</w:t>
      </w:r>
      <w:r>
        <w:rPr>
          <w:rFonts w:ascii="宋体" w:hAnsi="宋体" w:cs="宋体"/>
          <w:color w:val="000000"/>
          <w:highlight w:val="yellow"/>
        </w:rPr>
        <w:t xml:space="preserve">本项目接受联合体投标</w:t>
      </w:r>
      <w:r>
        <w:rPr>
          <w:rFonts w:hint="eastAsia" w:ascii="宋体" w:hAnsi="宋体" w:cs="宋体"/>
          <w:color w:val="000000"/>
          <w:highlight w:val="yellow"/>
        </w:rPr>
        <w:t xml:space="preserve">，联合体中所有成员数量不得超过3名。</w:t>
      </w:r>
      <w:r>
        <w:rPr>
          <w:rFonts w:hint="eastAsia" w:ascii="宋体" w:hAnsi="宋体" w:eastAsia="宋体" w:cs="宋体"/>
          <w:color w:val="000000"/>
          <w:highlight w:val="yellow"/>
        </w:rPr>
      </w:r>
      <w:r/>
    </w:p>
    <w:p>
      <w:pPr>
        <w:pStyle w:val="654"/>
        <w:ind w:firstLine="498"/>
        <w:jc w:val="both"/>
        <w:keepLines/>
        <w:keepNext/>
        <w:spacing w:before="145" w:beforeAutospacing="0" w:after="145" w:afterAutospacing="0" w:line="560" w:lineRule="exact"/>
        <w:rPr>
          <w:rFonts w:ascii="宋体" w:hAnsi="宋体"/>
          <w:color w:val="000000"/>
        </w:rPr>
      </w:pPr>
      <w:r/>
      <w:bookmarkStart w:id="20" w:name="_Toc35393791"/>
      <w:r/>
      <w:bookmarkStart w:id="21" w:name="_Toc28359080"/>
      <w:r/>
      <w:bookmarkStart w:id="22" w:name="_Toc38985264"/>
      <w:r/>
      <w:bookmarkStart w:id="23" w:name="_Toc28359003"/>
      <w:r/>
      <w:bookmarkStart w:id="24" w:name="_Toc35393622"/>
      <w:r>
        <w:rPr>
          <w:rFonts w:ascii="宋体" w:hAnsi="宋体"/>
          <w:b/>
          <w:color w:val="000000"/>
          <w:sz w:val="32"/>
          <w:szCs w:val="32"/>
        </w:rPr>
        <w:t xml:space="preserve">二、申请人的资格要求：</w:t>
      </w:r>
      <w:bookmarkEnd w:id="20"/>
      <w:r/>
      <w:bookmarkEnd w:id="21"/>
      <w:r/>
      <w:bookmarkEnd w:id="22"/>
      <w:r/>
      <w:bookmarkEnd w:id="23"/>
      <w:r/>
      <w:bookmarkEnd w:id="24"/>
      <w:r>
        <w:rPr>
          <w:rFonts w:ascii="宋体" w:hAnsi="宋体"/>
          <w:color w:val="000000"/>
        </w:rPr>
      </w:r>
      <w:r/>
    </w:p>
    <w:p>
      <w:pPr>
        <w:pStyle w:val="654"/>
        <w:ind w:firstLine="482"/>
        <w:jc w:val="both"/>
        <w:spacing w:beforeAutospacing="0" w:afterAutospacing="0" w:line="560" w:lineRule="exact"/>
        <w:rPr>
          <w:rFonts w:ascii="宋体" w:hAnsi="宋体"/>
          <w:color w:val="000000"/>
        </w:rPr>
      </w:pPr>
      <w:r>
        <w:rPr>
          <w:rFonts w:hint="eastAsia" w:ascii="宋体" w:hAnsi="宋体" w:cs="宋体"/>
          <w:color w:val="000000"/>
        </w:rPr>
        <w:t xml:space="preserve">（一）满足《中华人民共和国政府采购法》第二十二条规定，并提供下列材料：</w:t>
      </w:r>
      <w:r>
        <w:rPr>
          <w:rFonts w:ascii="宋体" w:hAnsi="宋体"/>
          <w:color w:val="000000"/>
        </w:rPr>
      </w:r>
      <w:r/>
    </w:p>
    <w:p>
      <w:pPr>
        <w:pStyle w:val="654"/>
        <w:ind w:firstLine="482"/>
        <w:jc w:val="both"/>
        <w:spacing w:beforeAutospacing="0" w:afterAutospacing="0" w:line="560" w:lineRule="exact"/>
        <w:rPr>
          <w:rFonts w:ascii="宋体" w:hAnsi="宋体"/>
          <w:color w:val="000000"/>
        </w:rPr>
      </w:pPr>
      <w:r>
        <w:rPr>
          <w:rFonts w:hint="eastAsia" w:ascii="宋体" w:hAnsi="宋体" w:cs="宋体"/>
          <w:color w:val="000000"/>
        </w:rPr>
        <w:t xml:space="preserve">1.</w:t>
      </w:r>
      <w:bookmarkStart w:id="25" w:name="OLE_LINK30"/>
      <w:r/>
      <w:bookmarkStart w:id="26" w:name="OLE_LINK31"/>
      <w:r/>
      <w:bookmarkStart w:id="27" w:name="OLE_LINK57"/>
      <w:r>
        <w:rPr>
          <w:rFonts w:hint="eastAsia" w:ascii="宋体" w:hAnsi="宋体" w:cs="宋体"/>
          <w:color w:val="000000"/>
        </w:rPr>
        <w:t xml:space="preserve">法人或者其他组织的营业执照等证明文件，自然人的身份证明。</w:t>
      </w:r>
      <w:bookmarkEnd w:id="25"/>
      <w:r/>
      <w:bookmarkEnd w:id="26"/>
      <w:r/>
      <w:bookmarkEnd w:id="27"/>
      <w:r>
        <w:rPr>
          <w:rFonts w:ascii="宋体" w:hAnsi="宋体"/>
          <w:color w:val="000000"/>
        </w:rPr>
      </w:r>
      <w:r/>
    </w:p>
    <w:p>
      <w:pPr>
        <w:pStyle w:val="654"/>
        <w:ind w:firstLine="482"/>
        <w:jc w:val="both"/>
        <w:spacing w:beforeAutospacing="0" w:afterAutospacing="0" w:line="560" w:lineRule="exact"/>
        <w:rPr>
          <w:rFonts w:ascii="宋体" w:hAnsi="宋体"/>
          <w:color w:val="000000"/>
        </w:rPr>
      </w:pPr>
      <w:r>
        <w:rPr>
          <w:rFonts w:hint="eastAsia" w:ascii="宋体" w:hAnsi="宋体" w:cs="宋体"/>
          <w:color w:val="000000"/>
        </w:rPr>
        <w:t xml:space="preserve">2.</w:t>
      </w:r>
      <w:bookmarkStart w:id="28" w:name="_Hlk220488632"/>
      <w:r/>
      <w:bookmarkStart w:id="29" w:name="OLE_LINK58"/>
      <w:r/>
      <w:bookmarkStart w:id="30" w:name="OLE_LINK33"/>
      <w:r/>
      <w:bookmarkStart w:id="31" w:name="OLE_LINK32"/>
      <w:r>
        <w:rPr>
          <w:rFonts w:hint="eastAsia" w:ascii="宋体" w:hAnsi="宋体" w:cs="宋体"/>
          <w:color w:val="000000"/>
        </w:rPr>
        <w:t xml:space="preserve">上一年度的财务状况报表（成立不满一年无需提供）。</w:t>
      </w:r>
      <w:bookmarkEnd w:id="28"/>
      <w:r/>
      <w:bookmarkEnd w:id="29"/>
      <w:r/>
      <w:bookmarkEnd w:id="30"/>
      <w:r/>
      <w:bookmarkEnd w:id="31"/>
      <w:r>
        <w:rPr>
          <w:rFonts w:ascii="宋体" w:hAnsi="宋体"/>
          <w:color w:val="000000"/>
        </w:rPr>
      </w:r>
      <w:r/>
    </w:p>
    <w:p>
      <w:pPr>
        <w:pStyle w:val="654"/>
        <w:ind w:firstLine="482"/>
        <w:jc w:val="both"/>
        <w:spacing w:beforeAutospacing="0" w:afterAutospacing="0" w:line="560" w:lineRule="exact"/>
        <w:rPr>
          <w:rFonts w:ascii="宋体" w:hAnsi="宋体"/>
          <w:color w:val="000000"/>
        </w:rPr>
      </w:pPr>
      <w:r>
        <w:rPr>
          <w:rFonts w:hint="eastAsia" w:ascii="宋体" w:hAnsi="宋体" w:cs="宋体"/>
          <w:color w:val="000000"/>
        </w:rPr>
        <w:t xml:space="preserve">3.</w:t>
      </w:r>
      <w:bookmarkStart w:id="32" w:name="OLE_LINK35"/>
      <w:r/>
      <w:bookmarkStart w:id="33" w:name="OLE_LINK34"/>
      <w:r>
        <w:rPr>
          <w:rFonts w:hint="eastAsia" w:ascii="宋体" w:hAnsi="宋体" w:cs="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32"/>
      <w:r/>
      <w:bookmarkEnd w:id="33"/>
      <w:r>
        <w:rPr>
          <w:rFonts w:ascii="宋体" w:hAnsi="宋体"/>
          <w:color w:val="000000"/>
        </w:rPr>
      </w:r>
      <w:r/>
    </w:p>
    <w:p>
      <w:pPr>
        <w:pStyle w:val="654"/>
        <w:ind w:firstLine="482"/>
        <w:jc w:val="both"/>
        <w:spacing w:beforeAutospacing="0" w:afterAutospacing="0" w:line="560" w:lineRule="exact"/>
        <w:rPr>
          <w:rFonts w:ascii="宋体" w:hAnsi="宋体"/>
          <w:color w:val="000000"/>
        </w:rPr>
      </w:pPr>
      <w:r>
        <w:rPr>
          <w:rFonts w:hint="eastAsia" w:ascii="宋体" w:hAnsi="宋体" w:cs="宋体"/>
          <w:color w:val="000000"/>
        </w:rPr>
        <w:t xml:space="preserve">4.</w:t>
      </w:r>
      <w:bookmarkStart w:id="34" w:name="OLE_LINK37"/>
      <w:r/>
      <w:bookmarkStart w:id="35" w:name="OLE_LINK59"/>
      <w:r/>
      <w:bookmarkStart w:id="36" w:name="OLE_LINK36"/>
      <w:r>
        <w:rPr>
          <w:rFonts w:hint="eastAsia" w:ascii="宋体" w:hAnsi="宋体" w:cs="宋体"/>
          <w:color w:val="000000"/>
        </w:rPr>
        <w:t xml:space="preserve">具备履行合同所必需的设备和专业技术能力的书面声明。</w:t>
      </w:r>
      <w:bookmarkEnd w:id="34"/>
      <w:r/>
      <w:bookmarkEnd w:id="35"/>
      <w:r/>
      <w:bookmarkEnd w:id="36"/>
      <w:r>
        <w:rPr>
          <w:rFonts w:ascii="宋体" w:hAnsi="宋体"/>
          <w:color w:val="000000"/>
        </w:rPr>
      </w:r>
      <w:r/>
    </w:p>
    <w:p>
      <w:pPr>
        <w:pStyle w:val="654"/>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5.</w:t>
      </w:r>
      <w:bookmarkStart w:id="37" w:name="OLE_LINK39"/>
      <w:r/>
      <w:bookmarkStart w:id="38" w:name="OLE_LINK38"/>
      <w:r>
        <w:rPr>
          <w:rFonts w:hint="eastAsia" w:ascii="宋体" w:hAnsi="宋体" w:cs="宋体"/>
          <w:color w:val="000000"/>
        </w:rPr>
        <w:t xml:space="preserve">参加政府采购活动前3年内在经营活动中没有重大违法记录的书面声明。</w:t>
      </w:r>
      <w:bookmarkEnd w:id="37"/>
      <w:r/>
      <w:bookmarkEnd w:id="38"/>
      <w:r>
        <w:rPr>
          <w:rFonts w:ascii="宋体" w:hAnsi="宋体" w:cs="宋体"/>
          <w:color w:val="000000"/>
        </w:rPr>
      </w:r>
      <w:r/>
    </w:p>
    <w:p>
      <w:pPr>
        <w:pStyle w:val="654"/>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6.</w:t>
      </w:r>
      <w:bookmarkStart w:id="39" w:name="OLE_LINK60"/>
      <w:r/>
      <w:bookmarkStart w:id="40" w:name="OLE_LINK40"/>
      <w:r/>
      <w:bookmarkStart w:id="41" w:name="OLE_LINK41"/>
      <w:r>
        <w:rPr>
          <w:rFonts w:hint="eastAsia" w:ascii="宋体" w:hAnsi="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9"/>
      <w:r>
        <w:rPr>
          <w:rFonts w:ascii="宋体" w:hAnsi="宋体" w:cs="宋体"/>
          <w:color w:val="000000"/>
        </w:rPr>
      </w:r>
      <w:r/>
    </w:p>
    <w:p>
      <w:pPr>
        <w:pStyle w:val="654"/>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w:t>
      </w:r>
      <w:bookmarkStart w:id="42" w:name="OLE_LINK61"/>
      <w:r/>
      <w:bookmarkStart w:id="43" w:name="OLE_LINK62"/>
      <w:r>
        <w:rPr>
          <w:rFonts w:hint="eastAsia" w:ascii="宋体" w:hAnsi="宋体" w:cs="宋体"/>
          <w:color w:val="000000"/>
        </w:rPr>
        <w:t xml:space="preserve">单位负责人为同一人或者存在直接控股、管理关系的不同供应商，不得参加同一合同项下的政府采购活动。</w:t>
      </w:r>
      <w:bookmarkEnd w:id="42"/>
      <w:r/>
      <w:bookmarkEnd w:id="43"/>
      <w:r>
        <w:rPr>
          <w:rFonts w:ascii="宋体" w:hAnsi="宋体" w:cs="宋体"/>
          <w:color w:val="000000"/>
        </w:rPr>
      </w:r>
      <w:r/>
    </w:p>
    <w:p>
      <w:pPr>
        <w:pStyle w:val="654"/>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8</w:t>
      </w:r>
      <w:r>
        <w:rPr>
          <w:rFonts w:ascii="宋体" w:hAnsi="宋体" w:cs="宋体"/>
          <w:color w:val="000000"/>
        </w:rPr>
        <w:t xml:space="preserve">.</w:t>
      </w:r>
      <w:bookmarkStart w:id="44" w:name="OLE_LINK64"/>
      <w:r/>
      <w:bookmarkStart w:id="45" w:name="OLE_LINK63"/>
      <w:r>
        <w:rPr>
          <w:rFonts w:hint="eastAsia" w:ascii="宋体" w:hAnsi="宋体" w:cs="宋体"/>
          <w:color w:val="000000"/>
        </w:rPr>
        <w:t xml:space="preserve">法律、行政法规规定的其他条件。</w:t>
      </w:r>
      <w:bookmarkEnd w:id="40"/>
      <w:r/>
      <w:bookmarkEnd w:id="41"/>
      <w:r/>
      <w:bookmarkEnd w:id="44"/>
      <w:r/>
      <w:bookmarkEnd w:id="45"/>
      <w:r>
        <w:rPr>
          <w:rFonts w:hint="eastAsia" w:ascii="宋体" w:hAnsi="宋体" w:cs="宋体"/>
          <w:color w:val="000000"/>
        </w:rPr>
      </w:r>
      <w:r/>
    </w:p>
    <w:p>
      <w:pPr>
        <w:pStyle w:val="654"/>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9.</w:t>
      </w:r>
      <w:r>
        <w:rPr>
          <w:rFonts w:hint="eastAsia"/>
          <w:color w:val="000000"/>
          <w:szCs w:val="20"/>
        </w:rPr>
        <w:t xml:space="preserve">若以联合体形式参加本项目投标，请提供《联合体协议》。</w:t>
      </w:r>
      <w:r>
        <w:rPr>
          <w:rFonts w:hint="eastAsia" w:ascii="宋体" w:hAnsi="宋体" w:cs="宋体"/>
          <w:color w:val="000000"/>
        </w:rPr>
      </w:r>
      <w:r/>
    </w:p>
    <w:p>
      <w:pPr>
        <w:pStyle w:val="654"/>
        <w:ind w:firstLine="482"/>
        <w:jc w:val="both"/>
        <w:spacing w:beforeAutospacing="0" w:afterAutospacing="0" w:line="560" w:lineRule="exact"/>
        <w:rPr>
          <w:rFonts w:hint="eastAsia" w:ascii="宋体" w:hAnsi="宋体" w:cs="宋体"/>
          <w:color w:val="000000"/>
        </w:rPr>
      </w:pPr>
      <w:r>
        <w:rPr>
          <w:rFonts w:hint="eastAsia"/>
          <w:b/>
          <w:bCs/>
          <w:color w:val="000000"/>
          <w:szCs w:val="20"/>
        </w:rPr>
        <w:t xml:space="preserve">若以联合体投标，上述内容联合体各方均需提供。</w:t>
      </w:r>
      <w:r>
        <w:rPr>
          <w:rFonts w:hint="eastAsia" w:ascii="宋体" w:hAnsi="宋体" w:cs="宋体"/>
          <w:color w:val="000000"/>
        </w:rPr>
      </w:r>
      <w:r/>
    </w:p>
    <w:p>
      <w:pPr>
        <w:pStyle w:val="654"/>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（二）落实政府采购政策需满足的资格要求：</w:t>
      </w:r>
      <w:r>
        <w:rPr>
          <w:rFonts w:ascii="宋体" w:hAnsi="宋体" w:cs="宋体"/>
          <w:color w:val="000000"/>
        </w:rPr>
      </w:r>
      <w:r/>
    </w:p>
    <w:p>
      <w:pPr>
        <w:pStyle w:val="654"/>
        <w:ind w:firstLine="482"/>
        <w:jc w:val="both"/>
        <w:spacing w:beforeAutospacing="0" w:afterAutospacing="0" w:line="560" w:lineRule="exact"/>
        <w:rPr>
          <w:rFonts w:ascii="宋体" w:hAnsi="宋体" w:cs="宋体"/>
          <w:color w:val="000000"/>
        </w:rPr>
      </w:pPr>
      <w:r/>
      <w:bookmarkStart w:id="46" w:name="OLE_LINK66"/>
      <w:r/>
      <w:bookmarkStart w:id="47" w:name="OLE_LINK65"/>
      <w:r>
        <w:rPr>
          <w:rFonts w:hint="eastAsia" w:ascii="宋体" w:hAnsi="宋体" w:cs="宋体"/>
          <w:color w:val="000000"/>
        </w:rPr>
        <w:t xml:space="preserve">根据《政府采购促进中小企业发展管理办法》的相关规定，执行价格扣除优惠政策，给予小微型企业、监狱企业或残疾人福利性单位报价给予20%的扣除，用扣除后的价格参加评审。</w:t>
      </w:r>
      <w:bookmarkEnd w:id="46"/>
      <w:r/>
      <w:bookmarkEnd w:id="47"/>
      <w:r>
        <w:rPr>
          <w:rFonts w:ascii="宋体" w:hAnsi="宋体" w:cs="宋体"/>
          <w:color w:val="000000"/>
        </w:rPr>
      </w:r>
      <w:r/>
    </w:p>
    <w:p>
      <w:pPr>
        <w:pStyle w:val="654"/>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（三）本项目的特定资格要求</w:t>
      </w:r>
      <w:r>
        <w:rPr>
          <w:rFonts w:ascii="宋体" w:hAnsi="宋体" w:cs="宋体"/>
          <w:color w:val="000000"/>
        </w:rPr>
      </w:r>
      <w:r/>
    </w:p>
    <w:p>
      <w:pPr>
        <w:pStyle w:val="654"/>
        <w:ind w:firstLine="482"/>
        <w:jc w:val="both"/>
        <w:spacing w:beforeAutospacing="0" w:afterAutospacing="0" w:line="560" w:lineRule="exact"/>
        <w:rPr>
          <w:rFonts w:hint="eastAsia" w:ascii="宋体" w:hAnsi="宋体" w:cs="宋体"/>
          <w:color w:val="000000"/>
        </w:rPr>
      </w:pPr>
      <w:r>
        <w:rPr>
          <w:rFonts w:hint="eastAsia" w:ascii="宋体" w:hAnsi="宋体" w:cs="宋体"/>
          <w:color w:val="000000"/>
        </w:rPr>
        <w:t xml:space="preserve">无。</w:t>
      </w:r>
      <w:r>
        <w:rPr>
          <w:rFonts w:hint="eastAsia" w:ascii="宋体" w:hAnsi="宋体" w:cs="宋体"/>
          <w:color w:val="000000"/>
        </w:rPr>
      </w:r>
      <w:r/>
    </w:p>
    <w:p>
      <w:pPr>
        <w:pStyle w:val="654"/>
        <w:ind w:firstLine="482"/>
        <w:jc w:val="both"/>
        <w:spacing w:beforeAutospacing="0" w:afterAutospacing="0" w:line="560" w:lineRule="exact"/>
        <w:rPr>
          <w:rFonts w:ascii="宋体" w:hAnsi="宋体"/>
          <w:color w:val="000000"/>
        </w:rPr>
      </w:pPr>
      <w:r>
        <w:rPr>
          <w:rFonts w:ascii="宋体" w:hAnsi="宋体"/>
          <w:b/>
          <w:color w:val="000000"/>
          <w:sz w:val="32"/>
          <w:szCs w:val="32"/>
        </w:rPr>
        <w:t xml:space="preserve">三、获取招标文件</w:t>
      </w:r>
      <w:r>
        <w:rPr>
          <w:rFonts w:ascii="宋体" w:hAnsi="宋体"/>
          <w:color w:val="000000"/>
        </w:rPr>
      </w:r>
      <w:r/>
    </w:p>
    <w:p>
      <w:pPr>
        <w:pStyle w:val="654"/>
        <w:ind w:firstLine="539"/>
        <w:jc w:val="both"/>
        <w:spacing w:beforeAutospacing="0" w:afterAutospacing="0" w:line="560" w:lineRule="exact"/>
        <w:rPr>
          <w:rFonts w:ascii="宋体" w:hAnsi="宋体"/>
          <w:color w:val="000000"/>
        </w:rPr>
      </w:pPr>
      <w:r/>
      <w:bookmarkStart w:id="48" w:name="_Toc35393624"/>
      <w:r/>
      <w:bookmarkStart w:id="49" w:name="_Toc28359005"/>
      <w:r/>
      <w:bookmarkStart w:id="50" w:name="_Toc28359082"/>
      <w:r/>
      <w:bookmarkStart w:id="51" w:name="_Toc35393793"/>
      <w:r/>
      <w:bookmarkStart w:id="52" w:name="_Toc38985266"/>
      <w:r>
        <w:rPr>
          <w:rFonts w:hint="eastAsia" w:ascii="宋体" w:hAnsi="宋体" w:cs="宋体"/>
          <w:color w:val="000000"/>
        </w:rPr>
        <w:t xml:space="preserve">1.时间：</w:t>
      </w:r>
      <w:bookmarkEnd w:id="48"/>
      <w:r/>
      <w:bookmarkEnd w:id="49"/>
      <w:r/>
      <w:bookmarkEnd w:id="50"/>
      <w:r/>
      <w:bookmarkEnd w:id="51"/>
      <w:r/>
      <w:bookmarkEnd w:id="52"/>
      <w:r>
        <w:rPr>
          <w:rFonts w:hint="eastAsia" w:ascii="宋体" w:hAnsi="宋体"/>
          <w:color w:val="000000"/>
        </w:rPr>
        <w:t xml:space="preserve">自招标文件公告发布之日起5个工作日。</w:t>
      </w:r>
      <w:r>
        <w:rPr>
          <w:rFonts w:ascii="宋体" w:hAnsi="宋体"/>
          <w:color w:val="000000"/>
        </w:rPr>
      </w:r>
      <w:r/>
    </w:p>
    <w:p>
      <w:pPr>
        <w:pStyle w:val="654"/>
        <w:ind w:firstLine="539"/>
        <w:jc w:val="both"/>
        <w:spacing w:beforeAutospacing="0" w:afterAutospacing="0" w:line="560" w:lineRule="exact"/>
        <w:rPr>
          <w:rFonts w:ascii="宋体" w:hAnsi="宋体" w:cs="宋体"/>
          <w:color w:val="000000"/>
        </w:rPr>
      </w:pPr>
      <w:r>
        <w:rPr>
          <w:rFonts w:hint="eastAsia" w:ascii="宋体" w:hAnsi="宋体" w:cs="宋体"/>
          <w:color w:val="000000"/>
        </w:rPr>
        <w:t xml:space="preserve">2.地点：“苏采云”系统内免费下载（投标人必须在苏采云系统中获取招标文件，方能参与政府采购项目）；</w:t>
      </w:r>
      <w:r>
        <w:rPr>
          <w:rFonts w:ascii="宋体" w:hAnsi="宋体" w:cs="宋体"/>
          <w:color w:val="000000"/>
        </w:rPr>
      </w:r>
      <w:r/>
    </w:p>
    <w:p>
      <w:pPr>
        <w:pStyle w:val="654"/>
        <w:ind w:firstLine="539"/>
        <w:jc w:val="both"/>
        <w:spacing w:beforeAutospacing="0" w:afterAutospacing="0" w:line="560" w:lineRule="exact"/>
        <w:rPr>
          <w:rFonts w:ascii="宋体" w:hAnsi="宋体" w:cs="宋体"/>
          <w:color w:val="000000"/>
        </w:rPr>
      </w:pPr>
      <w:r>
        <w:rPr>
          <w:rFonts w:hint="eastAsia" w:ascii="宋体" w:hAnsi="宋体" w:cs="宋体"/>
          <w:color w:val="000000"/>
        </w:rPr>
        <w:t xml:space="preserve">3.方式：本项目采用网上注册登记方式。</w:t>
      </w:r>
      <w:r>
        <w:rPr>
          <w:rFonts w:ascii="宋体" w:hAnsi="宋体" w:cs="宋体"/>
          <w:color w:val="000000"/>
        </w:rPr>
      </w:r>
      <w:r/>
    </w:p>
    <w:p>
      <w:pPr>
        <w:pStyle w:val="654"/>
        <w:ind w:firstLine="539"/>
        <w:jc w:val="both"/>
        <w:spacing w:beforeAutospacing="0" w:afterAutospacing="0" w:line="560" w:lineRule="exact"/>
        <w:rPr>
          <w:rFonts w:ascii="宋体" w:hAnsi="宋体"/>
          <w:color w:val="000000"/>
        </w:rPr>
      </w:pPr>
      <w:r>
        <w:rPr>
          <w:rFonts w:hint="eastAsia" w:ascii="宋体" w:hAnsi="宋体"/>
          <w:color w:val="000000"/>
        </w:rPr>
        <w:t xml:space="preserve">4.售价：0元</w:t>
      </w:r>
      <w:r>
        <w:rPr>
          <w:rFonts w:ascii="宋体" w:hAnsi="宋体"/>
          <w:color w:val="000000"/>
        </w:rPr>
      </w:r>
      <w:r/>
    </w:p>
    <w:p>
      <w:pPr>
        <w:pStyle w:val="654"/>
        <w:ind w:firstLine="498"/>
        <w:jc w:val="both"/>
        <w:keepLines/>
        <w:keepNext/>
        <w:spacing w:before="145" w:beforeAutospacing="0" w:after="145" w:afterAutospacing="0" w:line="560" w:lineRule="exact"/>
        <w:rPr>
          <w:rFonts w:ascii="宋体" w:hAnsi="宋体"/>
          <w:color w:val="000000"/>
        </w:rPr>
      </w:pPr>
      <w:r>
        <w:rPr>
          <w:rFonts w:ascii="宋体" w:hAnsi="宋体"/>
          <w:b/>
          <w:color w:val="000000"/>
          <w:sz w:val="32"/>
          <w:szCs w:val="32"/>
        </w:rPr>
        <w:t xml:space="preserve">四、提交投标文件截止时间、开标时间和地点</w:t>
      </w:r>
      <w:r>
        <w:rPr>
          <w:rFonts w:ascii="宋体" w:hAnsi="宋体"/>
          <w:color w:val="000000"/>
        </w:rPr>
      </w:r>
      <w:r/>
    </w:p>
    <w:p>
      <w:pPr>
        <w:pStyle w:val="654"/>
        <w:ind w:firstLine="482"/>
        <w:jc w:val="both"/>
        <w:spacing w:beforeAutospacing="0" w:afterAutospacing="0" w:line="560" w:lineRule="exact"/>
        <w:rPr>
          <w:rFonts w:ascii="宋体" w:hAnsi="宋体"/>
          <w:color w:val="000000"/>
        </w:rPr>
      </w:pPr>
      <w:r>
        <w:rPr>
          <w:rFonts w:hint="eastAsia" w:ascii="宋体" w:hAnsi="宋体"/>
          <w:color w:val="000000"/>
        </w:rPr>
        <w:t xml:space="preserve">1.时间：2026-1</w:t>
      </w:r>
      <w:r>
        <w:rPr>
          <w:rFonts w:hint="eastAsia" w:ascii="宋体" w:hAnsi="宋体" w:eastAsia="宋体"/>
          <w:color w:val="000000"/>
        </w:rPr>
        <w:t xml:space="preserve">1</w:t>
      </w:r>
      <w:r>
        <w:rPr>
          <w:rFonts w:hint="eastAsia" w:ascii="宋体" w:hAnsi="宋体"/>
          <w:color w:val="000000"/>
        </w:rPr>
        <w:t xml:space="preserve">- </w:t>
      </w:r>
      <w:r>
        <w:rPr>
          <w:rFonts w:hint="eastAsia" w:ascii="宋体" w:hAnsi="宋体" w:eastAsia="宋体"/>
          <w:color w:val="000000"/>
        </w:rPr>
        <w:t xml:space="preserve">2</w:t>
      </w:r>
      <w:r>
        <w:rPr>
          <w:rFonts w:hint="eastAsia" w:ascii="宋体" w:hAnsi="宋体"/>
          <w:color w:val="000000"/>
        </w:rPr>
        <w:t xml:space="preserve"> </w:t>
      </w:r>
      <w:r>
        <w:rPr>
          <w:rFonts w:hint="eastAsia" w:ascii="宋体" w:hAnsi="宋体" w:eastAsia="宋体"/>
          <w:color w:val="000000"/>
        </w:rPr>
        <w:t xml:space="preserve">15</w:t>
      </w:r>
      <w:r>
        <w:rPr>
          <w:rFonts w:hint="eastAsia" w:ascii="宋体" w:hAnsi="宋体"/>
          <w:color w:val="000000"/>
        </w:rPr>
        <w:t xml:space="preserve">:00（北京时间）。</w:t>
      </w:r>
      <w:r>
        <w:rPr>
          <w:rFonts w:ascii="宋体" w:hAnsi="宋体"/>
          <w:color w:val="000000"/>
        </w:rPr>
      </w:r>
      <w:r/>
    </w:p>
    <w:p>
      <w:pPr>
        <w:pStyle w:val="654"/>
        <w:ind w:firstLine="482"/>
        <w:jc w:val="both"/>
        <w:spacing w:beforeAutospacing="0" w:afterAutospacing="0" w:line="560" w:lineRule="exact"/>
        <w:rPr>
          <w:rFonts w:ascii="宋体" w:hAnsi="宋体"/>
          <w:color w:val="000000"/>
        </w:rPr>
      </w:pPr>
      <w:r>
        <w:rPr>
          <w:rFonts w:hint="eastAsia" w:ascii="宋体" w:hAnsi="宋体"/>
          <w:color w:val="000000"/>
        </w:rPr>
        <w:t xml:space="preserve">2.地点：苏采云“不见面”开标大厅。</w:t>
      </w:r>
      <w:r>
        <w:rPr>
          <w:rFonts w:ascii="宋体" w:hAnsi="宋体"/>
          <w:color w:val="000000"/>
        </w:rPr>
      </w:r>
      <w:r/>
    </w:p>
    <w:p>
      <w:pPr>
        <w:pStyle w:val="654"/>
        <w:ind w:firstLine="498"/>
        <w:jc w:val="both"/>
        <w:keepLines/>
        <w:keepNext/>
        <w:spacing w:before="145" w:beforeAutospacing="0" w:after="145" w:afterAutospacing="0" w:line="560" w:lineRule="exact"/>
        <w:rPr>
          <w:rFonts w:ascii="宋体" w:hAnsi="宋体"/>
          <w:color w:val="000000"/>
        </w:rPr>
      </w:pPr>
      <w:r/>
      <w:bookmarkStart w:id="53" w:name="_Toc35393794"/>
      <w:r/>
      <w:bookmarkStart w:id="54" w:name="_Toc35393625"/>
      <w:r/>
      <w:bookmarkStart w:id="55" w:name="_Toc28359007"/>
      <w:r/>
      <w:bookmarkStart w:id="56" w:name="_Toc28359084"/>
      <w:r/>
      <w:bookmarkStart w:id="57" w:name="_Toc38985267"/>
      <w:r>
        <w:rPr>
          <w:rFonts w:ascii="宋体" w:hAnsi="宋体"/>
          <w:b/>
          <w:color w:val="000000"/>
          <w:sz w:val="32"/>
          <w:szCs w:val="32"/>
        </w:rPr>
        <w:t xml:space="preserve">五、公告期限</w:t>
      </w:r>
      <w:bookmarkEnd w:id="53"/>
      <w:r/>
      <w:bookmarkEnd w:id="54"/>
      <w:r/>
      <w:bookmarkEnd w:id="55"/>
      <w:r/>
      <w:bookmarkEnd w:id="56"/>
      <w:r/>
      <w:bookmarkEnd w:id="57"/>
      <w:r>
        <w:rPr>
          <w:rFonts w:ascii="宋体" w:hAnsi="宋体"/>
          <w:color w:val="000000"/>
        </w:rPr>
      </w:r>
      <w:r/>
    </w:p>
    <w:p>
      <w:pPr>
        <w:pStyle w:val="654"/>
        <w:ind w:firstLine="480"/>
        <w:jc w:val="both"/>
        <w:spacing w:beforeAutospacing="0" w:afterAutospacing="0" w:line="560" w:lineRule="exact"/>
        <w:rPr>
          <w:rFonts w:ascii="宋体" w:hAnsi="宋体"/>
          <w:color w:val="000000"/>
        </w:rPr>
      </w:pPr>
      <w:r/>
      <w:bookmarkStart w:id="58" w:name="_Toc35393795"/>
      <w:r/>
      <w:bookmarkStart w:id="59" w:name="_Toc38985268"/>
      <w:r/>
      <w:bookmarkStart w:id="60" w:name="_Toc35393626"/>
      <w:r>
        <w:rPr>
          <w:rFonts w:hint="eastAsia" w:ascii="宋体" w:hAnsi="宋体" w:cs="宋体"/>
          <w:color w:val="000000"/>
        </w:rPr>
        <w:t xml:space="preserve">自本公告发布之日起5个工作日。</w:t>
      </w:r>
      <w:bookmarkEnd w:id="58"/>
      <w:r/>
      <w:bookmarkEnd w:id="59"/>
      <w:r/>
      <w:bookmarkEnd w:id="60"/>
      <w:r>
        <w:rPr>
          <w:rFonts w:ascii="宋体" w:hAnsi="宋体"/>
          <w:color w:val="000000"/>
        </w:rPr>
      </w:r>
      <w:r/>
    </w:p>
    <w:p>
      <w:pPr>
        <w:pStyle w:val="654"/>
        <w:ind w:firstLine="498"/>
        <w:jc w:val="both"/>
        <w:keepLines/>
        <w:keepNext/>
        <w:spacing w:before="145" w:beforeAutospacing="0" w:after="145" w:afterAutospacing="0" w:line="560" w:lineRule="exact"/>
        <w:rPr>
          <w:rFonts w:ascii="宋体" w:hAnsi="宋体"/>
          <w:b/>
          <w:color w:val="000000"/>
          <w:sz w:val="32"/>
          <w:szCs w:val="32"/>
        </w:rPr>
      </w:pPr>
      <w:r>
        <w:rPr>
          <w:rFonts w:ascii="宋体" w:hAnsi="宋体"/>
          <w:b/>
          <w:color w:val="000000"/>
          <w:sz w:val="32"/>
          <w:szCs w:val="32"/>
        </w:rPr>
        <w:t xml:space="preserve">六、其他补充事宜</w:t>
      </w:r>
      <w:r>
        <w:rPr>
          <w:rFonts w:ascii="宋体" w:hAnsi="宋体"/>
          <w:b/>
          <w:color w:val="000000"/>
          <w:sz w:val="32"/>
          <w:szCs w:val="32"/>
        </w:rPr>
      </w:r>
      <w:r/>
    </w:p>
    <w:p>
      <w:pPr>
        <w:pStyle w:val="627"/>
        <w:ind w:firstLine="480"/>
        <w:spacing w:line="360" w:lineRule="auto"/>
        <w:rPr>
          <w:rFonts w:ascii="宋体" w:hAnsi="宋体"/>
          <w:color w:val="000000"/>
          <w:sz w:val="24"/>
        </w:rPr>
      </w:pPr>
      <w:r>
        <w:rPr>
          <w:rFonts w:hint="eastAsia" w:ascii="宋体" w:hAnsi="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2. 潜在供应商访问电子招标响应交易平台的网络地址和方法： </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2.2 潜在投标人访问“苏采云”系统方法：江苏省政府采购网首页-“苏采云”链接。 </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2.3 采购文件（后缀名为“.kedt”）、供应商操作手册及政府采购客户端 工具可通过“苏采云”系统相应链接进行下载。 </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2.4 采购代理机构将数据电文形式的采购文件加载至“苏采云”系统，供潜在供应商下载或者查阅。 </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2.5 请潜在投标单位提前安装相应的控件（详见《“苏采云”系统供应商操作手册》）并使用谷歌浏览器登录“苏采云”系统参与不见面开评标。 </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如潜在投标人未按上述要求操作，将自行承担所产生的风险。</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3.有关本次招标的事项若存在变动或修改，敬请及时关注射阳县行政服务中心在“中国政府采购网”“江苏政府采购网”“盐城市政府采购网”发布的更正公告。</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4.本次招标不收取投标保证金，不收取质量保证金。</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5.电子投标文件一份(通过系统提交)；纸质投标文件正本一份，副本四份（评审结束后由中标候选人提供，未中标单位不需要提供）。</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6.因投标人的系统环境、操作等原因导致的问题由投标人自行承担负责。</w:t>
      </w:r>
      <w:r>
        <w:rPr>
          <w:rFonts w:ascii="宋体" w:hAnsi="宋体"/>
          <w:color w:val="000000"/>
          <w:sz w:val="24"/>
        </w:rPr>
      </w:r>
      <w:r/>
    </w:p>
    <w:p>
      <w:pPr>
        <w:pStyle w:val="627"/>
        <w:ind w:firstLine="480"/>
        <w:spacing w:line="360" w:lineRule="auto"/>
        <w:rPr>
          <w:rFonts w:ascii="宋体" w:hAnsi="宋体"/>
          <w:color w:val="000000"/>
          <w:sz w:val="24"/>
        </w:rPr>
      </w:pPr>
      <w:r>
        <w:rPr>
          <w:rFonts w:hint="eastAsia" w:ascii="宋体" w:hAnsi="宋体"/>
          <w:color w:val="000000"/>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61" w:name="_Toc38985269"/>
      <w:r/>
      <w:bookmarkStart w:id="62" w:name="_Toc28359008"/>
      <w:r/>
      <w:bookmarkStart w:id="63" w:name="_Toc35393627"/>
      <w:r/>
      <w:bookmarkStart w:id="64" w:name="_Toc28359085"/>
      <w:r/>
      <w:bookmarkStart w:id="65" w:name="_Toc35393796"/>
      <w:r>
        <w:rPr>
          <w:rFonts w:ascii="宋体" w:hAnsi="宋体"/>
          <w:color w:val="000000"/>
          <w:sz w:val="24"/>
        </w:rPr>
      </w:r>
      <w:r/>
    </w:p>
    <w:p>
      <w:pPr>
        <w:pStyle w:val="654"/>
        <w:ind w:firstLine="482"/>
        <w:jc w:val="both"/>
        <w:spacing w:beforeAutospacing="0" w:afterAutospacing="0" w:line="560" w:lineRule="exact"/>
        <w:rPr>
          <w:rFonts w:ascii="宋体" w:hAnsi="宋体"/>
          <w:color w:val="000000"/>
        </w:rPr>
      </w:pPr>
      <w:r>
        <w:rPr>
          <w:rFonts w:ascii="宋体" w:hAnsi="宋体"/>
          <w:b/>
          <w:color w:val="000000"/>
          <w:sz w:val="32"/>
          <w:szCs w:val="32"/>
        </w:rPr>
        <w:t xml:space="preserve">七、本次招标联系方式</w:t>
      </w:r>
      <w:bookmarkEnd w:id="61"/>
      <w:r/>
      <w:bookmarkEnd w:id="62"/>
      <w:r/>
      <w:bookmarkEnd w:id="63"/>
      <w:r/>
      <w:bookmarkEnd w:id="64"/>
      <w:r/>
      <w:bookmarkEnd w:id="65"/>
      <w:r>
        <w:rPr>
          <w:rFonts w:ascii="宋体" w:hAnsi="宋体"/>
          <w:color w:val="000000"/>
        </w:rPr>
      </w:r>
      <w:r/>
    </w:p>
    <w:p>
      <w:pPr>
        <w:pStyle w:val="654"/>
        <w:widowControl/>
        <w:rPr>
          <w:rFonts w:ascii="宋体" w:hAnsi="宋体" w:cs="宋体"/>
          <w:color w:val="000000"/>
        </w:rPr>
      </w:pPr>
      <w:r>
        <w:rPr>
          <w:rFonts w:ascii="宋体" w:hAnsi="宋体" w:cs="仿宋"/>
          <w:color w:val="000000"/>
          <w:sz w:val="28"/>
          <w:szCs w:val="28"/>
        </w:rPr>
        <w:t xml:space="preserve">  </w:t>
      </w:r>
      <w:r>
        <w:rPr>
          <w:rFonts w:hint="eastAsia" w:ascii="宋体" w:hAnsi="宋体" w:cs="宋体"/>
          <w:color w:val="000000"/>
        </w:rPr>
        <w:t xml:space="preserve">1、采购人信息</w:t>
      </w:r>
      <w:r>
        <w:rPr>
          <w:rFonts w:ascii="宋体" w:hAnsi="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单位名称：射阳县住房和城乡建设局</w:t>
      </w:r>
      <w:r>
        <w:rPr>
          <w:rFonts w:hint="eastAsia" w:ascii="宋体" w:hAnsi="宋体" w:eastAsia="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单位地址：江苏省盐城市射阳县幸福大道26号</w:t>
      </w:r>
      <w:r>
        <w:rPr>
          <w:rFonts w:hint="eastAsia" w:ascii="宋体" w:hAnsi="宋体" w:eastAsia="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联系人：袁先生</w:t>
      </w:r>
      <w:r>
        <w:rPr>
          <w:rFonts w:hint="eastAsia" w:ascii="宋体" w:hAnsi="宋体" w:eastAsia="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联系方式：13921868127</w:t>
      </w:r>
      <w:r>
        <w:rPr>
          <w:rFonts w:hint="eastAsia" w:ascii="宋体" w:hAnsi="宋体" w:eastAsia="宋体" w:cs="宋体"/>
          <w:color w:val="000000"/>
        </w:rPr>
      </w:r>
      <w:r/>
    </w:p>
    <w:p>
      <w:pPr>
        <w:pStyle w:val="654"/>
        <w:ind w:firstLine="708"/>
        <w:widowControl/>
        <w:rPr>
          <w:rFonts w:ascii="宋体" w:hAnsi="宋体" w:cs="宋体"/>
          <w:color w:val="000000"/>
        </w:rPr>
      </w:pPr>
      <w:r>
        <w:rPr>
          <w:rFonts w:ascii="宋体" w:hAnsi="宋体" w:cs="宋体"/>
          <w:color w:val="000000"/>
        </w:rPr>
      </w:r>
      <w:r/>
    </w:p>
    <w:p>
      <w:pPr>
        <w:pStyle w:val="654"/>
        <w:ind w:firstLine="708"/>
        <w:widowControl/>
        <w:rPr>
          <w:rFonts w:ascii="宋体" w:hAnsi="宋体" w:cs="宋体"/>
          <w:color w:val="000000"/>
        </w:rPr>
      </w:pPr>
      <w:r>
        <w:rPr>
          <w:rFonts w:hint="eastAsia" w:ascii="宋体" w:hAnsi="宋体" w:cs="宋体"/>
          <w:color w:val="000000"/>
        </w:rPr>
        <w:t xml:space="preserve">2、采购代理机构信息（如有）</w:t>
      </w:r>
      <w:r>
        <w:rPr>
          <w:rFonts w:ascii="宋体" w:hAnsi="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单位名称：射阳县行政服务中心</w:t>
      </w:r>
      <w:r>
        <w:rPr>
          <w:rFonts w:hint="eastAsia" w:ascii="宋体" w:hAnsi="宋体" w:eastAsia="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单位地址：江苏省盐城市射阳县幸福大道16号</w:t>
      </w:r>
      <w:r>
        <w:rPr>
          <w:rFonts w:hint="eastAsia" w:ascii="宋体" w:hAnsi="宋体" w:eastAsia="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联系人：彭明静</w:t>
      </w:r>
      <w:r>
        <w:rPr>
          <w:rFonts w:hint="eastAsia" w:ascii="宋体" w:hAnsi="宋体" w:eastAsia="宋体" w:cs="宋体"/>
          <w:color w:val="000000"/>
        </w:rPr>
      </w:r>
      <w:r/>
    </w:p>
    <w:p>
      <w:pPr>
        <w:pStyle w:val="654"/>
        <w:ind w:firstLine="708"/>
        <w:widowControl/>
        <w:rPr>
          <w:rFonts w:hint="eastAsia" w:ascii="宋体" w:hAnsi="宋体" w:eastAsia="宋体" w:cs="宋体"/>
          <w:color w:val="000000"/>
        </w:rPr>
      </w:pPr>
      <w:r>
        <w:rPr>
          <w:rFonts w:hint="eastAsia" w:ascii="宋体" w:hAnsi="宋体" w:cs="宋体"/>
          <w:color w:val="000000"/>
        </w:rPr>
        <w:t xml:space="preserve">联系电话：0515-82391711</w:t>
      </w:r>
      <w:r>
        <w:rPr>
          <w:rFonts w:hint="eastAsia" w:ascii="宋体" w:hAnsi="宋体" w:eastAsia="宋体" w:cs="宋体"/>
          <w:color w:val="000000"/>
        </w:rPr>
      </w:r>
      <w:r/>
    </w:p>
    <w:p>
      <w:pPr>
        <w:pStyle w:val="654"/>
        <w:ind w:firstLine="708"/>
        <w:widowControl/>
        <w:rPr>
          <w:rFonts w:ascii="宋体" w:hAnsi="宋体" w:cs="宋体"/>
          <w:color w:val="000000"/>
        </w:rPr>
      </w:pPr>
      <w:r>
        <w:rPr>
          <w:rFonts w:ascii="宋体" w:hAnsi="宋体" w:cs="宋体"/>
          <w:color w:val="000000"/>
        </w:rPr>
      </w:r>
      <w:r/>
    </w:p>
    <w:p>
      <w:pPr>
        <w:pStyle w:val="654"/>
        <w:ind w:firstLine="708"/>
        <w:widowControl/>
        <w:rPr>
          <w:rFonts w:ascii="宋体" w:hAnsi="宋体" w:cs="宋体"/>
          <w:color w:val="000000"/>
        </w:rPr>
      </w:pPr>
      <w:r>
        <w:rPr>
          <w:rFonts w:hint="eastAsia" w:ascii="宋体" w:hAnsi="宋体" w:cs="宋体"/>
          <w:color w:val="000000"/>
        </w:rPr>
        <w:t xml:space="preserve">3、项目联系方式</w:t>
      </w:r>
      <w:r>
        <w:rPr>
          <w:rFonts w:ascii="宋体" w:hAnsi="宋体" w:cs="宋体"/>
          <w:color w:val="000000"/>
        </w:rPr>
      </w:r>
      <w:r/>
    </w:p>
    <w:p>
      <w:pPr>
        <w:pStyle w:val="654"/>
        <w:ind w:firstLine="708"/>
        <w:widowControl/>
        <w:rPr>
          <w:rFonts w:ascii="宋体" w:hAnsi="宋体" w:cs="宋体"/>
          <w:color w:val="000000"/>
        </w:rPr>
      </w:pPr>
      <w:r>
        <w:rPr>
          <w:rFonts w:hint="eastAsia" w:ascii="宋体" w:hAnsi="宋体" w:cs="宋体"/>
          <w:color w:val="000000"/>
        </w:rPr>
        <w:t xml:space="preserve">项目联系人：彭明静  </w:t>
      </w:r>
      <w:r>
        <w:rPr>
          <w:rFonts w:ascii="宋体" w:hAnsi="宋体" w:cs="宋体"/>
          <w:color w:val="000000"/>
        </w:rPr>
      </w:r>
      <w:r/>
    </w:p>
    <w:p>
      <w:pPr>
        <w:pStyle w:val="654"/>
        <w:ind w:firstLine="708"/>
        <w:spacing w:beforeAutospacing="0" w:afterAutospacing="0"/>
        <w:widowControl/>
        <w:rPr>
          <w:rFonts w:hint="eastAsia" w:ascii="宋体" w:hAnsi="宋体" w:cs="宋体"/>
          <w:color w:val="000000"/>
        </w:rPr>
      </w:pPr>
      <w:r>
        <w:rPr>
          <w:rFonts w:hint="eastAsia" w:ascii="宋体" w:hAnsi="宋体" w:cs="宋体"/>
          <w:color w:val="000000"/>
        </w:rPr>
        <w:t xml:space="preserve">电      话： 0515-82391711</w:t>
      </w:r>
      <w:r>
        <w:rPr>
          <w:rFonts w:hint="eastAsia" w:ascii="宋体" w:hAnsi="宋体" w:cs="宋体"/>
          <w:color w:val="000000"/>
        </w:rPr>
      </w:r>
      <w:r/>
    </w:p>
    <w:p>
      <w:pPr>
        <w:pStyle w:val="627"/>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654"/>
        <w:ind w:firstLine="2429"/>
        <w:jc w:val="both"/>
        <w:keepLines/>
        <w:keepNext/>
        <w:spacing w:before="260" w:beforeAutospacing="0" w:after="260" w:afterAutospacing="0" w:line="415" w:lineRule="auto"/>
        <w:rPr>
          <w:color w:val="000000"/>
        </w:rPr>
      </w:pPr>
      <w:r/>
      <w:bookmarkStart w:id="66" w:name="_Toc120614211"/>
      <w:r>
        <w:rPr>
          <w:rFonts w:hint="eastAsia" w:ascii="黑体" w:hAnsi="宋体" w:eastAsia="黑体" w:cs="黑体"/>
          <w:b/>
          <w:color w:val="000000"/>
          <w:sz w:val="44"/>
          <w:szCs w:val="44"/>
        </w:rPr>
        <w:t xml:space="preserve">第二章  </w:t>
      </w:r>
      <w:bookmarkEnd w:id="66"/>
      <w:r/>
      <w:bookmarkStart w:id="67" w:name="_Toc120614213"/>
      <w:r/>
      <w:bookmarkStart w:id="68" w:name="_Toc513029202"/>
      <w:r/>
      <w:bookmarkStart w:id="69" w:name="_Toc16938518"/>
      <w:r/>
      <w:bookmarkStart w:id="70" w:name="_Toc20823274"/>
      <w:r>
        <w:rPr>
          <w:rFonts w:hint="eastAsia" w:ascii="黑体" w:hAnsi="宋体" w:eastAsia="黑体" w:cs="黑体"/>
          <w:b/>
          <w:color w:val="000000"/>
          <w:sz w:val="44"/>
          <w:szCs w:val="44"/>
        </w:rPr>
        <w:t xml:space="preserve">投标人须知</w:t>
      </w:r>
      <w:bookmarkEnd w:id="67"/>
      <w:r/>
      <w:bookmarkEnd w:id="68"/>
      <w:r/>
      <w:bookmarkEnd w:id="69"/>
      <w:r/>
      <w:bookmarkEnd w:id="70"/>
      <w:r>
        <w:rPr>
          <w:color w:val="000000"/>
        </w:rPr>
      </w:r>
      <w:r/>
    </w:p>
    <w:p>
      <w:pPr>
        <w:pStyle w:val="654"/>
        <w:ind w:firstLine="498"/>
        <w:jc w:val="both"/>
        <w:keepLines/>
        <w:keepNext/>
        <w:spacing w:before="145" w:beforeAutospacing="0" w:after="145" w:afterAutospacing="0" w:line="360" w:lineRule="auto"/>
        <w:rPr>
          <w:rFonts w:hint="eastAsia" w:ascii="宋体" w:hAnsi="宋体" w:eastAsia="宋体" w:cs="宋体"/>
          <w:color w:val="000000"/>
        </w:rPr>
      </w:pPr>
      <w:r/>
      <w:bookmarkStart w:id="71" w:name="_Toc513029203"/>
      <w:r/>
      <w:bookmarkStart w:id="72" w:name="_Toc20823275"/>
      <w:r/>
      <w:bookmarkStart w:id="73" w:name="_Toc120614214"/>
      <w:r/>
      <w:bookmarkStart w:id="74" w:name="_Toc16938519"/>
      <w:r>
        <w:rPr>
          <w:rFonts w:hint="eastAsia" w:ascii="宋体" w:hAnsi="宋体" w:eastAsia="宋体" w:cs="宋体"/>
          <w:b/>
          <w:color w:val="000000"/>
        </w:rPr>
        <w:t xml:space="preserve">一、总则</w:t>
      </w:r>
      <w:bookmarkEnd w:id="71"/>
      <w:r/>
      <w:bookmarkEnd w:id="72"/>
      <w:r/>
      <w:bookmarkEnd w:id="73"/>
      <w:r/>
      <w:bookmarkEnd w:id="74"/>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75" w:name="_Toc16938520"/>
      <w:r/>
      <w:bookmarkStart w:id="76" w:name="_Toc458694821"/>
      <w:r/>
      <w:bookmarkStart w:id="77" w:name="_Toc513029204"/>
      <w:r/>
      <w:bookmarkStart w:id="78" w:name="_Toc20823276"/>
      <w:r/>
      <w:bookmarkStart w:id="79" w:name="_Hlt16619475"/>
      <w:r>
        <w:rPr>
          <w:rFonts w:hint="eastAsia" w:ascii="宋体" w:hAnsi="宋体" w:eastAsia="宋体" w:cs="宋体"/>
          <w:color w:val="000000"/>
        </w:rPr>
        <w:t xml:space="preserve">1</w:t>
      </w:r>
      <w:bookmarkEnd w:id="75"/>
      <w:r>
        <w:rPr>
          <w:rFonts w:hint="eastAsia" w:ascii="宋体" w:hAnsi="宋体" w:eastAsia="宋体" w:cs="宋体"/>
          <w:color w:val="000000"/>
        </w:rPr>
        <w:t xml:space="preserve">、招标方式</w:t>
      </w:r>
      <w:bookmarkEnd w:id="76"/>
      <w:r/>
      <w:bookmarkEnd w:id="77"/>
      <w:r/>
      <w:bookmarkEnd w:id="78"/>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1.1本次招标采取公开招标方式，本招标文件仅适用于招标公告中所述项目。</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80" w:name="_Toc16938521"/>
      <w:r/>
      <w:bookmarkStart w:id="81" w:name="_Toc513029205"/>
      <w:r/>
      <w:bookmarkStart w:id="82" w:name="_Toc20823277"/>
      <w:r>
        <w:rPr>
          <w:rFonts w:hint="eastAsia" w:ascii="宋体" w:hAnsi="宋体" w:eastAsia="宋体" w:cs="宋体"/>
          <w:color w:val="000000"/>
        </w:rPr>
        <w:t xml:space="preserve">2、合格的投标人</w:t>
      </w:r>
      <w:bookmarkEnd w:id="80"/>
      <w:r/>
      <w:bookmarkEnd w:id="81"/>
      <w:r/>
      <w:bookmarkEnd w:id="82"/>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2.1满足招标公告中供应商的资格要求的规定。</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2.2满足本文件实质性要求和条件的规定。</w:t>
      </w:r>
      <w:r>
        <w:rPr>
          <w:rFonts w:hint="eastAsia" w:ascii="宋体" w:hAnsi="宋体" w:eastAsia="宋体" w:cs="宋体"/>
          <w:color w:val="000000"/>
        </w:rPr>
      </w:r>
      <w:r/>
    </w:p>
    <w:p>
      <w:pPr>
        <w:pStyle w:val="627"/>
        <w:ind w:firstLine="420"/>
        <w:spacing w:line="400" w:lineRule="exact"/>
        <w:rPr>
          <w:rFonts w:hint="eastAsia" w:ascii="方正魏碑_GBK" w:hAnsi="方正魏碑_GBK" w:eastAsia="方正魏碑_GBK" w:cs="方正魏碑_GBK"/>
          <w:color w:val="000000"/>
          <w:sz w:val="24"/>
          <w:szCs w:val="21"/>
        </w:rPr>
      </w:pPr>
      <w:r/>
      <w:bookmarkStart w:id="83" w:name="_Toc20823278"/>
      <w:r/>
      <w:bookmarkStart w:id="84" w:name="_Toc513029206"/>
      <w:r/>
      <w:bookmarkStart w:id="85" w:name="_Toc513029207"/>
      <w:r/>
      <w:bookmarkStart w:id="86" w:name="_Toc20823279"/>
      <w:r/>
      <w:bookmarkStart w:id="87" w:name="_Toc462564067"/>
      <w:r/>
      <w:bookmarkStart w:id="88" w:name="_Toc16938523"/>
      <w:r/>
      <w:bookmarkStart w:id="89" w:name="_Toc16938522"/>
      <w:r>
        <w:rPr>
          <w:rFonts w:hint="eastAsia" w:ascii="方正魏碑_GBK" w:hAnsi="方正魏碑_GBK" w:eastAsia="方正魏碑_GBK" w:cs="方正魏碑_GBK"/>
          <w:color w:val="000000"/>
          <w:sz w:val="24"/>
          <w:szCs w:val="21"/>
        </w:rPr>
        <w:t xml:space="preserve">3、适用法律</w:t>
      </w:r>
      <w:bookmarkEnd w:id="83"/>
      <w:r/>
      <w:bookmarkEnd w:id="84"/>
      <w:r/>
      <w:bookmarkEnd w:id="89"/>
      <w:r>
        <w:rPr>
          <w:rFonts w:hint="eastAsia" w:ascii="方正魏碑_GBK" w:hAnsi="方正魏碑_GBK" w:eastAsia="方正魏碑_GBK" w:cs="方正魏碑_GBK"/>
          <w:color w:val="000000"/>
          <w:sz w:val="24"/>
          <w:szCs w:val="21"/>
        </w:rPr>
        <w:t xml:space="preserve">和标准</w:t>
      </w:r>
      <w:r>
        <w:rPr>
          <w:rFonts w:hint="eastAsia" w:ascii="方正魏碑_GBK" w:hAnsi="方正魏碑_GBK" w:eastAsia="方正魏碑_GBK" w:cs="方正魏碑_GBK"/>
          <w:color w:val="000000"/>
          <w:sz w:val="24"/>
          <w:szCs w:val="21"/>
        </w:rPr>
      </w:r>
      <w:r/>
    </w:p>
    <w:p>
      <w:pPr>
        <w:pStyle w:val="654"/>
        <w:ind w:firstLine="42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3.1 本次招标及由此产生的合同受中华人民共和国有关的法律法规制约和保护。</w:t>
      </w:r>
      <w:r>
        <w:rPr>
          <w:rFonts w:hint="eastAsia" w:ascii="宋体" w:hAnsi="宋体" w:eastAsia="宋体" w:cs="宋体"/>
          <w:color w:val="000000"/>
        </w:rPr>
      </w:r>
      <w:r/>
    </w:p>
    <w:p>
      <w:pPr>
        <w:pStyle w:val="627"/>
        <w:ind w:firstLine="420"/>
        <w:spacing w:line="400" w:lineRule="exact"/>
        <w:rPr>
          <w:rFonts w:hint="eastAsia" w:ascii="宋体" w:hAnsi="宋体" w:eastAsia="宋体" w:cs="宋体"/>
          <w:color w:val="000000"/>
          <w:sz w:val="24"/>
        </w:rPr>
      </w:pPr>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宋体" w:hAnsi="宋体" w:eastAsia="宋体" w:cs="宋体"/>
          <w:color w:val="000000"/>
          <w:sz w:val="24"/>
        </w:rPr>
      </w:r>
      <w:r/>
    </w:p>
    <w:p>
      <w:pPr>
        <w:pStyle w:val="654"/>
        <w:ind w:firstLine="42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4、投标费用</w:t>
      </w:r>
      <w:bookmarkEnd w:id="85"/>
      <w:r/>
      <w:bookmarkEnd w:id="86"/>
      <w:r/>
      <w:bookmarkEnd w:id="87"/>
      <w:r/>
      <w:bookmarkEnd w:id="88"/>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4.1投标人应自行承担所有与参加投标有关的费用，无论投标过程中的做法和结果如何，射阳县行政服务中心（以下简称采购中心）在任何情况下均无义务和责任承担这些费用。</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4.2本次招标采购中心和采购人不收取标书工本费与中标服务费。</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5.1投标人一旦参加本项目采购活动，即被认为接受了本招标文件的规定和约束。</w:t>
      </w:r>
      <w:r>
        <w:rPr>
          <w:rFonts w:hint="eastAsia" w:ascii="宋体" w:hAnsi="宋体" w:eastAsia="宋体" w:cs="宋体"/>
          <w:color w:val="000000"/>
        </w:rPr>
      </w:r>
      <w:r/>
    </w:p>
    <w:p>
      <w:pPr>
        <w:pStyle w:val="654"/>
        <w:ind w:firstLine="321"/>
        <w:jc w:val="both"/>
        <w:keepLines/>
        <w:keepNext/>
        <w:spacing w:before="145" w:beforeAutospacing="0" w:after="145" w:afterAutospacing="0" w:line="360" w:lineRule="auto"/>
        <w:rPr>
          <w:rFonts w:hint="eastAsia" w:ascii="宋体" w:hAnsi="宋体" w:eastAsia="宋体" w:cs="宋体"/>
          <w:color w:val="000000"/>
        </w:rPr>
      </w:pPr>
      <w:r/>
      <w:bookmarkStart w:id="90" w:name="_Toc16938525"/>
      <w:r/>
      <w:bookmarkStart w:id="91" w:name="_Toc20823281"/>
      <w:r/>
      <w:bookmarkStart w:id="92" w:name="_Toc120614215"/>
      <w:r/>
      <w:bookmarkStart w:id="93" w:name="_Toc513029209"/>
      <w:r>
        <w:rPr>
          <w:rFonts w:hint="eastAsia" w:ascii="宋体" w:hAnsi="宋体" w:eastAsia="宋体" w:cs="宋体"/>
          <w:b/>
          <w:color w:val="000000"/>
        </w:rPr>
        <w:t xml:space="preserve">二、招标文件</w:t>
      </w:r>
      <w:bookmarkEnd w:id="90"/>
      <w:r/>
      <w:bookmarkEnd w:id="91"/>
      <w:r/>
      <w:bookmarkEnd w:id="92"/>
      <w:r/>
      <w:bookmarkEnd w:id="93"/>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94" w:name="_Toc20823282"/>
      <w:r/>
      <w:bookmarkStart w:id="95" w:name="_Toc513029210"/>
      <w:r/>
      <w:bookmarkStart w:id="96" w:name="_Toc16938526"/>
      <w:r>
        <w:rPr>
          <w:rFonts w:hint="eastAsia" w:ascii="宋体" w:hAnsi="宋体" w:eastAsia="宋体" w:cs="宋体"/>
          <w:color w:val="000000"/>
        </w:rPr>
        <w:t xml:space="preserve">6、招标文件构成</w:t>
      </w:r>
      <w:bookmarkEnd w:id="94"/>
      <w:r/>
      <w:bookmarkEnd w:id="95"/>
      <w:r/>
      <w:bookmarkEnd w:id="96"/>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6.1 招标文件由以下部分组成：</w:t>
      </w:r>
      <w:r>
        <w:rPr>
          <w:rFonts w:hint="eastAsia" w:ascii="宋体" w:hAnsi="宋体" w:eastAsia="宋体" w:cs="宋体"/>
          <w:color w:val="000000"/>
        </w:rPr>
      </w:r>
      <w:r/>
    </w:p>
    <w:p>
      <w:pPr>
        <w:pStyle w:val="654"/>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（1）招标公告</w:t>
      </w:r>
      <w:r>
        <w:rPr>
          <w:rFonts w:hint="eastAsia" w:ascii="宋体" w:hAnsi="宋体" w:eastAsia="宋体" w:cs="宋体"/>
          <w:color w:val="000000"/>
        </w:rPr>
      </w:r>
      <w:r/>
    </w:p>
    <w:p>
      <w:pPr>
        <w:pStyle w:val="654"/>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（2）投标人须知</w:t>
      </w:r>
      <w:r>
        <w:rPr>
          <w:rFonts w:hint="eastAsia" w:ascii="宋体" w:hAnsi="宋体" w:eastAsia="宋体" w:cs="宋体"/>
          <w:color w:val="000000"/>
        </w:rPr>
      </w:r>
      <w:r/>
    </w:p>
    <w:p>
      <w:pPr>
        <w:pStyle w:val="654"/>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（3）合同文本</w:t>
      </w:r>
      <w:r>
        <w:rPr>
          <w:rFonts w:hint="eastAsia" w:ascii="宋体" w:hAnsi="宋体" w:eastAsia="宋体" w:cs="宋体"/>
          <w:color w:val="000000"/>
        </w:rPr>
      </w:r>
      <w:r/>
    </w:p>
    <w:p>
      <w:pPr>
        <w:pStyle w:val="654"/>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（4）采购需求</w:t>
      </w:r>
      <w:r>
        <w:rPr>
          <w:rFonts w:hint="eastAsia" w:ascii="宋体" w:hAnsi="宋体" w:eastAsia="宋体" w:cs="宋体"/>
          <w:color w:val="000000"/>
        </w:rPr>
      </w:r>
      <w:r/>
    </w:p>
    <w:p>
      <w:pPr>
        <w:pStyle w:val="654"/>
        <w:ind w:firstLine="36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（5）评标方法与评标标准</w:t>
      </w:r>
      <w:r>
        <w:rPr>
          <w:rFonts w:hint="eastAsia" w:ascii="宋体" w:hAnsi="宋体" w:eastAsia="宋体" w:cs="宋体"/>
          <w:color w:val="000000"/>
        </w:rPr>
      </w:r>
      <w:r/>
    </w:p>
    <w:p>
      <w:pPr>
        <w:pStyle w:val="654"/>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（6）投标文件格式</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请仔细检查招标文件是否齐全，如有缺漏请立即与采购中心联系解决。</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rPr>
      </w:r>
      <w:r/>
    </w:p>
    <w:p>
      <w:pPr>
        <w:pStyle w:val="654"/>
        <w:ind w:firstLine="560"/>
        <w:jc w:val="both"/>
        <w:keepLines/>
        <w:keepNext/>
        <w:spacing w:beforeAutospacing="0" w:afterAutospacing="0"/>
        <w:rPr>
          <w:rFonts w:hint="eastAsia" w:ascii="宋体" w:hAnsi="宋体" w:eastAsia="宋体" w:cs="宋体"/>
          <w:color w:val="000000"/>
        </w:rPr>
      </w:pPr>
      <w:r/>
      <w:bookmarkStart w:id="97" w:name="_Toc16938527"/>
      <w:r/>
      <w:bookmarkStart w:id="98" w:name="_Toc513029211"/>
      <w:r/>
      <w:bookmarkStart w:id="99" w:name="_Toc20823283"/>
      <w:r/>
      <w:bookmarkStart w:id="100" w:name="_Toc462564070"/>
      <w:r>
        <w:rPr>
          <w:rFonts w:hint="eastAsia" w:ascii="宋体" w:hAnsi="宋体" w:eastAsia="宋体" w:cs="宋体"/>
          <w:color w:val="000000"/>
        </w:rPr>
        <w:t xml:space="preserve">7、招标文件的澄清</w:t>
      </w:r>
      <w:bookmarkEnd w:id="97"/>
      <w:r/>
      <w:bookmarkEnd w:id="98"/>
      <w:r/>
      <w:bookmarkEnd w:id="99"/>
      <w:r/>
      <w:bookmarkEnd w:id="100"/>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rPr>
          <w:rFonts w:hint="eastAsia" w:ascii="宋体" w:hAnsi="宋体" w:eastAsia="宋体" w:cs="宋体"/>
          <w:color w:val="000000"/>
        </w:rPr>
      </w:r>
      <w:r/>
    </w:p>
    <w:p>
      <w:pPr>
        <w:pStyle w:val="654"/>
        <w:ind w:firstLine="560"/>
        <w:jc w:val="both"/>
        <w:keepLines/>
        <w:keepNext/>
        <w:spacing w:beforeAutospacing="0" w:afterAutospacing="0"/>
        <w:rPr>
          <w:rFonts w:hint="eastAsia" w:ascii="宋体" w:hAnsi="宋体" w:eastAsia="宋体" w:cs="宋体"/>
          <w:color w:val="000000"/>
        </w:rPr>
      </w:pPr>
      <w:r/>
      <w:bookmarkStart w:id="101" w:name="_Toc513029212"/>
      <w:r/>
      <w:bookmarkStart w:id="102" w:name="_Toc20823284"/>
      <w:r/>
      <w:bookmarkStart w:id="103" w:name="_Toc16938528"/>
      <w:r/>
      <w:bookmarkStart w:id="104" w:name="_Toc462564071"/>
      <w:r>
        <w:rPr>
          <w:rFonts w:hint="eastAsia" w:ascii="宋体" w:hAnsi="宋体" w:eastAsia="宋体" w:cs="宋体"/>
          <w:color w:val="000000"/>
        </w:rPr>
        <w:t xml:space="preserve">8、招标文件的修改</w:t>
      </w:r>
      <w:bookmarkEnd w:id="101"/>
      <w:r/>
      <w:bookmarkEnd w:id="102"/>
      <w:r/>
      <w:bookmarkEnd w:id="103"/>
      <w:r/>
      <w:bookmarkEnd w:id="104"/>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8.1在投标截止时间前，采购中心可以对招标文件进行修改。</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8.2采购中心有权按照法定的要求推迟投标截止日期和开标日期。</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000000"/>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rPr>
          <w:rFonts w:hint="eastAsia" w:ascii="宋体" w:hAnsi="宋体" w:eastAsia="宋体" w:cs="宋体"/>
          <w:color w:val="000000"/>
        </w:rPr>
      </w:r>
      <w:r/>
    </w:p>
    <w:p>
      <w:pPr>
        <w:pStyle w:val="654"/>
        <w:ind w:firstLine="482"/>
        <w:jc w:val="both"/>
        <w:keepLines/>
        <w:keepNext/>
        <w:spacing w:before="145" w:beforeAutospacing="0" w:after="145" w:afterAutospacing="0" w:line="360" w:lineRule="auto"/>
        <w:rPr>
          <w:rFonts w:hint="eastAsia" w:ascii="宋体" w:hAnsi="宋体" w:eastAsia="宋体" w:cs="宋体"/>
          <w:color w:val="000000"/>
        </w:rPr>
      </w:pPr>
      <w:r/>
      <w:bookmarkStart w:id="105" w:name="_Toc120614216"/>
      <w:r/>
      <w:bookmarkStart w:id="106" w:name="_Toc513029213"/>
      <w:r/>
      <w:bookmarkStart w:id="107" w:name="_Toc16938529"/>
      <w:r/>
      <w:bookmarkStart w:id="108" w:name="_Toc20823285"/>
      <w:r/>
      <w:bookmarkStart w:id="109" w:name="_Toc462564072"/>
      <w:r>
        <w:rPr>
          <w:rFonts w:hint="eastAsia" w:ascii="宋体" w:hAnsi="宋体" w:eastAsia="宋体" w:cs="宋体"/>
          <w:b/>
          <w:color w:val="000000"/>
        </w:rPr>
        <w:t xml:space="preserve">三、投标文件的编制</w:t>
      </w:r>
      <w:bookmarkEnd w:id="105"/>
      <w:r/>
      <w:bookmarkEnd w:id="106"/>
      <w:r/>
      <w:bookmarkEnd w:id="107"/>
      <w:r/>
      <w:bookmarkEnd w:id="108"/>
      <w:r/>
      <w:bookmarkEnd w:id="109"/>
      <w:r>
        <w:rPr>
          <w:rFonts w:hint="eastAsia" w:ascii="宋体" w:hAnsi="宋体" w:eastAsia="宋体" w:cs="宋体"/>
          <w:color w:val="000000"/>
        </w:rPr>
      </w:r>
      <w:r/>
    </w:p>
    <w:p>
      <w:pPr>
        <w:pStyle w:val="654"/>
        <w:ind w:firstLine="480"/>
        <w:jc w:val="both"/>
        <w:keepLines/>
        <w:keepNext/>
        <w:spacing w:beforeAutospacing="0" w:afterAutospacing="0"/>
        <w:rPr>
          <w:rFonts w:hint="eastAsia" w:ascii="宋体" w:hAnsi="宋体" w:eastAsia="宋体" w:cs="宋体"/>
          <w:color w:val="000000"/>
        </w:rPr>
      </w:pPr>
      <w:r/>
      <w:bookmarkStart w:id="110" w:name="_Toc462564073"/>
      <w:r/>
      <w:bookmarkStart w:id="111" w:name="_Toc16938530"/>
      <w:r/>
      <w:bookmarkStart w:id="112" w:name="_Toc513029214"/>
      <w:r/>
      <w:bookmarkStart w:id="113" w:name="_Toc20823286"/>
      <w:r>
        <w:rPr>
          <w:rFonts w:hint="eastAsia" w:ascii="宋体" w:hAnsi="宋体" w:eastAsia="宋体" w:cs="宋体"/>
          <w:color w:val="000000"/>
        </w:rPr>
        <w:t xml:space="preserve">9、投标文件的语言及度量衡单位</w:t>
      </w:r>
      <w:bookmarkEnd w:id="110"/>
      <w:r/>
      <w:bookmarkEnd w:id="111"/>
      <w:r/>
      <w:bookmarkEnd w:id="112"/>
      <w:r/>
      <w:bookmarkEnd w:id="113"/>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9.2除技术性能另有规定外，投标文件所使用的度量衡单位，均须采用国家法定计量单位。</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14" w:name="_Toc462564074"/>
      <w:r/>
      <w:bookmarkStart w:id="115" w:name="_Toc16938531"/>
      <w:r/>
      <w:bookmarkStart w:id="116" w:name="_Toc20823287"/>
      <w:r/>
      <w:bookmarkStart w:id="117" w:name="_Toc513029215"/>
      <w:r>
        <w:rPr>
          <w:rFonts w:hint="eastAsia" w:ascii="宋体" w:hAnsi="宋体" w:eastAsia="宋体" w:cs="宋体"/>
          <w:color w:val="000000"/>
        </w:rPr>
        <w:t xml:space="preserve">10、投标文件构成</w:t>
      </w:r>
      <w:bookmarkEnd w:id="114"/>
      <w:r/>
      <w:bookmarkEnd w:id="115"/>
      <w:r/>
      <w:bookmarkEnd w:id="116"/>
      <w:r/>
      <w:bookmarkEnd w:id="117"/>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10.2如标书制作工具中格式和内容与</w:t>
      </w:r>
      <w:r>
        <w:rPr>
          <w:rFonts w:hint="eastAsia" w:ascii="宋体" w:hAnsi="宋体" w:eastAsia="宋体" w:cs="宋体"/>
          <w:color w:val="000000"/>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000000"/>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18" w:name="_Toc49090507"/>
      <w:r/>
      <w:bookmarkStart w:id="119" w:name="_Toc14577354"/>
      <w:r/>
      <w:bookmarkStart w:id="120" w:name="_Toc14577357"/>
      <w:r/>
      <w:bookmarkStart w:id="121" w:name="_Toc49090509"/>
      <w:r/>
      <w:bookmarkStart w:id="122" w:name="_Toc513029216"/>
      <w:r/>
      <w:bookmarkStart w:id="123" w:name="_Toc513029219"/>
      <w:r/>
      <w:bookmarkStart w:id="124" w:name="_Hlt26668975"/>
      <w:r/>
      <w:bookmarkStart w:id="125" w:name="_Hlt26954838"/>
      <w:r/>
      <w:bookmarkStart w:id="126" w:name="_Hlt26670360"/>
      <w:r>
        <w:rPr>
          <w:rFonts w:hint="eastAsia" w:ascii="宋体" w:hAnsi="宋体" w:eastAsia="宋体" w:cs="宋体"/>
          <w:color w:val="000000"/>
        </w:rPr>
        <w:t xml:space="preserve">11、证明投标人及投标标的符合招标文件规定的文件</w:t>
      </w:r>
      <w:bookmarkEnd w:id="118"/>
      <w:r/>
      <w:bookmarkEnd w:id="119"/>
      <w:r/>
      <w:bookmarkEnd w:id="120"/>
      <w:r/>
      <w:bookmarkEnd w:id="121"/>
      <w:r/>
      <w:bookmarkEnd w:id="122"/>
      <w:r/>
      <w:bookmarkEnd w:id="123"/>
      <w:r>
        <w:rPr>
          <w:rFonts w:hint="eastAsia" w:ascii="宋体" w:hAnsi="宋体" w:eastAsia="宋体" w:cs="宋体"/>
          <w:color w:val="000000"/>
        </w:rPr>
      </w:r>
      <w:r/>
    </w:p>
    <w:p>
      <w:pPr>
        <w:pStyle w:val="654"/>
        <w:jc w:val="both"/>
        <w:spacing w:beforeAutospacing="0" w:afterAutospacing="0" w:line="0" w:lineRule="atLeast"/>
        <w:rPr>
          <w:rFonts w:hint="eastAsia" w:ascii="宋体" w:hAnsi="宋体" w:eastAsia="宋体" w:cs="宋体"/>
          <w:color w:val="000000"/>
        </w:rPr>
      </w:pPr>
      <w:r/>
      <w:bookmarkStart w:id="127" w:name="_Toc49090508"/>
      <w:r/>
      <w:bookmarkStart w:id="128"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127"/>
      <w:r/>
      <w:bookmarkEnd w:id="128"/>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11.2招标文件对证明文件无明确形式要求的，证明文件可以以文字资料、图纸和数据等形式提交。</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12、投标分项报价</w:t>
      </w:r>
      <w:bookmarkStart w:id="129" w:name="_Hlt26670373"/>
      <w:r>
        <w:rPr>
          <w:rFonts w:hint="eastAsia" w:ascii="宋体" w:hAnsi="宋体" w:eastAsia="宋体" w:cs="宋体"/>
          <w:color w:val="000000"/>
        </w:rPr>
        <w:t xml:space="preserve">表</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12.1投</w:t>
      </w:r>
      <w:bookmarkStart w:id="130" w:name="_Hlt26954840"/>
      <w:r>
        <w:rPr>
          <w:rFonts w:hint="eastAsia" w:ascii="宋体" w:hAnsi="宋体" w:eastAsia="宋体" w:cs="宋体"/>
          <w:color w:val="000000"/>
        </w:rPr>
        <w:t xml:space="preserve">标人应按照招标文件规定格式填报投标分项报价表</w:t>
      </w:r>
      <w:bookmarkStart w:id="131" w:name="_Hlt26670399"/>
      <w:r>
        <w:rPr>
          <w:rFonts w:hint="eastAsia" w:ascii="宋体" w:hAnsi="宋体" w:eastAsia="宋体" w:cs="宋体"/>
          <w:color w:val="000000"/>
        </w:rPr>
        <w:t xml:space="preserve">。</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32" w:name="_Hlt26954844"/>
      <w:r/>
      <w:bookmarkStart w:id="133" w:name="_Hlt26670486"/>
      <w:r/>
      <w:bookmarkStart w:id="134" w:name="_Hlt26668983"/>
      <w:r/>
      <w:bookmarkStart w:id="135" w:name="_Hlt26954731"/>
      <w:r/>
      <w:bookmarkStart w:id="136" w:name="_Hlt26954842"/>
      <w:r/>
      <w:bookmarkStart w:id="137" w:name="_Hlt26670425"/>
      <w:r/>
      <w:bookmarkStart w:id="138" w:name="_Hlt26954848"/>
      <w:r/>
      <w:bookmarkStart w:id="139" w:name="_Hlt26954846"/>
      <w:r/>
      <w:bookmarkStart w:id="140" w:name="_Hlt26670403"/>
      <w:r/>
      <w:bookmarkStart w:id="141" w:name="_Hlt26670482"/>
      <w:r>
        <w:rPr>
          <w:rFonts w:hint="eastAsia" w:ascii="宋体" w:hAnsi="宋体" w:eastAsia="宋体" w:cs="宋体"/>
          <w:color w:val="000000"/>
        </w:rPr>
        <w:t xml:space="preserve">13、技术要求响应及偏离表、商务要求响应及偏离表</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13.1投标人需对招标文件中的技术要求与商务要求逐项作出响应或偏离，并说明原因。</w:t>
      </w:r>
      <w:r>
        <w:rPr>
          <w:rFonts w:hint="eastAsia" w:ascii="宋体" w:hAnsi="宋体" w:eastAsia="宋体" w:cs="宋体"/>
          <w:color w:val="000000"/>
        </w:rPr>
      </w:r>
      <w:r/>
    </w:p>
    <w:p>
      <w:pPr>
        <w:pStyle w:val="654"/>
        <w:ind w:firstLine="480"/>
        <w:jc w:val="both"/>
        <w:spacing w:beforeAutospacing="0" w:afterAutospacing="0" w:line="0" w:lineRule="atLeast"/>
        <w:tabs>
          <w:tab w:val="left" w:pos="1036" w:leader="none"/>
        </w:tabs>
        <w:rPr>
          <w:rFonts w:hint="eastAsia" w:ascii="宋体" w:hAnsi="宋体" w:eastAsia="宋体" w:cs="宋体"/>
          <w:color w:val="000000"/>
        </w:rPr>
      </w:pPr>
      <w:r>
        <w:rPr>
          <w:rFonts w:hint="eastAsia" w:ascii="宋体" w:hAnsi="宋体" w:eastAsia="宋体" w:cs="宋体"/>
          <w:color w:val="000000"/>
        </w:rPr>
        <w:t xml:space="preserve">13.2投标人可在投标文件中提供认为需要的其他技术文件或说明。</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42" w:name="_Toc49090510"/>
      <w:r/>
      <w:bookmarkStart w:id="143" w:name="_Toc14577359"/>
      <w:r>
        <w:rPr>
          <w:rFonts w:hint="eastAsia" w:ascii="宋体" w:hAnsi="宋体" w:eastAsia="宋体" w:cs="宋体"/>
          <w:color w:val="000000"/>
        </w:rPr>
        <w:t xml:space="preserve">14、投标函和开标一览表</w:t>
      </w:r>
      <w:bookmarkEnd w:id="142"/>
      <w:r/>
      <w:bookmarkEnd w:id="143"/>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14.1投标人应按照招标文件中提供的格式完整、正确填写投标函、开标一览表。</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44" w:name="_Hlt26954850"/>
      <w:r/>
      <w:bookmarkStart w:id="145" w:name="_Hlt26954734"/>
      <w:r/>
      <w:bookmarkStart w:id="146" w:name="_Toc14577360"/>
      <w:r/>
      <w:bookmarkStart w:id="147" w:name="_Toc49090511"/>
      <w:r/>
      <w:bookmarkStart w:id="148" w:name="_Hlt26670489"/>
      <w:r>
        <w:rPr>
          <w:rFonts w:hint="eastAsia" w:ascii="宋体" w:hAnsi="宋体" w:eastAsia="宋体" w:cs="宋体"/>
          <w:color w:val="000000"/>
        </w:rPr>
        <w:t xml:space="preserve">15、投标有效期</w:t>
      </w:r>
      <w:bookmarkEnd w:id="146"/>
      <w:r/>
      <w:bookmarkEnd w:id="147"/>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color w:val="000000"/>
          <w:u w:val="single"/>
        </w:rPr>
        <w:t xml:space="preserve">九十（90）天</w:t>
      </w:r>
      <w:r>
        <w:rPr>
          <w:rFonts w:hint="eastAsia" w:ascii="宋体" w:hAnsi="宋体" w:eastAsia="宋体" w:cs="宋体"/>
          <w:color w:val="000000"/>
        </w:rPr>
        <w:t xml:space="preserve">。投标有效期比规定短的将被视为未实质性响应招标文件而予以拒绝。</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16、投标有效期的延长</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rPr>
      </w:r>
      <w:r/>
    </w:p>
    <w:p>
      <w:pPr>
        <w:pStyle w:val="654"/>
        <w:ind w:firstLine="482"/>
        <w:jc w:val="both"/>
        <w:keepLines/>
        <w:keepNext/>
        <w:spacing w:before="145" w:beforeAutospacing="0" w:after="145" w:afterAutospacing="0" w:line="360" w:lineRule="auto"/>
        <w:rPr>
          <w:rFonts w:hint="eastAsia" w:ascii="宋体" w:hAnsi="宋体" w:eastAsia="宋体" w:cs="宋体"/>
          <w:color w:val="000000"/>
        </w:rPr>
      </w:pPr>
      <w:r/>
      <w:bookmarkStart w:id="149" w:name="_Toc20823296"/>
      <w:r/>
      <w:bookmarkStart w:id="150" w:name="_Hlt26954739"/>
      <w:r/>
      <w:bookmarkStart w:id="151" w:name="_Toc513029224"/>
      <w:r/>
      <w:bookmarkStart w:id="152" w:name="_Toc120614217"/>
      <w:r/>
      <w:bookmarkStart w:id="153" w:name="_Toc16938540"/>
      <w:r/>
      <w:bookmarkStart w:id="154" w:name="_Hlt26954852"/>
      <w:r>
        <w:rPr>
          <w:rFonts w:hint="eastAsia" w:ascii="宋体" w:hAnsi="宋体" w:eastAsia="宋体" w:cs="宋体"/>
          <w:b/>
          <w:color w:val="000000"/>
        </w:rPr>
        <w:t xml:space="preserve">四、投标文件的递交</w:t>
      </w:r>
      <w:bookmarkEnd w:id="149"/>
      <w:r/>
      <w:bookmarkEnd w:id="151"/>
      <w:r/>
      <w:bookmarkEnd w:id="152"/>
      <w:r/>
      <w:bookmarkEnd w:id="153"/>
      <w:r>
        <w:rPr>
          <w:rFonts w:hint="eastAsia" w:ascii="宋体" w:hAnsi="宋体" w:eastAsia="宋体" w:cs="宋体"/>
          <w:color w:val="000000"/>
        </w:rPr>
      </w:r>
      <w:r/>
    </w:p>
    <w:p>
      <w:pPr>
        <w:pStyle w:val="654"/>
        <w:ind w:firstLine="560"/>
        <w:jc w:val="both"/>
        <w:keepLines/>
        <w:keepNext/>
        <w:spacing w:beforeAutospacing="0" w:afterAutospacing="0"/>
        <w:rPr>
          <w:rFonts w:hint="eastAsia" w:ascii="宋体" w:hAnsi="宋体" w:eastAsia="宋体" w:cs="宋体"/>
          <w:color w:val="000000"/>
        </w:rPr>
      </w:pPr>
      <w:r/>
      <w:bookmarkStart w:id="155" w:name="_Toc20823297"/>
      <w:r/>
      <w:bookmarkStart w:id="156" w:name="_Toc513029225"/>
      <w:r/>
      <w:bookmarkStart w:id="157" w:name="_Toc16938541"/>
      <w:r/>
      <w:bookmarkStart w:id="158" w:name="_Toc462564084"/>
      <w:r>
        <w:rPr>
          <w:rFonts w:hint="eastAsia" w:ascii="宋体" w:hAnsi="宋体" w:eastAsia="宋体" w:cs="宋体"/>
          <w:color w:val="000000"/>
        </w:rPr>
        <w:t xml:space="preserve">17、投标文件</w:t>
      </w:r>
      <w:bookmarkEnd w:id="155"/>
      <w:r/>
      <w:bookmarkEnd w:id="156"/>
      <w:r/>
      <w:bookmarkEnd w:id="157"/>
      <w:r/>
      <w:bookmarkEnd w:id="158"/>
      <w:r>
        <w:rPr>
          <w:rFonts w:hint="eastAsia" w:ascii="宋体" w:hAnsi="宋体" w:eastAsia="宋体" w:cs="宋体"/>
          <w:color w:val="000000"/>
        </w:rPr>
        <w:t xml:space="preserve">的递交</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17.1 电子投标文件的递交</w:t>
      </w:r>
      <w:r>
        <w:rPr>
          <w:rFonts w:hint="eastAsia" w:ascii="宋体" w:hAnsi="宋体" w:eastAsia="宋体" w:cs="宋体"/>
          <w:color w:val="000000"/>
        </w:rPr>
      </w:r>
      <w:r/>
    </w:p>
    <w:p>
      <w:pPr>
        <w:pStyle w:val="654"/>
        <w:ind w:left="52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投标人应当按照《操作手册》规定，在投标截止时间前制作并上传电子投标文件。</w:t>
      </w:r>
      <w:bookmarkStart w:id="159" w:name="_Toc20823298"/>
      <w:r/>
      <w:bookmarkEnd w:id="159"/>
      <w:r/>
      <w:bookmarkStart w:id="160" w:name="_Toc16938542"/>
      <w:r/>
      <w:bookmarkEnd w:id="160"/>
      <w:r/>
      <w:bookmarkStart w:id="161" w:name="_Toc513029226"/>
      <w:r>
        <w:rPr>
          <w:rFonts w:hint="eastAsia" w:ascii="宋体" w:hAnsi="宋体" w:eastAsia="宋体" w:cs="宋体"/>
          <w:color w:val="000000"/>
        </w:rPr>
      </w:r>
      <w:r/>
    </w:p>
    <w:p>
      <w:pPr>
        <w:pStyle w:val="654"/>
        <w:ind w:firstLine="420"/>
        <w:jc w:val="both"/>
        <w:keepLines/>
        <w:keepNext/>
        <w:spacing w:before="280" w:beforeAutospacing="0" w:after="290" w:afterAutospacing="0" w:line="374" w:lineRule="auto"/>
        <w:rPr>
          <w:rFonts w:hint="eastAsia" w:ascii="宋体" w:hAnsi="宋体" w:eastAsia="宋体" w:cs="宋体"/>
          <w:color w:val="000000"/>
        </w:rPr>
      </w:pPr>
      <w:r>
        <w:rPr>
          <w:rFonts w:hint="eastAsia" w:ascii="宋体" w:hAnsi="宋体" w:eastAsia="宋体" w:cs="宋体"/>
          <w:color w:val="000000"/>
        </w:rPr>
        <w:t xml:space="preserve">18、投标截止时间</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i/>
          <w:color w:val="000000"/>
          <w:u w:val="single"/>
        </w:rPr>
        <w:t xml:space="preserve">18.1投标人上传电子投标文件的时间不得迟于招标公告中规定的投标截止时间。</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18.2采购中心可以按照规定，通过修改招标文件酌情延长投标截止时间，在此情况下，投标人的所有权利和义务以及投标人受制的截止时间均应以延长后新的截止时间为准。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62" w:name="_Toc20823299"/>
      <w:r/>
      <w:bookmarkStart w:id="163" w:name="_Toc513029227"/>
      <w:r/>
      <w:bookmarkStart w:id="164" w:name="_Toc16938543"/>
      <w:r>
        <w:rPr>
          <w:rFonts w:hint="eastAsia" w:ascii="宋体" w:hAnsi="宋体" w:eastAsia="宋体" w:cs="宋体"/>
          <w:color w:val="000000"/>
        </w:rPr>
        <w:t xml:space="preserve">19、投标文件</w:t>
      </w:r>
      <w:bookmarkEnd w:id="162"/>
      <w:r/>
      <w:bookmarkEnd w:id="163"/>
      <w:r/>
      <w:bookmarkEnd w:id="164"/>
      <w:r>
        <w:rPr>
          <w:rFonts w:hint="eastAsia" w:ascii="宋体" w:hAnsi="宋体" w:eastAsia="宋体" w:cs="宋体"/>
          <w:color w:val="000000"/>
        </w:rPr>
        <w:t xml:space="preserve">的拒收</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19.1采购中心拒绝接收在其规定的投标截止时间后上传的任何投标文件。</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65" w:name="_Toc20823300"/>
      <w:r/>
      <w:bookmarkStart w:id="166" w:name="_Toc513029228"/>
      <w:r/>
      <w:bookmarkStart w:id="167" w:name="_Toc16938544"/>
      <w:r>
        <w:rPr>
          <w:rFonts w:hint="eastAsia" w:ascii="宋体" w:hAnsi="宋体" w:eastAsia="宋体" w:cs="宋体"/>
          <w:color w:val="000000"/>
        </w:rPr>
        <w:t xml:space="preserve">20、投标文件的撤回和修改</w:t>
      </w:r>
      <w:bookmarkEnd w:id="165"/>
      <w:r/>
      <w:bookmarkEnd w:id="166"/>
      <w:r/>
      <w:bookmarkEnd w:id="167"/>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20.1投标文件的撤回</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20.1.1电子投标文件的撤回</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投标人可在投标截止时间前，撤回其电子投标文件，具体操作方法见《操作手册》。</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20.1.2投标人撤回电子投标文件，则认为其不再参与本项目投标活动。</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20.2 投标文件的修改</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20.2.1投标人可在投标截止时间前，对其电子投标文件进行修改，具体操作方法见《操作手册》。</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20.2.2在投标截止时间之后，投标人不得对其电子投标文件作任何修改。</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20.3在投标截止时间至招标文件中规定的投标有效期满之间的这段时间内，投标人不得撤回其投标。</w:t>
      </w:r>
      <w:r>
        <w:rPr>
          <w:rFonts w:hint="eastAsia" w:ascii="宋体" w:hAnsi="宋体" w:eastAsia="宋体" w:cs="宋体"/>
          <w:color w:val="000000"/>
        </w:rPr>
      </w:r>
      <w:r/>
    </w:p>
    <w:p>
      <w:pPr>
        <w:pStyle w:val="654"/>
        <w:ind w:firstLine="482"/>
        <w:jc w:val="both"/>
        <w:keepLines/>
        <w:keepNext/>
        <w:spacing w:before="145" w:beforeAutospacing="0" w:after="145" w:afterAutospacing="0" w:line="360" w:lineRule="auto"/>
        <w:rPr>
          <w:rFonts w:hint="eastAsia" w:ascii="宋体" w:hAnsi="宋体" w:eastAsia="宋体" w:cs="宋体"/>
          <w:color w:val="000000"/>
        </w:rPr>
      </w:pPr>
      <w:r/>
      <w:bookmarkStart w:id="168" w:name="_Toc20823301"/>
      <w:r/>
      <w:bookmarkStart w:id="169" w:name="_Toc16938545"/>
      <w:r/>
      <w:bookmarkStart w:id="170" w:name="_Toc120614218"/>
      <w:r/>
      <w:bookmarkStart w:id="171" w:name="_Toc513029229"/>
      <w:r>
        <w:rPr>
          <w:rFonts w:hint="eastAsia" w:ascii="宋体" w:hAnsi="宋体" w:eastAsia="宋体" w:cs="宋体"/>
          <w:b/>
          <w:color w:val="000000"/>
        </w:rPr>
        <w:t xml:space="preserve">五、开标与评标</w:t>
      </w:r>
      <w:bookmarkEnd w:id="168"/>
      <w:r/>
      <w:bookmarkEnd w:id="169"/>
      <w:r/>
      <w:bookmarkEnd w:id="170"/>
      <w:r/>
      <w:bookmarkEnd w:id="171"/>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72" w:name="_Toc16938546"/>
      <w:r/>
      <w:bookmarkStart w:id="173" w:name="_Toc513029230"/>
      <w:r/>
      <w:bookmarkStart w:id="174" w:name="_Toc20823302"/>
      <w:r>
        <w:rPr>
          <w:rFonts w:hint="eastAsia" w:ascii="宋体" w:hAnsi="宋体" w:eastAsia="宋体" w:cs="宋体"/>
          <w:color w:val="000000"/>
        </w:rPr>
        <w:t xml:space="preserve">21、开标</w:t>
      </w:r>
      <w:bookmarkEnd w:id="172"/>
      <w:r/>
      <w:bookmarkEnd w:id="173"/>
      <w:r/>
      <w:bookmarkEnd w:id="174"/>
      <w:r>
        <w:rPr>
          <w:rFonts w:hint="eastAsia" w:ascii="宋体" w:hAnsi="宋体" w:eastAsia="宋体" w:cs="宋体"/>
          <w:color w:val="000000"/>
        </w:rPr>
      </w:r>
      <w:r/>
    </w:p>
    <w:p>
      <w:pPr>
        <w:pStyle w:val="654"/>
        <w:ind w:firstLine="36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21.1采购中心将在招标公告中规定的时间和地点组织公开开标。投标人应当按照《操作手册》规定，参加开标活动和在苏采云系统规定的时间内对投标文件进行解密。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21.2开标仪式由采购中心组织。苏采云系统将自动对项目进行开标，并宣布各投标人名称和投标价格。</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21.3投标人在开标过程中涉及到的投标文件解密、开标结果确认等工作，应按照《操作手册》规定执行。</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75" w:name="_Toc513029231"/>
      <w:r/>
      <w:bookmarkStart w:id="176" w:name="_Toc16938547"/>
      <w:r/>
      <w:bookmarkStart w:id="177" w:name="_Toc20823303"/>
      <w:r>
        <w:rPr>
          <w:rFonts w:hint="eastAsia" w:ascii="宋体" w:hAnsi="宋体" w:eastAsia="宋体" w:cs="宋体"/>
          <w:color w:val="000000"/>
        </w:rPr>
        <w:t xml:space="preserve">22、评标委员会</w:t>
      </w:r>
      <w:bookmarkEnd w:id="175"/>
      <w:r/>
      <w:bookmarkEnd w:id="176"/>
      <w:r/>
      <w:bookmarkEnd w:id="177"/>
      <w:r>
        <w:rPr>
          <w:rFonts w:hint="eastAsia" w:ascii="宋体" w:hAnsi="宋体" w:eastAsia="宋体" w:cs="宋体"/>
          <w:color w:val="000000"/>
        </w:rPr>
      </w:r>
      <w:r/>
    </w:p>
    <w:p>
      <w:pPr>
        <w:pStyle w:val="654"/>
        <w:jc w:val="both"/>
        <w:spacing w:beforeAutospacing="0" w:afterAutospacing="0" w:line="0" w:lineRule="atLeast"/>
        <w:rPr>
          <w:rFonts w:hint="eastAsia" w:ascii="宋体" w:hAnsi="宋体" w:eastAsia="宋体" w:cs="宋体"/>
          <w:color w:val="000000"/>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22.1开标后，采购中心将立即组织评标委员会（以下简称评委会）进行评标。</w:t>
      </w:r>
      <w:r>
        <w:rPr>
          <w:rFonts w:hint="eastAsia" w:ascii="宋体" w:hAnsi="宋体" w:eastAsia="宋体" w:cs="宋体"/>
          <w:color w:val="000000"/>
        </w:rPr>
      </w:r>
      <w:r/>
    </w:p>
    <w:p>
      <w:pPr>
        <w:pStyle w:val="654"/>
        <w:jc w:val="both"/>
        <w:spacing w:beforeAutospacing="0" w:afterAutospacing="0" w:line="0" w:lineRule="atLeast"/>
        <w:rPr>
          <w:rFonts w:hint="eastAsia" w:ascii="宋体" w:hAnsi="宋体" w:eastAsia="宋体" w:cs="宋体"/>
          <w:color w:val="000000"/>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rPr>
          <w:rFonts w:hint="eastAsia" w:ascii="宋体" w:hAnsi="宋体" w:eastAsia="宋体" w:cs="宋体"/>
          <w:color w:val="000000"/>
        </w:rPr>
      </w:r>
      <w:r/>
    </w:p>
    <w:p>
      <w:pPr>
        <w:pStyle w:val="654"/>
        <w:jc w:val="both"/>
        <w:spacing w:beforeAutospacing="0" w:afterAutospacing="0" w:line="0" w:lineRule="atLeast"/>
        <w:rPr>
          <w:rFonts w:hint="eastAsia" w:ascii="宋体" w:hAnsi="宋体" w:eastAsia="宋体" w:cs="宋体"/>
          <w:color w:val="000000"/>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23、评标过程的保密与公正</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23.2在评标过程中，投标人不得以任何行为影响评标过程，否则其投标文件将被作为无效投标文件。</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23.3采购中心和评标委员会不向未中标的投标人解释未中标原因，也不公布评标过程中的相关细节。</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23.4采用综合评分法的项目，未中标的投标人可于中标结果公告期限届满之日起通过苏采云系统查看自己的评审得分及排序情况。 </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78" w:name="_Toc513029232"/>
      <w:r/>
      <w:bookmarkStart w:id="179" w:name="_Toc16938548"/>
      <w:r/>
      <w:bookmarkStart w:id="180" w:name="_Toc20823304"/>
      <w:r>
        <w:rPr>
          <w:rFonts w:hint="eastAsia" w:ascii="宋体" w:hAnsi="宋体" w:eastAsia="宋体" w:cs="宋体"/>
          <w:color w:val="000000"/>
        </w:rPr>
        <w:t xml:space="preserve">24、投标文件的澄清</w:t>
      </w:r>
      <w:bookmarkEnd w:id="178"/>
      <w:r/>
      <w:bookmarkEnd w:id="179"/>
      <w:r/>
      <w:bookmarkEnd w:id="180"/>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rPr>
      </w:r>
      <w:r/>
    </w:p>
    <w:p>
      <w:pPr>
        <w:pStyle w:val="654"/>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24.3接到评委会澄清、说明和补正要求的投标人如未按规定作出澄清、说明和补正，其风险由投标人自行承担。</w:t>
      </w:r>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bookmarkStart w:id="181" w:name="_Toc513029233"/>
      <w:r/>
      <w:bookmarkStart w:id="182" w:name="_Toc16938549"/>
      <w:r/>
      <w:bookmarkStart w:id="183" w:name="_Toc20823305"/>
      <w:r>
        <w:rPr>
          <w:rFonts w:hint="eastAsia" w:ascii="宋体" w:hAnsi="宋体" w:eastAsia="宋体" w:cs="宋体"/>
          <w:color w:val="000000"/>
        </w:rPr>
        <w:t xml:space="preserve">25、对投标文件的初审</w:t>
      </w:r>
      <w:bookmarkEnd w:id="181"/>
      <w:r/>
      <w:bookmarkEnd w:id="182"/>
      <w:r/>
      <w:bookmarkEnd w:id="183"/>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25.1投标文件初审分为资格审查和符合性审查。</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rPr>
      </w:r>
      <w:r/>
    </w:p>
    <w:p>
      <w:pPr>
        <w:pStyle w:val="654"/>
        <w:ind w:firstLine="480"/>
        <w:jc w:val="both"/>
        <w:spacing w:beforeAutospacing="0" w:afterAutospacing="0" w:line="0" w:lineRule="atLeast"/>
        <w:tabs>
          <w:tab w:val="center" w:pos="4153" w:leader="none"/>
        </w:tabs>
        <w:rPr>
          <w:rFonts w:hint="eastAsia" w:ascii="宋体" w:hAnsi="宋体" w:eastAsia="宋体" w:cs="宋体"/>
          <w:color w:val="000000"/>
        </w:rPr>
      </w:pPr>
      <w:r>
        <w:rPr>
          <w:rFonts w:hint="eastAsia" w:ascii="宋体" w:hAnsi="宋体" w:eastAsia="宋体" w:cs="宋体"/>
          <w:color w:val="000000"/>
        </w:rPr>
        <w:t xml:space="preserve">接受联合体的项目，</w:t>
      </w:r>
      <w:r>
        <w:rPr>
          <w:rFonts w:hint="eastAsia" w:ascii="宋体" w:hAnsi="宋体" w:eastAsia="宋体" w:cs="宋体"/>
          <w:color w:val="000000"/>
          <w:highlight w:val="yellow"/>
          <w:lang w:val="en-US" w:eastAsia="zh-CN"/>
        </w:rPr>
        <w:t xml:space="preserve">由成员总数量不超过3名的</w:t>
      </w:r>
      <w:r>
        <w:rPr>
          <w:rFonts w:hint="eastAsia" w:ascii="宋体" w:hAnsi="宋体" w:eastAsia="宋体" w:cs="宋体"/>
          <w:color w:val="000000"/>
          <w:highlight w:val="yellow"/>
        </w:rPr>
        <w:t xml:space="preserve">自然人、法人或者其他组织组成一个联合体，</w:t>
      </w:r>
      <w:r>
        <w:rPr>
          <w:rFonts w:hint="eastAsia" w:ascii="宋体" w:hAnsi="宋体" w:eastAsia="宋体" w:cs="宋体"/>
          <w:color w:val="000000"/>
        </w:rPr>
        <w:t xml:space="preserve">以一个供应商的身份共同参加政府采购活动,联合体成员存在不良信用记录的，视同联合体存在不良应用记录。</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rPr>
      </w:r>
      <w:r/>
    </w:p>
    <w:p>
      <w:pPr>
        <w:pStyle w:val="654"/>
        <w:ind w:firstLine="420"/>
        <w:jc w:val="both"/>
        <w:spacing w:beforeAutospacing="0" w:afterAutospacing="0" w:line="0" w:lineRule="atLeast"/>
        <w:rPr>
          <w:rFonts w:hint="eastAsia" w:ascii="宋体" w:hAnsi="宋体" w:eastAsia="宋体" w:cs="宋体"/>
          <w:color w:val="000000"/>
        </w:rPr>
      </w:pPr>
      <w:r/>
      <w:bookmarkStart w:id="184" w:name="_Toc513029234"/>
      <w:r/>
      <w:bookmarkStart w:id="185" w:name="_Toc20823306"/>
      <w:r/>
      <w:bookmarkStart w:id="186" w:name="_Toc16938550"/>
      <w:r>
        <w:rPr>
          <w:rFonts w:hint="eastAsia" w:ascii="宋体" w:hAnsi="宋体" w:eastAsia="宋体" w:cs="宋体"/>
          <w:color w:val="000000"/>
        </w:rPr>
        <w:t xml:space="preserve">25.6投标人在开、评标全过程中应保持通信畅通，及时登录苏采云系统查阅、答复相关信息，并安排专人与采购中心及评标委员会联系。</w:t>
      </w:r>
      <w:bookmarkEnd w:id="184"/>
      <w:r/>
      <w:bookmarkEnd w:id="185"/>
      <w:r/>
      <w:bookmarkEnd w:id="186"/>
      <w:r>
        <w:rPr>
          <w:rFonts w:hint="eastAsia" w:ascii="宋体" w:hAnsi="宋体" w:eastAsia="宋体" w:cs="宋体"/>
          <w:color w:val="000000"/>
        </w:rPr>
      </w:r>
      <w:r/>
    </w:p>
    <w:p>
      <w:pPr>
        <w:pStyle w:val="654"/>
        <w:ind w:firstLine="42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26、无效投标条款和废标条款</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bookmarkStart w:id="187" w:name="_Toc16938551"/>
      <w:r/>
      <w:bookmarkStart w:id="188" w:name="_Toc513029235"/>
      <w:r/>
      <w:bookmarkStart w:id="189" w:name="_Toc20823307"/>
      <w:r>
        <w:rPr>
          <w:rFonts w:hint="eastAsia" w:ascii="宋体" w:hAnsi="宋体" w:eastAsia="宋体" w:cs="宋体"/>
          <w:color w:val="000000"/>
        </w:rPr>
        <w:t xml:space="preserve">26.1无效投标条款</w:t>
      </w:r>
      <w:bookmarkEnd w:id="187"/>
      <w:r/>
      <w:bookmarkEnd w:id="188"/>
      <w:r/>
      <w:bookmarkEnd w:id="189"/>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26.1.1投标人在苏采云系统规定的时间内未成功解密电子投标文件的。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26.1.2投标人未按照招标文件要求上传电子投标文件的。</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26.1.3同一投标人提交两个（含两个）以上不同的投标报价的。</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26.1.4投标人不具备招标文件中规定资格要求的。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26.1.5投标人的报价超过了采购预算或最高限价的。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26.1.6未通过符合性审查的。</w:t>
      </w:r>
      <w:r>
        <w:rPr>
          <w:rFonts w:hint="eastAsia" w:ascii="宋体" w:hAnsi="宋体" w:eastAsia="宋体" w:cs="宋体"/>
          <w:color w:val="000000"/>
        </w:rPr>
      </w:r>
      <w:r/>
    </w:p>
    <w:p>
      <w:pPr>
        <w:pStyle w:val="654"/>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26.1.9投标文件含有采购人不能接受的附加条件的。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26.1.10投标人不能证明其报价合理性的，评标委员会应当将其作为无效投标处理。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3.投标（响应）报价低于采购项目最高限价45%的，即投标（响应）报价&lt;采购项目最高限价×45%；</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4.评审委员会基于专业判断，认为供应商报价过低，有可能影响产品质量或者不能诚信履约的其他情形。</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相关法律法规对供应商报价有规定的，从其规定。</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b/>
          <w:bCs/>
          <w:color w:val="000000"/>
        </w:rPr>
      </w:pPr>
      <w:r>
        <w:rPr>
          <w:rFonts w:hint="eastAsia" w:ascii="宋体" w:hAnsi="宋体" w:eastAsia="宋体" w:cs="宋体"/>
          <w:color w:val="00000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26.1.11投标文件未按照招标文件要求加盖CA电子公章的。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26.1.12其他法律、法规及本招标文件规定的属无效投标的情形。</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26.2废标条款</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26.2.2出现影响采购公正的违法、违规行为的。</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26.2.3因重大变故，采购任务取消的。</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26.2.4评标委员会认定招标文件存在歧义、重大缺陷导致评审工作无法进行。</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26.2.5因苏采云系统系统故障原因造成开标不成功的。</w:t>
      </w:r>
      <w:r>
        <w:rPr>
          <w:rFonts w:hint="eastAsia" w:ascii="宋体" w:hAnsi="宋体" w:eastAsia="宋体" w:cs="宋体"/>
          <w:color w:val="000000"/>
        </w:rPr>
      </w:r>
      <w:r/>
    </w:p>
    <w:p>
      <w:pPr>
        <w:pStyle w:val="654"/>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26.3 投标截止时间结束后参加投标的供应商不足三家的处理：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rPr>
      </w:r>
      <w:r/>
    </w:p>
    <w:p>
      <w:pPr>
        <w:pStyle w:val="654"/>
        <w:ind w:firstLine="482"/>
        <w:jc w:val="both"/>
        <w:keepLines/>
        <w:keepNext/>
        <w:spacing w:before="145" w:beforeAutospacing="0" w:after="145" w:afterAutospacing="0" w:line="360" w:lineRule="auto"/>
        <w:rPr>
          <w:rFonts w:hint="eastAsia" w:ascii="宋体" w:hAnsi="宋体" w:eastAsia="宋体" w:cs="宋体"/>
          <w:color w:val="000000"/>
        </w:rPr>
      </w:pPr>
      <w:r/>
      <w:bookmarkStart w:id="190" w:name="_Toc120614219"/>
      <w:r>
        <w:rPr>
          <w:rFonts w:hint="eastAsia" w:ascii="宋体" w:hAnsi="宋体" w:eastAsia="宋体" w:cs="宋体"/>
          <w:b/>
          <w:color w:val="000000"/>
        </w:rPr>
        <w:t xml:space="preserve">六、定标</w:t>
      </w:r>
      <w:bookmarkEnd w:id="190"/>
      <w:r>
        <w:rPr>
          <w:rFonts w:hint="eastAsia" w:ascii="宋体" w:hAnsi="宋体" w:eastAsia="宋体" w:cs="宋体"/>
          <w:color w:val="000000"/>
        </w:rPr>
      </w:r>
      <w:r/>
    </w:p>
    <w:p>
      <w:pPr>
        <w:pStyle w:val="654"/>
        <w:ind w:firstLine="600"/>
        <w:jc w:val="both"/>
        <w:keepLines/>
        <w:keepNext/>
        <w:spacing w:beforeAutospacing="0" w:afterAutospacing="0"/>
        <w:rPr>
          <w:rFonts w:hint="eastAsia" w:ascii="宋体" w:hAnsi="宋体" w:eastAsia="宋体" w:cs="宋体"/>
          <w:color w:val="000000"/>
        </w:rPr>
      </w:pPr>
      <w:r/>
      <w:bookmarkStart w:id="191" w:name="_Toc20823310"/>
      <w:r/>
      <w:bookmarkStart w:id="192" w:name="_Toc513029238"/>
      <w:r/>
      <w:bookmarkStart w:id="193" w:name="_Toc16938554"/>
      <w:r>
        <w:rPr>
          <w:rFonts w:hint="eastAsia" w:ascii="宋体" w:hAnsi="宋体" w:eastAsia="宋体" w:cs="宋体"/>
          <w:color w:val="000000"/>
        </w:rPr>
        <w:t xml:space="preserve">27、</w:t>
      </w:r>
      <w:bookmarkEnd w:id="191"/>
      <w:r>
        <w:rPr>
          <w:rFonts w:hint="eastAsia" w:ascii="宋体" w:hAnsi="宋体" w:eastAsia="宋体" w:cs="宋体"/>
          <w:color w:val="000000"/>
        </w:rPr>
        <w:t xml:space="preserve">确定</w:t>
      </w:r>
      <w:bookmarkEnd w:id="192"/>
      <w:r/>
      <w:bookmarkEnd w:id="193"/>
      <w:r>
        <w:rPr>
          <w:rFonts w:hint="eastAsia" w:ascii="宋体" w:hAnsi="宋体" w:eastAsia="宋体" w:cs="宋体"/>
          <w:color w:val="000000"/>
        </w:rPr>
        <w:t xml:space="preserve">中标单位</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27.1中标候选人的选取原则和数量见招标文件第五章规定。 </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27.2采购人应根据评委会推荐的中标候选人确定中标人。</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27.3采购中心将在“中国政府采购网”“江苏政府采购网”“盐城市政府采购网”发布中标公告，公告期限为1个工作日。</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27.4若有充分证据证明，中标人出现下列情况之一的，一经查实，将被取消中标资格：</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27.4.1提供虚假材料谋取中标的。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27.4.2向采购人、采购中心行贿或者提供其他不正当利益的。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27.4.3属于本文件规定的无效条件，但在评标过程中又未被评委会发现的。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27.4.4与采购人或者其他供应商恶意串通的。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27.4.5采取不正当手段诋毁、排挤其他供应商的。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bookmarkStart w:id="194" w:name="_Toc200451960"/>
      <w:r>
        <w:rPr>
          <w:rFonts w:hint="eastAsia" w:ascii="宋体" w:hAnsi="宋体" w:eastAsia="宋体" w:cs="宋体"/>
          <w:color w:val="000000"/>
        </w:rPr>
        <w:t xml:space="preserve">27.5 有下列情形之一的，视为投标人串通投标，投标无效：</w:t>
      </w:r>
      <w:bookmarkEnd w:id="194"/>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27.5.1不同投标人的投标文件由同一单位或者个人编制。</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27.5.2不同投标人委托同一单位或者个人办理投标事宜。</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27.5.3不同投标人的投标文件载明的项目管理成员或者联系人员为同一人。</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27.5.4不同投标人的投标文件异常一致或者投标报价呈规律性差异。</w:t>
      </w:r>
      <w:r>
        <w:rPr>
          <w:rFonts w:hint="eastAsia" w:ascii="宋体" w:hAnsi="宋体" w:eastAsia="宋体" w:cs="宋体"/>
          <w:color w:val="000000"/>
        </w:rPr>
      </w:r>
      <w:r/>
    </w:p>
    <w:p>
      <w:pPr>
        <w:pStyle w:val="654"/>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28、质疑处理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28.2.1对可以质疑的采购文件提出质疑的，为收到采购文件之日或者采购文件公告期限届满之日；</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28.2.2对采购过程提出质疑的，为各采购程序环节结束之日；</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28.2.3对中标或者成交结果提出质疑的，为中标或者成交结果公告期限届满之日。</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rPr>
      </w:r>
      <w:r/>
    </w:p>
    <w:p>
      <w:pPr>
        <w:pStyle w:val="654"/>
        <w:ind w:firstLine="482"/>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eastAsia="宋体" w:cs="宋体"/>
          <w:color w:val="000000"/>
        </w:rPr>
      </w:r>
      <w:r/>
    </w:p>
    <w:p>
      <w:pPr>
        <w:pStyle w:val="627"/>
        <w:ind w:firstLine="480"/>
        <w:jc w:val="left"/>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采购中心及采购人只接收以纸质原件形式送达的质疑,采购人和采购中心不接受未填写快递运单的快件。质疑接收部门为公共资源交易中心业务受理处，联系地址：射阳县幸福大道16号，联系电话：</w:t>
      </w:r>
      <w:r>
        <w:rPr>
          <w:rFonts w:hint="eastAsia" w:ascii="仿宋" w:hAnsi="仿宋" w:eastAsia="仿宋" w:cs="仿宋"/>
          <w:color w:val="000000"/>
          <w:sz w:val="24"/>
        </w:rPr>
        <w:t xml:space="preserve">0515-82391711</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28.5 以下情形的质疑不予受理</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28.5.1内容不符合《政府采购质疑和投诉办法》第十二条规定的质疑。</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28.5.2超出政府采购法定期限的质疑。</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28.5.3以传真、电子邮件等方式递交的非原件形式的质疑。</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28.5.4未参加投标活动的供应商或在投标活动中自身权益未受到损害的供应商所提出的质疑。</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28.5.5供应商组成联合体参加投标，联合体中任何一方或多方未按要求签字、盖章、加盖公章的质疑。</w:t>
      </w:r>
      <w:r>
        <w:rPr>
          <w:rFonts w:hint="eastAsia" w:ascii="宋体" w:hAnsi="宋体" w:eastAsia="宋体" w:cs="宋体"/>
          <w:color w:val="000000"/>
        </w:rPr>
      </w:r>
      <w:r/>
    </w:p>
    <w:p>
      <w:pPr>
        <w:pStyle w:val="654"/>
        <w:ind w:firstLine="46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color w:val="000000"/>
        </w:rPr>
      </w:r>
      <w:r/>
    </w:p>
    <w:p>
      <w:pPr>
        <w:pStyle w:val="654"/>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29、中标通知书</w:t>
      </w:r>
      <w:r>
        <w:rPr>
          <w:rFonts w:hint="eastAsia" w:ascii="宋体" w:hAnsi="宋体" w:eastAsia="宋体" w:cs="宋体"/>
          <w:color w:val="000000"/>
        </w:rPr>
      </w:r>
      <w:r/>
    </w:p>
    <w:p>
      <w:pPr>
        <w:pStyle w:val="654"/>
        <w:ind w:firstLine="60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rPr>
      </w:r>
      <w:r/>
    </w:p>
    <w:p>
      <w:pPr>
        <w:pStyle w:val="654"/>
        <w:ind w:firstLine="60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rPr>
      </w:r>
      <w:r/>
    </w:p>
    <w:p>
      <w:pPr>
        <w:pStyle w:val="654"/>
        <w:jc w:val="both"/>
        <w:keepLines/>
        <w:keepNext/>
        <w:spacing w:before="145" w:beforeAutospacing="0" w:after="145" w:afterAutospacing="0" w:line="360" w:lineRule="auto"/>
        <w:rPr>
          <w:rFonts w:hint="eastAsia" w:ascii="宋体" w:hAnsi="宋体" w:eastAsia="宋体" w:cs="宋体"/>
          <w:color w:val="000000"/>
        </w:rPr>
      </w:pPr>
      <w:r/>
      <w:bookmarkStart w:id="195" w:name="_Toc120614220"/>
      <w:r/>
      <w:bookmarkStart w:id="196" w:name="_Toc16938552"/>
      <w:r/>
      <w:bookmarkStart w:id="197" w:name="_Toc20823308"/>
      <w:r/>
      <w:bookmarkStart w:id="198" w:name="_Toc513029236"/>
      <w:r>
        <w:rPr>
          <w:rFonts w:hint="eastAsia" w:ascii="宋体" w:hAnsi="宋体" w:eastAsia="宋体" w:cs="宋体"/>
          <w:b/>
          <w:color w:val="000000"/>
        </w:rPr>
        <w:t xml:space="preserve">七、授予合同</w:t>
      </w:r>
      <w:bookmarkEnd w:id="195"/>
      <w:r/>
      <w:bookmarkEnd w:id="196"/>
      <w:r/>
      <w:bookmarkEnd w:id="197"/>
      <w:r/>
      <w:bookmarkEnd w:id="198"/>
      <w:r>
        <w:rPr>
          <w:rFonts w:hint="eastAsia" w:ascii="宋体" w:hAnsi="宋体" w:eastAsia="宋体" w:cs="宋体"/>
          <w:color w:val="000000"/>
        </w:rPr>
      </w:r>
      <w:r/>
    </w:p>
    <w:p>
      <w:pPr>
        <w:pStyle w:val="654"/>
        <w:ind w:firstLine="600"/>
        <w:jc w:val="both"/>
        <w:keepLines/>
        <w:keepNext/>
        <w:spacing w:beforeAutospacing="0" w:afterAutospacing="0"/>
        <w:rPr>
          <w:rFonts w:hint="eastAsia" w:ascii="宋体" w:hAnsi="宋体" w:eastAsia="宋体" w:cs="宋体"/>
          <w:color w:val="000000"/>
        </w:rPr>
      </w:pPr>
      <w:r/>
      <w:bookmarkStart w:id="199" w:name="_Toc16938553"/>
      <w:r/>
      <w:bookmarkStart w:id="200" w:name="_Toc513029237"/>
      <w:r/>
      <w:bookmarkStart w:id="201" w:name="_Toc20823309"/>
      <w:r>
        <w:rPr>
          <w:rFonts w:hint="eastAsia" w:ascii="宋体" w:hAnsi="宋体" w:eastAsia="宋体" w:cs="宋体"/>
          <w:color w:val="000000"/>
        </w:rPr>
        <w:t xml:space="preserve">30.签订合同</w:t>
      </w:r>
      <w:bookmarkEnd w:id="199"/>
      <w:r/>
      <w:bookmarkEnd w:id="200"/>
      <w:r/>
      <w:bookmarkEnd w:id="201"/>
      <w:r>
        <w:rPr>
          <w:rFonts w:hint="eastAsia" w:ascii="宋体" w:hAnsi="宋体" w:eastAsia="宋体" w:cs="宋体"/>
          <w:color w:val="000000"/>
        </w:rPr>
      </w:r>
      <w:r/>
    </w:p>
    <w:p>
      <w:pPr>
        <w:pStyle w:val="654"/>
        <w:ind w:firstLine="60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30.l中标人应当在中标通知书发出之日起三十日内，按照招标文件确定的事项与采购人签订政府采购合同。</w:t>
      </w:r>
      <w:r>
        <w:rPr>
          <w:rFonts w:hint="eastAsia" w:ascii="宋体" w:hAnsi="宋体" w:eastAsia="宋体" w:cs="宋体"/>
          <w:color w:val="000000"/>
        </w:rPr>
      </w:r>
      <w:r/>
    </w:p>
    <w:p>
      <w:pPr>
        <w:pStyle w:val="654"/>
        <w:ind w:firstLine="60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30.2招标文件、中标人的投标文件及招标过程中有关澄清、承诺文件均应作为合同附件。</w:t>
      </w:r>
      <w:r>
        <w:rPr>
          <w:rFonts w:hint="eastAsia" w:ascii="宋体" w:hAnsi="宋体" w:eastAsia="宋体" w:cs="宋体"/>
          <w:color w:val="000000"/>
        </w:rPr>
      </w:r>
      <w:r/>
    </w:p>
    <w:p>
      <w:pPr>
        <w:pStyle w:val="654"/>
        <w:ind w:firstLine="60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rPr>
      </w:r>
      <w:r/>
    </w:p>
    <w:p>
      <w:pPr>
        <w:pStyle w:val="654"/>
        <w:ind w:firstLine="48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31、服务（包含与服务相关的货物）的追加</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rPr>
      </w:r>
      <w:r/>
    </w:p>
    <w:p>
      <w:pPr>
        <w:pStyle w:val="654"/>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32.政府采购政策功能落实</w:t>
      </w:r>
      <w:r>
        <w:rPr>
          <w:rFonts w:hint="eastAsia" w:ascii="宋体" w:hAnsi="宋体" w:eastAsia="宋体" w:cs="宋体"/>
          <w:color w:val="000000"/>
        </w:rPr>
      </w:r>
      <w:r/>
    </w:p>
    <w:p>
      <w:pPr>
        <w:pStyle w:val="654"/>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rPr>
      </w:r>
      <w:r/>
    </w:p>
    <w:p>
      <w:pPr>
        <w:pStyle w:val="627"/>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rPr>
          <w:rFonts w:hint="eastAsia" w:ascii="宋体" w:hAnsi="宋体" w:eastAsia="宋体" w:cs="宋体"/>
          <w:color w:val="000000"/>
          <w:sz w:val="24"/>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rPr>
      </w:r>
      <w:r/>
    </w:p>
    <w:p>
      <w:pPr>
        <w:pStyle w:val="627"/>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rPr>
          <w:rFonts w:hint="eastAsia" w:ascii="宋体" w:hAnsi="宋体" w:eastAsia="宋体" w:cs="宋体"/>
          <w:color w:val="000000"/>
          <w:sz w:val="24"/>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32.3.1中小企业定义：</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32.3.7本项目是否专门面向中小企业预留采购份额见第一章《招标公告》。</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rPr>
          <w:rFonts w:hint="eastAsia" w:ascii="宋体" w:hAnsi="宋体" w:eastAsia="宋体" w:cs="宋体"/>
          <w:color w:val="000000"/>
        </w:rPr>
      </w:r>
      <w:r/>
    </w:p>
    <w:p>
      <w:pPr>
        <w:pStyle w:val="654"/>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32.5绿色包装</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rPr>
      </w:r>
      <w:r/>
    </w:p>
    <w:p>
      <w:pPr>
        <w:pStyle w:val="627"/>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rPr>
          <w:rFonts w:hint="eastAsia" w:ascii="宋体" w:hAnsi="宋体" w:eastAsia="宋体" w:cs="宋体"/>
          <w:color w:val="000000"/>
          <w:sz w:val="24"/>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rPr>
          <w:rFonts w:hint="eastAsia" w:ascii="宋体" w:hAnsi="宋体" w:eastAsia="宋体" w:cs="宋体"/>
          <w:color w:val="000000"/>
        </w:rPr>
      </w:r>
      <w:r/>
    </w:p>
    <w:p>
      <w:pPr>
        <w:pStyle w:val="627"/>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rPr>
          <w:rFonts w:hint="eastAsia" w:ascii="宋体" w:hAnsi="宋体" w:eastAsia="宋体" w:cs="宋体"/>
          <w:color w:val="000000"/>
          <w:sz w:val="24"/>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rPr>
      </w:r>
      <w:r/>
    </w:p>
    <w:p>
      <w:pPr>
        <w:pStyle w:val="627"/>
        <w:ind w:firstLine="482"/>
        <w:rPr>
          <w:rFonts w:hint="eastAsia" w:ascii="宋体" w:hAnsi="宋体" w:eastAsia="宋体" w:cs="宋体"/>
          <w:color w:val="000000"/>
          <w:sz w:val="24"/>
        </w:rPr>
      </w:pPr>
      <w:r>
        <w:rPr>
          <w:rFonts w:hint="eastAsia" w:ascii="宋体" w:hAnsi="宋体" w:eastAsia="宋体" w:cs="宋体"/>
          <w:color w:val="000000"/>
          <w:sz w:val="24"/>
        </w:rPr>
        <w:t xml:space="preserve">32.8实施本国产品标准及相关政策</w:t>
      </w:r>
      <w:r>
        <w:rPr>
          <w:rFonts w:hint="eastAsia" w:ascii="宋体" w:hAnsi="宋体" w:eastAsia="宋体" w:cs="宋体"/>
          <w:color w:val="000000"/>
          <w:sz w:val="24"/>
        </w:rPr>
      </w:r>
      <w:r/>
    </w:p>
    <w:p>
      <w:pPr>
        <w:pStyle w:val="627"/>
        <w:ind w:firstLine="482"/>
        <w:rPr>
          <w:rFonts w:hint="eastAsia" w:ascii="宋体" w:hAnsi="宋体" w:eastAsia="宋体" w:cs="宋体"/>
          <w:color w:val="000000"/>
          <w:sz w:val="24"/>
        </w:rPr>
      </w:pPr>
      <w:r>
        <w:rPr>
          <w:rFonts w:hint="eastAsia" w:ascii="宋体" w:hAnsi="宋体" w:eastAsia="宋体" w:cs="宋体"/>
          <w:color w:val="000000"/>
          <w:sz w:val="24"/>
        </w:rPr>
        <w:t xml:space="preserve">1.本项目对采购本国产品给予政策支持，具体内容见招标文件“第五章 评标方法与评标标准”。</w:t>
      </w:r>
      <w:r>
        <w:rPr>
          <w:rFonts w:hint="eastAsia" w:ascii="宋体" w:hAnsi="宋体" w:eastAsia="宋体" w:cs="宋体"/>
          <w:color w:val="000000"/>
          <w:sz w:val="24"/>
        </w:rPr>
      </w:r>
      <w:r/>
    </w:p>
    <w:p>
      <w:pPr>
        <w:pStyle w:val="627"/>
        <w:ind w:firstLine="482"/>
        <w:rPr>
          <w:rFonts w:hint="eastAsia" w:ascii="宋体" w:hAnsi="宋体" w:eastAsia="宋体" w:cs="宋体"/>
          <w:color w:val="000000"/>
          <w:sz w:val="24"/>
        </w:rPr>
      </w:pPr>
      <w:r>
        <w:rPr>
          <w:rFonts w:hint="eastAsia" w:ascii="宋体" w:hAnsi="宋体" w:eastAsia="宋体" w:cs="宋体"/>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rPr>
      </w:r>
      <w:r/>
    </w:p>
    <w:p>
      <w:pPr>
        <w:pStyle w:val="627"/>
        <w:ind w:firstLine="482"/>
        <w:rPr>
          <w:rFonts w:hint="eastAsia" w:ascii="宋体" w:hAnsi="宋体" w:eastAsia="宋体" w:cs="宋体"/>
          <w:color w:val="000000"/>
          <w:sz w:val="24"/>
        </w:rPr>
      </w:pPr>
      <w:r>
        <w:rPr>
          <w:rFonts w:hint="eastAsia" w:ascii="宋体" w:hAnsi="宋体" w:eastAsia="宋体" w:cs="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rPr>
      </w:r>
      <w:r/>
    </w:p>
    <w:p>
      <w:pPr>
        <w:pStyle w:val="627"/>
        <w:ind w:firstLine="482"/>
        <w:rPr>
          <w:rFonts w:hint="eastAsia" w:ascii="宋体" w:hAnsi="宋体" w:eastAsia="宋体" w:cs="宋体"/>
          <w:color w:val="000000"/>
          <w:sz w:val="24"/>
        </w:rPr>
      </w:pPr>
      <w:r>
        <w:rPr>
          <w:rFonts w:hint="eastAsia" w:ascii="宋体" w:hAnsi="宋体" w:eastAsia="宋体" w:cs="宋体"/>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rPr>
      </w:r>
      <w:r/>
    </w:p>
    <w:p>
      <w:pPr>
        <w:pStyle w:val="627"/>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32.9履约保证金政策</w:t>
      </w:r>
      <w:r>
        <w:rPr>
          <w:rFonts w:hint="eastAsia" w:ascii="宋体" w:hAnsi="宋体" w:eastAsia="宋体" w:cs="宋体"/>
          <w:color w:val="000000"/>
          <w:sz w:val="24"/>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33. 预付款制度</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本项目落实预付款制度，预付款比例为30%（原则上不低于合同金额的30%）。在签订合同时，中标、成交供应商明确书面表示无需预付款或者主动要求降低预付款比例的，采购人可就预付款比例作相应调整。</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27"/>
        <w:jc w:val="left"/>
        <w:widowControl/>
        <w:rPr>
          <w:rFonts w:hint="eastAsia" w:ascii="黑体" w:hAnsi="宋体" w:eastAsia="黑体" w:cs="黑体"/>
          <w:color w:val="000000"/>
          <w:sz w:val="24"/>
        </w:rPr>
      </w:pPr>
      <w:r>
        <w:rPr>
          <w:rFonts w:hint="eastAsia" w:ascii="黑体" w:hAnsi="宋体" w:eastAsia="黑体" w:cs="黑体"/>
          <w:color w:val="000000"/>
          <w:sz w:val="24"/>
        </w:rPr>
        <w:br w:type="page" w:clear="all"/>
      </w:r>
      <w:r>
        <w:rPr>
          <w:rFonts w:hint="eastAsia" w:ascii="黑体" w:hAnsi="宋体" w:eastAsia="黑体" w:cs="黑体"/>
          <w:color w:val="000000"/>
          <w:sz w:val="24"/>
        </w:rPr>
      </w:r>
      <w:r/>
    </w:p>
    <w:p>
      <w:pPr>
        <w:pStyle w:val="627"/>
        <w:jc w:val="center"/>
        <w:spacing w:line="500" w:lineRule="exact"/>
        <w:rPr>
          <w:color w:val="000000"/>
          <w:sz w:val="24"/>
        </w:rPr>
      </w:pPr>
      <w:r>
        <w:rPr>
          <w:rFonts w:hint="eastAsia" w:ascii="黑体" w:hAnsi="宋体" w:eastAsia="黑体" w:cs="黑体"/>
          <w:color w:val="000000"/>
          <w:sz w:val="24"/>
        </w:rPr>
        <w:t xml:space="preserve">第三章  合同文本</w:t>
      </w:r>
      <w:r>
        <w:rPr>
          <w:color w:val="000000"/>
          <w:sz w:val="24"/>
        </w:rPr>
      </w:r>
      <w:r/>
    </w:p>
    <w:p>
      <w:pPr>
        <w:pStyle w:val="654"/>
        <w:ind w:firstLine="480"/>
        <w:jc w:val="both"/>
        <w:spacing w:beforeAutospacing="0" w:afterAutospacing="0" w:line="500" w:lineRule="exact"/>
        <w:rPr>
          <w:color w:val="000000"/>
        </w:rPr>
      </w:pPr>
      <w:r/>
      <w:bookmarkStart w:id="202" w:name="_Toc513029243"/>
      <w:r/>
      <w:bookmarkStart w:id="203" w:name="_Toc16938559"/>
      <w:r/>
      <w:bookmarkStart w:id="204" w:name="_Toc20823315"/>
      <w:r>
        <w:rPr>
          <w:rFonts w:hint="eastAsia" w:ascii="宋体" w:hAnsi="宋体" w:eastAsia="宋体" w:cs="宋体"/>
          <w:color w:val="000000"/>
        </w:rPr>
        <w:t xml:space="preserve">以下为中标后签订本项目合同的通用条款，中标人不得提出实质性的修改。</w:t>
      </w:r>
      <w:bookmarkEnd w:id="202"/>
      <w:r/>
      <w:bookmarkEnd w:id="203"/>
      <w:r/>
      <w:bookmarkEnd w:id="204"/>
      <w:r>
        <w:rPr>
          <w:color w:val="000000"/>
        </w:rPr>
      </w:r>
      <w:r/>
    </w:p>
    <w:p>
      <w:pPr>
        <w:pStyle w:val="654"/>
        <w:jc w:val="center"/>
        <w:spacing w:before="145" w:beforeAutospacing="0" w:after="145" w:afterAutospacing="0" w:line="500" w:lineRule="exact"/>
        <w:rPr>
          <w:color w:val="000000"/>
        </w:rPr>
      </w:pPr>
      <w:r>
        <w:rPr>
          <w:color w:val="000000"/>
        </w:rPr>
        <w:t xml:space="preserve"> </w:t>
      </w:r>
      <w:r>
        <w:rPr>
          <w:color w:val="000000"/>
        </w:rPr>
      </w:r>
      <w:r/>
    </w:p>
    <w:p>
      <w:pPr>
        <w:pStyle w:val="654"/>
        <w:jc w:val="center"/>
        <w:spacing w:before="145" w:beforeAutospacing="0" w:after="145" w:afterAutospacing="0" w:line="500" w:lineRule="exact"/>
        <w:rPr>
          <w:color w:val="000000"/>
        </w:rPr>
      </w:pPr>
      <w:r>
        <w:rPr>
          <w:rFonts w:hint="eastAsia" w:ascii="宋体" w:hAnsi="宋体" w:eastAsia="宋体" w:cs="宋体"/>
          <w:b/>
          <w:color w:val="000000"/>
        </w:rPr>
        <w:t xml:space="preserve">盐城市政府采购合同（服务）（合同编号）</w:t>
      </w:r>
      <w:r>
        <w:rPr>
          <w:color w:val="000000"/>
        </w:rPr>
      </w:r>
      <w:r/>
    </w:p>
    <w:p>
      <w:pPr>
        <w:pStyle w:val="654"/>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项目编号：</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甲方：（买方）_________</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乙方：（卖方）_________</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一、合同内容</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1.1 标的名称：</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1.2标的质量：</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1.3 标的数量（规模）：</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1.4 履行时间（期限）：</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1.5 履行地点：</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1.6履行方式：</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二、合同金额</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color w:val="000000"/>
        </w:rPr>
        <w:t xml:space="preserve">2.1本合同金额为（大写）：____________________________________圆（_______________元）人民币或其他币种。</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三、技术资料</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color w:val="000000"/>
        </w:rPr>
        <w:t xml:space="preserve">3.1乙方应按招标文件规定的时间向甲方提供服务（包含与服务相关的货物）的有关技术资料。</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rPr>
      </w:r>
      <w:r/>
    </w:p>
    <w:p>
      <w:pPr>
        <w:pStyle w:val="654"/>
        <w:ind w:left="412" w:hanging="412"/>
        <w:jc w:val="both"/>
        <w:spacing w:before="120" w:beforeAutospacing="0" w:after="120" w:afterAutospacing="0" w:line="500" w:lineRule="exact"/>
        <w:rPr>
          <w:color w:val="000000"/>
        </w:rPr>
      </w:pPr>
      <w:r>
        <w:rPr>
          <w:rFonts w:hint="eastAsia" w:ascii="宋体" w:hAnsi="宋体" w:eastAsia="宋体" w:cs="宋体"/>
          <w:b/>
          <w:color w:val="000000"/>
        </w:rPr>
        <w:t xml:space="preserve">四、知识产权</w:t>
      </w:r>
      <w:r>
        <w:rPr>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 </w:t>
      </w:r>
      <w:r>
        <w:rPr>
          <w:rFonts w:hint="eastAsia" w:ascii="宋体" w:hAnsi="宋体" w:eastAsia="宋体" w:cs="宋体"/>
          <w:b/>
          <w:color w:val="000000"/>
        </w:rPr>
        <w:t xml:space="preserve">五、产权担保</w:t>
      </w:r>
      <w:r>
        <w:rPr>
          <w:color w:val="000000"/>
        </w:rPr>
      </w:r>
      <w:r/>
    </w:p>
    <w:p>
      <w:pPr>
        <w:pStyle w:val="654"/>
        <w:ind w:left="408" w:hanging="408"/>
        <w:jc w:val="both"/>
        <w:spacing w:before="120" w:beforeAutospacing="0" w:after="120" w:afterAutospacing="0" w:line="500" w:lineRule="exact"/>
        <w:rPr>
          <w:color w:val="000000"/>
        </w:rPr>
      </w:pPr>
      <w:r>
        <w:rPr>
          <w:rFonts w:hint="eastAsia" w:ascii="宋体" w:hAnsi="宋体" w:eastAsia="宋体" w:cs="宋体"/>
          <w:color w:val="000000"/>
        </w:rPr>
        <w:t xml:space="preserve">5.1乙方保证所交付的服务（包含与服务相关的货物）的所有权完全属于乙方且无任何抵押、查封等产权瑕疵。</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b/>
          <w:color w:val="000000"/>
        </w:rPr>
        <w:t xml:space="preserve">六、履约保证金</w:t>
      </w:r>
      <w:r>
        <w:rPr>
          <w:color w:val="000000"/>
        </w:rPr>
      </w:r>
      <w:r/>
    </w:p>
    <w:p>
      <w:pPr>
        <w:pStyle w:val="654"/>
        <w:jc w:val="both"/>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6.1乙方交纳人民币_________元作为本合同的履约保证金。（合同金额的10%）</w:t>
      </w:r>
      <w:r>
        <w:rPr>
          <w:rFonts w:ascii="宋体" w:hAnsi="宋体" w:eastAsia="宋体" w:cs="宋体"/>
          <w:color w:val="000000"/>
        </w:rPr>
      </w:r>
      <w:r/>
    </w:p>
    <w:p>
      <w:pPr>
        <w:pStyle w:val="654"/>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6.2确需收取履约保证金的，履约保证金的缴纳形式：</w:t>
      </w:r>
      <w:r>
        <w:rPr>
          <w:rFonts w:hint="eastAsia" w:ascii="宋体" w:hAnsi="宋体" w:eastAsia="宋体" w:cs="宋体"/>
          <w:color w:val="000000"/>
        </w:rPr>
      </w:r>
      <w:r/>
    </w:p>
    <w:p>
      <w:pPr>
        <w:pStyle w:val="654"/>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rPr>
      </w:r>
      <w:r/>
    </w:p>
    <w:p>
      <w:pPr>
        <w:pStyle w:val="654"/>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6.2.2 如以履约保函（保险）形式缴纳履约保证金，供应商可通过政府采购电子履约保函（保险）平台（www.jsdzbh.com）在线申请履约保函（保险）。</w:t>
      </w:r>
      <w:r>
        <w:rPr>
          <w:rFonts w:hint="eastAsia" w:ascii="宋体" w:hAnsi="宋体" w:eastAsia="宋体" w:cs="宋体"/>
          <w:color w:val="000000"/>
        </w:rPr>
      </w:r>
      <w:r/>
    </w:p>
    <w:p>
      <w:pPr>
        <w:pStyle w:val="654"/>
        <w:ind w:left="408" w:hanging="408"/>
        <w:jc w:val="both"/>
        <w:spacing w:before="120" w:beforeAutospacing="0" w:after="120" w:afterAutospacing="0" w:line="500" w:lineRule="exact"/>
        <w:rPr>
          <w:color w:val="000000"/>
        </w:rPr>
      </w:pPr>
      <w:r>
        <w:rPr>
          <w:rFonts w:hint="eastAsia" w:ascii="宋体" w:hAnsi="宋体" w:eastAsia="宋体" w:cs="宋体"/>
          <w:color w:val="000000"/>
        </w:rPr>
        <w:t xml:space="preserve">6.3合同履行结束后，甲方应及时退还交纳的履约保证金。</w:t>
      </w:r>
      <w:r>
        <w:rPr>
          <w:color w:val="000000"/>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6.4履约保证金的退还：</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6.4.1方式：退还至投标人缴纳履约保证金的账户。如为保函，在到期时自行失效。</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6.4.2时间：验收合格且采购人收到发票后30日内。</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6.4.3条件：按合同要求全部履约完成并经采购人验收合格，且采购人收到中标人出具的发票。</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6.4.4不予退还情形：</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除不可抗力情况外，投标人出现下列情形之一的，其履约保证金，招标人将视情节决定不予退还或部分不予退还。</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（1）中标人无正当理由拒绝签订合同的，或者在签订合同时向采购人提出附加条件或者更改合同实质性内容要求的；</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（2）中标人不履行与采购人订立的合同的；</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（3）中标人所供货物或服务不符合招标文件规定要求的；</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（4）中标人采取欺骗、弄虚作假方式投标的或与其它投标人串通投标的；</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（5）中标人将合同内容转包、违法分包的；</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（6）中标人故意捏造事实或伪造证明材料，进行虚假恶意投诉或反映的。</w:t>
      </w:r>
      <w:r>
        <w:rPr>
          <w:rFonts w:ascii="宋体" w:hAnsi="宋体" w:eastAsia="宋体" w:cs="宋体"/>
          <w:color w:val="000000"/>
          <w:sz w:val="24"/>
        </w:rPr>
      </w:r>
      <w:r/>
    </w:p>
    <w:p>
      <w:pPr>
        <w:pStyle w:val="627"/>
        <w:spacing w:line="500" w:lineRule="exact"/>
        <w:rPr>
          <w:rFonts w:ascii="宋体" w:hAnsi="宋体" w:eastAsia="宋体" w:cs="宋体"/>
          <w:color w:val="000000"/>
          <w:sz w:val="24"/>
        </w:rPr>
      </w:pPr>
      <w:r>
        <w:rPr>
          <w:rFonts w:hint="eastAsia" w:ascii="宋体" w:hAnsi="宋体" w:eastAsia="宋体" w:cs="宋体"/>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eastAsia="宋体" w:cs="宋体"/>
          <w:color w:val="000000"/>
          <w:sz w:val="24"/>
        </w:rPr>
      </w:r>
      <w:r/>
    </w:p>
    <w:p>
      <w:pPr>
        <w:pStyle w:val="654"/>
        <w:jc w:val="both"/>
        <w:spacing w:before="145" w:beforeAutospacing="0" w:after="145" w:afterAutospacing="0" w:line="500" w:lineRule="exact"/>
        <w:rPr>
          <w:color w:val="000000"/>
        </w:rPr>
      </w:pPr>
      <w:r>
        <w:rPr>
          <w:rFonts w:hint="eastAsia" w:ascii="宋体" w:hAnsi="宋体" w:eastAsia="宋体" w:cs="宋体"/>
          <w:b/>
          <w:color w:val="000000"/>
        </w:rPr>
        <w:t xml:space="preserve">七、合同转包或分包</w:t>
      </w:r>
      <w:r>
        <w:rPr>
          <w:color w:val="000000"/>
        </w:rPr>
      </w:r>
      <w:r/>
    </w:p>
    <w:p>
      <w:pPr>
        <w:pStyle w:val="654"/>
        <w:jc w:val="both"/>
        <w:spacing w:before="145" w:beforeAutospacing="0" w:after="145" w:afterAutospacing="0" w:line="500" w:lineRule="exact"/>
        <w:rPr>
          <w:color w:val="000000"/>
        </w:rPr>
      </w:pPr>
      <w:r>
        <w:rPr>
          <w:rFonts w:hint="eastAsia" w:ascii="宋体" w:hAnsi="宋体" w:eastAsia="宋体" w:cs="宋体"/>
          <w:color w:val="000000"/>
        </w:rPr>
        <w:t xml:space="preserve">7.1乙方不得将合同标的转包给他人履行。</w:t>
      </w:r>
      <w:r>
        <w:rPr>
          <w:color w:val="000000"/>
        </w:rPr>
      </w:r>
      <w:r/>
    </w:p>
    <w:p>
      <w:pPr>
        <w:pStyle w:val="654"/>
        <w:jc w:val="both"/>
        <w:spacing w:before="145" w:beforeAutospacing="0" w:after="145" w:afterAutospacing="0" w:line="500" w:lineRule="exact"/>
        <w:rPr>
          <w:color w:val="000000"/>
        </w:rPr>
      </w:pPr>
      <w:r>
        <w:rPr>
          <w:rFonts w:hint="eastAsia" w:ascii="宋体" w:hAnsi="宋体" w:eastAsia="宋体" w:cs="宋体"/>
          <w:color w:val="000000"/>
        </w:rPr>
        <w:t xml:space="preserve">7.2乙方不得将合同标的分包给他人履行。</w:t>
      </w:r>
      <w:r>
        <w:rPr>
          <w:color w:val="000000"/>
        </w:rPr>
      </w:r>
      <w:r/>
    </w:p>
    <w:p>
      <w:pPr>
        <w:pStyle w:val="654"/>
        <w:jc w:val="both"/>
        <w:spacing w:before="145" w:beforeAutospacing="0" w:after="145" w:afterAutospacing="0" w:line="500" w:lineRule="exact"/>
        <w:rPr>
          <w:color w:val="000000"/>
        </w:rPr>
      </w:pPr>
      <w:r>
        <w:rPr>
          <w:rFonts w:hint="eastAsia" w:ascii="宋体" w:hAnsi="宋体" w:eastAsia="宋体" w:cs="宋体"/>
          <w:color w:val="000000"/>
        </w:rPr>
        <w:t xml:space="preserve"> 7.3乙方如有转包或未经甲方同意的分包行为，甲方有权解除合同。</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八、合同款项支付</w:t>
      </w:r>
      <w:r>
        <w:rPr>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8.1合同款项的支付方式及进度安排</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8.1合同第一阶段款项的支付方式及进度安排</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8.1.1 第一阶段预付款：合同签订后，采购人收到预付款发票后10个工作日内，预付款支付比例：第一阶段建设内容合同金额的30%。</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8.1.2 第一阶段软件成功运行，设备安装完毕并调试完成，经甲方确认后，采购人收到发票后10个工作日内，支付第一阶段建设内容已完金额的40%；</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8.1.3 第一阶段服务结束并验收合格,采购人收到发票后10个工作日内，尾款支付比例：第一阶段建设内容审计金额的25%。</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8.1.4 第一阶段尾款支付时间：运维质保期结束后,采购人收到发票后10个工作日内，尾款支付比例：第一阶段建设内容审计金额的5%。</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8.2合同第二阶段款项的支付方式及进度安排</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8.2.1 第二阶段预付款：合同签订后，采购人收到预付款发票后10个工作日内，预付款支付比例：第二阶段建设内容合同金额的30%。</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8.2.2 第二阶段软件成功运行，设备安装完毕并调试完成，经甲方确认后，采购人收到发票后10个工作日内，支付第二阶段建设内容已完金额的40%；</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8.2.3 第二阶段服务结束并验收合格,采购人收到发票后10个工作日内，尾款支付比例：第二阶段建设内容审计金额的25%。</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8.2.4 第二阶段尾款支付时间：运维质保期结束后,采购人收到发票后10个工作日内，尾款支付比例：第二阶段建设内容审计金额的5%。</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8.3支付方式： 甲方将合同款项支付至乙方，若为联合体中标，则统一将合同款项支付至联合体牵头方，由联合体牵头方依据联合体协议约定结算相应成员的合同金额。</w:t>
      </w:r>
      <w:r>
        <w:rPr>
          <w:rFonts w:hint="eastAsia" w:ascii="宋体" w:hAnsi="宋体" w:eastAsia="宋体" w:cs="宋体"/>
          <w:color w:val="000000"/>
        </w:rPr>
      </w:r>
      <w:r/>
    </w:p>
    <w:p>
      <w:pPr>
        <w:pStyle w:val="65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 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根据供应商要求不支付预付款或降低预付款比例。 </w:t>
      </w:r>
      <w:r>
        <w:rPr>
          <w:rFonts w:hint="eastAsia" w:ascii="宋体" w:hAnsi="宋体" w:eastAsia="宋体" w:cs="宋体"/>
          <w:color w:val="000000"/>
        </w:rPr>
      </w:r>
      <w:r/>
    </w:p>
    <w:p>
      <w:pPr>
        <w:pStyle w:val="654"/>
        <w:jc w:val="both"/>
        <w:spacing w:beforeAutospacing="0" w:afterAutospacing="0" w:line="360" w:lineRule="auto"/>
        <w:rPr>
          <w:color w:val="000000"/>
        </w:rPr>
      </w:pPr>
      <w:r>
        <w:rPr>
          <w:rFonts w:hint="eastAsia" w:ascii="宋体" w:hAnsi="宋体" w:eastAsia="宋体" w:cs="宋体"/>
          <w:b/>
          <w:color w:val="000000"/>
        </w:rPr>
        <w:t xml:space="preserve">九、税费</w:t>
      </w:r>
      <w:r>
        <w:rPr>
          <w:color w:val="000000"/>
        </w:rPr>
      </w:r>
      <w:r/>
    </w:p>
    <w:p>
      <w:pPr>
        <w:pStyle w:val="654"/>
        <w:jc w:val="both"/>
        <w:spacing w:beforeAutospacing="0" w:afterAutospacing="0" w:line="400" w:lineRule="exact"/>
        <w:rPr>
          <w:color w:val="000000"/>
        </w:rPr>
      </w:pPr>
      <w:r>
        <w:rPr>
          <w:rFonts w:hint="eastAsia" w:ascii="宋体" w:hAnsi="宋体" w:eastAsia="宋体" w:cs="宋体"/>
          <w:color w:val="000000"/>
        </w:rPr>
        <w:t xml:space="preserve">9.1本合同执行中相关的一切税费均由乙方负担。</w:t>
      </w:r>
      <w:r>
        <w:rPr>
          <w:color w:val="000000"/>
        </w:rPr>
      </w:r>
      <w:r/>
    </w:p>
    <w:p>
      <w:pPr>
        <w:pStyle w:val="654"/>
        <w:jc w:val="both"/>
        <w:spacing w:before="120" w:beforeAutospacing="0" w:after="120" w:afterAutospacing="0" w:line="400" w:lineRule="exact"/>
        <w:rPr>
          <w:color w:val="000000"/>
        </w:rPr>
      </w:pPr>
      <w:r>
        <w:rPr>
          <w:rFonts w:hint="eastAsia" w:ascii="宋体" w:hAnsi="宋体" w:eastAsia="宋体" w:cs="宋体"/>
          <w:b/>
          <w:color w:val="000000"/>
        </w:rPr>
        <w:t xml:space="preserve">十、项目验收</w:t>
      </w:r>
      <w:r>
        <w:rPr>
          <w:color w:val="000000"/>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10.1甲方依法组织履约验收工作。</w:t>
      </w:r>
      <w:r>
        <w:rPr>
          <w:color w:val="000000"/>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10.2</w:t>
      </w:r>
      <w:r>
        <w:rPr>
          <w:rFonts w:hint="eastAsia" w:ascii="宋体" w:hAnsi="宋体" w:eastAsia="宋体" w:cs="宋体"/>
          <w:color w:val="000000"/>
          <w:highlight w:val="yellow"/>
        </w:rPr>
        <w:t xml:space="preserve">甲方在组织履约验收前，将根据盐城市《盐城市信息化项目审批“一件事”试点工作建设指南（2024）》（盐数发〔2024〕27 号）相关的要求，并结合项目特点制定验收方案，</w:t>
      </w:r>
      <w:r>
        <w:rPr>
          <w:rFonts w:hint="eastAsia" w:ascii="宋体" w:hAnsi="宋体" w:eastAsia="宋体" w:cs="宋体"/>
          <w:color w:val="000000"/>
        </w:rPr>
        <w:t xml:space="preserve">明确履约验收的时间、方式、程序等内容，并可根据项目特点对服务期内的服务实施情况进行分期考核，综合考核情况和服务效果进行验收。乙方应根据验收方案内容做好相应配合工作。</w:t>
      </w:r>
      <w:r>
        <w:rPr>
          <w:color w:val="000000"/>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10.3对于实际使用人和甲方分离的项目，甲方邀请实际使用人参与验收。</w:t>
      </w:r>
      <w:r>
        <w:rPr>
          <w:color w:val="000000"/>
        </w:rPr>
      </w:r>
      <w:r/>
    </w:p>
    <w:p>
      <w:pPr>
        <w:pStyle w:val="654"/>
        <w:ind w:left="480" w:hanging="480"/>
        <w:jc w:val="both"/>
        <w:spacing w:before="120" w:beforeAutospacing="0" w:after="120" w:afterAutospacing="0" w:line="500" w:lineRule="exact"/>
        <w:rPr>
          <w:color w:val="000000"/>
          <w:highlight w:val="yellow"/>
        </w:rPr>
      </w:pPr>
      <w:r>
        <w:rPr>
          <w:rFonts w:hint="eastAsia" w:ascii="宋体" w:hAnsi="宋体" w:eastAsia="宋体" w:cs="宋体"/>
          <w:color w:val="000000"/>
          <w:highlight w:val="yellow"/>
        </w:rPr>
        <w:t xml:space="preserve">10.4项目终验后，由县审计局组织项目审计，相关审计意见将作为款项支付的依据。</w:t>
      </w:r>
      <w:r>
        <w:rPr>
          <w:color w:val="000000"/>
          <w:highlight w:val="yellow"/>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000000"/>
        </w:rPr>
        <w:t xml:space="preserve">中华人民共和国</w:t>
      </w:r>
      <w:r>
        <w:rPr>
          <w:rFonts w:hint="eastAsia" w:ascii="宋体" w:hAnsi="宋体" w:eastAsia="宋体" w:cs="宋体"/>
          <w:color w:val="000000"/>
        </w:rPr>
        <w:t xml:space="preserve">民法典》。乙方在履约过程中有政府采购法律法规规定的违法违规情形的,甲方将及时报告本级财政部门。</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十一、违约责任</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rPr>
          <w:color w:val="000000"/>
        </w:rPr>
      </w:r>
      <w:r/>
    </w:p>
    <w:p>
      <w:pPr>
        <w:pStyle w:val="654"/>
        <w:ind w:left="410" w:hanging="410"/>
        <w:jc w:val="both"/>
        <w:spacing w:before="120" w:beforeAutospacing="0" w:after="120" w:afterAutospacing="0" w:line="500" w:lineRule="exact"/>
        <w:rPr>
          <w:color w:val="000000"/>
        </w:rPr>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十二、不可抗力事件处理</w:t>
      </w:r>
      <w:r>
        <w:rPr>
          <w:color w:val="000000"/>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12.2不可抗力事件发生后，应立即通知对方，并寄送有关权威机构出具的证明。</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12.3不可抗力事件延续120天以上，双方应通过友好协商，确定是否继续履行合同。</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十三、解决争议的方法</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13.1双方在签订、履行合同中所发生的一切争议，应通过友好协商解决。如协商不成，由甲方住所地人民法院管辖。</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b/>
          <w:color w:val="000000"/>
        </w:rPr>
        <w:t xml:space="preserve">十四、合同生效及其他</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14.1合同经双方法定代表人或授权委托代表人签字并加盖单位公章后生效。</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14.2本合同未尽事宜，遵照《中华人民共和国民法典》、《中华人民共和国政府采购法》有关条文执行。</w:t>
      </w:r>
      <w:r>
        <w:rPr>
          <w:color w:val="000000"/>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14.3 本合同正本一式陆份，具有同等法律效力，甲方、乙方各执叁份。</w:t>
      </w:r>
      <w:r>
        <w:rPr>
          <w:color w:val="000000"/>
        </w:rPr>
      </w:r>
      <w:r/>
    </w:p>
    <w:p>
      <w:pPr>
        <w:pStyle w:val="654"/>
        <w:ind w:left="480" w:hanging="480"/>
        <w:jc w:val="both"/>
        <w:spacing w:before="120" w:beforeAutospacing="0" w:after="120" w:afterAutospacing="0" w:line="500" w:lineRule="exact"/>
        <w:rPr>
          <w:color w:val="000000"/>
        </w:rPr>
      </w:pPr>
      <w:r>
        <w:rPr>
          <w:rFonts w:hint="eastAsia" w:ascii="宋体" w:hAnsi="宋体" w:eastAsia="宋体" w:cs="宋体"/>
          <w:color w:val="000000"/>
        </w:rPr>
        <w:t xml:space="preserve">  甲方：                         乙方： </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  地址：                   地址： </w:t>
      </w:r>
      <w:r>
        <w:rPr>
          <w:color w:val="000000"/>
        </w:rPr>
      </w:r>
      <w:r/>
    </w:p>
    <w:p>
      <w:pPr>
        <w:pStyle w:val="654"/>
        <w:jc w:val="both"/>
        <w:spacing w:before="120" w:beforeAutospacing="0" w:after="120" w:afterAutospacing="0" w:line="500" w:lineRule="exact"/>
        <w:rPr>
          <w:color w:val="000000"/>
        </w:rPr>
      </w:pPr>
      <w:r>
        <w:rPr>
          <w:rFonts w:hint="eastAsia" w:ascii="宋体" w:hAnsi="宋体" w:eastAsia="宋体" w:cs="宋体"/>
          <w:color w:val="000000"/>
        </w:rPr>
        <w:t xml:space="preserve">  法定代表人或授权代表：         法定代表人或授权代表：</w:t>
      </w:r>
      <w:r>
        <w:rPr>
          <w:color w:val="000000"/>
        </w:rPr>
      </w:r>
      <w:r/>
    </w:p>
    <w:p>
      <w:pPr>
        <w:pStyle w:val="654"/>
        <w:ind w:firstLine="240"/>
        <w:jc w:val="both"/>
        <w:spacing w:before="120" w:beforeAutospacing="0" w:after="120" w:afterAutospacing="0" w:line="500" w:lineRule="exact"/>
        <w:rPr>
          <w:color w:val="000000"/>
        </w:rPr>
      </w:pPr>
      <w:r>
        <w:rPr>
          <w:rFonts w:hint="eastAsia" w:ascii="宋体" w:hAnsi="宋体" w:eastAsia="宋体" w:cs="宋体"/>
          <w:color w:val="000000"/>
        </w:rPr>
        <w:t xml:space="preserve">联系电话：                 联系电话：          </w:t>
      </w:r>
      <w:r>
        <w:rPr>
          <w:color w:val="000000"/>
        </w:rPr>
      </w:r>
      <w:r/>
    </w:p>
    <w:p>
      <w:pPr>
        <w:pStyle w:val="654"/>
        <w:jc w:val="center"/>
        <w:spacing w:before="120" w:beforeAutospacing="0" w:after="120" w:afterAutospacing="0" w:line="500" w:lineRule="exact"/>
        <w:rPr>
          <w:color w:val="000000"/>
        </w:rPr>
      </w:pPr>
      <w:r>
        <w:rPr>
          <w:rFonts w:hint="eastAsia" w:ascii="宋体" w:hAnsi="宋体" w:eastAsia="宋体" w:cs="宋体"/>
          <w:color w:val="000000"/>
        </w:rPr>
        <w:t xml:space="preserve">       签订日期：      年    月   日</w:t>
      </w:r>
      <w:bookmarkStart w:id="205" w:name="_Toc462564139"/>
      <w:r/>
      <w:bookmarkStart w:id="206" w:name="_Toc120614244"/>
      <w:r/>
      <w:bookmarkStart w:id="207" w:name="_Toc479757211"/>
      <w:r/>
      <w:bookmarkStart w:id="208" w:name="_Hlt16619350"/>
      <w:r/>
      <w:bookmarkStart w:id="209" w:name="_Toc16938590"/>
      <w:r/>
      <w:bookmarkStart w:id="210" w:name="_Toc20823346"/>
      <w:r/>
      <w:bookmarkStart w:id="211" w:name="_Hlt16619369"/>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第</w:t>
      </w:r>
      <w:bookmarkEnd w:id="207"/>
      <w:r>
        <w:rPr>
          <w:rFonts w:hint="eastAsia" w:ascii="黑体" w:hAnsi="宋体" w:eastAsia="黑体" w:cs="黑体"/>
          <w:color w:val="000000"/>
          <w:sz w:val="44"/>
          <w:szCs w:val="44"/>
        </w:rPr>
        <w:t xml:space="preserve">四章 采购需求</w:t>
      </w:r>
      <w:bookmarkEnd w:id="205"/>
      <w:r/>
      <w:bookmarkEnd w:id="206"/>
      <w:r/>
      <w:bookmarkEnd w:id="208"/>
      <w:r/>
      <w:bookmarkEnd w:id="209"/>
      <w:r/>
      <w:bookmarkEnd w:id="210"/>
      <w:r>
        <w:rPr>
          <w:color w:val="000000"/>
        </w:rPr>
      </w:r>
      <w:r/>
    </w:p>
    <w:p>
      <w:pPr>
        <w:pStyle w:val="654"/>
        <w:ind w:firstLine="480"/>
        <w:jc w:val="both"/>
        <w:spacing w:beforeAutospacing="0" w:afterAutospacing="0" w:line="0" w:lineRule="atLeast"/>
        <w:rPr>
          <w:rFonts w:hint="eastAsia" w:ascii="宋体" w:hAnsi="宋体" w:eastAsia="宋体" w:cs="宋体"/>
          <w:color w:val="000000"/>
        </w:rPr>
      </w:pPr>
      <w:r/>
      <w:bookmarkStart w:id="212" w:name="_Toc26554093"/>
      <w:r/>
      <w:bookmarkStart w:id="213" w:name="_Toc49090575"/>
      <w:r>
        <w:rPr>
          <w:rFonts w:hint="eastAsia" w:ascii="宋体" w:hAnsi="宋体" w:eastAsia="宋体" w:cs="宋体"/>
          <w:color w:val="000000"/>
        </w:rPr>
        <w:t xml:space="preserve">项目属性:服务类项目。（此为固定内容）</w:t>
      </w:r>
      <w:bookmarkEnd w:id="212"/>
      <w:r/>
      <w:bookmarkEnd w:id="213"/>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highlight w:val="yellow"/>
        </w:rPr>
      </w:pPr>
      <w:r>
        <w:rPr>
          <w:rFonts w:hint="eastAsia" w:ascii="宋体" w:hAnsi="宋体" w:eastAsia="宋体" w:cs="宋体"/>
          <w:color w:val="000000"/>
          <w:highlight w:val="yellow"/>
        </w:rPr>
        <w:t xml:space="preserve">本项目接受联合体参与</w:t>
      </w:r>
      <w:r>
        <w:rPr>
          <w:rFonts w:hint="eastAsia" w:ascii="宋体" w:hAnsi="宋体" w:eastAsia="宋体" w:cs="宋体"/>
          <w:color w:val="000000"/>
          <w:highlight w:val="yellow"/>
          <w:lang w:val="en-US" w:eastAsia="zh-CN"/>
        </w:rPr>
        <w:t xml:space="preserve">投标</w:t>
      </w:r>
      <w:r>
        <w:rPr>
          <w:rFonts w:hint="eastAsia" w:ascii="宋体" w:hAnsi="宋体" w:eastAsia="宋体" w:cs="宋体"/>
          <w:color w:val="000000"/>
          <w:highlight w:val="yellow"/>
        </w:rPr>
        <w:t xml:space="preserve">，联合体中所有成员数量不得超过3名。 </w:t>
      </w:r>
      <w:r>
        <w:rPr>
          <w:rFonts w:hint="eastAsia" w:ascii="宋体" w:hAnsi="宋体" w:eastAsia="宋体" w:cs="宋体"/>
          <w:color w:val="000000"/>
          <w:highlight w:val="yellow"/>
        </w:rPr>
      </w:r>
      <w:r/>
    </w:p>
    <w:p>
      <w:pPr>
        <w:pStyle w:val="627"/>
        <w:spacing w:line="300" w:lineRule="auto"/>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一</w:t>
      </w:r>
      <w:bookmarkStart w:id="214" w:name="OLE_LINK2"/>
      <w:r>
        <w:rPr>
          <w:rFonts w:hint="eastAsia" w:ascii="仿宋" w:hAnsi="仿宋" w:eastAsia="仿宋" w:cs="仿宋"/>
          <w:b/>
          <w:bCs/>
          <w:color w:val="000000"/>
          <w:sz w:val="24"/>
        </w:rPr>
        <w:t xml:space="preserve">、</w:t>
      </w:r>
      <w:bookmarkEnd w:id="214"/>
      <w:r>
        <w:rPr>
          <w:rFonts w:hint="eastAsia" w:ascii="仿宋" w:hAnsi="仿宋" w:eastAsia="仿宋" w:cs="仿宋"/>
          <w:b/>
          <w:bCs/>
          <w:color w:val="000000"/>
          <w:sz w:val="24"/>
        </w:rPr>
        <w:t xml:space="preserve">项目建设背景</w:t>
      </w:r>
      <w:r>
        <w:rPr>
          <w:rFonts w:hint="eastAsia" w:ascii="仿宋" w:hAnsi="仿宋" w:eastAsia="仿宋" w:cs="仿宋"/>
          <w:b/>
          <w:bCs/>
          <w:color w:val="000000"/>
          <w:sz w:val="24"/>
        </w:rPr>
      </w:r>
      <w:r/>
    </w:p>
    <w:p>
      <w:pPr>
        <w:pStyle w:val="627"/>
        <w:ind w:firstLine="480"/>
        <w:spacing w:line="30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城市生命线是保障城市安全运行的重要基础设施，涉及的行业领域众多，包括燃气、供水、排水、道路、桥梁、第三方破坏、地下管线等场景。</w:t>
      </w:r>
      <w:r>
        <w:rPr>
          <w:rFonts w:hint="eastAsia" w:ascii="仿宋" w:hAnsi="仿宋" w:eastAsia="仿宋" w:cs="仿宋"/>
          <w:bCs/>
          <w:color w:val="000000"/>
          <w:sz w:val="24"/>
        </w:rPr>
      </w:r>
      <w:r/>
    </w:p>
    <w:p>
      <w:pPr>
        <w:pStyle w:val="627"/>
        <w:ind w:firstLine="480"/>
        <w:spacing w:line="300" w:lineRule="auto"/>
        <w:rPr>
          <w:rFonts w:hint="eastAsia" w:ascii="仿宋" w:hAnsi="仿宋" w:eastAsia="仿宋" w:cs="仿宋"/>
          <w:bCs/>
          <w:color w:val="000000"/>
          <w:sz w:val="24"/>
        </w:rPr>
      </w:pPr>
      <w:r>
        <w:rPr>
          <w:rFonts w:hint="eastAsia" w:ascii="仿宋" w:hAnsi="仿宋" w:eastAsia="仿宋" w:cs="仿宋"/>
          <w:bCs/>
          <w:color w:val="000000"/>
          <w:sz w:val="24"/>
        </w:rPr>
        <w:t xml:space="preserve">2018年1月，中办、国办印发《关于推进城市安全发展意见》，要求深入推进城市生命线工程建设，积极研发和推广应用先进的风险防控、预测预警、监测监控技术。2021年9月24日，国务院安委办在安徽合肥市召开现场推进会，同步印发了《关于推广城市生命线安全工程经验做法切实加强城市安全风险防范工作的通知》（安</w:t>
      </w:r>
      <w:r>
        <w:rPr>
          <w:rFonts w:hint="eastAsia" w:ascii="仿宋" w:hAnsi="仿宋" w:eastAsia="仿宋" w:cs="仿宋"/>
          <w:bCs/>
          <w:color w:val="000000"/>
          <w:sz w:val="24"/>
        </w:rPr>
        <w:t xml:space="preserve">委办〔2021〕6号），要求在全国有条件的城市推广“合肥模式”（对燃气、桥梁、供水等基础设施安全风险进行实时监测、分析预警、联动处置）。2022年2月，国务院印发的《“十四五”国家应急体系规划》明确在2021年到2025年加快推进城市电力、燃气、供水、排水管网和桥梁等城市生命线及地质灾害隐患点、重大危险源的城乡安全监测预警网络建设。加快完善城乡安全风险监测预警公共信息平台，整合安全生产、自然灾害、公共卫生等行业领域监测系统，汇聚物联网感知数据、业务数据以及视频监控数据，实现城乡安全风险监测预警“一网统管”。</w:t>
      </w:r>
      <w:r>
        <w:rPr>
          <w:rFonts w:hint="eastAsia" w:ascii="仿宋" w:hAnsi="仿宋" w:eastAsia="仿宋" w:cs="仿宋"/>
          <w:bCs/>
          <w:color w:val="000000"/>
          <w:sz w:val="24"/>
        </w:rPr>
      </w:r>
      <w:r/>
    </w:p>
    <w:p>
      <w:pPr>
        <w:pStyle w:val="627"/>
        <w:ind w:firstLine="482"/>
        <w:spacing w:line="3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江苏省委、省政府高度重视城市生命线建设工作，陆续出台《省政府办公厅关于成立城市生命线安全工程建设推进工作领导小组的通知》（苏政传发〔2022〕46号）、《省领导小组办公室关于开展城市生命线安全工程建设试点工作的通知》、《省领导小组办公室关于印发〈江苏省城市生命线安全工程建设技术指导书（试行）〉的通知》等文件，省住建厅牵头</w:t>
      </w:r>
      <w:r>
        <w:rPr>
          <w:rFonts w:hint="eastAsia" w:ascii="仿宋" w:hAnsi="仿宋" w:eastAsia="仿宋" w:cs="仿宋"/>
          <w:bCs/>
          <w:color w:val="000000"/>
          <w:sz w:val="24"/>
        </w:rPr>
        <w:t xml:space="preserve">会同省工信厅、省自然资源厅、省应急管理厅联合申报江苏省城市生命线安全工程信息化项目立项。为贯彻落实党中央、国务院和省委、省政府决策部署，科学有序推进城市生命线安全工程建设，2023年7月，省城市生命线安全工程建设推进领导小组召开第二次会议，要求包括省内的7个非试点城市，立刻开展城市生命线工程建设。2023年9月5日，江苏省城市生命线安全工程建设推进领导小组办公室印发《关于全面推进全省城市生命线安全工程建设的通知》，要求全面启动7个非试点设区市建设，加大力度，高起点、高标准、高质量推进城市生命线安全工程建设。</w:t>
      </w:r>
      <w:r>
        <w:rPr>
          <w:rFonts w:hint="eastAsia" w:ascii="仿宋" w:hAnsi="仿宋" w:eastAsia="仿宋" w:cs="仿宋"/>
          <w:bCs/>
          <w:color w:val="000000"/>
          <w:sz w:val="24"/>
        </w:rPr>
      </w:r>
      <w:r/>
    </w:p>
    <w:p>
      <w:pPr>
        <w:pStyle w:val="627"/>
        <w:ind w:firstLine="482"/>
        <w:spacing w:line="300" w:lineRule="auto"/>
        <w:rPr>
          <w:rFonts w:hint="eastAsia" w:ascii="仿宋" w:hAnsi="仿宋" w:eastAsia="仿宋" w:cs="仿宋"/>
          <w:b/>
          <w:bCs/>
          <w:color w:val="000000"/>
          <w:sz w:val="24"/>
        </w:rPr>
        <w:outlineLvl w:val="1"/>
      </w:pPr>
      <w:r/>
      <w:bookmarkStart w:id="215" w:name="OLE_LINK14"/>
      <w:r>
        <w:rPr>
          <w:rFonts w:hint="eastAsia" w:ascii="仿宋" w:hAnsi="仿宋" w:eastAsia="仿宋" w:cs="仿宋"/>
          <w:b/>
          <w:bCs/>
          <w:color w:val="000000"/>
          <w:sz w:val="24"/>
        </w:rPr>
        <w:t xml:space="preserve">二、项目建设原则</w:t>
      </w:r>
      <w:bookmarkEnd w:id="215"/>
      <w:r>
        <w:rPr>
          <w:rFonts w:hint="eastAsia" w:ascii="仿宋" w:hAnsi="仿宋" w:eastAsia="仿宋" w:cs="仿宋"/>
          <w:b/>
          <w:bCs/>
          <w:color w:val="000000"/>
          <w:sz w:val="24"/>
        </w:rPr>
      </w:r>
      <w:r/>
    </w:p>
    <w:p>
      <w:pPr>
        <w:pStyle w:val="627"/>
        <w:ind w:firstLine="480"/>
        <w:spacing w:line="30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坚持政府主导，部门分工协作。强化政府领导责任，梳理相关行业主管部门在城市生命线安全工作中的职责，明确政府对城市生命线安全的行业监管、协调服务、综合研判和应急处置等工作要求，强化“党政同责、一岗双责、齐抓共管、失职追责”，发挥协调机制骨干作用，进一步压实企业安全主体责任。</w:t>
      </w:r>
      <w:r>
        <w:rPr>
          <w:rFonts w:hint="eastAsia" w:ascii="仿宋" w:hAnsi="仿宋" w:eastAsia="仿宋" w:cs="仿宋"/>
          <w:bCs/>
          <w:color w:val="000000"/>
          <w:sz w:val="24"/>
        </w:rPr>
      </w:r>
      <w:r/>
    </w:p>
    <w:p>
      <w:pPr>
        <w:pStyle w:val="627"/>
        <w:ind w:firstLine="480"/>
        <w:spacing w:line="30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坚持建管齐抓，共建共治共享。突出公益属性，强调系统实用性，秉持长远眼光、历史耐心、精品意识，充分发挥资金使用效益，实现各相关部门和企业积极建设、积极使用、积极维护。以“市场逻辑、资本力量、专业思维”在投融资及运维模式上加大创新，鼓励社会资本、专业机构参与工程建设和运营维护，构建共建共治共享新格局。</w:t>
      </w:r>
      <w:r>
        <w:rPr>
          <w:rFonts w:hint="eastAsia" w:ascii="仿宋" w:hAnsi="仿宋" w:eastAsia="仿宋" w:cs="仿宋"/>
          <w:bCs/>
          <w:color w:val="000000"/>
          <w:sz w:val="24"/>
        </w:rPr>
      </w:r>
      <w:r/>
    </w:p>
    <w:p>
      <w:pPr>
        <w:pStyle w:val="627"/>
        <w:ind w:firstLine="480"/>
        <w:spacing w:line="30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坚持系统建设，整体有序推进。以近远结合、需求牵引、问题导向、资源整合和分步实施为总揽，充分利用各部门、各企业已建立的监测预警系统及监控资源，融合物联网、大数据、云计算等信息技术，建立覆盖全县的城市生命线安全综合监管服务平台。故本次开展射阳城市生命线安全工程。</w:t>
      </w:r>
      <w:r>
        <w:rPr>
          <w:rFonts w:hint="eastAsia" w:ascii="仿宋" w:hAnsi="仿宋" w:eastAsia="仿宋" w:cs="仿宋"/>
          <w:bCs/>
          <w:color w:val="000000"/>
          <w:sz w:val="24"/>
        </w:rPr>
      </w:r>
      <w:r/>
    </w:p>
    <w:p>
      <w:pPr>
        <w:pStyle w:val="627"/>
        <w:ind w:firstLine="482"/>
        <w:spacing w:line="300" w:lineRule="auto"/>
        <w:rPr>
          <w:rFonts w:hint="eastAsia" w:ascii="仿宋" w:hAnsi="仿宋" w:eastAsia="仿宋" w:cs="仿宋"/>
          <w:b/>
          <w:bCs/>
          <w:color w:val="000000"/>
          <w:sz w:val="24"/>
        </w:rPr>
        <w:outlineLvl w:val="1"/>
      </w:pPr>
      <w:r/>
      <w:bookmarkStart w:id="216" w:name="_Toc29946"/>
      <w:r>
        <w:rPr>
          <w:rFonts w:hint="eastAsia" w:ascii="仿宋" w:hAnsi="仿宋" w:eastAsia="仿宋" w:cs="仿宋"/>
          <w:b/>
          <w:bCs/>
          <w:color w:val="000000"/>
          <w:sz w:val="24"/>
        </w:rPr>
        <w:t xml:space="preserve">三、本期建设内容</w:t>
      </w:r>
      <w:bookmarkEnd w:id="216"/>
      <w:r>
        <w:rPr>
          <w:rFonts w:hint="eastAsia" w:ascii="仿宋" w:hAnsi="仿宋" w:eastAsia="仿宋" w:cs="仿宋"/>
          <w:b/>
          <w:bCs/>
          <w:color w:val="000000"/>
          <w:sz w:val="24"/>
        </w:rPr>
      </w:r>
      <w:r/>
    </w:p>
    <w:p>
      <w:pPr>
        <w:pStyle w:val="627"/>
        <w:ind w:firstLine="480"/>
        <w:spacing w:line="300" w:lineRule="auto"/>
        <w:rPr>
          <w:rFonts w:hint="eastAsia" w:ascii="仿宋" w:hAnsi="仿宋" w:eastAsia="仿宋" w:cs="仿宋"/>
          <w:bCs/>
          <w:color w:val="000000"/>
          <w:sz w:val="24"/>
        </w:rPr>
      </w:pPr>
      <w:r>
        <w:rPr>
          <w:rFonts w:hint="eastAsia" w:ascii="仿宋" w:hAnsi="仿宋" w:eastAsia="仿宋" w:cs="仿宋"/>
          <w:bCs/>
          <w:color w:val="000000"/>
          <w:sz w:val="24"/>
        </w:rPr>
        <w:t xml:space="preserve">扩大对桥梁、排水管网、燃气管网等城市生命线的安全监测覆盖，开发内涝等风险预警模型，升级城市生命线安全工程综合监管平台;开展全县地下管线补充普查与数据入库，建设或升级城市地下管线综合管理信息系统，实现数据共享与应用。</w:t>
      </w:r>
      <w:r>
        <w:rPr>
          <w:rFonts w:hint="eastAsia" w:ascii="仿宋" w:hAnsi="仿宋" w:eastAsia="仿宋" w:cs="仿宋"/>
          <w:bCs/>
          <w:color w:val="000000"/>
          <w:sz w:val="24"/>
        </w:rPr>
      </w:r>
      <w:r/>
    </w:p>
    <w:p>
      <w:pPr>
        <w:pStyle w:val="627"/>
        <w:ind w:firstLine="482"/>
        <w:spacing w:line="300" w:lineRule="auto"/>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四、售后服务要求</w:t>
      </w:r>
      <w:r>
        <w:rPr>
          <w:rFonts w:hint="eastAsia" w:ascii="仿宋" w:hAnsi="仿宋" w:eastAsia="仿宋" w:cs="仿宋"/>
          <w:b/>
          <w:bCs/>
          <w:color w:val="000000"/>
          <w:sz w:val="24"/>
        </w:rPr>
      </w:r>
      <w:r/>
    </w:p>
    <w:p>
      <w:pPr>
        <w:pStyle w:val="627"/>
        <w:ind w:firstLine="480"/>
        <w:spacing w:line="300" w:lineRule="auto"/>
        <w:widowControl/>
        <w:rPr>
          <w:rFonts w:hint="eastAsia" w:ascii="仿宋" w:hAnsi="仿宋" w:eastAsia="仿宋" w:cs="仿宋"/>
          <w:i/>
          <w:iCs/>
          <w:color w:val="000000"/>
          <w:sz w:val="24"/>
          <w:u w:val="single"/>
        </w:rPr>
      </w:pPr>
      <w:r>
        <w:rPr>
          <w:rFonts w:hint="eastAsia" w:ascii="仿宋" w:hAnsi="仿宋" w:eastAsia="仿宋" w:cs="仿宋"/>
          <w:i/>
          <w:iCs/>
          <w:color w:val="000000"/>
          <w:sz w:val="24"/>
          <w:u w:val="single"/>
        </w:rPr>
        <w:t xml:space="preserve">（1）</w:t>
      </w:r>
      <w:r>
        <w:rPr>
          <w:rFonts w:hint="eastAsia" w:ascii="仿宋" w:hAnsi="仿宋" w:eastAsia="仿宋" w:cs="仿宋"/>
          <w:b/>
          <w:color w:val="000000"/>
          <w:sz w:val="24"/>
          <w:u w:val="single"/>
        </w:rPr>
        <w:t xml:space="preserve">★</w:t>
      </w:r>
      <w:r>
        <w:rPr>
          <w:rFonts w:hint="eastAsia" w:ascii="仿宋" w:hAnsi="仿宋" w:eastAsia="仿宋" w:cs="仿宋"/>
          <w:i/>
          <w:iCs/>
          <w:color w:val="000000"/>
          <w:sz w:val="24"/>
          <w:u w:val="single"/>
        </w:rPr>
        <w:t xml:space="preserve">在各阶段内容交付完成后，提供至少软件（含数据工程）运维3年、监测设备3年质保，且软件运维和设备质保期间发生的任何异常故障和损坏(人为损坏除外)引起的费用应由中标人负责。（提供承诺函并加盖投标人公章，不提供作无效投标处理，格式自拟）</w:t>
      </w:r>
      <w:r>
        <w:rPr>
          <w:rFonts w:hint="eastAsia" w:ascii="仿宋" w:hAnsi="仿宋" w:eastAsia="仿宋" w:cs="仿宋"/>
          <w:i/>
          <w:iCs/>
          <w:color w:val="000000"/>
          <w:sz w:val="24"/>
          <w:u w:val="single"/>
        </w:rPr>
      </w:r>
      <w:r/>
    </w:p>
    <w:p>
      <w:pPr>
        <w:pStyle w:val="627"/>
        <w:ind w:firstLine="480"/>
        <w:spacing w:line="300" w:lineRule="auto"/>
        <w:widowControl/>
        <w:rPr>
          <w:rFonts w:hint="eastAsia" w:ascii="仿宋" w:hAnsi="仿宋" w:eastAsia="仿宋" w:cs="仿宋"/>
          <w:i/>
          <w:iCs/>
          <w:color w:val="000000"/>
          <w:sz w:val="24"/>
          <w:u w:val="single"/>
        </w:rPr>
      </w:pPr>
      <w:r>
        <w:rPr>
          <w:rFonts w:hint="eastAsia" w:ascii="仿宋" w:hAnsi="仿宋" w:eastAsia="仿宋" w:cs="仿宋"/>
          <w:i/>
          <w:iCs/>
          <w:color w:val="000000"/>
          <w:sz w:val="24"/>
          <w:u w:val="single"/>
        </w:rPr>
        <w:t xml:space="preserve">（2）</w:t>
      </w:r>
      <w:r>
        <w:rPr>
          <w:rFonts w:hint="eastAsia" w:ascii="仿宋" w:hAnsi="仿宋" w:eastAsia="仿宋" w:cs="仿宋"/>
          <w:b/>
          <w:color w:val="000000"/>
          <w:sz w:val="24"/>
          <w:u w:val="single"/>
        </w:rPr>
        <w:t xml:space="preserve">★</w:t>
      </w:r>
      <w:r>
        <w:rPr>
          <w:rFonts w:hint="eastAsia" w:ascii="仿宋" w:hAnsi="仿宋" w:eastAsia="仿宋" w:cs="仿宋"/>
          <w:i/>
          <w:iCs/>
          <w:color w:val="000000"/>
          <w:sz w:val="24"/>
          <w:u w:val="single"/>
        </w:rPr>
        <w:t xml:space="preserve">中标人必须保证投标所涉及的产品不涉及版权问题，否则一切后果由中标人承担。（提供承诺函并加盖投标人公章，不提供作无效投标处理，格式自拟）</w:t>
      </w:r>
      <w:r>
        <w:rPr>
          <w:rFonts w:hint="eastAsia" w:ascii="仿宋" w:hAnsi="仿宋" w:eastAsia="仿宋" w:cs="仿宋"/>
          <w:i/>
          <w:iCs/>
          <w:color w:val="000000"/>
          <w:sz w:val="24"/>
          <w:u w:val="single"/>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（3）软件运维和设备质保期内所提供运维、技术服务涉及的费用含在本次报价中。</w:t>
      </w:r>
      <w:r>
        <w:rPr>
          <w:rFonts w:hint="eastAsia" w:ascii="仿宋" w:hAnsi="仿宋" w:eastAsia="仿宋" w:cs="仿宋"/>
          <w:color w:val="000000"/>
          <w:sz w:val="24"/>
        </w:rPr>
      </w:r>
      <w:r/>
    </w:p>
    <w:p>
      <w:pPr>
        <w:pStyle w:val="627"/>
        <w:ind w:firstLine="480"/>
        <w:spacing w:line="300" w:lineRule="auto"/>
        <w:widowControl/>
        <w:rPr>
          <w:rFonts w:hint="eastAsia" w:ascii="仿宋" w:hAnsi="仿宋" w:eastAsia="仿宋" w:cs="仿宋"/>
          <w:color w:val="000000"/>
          <w:sz w:val="24"/>
        </w:rPr>
        <w:outlineLvl w:val="2"/>
      </w:pPr>
      <w:r>
        <w:rPr>
          <w:rFonts w:hint="eastAsia" w:ascii="仿宋" w:hAnsi="仿宋" w:eastAsia="仿宋" w:cs="仿宋"/>
          <w:color w:val="000000"/>
          <w:sz w:val="24"/>
        </w:rPr>
        <w:t xml:space="preserve">（4）根据本项目的需求和特点，提供合理可行的售后服务方案。</w:t>
      </w:r>
      <w:r>
        <w:rPr>
          <w:rFonts w:hint="eastAsia" w:ascii="仿宋" w:hAnsi="仿宋" w:eastAsia="仿宋" w:cs="仿宋"/>
          <w:color w:val="000000"/>
          <w:sz w:val="24"/>
        </w:rPr>
      </w:r>
      <w:r/>
    </w:p>
    <w:p>
      <w:pPr>
        <w:pStyle w:val="658"/>
        <w:ind w:left="0" w:firstLine="480"/>
        <w:spacing w:after="0" w:line="300" w:lineRule="auto"/>
        <w:rPr>
          <w:rFonts w:hint="eastAsia" w:ascii="仿宋" w:hAnsi="仿宋" w:eastAsia="仿宋" w:cs="仿宋"/>
          <w:color w:val="000000"/>
          <w:sz w:val="24"/>
        </w:rPr>
      </w:pPr>
      <w:r>
        <w:rPr>
          <w:rFonts w:hint="eastAsia" w:ascii="仿宋" w:hAnsi="仿宋" w:eastAsia="仿宋" w:cs="仿宋"/>
          <w:i/>
          <w:iCs/>
          <w:color w:val="000000"/>
          <w:sz w:val="24"/>
          <w:u w:val="single"/>
        </w:rPr>
        <w:t xml:space="preserve">（5）</w:t>
      </w:r>
      <w:r>
        <w:rPr>
          <w:rFonts w:hint="eastAsia" w:ascii="仿宋" w:hAnsi="仿宋" w:eastAsia="仿宋" w:cs="仿宋"/>
          <w:b/>
          <w:color w:val="000000"/>
          <w:sz w:val="24"/>
          <w:u w:val="single"/>
        </w:rPr>
        <w:t xml:space="preserve">★</w:t>
      </w:r>
      <w:r>
        <w:rPr>
          <w:rFonts w:hint="eastAsia" w:ascii="仿宋" w:hAnsi="仿宋" w:eastAsia="仿宋" w:cs="仿宋"/>
          <w:i/>
          <w:iCs/>
          <w:color w:val="000000"/>
          <w:sz w:val="24"/>
          <w:u w:val="single"/>
        </w:rPr>
        <w:t xml:space="preserve">采购人有权对中标人提供的各项服务或设备参数进行测试及验证，如与响应参数不符，按照相关政策、法规处理。供应商提供承诺配合采购人测试并愿意承担有关责任（投标人提供承诺函并加盖投标人公章，不提供作无效投标处理，格式自拟）。</w:t>
      </w:r>
      <w:r>
        <w:rPr>
          <w:rFonts w:hint="eastAsia" w:ascii="仿宋" w:hAnsi="仿宋" w:eastAsia="仿宋" w:cs="仿宋"/>
          <w:color w:val="000000"/>
          <w:sz w:val="24"/>
        </w:rPr>
      </w:r>
      <w:r/>
    </w:p>
    <w:p>
      <w:pPr>
        <w:pStyle w:val="658"/>
        <w:ind w:left="0" w:firstLine="480"/>
        <w:spacing w:after="0" w:line="300" w:lineRule="auto"/>
        <w:rPr>
          <w:rFonts w:hint="eastAsia" w:ascii="仿宋" w:hAnsi="仿宋" w:eastAsia="仿宋" w:cs="仿宋"/>
          <w:i/>
          <w:iCs/>
          <w:color w:val="000000"/>
          <w:sz w:val="24"/>
          <w:u w:val="single"/>
        </w:rPr>
      </w:pPr>
      <w:r>
        <w:rPr>
          <w:rFonts w:hint="eastAsia" w:ascii="仿宋" w:hAnsi="仿宋" w:eastAsia="仿宋" w:cs="仿宋"/>
          <w:i/>
          <w:iCs/>
          <w:color w:val="000000"/>
          <w:sz w:val="24"/>
          <w:u w:val="single"/>
        </w:rPr>
        <w:t xml:space="preserve">（6）</w:t>
      </w:r>
      <w:r>
        <w:rPr>
          <w:rFonts w:hint="eastAsia" w:ascii="仿宋" w:hAnsi="仿宋" w:eastAsia="仿宋" w:cs="仿宋"/>
          <w:b/>
          <w:color w:val="000000"/>
          <w:sz w:val="24"/>
          <w:u w:val="single"/>
        </w:rPr>
        <w:t xml:space="preserve">★</w:t>
      </w:r>
      <w:r>
        <w:rPr>
          <w:rFonts w:hint="eastAsia" w:ascii="仿宋" w:hAnsi="仿宋" w:eastAsia="仿宋" w:cs="仿宋"/>
          <w:i/>
          <w:iCs/>
          <w:color w:val="000000"/>
          <w:sz w:val="24"/>
          <w:u w:val="single"/>
        </w:rPr>
        <w:t xml:space="preserve">投标人需承诺在本项目建设期间及软件运维期内免费完成与市县一体化数据对接工作（按照省厅下发的省市数据对接标准与市级城市生命线平台进行数据对接），包括但不限于既有数据的录入（如各专项基础信息表等）与治理、对接，并配合采购人完成城市生命线相关考核工作。（投标人提供承诺函并加盖投标人公章，不提供作无效投标处理，格式自拟）。</w:t>
      </w:r>
      <w:r>
        <w:rPr>
          <w:rFonts w:hint="eastAsia" w:ascii="仿宋" w:hAnsi="仿宋" w:eastAsia="仿宋" w:cs="仿宋"/>
          <w:i/>
          <w:iCs/>
          <w:color w:val="000000"/>
          <w:sz w:val="24"/>
          <w:u w:val="single"/>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7）为保障项目的顺利实施，投标人应合理成立本项目的实施团队，确保有效人力和物力的投入。项目实施团队应由项目负责人、技术负责人、项目组实施团队成员组成。项目负责人须具有丰富的项目管理及运维服务工作经验，项目负责人全程负责本项目工作，不得无故更换，项目组成员一经确认，如需变更需征得采购人书面批准。</w:t>
      </w:r>
      <w:r>
        <w:rPr>
          <w:rFonts w:hint="eastAsia" w:ascii="仿宋" w:hAnsi="仿宋" w:eastAsia="仿宋" w:cs="仿宋"/>
          <w:color w:val="000000"/>
          <w:sz w:val="24"/>
        </w:rPr>
      </w:r>
      <w:r/>
    </w:p>
    <w:p>
      <w:pPr>
        <w:pStyle w:val="627"/>
        <w:ind w:firstLine="480"/>
        <w:spacing w:line="300" w:lineRule="auto"/>
        <w:widowControl/>
        <w:rPr>
          <w:rFonts w:ascii="仿宋" w:hAnsi="仿宋" w:eastAsia="仿宋" w:cs="仿宋"/>
          <w:color w:val="000000"/>
          <w:sz w:val="24"/>
        </w:rPr>
      </w:pPr>
      <w:r>
        <w:rPr>
          <w:rFonts w:hint="eastAsia" w:ascii="仿宋" w:hAnsi="仿宋" w:eastAsia="仿宋" w:cs="仿宋"/>
          <w:color w:val="000000"/>
          <w:sz w:val="24"/>
        </w:rPr>
        <w:t xml:space="preserve">（8）由于项目要求高质量、高标准，且工期紧迫，为保障项目交付质量与后期的对接效率和质量，供应商需具备相关建设经验、开发能力、交付能力、相关领域研究实力等，以支撑采购人高效率完成项目建设与对接，避免在建设过程中浪费人力与时间。</w:t>
      </w:r>
      <w:r>
        <w:rPr>
          <w:rFonts w:ascii="仿宋" w:hAnsi="仿宋" w:eastAsia="仿宋" w:cs="仿宋"/>
          <w:color w:val="000000"/>
          <w:sz w:val="24"/>
        </w:rPr>
      </w:r>
      <w:r/>
    </w:p>
    <w:p>
      <w:pPr>
        <w:pStyle w:val="627"/>
        <w:ind w:firstLine="482"/>
        <w:spacing w:line="300" w:lineRule="auto"/>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五、安全保密要求</w:t>
      </w:r>
      <w:r>
        <w:rPr>
          <w:rFonts w:hint="eastAsia" w:ascii="仿宋" w:hAnsi="仿宋" w:eastAsia="仿宋" w:cs="仿宋"/>
          <w:b/>
          <w:bCs/>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r>
        <w:rPr>
          <w:rFonts w:hint="eastAsia" w:ascii="仿宋" w:hAnsi="仿宋" w:eastAsia="仿宋" w:cs="仿宋"/>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2）同时，中标人驻场人员及与本项目有关的工作人员应签订保密承诺书，承诺内容需得到采购人认可。若中标人驻场及与本项目有关的工作人员因岗位或工作变动发生调整，中标人应将变动调整情况及时告知采购人，并保证上述人员仍应履行保密要求。</w:t>
      </w:r>
      <w:r>
        <w:rPr>
          <w:rFonts w:hint="eastAsia" w:ascii="仿宋" w:hAnsi="仿宋" w:eastAsia="仿宋" w:cs="仿宋"/>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（3）中标人应将合同、保密协议一并提交给采购人。因中标人泄密给采购人造成的损失，由中标人承担所有赔偿及连带责任。</w:t>
      </w:r>
      <w:r>
        <w:rPr>
          <w:rFonts w:hint="eastAsia" w:ascii="仿宋" w:hAnsi="仿宋" w:eastAsia="仿宋" w:cs="仿宋"/>
          <w:color w:val="000000"/>
          <w:sz w:val="24"/>
        </w:rPr>
      </w:r>
      <w:r/>
    </w:p>
    <w:p>
      <w:pPr>
        <w:pStyle w:val="627"/>
        <w:ind w:firstLine="482"/>
        <w:spacing w:line="300" w:lineRule="auto"/>
        <w:rPr>
          <w:rFonts w:hint="eastAsia" w:ascii="仿宋" w:hAnsi="仿宋" w:eastAsia="仿宋" w:cs="仿宋"/>
          <w:b/>
          <w:bCs/>
          <w:color w:val="000000"/>
          <w:sz w:val="24"/>
          <w:highlight w:val="yellow"/>
        </w:rPr>
        <w:outlineLvl w:val="1"/>
      </w:pPr>
      <w:r>
        <w:rPr>
          <w:rFonts w:hint="eastAsia" w:ascii="仿宋" w:hAnsi="仿宋" w:eastAsia="仿宋" w:cs="仿宋"/>
          <w:b/>
          <w:bCs/>
          <w:color w:val="000000"/>
          <w:sz w:val="24"/>
          <w:highlight w:val="yellow"/>
        </w:rPr>
        <w:t xml:space="preserve">六、验收要求</w:t>
      </w:r>
      <w:r>
        <w:rPr>
          <w:rFonts w:hint="eastAsia" w:ascii="仿宋" w:hAnsi="仿宋" w:eastAsia="仿宋" w:cs="仿宋"/>
          <w:b/>
          <w:bCs/>
          <w:color w:val="000000"/>
          <w:sz w:val="24"/>
          <w:highlight w:val="yellow"/>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highlight w:val="yellow"/>
        </w:rPr>
        <w:t xml:space="preserve">采购人根据《国家政务信息化项目建设管理办法》《盐城市信息化项目审批“一件事”试点工作建设指南（2024）》有关规定、招标文件、中标人的投标文件、财务相关规定以及合同约定的内容和验收标准进行验收。因服务的质量问题发生争议的，应当邀请国家认可的质量检测机构对服务质量进行鉴定。符合标准的，鉴定费由招标人承担；不符合标准的，鉴定费由投标人承担。投标人要接受招标人确认的具有客观、公平、公正、具有良好职业操守的监理单位的监督管理。</w:t>
      </w:r>
      <w:r>
        <w:rPr>
          <w:rFonts w:hint="eastAsia" w:ascii="仿宋" w:hAnsi="仿宋" w:eastAsia="仿宋" w:cs="仿宋"/>
          <w:color w:val="000000"/>
          <w:sz w:val="24"/>
        </w:rPr>
      </w:r>
      <w:r/>
    </w:p>
    <w:p>
      <w:pPr>
        <w:pStyle w:val="627"/>
        <w:ind w:firstLine="482"/>
        <w:spacing w:line="300" w:lineRule="auto"/>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七、知识产权要求</w:t>
      </w:r>
      <w:r>
        <w:rPr>
          <w:rFonts w:hint="eastAsia" w:ascii="仿宋" w:hAnsi="仿宋" w:eastAsia="仿宋" w:cs="仿宋"/>
          <w:b/>
          <w:bCs/>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中标人应保证采购人在使用、接受本合同中服务或其任何一部分时不受第三方提出侵犯其专利权、版权、商标权和工业设计权等知识产权的起诉。一旦出现侵权，由中标人负全部责任，既包括第三方的索赔责任，也包括第三方索赔给采购人造成的损失。</w:t>
      </w:r>
      <w:r>
        <w:rPr>
          <w:rFonts w:hint="eastAsia" w:ascii="仿宋" w:hAnsi="仿宋" w:eastAsia="仿宋" w:cs="仿宋"/>
          <w:color w:val="000000"/>
          <w:sz w:val="24"/>
        </w:rPr>
      </w:r>
      <w:r/>
    </w:p>
    <w:p>
      <w:pPr>
        <w:pStyle w:val="627"/>
        <w:ind w:firstLine="482"/>
        <w:spacing w:line="300" w:lineRule="auto"/>
        <w:rPr>
          <w:rFonts w:hint="eastAsia" w:ascii="仿宋" w:hAnsi="仿宋" w:eastAsia="仿宋" w:cs="仿宋"/>
          <w:b/>
          <w:bCs/>
          <w:color w:val="000000"/>
          <w:sz w:val="24"/>
        </w:rPr>
        <w:outlineLvl w:val="1"/>
      </w:pPr>
      <w:r>
        <w:rPr>
          <w:rFonts w:hint="eastAsia" w:ascii="仿宋" w:hAnsi="仿宋" w:eastAsia="仿宋" w:cs="仿宋"/>
          <w:b/>
          <w:bCs/>
          <w:color w:val="000000"/>
          <w:sz w:val="24"/>
        </w:rPr>
        <w:t xml:space="preserve">八、商务要求</w:t>
      </w:r>
      <w:r>
        <w:rPr>
          <w:rFonts w:hint="eastAsia" w:ascii="仿宋" w:hAnsi="仿宋" w:eastAsia="仿宋" w:cs="仿宋"/>
          <w:b/>
          <w:bCs/>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交货期：</w:t>
      </w:r>
      <w:r>
        <w:rPr>
          <w:rFonts w:hint="eastAsia" w:ascii="仿宋" w:hAnsi="仿宋" w:eastAsia="仿宋" w:cs="仿宋"/>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第一阶段，自合同签订生效之日起至2026年12月31日，完成年度物联网感知设备部署及监管平台建设工作，并基于省住建厅、市住建局的要求完成相关工作任务。阶段建设内容完成后组织验收，通过终验后，提供三年运维服务。</w:t>
      </w:r>
      <w:r>
        <w:rPr>
          <w:rFonts w:hint="eastAsia" w:ascii="仿宋" w:hAnsi="仿宋" w:eastAsia="仿宋" w:cs="仿宋"/>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第二阶段，自2027年1月1日起至2027年12月31日，根据采购人实际需求并经确认后完成剩余物联网感知设备部署及配套建设，并基于省住建厅、市住建局的要求完成相关工作任务。阶段建设内容完成后组织验收，通过终验后，提供三年运维服务。</w:t>
      </w:r>
      <w:r>
        <w:rPr>
          <w:rFonts w:hint="eastAsia" w:ascii="仿宋" w:hAnsi="仿宋" w:eastAsia="仿宋" w:cs="仿宋"/>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具体交货安排，需根据采购人实际需求调整。</w:t>
      </w:r>
      <w:r>
        <w:rPr>
          <w:rFonts w:hint="eastAsia" w:ascii="仿宋" w:hAnsi="仿宋" w:eastAsia="仿宋" w:cs="仿宋"/>
          <w:color w:val="000000"/>
          <w:sz w:val="24"/>
        </w:rPr>
      </w:r>
      <w:r/>
    </w:p>
    <w:p>
      <w:pPr>
        <w:pStyle w:val="627"/>
        <w:ind w:firstLine="480"/>
        <w:spacing w:line="30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交货地点：采购人指定地点。</w:t>
      </w:r>
      <w:r>
        <w:rPr>
          <w:rFonts w:hint="eastAsia" w:ascii="仿宋" w:hAnsi="仿宋" w:eastAsia="仿宋" w:cs="仿宋"/>
          <w:color w:val="000000"/>
          <w:sz w:val="24"/>
        </w:rPr>
      </w:r>
      <w:r/>
    </w:p>
    <w:p>
      <w:pPr>
        <w:pStyle w:val="627"/>
        <w:ind w:firstLine="480"/>
        <w:spacing w:line="480" w:lineRule="exact"/>
        <w:rPr>
          <w:rFonts w:hint="eastAsia" w:ascii="仿宋" w:hAnsi="仿宋" w:eastAsia="仿宋" w:cs="仿宋"/>
          <w:color w:val="000000"/>
          <w:sz w:val="24"/>
        </w:rPr>
      </w:pPr>
      <w:r>
        <w:rPr>
          <w:rFonts w:hint="eastAsia" w:ascii="仿宋" w:hAnsi="仿宋" w:eastAsia="仿宋" w:cs="仿宋"/>
          <w:b/>
          <w:bCs/>
          <w:color w:val="000000"/>
          <w:sz w:val="24"/>
        </w:rPr>
        <w:t xml:space="preserve"> 九、</w:t>
      </w:r>
      <w:r>
        <w:rPr>
          <w:rFonts w:hint="eastAsia" w:ascii="仿宋" w:hAnsi="仿宋" w:eastAsia="仿宋" w:cs="仿宋"/>
          <w:color w:val="000000"/>
          <w:sz w:val="24"/>
        </w:rPr>
        <w:t xml:space="preserve">本项目咨询服务费用:中标人(成交供应商)与采购人签订合同前，须向第三方咨询公司支付咨询服务费用（咨询服务费参照苏政采协[2024]20号文件）。</w:t>
      </w:r>
      <w:r>
        <w:rPr>
          <w:rFonts w:hint="eastAsia" w:ascii="仿宋" w:hAnsi="仿宋" w:eastAsia="仿宋" w:cs="仿宋"/>
          <w:color w:val="000000"/>
          <w:sz w:val="24"/>
        </w:rPr>
      </w:r>
      <w:r/>
    </w:p>
    <w:p>
      <w:pPr>
        <w:pStyle w:val="627"/>
        <w:numPr>
          <w:ilvl w:val="12"/>
          <w:numId w:val="0"/>
        </w:numPr>
        <w:ind w:firstLine="482"/>
        <w:spacing w:line="300" w:lineRule="auto"/>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十、技术要求</w:t>
      </w:r>
      <w:r>
        <w:rPr>
          <w:rFonts w:hint="eastAsia" w:ascii="仿宋" w:hAnsi="仿宋" w:eastAsia="仿宋" w:cs="仿宋"/>
          <w:b/>
          <w:bCs/>
          <w:color w:val="000000"/>
          <w:sz w:val="24"/>
        </w:rPr>
      </w:r>
      <w:r/>
    </w:p>
    <w:p>
      <w:pPr>
        <w:pStyle w:val="627"/>
        <w:rPr>
          <w:rFonts w:hint="eastAsia" w:ascii="仿宋" w:hAnsi="仿宋" w:eastAsia="仿宋" w:cs="仿宋"/>
          <w:color w:val="000000"/>
          <w:sz w:val="24"/>
        </w:rPr>
      </w:pPr>
      <w:r>
        <w:rPr>
          <w:rFonts w:hint="eastAsia" w:ascii="仿宋" w:hAnsi="仿宋" w:eastAsia="仿宋" w:cs="仿宋"/>
          <w:color w:val="000000"/>
          <w:sz w:val="24"/>
        </w:rPr>
        <w:t xml:space="preserve">第一阶段：</w:t>
      </w:r>
      <w:r>
        <w:rPr>
          <w:rFonts w:hint="eastAsia" w:ascii="仿宋" w:hAnsi="仿宋" w:eastAsia="仿宋" w:cs="仿宋"/>
          <w:color w:val="000000"/>
          <w:sz w:val="24"/>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434"/>
        <w:gridCol w:w="720"/>
        <w:gridCol w:w="808"/>
        <w:gridCol w:w="905"/>
        <w:gridCol w:w="4692"/>
        <w:gridCol w:w="435"/>
        <w:gridCol w:w="435"/>
      </w:tblGrid>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一、硬件建设部分</w:t>
            </w:r>
            <w:r>
              <w:rPr>
                <w:rFonts w:hint="eastAsia" w:ascii="宋体" w:hAnsi="宋体" w:eastAsia="宋体" w:cs="宋体"/>
                <w:b/>
                <w:bCs/>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设备名称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详细功能参数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1.1、排水（雨水）专项硬件建设</w:t>
            </w:r>
            <w:r>
              <w:rPr>
                <w:rFonts w:hint="eastAsia" w:ascii="宋体" w:hAnsi="宋体" w:eastAsia="宋体" w:cs="宋体"/>
                <w:b/>
                <w:bCs/>
                <w:color w:val="000000"/>
                <w:sz w:val="20"/>
                <w:szCs w:val="20"/>
              </w:rPr>
            </w:r>
            <w:r/>
          </w:p>
        </w:tc>
      </w:tr>
      <w:tr>
        <w:trPr>
          <w:trHeight w:val="26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电子水尺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1）监测原理：微弱感应式测量；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2）设备通信方式：NB-IoT；</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3）配置方式：支持蓝牙、App、平台远程配置；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4）量程：0-1.2m；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5）精度: ±1cm；分辨率1cm；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6）采集上传频率：无积水8小时上报心跳；有积水5min采集上传；</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7）防护等级：IP68（72h）；</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8）终端工作温度：-20℃～70℃；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9）相对湿度：0~100%；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10）供电方式:内置电池供电,3.6V,10AH；</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11）待机功率：＜100μA/3.6V；</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r>
      <w:tr>
        <w:trPr>
          <w:trHeight w:val="6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1、像素均不小于400万，内置1/1.8英寸CMOS；</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2、内置4.8mm～154mm镜头焦距镜头，光圈≥F1.0，支持32倍光学变倍；</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3、▲在实时低功耗模式下，平台可在6s内（含）将样机唤醒至常态模式；</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4、▲内置RS485接口，支持接入太阳能电池系统、雨量传感器、水位传感器、流速传感器；</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5、▲具有实时低功耗模式，实时低功耗模式运行，功耗≤3W，支持1秒1帧码流录像；在实时低功耗模式下，可在绊线入侵或区域入侵触发后0.1s内唤醒样机至常规性能模式；</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6、支持标准水位标尺识别，支持虚拟水位标尺识别，支持水位超出上下限报警，支持水位数据定时推送，支持检测区域内水面漂浮物堆积面积占比检测，支持排水口检测；</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7、可通过平台客户端进行4G远程web端登录和远程运维操作，可进行相机图像配置、智能配置、网络配置、平台配置、设备升级、云台控制等；</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8、支持DC12V±10%宽电压输入；</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9、支持IP66防护等级；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液位计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1.测量量程：0~5m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2.测量精度：优于全量程的1%</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3.通信方式：NB-IoT/2G/3G/4G</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4.供电方式：一次性锂电池，3.6VDC，≥35AH</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视频监控供电开户、接电安装及电费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含排水（雨水）专项涉及所有视频监控的供电开户手续、接电安装人工材料打包费用及质保、建设期和质保期内的所有电费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包括但不限于排水（雨水）专项硬件建设所有的软硬件辅材、安装、调试、网络、质保、培训、运输、配合、协调、安装现场破坏及恢复等费用，总价包干。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1.2、桥梁专项硬件建设</w:t>
            </w:r>
            <w:r>
              <w:rPr>
                <w:rFonts w:hint="eastAsia" w:ascii="宋体" w:hAnsi="宋体" w:eastAsia="宋体" w:cs="宋体"/>
                <w:b/>
                <w:bCs/>
                <w:color w:val="000000"/>
                <w:sz w:val="20"/>
                <w:szCs w:val="20"/>
              </w:rPr>
            </w:r>
            <w:r/>
          </w:p>
        </w:tc>
      </w:tr>
      <w:tr>
        <w:trPr>
          <w:trHeight w:val="6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1、像素均不小于400万，内置1/1.8英寸CMOS；</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2、内置4.8mm～154mm镜头焦距镜头，光圈≥F1.0，支持32倍光学变倍；</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3、▲在实时低功耗模式下，平台可在6s内（含）将样机唤醒至常态模式；</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4、▲内置RS485接口，支持接入太阳能电池系统、雨量传感器、水位传感器、流速传感器；</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5、▲具有实时低功耗模式，实时低功耗模式运行，功耗≤3W，支持1秒1帧码流录像；在实时低功耗模式下，可在绊线入侵或区域入侵触发后0.1s内唤醒样机至常规性能模式；</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6、可通过平台客户端进行4G远程web端登录和远程运维操作，可进行相机图像配置、智能配置、网络配置、平台配置、设备升级、云台控制等；</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7、支持DC12V±10%宽电压输入；</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8、支持IP66防护等级；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52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光电挠度仪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1.集成视频采集和人工智能图像算法，毫米级多目标视觉形变高速定位追踪技术，支持非接触、远距离、全视角、高频率、全时段、长周期形变监测功能，支持最大20个标靶测量点；</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2.像素：400W像素画面，分辨率：2688×1520@30fps，H.265编码；</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3.距离：≥100m；</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4.▲内置AI抗遮挡算法，标靶被部分遮挡时通过靶标轮廓补全定位，适应复杂环境(如物体遮挡、粉尘、强光直射)的标靶识别失效问题，提升监测连续性</w:t>
            </w:r>
            <w:r>
              <w:rPr>
                <w:rFonts w:hint="eastAsia" w:ascii="宋体" w:hAnsi="宋体" w:eastAsia="宋体" w:cs="宋体"/>
                <w:color w:val="000000"/>
                <w:szCs w:val="21"/>
                <w:highlight w:val="yellow"/>
                <w:lang w:bidi="ar"/>
              </w:rPr>
              <w:t xml:space="preserve">（提供国家认可的第三方机构出具的检测报告扫描件）</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5.通信：4G、5G、2.4GWifi、网口通信</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6.接口：5G和2.4GWiFi双天线，1个1000M网口，6个USB接,5路可扩展串口(1路TTL，4路RS232)；</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具备OTA远程配置和固件更新能力。可通过云服务器查看监测数据，电池电量、联网成功率、无线信号强度、倾角姿态、空间定位、时间戳数据，支持远程修改设备采集频次传输频次、报警阈值运行参数，可OTA远程进行固件升级，可采用HTTP传输协议远程快速升级，3分钟内完成远程固件升级</w:t>
            </w:r>
            <w:r>
              <w:rPr>
                <w:rFonts w:hint="eastAsia" w:ascii="宋体" w:hAnsi="宋体" w:eastAsia="宋体" w:cs="宋体"/>
                <w:color w:val="000000"/>
                <w:szCs w:val="21"/>
                <w:highlight w:val="yellow"/>
                <w:lang w:bidi="ar"/>
              </w:rPr>
              <w:t xml:space="preserve">（提供国家认可的第三方机构出具的检测报告扫描件）</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8.采集频率：默认1Hz，可选最大120Hz；</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9.防护：盐雾试验≥700小时，防护等级≥IP66；</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10.EMC电磁兼容。</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11.标靶波长：850nm光电标靶；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55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振弦式应变计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1）量程:±1200με；</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2）精度:±0.1％F.S；</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3）温度范围:-20℃～+80℃；</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4）测温精度:±0.5℃；</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5）标距:150mm；</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6）出线方式：单端出线；</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7）线缆：默认线长2米。</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r>
      <w:tr>
        <w:trPr>
          <w:trHeight w:val="62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综合采集仪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1.多传感数据采集、数据存储、通信、边缘计算等功能的智能边缘终端；</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2.接口：RS485x1；RS232x1（可转为RS485或TTL）；AIx2（4～20mA和0～10V）用于模拟量输入；DIx1；继电器x1；电源输出x3（3.3V、5V、12V）；</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3.倾角：量程0～180°（±90°），精度≤±0.5°，分辨率≤0.01°；</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4.温度：无触点温度，量程-40℃～+125℃,精度≤±0.2℃；</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5.湿度：量程0～100%RH，分辨率≤1%RH；</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6.通信：4G、蓝牙BLE5.0通信，可选5G、NB-IoT、LoRa通信；</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7.电源：供电9～28VDC；</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8.处理器：≥32位，≥80MHz主频国产化微处理器；</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9.存储：≥250万条数据，≥256MFlash国产存储芯片，数据黑匣子系统；</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10.加密：≥1颗国产化加密芯片；</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11.安全：动态会话密钥加密，传输链路级可信时间戳；</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12.软件：搭载ECJE智能边缘终端嵌入式系统，嵌入AI智能算法，实现标准风险等级的分析与预警信息的发布；</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设备功能：多功能边缘计算分析、多类型传感兼容与联动报警、多协议自适应兼容、PC电脑端批量设备调试及一键复位功能、离线存储与断点续传功能、远程定位、多中心节点通信网络架构、异动防盗报警、OTA远程快速配置和固件更新、设备联网与健康监测功能；</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14.防护：盐雾试验报告≥700小时，防护等级报告≥IP33；</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▲15.环境：环境试验报告≥高温80℃和低温≤-40℃，温度冲击次数报告≥30次，高空跌落试验报告≥2米；EMC电磁兼容报告；</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综合采集站包括相关模块、配电箱等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视频监控供电开户、接电安装及电费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含桥梁专项涉及所有视频监控的供电开户手续、接电安装人工材料打包费用及质保、建设期和质保期内的所有电费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包括但不限于桥梁专项硬件建设所有的软硬件辅材、安装、调试、网络、质保、培训、运输、配合、协调、安装现场破坏及恢复等费用，总价包干。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二、软件购置费用</w:t>
            </w:r>
            <w:r>
              <w:rPr>
                <w:rFonts w:hint="eastAsia" w:ascii="宋体" w:hAnsi="宋体" w:eastAsia="宋体" w:cs="宋体"/>
                <w:b/>
                <w:bCs/>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2.1、成品支撑平台软件</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restart"/>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地理信息平台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二维GIS引擎</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（1）创建、共享和使用地图：可以创建供水、雨水、污水、燃气等应用场景专题图，为监管系统行业应用提供专题图服务。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（2）创建和管理地理数据库：能够设计、创建、维护和使用地理数据库。</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（3）二次开发API：提供一组应用程序编程接口（API）和软件开发工具包（SDK），以及代码实例库。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三维GIS引擎</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多源地理信息数据处理：提供监管系统涉及的多源地理信息数据处理工具，包括地形切片、影像切片、人工模型切片、倾斜模型转换、矢量数据切片、BIM数据处理等，将原始数据转换成统一标准的三维应用格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（2）三维场景服务管理：主要用于对服务端的三维场景服务数据进行配置，组织场景目录树，生成场景工程文件，实现三维数据服务的集中管理。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三维浏览组件：为满足监管系统三维场景应用需求，三维GIS引擎具备TB级倾斜摄影建模数据在三维场景中快速加载、实时渲染的能力，实现高精度激光点云数据的快速加载与流畅显示，同时支持对点云数据设置颜色表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业务中台-基础业务能力集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资源中心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进行管控资源统一配置。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一、资源对象管理：支持用户在系统中定义资源对象，对定义的资源对象进行添加、编辑、删除资源属性。每个属性包括属性名称、属性类型、属性默认值等信息。系统支持多种属性类型，如文本、数字、日期、下拉框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二、资源管理：针对某个资源对象创建资源实例，维护资源信息，补充资源属性字段值。</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二、资源管理：支持用户可以对资源进行创建、编辑、删除、查看等操作，实现对资源的全面管理。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流程中心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为射阳县生命线监管系统提供通用的流程管理，包括工作流定义、管理和监控功能。由建模工具和运行引擎两部分组成，建模工具主要实现对业务分析、过程建模的功能；运行平台主要实现具体业务活动的任务驱动、流程跳转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1、模型定义：能够根据需求自定义绘制流程，流程节点可以配置加签、知会、回退功能，并成功调用，各个三方专项应用都需要使用的工具。</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2、流程实例监控：对流程实例进行监控与修改，可根据实际情况对运行的流程实例进行干预调整。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事件中心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为射阳县生命线监管系统提供定义标准的事件格式和通用基础字段，提供全系统统一的事件管理和处理机制。具体功能包括包括事件类型管理、事件数据管理等。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1、事件类型配置：通过事件类型配置，可以定义事件的基本信息和接收topic。</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2、事件管理：查询事件中心接收到的kafka事件列表。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1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消息中心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为射阳县生命线监管系统提供各种消息类型的汇集点，并发送给接收方。具体功能包括消息模板管理、全链路追踪、渠道账号管理、敏感词管理等。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1、渠道账号管理：提供短信、邮件、内部消息等消息通道的基本信息配置。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2、消息模板管理：用于管理和维护消息模板列表，方便用户创建、编辑和删除消息模板。通过消息模板列表管理，用户可以灵活地定义和管理不同类型的消息模板，以便在发送消息时进行选择和使用。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3、发送操作查询：业务系统调用消息中心发送消息接口的操作记录查询。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4.消息明细查询：消息中心对接收者发送的消息明细记录，可以看到发送到某个人的详细记录。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5、短信下发查询：针对短信不同运营商，有些运营商提供了回执查询的操作，而且短信作为付费发送，单独将短信下发数据做了查询功能，便于跟踪。</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6.敏感词管理：用于发送消息时，针对消息标题和消息内容中存在的敏感词进行脱敏，避免发生违规行为。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日志中心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精确地记录用户的各类日志，日志类型分为系统日志、服务日志、操作日志、安全日志。具体功能包括日志生成、日志采集、日志查询等。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1、日志查询：对具有统一格式的本地日志文本，采用日志采集工具解析和采集，提供可视化界面供使用人员对日志进行查询和分析。</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2、安全日志查询：查询系统的每个登录操作，包括登录日期、用户名称、结果等，便于管理人员及时了解系统的登录情况。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报表引擎</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为射阳县生命线监管系统提供完整的报表管理，实现各类分析报表的快速定制、生成和数据分析。具体功能包括报表定制、报表生成、报表发布、报表模板等。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报表定制：报表引擎采用类Excel的可视化网格式编辑方案绘制出复杂表样；报表定制工具支持VastBase、mysql、Oracle、SqlServer、PostgreSQL、DB2等主流数据库。提供丰富的聚类统计和拟合算法，包括统计函数、行号函数、日期函数、数学函数、字符串函数、判断函数函数库列表和一些基本运算符等。同时支持报表查询条件与参数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2、报表分享：支持通过“分享”创建分享链接，将报表链接分享给客户或同事。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3、报表模板：提供设置报表模板功能，即设计好的报表框架和格式可以被多次使用和修改，以便在以后的时间内生成类似的报表。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4、报表导出：支持将原始报表转换为易于阅读和处理的文件格式，即多种报表导出格式，如Excel、PDF、图片等。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配置中心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采用分系统配置模式解决射阳县生命线监管系统的每个专项应用配置数据分散存储不宜管理的问题。具体功能包括配置项管理、微服务注册、历史配置查询等。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1、命名空间管理：帮助用户逻辑隔离多个命名空间，这可以帮助用户更好地管理测试、预发、生产等多环境服务和配置，让每个环境的同一个配置（如数据库数据源）可以定义不同的值。</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2、服务注册：开发者或者运维人员需要在服务注册后，通过友好的界面来查看服务的注册情况，包括当前系统注册的所有服务和每个服务的详情。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3、配置管理：支持基于Namespace和Group的配置分组管理，以便用户更灵活地根据自己的需要按照环境或者应用、模块等分组管理微服务以及Spring的大量配置。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规则引擎</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将射阳县生命线监管系统中的业务决策从应用程序代码中分离出来，并使用预定义的语义模块编写业务决策。接受数据输入，解释业务规则，并根据规则做出业务决策。在系统中为流程引擎、事件中心等提供规则支撑。</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1、创建规则：通过定义规则模型、创建规则集和定义规则来配置规则引擎，在项目中根据业务需求添加决策集、决策表、决策树、决策流等规则模型。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2、使用规则：在应用程序中调用规则引擎来执行规则。通过初始化规则引擎加载规则集和规则；在执行规则之前，设置规则的输入数据；执行规则后，可以获取规则的输出结果。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三、定制软件开发</w:t>
            </w:r>
            <w:r>
              <w:rPr>
                <w:rFonts w:hint="eastAsia" w:ascii="宋体" w:hAnsi="宋体" w:eastAsia="宋体" w:cs="宋体"/>
                <w:b/>
                <w:bCs/>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3.1、城市生命线-综合监管平台</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43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综合监管平台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全县综合概览总图-综合监管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1、风险评估：① 风险评估总览：展示全县风险评估覆盖率以及风险管控率；② 风险等级：根据各风险等级展示对应风险管控率；③ 风险行业分布：以行业维度展示各行业风险评估覆盖率以及管控率。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2、隐患整改：① 风险评估总览：展示全县隐患总数、已整改数量、整改率；② 专项隐患整改情况：展示各专项（燃气、排水防涝、桥梁、道路）隐患总数、整改率；③ 隐患趋势：展示全县隐患趋势。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3、巡检巡查：① 巡检总览：展示全县各行业巡检计划完成率以及巡检问题处置率；② 专项巡检情况：根据专项展示各专项计划完成率以及问题处置率。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4、行业基础信息概览：专项维度展示各专项主要监管对象以及对应数量，鼠标移动至对应专项标题展示对应专项具体信息（包含：燃气、供水、排水防涝、污水、桥梁、道路、第三方施工、地下管线）。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5、地图交互：点击专项标题或监管对象地图展示监管对象分布</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6、监测统计：将城市生命线监测设备数量以及在线情况进行呈现。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1）全县总览：展示全县各专项监测设备总数以及在线率；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2）专项统计：以专项维度展示各专项监测设备总数以及在线率（包括：供水、燃气、污水、排水防涝、第三方施工、桥梁、道路）；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7、数据更新弹窗：点击“数据更新”按钮，地图模块展示数据更新弹窗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8、信息管理：可以管理城市基础设施信息，可以管理公共服务资源信息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全县综合概览总图-地图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展现全县地图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全县综合概览总图-报警、预警、突发事件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1、报警处置跟踪：① 报警统计：以展示今日一级报警总数、处置中数量、已处置数量；② 报警流程、分级：点击“？”按钮展示报警流程、分级弹窗；③ 地图交互：点击数字，地图展示对应报警撒点；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2、预警处置跟踪：① 报警统计：以展示今日预警总数、处置中数量、已处置数量；② 报警流程、分级：点击“？”按钮展示预警流程、分级弹窗；③ 地图交互：以点击数字地图展示对应预警撒点；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3、突发事件处置跟踪：① 突发事件统计：以展示今日突发事件总数、处置中数量、已处置数量；② 突发事件响应流程：点击“？”按钮展示突发事件响应流程；③ 地图交互：以点击数字地图展示对应预警撒点；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4、事件列表：以列表形式展示今日一级报警、预警、突发事件；① 地图交互：点击“位置”按钮地图展示对应事件弹窗以及撒点；② 事件弹窗：展示突发事件详情以及处置流程，点击“联动响应”按钮跳转至协同处置页面。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全县综合概览总图-预警报警处理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将城市生命线报警、预警月度处置情况进行呈现。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1、报警（预警）总览：展示全县各专项报警总数以及处置率；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2、报警（预警）分级统计：根据报警（预警）等级展示各等级数量；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3、专项处置分析图：根据专项展示各专项一、二、三级报警（预警）数量以及处置率；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全县综合概览总图-监控视频</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城市生命线监控设备情况以及重点点位视频。</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1、监控视频总览：展示全县生命线监控视频总数、在线数量以及在线率；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2、重点点位监控：展示重点点位视频，点击可放大查看；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风险隐患子图-风险概览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以专项维度将城市生命线风险评估结果进行呈现。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风险概览：从燃气、供水、排水防涝、道路、桥梁，分别统计各专项风险总数风险已管控总数，以数值形式展示。并以饼图形式展示各专项Ⅰ-IV级风险数量。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风险隐患子图-地图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以聚合形式展示生命线风险/隐患分布情况。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1、地图图层交互（风险）：可选择对应专项查看对应专项风险分布以及处置情况；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2、地图交互（隐患）：可选择对应专项查看对应专项隐患分布以及整改情况。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风险隐患子图-隐患整改监管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以专项维度统计城市生命线隐患排查情况。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各专项隐患统计：从燃气、桥梁、道路、排水防涝，分别以数值和饼图形式统计展示各专项各等级、类型的隐患数，支持按年维度切换展示对应的内容。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风险隐患子图-整改进度</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统计城市生命线隐患整改情况。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1、隐患整改总览：按展示全县隐患总数以及处置情况；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2、隐患整改情况：按专项维度，展示隐患整改数量、未整改数量、整改完成率。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运行监测子图-运行监管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展示各日常专项运行情况。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1、燃气：分别展示瓶装气、管道气日供应情况以及运转情况；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2、排水：分别展示排水防涝、污水的运行情况；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3、供水：展示全县当日供水量以及原水、出水水质检测情况；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4、桥梁：展示桥梁监测情况以及风险桥梁整治情况；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5、道路：展示道路检测、检查完成情况；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6、三方施工：展示各状态项目的数量；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7、地下管线：展示管线汇交情况以及风险。</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运行监测子图-地图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展示日常运行情况。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地图图层交互：可选择专项查看对应专项的专项运行情况。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运行监测子图-设备检测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统计各专项设备数量以及在线率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1、专项监测设备：展示各个专项监测设备数量以及在线率；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2、监测设备类型统计：根据所选择专项，展示对应专项监测设备类型的在线率。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运行监测子图-智慧监测覆盖</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1、智慧监测设备覆盖：分别展示风险地区、重点区域、重点场所、重要设施数量以及监测设备覆盖率；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2、专项监测设备覆盖：按专项维度展示各专项智慧监测设备覆盖率。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运行监测子图-智慧监测覆盖分析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根据专项维度展示智慧监测覆盖趋势。</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巡检养护子图-巡检概览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展示巡检养护工作进展。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当前完成进度：从燃气、排水、桥梁、道路，以数值展示各专项巡检养护总数、完成数。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巡检养护子图-城市巡检概览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1、巡检总览：展示全县巡检计划、已完成数量、未完成数量；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2、专项巡检统计：以专项维度维度展示巡检完成情况。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巡检养护子图-地图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图层交互</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1、专项巡检信息：可选择选项地图展示选中专项巡检信息；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2、巡检日报：可按照日、月、年维度选择，展示巡检日（月、年）报。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巡检养护子图-养护概览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展示各专项养护情况。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1、专项养护情况：展示排水防涝、桥梁、道路养护计划以及进度；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2、养护完成情况分析：按照专项维度展示养护情况，可点击右上角专项切换展示对应专项养护情况；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应急资源一张图-预警处置方案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1、预警方案总计：展示预警处置方案总数。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2、预警处置方案列表：通过列表的方式展示全部预警处置方案，点击可查看详情。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3、预警处置方案列表：可通过右上角“筛选”按钮进行列表筛选。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应急资源一张图-应急预案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1、应急预案总览：分别展示总预案数量、专项预案数量、现场处置预案数量；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2、应急预案列表：通过列表的方式展示全部应急预案，点击可查看详情。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3、应急预案列表：可通过右上角“筛选”按钮进行列表筛选；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应急资源一张图-图层管理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1、应急资源、重大危险源、视频监控、基础设施、实时检测、重点保障对象地图撒点定位；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2、地图交互：选择图层在地图上进行撒点，点击撒点可查看详情弹窗；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3、图层交互：点击按钮切换图层类型。点击地图全县撒点。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应急资源一张图-报警、预警、突发事件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跳转至对应模块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应急资源一张图-指挥体系</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1、指挥小组：根据选中专项展示对应专项指挥小组架构点击人员可进行即时语音通话；</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2、指挥小组办公室：根据选中专项展示对应专项指挥小组办公室架构点击人员可进行即时语音通话。</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应急资源一张图-应急专家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应急专家：以数值形式展示水旱、综合交通、建设工程、城镇燃气、应急救援专家总数。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应急资源一张图-救援队伍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救援队伍：以数值形式分类展示防汛抗旱、抗震救灾、消防、道路交通、民生救援队伍数量。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应急资源一张图-应急物资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应急物资：以数值形式展示物资仓库数量、机械设备数量。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应急资源一张图-历史事件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事件列表：以列表形式展示全县全部历史突发事件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事件列表：点击定位按钮可查看事件详情</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老旧管网子图-老旧管网现状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汇聚燃气老旧管网、雨水老旧管网、污水老旧管网、供水老旧管网的长度、管龄、管材等相关老旧管网情况及统计指标。支持关键信息查看及筛选。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老旧管网子图-老旧管网改造计划</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汇聚燃气、雨水、污水、供水的老旧管网设施改造建设工程项目等关键信息及统计指标。支持关键信息查看及筛选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老旧管网子图-地理信息图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展示应急事件具体地点及影响范围，点击具体事件以弹窗形式展示事件详情信息。支持图层筛选功能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综合监督评价子图-行业监督评价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汇聚全县燃气、排水、道路、桥梁等行业工作评价得分信息及统计指标。支持关键信息查看及关键信息筛选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综合监督评价子图-城市监督评价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汇入生命线专项工作评价得分信息及统计指标。支持关键信息查看及关键信息筛选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综合监督评价子图-地理信息图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关联展示各类评价信息，支持按照行业进行分类展示，支持点击查看详细信息，支持图层筛选功能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基础设施子图-基础设施现状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基础设施现状：从燃气、雨水、污水、供水、桥梁、道路维度，以数值和饼图形式展示行业重点基础设施建设现状。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包含指标：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1、燃气：管道、运送车辆、气瓶、场站、业务人员、用户；</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2、排水防涝：雨水管渠、泵站、调蓄设施、行泄通道、主要河道；</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3、污水：重点排水户、管网总长、泵站、污水处理厂、尾水湿地、污泥处置装置；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4、供水：水源地、应急水源地、水厂、供水管网、中途增压泵站、二次供水泵房；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5、桥梁：特大桥、小桥、大桥、涵洞、中桥、其他；</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6、道路：道路总长、照明、轨道交通。</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基础设施子图-地图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专项基础设施地理位置展示。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1、基础设施：按专项类型筛选基础设施，展示基础设施统计数据；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2、管网：按专项类型筛选管网，展示对应管网分布情况；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3、老旧管网：展示老旧管网分布情况；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4、综合管廊：展示老旧管廊分布。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基础设施子图-规划项目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1、规划项目总览：展示计划项目总户数、计划投资规模、项目总投资；</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2、专项规划项目展示：展示各专项计划项目数、计划投资规模、项目总投资。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基础设施子图-年度重点项目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1、年度重点项目总览：项目总户数、投资规模、总投资；</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2、专项重点项目展示：展示各专项计划总数、投资规模、总投资。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基础设施子图-老旧管网改造</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1、老旧管网总览：展示全县老旧管网总长、计划改造总长、已改造、改造完成率；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2、年度改造进度：根据选中专项展示对应专项近4年老旧管网改造完成率。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bottom"/>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1、汇聚全县基础设施数据并以报表形式展示，报表内展示基础设施建设总体数量和分布情况；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2、报表内展示各专题业务基础设施建设总体数量和分布情况；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3、统计报表支持按专题筛选和检索；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4、支持一键导出，支持导出时进行数据筛选，指定导出范围，导出表格文件并保存在本地；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监测设备统计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1、汇聚全县监测感知设备的统计数据并以报表形式展示，报表内展示监测感知设备的总体数量和分布情况；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2、报表内展示各专题业务监测感知设备的总体数量和分布情况；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3、统计报表支持按专题筛选和检索；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4、支持一键导出，支持导出时进行数据筛选，指定导出范围，导出表格文件并保存在本地；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隐患及报警信息统计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1、对全县范围内的基础设施隐患/报警信息进行数据归纳记录与统计，并以报表形式展示；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2、对全县及各专题隐患/报警数量及处置状态进行统计，并以报表展示；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3、统计报表支持按专题、时间筛选和检索；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4、支持一键导出，支持导出时进行数据筛选，指定导出范围，导出表格文件并保存在本地；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突发事件统计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1、对上报的突发事件进行数据归纳记录与统计，并以报表形式展示；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2、可对全县及各专题突发事件数量及处置状态进行统计和排名，并以报表展示；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3、统计报表支持按专题、时间筛选和检索；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4、支持一键导出，支持导出时进行数据筛选，指定导出范围，导出表格文件并保存在本地；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统计报告管理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1、用户可选择系统内置的报告模板，配置报告所需的数据源，依托系统统计分析数据自动生成一份报告；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2、用户可对生成的统计报告进行内容查看；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3、用户可对生成的统计报告进行文件下载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4、用户可对系统内置的报告模板进行列表查看、筛选和检索，支持模板相关参数的新增、删除和已有模板参数的修改、保存；</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应急联动处置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应急事件信息管理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1、支持按突发事件初报、续报，跟踪处置情况、报送处置结果；</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2、支持分专题、分等级查询和统计突发事件信息和应急处置情况；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3、支持对突发事件进行在线管理，包括具体内容录入、处置过程记录、处置状态更新、处置结果上报等；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应急通讯录管理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1、建立县级应急通讯录，应急通讯录主要包括姓名、单位、职务、联系电话等信息；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2、支持用户对县级应急联系人员联系信息的新增、修改、删除管理；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3、支持县级级应急通讯录按事件等级及类型进行群组分类；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4、支持用户可以通过应急通讯录一键发起IP通话或发送短信；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应急资源管理-应急物资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1、支持用户按照仓库名称、物资名称、物资类型等维度筛选应急物资，信息查看、导出和地图定位；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2、支持应急物资的信息进行新增、编辑、删除；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3、支持一键发起IP电话呼叫或发送短信；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应急资源管理-避难场所</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1、支持用户按照场所名称、场所类别等维度筛选避难场所，信息查看、导出和地图定位；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2、支持避难场所的信息进行新增、编辑、删除；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3、支持一键发起IP电话呼叫或发送短信；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应急资源管理-应急专家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1、支持用户按照专家姓名、擅长专业等维度筛选应急专家，信息查看、导出；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2、支持应急专家的信息进行新增、编辑、删除；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3、支持一键发起IP电话呼叫或发送短信；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应急资源管理-医疗卫生机构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1、支持用户按照机构名称、机构级别等维度筛选医疗卫生机构，信息查看、导出和地图定位；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2、支持医疗卫生机构的信息进行新增、编辑、删除；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3、支持一键发起IP电话呼叫或发送短信；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应急资源管理-救援队伍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1、支持用户按照队伍名称、擅长行业等维度筛选救援队伍，信息查看、导出和地图定位；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2、支持救援队伍的信息进行新增、编辑、删除；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3、支持一键发起IP电话呼叫或发送短信；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应急预案管理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1、支持用户按照预案名称、预案分类、应对灾种等维度筛选应急预案以及信息查看；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2、支持应急预案的信息进行新增、编辑、删除；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3、支持应急预案的预案结构化和数字化；</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4、支持应急预案共享以及对共享的预案材料进行意见反馈；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应急事件管理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应急事件接入、事件确认、事件信息展示、事件列表、查询统计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应急处置管理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事件信息上报、现场视频、地图定位、预案匹配、联动单位、短信通知、事件结束、处置总结、信息补录、事件处置跟踪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应急知识库管理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1、应急知识库可分为应急知识、法律法规、技巧分享等内容；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2、支持用户对知识库内容进行新增、修改、删除以及应急知识附件上传、下载；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3、支持按照知识名称、知识关键字、知识类型等维度筛选应急知识，应急知识详情查看；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行业综合监管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1、支持汇聚全县基础设施的在建、已竣工项目以及年度计划项目并汇总展示；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2、支持对项目名称、项目状态等信息进行检索以及项目详情查看；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3、支持一键导出，支持导出时进行数据筛选，指定导出范围，导出表格文件并保存在本地；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督查督办</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1、支持用户发起城市生命线相关的督查督办事项以及流程闭环管理；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2、支持用户签收、处理、转办、驳回等业务流程；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3、支持用户按照时间顺序查看待办的督查督办事项和历史办理的督查督办；</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4、支持督查督办事项提醒，包括消息提醒、短信提醒；</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5、支持督查督办事项一键发起IP电话呼叫；</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6、支持对市级监管系统下发的督查督办事项的接收、转办分发以及流程闭环；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7、支持督查督办事项的下发、过程的追踪；</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8、支持督查督办事项处置结果的收集；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9、支持功能权限和数据权限的分权管理；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资料中心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1、支持资料新建上传、修改、删除；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2、支持上传时填写文件基本信息，包括所属专题、类别、关键字、文件描述等；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3、支持各种常见文件格式，包括wps、doc、docx、xls、xlsx、ppt、pptx、pdf、txt等；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4、支持分专题、分类别查询以及标题关键词查询行业资料库中的文档；</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5、支持资料下载功能；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通知公告</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通知公告推送与查询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1、支持用户按照日期、阅读状态等维度筛选城市生命线监管单位发布的实时消息、通知公告以及信息查看、详情内下载附件；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2、支持对实时消息、通知公告区分阅读状态进行展示；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3、支持对新到和未读消息进行提醒；</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4、支持用户的数据权限的分权分域管理；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通知公告内容管理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1、支持用户按照标题、日期等维度筛选实时消息、通知公告；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2、支持用户对实时消息、通知公告进行信息查看；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3、支持对实时消息、通知公告进行新增、保存为草稿、发布、删除；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4、支持用户再次编辑草稿状态下实时消息、通知公告的内容；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5、支持详情内容中添加图片、视频等内容以及添加附件；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6、支持设定发布时间、发布范围、公告有效期等参数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7、支持通知公告提交发布通过工作流进行审核；</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8、支持用户的数据权限的分权分域管理；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通知公告审核</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1、支持用户按照日期、审核状态等维度筛选通知公告；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2、支持用户对通知公告进行信息查看；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3、支持基于工作流进行通知公告审批，审批通过的通知公告根据设定发布时间自动发布；</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4、支持用户的数据权限的分权分域管理；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通知发布管理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1、支持用户按照标题、日期等维度筛选实时消息、通知公告；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2、支持用户对实时消息、通知公告进行信息查看；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3、支持设定已审核通过的通知公告的发布时间、发布范围、公告有效期等参数；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4、支持对已发布的消息、通知公告进行删除；</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联络中心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通讯录管理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1、支持用户按照姓名/单位等维度筛选通讯录以及信息查看；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2、支持通讯录的信息进行新增、编辑、删除；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3、支持一键发起IP电话呼叫或发送短信；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短信内容管理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1、支持用户按照编辑时间、内容等维度筛选短信；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2、支持用户对短信进行信息查看；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3、支持对短信进行新增、保存为草稿、发送、删除；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4、支持用户再次编辑草稿状态下短信的内容；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5、支持设定收信人以及短信字数提示；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6、支持用户的数据权限的分权分域管理；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短信历史记录管理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1、支持用户按照发送时间、内容等维度筛选短信历史记录；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2、支持用户对短信历史记录进行信息查看；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3、支持用户的数据权限的分权分域管理；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智能报警短信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1、支持用户按照发送时间、内容等维度筛选智能短信；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2、支持用户对智能短信进行信息查看；支持对智能规则进行新增、修改、删除；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3、支持设定智能规则的预警类型、触发等级、短信模板、发送范围、发送时间等参数；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4、支持根据智能规则自动发送报警短信；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IP电话</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1、支持一键发起IP通话的原子能力；</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2、支持用户按照时间、电话号码等维度筛选、呼叫历史记录；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设备运维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（综合运维）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设备资产管理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1、支持汇聚县级平台各专题自建的设备以及设备状态、设备监测数据；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2、支持分时统计设备在线率、监测数据上报总数以及单个设备监测数据上报数；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3、支持用户按照设备名称、设备状态等维度筛选设备以及查看设备信息、设备巡检巡查记录；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4、支持用户手动新增设备的巡检巡查任务工单；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巡检巡查管理-巡检巡查计划</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1、支持用户按照设备名称、巡查时间、巡检状态等维度筛选巡检巡查计划，查看计划信息、巡检巡查记录；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2、支持巡检巡查计划进行新增、编辑、审核、删除、导出；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3、支持根据巡检巡查计划自动生成设备任务工单；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4、支持用户的数据权限的分权分域管理；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巡检巡查管理-巡检巡查任务工单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1、支持用户按照设备名称、工单状态等维度筛选巡检巡查任务工单；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2、支持用户对巡检巡查任务工单进行信息查看；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3、支持根据下发的巡检巡查任务工单巡检设备并上报巡检结果；</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4、支持用户的数据权限的分权分域管理。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工单闭环管理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工单创建、派发、流转、升级、关闭全生命周期管理，基于基础业务能力集，结合组织架构自定义配置各类工单的审批流程，提供工作流定义、管理和监控功能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值排班管理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值班管理、排班管理、交接班管理、历史记录管理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数据对接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对各专项，进行数据接入、展示、数据流转等相关开发和对接工作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公众安全服务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告警信息发布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预警提醒、动态播报、救助资源查询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隐患事件上报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事件上报、后台管理、结果反馈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公共宣传教育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安全教育、在线讲座、知识检验</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民情民意反馈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综合评价、信箱反馈、民情日志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个人中心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实名认证、个人信息查看、个人密码修改、我的收藏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综合运维管理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值排班管理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值班管理、排班管理、交接班管理、历史记录管理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4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实现各专项巡检计划同步与查询，结合日常巡检计划制定设备巡检计划（巡检范围、巡检设备、截止时间等），支持将审批后的巡检计划下发给巡检养护队伍，实现巡检养护队伍的收到反馈</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在基础设施子图中展示巡检计划指定的巡检区域和需要巡检的设备，通过移动端扫描上传巡检设备信息，点亮大屏中的巡检设备图标，巡检结果一目了然；通过点击图标查看巡检详情及现场图片；实现设备状态的分类统计与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结合设备资产库，支持使用移动端扫描设备条码、拍照等形式上传巡检设备信息，识别唯一资产编码，实现设备定期巡检的全覆盖</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实现巡检计划执行、检查结果、问题、处置结果等状态的统计与展示，支持按不同专项、不同设备进行搜索与查询等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工单闭环管理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工单创建、派发、流转、升级、关闭全生命周期管理，基于基础业务能力集，结合组织架构自定义配置各类工单的审批流程，提供工作流定义、管理和监控功能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设备资产管理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设备信息表单录入、设备资产库、设备台账查询、设备处置跟踪、设备状态变更、设备数据分析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综合风险监测分析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城市生命线专项风险评估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城市生命线专项风险核心指标、城市生命线专项风险指数构建、城市生命线专项数据来源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城市生命线综合风险评估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城市生命线综合风险核心指标、城市生命线风险等级标准判定、城市生命线综合风险指数构建、城市综合风险评估数据来源、综合风险态势分析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统一门户中心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统一展示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门户系统通过集成本期项目建设相关的各类系统和应用，给用户呈现标准的桌面内容，提供县级监管部门、相关单位统一的门户访问地址，用户使用系统分配的账号进行登录。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统一展现提供时间信息查看、通知公告提示、应用系统导航等功能。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门户导航管理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基于角色管理赋予的权限，查看许可范围内的系统导航，可根据自己的需要修改门户内各个导航入口的位置和排序，提供用户门户导航、导航管理功能。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信息通知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统一门户为城市生命线监管系统用户提供通知消息、统一待办模块。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支持用户通知查看、督察督办通知、督查督办展示、通知状态更新、通知消息类型、工单审批等功能。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支持管理员为相关部门和单位开通账号，支持对系统账号进行修改、冻结、删除等操作并配置相应的权限。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系统日志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提供登录日志和系统日志模块，记录用户登录痕迹以及系统异常信息。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统一用户管理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全县相关行业监管系统用户信息，实现内部人员信息的统一管理。实现用户信息管理、用户信息同步。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统一认证管理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实现各个集成应用系统（新建的综合应用与专项业务应用子系统）和门户的单点登录。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统一组织机构管理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全县相关行业监管系统组织机构信息，实现内部组织机构信息的统一管理。实现组织机构管理、展示、人员管理等。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角色管理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角色是一组权限的集合，系统中用户的操作权限是通过角色来控制，用户角色不同，其操作权限也不尽相同。实现角色管理、角色权限管理等。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移动门户APP</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提供本期项目建设的各类系统和应用的填报入口、通知公告、填报记录查询等功能，辅助城市生命线监管系统各级用户间的信息互通。</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提供填报入口、通知公告、历史填报记录、个人中心，同时支持集成各专项H5界面，提供各专项移动巡检、隐患拍照、上传功能；提供消息通知、信息查询、信息管理等。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接口对接问题</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提供一个统一的接口供综合应用及各专项进行单点登录集成，满足本县“1+8”专项的集成能力。</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门户集成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提供基于各类异构应用系统的门户集成管理，实现跨系统、跨平台的信息统一处置门户、实现门户外观、内容定制。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综合监管平台配套服务费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综合监管平台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3.2、城市生命线-排水（雨水）专项</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排水防涝一张图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总览子图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排水防涝设施总览：实现全县雨水管渠、雨水泵站、入河排口、排水河道、调蓄设施和行泄通道等统计展示，支持按年份筛选查询，显示设施年度变化量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风险管控：实现对风险及管控现状统计展示，支持按年份筛选查询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汛前隐患排查整治：实现对汛前隐患排查整治结果统计展示，支持按年份筛选查询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设施巡检养护：实现设施巡检和养护任务执行结果（管网、泵站）统计展示，支持按年份月份筛选查询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年度工程：实现易淹易涝点整治项目、雨水管渠项目、雨水泵站项目执行结果的统计展示，支持按年份筛选查询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监测设备：展示全县监测设备情况，包括设备总览、设备分类统计、设备在线率展示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监测报警：实现全县监测报警信息的统计展示，以折线图展示全县监测报警数量；以表格形式展示不同等级报警的总数量、已处置数量和未处置数量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灾害预警：实现全县全县灾害预警信息的统计展示，以折线图展示灾害预警数量，点击统计数字支持地图定位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视频监控：统计全县视频监控总览情况，按照业务分类，展示不同监控对象的实时情况。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地图展示：实现对排水防涝设施、风险分析的积水点信息、应急管理信息等基础设施的图层控制，点击具体基础设施对应联动地图进行展示；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实现气象台风路径的展示；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城市实时监测报警总览、雨情、水情、警情、物资等信息的展示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图形展示：基于GIS地图可视化展示排水设施及易淹易涝点等相关风险及隐患的分布情况，按照不同等级、类型展示不同颜色、图标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统计展示：支持按照时间、类型等维度对风险隐患数据进行统计展示，以图表形式展示建成区面积、已评估风险面积；不同等级风险隐患的数量和面积；风险管控、隐患处置统计信息等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数据查询：支持风险隐患信息的查询展示，查询结果以列表形式展示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图形展示：基于GIS地图可视化展示全县监测设备、监测报警、易淹易涝点预警、灾害预警等信息的分布情况，按照不同类型展示不同颜色、图标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统计展示：以图表等形式统计展示全县监测设备情况、运行监测情况、监测报警、报警处置、灾害预警及处置情况等信息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数据查询：支持运行监测信息的查询展示，查询结果以列表形式展示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图形展示：基于GIS地图展示巡检信息、养护信息，展示巡检问题、第三方施工项目信息等，支持巡检养护完成情况、问题解决情况的展示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统计展示：以图表等形式统计展示设施巡检结果、巡检问题、养护结果、养护经费等信息，包括巡检计划执行情况、问题的解决情况、养护计划的执行情况等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数据查询：支持巡检养护信息的查询展示，查询结果以列表形式展示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老旧管网子图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台账管理：实现老旧管网台账管理，支持查询展示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数据展示：一张图展示老旧管网分布，提供数据统计展示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图形展示：基于GIS地图展示基础设施空间分布情况，以不同符号、颜色展示设施类型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统计展示：以图表等形式统计展示排水防涝行业数据、管渠、泵站、调蓄设施、行泄通道、工程项目等信息。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数据查询：支持基础设施信息的查询展示，查询结果以列表形式展示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信息管理：可以管理设备信息、可以管理预警通知信息、可以管理泵站监测信息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应急管理子图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应急预案：展示本县的应急预案；支持点击下载预案信息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图形展示：基于GIS地图可视化展示救援人员、救援队伍、应急专家、应急物资储配库、应急避难场所、应急车辆、重点保障对象、突发事件等分布情况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统计展示：支持统计并展示应急仓库数量、应急物资分类情况、应急队伍数量、专业抢险人员数量、社会抢险人员数量、重要保障对象数量。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舆情管理：以列表形式展示舆情清单信息，支持地图定位；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突发事件及处置：以列表形式展示突发事件信息，支持地图定位；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排水防涝综合监管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风险管理：支持按照风险等级称等维度筛选风险信息，支持查看、导出和地图定位；支持新增、编辑、删除、导入；支持功能权限和数据权限的分权域管理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隐患排查整治：支持按照月份、年份等维度筛选汛前隐患和重大隐患信息，支持查看、导出功能；信息的新增、编辑、删除、导入；支持功能权限和数据权限的分权域管理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统计分析：支持全县风险隐患的数据按照时间、业务等维度进行统计；支持统计分析数据的一键排序；支持功能权限和数据权限的分权域管理；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突发事件处置管理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突发事件监督：支持用户按照突发事件等级、处置状态等维度筛选突发事件信息，支持查看、导出功能；信息新增、编辑、删除、导入；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统计分析：支持全县突发事件的数据按照时间、业务等维度进行统计；支持统计分析数据的一键排序；支持功能权限和数据权限的分权域管理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巡检养护计划管理：对于排水防涝日常巡检养护计划及汛期工作报表的制定进行统一管理，通过接入原有系统或填报的方式进行信息收集，提供在线登记、信息查看等功能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巡检养护执行管理：对排水防涝设施巡检养护计划及执行情况进行统一管理，提供信息查询、信息管理、执行管理、超期督办、地图定位、报表生成等功能。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养护经费管理：支持按照年份等维度筛选养护经费信息，支持查看、导出和定位；支持信息的新增、编辑、删除、导入；支持功能权限和数据权限的分权域管理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问题信息管理：支持按照问题上报时间等维度筛选，支持查看、导出和定位；支持信息新增、编辑、删除、导入；支持功能权限和数据权限的分权域管理；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统计分析：支持巡检、养护信息按照时间等维度进行统计；支持统计分析数据的一键排序和指定范围数据导出；支持功能权限和数据权限的分权管理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移动端信息管理：信息查询、信息管理、消息提醒</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项目信息新增：支持新增排水防涝计划信息、建设信息、易淹易涝点整治、河道整治项目等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项目信息编辑：对已有的排水防涝计划信息、建设信息、易淹易涝点整治、河道整治项目等进行编辑</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项目信息删除：删除已有的排水防涝计划信息、建设信息、易淹易涝点整治、河道整治项目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项目信息查询：通过项目名称、区划、规模等维度查询排水防涝项目信息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地图定位：通过手动在地图标点，关联排水防涝项目，实现项目上图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报表生成：根据项目区划、规模等字段，统计排水防涝项目数量，并生成统计报表，支持导出功能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安全保障工作监督评价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行业评价：依据排水防涝相关考核办法及标准，对排水防涝行业相关评价进行统一管理，主要包括评价信息填报、结果查询、报表生成等功能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排水防涝专项工作评价：对城市生命线排水防涝专项进行评价，主要包括评价结果查询、报表生成等功能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设施基础信息管理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基础信息统计分析：支持基础设施数量、分布情况按照时间、类别等维度进行统计；支持统计分析数据的一键排序；支持指定范围数据导出；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雨水管网信息：支持多维度维度筛选雨水管网信息，支持查看、导出和地图定位；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雨水井信息：支持多维度筛选雨水井信息，支持查看、导出和地图定位；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排水口信息：支持多维度筛选排水口信息，支持查看、导出和地图定位；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排水泵站信息：支持多维度筛选排水泵站信息，支持查看、导出和地图定位；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易淹易涝区信息：支持多维度筛选易淹易涝点信息，支持查看、导出和地图定位；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调蓄设施信息：支持多维度筛选调蓄设施信息，支持查看、导出和地图定位；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河道信息：支持多维度筛选河流信息，支持查看、导出和地图定位；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重点保障对象信息：支持多维度筛选重要保障对象信息，支持查看、导出和地图定位；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行泄通道信息：支持多维度筛选行泄通道信息，支持查看、导出和地图定位；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防涝应急资源信息：支持多维度筛选防涝应急资源信息，支持查看、导出和地图定位；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应急通信：支持多维度筛选应急通信信息，支持查看、导出；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应急设备：支持多维度筛选应急设备信息，支持查看、导出和地图定位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应急预案：支持多维度筛选应急预案信息，支持查看、导出；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应急知识库：支持多维度筛选应急知识库信息，支持查看、导出；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应急专家：支持多维度筛选应急专家信息，支持查看、导出；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应急救援队：支持多维度筛选应急救援队信息，支持查看、导出和地图定位；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闸门信息：支持多维度筛选闸门信息，支持查看、导出和地图定位；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网格化降雨预测预报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多源数据接入：接入气象数值预报机构的预报成果数据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降雨预报数据时空解析：将各机构发布的降雨预报信息解析为逐小时降雨过程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多元气象信息成果展示：结合GIS地图实时展示当前气象云图、雷达图、风场、温场、气压及台风极端天气等多元内容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应急处置分拨调度</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应急事件接件核查：实现接收事件的核查管理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预警研判：对核实为预警事件的预警信息进行研判分析，划分等级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预案处置：根据预警等级配置不同的处置预案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内外分拨：实现应急预警信息的类型和应急处置事件的分拨管理，提供应急事件接件核查、事件分拨、调度指挥功能。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调度指挥：直观展现灾害点位置、影响房屋、撤离路线、应急物资等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排水防涝运行监测管理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设备管理：对排水防涝各类监测设备进行管理，包含设备监测点管理、设备管理以及设备厂家管理等。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排水运行监测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排水运行监测：实时展示排水管网、泵站、河道、易涝点、雨量等监测数据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监测分析：基于历史累计数据，分析管网运行、河道水位等规律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阈值设置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阈值设置：对监测设备阈值、超期阈值设置等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监测报警管理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监测报警管理：包括报警提醒、信息推送、信息处置、统计分析等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预警信息管理：提供对雨水管网、泵站、河道预警及处置信息的统一管理，提供信息查询、信息管理功能。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防汛日报监督</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防汛日报监督：支持多维度筛选防汛日报信息，支持查看、导出功能；支持信息新增、编辑、删除、导入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积水点管理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积水点管理：支持积水点信息，支持查看、导出和定位；支持信息新增、编辑、删除、导入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统计分析：防涝设备、预警报警信息、防涝日报监督信息等数据进行多维度统计分析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移动端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信息录入：支持在移动端进行巡检养护数据实时录入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问题上报：支持“一键上报”在巡检养护过程中发现的隐患或问题</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信息对接：移动端消息集成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防汛调度管理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地图应用：提供图层控制、快速定位、信息检索及实时监测数据功能模块。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短临雷达预报：根据气象预报采购的多源气象雷达图数据，进行移动端的适配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运行监测管理：实现实时监测的查询展示及报警信息管理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积淹信息发布：基于城区积淹监测预警成果，定向推送洪涝预警信息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排水（雨水）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3.3、城市生命线-道路专项</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restart"/>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总览一张图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综合监管-基础信息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1、基础信息，按道路等级统计全县道路基础信息数据（全县道路总数、建成区路网密度、以及快速路、主干道、次干路、支路数据）。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2、项目信息，统计全县项目数量（在建项目数），项目总投资额，已完成投资额。</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综合监管-巡检养护</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1、检查检测：展示全县道路检查检测情况（经常性检查情况；常规定期检测数据、结构定期检测数据）。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2、养护维修：统计全县养护工程数量，包括保养小修、中修、大修；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综合监管-隐患整治</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1、地下病害体风险评估：统计病害体风险评估结果数据：I级（低）、Ⅱ级（一般）、Ⅲ级（较高）、Ⅳ级（极高）不同风险等级数据，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2、地下病害体整治情况：统计病害体整体整治情况：包括脱空、空洞、疏松体、富水体数量；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gis地图图层管理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动态接入道路塌陷风险源数据，展示全县道路塌陷风险地图及关键指标，支持图层筛选功能。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1、在地理信息底图上叠加风险源图层信息，包括地质条件图层、建设工程图层、地下管线图层、道路检测图层、视频监控图层。</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（1）地质条件图层包括地面塌陷易发区图层、滑坡塌方易发区图层、地面沉降易发区图层、软土易发区图层、地裂缝易发区图层、砂土易发区图层；</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（2）建设工程图层包括第三方施工项目下信息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（3）地下管线图层包括：给水管、雨水管、污水管、燃气管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2、支持风险源数据在地图上的点位信息查看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智慧监测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接入地质雷达设备探测里程统计数据。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风险评估子图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道路总体风险评估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动态接入全县已开展道路塌陷风险评估数据，展示风险评估对应的道路等级数，高风险路段清单以及总体风险评估等级结果统计数据。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1、总体风险评估：按道路等级统计风险评估里程数；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2、风险评估清单：高风险路段清单，字段包括：序号、道路等级、起止点、评估单元长度、评估时间、处置状态、定位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3、总体风险等级：按风险等级统计风险评估里程数。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gis地图图层管理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展示全县道路隐患区及关键指标，支持图层筛选功能。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1．道路塌陷风险评估，展示已开展道路风险评估的路段及评估结果、包括快速路、主干道、次干路、支路及对应的风险等级四色图。</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（1）支持风险评估数据在地图上的点位信息查看；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地下病害体风险评估（专项风险评估）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动态接入已开展道路塌陷专项风险评估数据等关键信息及统计指标，支持按照相关维度以图形的形式展示。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1、地下病害体风险评估：按地下病害体类型统计地下病害体风险评估数；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2、病害体周边管线分析：字段包括：等级、地下病害体类型、地址、发现时间、周边管线、处置状态、定位。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3、地下病害体风险等级：按隐患风险等级统计不同隐患等级数。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塌陷隐患子图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隐患整治监管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动态接入道路塌陷隐患整治关键信息，展示包括塌陷隐患整治进度情况。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一、隐患整治：以地下病害体风险评估等级为Ⅲ、Ⅳ级的隐患为指标，展示隐患处置状态。包括隐患治理总数、过程数据（已整治/未整治）；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1、支持隐患信息列表滚动；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2、支持隐患处置状态跟踪监管，与gis地图联动，点击隐患信息可在地图上显示该位置，支持查看隐患档案卡等操作。</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二、整治进度：以隐患治理数为统计指标，展示隐患处置进度（数量）。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gis地图图层管理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在地理信息底图上将道路的空间信息与塌陷隐患信息、塌陷事故信息关联，展示塌陷隐患区域，并用不同颜色显示塌陷隐患等级情况。支持图层筛选。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1、地面塌陷图层，展示包括塌陷隐患点、事故点。点击隐患点或事故点区域弹出对应处置信息。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2、地下管线图层包括：给水管、雨水管、污水管、燃气管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塌陷事件监管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动态接入塌陷事故处置等关键信息，展示塌陷事故处置进度情况，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一、事故处置：以道路塌陷事故信息为指标，展示塌陷事故处置状态及进度情况。包括塌陷事故总数、过程数据（已处置/处置中）；</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1、支持事故信息列表滚动；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2、支持塌陷事故处置状态跟踪监管，与gis地图联动，可在地图上显示该位置，支持查看塌陷事故信息等操作。</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二、塌陷事件同期对比：按月统计塌陷事故数据。支持按年度统计筛选。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塌陷风险源管理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1、支持用户按照工程名称、道路名称、检测单位、检测时间等维度筛选塌陷风险源信息查看、导出；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2、支持查看塌陷风险源信息：工程名称、建设单位、检测单位、调查单元编号、道路名称、路段起点、路段终点、操作（查看详情、提交、编辑、删除）（查看风险源调查表）；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总体风险评估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1、支持全县风险评估数据按照已开展道路总体风险评估里程数进行统计；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2、支持全县风险评估数据按照不同道路等级占比（快速路、主干道、次干道、支干路）数量进行统计；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3、支持全县风险评估数据按照风险评估结果占比（等级Ⅰ、等级Ⅱ、等级Ⅲ、等级Ⅳ）数量进行统计；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总体风险评估报告</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总体风险评估报告：以列表形式呈现总体风险评估报告简要信息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1、支持用户按照工程名称、建设单位、检测单位、检测时间等维度筛选总体风险评估报告查看、导出；；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2、支持查看总体风险评估报告详情信息：工程名称、建设单位、检测单位、操作（查看详情、提交、编辑、删除）（查看总体风险评估报告）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总体风险评估数据管理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总体风险评估数据管理：以列表形式呈现总体风险评估数据详细信息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1、查询条件支持：道路名称、道路等级、风险等级、风险值、时间筛选（年度）；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总体风险评估详情信息：工程名称、建设单位、检测单位、道路等级、道路名称、评估单元编号、评估单元里程、评估分值、路段起点、路段终点、评估等级、操作（查看详情、提交、编辑、删除）（查看不同评估单元对应的线型图-截图）；</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塌陷隐患探测管理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塌陷隐患探测管理：以列表形式呈现塌陷隐患探测详细信息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1、查询条件支持：工程名称、建设单位、检测单位、时间筛选（年度）；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塌陷风险源信息：工程名称、建设单位、道路名称、工程地点、仪器型号、测试方式、天线主频、时窗、道间距、标记、文件号、测线方向、测线位置描述、测线起点、测线终点、测线长度、异常情况、检测单位、记录人、探测日期、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专项风险评估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统计分析：根据指标、时间三个维度对专项风险评估数据进行统计分析，同时支持直方图、饼状图及列表展示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1、统计指标包括：隐患总数、按隐患等级（按不同隐患等级对应的隐患总数量）、按隐患类型（按不同隐患类型对应的不同隐患等级总数量）；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2、时间维度包括：年。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专项风险评估报告</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专项风险评估报告：以列表形式呈现专项风险评估报告简要信息：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1、查询条件支持：工程名称、建设单位、检测单位、时间筛选（年度）；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2、支持查看总体风险评估报告详情信息：工程名称、建设单位、检测单位、操作（查看详情、提交、编辑、删除）（查看专项风险评估报告））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专项风险评估数据管理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专项风险评估数据管理：以列表形式呈现专项风险评估数据详细信息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1、查询条件支持：道路名称、道路等级、风险等级、风险值、时间筛选（年度）；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专项风险评估详情信息：工程名称、道路名称、隐患编号、隐患类型、隐患风险等级、尺寸、埋深、横坐标、纵坐标、所在位置描述、雷达图谱、地图位置、现场照片、隐患周边管线图、隐患成因分析、处置建议、检测单位、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塌陷隐患处置管理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根据指标、时间三个维度对塌陷隐患处置数据进行统计分析，同时支持直方图、饼状图及列表展示：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1、统计指标包括：隐患总数、完成进度；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2、时间维度包括：年、月。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处置计划管理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处置计划管理：以列表形式呈现塌陷隐患处置计划信息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1、查询条件支持：主管单位、养护单位、道路名称、隐患编号、时间范围；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2、支持查看处置计划信息：计划编号、计划名称、主管单位、养护单位、道路名称、隐患编号、隐患类型、隐患风险等级、计划开始时间、计划结束时间、操作（查看详情、提交、编辑、删除）；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处置信息管理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处置信息管理：以列表形式呈现塌陷隐患处置详细信息：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1、查询条件支持：主管单位、道路名称、隐患类型、隐患风险等级、处置状态、养护单位；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处置计划详情信息：主管单位、道路名称、隐患编号、隐患类型、隐患风险等级、处置状态、养护单位、处置内容、处置时间、处置照片（处置前、处置中、处置后）、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塌陷事故管理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统计分析：根据指标、时间三个维度对塌陷事故数据进行统计分析，同时支持直方图、饼状图及列表展示：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1、统计指标包括：事故等级（重大（Ⅰ级）、较大（Ⅱ级）、一般（Ⅲ级）、轻微（Ⅳ级））；</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2、时间维度包括：年。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事故信息管理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事故信息管理：以列表形式呈现塌陷事故信息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1、查询条件支持：报送单位、事故时间、事故地点、事故等级；</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事故详情信息：道路名称、事故名称、事故状态、事故等级、发现时间、事故地址、操作（查看详情、提交、编辑、删除）（查看“道路塌陷事故应急调查评估信息报送表”/“道路塌陷事故后评估总结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巡检养护子图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道路检测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动态接入道路定期检测、巡检巡查数据，展示包括病害处置统计数据。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1、巡检巡查：统计道路定期检测数据；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2、巡检问题处置清单：字段包括序号：问题描述、检查地址、发现时间、处置状态、定位；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3、趋势分析：按月统计道路病害数，分析发展趋势。</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gis地图图层管理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在地图上将市政道路的空间信息与检查养护信息关联，实现查看某条道路最近一次的检查检测信息；及最近一次病害养护信息，支持图层筛选功能。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养护维修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动态接入养护维修数据，展示养护工程关键信息及统计指标。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1、巡检养护维修：统计养护维修（保养小修）进度，包括养护总数、已完成数、未完成数；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2、养护工程计划：统计养护计划（资金），包括养护里程、养护面积数；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3、养护管理工作评价：展示全县道路养护管理工作评价评分及排名；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4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动态接入城市道路信息，展示相关统计指标包括道路数量（里程）、道路等级、养护等级、面积统计，在建道路信息关键数据。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1、城市道路：统计道路数量及里程，包括全县总道路数、总里程数；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2、道路等级：按道路等级统计城市道路里程数，包括：快速路、主干路、次干路、支路；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3、养护等级：按养护等级统计城市道路里程数，包括：Ⅰ等养护、Ⅱ等养护、Ⅲ等养护；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4、面积统计：按道路类型统计道路面积及占比；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5、建设年代：按建设年代统计道路数量及占比；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6、在建道路：统计全县在建道路情况，包括投资金额，建设进度；</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gis地图图层管理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在地图上将市政道路的空间信息与属性信息关联。展示不同等级的道路分布情况，实现快速查看某道路的基本信息，及附属设施如城市照明的基本信息，支持图层筛选功能。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附属设施管理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1、动态接入道路附属设施信息，展示相关如井盖统计指标。统计全县各类型井盖数，包括普通井盖、智慧井盖；</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2、动态接入道路附属设施信息，展示相关如照明统计指标。统计照明数，包括全县总照明数、总亮灯率；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3、展示城市绿色照明工作评价评分。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根据道路基础信息、附属设施信息、项目信息进行统计分析，同时支持直方图、饼状图及列表展示：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1、设施类型包括：道路、路灯；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2、事件统计包括：</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（1）道路：按道路等级（快速路、主干、次干、支路、其他公里数）、按养护等级（Ⅰ等、Ⅱ等、Ⅲ等对应的公里数）；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（2）路灯：设施总数；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以列表形式呈现道路基础信息：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1、查询条件支持：道路名称、主管单位、道路等级；</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问题信息：道路名称、道路起点、道路终点、道路走向、道路等级、养护等级、道路长度、道路宽度、道路面积、建设单位、设计单位、施工单位、主管单位、养护单位、竣工年月、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道路附属设施基础信息管理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以列表形式呈现道路附属设施基础信息：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1、查询条件支持：设施类型、设施名称、所在道路、主管单位、养护单位；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问题信息：设施类型（照明、井盖）、设施名称（高杆灯、中杆灯、雨水井盖、智能井盖等）、设施数量、所在道路、路段起点、路段终点、主管单位、养护单位、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道路检查管理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根据指标、时间三个维度对道路检查数据进行统计分析，同时支持直方图、饼状图及列表展示：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1、按病害类型维度：沥青路面病害、水泥混凝土路面病害、人行道路面病害等；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2、时间维度包括：年、月。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检查计划管理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以列表形式呈现道路检查计划信息：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1、查询条件支持：主管单位、检查单位、开始时间；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2、支持查看检查计划信息：计划编号、计划名称、主管单位、检查单位、开始时间、结束时间、操作（查看详情、提交、编辑、删除）；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检查记录管理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以列表形式呈现道路检查记录信息：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1、查询条件支持：主管单位、检查单位、开始时间；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2、支持查看检查记录信息：主管部门、检查单位、检查时间、检查范围、检查工具、现场图片、操作（查看详情、提交、编辑、删除）；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检查问题管理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以列表形式呈现道路检查问题信息：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1、查询条件支持：主管单位、病害来源、病害类型；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问题信息：主管部门、道路名称、主管部门、病害来源（巡查巡检、数字城管、人工上报、其他）、病害类型（裂纹、变形等）、病害描述、养护建议、病害地点、发现时间、现场图片、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道路检测评定</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根据指标、时间三个维度对道路检测数据进行统计分析，同时支持直方图、饼状图及列表展示：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1、按类型维度：路面综合评价指数、路面状况指数、路面行驶质量指数等；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2、时间维度包括：年、月。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检测报告管理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以列表形式呈现道路检测报告简要信息：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1、查询条件支持：检测单位、时间筛选（年度）；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2、支持查看道路检测报告详情信息：名称、检测类型、检测单位、操作（查看详情、提交、编辑、删除）（查看道路检测报告）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路况数据管理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以列表形式呈现道路路况检测评定数据详细信息：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1、查询条件支持：道路名称、道路等级、风险等级、风险值、时间筛选（年度）；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道路路况检测评定详细信息（车行道/人行道）：道路编号、道路名称、道路长度、单位范围、结构强度评价（分值/等级）、损坏状况评价（分值/等级）、行驶质量评价（分值/等级）、抗滑能力评价（分值/等级）、路面综合评价（分值/等级）、完好率评价（分值/等级）、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道路养护维修管理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根据指标、时间三个维度对道路养护维修数据进行统计分析，同时支持直方图、饼状图及列表展示：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1、按养护类型包括：“保养小修”、“中修”、“大修”工程数量；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2、按养护状态：待处理、处理中、已验收的养护数量；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3、时间维度包括：年、月。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养护计划管理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以列表形式呈现道路养护计划信息：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1、查询条件支持：主管单位、养护单位、养护类型，时间范围（选择起止日期）；</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2、支持查看检查问题信息：计划编号、计划名称、主管单位、养护单位、养护类型（保养小修、中修、大修）、开始时间、结束时间、操作（查看详情、提交、编辑、删除）；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养护维修管理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以列表形式呈现道路养护维修信息：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1、查询条件支持：道路名称、主管部门、养护单位、病害类型、养护类型、养护状态；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问题信息：道路名称、主管部门、养护单位、养护计划单名称、病害来源、病害类型、病害描述、病害地点、养护时间、养护类型（保养小修、中修、大修）、养护状态（待处理、处理中、已验收）、养护描述、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根据道路项目信息进行统计分析，同时支持直方图及列表展示：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1、设施类型包括：年度计划、在建道路；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2、统计指标包括：年度计划（数量、长度、面积、资金）；在建道路（总数）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年度计划信息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以列表形式呈现道路年度计划项目信息：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1、查询条件支持：所属项目名称、计划建设年代；</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2、支持查看年度计划信息：所属项目名称、项目类型、主管单位、项目内容、计划年度、项目建设周期、总投资额、操作（查看详情）；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在建道路信息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以列表形式呈现在建道路项目信息：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1、查询条件支持：道路名称、建设单位；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问题信息：道路名称、道路名称、项目类型、项目内容、主管单位、建设单位、设计单位、施工单位、建设阶段（方案阶段、施工阶段、验收阶段）、总投资额、已完成投资额、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道路占用挖掘审批信息管理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以列表形式呈现在道路占用挖掘审批信息：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1、查询条件支持：道路名称、申报单位、施工单位、审批状态；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2、支持查看检查问题信息：申请事项、申报单位、施工单位、申报原因、挖掘临占设施地点、临占开始时间、临占结束时间、审批状态、操作（查看详情、提交、编辑、删除）；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3、支持查询结果导出；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我的任务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审核审批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可查看、编辑待审批工作，具体内容包括流水号、工作内容、所属流程、当前步骤、发起人、发起时间、单位名称等信息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我发起的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可查看、编辑我发起的任务，内容为流水号、工作内容、所属流程、当前步骤、任务状态、撤销原因、发起时间等信息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我办理的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可查看我办理的任务事项，具体内容为流水号、工作内容、所属流程、当前步骤、任务状态、办理时间、发起人等信息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道路专项配套服务费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道路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3.4、城市生命线-桥梁专项</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8190"/>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restart"/>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 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总览子图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1）综合监管模块：动态接入全县桥梁基础信息、巡检养护、病害治理等关键信息，支持以图形的形式展示关键指 标，支持列表查看及筛选关键信息。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①基础信息：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基础信息，统计全县桥梁跨径分类情况。以饼状图的形式展示全县桥梁跨径分类为特大桥、大桥、中桥、小桥、涵洞、 未知的桥梁数量及占比；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项目信息，统计全县项目数量（在建项目数），项目总投资额，已完成投资额。</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②巡检养护：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巡查检测功能模块，展示全县巡查检测统计情况。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a.经常性检查：按时间维度，以数值方式展示经常性检查当月应检次数、实检占比；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b.常规定期检测：按时间维度，以数值方式展示常规定期检测已检桥梁、未检桥梁数量；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c.结构定期检测：按时间维度，以数值方式展示结构定期检测已检桥梁、未检桥梁数量。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养护维修功能模块，统计全县养护工程数量，包括保养小修、中修、大修；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③病害治理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隐患桥整治，统计展示隐患桥梁整治进度，包括方案阶段、施工阶段、验收阶段；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危桥改造，统计展示隐患桥梁整治进度信息。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2）智慧监测模块：动态接入全县健康监测桥梁数量、监测报警桥梁数量数据，接入全县重点桥梁健康监测系统。支持 以图形的形式展现关键指标。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①监测概况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桥梁监测情况统计。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a.三特桥梁：展示三特桥梁监测的数量；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b.常规高风险桥梁：展示常规高风险桥梁监测的数量；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c.超载超限桥梁：展示超载超限桥梁监测的数量；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监测设备类型统计。包括环境监测设备、作用监测设备、结构变化监测设备、结构响应监测设备。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②监测清单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展示健康监测桥梁清单，包括斜拉桥、拱桥、梁式桥、悬索桥等类型及其监测指标信息。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③监控视频</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展示全县重点桥梁重点部位的实时视频监控。</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3）地理信息图模块：与智慧监测及综合监管模块进行信息联动，可查看桥梁具体位置，展示全县桥梁基础信息、专项整治信息、养护工程信息、事故处置信息。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展现全县桥梁分布情况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①支持桥梁信息在地图点位上进行查看（基础信息、专项整治信息、养护维修信息、事故处置信息）；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②图层选择：支持全部桥梁、隐患桥梁、危桥、三特桥梁、高风险常规桥梁图层选择。</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数据展示模块：统计展示包括：桥梁日常巡检养护完成情况（问题处置率）；桥梁定期检测完成情况（完成率）；隐患 桥梁整治情况（整治进度），危桥整治情（整治进度），监 测报警/预警处置完成情况（列表清单）；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0"/>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1）风险评估模块：接入全县城市生命线桥梁风险等级、风险清单、风险管控数据，支持以图形的形式展现关键指标， 支持列表查看及筛选关键信息，支持相关桥梁定位。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①风险等级。展示桥梁风险评估数据：以图形+数字形式分别呈现不同风险等级（Ⅰ/Ⅱ/Ⅲ/Ⅳ级）对应的桥梁 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②风险清单。展示桥梁风险列表（较大风险/重大风险）</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a.以列表形式呈现桥梁风险信息，展示字段包括桥梁名称、风险等级、管控状态、评估时间、地图定位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b.点击某一行记录的地图定位，联动地图展示相应风险点位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③风险管控。统计桥梁管控状态：以柱状图形式呈现已管控/未管控的桥梁数据及其占比。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2）隐患整治模块：接入全县隐患统计、隐患清单历年变化数据，支持以图形的形式展现关键指标，支持列表查看及筛 选关键信息，支持桥梁定位。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①隐患统计。展示隐患桥梁数据（危桥、隐患桥、独柱墩桥梁隐患、安全防护设施隐患）；展示隐患桥梁数据（危桥、隐患桥、独柱墩桥梁隐患、安全 防护设施隐患）。</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②隐患清单。展示隐患桥梁列表（隐患桥、独柱墩桥梁隐患、安全防护设施隐患）。</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a.以列表形式呈现隐患桥梁信息，展示字段包括桥梁名称、类型、整治阶段、整治进度、地图定位。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b.点击某一行记录的地图定位，联动地图展示相应隐患桥点位。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③历年变化。按时间维度统计历年危桥、隐患桥、独柱墩桥梁隐患、安全防护设施隐患数据变化发展趋势。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3）地理信息图模块：可查看桥梁具体位置，展示全县桥梁风险评估、隐患整治信息，支持图层选 择。</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①展现全县危桥、隐患桥、独柱墩桥梁隐患、安全防护设施隐患桥梁分布情况。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支持桥梁信息在地图点位上进行查看（危桥、隐患桥、独柱墩桥梁隐患、安全防护设施隐患信息）；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图层选择：支持全部桥梁、隐患桥梁、危桥图层选择。</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②数据统计：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风险桥梁总数（Ⅰ/Ⅱ/Ⅲ/Ⅳ级桥梁数据及其管控进度）；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隐患桥梁总数（危桥、隐患桥、独柱墩桥梁隐患、安全防护设施隐患桥梁数据及其处置进度）</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1）运行监测模块：动态接入全县桥梁监测相关数据，主要包括监测设备统计、报警分布统计数据，支持以图形的形式 展示关键指标，接入全县重点桥梁视频监控，支持查看视频 监控列表。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①健康监测。展示全县重点关注的重点关注的健康监测桥梁，包括“三特”桥梁、高风险常规桥梁、超载超限桥梁清单，及其监测指标/监测设备数量。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②设备统计。统计全县监测设备情况。以统计图方式展示环境监测设备、作用监测设备、结构变化监测设备、结构响应 监测设备的数量及占比；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③监控视频。展示全县重点桥梁重点部位的实时视频监控。</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2）报警预警处置模块：动态接入全县桥梁报警预警处置数据、处置完成进度数据，支持以图形的形式展示关键指标。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①报警处置监管。展示桥梁报警事件跟踪处置相关信息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a、以图标+数字+文字的形式呈现报警统计数据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b、以列表形式呈现桥梁报警处置信息，展示字段包括所属桥梁名称、类型、等级、时间、处置状态、地图定位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c、点击某一行记录的地图定位，联动地图展示相应桥梁点位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d、可以按照年份切换查看不同年份的统计数据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②预警处置监管。展示预警事件跟踪处置相关信息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a、以图标+数字+文字的形式呈现预警统计数据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b、以列表形式呈现桥梁预警处置信息，展示字段包括所属桥梁名称、类型、预警等级、时间、处置状态、地图 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c、点击某一行记录的地图定位，联动地图展示相应桥梁点位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d、可以按照年份切换查看不同年份的统计数据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③、报警预警统计分析。统计全县桥梁监测报警/预警数据。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a、报警统计：以柱状图形式统计分析桥梁报警数量（一级报警/二级报警/三级报警）；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b、预警统计：以柱状图形式统计分析桥梁预警数量（一级预警/二级预警/三级预警）；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c、可以按照年份切换查看不同年份的统计数据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3）地理信息图模块：展示全县桥梁健康监测分布情况。支持弹窗展示桥梁基础信息、报警处置信息；支持查看桥梁实 时运行监测情况。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6679"/>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1）基础信息模块：接入全县桥梁的结构类型、跨径组合、养护类别、养护等级、建造年代等基础信息数据，接入桥梁 在建项目相关信息，支持以图形的形式展现关键指标，支持列表查看及筛选关键信息，支持相关桥梁定位。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在建项目：展示桥梁在建项目相关信息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①以图标+数字+文字的形式呈现在建桥梁项目统计数据（项目总数、新建、改建、扩建）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②以列表形式呈现桥梁在建信息，展示字段包括所属桥梁名称、类型、建设阶段、项目投资额、已完成投资额。</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③可以按照年份切换查看不同年份的统计数据。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2）巡检养护模块：接入全县桥梁检查检测完成情况、展示桥梁巡检发现问题处置相关信息、展示桥梁养护工程计划相关信息，支持以图形的形式展现关键指标，支持列 表查看及筛选关键信息，支持相关桥梁定位。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检查检测：展示全县桥梁检查检测完成情况（经常性检查当月应检次数、实检占比；常规定期检测已检桥梁、未检桥梁数量；结构定期检测已检桥梁、未检桥梁数量）。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巡检问题处置：展示桥梁巡检发现问题处置相关信息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①以图标+数字+文字的形式呈现养护维修统计数据（总数、待处理、处理中、已验收)；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②以列表形式呈现桥梁巡检问题养护信息，展示字段包括所属桥梁名称、巡检项、病害名称、发现时间、处置状态、地图定位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③点击某一行记录的地图定位，联动地图展示相应桥梁点位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养护工程计划：展示桥梁养护工程计划相关信息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①以图标+数字+文字的形式呈现养护工程统计数据（保养小修、桥梁大中修、桥梁加固）；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②以列表形式呈现桥梁在建信息，展示字段包括所属桥梁名称、类型、计划资金、计划开始时间、计划结束时间；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③可以按照年份切换查看不同年份的统计数据。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养护管理工作评价：展示全县桥梁养护管理工作评价评分及排名。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3）统计分析模块：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结构类型统计：按结构类型统计全县桥梁情况。分类为梁式桥、斜拉桥、拱桥、悬索桥、结构组合、其它的桥梁数量；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养护分类统计：统计全县桥梁养护分类情况。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①养护等级：Ⅰ-Ⅲ等桥梁桥梁数量；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②养护类型：Ⅰ-Ⅴ类桥梁桥梁数量。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技术状况等级分布：统计全县桥梁技术状况等级情况。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①Ⅰ类养护桥梁：以饼状图形式展示技术状况为合格、不合格的桥梁数量及占比；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②Ⅱ-Ⅴ类养护桥梁：以饼状图形式展示技术状况为 A 级（完好状态）、B 级（良好状态）、C 级（合格状态）、D 级（不合格状态）、E 级（危险状态）的桥梁数量及占比；</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建造年代：统计全县不同建造年代的桥梁数量及占比-饼状图</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①统计全县不同建造年代的桥梁数量及占比：1980年之前、1980-1990年、1990-2000年、2000-2010年、2010-2020年、2020年之后、未知；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②支持查看不同建造年代的桥梁信息，并与gis地图进行联动。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4）地理信息图模块：与基础信息模块、巡检养护模块进行信息联动，展现全县桥梁基础信息筛选对应图层；弹窗展示 桥梁基础信息。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支持按照养护类别、养护等级等维度查询桥梁基础信息，支持查询结果导出下载。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通过接入现有系统或手动方式填报收集桥梁基础信息，支持对桥梁基础信息进行列表展示，包括：桥梁名称、 桥梁编号、所在路名、管理单位等信息。支持桥梁基础信息 的新增、编辑、删除、导入。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桥梁档案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以列表形式呈现全县桥梁电子档案信息，对全县桥梁电子档案信息进行统一管理。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支持按照养护类别、养护等级等维度查询，具体包括：桥梁名称、桥梁编号、自定义编号、管理单位、养护单位、图纸 存档形式、档案编号等信息。支持桥梁档案的新增、编辑、 删除、导入。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0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管养变更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①已移交桥梁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以列表形式呈现已移交桥梁信息，系统支持全县已移交桥梁信息统一管理，提供信息查询等功能。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支持按照养护类别、养护等级、结构类型、桥梁分类等维度查询，具体包括移交方、任务名称、接收方、移交说明等信 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②已拆除桥梁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以列表形式呈现已拆除桥梁信息，系统支持全县已拆除桥梁信息统一管理，提供信息查询等功能。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支持按照养护类别、养护等级、结构类型、桥梁分类等维度查询，具体包括：任务名称、类型等信息。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③已删除桥梁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以列表形式呈现已删除桥梁信息，系统支持全县已删除桥梁信息统一管理。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支持按照养护类别、养护等级、结构类型、桥梁分类等维度查询，具体包括：任务名称、类型等信息。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817"/>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1）计划桥梁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以列表形式呈现全县计划桥梁信息，对全县计划桥梁项目信息进行管理，提供信息查询、信息管理等功能。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支持按照项目名称、计划年度等维度筛选计划桥梁项目信息，支持查询结果导出下载。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通过接入现有系统或手动方式填报收集计划桥梁项目信息，支持查看详情，包括：计划年度、项目投资额等信息。支持计划桥梁项目信息进行新增、编辑、删除、导入。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2）在建桥梁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以列表形式呈现全县在建桥梁信息，对全县在建桥梁项目信息进行管理，提供信息查询、信息管理等功能。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支持按照桥梁名称、建设进度、时间等维度筛在建桥梁项目信息，支持查询结果导出下载。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通过接入现有系统或手动方式填报收集在建桥梁项目信息，支持列表展示及详情查看，包括：项目名称、项目类型、项目投资额等信息。支持在建桥梁项目信息进行新增、编辑、删除、导入。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8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智慧监测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实时监测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选择不同的监测桥梁，将桥梁布点可视化展示，并在测点处显示实时监测值。</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选择不同的监测桥梁，以列表和曲线的形式展示实时监测信息。支持监测数据导出功能。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选择不同的监测桥梁，对桥梁监测信息进行数理统计分析，包括平均值、方差、趋势等。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设备备管理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选择不同的监测桥梁，以列表形式呈现桥梁监测设备信息，对桥梁监测设备信息进行管理，提供信息查询、信息管理等功能。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支持用户按照设备类型、监测指标等维度筛选设备信息查看，支持查询结果导出下载。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提供对桥梁监测设备信息进行管理。支持查看详情，包括：桥梁名称、设备名称、设备类型、监测指标、设备状态等信息。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视频管理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通过接入桥梁监控视频，支持视频在线播放。支持视频按桥梁维度进行区分管理。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桥梁监测报警预警</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1）信息管理：可以管理预警监测信息，可以管理监测数据信息，可以管理数据报告信息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2）监测报警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以列表形式呈现桥梁监测报警信息，支持用户按照桥梁名称、传感器类型、报警等级、时间等维度筛选桥梁监测报警信息查看、导出。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3）报警预警处置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以列表形式呈现桥梁报警预警处置信息，对桥梁报警预警处置信息的统一管理。提供信息查询、报警预警处置、消息提 醒功能。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通过桥梁名称、报警预警类型、报警预警等级、处置状态、时间等维度查询桥梁报警预警处置信息，支持查 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②报警预警处置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支持预警报警处置流程的下发、过程的追踪及处置结果的收集。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提供报警预警信息处置操作功能。支持查看详情和报警处置，包括：桥梁名称、报警类型、报警等级、处置状态、时间、处置（确认报警、消除报警、升级预警）等。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③消息提醒</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提供报警处置情况的消息提醒、短信提醒和一键发起 IP 电话呼叫等功能，系统根据设定的阈值自动推送超期未处置的 消息给相关负责人。支持接受省级监管系统下发的报警预警 处置消息提醒事项。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3）超期阈值设置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对桥梁监测报警进行超期未处置阈值信息管理，主要功能包括信息查询、阈值设置、信息管理功能。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支持通过关键字等维度查询桥梁超期未处置阈值信息。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②阈值设置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提供超期未处置阈值信息管理功能。支持新增、修改超期阈值报警规则，设置报警规则的具体信息，具体信息包括超期 阈值设定、逾期通知方式、逾期通知范围等。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支持超期阈值设置的查看详情、导出。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监测报警管理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1）超限报警设置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支持用户按照设备类型、监测指标等维度少选超限报警信息查看；支持对监测设备超限阈值进行新增、编辑、删除。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2）周期报警设置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支持用户对桥梁结构长周期变化监测信息查看；支持对周期报警信息进行新增、编辑、删除。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3）累计报警设置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支持用户对桥梁累计报警信息查看；支持对桥梁累计报警信息进行新增、编辑、删除。</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系统填报情况</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支持用户按照年月、阶段、完整率、级别等维度筛选桥梁信息完整情况查看、导出。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支持功能权限和数据权限的分权管理。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检查检测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1）经常性检查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以列表形式展现桥梁经常性检查情况，支持用户按照年月、类型、比率等维度筛选检查检测信息查看、导出。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2）常规定期检测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以列表形式展现桥梁常规定期检测情况，持用户按照年月、类型、比率等维度筛选检查检测信息查看、导出。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3）结构定期检测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以列表形式展现桥梁结构定期检测情况，持用户按照年月、类型、比率等维度筛选检查检测信息查看、导出。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4）特殊检测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以列表形式展现桥梁特殊检测情况，持用户按照年月、类型、比率等维度筛选检查检测信息查看、导出。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养护工程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1）养护计划管理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以列表形式呈现桥梁养护计划信息，支持用户按照年月、桥梁名称等维度筛选桥梁养护计划信息查看、导出。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2）养护维修管理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以列表形式呈现桥梁养护维修信息，支持用户按照年月、桥梁名称等维度筛选桥梁养护维修信息查看、导出。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1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专项整治</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1）隐患整治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以列表形式呈现桥梁隐患整治信息，支持用户按照年月、整治进度、桥梁名称等维度筛选桥梁隐患整治信息查看、导 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2）危桥整治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以列表形式呈现危桥整治信息，支持用户按照年月、整治进度、桥梁名称等维度筛选危桥整治信息查看、导出。支持对 年月筛选危桥统计信息查看。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3）独柱墩整治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以列表形式呈现独柱墩整治信息，支持用户按照年月、整治进度、桥梁名称等维度筛选独柱墩整治信息查看、导出。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4）安全防护设施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以列表形式呈现安全防护设施信息，支持用户按照年月、整治进度、桥梁名称等维度筛选桥梁安全防护设施整治信息查 看、导出。支持用户按照年月筛选桥梁安全防护设施统计信 息查看。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事故处置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通过桥梁名称、事故等级、时间等维度查询桥梁事故处置信息，支持查询结果导出下载。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通过接入现有系统或手动方式填报收集事故处置情况，支持查看详情，包括：桥梁名称、事件名称、事故等 级、处置内容、处置状态等信息。支持桥梁事故处置信息进 行新增、编辑、删除、导入。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3）消息提醒</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提供桥梁事故的消息提醒、短信提醒和一键发起 IP 电话呼叫等功能。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186"/>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1）风险评估报告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以列表形式呈现风险评估报告简要信息，对《风险评估报告》进行管理。支持报告查询、在线浏览及下载。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①报告查询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支持总体风险评估报告信息查询，提供工程名称、建设单位、检测单位、检测时间等维度查询，支持报告 导出及下载。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②在线浏览</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提供风险评估报告基本信息录入功能。支持查看总体风险评估报告详情信息：工程名称、建设单位、检测单 位、操作（查看详情、提交、编辑、删除），支持《风险评 估报告》文件上传，报告在线浏览。</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2）风险评估数据管理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以列表形式呈现风险评估数据详细信息，对于风险评估关键数据通过本县系统接入或在线填报等方式进行管理，掌握 风险评估数据情况，提供信息查询、信息管理等功能。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以列表形式呈现风险评估数据详细信息，风险评估查询浏览可通过桥梁名称、风险等级、风险值、时间筛选（年度）等维度进行数据查询，支持查询结果导出下载。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通过接入市级监管系统数据或手动方式填报收集风险评估结果数据，支持查看风险评估详情信息：工程名称、建设单位、检测单位、桥梁名称、评估单元编号、评估 分值、评估等级、操作（查看详情、提交、编辑、删除）。</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8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监督评价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1）行业评价</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桥梁行业评价主要依托现行的《江苏省城市桥梁和地下道路养护管理情况评价标准》，包括城市桥梁和地下道路的组织 管理、养护管理、安全管理、应急管理、技术保障、监督管 理 6 大项，提供数据录入、评价结果查询等功能。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①数据录入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对桥梁主管单位养护管理情况评价信息进行录入，具体包括：年代、单位名称、组织管理、养护管理、安全管理、 应急管理、技术保障、监督管理、评分等，支持模板导入。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②评价结果查询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支持通过年度、单位名称等维度查询评价结果，支持详情查看及结果导出。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2）生命线工作评价</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对全县城市生命线桥梁专项工作进行监督评价，提供数据录入、指标配置、评价结果查询等功能。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①数据录入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通过接入现有系统或手动方式填报收集城市生命线桥梁专项工作监督评价信息，支持模板导入。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②指标配置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支持对工作评价指标进行自定义配置。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③评价结果查询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支持通过年度、单位名称等维度查询评价结果，支持详情查看及结果导出。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涉桥审批信息管理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1）信息查询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支持对道路占用挖掘审批信息进行查询。提供道路名称、申报单位、施工单位、审批状态等信息查询，支持 查询结果导出及下载。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2）信息管理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对于在桥上架设管线、在桥梁红线范围内施工、超重车辆过桥等审批信息通过原有系统接入或在线填报方式进行管理， 支持查看详情，包括：申请事项、申报单位、施 工单位、申报原因、地点、施工开始时间、施工结束时间、 审批状态等信息、操作（查看详情、提交、编辑、删除）。</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基础数据统计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对全县桥梁基础信息进照管理单元、统计指标、统计方式等维度进行统计，支持用各种图标如柱状图、表格等形式进行 展示，支持按照管理单元、统计指标、图表类型、时间筛选 进行查询，支持统计结果导出下载。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支持查询各统计指标下的桥梁信息，内容包括：名称、编号、所在路名、管理单位、养护单位、跨径分类、荷载等 级、结构类型等信息，支持查询结果导出下载。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支持全县桥梁项目信息按照统计指标、图表类型、时间等维度进行统计，支持用各种图标如柱状图、表格等形式 进行展示，支持按照管理单元、统计指标、图表类型、时间 筛选进行查询，支持统计结果导出下载。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1）监测报警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支持全县桥梁监测报警信息按照统计指标、图表类型、时间等维度进行统计分析，支持用各种图标如柱状 图、表格等形式进行展示，支持按照管理单元、统计指标、 图表类型、时间筛选进行查询，支持统计结果导出下载。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2）报警预警处置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支持全县桥梁监测报警处置信息按照统计指标、图表类型、时间等维度进行统计分析，支持用各种图标如柱 状图、表格等形式进行展示，支持按照管理单元、统计指 标、图表类型、时间筛选进行查询，支持统计结果导出下 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6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检查检测统计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1）经常性检查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对桥梁经常性检查数据进行多维度统计分析，支持用各种图标如柱状图、表格等形式进行展示，支持按照管理单元、统 计指标、图表类型、时间筛选进行查询，支持统计结果导出 下载。支持查询各类统计指标下桥梁经常性检查检测信息，内容包括：桥梁名称、桥梁编号、管理单位、养护单位、应检时间、应检次数、实检次数等信息，支持查询结果导出下载。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2）常规定期检测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常规定期检测数据进行多维度统计分析，支持用各种图标如柱状图、表格等形式进行展示，支持按照管理单元、统计指标、图表类型、时间筛选进行查询，支持统计结果导出下载。支持查询各类统计指标下桥梁常规定期检测信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3）结构定期检测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结构定期检测数据进行多维度统计分析，支持用各种图标如柱状图、表格等形式进行展示，支持按照管理单元、统计指标、图表类型、时间筛选进行查询，支持统计结果导出下载。支持查询各类统计指标下桥梁结构定期检测信息，内容包括：桥梁名称、桥梁编号、管理单位、养护单位等信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4）特殊检测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特殊检测数据进行多维度统计分析，支持用各种图标如柱状图、表格等形式进行展示，支持按照管理单元、统计指标、图表类型、时间筛选进行查询，支持统计结果导出下载。支持查询各类统计指标下桥梁特殊检测信息，内容包括：检测结论、检测时间、完成时间、检测部位、跨径分类、荷载等级、结构类型、技术状况评价、检测原因等信 息，支持查询结果导出下载。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5）技术状况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对桥梁技术状况等级数据进行多维度统计分析，支持用各种图标如柱状图、表格等形式进行展示，支持按照管理单元、 统计指标、图表类型、时间筛选进行查询，支持统计结果导 出下载。可查询各类统计指标下桥梁信息，内容包括:管理 单位、养护单位等信息，支持查询结果导出下载。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养护工程统计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对桥梁养护工程数据进行多维度统计分析，支持用各种图标如柱状图、表格等形式进行展示，支持按照管理单元、统计 指标、图表类型、时间筛选进行查询，支持统计结果导出下 载。可查询不同统计指标下桥梁养护工程信息，内容包括： 养护类型、计划资金、计划开始时间、结束时间等信息，支持查询结果导出下载。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8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专项整治统计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1）危桥整治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对危桥整治数据进行多维度统计分析，支持用各种图标如柱状图、表格等形式进行展示，支持按照管理单元、统计指 标、图表类型、时间筛选进行查询，支持统计结果导出下 载。可查询不同统计指标下危桥整治信息，内容包括：技术 状况、结构状况、整治信息等，支持查询结果导出下载。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2）隐患桥梁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桥梁整治数据进行多维度统计分析，支持用各种图标如柱状图、表格等形式进行展示，支持按照管理单元、统计指标、图表类型、时间筛选进行查询，支持统计结果导出下载。可查询不同统计指标下隐患桥梁整治信息，内容包括：技术状况、结构状况、整治信息等，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3）独柱墩整治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独柱墩桥梁整治数据进行多维度统计分析，支持用各种图标如柱状图、表格等形式进行展示，支持按照管理单元、统计指标、图表类型、时间筛选进行查询，支持统计结果导出下载。可查询不同指标下独柱墩整治信息，内容包括：桥梁信息、整治信息等，支持查询结果导出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4）安全防护设施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对安全防护设施整治数据进行多维度统计分析，支持用各种图标如柱状图、表格等形式进行展示，支持按照管理单元、统计指标、图表类型、时间筛选进行查询，支持统计结果导出下载。可查询不同指标下安全防护设施整治信息，内容包括：桥梁信息、整治信息等，支持查询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技术状况变化趋势统计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支持全县桥梁技术状况变化趋势信息按照管理单元、统计指标、统计方式、图表类型等维度进行统计分析；支持统计分析数据的数据导出；支持技术状况信息查看详情、导出。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事故处置统计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支持全县桥梁事故处置信息按照统计指标、图表类型、时间等维度进行统计分析，支持用各种图标如柱状图、表格等形式进行展示，支持按照管理单元、统计指标、 图表类型、时间筛选进行查询，支持统计结果导出下载。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风险评估统计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支持对全县桥梁风险评估信息按照统计指标、图表类型、时间等维度进行统计分析，支持用各种图标如柱状图、表格等形式进行展示，支持按照管理单元、统计指标、 图表类型、时间筛选进行查询，支持统计结果导出下载。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涉桥审批信息统计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支持对全县桥梁涉桥审批信息按照统计指标、图表类型、时间等维度进行统计分析，支持用各种图标如柱状图、表格等形式进行展示，支持按照管理单元、统计指标、 图表类型、时间筛选进行查询，支持统计结果导出下载。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工作台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我的任务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1）审核审批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可查看、编辑待审批工作，具体内容包括流水号、工作内容、所属流程、当前步骤、发起人、发起时间、根据单位名称等信息。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提供流水号、工作内容、根据单位名称查询。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2）我发起的</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可查看、编辑我发起的任务，内容为流水号、工作内容、所属流程、当前步骤、任务状态、撤销原因、发起时间等信 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提供流水号、工作内容、任务状态查询。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3）我办理的</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可查看我办理的任务事项，具体内容为流水号、工作内容、所属流程、当前步骤、任务状态、办理时间、发起人等信 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提供流水号、工作内容、任务状态查询。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管养变更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1.支持对桥梁拆除任务的申请填报；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2.支持对桥梁删除任务的申请填报；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3.支持对桥梁移交任务的申请填报。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26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检查检测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1）经常性检查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支持经常性检查结果填报，以列表形式展现各月份桥梁经常性检查情况，具体内容为年月、应检/实检/完成率、桥梁编 号、桥梁名称、所在道路、结构类型、跨径分类、养护类 别、养护等级、编辑时间、应巡查次数、实际巡查次数、巡 查责任人、巡查单位；支持经常性检查隐患填报，具体内容 为隐患日期、巡查人、问题描述、图片；支持信息导入、导 出；支持通过手机移动终端，并利用 GPS 定位功能，实现巡 检人员现场完成桥梁巡检任务及无线上传巡检结果。</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支持桥梁名称、桥梁编号查询。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2）常规定期检测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支持新增常规定检工作计划，内容包括工作名称、选择桥梁、年度、检测单位、相关文件等信息；支持填报定检详情，内容包括技术状况评定汇总、病害数量统计等信息；支 持信息导入、导出。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支持桥梁名称、桥梁编号查询。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3）结构定期检测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支持新增结构定检工作计划，内容包括工作名称、选择桥梁、年度、检测单位、相关文件等信息；可填报结构定检详 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支持桥梁名称、桥梁编号查询。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4）特殊检测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支持新增特殊检测工作计划，内容包括工作名称、选择桥梁、年度、检测单位、相关文件等信息；可填报特殊检测详 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支持桥梁名称、桥梁编号查询。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养护工程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1）养护计划管理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以列表形式呈现桥梁养护计划信息，支持计划填报，包括养护任务名称、选择桥梁、养护计划年度、养护类型、计划资 金、计划开始时间、计划结束时间。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支持用户按照年月、桥梁名称等维度筛选桥梁养护计划信息查看、导出。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2）养护维修管理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以列表形式呈现桥梁养护维修信息，支持养护维修结果填报，包括养护资质、施工前有无结构检测、施工单位、完成 情况、每平方米金额(元)、每米金额(元)。</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支持用户按照年月、桥梁名称等维度筛选桥梁养护维修信息查看、导出。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8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专项整治</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1）隐患整治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以列表形式呈现桥梁隐患整治信息，支持填报隐患桥梁整治方案、整治施工、整治验收相关信息。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支持用户按照年月、整治进度、桥梁名称等维度筛选桥梁隐患整治信息查看、导出。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2）危桥整治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以列表形式呈现危桥整治信息，支持填报危桥认定、整治方案、整治施工、整治验收相关信息。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支持用户按照年月、整治进度、桥梁名称等维度筛选危桥整治信息查看、导出。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3）独柱墩整治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以列表形式呈现独柱墩整治信息，支持填报独柱墩整治工作，内容包括工作名称、桥梁名称、管理单位、养护单位、 排查单位、开始时间、预计完成时间等信息。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支持用户按照年月、整治进度、桥梁名称等维度筛选独柱墩整治信息查看、导出。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4）安全防护设施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以列表形式呈现安全防护设施信息，支持填报安全防护设施整治工作，内容包括工作名称、桥梁名称、排查单位、开始 时间、预计完成时间等信息。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支持用户按照年月、整治进度、桥梁名称等维度筛选桥梁安全防护设施整治信息查看、导出。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移动端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GIS查询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提供地图查询功能，在地图上显示养护桥梁的位置等基本信息。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巡查打卡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支持通过点击打卡按钮快速生成巡查养护记录。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用户设置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支持对用户进行管理，实现添加用户、编辑用户、禁用/启用用户、用户密码修改/重置。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检查填报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支持对检查检测表单进行创建、提交、审核、归档。</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维修反馈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支持对维修结果进行反馈，进行创建、提交、审核、归档。</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桥梁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5"/>
            <w:tcBorders>
              <w:top w:val="single" w:color="000000" w:sz="8" w:space="0"/>
              <w:left w:val="single" w:color="000000" w:sz="8" w:space="0"/>
              <w:bottom w:val="single" w:color="000000" w:sz="8" w:space="0"/>
              <w:right w:val="single" w:color="000000" w:sz="8" w:space="0"/>
            </w:tcBorders>
            <w:tcW w:w="755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3.5、城市生命线-水环境专项子系统</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4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水环境专项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总览子图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汇聚全县城市生命线污水智慧监测、综合监管相关数据，展示全县城市生命线污水专项智慧监测、综合监管关键指标和数据。包含综合监管模块、智慧监测模块、地理信息图模块。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（1）综合监管模块：动态接入隐患排查、预警事件、项目信息、行业重点指标等关键信息及统计指标。支持部分信息列表查看及关键信息筛选。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（2）智慧监测模块：动态接入全县重点排水户、污水管网、污水泵站、污水厂等监测内容数据，以及污水厂负荷率、污水厂排放信息和出厂水质达标率。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（3）地理信息图模块：展示全县污水监测报警的区域位置及数量、点击弹出对应报警列表信息。支持污水基础设施、污水监测设备、预警报警事件、隐患整治分布图层切换。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798"/>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汇聚全县城市生命线污水设施报警监测、报警处置相关数据，展示全县城市生命线污水报警监测、报警处置关键指标和数据。包含报警监测模块，报警处置模块及地理信息图模块。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（1）报警监测模块：动态接入全县污水监测报警相关数据，主要包括各类别监测报警信息（重点排水户预警、污水泵站预警、污水管网预警及污水厂预警）以及报警数量分布。</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（2）报警处置模块：动态接入全县污水行业处置管理数据，主要包括污水处理能力、COD削减量、水质达标率、氨氮削减量等报警数据趋势。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（3）地理信息图模块：展示全县污水报警总数、全县污水运行监测报警（排水户、污水管网、污水泵站、污水厂）的区域位置及数量、点击弹出对应报警列表信息。同时支持重点区域监控视频展示。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提升改造子图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汇聚全县城市生命线污水老旧管网监测相关数据，展示全县城市生命线老旧管网、老化改造等关键指标和数据。包含现状评估模块、老化改造模块、地理信息图模块。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（1）现状评估统计模块：动态接入全县污水老旧管网现状分类统计数据，同步展示污水老旧管网公里数；动态接入污水老旧管网数据，对不同管龄、管径、材质三方面进行分类百分比统计。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（2）老化改造模块：动态接入污水管网老化改造相关监管数据，主要包括设施改造进度及完成率情况。</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（3）地理信息图模块：展示全县污水管网的具体点位信息，点击弹出对应管网的相关信息。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41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汇聚全县城市生命线污水基础设施相关数据，展示全县重点排水户、泵站、管网、污水处理厂等关键指标和数据。包含基础信息模块、行业信息模块、地理信息总图模块。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（1）基础信息模块：动态接入全县重点排水户、泵站、管网、污水处理厂等基础设施总数、分布及各类别数据占比信息。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（2）行业信息模块：动态接入全县重点排水户、泵站、管网、污水处理厂新增数量及增长率信息。同时支持展示达标区建成面积及建成比例等信息。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（3）地理信息图模块：展示全县污水设施分布情况，地图中展示重点排水户、泵站、管网、污水处理厂等基础设施数量及点位信息，点击弹出对应的列表信息。同时支持基础设施不同图层的切换。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污水行业基础信息管理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对重点排水户、污水管网、污水泵站、污水井、污水处理厂等基础设施信息进行多维度统计分析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污水管网信息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对污水管网的基本信息进行统一管理，提供信息查询、信息管理等功能。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污水泵站信息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对污水泵站的基本信息进行统一管理，提供信息查询、信息管理等功能。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污水井信息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对污水井的基本信息进行统一管理，提供信息查询、信息管理等功能。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污水处理厂信息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对污水处理厂的基本信息进行统一管理，提供信息查询、信息管理、信息填报、地图定位、报表生成等功能。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重点排水户信息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对重点排水户的基本信息进行统一管理，提供信息查询、信息管理等功能。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污泥管理信息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对污泥的基本信息进行统一管理，提供信息查询等功能。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再生水管理信息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对再生水的基本信息进行统一管理，提供信息查询等功能。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截流设施信息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对截流设施的基本信息进行统一管理，提供信息查询等功能。支持地图定位。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黑臭水体整治管理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对黑臭水体发现、整治措施及整治成效等信息进行统一管理，提供信息查询、信息管理功能。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河道水质监测管理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对河道水质监测数据、预警信息及相关处置情况进行统一管理。提供信息查询、信息管理功能。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污水运行监测管理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对污水预警报警信息进行多维度统计分析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监测设备管理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提供对污水管网、污水泵站等污水设施监测设备信息的统一管理。提供信息查询、信息管理功能。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监测报警信息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提供对污水管网、污水泵站、河道测水点等设施预警报警及处置信息的统一管理。提供信息查询、信息管理功能。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水质预警信息管理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提供对河道、污水处理厂水质不达标预警信息的统一管理。提供信息查询功能。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视频监控设备管理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提供污水专项视频监测设备信息的统一管理，提供信息查询、信息管理功能。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超期阈值设置管理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对污水监测的报警预警事件及接入或填报的巡检问题、隐患事件进行超期未处置阈值信息管理，主要功能包括信息查询、阈值设置、信息管理功能。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自动超期督办管理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对于系统里超期的预警信息，以消息的形式推送督办。</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监测数据管理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对污水专项监测设备以及视频监测设备产生的各类数据进行统一管理。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污水设施巡检养护管理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支持按照时间等维度对污水设施巡检养护计划信息、巡检养护计划执行信息进行多维度统计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通过在线填报方式汇聚污水设施巡检巡查计划，对巡检频次和内容进行监管，提供信息查询、信息管理等功能。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通过在线填报方式汇聚污水设施养护管理计划，对养护频次和内容进行监管，提供信息查询、信息管理等功能。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问题记录列表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对污水设施巡检养护过程中发现的问题及处置情况进行统一管理，提供信息查询、信息管理等功能。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巡检记录信息管理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对污水设施巡检过程中发现的问题及处置情况进行统一管理，提供信息查询、信息管理等功能。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养护记录信息管理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对污水设施养护过程中发现的问题及处置情况进行统一管理，提供信息查询、信息管理等功能。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养护经费信息管理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对污水设施养护经费情况进行统一管理，提供信息查询、信息管理等功能。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第三方施工问题记录信息管理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对由第三方施工发现或造成的问题情况及处置情况进行统一管理，提供信息查询、信息管理等功能。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污水设施项目信息管理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支持按照数据类别对项目计划信息及建设信息进行多维度统计分析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计划项目信息管理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支持对污水设施计划项目信息进行管理，提供信息查询、信息管理等功能。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达标区项目信息管理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支持对污水达标区建设项目信息进行管理，提供信息查询、信息管理等功能。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尾水湿地项目信息管理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支持对尾水湿地建设项目信息进行管理，提供信息查询、信息管理等功能。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再生水设施项目信息管理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支持对污水再生水设施建设项目信息进行管理，提供信息查询、信息管理等功能。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污水管网排查修复信息管理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支持对污水管网排查修复项目信息进行管理，提供信息查询、信息管理等功能。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污水泵站项目信息管理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支持对污水泵站建设项目信息进行管理，提供信息查询、信息管理等功能。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污水管网项目信息管理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支持对污水管网建设项目信息进行管理，提供信息查询、信息管理等功能。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监督考核评价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对污水行业评价及城市生命线污水专项工作评价等数据进行多维度统计分析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城镇污水处理工作规范化评价管理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依据污水行业相关考核办法及标准，对城镇污水处理工作规范化评价进行统一管理，主要包括数据填报、评价结果查询等功能。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城镇污水处理运行考核管理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对城镇污水处理运行进行考核评价，主要包括数据填报、评价结果查询等功能。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08"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0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水环境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6"/>
            <w:tcBorders>
              <w:top w:val="single" w:color="000000" w:sz="8" w:space="0"/>
              <w:left w:val="single" w:color="000000" w:sz="8" w:space="0"/>
              <w:bottom w:val="single" w:color="000000" w:sz="8" w:space="0"/>
              <w:right w:val="single" w:color="000000" w:sz="8" w:space="0"/>
            </w:tcBorders>
            <w:tcW w:w="7994"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四、工程建设其他</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项目</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内容描述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系统集成</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软硬件系统集成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进行系统集成、接口开发、系统联调的统一管理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网络资源</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网络资源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1、专项视频网络传输链路：11条20M数据专线；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2、桥梁专线1条网络数据传输专线，50M数据专线；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3、未来运行监测中心、政务云与县住建局的网络100M专线2条。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4、5年服务。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第三方测评</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等保测评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1、根据国家对网络安全等级保护工作的相关法律和技术标准要求，开展网络安全等级保护测评工作。</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2、根据《信息安全等级保护管理办法》和《网络安全等级保护基本要求》，结合测评的结果，进一步完善信息安全等级保护管理体系。</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3、结合等级保护测评报告提出的安全防护现状与等级保护基本要求之间的差距，进一步完善信息安全等级保护安全技术措施。最终顺利通过三级等保测评。</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4、3年服务。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密码测评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进行商用密码应用安全性评估，输出评估结果，为信息系统商用密码应用与安全性等各项工作提供指导依据，主要包括以下评估内容：</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1、系统商用密码应用安全评估服务，服务内容包括：根据《中华人民共和国网络安全法》、《中华人民共和国密码法》、《信息安全技术 信息系统密码应用基本要求》（GB/T 39786-2021）等政策、法律法规的要求，对系统的密码应用的合规性、正确性和有效性进行评估，出具《商用密码应用安全性评估报告》，并协助射阳县住建局向密码管理部门完成备案；</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2、密码应用安全性整改咨询服务，服务内容包括：</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①对射阳县城市生命线安全工程建设所有业务系统的密码应用方案提供合规性评审服务；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②提供密码应用安全性整改咨询服务。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③3年服务。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3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软件测评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692"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针对软件开发成果，完整性、安全性和质量水平进行全面测评；1次服务。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35"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bl>
    <w:p>
      <w:pPr>
        <w:pStyle w:val="627"/>
        <w:rPr>
          <w:rFonts w:hint="eastAsia" w:ascii="仿宋" w:hAnsi="仿宋" w:eastAsia="仿宋" w:cs="仿宋"/>
          <w:color w:val="000000"/>
          <w:sz w:val="24"/>
        </w:rPr>
      </w:pPr>
      <w:r>
        <w:rPr>
          <w:rFonts w:hint="eastAsia" w:ascii="仿宋" w:hAnsi="仿宋" w:eastAsia="仿宋" w:cs="仿宋"/>
          <w:color w:val="000000"/>
          <w:sz w:val="24"/>
        </w:rPr>
      </w:r>
      <w:r/>
    </w:p>
    <w:p>
      <w:pPr>
        <w:pStyle w:val="627"/>
        <w:ind w:firstLine="420"/>
        <w:rPr>
          <w:rFonts w:hint="eastAsia" w:ascii="宋体" w:hAnsi="宋体" w:eastAsia="宋体" w:cs="宋体"/>
          <w:color w:val="000000"/>
          <w:sz w:val="24"/>
        </w:rPr>
      </w:pPr>
      <w:r>
        <w:rPr>
          <w:rFonts w:hint="eastAsia" w:eastAsia="宋体"/>
          <w:color w:val="000000"/>
        </w:rPr>
        <w:t xml:space="preserve">注：软件要求部署在政务云资源上，并提供三级等保防护，相关计算、存储、网络安全资源将申请县政务云资源，由采购人负责协调申请，无需供应商承担资源租赁费用。</w:t>
      </w:r>
      <w:r>
        <w:rPr>
          <w:rFonts w:hint="eastAsia" w:ascii="宋体" w:hAnsi="宋体" w:eastAsia="宋体" w:cs="宋体"/>
          <w:color w:val="000000"/>
          <w:sz w:val="24"/>
        </w:rPr>
      </w:r>
      <w:r/>
    </w:p>
    <w:p>
      <w:pPr>
        <w:pStyle w:val="627"/>
        <w:ind w:firstLine="420"/>
        <w:rPr>
          <w:rFonts w:hint="eastAsia" w:ascii="宋体" w:hAnsi="宋体" w:eastAsia="宋体" w:cs="宋体"/>
          <w:color w:val="000000"/>
          <w:sz w:val="24"/>
        </w:rPr>
      </w:pPr>
      <w:r>
        <w:rPr>
          <w:rFonts w:hint="eastAsia" w:ascii="宋体" w:hAnsi="宋体" w:eastAsia="宋体" w:cs="宋体"/>
          <w:color w:val="000000"/>
          <w:sz w:val="24"/>
        </w:rPr>
      </w:r>
      <w:r/>
    </w:p>
    <w:p>
      <w:pPr>
        <w:pStyle w:val="627"/>
        <w:rPr>
          <w:rFonts w:hint="eastAsia" w:ascii="宋体" w:hAnsi="宋体" w:eastAsia="宋体" w:cs="宋体"/>
          <w:color w:val="000000"/>
          <w:sz w:val="24"/>
        </w:rPr>
      </w:pPr>
      <w:r>
        <w:rPr>
          <w:rFonts w:hint="eastAsia" w:ascii="宋体" w:hAnsi="宋体" w:eastAsia="宋体" w:cs="宋体"/>
          <w:color w:val="000000"/>
          <w:sz w:val="24"/>
        </w:rPr>
      </w:r>
      <w:r/>
    </w:p>
    <w:p>
      <w:pPr>
        <w:pStyle w:val="627"/>
        <w:rPr>
          <w:rFonts w:hint="eastAsia" w:ascii="宋体" w:hAnsi="宋体" w:eastAsia="宋体" w:cs="宋体"/>
          <w:color w:val="000000"/>
          <w:sz w:val="24"/>
        </w:rPr>
      </w:pPr>
      <w:r>
        <w:rPr>
          <w:rFonts w:hint="eastAsia" w:ascii="宋体" w:hAnsi="宋体" w:eastAsia="宋体" w:cs="宋体"/>
          <w:color w:val="000000"/>
          <w:sz w:val="24"/>
        </w:rPr>
        <w:t xml:space="preserve">第二阶段：</w:t>
      </w:r>
      <w:r>
        <w:rPr>
          <w:rFonts w:hint="eastAsia" w:ascii="宋体" w:hAnsi="宋体" w:eastAsia="宋体" w:cs="宋体"/>
          <w:color w:val="000000"/>
          <w:sz w:val="24"/>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425"/>
        <w:gridCol w:w="684"/>
        <w:gridCol w:w="1015"/>
        <w:gridCol w:w="537"/>
        <w:gridCol w:w="4916"/>
        <w:gridCol w:w="426"/>
        <w:gridCol w:w="426"/>
      </w:tblGrid>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一、硬件建设部分</w:t>
            </w:r>
            <w:r>
              <w:rPr>
                <w:rFonts w:hint="eastAsia" w:ascii="宋体" w:hAnsi="宋体" w:eastAsia="宋体" w:cs="宋体"/>
                <w:b/>
                <w:bCs/>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设备名称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详细功能参数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1.1、燃气专项硬件建设</w:t>
            </w:r>
            <w:r>
              <w:rPr>
                <w:rFonts w:hint="eastAsia" w:ascii="宋体" w:hAnsi="宋体" w:eastAsia="宋体" w:cs="宋体"/>
                <w:b/>
                <w:bCs/>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可燃气体智能监测仪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1）量程：0-100%LEL；</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2）报警设定值：低限报警：20%LEL；高限报警：40%LEL；</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3）探测精度：≤±3%LEL；</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4）探测频率：不低于1次/20min（可设置）；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5）防护等级：不低于IP68；</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6）数据采集频率：不低于1次/5min（可设置）；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7）数据上传频率：不低于1次/12h（可设置）。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压力计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1）探测精度：±0.1%；</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2）探测频率：实时；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3）防护等级：不低于IP65；</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4）数据采集频率：实时；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5）数据上传频率：实时。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包括但不限于燃气专项硬件建设所有的软硬件辅材、安装、调试、网络、质保、培训、运输、配合、协调、安装现场破坏及恢复等费用，总价包干。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1.2、供水专项硬件建设</w:t>
            </w:r>
            <w:r>
              <w:rPr>
                <w:rFonts w:hint="eastAsia" w:ascii="宋体" w:hAnsi="宋体" w:eastAsia="宋体" w:cs="宋体"/>
                <w:b/>
                <w:bCs/>
                <w:color w:val="000000"/>
                <w:sz w:val="20"/>
                <w:szCs w:val="20"/>
              </w:rPr>
            </w:r>
            <w:r/>
          </w:p>
        </w:tc>
      </w:tr>
      <w:tr>
        <w:trPr>
          <w:trHeight w:val="36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压力计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1.压力精度：不低于±0.5%</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2.量程：0-1.6Mpa（非二次供水），0~2.4MPa（二次供水）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3.防护等级：IP68</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4.使用寿命：不低于5年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5.通讯方式：NB-IoT/4G/CAT1。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噪声探测仪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1.传感器灵敏度：大于1000PC/g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2.锂电池寿命：不低于5年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3.采集频率：不低于12000次/1h</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4.工作温度：-20℃-50℃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5.防护等级：IP68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6.通讯方式：NB-IoT/4G/CAT1</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7.应具备记录两种以上噪声参数的能力</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r>
      <w:tr>
        <w:trPr>
          <w:trHeight w:val="24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智能消防栓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1.功能：可感知阀杆启闭、管道压力、出水流量，具备防盗防撞报警功能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2.压力测量量程：0-1.6Mpa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3.压力监测频率：不低于1次/1min</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4.压力监测精度：不低于±0.5%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5.监测频率：不低于1次/5min</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6.电池使用寿命：不低于5年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7.防护等级：IP68</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8.定位精度：小于5m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9.通讯方式：NB-IoT/4G/CAT1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包括但不限于供水专项硬件建设所有的软硬件辅材、安装、调试、网络、质保、培训、运输、配合、协调、安装现场破坏及恢复等费用，总价包干。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1.3、排水（雨水）专项硬件建设</w:t>
            </w:r>
            <w:r>
              <w:rPr>
                <w:rFonts w:hint="eastAsia" w:ascii="宋体" w:hAnsi="宋体" w:eastAsia="宋体" w:cs="宋体"/>
                <w:b/>
                <w:bCs/>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电子水尺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1）监测原理：微弱感应式测量；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2）设备通信方式：NB-IoT；</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3）配置方式：支持蓝牙、App、平台远程配置；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4）量程：0-1.2m；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5）精度: ±1cm；分辨率1cm；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6）采集上传频率：无积水8小时上报心跳；有积水5min采集上传；</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7）防护等级：IP68（72h）；</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8）终端工作温度：-20℃～70℃；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9）相对湿度：0~100%；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10）供电方式:内置电池供电,3.6V,10AH；</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11）待机功率：＜100μA/3.6V；</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8190"/>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1、像素均不小于400万，内置1/1.8英寸CMOS；</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2、内置4.8mm～154mm镜头焦距镜头，光圈≥F1.0，支持32倍光学变倍；</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3、▲在实时低功耗模式下，平台可在6s内（含）将样机唤醒至常态模式；</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4、▲内置RS485接口，支持接入太阳能电池系统、雨量传感器、水位传感器、流速传感器；</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5、▲具有实时低功耗模式，实时低功耗模式运行，功耗≤3W，支持1秒1帧码流录像；在实时低功耗模式下，可在绊线入侵或区域入侵触发后0.1s内唤醒样机至常规性能模式；</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6、支持标准水位标尺识别，支持虚拟水位标尺识别，支持水位超出上下限报警，支持水位数据定时推送，支持检测区域内水面漂浮物堆积面积占比检测，支持排水口检测；</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7、可通过平台客户端进行4G远程web端登录和远程运维操作，可进行相机图像配置、智能配置、网络配置、平台配置、设备升级、云台控制等；</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8、支持DC12V±10%宽电压输入；</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9、支持IP66防护等级；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液位计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1.测量量程：0~5m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2.测量精度：优于全量程的1%</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3.通信方式：NB-IoT/2G/3G/4G</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4.供电方式：一次性锂电池，3.6VDC，≥35AH</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视频监控供电开户、接电安装及电费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含排水（雨水）专项涉及所有视频监控的供电开户手续、接电安装人工材料打包费用及质保、建设期和质保期内的所有电费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包括但不限于排水（雨水）专项硬件建设所有的软硬件辅材、安装、调试、网络、质保、培训、运输、配合、协调、安装现场破坏及恢复等费用，总价包干。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1.4、排水（污水）专项硬件建设</w:t>
            </w:r>
            <w:r>
              <w:rPr>
                <w:rFonts w:hint="eastAsia" w:ascii="宋体" w:hAnsi="宋体" w:eastAsia="宋体" w:cs="宋体"/>
                <w:b/>
                <w:bCs/>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微型水质监测仪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ORP：铂金电极法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水温：热电阻法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溶解氧：荧光法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氨氮：水杨酸分光光度法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浊度：光散射法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窨井雷达液位监测仪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1.水位量程 10m/30m/45m；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2.工作电压 12VDC；</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3.工作温度 -30～+70℃；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4.通讯接口 RS485；</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5.通讯协议 Modbus-RTU；</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6.防护等级 IP68；</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7.分辨率 1mm/3mm；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8.工作电流 20mA@12VDC；</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9.通讯方式 NB-IOT；</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10.供电方式 内置电池（充满电可用一年）；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11.安装方式 壁挂式；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12.防护等级 IP68。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管道流量监测仪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检测原理：多普勒</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测量数据：流速、流量、液位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液位测量范围：0～10m（可定制）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液位测量精度：±1cm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流速测量范围：0.03m/s～5.00m/s</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流速测量精度：±2%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流量测量范围：0m3/s～9999m3/s</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r>
      <w:tr>
        <w:trPr>
          <w:trHeight w:val="26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电磁流量计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1、法兰材质：不锈钢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2、壳体材质：不锈钢或合金防腐机壳</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3、传感器防护等级：IP68</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4、精度等级：0.50%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5、压力损失：不大于1m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6、工作压力：1.0MPA</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7、防护等级：变送器：IP67、传感器：IP68</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8、采集频率：不低于1次/5min</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9、数据要求：应包含瞬时流量、正负累计流量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10、使用寿命：不低于5年</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11、数据传输：NB-IoT/2G/3G/4G</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r>
      <w:tr>
        <w:trPr>
          <w:trHeight w:val="48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水质监测系统（总磷、总氮、氨氮）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氨氮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测量范围：0-150 mg/L （可拓展）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测量精度：浓度≤2mg/L，误差±10%；浓度＞5mg/L，误差±5%</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示值误差：不超过±3%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重 复 性：不超过±2%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检出限：0.01mg/L</w:t>
            </w:r>
            <w:r>
              <w:rPr>
                <w:rFonts w:hint="eastAsia" w:ascii="宋体" w:hAnsi="宋体" w:eastAsia="宋体" w:cs="宋体"/>
                <w:color w:val="000000"/>
                <w:sz w:val="20"/>
                <w:szCs w:val="20"/>
                <w:lang w:bidi="ar"/>
              </w:rPr>
              <w:br w:type="textWrapping" w:clear="all"/>
            </w:r>
            <w:r>
              <w:rPr>
                <w:rFonts w:hint="eastAsia" w:ascii="宋体" w:hAnsi="宋体" w:eastAsia="宋体" w:cs="宋体"/>
                <w:b/>
                <w:bCs/>
                <w:color w:val="000000"/>
                <w:sz w:val="20"/>
                <w:szCs w:val="20"/>
                <w:lang w:bidi="ar"/>
              </w:rPr>
              <w:t xml:space="preserve">总氮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测量范围：0-50 mg/L （可拓展）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示值误差：不超过±3%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重 复 性：不超过±2%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测量精度：浓度≤0.5mg/L，误差±0.05mg/L；浓度＞0.5mg/L，误差±10%F.S.</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检出限：0.01mg/L</w:t>
            </w:r>
            <w:r>
              <w:rPr>
                <w:rFonts w:hint="eastAsia" w:ascii="宋体" w:hAnsi="宋体" w:eastAsia="宋体" w:cs="宋体"/>
                <w:color w:val="000000"/>
                <w:sz w:val="20"/>
                <w:szCs w:val="20"/>
                <w:lang w:bidi="ar"/>
              </w:rPr>
              <w:br w:type="textWrapping" w:clear="all"/>
            </w:r>
            <w:r>
              <w:rPr>
                <w:rFonts w:hint="eastAsia" w:ascii="宋体" w:hAnsi="宋体" w:eastAsia="宋体" w:cs="宋体"/>
                <w:b/>
                <w:bCs/>
                <w:color w:val="000000"/>
                <w:sz w:val="20"/>
                <w:szCs w:val="20"/>
                <w:lang w:bidi="ar"/>
              </w:rPr>
              <w:t xml:space="preserve">总磷</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测量范围：0-10mg/L(以磷计)可扩展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示值误差：不超过±3%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重 复 性：不超过±2%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测量精度：质控样：±10%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检出限：0.01mg/L</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r>
      <w:tr>
        <w:trPr>
          <w:trHeight w:val="6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水质监测系统（cod、总磷、总氮、氨氮）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COD</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测量范围：0-2000 mg/L （可拓展）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示值误差：不超过±3%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重 复 性：不超过±3%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测量精度：质控样：±3mg/L（COD＜30mg/L）；±10%（30mg/L≤COD＜60mg/L）；±6%（60mg/L≤COD＜100mg/L）；±5%（COD≥100mg/L）</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检出限：10mg/L</w:t>
            </w:r>
            <w:r>
              <w:rPr>
                <w:rFonts w:hint="eastAsia" w:ascii="宋体" w:hAnsi="宋体" w:eastAsia="宋体" w:cs="宋体"/>
                <w:color w:val="000000"/>
                <w:sz w:val="20"/>
                <w:szCs w:val="20"/>
                <w:lang w:bidi="ar"/>
              </w:rPr>
              <w:br w:type="textWrapping" w:clear="all"/>
            </w:r>
            <w:r>
              <w:rPr>
                <w:rFonts w:hint="eastAsia" w:ascii="宋体" w:hAnsi="宋体" w:eastAsia="宋体" w:cs="宋体"/>
                <w:b/>
                <w:bCs/>
                <w:color w:val="000000"/>
                <w:sz w:val="20"/>
                <w:szCs w:val="20"/>
                <w:lang w:bidi="ar"/>
              </w:rPr>
              <w:t xml:space="preserve">氨氮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测量范围：0-150 mg/L （可拓展）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测量精度：浓度≤2mg/L，误差±10%；浓度＞5mg/L，误差±5%</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示值误差：不超过±3%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重 复 性：不超过±2%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检出限：0.01mg/L</w:t>
            </w:r>
            <w:r>
              <w:rPr>
                <w:rFonts w:hint="eastAsia" w:ascii="宋体" w:hAnsi="宋体" w:eastAsia="宋体" w:cs="宋体"/>
                <w:color w:val="000000"/>
                <w:sz w:val="20"/>
                <w:szCs w:val="20"/>
                <w:lang w:bidi="ar"/>
              </w:rPr>
              <w:br w:type="textWrapping" w:clear="all"/>
            </w:r>
            <w:r>
              <w:rPr>
                <w:rFonts w:hint="eastAsia" w:ascii="宋体" w:hAnsi="宋体" w:eastAsia="宋体" w:cs="宋体"/>
                <w:b/>
                <w:bCs/>
                <w:color w:val="000000"/>
                <w:sz w:val="20"/>
                <w:szCs w:val="20"/>
                <w:lang w:bidi="ar"/>
              </w:rPr>
              <w:t xml:space="preserve">总氮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测量范围：0-50 mg/L （可拓展）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示值误差：不超过±3%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重 复 性：不超过±2%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测量精度：浓度≤0.5mg/L，误差±0.05mg/L；浓度＞0.5mg/L，误差±10%F.S.</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检出限：0.01mg/L</w:t>
            </w:r>
            <w:r>
              <w:rPr>
                <w:rFonts w:hint="eastAsia" w:ascii="宋体" w:hAnsi="宋体" w:eastAsia="宋体" w:cs="宋体"/>
                <w:color w:val="000000"/>
                <w:sz w:val="20"/>
                <w:szCs w:val="20"/>
                <w:lang w:bidi="ar"/>
              </w:rPr>
              <w:br w:type="textWrapping" w:clear="all"/>
            </w:r>
            <w:r>
              <w:rPr>
                <w:rFonts w:hint="eastAsia" w:ascii="宋体" w:hAnsi="宋体" w:eastAsia="宋体" w:cs="宋体"/>
                <w:b/>
                <w:bCs/>
                <w:color w:val="000000"/>
                <w:sz w:val="20"/>
                <w:szCs w:val="20"/>
                <w:lang w:bidi="ar"/>
              </w:rPr>
              <w:t xml:space="preserve">总磷</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测量范围：0-10mg/L(以磷计)可扩展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示值误差：不超过±3%</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重 复 性：不超过±2%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测量精度：质控样：±10%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检出限：0.01mg/L</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雷达液位计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1.水位量程：10m/30m/45m</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2.工作电压：12VDC</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3.工作温度：-30～+70℃</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4.通讯接口：RS485</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5.通讯协议：Modbus-RTU</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6.防护等级：IP68</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7.分辨率：1mm/3mm</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r>
      <w:tr>
        <w:trPr>
          <w:trHeight w:val="55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水质监测系统</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一、pH水质自动分析仪</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1.测定范围：0-14 pH，可调</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2.准确度（示值误差）：±0.1pH</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3.重复性（精密度）：≤0.1pH</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二、溶解氧水质自动分析仪</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1.测定范围：0.0～20.0mg/L或(0～200)%，可调</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2.准确度（示值误差）：±0.3mg/L</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3.重复性（精密度）：≤0.3mg/L</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三、浊度水质自动分析仪</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1.量程：0～1000NTU，可调</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2.准确度（示值误差）：±5%</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3.重复性（精密度）：≤5%</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四、氨氮水质在线自动监测仪</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1.测量范围：0 ～10/100/1000mg/L(可调）</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2.重复性（精密度）：≤3%</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3.准确度（示值误差）：±5%F.S</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排水（污水）专项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包括但不限于排水（污水）专项硬件建设所有的软硬件辅材、安装、调试、网络、质保、培训、运输、配合、协调、安装现场破坏及恢复等费用，总价包干。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1.5、道路专项检测（服务）</w:t>
            </w:r>
            <w:r>
              <w:rPr>
                <w:rFonts w:hint="eastAsia" w:ascii="宋体" w:hAnsi="宋体" w:eastAsia="宋体" w:cs="宋体"/>
                <w:b/>
                <w:bCs/>
                <w:color w:val="000000"/>
                <w:sz w:val="20"/>
                <w:szCs w:val="20"/>
              </w:rPr>
            </w:r>
            <w:r/>
          </w:p>
        </w:tc>
      </w:tr>
      <w:tr>
        <w:trPr>
          <w:trHeight w:val="50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三维地质探地雷达（车载）（服务）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一、巡检设备服务参数：</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1、雷达主机：探测深度：1~8m</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2、实现方式：实时采样脉冲雷达 中心频率：450MHz  </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3、信噪比：＞126dB </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4、数据位数：16或32bit</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5、回复频率：160MHz </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6、扫描/秒＞800 </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7、采集时速：60-130Km/h@5cm</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8、水平采样间距（道间距）</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9、时窗：166ns 带宽＞120%</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10、分数宽度，-10dB </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11、采集模式：测距轮触发，时间触发或手动触发  </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12、定位：测距轮，内置GPS，外接GPS</w:t>
            </w:r>
            <w:r>
              <w:rPr>
                <w:rFonts w:hint="eastAsia" w:ascii="宋体" w:hAnsi="宋体" w:eastAsia="宋体" w:cs="宋体"/>
                <w:color w:val="000000"/>
                <w:szCs w:val="21"/>
                <w:lang w:bidi="ar"/>
              </w:rPr>
            </w:r>
            <w:r/>
          </w:p>
          <w:p>
            <w:pPr>
              <w:pStyle w:val="627"/>
              <w:jc w:val="left"/>
              <w:widowControl/>
              <w:tabs>
                <w:tab w:val="center" w:pos="2354" w:leader="none"/>
              </w:tabs>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13、通道数：10通道</w:t>
            </w:r>
            <w:r>
              <w:rPr>
                <w:rFonts w:hint="eastAsia" w:ascii="宋体" w:hAnsi="宋体" w:eastAsia="宋体" w:cs="宋体"/>
                <w:color w:val="000000"/>
                <w:szCs w:val="21"/>
                <w:lang w:bidi="ar"/>
              </w:rPr>
              <w:tab/>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二、服务与数据分析</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1、数据分析服务：道路探地雷达数据分析，对道路地下空洞位置、尺寸、隐患等数据进行分析，分析现存隐患可能产生的影响程度，指导空洞病害处置。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公里</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1.6、桥梁专项硬件建设</w:t>
            </w:r>
            <w:r>
              <w:rPr>
                <w:rFonts w:hint="eastAsia" w:ascii="宋体" w:hAnsi="宋体" w:eastAsia="宋体" w:cs="宋体"/>
                <w:b/>
                <w:bCs/>
                <w:color w:val="000000"/>
                <w:sz w:val="20"/>
                <w:szCs w:val="20"/>
              </w:rPr>
            </w:r>
            <w:r/>
          </w:p>
        </w:tc>
      </w:tr>
      <w:tr>
        <w:trPr>
          <w:trHeight w:val="8190"/>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1、像素均不小于400万，内置1/1.8英寸CMOS；</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2、内置4.8mm～154mm镜头焦距镜头，光圈≥F1.0，支持32倍光学变倍；</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3、▲在实时低功耗模式下，平台可在6s内（含）将样机唤醒至常态模式；</w:t>
            </w:r>
            <w:r>
              <w:rPr>
                <w:rFonts w:hint="eastAsia" w:ascii="宋体" w:hAnsi="宋体" w:eastAsia="宋体" w:cs="宋体"/>
                <w:color w:val="000000"/>
                <w:szCs w:val="21"/>
                <w:highlight w:val="yellow"/>
                <w:lang w:bidi="ar"/>
              </w:rPr>
              <w:t xml:space="preserve">（提供国家认可的第三方机构出具的检测报告扫描件）</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4、▲内置RS485接口，支持接入太阳能电池系统、雨量传感器、水位传感器、流速传感器；</w:t>
            </w:r>
            <w:r>
              <w:rPr>
                <w:rFonts w:hint="eastAsia" w:ascii="宋体" w:hAnsi="宋体" w:eastAsia="宋体" w:cs="宋体"/>
                <w:color w:val="000000"/>
                <w:szCs w:val="21"/>
                <w:highlight w:val="yellow"/>
                <w:lang w:bidi="ar"/>
              </w:rPr>
              <w:t xml:space="preserve">（提供国家认可的第三方机构出具的检测报告扫描件）</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5、▲具有实时低功耗模式，实时低功耗模式运行，功耗≤3W，支持1秒1帧码流录像；在实时低功耗模式下，可在绊线入侵或区域入侵触发后0.1s内唤醒样机至常规性能模式；</w:t>
            </w:r>
            <w:r>
              <w:rPr>
                <w:rFonts w:hint="eastAsia" w:ascii="宋体" w:hAnsi="宋体" w:eastAsia="宋体" w:cs="宋体"/>
                <w:color w:val="000000"/>
                <w:szCs w:val="21"/>
                <w:highlight w:val="yellow"/>
                <w:lang w:bidi="ar"/>
              </w:rPr>
              <w:t xml:space="preserve">（提供国家认可的第三方机构出具的检测报告扫描件）</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6、可通过平台客户端进行4G远程web端登录和远程运维操作，可进行相机图像配置、智能配置、网络配置、平台配置、设备升级、云台控制等；</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7、支持DC12V±10%宽电压输入；</w:t>
            </w:r>
            <w:r>
              <w:rPr>
                <w:rFonts w:hint="eastAsia" w:ascii="宋体" w:hAnsi="宋体" w:eastAsia="宋体" w:cs="宋体"/>
                <w:color w:val="000000"/>
                <w:szCs w:val="21"/>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8、支持IP66防护等级；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r>
      <w:tr>
        <w:trPr>
          <w:trHeight w:val="6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光电挠度仪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1.集成视频采集和人工智能图像算法，毫米级多目标视觉形变高速定位追踪技术，支持非接触、远距离、全视角、高频率、全时段、长周期形变监测功能，支持最大20个标靶测量点；</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2.像素：400W像素画面，分辨率：2688×1520@30fps，H.265编码；</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3.距离：≥100m；</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4.▲内置AI抗遮挡算法，标靶被部分遮挡时通过靶标轮廓补全定位，适应复杂环境(如物体遮挡、粉尘、强光直射)的标靶识别失效问题，提升监测连续性</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5.通信：4G、5G、2.4GWifi、网口通信</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6.接口：5G和2.4GWiFi双天线，1个1000M网口，6个USB接,5路可扩展串口(1路TTL，4路RS232)；</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具备OTA远程配置和固件更新能力。可通过云服务器查看监测数据，电池电量、联网成功率、无线信号强度、倾角姿态、空间定位、时间戳数据，支持远程修改设备采集频次传输频次、报警阈值运行参数，可OTA远程进行固件升级，可采用HTTP传输协议远程快速升级，3分钟内完成远程固件升级</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8.采集频率：默认1Hz，可选最大120Hz；</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9.防护：盐雾试验≥700小时，防护等级≥IP66；</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10.EMC电磁兼容。</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11.标靶波长：850nm光电标靶；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r>
      <w:tr>
        <w:trPr>
          <w:trHeight w:val="6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振弦式应变计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1）量程:±1200με；</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2）精度:±0.1％F.S；</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3）温度范围:-20℃～+80℃；</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4）测温精度:±0.5℃；</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5）标距:150mm；</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6）出线方式：单端出线；</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7）线缆：默认线长2米。</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56</w:t>
            </w:r>
            <w:r>
              <w:rPr>
                <w:rFonts w:hint="eastAsia" w:ascii="宋体" w:hAnsi="宋体" w:eastAsia="宋体" w:cs="宋体"/>
                <w:color w:val="000000"/>
                <w:sz w:val="20"/>
                <w:szCs w:val="20"/>
              </w:rPr>
            </w:r>
            <w:r/>
          </w:p>
        </w:tc>
      </w:tr>
      <w:tr>
        <w:trPr>
          <w:trHeight w:val="824"/>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裂缝计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1.集成裂缝、倾角、温度、水浸等监测指标；</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2.裂缝：量程50mm，可选0～300mm多个量程区间，精度±0.2%F.S，分辨率0.0001mm；</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3.倾角：量程0～180°（±90°），精度±0.5°，分辨率0.01°；</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4.温度：无触点温度，量程-40～+125℃，精度±0.2℃；</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5.水浸：非接触式水浸，水浸即触发报警并上传至平台；</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6.通信：4G/RS485通信；</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7.电源：≥19000mAH锂亚电池，续航≥5年；</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8.▲具备4G传输能力，支持最大下行速率≥15Mbps和最大上行速率≥5Mbps，支持OTA空中下载固件升级和低功耗设计。兼容可选内置5G通信能力</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9.▲具备NB-IoT传输能力，支持最大下行速率≥120Kbps和最大上行速率≥150Kbps，支持OTA空中下载固件升级功能，采用低功耗NB-1oT通信模组</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10.▲采用国产化微处理器及存储芯片;，能够嵌入智能算法，实现标准风险等级的分析与预警信息的发布。开放边缘计算能力，满足多样化应用需求</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r>
      <w:tr>
        <w:trPr>
          <w:trHeight w:val="31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振动加速度传感器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1.集成加速度、温度等监测指标；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2.加速度：量程±2G，最大±20G，三轴，噪声密度25ug/√Hz，非线性度0.1%F.S，共振频率2.4kHz；</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3.温度：量程-40～+125℃，精度≤±0.2℃；</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4.通信：RS485通信，Modbus协议；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5.电源：供电DC9～36V，市电、太阳能供电方式；</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6.微处理器：≥32位，≥80MHz主频国产化微处理器；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7.存储芯片：≥250万条数据，≥256MFlash国产存储芯片，数据黑匣子系统；</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8.软件：搭载ECJE智能传感边缘计算嵌入式软件；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9.防护：盐雾试验报告≥700小时，防护等级报告≥IP67；</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10.环境：环境试验报告≥高温80℃和低温≤-40℃，高空跌落试验报告≥2米；EMC电磁兼容。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2917"/>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综合采集仪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1.多传感数据采集、数据存储、通信、边缘计算等功能的智能边缘终端；</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2.接口：RS485x1；RS232x1（可转为RS485或TTL）；AIx2（4～20mA和0～10V）用于模拟量输入；DIx1；继电器x1；电源输出x3（3.3V、5V、12V）；</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3.倾角：量程0～180°（±90°），精度≤±0.5°，分辨率≤0.01°；</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4.温度：无触点温度，量程-40℃～+125℃,精度≤±0.2℃；</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5.湿度：量程0～100%RH，分辨率≤1%RH；</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6.通信：4G、蓝牙BLE5.0通信，可选5G、NB-IoT、LoRa通信；</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7.电源：供电9～28VDC；</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8.处理器：≥32位，≥80MHz主频国产化微处理器；</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9.存储：≥250万条数据，≥256MFlash国产存储芯片，数据黑匣子系统；</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10.加密：≥1颗国产化加密芯片；</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11.安全：动态会话密钥加密，传输链路级可信时间戳；</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12.软件：搭载ECJE智能边缘终端嵌入式系统，嵌入AI智能算法，实现标准风险等级的分析与预警信息的发布；</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设备功能：多功能边缘计算分析、多类型传感兼容与联动报警、多协议自适应兼容、PC电脑端批量设备调试及一键复位功能、离线存储与断点续传功能、远程定位、多中心节点通信网络架构、异动防盗报警、OTA远程快速配置和固件更新、设备联网与健康监测功能；</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14.防护：盐雾试验报告≥700小时，防护等级报告≥IP33；</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▲15.环境：环境试验报告≥高温80℃和低温≤-40℃，温度冲击次数报告≥30次，高空跌落试验报告≥2米；EMC电磁兼容报告；</w:t>
            </w:r>
            <w:r>
              <w:rPr>
                <w:rFonts w:hint="eastAsia" w:ascii="宋体" w:hAnsi="宋体" w:eastAsia="宋体" w:cs="宋体"/>
                <w:color w:val="000000"/>
                <w:sz w:val="20"/>
                <w:szCs w:val="20"/>
                <w:highlight w:val="yellow"/>
                <w:lang w:bidi="ar"/>
              </w:rPr>
              <w:t xml:space="preserve">（提供国家认可的第三方机构出具的检测报告扫描件）</w:t>
            </w:r>
            <w:r>
              <w:rPr>
                <w:rFonts w:hint="eastAsia" w:ascii="宋体" w:hAnsi="宋体" w:eastAsia="宋体" w:cs="宋体"/>
                <w:color w:val="000000"/>
                <w:sz w:val="20"/>
                <w:szCs w:val="20"/>
                <w:lang w:bidi="ar"/>
              </w:rPr>
            </w:r>
            <w:r/>
          </w:p>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综合采集站包括相关模块、配电箱等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视频监控供电开户、接电安装及电费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含桥梁专项涉及所有视频监控的供电开户手续、接电安装人工材料打包费用及质保、建设期和质保期内的所有电费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桥梁专项</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包括但不限于桥梁专项硬件建设所有的软硬件辅材、安装、调试、网络、质保、培训、运输、配合、协调、安装现场破坏及恢复等费用，总价包干。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1.7、地下管线专项硬件建设</w:t>
            </w:r>
            <w:r>
              <w:rPr>
                <w:rFonts w:hint="eastAsia" w:ascii="宋体" w:hAnsi="宋体" w:eastAsia="宋体" w:cs="宋体"/>
                <w:b/>
                <w:bCs/>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地下管线专项硬件建设</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信创服务器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（2.5GHz,16C）*2/32G/480G*1/4T*1/RAID/2GE/800W*2/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信创防火墙</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标准2U设备,冗余电源；设备标配≧7个电口，≧4个万兆光口板卡；默认支持IPSec VPN和SSL VPN模块。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信创配套网络设施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配套跳线、光模块、线缆、理线架及网络配置实施服务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国产化数据库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二三维信息系统平台数据库，满足国产化要求</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二、软件购置费用</w:t>
            </w:r>
            <w:r>
              <w:rPr>
                <w:rFonts w:hint="eastAsia" w:ascii="宋体" w:hAnsi="宋体" w:eastAsia="宋体" w:cs="宋体"/>
                <w:b/>
                <w:bCs/>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2.1、成品支撑平台软件</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632"/>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成品支撑平台软件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物联网平台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1、设备管理：实现对传感器设备的注册，修改，注销，查询以及相应的指令下发和管理</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2、协议适配：协议适配接口规范之一，定义对由消息解码器识别并提取的消息的所有处理的接口方法</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3、接入认证：根据设备身份标识和设备认证系统，通过加密技术为物联网系统提供设备认证、设备可信接入能力</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4、指令控制：适配不同设备类型下发指令控制采集上传频率、校时、报警阈值等。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5、数据解析：设备上报数据后，根据不同设备类型适配解析规则进行数据解析及校验</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6、设备状态查询：主动查询设备数据状态、信号、电量、位置等相关状态信息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协议接入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1、物联网设备协议对接：新增物联网设备接入及数据解析。</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具体协议接入模块：完成燃气、供水、污水、雨水、桥梁、公共感知设备等前端集成网关协议的接入集成，实现燃气、供水、污水、雨水、桥梁、公共感知设备等管线及相关附属设施布设的传感器设备监测数据接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3、协议转换：实现不同设备采集协议的转换，保证同一类型、不同厂商的设备数据能够按照统一的数据标准接入。实现各类状态报文、控制报文协议的转换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协议转换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实现不同设备采集协议的转换，保证同一类型、不同厂商的设备数据能够按照统一的数据标准接入。实现各类状态报文、控制报文协议的转换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视频汇聚平台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视频采集与接入模块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视频汇聚平台通过整合生命线各专项原有及新增监控资源，实现各类监控视频信息的共享</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视频存储管理模块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平台提供用户录像存储、管理配置等功能，实现本次项目建设视频监控的实时查看需求、录像管理需求、接口服务管理需求等。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视频分发与发布模块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平台提供资源树发布功能，发布可用的设备资源和视频资源，供业务应用查询所需视频设备或视频资源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视频浏览回看模块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平台支持对录像资料进行多种智能检索和回放。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多租户管理模块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平台支持按用户划分视频权限，不同用户之间相互隔离，只能管理、查看自己权限下的视频。</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运维统计模块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平台提供视频设备运转状态的监控、统计分析、设备异常报警提醒处置等工作，以便于管理者及时发现视频设备问题，维护系统正常运转。</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bidi="ar"/>
              </w:rPr>
              <w:t xml:space="preserve">2.2、数据工程</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数据工程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地下管线修补测及数据入库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数据质检</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针对2022之后的新增管线开展数据质检工作，采用抽检方式进行数据质量和核准，对于质量达标的数据进行合并入库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数据修补测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针对缺少管线资料或数据不准的部分，开展修补测工作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三维数据建模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数据准备</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对各类管线设施，收集相应的平面分布图、立面图、工程结构图等原始资料，以备数据采集、建模之用。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数据编译</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按照字段映射、值域映射、资源配置、模型生成的流程完成管线三维建模工作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数据发布</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将处理结果发布到服务器上，通过GIS平台三维插件在浏览器中浏览展示。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地上区域三维建模对接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对于城区31平方公里的范围开展三维数字建模对接，获取现有倾斜摄影模型基础数据，并开展数据融合展示工作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地下管线数据脱敏脱密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数据脱敏</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针对更新后的管线数据开展脱敏工作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数据脱密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针对更新后的管线数据开展脱密工作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城市部件数据处理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城市部件坐标点标注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针对主要的泵站、监测点位等监管监测基础设施在三维地图上进行经纬度标注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三维标注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基于现有三维模型数据，对主要城市部件范围进行标注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属性录入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建立UTF-8编码CSV专属部件属性表，字段包含：实体编码、部件类型、道路名称、平面/高程坐标、尺寸、材质、采集更新时间。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三、定制软件开发</w:t>
            </w:r>
            <w:r>
              <w:rPr>
                <w:rFonts w:hint="eastAsia" w:ascii="宋体" w:hAnsi="宋体" w:eastAsia="宋体" w:cs="宋体"/>
                <w:b/>
                <w:bCs/>
                <w:color w:val="000000"/>
                <w:sz w:val="20"/>
                <w:szCs w:val="20"/>
              </w:rPr>
            </w:r>
            <w:r/>
          </w:p>
        </w:tc>
      </w:tr>
      <w:tr>
        <w:trPr>
          <w:trHeight w:val="303"/>
        </w:trPr>
        <w:tc>
          <w:tcPr>
            <w:gridSpan w:val="5"/>
            <w:tcBorders>
              <w:top w:val="single" w:color="000000" w:sz="8" w:space="0"/>
              <w:left w:val="single" w:color="000000" w:sz="8" w:space="0"/>
              <w:bottom w:val="single" w:color="000000" w:sz="8" w:space="0"/>
              <w:right w:val="single" w:color="000000" w:sz="8" w:space="0"/>
            </w:tcBorders>
            <w:tcW w:w="7577"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3.1、城市生命线-燃气专项子系统</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总览子图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提供城市燃气安全总览视图，对城市燃气要素进行集中展示，突出关键指标，包含综合监管模块、智慧监测模模块、地理信息图模块。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1、综合监管模块：动态接入全县燃气企业、厂站、管道、从业人员、车辆、气瓶、用户等关键信息，支持以图形的形式展示关键指标。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2、智慧监测模块：动态接入全县管道燃气相关厂站、管道等监测及报警数据，接入瓶装液化气相关储配站、液化气瓶、液化气用户等监测数据及报警信息，接入报警设备信息，接入燃气厂站相关监控视频。</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3、地理信息图模块：与智慧监测及综合监管模块进行信息联动，展示全县燃气监测报警的具体位置、详细信息。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1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实现对燃气安全隐患及风险评估结果进行统计分析，并结合GIS地理信息系统呈现所有燃气安全隐患和燃气安全风险在空间上的具体分布，包含风险模块、隐患模块、地理信息图模块。</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1、风险模块：动态接入全县风险评估信息，主要包括风险（低风险、一般风险、较大风险、重大风险）分布统计、风险清单、风险管控数据。支持以图形的形式展示关键指标。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2、隐患模块：动态接入全县隐患排查相关信息，主要包括隐患整改数量、隐患整改进度等。支持以图形的形式展示关键指标。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3、地理信息图模块：与风险模块及隐患模块进行信息联动，展示全县燃气风险四色图、隐患分布图以及风险、隐患（重大、一般）的具体位置、详细信息。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4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1、报警预警监测模块：动态接入全县燃气监测报警相关数据，主要包括各燃气设施报警、燃气用户报警、研判升级预警的数量及分布信息，支持以图形的形式展示监测报警预警趋势等关键指标。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2、报警预警处置模块：动态接入全县气报警、预警处置相关数据，主要包括报警预警类型、处置状态、处置时间等信息，支持以图形的形式展示报警处置完成情况等关键指标。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3、地理信息图模块：与报警监测与报警处置模块进行信息联动，展示全县可燃气体监测、流量监测、压力监测等报警信息以及监测设备的位置及详细报警信息。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4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老旧管道子图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现状评估模块：动态接入全县燃气管道老化评估数据，评估类型主要包括符合安全运行要求、落实安全管控措施可继续运行、限期整改、立即改造等；动态接入燃气管道属性信息，包括管龄、材质、压力等，支持以图形的形式展示报警处置完成情况等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2、改造统计模块：动态接入全县燃气管道老化改造项目信息，主要包括老旧管道改造计划及改造进度。支持以图形的形式展示改造进度等关键指标。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3、地理信息图模块：与现状评估模块与老化改造模块进行信息联动，展示全县老旧管道分布位置及详细信息。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1、规划项目信息管理模块：动态接入全县规划项目数据，分维度统计燃气设施五年规划项目建设情况，并统计分析规划项目总数、项目投资规模、完成数量、完成率。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2、年度项目信息管理模块：动态接入全县年度项目数据，分维度统计燃气设施年度项目建设情况，并统计分析年度项目总数、项目投资规模、完成数量、完成率。</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3、地理信息图模块：与规划项目信息、年度项目信息模块联动，展示全县项目总数、投资总额等内容的位置及详细信息。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燃气行业基础信息管理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1.支持全县燃气企业信息数量按照企业类型等维度进行统计；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2.支持全县燃气基础设施数量按照设施类型（管道、厂站、气瓶）等维度进行统计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3.支持全县燃气用户信息数量按照用户类型等维度进行统计；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4.支持全县燃气行业管理人员数量进行统计；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5.支持全县燃气从业人员数量按照从业人员岗位类型、时间等维度进行统计；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6.支持统计分析数据的数据导出。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燃气企业基础信息管理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1.支持用户按照企业名称、统一社会信用代码等维度筛选燃气企业信息查看、导出；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2.支持本系统内接入的燃气企业的信息进行新增、编辑、删除、导入。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燃气设施基础信息管理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1.支持用户按照管道材质、管道编号等维度筛选燃气管道查看、导出、地图定位；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2.支持用户按照厂站类型、厂站名称等维度筛选燃气厂站查看、导出、地图定位；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3.支持用户按照气瓶规格、制造年月等维度筛选液化气瓶查看、导出；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4.支持本系统内接入的燃气设施的信息进行新增、编辑、删除、导入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5.支持区、县维度的功能权限和数据权限的分权分域管理。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燃气车辆基础信息管理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1.支持用户按照所属公司等维度筛选燃气管道查看、导出；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2.支持本系统内接入的燃气车辆的信息进行新增、编辑、删除、导入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3.支持区、县维度的功能权限和数据权限的分权分域管理。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燃气行业管理人员基础信息管理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1.支持用户按照单位名称等维度筛选燃气行业人员信息查看、导出；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2.支持本系统内接入的燃气行业管理人员的基础信息进行新增、编辑、删除、导入。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燃气用户基础信息管理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1.支持用户按照用户类型等维度筛选燃气用户基础信息查看、导出；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2.支持本系统内接入的燃气用户的基础信息进行新增、编辑、删除、导入。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燃气从业人员基础信息管理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1.支持用户按照从业人员信息等维度筛选燃气从业人员基础信息查看、导出；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2.支持本系统内接入的燃气从业人员的基础信息进行新增、编辑、删除、导入。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送气工基础信息管理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1.支持用户按照所属企业等维度筛选送气工基础信息查看、导出；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2.支持本系统内接入的送气工的基础信息进行新增、编辑、删除、导入。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城镇燃气供应管理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1.支持用户按照年度/日度等维度筛选燃气供应信息查看、导出；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2.支持本系统内接入的燃气供应信息进行新增、编辑、删除、导入。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储气设备储气情况管理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1.支持用户按照填报时间等维度筛选储气设备储气情况信息查看、导出；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2.支持本系统内接入的储气设备信息进行新增、编辑、删除、导入。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储气能力建设情况管理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1.支持用户按照储气建设项目名称、填报时间等维度筛选储气能力信息查看、导出；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2.支持本系统内接入的储气建设项目信息进行新增、编辑、删除、导入。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燃气运行监测管理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对燃气监测设备、报警信息进行多维度统计分析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监测设备信息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提供对燃气厂站、管网、用户监测设备信息的统一管理。提供信息查询、信息管理功能。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预警报警信息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提供对燃气厂站、管网、用户监测预警报警信息的统一管理。提供信息查询、信息管理功能。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预警报警处置信息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提供对燃气厂站、管网、用户预警报警处置信息的统一管理。提供信息查询、信息管理、消息提醒功能。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提供视频监测报警信息的统一管理。提供信息查询、视频查看功能。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自动超期督办管理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对于系统里超期的预警信息，以消息的形式推送督办。</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超期阈值设置管理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对燃气监测的报警预警事件及接入或填报的巡检问题、隐患、燃气设施老化评估进行超期未处置阈值信息管理，主要功能包括信息查询、阈值设置、信息管理功能。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燃气运行处置管理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1.支持全县风险评估长度、风险等级、隐患数量、隐患整改数量分布情况按照时间等维度进行统计；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2.支持全县事件数量、事故等级、事故类型分布情况按照时间等维度进行统计；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3.支持全县燃气管道老化评估、燃气厂站和设施老化评估分布情况按照时间等维度进行统计。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风险评估管控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1.支持用户按照风险等级、管控状态、评估时间等维度筛选风险信息查看、导出和地图定位；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2.支持风险信息查看详情；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3.支持风险信息填报。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隐患整改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1.支持用户按照隐患类别、隐患等级、时间等维度筛选隐患信息查看、导出和地图定位；</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2.支持重大安全隐患信息查看详情；</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3.支持隐患信息填报；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4.支持隐患管理消息提醒、短信提醒和一键发起IP电话呼叫。</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重大安全隐患管理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1.支持用户按照时间等维度筛选重大安全隐患信息查看、导出；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2.支持重大安全隐患信息查看详情、填报；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3.支持重大安全隐患管理消息提醒、短信提醒和一键发起IP电话呼叫。</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涉燃气重要紧急情况管理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1.支持用户按照事件类型、时间等维度筛选事件信息查看、导出；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2.支持燃气重要紧急情况填报；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3.支持燃气突发事件消息提醒、短信提醒和一键发起IP电话呼叫。</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老化评估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1.支持用户筛选燃气管道老化评估信息，查看、导出；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2.支持用户筛选燃气厂站和设施老化评估信息，查看、导出；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3.支持燃气老化评估填报；</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4.支持燃气管道、厂站和设施老化评估改造消息提醒、短信提醒和一键发起IP电话呼叫。</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对燃气设施巡检巡查计划信息、巡检巡查计划执行信息进行多维度统计分析。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日常巡检</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1、巡检巡查计划监管：对燃气设施巡检巡查计划进行管理，提供信息查询、信息管理等功能。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2、巡检巡查执行情况信息管理：对燃气设施巡检巡查计划执行情况进行管理，提供信息查询、信息管理、消息提醒等功能。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巡检巡查问题</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1.支持用户按照巡检计划、时间等维度筛选巡检巡查问题查看、导出；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2.支持查看巡检巡查问题详情信息查看。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安全专项检查信息管理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检查标准管理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1.支持用户按照标准名称等维度筛选燃气安全专项检查标准查看；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2.支持用户对燃气安全专项检查标准下载；</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3.支持燃气行业专项检查标准维护，包括新增、删除、修改。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检查计划管理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1.支持用户按照计划名称、计划状态等维度筛选安全专项检查计划信息查看、导出；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2.支持本系统内燃气行业专项检查计划制定，包括新增、删除、修改。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监督检查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1.支持用户按照检查日期等维度筛选安全专项检查记录信息查看、导出；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2.支持安全专项检查记录详情查看。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用户服务质量监督</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1.支持全县入户安检数量按照是否安检、合格数、时间等维度进行统计；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2.支持统计分析数据导出。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入户安检信息管理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1.支持用户按照用户权限、安检时间等维度筛选入户安检结果信息查看、导出；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2.支持入户安检结果详情信息查看。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燃气设施项目信息管理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对燃气设施规划项目、重点项目、在建项目信息进行多维度统计分析。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规划项目信息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通过系统接入或信息填报的方式，对燃气设施规划项目信息进行管理，提供信息查询、信息管理等功能。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重点项目信息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通过系统接入或信息填报的方式，对燃气设施重点项目信息进行管理，提供信息查询、信息管理等功能。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在建项目信息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通过系统接入或信息填报的方式，对燃气设施在建项目信息进行管理，提供信息查询、信息管理等功能。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监管对象场景化建设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企业安全综合评价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1.支持用户按照所属企业等维度筛选企业安全综合评价情况查看、导出；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2.支持对企业安全等级较低、得分较低的企业进行通知。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企业证照管理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1.支持用户按照企业名称等维度筛选企业证照情况查看；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2.支持对企业证照过期、临期的企业进行通知。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气瓶全链条管理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1.支持用户按照气瓶条码等维度筛选气瓶扫码情况查看；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2.支持气瓶历史流转记录进行查看。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气瓶异常监管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1.支持用户按照气瓶条码等维度筛选气瓶异常情况查看；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2.支持对异常气瓶的所属企业进行通知。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随瓶安检</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1.支持用户按照气瓶条码等维度筛选随瓶安检情况查看；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2.支持对未执行随瓶安检的气瓶进行消息提醒。</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从业人员证书管理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1.支持用户按照从业人员名称等维度筛选从业人员证书情况查看；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2.支持对从业人员证照过期、临期的从业人员和对应企业进行通知。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从业人员继续教育管理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1.支持用户按照从业人员名称等维度从业人员继续教育情况查看；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2.支持对需要或即将需要进行继续教育的从业人员进行提醒。</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送气工异常管理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1.支持用户按照送气工名称、证号等维度筛选送气工异常情况查看；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2.支持对送气工进行黑名单录入。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车辆异常管理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1.支持用户按照车牌号码等维度筛选车辆异常情况查看，包括GPS不在线、未上牌等；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2.支持对异常车辆的所属企业进行通知。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安全专项检查信息管理（移动端）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检查标准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1.支持用户按照标准名称等维度筛选燃气安全专项检查标准查看；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2.支持用户对燃气安全专项检查标准下载。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待查企业信息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1.支持用户按照企业名称等维度筛选燃气待查企业信息查看；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2.支持安全专项检查结果的填报，主要为现场进行检查，直接进行开单，检查结果直接上传。</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已查企业信息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1.支持用户按照企业名称等维度筛选燃气已查企业信息查看；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2.支持安全专项检查结果查看，主要为企业名称、检查结果、存在隐患等。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第三方安全评估（移动端）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评估上报</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1.支持用户对第三方安全评估标准信息进行查看；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2.支持用户进行第三方安全评估结果填报，主要为对照标准进行打分，检查结果直接上传。</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评估结果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1.支持用户按照评估年度等维度筛选第三方安全评估结果查询；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2.支持第三方安全评估结果查看。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涉燃气重要紧急情况（移动端）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事件管理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1.支持用户按照时间、事件类型等维度筛选涉燃气重要紧急情况查询；</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2.支持事件详细信息查看，主要为事件描述、事件名称等。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燃气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3.2、城市生命线-供水专项</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一张图总览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城市供水安全总览视图，对城市供水要素进行集中展示，突出关键指标，实现数据信息精准、全面、清晰，供水行业管理人员可通过一张图总览功能模块快速了解城市供水各要素的基本数据信息，更加科学、有效、精准的参与管理工作，全面掌握供水行业现状规模。主要包含供水服务基础情况、今日监测报警、数据接入、供水能力、智慧化建设、老旧管网改造、管网漏损率、突发事件、水质合格率、地图交互等功能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基础设施子图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涉及供水相关的水源地、应急水源地、水厂、管网、中途增压泵站、二次供水设施、大用水用户、供水服务用户等信息进行综合梳理与展示，通过图标和指标展示水厂数量、管网长度、增压泵站数量、二供供水设施数量等信息，主要包括水厂数量、深度处理工艺数量等，管网长度、改造长度等，泵站数量、改造数量等，二供设施数量、改造数量等。主要包含基础设施、取水能力、供水能力、年度重点项目、五年规划项目、新建改造项目、地图交互等功能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供水输配流程子图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展示从水源地（水源地、应急水源地）、水厂、供水管网到终端用户的供水输配全流程示意图和水流向，水源地涵盖水源井、取水泵等要素，水厂涵盖澄清池、滤池、清水池、加药间、加压泵等要素，供水管网包括中途增压泵站、二次供水设施、关键测压力点、关键测流量点、关键测水质点等要素，终端包括大用水用户、居民用户、消火栓等要素。展示供水输配全流程中水源地、水厂、供水管网各重点要素的运行状态数据，可查看详细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1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对全县监测范围内供水情况进行监测，实时记录和分析管网运行健康数据，实现管网运行状态的动态安全监管。展示水源地、应急水源地、原水长输管线、水厂、供水管网、中途增压泵站、二次供水设施的监测预警信息，监测预警信息包括压力、流量、水质、水量、水位等，帮助管理者快速了解供水专项监测覆盖情况、实时报警预警情况、预警处置进展等信息。主要包括预警处置过程、监测预警概览、水源地监测、应急水源地监测、预警处置情况、预警处置列表、地图交互等功能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老旧管网子图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对供水管网建设年限、口径、材质信息进行统计分析，并结合GIS地理信息系统呈现供水管网建设年代信息在空间上的具体分布，展示老旧管网按照Ⅰ级、Ⅱ级、Ⅲ级、Ⅳ级不同风险信息、改造信息，直观了解老旧管网的区域分布情况，辅助管理者制定老旧管网改造决策。主要包括老旧管网多特征分布、老旧管网风险分布、老旧管网改造落实情况、地图交互等功能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风险隐患子图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对供水管网安全隐患及风险评估结果进行统计分析，并结合GIS地理信息系统呈现供水管网安全风险在空间上的具体分布，通过图标和指标展示Ⅰ级、Ⅱ级、Ⅲ级、Ⅳ级风险与隐患等级的管网信息、管控信息，地理信息数据与供水管网风险隐患的结合可直观了解隐患与风险的区域分布情况，助力实现供水安全的精细化管理。主要包括管网风险管控过程、管网风险评估结果分级分布、管网风险管控率、管网风险列表、地图交互等功能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通过图表形式展示供水量、水源地、应急水源地、水厂、供水管网、中途增压泵站、二次供水设施供水企业及管理人员、供水服务用户、消火栓、大用水用户的统计数据，按时间维度展示统计数据及其变化趋势。</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水源地基础信息管理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水源地基础设施的信息，水源地详细信息包括水源地名称、水源地类型、使用状态、水源地级别、流域水系等内容；支持通过水源地名称等维度进行水源地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应急水源地基础信息管理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应急水源地基础设施的信息，应急水源地详细信息包括水源地名称、水源地类型、当前状态、水源地级别、流域水系、每日可用供水量、库容量等内容；支持通过应急水源地名称等维度进行应急水源地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水厂基础设施信息管理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水厂基础设施的信息，水厂详细信息包括使用状态、厂站名称、水源名称、水源类型、取水规模、供水规模、供水人口、投产日期、地址等；支持通过水厂当前使用状态、名称等维度进行水厂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供水管网基础信息管理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供水管线基础设施的信息，供水管线详细信息包括管线编号、管道等级、管材、管径、建设年代、权属单位、使用状态、是否老旧管网等；支持通过供水管线建设年代等维度进行管线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中途增压泵站基础信息管理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通过列表的形式展示中途增压泵站基础设施的信息，中途增压泵站详细信息包 括使用状态、泵站名称、增压站类型、投产日期、地址等；支持通过中途增压泵站 类型、使用状态等维度进行增压泵站信息查询；同时支持查询结果导出功能。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二次供水设施基础信息管理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二次供水设施基础设施的信息，二次供水设施详细信息包括使用状态、二次供水设施名称、投产日期、地址等；支持通过二次供水设施使用状态等维度进行二次供水设施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供水企业基础信息管理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通过列表的形式展示供水企业基础信息，供水企业详细信息包括所属企业名称、上级主管单位、联系人姓名、联系人电话、法定代表人、经营地址、经营 地址邮编等；支持通过供水企业经营状态等维度进行供水企业信息查询；同时支持 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供水管理人员信息管理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通过列表的形式展示供水管理人员基础信息，供水管理人员详细信息包括人员 类型、姓名、所属单位、联系方式；支持通过供水管理人员所属人员类型等维度进行供水管理人员信息查询；同时支持查询结果导出功能。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供水用户数量管理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通过列表的形式展示供水用户数量信息，供水用户数量详细信息包括总用户数量、居民用户数量、非居民用户数量，同时支持供水用户数量信息导出功能。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大用户用水监管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列表的形式展示大用水用户统计信息，大用水用户统计详细信息包括总用户数量、分类型用户数量、用水量，同时支持用户数量信息导出功能。可查看大用户用水详情，用水详情包括户号、位置、累计用水量、供水公司、用水类型、近期用水量等信息。可提供异常用水分析，支持异常预警和预警信息推送。</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通过图表形式展示预警报警数量、预警报警类型占比信息；同时支持以图表形式按照天、周、月、季度、半年、年等时间维度进行预警报警数量的统计分析。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监测设备信息管理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监测设备信息，监测设备详细信息包括设备名称、设备编号、设备类型、监测指标、设备位置、设备状态；支持通过列表信息点击查看设备详情、地图定位、预警记录等操作；支持通过监测设备类型(水质监测仪、压力监 测仪、流量监测设备等) 、设备状态（在线、离线）等维度进行监测设备信息查询； 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预警报警信息管理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支持通过列表形式展示预警事件信息，预警事件详细信息包括预警类别、设备 类型、预警备注、关联设施、设施编号、所属区域、位置、主管单位、权属单位、 监测指标、监测阈值、监测数据、监测时间、地图定位、附件查看；支持通过预警 事件类别（水质异常、水压异常、流量异常）、时间范围等维度进行预警事件信息 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预警报警处置信息管理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支持通过列表形式展示预警报警处置信息，预警报警处置详细信息包括预警类别、事件基础信息、处置状态、处置时间、处置内容、处置报告、附件查看；支持 通过预警事件类别（水质异常、水压异常、流量异常）、处置状态（未处置、已处 置）时间范围等维度进行预警报警处置信息查询；支持查询结果导出功能；同时支 持通过自定义设置的阈值自动向供水企业用户推送超期未处置的提示。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超期阈值设置管理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系统支持管理人员可根据不同类别的预警事件，自定义设置超期阈值，支持超期预警信息设置与提醒信息推送。</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管网线隐患信息，隐患信息包括隐患名称、隐患级别、隐患说明、隐患位置、现场图片、关联设备设施、发现日期、上报人员、所属单位、主管单位、所属区域、文件上传、影响分析等，支持按隐患级别、时间范围等维度进行查询，支持查询结果导出。同时支持新增、批量导入、编辑管网隐患信息的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支持通过列表形式展示管网风险信息，管网风险详细信息包括风险等级、管网信息、风险描述、所属区域、位置、主管单位、权属单位、评估时间、地图定位、附件查看；支持通过风险等级 (Ⅰ级、Ⅱ级、Ⅲ级、Ⅳ级）、时间范围等维度进行管网风险信息查询；支持查询结果导出功能。同时支持新增、批量导入、编辑管网风险信息的功能。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运行处置管理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通过图表形式展示管网风险评估、突发事件信息；同时支持以图表形式按照天、周、月、季度、半年、年等时间维度进行管网风险评估和突发事件的统计分析。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风险评估信息管理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支持通过列表形式展示管网风险的处置信息，管网风险处置详细信息包括风险等级、关联供水企业、建设年代、管径、管材、附件查看等；支持通过风险等级(Ⅰ级、 Ⅱ级、Ⅲ级、Ⅳ级）、时间范围等维度进行管网风险处置信息查询；同时支持查询结果导出功能。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突发事件管理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支持通过列表形式展示突发事件信息，突发事件详细信息包括事件名称、响应级别、事件说明、所属区域、地址、关联基础设施、现场照片、地图定位、附件查看；支持通过响应级别 (Ⅳ级、Ⅲ级、Ⅱ级、Ⅰ级、重点交办事件）、时间范围等维度进行突发事件信息查询；支持查询结果导出功能；同时支持新增、批量导入、编辑突发事件信息的功能。支持新增突发事件消息提醒功能，可对消息提醒进行设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支持通过列表形式展示供水管网巡检结果的信息，管网巡检结果详细信息包括  巡检时间、巡检对象、是否发现问题、问题处理情况等信息；支持通过时间等维度  进行管网巡检结果信息查询；支持查询结果导出功能；同时支持新增、删除、修改、 导入、导出全部巡检列表信息。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养护信息管理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支持通过列表形式展示供水管网养护信息，管网养护详细信息包括养护时间、 养护对象、养护单位、养护内容等信息；支持通过时间等维度进行管网养护结果信息查询；支持查询结果导出功能；同时支持新增、删除、修改、导入、导出全部养 护列表信息。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隐患整改信息管理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供水管网隐患整改信息，隐患整改详情信息包括整改计划名称、整改内容、整改位置、整改图片、关联设备设施、整改日期、整改进度、整改结果、负责人信息、整改单位、管线权属单位、主管单位、所属区域、关联隐患信息、文件上传等，支持按隐患级别、时间范围等维度进行查询，支持查询结果导出。同时支持新增、批量导入、编辑管网隐患整改信息的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支持通过图表和指标展示项目总数、总投资额等信息，同时以年度重点项目、五年规划项目类型进行项目数量、投资额信息统计分析。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五年规划项目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五年规划项目的信息，五年规划项目详细信息包括项目名称、项目内容、年度、项目规模、项目总投资、项目建设进度；支持通过年度等维度进行五年规划项目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年度重点项目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支持通过列表形式展示年度重点项目的信息，年度重点项目详细信息包括项目名称、项目内容、年度、项目规模、项目总投资、项目建设进度；支持通过年度等维度 进行年度重点项目信息查询；同时支持查询结果导出功能。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水质监测管理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水质检测管理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支持水源水、出厂水、管网（管网末梢）水、二次供水等自来水水质的抽样检 测结果进行列表管理，支持水质检测信息的填报、导入，主要包括测点编号、测点名称、采样时间、检测类别、检测结果详细信息；支持通过测点名称等维度进行水质检测信息查询，同时支持查询结果导出功能。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检测报告管理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支持水源水、出厂水、管网（管网末梢）水、二次供水等自来水水质的抽样检测报告的新增、批量导入、导出、删除等功能，支持按照测点名称、检测类别等维 度进行水质检测报告查询。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分区计量管理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支持通过图表和指标展示分区供水量、需水量、分区漏损情况的统计数据，支持按时间维度展示分区统计数据，按区域维度展示各区域的分区计量和漏损统计数据，并进行数据排名。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一级分区管理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支持通过列表形式展示DMA一级分区信息，DMA分区详细信息包括各分区内供水量、需水量、漏损率等信息；支持通过不同时间等维度进行各DMA分区漏损率信息统计分析；同时支持查询结果导出功能。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二级分区管理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支持通过列表形式展示DMA二级分区信息，DMA分区详细信息包括各分区内供水量、需水量、漏损率等信息；支持通过不同时间等维度进行各DMA分区漏损率信息统计分析；同时支持查询结果导出功能。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停水许可管理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停水许可基本信息管理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系统支持停水许可基本信息管理，主要包括事项名称、申请人、申请时间、申请材料等信息；支持通过申请人、申请时间等维度进行停水许可基本信息查询；同时支持查询结果导出功能。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停水许可办理状态查询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支持对停水许可办理流程的跟踪管理以及办理状态的查询功能，能直观地显示企业的停水许可证申请进度。主要包括收件、受理、审查、决定、制证、送达等状态。</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停水许可决定管理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系统支持以列表形式展示准予停水许可决定书、不予停水许可决定书信息，主要包括决定书办理时间、送达时间、是否准予等信息，支持按照时间、是都准予等维度进行查询。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停水许可审批督办</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对于即将到法定办结时限的停水许可审批信息，支持到期提前预警功能。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供水安全保障 工作监督评价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支持通过图标和指标展示各项评价的得分和平均分等信息，同时以部规范化考核、省供水安全保障工作评价、应急水源评估类型进行各项评价得分和平均分等信息的统计分析。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部规范化考核</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支持通过列表形式展示部规范化考核的信息，部规范化考核详细信息包括考核部门、考核时间、自评分、专家打分；支持通过年度等维度进行部规范化考核信息查询；同时支持查询结果导出功能。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省供水安全保障工作评价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支持通过列表形式展示省供水安全保障工作评价的信息，省供水安全保障工作 评价详细信息包括行政区划、评价时间、自评分、专家打分；支持通过年度等维度进行省供水安全保障工作评价信息查询；同时支持查询结果导出功能。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应急水源评估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应急水源评估的信息，应急水源评估详细信息包括评估年度、应急水源地名称、规模、应急水源地类型、自评分、专家打分；支持通过年度等维度进行应急水源评估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城市生命线供水专项工作评价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列表形式展示城市生命线供水专项工作评价的信息，城市生命线供水专项工作评价详细信息包括评价年度、得分、年度排名；支持通过年度等维度进行城市生命线供水专项工作评价信息查询；同时支持查询结果导出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供水专项配套服务费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供水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3.3、城市生命线-排水（雨水）专项</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内涝灾害预警-分析展示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实时风险预报模块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实时风险预报系统是基于在线监测数据对城市区域内的管道、设施、排口等进行模拟数据超限预警，针对区域运行维护管理人员进行模拟数据预警信息推送，同时在平台进行预警提醒以及对预警信息进行记录。</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历史数据复盘模块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利用城市水文模型、一维管网水动力、一维河网水动力、二维水动力、水工设施等模型综合应用结合雨量监测数据对建成区进行内涝风险评估和现状管网排水能力评估。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特定事件推演模块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用户可自定义雨强事件动态评估现有排水系统在不同降水情况下的运行状态，对城区排水系统应能够实现模拟预警。</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内涝灾害预警-管理后台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监测监控子模块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监测监控模块对各监测点的人工填报数据和在线监测数据进行可视化查看，随时随地可查看监测点的关键数据，便于监管人员第一时间了解到现场的真实情况。包括监测总览和暴雨实时监测模块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资产设施管理子模块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设备设施资产管理模块以设施设备管理为基础，与实时的数据采集系统集成，可以实现预防性维护。</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模型管理子模块</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模型管理子模块可实现对多模型协同、版本迭代、效能优化的全生命周期管控。系统支持动态选配SWMM水动力模型、波阵域AI模型或双模耦合策略，用户可依据数据完备度、计算时效要求等场景需求灵活选择不同模型接口。</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内涝灾害预警-算法模型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波阵域模型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面向降雨-积水模拟场景构建，以神经网络为核心，分输入层、隐含层、输出层三层架构，实现降雨数据到网格积水结果的映射。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水文水动力模型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照地表产汇流模型、管网或河道一维模型、地表二维水动力力学模型、城市雨洪耦合模型的顺序，构建耦合模型，实现实时预报、内涝预警、水库群调度、水质预警、极端事件模拟、跨流域调水决策等场景的数值支撑</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排水（雨水）专项配套服务费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排水（雨水）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3.4、城市生命线-第三方施工破坏专项</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第三方施工监管一张图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第三方施工总览子图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第三方施工项目智慧监测、综合监管相关数据，展示全县生命线第三方专项智慧监测、综合监管关键指标和数据，包含项目监管、事件管理、联合惩戒管理、已审批道路占用、挖掘项目、巡检发现未备案项目、本年破坏事件清单、视频监控、光纤振动监测、深基坑监测等子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第三方施工项目子图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收集全县第三方施工项目的基本信息并展示，结合项目周边管线情况分析项目开挖影响。主要包含项目基本信息、项目信息总览、项目开挖影响及监测情况总览等子功能。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第三方施工管线破坏事件子图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总览汇聚展示管线破坏事件基本信息以及对周边管线的影响情况，同时展示对管线破坏事件的处置情况。主要包括管线破坏事件总览、管线破坏事件基本信息、破坏事件影响周边管线情况总览、管线破坏事件处置管理等子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第三方施工巡检巡查子图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收集展示第三方施工项目的巡检巡查情况，重点展示异常问题的处置情况。主要包含第三方施工巡检巡查总览、管线巡检巡查异常问题处置总览、管线巡检巡查异常问题处置进度总览、管线巡检巡查问题整改管理等子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第三方施工项目管理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第三方施工项目统计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汇总全县第三方施工项目数据，对第三方施工项目进行统计分析。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第三方施工项目信息管理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汇总全县第三方施工项目数据，对第三方施工项目进行统一管理。包含：施工项目信息查看、支持查看施工项目范围内开挖影响管线的分析、GIS地图项目范围打点等功能。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未备案项目统计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汇总全县未备案项目数据，对未备案项目统计分析。持全县施工项目按照未备案项目处置情况等维度进行统计。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未备案项目信息管理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总全县巡检发现的未备案项目，对未备案项目进行统一管理。支持所属区域、处置状态等维度筛选未备案项目，支持通过点击项目名称或查看详细详情，支持查看施工项目范围内开挖影响管线的分析功能，支持通过 GIS 地图为项目位置、项目红线范围打点等。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道路挖掘审批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道路挖掘审批统计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从江苏省工程建设审批系统中接入道路挖掘审批项目，对项目进行合规合法管理。包括各审批事项项目数量、审批项目数量等。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道路挖掘审批管理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总全县第三方施工项目数据，对第三方施工项目进行统一管理。支持所属区域、项目名称、相关单位、项目类型等维度筛选施工项目；支持通过点击项目名称或查看详细详情，查看第三方施工项目详情信息；支持查看施工项目范围内开挖影响管线的分析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四方交底管理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四方交底统计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汇聚全县施工项目四方交底数据，对全县施工项目四方交底情况进行统计分析。支持全县施工项目按照区域、交底状态等维度进行统计。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四方交底信息管理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方交底信息管理以各区域第三方施工项目信息为基础，对各项目四方交底执行情况进行统一管理。支持所属区域、项目名称、交底状态等维度筛选施工项目，支持施工项目四方交底信息查看、导出、地图定位；支持通过点击项目名称或查看详细详情，查看四方交底详情信息；支持施工单位、建设单位四方交底流程发起，四方单位流程代办事项审批；支持流程代办事项的消息提醒；支持在流程中心进行审批节点相关人员的自行配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旁站监护管理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汇总全县项目旁站监护数据，对旁站监护记录及问题进行统一分析。支持所属区域、项目名称、问题处置情况等维度筛选施工项目；支持本系统内接入的旁站监护的信息进行编辑；</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我的代办</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汇总涉及该登录人员所有四方交底流程信息。支持四方交底流程代办审批；支持发起的、已审批的四方交底流程查看。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汇聚全县燃气、供水、排水、道路巡检巡查相关数据，对巡检异常问题巡查进行统计分析。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巡检巡查数据来源于燃气、供水、排水、道路四个专项采集，对巡检巡查数据进行统一管理。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巡检巡查异常问题管理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巡检巡查记录中的异常问题进行统一管理，重点关注未处置问题。支持通过点击查看详细详情，查看巡检巡查异常问题详情信息，包括问题分类、问题描述、问题上报时间、处置状态等信息；支持所属区域、处置状态等维度筛选巡检巡查异常问题，支持巡检巡查异常问题信息查看、导出、地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管线破坏事件管理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管线破坏事件统计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汇聚全县管线破坏事件相关数据，对巡检异常问题巡查进行统计分析。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6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管线破坏事件信息管理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线破坏事件管理汇总各区域管线破坏事件信息，对管线破坏数据进行统一管理。支持处置状态等维度筛选管线破坏事件信息，支持管线破坏事件信息查看、导出、地图定位；支持通过点击查看详细详情，查看管线破坏事件详情信息，包括事件名称、发生时间、发生地点、处置状态等信息；支持对管线破坏事件的上报、处置、处置报告上传功能；支持上报后管线破坏事件的消息提醒。</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联合惩戒管理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联合惩戒统计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汇聚联合惩戒数据，对联合惩戒数据进行统计分析。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联合惩戒信息管理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联合惩戒信息管理对城市联合惩戒信息进行统一管理。支持所属区域、破坏事件名称、惩戒时间等维度筛选联合惩戒信息；支持通过点击查看详细详情；支持对联合惩戒信息的新增、编辑、删除功能。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联合惩戒单位管理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对于造成较多或较严重第三方施工破坏事故的单位，重点对其进行管理，包括对其在建项目的监管等，可在系统中查看其在建项目的基础信息、发生事故情况、监测预警情况等。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典型档案案例库管理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典型档案案例库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通过收集整合行业的第三方施工破坏事件、处置办法、事件分析、联合惩戒等信息，建立典型档案知识库管理，为各行业第三方施工防破坏提供知识积累、知识共享能力。</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相关案例管理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通过收集整合行业的第三方施工破坏事件、处置办法、事件分析、联合惩戒等信息，对相关典型案例进行统一管理。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竣工验收管理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竣工验收管理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建设部门指导建设单位根据竣工验收需要，申报各部门限时联合验收服务或办理竣工验收备案，各工程监管部门（工程监督机构）加强监督范围内施工现场管理，督促建设单位对安全文明施工总负责。同时，相关建设部门、监管部门等进行资料归档。</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行业管理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施工单位及建设单位评价标准制定</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根据事故数量、事故等级等指标，制定施工单位及建设单位的评价标准。在系统中设定相应的评价标准，用于对施工单位和建设单位进行评价和排名。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重大事故单位名单公示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对多次造成重大第三方施工破坏事故的单位进行名单公示。在系统中公示相关单位，向公众展示其违规记录，以达到规范化管理行业的目的。</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施工监测设备管理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施工监测设备统计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汇聚全县施工机械监测设备数据，对施工机械设备信息进行统计分析。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视频监控设备管理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汇聚视频监控设备数据，对视频监控监测设备基本信息进行管理。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深基坑监测设备管理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汇聚深基坑监控设备数据，对深基坑监控监测设备基本信息进行管理。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施工现场监测管理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施工监测统计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汇聚全县施工监测预警相关数据，对施工监测预警数据进行统计分析。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视频监控预警管理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汇聚视频监控预警信息，对视频监控预警信息进行统一管理。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深基坑监测预警管理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汇聚深基坑监控预警信息，对深基坑监控预警信息进行统一管理。支持监测设备编号、处置状态、预警时间维度筛选深基坑监控预警信息，支持深基坑监控预警信息查看、导出、地图定位；支持通过点击查看详细详情，查看深基坑监控预警详情信息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阈值管理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支持平台管理人员可根据不同类别事件自定义设置预警超期阈值，支持对监测设备、视频监控报警进行超期阈值设置，主要包括时间阈值设置、通知方式、通知范围等。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第三方施工破坏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3.5、城市生命线-地下管线交互风险专项</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地下管线专项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地下管线数据管理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地图操作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支持在数据管理模块中进行多种地图基本操作，便于各类管线信息的详情查看。具体功能包括地图放大、地图缩小、全图显示、比例尺缩放、坐标定位、地图量测、图形清除、图层管理、书签管理、属性查看等。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数据更新入库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支持对地下管线数据的入库、更新、接边等操作，具体包括汇交数据入库、汇交数据更新、局部更新、管网接边、数据更新统计。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数据编辑</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支持对管线数据的新增、删除、修改、属性编辑等操作，具体包括基本操作、新增要素、删除要素、修改要素、属性编辑、批量删除。</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数据质检</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支持对待入库的地下管线数据进行质量检查，主要包括结构检查、空间检查、属性检查、逻辑检查、管点逻辑检查、管线逻辑检查、井室逻辑检查、图和GIS库一致性检查、错误浏览与修改。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提供多种数据查询方式，用来在地图上快速查找定位到查询对象，并可通过指定缓冲区范围搜索某一范围内的管线数据。包括综合查询、自定义查询。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支持根据数据库类型、更新时间范围、管线图层统计管点及管线更新信息；支持按类别、要素数量、长度对全库所有管线进行统计，统计结果可导出。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数据输出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支持按范围选择数据库类型、图层、字段导出GIS空间数据。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管线三维建模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支持对二维管线数据库自动化三维建模，支持按管线类型进行建模，建模过程中可以查看建模进度及详情。</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数据备份恢复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支持通过设置定期时间进行数据备份；支持数据入库时间采用统一授时服务器时间，支持版本回溯，选择备份版本数据进行数据恢复。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交互影响分析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为管线行业主管部门和权属单位开展管线交互风险排查整治、部门联动整改等提供分析辅助研判，主要功能包括管线交叉穿越分析、管线间安全间距分析、管线与建（构）筑物间安全间距分析、建（构）筑物占压分析、管线覆土深度不足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辅助决策分析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提供管线辅助决策功能，包括管线连通性分析、管线净距分析、管线横断面分 析、管线纵断面分析、管线碰撞分析、管线开挖分析、管线埋深分析等。其他专项应用系统可通过调用该模块提供的分析服务对管网运行情况进行分析。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地下管线交互一张图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基础信息一张图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支持汇聚燃气、排水、供水、电力、通讯等地下管线及其附属设施、相关场（厂）站等信息并进行可视化展示，可以通过查询快速获取查询目标的空间信息及属性信息。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交互风险一张图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一张图方式展示地下管线的交互风险影响分析结果，具体包括管线交叉穿越一张图、管线间安全间距不足一张图、管线与建（构）筑物间安全间距不足一张图、建（构）筑物占压管线一张图、管线覆土深度不足一张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地图操作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在地下管线交互一张图模块中进行多种地图基本操作，便于各类管线信息的详情查看。具体功能包括地图放大、地图缩小、全图显示、比例尺缩放、坐标定位、地图量测、图形清除、图层管理、书签管理、属性查看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视图切换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支持对当前视图进行切换，便于在不同的视图下查看管线，主要包括底图切换、二维视图、三维视图、分屏显示、卷帘显示等。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二三维一体化</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根据管线数据的不同类型属性信息（类型、材质、管径），对管线进行参数化建模，构建地下管线三维模型，支持三维管线增量即时更新，实现在二维地图与三维场景中自由切换、同步联动浏览，主要功能包括二维地图查看、三维地图查看、二三维地图联动、地上地下一体化、三维空间测量、扯旗注记、三维管网信息查询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多种数据查询方式，用来在地图上快速查找定位到查询对象，并可通过指定缓冲区范围搜索某一范围内的管线数据，从而掌握该地点附近的管线数据情况。包括空间查询、按管径查询、按权属单位查询、按道路查询、按埋设方式查询等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支持多种类型的数据统计方式，具体包括按管线类型统计、按管径统计、按权属单位统计、按道路统计、按埋设方式统计、按行政区域统计。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交互风险隐患管理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隐患登记管理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支持以台账方式登记地下管线交互分析隐患，包括隐患位置、隐患概述、管段信息、与周边的管线之间的关系等。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隐患信息推送</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支持通过系统将隐患推送给责任单位，包括隐患位置、隐患概述、管段信息、与周边的管线之间的关系等。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隐患整改管理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权属单位对所推送的风险隐患进行勘查复核和治理反馈，权属单位按照系统设定内容，主动反馈隐患确认及排查整改过程信息。支持跟踪风险隐患的整改治理情况，形成隐患整改跟踪全视图，对未及时确认和整改的隐患发起督促提醒。</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报表管理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生成报表：支持将交互风险分析隐患登记、整改、反馈等信息汇总输出打印，支持对地下管线隐患的基本信息进行个性化定制。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流程定制</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提供自定义流程功能，方便进行隐患精准推送。</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附件管理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支持导入、导出隐患相关的附件资料，包括文档、图片、视频等数据类型。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时限设定</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支持针对每个审批环节设定审批时间。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系统运维与管理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用户管理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用户安全认证接口管理：通过用户登录密码验证以及人员权限的分配等方法实现，提供用户安全认证服务接口，只有在用户安全认证通过以后，才能访问有关的服务与数据。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日志管理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实现各类业务系统监控日志统一管理，及时监测系统运行情况，以可视化的方式主动发现运行中发生的问题，主要功能包括包括日志管理、日志监控预警、日志核查反馈等。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8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系统配置管理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（1）组织机构管理：支持对组织机构进行新增、修改和删除。</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（2）数据编目管理：支持按分类建立地下管线数据资源目录，包括基础数据、管线数据等基本信息和元数据信息。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（3）数据服务管理：支持接入GIS平台二三维数据服务，包括服务名称、服务地址等。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（4）管线数据标准管理：支持对管线图层、字段、字段别名、字段长度等进行自定义配置。</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管线数据检查规则管理：实现管线数据检查规则的可配置，包括格式一致性、概念一致性、拓扑一致性等规则，在利用地下管线数据管理子系统对竣工管线进行入库时将直接调取此功能配置的数据检查规则。</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权限管理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实现多种方式的权限分配，包括按角色分配、按图层分配、按行政区划分配、按字段分配、按时限分配。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26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监测管理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（1）服务器监测：监测地下管线系统应用服务器、数据库服务器的CPU、硬盘等实时状态。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（2）数据库监测：监测地下管线系统所用到的数据库的实时状态，以防数据库断联情况发生。</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服务监测：提供服务监测功能，使管理员能够查看服务使用情况、服务资源统计情况、平台运行状态等，发现问题或故障能及时告警，确保服务、数据库、网络环境正常、安全运行，保障平台安全、稳定、高效地运行。</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（4）异常报警：支持查询系统使用的各类服务在运行过程中出现的异常报警信息，从而帮助系统管理员及时发现系统异常情况并进行处理。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交互风险驾驶舱</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管线总览</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支持以柱状图等形式直观展示管线总长度、管线更新总长度、管线建设计划总长度等管线总体数据。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交互影响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支持直观展示地下管线交互风险的数量，包括交互风险总量、按管线类别统计、按行政区划统计、按风险类别统计等。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分类统计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管线分类统计：支持按全县地下管线数据分类统计供水、燃气、排水等地下管线数据总长度，包括管线分类统计等、按行政区划统计、管线建设计划统计、管线更新分类统计、管线更新按行政区划分析等。</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地下管线交互风险专项配套服务费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本次建设中地下管线交互风险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7"/>
            <w:tcBorders>
              <w:top w:val="single" w:color="000000" w:sz="8" w:space="0"/>
              <w:left w:val="single" w:color="000000" w:sz="8" w:space="0"/>
              <w:bottom w:val="single" w:color="000000" w:sz="8" w:space="0"/>
              <w:right w:val="single" w:color="000000" w:sz="8" w:space="0"/>
            </w:tcBorders>
            <w:tcW w:w="8429"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3.6、地下管线信息管理系统（内网环境）</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二级模块名称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详细功能说明</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地下管线信息管理系统</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内网地下管线管理系统（C/S）</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地图操作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地图管理功能是综合管线信息管理系统的基本功能，以实现系统基础地理信息的显示和用户的便捷操作</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视图定位</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系统具有多样化定位功能，可以实现根据道路名称、单位名称、自定义区域、图幅编号等方式查询显示指定范围内的地形和管线数据。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信息查询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信息查询：可以在查询结果窗口中显示管线的材质、管径、埋设方式、埋深等属性信息，实现管线空间信息与属性信息的双向查询。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可按照管线长度、管点数量、区域条件进行统计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支持按照横断面、纵断面、垂直净距、水平净距、连通情况等进行分析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出图打印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矩形打印：可对当前地图上某一矩形区域内的图形进行打印输出，并可根据需要添加相应的图廓信息一并出图。</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圆形打印：可对当前地图上某一圆形区域内的图形进行打印输出，并可根据需要添加相应的图廓信息一并出图。</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97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报表输出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矩形裁剪：可在当前地图上裁剪某一矩形区域内的图形，并可对裁剪结果进行报表输出。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圆形裁剪：可在当前地图上裁剪某一圆形区域内的图形，并可对裁剪结果进行报表输出。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9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辅助工具</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标尺丈量工具：利用该功能可以在地图上进行距离、角度、面积等的量测。</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管线扯旗标注：利用该功能可以对地图上的管线进行扯旗标注。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特征点坐标标注：利用该功能可以将目标点的坐标信息标注在地图上。</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坐标栓点标注工具：利用该功能可以测量某点与周围一些特征点的距离，以便在实地定位该点。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数据入库</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地下管线数据的入库：使用此功能可以在数据库创建各种类型的数据表来存储由mdb 格式管线外业数据转化得来的数据。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数据更新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能提供管线数据更新功能，要求管线拼接无误。使用此功能可以将区域复查的管线数据入库，更新原有的同区域数据，以保持管线数据库的实时性。</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系统设置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图层字段配置：图层字段配置用于管理图层数据表、图层字段信息、图层树结构等信息。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图层样式设置：图层样式设置主要对系统图层属性。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地图符号配置：地图符号配置是指对各图层设置默认符号或按属性进行唯一值符号设置。</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restart"/>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内网二三维管线管理系统（B/S）</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视图应用功能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 GIS 系统的常用视图应用功能，包括放大、缩小、全屏、鹰眼、地下浏览模式功能。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常用工具功能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实现 GIS 系统常用工具功能，包括支持图层加载、兴趣点定位、位置搜索、区域查询、坐标定位、图层管理等基础功能；支持水平距离、垂直距离、空间距离量测及面积量测。</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标注功能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在图上标注管线高度、坐标、管径、埋深、长度、坡度属性信息。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查询功能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支持对二三维模型的范围查询、属性查询、道路查询、材质查询、管径查询、权属查询、缓冲区查询、附属物查询、建筑物查询。</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统计功能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支持按照道路、管径、分类、管材、权属单位、附属物进行管线统计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分析功能</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支持对三维管线模型进行横断面、纵断面、水平净距、垂直净距和开挖情况进行分析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调阅管理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记录管线查阅登记信息，登记信息包括查阅单位、时间、人员、证件等信息。</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专题图展示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提供管网数据的专题展示。管网专题可按材质、管径、埋设方式等分类展示</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433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vMerge w:val="continue"/>
            <w:textDirection w:val="lrTb"/>
            <w:noWrap w:val="false"/>
          </w:tcPr>
          <w:p>
            <w:pPr>
              <w:pStyle w:val="627"/>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01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内网地理信息平台</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37"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1、国产、安全自主可控的GIS平台；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2、GIS软件支持主流 CPU 架构；支持主流国产化操作系统系列；支持主流国产数据库等；</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3、支持服务器端的地图服务，支持发布为地图REST服务、WMS服务、WMTS服务等；支持直接发布二维瓦片为地图服务。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4、地图软件应具备良好的开放性和通用性；支持来自多种数据源的数据，支持多种不同格式源数据的转入转出</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5、支持丰富的开发方式，提供整套的SDK，包括但不限于：3D WebGL SDK、Android SDK、iOS SDK、OpenLayers/MapboxGL/Leaflet等JavaScript SDK；</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6、GIS软件须满足高可用、高效率、高并发和多部门对接等需求，满足对地图服务进行分布式切图及分布式的多节点并行切图等功能，支持动态图形化方法和装置、分布式集群等相关能力；</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7、支持全国产化软硬件环境。能够支持在ARM平台环境下导入*.dxf、*.dwg格式的CAD数据文件；</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8、支持BIM、3DMAX人工建模、倾斜摄影、海量地形等多种数据类型，支撑构建复杂的三维应用.</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303"/>
        </w:trPr>
        <w:tc>
          <w:tcPr>
            <w:gridSpan w:val="6"/>
            <w:tcBorders>
              <w:top w:val="single" w:color="000000" w:sz="8" w:space="0"/>
              <w:left w:val="single" w:color="000000" w:sz="8" w:space="0"/>
              <w:bottom w:val="single" w:color="000000" w:sz="8" w:space="0"/>
              <w:right w:val="single" w:color="000000" w:sz="8" w:space="0"/>
            </w:tcBorders>
            <w:tcW w:w="8003" w:type="dxa"/>
            <w:vAlign w:val="center"/>
            <w:textDirection w:val="lrTb"/>
            <w:noWrap w:val="false"/>
          </w:tcPr>
          <w:p>
            <w:pPr>
              <w:pStyle w:val="627"/>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四、工程建设其他</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应用场景</w:t>
            </w:r>
            <w:r>
              <w:rPr>
                <w:rFonts w:hint="eastAsia" w:ascii="宋体" w:hAnsi="宋体" w:eastAsia="宋体" w:cs="宋体"/>
                <w:b/>
                <w:bCs/>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项目</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内容描述</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rPr>
                <w:rFonts w:hint="eastAsia" w:ascii="宋体" w:hAnsi="宋体" w:eastAsia="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val="false"/>
          </w:tcPr>
          <w:p>
            <w:pPr>
              <w:pStyle w:val="627"/>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rPr>
                <w:rFonts w:hint="eastAsia" w:ascii="宋体" w:hAnsi="宋体" w:eastAsia="宋体" w:cs="宋体"/>
                <w:b/>
                <w:bCs/>
                <w:color w:val="000000"/>
                <w:sz w:val="20"/>
                <w:szCs w:val="20"/>
              </w:rPr>
            </w:r>
            <w:r/>
          </w:p>
        </w:tc>
      </w:tr>
      <w:tr>
        <w:trPr>
          <w:trHeight w:val="303"/>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系统集成</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软硬件系统集成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进行系统集成、接口开发、系统联调的统一管理</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r>
      <w:tr>
        <w:trPr>
          <w:trHeight w:val="1455"/>
        </w:trPr>
        <w:tc>
          <w:tcPr>
            <w:tcBorders>
              <w:top w:val="single" w:color="000000" w:sz="8" w:space="0"/>
              <w:left w:val="single" w:color="000000" w:sz="8" w:space="0"/>
              <w:bottom w:val="single" w:color="000000" w:sz="8" w:space="0"/>
              <w:right w:val="single" w:color="000000" w:sz="8" w:space="0"/>
            </w:tcBorders>
            <w:tcW w:w="425"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网络资源</w:t>
            </w:r>
            <w:r>
              <w:rPr>
                <w:rFonts w:hint="eastAsia" w:ascii="宋体" w:hAnsi="宋体" w:eastAsia="宋体" w:cs="宋体"/>
                <w:color w:val="000000"/>
                <w:sz w:val="20"/>
                <w:szCs w:val="20"/>
              </w:rPr>
            </w:r>
            <w:r/>
          </w:p>
        </w:tc>
        <w:tc>
          <w:tcPr>
            <w:gridSpan w:val="2"/>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网络资源</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916" w:type="dxa"/>
            <w:vAlign w:val="center"/>
            <w:textDirection w:val="lrTb"/>
            <w:noWrap w:val="false"/>
          </w:tcPr>
          <w:p>
            <w:pPr>
              <w:pStyle w:val="627"/>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1、专项视频网络传输链路：45条20M数据专线；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2、专项视频网络汇聚链路：2条300M数据专线；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3、燃气、供水企业的网络100M专线7条（燃气企业6条、供水企业1条）；</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4、桥梁专线6条网络数据传输专线，50M数据专线；</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5、5年服务。</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年</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426" w:type="dxa"/>
            <w:vAlign w:val="center"/>
            <w:textDirection w:val="lrTb"/>
            <w:noWrap/>
          </w:tcPr>
          <w:p>
            <w:pPr>
              <w:pStyle w:val="627"/>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hint="eastAsia" w:ascii="宋体" w:hAnsi="宋体" w:eastAsia="宋体" w:cs="宋体"/>
                <w:color w:val="000000"/>
                <w:sz w:val="20"/>
                <w:szCs w:val="20"/>
              </w:rPr>
            </w:r>
            <w:r/>
          </w:p>
        </w:tc>
      </w:tr>
    </w:tbl>
    <w:p>
      <w:pPr>
        <w:pStyle w:val="627"/>
        <w:rPr>
          <w:rFonts w:hint="eastAsia" w:ascii="宋体" w:hAnsi="宋体" w:eastAsia="宋体" w:cs="宋体"/>
          <w:color w:val="000000"/>
          <w:sz w:val="24"/>
        </w:rPr>
      </w:pPr>
      <w:r>
        <w:rPr>
          <w:rFonts w:hint="eastAsia" w:ascii="宋体" w:hAnsi="宋体" w:eastAsia="宋体" w:cs="宋体"/>
          <w:color w:val="000000"/>
          <w:sz w:val="24"/>
        </w:rPr>
      </w:r>
      <w:r/>
    </w:p>
    <w:p>
      <w:pPr>
        <w:pStyle w:val="627"/>
        <w:ind w:firstLine="420"/>
        <w:rPr>
          <w:rFonts w:hint="eastAsia" w:ascii="宋体" w:hAnsi="宋体" w:eastAsia="宋体" w:cs="宋体"/>
          <w:color w:val="000000"/>
          <w:sz w:val="24"/>
        </w:rPr>
      </w:pPr>
      <w:r>
        <w:rPr>
          <w:rFonts w:hint="eastAsia" w:eastAsia="宋体"/>
          <w:color w:val="000000"/>
        </w:rPr>
        <w:t xml:space="preserve">注：软件要求部署在政务云资源上，并提供三级等保防护，相关计算、存储、网络安全资源将申请县政务云资源，由采购人负责协调申请，无需供应商承担资源租赁费用。</w:t>
      </w:r>
      <w:r>
        <w:rPr>
          <w:rFonts w:hint="eastAsia" w:ascii="宋体" w:hAnsi="宋体" w:eastAsia="宋体" w:cs="宋体"/>
          <w:color w:val="000000"/>
          <w:sz w:val="24"/>
        </w:rPr>
      </w:r>
      <w:r/>
    </w:p>
    <w:p>
      <w:pPr>
        <w:pStyle w:val="627"/>
        <w:rPr>
          <w:rFonts w:hint="eastAsia" w:ascii="宋体" w:hAnsi="宋体" w:eastAsia="宋体" w:cs="宋体"/>
          <w:color w:val="000000"/>
          <w:sz w:val="24"/>
        </w:rPr>
      </w:pPr>
      <w:r>
        <w:rPr>
          <w:rFonts w:hint="eastAsia" w:ascii="宋体" w:hAnsi="宋体" w:eastAsia="宋体" w:cs="宋体"/>
          <w:color w:val="000000"/>
          <w:sz w:val="24"/>
        </w:rPr>
      </w:r>
      <w:r/>
    </w:p>
    <w:p>
      <w:pPr>
        <w:pStyle w:val="627"/>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654"/>
        <w:jc w:val="center"/>
        <w:keepNext/>
        <w:spacing w:beforeAutospacing="0" w:afterAutospacing="0"/>
        <w:rPr>
          <w:color w:val="000000"/>
        </w:rPr>
      </w:pPr>
      <w:r/>
      <w:bookmarkStart w:id="217" w:name="_Toc120614281"/>
      <w:r>
        <w:rPr>
          <w:color w:val="000000"/>
        </w:rPr>
        <w:t xml:space="preserve"> </w:t>
      </w:r>
      <w:r>
        <w:rPr>
          <w:color w:val="000000"/>
        </w:rPr>
      </w:r>
      <w:r/>
    </w:p>
    <w:p>
      <w:pPr>
        <w:pStyle w:val="654"/>
        <w:jc w:val="center"/>
        <w:keepNext/>
        <w:spacing w:beforeAutospacing="0" w:afterAutospacing="0"/>
        <w:rPr>
          <w:color w:val="000000"/>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27"/>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rPr>
          <w:rFonts w:hint="eastAsia" w:ascii="宋体" w:hAnsi="宋体" w:eastAsia="宋体" w:cs="宋体"/>
          <w:b/>
          <w:bCs/>
          <w:color w:val="000000"/>
          <w:sz w:val="24"/>
        </w:rPr>
      </w:r>
      <w:r/>
    </w:p>
    <w:p>
      <w:pPr>
        <w:pStyle w:val="627"/>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rPr>
      </w:r>
      <w:r/>
    </w:p>
    <w:p>
      <w:pPr>
        <w:pStyle w:val="654"/>
        <w:ind w:firstLine="441"/>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b/>
          <w:color w:val="000000"/>
        </w:rPr>
        <w:t xml:space="preserve">政府采购政策功能落实</w:t>
      </w:r>
      <w:r>
        <w:rPr>
          <w:rFonts w:hint="eastAsia" w:ascii="宋体" w:hAnsi="宋体" w:eastAsia="宋体" w:cs="宋体"/>
          <w:color w:val="000000"/>
        </w:rPr>
      </w:r>
      <w:r/>
    </w:p>
    <w:p>
      <w:pPr>
        <w:pStyle w:val="65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1、小微型企业价格扣除</w:t>
      </w:r>
      <w:r>
        <w:rPr>
          <w:rFonts w:hint="eastAsia" w:ascii="宋体" w:hAnsi="宋体" w:eastAsia="宋体" w:cs="宋体"/>
          <w:color w:val="000000"/>
        </w:rPr>
      </w:r>
      <w:r/>
    </w:p>
    <w:p>
      <w:pPr>
        <w:pStyle w:val="823"/>
        <w:ind w:firstLine="360"/>
        <w:rPr>
          <w:rFonts w:hint="eastAsia" w:ascii="宋体" w:hAnsi="宋体" w:eastAsia="宋体" w:cs="宋体"/>
          <w:color w:val="000000"/>
        </w:rPr>
      </w:pPr>
      <w:r>
        <w:rPr>
          <w:rFonts w:hint="eastAsia" w:ascii="宋体" w:hAnsi="宋体" w:eastAsia="宋体" w:cs="宋体"/>
          <w:color w:val="000000"/>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rPr>
      </w:r>
      <w:r/>
    </w:p>
    <w:p>
      <w:pPr>
        <w:pStyle w:val="654"/>
        <w:ind w:firstLine="36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（2）供应商需按照采购文件的要求提供相应的《中小企业声明函》。</w:t>
      </w:r>
      <w:r>
        <w:rPr>
          <w:rFonts w:hint="eastAsia" w:ascii="宋体" w:hAnsi="宋体" w:eastAsia="宋体" w:cs="宋体"/>
          <w:color w:val="000000"/>
        </w:rPr>
      </w:r>
      <w:r/>
    </w:p>
    <w:p>
      <w:pPr>
        <w:pStyle w:val="654"/>
        <w:ind w:firstLine="36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（3）企业标准请参照《关于印发中小企业划型标准规定的通知》（工信部联企业〔2011〕300号）文件规定自行填写。</w:t>
      </w:r>
      <w:r>
        <w:rPr>
          <w:rFonts w:hint="eastAsia" w:ascii="宋体" w:hAnsi="宋体" w:eastAsia="宋体" w:cs="宋体"/>
          <w:color w:val="000000"/>
        </w:rPr>
      </w:r>
      <w:r/>
    </w:p>
    <w:p>
      <w:pPr>
        <w:pStyle w:val="65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2、残疾人福利单位价格扣除</w:t>
      </w:r>
      <w:r>
        <w:rPr>
          <w:rFonts w:hint="eastAsia" w:ascii="宋体" w:hAnsi="宋体" w:eastAsia="宋体" w:cs="宋体"/>
          <w:color w:val="000000"/>
        </w:rPr>
      </w:r>
      <w:r/>
    </w:p>
    <w:p>
      <w:pPr>
        <w:pStyle w:val="654"/>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rPr>
          <w:rFonts w:hint="eastAsia" w:ascii="宋体" w:hAnsi="宋体" w:eastAsia="宋体" w:cs="宋体"/>
          <w:color w:val="000000"/>
          <w:u w:val="single"/>
        </w:rPr>
      </w:r>
      <w:r/>
    </w:p>
    <w:p>
      <w:pPr>
        <w:pStyle w:val="654"/>
        <w:ind w:left="120" w:firstLine="36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（2）残疾人福利单位需按照采购文件的要求提供《残疾人福利性单位声明函》。</w:t>
      </w:r>
      <w:r>
        <w:rPr>
          <w:rFonts w:hint="eastAsia" w:ascii="宋体" w:hAnsi="宋体" w:eastAsia="宋体" w:cs="宋体"/>
          <w:color w:val="000000"/>
        </w:rPr>
      </w:r>
      <w:r/>
    </w:p>
    <w:p>
      <w:pPr>
        <w:pStyle w:val="654"/>
        <w:ind w:left="120" w:firstLine="36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（3）残疾人福利单位标准请参照《关于促进残疾人就业政府采购政策的通知》（财库〔2017〕141号）。</w:t>
      </w:r>
      <w:r>
        <w:rPr>
          <w:rFonts w:hint="eastAsia" w:ascii="宋体" w:hAnsi="宋体" w:eastAsia="宋体" w:cs="宋体"/>
          <w:color w:val="000000"/>
        </w:rPr>
      </w:r>
      <w:r/>
    </w:p>
    <w:p>
      <w:pPr>
        <w:pStyle w:val="65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3、监狱和戒毒企业价格扣除</w:t>
      </w:r>
      <w:r>
        <w:rPr>
          <w:rFonts w:hint="eastAsia" w:ascii="宋体" w:hAnsi="宋体" w:eastAsia="宋体" w:cs="宋体"/>
          <w:color w:val="000000"/>
        </w:rPr>
      </w:r>
      <w:r/>
    </w:p>
    <w:p>
      <w:pPr>
        <w:pStyle w:val="654"/>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rPr>
          <w:rFonts w:hint="eastAsia" w:ascii="宋体" w:hAnsi="宋体" w:eastAsia="宋体" w:cs="宋体"/>
          <w:color w:val="000000"/>
          <w:u w:val="single"/>
        </w:rPr>
      </w:r>
      <w:r/>
    </w:p>
    <w:p>
      <w:pPr>
        <w:pStyle w:val="65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rPr>
      </w:r>
      <w:r/>
    </w:p>
    <w:p>
      <w:pPr>
        <w:pStyle w:val="65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（3）监狱企业标准请参照《关于政府采购支持监狱企业发展有关问题的通知》（财库〔2014〕68号）。</w:t>
      </w:r>
      <w:r>
        <w:rPr>
          <w:rFonts w:hint="eastAsia" w:ascii="宋体" w:hAnsi="宋体" w:eastAsia="宋体" w:cs="宋体"/>
          <w:color w:val="000000"/>
        </w:rPr>
      </w:r>
      <w:r/>
    </w:p>
    <w:p>
      <w:pPr>
        <w:pStyle w:val="65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rPr>
          <w:rFonts w:hint="eastAsia" w:ascii="宋体" w:hAnsi="宋体" w:eastAsia="宋体" w:cs="宋体"/>
          <w:color w:val="000000"/>
        </w:rPr>
      </w:r>
      <w:r/>
    </w:p>
    <w:p>
      <w:pPr>
        <w:pStyle w:val="65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rPr>
          <w:rFonts w:hint="eastAsia" w:ascii="宋体" w:hAnsi="宋体" w:eastAsia="宋体" w:cs="宋体"/>
          <w:color w:val="000000"/>
        </w:rPr>
      </w:r>
      <w:r/>
    </w:p>
    <w:p>
      <w:pPr>
        <w:pStyle w:val="654"/>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rPr>
          <w:rFonts w:hint="eastAsia" w:ascii="宋体" w:hAnsi="宋体" w:eastAsia="宋体" w:cs="宋体"/>
          <w:color w:val="000000"/>
          <w:u w:val="single"/>
        </w:rPr>
      </w:r>
      <w:r/>
    </w:p>
    <w:p>
      <w:pPr>
        <w:pStyle w:val="627"/>
        <w:ind w:firstLine="482"/>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7、采购本国产品的支持政策</w:t>
      </w:r>
      <w:r>
        <w:rPr>
          <w:rFonts w:hint="eastAsia" w:ascii="宋体" w:hAnsi="宋体" w:eastAsia="宋体" w:cs="宋体"/>
          <w:b/>
          <w:bCs/>
          <w:color w:val="000000"/>
          <w:sz w:val="24"/>
        </w:rPr>
      </w:r>
      <w:r/>
    </w:p>
    <w:p>
      <w:pPr>
        <w:pStyle w:val="627"/>
        <w:ind w:firstLine="482"/>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4"/>
          <w:u w:val="single"/>
        </w:rPr>
        <w:t xml:space="preserve">20%</w:t>
      </w:r>
      <w:r>
        <w:rPr>
          <w:rFonts w:hint="eastAsia" w:ascii="宋体" w:hAnsi="宋体" w:eastAsia="宋体" w:cs="宋体"/>
          <w:b/>
          <w:bCs/>
          <w:color w:val="000000"/>
          <w:sz w:val="24"/>
        </w:rPr>
        <w:t xml:space="preserve">的价格扣除，用扣除后的价格参与评审。</w:t>
      </w:r>
      <w:r>
        <w:rPr>
          <w:rFonts w:hint="eastAsia" w:ascii="宋体" w:hAnsi="宋体" w:eastAsia="宋体" w:cs="宋体"/>
          <w:b/>
          <w:bCs/>
          <w:color w:val="000000"/>
          <w:sz w:val="24"/>
        </w:rPr>
      </w:r>
      <w:r/>
    </w:p>
    <w:p>
      <w:pPr>
        <w:pStyle w:val="627"/>
        <w:ind w:firstLine="482"/>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4"/>
          <w:u w:val="single"/>
        </w:rPr>
        <w:t xml:space="preserve">80%</w:t>
      </w:r>
      <w:r>
        <w:rPr>
          <w:rFonts w:hint="eastAsia" w:ascii="宋体" w:hAnsi="宋体" w:eastAsia="宋体" w:cs="宋体"/>
          <w:b/>
          <w:bCs/>
          <w:color w:val="00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4"/>
          <w:u w:val="single"/>
        </w:rPr>
        <w:t xml:space="preserve">20%</w:t>
      </w:r>
      <w:r>
        <w:rPr>
          <w:rFonts w:hint="eastAsia" w:ascii="宋体" w:hAnsi="宋体" w:eastAsia="宋体" w:cs="宋体"/>
          <w:b/>
          <w:bCs/>
          <w:color w:val="000000"/>
          <w:sz w:val="24"/>
        </w:rPr>
        <w:t xml:space="preserve">的价格扣除，用扣除后的价格参与评审。供应商未填写比例数值，或比例数值</w:t>
      </w:r>
      <w:r>
        <w:rPr>
          <w:rFonts w:hint="eastAsia" w:ascii="宋体" w:hAnsi="宋体" w:eastAsia="宋体" w:cs="宋体"/>
          <w:b/>
          <w:bCs/>
          <w:color w:val="000000"/>
          <w:sz w:val="24"/>
          <w:highlight w:val="yellow"/>
        </w:rPr>
        <w:t xml:space="preserve">未达到</w:t>
      </w:r>
      <w:r>
        <w:rPr>
          <w:rFonts w:hint="eastAsia" w:ascii="宋体" w:hAnsi="宋体" w:eastAsia="宋体" w:cs="宋体"/>
          <w:b/>
          <w:bCs/>
          <w:color w:val="000000"/>
          <w:sz w:val="24"/>
        </w:rPr>
        <w:t xml:space="preserve">80%的，将不享受本国产品价格评审优惠。</w:t>
      </w:r>
      <w:r>
        <w:rPr>
          <w:rFonts w:hint="eastAsia" w:ascii="宋体" w:hAnsi="宋体" w:eastAsia="宋体" w:cs="宋体"/>
          <w:b/>
          <w:bCs/>
          <w:color w:val="000000"/>
          <w:sz w:val="24"/>
        </w:rPr>
      </w:r>
      <w:r/>
    </w:p>
    <w:p>
      <w:pPr>
        <w:pStyle w:val="627"/>
        <w:ind w:firstLine="482"/>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rPr>
      </w:r>
      <w:r/>
    </w:p>
    <w:p>
      <w:pPr>
        <w:pStyle w:val="627"/>
        <w:ind w:firstLine="482"/>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7.4 供应商需在《声明函》中逐一、准确填写产品名称、厂名、生产厂址三项信息（</w:t>
      </w:r>
      <w:r>
        <w:rPr>
          <w:rFonts w:hint="eastAsia" w:ascii="宋体" w:hAnsi="宋体" w:eastAsia="宋体" w:cs="宋体"/>
          <w:b/>
          <w:bCs/>
          <w:color w:val="000000"/>
          <w:sz w:val="24"/>
          <w:highlight w:val="yellow"/>
        </w:rPr>
        <w:t xml:space="preserve">《声明函》中用横线划除的地方无需填写</w:t>
      </w:r>
      <w:r>
        <w:rPr>
          <w:rFonts w:hint="eastAsia" w:ascii="宋体" w:hAnsi="宋体" w:eastAsia="宋体" w:cs="宋体"/>
          <w:b/>
          <w:bCs/>
          <w:color w:val="000000"/>
          <w:sz w:val="24"/>
        </w:rPr>
        <w:t xml:space="preserve">），三项信息中任意一项未填写的视为该项产品不符合本国产品标准，不享受本国产品价格评审优惠。</w:t>
      </w:r>
      <w:r>
        <w:rPr>
          <w:rFonts w:hint="eastAsia" w:ascii="宋体" w:hAnsi="宋体" w:eastAsia="宋体" w:cs="宋体"/>
          <w:b/>
          <w:bCs/>
          <w:color w:val="000000"/>
          <w:sz w:val="24"/>
        </w:rPr>
      </w:r>
      <w:r/>
    </w:p>
    <w:p>
      <w:pPr>
        <w:pStyle w:val="627"/>
        <w:ind w:firstLine="482"/>
        <w:jc w:val="left"/>
        <w:spacing w:line="400" w:lineRule="exact"/>
        <w:rPr>
          <w:rFonts w:hint="eastAsia" w:ascii="宋体" w:hAnsi="宋体" w:eastAsia="宋体" w:cs="宋体"/>
          <w:color w:val="000000"/>
          <w:u w:val="single"/>
        </w:rPr>
      </w:pPr>
      <w:r>
        <w:rPr>
          <w:rFonts w:hint="eastAsia" w:ascii="宋体" w:hAnsi="宋体" w:eastAsia="宋体" w:cs="宋体"/>
          <w:b/>
          <w:bCs/>
          <w:color w:val="00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000000"/>
          <w:sz w:val="24"/>
        </w:rPr>
        <w:t xml:space="preserve">和招标文件规定的，供应商提供的相关产品视为不符合本国产品标准。</w:t>
      </w:r>
      <w:r>
        <w:rPr>
          <w:rFonts w:hint="eastAsia" w:ascii="宋体" w:hAnsi="宋体" w:eastAsia="宋体" w:cs="宋体"/>
          <w:color w:val="000000"/>
          <w:u w:val="single"/>
        </w:rPr>
      </w:r>
      <w:r/>
    </w:p>
    <w:p>
      <w:pPr>
        <w:pStyle w:val="627"/>
        <w:ind w:firstLine="480"/>
        <w:rPr>
          <w:rFonts w:hint="eastAsia" w:ascii="宋体" w:hAnsi="宋体" w:eastAsia="宋体" w:cs="宋体"/>
          <w:color w:val="000000"/>
          <w:sz w:val="24"/>
        </w:rPr>
      </w:pPr>
      <w:r>
        <w:rPr>
          <w:rFonts w:hint="eastAsia" w:ascii="宋体" w:hAnsi="宋体" w:eastAsia="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rPr>
        <w:t xml:space="preserve">如属政府强制采购产品未提供认证证书的或认证证书提供不全的将视为未实质性响应采购要求</w:t>
      </w:r>
      <w:r>
        <w:rPr>
          <w:rFonts w:hint="eastAsia" w:ascii="宋体" w:hAnsi="宋体" w:eastAsia="宋体" w:cs="宋体"/>
          <w:i/>
          <w:color w:val="000000"/>
          <w:sz w:val="24"/>
        </w:rPr>
        <w:t xml:space="preserve">。</w:t>
      </w:r>
      <w:r>
        <w:rPr>
          <w:rFonts w:hint="eastAsia" w:ascii="宋体" w:hAnsi="宋体" w:eastAsia="宋体" w:cs="宋体"/>
          <w:color w:val="000000"/>
          <w:sz w:val="24"/>
        </w:rPr>
        <w:t xml:space="preserve">其他条件相同情况下，应当优先采购节能产品、环境标志产品。</w:t>
      </w:r>
      <w:r>
        <w:rPr>
          <w:rFonts w:hint="eastAsia" w:ascii="宋体" w:hAnsi="宋体" w:eastAsia="宋体" w:cs="宋体"/>
          <w:color w:val="000000"/>
          <w:sz w:val="24"/>
        </w:rPr>
      </w:r>
      <w:r/>
    </w:p>
    <w:p>
      <w:pPr>
        <w:pStyle w:val="654"/>
        <w:ind w:firstLine="482"/>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b/>
          <w:color w:val="000000"/>
        </w:rPr>
        <w:t xml:space="preserve">评标方法与评标标准</w:t>
      </w:r>
      <w:r>
        <w:rPr>
          <w:rFonts w:hint="eastAsia" w:ascii="宋体" w:hAnsi="宋体" w:eastAsia="宋体" w:cs="宋体"/>
          <w:color w:val="000000"/>
        </w:rPr>
      </w:r>
      <w:r/>
    </w:p>
    <w:p>
      <w:pPr>
        <w:pStyle w:val="654"/>
        <w:ind w:firstLine="482"/>
        <w:spacing w:beforeAutospacing="0" w:afterAutospacing="0" w:line="300" w:lineRule="auto"/>
        <w:rPr>
          <w:rFonts w:hint="eastAsia" w:ascii="仿宋" w:hAnsi="仿宋" w:eastAsia="仿宋" w:cs="仿宋"/>
          <w:b/>
          <w:color w:val="000000"/>
        </w:rPr>
      </w:pPr>
      <w:r>
        <w:rPr>
          <w:rFonts w:hint="eastAsia" w:ascii="宋体" w:hAnsi="宋体" w:eastAsia="宋体" w:cs="宋体"/>
          <w:color w:val="000000"/>
        </w:rPr>
        <w:t xml:space="preserve"> </w:t>
      </w:r>
      <w:r>
        <w:rPr>
          <w:rFonts w:hint="eastAsia" w:ascii="仿宋" w:hAnsi="仿宋" w:eastAsia="仿宋" w:cs="仿宋"/>
          <w:b/>
          <w:color w:val="000000"/>
        </w:rPr>
      </w:r>
      <w:r/>
    </w:p>
    <w:tbl>
      <w:tblPr>
        <w:tblW w:w="8643" w:type="dxa"/>
        <w:tblInd w:w="-15" w:type="dxa"/>
        <w:tblLayout w:type="fixed"/>
        <w:tblCellMar>
          <w:left w:w="108" w:type="dxa"/>
          <w:top w:w="0" w:type="dxa"/>
          <w:right w:w="108" w:type="dxa"/>
          <w:bottom w:w="0" w:type="dxa"/>
        </w:tblCellMar>
        <w:tblLook w:val="04A0" w:firstRow="1" w:lastRow="0" w:firstColumn="1" w:lastColumn="0" w:noHBand="0" w:noVBand="1"/>
      </w:tblPr>
      <w:tblGrid>
        <w:gridCol w:w="1117"/>
        <w:gridCol w:w="1200"/>
        <w:gridCol w:w="5655"/>
        <w:gridCol w:w="671"/>
      </w:tblGrid>
      <w:tr>
        <w:trPr>
          <w:trHeight w:val="288"/>
        </w:trPr>
        <w:tc>
          <w:tcPr>
            <w:gridSpan w:val="2"/>
            <w:tcBorders>
              <w:top w:val="single" w:color="000000" w:sz="8" w:space="0"/>
              <w:left w:val="single" w:color="000000" w:sz="8" w:space="0"/>
              <w:bottom w:val="single" w:color="000000" w:sz="8" w:space="0"/>
              <w:right w:val="single" w:color="000000" w:sz="8" w:space="0"/>
            </w:tcBorders>
            <w:tcW w:w="2317" w:type="dxa"/>
            <w:vAlign w:val="center"/>
            <w:textDirection w:val="lrTb"/>
            <w:noWrap/>
          </w:tcPr>
          <w:p>
            <w:pPr>
              <w:pStyle w:val="627"/>
              <w:widowControl/>
              <w:rPr>
                <w:rFonts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评分点名称</w:t>
            </w:r>
            <w:r>
              <w:rPr>
                <w:rFonts w:ascii="仿宋" w:hAnsi="仿宋" w:eastAsia="仿宋" w:cs="仿宋"/>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评审标准</w:t>
            </w:r>
            <w:r>
              <w:rPr>
                <w:rFonts w:hint="eastAsia" w:ascii="仿宋" w:hAnsi="仿宋" w:eastAsia="仿宋" w:cs="仿宋"/>
                <w:b/>
                <w:bCs/>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分值</w:t>
            </w:r>
            <w:r>
              <w:rPr>
                <w:rFonts w:hint="eastAsia" w:ascii="仿宋" w:hAnsi="仿宋" w:eastAsia="仿宋" w:cs="仿宋"/>
                <w:b/>
                <w:bCs/>
                <w:color w:val="000000"/>
                <w:sz w:val="22"/>
                <w:szCs w:val="22"/>
              </w:rPr>
            </w:r>
            <w:r/>
          </w:p>
        </w:tc>
      </w:tr>
      <w:tr>
        <w:trPr>
          <w:trHeight w:val="879"/>
        </w:trPr>
        <w:tc>
          <w:tcPr>
            <w:gridSpan w:val="2"/>
            <w:tcBorders>
              <w:top w:val="single" w:color="000000" w:sz="8" w:space="0"/>
              <w:left w:val="single" w:color="000000" w:sz="8" w:space="0"/>
              <w:bottom w:val="single" w:color="000000" w:sz="8" w:space="0"/>
              <w:right w:val="single" w:color="000000" w:sz="8" w:space="0"/>
            </w:tcBorders>
            <w:tcW w:w="2317" w:type="dxa"/>
            <w:vAlign w:val="center"/>
            <w:textDirection w:val="lrTb"/>
            <w:noWrap/>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价格分（10分）</w:t>
            </w:r>
            <w:r>
              <w:rPr>
                <w:rFonts w:hint="eastAsia" w:ascii="仿宋" w:hAnsi="仿宋" w:eastAsia="仿宋" w:cs="仿宋"/>
                <w:color w:val="000000"/>
                <w:sz w:val="22"/>
                <w:szCs w:val="22"/>
              </w:rPr>
            </w:r>
            <w:r/>
          </w:p>
        </w:tc>
        <w:tc>
          <w:tcPr>
            <w:tcBorders>
              <w:top w:val="single" w:color="000000" w:sz="8" w:space="0"/>
              <w:left w:val="single" w:color="000000" w:sz="8" w:space="0"/>
              <w:bottom w:val="none" w:color="000000" w:sz="4"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投标报价得分=（评标基准价/投标报价）×10（小数点保留两位）。（有效投标报价为未被评标委员会判定为无效标的投标文件）。</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w:t>
            </w:r>
            <w:r>
              <w:rPr>
                <w:rFonts w:hint="eastAsia" w:ascii="仿宋" w:hAnsi="仿宋" w:eastAsia="仿宋" w:cs="仿宋"/>
                <w:color w:val="000000"/>
                <w:sz w:val="22"/>
                <w:szCs w:val="22"/>
              </w:rPr>
            </w:r>
            <w:r/>
          </w:p>
        </w:tc>
      </w:tr>
      <w:tr>
        <w:trPr>
          <w:trHeight w:val="591"/>
        </w:trPr>
        <w:tc>
          <w:tcPr>
            <w:tcBorders>
              <w:top w:val="single" w:color="000000" w:sz="8" w:space="0"/>
              <w:left w:val="single" w:color="000000" w:sz="8" w:space="0"/>
              <w:bottom w:val="single" w:color="000000" w:sz="8" w:space="0"/>
              <w:right w:val="single" w:color="000000" w:sz="8" w:space="0"/>
            </w:tcBorders>
            <w:tcW w:w="1117" w:type="dxa"/>
            <w:vAlign w:val="center"/>
            <w:vMerge w:val="restart"/>
            <w:textDirection w:val="lrTb"/>
            <w:noWrap/>
          </w:tcPr>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商务技术分（90分）</w:t>
            </w:r>
            <w:r>
              <w:rPr>
                <w:rFonts w:hint="eastAsia" w:ascii="仿宋" w:hAnsi="仿宋" w:eastAsia="仿宋" w:cs="仿宋"/>
                <w:color w:val="000000"/>
                <w:sz w:val="22"/>
                <w:szCs w:val="22"/>
              </w:rPr>
            </w:r>
            <w:r/>
          </w:p>
        </w:tc>
        <w:tc>
          <w:tcPr>
            <w:tcBorders>
              <w:top w:val="single" w:color="000000" w:sz="8" w:space="0"/>
              <w:left w:val="single" w:color="000000" w:sz="8" w:space="0"/>
              <w:bottom w:val="none" w:color="000000" w:sz="4" w:space="0"/>
              <w:right w:val="single" w:color="000000" w:sz="8" w:space="0"/>
            </w:tcBorders>
            <w:tcW w:w="1200" w:type="dxa"/>
            <w:vAlign w:val="center"/>
            <w:textDirection w:val="lrTb"/>
            <w:noWrap/>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设备参数（23分）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根据投标人的响应情况进行打分，全部响应招标文件“设备参数及要求”的得满分23分； </w:t>
            </w:r>
            <w:r>
              <w:rPr>
                <w:rFonts w:hint="eastAsia" w:ascii="仿宋" w:hAnsi="仿宋" w:eastAsia="仿宋" w:cs="仿宋"/>
                <w:color w:val="000000"/>
                <w:sz w:val="22"/>
                <w:szCs w:val="22"/>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（1）招标文件中带“▲”条款为设备重要参数指标，需提供相关证明材料，全部满足的得20分，有一项负偏离扣2分，扣完为止；</w:t>
            </w:r>
            <w:r>
              <w:rPr>
                <w:rFonts w:hint="eastAsia" w:ascii="仿宋" w:hAnsi="仿宋" w:eastAsia="仿宋" w:cs="仿宋"/>
                <w:color w:val="000000"/>
                <w:sz w:val="22"/>
                <w:szCs w:val="22"/>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（2）其它条款为设备基础参数指标，全部满足的得3分，每负偏离1项扣0.1分，扣完为止； </w:t>
            </w:r>
            <w:r>
              <w:rPr>
                <w:rFonts w:hint="eastAsia" w:ascii="仿宋" w:hAnsi="仿宋" w:eastAsia="仿宋" w:cs="仿宋"/>
                <w:color w:val="000000"/>
                <w:sz w:val="22"/>
                <w:szCs w:val="22"/>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本项最高得23分。</w:t>
            </w:r>
            <w:r>
              <w:rPr>
                <w:rFonts w:hint="eastAsia" w:ascii="仿宋" w:hAnsi="仿宋" w:eastAsia="仿宋" w:cs="仿宋"/>
                <w:color w:val="000000"/>
                <w:sz w:val="22"/>
                <w:szCs w:val="22"/>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注：设备参数要求及相关说明的技术条款须在《技术响应表》中逐条响应并加盖投标人公章，如需提供相关证明材料的同时提供相关证明材料，未在《技术响应表》中响应条款或未提供证明材料的，视同负偏离。</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ascii="仿宋" w:hAnsi="仿宋" w:eastAsia="仿宋" w:cs="仿宋"/>
                <w:color w:val="000000"/>
                <w:sz w:val="22"/>
                <w:szCs w:val="22"/>
              </w:rPr>
            </w:pPr>
            <w:r>
              <w:rPr>
                <w:rFonts w:hint="eastAsia" w:ascii="仿宋" w:hAnsi="仿宋" w:eastAsia="仿宋" w:cs="仿宋"/>
                <w:color w:val="000000"/>
                <w:sz w:val="22"/>
                <w:szCs w:val="22"/>
                <w:lang w:bidi="ar"/>
              </w:rPr>
              <w:t xml:space="preserve">23</w:t>
            </w:r>
            <w:r>
              <w:rPr>
                <w:rFonts w:ascii="仿宋" w:hAnsi="仿宋" w:eastAsia="仿宋" w:cs="仿宋"/>
                <w:color w:val="000000"/>
                <w:sz w:val="22"/>
                <w:szCs w:val="22"/>
              </w:rPr>
            </w:r>
            <w:r/>
          </w:p>
        </w:tc>
      </w:tr>
      <w:tr>
        <w:trPr>
          <w:trHeight w:val="1455"/>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体系能力评价（4分）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1.投标人具有信息安全管理体系认证证书的，得1分。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2.投标人具有信息技术服务管理体系认证证书的，得1分。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3.投标人具有知识产权管理体系认证证书的，得1分。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4.投标人具有业务连续性管理体系认证证书的，得1分。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提供有效证书复印件加盖投标人公章，否则不得分。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4</w:t>
            </w:r>
            <w:r>
              <w:rPr>
                <w:rFonts w:hint="eastAsia" w:ascii="仿宋" w:hAnsi="仿宋" w:eastAsia="仿宋" w:cs="仿宋"/>
                <w:color w:val="000000"/>
                <w:sz w:val="22"/>
                <w:szCs w:val="22"/>
              </w:rPr>
            </w:r>
            <w:r/>
          </w:p>
        </w:tc>
      </w:tr>
      <w:tr>
        <w:trPr>
          <w:trHeight w:val="1167"/>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类似业绩</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（6分）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自2023年1月1日</w:t>
            </w:r>
            <w:r>
              <w:rPr>
                <w:rFonts w:hint="eastAsia" w:ascii="仿宋" w:hAnsi="仿宋" w:eastAsia="仿宋" w:cs="仿宋"/>
                <w:color w:val="000000"/>
                <w:sz w:val="22"/>
                <w:szCs w:val="22"/>
                <w:highlight w:val="yellow"/>
                <w:lang w:bidi="ar"/>
              </w:rPr>
              <w:t xml:space="preserve">（以合同签订日期为准）</w:t>
            </w:r>
            <w:r>
              <w:rPr>
                <w:rFonts w:hint="eastAsia" w:ascii="仿宋" w:hAnsi="仿宋" w:eastAsia="仿宋" w:cs="仿宋"/>
                <w:color w:val="000000"/>
                <w:sz w:val="22"/>
                <w:szCs w:val="22"/>
                <w:lang w:bidi="ar"/>
              </w:rPr>
              <w:t xml:space="preserve">以来，投标人承担过城市生命线安全建设或城市基础设</w:t>
            </w:r>
            <w:bookmarkStart w:id="218" w:name="_GoBack"/>
            <w:r/>
            <w:bookmarkEnd w:id="218"/>
            <w:r>
              <w:rPr>
                <w:rFonts w:hint="eastAsia" w:ascii="仿宋" w:hAnsi="仿宋" w:eastAsia="仿宋" w:cs="仿宋"/>
                <w:color w:val="000000"/>
                <w:sz w:val="22"/>
                <w:szCs w:val="22"/>
                <w:lang w:bidi="ar"/>
              </w:rPr>
              <w:t xml:space="preserve">施安全运行建设项目类似业绩且竣工验收的，每提供一个业绩得2分，最高得6分。</w:t>
            </w:r>
            <w:r>
              <w:rPr>
                <w:rFonts w:hint="eastAsia" w:ascii="仿宋" w:hAnsi="仿宋" w:eastAsia="仿宋" w:cs="仿宋"/>
                <w:color w:val="000000"/>
                <w:sz w:val="22"/>
                <w:szCs w:val="22"/>
                <w:lang w:bidi="ar"/>
              </w:rPr>
            </w:r>
            <w:r/>
          </w:p>
          <w:p>
            <w:pPr>
              <w:pStyle w:val="627"/>
              <w:widowControl/>
              <w:rPr>
                <w:rFonts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提供竣工验收证明或终验证明（须提供业主单位或相关主管部门盖章的证明材料）、合同（合同须能够清晰地反映合同首页、建设内容、合同签字页等）复印件加投标人盖公章，否则不得分。</w:t>
            </w:r>
            <w:r>
              <w:rPr>
                <w:rFonts w:ascii="仿宋" w:hAnsi="仿宋" w:eastAsia="仿宋" w:cs="仿宋"/>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6</w:t>
            </w:r>
            <w:r>
              <w:rPr>
                <w:rFonts w:hint="eastAsia" w:ascii="仿宋" w:hAnsi="仿宋" w:eastAsia="仿宋" w:cs="仿宋"/>
                <w:color w:val="000000"/>
                <w:sz w:val="22"/>
                <w:szCs w:val="22"/>
              </w:rPr>
            </w:r>
            <w:r/>
          </w:p>
        </w:tc>
      </w:tr>
      <w:tr>
        <w:trPr>
          <w:trHeight w:val="2607"/>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技术能力</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（6分）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1.投标人具有与本项目相关的软件著作权证书（如城市基础设施监管类、燃气监测监管类、燃气预警类、供水监管类、排水监测监管类、桥梁监测监管类、桥梁预警类），每提供一个得1.5分，本项最高得6分。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同一类别不重复得分，提供软件著作权证书复印件并加盖投标人公章，否则不得分。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6</w:t>
            </w:r>
            <w:r>
              <w:rPr>
                <w:rFonts w:hint="eastAsia" w:ascii="仿宋" w:hAnsi="仿宋" w:eastAsia="仿宋" w:cs="仿宋"/>
                <w:color w:val="000000"/>
                <w:sz w:val="22"/>
                <w:szCs w:val="22"/>
              </w:rPr>
            </w:r>
            <w:r/>
          </w:p>
        </w:tc>
      </w:tr>
      <w:tr>
        <w:trPr>
          <w:trHeight w:val="2319"/>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奖励荣誉</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（8分）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投标人拥有相关领域（燃气或供水或排水或道路或桥梁）的市级科学技术进步奖或科学技术奖（由市级人民政府或行政主管部门颁发）的，每提供一个得1分，最高得2分；省级科学技术进步奖或科学技术奖（由省级人民政府或行政主管部门颁发）的，每提供一个得2分，最高得4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国家级科学技术进步奖或科学技术奖（由国务院或国家级行政主管部门颁发）的，每提供一个得4分，最高得8分。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本项最高得8分。</w:t>
            </w:r>
            <w:r>
              <w:rPr>
                <w:rFonts w:hint="eastAsia" w:ascii="仿宋" w:hAnsi="仿宋" w:eastAsia="仿宋" w:cs="仿宋"/>
                <w:color w:val="000000"/>
                <w:sz w:val="22"/>
                <w:szCs w:val="22"/>
                <w:lang w:bidi="ar"/>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备注1：</w:t>
            </w:r>
            <w:r>
              <w:rPr>
                <w:rFonts w:hint="eastAsia" w:ascii="仿宋" w:hAnsi="仿宋" w:eastAsia="仿宋" w:cs="仿宋"/>
                <w:color w:val="000000"/>
                <w:sz w:val="22"/>
                <w:szCs w:val="22"/>
                <w:highlight w:val="yellow"/>
                <w:lang w:bidi="ar"/>
              </w:rPr>
              <w:t xml:space="preserve">同一领域（燃气、供水、排水、道路、桥梁）内，投标人就同类科技成果同时持有多级奖项的，仅按最高级别计分，不重复累计；不同领域可分别计分。</w:t>
            </w:r>
            <w:r>
              <w:rPr>
                <w:rFonts w:hint="eastAsia" w:ascii="仿宋" w:hAnsi="仿宋" w:eastAsia="仿宋" w:cs="仿宋"/>
                <w:color w:val="000000"/>
                <w:sz w:val="22"/>
                <w:szCs w:val="22"/>
                <w:lang w:bidi="ar"/>
              </w:rPr>
              <w:t xml:space="preserve">2、提供相关证明材料复印件并加盖投标人公章，否则不得分。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8</w:t>
            </w:r>
            <w:r>
              <w:rPr>
                <w:rFonts w:hint="eastAsia" w:ascii="仿宋" w:hAnsi="仿宋" w:eastAsia="仿宋" w:cs="仿宋"/>
                <w:color w:val="000000"/>
                <w:sz w:val="22"/>
                <w:szCs w:val="22"/>
              </w:rPr>
            </w:r>
            <w:r/>
          </w:p>
        </w:tc>
      </w:tr>
      <w:tr>
        <w:trPr>
          <w:trHeight w:val="1015"/>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项目负责人（5分）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（1）具有数字经济类或工程类或信息化类中级工程师职称，得1分，具有数字经济类或工程类或信息化类高级工程师及以上职称，得2分，最高得2分；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（2）具有由人社部门或工信部门颁发的网络工程师证书，得1分，最高得1分；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（3）2022年1月1日以来</w:t>
            </w:r>
            <w:r>
              <w:rPr>
                <w:rFonts w:hint="eastAsia" w:ascii="仿宋" w:hAnsi="仿宋" w:eastAsia="仿宋" w:cs="仿宋"/>
                <w:color w:val="000000"/>
                <w:sz w:val="22"/>
                <w:szCs w:val="22"/>
                <w:highlight w:val="yellow"/>
                <w:lang w:bidi="ar"/>
              </w:rPr>
              <w:t xml:space="preserve">（以合同签订日期为准）</w:t>
            </w:r>
            <w:r>
              <w:rPr>
                <w:rFonts w:hint="eastAsia" w:ascii="仿宋" w:hAnsi="仿宋" w:eastAsia="仿宋" w:cs="仿宋"/>
                <w:color w:val="000000"/>
                <w:sz w:val="22"/>
                <w:szCs w:val="22"/>
                <w:lang w:bidi="ar"/>
              </w:rPr>
              <w:t xml:space="preserve">，负责过与本项目类似业绩的（项目负责人姓名须在合同中明确体现），每提供1个得1分，最高得2分；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本项最高得5分。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项目负责人需为投标人本单位职工，提供证明材料，并提供有效证书、业绩合同扫描件，否则不得分。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5</w:t>
            </w:r>
            <w:r>
              <w:rPr>
                <w:rFonts w:hint="eastAsia" w:ascii="仿宋" w:hAnsi="仿宋" w:eastAsia="仿宋" w:cs="仿宋"/>
                <w:color w:val="000000"/>
                <w:sz w:val="22"/>
                <w:szCs w:val="22"/>
              </w:rPr>
            </w:r>
            <w:r/>
          </w:p>
        </w:tc>
      </w:tr>
      <w:tr>
        <w:trPr>
          <w:trHeight w:val="1167"/>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技术负责人</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（3分）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numPr>
                <w:ilvl w:val="0"/>
                <w:numId w:val="2"/>
              </w:num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具有数字经济类或工程类或信息化类中级工程师职称，得1分，具有数字经济类或工程类或信息化类高级工程师及以上职称，得2分，最高得2分；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（2）持有信息系统项目管理师（高级）证书的，得1分，最高得1分；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本项最高得3分。</w:t>
            </w:r>
            <w:r>
              <w:rPr>
                <w:rFonts w:hint="eastAsia" w:ascii="仿宋" w:hAnsi="仿宋" w:eastAsia="仿宋" w:cs="仿宋"/>
                <w:color w:val="000000"/>
                <w:sz w:val="22"/>
                <w:szCs w:val="22"/>
                <w:lang w:bidi="ar"/>
              </w:rPr>
            </w:r>
            <w:r/>
          </w:p>
          <w:p>
            <w:pPr>
              <w:pStyle w:val="627"/>
              <w:jc w:val="left"/>
              <w:widowControl/>
              <w:rPr>
                <w:rFonts w:hint="eastAsia"/>
                <w:color w:val="000000"/>
              </w:rPr>
            </w:pPr>
            <w:r>
              <w:rPr>
                <w:rFonts w:hint="eastAsia" w:ascii="仿宋" w:hAnsi="仿宋" w:eastAsia="仿宋" w:cs="仿宋"/>
                <w:color w:val="000000"/>
                <w:sz w:val="22"/>
                <w:szCs w:val="22"/>
                <w:lang w:bidi="ar"/>
              </w:rPr>
              <w:t xml:space="preserve">技术负责人需为投标人本单位职工，提供证明材料，并提供有效证书，否则不得分。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w:t>
            </w:r>
            <w:r>
              <w:rPr>
                <w:rFonts w:hint="eastAsia" w:ascii="仿宋" w:hAnsi="仿宋" w:eastAsia="仿宋" w:cs="仿宋"/>
                <w:color w:val="000000"/>
                <w:sz w:val="22"/>
                <w:szCs w:val="22"/>
              </w:rPr>
            </w:r>
            <w:r/>
          </w:p>
        </w:tc>
      </w:tr>
      <w:tr>
        <w:trPr>
          <w:trHeight w:val="6927"/>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项目团队</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（10分）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31"/>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1.信息安全负责人1名：</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（1）具有数字经济类或工程类或信息化类中级工程师职称，得1分，具有数字经济类或工程类或信息化类高级工程师及以上职称，得2分，最高得2分；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（2）持有注册信息安全工程师(CISP)证书，得1分，最高得1分；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本项最高得3分。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2.现场安全负责人1名：</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（1）具有安全专业高级工程师(副高)及以上职称的1得1分；中级职称的得0.5分；最高得1分；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（2）具有注册安全工程师证书，得1分，最高得1分；</w:t>
            </w:r>
            <w:r>
              <w:rPr>
                <w:rFonts w:hint="eastAsia" w:ascii="仿宋" w:hAnsi="仿宋" w:eastAsia="仿宋" w:cs="仿宋"/>
                <w:color w:val="000000"/>
                <w:sz w:val="22"/>
                <w:szCs w:val="22"/>
                <w:lang w:bidi="ar"/>
              </w:rPr>
            </w:r>
            <w:r/>
          </w:p>
          <w:p>
            <w:pPr>
              <w:pStyle w:val="631"/>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本项最高得2分。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3.项目组主要成员：</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①燃气专项负责人1名:具有注册公用设备工程师(暖通空调)证书得0.5分:具有高级工程师及以上职称得0.5分,中级职称的得0.25分；本项最高得1分;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②供水、排水专项负责人1名：具有注册公用设备工程师(给水排水)证书得0.5分；具有高级工程师及以上职称得0.5分,中级职称的得0.25分；本项最高得1分；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③桥梁专项负责人1名：具有一级注册结构工程师证书得0.5分；具有高级工程师及以上职称得0.5分,中级职称的得0.25分；本项最高得1分；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④道路专项负责人1名：具有注册土木工程师（道路工程）证书得0.5分；具有高级工程师及以上职称得0.5分,中级职称的得0.25分；本项最高得1分；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⑤管线专项负责人1名：具有注册测绘师证书得0.5分；具有高级工程师及以上职称得0.5分,中级职称的得0.25分；本项最高得1分。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本项最高得5分。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注：1、上述人员不得重复。</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2、上述人员需为投标人本单位职工，提供证明材料，并提供有效证书，否则不得分。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w:t>
            </w:r>
            <w:r>
              <w:rPr>
                <w:rFonts w:hint="eastAsia" w:ascii="仿宋" w:hAnsi="仿宋" w:eastAsia="仿宋" w:cs="仿宋"/>
                <w:color w:val="000000"/>
                <w:sz w:val="22"/>
                <w:szCs w:val="22"/>
              </w:rPr>
            </w:r>
            <w:r/>
          </w:p>
        </w:tc>
      </w:tr>
      <w:tr>
        <w:trPr>
          <w:trHeight w:val="2319"/>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vMerge w:val="restart"/>
            <w:textDirection w:val="lrTb"/>
            <w:noWrap/>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技术方案（25分）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numPr>
                <w:ilvl w:val="0"/>
                <w:numId w:val="3"/>
              </w:numPr>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项目的理解和认识（3分）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根据投标人对本项目背景、省厅及盐城市要求、射阳县各场景监管部门业务现状及需求及业务流程分析理解的全面性、合理性、针对性进行评分。</w:t>
            </w:r>
            <w:r>
              <w:rPr>
                <w:rFonts w:hint="eastAsia" w:ascii="仿宋" w:hAnsi="仿宋" w:eastAsia="仿宋" w:cs="仿宋"/>
                <w:color w:val="000000"/>
                <w:sz w:val="22"/>
                <w:szCs w:val="22"/>
                <w:lang w:bidi="ar"/>
              </w:rPr>
            </w:r>
            <w:r/>
          </w:p>
          <w:p>
            <w:pPr>
              <w:pStyle w:val="627"/>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方案内容描述全面、合理、有针对性符合采购需求的得3分，每有一项内容缺失的扣1分；每有一处存在缺陷（缺陷是指不适用于本项目，表述前后不一致或内容矛盾，语句有歧义，仅有框架或标题，涉及的规范及标准错误，套用其他项目内容等任意一种情形）的扣 0.5分，扣完为止，不提供不得分。</w:t>
            </w:r>
            <w:r>
              <w:rPr>
                <w:rFonts w:hint="eastAsia" w:ascii="仿宋" w:hAnsi="仿宋" w:eastAsia="仿宋" w:cs="仿宋"/>
                <w:color w:val="000000"/>
                <w:sz w:val="22"/>
                <w:szCs w:val="22"/>
                <w:lang w:bidi="ar"/>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未提供的得0分，本项最高得3分，最低得0分。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w:t>
            </w:r>
            <w:r>
              <w:rPr>
                <w:rFonts w:hint="eastAsia" w:ascii="仿宋" w:hAnsi="仿宋" w:eastAsia="仿宋" w:cs="仿宋"/>
                <w:color w:val="000000"/>
                <w:sz w:val="22"/>
                <w:szCs w:val="22"/>
              </w:rPr>
            </w:r>
            <w:r/>
          </w:p>
        </w:tc>
      </w:tr>
      <w:tr>
        <w:trPr>
          <w:trHeight w:val="2319"/>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tcPr>
          <w:p>
            <w:pPr>
              <w:pStyle w:val="627"/>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2、项目总体架构设计（4分）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投标人需结合盐城市实际要求与情况，从系统架构层面提出满足射阳县城市生命线总体架构方案，须至少提供总体架构图、网络架构图、数据架构图和部署实施架构图，对投标人提供的总体设计从完整性、针对性、可行性综合评审。</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方案内容描述全面、合理、有针对性符合采购需求的得4分，每有一项内容缺失的扣1分；每有一处存在缺陷（缺陷是指不适用于本项目，表述前后不一致或内容矛盾，语句有歧义，仅有框架或标题，涉及的规范及标准错误，套用其他项目内容等任意一种情形）的扣 0.5分，扣完为止，不提供不得分。</w:t>
            </w:r>
            <w:r>
              <w:rPr>
                <w:rFonts w:hint="eastAsia" w:ascii="仿宋" w:hAnsi="仿宋" w:eastAsia="仿宋" w:cs="仿宋"/>
                <w:color w:val="000000"/>
                <w:sz w:val="22"/>
                <w:szCs w:val="22"/>
                <w:lang w:bidi="ar"/>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未提供的得0分，本项最高得4分，最低得0分。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4</w:t>
            </w:r>
            <w:r>
              <w:rPr>
                <w:rFonts w:hint="eastAsia" w:ascii="仿宋" w:hAnsi="仿宋" w:eastAsia="仿宋" w:cs="仿宋"/>
                <w:color w:val="000000"/>
                <w:sz w:val="22"/>
                <w:szCs w:val="22"/>
              </w:rPr>
            </w:r>
            <w:r/>
          </w:p>
        </w:tc>
      </w:tr>
      <w:tr>
        <w:trPr>
          <w:trHeight w:val="2031"/>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tcPr>
          <w:p>
            <w:pPr>
              <w:pStyle w:val="627"/>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3、详细功能设计（6分）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投标人需结合盐城市及射阳县实际要求与情况，提供门户层、专项业务应用层、能力中台的详细方案设计，对投标人提供的详细功能设计从完整性、针对性、可行性综合评审。</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方案内容描述全面、合理、有针对性符合采购需求的得6分，每有一项内容缺失的扣2分；每有一处存在缺陷（缺陷是指不适用于本项目，表述前后不一致或内容矛盾，语句有歧义，仅有框架或标题，涉及的规范及标准错误，套用其他项目内容等任意一种情形）的扣 0.5分，扣完为止，不提供不得分。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未提供的得0分，本项最高得6分，最低得0分。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ascii="仿宋" w:hAnsi="仿宋" w:eastAsia="仿宋" w:cs="仿宋"/>
                <w:color w:val="000000"/>
                <w:sz w:val="22"/>
                <w:szCs w:val="22"/>
              </w:rPr>
            </w:pPr>
            <w:r>
              <w:rPr>
                <w:rFonts w:hint="eastAsia" w:ascii="仿宋" w:hAnsi="仿宋" w:eastAsia="仿宋" w:cs="仿宋"/>
                <w:color w:val="000000"/>
                <w:sz w:val="22"/>
                <w:szCs w:val="22"/>
                <w:lang w:bidi="ar"/>
              </w:rPr>
              <w:t xml:space="preserve">6</w:t>
            </w:r>
            <w:r>
              <w:rPr>
                <w:rFonts w:ascii="仿宋" w:hAnsi="仿宋" w:eastAsia="仿宋" w:cs="仿宋"/>
                <w:color w:val="000000"/>
                <w:sz w:val="22"/>
                <w:szCs w:val="22"/>
              </w:rPr>
            </w:r>
            <w:r/>
          </w:p>
        </w:tc>
      </w:tr>
      <w:tr>
        <w:trPr>
          <w:trHeight w:val="2031"/>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tcPr>
          <w:p>
            <w:pPr>
              <w:pStyle w:val="627"/>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4、设备部署与数据采集方案（6分）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对投标人提供的设备部署与数据采集方案进行综合评价，至少包含基本情况梳理、现状分析、设备选型、设备安装与维护、数据采集与传输等内容，对投标人提供方案的完整性、针对性、可行性综合评审。</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方案内容描述全面、合理、有针对性符合采购需求的得6分，每有一项内容缺失的扣2分；每有一处存在缺陷（缺陷是指不适用于本项目，表述前后不一致或内容矛盾，语句有歧义，仅有框架或标题，涉及的规范及标准错误，套用其他项目内容等任意一种情形）的扣 0.5分，扣完为止，不提供不得分。</w:t>
            </w:r>
            <w:r>
              <w:rPr>
                <w:rFonts w:hint="eastAsia" w:ascii="仿宋" w:hAnsi="仿宋" w:eastAsia="仿宋" w:cs="仿宋"/>
                <w:color w:val="000000"/>
                <w:sz w:val="22"/>
                <w:szCs w:val="22"/>
                <w:lang w:bidi="ar"/>
              </w:rPr>
            </w:r>
            <w:r/>
          </w:p>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未提供的得0分，本项最高得6分，最低得0分。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ascii="仿宋" w:hAnsi="仿宋" w:eastAsia="仿宋" w:cs="仿宋"/>
                <w:color w:val="000000"/>
                <w:sz w:val="22"/>
                <w:szCs w:val="22"/>
              </w:rPr>
            </w:pPr>
            <w:r>
              <w:rPr>
                <w:rFonts w:hint="eastAsia" w:ascii="仿宋" w:hAnsi="仿宋" w:eastAsia="仿宋" w:cs="仿宋"/>
                <w:color w:val="000000"/>
                <w:sz w:val="22"/>
                <w:szCs w:val="22"/>
                <w:lang w:bidi="ar"/>
              </w:rPr>
              <w:t xml:space="preserve">6</w:t>
            </w:r>
            <w:r>
              <w:rPr>
                <w:rFonts w:ascii="仿宋" w:hAnsi="仿宋" w:eastAsia="仿宋" w:cs="仿宋"/>
                <w:color w:val="000000"/>
                <w:sz w:val="22"/>
                <w:szCs w:val="22"/>
              </w:rPr>
            </w:r>
            <w:r/>
          </w:p>
        </w:tc>
      </w:tr>
      <w:tr>
        <w:trPr>
          <w:trHeight w:val="1360"/>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tcPr>
          <w:p>
            <w:pPr>
              <w:pStyle w:val="627"/>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5、项目建设、培训与运行管理（3分）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对投标人提供项目质量管理、项目进度管理、培训方案及运行维护方案进行综合评价。对投标人提供方案的合理性、针对性综合评审。</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方案内容描述全面、合理、有针对性符合采购需求的得3分，每有一项内容缺失的扣1分；每有一处存在缺陷（缺陷是指不适用于本项目，表述前后不一致或内容矛盾，语句有歧义，仅有框架或标题，涉及的规范及标准错误，套用其他项目内容等任意一种情形）的扣 0.5分，扣完为止，不提供不得分。</w:t>
            </w:r>
            <w:r>
              <w:rPr>
                <w:rFonts w:hint="eastAsia" w:ascii="仿宋" w:hAnsi="仿宋" w:eastAsia="仿宋" w:cs="仿宋"/>
                <w:color w:val="000000"/>
                <w:sz w:val="22"/>
                <w:szCs w:val="22"/>
                <w:lang w:bidi="ar"/>
              </w:rPr>
            </w:r>
            <w:r/>
          </w:p>
          <w:p>
            <w:pPr>
              <w:pStyle w:val="627"/>
              <w:widowControl/>
              <w:rPr>
                <w:rFonts w:ascii="仿宋" w:hAnsi="仿宋" w:eastAsia="仿宋" w:cs="仿宋"/>
                <w:color w:val="000000"/>
                <w:sz w:val="22"/>
                <w:szCs w:val="22"/>
              </w:rPr>
            </w:pPr>
            <w:r>
              <w:rPr>
                <w:rFonts w:hint="eastAsia" w:ascii="仿宋" w:hAnsi="仿宋" w:eastAsia="仿宋" w:cs="仿宋"/>
                <w:color w:val="000000"/>
                <w:sz w:val="22"/>
                <w:szCs w:val="22"/>
                <w:lang w:bidi="ar"/>
              </w:rPr>
              <w:t xml:space="preserve">未提供的得0分，本项最高得3分，最低得0分.</w:t>
            </w:r>
            <w:r>
              <w:rPr>
                <w:rFonts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w:t>
            </w:r>
            <w:r>
              <w:rPr>
                <w:rFonts w:hint="eastAsia" w:ascii="仿宋" w:hAnsi="仿宋" w:eastAsia="仿宋" w:cs="仿宋"/>
                <w:color w:val="000000"/>
                <w:sz w:val="22"/>
                <w:szCs w:val="22"/>
              </w:rPr>
            </w:r>
            <w:r/>
          </w:p>
        </w:tc>
      </w:tr>
      <w:tr>
        <w:trPr>
          <w:trHeight w:val="2319"/>
        </w:trPr>
        <w:tc>
          <w:tcPr>
            <w:tcBorders>
              <w:top w:val="single" w:color="000000" w:sz="8" w:space="0"/>
              <w:left w:val="single" w:color="000000" w:sz="8" w:space="0"/>
              <w:bottom w:val="single" w:color="000000" w:sz="8" w:space="0"/>
              <w:right w:val="single" w:color="000000" w:sz="8" w:space="0"/>
            </w:tcBorders>
            <w:tcW w:w="1117" w:type="dxa"/>
            <w:vAlign w:val="center"/>
            <w:vMerge w:val="continue"/>
            <w:textDirection w:val="lrTb"/>
            <w:noWrap/>
          </w:tcPr>
          <w:p>
            <w:pPr>
              <w:pStyle w:val="627"/>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tcPr>
          <w:p>
            <w:pPr>
              <w:pStyle w:val="627"/>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5655" w:type="dxa"/>
            <w:vAlign w:val="center"/>
            <w:textDirection w:val="lrTb"/>
            <w:noWrap w:val="false"/>
          </w:tcPr>
          <w:p>
            <w:pPr>
              <w:pStyle w:val="627"/>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6、售后服务及相关承诺（3分）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售后服务承诺：投标人承诺在免费运行维护服务内，至少保证2人的驻场运维服务团队，对于设备和服务发生任何非人为故障，由投标人负责恢复。故障报修的响应时间为30分钟，到达现场的时间不超过3小时，小型故障恢复时间不超过8个小时，严重故障恢复时间不超过24小时内，并提供故障分析报告。</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投标人提供承诺函并加盖投标人公章的得2分，未提供不得分。</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项目实施承诺：投标人承诺在项目实施过程中，项目中所包含的测绘部分的工作量，将请专业的测绘公司或者测绘团队实施，保证项目高质量、高标准通过验收。</w:t>
            </w:r>
            <w:r>
              <w:rPr>
                <w:rFonts w:hint="eastAsia" w:ascii="仿宋" w:hAnsi="仿宋" w:eastAsia="仿宋" w:cs="仿宋"/>
                <w:color w:val="000000"/>
                <w:sz w:val="22"/>
                <w:szCs w:val="22"/>
                <w:lang w:bidi="ar"/>
              </w:rPr>
              <w:br w:type="textWrapping" w:clear="all"/>
            </w:r>
            <w:r>
              <w:rPr>
                <w:rFonts w:hint="eastAsia" w:ascii="仿宋" w:hAnsi="仿宋" w:eastAsia="仿宋" w:cs="仿宋"/>
                <w:color w:val="000000"/>
                <w:sz w:val="22"/>
                <w:szCs w:val="22"/>
                <w:lang w:bidi="ar"/>
              </w:rPr>
              <w:t xml:space="preserve">投标人提供承诺函并加盖投标人公章的得1分，未提供不得分。</w:t>
            </w:r>
            <w:r>
              <w:rPr>
                <w:rFonts w:hint="eastAsia" w:ascii="仿宋" w:hAnsi="仿宋" w:eastAsia="仿宋" w:cs="仿宋"/>
                <w:color w:val="000000"/>
                <w:sz w:val="22"/>
                <w:szCs w:val="22"/>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627"/>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w:t>
            </w:r>
            <w:r>
              <w:rPr>
                <w:rFonts w:hint="eastAsia" w:ascii="仿宋" w:hAnsi="仿宋" w:eastAsia="仿宋" w:cs="仿宋"/>
                <w:color w:val="000000"/>
                <w:sz w:val="22"/>
                <w:szCs w:val="22"/>
              </w:rPr>
            </w:r>
            <w:r/>
          </w:p>
        </w:tc>
      </w:tr>
    </w:tbl>
    <w:p>
      <w:pPr>
        <w:pStyle w:val="627"/>
        <w:rPr>
          <w:rFonts w:hint="eastAsia"/>
          <w:color w:val="000000"/>
        </w:rPr>
      </w:pPr>
      <w:r>
        <w:rPr>
          <w:rFonts w:hint="eastAsia"/>
          <w:color w:val="000000"/>
        </w:rPr>
      </w:r>
      <w:r/>
    </w:p>
    <w:p>
      <w:pPr>
        <w:pStyle w:val="627"/>
        <w:jc w:val="left"/>
        <w:rPr>
          <w:color w:val="000000"/>
        </w:rPr>
      </w:pPr>
      <w:r>
        <w:rPr>
          <w:rFonts w:hint="eastAsia" w:ascii="宋体" w:hAnsi="宋体" w:eastAsia="宋体" w:cs="宋体"/>
          <w:color w:val="000000"/>
          <w:sz w:val="20"/>
          <w:szCs w:val="20"/>
          <w:lang w:bidi="ar"/>
        </w:rPr>
        <w:t xml:space="preserve">注：</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1、以上评分标准中，所提到的“投标人”均指本次项目中的联合体牵头人或联合体成员任意一方，即本次项目中的联合体牵头人或联合体成员任意一方按评分规则提供相应满足条件的证明材料均有效。</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2、针对评分项的响应投标人须提供真实有效的相关证明文件，一旦发现提供虚假材料，采购人有权取消中标人资格并报请公安机关追究投标人相关提交虚假资料的责任。</w:t>
      </w:r>
      <w:r>
        <w:rPr>
          <w:color w:val="000000"/>
        </w:rPr>
      </w:r>
      <w:r/>
    </w:p>
    <w:p>
      <w:pPr>
        <w:pStyle w:val="627"/>
        <w:numPr>
          <w:ilvl w:val="12"/>
          <w:numId w:val="0"/>
        </w:numPr>
        <w:rPr>
          <w:rFonts w:hint="eastAsia"/>
          <w:color w:val="000000"/>
        </w:rPr>
      </w:pPr>
      <w:r>
        <w:rPr>
          <w:rFonts w:hint="eastAsia" w:ascii="宋体" w:hAnsi="宋体" w:eastAsia="宋体" w:cs="宋体"/>
          <w:color w:val="000000"/>
          <w:sz w:val="20"/>
          <w:szCs w:val="20"/>
          <w:lang w:bidi="ar"/>
        </w:rPr>
        <w:t xml:space="preserve">3、</w:t>
      </w:r>
      <w:r>
        <w:rPr>
          <w:rFonts w:hint="eastAsia"/>
          <w:color w:val="000000"/>
        </w:rPr>
        <w:t xml:space="preserve">设备参数“</w:t>
      </w:r>
      <w:r>
        <w:rPr>
          <w:rFonts w:hint="eastAsia" w:ascii="仿宋" w:hAnsi="仿宋" w:eastAsia="仿宋" w:cs="仿宋"/>
          <w:color w:val="000000"/>
          <w:sz w:val="22"/>
          <w:szCs w:val="22"/>
          <w:lang w:bidi="ar"/>
        </w:rPr>
        <w:t xml:space="preserve">▲</w:t>
      </w:r>
      <w:r>
        <w:rPr>
          <w:rFonts w:hint="eastAsia"/>
          <w:color w:val="000000"/>
        </w:rPr>
        <w:t xml:space="preserve">”项要求，详见下表：</w:t>
      </w:r>
      <w:r>
        <w:rPr>
          <w:rFonts w:hint="eastAsia"/>
          <w:color w:val="000000"/>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864"/>
        <w:gridCol w:w="602"/>
        <w:gridCol w:w="6963"/>
      </w:tblGrid>
      <w:tr>
        <w:trPr>
          <w:trHeight w:val="2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专项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设备</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参数</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排水、桥梁专项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视频监控</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▲在实时低功耗模式下，平台可在6s内（含）将样机唤醒至常态模式；</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▲内置RS485接口，支持接入太阳能电池系统、雨量传感器、水位传感器、流速传感器；</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▲具有实时低功耗模式，实时低功耗模式运行，功耗≤3W，支持1秒1帧码流录像；在实时低功耗模式下，可在绊线入侵或区域入侵触发后0.1s内唤醒样机至常规性能模式；</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桥梁专项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光电挠度仪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▲内置AI抗遮挡算法，标靶被部分遮挡时通过靶标轮廓补全定位，适应复杂环境(如物体遮挡、粉尘、强光直射)的标靶识别失效问题，提升监测连续性</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具备OTA远程配置和固件更新能力。可通过云服务器查看监测数据，电池电量、联网成功率、无线信号强度、倾角姿态、空间定位、时间戳数据，支持远程修改设备采集频次传输频次、报警阈值运行参数，可OTA远程进行固件升级，可采用HTTP传输协议远程快速升级，3分钟内完成远程固件升级</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桥梁专项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裂缝计</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▲具备4G传输能力，支持最大下行速率≥15Mbps和最大上行速率≥5Mbps，支持OTA空中下载固件升级和低功耗设计。兼容可选内置5G通信能力</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▲具备NB-IoT传输能力，支持最大下行速率≥120Kbps和最大上行速率≥150Kbps，支持OTA空中下载固件升级功能，采用低功耗NB-1oT通信模组</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▲采用国产化微处理器及存储芯片;，能够嵌入智能算法，实现标准风险等级的分析与预警信息的发布。开放边缘计算能力，满足多样化应用需求</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桥梁专项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restart"/>
            <w:textDirection w:val="lrTb"/>
            <w:noWrap w:val="false"/>
          </w:tcPr>
          <w:p>
            <w:pPr>
              <w:pStyle w:val="62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综合采集仪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设备功能：多功能边缘计算分析、多类型传感兼容与联动报警、多协议自适应兼容、PC电脑端批量设备调试及一键复位功能、离线存储与断点续传功能、远程定位、多中心节点通信网络架构、异动防盗报警、OTA远程快速配置和固件更新、设备联网与健康监测功能；</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pStyle w:val="62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63" w:type="dxa"/>
            <w:vAlign w:val="center"/>
            <w:textDirection w:val="lrTb"/>
            <w:noWrap w:val="false"/>
          </w:tcPr>
          <w:p>
            <w:pPr>
              <w:pStyle w:val="62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▲环境：环境试验报告≥高温80℃和低温≤-40℃，温度冲击次数报告≥30次，高空跌落试验报告≥2米；EMC电磁兼容报告；</w:t>
            </w:r>
            <w:r>
              <w:rPr>
                <w:rFonts w:hint="eastAsia" w:ascii="宋体" w:hAnsi="宋体" w:eastAsia="宋体" w:cs="宋体"/>
                <w:color w:val="000000"/>
                <w:sz w:val="22"/>
                <w:szCs w:val="22"/>
                <w:highlight w:val="yellow"/>
                <w:lang w:bidi="ar"/>
              </w:rPr>
              <w:t xml:space="preserve">（提供国家认可的第三方机构出具的检测报告扫描件）</w:t>
            </w:r>
            <w:r>
              <w:rPr>
                <w:rFonts w:hint="eastAsia" w:ascii="宋体" w:hAnsi="宋体" w:eastAsia="宋体" w:cs="宋体"/>
                <w:color w:val="000000"/>
                <w:sz w:val="22"/>
                <w:szCs w:val="22"/>
              </w:rPr>
            </w:r>
            <w:r/>
          </w:p>
        </w:tc>
      </w:tr>
    </w:tbl>
    <w:p>
      <w:pPr>
        <w:pStyle w:val="627"/>
        <w:numPr>
          <w:ilvl w:val="12"/>
          <w:numId w:val="0"/>
        </w:numPr>
        <w:rPr>
          <w:color w:val="000000"/>
        </w:rPr>
      </w:pPr>
      <w:r>
        <w:rPr>
          <w:color w:val="000000"/>
        </w:rPr>
      </w:r>
      <w:r/>
    </w:p>
    <w:p>
      <w:pPr>
        <w:pStyle w:val="627"/>
        <w:rPr>
          <w:rFonts w:hint="eastAsia"/>
          <w:color w:val="000000"/>
        </w:rPr>
      </w:pPr>
      <w:r>
        <w:rPr>
          <w:rFonts w:hint="eastAsia"/>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27"/>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r>
      <w:r/>
    </w:p>
    <w:p>
      <w:pPr>
        <w:pStyle w:val="654"/>
        <w:jc w:val="center"/>
        <w:keepNext/>
        <w:spacing w:beforeAutospacing="0" w:afterAutospacing="0"/>
        <w:rPr>
          <w:color w:val="000000"/>
        </w:rPr>
      </w:pPr>
      <w:r>
        <w:rPr>
          <w:rFonts w:hint="eastAsia" w:ascii="黑体" w:hAnsi="宋体" w:eastAsia="黑体" w:cs="黑体"/>
          <w:color w:val="000000"/>
          <w:sz w:val="44"/>
          <w:szCs w:val="44"/>
        </w:rPr>
        <w:t xml:space="preserve">第六章  投标文件格式 </w:t>
      </w:r>
      <w:r>
        <w:rPr>
          <w:color w:val="000000"/>
        </w:rPr>
      </w:r>
      <w:r/>
    </w:p>
    <w:p>
      <w:pPr>
        <w:pStyle w:val="654"/>
        <w:jc w:val="center"/>
        <w:spacing w:beforeAutospacing="0" w:afterAutospacing="0"/>
        <w:rPr>
          <w:color w:val="000000"/>
        </w:rPr>
      </w:pPr>
      <w:r/>
      <w:bookmarkStart w:id="219" w:name="_Hlt26955039"/>
      <w:r/>
      <w:bookmarkEnd w:id="219"/>
      <w:r/>
      <w:bookmarkStart w:id="220" w:name="_Hlt26671244"/>
      <w:r/>
      <w:bookmarkEnd w:id="220"/>
      <w:r/>
      <w:bookmarkStart w:id="221" w:name="_Toc26554094"/>
      <w:r/>
      <w:bookmarkEnd w:id="221"/>
      <w:r/>
      <w:bookmarkStart w:id="222" w:name="_Toc120614282"/>
      <w:r/>
      <w:bookmarkStart w:id="223" w:name="_Toc49090576"/>
      <w:r>
        <w:rPr>
          <w:rFonts w:hint="eastAsia" w:ascii="宋体" w:hAnsi="宋体" w:eastAsia="宋体" w:cs="宋体"/>
          <w:b/>
          <w:color w:val="000000"/>
          <w:sz w:val="72"/>
          <w:szCs w:val="72"/>
        </w:rPr>
        <w:t xml:space="preserve">投  标  文  件</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ind w:firstLine="1084"/>
        <w:jc w:val="both"/>
        <w:spacing w:beforeAutospacing="0" w:afterAutospacing="0"/>
        <w:rPr>
          <w:color w:val="000000"/>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rPr>
          <w:color w:val="000000"/>
        </w:rPr>
      </w:r>
      <w:r/>
    </w:p>
    <w:p>
      <w:pPr>
        <w:pStyle w:val="654"/>
        <w:ind w:firstLine="1084"/>
        <w:jc w:val="both"/>
        <w:spacing w:beforeAutospacing="0" w:afterAutospacing="0"/>
        <w:rPr>
          <w:color w:val="000000"/>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rPr>
          <w:color w:val="000000"/>
        </w:rPr>
      </w:r>
      <w:r/>
    </w:p>
    <w:p>
      <w:pPr>
        <w:pStyle w:val="654"/>
        <w:jc w:val="both"/>
        <w:spacing w:beforeAutospacing="0" w:afterAutospacing="0"/>
        <w:rPr>
          <w:color w:val="000000"/>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rPr>
          <w:color w:val="000000"/>
        </w:rPr>
      </w:r>
      <w:r/>
    </w:p>
    <w:p>
      <w:pPr>
        <w:pStyle w:val="654"/>
        <w:jc w:val="both"/>
        <w:spacing w:beforeAutospacing="0" w:afterAutospacing="0"/>
        <w:rPr>
          <w:color w:val="000000"/>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27"/>
        <w:rPr>
          <w:rFonts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54"/>
        <w:jc w:val="center"/>
        <w:spacing w:beforeAutospacing="0" w:afterAutospacing="0" w:line="0" w:lineRule="atLeast"/>
        <w:rPr>
          <w:color w:val="000000"/>
        </w:rPr>
      </w:pPr>
      <w:r>
        <w:rPr>
          <w:rFonts w:hint="eastAsia" w:ascii="宋体" w:hAnsi="宋体" w:eastAsia="宋体" w:cs="宋体"/>
          <w:b/>
          <w:color w:val="000000"/>
          <w:sz w:val="32"/>
          <w:szCs w:val="32"/>
        </w:rPr>
        <w:t xml:space="preserve">投标文件目录</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rPr>
          <w:rFonts w:ascii="宋体" w:hAnsi="宋体" w:eastAsia="宋体" w:cs="宋体"/>
          <w:iCs/>
          <w:color w:val="000000"/>
        </w:rPr>
      </w:r>
      <w:r/>
    </w:p>
    <w:p>
      <w:pPr>
        <w:pStyle w:val="627"/>
        <w:ind w:firstLine="480"/>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二、上一年度的财务状况报表（至少提供资产负债表、利润表、现金流量表，</w:t>
      </w:r>
      <w:r>
        <w:rPr>
          <w:rFonts w:hint="eastAsia" w:ascii="宋体" w:hAnsi="宋体" w:eastAsia="宋体" w:cs="宋体"/>
          <w:iCs/>
          <w:color w:val="000000"/>
          <w:sz w:val="24"/>
        </w:rPr>
      </w:r>
      <w:r/>
    </w:p>
    <w:p>
      <w:pPr>
        <w:pStyle w:val="654"/>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投标人成立不满一年无需提供）</w:t>
      </w:r>
      <w:r>
        <w:rPr>
          <w:rFonts w:hint="eastAsia" w:ascii="宋体" w:hAnsi="宋体" w:eastAsia="宋体" w:cs="宋体"/>
          <w:iCs/>
          <w:color w:val="000000"/>
        </w:rPr>
      </w:r>
      <w:r/>
    </w:p>
    <w:p>
      <w:pPr>
        <w:pStyle w:val="654"/>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rPr>
          <w:rFonts w:hint="eastAsia" w:ascii="宋体" w:hAnsi="宋体" w:eastAsia="宋体" w:cs="宋体"/>
          <w:iCs/>
          <w:color w:val="000000"/>
        </w:rPr>
      </w:r>
      <w:r/>
    </w:p>
    <w:p>
      <w:pPr>
        <w:pStyle w:val="654"/>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Cs/>
          <w:color w:val="000000"/>
        </w:rPr>
      </w:r>
      <w:r/>
    </w:p>
    <w:p>
      <w:pPr>
        <w:pStyle w:val="65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rPr>
          <w:rFonts w:ascii="宋体" w:hAnsi="宋体" w:eastAsia="宋体" w:cs="宋体"/>
          <w:iCs/>
          <w:color w:val="000000"/>
        </w:rPr>
      </w:r>
      <w:r/>
    </w:p>
    <w:p>
      <w:pPr>
        <w:pStyle w:val="65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rPr>
          <w:rFonts w:ascii="宋体" w:hAnsi="宋体" w:eastAsia="宋体" w:cs="宋体"/>
          <w:iCs/>
          <w:color w:val="000000"/>
        </w:rPr>
      </w:r>
      <w:r/>
    </w:p>
    <w:p>
      <w:pPr>
        <w:pStyle w:val="65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七、法人授权书</w:t>
      </w:r>
      <w:r>
        <w:rPr>
          <w:rFonts w:ascii="宋体" w:hAnsi="宋体" w:eastAsia="宋体" w:cs="宋体"/>
          <w:iCs/>
          <w:color w:val="000000"/>
        </w:rPr>
      </w:r>
      <w:r/>
    </w:p>
    <w:p>
      <w:pPr>
        <w:pStyle w:val="65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八、投标函</w:t>
      </w:r>
      <w:r>
        <w:rPr>
          <w:rFonts w:ascii="宋体" w:hAnsi="宋体" w:eastAsia="宋体" w:cs="宋体"/>
          <w:iCs/>
          <w:color w:val="000000"/>
        </w:rPr>
      </w:r>
      <w:r/>
    </w:p>
    <w:p>
      <w:pPr>
        <w:pStyle w:val="654"/>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九、中小企业声明函</w:t>
      </w:r>
      <w:r>
        <w:rPr>
          <w:rFonts w:ascii="宋体" w:hAnsi="宋体" w:eastAsia="宋体" w:cs="宋体"/>
          <w:iCs/>
          <w:color w:val="000000"/>
        </w:rPr>
      </w:r>
      <w:r/>
    </w:p>
    <w:p>
      <w:pPr>
        <w:pStyle w:val="654"/>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rPr>
          <w:rFonts w:hint="eastAsia" w:ascii="宋体" w:hAnsi="宋体" w:eastAsia="宋体" w:cs="宋体"/>
          <w:iCs/>
          <w:color w:val="000000"/>
        </w:rPr>
      </w:r>
      <w:r/>
    </w:p>
    <w:p>
      <w:pPr>
        <w:pStyle w:val="654"/>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十一、 关于符合本国产品标准的声明函</w:t>
      </w:r>
      <w:r>
        <w:rPr>
          <w:rFonts w:hint="eastAsia" w:ascii="宋体" w:hAnsi="宋体" w:eastAsia="宋体" w:cs="宋体"/>
          <w:iCs/>
          <w:color w:val="000000"/>
        </w:rPr>
      </w:r>
      <w:r/>
    </w:p>
    <w:p>
      <w:pPr>
        <w:pStyle w:val="654"/>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十二、联合体协议</w:t>
      </w:r>
      <w:r>
        <w:rPr>
          <w:rFonts w:ascii="宋体" w:hAnsi="宋体" w:eastAsia="宋体" w:cs="宋体"/>
          <w:iCs/>
          <w:color w:val="000000"/>
        </w:rPr>
      </w:r>
      <w:r/>
    </w:p>
    <w:p>
      <w:pPr>
        <w:pStyle w:val="654"/>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十三、投标分项报价表</w:t>
      </w:r>
      <w:r>
        <w:rPr>
          <w:rFonts w:ascii="宋体" w:hAnsi="宋体" w:eastAsia="宋体" w:cs="宋体"/>
          <w:iCs/>
          <w:color w:val="000000"/>
        </w:rPr>
      </w:r>
      <w:r/>
    </w:p>
    <w:p>
      <w:pPr>
        <w:pStyle w:val="654"/>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十四、技术要求响应及偏离表</w:t>
      </w:r>
      <w:r>
        <w:rPr>
          <w:rFonts w:ascii="宋体" w:hAnsi="宋体" w:eastAsia="宋体" w:cs="宋体"/>
          <w:iCs/>
          <w:color w:val="000000"/>
        </w:rPr>
      </w:r>
      <w:r/>
    </w:p>
    <w:p>
      <w:pPr>
        <w:pStyle w:val="654"/>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十五、商务要求响应及偏离表</w:t>
      </w:r>
      <w:r>
        <w:rPr>
          <w:rFonts w:ascii="宋体" w:hAnsi="宋体" w:eastAsia="宋体" w:cs="宋体"/>
          <w:iCs/>
          <w:color w:val="000000"/>
        </w:rPr>
      </w:r>
      <w:r/>
    </w:p>
    <w:p>
      <w:pPr>
        <w:pStyle w:val="65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十六、开标一览表</w:t>
      </w:r>
      <w:r>
        <w:rPr>
          <w:rFonts w:ascii="宋体" w:hAnsi="宋体" w:eastAsia="宋体" w:cs="宋体"/>
          <w:iCs/>
          <w:color w:val="000000"/>
        </w:rPr>
      </w:r>
      <w:r/>
    </w:p>
    <w:p>
      <w:pPr>
        <w:pStyle w:val="627"/>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十七、技术方案、服务承诺、培训承诺等</w:t>
      </w:r>
      <w:r>
        <w:rPr>
          <w:rFonts w:ascii="宋体" w:hAnsi="宋体" w:eastAsia="宋体" w:cs="宋体"/>
          <w:iCs/>
          <w:color w:val="000000"/>
          <w:sz w:val="24"/>
        </w:rPr>
      </w:r>
      <w:r/>
    </w:p>
    <w:p>
      <w:pPr>
        <w:pStyle w:val="654"/>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十八、盐城市政府采购事前信用承诺书</w:t>
      </w:r>
      <w:r>
        <w:rPr>
          <w:rFonts w:ascii="宋体" w:hAnsi="宋体" w:eastAsia="宋体" w:cs="宋体"/>
          <w:iCs/>
          <w:color w:val="000000"/>
        </w:rPr>
      </w:r>
      <w:r/>
    </w:p>
    <w:p>
      <w:pPr>
        <w:pStyle w:val="65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5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54"/>
        <w:ind w:firstLine="480"/>
        <w:jc w:val="both"/>
        <w:spacing w:beforeAutospacing="0" w:afterAutospacing="0" w:line="0" w:lineRule="atLeast"/>
        <w:rPr>
          <w:color w:val="000000"/>
        </w:rPr>
      </w:pPr>
      <w:r>
        <w:rPr>
          <w:color w:val="000000"/>
        </w:rPr>
        <w:t xml:space="preserve"> </w:t>
      </w:r>
      <w:r>
        <w:rPr>
          <w:color w:val="000000"/>
        </w:rPr>
      </w:r>
      <w:r/>
    </w:p>
    <w:p>
      <w:pPr>
        <w:pStyle w:val="654"/>
        <w:ind w:firstLine="480"/>
        <w:jc w:val="both"/>
        <w:spacing w:beforeAutospacing="0" w:afterAutospacing="0" w:line="0" w:lineRule="atLeast"/>
        <w:rPr>
          <w:color w:val="000000"/>
        </w:rPr>
      </w:pPr>
      <w:r>
        <w:rPr>
          <w:color w:val="000000"/>
        </w:rPr>
        <w:t xml:space="preserve"> </w:t>
      </w:r>
      <w:r>
        <w:rPr>
          <w:color w:val="000000"/>
        </w:rPr>
      </w:r>
      <w:r/>
    </w:p>
    <w:p>
      <w:pPr>
        <w:pStyle w:val="654"/>
        <w:ind w:firstLine="480"/>
        <w:jc w:val="both"/>
        <w:spacing w:beforeAutospacing="0" w:afterAutospacing="0" w:line="0" w:lineRule="atLeast"/>
        <w:rPr>
          <w:color w:val="000000"/>
        </w:rPr>
      </w:pPr>
      <w:r>
        <w:rPr>
          <w:color w:val="000000"/>
        </w:rPr>
        <w:t xml:space="preserve"> </w:t>
      </w:r>
      <w:r>
        <w:rPr>
          <w:color w:val="000000"/>
        </w:rPr>
      </w:r>
      <w:r/>
    </w:p>
    <w:p>
      <w:pPr>
        <w:pStyle w:val="654"/>
        <w:ind w:firstLine="480"/>
        <w:jc w:val="both"/>
        <w:spacing w:beforeAutospacing="0" w:afterAutospacing="0" w:line="0" w:lineRule="atLeast"/>
        <w:rPr>
          <w:color w:val="000000"/>
        </w:rPr>
      </w:pPr>
      <w:r>
        <w:rPr>
          <w:color w:val="000000"/>
        </w:rPr>
        <w:t xml:space="preserve"> </w:t>
      </w: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r>
      <w:r/>
    </w:p>
    <w:p>
      <w:pPr>
        <w:pStyle w:val="654"/>
        <w:ind w:firstLine="480"/>
        <w:jc w:val="both"/>
        <w:spacing w:beforeAutospacing="0" w:afterAutospacing="0" w:line="0" w:lineRule="atLeast"/>
        <w:rPr>
          <w:color w:val="000000"/>
        </w:rPr>
      </w:pPr>
      <w:r>
        <w:rPr>
          <w:color w:val="000000"/>
        </w:rPr>
        <w:t xml:space="preserve">  </w:t>
      </w:r>
      <w:r/>
    </w:p>
    <w:p>
      <w:pPr>
        <w:pStyle w:val="654"/>
        <w:jc w:val="both"/>
        <w:spacing w:beforeAutospacing="0" w:afterAutospacing="0"/>
        <w:rPr>
          <w:color w:val="000000"/>
        </w:rPr>
      </w:pPr>
      <w:r>
        <w:rPr>
          <w:rFonts w:hint="eastAsia" w:ascii="黑体" w:hAnsi="宋体" w:eastAsia="黑体" w:cs="黑体"/>
          <w:i/>
          <w:color w:val="000000"/>
          <w:sz w:val="32"/>
          <w:szCs w:val="32"/>
          <w:u w:val="single"/>
        </w:rPr>
        <w:t xml:space="preserve">一、法人或者其他组织的营业执照等证明文件，自然人的身份证明</w:t>
      </w:r>
      <w:r>
        <w:rPr>
          <w:color w:val="000000"/>
        </w:rPr>
      </w:r>
      <w:r/>
    </w:p>
    <w:p>
      <w:pPr>
        <w:pStyle w:val="654"/>
        <w:ind w:firstLine="480"/>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rPr>
          <w:rFonts w:hint="eastAsia" w:eastAsia="黑体"/>
          <w:color w:val="000000"/>
          <w:lang w:eastAsia="zh-CN"/>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u w:val="single"/>
          <w:lang w:val="en-US" w:eastAsia="zh-CN"/>
        </w:rPr>
        <w:t xml:space="preserve">报表</w:t>
      </w:r>
      <w:r>
        <w:rPr>
          <w:rFonts w:hint="eastAsia" w:eastAsia="黑体"/>
          <w:color w:val="000000"/>
          <w:lang w:eastAsia="zh-CN"/>
        </w:rPr>
      </w:r>
      <w:r/>
    </w:p>
    <w:p>
      <w:pPr>
        <w:pStyle w:val="627"/>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rPr>
          <w:rFonts w:hint="eastAsia" w:ascii="宋体" w:hAnsi="宋体" w:eastAsia="宋体" w:cs="宋体"/>
          <w:iCs/>
          <w:color w:val="000000"/>
          <w:sz w:val="24"/>
        </w:rPr>
      </w:r>
      <w:r/>
    </w:p>
    <w:p>
      <w:pPr>
        <w:pStyle w:val="654"/>
        <w:ind w:firstLine="480"/>
        <w:jc w:val="both"/>
        <w:spacing w:beforeAutospacing="0" w:afterAutospacing="0" w:line="0" w:lineRule="atLeast"/>
        <w:rPr>
          <w:color w:val="000000"/>
        </w:rPr>
      </w:pP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rFonts w:hint="eastAsia" w:ascii="黑体" w:hAnsi="宋体" w:eastAsia="黑体" w:cs="黑体"/>
          <w:i/>
          <w:color w:val="000000"/>
          <w:sz w:val="32"/>
          <w:szCs w:val="32"/>
          <w:u w:val="single"/>
        </w:rPr>
        <w:t xml:space="preserve">三、具备履行合同所必需的设备和专业技术能力的书面声明</w:t>
      </w:r>
      <w:r>
        <w:rPr>
          <w:color w:val="000000"/>
        </w:rPr>
      </w:r>
      <w:r/>
    </w:p>
    <w:p>
      <w:pPr>
        <w:pStyle w:val="654"/>
        <w:ind w:firstLine="492"/>
        <w:jc w:val="both"/>
        <w:spacing w:beforeAutospacing="0" w:afterAutospacing="0" w:line="0" w:lineRule="atLeast"/>
        <w:rPr>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rPr>
          <w:color w:val="000000"/>
        </w:rPr>
      </w:r>
      <w:r/>
    </w:p>
    <w:p>
      <w:pPr>
        <w:pStyle w:val="654"/>
        <w:ind w:firstLine="492"/>
        <w:jc w:val="both"/>
        <w:spacing w:beforeAutospacing="0" w:afterAutospacing="0" w:line="0" w:lineRule="atLeast"/>
        <w:rPr>
          <w:color w:val="000000"/>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654"/>
        <w:jc w:val="both"/>
        <w:spacing w:beforeAutospacing="0" w:afterAutospacing="0"/>
        <w:rPr>
          <w:color w:val="000000"/>
        </w:rPr>
      </w:pPr>
      <w:r>
        <w:rPr>
          <w:rFonts w:hint="eastAsia" w:ascii="黑体" w:hAnsi="宋体" w:eastAsia="黑体" w:cs="黑体"/>
          <w:i/>
          <w:color w:val="000000"/>
          <w:sz w:val="32"/>
          <w:szCs w:val="32"/>
          <w:u w:val="single"/>
        </w:rPr>
        <w:t xml:space="preserve">四、依法缴纳税收和社会保障资金的相关材料</w:t>
      </w:r>
      <w:r>
        <w:rPr>
          <w:color w:val="000000"/>
        </w:rPr>
      </w:r>
      <w:r/>
    </w:p>
    <w:p>
      <w:pPr>
        <w:pStyle w:val="654"/>
        <w:ind w:firstLine="480"/>
        <w:jc w:val="both"/>
        <w:spacing w:beforeAutospacing="0" w:afterAutospacing="0"/>
        <w:rPr>
          <w:color w:val="000000"/>
        </w:rPr>
      </w:pPr>
      <w:r/>
      <w:bookmarkStart w:id="224"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4"/>
      <w:r>
        <w:rPr>
          <w:color w:val="000000"/>
        </w:rPr>
      </w:r>
      <w:r/>
    </w:p>
    <w:p>
      <w:pPr>
        <w:pStyle w:val="654"/>
        <w:jc w:val="both"/>
        <w:spacing w:beforeAutospacing="0" w:afterAutospacing="0"/>
        <w:rPr>
          <w:color w:val="000000"/>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rPr>
          <w:color w:val="000000"/>
        </w:rPr>
      </w:r>
      <w:r/>
    </w:p>
    <w:p>
      <w:pPr>
        <w:pStyle w:val="654"/>
        <w:jc w:val="both"/>
        <w:spacing w:beforeAutospacing="0" w:afterAutospacing="0" w:line="0" w:lineRule="atLeast"/>
        <w:rPr>
          <w:color w:val="000000"/>
        </w:rPr>
      </w:pPr>
      <w:r>
        <w:rPr>
          <w:rFonts w:hint="eastAsia" w:ascii="宋体" w:hAnsi="宋体" w:eastAsia="宋体" w:cs="宋体"/>
          <w:b/>
          <w:color w:val="000000"/>
          <w:sz w:val="44"/>
          <w:szCs w:val="44"/>
        </w:rPr>
        <w:t xml:space="preserve">       声  明</w:t>
      </w:r>
      <w:r>
        <w:rPr>
          <w:color w:val="000000"/>
        </w:rPr>
      </w:r>
      <w:r/>
    </w:p>
    <w:p>
      <w:pPr>
        <w:pStyle w:val="654"/>
        <w:jc w:val="both"/>
        <w:spacing w:beforeAutospacing="0" w:afterAutospacing="0" w:line="0" w:lineRule="atLeast"/>
        <w:rPr>
          <w:color w:val="000000"/>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rFonts w:hint="eastAsia" w:ascii="黑体" w:hAnsi="宋体" w:eastAsia="黑体" w:cs="黑体"/>
          <w:i/>
          <w:color w:val="000000"/>
          <w:sz w:val="32"/>
          <w:szCs w:val="32"/>
          <w:u w:val="single"/>
        </w:rPr>
        <w:t xml:space="preserve">六、特定资格要求的证明文件</w:t>
      </w:r>
      <w:r>
        <w:rPr>
          <w:color w:val="000000"/>
        </w:rPr>
      </w:r>
      <w:r/>
    </w:p>
    <w:p>
      <w:pPr>
        <w:pStyle w:val="654"/>
        <w:jc w:val="both"/>
        <w:spacing w:beforeAutospacing="0" w:afterAutospacing="0" w:line="0" w:lineRule="atLeast"/>
        <w:rPr>
          <w:color w:val="000000"/>
        </w:rPr>
      </w:pPr>
      <w:r>
        <w:rPr>
          <w:rFonts w:hint="eastAsia" w:ascii="宋体" w:hAnsi="宋体" w:eastAsia="宋体" w:cs="宋体"/>
          <w:color w:val="000000"/>
        </w:rPr>
        <w:t xml:space="preserve">    如果本项目申请人的特定资格要求中要求提供的，必须提供。</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54"/>
        <w:jc w:val="center"/>
        <w:spacing w:beforeAutospacing="0" w:afterAutospacing="0"/>
        <w:rPr>
          <w:color w:val="000000"/>
        </w:rPr>
      </w:pPr>
      <w:r>
        <w:rPr>
          <w:rFonts w:hint="eastAsia" w:ascii="黑体" w:hAnsi="宋体" w:eastAsia="黑体" w:cs="黑体"/>
          <w:i/>
          <w:color w:val="000000"/>
          <w:sz w:val="32"/>
          <w:szCs w:val="32"/>
          <w:u w:val="single"/>
        </w:rPr>
        <w:t xml:space="preserve">七、法人授权书</w:t>
      </w:r>
      <w:r>
        <w:rPr>
          <w:color w:val="000000"/>
        </w:rPr>
      </w:r>
      <w:r/>
    </w:p>
    <w:p>
      <w:pPr>
        <w:pStyle w:val="654"/>
        <w:ind w:firstLine="480"/>
        <w:jc w:val="both"/>
        <w:spacing w:beforeAutospacing="0" w:afterAutospacing="0"/>
        <w:tabs>
          <w:tab w:val="left" w:pos="360" w:leader="none"/>
        </w:tabs>
        <w:rPr>
          <w:color w:val="000000"/>
        </w:rPr>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rPr>
          <w:color w:val="000000"/>
        </w:rPr>
      </w:r>
      <w:r/>
    </w:p>
    <w:p>
      <w:pPr>
        <w:pStyle w:val="654"/>
        <w:ind w:firstLine="480"/>
        <w:jc w:val="both"/>
        <w:spacing w:beforeAutospacing="0" w:afterAutospacing="0"/>
        <w:tabs>
          <w:tab w:val="left" w:pos="360" w:leader="none"/>
        </w:tabs>
        <w:rPr>
          <w:color w:val="000000"/>
        </w:rPr>
      </w:pPr>
      <w:r>
        <w:rPr>
          <w:rFonts w:ascii="Times New Roman" w:hAnsi="Times New Roman"/>
          <w:color w:val="000000"/>
        </w:rPr>
        <w:t xml:space="preserve">本授权书于______年____月____日起生效，特此声明。</w:t>
      </w:r>
      <w:r>
        <w:rPr>
          <w:color w:val="000000"/>
        </w:rPr>
      </w:r>
      <w:r/>
    </w:p>
    <w:p>
      <w:pPr>
        <w:pStyle w:val="654"/>
        <w:jc w:val="both"/>
        <w:spacing w:beforeAutospacing="0" w:afterAutospacing="0"/>
        <w:tabs>
          <w:tab w:val="left" w:pos="360" w:leader="none"/>
        </w:tabs>
        <w:rPr>
          <w:color w:val="000000"/>
        </w:rPr>
      </w:pPr>
      <w:r>
        <w:rPr>
          <w:rFonts w:ascii="Times New Roman" w:hAnsi="Times New Roman"/>
          <w:color w:val="000000"/>
        </w:rPr>
        <w:t xml:space="preserve">          被授权人身份证号码：</w:t>
      </w:r>
      <w:r>
        <w:rPr>
          <w:rFonts w:ascii="Times New Roman" w:hAnsi="Times New Roman"/>
          <w:color w:val="000000"/>
          <w:u w:val="single"/>
        </w:rPr>
        <w:t xml:space="preserve">                              </w:t>
      </w:r>
      <w:r>
        <w:rPr>
          <w:color w:val="000000"/>
        </w:rPr>
      </w:r>
      <w:r/>
    </w:p>
    <w:p>
      <w:pPr>
        <w:pStyle w:val="654"/>
        <w:jc w:val="both"/>
        <w:spacing w:beforeAutospacing="0" w:afterAutospacing="0"/>
        <w:tabs>
          <w:tab w:val="left" w:pos="360" w:leader="none"/>
        </w:tabs>
        <w:rPr>
          <w:color w:val="000000"/>
        </w:rPr>
      </w:pPr>
      <w:r>
        <w:rPr>
          <w:rFonts w:ascii="Times New Roman" w:hAnsi="Times New Roman"/>
          <w:color w:val="000000"/>
        </w:rPr>
        <w:t xml:space="preserve">          被授权人联系电话：（手机）</w:t>
      </w:r>
      <w:r>
        <w:rPr>
          <w:rFonts w:ascii="Times New Roman" w:hAnsi="Times New Roman"/>
          <w:color w:val="000000"/>
          <w:u w:val="single"/>
        </w:rPr>
        <w:t xml:space="preserve">                          </w:t>
      </w:r>
      <w:r>
        <w:rPr>
          <w:color w:val="000000"/>
        </w:rPr>
      </w:r>
      <w:r/>
    </w:p>
    <w:p>
      <w:pPr>
        <w:pStyle w:val="654"/>
        <w:ind w:firstLine="1200"/>
        <w:jc w:val="both"/>
        <w:spacing w:beforeAutospacing="0" w:afterAutospacing="0"/>
        <w:tabs>
          <w:tab w:val="left" w:pos="360" w:leader="none"/>
        </w:tabs>
        <w:rPr>
          <w:color w:val="000000"/>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color w:val="000000"/>
        </w:rPr>
      </w:r>
      <w:r/>
    </w:p>
    <w:p>
      <w:pPr>
        <w:pStyle w:val="654"/>
        <w:ind w:firstLine="480"/>
        <w:jc w:val="both"/>
        <w:spacing w:beforeAutospacing="0" w:afterAutospacing="0"/>
        <w:tabs>
          <w:tab w:val="left" w:pos="360" w:leader="none"/>
        </w:tabs>
        <w:rPr>
          <w:color w:val="000000"/>
        </w:rPr>
      </w:pPr>
      <w:r>
        <w:rPr>
          <w:rFonts w:ascii="Times New Roman" w:hAnsi="Times New Roman"/>
          <w:color w:val="000000"/>
        </w:rPr>
        <w:t xml:space="preserve">      单位地址：</w:t>
      </w:r>
      <w:r>
        <w:rPr>
          <w:rFonts w:ascii="Times New Roman" w:hAnsi="Times New Roman"/>
          <w:color w:val="000000"/>
          <w:u w:val="single"/>
        </w:rPr>
        <w:t xml:space="preserve">                                         </w:t>
      </w:r>
      <w:r>
        <w:rPr>
          <w:color w:val="000000"/>
        </w:rPr>
      </w:r>
      <w:r/>
    </w:p>
    <w:p>
      <w:pPr>
        <w:pStyle w:val="654"/>
        <w:ind w:firstLine="480"/>
        <w:jc w:val="both"/>
        <w:spacing w:beforeAutospacing="0" w:afterAutospacing="0"/>
        <w:tabs>
          <w:tab w:val="left" w:pos="360" w:leader="none"/>
        </w:tabs>
        <w:rPr>
          <w:color w:val="000000"/>
        </w:rPr>
      </w:pPr>
      <w:r>
        <w:rPr>
          <w:rFonts w:ascii="Times New Roman" w:hAnsi="Times New Roman"/>
          <w:color w:val="000000"/>
        </w:rPr>
        <w:t xml:space="preserve">      日期：</w:t>
      </w:r>
      <w:bookmarkStart w:id="225" w:name="_Hlt26671380"/>
      <w:r/>
      <w:bookmarkStart w:id="226" w:name="_Hlt26955070"/>
      <w:r/>
      <w:bookmarkStart w:id="227" w:name="_格式3__银行出具的资信证明"/>
      <w:r>
        <w:rPr>
          <w:rFonts w:ascii="Times New Roman" w:hAnsi="Times New Roman"/>
          <w:color w:val="000000"/>
          <w:u w:val="single"/>
        </w:rPr>
        <w:t xml:space="preserve">                                         </w:t>
      </w:r>
      <w:r>
        <w:rPr>
          <w:color w:val="000000"/>
        </w:rPr>
      </w:r>
      <w:r/>
    </w:p>
    <w:p>
      <w:pPr>
        <w:pStyle w:val="654"/>
        <w:ind w:firstLine="420"/>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rPr>
          <w:rFonts w:ascii="黑体" w:hAnsi="宋体" w:eastAsia="黑体" w:cs="黑体"/>
          <w:b/>
          <w:color w:val="000000"/>
          <w:sz w:val="32"/>
          <w:szCs w:val="32"/>
        </w:rPr>
      </w:r>
      <w:r/>
    </w:p>
    <w:p>
      <w:pPr>
        <w:pStyle w:val="654"/>
        <w:spacing w:beforeAutospacing="0" w:afterAutospacing="0" w:line="0" w:lineRule="atLeast"/>
        <w:rPr>
          <w:rFonts w:hint="eastAsia" w:eastAsia="宋体"/>
          <w:color w:val="000000"/>
        </w:rPr>
      </w:pPr>
      <w:r>
        <w:rPr>
          <w:rFonts w:hint="eastAsia" w:ascii="宋体" w:hAnsi="宋体" w:eastAsia="宋体" w:cs="宋体"/>
          <w:color w:val="000000"/>
        </w:rPr>
        <w:t xml:space="preserve">致：射阳县行政服务中心</w:t>
      </w:r>
      <w:r>
        <w:rPr>
          <w:rFonts w:hint="eastAsia" w:eastAsia="宋体"/>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根据贵方的 </w:t>
      </w:r>
      <w:r>
        <w:rPr>
          <w:rFonts w:hint="eastAsia" w:ascii="宋体" w:hAnsi="宋体" w:eastAsia="宋体" w:cs="宋体"/>
          <w:color w:val="000000"/>
          <w:u w:val="single"/>
        </w:rPr>
        <w:t xml:space="preserve">                </w:t>
      </w:r>
      <w:r>
        <w:rPr>
          <w:rFonts w:hint="eastAsia" w:ascii="宋体" w:hAnsi="宋体" w:eastAsia="宋体" w:cs="宋体"/>
          <w:color w:val="000000"/>
        </w:rPr>
        <w:t xml:space="preserve"> 号招标文件，正式授权下述签字人______(姓名)代表我方______________（投标人的名称），全权处理本次项目投标的有关事宜。</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据此函，__________签字人兹宣布同意如下：</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1.按招标文件规定的各项要求，向买方提供所需服务（包含与服务相关的货物）。</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2.我们完全理解贵方不一定将合同授予最低报价的投标人。</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3.我们已详细审核全部招标文件及其有效补充文件，我们知道必须放弃提出含糊不清或误解问题的权利。</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4.我们同意从规定的开标日期起遵循本投标文件，并在规定的投标有效期期满之前均具有约束力。</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rPr>
          <w:color w:val="000000"/>
        </w:rPr>
      </w:r>
      <w:r/>
    </w:p>
    <w:p>
      <w:pPr>
        <w:pStyle w:val="654"/>
        <w:ind w:firstLine="480"/>
        <w:spacing w:beforeAutospacing="0" w:afterAutospacing="0" w:line="0" w:lineRule="atLeast"/>
        <w:rPr>
          <w:color w:val="000000"/>
        </w:rPr>
      </w:pPr>
      <w:r>
        <w:rPr>
          <w:rFonts w:hint="eastAsia" w:ascii="宋体" w:hAnsi="宋体" w:eastAsia="宋体" w:cs="宋体"/>
          <w:color w:val="000000"/>
        </w:rPr>
        <w:t xml:space="preserve">7.与本投标有关的正式通讯地址为：</w:t>
      </w:r>
      <w:r>
        <w:rPr>
          <w:color w:val="000000"/>
        </w:rPr>
      </w:r>
      <w:r/>
    </w:p>
    <w:p>
      <w:pPr>
        <w:pStyle w:val="654"/>
        <w:ind w:left="420" w:firstLine="480"/>
        <w:spacing w:beforeAutospacing="0" w:afterAutospacing="0" w:line="0" w:lineRule="atLeast"/>
        <w:rPr>
          <w:color w:val="000000"/>
        </w:rPr>
      </w:pPr>
      <w:r>
        <w:rPr>
          <w:rFonts w:hint="eastAsia" w:ascii="宋体" w:hAnsi="宋体" w:eastAsia="宋体" w:cs="宋体"/>
          <w:color w:val="000000"/>
        </w:rPr>
        <w:t xml:space="preserve">地          址：</w:t>
      </w:r>
      <w:r>
        <w:rPr>
          <w:color w:val="000000"/>
        </w:rPr>
      </w:r>
      <w:r/>
    </w:p>
    <w:p>
      <w:pPr>
        <w:pStyle w:val="654"/>
        <w:ind w:left="420" w:firstLine="480"/>
        <w:spacing w:beforeAutospacing="0" w:afterAutospacing="0" w:line="0" w:lineRule="atLeast"/>
        <w:rPr>
          <w:color w:val="000000"/>
        </w:rPr>
      </w:pPr>
      <w:r>
        <w:rPr>
          <w:rFonts w:hint="eastAsia" w:ascii="宋体" w:hAnsi="宋体" w:eastAsia="宋体" w:cs="宋体"/>
          <w:color w:val="000000"/>
        </w:rPr>
        <w:t xml:space="preserve">邮          编：</w:t>
      </w:r>
      <w:r>
        <w:rPr>
          <w:color w:val="000000"/>
        </w:rPr>
      </w:r>
      <w:r/>
    </w:p>
    <w:p>
      <w:pPr>
        <w:pStyle w:val="654"/>
        <w:ind w:left="420" w:firstLine="480"/>
        <w:spacing w:beforeAutospacing="0" w:afterAutospacing="0" w:line="0" w:lineRule="atLeast"/>
        <w:rPr>
          <w:color w:val="000000"/>
        </w:rPr>
      </w:pPr>
      <w:r>
        <w:rPr>
          <w:rFonts w:hint="eastAsia" w:ascii="宋体" w:hAnsi="宋体" w:eastAsia="宋体" w:cs="宋体"/>
          <w:color w:val="000000"/>
        </w:rPr>
        <w:t xml:space="preserve">电          话：</w:t>
      </w:r>
      <w:r>
        <w:rPr>
          <w:color w:val="000000"/>
        </w:rPr>
      </w:r>
      <w:r/>
    </w:p>
    <w:p>
      <w:pPr>
        <w:pStyle w:val="654"/>
        <w:ind w:left="420" w:firstLine="480"/>
        <w:spacing w:beforeAutospacing="0" w:afterAutospacing="0" w:line="0" w:lineRule="atLeast"/>
        <w:rPr>
          <w:color w:val="000000"/>
        </w:rPr>
      </w:pPr>
      <w:r>
        <w:rPr>
          <w:rFonts w:hint="eastAsia" w:ascii="宋体" w:hAnsi="宋体" w:eastAsia="宋体" w:cs="宋体"/>
          <w:color w:val="000000"/>
        </w:rPr>
        <w:t xml:space="preserve">传          真：</w:t>
      </w:r>
      <w:r>
        <w:rPr>
          <w:color w:val="000000"/>
        </w:rPr>
      </w:r>
      <w:r/>
    </w:p>
    <w:p>
      <w:pPr>
        <w:pStyle w:val="654"/>
        <w:ind w:left="420" w:firstLine="480"/>
        <w:spacing w:beforeAutospacing="0" w:afterAutospacing="0" w:line="0" w:lineRule="atLeast"/>
        <w:rPr>
          <w:color w:val="000000"/>
        </w:rPr>
      </w:pPr>
      <w:r>
        <w:rPr>
          <w:rFonts w:hint="eastAsia" w:ascii="宋体" w:hAnsi="宋体" w:eastAsia="宋体" w:cs="宋体"/>
          <w:color w:val="000000"/>
        </w:rPr>
        <w:t xml:space="preserve">投标人开户行：</w:t>
      </w:r>
      <w:r>
        <w:rPr>
          <w:color w:val="000000"/>
        </w:rPr>
      </w:r>
      <w:r/>
    </w:p>
    <w:p>
      <w:pPr>
        <w:pStyle w:val="654"/>
        <w:ind w:left="420" w:firstLine="480"/>
        <w:spacing w:beforeAutospacing="0" w:afterAutospacing="0" w:line="0" w:lineRule="atLeast"/>
        <w:rPr>
          <w:color w:val="000000"/>
        </w:rPr>
      </w:pPr>
      <w:r>
        <w:rPr>
          <w:rFonts w:hint="eastAsia" w:ascii="宋体" w:hAnsi="宋体" w:eastAsia="宋体" w:cs="宋体"/>
          <w:color w:val="000000"/>
        </w:rPr>
        <w:t xml:space="preserve">账          号： </w:t>
      </w:r>
      <w:r>
        <w:rPr>
          <w:color w:val="000000"/>
        </w:rPr>
      </w:r>
      <w:r/>
    </w:p>
    <w:p>
      <w:pPr>
        <w:pStyle w:val="654"/>
        <w:ind w:left="420" w:firstLine="480"/>
        <w:spacing w:beforeAutospacing="0" w:afterAutospacing="0" w:line="0" w:lineRule="atLeast"/>
        <w:rPr>
          <w:color w:val="000000"/>
        </w:rPr>
      </w:pPr>
      <w:r>
        <w:rPr>
          <w:rFonts w:hint="eastAsia" w:ascii="宋体" w:hAnsi="宋体" w:eastAsia="宋体" w:cs="宋体"/>
          <w:color w:val="000000"/>
        </w:rPr>
        <w:t xml:space="preserve">日           期：________年____月____日</w:t>
      </w:r>
      <w:r>
        <w:rPr>
          <w:color w:val="000000"/>
        </w:rPr>
      </w:r>
      <w:r/>
    </w:p>
    <w:p>
      <w:pPr>
        <w:pStyle w:val="654"/>
        <w:ind w:firstLine="240"/>
        <w:jc w:val="center"/>
        <w:spacing w:beforeAutospacing="0" w:afterAutospacing="0" w:line="0" w:lineRule="atLeast"/>
        <w:rPr>
          <w:color w:val="000000"/>
        </w:rPr>
      </w:pPr>
      <w:r>
        <w:rPr>
          <w:color w:val="000000"/>
        </w:rPr>
        <w:t xml:space="preserve"> </w:t>
      </w:r>
      <w:r>
        <w:rPr>
          <w:color w:val="000000"/>
        </w:rPr>
      </w:r>
      <w:r/>
    </w:p>
    <w:p>
      <w:pPr>
        <w:pStyle w:val="654"/>
        <w:ind w:firstLine="240"/>
        <w:jc w:val="center"/>
        <w:spacing w:beforeAutospacing="0" w:afterAutospacing="0" w:line="0" w:lineRule="atLeast"/>
        <w:rPr>
          <w:color w:val="000000"/>
        </w:rPr>
      </w:pPr>
      <w:r>
        <w:rPr>
          <w:color w:val="000000"/>
        </w:rPr>
        <w:t xml:space="preserve"> </w:t>
      </w:r>
      <w:r>
        <w:rPr>
          <w:color w:val="000000"/>
        </w:rPr>
      </w:r>
      <w:r/>
    </w:p>
    <w:p>
      <w:pPr>
        <w:pStyle w:val="654"/>
        <w:ind w:firstLine="240"/>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rFonts w:hint="eastAsia" w:ascii="黑体" w:hAnsi="宋体" w:eastAsia="黑体" w:cs="黑体"/>
          <w:b/>
          <w:color w:val="000000"/>
          <w:sz w:val="32"/>
          <w:szCs w:val="32"/>
        </w:rPr>
        <w:t xml:space="preserve">九、中小企业声明函（服务）（分包号：**）</w:t>
      </w:r>
      <w:r>
        <w:rPr>
          <w:color w:val="000000"/>
        </w:rPr>
      </w:r>
      <w:r/>
    </w:p>
    <w:p>
      <w:pPr>
        <w:pStyle w:val="627"/>
        <w:ind w:firstLine="480"/>
        <w:spacing w:line="500" w:lineRule="exact"/>
        <w:rPr>
          <w:rFonts w:hint="eastAsia"/>
          <w:color w:val="000000"/>
          <w:sz w:val="24"/>
        </w:rPr>
      </w:pPr>
      <w:r>
        <w:rPr>
          <w:rFonts w:hint="eastAsia"/>
          <w:color w:val="000000"/>
          <w:sz w:val="24"/>
        </w:rPr>
        <w:t xml:space="preserve">本公司（联合体）郑重声明，根据《政府采购促进中小企业发展管理办法》（财库﹝2020﹞46 号）的规定，本公司（联合体）参加射阳县行政服务中心组织的</w:t>
      </w:r>
      <w:r>
        <w:rPr>
          <w:rFonts w:hint="eastAsia"/>
          <w:i/>
          <w:iCs/>
          <w:color w:val="000000"/>
          <w:sz w:val="24"/>
          <w:u w:val="single"/>
        </w:rPr>
        <w:t xml:space="preserve">（单位名称）</w:t>
      </w:r>
      <w:r>
        <w:rPr>
          <w:rFonts w:hint="eastAsia"/>
          <w:color w:val="000000"/>
          <w:sz w:val="24"/>
          <w:szCs w:val="20"/>
        </w:rPr>
        <w:t xml:space="preserve">，</w:t>
      </w:r>
      <w:r>
        <w:rPr>
          <w:rFonts w:hint="eastAsia"/>
          <w:color w:val="000000"/>
          <w:sz w:val="24"/>
        </w:rPr>
        <w:t xml:space="preserve">采购编号为</w:t>
      </w:r>
      <w:r>
        <w:rPr>
          <w:rFonts w:hint="eastAsia"/>
          <w:color w:val="000000"/>
          <w:sz w:val="24"/>
          <w:u w:val="single"/>
        </w:rPr>
        <w:t xml:space="preserve">     </w:t>
      </w:r>
      <w:r>
        <w:rPr>
          <w:rFonts w:hint="eastAsia"/>
          <w:color w:val="000000"/>
          <w:sz w:val="24"/>
        </w:rPr>
        <w:t xml:space="preserve">的</w:t>
      </w:r>
      <w:r>
        <w:rPr>
          <w:rFonts w:hint="eastAsia"/>
          <w:i/>
          <w:iCs/>
          <w:color w:val="000000"/>
          <w:sz w:val="24"/>
          <w:u w:val="single"/>
        </w:rPr>
        <w:t xml:space="preserve">（项目名称）</w:t>
      </w:r>
      <w:r>
        <w:rPr>
          <w:rFonts w:hint="eastAsia"/>
          <w:color w:val="000000"/>
          <w:sz w:val="24"/>
        </w:rPr>
        <w:t xml:space="preserve">的采购活动，服务全部由符合政策要求的中小企业承接。相关企业（含联合体中的中小企业、签订分包意向协议的中小企业）的具体情况如下：</w:t>
      </w:r>
      <w:r>
        <w:rPr>
          <w:rFonts w:hint="eastAsia"/>
          <w:color w:val="000000"/>
          <w:sz w:val="24"/>
        </w:rPr>
      </w:r>
      <w:r/>
    </w:p>
    <w:p>
      <w:pPr>
        <w:pStyle w:val="627"/>
        <w:numPr>
          <w:ilvl w:val="0"/>
          <w:numId w:val="4"/>
        </w:numPr>
        <w:ind w:firstLine="480"/>
        <w:spacing w:line="500" w:lineRule="exact"/>
        <w:rPr>
          <w:rFonts w:hint="eastAsia"/>
          <w:color w:val="000000"/>
          <w:sz w:val="24"/>
        </w:rPr>
      </w:pPr>
      <w:r>
        <w:rPr>
          <w:rFonts w:hint="eastAsia"/>
          <w:i/>
          <w:iCs/>
          <w:color w:val="000000"/>
          <w:sz w:val="24"/>
          <w:u w:val="single"/>
        </w:rPr>
        <w:t xml:space="preserve">（标的名称）</w:t>
      </w:r>
      <w:r>
        <w:rPr>
          <w:rFonts w:hint="eastAsia"/>
          <w:color w:val="000000"/>
          <w:sz w:val="24"/>
        </w:rPr>
        <w:t xml:space="preserve"> ，属于</w:t>
      </w:r>
      <w:r>
        <w:rPr>
          <w:rFonts w:hint="eastAsia"/>
          <w:i/>
          <w:iCs/>
          <w:color w:val="000000"/>
          <w:sz w:val="24"/>
          <w:u w:val="single"/>
        </w:rPr>
        <w:t xml:space="preserve">（采购文件中明确的所属行业）</w:t>
      </w:r>
      <w:r>
        <w:rPr>
          <w:rFonts w:hint="eastAsia"/>
          <w:color w:val="000000"/>
          <w:sz w:val="24"/>
        </w:rPr>
        <w:t xml:space="preserve">；承建（承接）企业为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rPr>
          <w:rFonts w:hint="eastAsia"/>
          <w:color w:val="000000"/>
          <w:sz w:val="24"/>
        </w:rPr>
      </w:r>
      <w:r/>
    </w:p>
    <w:p>
      <w:pPr>
        <w:pStyle w:val="627"/>
        <w:numPr>
          <w:ilvl w:val="0"/>
          <w:numId w:val="4"/>
        </w:numPr>
        <w:ind w:firstLine="480"/>
        <w:spacing w:line="500" w:lineRule="exact"/>
        <w:rPr>
          <w:rFonts w:hint="eastAsia"/>
          <w:color w:val="000000"/>
          <w:sz w:val="24"/>
        </w:rPr>
      </w:pPr>
      <w:r>
        <w:rPr>
          <w:rFonts w:hint="eastAsia"/>
          <w:i/>
          <w:iCs/>
          <w:color w:val="000000"/>
          <w:sz w:val="24"/>
          <w:u w:val="single"/>
        </w:rPr>
        <w:t xml:space="preserve">（标的名称）</w:t>
      </w:r>
      <w:r>
        <w:rPr>
          <w:rFonts w:hint="eastAsia"/>
          <w:color w:val="000000"/>
          <w:sz w:val="24"/>
        </w:rPr>
        <w:t xml:space="preserve"> ，属于</w:t>
      </w:r>
      <w:r>
        <w:rPr>
          <w:rFonts w:hint="eastAsia"/>
          <w:i/>
          <w:iCs/>
          <w:color w:val="000000"/>
          <w:sz w:val="24"/>
          <w:u w:val="single"/>
        </w:rPr>
        <w:t xml:space="preserve">（采购文件中明确的所属行业）</w:t>
      </w:r>
      <w:r>
        <w:rPr>
          <w:rFonts w:hint="eastAsia"/>
          <w:color w:val="000000"/>
          <w:sz w:val="24"/>
        </w:rPr>
        <w:t xml:space="preserve">；承建（承接）企业为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rPr>
          <w:rFonts w:hint="eastAsia"/>
          <w:color w:val="000000"/>
          <w:sz w:val="24"/>
        </w:rPr>
      </w:r>
      <w:r/>
    </w:p>
    <w:p>
      <w:pPr>
        <w:pStyle w:val="627"/>
        <w:ind w:firstLine="480"/>
        <w:spacing w:line="500" w:lineRule="exact"/>
        <w:rPr>
          <w:rFonts w:hint="eastAsia"/>
          <w:color w:val="000000"/>
          <w:sz w:val="24"/>
        </w:rPr>
      </w:pPr>
      <w:r>
        <w:rPr>
          <w:rFonts w:hint="eastAsia"/>
          <w:color w:val="000000"/>
          <w:sz w:val="24"/>
        </w:rPr>
        <w:t xml:space="preserve">……</w:t>
      </w:r>
      <w:r>
        <w:rPr>
          <w:rFonts w:hint="eastAsia"/>
          <w:color w:val="000000"/>
          <w:sz w:val="24"/>
        </w:rPr>
      </w:r>
      <w:r/>
    </w:p>
    <w:p>
      <w:pPr>
        <w:pStyle w:val="627"/>
        <w:ind w:firstLine="480"/>
        <w:spacing w:line="500" w:lineRule="exact"/>
        <w:rPr>
          <w:rFonts w:hint="eastAsia"/>
          <w:color w:val="000000"/>
          <w:sz w:val="24"/>
        </w:rPr>
      </w:pPr>
      <w:r>
        <w:rPr>
          <w:rFonts w:hint="eastAsia"/>
          <w:color w:val="000000"/>
          <w:sz w:val="24"/>
        </w:rPr>
        <w:t xml:space="preserve">以上企业，不属于大企业的分支机构，不存在控股股东为大企业的情形，也不存在与大企业的负责人为同一人的情形。</w:t>
      </w:r>
      <w:r>
        <w:rPr>
          <w:rFonts w:hint="eastAsia"/>
          <w:color w:val="000000"/>
          <w:sz w:val="24"/>
        </w:rPr>
      </w:r>
      <w:r/>
    </w:p>
    <w:p>
      <w:pPr>
        <w:pStyle w:val="627"/>
        <w:ind w:firstLine="480"/>
        <w:spacing w:line="500" w:lineRule="exact"/>
        <w:rPr>
          <w:rFonts w:hint="eastAsia"/>
          <w:color w:val="000000"/>
          <w:sz w:val="24"/>
        </w:rPr>
      </w:pPr>
      <w:r>
        <w:rPr>
          <w:rFonts w:hint="eastAsia"/>
          <w:color w:val="000000"/>
          <w:sz w:val="24"/>
        </w:rPr>
        <w:t xml:space="preserve">本企业对上述声明内容的真实性负责。如有虚假，将依法承担相应责任。</w:t>
      </w:r>
      <w:r>
        <w:rPr>
          <w:rFonts w:hint="eastAsia"/>
          <w:color w:val="000000"/>
          <w:sz w:val="24"/>
        </w:rPr>
      </w:r>
      <w:r/>
    </w:p>
    <w:p>
      <w:pPr>
        <w:pStyle w:val="654"/>
        <w:ind w:right="720"/>
        <w:jc w:val="both"/>
        <w:spacing w:beforeAutospacing="0" w:afterAutospacing="0" w:line="0" w:lineRule="atLeast"/>
        <w:rPr>
          <w:color w:val="000000"/>
        </w:rPr>
      </w:pPr>
      <w:r>
        <w:rPr>
          <w:color w:val="000000"/>
        </w:rPr>
        <w:t xml:space="preserve"> </w:t>
      </w:r>
      <w:r>
        <w:rPr>
          <w:color w:val="000000"/>
        </w:rPr>
      </w:r>
      <w:r/>
    </w:p>
    <w:p>
      <w:pPr>
        <w:pStyle w:val="654"/>
        <w:ind w:right="180" w:firstLine="360"/>
        <w:jc w:val="right"/>
        <w:spacing w:beforeAutospacing="0" w:afterAutospacing="0" w:line="0" w:lineRule="atLeast"/>
        <w:rPr>
          <w:color w:val="000000"/>
        </w:rPr>
      </w:pPr>
      <w:r>
        <w:rPr>
          <w:rFonts w:hint="eastAsia" w:ascii="宋体" w:hAnsi="宋体" w:eastAsia="宋体" w:cs="宋体"/>
          <w:color w:val="000000"/>
        </w:rPr>
        <w:t xml:space="preserve">企业名称（加盖CA电子公章）：</w:t>
      </w:r>
      <w:r>
        <w:rPr>
          <w:color w:val="000000"/>
        </w:rPr>
      </w:r>
      <w:r/>
    </w:p>
    <w:p>
      <w:pPr>
        <w:pStyle w:val="654"/>
        <w:ind w:right="480" w:firstLine="5400"/>
        <w:jc w:val="both"/>
        <w:spacing w:beforeAutospacing="0" w:afterAutospacing="0" w:line="0" w:lineRule="atLeast"/>
        <w:rPr>
          <w:color w:val="000000"/>
        </w:rPr>
      </w:pPr>
      <w:r>
        <w:rPr>
          <w:rFonts w:hint="eastAsia" w:ascii="宋体" w:hAnsi="宋体" w:eastAsia="宋体" w:cs="宋体"/>
          <w:color w:val="000000"/>
        </w:rPr>
        <w:t xml:space="preserve">日  期：</w:t>
      </w:r>
      <w:r>
        <w:rPr>
          <w:color w:val="000000"/>
        </w:rPr>
      </w:r>
      <w:r/>
    </w:p>
    <w:p>
      <w:pPr>
        <w:pStyle w:val="654"/>
        <w:ind w:firstLine="240"/>
        <w:jc w:val="both"/>
        <w:spacing w:beforeAutospacing="0" w:afterAutospacing="0" w:line="0" w:lineRule="atLeast"/>
        <w:rPr>
          <w:color w:val="000000"/>
        </w:rPr>
      </w:pPr>
      <w:r>
        <w:rPr>
          <w:color w:val="000000"/>
        </w:rPr>
        <w:t xml:space="preserve"> </w:t>
      </w:r>
      <w:r>
        <w:rPr>
          <w:color w:val="000000"/>
        </w:rPr>
      </w:r>
      <w:r/>
    </w:p>
    <w:p>
      <w:pPr>
        <w:pStyle w:val="654"/>
        <w:ind w:firstLine="480"/>
        <w:jc w:val="both"/>
        <w:spacing w:beforeAutospacing="0" w:afterAutospacing="0" w:line="0" w:lineRule="atLeast"/>
        <w:rPr>
          <w:color w:val="000000"/>
        </w:rPr>
      </w:pPr>
      <w:r>
        <w:rPr>
          <w:rFonts w:hint="eastAsia" w:ascii="宋体" w:hAnsi="宋体" w:eastAsia="宋体" w:cs="宋体"/>
          <w:color w:val="000000"/>
        </w:rPr>
        <w:t xml:space="preserve">备注1：从业人员、营业收入、资产总额填报上一年度数据，无上一年度数据的新成立企业可不填报。</w:t>
      </w:r>
      <w:r>
        <w:rPr>
          <w:color w:val="000000"/>
        </w:rPr>
      </w:r>
      <w:r/>
    </w:p>
    <w:p>
      <w:pPr>
        <w:pStyle w:val="654"/>
        <w:ind w:firstLine="480"/>
        <w:jc w:val="both"/>
        <w:spacing w:beforeAutospacing="0" w:afterAutospacing="0" w:line="0" w:lineRule="atLeast"/>
        <w:rPr>
          <w:color w:val="000000"/>
        </w:rPr>
      </w:pPr>
      <w:r>
        <w:rPr>
          <w:rFonts w:hint="eastAsia" w:ascii="宋体" w:hAnsi="宋体" w:eastAsia="宋体" w:cs="宋体"/>
          <w:color w:val="000000"/>
        </w:rPr>
        <w:t xml:space="preserve">备注2：供应商如不提供此声明函，价格将不做相应扣除（如项目全面面向中小企业，则资格审查不通过）。</w:t>
      </w:r>
      <w:r>
        <w:rPr>
          <w:color w:val="000000"/>
        </w:rPr>
      </w:r>
      <w:r/>
    </w:p>
    <w:p>
      <w:pPr>
        <w:pStyle w:val="654"/>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rPr>
          <w:color w:val="000000"/>
        </w:rPr>
      </w:r>
      <w:r/>
    </w:p>
    <w:p>
      <w:pPr>
        <w:pStyle w:val="654"/>
        <w:ind w:firstLine="480"/>
        <w:jc w:val="both"/>
        <w:spacing w:beforeAutospacing="0" w:afterAutospacing="0" w:line="0" w:lineRule="atLeast"/>
        <w:rPr>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rPr>
          <w:color w:val="000000"/>
        </w:rPr>
      </w:r>
      <w:r/>
    </w:p>
    <w:p>
      <w:pPr>
        <w:pStyle w:val="654"/>
        <w:ind w:firstLine="480"/>
        <w:jc w:val="both"/>
        <w:spacing w:beforeAutospacing="0" w:afterAutospacing="0" w:line="0" w:lineRule="atLeast"/>
        <w:rPr>
          <w:color w:val="000000"/>
        </w:rPr>
      </w:pPr>
      <w:r>
        <w:rPr>
          <w:rFonts w:hint="eastAsia" w:ascii="宋体" w:hAnsi="宋体" w:eastAsia="宋体" w:cs="宋体"/>
          <w:color w:val="000000"/>
        </w:rPr>
        <w:t xml:space="preserve">本单位对上述声明的真实性负责。如有虚假，将依法承担相应责任。</w:t>
      </w:r>
      <w:r>
        <w:rPr>
          <w:color w:val="000000"/>
        </w:rPr>
      </w:r>
      <w:r/>
    </w:p>
    <w:p>
      <w:pPr>
        <w:pStyle w:val="654"/>
        <w:ind w:firstLine="480"/>
        <w:jc w:val="both"/>
        <w:spacing w:beforeAutospacing="0" w:afterAutospacing="0" w:line="0" w:lineRule="atLeast"/>
        <w:rPr>
          <w:color w:val="000000"/>
        </w:rPr>
      </w:pPr>
      <w:r>
        <w:rPr>
          <w:color w:val="000000"/>
        </w:rPr>
        <w:t xml:space="preserve"> </w:t>
      </w:r>
      <w:r>
        <w:rPr>
          <w:color w:val="000000"/>
        </w:rPr>
      </w:r>
      <w:r/>
    </w:p>
    <w:p>
      <w:pPr>
        <w:pStyle w:val="654"/>
        <w:ind w:firstLine="480"/>
        <w:jc w:val="both"/>
        <w:spacing w:beforeAutospacing="0" w:afterAutospacing="0" w:line="0" w:lineRule="atLeast"/>
        <w:rPr>
          <w:rFonts w:hint="eastAsia" w:eastAsia="宋体"/>
          <w:color w:val="000000"/>
        </w:rPr>
      </w:pPr>
      <w:r>
        <w:rPr>
          <w:rFonts w:hint="eastAsia" w:ascii="宋体" w:hAnsi="宋体" w:eastAsia="宋体" w:cs="宋体"/>
          <w:color w:val="000000"/>
        </w:rPr>
        <w:t xml:space="preserve">备注：1、供应商如不提供此声明函，价格将不做相应扣除（如项目全面面向中小企业，则资格审查不通过）。</w:t>
      </w:r>
      <w:r>
        <w:rPr>
          <w:rFonts w:hint="eastAsia" w:eastAsia="宋体"/>
          <w:color w:val="000000"/>
        </w:rPr>
      </w:r>
      <w:r/>
    </w:p>
    <w:p>
      <w:pPr>
        <w:pStyle w:val="654"/>
        <w:ind w:firstLine="480"/>
        <w:jc w:val="both"/>
        <w:spacing w:beforeAutospacing="0" w:afterAutospacing="0" w:line="0" w:lineRule="atLeast"/>
        <w:rPr>
          <w:color w:val="000000"/>
        </w:rPr>
      </w:pPr>
      <w:r>
        <w:rPr>
          <w:rFonts w:hint="eastAsia" w:ascii="宋体" w:hAnsi="宋体" w:eastAsia="宋体" w:cs="宋体"/>
          <w:color w:val="000000"/>
        </w:rPr>
        <w:t xml:space="preserve">2、中标人为残疾人福利单位的，此声明函将随中标结果同时公告，接受社会监督</w:t>
      </w:r>
      <w:r>
        <w:rPr>
          <w:color w:val="000000"/>
        </w:rPr>
      </w:r>
      <w:r/>
    </w:p>
    <w:p>
      <w:pPr>
        <w:pStyle w:val="654"/>
        <w:ind w:firstLine="624"/>
        <w:jc w:val="both"/>
        <w:spacing w:beforeAutospacing="0" w:afterAutospacing="0" w:line="0" w:lineRule="atLeast"/>
        <w:rPr>
          <w:color w:val="000000"/>
        </w:rPr>
      </w:pPr>
      <w:r>
        <w:rPr>
          <w:color w:val="000000"/>
        </w:rPr>
        <w:t xml:space="preserve"> </w:t>
      </w:r>
      <w:r>
        <w:rPr>
          <w:color w:val="000000"/>
        </w:rPr>
      </w:r>
      <w:r/>
    </w:p>
    <w:p>
      <w:pPr>
        <w:pStyle w:val="654"/>
        <w:ind w:right="1560" w:firstLine="624"/>
        <w:jc w:val="center"/>
        <w:spacing w:beforeAutospacing="0" w:afterAutospacing="0" w:line="0" w:lineRule="atLeast"/>
        <w:tabs>
          <w:tab w:val="left" w:pos="4864" w:leader="none"/>
        </w:tabs>
        <w:rPr>
          <w:color w:val="000000"/>
        </w:rPr>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rPr>
          <w:color w:val="000000"/>
        </w:rPr>
      </w:r>
      <w:r/>
    </w:p>
    <w:p>
      <w:pPr>
        <w:pStyle w:val="654"/>
        <w:ind w:right="1560" w:firstLine="480"/>
        <w:jc w:val="center"/>
        <w:spacing w:beforeAutospacing="0" w:afterAutospacing="0" w:line="0" w:lineRule="atLeast"/>
        <w:tabs>
          <w:tab w:val="left" w:pos="4864" w:leader="none"/>
        </w:tabs>
        <w:rPr>
          <w:color w:val="000000"/>
        </w:rPr>
      </w:pPr>
      <w:r>
        <w:rPr>
          <w:rFonts w:hint="eastAsia" w:ascii="宋体" w:hAnsi="宋体" w:eastAsia="宋体" w:cs="宋体"/>
          <w:color w:val="000000"/>
        </w:rPr>
        <w:t xml:space="preserve">        日  期：</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line="0" w:lineRule="atLeast"/>
        <w:rPr>
          <w:color w:val="000000"/>
        </w:rPr>
      </w:pPr>
      <w:r>
        <w:rPr>
          <w:color w:val="000000"/>
        </w:rPr>
        <w:t xml:space="preserve"> </w:t>
      </w:r>
      <w:r>
        <w:rPr>
          <w:color w:val="000000"/>
        </w:rPr>
      </w:r>
      <w:r/>
    </w:p>
    <w:p>
      <w:pPr>
        <w:pStyle w:val="654"/>
        <w:jc w:val="center"/>
        <w:spacing w:beforeAutospacing="0" w:afterAutospacing="0"/>
        <w:rPr>
          <w:color w:val="000000"/>
        </w:rPr>
      </w:pPr>
      <w:r>
        <w:rPr>
          <w:rFonts w:ascii="黑体" w:hAnsi="宋体" w:eastAsia="黑体" w:cs="黑体"/>
          <w:b/>
          <w:bCs/>
          <w:color w:val="000000"/>
          <w:sz w:val="32"/>
          <w:szCs w:val="32"/>
        </w:rPr>
        <w:t xml:space="preserve">十一、 关于符合本国产品标准的声明函（采购包号：**）</w:t>
      </w:r>
      <w:r>
        <w:rPr>
          <w:color w:val="000000"/>
        </w:rPr>
      </w:r>
      <w:r/>
    </w:p>
    <w:p>
      <w:pPr>
        <w:pStyle w:val="654"/>
        <w:ind w:firstLine="420"/>
        <w:jc w:val="both"/>
        <w:spacing w:beforeAutospacing="0" w:afterAutospacing="0"/>
        <w:rPr>
          <w:color w:val="000000"/>
        </w:rPr>
      </w:pPr>
      <w:r>
        <w:rPr>
          <w:rFonts w:ascii="Arial" w:hAnsi="Arial" w:cs="Arial"/>
          <w:color w:val="000000"/>
        </w:rPr>
        <w:t xml:space="preserve"> </w:t>
      </w:r>
      <w:r>
        <w:rPr>
          <w:color w:val="000000"/>
        </w:rPr>
      </w:r>
      <w:r/>
    </w:p>
    <w:p>
      <w:pPr>
        <w:pStyle w:val="654"/>
        <w:ind w:firstLine="420"/>
        <w:jc w:val="both"/>
        <w:spacing w:beforeAutospacing="0" w:afterAutospacing="0"/>
        <w:rPr>
          <w:color w:val="000000"/>
        </w:rPr>
      </w:pPr>
      <w:r>
        <w:rPr>
          <w:rFonts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654"/>
        <w:ind w:firstLine="420"/>
        <w:jc w:val="both"/>
        <w:spacing w:before="30" w:beforeAutospacing="0" w:after="30" w:afterAutospacing="0"/>
        <w:rPr>
          <w:color w:val="000000"/>
        </w:rPr>
      </w:pPr>
      <w:r>
        <w:rPr>
          <w:rFonts w:ascii="宋体" w:hAnsi="宋体" w:eastAsia="宋体" w:cs="宋体"/>
          <w:color w:val="000000"/>
          <w:shd w:val="clear" w:color="auto" w:fill="ffffff"/>
        </w:rPr>
        <w:t xml:space="preserve">1.</w:t>
      </w:r>
      <w:r>
        <w:rPr>
          <w:rFonts w:ascii="宋体" w:hAnsi="宋体" w:eastAsia="宋体" w:cs="宋体"/>
          <w:color w:val="000000"/>
          <w:u w:val="single"/>
          <w:shd w:val="clear" w:color="auto" w:fill="ffffff"/>
        </w:rPr>
        <w:t xml:space="preserve">（产品名称1）</w:t>
      </w:r>
      <w:r>
        <w:rPr>
          <w:rFonts w:ascii="宋体" w:hAnsi="宋体" w:eastAsia="宋体" w:cs="宋体"/>
          <w:color w:val="000000"/>
          <w:shd w:val="clear" w:color="auto" w:fill="ffffff"/>
          <w:vertAlign w:val="superscript"/>
        </w:rPr>
        <w:t xml:space="preserve">1</w:t>
      </w:r>
      <w:r>
        <w:rPr>
          <w:rFonts w:ascii="宋体" w:hAnsi="宋体" w:eastAsia="宋体" w:cs="宋体"/>
          <w:color w:val="000000"/>
          <w:shd w:val="clear" w:color="auto" w:fill="ffffff"/>
        </w:rPr>
        <w:t xml:space="preserve">，生产厂为</w:t>
      </w:r>
      <w:r>
        <w:rPr>
          <w:rFonts w:ascii="宋体" w:hAnsi="宋体" w:eastAsia="宋体" w:cs="宋体"/>
          <w:color w:val="000000"/>
          <w:u w:val="single"/>
          <w:shd w:val="clear" w:color="auto" w:fill="ffffff"/>
        </w:rPr>
        <w:t xml:space="preserve">（厂名）</w:t>
      </w:r>
      <w:r>
        <w:rPr>
          <w:rFonts w:ascii="宋体" w:hAnsi="宋体" w:eastAsia="宋体" w:cs="宋体"/>
          <w:color w:val="000000"/>
          <w:shd w:val="clear" w:color="auto" w:fill="ffffff"/>
          <w:vertAlign w:val="superscript"/>
        </w:rPr>
        <w:t xml:space="preserve">2</w:t>
      </w:r>
      <w:r>
        <w:rPr>
          <w:rFonts w:ascii="宋体" w:hAnsi="宋体" w:eastAsia="宋体" w:cs="宋体"/>
          <w:color w:val="000000"/>
          <w:shd w:val="clear" w:color="auto" w:fill="ffffff"/>
        </w:rPr>
        <w:t xml:space="preserve">，厂址为</w:t>
      </w:r>
      <w:r>
        <w:rPr>
          <w:rFonts w:ascii="宋体" w:hAnsi="宋体" w:eastAsia="宋体" w:cs="宋体"/>
          <w:color w:val="000000"/>
          <w:u w:val="single"/>
          <w:shd w:val="clear" w:color="auto" w:fill="ffffff"/>
        </w:rPr>
        <w:t xml:space="preserve">（生产厂址）</w:t>
      </w:r>
      <w:r>
        <w:rPr>
          <w:rFonts w:ascii="宋体" w:hAnsi="宋体" w:eastAsia="宋体" w:cs="宋体"/>
          <w:color w:val="000000"/>
          <w:shd w:val="clear" w:color="auto" w:fill="ffffff"/>
        </w:rPr>
        <w:t xml:space="preserve">。</w:t>
      </w:r>
      <w:r>
        <w:rPr>
          <w:rFonts w:ascii="宋体" w:hAnsi="宋体" w:eastAsia="宋体" w:cs="宋体"/>
          <w:strike/>
          <w:color w:val="000000"/>
          <w:u w:val="single"/>
          <w:shd w:val="clear" w:color="auto" w:fill="ffffff"/>
        </w:rPr>
        <w:t xml:space="preserve"> （产品名称1）</w:t>
      </w:r>
      <w:r>
        <w:rPr>
          <w:rFonts w:ascii="宋体" w:hAnsi="宋体" w:eastAsia="宋体" w:cs="宋体"/>
          <w:color w:val="000000"/>
          <w:u w:val="single"/>
          <w:shd w:val="clear" w:color="auto" w:fill="ffffff"/>
        </w:rPr>
        <w:t xml:space="preserve"> </w:t>
      </w:r>
      <w:r>
        <w:rPr>
          <w:rFonts w:ascii="宋体" w:hAnsi="宋体" w:eastAsia="宋体" w:cs="宋体"/>
          <w:color w:val="000000"/>
          <w:shd w:val="clear" w:color="auto" w:fill="ffffff"/>
        </w:rPr>
        <w:t xml:space="preserve">的中国境内生产的组件成本占比≥</w:t>
      </w:r>
      <w:r>
        <w:rPr>
          <w:rFonts w:ascii="宋体" w:hAnsi="宋体" w:eastAsia="宋体" w:cs="宋体"/>
          <w:strike/>
          <w:color w:val="000000"/>
          <w:u w:val="single"/>
          <w:shd w:val="clear" w:color="auto" w:fill="ffffff"/>
        </w:rPr>
        <w:t xml:space="preserve">（规定比例）</w:t>
      </w:r>
      <w:r>
        <w:rPr>
          <w:rFonts w:ascii="宋体" w:hAnsi="宋体" w:eastAsia="宋体" w:cs="宋体"/>
          <w:strike/>
          <w:color w:val="000000"/>
          <w:shd w:val="clear" w:color="auto" w:fill="ffffff"/>
          <w:vertAlign w:val="superscript"/>
        </w:rPr>
        <w:t xml:space="preserve">3</w:t>
      </w:r>
      <w:r>
        <w:rPr>
          <w:rFonts w:ascii="宋体" w:hAnsi="宋体" w:eastAsia="宋体" w:cs="宋体"/>
          <w:color w:val="000000"/>
          <w:shd w:val="clear" w:color="auto" w:fill="ffffff"/>
        </w:rPr>
        <w:t xml:space="preserve">。</w:t>
      </w:r>
      <w:r>
        <w:rPr>
          <w:rFonts w:ascii="宋体" w:hAnsi="宋体" w:eastAsia="宋体" w:cs="宋体"/>
          <w:strike/>
          <w:color w:val="000000"/>
          <w:u w:val="single"/>
          <w:shd w:val="clear" w:color="auto" w:fill="ffffff"/>
        </w:rPr>
        <w:t xml:space="preserve">（产品名称1）</w:t>
      </w:r>
      <w:r>
        <w:rPr>
          <w:rFonts w:ascii="宋体" w:hAnsi="宋体" w:eastAsia="宋体" w:cs="宋体"/>
          <w:color w:val="000000"/>
          <w:shd w:val="clear" w:color="auto" w:fill="ffffff"/>
        </w:rPr>
        <w:t xml:space="preserve">的</w:t>
      </w:r>
      <w:r>
        <w:rPr>
          <w:rFonts w:ascii="宋体" w:hAnsi="宋体" w:eastAsia="宋体" w:cs="宋体"/>
          <w:strike/>
          <w:color w:val="000000"/>
          <w:u w:val="single"/>
          <w:shd w:val="clear" w:color="auto" w:fill="ffffff"/>
        </w:rPr>
        <w:t xml:space="preserve">（关键组件）</w:t>
      </w:r>
      <w:r>
        <w:rPr>
          <w:rFonts w:ascii="宋体" w:hAnsi="宋体" w:eastAsia="宋体" w:cs="宋体"/>
          <w:strike/>
          <w:color w:val="000000"/>
          <w:shd w:val="clear" w:color="auto" w:fill="ffffff"/>
          <w:vertAlign w:val="superscript"/>
        </w:rPr>
        <w:t xml:space="preserve">4</w:t>
      </w:r>
      <w:r>
        <w:rPr>
          <w:rFonts w:ascii="宋体" w:hAnsi="宋体" w:eastAsia="宋体" w:cs="宋体"/>
          <w:color w:val="000000"/>
          <w:shd w:val="clear" w:color="auto" w:fill="ffffff"/>
        </w:rPr>
        <w:t xml:space="preserve">在中国境内生产。</w:t>
      </w:r>
      <w:r>
        <w:rPr>
          <w:rFonts w:ascii="宋体" w:hAnsi="宋体" w:eastAsia="宋体" w:cs="宋体"/>
          <w:strike/>
          <w:color w:val="000000"/>
          <w:u w:val="single"/>
          <w:shd w:val="clear" w:color="auto" w:fill="ffffff"/>
        </w:rPr>
        <w:t xml:space="preserve">（产品名称1）</w:t>
      </w:r>
      <w:r>
        <w:rPr>
          <w:rFonts w:ascii="宋体" w:hAnsi="宋体" w:eastAsia="宋体" w:cs="宋体"/>
          <w:color w:val="000000"/>
          <w:shd w:val="clear" w:color="auto" w:fill="ffffff"/>
        </w:rPr>
        <w:t xml:space="preserve">的</w:t>
      </w:r>
      <w:r>
        <w:rPr>
          <w:rFonts w:ascii="宋体" w:hAnsi="宋体" w:eastAsia="宋体" w:cs="宋体"/>
          <w:strike/>
          <w:color w:val="000000"/>
          <w:u w:val="single"/>
          <w:shd w:val="clear" w:color="auto" w:fill="ffffff"/>
        </w:rPr>
        <w:t xml:space="preserve">（关键工序）</w:t>
      </w:r>
      <w:r>
        <w:rPr>
          <w:rFonts w:ascii="宋体" w:hAnsi="宋体" w:eastAsia="宋体" w:cs="宋体"/>
          <w:strike/>
          <w:color w:val="000000"/>
          <w:shd w:val="clear" w:color="auto" w:fill="ffffff"/>
          <w:vertAlign w:val="superscript"/>
        </w:rPr>
        <w:t xml:space="preserve">5</w:t>
      </w:r>
      <w:r>
        <w:rPr>
          <w:rFonts w:ascii="宋体" w:hAnsi="宋体" w:eastAsia="宋体" w:cs="宋体"/>
          <w:color w:val="000000"/>
          <w:shd w:val="clear" w:color="auto" w:fill="ffffff"/>
        </w:rPr>
        <w:t xml:space="preserve">在中国境内完成。</w:t>
      </w:r>
      <w:r>
        <w:rPr>
          <w:color w:val="000000"/>
        </w:rPr>
      </w:r>
      <w:r/>
    </w:p>
    <w:p>
      <w:pPr>
        <w:pStyle w:val="654"/>
        <w:ind w:firstLine="420"/>
        <w:jc w:val="both"/>
        <w:spacing w:before="30" w:beforeAutospacing="0" w:after="30" w:afterAutospacing="0"/>
        <w:rPr>
          <w:color w:val="000000"/>
        </w:rPr>
      </w:pPr>
      <w:r>
        <w:rPr>
          <w:rFonts w:ascii="宋体" w:hAnsi="宋体" w:eastAsia="宋体" w:cs="宋体"/>
          <w:color w:val="000000"/>
          <w:shd w:val="clear" w:color="auto" w:fill="ffffff"/>
        </w:rPr>
        <w:t xml:space="preserve">2.</w:t>
      </w:r>
      <w:r>
        <w:rPr>
          <w:rFonts w:ascii="宋体" w:hAnsi="宋体" w:eastAsia="宋体" w:cs="宋体"/>
          <w:color w:val="000000"/>
          <w:u w:val="single"/>
          <w:shd w:val="clear" w:color="auto" w:fill="ffffff"/>
        </w:rPr>
        <w:t xml:space="preserve">（产品名称2）</w:t>
      </w:r>
      <w:r>
        <w:rPr>
          <w:rFonts w:ascii="宋体" w:hAnsi="宋体" w:eastAsia="宋体" w:cs="宋体"/>
          <w:color w:val="000000"/>
          <w:shd w:val="clear" w:color="auto" w:fill="ffffff"/>
        </w:rPr>
        <w:t xml:space="preserve">，生产厂为</w:t>
      </w:r>
      <w:r>
        <w:rPr>
          <w:rFonts w:ascii="宋体" w:hAnsi="宋体" w:eastAsia="宋体" w:cs="宋体"/>
          <w:color w:val="000000"/>
          <w:u w:val="single"/>
          <w:shd w:val="clear" w:color="auto" w:fill="ffffff"/>
        </w:rPr>
        <w:t xml:space="preserve">（厂名）</w:t>
      </w:r>
      <w:r>
        <w:rPr>
          <w:rFonts w:ascii="宋体" w:hAnsi="宋体" w:eastAsia="宋体" w:cs="宋体"/>
          <w:color w:val="000000"/>
          <w:shd w:val="clear" w:color="auto" w:fill="ffffff"/>
        </w:rPr>
        <w:t xml:space="preserve">，厂址为</w:t>
      </w:r>
      <w:r>
        <w:rPr>
          <w:rFonts w:ascii="宋体" w:hAnsi="宋体" w:eastAsia="宋体" w:cs="宋体"/>
          <w:color w:val="000000"/>
          <w:u w:val="single"/>
          <w:shd w:val="clear" w:color="auto" w:fill="ffffff"/>
        </w:rPr>
        <w:t xml:space="preserve">（生产厂址）</w:t>
      </w:r>
      <w:r>
        <w:rPr>
          <w:rFonts w:ascii="宋体" w:hAnsi="宋体" w:eastAsia="宋体" w:cs="宋体"/>
          <w:color w:val="000000"/>
          <w:shd w:val="clear" w:color="auto" w:fill="ffffff"/>
        </w:rPr>
        <w:t xml:space="preserve">。</w:t>
      </w:r>
      <w:r>
        <w:rPr>
          <w:rFonts w:ascii="宋体" w:hAnsi="宋体" w:eastAsia="宋体" w:cs="宋体"/>
          <w:strike/>
          <w:color w:val="000000"/>
          <w:u w:val="single"/>
          <w:shd w:val="clear" w:color="auto" w:fill="ffffff"/>
        </w:rPr>
        <w:t xml:space="preserve">（产品名称2）</w:t>
      </w:r>
      <w:r>
        <w:rPr>
          <w:rFonts w:ascii="宋体" w:hAnsi="宋体" w:eastAsia="宋体" w:cs="宋体"/>
          <w:color w:val="000000"/>
          <w:shd w:val="clear" w:color="auto" w:fill="ffffff"/>
        </w:rPr>
        <w:t xml:space="preserve">的中国境内生产的组件成本占比≥</w:t>
      </w:r>
      <w:r>
        <w:rPr>
          <w:rFonts w:ascii="宋体" w:hAnsi="宋体" w:eastAsia="宋体" w:cs="宋体"/>
          <w:strike/>
          <w:color w:val="000000"/>
          <w:u w:val="single"/>
          <w:shd w:val="clear" w:color="auto" w:fill="ffffff"/>
        </w:rPr>
        <w:t xml:space="preserve">（规定比例）</w:t>
      </w:r>
      <w:r>
        <w:rPr>
          <w:rFonts w:ascii="宋体" w:hAnsi="宋体" w:eastAsia="宋体" w:cs="宋体"/>
          <w:color w:val="000000"/>
          <w:shd w:val="clear" w:color="auto" w:fill="ffffff"/>
        </w:rPr>
        <w:t xml:space="preserve">。</w:t>
      </w:r>
      <w:r>
        <w:rPr>
          <w:rFonts w:ascii="宋体" w:hAnsi="宋体" w:eastAsia="宋体" w:cs="宋体"/>
          <w:strike/>
          <w:color w:val="000000"/>
          <w:u w:val="single"/>
          <w:shd w:val="clear" w:color="auto" w:fill="ffffff"/>
        </w:rPr>
        <w:t xml:space="preserve">（产品名称2）</w:t>
      </w:r>
      <w:r>
        <w:rPr>
          <w:rFonts w:ascii="宋体" w:hAnsi="宋体" w:eastAsia="宋体" w:cs="宋体"/>
          <w:color w:val="000000"/>
          <w:shd w:val="clear" w:color="auto" w:fill="ffffff"/>
        </w:rPr>
        <w:t xml:space="preserve">的</w:t>
      </w:r>
      <w:r>
        <w:rPr>
          <w:rFonts w:ascii="宋体" w:hAnsi="宋体" w:eastAsia="宋体" w:cs="宋体"/>
          <w:strike/>
          <w:color w:val="000000"/>
          <w:u w:val="single"/>
          <w:shd w:val="clear" w:color="auto" w:fill="ffffff"/>
        </w:rPr>
        <w:t xml:space="preserve">（关键组件）</w:t>
      </w:r>
      <w:r>
        <w:rPr>
          <w:rFonts w:ascii="宋体" w:hAnsi="宋体" w:eastAsia="宋体" w:cs="宋体"/>
          <w:color w:val="000000"/>
          <w:shd w:val="clear" w:color="auto" w:fill="ffffff"/>
        </w:rPr>
        <w:t xml:space="preserve">在中国境内生产。</w:t>
      </w:r>
      <w:r>
        <w:rPr>
          <w:rFonts w:ascii="宋体" w:hAnsi="宋体" w:eastAsia="宋体" w:cs="宋体"/>
          <w:strike/>
          <w:color w:val="000000"/>
          <w:u w:val="single"/>
          <w:shd w:val="clear" w:color="auto" w:fill="ffffff"/>
        </w:rPr>
        <w:t xml:space="preserve">（产品名称1）</w:t>
      </w:r>
      <w:r>
        <w:rPr>
          <w:rFonts w:ascii="宋体" w:hAnsi="宋体" w:eastAsia="宋体" w:cs="宋体"/>
          <w:color w:val="000000"/>
          <w:shd w:val="clear" w:color="auto" w:fill="ffffff"/>
        </w:rPr>
        <w:t xml:space="preserve">的</w:t>
      </w:r>
      <w:r>
        <w:rPr>
          <w:rFonts w:ascii="宋体" w:hAnsi="宋体" w:eastAsia="宋体" w:cs="宋体"/>
          <w:strike/>
          <w:color w:val="000000"/>
          <w:u w:val="single"/>
          <w:shd w:val="clear" w:color="auto" w:fill="ffffff"/>
        </w:rPr>
        <w:t xml:space="preserve">（关键工序）</w:t>
      </w:r>
      <w:r>
        <w:rPr>
          <w:rFonts w:ascii="宋体" w:hAnsi="宋体" w:eastAsia="宋体" w:cs="宋体"/>
          <w:color w:val="000000"/>
          <w:shd w:val="clear" w:color="auto" w:fill="ffffff"/>
        </w:rPr>
        <w:t xml:space="preserve">在中国境内完成。</w:t>
      </w:r>
      <w:r>
        <w:rPr>
          <w:color w:val="000000"/>
        </w:rPr>
      </w:r>
      <w:r/>
    </w:p>
    <w:p>
      <w:pPr>
        <w:pStyle w:val="654"/>
        <w:ind w:firstLine="420"/>
        <w:jc w:val="both"/>
        <w:spacing w:before="30" w:beforeAutospacing="0" w:after="30" w:afterAutospacing="0"/>
        <w:rPr>
          <w:color w:val="000000"/>
        </w:rPr>
      </w:pPr>
      <w:r>
        <w:rPr>
          <w:rFonts w:ascii="宋体" w:hAnsi="宋体" w:eastAsia="宋体" w:cs="宋体"/>
          <w:color w:val="000000"/>
          <w:shd w:val="clear" w:color="auto" w:fill="ffffff"/>
        </w:rPr>
        <w:t xml:space="preserve">……</w:t>
      </w:r>
      <w:r>
        <w:rPr>
          <w:color w:val="000000"/>
        </w:rPr>
      </w:r>
      <w:r/>
    </w:p>
    <w:p>
      <w:pPr>
        <w:pStyle w:val="654"/>
        <w:ind w:firstLine="420"/>
        <w:jc w:val="both"/>
        <w:spacing w:before="30" w:beforeAutospacing="0" w:after="30" w:afterAutospacing="0"/>
        <w:rPr>
          <w:color w:val="000000"/>
        </w:rPr>
      </w:pPr>
      <w:r>
        <w:rPr>
          <w:rFonts w:ascii="宋体" w:hAnsi="宋体" w:eastAsia="宋体" w:cs="宋体"/>
          <w:color w:val="000000"/>
          <w:shd w:val="clear" w:color="auto" w:fill="ffffff"/>
        </w:rPr>
        <w:t xml:space="preserve">本公司（单位）对上述声明内容的真实性负责。如有虚假，愿承担相应法律责任。</w:t>
      </w:r>
      <w:r>
        <w:rPr>
          <w:color w:val="000000"/>
        </w:rPr>
      </w:r>
      <w:r/>
    </w:p>
    <w:p>
      <w:pPr>
        <w:pStyle w:val="654"/>
        <w:jc w:val="both"/>
        <w:spacing w:before="30" w:beforeAutospacing="0" w:after="30" w:afterAutospacing="0"/>
        <w:rPr>
          <w:b/>
          <w:bCs/>
          <w:color w:val="000000"/>
        </w:rPr>
      </w:pPr>
      <w:r>
        <w:rPr>
          <w:rFonts w:ascii="宋体" w:hAnsi="宋体" w:eastAsia="宋体" w:cs="宋体"/>
          <w:b/>
          <w:bCs/>
          <w:color w:val="000000"/>
        </w:rPr>
        <w:t xml:space="preserve"> </w:t>
      </w:r>
      <w:r>
        <w:rPr>
          <w:b/>
          <w:bCs/>
          <w:color w:val="000000"/>
        </w:rPr>
      </w:r>
      <w:r/>
    </w:p>
    <w:p>
      <w:pPr>
        <w:pStyle w:val="654"/>
        <w:ind w:right="480" w:firstLine="3720"/>
        <w:jc w:val="both"/>
        <w:spacing w:before="30" w:beforeAutospacing="0" w:after="30" w:afterAutospacing="0"/>
        <w:rPr>
          <w:color w:val="000000"/>
        </w:rPr>
      </w:pPr>
      <w:r>
        <w:rPr>
          <w:rFonts w:ascii="宋体" w:hAnsi="宋体" w:eastAsia="宋体" w:cs="宋体"/>
          <w:color w:val="000000"/>
          <w:shd w:val="clear" w:color="auto" w:fill="ffffff"/>
        </w:rPr>
        <w:t xml:space="preserve">公司（单位）名称（盖章）：　</w:t>
      </w:r>
      <w:r>
        <w:rPr>
          <w:color w:val="000000"/>
        </w:rPr>
      </w:r>
      <w:r/>
    </w:p>
    <w:p>
      <w:pPr>
        <w:pStyle w:val="654"/>
        <w:jc w:val="center"/>
        <w:spacing w:before="30" w:beforeAutospacing="0" w:after="30" w:afterAutospacing="0"/>
        <w:rPr>
          <w:color w:val="000000"/>
        </w:rPr>
      </w:pPr>
      <w:r>
        <w:rPr>
          <w:rFonts w:ascii="宋体" w:hAnsi="宋体" w:eastAsia="宋体" w:cs="宋体"/>
          <w:color w:val="000000"/>
          <w:shd w:val="clear" w:color="auto" w:fill="ffffff"/>
        </w:rPr>
        <w:t xml:space="preserve">                                日期：　   年　  月　  日         </w:t>
      </w:r>
      <w:r>
        <w:rPr>
          <w:color w:val="000000"/>
        </w:rPr>
      </w:r>
      <w:r/>
    </w:p>
    <w:p>
      <w:pPr>
        <w:pStyle w:val="654"/>
        <w:jc w:val="both"/>
        <w:spacing w:before="30" w:beforeAutospacing="0" w:after="30" w:afterAutospacing="0"/>
        <w:rPr>
          <w:color w:val="000000"/>
        </w:rPr>
      </w:pPr>
      <w:r>
        <w:rPr>
          <w:rFonts w:ascii="宋体" w:hAnsi="宋体" w:eastAsia="宋体" w:cs="宋体"/>
          <w:color w:val="000000"/>
          <w:shd w:val="clear" w:color="auto" w:fill="ffffff"/>
        </w:rPr>
        <w:t xml:space="preserve">__________________</w:t>
      </w:r>
      <w:r>
        <w:rPr>
          <w:color w:val="000000"/>
        </w:rPr>
      </w:r>
      <w:r/>
    </w:p>
    <w:p>
      <w:pPr>
        <w:pStyle w:val="654"/>
        <w:jc w:val="both"/>
        <w:spacing w:before="30" w:beforeAutospacing="0" w:after="30" w:afterAutospacing="0"/>
        <w:rPr>
          <w:color w:val="000000"/>
        </w:rPr>
      </w:pPr>
      <w:r>
        <w:rPr>
          <w:rFonts w:ascii="宋体" w:hAnsi="宋体" w:eastAsia="宋体" w:cs="宋体"/>
          <w:color w:val="000000"/>
          <w:shd w:val="clear" w:color="auto" w:fill="ffffff"/>
        </w:rPr>
        <w:t xml:space="preserve">1.产品如有型号，请在“产品名称”栏一并填写。</w:t>
      </w:r>
      <w:r>
        <w:rPr>
          <w:color w:val="000000"/>
        </w:rPr>
      </w:r>
      <w:r/>
    </w:p>
    <w:p>
      <w:pPr>
        <w:pStyle w:val="654"/>
        <w:jc w:val="both"/>
        <w:spacing w:before="30" w:beforeAutospacing="0" w:after="30" w:afterAutospacing="0"/>
        <w:rPr>
          <w:color w:val="000000"/>
        </w:rPr>
      </w:pPr>
      <w:r>
        <w:rPr>
          <w:rFonts w:ascii="宋体" w:hAnsi="宋体" w:eastAsia="宋体" w:cs="宋体"/>
          <w:color w:val="000000"/>
          <w:shd w:val="clear" w:color="auto" w:fill="ffffff"/>
        </w:rPr>
        <w:t xml:space="preserve">2.生产厂名与厂址应与生产厂营业执照载明的相关信息保持一致。</w:t>
      </w:r>
      <w:r>
        <w:rPr>
          <w:color w:val="000000"/>
        </w:rPr>
      </w:r>
      <w:r/>
    </w:p>
    <w:p>
      <w:pPr>
        <w:pStyle w:val="654"/>
        <w:jc w:val="both"/>
        <w:spacing w:before="30" w:beforeAutospacing="0" w:after="30" w:afterAutospacing="0"/>
        <w:rPr>
          <w:color w:val="000000"/>
        </w:rPr>
      </w:pPr>
      <w:r>
        <w:rPr>
          <w:rFonts w:ascii="宋体" w:hAnsi="宋体" w:eastAsia="宋体" w:cs="宋体"/>
          <w:color w:val="000000"/>
          <w:shd w:val="clear" w:color="auto" w:fill="ffffff"/>
        </w:rPr>
        <w:t xml:space="preserve">3.该产品的中国境内生产的组件成本占比相关要求实施前，“规定比例”栏可不填，下同。</w:t>
      </w:r>
      <w:r>
        <w:rPr>
          <w:color w:val="000000"/>
        </w:rPr>
      </w:r>
      <w:r/>
    </w:p>
    <w:p>
      <w:pPr>
        <w:pStyle w:val="654"/>
        <w:jc w:val="both"/>
        <w:spacing w:before="30" w:beforeAutospacing="0" w:after="30" w:afterAutospacing="0"/>
        <w:rPr>
          <w:color w:val="000000"/>
        </w:rPr>
      </w:pPr>
      <w:r>
        <w:rPr>
          <w:rFonts w:ascii="宋体" w:hAnsi="宋体" w:eastAsia="宋体" w:cs="宋体"/>
          <w:color w:val="000000"/>
          <w:shd w:val="clear" w:color="auto" w:fill="ffffff"/>
        </w:rPr>
        <w:t xml:space="preserve">4.该产品的关键组件要求实施前，“关键组件”栏可不填，下同。</w:t>
      </w:r>
      <w:r>
        <w:rPr>
          <w:color w:val="000000"/>
        </w:rPr>
      </w:r>
      <w:r/>
    </w:p>
    <w:p>
      <w:pPr>
        <w:pStyle w:val="654"/>
        <w:jc w:val="both"/>
        <w:spacing w:before="30" w:beforeAutospacing="0" w:after="30" w:afterAutospacing="0"/>
        <w:rPr>
          <w:rFonts w:ascii="宋体" w:hAnsi="宋体" w:eastAsia="宋体" w:cs="宋体"/>
          <w:color w:val="000000"/>
          <w:shd w:val="clear" w:color="auto" w:fill="ffffff"/>
        </w:rPr>
      </w:pPr>
      <w:r>
        <w:rPr>
          <w:rFonts w:ascii="宋体" w:hAnsi="宋体" w:eastAsia="宋体" w:cs="宋体"/>
          <w:color w:val="000000"/>
          <w:shd w:val="clear" w:color="auto" w:fill="ffffff"/>
        </w:rPr>
        <w:t xml:space="preserve">5.该产品的关键工序要求实施前，“关键工序”栏可不填，下同。</w:t>
      </w:r>
      <w:r>
        <w:rPr>
          <w:rFonts w:ascii="宋体" w:hAnsi="宋体" w:eastAsia="宋体" w:cs="宋体"/>
          <w:color w:val="000000"/>
          <w:shd w:val="clear" w:color="auto" w:fill="ffffff"/>
        </w:rPr>
      </w:r>
      <w:r/>
    </w:p>
    <w:p>
      <w:pPr>
        <w:pStyle w:val="654"/>
        <w:jc w:val="both"/>
        <w:spacing w:before="30" w:beforeAutospacing="0" w:after="30" w:afterAutospacing="0"/>
        <w:rPr>
          <w:rFonts w:ascii="宋体" w:hAnsi="宋体" w:eastAsia="宋体" w:cs="宋体"/>
          <w:color w:val="000000"/>
          <w:shd w:val="clear" w:color="auto" w:fill="ffffff"/>
        </w:rPr>
      </w:pPr>
      <w:r>
        <w:rPr>
          <w:rFonts w:ascii="宋体" w:hAnsi="宋体" w:eastAsia="宋体" w:cs="宋体"/>
          <w:color w:val="000000"/>
          <w:shd w:val="clear" w:color="auto" w:fill="ffffff"/>
        </w:rPr>
        <w:t xml:space="preserve">6.用</w:t>
      </w:r>
      <w:r>
        <w:rPr>
          <w:rFonts w:hint="eastAsia" w:ascii="宋体" w:hAnsi="宋体" w:eastAsia="宋体" w:cs="宋体"/>
          <w:color w:val="000000"/>
          <w:shd w:val="clear" w:color="auto" w:fill="ffffff"/>
        </w:rPr>
        <w:t xml:space="preserve">横</w:t>
      </w:r>
      <w:r>
        <w:rPr>
          <w:rFonts w:ascii="宋体" w:hAnsi="宋体" w:eastAsia="宋体" w:cs="宋体"/>
          <w:color w:val="000000"/>
          <w:shd w:val="clear" w:color="auto" w:fill="ffffff"/>
        </w:rPr>
        <w:t xml:space="preserve">线划除的地方无需填写。</w:t>
      </w:r>
      <w:r>
        <w:rPr>
          <w:rFonts w:ascii="宋体" w:hAnsi="宋体" w:eastAsia="宋体" w:cs="宋体"/>
          <w:color w:val="000000"/>
          <w:shd w:val="clear" w:color="auto" w:fill="ffffff"/>
        </w:rPr>
      </w:r>
      <w:r/>
    </w:p>
    <w:p>
      <w:pPr>
        <w:pStyle w:val="654"/>
        <w:jc w:val="both"/>
        <w:spacing w:before="30" w:beforeAutospacing="0" w:after="30" w:afterAutospacing="0"/>
        <w:rPr>
          <w:rFonts w:hint="eastAsia" w:ascii="宋体" w:hAnsi="宋体" w:eastAsia="宋体" w:cs="宋体"/>
          <w:color w:val="000000"/>
        </w:rPr>
      </w:pPr>
      <w:r>
        <w:rPr>
          <w:rFonts w:hint="eastAsia" w:ascii="宋体" w:hAnsi="宋体" w:eastAsia="宋体" w:cs="宋体"/>
          <w:color w:val="00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00000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rPr>
      </w:r>
      <w:r/>
    </w:p>
    <w:p>
      <w:pPr>
        <w:pStyle w:val="654"/>
        <w:jc w:val="both"/>
        <w:spacing w:before="30" w:beforeAutospacing="0" w:after="30" w:afterAutospacing="0"/>
        <w:rPr>
          <w:rFonts w:ascii="宋体" w:hAnsi="宋体" w:eastAsia="宋体" w:cs="宋体"/>
          <w:b/>
          <w:bCs/>
          <w:color w:val="000000"/>
          <w:shd w:val="clear" w:color="auto" w:fill="ffffff"/>
        </w:rPr>
      </w:pPr>
      <w:r>
        <w:rPr>
          <w:rFonts w:ascii="宋体" w:hAnsi="宋体" w:eastAsia="宋体" w:cs="宋体"/>
          <w:b/>
          <w:bCs/>
          <w:color w:val="000000"/>
          <w:shd w:val="clear" w:color="auto" w:fill="ffffff"/>
        </w:rPr>
      </w:r>
      <w:r/>
    </w:p>
    <w:p>
      <w:pPr>
        <w:pStyle w:val="627"/>
        <w:jc w:val="center"/>
        <w:rPr>
          <w:rFonts w:hint="eastAsia" w:ascii="Arial" w:hAnsi="Arial"/>
          <w:b/>
          <w:bCs/>
          <w:color w:val="000000"/>
          <w:sz w:val="24"/>
        </w:rPr>
      </w:pPr>
      <w:r>
        <w:rPr>
          <w:rFonts w:hint="eastAsia" w:ascii="Arial" w:hAnsi="Arial"/>
          <w:b/>
          <w:bCs/>
          <w:color w:val="000000"/>
          <w:sz w:val="24"/>
        </w:rPr>
      </w:r>
      <w:r/>
    </w:p>
    <w:p>
      <w:pPr>
        <w:pStyle w:val="627"/>
        <w:spacing w:line="241" w:lineRule="auto"/>
        <w:rPr>
          <w:rFonts w:ascii="Arial"/>
          <w:b/>
          <w:bCs/>
          <w:color w:val="000000"/>
        </w:rPr>
      </w:pPr>
      <w:r>
        <w:rPr>
          <w:rFonts w:ascii="Arial"/>
          <w:b/>
          <w:bCs/>
          <w:color w:val="000000"/>
        </w:rPr>
      </w:r>
      <w:r/>
    </w:p>
    <w:p>
      <w:pPr>
        <w:pStyle w:val="627"/>
        <w:spacing w:line="241" w:lineRule="auto"/>
        <w:rPr>
          <w:rFonts w:ascii="Arial"/>
          <w:b/>
          <w:bCs/>
          <w:color w:val="000000"/>
        </w:rPr>
      </w:pPr>
      <w:r>
        <w:rPr>
          <w:rFonts w:ascii="Arial"/>
          <w:b/>
          <w:bCs/>
          <w:color w:val="000000"/>
        </w:rPr>
      </w:r>
      <w:r/>
    </w:p>
    <w:p>
      <w:pPr>
        <w:pStyle w:val="654"/>
        <w:jc w:val="center"/>
        <w:spacing w:beforeAutospacing="0" w:afterAutospacing="0" w:line="0" w:lineRule="atLeast"/>
        <w:rPr>
          <w:b/>
          <w:bCs/>
          <w:color w:val="000000"/>
        </w:rPr>
      </w:pPr>
      <w:r>
        <w:rPr>
          <w:b/>
          <w:bCs/>
          <w:color w:val="000000"/>
        </w:rPr>
        <w:t xml:space="preserve"> </w:t>
      </w:r>
      <w:r>
        <w:rPr>
          <w:b/>
          <w:bCs/>
          <w:color w:val="000000"/>
        </w:rPr>
      </w:r>
      <w:r/>
    </w:p>
    <w:p>
      <w:pPr>
        <w:pStyle w:val="654"/>
        <w:jc w:val="center"/>
        <w:spacing w:beforeAutospacing="0" w:afterAutospacing="0" w:line="0" w:lineRule="atLeast"/>
        <w:rPr>
          <w:b/>
          <w:bCs/>
          <w:color w:val="000000"/>
        </w:rPr>
      </w:pPr>
      <w:r>
        <w:rPr>
          <w:b/>
          <w:bCs/>
          <w:color w:val="000000"/>
        </w:rPr>
      </w:r>
      <w:r/>
    </w:p>
    <w:p>
      <w:pPr>
        <w:pStyle w:val="654"/>
        <w:jc w:val="center"/>
        <w:spacing w:beforeAutospacing="0" w:afterAutospacing="0" w:line="0" w:lineRule="atLeast"/>
        <w:rPr>
          <w:color w:val="000000"/>
        </w:rPr>
      </w:pPr>
      <w:r>
        <w:rPr>
          <w:color w:val="000000"/>
        </w:rPr>
      </w:r>
      <w:r/>
    </w:p>
    <w:p>
      <w:pPr>
        <w:pStyle w:val="627"/>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4"/>
        <w:jc w:val="center"/>
        <w:spacing w:beforeAutospacing="0" w:afterAutospacing="0" w:line="0" w:lineRule="atLeast"/>
        <w:rPr>
          <w:color w:val="000000"/>
        </w:rPr>
      </w:pPr>
      <w:r>
        <w:rPr>
          <w:rFonts w:hint="eastAsia" w:ascii="黑体" w:hAnsi="宋体" w:eastAsia="黑体" w:cs="黑体"/>
          <w:b/>
          <w:color w:val="000000"/>
          <w:sz w:val="32"/>
          <w:szCs w:val="32"/>
        </w:rPr>
        <w:t xml:space="preserve">十二、联合体协议（参考格式）（分包号：**）</w:t>
      </w:r>
      <w:r>
        <w:rPr>
          <w:color w:val="000000"/>
        </w:rPr>
      </w:r>
      <w:r/>
    </w:p>
    <w:p>
      <w:pPr>
        <w:pStyle w:val="654"/>
        <w:jc w:val="both"/>
        <w:spacing w:beforeAutospacing="0" w:afterAutospacing="0" w:line="0" w:lineRule="atLeast"/>
        <w:rPr>
          <w:color w:val="000000"/>
        </w:rPr>
      </w:pPr>
      <w:r>
        <w:rPr>
          <w:rFonts w:hint="eastAsia" w:ascii="宋体" w:hAnsi="宋体" w:eastAsia="宋体" w:cs="宋体"/>
          <w:color w:val="000000"/>
        </w:rPr>
        <w:t xml:space="preserve">（联合体中各供应商全称）在此达成以下协议：</w:t>
      </w:r>
      <w:r>
        <w:rPr>
          <w:color w:val="000000"/>
        </w:rPr>
      </w:r>
      <w:r/>
    </w:p>
    <w:p>
      <w:pPr>
        <w:pStyle w:val="654"/>
        <w:ind w:firstLine="645"/>
        <w:jc w:val="both"/>
        <w:spacing w:beforeAutospacing="0" w:afterAutospacing="0" w:line="0" w:lineRule="atLeast"/>
        <w:rPr>
          <w:color w:val="000000"/>
        </w:rPr>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自愿组成联合体，参加射阳县行政服务中心组织的采购编号为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rPr>
          <w:color w:val="000000"/>
        </w:rPr>
      </w:r>
      <w:r/>
    </w:p>
    <w:p>
      <w:pPr>
        <w:pStyle w:val="654"/>
        <w:ind w:firstLine="645"/>
        <w:jc w:val="both"/>
        <w:spacing w:beforeAutospacing="0" w:afterAutospacing="0" w:line="0" w:lineRule="atLeast"/>
        <w:rPr>
          <w:color w:val="000000"/>
        </w:rPr>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rPr>
      </w:r>
      <w:r/>
    </w:p>
    <w:p>
      <w:pPr>
        <w:pStyle w:val="654"/>
        <w:ind w:firstLine="645"/>
        <w:jc w:val="both"/>
        <w:spacing w:beforeAutospacing="0" w:afterAutospacing="0" w:line="0" w:lineRule="atLeast"/>
        <w:rPr>
          <w:color w:val="000000"/>
        </w:rPr>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color w:val="000000"/>
        </w:rPr>
      </w:r>
      <w:r/>
    </w:p>
    <w:p>
      <w:pPr>
        <w:pStyle w:val="654"/>
        <w:ind w:firstLine="645"/>
        <w:jc w:val="both"/>
        <w:spacing w:beforeAutospacing="0" w:afterAutospacing="0" w:line="0" w:lineRule="atLeast"/>
        <w:rPr>
          <w:color w:val="000000"/>
        </w:rPr>
      </w:pPr>
      <w:r>
        <w:rPr>
          <w:color w:val="000000"/>
        </w:rPr>
        <w:t xml:space="preserve"> </w:t>
      </w:r>
      <w:r>
        <w:rPr>
          <w:color w:val="000000"/>
        </w:rPr>
      </w:r>
      <w:r/>
    </w:p>
    <w:p>
      <w:pPr>
        <w:pStyle w:val="654"/>
        <w:ind w:firstLine="645"/>
        <w:jc w:val="both"/>
        <w:spacing w:beforeAutospacing="0" w:afterAutospacing="0" w:line="0" w:lineRule="atLeast"/>
        <w:rPr>
          <w:color w:val="000000"/>
        </w:rPr>
      </w:pPr>
      <w:r>
        <w:rPr>
          <w:rFonts w:hint="eastAsia" w:ascii="宋体" w:hAnsi="宋体" w:eastAsia="宋体" w:cs="宋体"/>
          <w:color w:val="000000"/>
        </w:rPr>
        <w:t xml:space="preserve">备注：本招标文件中要求加盖CA电子签章的地方，仅需加盖牵头单位的CA电子签章。</w:t>
      </w:r>
      <w:r>
        <w:rPr>
          <w:color w:val="000000"/>
        </w:rPr>
      </w:r>
      <w:r/>
    </w:p>
    <w:p>
      <w:pPr>
        <w:pStyle w:val="654"/>
        <w:ind w:firstLine="645"/>
        <w:jc w:val="both"/>
        <w:spacing w:beforeAutospacing="0" w:afterAutospacing="0" w:line="0" w:lineRule="atLeast"/>
        <w:rPr>
          <w:color w:val="000000"/>
        </w:rPr>
      </w:pPr>
      <w:r>
        <w:rPr>
          <w:rFonts w:hint="eastAsia" w:ascii="宋体" w:hAnsi="宋体" w:eastAsia="宋体" w:cs="宋体"/>
          <w:color w:val="000000"/>
        </w:rPr>
        <w:t xml:space="preserve">                               </w:t>
      </w:r>
      <w:r>
        <w:rPr>
          <w:color w:val="000000"/>
        </w:rPr>
      </w:r>
      <w:r/>
    </w:p>
    <w:p>
      <w:pPr>
        <w:pStyle w:val="654"/>
        <w:ind w:firstLine="645"/>
        <w:jc w:val="right"/>
        <w:spacing w:beforeAutospacing="0" w:afterAutospacing="0" w:line="0" w:lineRule="atLeast"/>
        <w:rPr>
          <w:color w:val="000000"/>
        </w:rPr>
      </w:pPr>
      <w:r>
        <w:rPr>
          <w:rFonts w:hint="eastAsia" w:ascii="宋体" w:hAnsi="宋体" w:eastAsia="宋体" w:cs="宋体"/>
          <w:color w:val="000000"/>
        </w:rPr>
        <w:t xml:space="preserve">联合体中各供应商全称（公章）：     </w:t>
      </w:r>
      <w:r>
        <w:rPr>
          <w:color w:val="000000"/>
        </w:rPr>
      </w:r>
      <w:r/>
    </w:p>
    <w:p>
      <w:pPr>
        <w:pStyle w:val="654"/>
        <w:ind w:firstLine="645"/>
        <w:jc w:val="both"/>
        <w:spacing w:beforeAutospacing="0" w:afterAutospacing="0" w:line="0" w:lineRule="atLeast"/>
        <w:rPr>
          <w:color w:val="000000"/>
        </w:rPr>
      </w:pPr>
      <w:r>
        <w:rPr>
          <w:rFonts w:hint="eastAsia" w:ascii="宋体" w:hAnsi="宋体" w:eastAsia="宋体" w:cs="宋体"/>
          <w:color w:val="000000"/>
        </w:rPr>
        <w:t xml:space="preserve">                                                          日期：</w:t>
      </w:r>
      <w:r>
        <w:rPr>
          <w:color w:val="000000"/>
        </w:rPr>
      </w:r>
      <w:r/>
    </w:p>
    <w:p>
      <w:pPr>
        <w:pStyle w:val="654"/>
        <w:ind w:firstLine="645"/>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r>
      <w:r/>
    </w:p>
    <w:p>
      <w:pPr>
        <w:pStyle w:val="654"/>
        <w:jc w:val="both"/>
        <w:spacing w:beforeAutospacing="0" w:afterAutospacing="0" w:line="0" w:lineRule="atLeast"/>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rFonts w:hint="eastAsia" w:ascii="黑体" w:hAnsi="宋体" w:eastAsia="黑体" w:cs="黑体"/>
          <w:b/>
          <w:color w:val="000000"/>
          <w:sz w:val="32"/>
          <w:szCs w:val="32"/>
        </w:rPr>
        <w:t xml:space="preserve">十三、投标分项报价表（分包号：**）</w:t>
      </w:r>
      <w:r>
        <w:rPr>
          <w:color w:val="000000"/>
        </w:rPr>
      </w:r>
      <w:r/>
    </w:p>
    <w:tbl>
      <w:tblPr>
        <w:tblW w:w="8518" w:type="dxa"/>
        <w:tblCellSpacing w:w="0" w:type="dxa"/>
        <w:tblInd w:w="-9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6</w:t>
            </w:r>
            <w:r>
              <w:rPr>
                <w:color w:val="000000"/>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62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分项服务名称</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交付期</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分项单位</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数量</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分项</w:t>
            </w:r>
            <w:r>
              <w:rPr>
                <w:color w:val="000000"/>
              </w:rPr>
            </w:r>
            <w:r/>
          </w:p>
          <w:p>
            <w:pPr>
              <w:pStyle w:val="654"/>
              <w:jc w:val="center"/>
              <w:spacing w:beforeAutospacing="0" w:afterAutospacing="0" w:line="0" w:lineRule="atLeast"/>
              <w:rPr>
                <w:color w:val="000000"/>
              </w:rPr>
            </w:pPr>
            <w:r>
              <w:rPr>
                <w:rFonts w:hint="eastAsia" w:ascii="宋体" w:hAnsi="宋体" w:eastAsia="宋体" w:cs="宋体"/>
                <w:color w:val="000000"/>
              </w:rPr>
              <w:t xml:space="preserve">单价</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分项</w:t>
            </w:r>
            <w:r>
              <w:rPr>
                <w:color w:val="000000"/>
              </w:rPr>
            </w:r>
            <w:r/>
          </w:p>
          <w:p>
            <w:pPr>
              <w:pStyle w:val="654"/>
              <w:jc w:val="center"/>
              <w:spacing w:beforeAutospacing="0" w:afterAutospacing="0" w:line="0" w:lineRule="atLeast"/>
              <w:rPr>
                <w:color w:val="000000"/>
              </w:rPr>
            </w:pPr>
            <w:r>
              <w:rPr>
                <w:rFonts w:hint="eastAsia" w:ascii="宋体" w:hAnsi="宋体" w:eastAsia="宋体" w:cs="宋体"/>
                <w:color w:val="000000"/>
              </w:rPr>
              <w:t xml:space="preserve">总价</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4"/>
              <w:jc w:val="center"/>
              <w:spacing w:beforeAutospacing="0" w:afterAutospacing="0" w:line="0" w:lineRule="atLeast"/>
              <w:rPr>
                <w:color w:val="000000"/>
              </w:rPr>
            </w:pPr>
            <w:r>
              <w:rPr>
                <w:color w:val="000000"/>
              </w:rPr>
              <w:t xml:space="preserve"> </w:t>
            </w:r>
            <w:r>
              <w:rPr>
                <w:color w:val="000000"/>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54"/>
              <w:jc w:val="center"/>
              <w:spacing w:beforeAutospacing="0" w:afterAutospacing="0" w:line="0" w:lineRule="atLeast"/>
              <w:rPr>
                <w:color w:val="000000"/>
              </w:rPr>
            </w:pPr>
            <w:r>
              <w:rPr>
                <w:rFonts w:hint="eastAsia" w:ascii="宋体" w:hAnsi="宋体" w:eastAsia="宋体" w:cs="宋体"/>
                <w:color w:val="000000"/>
              </w:rPr>
              <w:t xml:space="preserve">投标总报价（人民币：元）</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4"/>
              <w:jc w:val="both"/>
              <w:spacing w:beforeAutospacing="0" w:afterAutospacing="0" w:line="0" w:lineRule="atLeast"/>
              <w:rPr>
                <w:color w:val="000000"/>
              </w:rPr>
            </w:pPr>
            <w:r>
              <w:rPr>
                <w:color w:val="000000"/>
              </w:rPr>
              <w:t xml:space="preserve"> </w:t>
            </w:r>
            <w:r>
              <w:rPr>
                <w:color w:val="000000"/>
              </w:rPr>
            </w:r>
            <w:r/>
          </w:p>
        </w:tc>
      </w:tr>
    </w:tbl>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r>
      <w:r/>
    </w:p>
    <w:p>
      <w:pPr>
        <w:pStyle w:val="654"/>
        <w:numPr>
          <w:ilvl w:val="0"/>
          <w:numId w:val="5"/>
        </w:numPr>
        <w:jc w:val="both"/>
        <w:spacing w:beforeAutospacing="0" w:afterAutospacing="0"/>
        <w:tabs>
          <w:tab w:val="left" w:pos="312" w:leader="none"/>
        </w:tabs>
        <w:rPr>
          <w:rFonts w:hint="eastAsia"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rPr>
          <w:rFonts w:hint="eastAsia" w:ascii="宋体" w:hAnsi="宋体" w:eastAsia="宋体" w:cs="宋体"/>
          <w:color w:val="000000"/>
        </w:rPr>
      </w:r>
      <w:r/>
    </w:p>
    <w:p>
      <w:pPr>
        <w:pStyle w:val="627"/>
        <w:spacing w:line="400" w:lineRule="exact"/>
        <w:rPr>
          <w:rFonts w:hint="eastAsia" w:ascii="宋体" w:hAnsi="宋体" w:eastAsia="宋体" w:cs="宋体"/>
          <w:b/>
          <w:bCs/>
          <w:color w:val="000000"/>
        </w:rPr>
      </w:pPr>
      <w:r>
        <w:rPr>
          <w:rFonts w:hint="eastAsia" w:ascii="Arial" w:hAnsi="Arial"/>
          <w:b/>
          <w:bCs/>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bCs/>
          <w:color w:val="000000"/>
        </w:rPr>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r>
      <w:r/>
    </w:p>
    <w:p>
      <w:pPr>
        <w:pStyle w:val="654"/>
        <w:jc w:val="center"/>
        <w:spacing w:beforeAutospacing="0" w:afterAutospacing="0"/>
        <w:rPr>
          <w:color w:val="000000"/>
        </w:rPr>
      </w:pPr>
      <w:r>
        <w:rPr>
          <w:color w:val="000000"/>
        </w:rPr>
      </w:r>
      <w:r/>
    </w:p>
    <w:p>
      <w:pPr>
        <w:pStyle w:val="654"/>
        <w:jc w:val="center"/>
        <w:spacing w:beforeAutospacing="0" w:afterAutospacing="0"/>
        <w:rPr>
          <w:color w:val="000000"/>
        </w:rPr>
      </w:pPr>
      <w:r>
        <w:rPr>
          <w:color w:val="000000"/>
        </w:rPr>
      </w:r>
      <w:r/>
    </w:p>
    <w:p>
      <w:pPr>
        <w:pStyle w:val="654"/>
        <w:jc w:val="center"/>
        <w:spacing w:beforeAutospacing="0" w:afterAutospacing="0"/>
        <w:rPr>
          <w:color w:val="000000"/>
        </w:rPr>
      </w:pPr>
      <w:r>
        <w:rPr>
          <w:color w:val="000000"/>
        </w:rPr>
      </w:r>
      <w:r/>
    </w:p>
    <w:p>
      <w:pPr>
        <w:pStyle w:val="654"/>
        <w:jc w:val="center"/>
        <w:spacing w:beforeAutospacing="0" w:afterAutospacing="0"/>
        <w:rPr>
          <w:color w:val="000000"/>
        </w:rPr>
      </w:pP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rFonts w:hint="eastAsia" w:ascii="黑体" w:hAnsi="宋体" w:eastAsia="黑体" w:cs="黑体"/>
          <w:b/>
          <w:color w:val="000000"/>
          <w:sz w:val="32"/>
          <w:szCs w:val="32"/>
        </w:rPr>
        <w:t xml:space="preserve">十四、技术要求响应及偏离表（分包号：**）</w:t>
      </w:r>
      <w:r>
        <w:rPr>
          <w:color w:val="000000"/>
        </w:rPr>
      </w:r>
      <w:r/>
    </w:p>
    <w:tbl>
      <w:tblPr>
        <w:tblW w:w="8520" w:type="dxa"/>
        <w:tblCellSpacing w:w="0" w:type="dxa"/>
        <w:tblInd w:w="-9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证明</w:t>
            </w:r>
            <w:r>
              <w:rPr>
                <w:color w:val="000000"/>
              </w:rPr>
            </w:r>
            <w:r/>
          </w:p>
          <w:p>
            <w:pPr>
              <w:pStyle w:val="654"/>
              <w:jc w:val="center"/>
              <w:spacing w:beforeAutospacing="0" w:afterAutospacing="0"/>
              <w:rPr>
                <w:color w:val="000000"/>
              </w:rPr>
            </w:pPr>
            <w:r>
              <w:rPr>
                <w:rFonts w:hint="eastAsia" w:ascii="宋体" w:hAnsi="宋体" w:eastAsia="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bl>
    <w:p>
      <w:pPr>
        <w:pStyle w:val="654"/>
        <w:jc w:val="both"/>
        <w:spacing w:beforeAutospacing="0" w:afterAutospacing="0"/>
        <w:rPr>
          <w:color w:val="000000"/>
        </w:rPr>
      </w:pPr>
      <w:r>
        <w:rPr>
          <w:rFonts w:hint="eastAsia" w:ascii="宋体" w:hAnsi="宋体" w:eastAsia="宋体" w:cs="宋体"/>
          <w:color w:val="000000"/>
        </w:rPr>
        <w:t xml:space="preserve">注： 行数不够，可自行添加。</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center"/>
        <w:spacing w:beforeAutospacing="0" w:afterAutospacing="0"/>
        <w:rPr>
          <w:color w:val="000000"/>
        </w:rPr>
      </w:pPr>
      <w:r/>
      <w:bookmarkStart w:id="228" w:name="_Hlt26955054"/>
      <w:r>
        <w:rPr>
          <w:rFonts w:hint="eastAsia" w:ascii="黑体" w:hAnsi="宋体" w:eastAsia="黑体" w:cs="黑体"/>
          <w:b/>
          <w:color w:val="000000"/>
          <w:sz w:val="32"/>
          <w:szCs w:val="32"/>
        </w:rPr>
        <w:t xml:space="preserve">十五、商务要求响应及偏离表（分包号：**）</w:t>
      </w:r>
      <w:r>
        <w:rPr>
          <w:color w:val="000000"/>
        </w:rPr>
      </w:r>
      <w:r/>
    </w:p>
    <w:tbl>
      <w:tblPr>
        <w:tblW w:w="8520" w:type="dxa"/>
        <w:tblCellSpacing w:w="0" w:type="dxa"/>
        <w:tblInd w:w="-9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bookmarkStart w:id="229" w:name="_Hlt26955056"/>
            <w:r/>
            <w:bookmarkStart w:id="230" w:name="_Hlt26671343"/>
            <w:r/>
            <w:bookmarkStart w:id="231" w:name="_Hlt24879081"/>
            <w:r/>
            <w:bookmarkStart w:id="232" w:name="_Hlt26671372"/>
            <w:r/>
            <w:bookmarkStart w:id="233" w:name="_Hlt26782999"/>
            <w:r/>
            <w:bookmarkStart w:id="234" w:name="_Hlt26609391"/>
            <w:r/>
            <w:bookmarkStart w:id="235" w:name="_Hlt26580838"/>
            <w:r/>
            <w:bookmarkStart w:id="236" w:name="_Hlt26955064"/>
            <w:r>
              <w:rPr>
                <w:rFonts w:hint="eastAsia" w:ascii="宋体" w:hAnsi="宋体" w:eastAsia="宋体" w:cs="宋体"/>
                <w:color w:val="000000"/>
              </w:rPr>
              <w:t xml:space="preserve">序号</w:t>
            </w:r>
            <w:bookmarkEnd w:id="229"/>
            <w:r/>
            <w:bookmarkEnd w:id="230"/>
            <w:r/>
            <w:bookmarkEnd w:id="231"/>
            <w:r/>
            <w:bookmarkEnd w:id="232"/>
            <w:r/>
            <w:bookmarkEnd w:id="233"/>
            <w:r/>
            <w:bookmarkEnd w:id="234"/>
            <w:r/>
            <w:bookmarkEnd w:id="235"/>
            <w:r/>
            <w:bookmarkEnd w:id="236"/>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证明</w:t>
            </w:r>
            <w:r>
              <w:rPr>
                <w:color w:val="000000"/>
              </w:rPr>
            </w:r>
            <w:r/>
          </w:p>
          <w:p>
            <w:pPr>
              <w:pStyle w:val="654"/>
              <w:jc w:val="center"/>
              <w:spacing w:beforeAutospacing="0" w:afterAutospacing="0"/>
              <w:rPr>
                <w:color w:val="000000"/>
              </w:rPr>
            </w:pPr>
            <w:r>
              <w:rPr>
                <w:rFonts w:hint="eastAsia" w:ascii="宋体" w:hAnsi="宋体" w:eastAsia="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4"/>
              <w:jc w:val="center"/>
              <w:spacing w:beforeAutospacing="0" w:afterAutospacing="0"/>
              <w:rPr>
                <w:color w:val="000000"/>
              </w:rPr>
            </w:pPr>
            <w:r>
              <w:rPr>
                <w:color w:val="000000"/>
              </w:rPr>
              <w:t xml:space="preserve"> </w:t>
            </w:r>
            <w:r>
              <w:rPr>
                <w:color w:val="000000"/>
              </w:rPr>
            </w:r>
            <w:r/>
          </w:p>
        </w:tc>
      </w:tr>
    </w:tbl>
    <w:p>
      <w:pPr>
        <w:pStyle w:val="654"/>
        <w:jc w:val="both"/>
        <w:spacing w:beforeAutospacing="0" w:afterAutospacing="0"/>
        <w:rPr>
          <w:color w:val="000000"/>
        </w:rPr>
      </w:pPr>
      <w:r>
        <w:rPr>
          <w:rFonts w:hint="eastAsia" w:ascii="宋体" w:hAnsi="宋体" w:eastAsia="宋体" w:cs="宋体"/>
          <w:color w:val="000000"/>
        </w:rPr>
        <w:t xml:space="preserve">注： 行数不够，可自行添加。</w:t>
      </w:r>
      <w:r>
        <w:rPr>
          <w:color w:val="000000"/>
        </w:rPr>
      </w:r>
      <w:r/>
    </w:p>
    <w:p>
      <w:pPr>
        <w:pStyle w:val="654"/>
        <w:jc w:val="both"/>
        <w:spacing w:beforeAutospacing="0" w:afterAutospacing="0" w:line="480" w:lineRule="auto"/>
        <w:rPr>
          <w:color w:val="000000"/>
        </w:rPr>
      </w:pPr>
      <w:r>
        <w:rPr>
          <w:color w:val="000000"/>
        </w:rPr>
        <w:t xml:space="preserve"> </w:t>
      </w:r>
      <w:r>
        <w:rPr>
          <w:color w:val="000000"/>
        </w:rPr>
      </w:r>
      <w:r/>
    </w:p>
    <w:p>
      <w:pPr>
        <w:pStyle w:val="654"/>
        <w:jc w:val="both"/>
        <w:spacing w:beforeAutospacing="0" w:afterAutospacing="0" w:line="480" w:lineRule="auto"/>
        <w:rPr>
          <w:color w:val="000000"/>
        </w:rPr>
      </w:pPr>
      <w:r>
        <w:rPr>
          <w:color w:val="000000"/>
        </w:rPr>
        <w:t xml:space="preserve"> </w:t>
      </w:r>
      <w:r>
        <w:rPr>
          <w:color w:val="000000"/>
        </w:rPr>
      </w:r>
      <w:r/>
    </w:p>
    <w:p>
      <w:pPr>
        <w:pStyle w:val="654"/>
        <w:jc w:val="center"/>
        <w:spacing w:beforeAutospacing="0" w:afterAutospacing="0"/>
        <w:rPr>
          <w:color w:val="000000"/>
        </w:rPr>
      </w:pPr>
      <w:r/>
      <w:bookmarkStart w:id="237" w:name="_Hlt26955066"/>
      <w:r/>
      <w:bookmarkStart w:id="238" w:name="_格式2__法定代表人授权书"/>
      <w:r/>
      <w:bookmarkStart w:id="239" w:name="_Toc462564146"/>
      <w:r/>
      <w:bookmarkStart w:id="240" w:name="_Hlt26671374"/>
      <w:r/>
      <w:bookmarkStart w:id="241" w:name="_Hlt26609389"/>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t xml:space="preserve"> </w:t>
      </w: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color w:val="000000"/>
        </w:rPr>
      </w:r>
      <w:r/>
    </w:p>
    <w:p>
      <w:pPr>
        <w:pStyle w:val="654"/>
        <w:jc w:val="both"/>
        <w:spacing w:beforeAutospacing="0" w:afterAutospacing="0"/>
        <w:rPr>
          <w:color w:val="000000"/>
        </w:rPr>
      </w:pPr>
      <w:r>
        <w:rPr>
          <w:rFonts w:hint="eastAsia" w:ascii="黑体" w:hAnsi="宋体" w:eastAsia="黑体" w:cs="黑体"/>
          <w:b/>
          <w:i/>
          <w:color w:val="000000"/>
          <w:sz w:val="32"/>
          <w:szCs w:val="32"/>
          <w:u w:val="single"/>
        </w:rPr>
        <w:t xml:space="preserve">十六、开标一览表</w:t>
      </w:r>
      <w:r>
        <w:rPr>
          <w:color w:val="000000"/>
        </w:rPr>
      </w:r>
      <w:r/>
    </w:p>
    <w:p>
      <w:pPr>
        <w:pStyle w:val="654"/>
        <w:ind w:firstLine="480"/>
        <w:jc w:val="both"/>
        <w:spacing w:beforeAutospacing="0" w:afterAutospacing="0"/>
        <w:rPr>
          <w:color w:val="000000"/>
        </w:rPr>
      </w:pPr>
      <w:r>
        <w:rPr>
          <w:rFonts w:hint="eastAsia" w:ascii="宋体" w:hAnsi="宋体" w:eastAsia="宋体" w:cs="宋体"/>
          <w:color w:val="000000"/>
        </w:rPr>
        <w:t xml:space="preserve">投标人全称（加盖CA电子签章）：</w:t>
      </w:r>
      <w:r>
        <w:rPr>
          <w:color w:val="000000"/>
        </w:rPr>
      </w:r>
      <w:r/>
    </w:p>
    <w:p>
      <w:pPr>
        <w:pStyle w:val="654"/>
        <w:ind w:firstLine="480"/>
        <w:jc w:val="both"/>
        <w:spacing w:beforeAutospacing="0" w:afterAutospacing="0"/>
        <w:rPr>
          <w:color w:val="000000"/>
        </w:rPr>
      </w:pPr>
      <w:r>
        <w:rPr>
          <w:rFonts w:hint="eastAsia" w:ascii="宋体" w:hAnsi="宋体" w:eastAsia="宋体" w:cs="宋体"/>
          <w:color w:val="000000"/>
        </w:rPr>
        <w:t xml:space="preserve">项目名称：</w:t>
      </w:r>
      <w:r>
        <w:rPr>
          <w:color w:val="000000"/>
        </w:rPr>
      </w:r>
      <w:r/>
    </w:p>
    <w:p>
      <w:pPr>
        <w:pStyle w:val="654"/>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color w:val="000000"/>
        </w:rPr>
      </w:r>
      <w:r/>
    </w:p>
    <w:p>
      <w:pPr>
        <w:pStyle w:val="654"/>
        <w:ind w:firstLine="480"/>
        <w:jc w:val="both"/>
        <w:spacing w:beforeAutospacing="0" w:afterAutospacing="0"/>
        <w:rPr>
          <w:color w:val="000000"/>
        </w:rPr>
      </w:pPr>
      <w:r>
        <w:rPr>
          <w:rFonts w:hint="eastAsia" w:ascii="宋体" w:hAnsi="宋体" w:eastAsia="宋体" w:cs="宋体"/>
          <w:color w:val="000000"/>
        </w:rPr>
        <w:t xml:space="preserve">分包号：</w:t>
      </w:r>
      <w:r>
        <w:rPr>
          <w:color w:val="000000"/>
        </w:rPr>
      </w:r>
      <w:r/>
    </w:p>
    <w:tbl>
      <w:tblPr>
        <w:tblW w:w="820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jc w:val="center"/>
              <w:spacing w:beforeAutospacing="0" w:afterAutospacing="0"/>
              <w:rPr>
                <w:color w:val="000000"/>
              </w:rPr>
            </w:pPr>
            <w:r>
              <w:rPr>
                <w:rFonts w:hint="eastAsia" w:ascii="宋体" w:hAnsi="宋体" w:eastAsia="宋体" w:cs="宋体"/>
                <w:color w:val="000000"/>
              </w:rPr>
              <w:t xml:space="preserve">投标总报价</w:t>
            </w:r>
            <w:r>
              <w:rPr>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大写：</w:t>
            </w:r>
            <w:r>
              <w:rPr>
                <w:rFonts w:hint="eastAsia" w:ascii="宋体" w:hAnsi="宋体" w:eastAsia="宋体" w:cs="宋体"/>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spacing w:beforeAutospacing="0" w:afterAutospacing="0" w:line="0" w:lineRule="atLeast"/>
              <w:rPr>
                <w:color w:val="000000"/>
              </w:rPr>
            </w:pPr>
            <w:r>
              <w:rPr>
                <w:rFonts w:hint="eastAsia" w:ascii="宋体" w:hAnsi="宋体" w:eastAsia="宋体" w:cs="宋体"/>
                <w:color w:val="000000"/>
              </w:rPr>
              <w:t xml:space="preserve">小写：                        （人民币：元）</w:t>
            </w:r>
            <w:r>
              <w:rPr>
                <w:color w:val="000000"/>
              </w:rPr>
            </w:r>
            <w:r/>
          </w:p>
        </w:tc>
      </w:tr>
    </w:tbl>
    <w:p>
      <w:pPr>
        <w:pStyle w:val="654"/>
        <w:jc w:val="both"/>
        <w:spacing w:beforeAutospacing="0" w:afterAutospacing="0"/>
        <w:rPr>
          <w:color w:val="000000"/>
        </w:rPr>
      </w:pPr>
      <w:r>
        <w:rPr>
          <w:color w:val="000000"/>
        </w:rPr>
        <w:t xml:space="preserve"> </w:t>
      </w:r>
      <w:r>
        <w:rPr>
          <w:color w:val="000000"/>
        </w:rPr>
      </w:r>
      <w:r/>
    </w:p>
    <w:p>
      <w:pPr>
        <w:pStyle w:val="654"/>
        <w:ind w:firstLine="480"/>
        <w:jc w:val="both"/>
        <w:spacing w:beforeAutospacing="0" w:afterAutospacing="0"/>
        <w:rPr>
          <w:color w:val="000000"/>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rPr>
          <w:color w:val="000000"/>
        </w:rPr>
      </w:r>
      <w:r/>
    </w:p>
    <w:p>
      <w:pPr>
        <w:pStyle w:val="654"/>
        <w:ind w:firstLine="480"/>
        <w:jc w:val="both"/>
        <w:spacing w:beforeAutospacing="0" w:afterAutospacing="0"/>
        <w:rPr>
          <w:color w:val="000000"/>
        </w:rPr>
      </w:pPr>
      <w:r>
        <w:rPr>
          <w:color w:val="000000"/>
        </w:rPr>
        <w:t xml:space="preserve"> </w:t>
      </w:r>
      <w:r>
        <w:rPr>
          <w:color w:val="000000"/>
        </w:rPr>
      </w:r>
      <w:r/>
    </w:p>
    <w:p>
      <w:pPr>
        <w:pStyle w:val="627"/>
        <w:jc w:val="center"/>
        <w:spacing w:before="50" w:after="50"/>
        <w:widowControl/>
        <w:rPr>
          <w:color w:val="000000"/>
        </w:rPr>
      </w:pPr>
      <w:r>
        <w:rPr>
          <w:rFonts w:hint="eastAsia" w:ascii="黑体" w:hAnsi="宋体" w:eastAsia="黑体" w:cs="黑体"/>
          <w:b/>
          <w:i/>
          <w:color w:val="000000"/>
          <w:sz w:val="32"/>
          <w:szCs w:val="32"/>
          <w:u w:val="single"/>
        </w:rPr>
        <w:t xml:space="preserve"> </w:t>
      </w:r>
      <w:r>
        <w:rPr>
          <w:color w:val="000000"/>
        </w:rPr>
      </w:r>
      <w:r/>
    </w:p>
    <w:p>
      <w:pPr>
        <w:pStyle w:val="627"/>
        <w:jc w:val="center"/>
        <w:spacing w:before="50" w:after="50"/>
        <w:widowControl/>
        <w:rPr>
          <w:color w:val="000000"/>
        </w:rPr>
      </w:pPr>
      <w:r>
        <w:rPr>
          <w:color w:val="000000"/>
        </w:rPr>
      </w:r>
      <w:r/>
    </w:p>
    <w:p>
      <w:pPr>
        <w:pStyle w:val="822"/>
      </w:pPr>
      <w:r/>
      <w:r/>
    </w:p>
    <w:p>
      <w:pPr>
        <w:pStyle w:val="822"/>
      </w:pPr>
      <w:r/>
      <w:r/>
    </w:p>
    <w:p>
      <w:pPr>
        <w:pStyle w:val="822"/>
      </w:pPr>
      <w:r/>
      <w:r/>
    </w:p>
    <w:p>
      <w:pPr>
        <w:pStyle w:val="627"/>
        <w:jc w:val="center"/>
        <w:spacing w:before="50" w:after="50"/>
        <w:widowControl/>
        <w:rPr>
          <w:color w:val="000000"/>
        </w:rPr>
      </w:pPr>
      <w:r>
        <w:rPr>
          <w:color w:val="000000"/>
        </w:rPr>
      </w:r>
      <w:r/>
    </w:p>
    <w:p>
      <w:pPr>
        <w:pStyle w:val="627"/>
        <w:jc w:val="center"/>
        <w:spacing w:before="50" w:after="50"/>
        <w:widowControl/>
        <w:rPr>
          <w:color w:val="000000"/>
        </w:rPr>
      </w:pPr>
      <w:r>
        <w:rPr>
          <w:color w:val="000000"/>
        </w:rPr>
      </w:r>
      <w:r/>
    </w:p>
    <w:p>
      <w:pPr>
        <w:pStyle w:val="627"/>
        <w:jc w:val="center"/>
        <w:spacing w:before="50" w:after="50"/>
        <w:widowControl/>
        <w:rPr>
          <w:color w:val="000000"/>
        </w:rPr>
      </w:pPr>
      <w:r>
        <w:rPr>
          <w:color w:val="000000"/>
        </w:rPr>
      </w:r>
      <w:r/>
    </w:p>
    <w:p>
      <w:pPr>
        <w:pStyle w:val="627"/>
        <w:numPr>
          <w:ilvl w:val="0"/>
          <w:numId w:val="6"/>
        </w:num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技术方案、服务承诺、培训承诺等</w:t>
      </w:r>
      <w:r>
        <w:rPr>
          <w:rFonts w:hint="eastAsia" w:ascii="宋体" w:hAnsi="宋体" w:eastAsia="宋体" w:cs="宋体"/>
          <w:b/>
          <w:bCs/>
          <w:color w:val="000000"/>
          <w:sz w:val="32"/>
          <w:szCs w:val="32"/>
        </w:rPr>
      </w:r>
      <w:r/>
    </w:p>
    <w:p>
      <w:pPr>
        <w:pStyle w:val="627"/>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54"/>
        <w:jc w:val="both"/>
        <w:spacing w:beforeAutospacing="0" w:afterAutospacing="0"/>
        <w:tabs>
          <w:tab w:val="left" w:pos="2160" w:leader="none"/>
        </w:tabs>
        <w:rPr>
          <w:color w:val="000000"/>
        </w:rPr>
      </w:pPr>
      <w:r>
        <w:rPr>
          <w:color w:val="000000"/>
        </w:rPr>
      </w:r>
      <w:r/>
    </w:p>
    <w:p>
      <w:pPr>
        <w:pStyle w:val="627"/>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27"/>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27"/>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27"/>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27"/>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27"/>
        <w:ind w:firstLine="1600"/>
        <w:spacing w:line="499" w:lineRule="atLeast"/>
        <w:widowControl/>
        <w:rPr>
          <w:rFonts w:ascii="宋体" w:hAnsi="宋体" w:eastAsia="宋体" w:cs="宋体"/>
          <w:b/>
          <w:bCs/>
          <w:color w:val="000000"/>
          <w:sz w:val="24"/>
        </w:rPr>
      </w:pPr>
      <w:r>
        <w:rPr>
          <w:rFonts w:hint="eastAsia" w:ascii="宋体" w:hAnsi="宋体" w:eastAsia="宋体" w:cs="宋体"/>
          <w:b/>
          <w:bCs/>
          <w:color w:val="000000"/>
          <w:sz w:val="32"/>
          <w:szCs w:val="32"/>
        </w:rPr>
        <w:t xml:space="preserve">十八、盐城市政府采购事前信用承诺书</w:t>
      </w:r>
      <w:r>
        <w:rPr>
          <w:rFonts w:ascii="宋体" w:hAnsi="宋体" w:eastAsia="宋体" w:cs="宋体"/>
          <w:b/>
          <w:bCs/>
          <w:color w:val="000000"/>
          <w:sz w:val="24"/>
        </w:rPr>
      </w:r>
      <w:r/>
    </w:p>
    <w:p>
      <w:pPr>
        <w:pStyle w:val="627"/>
        <w:ind w:firstLine="640"/>
        <w:jc w:val="left"/>
        <w:spacing w:line="499" w:lineRule="atLeast"/>
        <w:widowControl/>
        <w:rPr>
          <w:rFonts w:ascii="宋体" w:hAnsi="宋体" w:eastAsia="宋体" w:cs="宋体"/>
          <w:color w:val="000000"/>
          <w:sz w:val="24"/>
        </w:rPr>
      </w:pPr>
      <w:r>
        <w:rPr>
          <w:rFonts w:hint="eastAsia" w:ascii="宋体" w:hAnsi="宋体" w:eastAsia="宋体" w:cs="宋体"/>
          <w:color w:val="000000"/>
          <w:sz w:val="32"/>
          <w:szCs w:val="32"/>
        </w:rPr>
        <w:t xml:space="preserve"> </w:t>
      </w:r>
      <w:r>
        <w:rPr>
          <w:rFonts w:ascii="宋体" w:hAnsi="宋体" w:eastAsia="宋体" w:cs="宋体"/>
          <w:color w:val="000000"/>
          <w:sz w:val="24"/>
        </w:rPr>
      </w:r>
      <w:r/>
    </w:p>
    <w:p>
      <w:pPr>
        <w:pStyle w:val="627"/>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rPr>
          <w:rFonts w:ascii="宋体" w:hAnsi="宋体" w:eastAsia="宋体" w:cs="宋体"/>
          <w:color w:val="000000"/>
          <w:sz w:val="24"/>
        </w:rPr>
      </w:r>
      <w:r/>
    </w:p>
    <w:p>
      <w:pPr>
        <w:pStyle w:val="627"/>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eastAsia="宋体" w:cs="宋体"/>
          <w:color w:val="000000"/>
          <w:sz w:val="24"/>
        </w:rPr>
      </w:r>
      <w:r/>
    </w:p>
    <w:p>
      <w:pPr>
        <w:pStyle w:val="627"/>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rPr>
      </w:r>
      <w:r/>
    </w:p>
    <w:p>
      <w:pPr>
        <w:pStyle w:val="627"/>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rPr>
          <w:rFonts w:ascii="宋体" w:hAnsi="宋体" w:eastAsia="宋体" w:cs="宋体"/>
          <w:color w:val="000000"/>
          <w:sz w:val="24"/>
        </w:rPr>
      </w:r>
      <w:r/>
    </w:p>
    <w:p>
      <w:pPr>
        <w:pStyle w:val="627"/>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rPr>
          <w:rFonts w:ascii="宋体" w:hAnsi="宋体" w:eastAsia="宋体" w:cs="宋体"/>
          <w:color w:val="000000"/>
          <w:sz w:val="24"/>
        </w:rPr>
      </w:r>
      <w:r/>
    </w:p>
    <w:p>
      <w:pPr>
        <w:pStyle w:val="627"/>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rPr>
      </w:r>
      <w:r/>
    </w:p>
    <w:p>
      <w:pPr>
        <w:pStyle w:val="627"/>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（六）自觉接受政府、行业组织、社会公众、新闻舆论的监督；</w:t>
      </w:r>
      <w:r>
        <w:rPr>
          <w:rFonts w:ascii="宋体" w:hAnsi="宋体" w:eastAsia="宋体" w:cs="宋体"/>
          <w:color w:val="000000"/>
          <w:sz w:val="24"/>
        </w:rPr>
      </w:r>
      <w:r/>
    </w:p>
    <w:p>
      <w:pPr>
        <w:pStyle w:val="627"/>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rPr>
      </w:r>
      <w:r/>
    </w:p>
    <w:p>
      <w:pPr>
        <w:pStyle w:val="627"/>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（八）本人已认真阅读了上述承诺，并向本单位员工作了宣传教育。</w:t>
      </w:r>
      <w:r>
        <w:rPr>
          <w:rFonts w:ascii="宋体" w:hAnsi="宋体" w:eastAsia="宋体" w:cs="宋体"/>
          <w:color w:val="000000"/>
          <w:sz w:val="24"/>
        </w:rPr>
      </w:r>
      <w:r/>
    </w:p>
    <w:p>
      <w:pPr>
        <w:pStyle w:val="627"/>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法定代表人签名：</w:t>
      </w:r>
      <w:r>
        <w:rPr>
          <w:rFonts w:ascii="宋体" w:hAnsi="宋体" w:eastAsia="宋体" w:cs="宋体"/>
          <w:color w:val="000000"/>
          <w:sz w:val="24"/>
        </w:rPr>
      </w:r>
      <w:r/>
    </w:p>
    <w:p>
      <w:pPr>
        <w:pStyle w:val="627"/>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单位名称（盖章）：</w:t>
      </w:r>
      <w:r>
        <w:rPr>
          <w:rFonts w:ascii="宋体" w:hAnsi="宋体" w:eastAsia="宋体" w:cs="宋体"/>
          <w:color w:val="000000"/>
          <w:sz w:val="24"/>
        </w:rPr>
      </w:r>
      <w:r/>
    </w:p>
    <w:p>
      <w:pPr>
        <w:pStyle w:val="627"/>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年月日</w:t>
      </w:r>
      <w:bookmarkEnd w:id="6"/>
      <w:r/>
      <w:bookmarkEnd w:id="79"/>
      <w:r/>
      <w:bookmarkEnd w:id="124"/>
      <w:r/>
      <w:bookmarkEnd w:id="125"/>
      <w:r/>
      <w:bookmarkEnd w:id="126"/>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4"/>
      <w:r/>
      <w:bookmarkEnd w:id="145"/>
      <w:r/>
      <w:bookmarkEnd w:id="148"/>
      <w:r/>
      <w:bookmarkEnd w:id="150"/>
      <w:r/>
      <w:bookmarkEnd w:id="154"/>
      <w:r/>
      <w:bookmarkEnd w:id="161"/>
      <w:r/>
      <w:bookmarkEnd w:id="211"/>
      <w:r/>
      <w:bookmarkEnd w:id="217"/>
      <w:r/>
      <w:bookmarkEnd w:id="222"/>
      <w:r/>
      <w:bookmarkEnd w:id="223"/>
      <w:r/>
      <w:bookmarkEnd w:id="225"/>
      <w:r/>
      <w:bookmarkEnd w:id="226"/>
      <w:r/>
      <w:bookmarkEnd w:id="227"/>
      <w:r/>
      <w:bookmarkEnd w:id="228"/>
      <w:r/>
      <w:bookmarkEnd w:id="237"/>
      <w:r/>
      <w:bookmarkEnd w:id="238"/>
      <w:r/>
      <w:bookmarkEnd w:id="239"/>
      <w:r/>
      <w:bookmarkEnd w:id="240"/>
      <w:r/>
      <w:bookmarkEnd w:id="241"/>
      <w:r>
        <w:rPr>
          <w:rFonts w:ascii="宋体" w:hAnsi="宋体" w:eastAsia="宋体" w:cs="宋体"/>
          <w:color w:val="000000"/>
          <w:sz w:val="24"/>
        </w:rPr>
      </w:r>
      <w:r/>
    </w:p>
    <w:p>
      <w:pPr>
        <w:pStyle w:val="654"/>
        <w:jc w:val="center"/>
        <w:spacing w:beforeAutospacing="0" w:afterAutospacing="0"/>
        <w:rPr>
          <w:color w:val="000000"/>
        </w:rPr>
      </w:pPr>
      <w:r>
        <w:rPr>
          <w:color w:val="000000"/>
        </w:rPr>
      </w:r>
      <w:r/>
    </w:p>
    <w:p>
      <w:pPr>
        <w:pStyle w:val="627"/>
        <w:rPr>
          <w:color w:val="000000"/>
        </w:rPr>
      </w:pPr>
      <w:r>
        <w:rPr>
          <w:color w:val="000000"/>
        </w:rPr>
      </w:r>
      <w:r/>
    </w:p>
    <w:p>
      <w:pPr>
        <w:pStyle w:val="65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rPr>
          <w:rFonts w:ascii="宋体" w:hAnsi="宋体" w:eastAsia="宋体" w:cs="宋体"/>
          <w:b/>
          <w:color w:val="000000"/>
          <w:sz w:val="32"/>
          <w:szCs w:val="32"/>
        </w:rPr>
      </w:r>
      <w:r/>
    </w:p>
    <w:p>
      <w:pPr>
        <w:pStyle w:val="654"/>
        <w:jc w:val="both"/>
        <w:spacing w:before="290"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一、质疑供应商基本信息</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二、质疑项目基本情况</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三、质疑事项具体内容</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rPr>
          <w:rFonts w:ascii="宋体" w:hAnsi="宋体" w:eastAsia="宋体" w:cs="宋体"/>
          <w:color w:val="000000"/>
        </w:rPr>
      </w:r>
      <w:r/>
    </w:p>
    <w:p>
      <w:pPr>
        <w:pStyle w:val="654"/>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质疑事项2</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四、与质疑事项相关的质疑请求</w:t>
      </w:r>
      <w:r>
        <w:rPr>
          <w:rFonts w:ascii="宋体" w:hAnsi="宋体" w:eastAsia="宋体" w:cs="宋体"/>
          <w:color w:val="000000"/>
        </w:rPr>
      </w:r>
      <w:r/>
    </w:p>
    <w:p>
      <w:pPr>
        <w:pStyle w:val="654"/>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ascii="宋体" w:hAnsi="宋体" w:eastAsia="宋体" w:cs="宋体"/>
          <w:color w:val="000000"/>
        </w:rPr>
      </w:r>
      <w:r/>
    </w:p>
    <w:p>
      <w:pPr>
        <w:pStyle w:val="65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签字(签章)：                 公章：               日期：    </w:t>
      </w:r>
      <w:r>
        <w:rPr>
          <w:rFonts w:ascii="宋体" w:hAnsi="宋体" w:eastAsia="宋体" w:cs="宋体"/>
          <w:color w:val="000000"/>
        </w:rPr>
      </w:r>
      <w:r/>
    </w:p>
    <w:p>
      <w:pPr>
        <w:pStyle w:val="654"/>
        <w:jc w:val="both"/>
        <w:spacing w:beforeAutospacing="0" w:afterAutospacing="0" w:line="0" w:lineRule="atLeast"/>
        <w:rPr>
          <w:rFonts w:ascii="宋体" w:hAnsi="宋体" w:eastAsia="宋体" w:cs="宋体"/>
          <w:color w:val="000000"/>
        </w:rPr>
      </w:pPr>
      <w:r>
        <w:rPr>
          <w:rFonts w:hint="eastAsia" w:ascii="宋体" w:hAnsi="宋体" w:eastAsia="宋体" w:cs="宋体"/>
          <w:b/>
          <w:color w:val="000000"/>
        </w:rPr>
        <w:t xml:space="preserve">质疑函制作说明：</w:t>
      </w:r>
      <w:r>
        <w:rPr>
          <w:rFonts w:ascii="宋体" w:hAnsi="宋体" w:eastAsia="宋体" w:cs="宋体"/>
          <w:color w:val="000000"/>
        </w:rPr>
      </w:r>
      <w:r/>
    </w:p>
    <w:p>
      <w:pPr>
        <w:pStyle w:val="654"/>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1.供应商提出质疑时，应提交质疑函和必要的证明材料。</w:t>
      </w:r>
      <w:r>
        <w:rPr>
          <w:rFonts w:ascii="宋体" w:hAnsi="宋体" w:eastAsia="宋体" w:cs="宋体"/>
          <w:color w:val="000000"/>
        </w:rPr>
      </w:r>
      <w:r/>
    </w:p>
    <w:p>
      <w:pPr>
        <w:pStyle w:val="654"/>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rPr>
      </w:r>
      <w:r/>
    </w:p>
    <w:p>
      <w:pPr>
        <w:pStyle w:val="654"/>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3.质疑供应商若对项目的某一分包进行质疑，质疑函中应列明具体分包号。</w:t>
      </w:r>
      <w:r>
        <w:rPr>
          <w:rFonts w:ascii="宋体" w:hAnsi="宋体" w:eastAsia="宋体" w:cs="宋体"/>
          <w:color w:val="000000"/>
        </w:rPr>
      </w:r>
      <w:r/>
    </w:p>
    <w:p>
      <w:pPr>
        <w:pStyle w:val="654"/>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4.质疑函的质疑事项应具体、明确，并有必要的事实依据和法律依据。</w:t>
      </w:r>
      <w:r>
        <w:rPr>
          <w:rFonts w:ascii="宋体" w:hAnsi="宋体" w:eastAsia="宋体" w:cs="宋体"/>
          <w:color w:val="000000"/>
        </w:rPr>
      </w:r>
      <w:r/>
    </w:p>
    <w:p>
      <w:pPr>
        <w:pStyle w:val="654"/>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5.质疑函的质疑请求应与质疑事项相关。</w:t>
      </w:r>
      <w:r>
        <w:rPr>
          <w:rFonts w:ascii="宋体" w:hAnsi="宋体" w:eastAsia="宋体" w:cs="宋体"/>
          <w:color w:val="000000"/>
        </w:rPr>
      </w:r>
      <w:r/>
    </w:p>
    <w:p>
      <w:pPr>
        <w:pStyle w:val="654"/>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rPr>
      </w:r>
      <w:r/>
    </w:p>
    <w:p>
      <w:pPr>
        <w:pStyle w:val="654"/>
        <w:ind w:firstLine="42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tabs>
        <w:tab w:val="center" w:pos="4153" w:leader="none"/>
        <w:tab w:val="right" w:pos="8306" w:leader="none"/>
      </w:tabs>
    </w:pPr>
    <w:r>
      <w:fldChar w:fldCharType="begin"/>
    </w:r>
    <w:r>
      <w:instrText xml:space="preserve">PAGE \* MERGEFORMAT</w:instrText>
    </w:r>
    <w:r>
      <w:fldChar w:fldCharType="separate"/>
    </w:r>
    <w:r>
      <w:t xml:space="preserve">127</w:t>
    </w:r>
    <w:r>
      <w:fldChar w:fldCharType="end"/>
    </w:r>
    <w:r/>
  </w:p>
  <w:p>
    <w:pPr>
      <w:pStyle w:val="6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pStyle w:val="627"/>
      </w:pPr>
      <w:rPr>
        <w:rFonts w:hint="eastAsia"/>
      </w:r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27"/>
      </w:p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abstractNum w:abstractNumId="2">
    <w:multiLevelType w:val="hybridMultilevel"/>
    <w:lvl w:ilvl="0">
      <w:start w:val="1"/>
      <w:numFmt w:val="bullet"/>
      <w:pStyle w:val="633"/>
      <w:isLgl w:val="false"/>
      <w:suff w:val="tab"/>
      <w:lvlText w:val=""/>
      <w:lvlJc w:val="left"/>
      <w:pPr>
        <w:pStyle w:val="627"/>
        <w:ind w:left="-5" w:hanging="420"/>
        <w:tabs>
          <w:tab w:val="num" w:pos="-5" w:leader="none"/>
        </w:tabs>
      </w:pPr>
      <w:rPr>
        <w:rFonts w:ascii="Wingdings" w:hAnsi="Wingdings"/>
      </w:rPr>
    </w:lvl>
    <w:lvl w:ilvl="1">
      <w:start w:val="1"/>
      <w:numFmt w:val="decimal"/>
      <w:isLgl w:val="false"/>
      <w:suff w:val="tab"/>
      <w:lvlText w:val="%1.%2"/>
      <w:lvlJc w:val="left"/>
      <w:pPr>
        <w:pStyle w:val="627"/>
        <w:ind w:left="567" w:hanging="567"/>
        <w:tabs>
          <w:tab w:val="num" w:pos="567" w:leader="none"/>
        </w:tabs>
      </w:pPr>
      <w:rPr>
        <w:rFonts w:hint="eastAsia"/>
      </w:rPr>
    </w:lvl>
    <w:lvl w:ilvl="2">
      <w:start w:val="1"/>
      <w:numFmt w:val="decimal"/>
      <w:isLgl w:val="false"/>
      <w:suff w:val="tab"/>
      <w:lvlText w:val="%1.%2.%3"/>
      <w:lvlJc w:val="left"/>
      <w:pPr>
        <w:pStyle w:val="627"/>
        <w:ind w:left="993" w:hanging="567"/>
        <w:tabs>
          <w:tab w:val="num" w:pos="993" w:leader="none"/>
        </w:tabs>
      </w:pPr>
      <w:rPr>
        <w:rFonts w:hint="eastAsia"/>
      </w:rPr>
    </w:lvl>
    <w:lvl w:ilvl="3">
      <w:start w:val="1"/>
      <w:numFmt w:val="decimal"/>
      <w:isLgl w:val="false"/>
      <w:suff w:val="tab"/>
      <w:lvlText w:val="%1.%2.%3.%4"/>
      <w:lvlJc w:val="left"/>
      <w:pPr>
        <w:pStyle w:val="627"/>
        <w:ind w:left="1559" w:hanging="708"/>
        <w:tabs>
          <w:tab w:val="num" w:pos="1559" w:leader="none"/>
        </w:tabs>
      </w:pPr>
      <w:rPr>
        <w:rFonts w:hint="eastAsia"/>
      </w:rPr>
    </w:lvl>
    <w:lvl w:ilvl="4">
      <w:start w:val="1"/>
      <w:numFmt w:val="decimal"/>
      <w:isLgl w:val="false"/>
      <w:suff w:val="tab"/>
      <w:lvlText w:val="%1.%2.%3.%4.%5"/>
      <w:lvlJc w:val="left"/>
      <w:pPr>
        <w:pStyle w:val="627"/>
        <w:ind w:left="2126" w:hanging="850"/>
        <w:tabs>
          <w:tab w:val="num" w:pos="2126" w:leader="none"/>
        </w:tabs>
      </w:pPr>
      <w:rPr>
        <w:rFonts w:hint="eastAsia"/>
      </w:rPr>
    </w:lvl>
    <w:lvl w:ilvl="5">
      <w:start w:val="1"/>
      <w:numFmt w:val="decimal"/>
      <w:isLgl w:val="false"/>
      <w:suff w:val="tab"/>
      <w:lvlText w:val="%1.%2.%3.%4.%5.%6"/>
      <w:lvlJc w:val="left"/>
      <w:pPr>
        <w:pStyle w:val="627"/>
        <w:ind w:left="2835" w:hanging="1134"/>
        <w:tabs>
          <w:tab w:val="num" w:pos="2835" w:leader="none"/>
        </w:tabs>
      </w:pPr>
      <w:rPr>
        <w:rFonts w:hint="eastAsia"/>
      </w:rPr>
    </w:lvl>
    <w:lvl w:ilvl="6">
      <w:start w:val="1"/>
      <w:numFmt w:val="decimal"/>
      <w:isLgl w:val="false"/>
      <w:suff w:val="tab"/>
      <w:lvlText w:val="%1.%2.%3.%4.%5.%6.%7"/>
      <w:lvlJc w:val="left"/>
      <w:pPr>
        <w:pStyle w:val="627"/>
        <w:ind w:left="3402" w:hanging="1276"/>
        <w:tabs>
          <w:tab w:val="num" w:pos="3402" w:leader="none"/>
        </w:tabs>
      </w:pPr>
      <w:rPr>
        <w:rFonts w:hint="eastAsia"/>
      </w:rPr>
    </w:lvl>
    <w:lvl w:ilvl="7">
      <w:start w:val="1"/>
      <w:numFmt w:val="decimal"/>
      <w:isLgl w:val="false"/>
      <w:suff w:val="tab"/>
      <w:lvlText w:val="%1.%2.%3.%4.%5.%6.%7.%8"/>
      <w:lvlJc w:val="left"/>
      <w:pPr>
        <w:pStyle w:val="627"/>
        <w:ind w:left="3969" w:hanging="1418"/>
        <w:tabs>
          <w:tab w:val="num" w:pos="3969" w:leader="none"/>
        </w:tabs>
      </w:pPr>
      <w:rPr>
        <w:rFonts w:hint="eastAsia"/>
      </w:rPr>
    </w:lvl>
    <w:lvl w:ilvl="8">
      <w:start w:val="1"/>
      <w:numFmt w:val="decimal"/>
      <w:isLgl w:val="false"/>
      <w:suff w:val="tab"/>
      <w:lvlText w:val="%1.%2.%3.%4.%5.%6.%7.%8.%9"/>
      <w:lvlJc w:val="left"/>
      <w:pPr>
        <w:pStyle w:val="627"/>
        <w:ind w:left="4677" w:hanging="1700"/>
        <w:tabs>
          <w:tab w:val="num" w:pos="4677" w:leader="none"/>
        </w:tabs>
      </w:pPr>
      <w:rPr>
        <w:rFonts w:hint="eastAsia"/>
      </w:rPr>
    </w:lvl>
  </w:abstractNum>
  <w:abstractNum w:abstractNumId="3">
    <w:multiLevelType w:val="hybridMultilevel"/>
    <w:lvl w:ilvl="0">
      <w:start w:val="1"/>
      <w:numFmt w:val="decimal"/>
      <w:isLgl w:val="false"/>
      <w:suff w:val="space"/>
      <w:lvlText w:val="%1."/>
      <w:lvlJc w:val="left"/>
      <w:pPr>
        <w:pStyle w:val="627"/>
      </w:p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27"/>
      </w:p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627"/>
        <w:tabs>
          <w:tab w:val="num" w:pos="312" w:leader="none"/>
        </w:tabs>
      </w:p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693"/>
    <w:uiPriority w:val="99"/>
    <w:unhideWhenUsed/>
    <w:pPr>
      <w:spacing w:after="0" w:line="240" w:lineRule="auto"/>
      <w:tabs>
        <w:tab w:val="center" w:pos="7143" w:leader="none"/>
        <w:tab w:val="right" w:pos="14287" w:leader="none"/>
      </w:tabs>
    </w:pPr>
  </w:style>
  <w:style w:type="paragraph" w:styleId="43">
    <w:name w:val="Footer"/>
    <w:basedOn w:val="627"/>
    <w:link w:val="695"/>
    <w:uiPriority w:val="99"/>
    <w:unhideWhenUsed/>
    <w:pPr>
      <w:spacing w:after="0" w:line="240" w:lineRule="auto"/>
      <w:tabs>
        <w:tab w:val="center" w:pos="7143" w:leader="none"/>
        <w:tab w:val="right" w:pos="14287" w:leader="none"/>
      </w:tabs>
    </w:pPr>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90">
    <w:name w:val="table of figures"/>
    <w:basedOn w:val="627"/>
    <w:next w:val="627"/>
    <w:uiPriority w:val="99"/>
    <w:unhideWhenUsed/>
    <w:pPr>
      <w:spacing w:after="0" w:afterAutospacing="0"/>
    </w:pPr>
  </w:style>
  <w:style w:type="paragraph" w:styleId="627" w:default="1">
    <w:name w:val="Normal"/>
    <w:next w:val="627"/>
    <w:link w:val="627"/>
    <w:qFormat/>
    <w:pPr>
      <w:jc w:val="both"/>
      <w:widowControl w:val="off"/>
    </w:pPr>
    <w:rPr>
      <w:rFonts w:ascii="Calibri" w:hAnsi="Calibri" w:eastAsia="Arial" w:cs="Arial"/>
      <w:sz w:val="21"/>
      <w:szCs w:val="24"/>
      <w:lang w:val="en-US" w:eastAsia="zh-CN" w:bidi="ar-SA"/>
    </w:rPr>
  </w:style>
  <w:style w:type="character" w:styleId="628">
    <w:name w:val="默认段落字体"/>
    <w:next w:val="628"/>
    <w:link w:val="627"/>
    <w:uiPriority w:val="1"/>
    <w:unhideWhenUsed/>
    <w:qFormat/>
  </w:style>
  <w:style w:type="table" w:styleId="629">
    <w:name w:val="普通表格"/>
    <w:next w:val="629"/>
    <w:link w:val="627"/>
    <w:uiPriority w:val="99"/>
    <w:unhideWhenUsed/>
    <w:qFormat/>
    <w:tblPr/>
  </w:style>
  <w:style w:type="paragraph" w:styleId="630">
    <w:name w:val="目录 7"/>
    <w:basedOn w:val="627"/>
    <w:next w:val="627"/>
    <w:link w:val="627"/>
    <w:uiPriority w:val="39"/>
    <w:unhideWhenUsed/>
    <w:qFormat/>
    <w:pPr>
      <w:ind w:left="1701" w:right="0" w:firstLine="0"/>
      <w:spacing w:after="57"/>
    </w:pPr>
  </w:style>
  <w:style w:type="paragraph" w:styleId="631">
    <w:name w:val="批注文字"/>
    <w:basedOn w:val="627"/>
    <w:next w:val="631"/>
    <w:link w:val="627"/>
    <w:qFormat/>
    <w:pPr>
      <w:jc w:val="left"/>
    </w:pPr>
  </w:style>
  <w:style w:type="paragraph" w:styleId="632">
    <w:name w:val="正文文本"/>
    <w:basedOn w:val="627"/>
    <w:next w:val="632"/>
    <w:link w:val="627"/>
    <w:semiHidden/>
    <w:qFormat/>
    <w:rPr>
      <w:rFonts w:ascii="仿宋" w:hAnsi="仿宋" w:eastAsia="仿宋" w:cs="仿宋"/>
      <w:sz w:val="31"/>
      <w:szCs w:val="31"/>
      <w:lang w:val="en-US" w:eastAsia="en-US" w:bidi="ar-SA"/>
    </w:rPr>
  </w:style>
  <w:style w:type="paragraph" w:styleId="633">
    <w:name w:val="正文文本缩进"/>
    <w:basedOn w:val="627"/>
    <w:next w:val="634"/>
    <w:link w:val="627"/>
    <w:uiPriority w:val="99"/>
    <w:qFormat/>
    <w:pPr>
      <w:numPr>
        <w:ilvl w:val="0"/>
        <w:numId w:val="1"/>
      </w:numPr>
      <w:ind w:left="0" w:firstLine="420"/>
      <w:tabs>
        <w:tab w:val="clear" w:pos="-5" w:leader="none"/>
      </w:tabs>
    </w:pPr>
  </w:style>
  <w:style w:type="paragraph" w:styleId="634">
    <w:name w:val="寄信人地址"/>
    <w:basedOn w:val="627"/>
    <w:next w:val="634"/>
    <w:link w:val="627"/>
    <w:uiPriority w:val="99"/>
    <w:unhideWhenUsed/>
    <w:qFormat/>
    <w:rPr>
      <w:rFonts w:ascii="Arial" w:hAnsi="Arial"/>
    </w:rPr>
  </w:style>
  <w:style w:type="paragraph" w:styleId="635">
    <w:name w:val="目录 5"/>
    <w:basedOn w:val="627"/>
    <w:next w:val="627"/>
    <w:link w:val="627"/>
    <w:uiPriority w:val="39"/>
    <w:unhideWhenUsed/>
    <w:qFormat/>
    <w:pPr>
      <w:ind w:left="1134" w:right="0" w:firstLine="0"/>
      <w:spacing w:after="57"/>
    </w:pPr>
  </w:style>
  <w:style w:type="paragraph" w:styleId="636">
    <w:name w:val="目录 3"/>
    <w:basedOn w:val="627"/>
    <w:next w:val="627"/>
    <w:link w:val="627"/>
    <w:uiPriority w:val="39"/>
    <w:unhideWhenUsed/>
    <w:qFormat/>
    <w:pPr>
      <w:ind w:left="567" w:right="0" w:firstLine="0"/>
      <w:spacing w:after="57"/>
    </w:pPr>
  </w:style>
  <w:style w:type="paragraph" w:styleId="637">
    <w:name w:val="目录 8"/>
    <w:basedOn w:val="627"/>
    <w:next w:val="627"/>
    <w:link w:val="627"/>
    <w:uiPriority w:val="39"/>
    <w:unhideWhenUsed/>
    <w:qFormat/>
    <w:pPr>
      <w:ind w:left="1984" w:right="0" w:firstLine="0"/>
      <w:spacing w:after="57"/>
    </w:pPr>
  </w:style>
  <w:style w:type="paragraph" w:styleId="638">
    <w:name w:val="尾注文本"/>
    <w:basedOn w:val="627"/>
    <w:next w:val="638"/>
    <w:link w:val="639"/>
    <w:uiPriority w:val="99"/>
    <w:unhideWhenUsed/>
    <w:qFormat/>
    <w:pPr>
      <w:spacing w:after="0" w:line="240" w:lineRule="auto"/>
    </w:pPr>
    <w:rPr>
      <w:sz w:val="20"/>
    </w:rPr>
  </w:style>
  <w:style w:type="character" w:styleId="639">
    <w:name w:val="尾注文本 Char"/>
    <w:next w:val="639"/>
    <w:link w:val="638"/>
    <w:uiPriority w:val="99"/>
    <w:qFormat/>
    <w:rPr>
      <w:sz w:val="20"/>
    </w:rPr>
  </w:style>
  <w:style w:type="paragraph" w:styleId="640">
    <w:name w:val="页脚"/>
    <w:basedOn w:val="627"/>
    <w:next w:val="640"/>
    <w:link w:val="641"/>
    <w:uiPriority w:val="99"/>
    <w:unhideWhenUsed/>
    <w:pPr>
      <w:jc w:val="left"/>
      <w:tabs>
        <w:tab w:val="center" w:pos="4153" w:leader="none"/>
        <w:tab w:val="right" w:pos="8306" w:leader="none"/>
      </w:tabs>
    </w:pPr>
    <w:rPr>
      <w:sz w:val="18"/>
      <w:szCs w:val="18"/>
    </w:rPr>
  </w:style>
  <w:style w:type="character" w:styleId="641">
    <w:name w:val="页脚 Char1"/>
    <w:next w:val="641"/>
    <w:link w:val="640"/>
    <w:uiPriority w:val="99"/>
    <w:rPr>
      <w:rFonts w:ascii="Calibri" w:hAnsi="Calibri" w:eastAsia="Arial" w:cs="Arial"/>
      <w:sz w:val="18"/>
      <w:szCs w:val="18"/>
    </w:rPr>
  </w:style>
  <w:style w:type="paragraph" w:styleId="642">
    <w:name w:val="页眉"/>
    <w:basedOn w:val="627"/>
    <w:next w:val="642"/>
    <w:link w:val="643"/>
    <w:uiPriority w:val="99"/>
    <w:unhideWhenUsed/>
    <w:pPr>
      <w:jc w:val="center"/>
      <w:tabs>
        <w:tab w:val="center" w:pos="4153" w:leader="none"/>
        <w:tab w:val="right" w:pos="8306" w:leader="none"/>
      </w:tabs>
      <w:pBdr>
        <w:bottom w:val="single" w:color="000000" w:sz="6" w:space="1"/>
      </w:pBdr>
    </w:pPr>
    <w:rPr>
      <w:sz w:val="18"/>
      <w:szCs w:val="18"/>
    </w:rPr>
  </w:style>
  <w:style w:type="character" w:styleId="643">
    <w:name w:val="页眉 Char1"/>
    <w:next w:val="643"/>
    <w:link w:val="642"/>
    <w:uiPriority w:val="99"/>
    <w:rPr>
      <w:rFonts w:ascii="Calibri" w:hAnsi="Calibri" w:eastAsia="Arial" w:cs="Arial"/>
      <w:sz w:val="18"/>
      <w:szCs w:val="18"/>
    </w:rPr>
  </w:style>
  <w:style w:type="paragraph" w:styleId="644">
    <w:name w:val="目录 1"/>
    <w:basedOn w:val="627"/>
    <w:next w:val="627"/>
    <w:link w:val="627"/>
    <w:uiPriority w:val="39"/>
    <w:unhideWhenUsed/>
    <w:qFormat/>
    <w:pPr>
      <w:ind w:left="0" w:right="0" w:firstLine="0"/>
      <w:spacing w:after="57"/>
    </w:pPr>
  </w:style>
  <w:style w:type="paragraph" w:styleId="645">
    <w:name w:val="目录 4"/>
    <w:basedOn w:val="627"/>
    <w:next w:val="627"/>
    <w:link w:val="627"/>
    <w:uiPriority w:val="39"/>
    <w:unhideWhenUsed/>
    <w:qFormat/>
    <w:pPr>
      <w:ind w:left="850" w:right="0" w:firstLine="0"/>
      <w:spacing w:after="57"/>
    </w:pPr>
  </w:style>
  <w:style w:type="paragraph" w:styleId="646">
    <w:name w:val="副标题"/>
    <w:basedOn w:val="627"/>
    <w:next w:val="627"/>
    <w:link w:val="647"/>
    <w:uiPriority w:val="11"/>
    <w:qFormat/>
    <w:pPr>
      <w:spacing w:before="200" w:after="200"/>
    </w:pPr>
    <w:rPr>
      <w:sz w:val="24"/>
      <w:szCs w:val="24"/>
    </w:rPr>
  </w:style>
  <w:style w:type="character" w:styleId="647">
    <w:name w:val="副标题 Char"/>
    <w:next w:val="647"/>
    <w:link w:val="646"/>
    <w:uiPriority w:val="11"/>
    <w:rPr>
      <w:sz w:val="24"/>
      <w:szCs w:val="24"/>
    </w:rPr>
  </w:style>
  <w:style w:type="paragraph" w:styleId="648">
    <w:name w:val="脚注文本"/>
    <w:basedOn w:val="627"/>
    <w:next w:val="648"/>
    <w:link w:val="649"/>
    <w:uiPriority w:val="99"/>
    <w:unhideWhenUsed/>
    <w:qFormat/>
    <w:pPr>
      <w:spacing w:after="40" w:line="240" w:lineRule="auto"/>
    </w:pPr>
    <w:rPr>
      <w:sz w:val="18"/>
    </w:rPr>
  </w:style>
  <w:style w:type="character" w:styleId="649">
    <w:name w:val="脚注文本 Char"/>
    <w:next w:val="649"/>
    <w:link w:val="648"/>
    <w:uiPriority w:val="99"/>
    <w:qFormat/>
    <w:rPr>
      <w:sz w:val="18"/>
    </w:rPr>
  </w:style>
  <w:style w:type="paragraph" w:styleId="650">
    <w:name w:val="目录 6"/>
    <w:basedOn w:val="627"/>
    <w:next w:val="627"/>
    <w:link w:val="627"/>
    <w:uiPriority w:val="39"/>
    <w:unhideWhenUsed/>
    <w:qFormat/>
    <w:pPr>
      <w:ind w:left="1417" w:right="0" w:firstLine="0"/>
      <w:spacing w:after="57"/>
    </w:pPr>
  </w:style>
  <w:style w:type="paragraph" w:styleId="651">
    <w:name w:val="图表目录"/>
    <w:basedOn w:val="627"/>
    <w:next w:val="627"/>
    <w:link w:val="627"/>
    <w:uiPriority w:val="99"/>
    <w:unhideWhenUsed/>
    <w:qFormat/>
    <w:pPr>
      <w:spacing w:after="0" w:afterAutospacing="0"/>
    </w:pPr>
  </w:style>
  <w:style w:type="paragraph" w:styleId="652">
    <w:name w:val="目录 2"/>
    <w:basedOn w:val="627"/>
    <w:next w:val="627"/>
    <w:link w:val="627"/>
    <w:uiPriority w:val="39"/>
    <w:unhideWhenUsed/>
    <w:qFormat/>
    <w:pPr>
      <w:ind w:left="283" w:right="0" w:firstLine="0"/>
      <w:spacing w:after="57"/>
    </w:pPr>
  </w:style>
  <w:style w:type="paragraph" w:styleId="653">
    <w:name w:val="目录 9"/>
    <w:basedOn w:val="627"/>
    <w:next w:val="627"/>
    <w:link w:val="627"/>
    <w:uiPriority w:val="39"/>
    <w:unhideWhenUsed/>
    <w:qFormat/>
    <w:pPr>
      <w:ind w:left="2268" w:right="0" w:firstLine="0"/>
      <w:spacing w:after="57"/>
    </w:pPr>
  </w:style>
  <w:style w:type="paragraph" w:styleId="654">
    <w:name w:val="普通(网站)"/>
    <w:basedOn w:val="627"/>
    <w:next w:val="654"/>
    <w:link w:val="627"/>
    <w:qFormat/>
    <w:pPr>
      <w:jc w:val="left"/>
      <w:spacing w:beforeAutospacing="1" w:afterAutospacing="1"/>
    </w:pPr>
    <w:rPr>
      <w:rFonts w:cs="Times New Roman"/>
      <w:sz w:val="24"/>
    </w:rPr>
  </w:style>
  <w:style w:type="paragraph" w:styleId="655">
    <w:name w:val="标题"/>
    <w:basedOn w:val="627"/>
    <w:next w:val="627"/>
    <w:link w:val="656"/>
    <w:uiPriority w:val="10"/>
    <w:qFormat/>
    <w:pPr>
      <w:contextualSpacing/>
      <w:spacing w:before="300" w:after="200"/>
    </w:pPr>
    <w:rPr>
      <w:sz w:val="48"/>
      <w:szCs w:val="48"/>
    </w:rPr>
  </w:style>
  <w:style w:type="character" w:styleId="656">
    <w:name w:val="标题 Char"/>
    <w:next w:val="656"/>
    <w:link w:val="655"/>
    <w:uiPriority w:val="10"/>
    <w:rPr>
      <w:sz w:val="48"/>
      <w:szCs w:val="48"/>
    </w:rPr>
  </w:style>
  <w:style w:type="paragraph" w:styleId="657">
    <w:name w:val="正文首行缩进"/>
    <w:basedOn w:val="627"/>
    <w:next w:val="627"/>
    <w:link w:val="627"/>
    <w:uiPriority w:val="99"/>
    <w:unhideWhenUsed/>
    <w:qFormat/>
    <w:pPr>
      <w:ind w:firstLine="420"/>
    </w:pPr>
  </w:style>
  <w:style w:type="paragraph" w:styleId="658">
    <w:name w:val="正文首行缩进 2"/>
    <w:basedOn w:val="633"/>
    <w:next w:val="627"/>
    <w:link w:val="627"/>
    <w:uiPriority w:val="99"/>
    <w:unhideWhenUsed/>
    <w:qFormat/>
    <w:pPr>
      <w:numPr>
        <w:ilvl w:val="0"/>
        <w:numId w:val="0"/>
      </w:numPr>
      <w:ind w:left="420" w:firstLine="420"/>
      <w:spacing w:after="120"/>
    </w:pPr>
  </w:style>
  <w:style w:type="table" w:styleId="659">
    <w:name w:val="网格型"/>
    <w:basedOn w:val="629"/>
    <w:next w:val="659"/>
    <w:link w:val="627"/>
    <w:uiPriority w:val="59"/>
    <w:qFormat/>
    <w:pPr>
      <w:spacing w:after="0" w:line="240" w:lineRule="auto"/>
    </w:pPr>
    <w:tblPr/>
  </w:style>
  <w:style w:type="character" w:styleId="660">
    <w:name w:val="尾注引用"/>
    <w:next w:val="660"/>
    <w:link w:val="627"/>
    <w:uiPriority w:val="99"/>
    <w:unhideWhenUsed/>
    <w:qFormat/>
    <w:rPr>
      <w:vertAlign w:val="superscript"/>
    </w:rPr>
  </w:style>
  <w:style w:type="character" w:styleId="661">
    <w:name w:val="强调"/>
    <w:next w:val="661"/>
    <w:link w:val="627"/>
    <w:qFormat/>
    <w:rPr>
      <w:i/>
    </w:rPr>
  </w:style>
  <w:style w:type="character" w:styleId="662">
    <w:name w:val="超链接"/>
    <w:next w:val="662"/>
    <w:link w:val="627"/>
    <w:uiPriority w:val="99"/>
    <w:unhideWhenUsed/>
    <w:qFormat/>
    <w:rPr>
      <w:color w:val="0563c1"/>
      <w:u w:val="single"/>
    </w:rPr>
  </w:style>
  <w:style w:type="character" w:styleId="663">
    <w:name w:val="脚注引用"/>
    <w:next w:val="663"/>
    <w:link w:val="627"/>
    <w:uiPriority w:val="99"/>
    <w:unhideWhenUsed/>
    <w:qFormat/>
    <w:rPr>
      <w:vertAlign w:val="superscript"/>
    </w:rPr>
  </w:style>
  <w:style w:type="paragraph" w:styleId="664">
    <w:name w:val="Heading 1"/>
    <w:basedOn w:val="627"/>
    <w:next w:val="627"/>
    <w:link w:val="665"/>
    <w:uiPriority w:val="9"/>
    <w:qFormat/>
    <w:pPr>
      <w:keepLines/>
      <w:keepNext/>
      <w:spacing w:before="480" w:after="200"/>
      <w:outlineLvl w:val="0"/>
    </w:pPr>
    <w:rPr>
      <w:rFonts w:ascii="Arial" w:hAnsi="Arial" w:eastAsia="Arial" w:cs="Arial"/>
      <w:sz w:val="40"/>
      <w:szCs w:val="40"/>
    </w:rPr>
  </w:style>
  <w:style w:type="character" w:styleId="665">
    <w:name w:val="Heading 1 Char"/>
    <w:next w:val="665"/>
    <w:link w:val="664"/>
    <w:uiPriority w:val="9"/>
    <w:rPr>
      <w:rFonts w:ascii="Arial" w:hAnsi="Arial" w:eastAsia="Arial" w:cs="Arial"/>
      <w:sz w:val="40"/>
      <w:szCs w:val="40"/>
    </w:rPr>
  </w:style>
  <w:style w:type="paragraph" w:styleId="666">
    <w:name w:val="Heading 2"/>
    <w:basedOn w:val="627"/>
    <w:next w:val="627"/>
    <w:link w:val="627"/>
    <w:unhideWhenUsed/>
    <w:qFormat/>
    <w:pPr>
      <w:jc w:val="left"/>
      <w:spacing w:before="100" w:beforeAutospacing="1" w:after="100" w:afterAutospacing="1"/>
    </w:pPr>
    <w:rPr>
      <w:rFonts w:hint="eastAsia" w:ascii="宋体" w:hAnsi="宋体" w:eastAsia="宋体" w:cs="宋体"/>
      <w:b/>
      <w:bCs/>
      <w:sz w:val="36"/>
      <w:szCs w:val="36"/>
      <w:lang w:val="en-US" w:eastAsia="zh-CN" w:bidi="ar"/>
    </w:rPr>
  </w:style>
  <w:style w:type="paragraph" w:styleId="667">
    <w:name w:val="Heading 3"/>
    <w:basedOn w:val="627"/>
    <w:next w:val="627"/>
    <w:link w:val="668"/>
    <w:uiPriority w:val="9"/>
    <w:unhideWhenUsed/>
    <w:qFormat/>
    <w:pPr>
      <w:keepLines/>
      <w:keepNext/>
      <w:spacing w:before="320" w:after="200"/>
      <w:outlineLvl w:val="2"/>
    </w:pPr>
    <w:rPr>
      <w:rFonts w:ascii="Arial" w:hAnsi="Arial" w:eastAsia="Arial" w:cs="Arial"/>
      <w:sz w:val="30"/>
      <w:szCs w:val="30"/>
    </w:rPr>
  </w:style>
  <w:style w:type="character" w:styleId="668">
    <w:name w:val="Heading 3 Char"/>
    <w:next w:val="668"/>
    <w:link w:val="667"/>
    <w:uiPriority w:val="9"/>
    <w:rPr>
      <w:rFonts w:ascii="Arial" w:hAnsi="Arial" w:eastAsia="Arial" w:cs="Arial"/>
      <w:sz w:val="30"/>
      <w:szCs w:val="30"/>
    </w:rPr>
  </w:style>
  <w:style w:type="paragraph" w:styleId="669">
    <w:name w:val="Heading 4"/>
    <w:basedOn w:val="627"/>
    <w:next w:val="627"/>
    <w:link w:val="670"/>
    <w:uiPriority w:val="9"/>
    <w:unhideWhenUsed/>
    <w:qFormat/>
    <w:pPr>
      <w:keepLines/>
      <w:keepNext/>
      <w:spacing w:before="320" w:after="200"/>
      <w:outlineLvl w:val="3"/>
    </w:pPr>
    <w:rPr>
      <w:rFonts w:ascii="Arial" w:hAnsi="Arial" w:eastAsia="Arial" w:cs="Arial"/>
      <w:b/>
      <w:bCs/>
      <w:sz w:val="26"/>
      <w:szCs w:val="26"/>
    </w:rPr>
  </w:style>
  <w:style w:type="character" w:styleId="670">
    <w:name w:val="Heading 4 Char"/>
    <w:next w:val="670"/>
    <w:link w:val="669"/>
    <w:uiPriority w:val="9"/>
    <w:rPr>
      <w:rFonts w:ascii="Arial" w:hAnsi="Arial" w:eastAsia="Arial" w:cs="Arial"/>
      <w:b/>
      <w:bCs/>
      <w:sz w:val="26"/>
      <w:szCs w:val="26"/>
    </w:rPr>
  </w:style>
  <w:style w:type="paragraph" w:styleId="671">
    <w:name w:val="Heading 5"/>
    <w:basedOn w:val="627"/>
    <w:next w:val="627"/>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next w:val="672"/>
    <w:link w:val="671"/>
    <w:uiPriority w:val="9"/>
    <w:rPr>
      <w:rFonts w:ascii="Arial" w:hAnsi="Arial" w:eastAsia="Arial" w:cs="Arial"/>
      <w:b/>
      <w:bCs/>
      <w:sz w:val="24"/>
      <w:szCs w:val="24"/>
    </w:rPr>
  </w:style>
  <w:style w:type="paragraph" w:styleId="673">
    <w:name w:val="Heading 6"/>
    <w:basedOn w:val="627"/>
    <w:next w:val="627"/>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next w:val="674"/>
    <w:link w:val="673"/>
    <w:uiPriority w:val="9"/>
    <w:rPr>
      <w:rFonts w:ascii="Arial" w:hAnsi="Arial" w:eastAsia="Arial" w:cs="Arial"/>
      <w:b/>
      <w:bCs/>
      <w:sz w:val="22"/>
      <w:szCs w:val="22"/>
    </w:rPr>
  </w:style>
  <w:style w:type="paragraph" w:styleId="675">
    <w:name w:val="Heading 7"/>
    <w:basedOn w:val="627"/>
    <w:next w:val="627"/>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next w:val="676"/>
    <w:link w:val="675"/>
    <w:uiPriority w:val="9"/>
    <w:qFormat/>
    <w:rPr>
      <w:rFonts w:ascii="Arial" w:hAnsi="Arial" w:eastAsia="Arial" w:cs="Arial"/>
      <w:b/>
      <w:bCs/>
      <w:i/>
      <w:iCs/>
      <w:sz w:val="22"/>
      <w:szCs w:val="22"/>
    </w:rPr>
  </w:style>
  <w:style w:type="paragraph" w:styleId="677">
    <w:name w:val="Heading 8"/>
    <w:basedOn w:val="627"/>
    <w:next w:val="627"/>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next w:val="678"/>
    <w:link w:val="677"/>
    <w:uiPriority w:val="9"/>
    <w:rPr>
      <w:rFonts w:ascii="Arial" w:hAnsi="Arial" w:eastAsia="Arial" w:cs="Arial"/>
      <w:i/>
      <w:iCs/>
      <w:sz w:val="22"/>
      <w:szCs w:val="22"/>
    </w:rPr>
  </w:style>
  <w:style w:type="paragraph" w:styleId="679">
    <w:name w:val="Heading 9"/>
    <w:basedOn w:val="627"/>
    <w:next w:val="627"/>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next w:val="680"/>
    <w:link w:val="679"/>
    <w:uiPriority w:val="9"/>
    <w:qFormat/>
    <w:rPr>
      <w:rFonts w:ascii="Arial" w:hAnsi="Arial" w:eastAsia="Arial" w:cs="Arial"/>
      <w:i/>
      <w:iCs/>
      <w:sz w:val="21"/>
      <w:szCs w:val="21"/>
    </w:rPr>
  </w:style>
  <w:style w:type="paragraph" w:styleId="681">
    <w:name w:val="Caption1"/>
    <w:basedOn w:val="627"/>
    <w:next w:val="627"/>
    <w:link w:val="627"/>
    <w:uiPriority w:val="35"/>
    <w:unhideWhenUsed/>
    <w:qFormat/>
    <w:pPr>
      <w:spacing w:line="276" w:lineRule="auto"/>
    </w:pPr>
    <w:rPr>
      <w:b/>
      <w:bCs/>
      <w:color w:val="5b9bd5"/>
      <w:sz w:val="18"/>
      <w:szCs w:val="18"/>
    </w:rPr>
  </w:style>
  <w:style w:type="paragraph" w:styleId="682">
    <w:name w:val="Footer1"/>
    <w:basedOn w:val="627"/>
    <w:next w:val="682"/>
    <w:link w:val="683"/>
    <w:qFormat/>
    <w:pPr>
      <w:jc w:val="left"/>
      <w:tabs>
        <w:tab w:val="center" w:pos="4153" w:leader="none"/>
        <w:tab w:val="right" w:pos="8306" w:leader="none"/>
      </w:tabs>
    </w:pPr>
    <w:rPr>
      <w:sz w:val="18"/>
      <w:szCs w:val="18"/>
    </w:rPr>
  </w:style>
  <w:style w:type="character" w:styleId="683">
    <w:name w:val="页脚 Char"/>
    <w:next w:val="683"/>
    <w:link w:val="682"/>
    <w:qFormat/>
    <w:rPr>
      <w:rFonts w:ascii="Calibri" w:hAnsi="Calibri" w:eastAsia="Arial" w:cs="Arial"/>
      <w:sz w:val="18"/>
      <w:szCs w:val="18"/>
    </w:rPr>
  </w:style>
  <w:style w:type="paragraph" w:styleId="684">
    <w:name w:val="Header1"/>
    <w:basedOn w:val="627"/>
    <w:next w:val="684"/>
    <w:link w:val="685"/>
    <w:qFormat/>
    <w:pPr>
      <w:jc w:val="center"/>
      <w:tabs>
        <w:tab w:val="center" w:pos="4153" w:leader="none"/>
        <w:tab w:val="right" w:pos="8306" w:leader="none"/>
      </w:tabs>
      <w:pBdr>
        <w:bottom w:val="single" w:color="000000" w:sz="6" w:space="1"/>
      </w:pBdr>
    </w:pPr>
    <w:rPr>
      <w:sz w:val="18"/>
      <w:szCs w:val="18"/>
    </w:rPr>
  </w:style>
  <w:style w:type="character" w:styleId="685">
    <w:name w:val="页眉 Char"/>
    <w:next w:val="685"/>
    <w:link w:val="684"/>
    <w:qFormat/>
    <w:rPr>
      <w:rFonts w:ascii="Calibri" w:hAnsi="Calibri" w:eastAsia="Arial" w:cs="Arial"/>
      <w:sz w:val="18"/>
      <w:szCs w:val="18"/>
    </w:rPr>
  </w:style>
  <w:style w:type="character" w:styleId="686">
    <w:name w:val="Heading 2 Char"/>
    <w:next w:val="686"/>
    <w:link w:val="627"/>
    <w:uiPriority w:val="9"/>
    <w:rPr>
      <w:rFonts w:ascii="Arial" w:hAnsi="Arial" w:eastAsia="Arial" w:cs="Arial"/>
      <w:sz w:val="34"/>
    </w:rPr>
  </w:style>
  <w:style w:type="paragraph" w:styleId="687">
    <w:name w:val="列出段落"/>
    <w:basedOn w:val="627"/>
    <w:next w:val="687"/>
    <w:link w:val="627"/>
    <w:uiPriority w:val="34"/>
    <w:qFormat/>
    <w:pPr>
      <w:contextualSpacing/>
      <w:ind w:left="720"/>
    </w:pPr>
  </w:style>
  <w:style w:type="paragraph" w:styleId="688">
    <w:name w:val="无间隔"/>
    <w:next w:val="688"/>
    <w:link w:val="627"/>
    <w:uiPriority w:val="1"/>
    <w:qFormat/>
    <w:rPr>
      <w:lang w:val="en-US" w:eastAsia="zh-CN" w:bidi="ar-SA"/>
    </w:rPr>
  </w:style>
  <w:style w:type="paragraph" w:styleId="689">
    <w:name w:val="引用"/>
    <w:basedOn w:val="627"/>
    <w:next w:val="627"/>
    <w:link w:val="690"/>
    <w:uiPriority w:val="29"/>
    <w:qFormat/>
    <w:pPr>
      <w:ind w:left="720" w:right="720"/>
    </w:pPr>
    <w:rPr>
      <w:i/>
    </w:rPr>
  </w:style>
  <w:style w:type="character" w:styleId="690">
    <w:name w:val="引用 Char"/>
    <w:next w:val="690"/>
    <w:link w:val="689"/>
    <w:uiPriority w:val="29"/>
    <w:rPr>
      <w:i/>
    </w:rPr>
  </w:style>
  <w:style w:type="paragraph" w:styleId="691">
    <w:name w:val="明显引用"/>
    <w:basedOn w:val="627"/>
    <w:next w:val="627"/>
    <w:link w:val="6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明显引用 Char"/>
    <w:next w:val="692"/>
    <w:link w:val="691"/>
    <w:uiPriority w:val="30"/>
    <w:qFormat/>
    <w:rPr>
      <w:i/>
    </w:rPr>
  </w:style>
  <w:style w:type="character" w:styleId="693">
    <w:name w:val="Header Char"/>
    <w:next w:val="693"/>
    <w:link w:val="627"/>
    <w:uiPriority w:val="99"/>
    <w:qFormat/>
  </w:style>
  <w:style w:type="character" w:styleId="694">
    <w:name w:val="Footer Char"/>
    <w:next w:val="694"/>
    <w:link w:val="627"/>
    <w:uiPriority w:val="99"/>
    <w:qFormat/>
  </w:style>
  <w:style w:type="character" w:styleId="695">
    <w:name w:val="Caption Char"/>
    <w:next w:val="695"/>
    <w:link w:val="627"/>
    <w:uiPriority w:val="99"/>
    <w:qFormat/>
  </w:style>
  <w:style w:type="table" w:styleId="696">
    <w:name w:val="Table Grid Light"/>
    <w:basedOn w:val="629"/>
    <w:next w:val="696"/>
    <w:link w:val="627"/>
    <w:uiPriority w:val="59"/>
    <w:qFormat/>
    <w:pPr>
      <w:spacing w:after="0" w:line="240" w:lineRule="auto"/>
    </w:pPr>
    <w:tblPr/>
  </w:style>
  <w:style w:type="table" w:styleId="697">
    <w:name w:val="Plain Table 1"/>
    <w:basedOn w:val="629"/>
    <w:next w:val="697"/>
    <w:link w:val="627"/>
    <w:uiPriority w:val="59"/>
    <w:qFormat/>
    <w:pPr>
      <w:spacing w:after="0" w:line="240" w:lineRule="auto"/>
    </w:pPr>
    <w:tblPr/>
  </w:style>
  <w:style w:type="table" w:styleId="698">
    <w:name w:val="Plain Table 2"/>
    <w:basedOn w:val="629"/>
    <w:next w:val="698"/>
    <w:link w:val="627"/>
    <w:uiPriority w:val="59"/>
    <w:qFormat/>
    <w:pPr>
      <w:spacing w:after="0" w:line="240" w:lineRule="auto"/>
    </w:pPr>
    <w:tblPr/>
  </w:style>
  <w:style w:type="table" w:styleId="699">
    <w:name w:val="Plain Table 3"/>
    <w:basedOn w:val="629"/>
    <w:next w:val="699"/>
    <w:link w:val="627"/>
    <w:uiPriority w:val="99"/>
    <w:qFormat/>
    <w:pPr>
      <w:spacing w:after="0" w:line="240" w:lineRule="auto"/>
    </w:pPr>
    <w:tblPr/>
  </w:style>
  <w:style w:type="table" w:styleId="700">
    <w:name w:val="Plain Table 4"/>
    <w:basedOn w:val="629"/>
    <w:next w:val="700"/>
    <w:link w:val="627"/>
    <w:uiPriority w:val="99"/>
    <w:qFormat/>
    <w:pPr>
      <w:spacing w:after="0" w:line="240" w:lineRule="auto"/>
    </w:pPr>
    <w:tblPr/>
  </w:style>
  <w:style w:type="table" w:styleId="701">
    <w:name w:val="Plain Table 5"/>
    <w:basedOn w:val="629"/>
    <w:next w:val="701"/>
    <w:link w:val="627"/>
    <w:uiPriority w:val="99"/>
    <w:qFormat/>
    <w:pPr>
      <w:spacing w:after="0" w:line="240" w:lineRule="auto"/>
    </w:pPr>
    <w:tblPr/>
  </w:style>
  <w:style w:type="table" w:styleId="702">
    <w:name w:val="Grid Table 1 Light"/>
    <w:basedOn w:val="629"/>
    <w:next w:val="702"/>
    <w:link w:val="627"/>
    <w:uiPriority w:val="99"/>
    <w:qFormat/>
    <w:pPr>
      <w:spacing w:after="0" w:line="240" w:lineRule="auto"/>
    </w:pPr>
    <w:tblPr/>
  </w:style>
  <w:style w:type="table" w:styleId="703">
    <w:name w:val="Grid Table 1 Light - Accent 1"/>
    <w:basedOn w:val="629"/>
    <w:next w:val="703"/>
    <w:link w:val="627"/>
    <w:uiPriority w:val="99"/>
    <w:pPr>
      <w:spacing w:after="0" w:line="240" w:lineRule="auto"/>
    </w:pPr>
    <w:tblPr/>
  </w:style>
  <w:style w:type="table" w:styleId="704">
    <w:name w:val="Grid Table 1 Light - Accent 2"/>
    <w:basedOn w:val="629"/>
    <w:next w:val="704"/>
    <w:link w:val="627"/>
    <w:uiPriority w:val="99"/>
    <w:pPr>
      <w:spacing w:after="0" w:line="240" w:lineRule="auto"/>
    </w:pPr>
    <w:tblPr/>
  </w:style>
  <w:style w:type="table" w:styleId="705">
    <w:name w:val="Grid Table 1 Light - Accent 3"/>
    <w:basedOn w:val="629"/>
    <w:next w:val="705"/>
    <w:link w:val="627"/>
    <w:uiPriority w:val="99"/>
    <w:pPr>
      <w:spacing w:after="0" w:line="240" w:lineRule="auto"/>
    </w:pPr>
    <w:tblPr/>
  </w:style>
  <w:style w:type="table" w:styleId="706">
    <w:name w:val="Grid Table 1 Light - Accent 4"/>
    <w:basedOn w:val="629"/>
    <w:next w:val="706"/>
    <w:link w:val="627"/>
    <w:uiPriority w:val="99"/>
    <w:qFormat/>
    <w:pPr>
      <w:spacing w:after="0" w:line="240" w:lineRule="auto"/>
    </w:pPr>
    <w:tblPr/>
  </w:style>
  <w:style w:type="table" w:styleId="707">
    <w:name w:val="Grid Table 1 Light - Accent 5"/>
    <w:basedOn w:val="629"/>
    <w:next w:val="707"/>
    <w:link w:val="627"/>
    <w:uiPriority w:val="99"/>
    <w:pPr>
      <w:spacing w:after="0" w:line="240" w:lineRule="auto"/>
    </w:pPr>
    <w:tblPr/>
  </w:style>
  <w:style w:type="table" w:styleId="708">
    <w:name w:val="Grid Table 1 Light - Accent 6"/>
    <w:basedOn w:val="629"/>
    <w:next w:val="708"/>
    <w:link w:val="627"/>
    <w:uiPriority w:val="99"/>
    <w:pPr>
      <w:spacing w:after="0" w:line="240" w:lineRule="auto"/>
    </w:pPr>
    <w:tblPr/>
  </w:style>
  <w:style w:type="table" w:styleId="709">
    <w:name w:val="Grid Table 2"/>
    <w:basedOn w:val="629"/>
    <w:next w:val="709"/>
    <w:link w:val="627"/>
    <w:uiPriority w:val="99"/>
    <w:qFormat/>
    <w:pPr>
      <w:spacing w:after="0" w:line="240" w:lineRule="auto"/>
    </w:pPr>
    <w:tblPr/>
  </w:style>
  <w:style w:type="table" w:styleId="710">
    <w:name w:val="Grid Table 2 - Accent 1"/>
    <w:basedOn w:val="629"/>
    <w:next w:val="710"/>
    <w:link w:val="627"/>
    <w:uiPriority w:val="99"/>
    <w:qFormat/>
    <w:pPr>
      <w:spacing w:after="0" w:line="240" w:lineRule="auto"/>
    </w:pPr>
    <w:tblPr/>
  </w:style>
  <w:style w:type="table" w:styleId="711">
    <w:name w:val="Grid Table 2 - Accent 2"/>
    <w:basedOn w:val="629"/>
    <w:next w:val="711"/>
    <w:link w:val="627"/>
    <w:uiPriority w:val="99"/>
    <w:qFormat/>
    <w:pPr>
      <w:spacing w:after="0" w:line="240" w:lineRule="auto"/>
    </w:pPr>
    <w:tblPr/>
  </w:style>
  <w:style w:type="table" w:styleId="712">
    <w:name w:val="Grid Table 2 - Accent 3"/>
    <w:basedOn w:val="629"/>
    <w:next w:val="712"/>
    <w:link w:val="627"/>
    <w:uiPriority w:val="99"/>
    <w:pPr>
      <w:spacing w:after="0" w:line="240" w:lineRule="auto"/>
    </w:pPr>
    <w:tblPr/>
  </w:style>
  <w:style w:type="table" w:styleId="713">
    <w:name w:val="Grid Table 2 - Accent 4"/>
    <w:basedOn w:val="629"/>
    <w:next w:val="713"/>
    <w:link w:val="627"/>
    <w:uiPriority w:val="99"/>
    <w:qFormat/>
    <w:pPr>
      <w:spacing w:after="0" w:line="240" w:lineRule="auto"/>
    </w:pPr>
    <w:tblPr/>
  </w:style>
  <w:style w:type="table" w:styleId="714">
    <w:name w:val="Grid Table 2 - Accent 5"/>
    <w:basedOn w:val="629"/>
    <w:next w:val="714"/>
    <w:link w:val="627"/>
    <w:uiPriority w:val="99"/>
    <w:qFormat/>
    <w:pPr>
      <w:spacing w:after="0" w:line="240" w:lineRule="auto"/>
    </w:pPr>
    <w:tblPr/>
  </w:style>
  <w:style w:type="table" w:styleId="715">
    <w:name w:val="Grid Table 2 - Accent 6"/>
    <w:basedOn w:val="629"/>
    <w:next w:val="715"/>
    <w:link w:val="627"/>
    <w:uiPriority w:val="99"/>
    <w:pPr>
      <w:spacing w:after="0" w:line="240" w:lineRule="auto"/>
    </w:pPr>
    <w:tblPr/>
  </w:style>
  <w:style w:type="table" w:styleId="716">
    <w:name w:val="Grid Table 3"/>
    <w:basedOn w:val="629"/>
    <w:next w:val="716"/>
    <w:link w:val="627"/>
    <w:uiPriority w:val="99"/>
    <w:qFormat/>
    <w:pPr>
      <w:spacing w:after="0" w:line="240" w:lineRule="auto"/>
    </w:pPr>
    <w:tblPr/>
  </w:style>
  <w:style w:type="table" w:styleId="717">
    <w:name w:val="Grid Table 3 - Accent 1"/>
    <w:basedOn w:val="629"/>
    <w:next w:val="717"/>
    <w:link w:val="627"/>
    <w:uiPriority w:val="99"/>
    <w:qFormat/>
    <w:pPr>
      <w:spacing w:after="0" w:line="240" w:lineRule="auto"/>
    </w:pPr>
    <w:tblPr/>
  </w:style>
  <w:style w:type="table" w:styleId="718">
    <w:name w:val="Grid Table 3 - Accent 2"/>
    <w:basedOn w:val="629"/>
    <w:next w:val="718"/>
    <w:link w:val="627"/>
    <w:uiPriority w:val="99"/>
    <w:pPr>
      <w:spacing w:after="0" w:line="240" w:lineRule="auto"/>
    </w:pPr>
    <w:tblPr/>
  </w:style>
  <w:style w:type="table" w:styleId="719">
    <w:name w:val="Grid Table 3 - Accent 3"/>
    <w:basedOn w:val="629"/>
    <w:next w:val="719"/>
    <w:link w:val="627"/>
    <w:uiPriority w:val="99"/>
    <w:qFormat/>
    <w:pPr>
      <w:spacing w:after="0" w:line="240" w:lineRule="auto"/>
    </w:pPr>
    <w:tblPr/>
  </w:style>
  <w:style w:type="table" w:styleId="720">
    <w:name w:val="Grid Table 3 - Accent 4"/>
    <w:basedOn w:val="629"/>
    <w:next w:val="720"/>
    <w:link w:val="627"/>
    <w:uiPriority w:val="99"/>
    <w:qFormat/>
    <w:pPr>
      <w:spacing w:after="0" w:line="240" w:lineRule="auto"/>
    </w:pPr>
    <w:tblPr/>
  </w:style>
  <w:style w:type="table" w:styleId="721">
    <w:name w:val="Grid Table 3 - Accent 5"/>
    <w:basedOn w:val="629"/>
    <w:next w:val="721"/>
    <w:link w:val="627"/>
    <w:uiPriority w:val="99"/>
    <w:pPr>
      <w:spacing w:after="0" w:line="240" w:lineRule="auto"/>
    </w:pPr>
    <w:tblPr/>
  </w:style>
  <w:style w:type="table" w:styleId="722">
    <w:name w:val="Grid Table 3 - Accent 6"/>
    <w:basedOn w:val="629"/>
    <w:next w:val="722"/>
    <w:link w:val="627"/>
    <w:uiPriority w:val="99"/>
    <w:qFormat/>
    <w:pPr>
      <w:spacing w:after="0" w:line="240" w:lineRule="auto"/>
    </w:pPr>
    <w:tblPr/>
  </w:style>
  <w:style w:type="table" w:styleId="723">
    <w:name w:val="Grid Table 4"/>
    <w:basedOn w:val="629"/>
    <w:next w:val="723"/>
    <w:link w:val="627"/>
    <w:uiPriority w:val="59"/>
    <w:pPr>
      <w:spacing w:after="0" w:line="240" w:lineRule="auto"/>
    </w:pPr>
    <w:tblPr/>
  </w:style>
  <w:style w:type="table" w:styleId="724">
    <w:name w:val="Grid Table 4 - Accent 1"/>
    <w:basedOn w:val="629"/>
    <w:next w:val="724"/>
    <w:link w:val="627"/>
    <w:uiPriority w:val="59"/>
    <w:qFormat/>
    <w:pPr>
      <w:spacing w:after="0" w:line="240" w:lineRule="auto"/>
    </w:pPr>
    <w:tblPr/>
  </w:style>
  <w:style w:type="table" w:styleId="725">
    <w:name w:val="Grid Table 4 - Accent 2"/>
    <w:basedOn w:val="629"/>
    <w:next w:val="725"/>
    <w:link w:val="627"/>
    <w:uiPriority w:val="59"/>
    <w:qFormat/>
    <w:pPr>
      <w:spacing w:after="0" w:line="240" w:lineRule="auto"/>
    </w:pPr>
    <w:tblPr/>
  </w:style>
  <w:style w:type="table" w:styleId="726">
    <w:name w:val="Grid Table 4 - Accent 3"/>
    <w:basedOn w:val="629"/>
    <w:next w:val="726"/>
    <w:link w:val="627"/>
    <w:uiPriority w:val="59"/>
    <w:pPr>
      <w:spacing w:after="0" w:line="240" w:lineRule="auto"/>
    </w:pPr>
    <w:tblPr/>
  </w:style>
  <w:style w:type="table" w:styleId="727">
    <w:name w:val="Grid Table 4 - Accent 4"/>
    <w:basedOn w:val="629"/>
    <w:next w:val="727"/>
    <w:link w:val="627"/>
    <w:uiPriority w:val="59"/>
    <w:qFormat/>
    <w:pPr>
      <w:spacing w:after="0" w:line="240" w:lineRule="auto"/>
    </w:pPr>
    <w:tblPr/>
  </w:style>
  <w:style w:type="table" w:styleId="728">
    <w:name w:val="Grid Table 4 - Accent 5"/>
    <w:basedOn w:val="629"/>
    <w:next w:val="728"/>
    <w:link w:val="627"/>
    <w:uiPriority w:val="59"/>
    <w:qFormat/>
    <w:pPr>
      <w:spacing w:after="0" w:line="240" w:lineRule="auto"/>
    </w:pPr>
    <w:tblPr/>
  </w:style>
  <w:style w:type="table" w:styleId="729">
    <w:name w:val="Grid Table 4 - Accent 6"/>
    <w:basedOn w:val="629"/>
    <w:next w:val="729"/>
    <w:link w:val="627"/>
    <w:uiPriority w:val="59"/>
    <w:qFormat/>
    <w:pPr>
      <w:spacing w:after="0" w:line="240" w:lineRule="auto"/>
    </w:pPr>
    <w:tblPr/>
  </w:style>
  <w:style w:type="table" w:styleId="730">
    <w:name w:val="Grid Table 5 Dark"/>
    <w:basedOn w:val="629"/>
    <w:next w:val="730"/>
    <w:link w:val="627"/>
    <w:uiPriority w:val="99"/>
    <w:qFormat/>
    <w:pPr>
      <w:spacing w:after="0" w:line="240" w:lineRule="auto"/>
    </w:pPr>
    <w:tblPr/>
  </w:style>
  <w:style w:type="table" w:styleId="731">
    <w:name w:val="Grid Table 5 Dark- Accent 1"/>
    <w:basedOn w:val="629"/>
    <w:next w:val="731"/>
    <w:link w:val="627"/>
    <w:uiPriority w:val="99"/>
    <w:qFormat/>
    <w:pPr>
      <w:spacing w:after="0" w:line="240" w:lineRule="auto"/>
    </w:pPr>
    <w:tblPr/>
  </w:style>
  <w:style w:type="table" w:styleId="732">
    <w:name w:val="Grid Table 5 Dark - Accent 2"/>
    <w:basedOn w:val="629"/>
    <w:next w:val="732"/>
    <w:link w:val="627"/>
    <w:uiPriority w:val="99"/>
    <w:pPr>
      <w:spacing w:after="0" w:line="240" w:lineRule="auto"/>
    </w:pPr>
    <w:tblPr/>
  </w:style>
  <w:style w:type="table" w:styleId="733">
    <w:name w:val="Grid Table 5 Dark - Accent 3"/>
    <w:basedOn w:val="629"/>
    <w:next w:val="733"/>
    <w:link w:val="627"/>
    <w:uiPriority w:val="99"/>
    <w:qFormat/>
    <w:pPr>
      <w:spacing w:after="0" w:line="240" w:lineRule="auto"/>
    </w:pPr>
    <w:tblPr/>
  </w:style>
  <w:style w:type="table" w:styleId="734">
    <w:name w:val="Grid Table 5 Dark- Accent 4"/>
    <w:basedOn w:val="629"/>
    <w:next w:val="734"/>
    <w:link w:val="627"/>
    <w:uiPriority w:val="99"/>
    <w:pPr>
      <w:spacing w:after="0" w:line="240" w:lineRule="auto"/>
    </w:pPr>
    <w:tblPr/>
  </w:style>
  <w:style w:type="table" w:styleId="735">
    <w:name w:val="Grid Table 5 Dark - Accent 5"/>
    <w:basedOn w:val="629"/>
    <w:next w:val="735"/>
    <w:link w:val="627"/>
    <w:uiPriority w:val="99"/>
    <w:qFormat/>
    <w:pPr>
      <w:spacing w:after="0" w:line="240" w:lineRule="auto"/>
    </w:pPr>
    <w:tblPr/>
  </w:style>
  <w:style w:type="table" w:styleId="736">
    <w:name w:val="Grid Table 5 Dark - Accent 6"/>
    <w:basedOn w:val="629"/>
    <w:next w:val="736"/>
    <w:link w:val="627"/>
    <w:uiPriority w:val="99"/>
    <w:qFormat/>
    <w:pPr>
      <w:spacing w:after="0" w:line="240" w:lineRule="auto"/>
    </w:pPr>
    <w:tblPr/>
  </w:style>
  <w:style w:type="table" w:styleId="737">
    <w:name w:val="Grid Table 6 Colorful"/>
    <w:basedOn w:val="629"/>
    <w:next w:val="737"/>
    <w:link w:val="627"/>
    <w:uiPriority w:val="99"/>
    <w:qFormat/>
    <w:pPr>
      <w:spacing w:after="0" w:line="240" w:lineRule="auto"/>
    </w:pPr>
    <w:tblPr/>
  </w:style>
  <w:style w:type="table" w:styleId="738">
    <w:name w:val="Grid Table 6 Colorful - Accent 1"/>
    <w:basedOn w:val="629"/>
    <w:next w:val="738"/>
    <w:link w:val="627"/>
    <w:uiPriority w:val="99"/>
    <w:pPr>
      <w:spacing w:after="0" w:line="240" w:lineRule="auto"/>
    </w:pPr>
    <w:tblPr/>
  </w:style>
  <w:style w:type="table" w:styleId="739">
    <w:name w:val="Grid Table 6 Colorful - Accent 2"/>
    <w:basedOn w:val="629"/>
    <w:next w:val="739"/>
    <w:link w:val="627"/>
    <w:uiPriority w:val="99"/>
    <w:pPr>
      <w:spacing w:after="0" w:line="240" w:lineRule="auto"/>
    </w:pPr>
    <w:tblPr/>
  </w:style>
  <w:style w:type="table" w:styleId="740">
    <w:name w:val="Grid Table 6 Colorful - Accent 3"/>
    <w:basedOn w:val="629"/>
    <w:next w:val="740"/>
    <w:link w:val="627"/>
    <w:uiPriority w:val="99"/>
    <w:pPr>
      <w:spacing w:after="0" w:line="240" w:lineRule="auto"/>
    </w:pPr>
    <w:tblPr/>
  </w:style>
  <w:style w:type="table" w:styleId="741">
    <w:name w:val="Grid Table 6 Colorful - Accent 4"/>
    <w:basedOn w:val="629"/>
    <w:next w:val="741"/>
    <w:link w:val="627"/>
    <w:uiPriority w:val="99"/>
    <w:qFormat/>
    <w:pPr>
      <w:spacing w:after="0" w:line="240" w:lineRule="auto"/>
    </w:pPr>
    <w:tblPr/>
  </w:style>
  <w:style w:type="table" w:styleId="742">
    <w:name w:val="Grid Table 6 Colorful - Accent 5"/>
    <w:basedOn w:val="629"/>
    <w:next w:val="742"/>
    <w:link w:val="627"/>
    <w:uiPriority w:val="99"/>
    <w:pPr>
      <w:spacing w:after="0" w:line="240" w:lineRule="auto"/>
    </w:pPr>
    <w:tblPr/>
  </w:style>
  <w:style w:type="table" w:styleId="743">
    <w:name w:val="Grid Table 6 Colorful - Accent 6"/>
    <w:basedOn w:val="629"/>
    <w:next w:val="743"/>
    <w:link w:val="627"/>
    <w:uiPriority w:val="99"/>
    <w:qFormat/>
    <w:pPr>
      <w:spacing w:after="0" w:line="240" w:lineRule="auto"/>
    </w:pPr>
    <w:tblPr/>
  </w:style>
  <w:style w:type="table" w:styleId="744">
    <w:name w:val="Grid Table 7 Colorful"/>
    <w:basedOn w:val="629"/>
    <w:next w:val="744"/>
    <w:link w:val="627"/>
    <w:uiPriority w:val="99"/>
    <w:qFormat/>
    <w:pPr>
      <w:spacing w:after="0" w:line="240" w:lineRule="auto"/>
    </w:pPr>
    <w:tblPr/>
  </w:style>
  <w:style w:type="table" w:styleId="745">
    <w:name w:val="Grid Table 7 Colorful - Accent 1"/>
    <w:basedOn w:val="629"/>
    <w:next w:val="745"/>
    <w:link w:val="627"/>
    <w:uiPriority w:val="99"/>
    <w:qFormat/>
    <w:pPr>
      <w:spacing w:after="0" w:line="240" w:lineRule="auto"/>
    </w:pPr>
    <w:tblPr/>
  </w:style>
  <w:style w:type="table" w:styleId="746">
    <w:name w:val="Grid Table 7 Colorful - Accent 2"/>
    <w:basedOn w:val="629"/>
    <w:next w:val="746"/>
    <w:link w:val="627"/>
    <w:uiPriority w:val="99"/>
    <w:qFormat/>
    <w:pPr>
      <w:spacing w:after="0" w:line="240" w:lineRule="auto"/>
    </w:pPr>
    <w:tblPr/>
  </w:style>
  <w:style w:type="table" w:styleId="747">
    <w:name w:val="Grid Table 7 Colorful - Accent 3"/>
    <w:basedOn w:val="629"/>
    <w:next w:val="747"/>
    <w:link w:val="627"/>
    <w:uiPriority w:val="99"/>
    <w:pPr>
      <w:spacing w:after="0" w:line="240" w:lineRule="auto"/>
    </w:pPr>
    <w:tblPr/>
  </w:style>
  <w:style w:type="table" w:styleId="748">
    <w:name w:val="Grid Table 7 Colorful - Accent 4"/>
    <w:basedOn w:val="629"/>
    <w:next w:val="748"/>
    <w:link w:val="627"/>
    <w:uiPriority w:val="99"/>
    <w:qFormat/>
    <w:pPr>
      <w:spacing w:after="0" w:line="240" w:lineRule="auto"/>
    </w:pPr>
    <w:tblPr/>
  </w:style>
  <w:style w:type="table" w:styleId="749">
    <w:name w:val="Grid Table 7 Colorful - Accent 5"/>
    <w:basedOn w:val="629"/>
    <w:next w:val="749"/>
    <w:link w:val="627"/>
    <w:uiPriority w:val="99"/>
    <w:pPr>
      <w:spacing w:after="0" w:line="240" w:lineRule="auto"/>
    </w:pPr>
    <w:tblPr/>
  </w:style>
  <w:style w:type="table" w:styleId="750">
    <w:name w:val="Grid Table 7 Colorful - Accent 6"/>
    <w:basedOn w:val="629"/>
    <w:next w:val="750"/>
    <w:link w:val="627"/>
    <w:uiPriority w:val="99"/>
    <w:qFormat/>
    <w:pPr>
      <w:spacing w:after="0" w:line="240" w:lineRule="auto"/>
    </w:pPr>
    <w:tblPr/>
  </w:style>
  <w:style w:type="table" w:styleId="751">
    <w:name w:val="List Table 1 Light"/>
    <w:basedOn w:val="629"/>
    <w:next w:val="751"/>
    <w:link w:val="627"/>
    <w:uiPriority w:val="99"/>
    <w:pPr>
      <w:spacing w:after="0" w:line="240" w:lineRule="auto"/>
    </w:pPr>
    <w:tblPr/>
  </w:style>
  <w:style w:type="table" w:styleId="752">
    <w:name w:val="List Table 1 Light - Accent 1"/>
    <w:basedOn w:val="629"/>
    <w:next w:val="752"/>
    <w:link w:val="627"/>
    <w:uiPriority w:val="99"/>
    <w:qFormat/>
    <w:pPr>
      <w:spacing w:after="0" w:line="240" w:lineRule="auto"/>
    </w:pPr>
    <w:tblPr/>
  </w:style>
  <w:style w:type="table" w:styleId="753">
    <w:name w:val="List Table 1 Light - Accent 2"/>
    <w:basedOn w:val="629"/>
    <w:next w:val="753"/>
    <w:link w:val="627"/>
    <w:uiPriority w:val="99"/>
    <w:pPr>
      <w:spacing w:after="0" w:line="240" w:lineRule="auto"/>
    </w:pPr>
    <w:tblPr/>
  </w:style>
  <w:style w:type="table" w:styleId="754">
    <w:name w:val="List Table 1 Light - Accent 3"/>
    <w:basedOn w:val="629"/>
    <w:next w:val="754"/>
    <w:link w:val="627"/>
    <w:uiPriority w:val="99"/>
    <w:qFormat/>
    <w:pPr>
      <w:spacing w:after="0" w:line="240" w:lineRule="auto"/>
    </w:pPr>
    <w:tblPr/>
  </w:style>
  <w:style w:type="table" w:styleId="755">
    <w:name w:val="List Table 1 Light - Accent 4"/>
    <w:basedOn w:val="629"/>
    <w:next w:val="755"/>
    <w:link w:val="627"/>
    <w:uiPriority w:val="99"/>
    <w:qFormat/>
    <w:pPr>
      <w:spacing w:after="0" w:line="240" w:lineRule="auto"/>
    </w:pPr>
    <w:tblPr/>
  </w:style>
  <w:style w:type="table" w:styleId="756">
    <w:name w:val="List Table 1 Light - Accent 5"/>
    <w:basedOn w:val="629"/>
    <w:next w:val="756"/>
    <w:link w:val="627"/>
    <w:uiPriority w:val="99"/>
    <w:qFormat/>
    <w:pPr>
      <w:spacing w:after="0" w:line="240" w:lineRule="auto"/>
    </w:pPr>
    <w:tblPr/>
  </w:style>
  <w:style w:type="table" w:styleId="757">
    <w:name w:val="List Table 1 Light - Accent 6"/>
    <w:basedOn w:val="629"/>
    <w:next w:val="757"/>
    <w:link w:val="627"/>
    <w:uiPriority w:val="99"/>
    <w:qFormat/>
    <w:pPr>
      <w:spacing w:after="0" w:line="240" w:lineRule="auto"/>
    </w:pPr>
    <w:tblPr/>
  </w:style>
  <w:style w:type="table" w:styleId="758">
    <w:name w:val="List Table 2"/>
    <w:basedOn w:val="629"/>
    <w:next w:val="758"/>
    <w:link w:val="627"/>
    <w:uiPriority w:val="99"/>
    <w:qFormat/>
    <w:pPr>
      <w:spacing w:after="0" w:line="240" w:lineRule="auto"/>
    </w:pPr>
    <w:tblPr/>
  </w:style>
  <w:style w:type="table" w:styleId="759">
    <w:name w:val="List Table 2 - Accent 1"/>
    <w:basedOn w:val="629"/>
    <w:next w:val="759"/>
    <w:link w:val="627"/>
    <w:uiPriority w:val="99"/>
    <w:qFormat/>
    <w:pPr>
      <w:spacing w:after="0" w:line="240" w:lineRule="auto"/>
    </w:pPr>
    <w:tblPr/>
  </w:style>
  <w:style w:type="table" w:styleId="760">
    <w:name w:val="List Table 2 - Accent 2"/>
    <w:basedOn w:val="629"/>
    <w:next w:val="760"/>
    <w:link w:val="627"/>
    <w:uiPriority w:val="99"/>
    <w:qFormat/>
    <w:pPr>
      <w:spacing w:after="0" w:line="240" w:lineRule="auto"/>
    </w:pPr>
    <w:tblPr/>
  </w:style>
  <w:style w:type="table" w:styleId="761">
    <w:name w:val="List Table 2 - Accent 3"/>
    <w:basedOn w:val="629"/>
    <w:next w:val="761"/>
    <w:link w:val="627"/>
    <w:uiPriority w:val="99"/>
    <w:qFormat/>
    <w:pPr>
      <w:spacing w:after="0" w:line="240" w:lineRule="auto"/>
    </w:pPr>
    <w:tblPr/>
  </w:style>
  <w:style w:type="table" w:styleId="762">
    <w:name w:val="List Table 2 - Accent 4"/>
    <w:basedOn w:val="629"/>
    <w:next w:val="762"/>
    <w:link w:val="627"/>
    <w:uiPriority w:val="99"/>
    <w:qFormat/>
    <w:pPr>
      <w:spacing w:after="0" w:line="240" w:lineRule="auto"/>
    </w:pPr>
    <w:tblPr/>
  </w:style>
  <w:style w:type="table" w:styleId="763">
    <w:name w:val="List Table 2 - Accent 5"/>
    <w:basedOn w:val="629"/>
    <w:next w:val="763"/>
    <w:link w:val="627"/>
    <w:uiPriority w:val="99"/>
    <w:qFormat/>
    <w:pPr>
      <w:spacing w:after="0" w:line="240" w:lineRule="auto"/>
    </w:pPr>
    <w:tblPr/>
  </w:style>
  <w:style w:type="table" w:styleId="764">
    <w:name w:val="List Table 2 - Accent 6"/>
    <w:basedOn w:val="629"/>
    <w:next w:val="764"/>
    <w:link w:val="627"/>
    <w:uiPriority w:val="99"/>
    <w:qFormat/>
    <w:pPr>
      <w:spacing w:after="0" w:line="240" w:lineRule="auto"/>
    </w:pPr>
    <w:tblPr/>
  </w:style>
  <w:style w:type="table" w:styleId="765">
    <w:name w:val="List Table 3"/>
    <w:basedOn w:val="629"/>
    <w:next w:val="765"/>
    <w:link w:val="627"/>
    <w:uiPriority w:val="99"/>
    <w:qFormat/>
    <w:pPr>
      <w:spacing w:after="0" w:line="240" w:lineRule="auto"/>
    </w:pPr>
    <w:tblPr/>
  </w:style>
  <w:style w:type="table" w:styleId="766">
    <w:name w:val="List Table 3 - Accent 1"/>
    <w:basedOn w:val="629"/>
    <w:next w:val="766"/>
    <w:link w:val="627"/>
    <w:uiPriority w:val="99"/>
    <w:qFormat/>
    <w:pPr>
      <w:spacing w:after="0" w:line="240" w:lineRule="auto"/>
    </w:pPr>
    <w:tblPr/>
  </w:style>
  <w:style w:type="table" w:styleId="767">
    <w:name w:val="List Table 3 - Accent 2"/>
    <w:basedOn w:val="629"/>
    <w:next w:val="767"/>
    <w:link w:val="627"/>
    <w:uiPriority w:val="99"/>
    <w:qFormat/>
    <w:pPr>
      <w:spacing w:after="0" w:line="240" w:lineRule="auto"/>
    </w:pPr>
    <w:tblPr/>
  </w:style>
  <w:style w:type="table" w:styleId="768">
    <w:name w:val="List Table 3 - Accent 3"/>
    <w:basedOn w:val="629"/>
    <w:next w:val="768"/>
    <w:link w:val="627"/>
    <w:uiPriority w:val="99"/>
    <w:qFormat/>
    <w:pPr>
      <w:spacing w:after="0" w:line="240" w:lineRule="auto"/>
    </w:pPr>
    <w:tblPr/>
  </w:style>
  <w:style w:type="table" w:styleId="769">
    <w:name w:val="List Table 3 - Accent 4"/>
    <w:basedOn w:val="629"/>
    <w:next w:val="769"/>
    <w:link w:val="627"/>
    <w:uiPriority w:val="99"/>
    <w:qFormat/>
    <w:pPr>
      <w:spacing w:after="0" w:line="240" w:lineRule="auto"/>
    </w:pPr>
    <w:tblPr/>
  </w:style>
  <w:style w:type="table" w:styleId="770">
    <w:name w:val="List Table 3 - Accent 5"/>
    <w:basedOn w:val="629"/>
    <w:next w:val="770"/>
    <w:link w:val="627"/>
    <w:uiPriority w:val="99"/>
    <w:qFormat/>
    <w:pPr>
      <w:spacing w:after="0" w:line="240" w:lineRule="auto"/>
    </w:pPr>
    <w:tblPr/>
  </w:style>
  <w:style w:type="table" w:styleId="771">
    <w:name w:val="List Table 3 - Accent 6"/>
    <w:basedOn w:val="629"/>
    <w:next w:val="771"/>
    <w:link w:val="627"/>
    <w:uiPriority w:val="99"/>
    <w:qFormat/>
    <w:pPr>
      <w:spacing w:after="0" w:line="240" w:lineRule="auto"/>
    </w:pPr>
    <w:tblPr/>
  </w:style>
  <w:style w:type="table" w:styleId="772">
    <w:name w:val="List Table 4"/>
    <w:basedOn w:val="629"/>
    <w:next w:val="772"/>
    <w:link w:val="627"/>
    <w:uiPriority w:val="99"/>
    <w:qFormat/>
    <w:pPr>
      <w:spacing w:after="0" w:line="240" w:lineRule="auto"/>
    </w:pPr>
    <w:tblPr/>
  </w:style>
  <w:style w:type="table" w:styleId="773">
    <w:name w:val="List Table 4 - Accent 1"/>
    <w:basedOn w:val="629"/>
    <w:next w:val="773"/>
    <w:link w:val="627"/>
    <w:uiPriority w:val="99"/>
    <w:qFormat/>
    <w:pPr>
      <w:spacing w:after="0" w:line="240" w:lineRule="auto"/>
    </w:pPr>
    <w:tblPr/>
  </w:style>
  <w:style w:type="table" w:styleId="774">
    <w:name w:val="List Table 4 - Accent 2"/>
    <w:basedOn w:val="629"/>
    <w:next w:val="774"/>
    <w:link w:val="627"/>
    <w:uiPriority w:val="99"/>
    <w:qFormat/>
    <w:pPr>
      <w:spacing w:after="0" w:line="240" w:lineRule="auto"/>
    </w:pPr>
    <w:tblPr/>
  </w:style>
  <w:style w:type="table" w:styleId="775">
    <w:name w:val="List Table 4 - Accent 3"/>
    <w:basedOn w:val="629"/>
    <w:next w:val="775"/>
    <w:link w:val="627"/>
    <w:uiPriority w:val="99"/>
    <w:qFormat/>
    <w:pPr>
      <w:spacing w:after="0" w:line="240" w:lineRule="auto"/>
    </w:pPr>
    <w:tblPr/>
  </w:style>
  <w:style w:type="table" w:styleId="776">
    <w:name w:val="List Table 4 - Accent 4"/>
    <w:basedOn w:val="629"/>
    <w:next w:val="776"/>
    <w:link w:val="627"/>
    <w:uiPriority w:val="99"/>
    <w:qFormat/>
    <w:pPr>
      <w:spacing w:after="0" w:line="240" w:lineRule="auto"/>
    </w:pPr>
    <w:tblPr/>
  </w:style>
  <w:style w:type="table" w:styleId="777">
    <w:name w:val="List Table 4 - Accent 5"/>
    <w:basedOn w:val="629"/>
    <w:next w:val="777"/>
    <w:link w:val="627"/>
    <w:uiPriority w:val="99"/>
    <w:qFormat/>
    <w:pPr>
      <w:spacing w:after="0" w:line="240" w:lineRule="auto"/>
    </w:pPr>
    <w:tblPr/>
  </w:style>
  <w:style w:type="table" w:styleId="778">
    <w:name w:val="List Table 4 - Accent 6"/>
    <w:basedOn w:val="629"/>
    <w:next w:val="778"/>
    <w:link w:val="627"/>
    <w:uiPriority w:val="99"/>
    <w:qFormat/>
    <w:pPr>
      <w:spacing w:after="0" w:line="240" w:lineRule="auto"/>
    </w:pPr>
    <w:tblPr/>
  </w:style>
  <w:style w:type="table" w:styleId="779">
    <w:name w:val="List Table 5 Dark"/>
    <w:basedOn w:val="629"/>
    <w:next w:val="779"/>
    <w:link w:val="627"/>
    <w:uiPriority w:val="99"/>
    <w:qFormat/>
    <w:pPr>
      <w:spacing w:after="0" w:line="240" w:lineRule="auto"/>
    </w:pPr>
    <w:tblPr/>
  </w:style>
  <w:style w:type="table" w:styleId="780">
    <w:name w:val="List Table 5 Dark - Accent 1"/>
    <w:basedOn w:val="629"/>
    <w:next w:val="780"/>
    <w:link w:val="627"/>
    <w:uiPriority w:val="99"/>
    <w:qFormat/>
    <w:pPr>
      <w:spacing w:after="0" w:line="240" w:lineRule="auto"/>
    </w:pPr>
    <w:tblPr/>
  </w:style>
  <w:style w:type="table" w:styleId="781">
    <w:name w:val="List Table 5 Dark - Accent 2"/>
    <w:basedOn w:val="629"/>
    <w:next w:val="781"/>
    <w:link w:val="627"/>
    <w:uiPriority w:val="99"/>
    <w:qFormat/>
    <w:pPr>
      <w:spacing w:after="0" w:line="240" w:lineRule="auto"/>
    </w:pPr>
    <w:tblPr/>
  </w:style>
  <w:style w:type="table" w:styleId="782">
    <w:name w:val="List Table 5 Dark - Accent 3"/>
    <w:basedOn w:val="629"/>
    <w:next w:val="782"/>
    <w:link w:val="627"/>
    <w:uiPriority w:val="99"/>
    <w:qFormat/>
    <w:pPr>
      <w:spacing w:after="0" w:line="240" w:lineRule="auto"/>
    </w:pPr>
    <w:tblPr/>
  </w:style>
  <w:style w:type="table" w:styleId="783">
    <w:name w:val="List Table 5 Dark - Accent 4"/>
    <w:basedOn w:val="629"/>
    <w:next w:val="783"/>
    <w:link w:val="627"/>
    <w:uiPriority w:val="99"/>
    <w:qFormat/>
    <w:pPr>
      <w:spacing w:after="0" w:line="240" w:lineRule="auto"/>
    </w:pPr>
    <w:tblPr/>
  </w:style>
  <w:style w:type="table" w:styleId="784">
    <w:name w:val="List Table 5 Dark - Accent 5"/>
    <w:basedOn w:val="629"/>
    <w:next w:val="784"/>
    <w:link w:val="627"/>
    <w:uiPriority w:val="99"/>
    <w:qFormat/>
    <w:pPr>
      <w:spacing w:after="0" w:line="240" w:lineRule="auto"/>
    </w:pPr>
    <w:tblPr/>
  </w:style>
  <w:style w:type="table" w:styleId="785">
    <w:name w:val="List Table 5 Dark - Accent 6"/>
    <w:basedOn w:val="629"/>
    <w:next w:val="785"/>
    <w:link w:val="627"/>
    <w:uiPriority w:val="99"/>
    <w:qFormat/>
    <w:pPr>
      <w:spacing w:after="0" w:line="240" w:lineRule="auto"/>
    </w:pPr>
    <w:tblPr/>
  </w:style>
  <w:style w:type="table" w:styleId="786">
    <w:name w:val="List Table 6 Colorful"/>
    <w:basedOn w:val="629"/>
    <w:next w:val="786"/>
    <w:link w:val="627"/>
    <w:uiPriority w:val="99"/>
    <w:qFormat/>
    <w:pPr>
      <w:spacing w:after="0" w:line="240" w:lineRule="auto"/>
    </w:pPr>
    <w:tblPr/>
  </w:style>
  <w:style w:type="table" w:styleId="787">
    <w:name w:val="List Table 6 Colorful - Accent 1"/>
    <w:basedOn w:val="629"/>
    <w:next w:val="787"/>
    <w:link w:val="627"/>
    <w:uiPriority w:val="99"/>
    <w:qFormat/>
    <w:pPr>
      <w:spacing w:after="0" w:line="240" w:lineRule="auto"/>
    </w:pPr>
    <w:tblPr/>
  </w:style>
  <w:style w:type="table" w:styleId="788">
    <w:name w:val="List Table 6 Colorful - Accent 2"/>
    <w:basedOn w:val="629"/>
    <w:next w:val="788"/>
    <w:link w:val="627"/>
    <w:uiPriority w:val="99"/>
    <w:qFormat/>
    <w:pPr>
      <w:spacing w:after="0" w:line="240" w:lineRule="auto"/>
    </w:pPr>
    <w:tblPr/>
  </w:style>
  <w:style w:type="table" w:styleId="789">
    <w:name w:val="List Table 6 Colorful - Accent 3"/>
    <w:basedOn w:val="629"/>
    <w:next w:val="789"/>
    <w:link w:val="627"/>
    <w:uiPriority w:val="99"/>
    <w:qFormat/>
    <w:pPr>
      <w:spacing w:after="0" w:line="240" w:lineRule="auto"/>
    </w:pPr>
    <w:tblPr/>
  </w:style>
  <w:style w:type="table" w:styleId="790">
    <w:name w:val="List Table 6 Colorful - Accent 4"/>
    <w:basedOn w:val="629"/>
    <w:next w:val="790"/>
    <w:link w:val="627"/>
    <w:uiPriority w:val="99"/>
    <w:qFormat/>
    <w:pPr>
      <w:spacing w:after="0" w:line="240" w:lineRule="auto"/>
    </w:pPr>
    <w:tblPr/>
  </w:style>
  <w:style w:type="table" w:styleId="791">
    <w:name w:val="List Table 6 Colorful - Accent 5"/>
    <w:basedOn w:val="629"/>
    <w:next w:val="791"/>
    <w:link w:val="627"/>
    <w:uiPriority w:val="99"/>
    <w:qFormat/>
    <w:pPr>
      <w:spacing w:after="0" w:line="240" w:lineRule="auto"/>
    </w:pPr>
    <w:tblPr/>
  </w:style>
  <w:style w:type="table" w:styleId="792">
    <w:name w:val="List Table 6 Colorful - Accent 6"/>
    <w:basedOn w:val="629"/>
    <w:next w:val="792"/>
    <w:link w:val="627"/>
    <w:uiPriority w:val="99"/>
    <w:qFormat/>
    <w:pPr>
      <w:spacing w:after="0" w:line="240" w:lineRule="auto"/>
    </w:pPr>
    <w:tblPr/>
  </w:style>
  <w:style w:type="table" w:styleId="793">
    <w:name w:val="List Table 7 Colorful"/>
    <w:basedOn w:val="629"/>
    <w:next w:val="793"/>
    <w:link w:val="627"/>
    <w:uiPriority w:val="99"/>
    <w:qFormat/>
    <w:pPr>
      <w:spacing w:after="0" w:line="240" w:lineRule="auto"/>
    </w:pPr>
    <w:tblPr/>
  </w:style>
  <w:style w:type="table" w:styleId="794">
    <w:name w:val="List Table 7 Colorful - Accent 1"/>
    <w:basedOn w:val="629"/>
    <w:next w:val="794"/>
    <w:link w:val="627"/>
    <w:uiPriority w:val="99"/>
    <w:qFormat/>
    <w:pPr>
      <w:spacing w:after="0" w:line="240" w:lineRule="auto"/>
    </w:pPr>
    <w:tblPr/>
  </w:style>
  <w:style w:type="table" w:styleId="795">
    <w:name w:val="List Table 7 Colorful - Accent 2"/>
    <w:basedOn w:val="629"/>
    <w:next w:val="795"/>
    <w:link w:val="627"/>
    <w:uiPriority w:val="99"/>
    <w:qFormat/>
    <w:pPr>
      <w:spacing w:after="0" w:line="240" w:lineRule="auto"/>
    </w:pPr>
    <w:tblPr/>
  </w:style>
  <w:style w:type="table" w:styleId="796">
    <w:name w:val="List Table 7 Colorful - Accent 3"/>
    <w:basedOn w:val="629"/>
    <w:next w:val="796"/>
    <w:link w:val="627"/>
    <w:uiPriority w:val="99"/>
    <w:qFormat/>
    <w:pPr>
      <w:spacing w:after="0" w:line="240" w:lineRule="auto"/>
    </w:pPr>
    <w:tblPr/>
  </w:style>
  <w:style w:type="table" w:styleId="797">
    <w:name w:val="List Table 7 Colorful - Accent 4"/>
    <w:basedOn w:val="629"/>
    <w:next w:val="797"/>
    <w:link w:val="627"/>
    <w:uiPriority w:val="99"/>
    <w:qFormat/>
    <w:pPr>
      <w:spacing w:after="0" w:line="240" w:lineRule="auto"/>
    </w:pPr>
    <w:tblPr/>
  </w:style>
  <w:style w:type="table" w:styleId="798">
    <w:name w:val="List Table 7 Colorful - Accent 5"/>
    <w:basedOn w:val="629"/>
    <w:next w:val="798"/>
    <w:link w:val="627"/>
    <w:uiPriority w:val="99"/>
    <w:qFormat/>
    <w:pPr>
      <w:spacing w:after="0" w:line="240" w:lineRule="auto"/>
    </w:pPr>
    <w:tblPr/>
  </w:style>
  <w:style w:type="table" w:styleId="799">
    <w:name w:val="List Table 7 Colorful - Accent 6"/>
    <w:basedOn w:val="629"/>
    <w:next w:val="799"/>
    <w:link w:val="627"/>
    <w:uiPriority w:val="99"/>
    <w:qFormat/>
    <w:pPr>
      <w:spacing w:after="0" w:line="240" w:lineRule="auto"/>
    </w:pPr>
    <w:tblPr/>
  </w:style>
  <w:style w:type="table" w:styleId="800">
    <w:name w:val="Lined - Accent"/>
    <w:basedOn w:val="629"/>
    <w:next w:val="800"/>
    <w:link w:val="627"/>
    <w:uiPriority w:val="99"/>
    <w:qFormat/>
    <w:pPr>
      <w:spacing w:after="0" w:line="240" w:lineRule="auto"/>
    </w:pPr>
    <w:rPr>
      <w:color w:val="404040"/>
    </w:rPr>
    <w:tblPr/>
  </w:style>
  <w:style w:type="table" w:styleId="801">
    <w:name w:val="Lined - Accent 1"/>
    <w:basedOn w:val="629"/>
    <w:next w:val="801"/>
    <w:link w:val="627"/>
    <w:uiPriority w:val="99"/>
    <w:qFormat/>
    <w:pPr>
      <w:spacing w:after="0" w:line="240" w:lineRule="auto"/>
    </w:pPr>
    <w:rPr>
      <w:color w:val="404040"/>
    </w:rPr>
    <w:tblPr/>
  </w:style>
  <w:style w:type="table" w:styleId="802">
    <w:name w:val="Lined - Accent 2"/>
    <w:basedOn w:val="629"/>
    <w:next w:val="802"/>
    <w:link w:val="627"/>
    <w:uiPriority w:val="99"/>
    <w:qFormat/>
    <w:pPr>
      <w:spacing w:after="0" w:line="240" w:lineRule="auto"/>
    </w:pPr>
    <w:rPr>
      <w:color w:val="404040"/>
    </w:rPr>
    <w:tblPr/>
  </w:style>
  <w:style w:type="table" w:styleId="803">
    <w:name w:val="Lined - Accent 3"/>
    <w:basedOn w:val="629"/>
    <w:next w:val="803"/>
    <w:link w:val="627"/>
    <w:uiPriority w:val="99"/>
    <w:qFormat/>
    <w:pPr>
      <w:spacing w:after="0" w:line="240" w:lineRule="auto"/>
    </w:pPr>
    <w:rPr>
      <w:color w:val="404040"/>
    </w:rPr>
    <w:tblPr/>
  </w:style>
  <w:style w:type="table" w:styleId="804">
    <w:name w:val="Lined - Accent 4"/>
    <w:basedOn w:val="629"/>
    <w:next w:val="804"/>
    <w:link w:val="627"/>
    <w:uiPriority w:val="99"/>
    <w:qFormat/>
    <w:pPr>
      <w:spacing w:after="0" w:line="240" w:lineRule="auto"/>
    </w:pPr>
    <w:rPr>
      <w:color w:val="404040"/>
    </w:rPr>
    <w:tblPr/>
  </w:style>
  <w:style w:type="table" w:styleId="805">
    <w:name w:val="Lined - Accent 5"/>
    <w:basedOn w:val="629"/>
    <w:next w:val="805"/>
    <w:link w:val="627"/>
    <w:uiPriority w:val="99"/>
    <w:qFormat/>
    <w:pPr>
      <w:spacing w:after="0" w:line="240" w:lineRule="auto"/>
    </w:pPr>
    <w:rPr>
      <w:color w:val="404040"/>
    </w:rPr>
    <w:tblPr/>
  </w:style>
  <w:style w:type="table" w:styleId="806">
    <w:name w:val="Lined - Accent 6"/>
    <w:basedOn w:val="629"/>
    <w:next w:val="806"/>
    <w:link w:val="627"/>
    <w:uiPriority w:val="99"/>
    <w:qFormat/>
    <w:pPr>
      <w:spacing w:after="0" w:line="240" w:lineRule="auto"/>
    </w:pPr>
    <w:rPr>
      <w:color w:val="404040"/>
    </w:rPr>
    <w:tblPr/>
  </w:style>
  <w:style w:type="table" w:styleId="807">
    <w:name w:val="Bordered &amp; Lined - Accent"/>
    <w:basedOn w:val="629"/>
    <w:next w:val="807"/>
    <w:link w:val="627"/>
    <w:uiPriority w:val="99"/>
    <w:qFormat/>
    <w:pPr>
      <w:spacing w:after="0" w:line="240" w:lineRule="auto"/>
    </w:pPr>
    <w:rPr>
      <w:color w:val="404040"/>
    </w:rPr>
    <w:tblPr/>
  </w:style>
  <w:style w:type="table" w:styleId="808">
    <w:name w:val="Bordered &amp; Lined - Accent 1"/>
    <w:basedOn w:val="629"/>
    <w:next w:val="808"/>
    <w:link w:val="627"/>
    <w:uiPriority w:val="99"/>
    <w:qFormat/>
    <w:pPr>
      <w:spacing w:after="0" w:line="240" w:lineRule="auto"/>
    </w:pPr>
    <w:rPr>
      <w:color w:val="404040"/>
    </w:rPr>
    <w:tblPr/>
  </w:style>
  <w:style w:type="table" w:styleId="809">
    <w:name w:val="Bordered &amp; Lined - Accent 2"/>
    <w:basedOn w:val="629"/>
    <w:next w:val="809"/>
    <w:link w:val="627"/>
    <w:uiPriority w:val="99"/>
    <w:qFormat/>
    <w:pPr>
      <w:spacing w:after="0" w:line="240" w:lineRule="auto"/>
    </w:pPr>
    <w:rPr>
      <w:color w:val="404040"/>
    </w:rPr>
    <w:tblPr/>
  </w:style>
  <w:style w:type="table" w:styleId="810">
    <w:name w:val="Bordered &amp; Lined - Accent 3"/>
    <w:basedOn w:val="629"/>
    <w:next w:val="810"/>
    <w:link w:val="627"/>
    <w:uiPriority w:val="99"/>
    <w:qFormat/>
    <w:pPr>
      <w:spacing w:after="0" w:line="240" w:lineRule="auto"/>
    </w:pPr>
    <w:rPr>
      <w:color w:val="404040"/>
    </w:rPr>
    <w:tblPr/>
  </w:style>
  <w:style w:type="table" w:styleId="811">
    <w:name w:val="Bordered &amp; Lined - Accent 4"/>
    <w:basedOn w:val="629"/>
    <w:next w:val="811"/>
    <w:link w:val="627"/>
    <w:uiPriority w:val="99"/>
    <w:qFormat/>
    <w:pPr>
      <w:spacing w:after="0" w:line="240" w:lineRule="auto"/>
    </w:pPr>
    <w:rPr>
      <w:color w:val="404040"/>
    </w:rPr>
    <w:tblPr/>
  </w:style>
  <w:style w:type="table" w:styleId="812">
    <w:name w:val="Bordered &amp; Lined - Accent 5"/>
    <w:basedOn w:val="629"/>
    <w:next w:val="812"/>
    <w:link w:val="627"/>
    <w:uiPriority w:val="99"/>
    <w:qFormat/>
    <w:pPr>
      <w:spacing w:after="0" w:line="240" w:lineRule="auto"/>
    </w:pPr>
    <w:rPr>
      <w:color w:val="404040"/>
    </w:rPr>
    <w:tblPr/>
  </w:style>
  <w:style w:type="table" w:styleId="813">
    <w:name w:val="Bordered &amp; Lined - Accent 6"/>
    <w:basedOn w:val="629"/>
    <w:next w:val="813"/>
    <w:link w:val="627"/>
    <w:uiPriority w:val="99"/>
    <w:qFormat/>
    <w:pPr>
      <w:spacing w:after="0" w:line="240" w:lineRule="auto"/>
    </w:pPr>
    <w:rPr>
      <w:color w:val="404040"/>
    </w:rPr>
    <w:tblPr/>
  </w:style>
  <w:style w:type="table" w:styleId="814">
    <w:name w:val="Bordered"/>
    <w:basedOn w:val="629"/>
    <w:next w:val="814"/>
    <w:link w:val="627"/>
    <w:uiPriority w:val="99"/>
    <w:qFormat/>
    <w:pPr>
      <w:spacing w:after="0" w:line="240" w:lineRule="auto"/>
    </w:pPr>
    <w:tblPr/>
  </w:style>
  <w:style w:type="table" w:styleId="815">
    <w:name w:val="Bordered - Accent 1"/>
    <w:basedOn w:val="629"/>
    <w:next w:val="815"/>
    <w:link w:val="627"/>
    <w:uiPriority w:val="99"/>
    <w:qFormat/>
    <w:pPr>
      <w:spacing w:after="0" w:line="240" w:lineRule="auto"/>
    </w:pPr>
    <w:tblPr/>
  </w:style>
  <w:style w:type="table" w:styleId="816">
    <w:name w:val="Bordered - Accent 2"/>
    <w:basedOn w:val="629"/>
    <w:next w:val="816"/>
    <w:link w:val="627"/>
    <w:uiPriority w:val="99"/>
    <w:qFormat/>
    <w:pPr>
      <w:spacing w:after="0" w:line="240" w:lineRule="auto"/>
    </w:pPr>
    <w:tblPr/>
  </w:style>
  <w:style w:type="table" w:styleId="817">
    <w:name w:val="Bordered - Accent 3"/>
    <w:basedOn w:val="629"/>
    <w:next w:val="817"/>
    <w:link w:val="627"/>
    <w:uiPriority w:val="99"/>
    <w:qFormat/>
    <w:pPr>
      <w:spacing w:after="0" w:line="240" w:lineRule="auto"/>
    </w:pPr>
    <w:tblPr/>
  </w:style>
  <w:style w:type="table" w:styleId="818">
    <w:name w:val="Bordered - Accent 4"/>
    <w:basedOn w:val="629"/>
    <w:next w:val="818"/>
    <w:link w:val="627"/>
    <w:uiPriority w:val="99"/>
    <w:qFormat/>
    <w:pPr>
      <w:spacing w:after="0" w:line="240" w:lineRule="auto"/>
    </w:pPr>
    <w:tblPr/>
  </w:style>
  <w:style w:type="table" w:styleId="819">
    <w:name w:val="Bordered - Accent 5"/>
    <w:basedOn w:val="629"/>
    <w:next w:val="819"/>
    <w:link w:val="627"/>
    <w:uiPriority w:val="99"/>
    <w:qFormat/>
    <w:pPr>
      <w:spacing w:after="0" w:line="240" w:lineRule="auto"/>
    </w:pPr>
    <w:tblPr/>
  </w:style>
  <w:style w:type="table" w:styleId="820">
    <w:name w:val="Bordered - Accent 6"/>
    <w:basedOn w:val="629"/>
    <w:next w:val="820"/>
    <w:link w:val="627"/>
    <w:uiPriority w:val="99"/>
    <w:qFormat/>
    <w:pPr>
      <w:spacing w:after="0" w:line="240" w:lineRule="auto"/>
    </w:pPr>
    <w:tblPr/>
  </w:style>
  <w:style w:type="paragraph" w:styleId="821">
    <w:name w:val="TOC Heading"/>
    <w:next w:val="821"/>
    <w:link w:val="627"/>
    <w:uiPriority w:val="39"/>
    <w:unhideWhenUsed/>
    <w:qFormat/>
    <w:rPr>
      <w:lang w:val="en-US" w:eastAsia="zh-CN" w:bidi="ar-SA"/>
    </w:rPr>
  </w:style>
  <w:style w:type="paragraph" w:styleId="822">
    <w:name w:val="Default"/>
    <w:basedOn w:val="627"/>
    <w:next w:val="822"/>
    <w:link w:val="627"/>
    <w:semiHidden/>
    <w:qFormat/>
    <w:pPr>
      <w:jc w:val="left"/>
    </w:pPr>
    <w:rPr>
      <w:rFonts w:ascii="宋体" w:hAnsi="Calibri" w:cs="宋体"/>
      <w:color w:val="000000"/>
      <w:sz w:val="24"/>
    </w:rPr>
  </w:style>
  <w:style w:type="paragraph" w:styleId="823">
    <w:name w:val="普通正文"/>
    <w:basedOn w:val="627"/>
    <w:next w:val="823"/>
    <w:link w:val="627"/>
    <w:qFormat/>
    <w:pPr>
      <w:ind w:firstLine="480"/>
      <w:jc w:val="left"/>
      <w:spacing w:before="120" w:after="120" w:line="360" w:lineRule="auto"/>
    </w:pPr>
    <w:rPr>
      <w:rFonts w:ascii="Arial" w:hAnsi="Arial" w:eastAsia="等线" w:cs="Arial"/>
      <w:sz w:val="24"/>
      <w:szCs w:val="24"/>
    </w:rPr>
  </w:style>
  <w:style w:type="paragraph" w:styleId="824">
    <w:name w:val="正文首行缩进 21"/>
    <w:basedOn w:val="825"/>
    <w:next w:val="824"/>
    <w:link w:val="627"/>
    <w:qFormat/>
    <w:pPr>
      <w:ind w:firstLine="420"/>
    </w:pPr>
  </w:style>
  <w:style w:type="paragraph" w:styleId="825">
    <w:name w:val="正文文本缩进1"/>
    <w:basedOn w:val="627"/>
    <w:next w:val="825"/>
    <w:link w:val="627"/>
    <w:qFormat/>
    <w:pPr>
      <w:ind w:left="420"/>
      <w:spacing w:after="120"/>
    </w:pPr>
  </w:style>
  <w:style w:type="character" w:styleId="826">
    <w:name w:val="font51"/>
    <w:next w:val="826"/>
    <w:link w:val="627"/>
    <w:qFormat/>
    <w:rPr>
      <w:rFonts w:hint="eastAsia" w:ascii="宋体" w:hAnsi="宋体" w:eastAsia="宋体" w:cs="宋体"/>
      <w:b/>
      <w:bCs/>
      <w:color w:val="000000"/>
      <w:sz w:val="20"/>
      <w:szCs w:val="20"/>
      <w:u w:val="none"/>
    </w:rPr>
  </w:style>
  <w:style w:type="character" w:styleId="827">
    <w:name w:val="font31"/>
    <w:next w:val="827"/>
    <w:link w:val="627"/>
    <w:qFormat/>
    <w:rPr>
      <w:rFonts w:hint="eastAsia" w:ascii="宋体" w:hAnsi="宋体" w:eastAsia="宋体" w:cs="宋体"/>
      <w:color w:val="000000"/>
      <w:sz w:val="20"/>
      <w:szCs w:val="20"/>
      <w:u w:val="none"/>
    </w:rPr>
  </w:style>
  <w:style w:type="character" w:styleId="828">
    <w:name w:val="font21"/>
    <w:next w:val="828"/>
    <w:link w:val="627"/>
    <w:qFormat/>
    <w:rPr>
      <w:rFonts w:hint="eastAsia" w:ascii="宋体" w:hAnsi="宋体" w:eastAsia="宋体" w:cs="宋体"/>
      <w:color w:val="000000"/>
      <w:sz w:val="20"/>
      <w:szCs w:val="20"/>
      <w:u w:val="none"/>
    </w:rPr>
  </w:style>
  <w:style w:type="character" w:styleId="829">
    <w:name w:val="font41"/>
    <w:next w:val="829"/>
    <w:link w:val="627"/>
    <w:qFormat/>
    <w:rPr>
      <w:rFonts w:hint="eastAsia" w:ascii="宋体" w:hAnsi="宋体" w:eastAsia="宋体" w:cs="宋体"/>
      <w:color w:val="000000"/>
      <w:sz w:val="20"/>
      <w:szCs w:val="20"/>
      <w:u w:val="none"/>
    </w:rPr>
  </w:style>
  <w:style w:type="character" w:styleId="59133" w:default="1">
    <w:name w:val="Default Paragraph Font"/>
    <w:uiPriority w:val="1"/>
    <w:semiHidden/>
    <w:unhideWhenUsed/>
  </w:style>
  <w:style w:type="numbering" w:styleId="59134" w:default="1">
    <w:name w:val="No List"/>
    <w:uiPriority w:val="99"/>
    <w:semiHidden/>
    <w:unhideWhenUsed/>
  </w:style>
  <w:style w:type="table" w:styleId="59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伟</dc:creator>
  <cp:lastModifiedBy>彭明静</cp:lastModifiedBy>
  <cp:revision>2</cp:revision>
  <dcterms:created xsi:type="dcterms:W3CDTF">2014-10-31T12:08:00Z</dcterms:created>
  <dcterms:modified xsi:type="dcterms:W3CDTF">2026-10-15T07:48:10Z</dcterms:modified>
</cp:coreProperties>
</file>