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keepLines w:val="0"/>
        <w:keepNext w:val="0"/>
        <w:pageBreakBefore w:val="0"/>
        <w:spacing w:before="120" w:beforeAutospacing="0" w:after="120" w:afterAutospacing="0" w:line="360" w:lineRule="auto"/>
        <w:widowControl w:val="off"/>
        <w:rPr>
          <w:color w:val="auto"/>
          <w:highlight w:val="none"/>
        </w:rPr>
      </w:pPr>
      <w:r>
        <w:rPr>
          <w:color w:val="auto"/>
          <w:highlight w:val="none"/>
        </w:rPr>
      </w:r>
      <w:r/>
    </w:p>
    <w:p>
      <w:pPr>
        <w:pStyle w:val="730"/>
        <w:jc w:val="center"/>
        <w:keepLines w:val="0"/>
        <w:keepNext w:val="0"/>
        <w:pageBreakBefore w:val="0"/>
        <w:spacing w:before="120" w:beforeAutospacing="0" w:after="120" w:afterAutospacing="0" w:line="360" w:lineRule="auto"/>
        <w:widowControl w:val="off"/>
        <w:rPr>
          <w:rFonts w:ascii="Arial" w:hAnsi="Arial" w:cs="Arial"/>
          <w:b/>
          <w:color w:val="auto"/>
          <w:sz w:val="84"/>
          <w:szCs w:val="84"/>
          <w:highlight w:val="none"/>
        </w:rPr>
      </w:pPr>
      <w:r>
        <w:rPr>
          <w:rFonts w:ascii="Arial" w:hAnsi="Arial" w:cs="Arial"/>
          <w:b/>
          <w:color w:val="auto"/>
          <w:sz w:val="84"/>
          <w:szCs w:val="84"/>
          <w:highlight w:val="none"/>
        </w:rPr>
      </w:r>
      <w:r/>
    </w:p>
    <w:p>
      <w:pPr>
        <w:pStyle w:val="730"/>
        <w:jc w:val="center"/>
        <w:keepLines w:val="0"/>
        <w:keepNext w:val="0"/>
        <w:pageBreakBefore w:val="0"/>
        <w:spacing w:before="120" w:beforeAutospacing="0" w:after="120" w:afterAutospacing="0" w:line="360" w:lineRule="auto"/>
        <w:widowControl w:val="off"/>
        <w:rPr>
          <w:color w:val="auto"/>
          <w:highlight w:val="none"/>
        </w:rPr>
      </w:pPr>
      <w:r>
        <w:rPr>
          <w:rFonts w:hint="eastAsia" w:ascii="Arial" w:hAnsi="Arial" w:cs="Arial"/>
          <w:b/>
          <w:color w:val="auto"/>
          <w:sz w:val="84"/>
          <w:szCs w:val="84"/>
          <w:highlight w:val="none"/>
        </w:rPr>
        <w:t xml:space="preserve">招</w:t>
      </w:r>
      <w:r>
        <w:rPr>
          <w:rFonts w:hint="eastAsia" w:ascii="Arial" w:hAnsi="Arial" w:cs="Arial"/>
          <w:b/>
          <w:color w:val="auto"/>
          <w:sz w:val="84"/>
          <w:szCs w:val="84"/>
          <w:highlight w:val="none"/>
          <w:lang w:val="en-US" w:eastAsia="zh-CN"/>
        </w:rPr>
        <w:t xml:space="preserve"> </w:t>
      </w:r>
      <w:r>
        <w:rPr>
          <w:rFonts w:hint="eastAsia" w:ascii="Arial" w:hAnsi="Arial" w:cs="Arial"/>
          <w:b/>
          <w:color w:val="auto"/>
          <w:sz w:val="84"/>
          <w:szCs w:val="84"/>
          <w:highlight w:val="none"/>
        </w:rPr>
        <w:t xml:space="preserve">标</w:t>
      </w:r>
      <w:r>
        <w:rPr>
          <w:rFonts w:hint="eastAsia" w:ascii="Arial" w:hAnsi="Arial" w:cs="Arial"/>
          <w:b/>
          <w:color w:val="auto"/>
          <w:sz w:val="84"/>
          <w:szCs w:val="84"/>
          <w:highlight w:val="none"/>
          <w:lang w:val="en-US" w:eastAsia="zh-CN"/>
        </w:rPr>
        <w:t xml:space="preserve"> </w:t>
      </w:r>
      <w:r>
        <w:rPr>
          <w:rFonts w:hint="eastAsia" w:ascii="Arial" w:hAnsi="Arial" w:cs="Arial"/>
          <w:b/>
          <w:color w:val="auto"/>
          <w:sz w:val="84"/>
          <w:szCs w:val="84"/>
          <w:highlight w:val="none"/>
        </w:rPr>
        <w:t xml:space="preserve">文</w:t>
      </w:r>
      <w:r>
        <w:rPr>
          <w:rFonts w:hint="eastAsia" w:ascii="Arial" w:hAnsi="Arial" w:cs="Arial"/>
          <w:b/>
          <w:color w:val="auto"/>
          <w:sz w:val="84"/>
          <w:szCs w:val="84"/>
          <w:highlight w:val="none"/>
          <w:lang w:val="en-US" w:eastAsia="zh-CN"/>
        </w:rPr>
        <w:t xml:space="preserve"> </w:t>
      </w:r>
      <w:r>
        <w:rPr>
          <w:rFonts w:hint="eastAsia" w:ascii="Arial" w:hAnsi="Arial" w:cs="Arial"/>
          <w:b/>
          <w:color w:val="auto"/>
          <w:sz w:val="84"/>
          <w:szCs w:val="84"/>
          <w:highlight w:val="none"/>
        </w:rPr>
        <w:t xml:space="preserve">件</w:t>
      </w:r>
      <w:r/>
    </w:p>
    <w:p>
      <w:pPr>
        <w:pStyle w:val="730"/>
        <w:ind w:firstLine="2249"/>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730"/>
        <w:keepLines w:val="0"/>
        <w:keepNext w:val="0"/>
        <w:pageBreakBefore w:val="0"/>
        <w:spacing w:before="120" w:beforeAutospacing="0" w:after="120" w:afterAutospacing="0" w:line="360" w:lineRule="auto"/>
        <w:widowControl w:val="off"/>
        <w:rPr>
          <w:rFonts w:ascii="Arial" w:hAnsi="Arial" w:cs="Arial"/>
          <w:b/>
          <w:color w:val="auto"/>
          <w:sz w:val="32"/>
          <w:szCs w:val="32"/>
          <w:highlight w:val="none"/>
        </w:rPr>
      </w:pPr>
      <w:r>
        <w:rPr>
          <w:rFonts w:ascii="Arial" w:hAnsi="Arial" w:cs="Arial"/>
          <w:b/>
          <w:color w:val="auto"/>
          <w:sz w:val="32"/>
          <w:szCs w:val="32"/>
          <w:highlight w:val="none"/>
        </w:rPr>
      </w:r>
      <w:r/>
    </w:p>
    <w:p>
      <w:pPr>
        <w:pStyle w:val="730"/>
        <w:jc w:val="center"/>
        <w:keepLines w:val="0"/>
        <w:keepNext w:val="0"/>
        <w:pageBreakBefore w:val="0"/>
        <w:spacing w:before="120" w:beforeAutospacing="0" w:after="120" w:afterAutospacing="0" w:line="360" w:lineRule="auto"/>
        <w:widowControl w:val="off"/>
        <w:rPr>
          <w:rFonts w:hint="eastAsia" w:ascii="Times New Roman" w:hAnsi="Times New Roman"/>
          <w:b/>
          <w:color w:val="auto"/>
          <w:sz w:val="32"/>
          <w:szCs w:val="32"/>
          <w:highlight w:val="none"/>
        </w:rPr>
      </w:pPr>
      <w:r>
        <w:rPr>
          <w:rFonts w:hint="eastAsia" w:ascii="Times New Roman" w:hAnsi="Times New Roman"/>
          <w:b/>
          <w:color w:val="auto"/>
          <w:sz w:val="32"/>
          <w:szCs w:val="32"/>
          <w:highlight w:val="none"/>
        </w:rPr>
      </w:r>
      <w:r/>
    </w:p>
    <w:p>
      <w:pPr>
        <w:pStyle w:val="730"/>
        <w:jc w:val="center"/>
        <w:keepLines w:val="0"/>
        <w:keepNext w:val="0"/>
        <w:pageBreakBefore w:val="0"/>
        <w:spacing w:before="120" w:beforeAutospacing="0" w:after="120" w:afterAutospacing="0" w:line="360" w:lineRule="auto"/>
        <w:widowControl w:val="off"/>
        <w:rPr>
          <w:rFonts w:hint="eastAsia" w:ascii="Arial" w:hAnsi="Arial" w:eastAsia="宋体" w:cs="Arial"/>
          <w:b/>
          <w:bCs w:val="0"/>
          <w:color w:val="auto"/>
          <w:sz w:val="32"/>
          <w:szCs w:val="32"/>
          <w:highlight w:val="none"/>
          <w:lang w:eastAsia="zh-CN"/>
        </w:rPr>
      </w:pPr>
      <w:r>
        <w:rPr>
          <w:rFonts w:hint="eastAsia" w:ascii="Times New Roman" w:hAnsi="Times New Roman"/>
          <w:b/>
          <w:color w:val="auto"/>
          <w:sz w:val="32"/>
          <w:szCs w:val="32"/>
          <w:highlight w:val="none"/>
        </w:rPr>
        <w:t xml:space="preserve">项目名称：</w:t>
      </w:r>
      <w:r>
        <w:rPr>
          <w:rFonts w:hint="eastAsia" w:ascii="Times New Roman" w:hAnsi="Times New Roman" w:eastAsia="宋体"/>
          <w:b/>
          <w:color w:val="auto"/>
          <w:sz w:val="32"/>
          <w:szCs w:val="32"/>
          <w:highlight w:val="none"/>
          <w:lang w:eastAsia="zh-CN"/>
        </w:rPr>
        <w:t xml:space="preserve">江苏省消防救援总队盐城支队2026年度目录外器材装备采购项目（第二批）</w:t>
      </w:r>
      <w:r/>
    </w:p>
    <w:p>
      <w:pPr>
        <w:pStyle w:val="730"/>
        <w:jc w:val="center"/>
        <w:keepLines w:val="0"/>
        <w:keepNext w:val="0"/>
        <w:pageBreakBefore w:val="0"/>
        <w:spacing w:before="120" w:beforeAutospacing="0" w:after="120" w:afterAutospacing="0" w:line="360" w:lineRule="auto"/>
        <w:widowControl w:val="off"/>
        <w:rPr>
          <w:rFonts w:hint="eastAsia" w:eastAsia="宋体"/>
          <w:color w:val="auto"/>
          <w:highlight w:val="none"/>
          <w:lang w:eastAsia="zh-CN"/>
        </w:rPr>
      </w:pPr>
      <w:r>
        <w:rPr>
          <w:rFonts w:hint="eastAsia" w:ascii="Arial" w:hAnsi="Arial" w:cs="Arial"/>
          <w:b/>
          <w:color w:val="auto"/>
          <w:sz w:val="32"/>
          <w:szCs w:val="32"/>
          <w:highlight w:val="none"/>
        </w:rPr>
        <w:t xml:space="preserve">项目编号：</w:t>
      </w:r>
      <w:r>
        <w:rPr>
          <w:rFonts w:hint="eastAsia" w:ascii="Times New Roman" w:hAnsi="Times New Roman" w:eastAsia="宋体"/>
          <w:b/>
          <w:color w:val="auto"/>
          <w:sz w:val="32"/>
          <w:szCs w:val="32"/>
          <w:highlight w:val="none"/>
          <w:lang w:eastAsia="zh-CN"/>
        </w:rPr>
        <w:t xml:space="preserve">JSZC-320900-JZCG-G2026-0084</w:t>
      </w:r>
      <w:r/>
    </w:p>
    <w:p>
      <w:pPr>
        <w:pStyle w:val="730"/>
        <w:keepLines w:val="0"/>
        <w:keepNext w:val="0"/>
        <w:pageBreakBefore w:val="0"/>
        <w:spacing w:beforeAutospacing="0" w:afterAutospacing="0" w:line="360" w:lineRule="auto"/>
        <w:widowControl w:val="off"/>
        <w:rPr>
          <w:color w:val="auto"/>
          <w:highlight w:val="none"/>
        </w:rPr>
      </w:pPr>
      <w:r>
        <w:rPr>
          <w:color w:val="auto"/>
          <w:highlight w:val="none"/>
        </w:rPr>
      </w:r>
      <w:r/>
    </w:p>
    <w:p>
      <w:pPr>
        <w:pStyle w:val="730"/>
        <w:keepLines w:val="0"/>
        <w:keepNext w:val="0"/>
        <w:pageBreakBefore w:val="0"/>
        <w:spacing w:beforeAutospacing="0" w:afterAutospacing="0" w:line="360" w:lineRule="auto"/>
        <w:widowControl w:val="off"/>
        <w:rPr>
          <w:color w:val="auto"/>
          <w:highlight w:val="none"/>
        </w:rPr>
      </w:pPr>
      <w:r>
        <w:rPr>
          <w:color w:val="auto"/>
          <w:highlight w:val="none"/>
        </w:rPr>
      </w:r>
      <w:r/>
    </w:p>
    <w:p>
      <w:pPr>
        <w:pStyle w:val="730"/>
        <w:keepLines w:val="0"/>
        <w:keepNext w:val="0"/>
        <w:pageBreakBefore w:val="0"/>
        <w:spacing w:beforeAutospacing="0" w:afterAutospacing="0" w:line="360" w:lineRule="auto"/>
        <w:widowControl w:val="off"/>
        <w:rPr>
          <w:color w:val="auto"/>
          <w:highlight w:val="none"/>
        </w:rPr>
      </w:pPr>
      <w:r>
        <w:rPr>
          <w:color w:val="auto"/>
          <w:highlight w:val="none"/>
        </w:rPr>
      </w:r>
      <w:r/>
    </w:p>
    <w:p>
      <w:pPr>
        <w:pStyle w:val="730"/>
        <w:keepLines w:val="0"/>
        <w:keepNext w:val="0"/>
        <w:pageBreakBefore w:val="0"/>
        <w:spacing w:beforeAutospacing="0" w:afterAutospacing="0" w:line="360" w:lineRule="auto"/>
        <w:widowControl w:val="off"/>
        <w:rPr>
          <w:color w:val="auto"/>
          <w:highlight w:val="none"/>
        </w:rPr>
      </w:pPr>
      <w:r>
        <w:rPr>
          <w:color w:val="auto"/>
          <w:highlight w:val="none"/>
        </w:rPr>
      </w:r>
      <w:r/>
    </w:p>
    <w:p>
      <w:pPr>
        <w:pStyle w:val="730"/>
        <w:keepLines w:val="0"/>
        <w:keepNext w:val="0"/>
        <w:pageBreakBefore w:val="0"/>
        <w:spacing w:beforeAutospacing="0" w:afterAutospacing="0" w:line="360" w:lineRule="auto"/>
        <w:widowControl w:val="off"/>
        <w:rPr>
          <w:rFonts w:hint="eastAsia" w:eastAsiaTheme="minorEastAsia"/>
          <w:color w:val="auto"/>
          <w:highlight w:val="none"/>
          <w:lang w:eastAsia="zh-CN"/>
        </w:rPr>
      </w:pPr>
      <w:r>
        <w:rPr>
          <w:rFonts w:hint="eastAsia" w:eastAsiaTheme="minorEastAsia"/>
          <w:color w:val="auto"/>
          <w:highlight w:val="none"/>
          <w:lang w:eastAsia="zh-CN"/>
        </w:rPr>
      </w:r>
      <w:r/>
    </w:p>
    <w:p>
      <w:pPr>
        <w:pStyle w:val="730"/>
        <w:keepLines w:val="0"/>
        <w:keepNext w:val="0"/>
        <w:pageBreakBefore w:val="0"/>
        <w:spacing w:beforeAutospacing="0" w:afterAutospacing="0" w:line="360" w:lineRule="auto"/>
        <w:widowControl w:val="off"/>
        <w:rPr>
          <w:color w:val="auto"/>
          <w:highlight w:val="none"/>
        </w:rPr>
      </w:pPr>
      <w:r>
        <w:rPr>
          <w:color w:val="auto"/>
          <w:highlight w:val="none"/>
        </w:rPr>
      </w:r>
      <w:r/>
    </w:p>
    <w:p>
      <w:pPr>
        <w:pStyle w:val="730"/>
        <w:jc w:val="center"/>
        <w:keepLines w:val="0"/>
        <w:keepNext w:val="0"/>
        <w:pageBreakBefore w:val="0"/>
        <w:spacing w:before="120" w:beforeAutospacing="0" w:after="120" w:afterAutospacing="0" w:line="500" w:lineRule="exact"/>
        <w:widowControl w:val="off"/>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 xml:space="preserve">盐城市消防救援支队</w:t>
      </w:r>
      <w:r/>
    </w:p>
    <w:p>
      <w:pPr>
        <w:pStyle w:val="730"/>
        <w:jc w:val="center"/>
        <w:keepLines w:val="0"/>
        <w:keepNext w:val="0"/>
        <w:pageBreakBefore w:val="0"/>
        <w:spacing w:before="120" w:beforeAutospacing="0" w:after="120" w:afterAutospacing="0" w:line="500" w:lineRule="exact"/>
        <w:widowControl w:val="off"/>
        <w:rPr>
          <w:rFonts w:hint="eastAsia" w:ascii="黑体" w:hAnsi="黑体" w:eastAsia="黑体" w:cs="黑体"/>
          <w:b w:val="0"/>
          <w:bCs/>
          <w:color w:val="auto"/>
          <w:highlight w:val="none"/>
        </w:rPr>
      </w:pPr>
      <w:r>
        <w:rPr>
          <w:rFonts w:hint="eastAsia" w:ascii="黑体" w:hAnsi="黑体" w:eastAsia="黑体" w:cs="黑体"/>
          <w:b w:val="0"/>
          <w:bCs/>
          <w:color w:val="auto"/>
          <w:sz w:val="32"/>
          <w:szCs w:val="32"/>
          <w:highlight w:val="none"/>
          <w:lang w:val="en-US" w:eastAsia="zh-CN"/>
        </w:rPr>
        <w:t xml:space="preserve">2026</w:t>
      </w:r>
      <w:r>
        <w:rPr>
          <w:rFonts w:hint="eastAsia" w:ascii="黑体" w:hAnsi="黑体" w:eastAsia="黑体" w:cs="黑体"/>
          <w:b w:val="0"/>
          <w:bCs/>
          <w:color w:val="auto"/>
          <w:sz w:val="32"/>
          <w:szCs w:val="32"/>
          <w:highlight w:val="none"/>
        </w:rPr>
        <w:t xml:space="preserve">年</w:t>
      </w:r>
      <w:r>
        <w:rPr>
          <w:rFonts w:hint="eastAsia" w:ascii="黑体" w:hAnsi="黑体" w:eastAsia="黑体" w:cs="黑体"/>
          <w:b w:val="0"/>
          <w:bCs/>
          <w:color w:val="auto"/>
          <w:sz w:val="32"/>
          <w:szCs w:val="32"/>
          <w:highlight w:val="none"/>
          <w:lang w:val="en-US" w:eastAsia="zh-CN"/>
        </w:rPr>
        <w:t xml:space="preserve">11</w:t>
      </w:r>
      <w:r>
        <w:rPr>
          <w:rFonts w:hint="eastAsia" w:ascii="黑体" w:hAnsi="黑体" w:eastAsia="黑体" w:cs="黑体"/>
          <w:b w:val="0"/>
          <w:bCs/>
          <w:color w:val="auto"/>
          <w:sz w:val="32"/>
          <w:szCs w:val="32"/>
          <w:highlight w:val="none"/>
        </w:rPr>
        <w:t xml:space="preserve">月</w:t>
      </w:r>
      <w:r/>
    </w:p>
    <w:p>
      <w:pPr>
        <w:jc w:val="both"/>
        <w:keepLines w:val="0"/>
        <w:keepNext w:val="0"/>
        <w:pageBreakBefore w:val="0"/>
        <w:widowControl w:val="off"/>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r/>
    </w:p>
    <w:p>
      <w:pPr>
        <w:jc w:val="center"/>
        <w:keepLines w:val="0"/>
        <w:keepNext w:val="0"/>
        <w:pageBreakBefore w:val="0"/>
        <w:widowControl w:val="off"/>
        <w:rPr>
          <w:rFonts w:hint="eastAsia" w:ascii="黑体" w:hAnsi="Times New Roman" w:eastAsia="黑体" w:cs="黑体"/>
          <w:bCs/>
          <w:color w:val="auto"/>
          <w:sz w:val="44"/>
          <w:highlight w:val="none"/>
        </w:rPr>
      </w:pPr>
      <w:r>
        <w:rPr>
          <w:rFonts w:hint="eastAsia" w:ascii="黑体" w:hAnsi="Times New Roman" w:eastAsia="黑体" w:cs="黑体"/>
          <w:bCs/>
          <w:color w:val="auto"/>
          <w:sz w:val="44"/>
          <w:highlight w:val="none"/>
        </w:rPr>
      </w:r>
      <w:r/>
    </w:p>
    <w:p>
      <w:pPr>
        <w:jc w:val="center"/>
        <w:keepLines w:val="0"/>
        <w:keepNext w:val="0"/>
        <w:pageBreakBefore w:val="0"/>
        <w:widowControl w:val="off"/>
        <w:rPr>
          <w:rFonts w:ascii="黑体" w:hAnsi="Times New Roman" w:eastAsia="黑体" w:cs="黑体"/>
          <w:bCs/>
          <w:color w:val="auto"/>
          <w:sz w:val="44"/>
          <w:highlight w:val="none"/>
        </w:rPr>
      </w:pPr>
      <w:r>
        <w:rPr>
          <w:rFonts w:hint="eastAsia" w:ascii="黑体" w:hAnsi="Times New Roman" w:eastAsia="黑体" w:cs="黑体"/>
          <w:bCs/>
          <w:color w:val="auto"/>
          <w:sz w:val="44"/>
          <w:highlight w:val="none"/>
        </w:rPr>
        <w:t xml:space="preserve">总  目  录</w:t>
      </w:r>
      <w:r/>
    </w:p>
    <w:p>
      <w:pPr>
        <w:jc w:val="center"/>
        <w:keepLines w:val="0"/>
        <w:keepNext w:val="0"/>
        <w:pageBreakBefore w:val="0"/>
        <w:widowControl w:val="off"/>
        <w:rPr>
          <w:rFonts w:ascii="黑体" w:hAnsi="Times New Roman" w:eastAsia="黑体" w:cs="黑体"/>
          <w:bCs/>
          <w:color w:val="auto"/>
          <w:sz w:val="44"/>
          <w:highlight w:val="none"/>
        </w:rPr>
      </w:pPr>
      <w:r>
        <w:rPr>
          <w:rFonts w:ascii="黑体" w:hAnsi="Times New Roman" w:eastAsia="黑体" w:cs="黑体"/>
          <w:bCs/>
          <w:color w:val="auto"/>
          <w:sz w:val="44"/>
          <w:highlight w:val="none"/>
        </w:rPr>
      </w:r>
      <w:r/>
    </w:p>
    <w:p>
      <w:pPr>
        <w:numPr>
          <w:ilvl w:val="0"/>
          <w:numId w:val="1"/>
        </w:numPr>
        <w:ind w:left="1856" w:hanging="1018"/>
        <w:keepLines w:val="0"/>
        <w:keepNext w:val="0"/>
        <w:pageBreakBefore w:val="0"/>
        <w:spacing w:line="560" w:lineRule="exact"/>
        <w:widowControl w:val="off"/>
        <w:rPr>
          <w:rFonts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 招标公告……………………………3</w:t>
      </w:r>
      <w:r/>
    </w:p>
    <w:p>
      <w:pPr>
        <w:numPr>
          <w:ilvl w:val="0"/>
          <w:numId w:val="1"/>
        </w:numPr>
        <w:ind w:left="1856" w:hanging="1018"/>
        <w:keepLines w:val="0"/>
        <w:keepNext w:val="0"/>
        <w:pageBreakBefore w:val="0"/>
        <w:spacing w:line="560" w:lineRule="exact"/>
        <w:widowControl w:val="off"/>
        <w:rPr>
          <w:rFonts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 投标人须知…………………………</w:t>
      </w:r>
      <w:r>
        <w:rPr>
          <w:rFonts w:hint="eastAsia" w:ascii="黑体" w:hAnsi="Times New Roman" w:eastAsia="黑体" w:cs="Times New Roman"/>
          <w:color w:val="auto"/>
          <w:sz w:val="36"/>
          <w:highlight w:val="none"/>
          <w:lang w:val="en-US" w:eastAsia="zh-CN"/>
        </w:rPr>
        <w:t xml:space="preserve">10</w:t>
      </w:r>
      <w:r/>
    </w:p>
    <w:p>
      <w:pPr>
        <w:numPr>
          <w:ilvl w:val="0"/>
          <w:numId w:val="1"/>
        </w:numPr>
        <w:ind w:left="1856" w:hanging="1018"/>
        <w:keepLines w:val="0"/>
        <w:keepNext w:val="0"/>
        <w:pageBreakBefore w:val="0"/>
        <w:spacing w:line="560" w:lineRule="exact"/>
        <w:widowControl w:val="off"/>
        <w:rPr>
          <w:rFonts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 合同文本……………………………2</w:t>
      </w:r>
      <w:r>
        <w:rPr>
          <w:rFonts w:hint="eastAsia" w:ascii="黑体" w:hAnsi="Times New Roman" w:eastAsia="黑体" w:cs="Times New Roman"/>
          <w:color w:val="auto"/>
          <w:sz w:val="36"/>
          <w:highlight w:val="none"/>
          <w:lang w:val="en-US" w:eastAsia="zh-CN"/>
        </w:rPr>
        <w:t xml:space="preserve">8</w:t>
      </w:r>
      <w:r/>
    </w:p>
    <w:p>
      <w:pPr>
        <w:numPr>
          <w:ilvl w:val="0"/>
          <w:numId w:val="1"/>
        </w:numPr>
        <w:ind w:left="1856" w:hanging="1018"/>
        <w:keepLines w:val="0"/>
        <w:keepNext w:val="0"/>
        <w:pageBreakBefore w:val="0"/>
        <w:spacing w:line="560" w:lineRule="exact"/>
        <w:widowControl w:val="off"/>
        <w:rPr>
          <w:rFonts w:hint="eastAsia" w:ascii="黑体" w:hAnsi="Times New Roman" w:eastAsia="黑体" w:cs="Times New Roman"/>
          <w:color w:val="auto"/>
          <w:sz w:val="36"/>
          <w:highlight w:val="none"/>
          <w:lang w:val="en-US" w:eastAsia="zh-CN"/>
        </w:rPr>
        <w:outlineLvl w:val="0"/>
      </w:pPr>
      <w:r>
        <w:rPr>
          <w:rFonts w:hint="eastAsia" w:ascii="黑体" w:hAnsi="Times New Roman" w:eastAsia="黑体" w:cs="Times New Roman"/>
          <w:color w:val="auto"/>
          <w:sz w:val="36"/>
          <w:highlight w:val="none"/>
        </w:rPr>
        <w:t xml:space="preserve"> 采购需求……………………………</w:t>
      </w:r>
      <w:r>
        <w:rPr>
          <w:rFonts w:hint="eastAsia" w:ascii="黑体" w:hAnsi="Times New Roman" w:eastAsia="黑体" w:cs="Times New Roman"/>
          <w:color w:val="auto"/>
          <w:sz w:val="36"/>
          <w:highlight w:val="none"/>
          <w:lang w:val="en-US" w:eastAsia="zh-CN"/>
        </w:rPr>
        <w:t xml:space="preserve">61</w:t>
      </w:r>
      <w:r/>
    </w:p>
    <w:p>
      <w:pPr>
        <w:numPr>
          <w:ilvl w:val="0"/>
          <w:numId w:val="1"/>
        </w:numPr>
        <w:ind w:left="1856" w:hanging="1018"/>
        <w:keepLines w:val="0"/>
        <w:keepNext w:val="0"/>
        <w:pageBreakBefore w:val="0"/>
        <w:spacing w:line="560" w:lineRule="exact"/>
        <w:widowControl w:val="off"/>
        <w:rPr>
          <w:rFonts w:hint="default" w:ascii="黑体" w:hAnsi="Times New Roman" w:eastAsia="黑体" w:cs="Times New Roman"/>
          <w:color w:val="auto"/>
          <w:sz w:val="36"/>
          <w:highlight w:val="none"/>
          <w:lang w:val="en-US" w:eastAsia="zh-CN"/>
        </w:rPr>
        <w:outlineLvl w:val="0"/>
      </w:pPr>
      <w:r>
        <w:rPr>
          <w:rFonts w:hint="eastAsia" w:ascii="黑体" w:hAnsi="Times New Roman" w:eastAsia="黑体" w:cs="Times New Roman"/>
          <w:color w:val="auto"/>
          <w:sz w:val="36"/>
          <w:highlight w:val="none"/>
          <w:lang w:val="en-US" w:eastAsia="zh-CN"/>
        </w:rPr>
        <w:t xml:space="preserve"> </w:t>
      </w:r>
      <w:r>
        <w:rPr>
          <w:rFonts w:hint="eastAsia" w:ascii="黑体" w:hAnsi="Times New Roman" w:eastAsia="黑体" w:cs="Times New Roman"/>
          <w:color w:val="auto"/>
          <w:sz w:val="36"/>
          <w:highlight w:val="none"/>
        </w:rPr>
        <w:t xml:space="preserve">评标方法与评标标准………………</w:t>
      </w:r>
      <w:r>
        <w:rPr>
          <w:rFonts w:hint="eastAsia" w:ascii="黑体" w:hAnsi="Times New Roman" w:eastAsia="黑体" w:cs="Times New Roman"/>
          <w:color w:val="auto"/>
          <w:sz w:val="36"/>
          <w:highlight w:val="none"/>
          <w:lang w:val="en-US" w:eastAsia="zh-CN"/>
        </w:rPr>
        <w:t xml:space="preserve">111</w:t>
      </w:r>
      <w:r/>
    </w:p>
    <w:p>
      <w:pPr>
        <w:ind w:left="1856" w:hanging="1018"/>
        <w:keepLines w:val="0"/>
        <w:keepNext w:val="0"/>
        <w:pageBreakBefore w:val="0"/>
        <w:spacing w:line="560" w:lineRule="exact"/>
        <w:widowControl w:val="off"/>
        <w:rPr>
          <w:rFonts w:hint="default" w:ascii="黑体" w:hAnsi="Times New Roman" w:eastAsia="黑体" w:cs="Times New Roman"/>
          <w:color w:val="auto"/>
          <w:sz w:val="36"/>
          <w:highlight w:val="none"/>
          <w:lang w:val="en-US" w:eastAsia="zh-CN"/>
        </w:rPr>
        <w:outlineLvl w:val="0"/>
      </w:pPr>
      <w:r>
        <w:rPr>
          <w:rFonts w:hint="eastAsia" w:ascii="黑体" w:hAnsi="Times New Roman" w:eastAsia="黑体" w:cs="Times New Roman"/>
          <w:color w:val="auto"/>
          <w:sz w:val="36"/>
          <w:highlight w:val="none"/>
        </w:rPr>
        <w:t xml:space="preserve">第六章  投标文件格式………………………1</w:t>
      </w:r>
      <w:r>
        <w:rPr>
          <w:rFonts w:hint="eastAsia" w:ascii="黑体" w:hAnsi="Times New Roman" w:eastAsia="黑体" w:cs="Times New Roman"/>
          <w:color w:val="auto"/>
          <w:sz w:val="36"/>
          <w:highlight w:val="none"/>
          <w:lang w:val="en-US" w:eastAsia="zh-CN"/>
        </w:rPr>
        <w:t xml:space="preserve">38</w:t>
      </w:r>
      <w:r/>
    </w:p>
    <w:p>
      <w:pPr>
        <w:pStyle w:val="730"/>
        <w:ind w:left="2160" w:hanging="1440"/>
        <w:jc w:val="both"/>
        <w:keepLines w:val="0"/>
        <w:keepNext w:val="0"/>
        <w:pageBreakBefore w:val="0"/>
        <w:spacing w:beforeAutospacing="0" w:afterAutospacing="0" w:line="480" w:lineRule="auto"/>
        <w:widowControl w:val="off"/>
        <w:tabs>
          <w:tab w:val="left" w:pos="1441" w:leader="none"/>
        </w:tabs>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keepLines w:val="0"/>
        <w:keepNext w:val="0"/>
        <w:pageBreakBefore w:val="0"/>
        <w:widowControl w:val="off"/>
        <w:rPr>
          <w:rFonts w:hint="eastAsia" w:ascii="黑体" w:hAnsi="宋体" w:eastAsia="黑体" w:cs="黑体"/>
          <w:bCs/>
          <w:color w:val="auto"/>
          <w:sz w:val="44"/>
          <w:szCs w:val="44"/>
          <w:highlight w:val="none"/>
        </w:rPr>
      </w:pPr>
      <w:r/>
      <w:bookmarkStart w:id="0" w:name="_Toc28359086"/>
      <w:r>
        <w:rPr>
          <w:rFonts w:hint="eastAsia" w:ascii="黑体" w:hAnsi="宋体" w:eastAsia="黑体" w:cs="黑体"/>
          <w:bCs/>
          <w:color w:val="auto"/>
          <w:sz w:val="44"/>
          <w:szCs w:val="44"/>
          <w:highlight w:val="none"/>
        </w:rPr>
        <w:br w:type="page" w:clear="all"/>
      </w:r>
      <w:r/>
    </w:p>
    <w:p>
      <w:pPr>
        <w:pStyle w:val="730"/>
        <w:jc w:val="center"/>
        <w:keepLines w:val="0"/>
        <w:keepNext w:val="0"/>
        <w:pageBreakBefore w:val="0"/>
        <w:spacing w:before="260" w:beforeAutospacing="0" w:after="260" w:afterAutospacing="0" w:line="560" w:lineRule="exact"/>
        <w:widowControl w:val="off"/>
        <w:rPr>
          <w:rFonts w:hint="default" w:ascii="黑体" w:hAnsi="宋体" w:eastAsia="黑体" w:cs="黑体"/>
          <w:color w:val="auto"/>
          <w:sz w:val="44"/>
          <w:szCs w:val="44"/>
          <w:highlight w:val="none"/>
          <w:lang w:val="en-US" w:eastAsia="zh-CN"/>
        </w:rPr>
      </w:pPr>
      <w:r>
        <w:rPr>
          <w:rFonts w:hint="eastAsia" w:ascii="黑体" w:hAnsi="宋体" w:eastAsia="黑体" w:cs="黑体"/>
          <w:bCs/>
          <w:color w:val="auto"/>
          <w:sz w:val="44"/>
          <w:szCs w:val="44"/>
          <w:highlight w:val="none"/>
        </w:rPr>
        <w:t xml:space="preserve">第一章 招标公告</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rPr>
        <w:pBdr>
          <w:top w:val="single" w:color="auto" w:sz="4" w:space="0"/>
          <w:left w:val="single" w:color="auto" w:sz="4" w:space="0"/>
          <w:bottom w:val="single" w:color="auto" w:sz="4" w:space="0"/>
          <w:right w:val="single" w:color="auto" w:sz="4" w:space="0"/>
        </w:pBdr>
      </w:pPr>
      <w:r/>
      <w:bookmarkStart w:id="1" w:name="_Toc35393621"/>
      <w:r/>
      <w:bookmarkStart w:id="2" w:name="_Toc28359002"/>
      <w:r/>
      <w:bookmarkStart w:id="3" w:name="_Toc38985263"/>
      <w:r/>
      <w:bookmarkStart w:id="4" w:name="_Hlk24379207"/>
      <w:r/>
      <w:bookmarkStart w:id="5" w:name="_Toc35393790"/>
      <w:r/>
      <w:bookmarkStart w:id="6" w:name="_Toc28359079"/>
      <w:r>
        <w:rPr>
          <w:rFonts w:hint="eastAsia" w:ascii="宋体" w:hAnsi="宋体" w:eastAsia="宋体" w:cs="宋体"/>
          <w:color w:val="auto"/>
          <w:sz w:val="24"/>
          <w:highlight w:val="none"/>
        </w:rPr>
        <w:t xml:space="preserve">项目概况</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highlight w:val="none"/>
          <w:lang w:val="zh-CN"/>
        </w:rPr>
        <w:t xml:space="preserve">江苏省消防救援总队盐城支队2026年度目录外器材装备采购项目（第二批）</w:t>
      </w:r>
      <w:r>
        <w:rPr>
          <w:rFonts w:hint="eastAsia" w:ascii="宋体" w:hAnsi="宋体" w:eastAsia="宋体" w:cs="宋体"/>
          <w:color w:val="auto"/>
          <w:sz w:val="24"/>
          <w:highlight w:val="none"/>
          <w:lang w:eastAsia="zh-CN"/>
        </w:rPr>
        <w:t xml:space="preserve">JSZC-320900-JZCG-G2026-0084</w:t>
      </w:r>
      <w:r>
        <w:rPr>
          <w:rFonts w:hint="eastAsia" w:ascii="宋体" w:hAnsi="宋体" w:eastAsia="宋体" w:cs="宋体"/>
          <w:color w:val="auto"/>
          <w:sz w:val="24"/>
          <w:highlight w:val="none"/>
        </w:rPr>
        <w:t xml:space="preserve">的潜在投标人应在“苏采云”系统内免费下载（投标人必须在苏采云系统中获取采购文件，方能参与政府采购项目），并于2026年</w:t>
      </w:r>
      <w:r>
        <w:rPr>
          <w:rFonts w:hint="eastAsia" w:ascii="宋体" w:hAnsi="宋体" w:eastAsia="宋体" w:cs="宋体"/>
          <w:color w:val="auto"/>
          <w:sz w:val="24"/>
          <w:highlight w:val="none"/>
          <w:lang w:val="en-US" w:eastAsia="zh-CN"/>
        </w:rPr>
        <w:t xml:space="preserve">   12</w:t>
      </w:r>
      <w:r>
        <w:rPr>
          <w:rFonts w:hint="eastAsia" w:ascii="宋体" w:hAnsi="宋体" w:eastAsia="宋体" w:cs="宋体"/>
          <w:color w:val="auto"/>
          <w:sz w:val="24"/>
          <w:highlight w:val="none"/>
        </w:rPr>
        <w:t xml:space="preserve">月8</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点</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分（北京时间）前递交投标文件。</w:t>
      </w:r>
      <w:r/>
    </w:p>
    <w:p>
      <w:pPr>
        <w:ind w:firstLine="482"/>
        <w:jc w:val="left"/>
        <w:keepLines w:val="0"/>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一、项目基本情况</w:t>
      </w:r>
      <w:bookmarkEnd w:id="1"/>
      <w:r/>
      <w:bookmarkEnd w:id="2"/>
      <w:r/>
      <w:bookmarkEnd w:id="3"/>
      <w:r/>
      <w:bookmarkEnd w:id="4"/>
      <w:r/>
      <w:bookmarkEnd w:id="5"/>
      <w:r/>
      <w:bookmarkEnd w:id="6"/>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JSZC-320900-JZCG-G2026-0084</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江苏省消防救援总队盐城支队2026年度目录外器材装备采购项目（第二批）</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采购方式：</w:t>
      </w:r>
      <w:r>
        <w:rPr>
          <w:rFonts w:hint="eastAsia" w:ascii="宋体" w:hAnsi="宋体" w:eastAsia="宋体" w:cs="宋体"/>
          <w:color w:val="auto"/>
          <w:sz w:val="24"/>
          <w:highlight w:val="none"/>
          <w:lang w:val="en-US" w:eastAsia="zh-CN"/>
        </w:rPr>
        <w:t xml:space="preserve">公开招标</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4.预算金额：418.474万元，其中：分包一预算金额：117.19万元；分包二预算金额：50万元；分包三预算金额：80.7万元；分包四预算金额：60.959万元；分包五预算金额：59.735万元；分包六预算金额：49.89万元。</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5.最高限价：418.474万元，其中：分包一最高限价：117.19万元；分包二最高限价：50万元；分包三最高限价：80.7万元；分包四最高限价：60.959万元；分包五最高限价59.735万元；分包六最高限价49.89万元。</w:t>
      </w:r>
      <w:r/>
    </w:p>
    <w:p>
      <w:pPr>
        <w:ind w:firstLine="482"/>
        <w:jc w:val="left"/>
        <w:keepLines w:val="0"/>
        <w:keepNext w:val="0"/>
        <w:pageBreakBefore w:val="0"/>
        <w:spacing w:line="5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招标文件简要说明：</w:t>
      </w:r>
      <w:r/>
    </w:p>
    <w:tbl>
      <w:tblPr>
        <w:tblStyle w:val="708"/>
        <w:tblW w:w="8653"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45"/>
        <w:gridCol w:w="2220"/>
        <w:gridCol w:w="705"/>
        <w:gridCol w:w="675"/>
        <w:gridCol w:w="1140"/>
        <w:gridCol w:w="1218"/>
        <w:gridCol w:w="1118"/>
        <w:gridCol w:w="1132"/>
      </w:tblGrid>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445"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标的物品名称</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预算单价</w:t>
            </w:r>
            <w:r/>
          </w:p>
          <w:p>
            <w:pPr>
              <w:jc w:val="center"/>
              <w:keepLines w:val="0"/>
              <w:keepNext w:val="0"/>
              <w:pageBreakBefore w:val="0"/>
              <w:spacing w:line="400" w:lineRule="exact"/>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t xml:space="preserve">预算总价</w:t>
            </w:r>
            <w:r/>
          </w:p>
          <w:p>
            <w:pPr>
              <w:jc w:val="center"/>
              <w:keepLines w:val="0"/>
              <w:keepNext w:val="0"/>
              <w:pageBreakBefore w:val="0"/>
              <w:spacing w:line="40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t xml:space="preserve">包总金额（元）</w:t>
            </w:r>
            <w:r/>
          </w:p>
        </w:tc>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keepLines w:val="0"/>
              <w:keepNext w:val="0"/>
              <w:pageBreakBefore w:val="0"/>
              <w:spacing w:line="40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t xml:space="preserve">是否专门面向中小企业</w:t>
            </w:r>
            <w:r/>
          </w:p>
        </w:tc>
      </w:tr>
      <w:tr>
        <w:trPr>
          <w:trHeight w:val="20"/>
        </w:trPr>
        <w:tc>
          <w:tcPr>
            <w:shd w:val="clear" w:color="auto" w:fill="auto"/>
            <w:tcBorders>
              <w:top w:val="single" w:color="000000" w:sz="4" w:space="0"/>
              <w:left w:val="single" w:color="000000" w:sz="4" w:space="0"/>
              <w:right w:val="single" w:color="000000" w:sz="4" w:space="0"/>
            </w:tcBorders>
            <w:tcW w:w="445" w:type="dxa"/>
            <w:vAlign w:val="center"/>
            <w:vMerge w:val="restart"/>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包1</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消防拉梯（6米竹制消防拉梯）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86800</w:t>
            </w:r>
            <w:r/>
          </w:p>
        </w:tc>
        <w:tc>
          <w:tcPr>
            <w:shd w:val="clear" w:color="auto" w:fill="auto"/>
            <w:tcBorders>
              <w:top w:val="single" w:color="000000" w:sz="4" w:space="0"/>
              <w:left w:val="single" w:color="000000" w:sz="4" w:space="0"/>
              <w:right w:val="single" w:color="000000" w:sz="4" w:space="0"/>
            </w:tcBorders>
            <w:tcW w:w="1118" w:type="dxa"/>
            <w:vAlign w:val="center"/>
            <w:vMerge w:val="restart"/>
            <w:textDirection w:val="lrTb"/>
            <w:noWrap/>
          </w:tcPr>
          <w:p>
            <w:pPr>
              <w:jc w:val="center"/>
              <w:keepLines w:val="0"/>
              <w:keepNext w:val="0"/>
              <w:pageBreakBefore w:val="0"/>
              <w:spacing w:line="400" w:lineRule="exact"/>
              <w:widowControl/>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1171900</w:t>
            </w:r>
            <w:r/>
          </w:p>
        </w:tc>
        <w:tc>
          <w:tcPr>
            <w:shd w:val="clear" w:color="auto" w:fill="auto"/>
            <w:tcBorders>
              <w:top w:val="single" w:color="000000" w:sz="4" w:space="0"/>
              <w:left w:val="single" w:color="000000" w:sz="4" w:space="0"/>
              <w:right w:val="single" w:color="000000" w:sz="4" w:space="0"/>
            </w:tcBorders>
            <w:tcW w:w="1132" w:type="dxa"/>
            <w:vAlign w:val="center"/>
            <w:vMerge w:val="restart"/>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是</w:t>
            </w:r>
            <w:r/>
          </w:p>
        </w:tc>
      </w:tr>
      <w:tr>
        <w:trPr>
          <w:trHeight w:val="20"/>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消防拉梯（9米竹制消防拉梯）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57600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20"/>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消防拉梯（15米金属消防拉梯）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14100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155100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20"/>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消防拉梯（挂钩梯）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20000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20"/>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消防拉梯（单杠梯）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9800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20"/>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救生软梯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24000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20"/>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缓降器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18600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20"/>
        </w:trPr>
        <w:tc>
          <w:tcPr>
            <w:shd w:val="clear" w:color="auto" w:fill="auto"/>
            <w:tcBorders>
              <w:left w:val="single" w:color="000000" w:sz="4" w:space="0"/>
              <w:bottom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消防救生气垫</w:t>
            </w:r>
            <w:r>
              <w:rPr>
                <w:rFonts w:hint="eastAsia" w:ascii="宋体" w:hAnsi="宋体" w:eastAsia="宋体" w:cs="宋体"/>
                <w:b/>
                <w:bCs/>
                <w:i w:val="0"/>
                <w:iCs w:val="0"/>
                <w:color w:val="auto"/>
                <w:sz w:val="24"/>
                <w:szCs w:val="24"/>
                <w:highlight w:val="none"/>
                <w:u w:val="none"/>
                <w:lang w:val="en-US" w:eastAsia="zh-CN" w:bidi="ar"/>
              </w:rPr>
              <w:t xml:space="preserve">核心产品（提供样品演示视频）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800000</w:t>
            </w:r>
            <w:r/>
          </w:p>
        </w:tc>
        <w:tc>
          <w:tcPr>
            <w:shd w:val="clear" w:color="auto" w:fill="auto"/>
            <w:tcBorders>
              <w:left w:val="single" w:color="000000" w:sz="4" w:space="0"/>
              <w:bottom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764"/>
        </w:trPr>
        <w:tc>
          <w:tcPr>
            <w:shd w:val="clear" w:color="auto" w:fill="auto"/>
            <w:tcBorders>
              <w:top w:val="single" w:color="000000" w:sz="4" w:space="0"/>
              <w:left w:val="single" w:color="000000" w:sz="4" w:space="0"/>
              <w:right w:val="single" w:color="000000" w:sz="4" w:space="0"/>
            </w:tcBorders>
            <w:tcW w:w="44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包2</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新能源模块装置</w:t>
            </w:r>
            <w:r/>
          </w:p>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核心产品（提供样品演示视频）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jc w:val="center"/>
              <w:keepLines w:val="0"/>
              <w:keepNext w:val="0"/>
              <w:pageBreakBefore w:val="0"/>
              <w:spacing w:line="400" w:lineRule="exact"/>
              <w:widowControl/>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500000</w:t>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728"/>
        </w:trPr>
        <w:tc>
          <w:tcPr>
            <w:shd w:val="clear" w:color="auto" w:fill="auto"/>
            <w:tcBorders>
              <w:top w:val="single" w:color="000000" w:sz="4" w:space="0"/>
              <w:left w:val="single" w:color="000000" w:sz="4" w:space="0"/>
              <w:right w:val="single" w:color="000000" w:sz="4" w:space="0"/>
            </w:tcBorders>
            <w:tcW w:w="445" w:type="dxa"/>
            <w:vAlign w:val="center"/>
            <w:vMerge w:val="restart"/>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包3</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液压破拆工具组</w:t>
            </w:r>
            <w:r/>
          </w:p>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核心产品（提供样品演示视频）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380000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380000</w:t>
            </w:r>
            <w:r/>
          </w:p>
        </w:tc>
        <w:tc>
          <w:tcPr>
            <w:shd w:val="clear" w:color="auto" w:fill="auto"/>
            <w:tcBorders>
              <w:top w:val="single" w:color="000000" w:sz="4" w:space="0"/>
              <w:left w:val="single" w:color="000000" w:sz="4" w:space="0"/>
              <w:right w:val="single" w:color="000000" w:sz="4" w:space="0"/>
            </w:tcBorders>
            <w:tcW w:w="1118" w:type="dxa"/>
            <w:vAlign w:val="center"/>
            <w:vMerge w:val="restart"/>
            <w:textDirection w:val="lrTb"/>
            <w:noWrap/>
          </w:tcPr>
          <w:p>
            <w:pPr>
              <w:jc w:val="center"/>
              <w:keepLines w:val="0"/>
              <w:keepNext w:val="0"/>
              <w:pageBreakBefore w:val="0"/>
              <w:spacing w:line="400" w:lineRule="exact"/>
              <w:widowControl/>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807000</w:t>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474"/>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手动破拆工具组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7000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414"/>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液压混凝土破拆工具组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120000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120000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309"/>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水下破拆工具组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300000</w:t>
            </w:r>
            <w:r/>
          </w:p>
        </w:tc>
        <w:tc>
          <w:tcPr>
            <w:shd w:val="clear" w:color="auto" w:fill="auto"/>
            <w:tcBorders>
              <w:left w:val="single" w:color="000000" w:sz="4" w:space="0"/>
              <w:bottom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369"/>
        </w:trPr>
        <w:tc>
          <w:tcPr>
            <w:shd w:val="clear" w:color="auto" w:fill="auto"/>
            <w:tcBorders>
              <w:top w:val="single" w:color="000000" w:sz="4" w:space="0"/>
              <w:left w:val="single" w:color="000000" w:sz="4" w:space="0"/>
              <w:right w:val="single" w:color="000000" w:sz="4" w:space="0"/>
            </w:tcBorders>
            <w:tcW w:w="445" w:type="dxa"/>
            <w:vAlign w:val="center"/>
            <w:vMerge w:val="restart"/>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包4</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消防腰斧</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16150</w:t>
            </w:r>
            <w:r/>
          </w:p>
        </w:tc>
        <w:tc>
          <w:tcPr>
            <w:shd w:val="clear" w:color="auto" w:fill="auto"/>
            <w:tcBorders>
              <w:top w:val="single" w:color="000000" w:sz="4" w:space="0"/>
              <w:left w:val="single" w:color="000000" w:sz="4" w:space="0"/>
              <w:right w:val="single" w:color="000000" w:sz="4" w:space="0"/>
            </w:tcBorders>
            <w:tcW w:w="1118" w:type="dxa"/>
            <w:vAlign w:val="center"/>
            <w:vMerge w:val="restart"/>
            <w:textDirection w:val="lrTb"/>
            <w:noWrap/>
          </w:tcPr>
          <w:p>
            <w:pPr>
              <w:jc w:val="center"/>
              <w:keepLines w:val="0"/>
              <w:keepNext w:val="0"/>
              <w:pageBreakBefore w:val="0"/>
              <w:spacing w:line="400" w:lineRule="exact"/>
              <w:widowControl/>
              <w:rPr>
                <w:rFonts w:hint="default"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609590</w:t>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r>
            <w:r/>
          </w:p>
        </w:tc>
      </w:tr>
      <w:tr>
        <w:trPr>
          <w:trHeight w:val="101"/>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消防护目镜</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550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防静电内衣</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9450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70"/>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消防安全腰带</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26400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08"/>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消防员呼救器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87100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08"/>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应急逃生自救安全绳</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84500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08"/>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消防员灭火</w:t>
            </w:r>
            <w:r/>
          </w:p>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防护头套</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35100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08"/>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消防员护膝、护肘</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5440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517"/>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消防员隔热防护服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60000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247"/>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21600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788"/>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一级化学防护服</w:t>
            </w:r>
            <w:r/>
          </w:p>
          <w:p>
            <w:pPr>
              <w:pStyle w:val="712"/>
              <w:jc w:val="center"/>
              <w:keepLines w:val="0"/>
              <w:keepNext w:val="0"/>
              <w:pageBreakBefore w:val="0"/>
              <w:spacing w:line="400" w:lineRule="exact"/>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核心产品（提供样品演示视频）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28000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90"/>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消防员防蜂服</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67500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692"/>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消防全身式安全吊带</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30600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267"/>
        </w:trPr>
        <w:tc>
          <w:tcPr>
            <w:shd w:val="clear" w:color="auto" w:fill="auto"/>
            <w:tcBorders>
              <w:left w:val="single" w:color="000000" w:sz="4" w:space="0"/>
              <w:bottom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手提式强光照明灯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137200</w:t>
            </w:r>
            <w:r/>
          </w:p>
        </w:tc>
        <w:tc>
          <w:tcPr>
            <w:shd w:val="clear" w:color="auto" w:fill="auto"/>
            <w:tcBorders>
              <w:left w:val="single" w:color="000000" w:sz="4" w:space="0"/>
              <w:bottom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202"/>
        </w:trPr>
        <w:tc>
          <w:tcPr>
            <w:shd w:val="clear" w:color="auto" w:fill="auto"/>
            <w:tcBorders>
              <w:top w:val="single" w:color="000000" w:sz="4" w:space="0"/>
              <w:left w:val="single" w:color="000000" w:sz="4" w:space="0"/>
              <w:right w:val="single" w:color="000000" w:sz="4" w:space="0"/>
            </w:tcBorders>
            <w:tcW w:w="445" w:type="dxa"/>
            <w:vAlign w:val="center"/>
            <w:vMerge w:val="restart"/>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包5</w:t>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激流救生衣</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87200</w:t>
            </w:r>
            <w:r/>
          </w:p>
        </w:tc>
        <w:tc>
          <w:tcPr>
            <w:shd w:val="clear" w:color="auto" w:fill="auto"/>
            <w:tcBorders>
              <w:top w:val="single" w:color="000000" w:sz="4" w:space="0"/>
              <w:left w:val="single" w:color="000000" w:sz="4" w:space="0"/>
              <w:right w:val="single" w:color="000000" w:sz="4" w:space="0"/>
            </w:tcBorders>
            <w:tcW w:w="1118" w:type="dxa"/>
            <w:vAlign w:val="center"/>
            <w:vMerge w:val="restart"/>
            <w:textDirection w:val="lrTb"/>
            <w:noWrap/>
          </w:tcPr>
          <w:p>
            <w:pPr>
              <w:jc w:val="center"/>
              <w:keepLines w:val="0"/>
              <w:keepNext w:val="0"/>
              <w:pageBreakBefore w:val="0"/>
              <w:spacing w:line="400" w:lineRule="exact"/>
              <w:widowControl/>
              <w:rPr>
                <w:rFonts w:hint="default"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 xml:space="preserve">597350</w:t>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65"/>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防水头灯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35750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492"/>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潜水装具</w:t>
            </w:r>
            <w:r/>
          </w:p>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核心产品（提供样品演示视频）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43000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172000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5"/>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救生照明线</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140000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20"/>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中压分水器</w:t>
            </w:r>
            <w:r/>
          </w:p>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（三分水）1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2550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51000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20"/>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中压分水器</w:t>
            </w:r>
            <w:r/>
          </w:p>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（三分水）2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ind w:left="0" w:right="0"/>
              <w:jc w:val="left"/>
              <w:keepLines w:val="0"/>
              <w:keepNext w:val="0"/>
              <w:pageBreakBefore w:val="0"/>
              <w:spacing w:before="1" w:after="0" w:line="400" w:lineRule="exac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51800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462"/>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中压分水器</w:t>
            </w:r>
            <w:r/>
          </w:p>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（二分水）1</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2350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18800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631"/>
        </w:trPr>
        <w:tc>
          <w:tcPr>
            <w:shd w:val="clear" w:color="auto" w:fill="auto"/>
            <w:tcBorders>
              <w:left w:val="single" w:color="000000"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中压分水器</w:t>
            </w:r>
            <w:r/>
          </w:p>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（二分水）2</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28800</w:t>
            </w:r>
            <w:r/>
          </w:p>
        </w:tc>
        <w:tc>
          <w:tcPr>
            <w:shd w:val="clear" w:color="auto" w:fill="auto"/>
            <w:tcBorders>
              <w:left w:val="single" w:color="000000"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20"/>
        </w:trPr>
        <w:tc>
          <w:tcPr>
            <w:shd w:val="clear" w:color="auto" w:fill="auto"/>
            <w:tcBorders>
              <w:left w:val="single" w:color="000000" w:sz="4" w:space="0"/>
              <w:bottom w:val="single" w:color="auto" w:sz="4" w:space="0"/>
              <w:right w:val="single" w:color="000000"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三分水器</w:t>
            </w:r>
            <w:r/>
          </w:p>
        </w:tc>
        <w:tc>
          <w:tcPr>
            <w:shd w:val="clear" w:color="auto" w:fill="auto"/>
            <w:tcBorders>
              <w:top w:val="single" w:color="000000" w:sz="4" w:space="0"/>
              <w:left w:val="single" w:color="000000" w:sz="4" w:space="0"/>
              <w:bottom w:val="single" w:color="auto" w:sz="4" w:space="0"/>
              <w:right w:val="single" w:color="000000"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auto" w:sz="4" w:space="0"/>
              <w:right w:val="single" w:color="000000"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auto" w:sz="4" w:space="0"/>
              <w:right w:val="single" w:color="000000"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4000</w:t>
            </w:r>
            <w:r/>
          </w:p>
        </w:tc>
        <w:tc>
          <w:tcPr>
            <w:shd w:val="clear" w:color="auto" w:fill="auto"/>
            <w:tcBorders>
              <w:top w:val="single" w:color="000000" w:sz="4" w:space="0"/>
              <w:left w:val="single" w:color="000000" w:sz="4" w:space="0"/>
              <w:bottom w:val="single" w:color="auto" w:sz="4" w:space="0"/>
              <w:right w:val="single" w:color="000000"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12000</w:t>
            </w:r>
            <w:r/>
          </w:p>
        </w:tc>
        <w:tc>
          <w:tcPr>
            <w:shd w:val="clear" w:color="auto" w:fill="auto"/>
            <w:tcBorders>
              <w:left w:val="single" w:color="000000" w:sz="4" w:space="0"/>
              <w:bottom w:val="single" w:color="auto" w:sz="4" w:space="0"/>
              <w:right w:val="single" w:color="000000"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445" w:type="dxa"/>
            <w:vAlign w:val="center"/>
            <w:vMerge w:val="restart"/>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包6</w:t>
            </w:r>
            <w:r/>
          </w:p>
        </w:tc>
        <w:tc>
          <w:tcPr>
            <w:shd w:val="clear" w:color="auto" w:fill="auto"/>
            <w:tcBorders>
              <w:top w:val="single" w:color="auto" w:sz="4" w:space="0"/>
              <w:left w:val="single" w:color="auto" w:sz="4" w:space="0"/>
              <w:bottom w:val="single" w:color="auto" w:sz="4" w:space="0"/>
              <w:right w:val="single" w:color="auto"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有毒气体探测仪</w:t>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5500</w:t>
            </w:r>
            <w:r/>
          </w:p>
        </w:tc>
        <w:tc>
          <w:tcPr>
            <w:shd w:val="clear" w:color="auto" w:fill="auto"/>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27500</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vMerge w:val="restart"/>
            <w:textDirection w:val="lrTb"/>
            <w:noWrap/>
          </w:tcPr>
          <w:p>
            <w:pPr>
              <w:jc w:val="center"/>
              <w:keepLines w:val="0"/>
              <w:keepNext w:val="0"/>
              <w:pageBreakBefore w:val="0"/>
              <w:spacing w:line="400" w:lineRule="exact"/>
              <w:widowControl/>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498900</w:t>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可燃气体检测仪</w:t>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5000</w:t>
            </w:r>
            <w:r/>
          </w:p>
        </w:tc>
        <w:tc>
          <w:tcPr>
            <w:shd w:val="clear" w:color="auto" w:fill="auto"/>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40000</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消防用红外热像仪1</w:t>
            </w:r>
            <w:r/>
          </w:p>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核心产品（提供样品演示视频）</w:t>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45000</w:t>
            </w:r>
            <w:r/>
          </w:p>
        </w:tc>
        <w:tc>
          <w:tcPr>
            <w:shd w:val="clear" w:color="auto" w:fill="auto"/>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90000</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消防用红外热像仪2</w:t>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23000</w:t>
            </w:r>
            <w:r/>
          </w:p>
        </w:tc>
        <w:tc>
          <w:tcPr>
            <w:shd w:val="clear" w:color="auto" w:fill="auto"/>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184000</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漏电探测仪</w:t>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3800</w:t>
            </w:r>
            <w:r/>
          </w:p>
        </w:tc>
        <w:tc>
          <w:tcPr>
            <w:shd w:val="clear" w:color="auto" w:fill="auto"/>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49400</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激光测距仪</w:t>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2000</w:t>
            </w:r>
            <w:r/>
          </w:p>
        </w:tc>
        <w:tc>
          <w:tcPr>
            <w:shd w:val="clear" w:color="auto" w:fill="auto"/>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8000</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20"/>
        </w:trPr>
        <w:tc>
          <w:tcPr>
            <w:shd w:val="clear" w:color="auto" w:fill="auto"/>
            <w:tcBorders>
              <w:top w:val="single" w:color="auto" w:sz="4" w:space="0"/>
              <w:left w:val="single" w:color="auto" w:sz="4" w:space="0"/>
              <w:bottom w:val="single" w:color="auto" w:sz="4" w:space="0"/>
              <w:right w:val="single" w:color="auto" w:sz="4" w:space="0"/>
            </w:tcBorders>
            <w:tcW w:w="445"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222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水下音视频热成像生命探测仪</w:t>
            </w:r>
            <w:r/>
          </w:p>
        </w:tc>
        <w:tc>
          <w:tcPr>
            <w:shd w:val="clear" w:color="auto" w:fill="auto"/>
            <w:tcBorders>
              <w:top w:val="single" w:color="auto" w:sz="4" w:space="0"/>
              <w:left w:val="single" w:color="auto" w:sz="4" w:space="0"/>
              <w:bottom w:val="single" w:color="auto" w:sz="4" w:space="0"/>
              <w:right w:val="single" w:color="auto" w:sz="4" w:space="0"/>
            </w:tcBorders>
            <w:tcW w:w="70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100000</w:t>
            </w:r>
            <w:r/>
          </w:p>
        </w:tc>
        <w:tc>
          <w:tcPr>
            <w:shd w:val="clear" w:color="auto" w:fill="auto"/>
            <w:tcBorders>
              <w:top w:val="single" w:color="auto" w:sz="4" w:space="0"/>
              <w:left w:val="single" w:color="auto" w:sz="4" w:space="0"/>
              <w:bottom w:val="single" w:color="auto" w:sz="4" w:space="0"/>
              <w:right w:val="single" w:color="auto" w:sz="4" w:space="0"/>
            </w:tcBorders>
            <w:tcW w:w="1218" w:type="dxa"/>
            <w:vAlign w:val="center"/>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100000</w:t>
            </w:r>
            <w:r/>
          </w:p>
        </w:tc>
        <w:tc>
          <w:tcPr>
            <w:shd w:val="clear" w:color="auto" w:fill="auto"/>
            <w:tcBorders>
              <w:top w:val="single" w:color="auto" w:sz="4" w:space="0"/>
              <w:left w:val="single" w:color="auto" w:sz="4" w:space="0"/>
              <w:bottom w:val="single" w:color="auto" w:sz="4" w:space="0"/>
              <w:right w:val="single" w:color="auto" w:sz="4" w:space="0"/>
            </w:tcBorders>
            <w:tcW w:w="1118"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left w:val="single" w:color="000000" w:sz="4" w:space="0"/>
              <w:bottom w:val="single" w:color="auto" w:sz="4" w:space="0"/>
              <w:right w:val="single" w:color="000000" w:sz="4" w:space="0"/>
            </w:tcBorders>
            <w:tcW w:w="1132" w:type="dxa"/>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r>
      <w:tr>
        <w:trPr>
          <w:trHeight w:val="482"/>
        </w:trPr>
        <w:tc>
          <w:tcPr>
            <w:gridSpan w:val="8"/>
            <w:shd w:val="clear" w:color="auto" w:fill="auto"/>
            <w:tcBorders>
              <w:top w:val="single" w:color="auto" w:sz="4" w:space="0"/>
              <w:left w:val="single" w:color="auto" w:sz="4" w:space="0"/>
              <w:bottom w:val="single" w:color="auto" w:sz="4" w:space="0"/>
              <w:right w:val="single" w:color="auto" w:sz="4" w:space="0"/>
            </w:tcBorders>
            <w:tcW w:w="8653" w:type="dxa"/>
            <w:vAlign w:val="center"/>
            <w:textDirection w:val="lrTb"/>
            <w:noWrap/>
          </w:tcPr>
          <w:p>
            <w:pPr>
              <w:jc w:val="center"/>
              <w:keepLines w:val="0"/>
              <w:keepNext w:val="0"/>
              <w:pageBreakBefore w:val="0"/>
              <w:spacing w:line="400" w:lineRule="exact"/>
              <w:widowControl/>
              <w:rPr>
                <w:rFonts w:hint="default" w:ascii="宋体" w:hAnsi="宋体" w:eastAsia="宋体" w:cs="宋体"/>
                <w:i w:val="0"/>
                <w:iCs w:val="0"/>
                <w:color w:val="auto"/>
                <w:sz w:val="24"/>
                <w:szCs w:val="24"/>
                <w:highlight w:val="none"/>
                <w:u w:val="none"/>
                <w:lang w:val="en-US" w:eastAsia="zh-CN" w:bidi="ar"/>
              </w:rPr>
            </w:pPr>
            <w:r/>
            <w:bookmarkStart w:id="209" w:name="_GoBack"/>
            <w:r/>
            <w:bookmarkEnd w:id="209"/>
            <w:r>
              <w:rPr>
                <w:rFonts w:hint="eastAsia" w:ascii="宋体" w:hAnsi="宋体" w:eastAsia="宋体" w:cs="宋体"/>
                <w:i w:val="0"/>
                <w:iCs w:val="0"/>
                <w:color w:val="auto"/>
                <w:sz w:val="24"/>
                <w:szCs w:val="24"/>
                <w:highlight w:val="none"/>
                <w:u w:val="none"/>
                <w:lang w:val="en-US" w:eastAsia="zh-CN" w:bidi="ar"/>
              </w:rPr>
              <w:t xml:space="preserve">合计：418.474万元</w:t>
            </w:r>
            <w:r/>
          </w:p>
        </w:tc>
      </w:tr>
    </w:tbl>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注：每项产品不得超过其对应的单价限价；否则按无效投标处理。</w:t>
      </w:r>
      <w:r>
        <w:rPr>
          <w:rFonts w:hint="eastAsia" w:ascii="宋体" w:hAnsi="宋体" w:eastAsia="宋体" w:cs="宋体"/>
          <w:b/>
          <w:bCs/>
          <w:color w:val="auto"/>
          <w:sz w:val="24"/>
          <w:szCs w:val="24"/>
          <w:highlight w:val="none"/>
          <w:lang w:val="en-US" w:eastAsia="zh-CN"/>
        </w:rPr>
        <w:t xml:space="preserve">本项目共6个分包，开评标的顺序为分包一→分包二→分包三→分包四→分包五→分包六。可兼投兼中。</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.合同履行期限：签订合同后60日历天内将货物送达指定地点</w:t>
      </w:r>
      <w:r>
        <w:rPr>
          <w:rFonts w:hint="eastAsia" w:ascii="宋体" w:hAnsi="宋体" w:eastAsia="宋体" w:cs="宋体"/>
          <w:color w:val="auto"/>
          <w:sz w:val="24"/>
          <w:szCs w:val="24"/>
          <w:highlight w:val="none"/>
          <w:lang w:eastAsia="zh-CN"/>
        </w:rPr>
        <w:t xml:space="preserve">。</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8.本项目（是/否）接受联合体参与投标：否。</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rPr>
      </w:pPr>
      <w:r/>
      <w:bookmarkStart w:id="7" w:name="_Toc38985264"/>
      <w:r/>
      <w:bookmarkStart w:id="8" w:name="_Toc35393622"/>
      <w:r/>
      <w:bookmarkStart w:id="9" w:name="_Toc28359080"/>
      <w:r/>
      <w:bookmarkStart w:id="10" w:name="_Toc28359003"/>
      <w:r/>
      <w:bookmarkStart w:id="11" w:name="_Toc35393791"/>
      <w:r>
        <w:rPr>
          <w:rFonts w:hint="eastAsia" w:ascii="宋体" w:hAnsi="宋体" w:eastAsia="宋体" w:cs="宋体"/>
          <w:b/>
          <w:bCs/>
          <w:color w:val="auto"/>
          <w:sz w:val="24"/>
          <w:szCs w:val="24"/>
          <w:highlight w:val="none"/>
        </w:rPr>
        <w:t xml:space="preserve">二、申请人的资格要求：</w:t>
      </w:r>
      <w:bookmarkEnd w:id="7"/>
      <w:r/>
      <w:bookmarkEnd w:id="8"/>
      <w:r/>
      <w:bookmarkEnd w:id="9"/>
      <w:r/>
      <w:bookmarkEnd w:id="10"/>
      <w:r/>
      <w:bookmarkEnd w:id="11"/>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1.1法人或者其他组织的营业执照等证明文件，自然人的身份证明；</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本项目专门面向中小企业采购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采购标的所属行业为</w:t>
      </w:r>
      <w:r>
        <w:rPr>
          <w:rFonts w:hint="eastAsia" w:ascii="宋体" w:hAnsi="宋体" w:eastAsia="宋体" w:cs="宋体"/>
          <w:b/>
          <w:bCs/>
          <w:color w:val="auto"/>
          <w:sz w:val="24"/>
          <w:szCs w:val="24"/>
          <w:highlight w:val="none"/>
          <w:u w:val="single"/>
        </w:rPr>
        <w:t xml:space="preserve">工业</w:t>
      </w:r>
      <w:r>
        <w:rPr>
          <w:rFonts w:hint="eastAsia" w:ascii="宋体" w:hAnsi="宋体" w:eastAsia="宋体" w:cs="宋体"/>
          <w:b/>
          <w:bCs/>
          <w:color w:val="auto"/>
          <w:sz w:val="24"/>
          <w:szCs w:val="24"/>
          <w:highlight w:val="none"/>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color w:val="auto"/>
          <w:sz w:val="24"/>
          <w:szCs w:val="24"/>
          <w:highlight w:val="none"/>
        </w:rPr>
        <w:t xml:space="preserve">。</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2" w:name="_Toc28359082"/>
      <w:r/>
      <w:bookmarkStart w:id="13" w:name="_Toc28359005"/>
      <w:r/>
      <w:bookmarkStart w:id="14" w:name="_Toc38985266"/>
      <w:r/>
      <w:bookmarkStart w:id="15" w:name="_Toc35393624"/>
      <w:r/>
      <w:bookmarkStart w:id="16" w:name="_Toc35393793"/>
      <w:r>
        <w:rPr>
          <w:rFonts w:hint="eastAsia" w:ascii="宋体" w:hAnsi="宋体" w:eastAsia="宋体" w:cs="宋体"/>
          <w:color w:val="auto"/>
          <w:sz w:val="24"/>
          <w:szCs w:val="24"/>
          <w:highlight w:val="none"/>
        </w:rPr>
        <w:t xml:space="preserve">1.时间：</w:t>
      </w:r>
      <w:bookmarkEnd w:id="12"/>
      <w:r/>
      <w:bookmarkEnd w:id="13"/>
      <w:r/>
      <w:bookmarkEnd w:id="14"/>
      <w:r/>
      <w:bookmarkEnd w:id="15"/>
      <w:r/>
      <w:bookmarkEnd w:id="16"/>
      <w:r>
        <w:rPr>
          <w:rFonts w:hint="eastAsia" w:ascii="宋体" w:hAnsi="宋体" w:eastAsia="宋体" w:cs="宋体"/>
          <w:color w:val="auto"/>
          <w:sz w:val="24"/>
          <w:szCs w:val="24"/>
          <w:highlight w:val="none"/>
        </w:rPr>
        <w:t xml:space="preserve">自招标文件公告发布之日起5个工作日</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2.地点：“苏采云”系统内免费下载（投标人必须在苏采云系统中获取采购文件，方能参与政府采购项目）；</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3.方式：本项目采用网上注册登记方式。</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四、提交投标文件截止时间、开标时间和地点</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月8</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9点30分</w:t>
      </w:r>
      <w:r>
        <w:rPr>
          <w:rFonts w:hint="eastAsia" w:ascii="宋体" w:hAnsi="宋体" w:eastAsia="宋体" w:cs="宋体"/>
          <w:color w:val="auto"/>
          <w:sz w:val="24"/>
          <w:szCs w:val="24"/>
          <w:highlight w:val="none"/>
        </w:rPr>
        <w:t xml:space="preserve">（北京时间）</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2.地点：苏采云“不见面”开标大厅</w:t>
      </w:r>
      <w:r>
        <w:rPr>
          <w:rFonts w:hint="eastAsia" w:ascii="宋体" w:hAnsi="宋体" w:eastAsia="宋体" w:cs="宋体"/>
          <w:color w:val="auto"/>
          <w:sz w:val="24"/>
          <w:szCs w:val="24"/>
          <w:highlight w:val="none"/>
          <w:lang w:eastAsia="zh-CN"/>
        </w:rPr>
        <w:t xml:space="preserve">。</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rPr>
      </w:pPr>
      <w:r/>
      <w:bookmarkStart w:id="17" w:name="_Toc28359084"/>
      <w:r/>
      <w:bookmarkStart w:id="18" w:name="_Toc28359007"/>
      <w:r/>
      <w:bookmarkStart w:id="19" w:name="_Toc35393794"/>
      <w:r/>
      <w:bookmarkStart w:id="20" w:name="_Toc38985267"/>
      <w:r/>
      <w:bookmarkStart w:id="21" w:name="_Toc35393625"/>
      <w:r>
        <w:rPr>
          <w:rFonts w:hint="eastAsia" w:ascii="宋体" w:hAnsi="宋体" w:eastAsia="宋体" w:cs="宋体"/>
          <w:b/>
          <w:bCs/>
          <w:color w:val="auto"/>
          <w:sz w:val="24"/>
          <w:szCs w:val="24"/>
          <w:highlight w:val="none"/>
        </w:rPr>
        <w:t xml:space="preserve">五、公告期限</w:t>
      </w:r>
      <w:bookmarkEnd w:id="17"/>
      <w:r/>
      <w:bookmarkEnd w:id="18"/>
      <w:r/>
      <w:bookmarkEnd w:id="19"/>
      <w:r/>
      <w:bookmarkEnd w:id="20"/>
      <w:r/>
      <w:bookmarkEnd w:id="21"/>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bookmarkStart w:id="22" w:name="_Toc35393626"/>
      <w:r/>
      <w:bookmarkStart w:id="23" w:name="_Toc38985268"/>
      <w:r/>
      <w:bookmarkStart w:id="24" w:name="_Toc35393795"/>
      <w:r>
        <w:rPr>
          <w:rFonts w:hint="eastAsia" w:ascii="宋体" w:hAnsi="宋体" w:eastAsia="宋体" w:cs="宋体"/>
          <w:color w:val="auto"/>
          <w:sz w:val="24"/>
          <w:szCs w:val="24"/>
          <w:highlight w:val="none"/>
          <w:lang w:val="en-US" w:eastAsia="zh-CN"/>
        </w:rPr>
        <w:t xml:space="preserve">自本公告发布之日起5个工作日</w:t>
      </w:r>
      <w:bookmarkEnd w:id="22"/>
      <w:r/>
      <w:bookmarkEnd w:id="23"/>
      <w:r/>
      <w:bookmarkEnd w:id="24"/>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六、其他补充事宜</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bookmarkStart w:id="25" w:name="_Toc28359018"/>
      <w:r>
        <w:rPr>
          <w:rFonts w:hint="eastAsia" w:ascii="宋体" w:hAnsi="宋体" w:eastAsia="宋体" w:cs="宋体"/>
          <w:color w:val="auto"/>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潜在供应商访问电子招标响应交易平台的网络地址和方法： </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2.2潜在投标人访问“苏采云”系统方法：江苏省政府采购网首页-“苏采云”链接。 </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如潜在投标人未按上述要求操作，将自行承担所产生的风险。</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3.有关本次招标的事项若存在变动或修改，敬请及时关注盐城市政府采购中心在“中国政府采购网”、“江苏政府采购网”、“盐城市政府采购网”发布的更正公告。</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4.本次招标不收取投标保证金，不收取质量保证金。</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七、对本次招标提出询问，请按以下方式联系。</w:t>
      </w:r>
      <w:bookmarkEnd w:id="25"/>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1.采购人信息</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称：盐城市消防救援支队</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址：盐城市经济技术开发区岷江路60号</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人：张先生</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联系电话：0515-83568321</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2.采购代理机构信息</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称：盐城市政府采购中心</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址：盐城市府西路1号市公共资源交易中心5楼</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顾</w:t>
      </w:r>
      <w:r>
        <w:rPr>
          <w:rFonts w:hint="eastAsia" w:ascii="宋体" w:hAnsi="宋体" w:eastAsia="宋体" w:cs="宋体"/>
          <w:color w:val="auto"/>
          <w:sz w:val="24"/>
          <w:szCs w:val="24"/>
          <w:highlight w:val="none"/>
          <w:lang w:eastAsia="zh-CN"/>
        </w:rPr>
        <w:t xml:space="preserve">女士</w:t>
      </w:r>
      <w:r>
        <w:rPr>
          <w:rFonts w:hint="eastAsia" w:ascii="宋体" w:hAnsi="宋体" w:eastAsia="宋体" w:cs="宋体"/>
          <w:color w:val="auto"/>
          <w:sz w:val="24"/>
          <w:szCs w:val="24"/>
          <w:highlight w:val="none"/>
        </w:rPr>
        <w:t xml:space="preserve">         </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联系方式：0515-</w:t>
      </w:r>
      <w:r>
        <w:rPr>
          <w:rFonts w:hint="eastAsia" w:ascii="宋体" w:hAnsi="宋体" w:eastAsia="宋体" w:cs="宋体"/>
          <w:color w:val="auto"/>
          <w:sz w:val="24"/>
          <w:szCs w:val="24"/>
          <w:highlight w:val="none"/>
          <w:lang w:val="en-US" w:eastAsia="zh-CN"/>
        </w:rPr>
        <w:t xml:space="preserve">86665092</w:t>
      </w:r>
      <w:r>
        <w:rPr>
          <w:rFonts w:hint="eastAsia" w:ascii="宋体" w:hAnsi="宋体" w:eastAsia="宋体" w:cs="宋体"/>
          <w:color w:val="auto"/>
          <w:sz w:val="24"/>
          <w:szCs w:val="24"/>
          <w:highlight w:val="none"/>
        </w:rPr>
        <w:t xml:space="preserve">      </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3.项目联系方式</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顾</w:t>
      </w:r>
      <w:r>
        <w:rPr>
          <w:rFonts w:hint="eastAsia" w:ascii="宋体" w:hAnsi="宋体" w:eastAsia="宋体" w:cs="宋体"/>
          <w:color w:val="auto"/>
          <w:sz w:val="24"/>
          <w:szCs w:val="24"/>
          <w:highlight w:val="none"/>
          <w:lang w:eastAsia="zh-CN"/>
        </w:rPr>
        <w:t xml:space="preserve">女士</w:t>
      </w:r>
      <w:r>
        <w:rPr>
          <w:rFonts w:hint="eastAsia" w:ascii="宋体" w:hAnsi="宋体" w:eastAsia="宋体" w:cs="宋体"/>
          <w:color w:val="auto"/>
          <w:sz w:val="24"/>
          <w:szCs w:val="24"/>
          <w:highlight w:val="none"/>
        </w:rPr>
        <w:t xml:space="preserve">              </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      话：0515-</w:t>
      </w:r>
      <w:r>
        <w:rPr>
          <w:rFonts w:hint="eastAsia" w:ascii="宋体" w:hAnsi="宋体" w:eastAsia="宋体" w:cs="宋体"/>
          <w:color w:val="auto"/>
          <w:sz w:val="24"/>
          <w:szCs w:val="24"/>
          <w:highlight w:val="none"/>
          <w:lang w:val="en-US" w:eastAsia="zh-CN"/>
        </w:rPr>
        <w:t xml:space="preserve">86665092</w:t>
      </w:r>
      <w:r>
        <w:rPr>
          <w:rFonts w:hint="eastAsia" w:ascii="宋体" w:hAnsi="宋体" w:eastAsia="宋体" w:cs="宋体"/>
          <w:color w:val="auto"/>
          <w:sz w:val="24"/>
          <w:szCs w:val="24"/>
          <w:highlight w:val="none"/>
        </w:rPr>
        <w:t xml:space="preserve">  </w:t>
      </w:r>
      <w:r/>
    </w:p>
    <w:p>
      <w:pP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bookmarkStart w:id="26" w:name="_Toc120614211"/>
      <w:r/>
      <w:r/>
    </w:p>
    <w:p>
      <w:pPr>
        <w:pStyle w:val="730"/>
        <w:jc w:val="center"/>
        <w:keepLines w:val="0"/>
        <w:keepNext w:val="0"/>
        <w:pageBreakBefore w:val="0"/>
        <w:spacing w:beforeAutospacing="0" w:afterAutospacing="0" w:line="520" w:lineRule="exact"/>
        <w:widowControl w:val="off"/>
        <w:rPr>
          <w:rFonts w:hint="eastAsia" w:ascii="黑体" w:hAnsi="黑体" w:eastAsia="黑体" w:cs="黑体"/>
          <w:color w:val="auto"/>
          <w:sz w:val="44"/>
          <w:szCs w:val="44"/>
          <w:highlight w:val="none"/>
          <w:lang w:eastAsia="zh-CN"/>
        </w:rPr>
      </w:pPr>
      <w:r>
        <w:rPr>
          <w:rFonts w:hint="eastAsia" w:ascii="黑体" w:hAnsi="黑体" w:eastAsia="黑体" w:cs="黑体"/>
          <w:color w:val="auto"/>
          <w:sz w:val="44"/>
          <w:szCs w:val="44"/>
          <w:highlight w:val="none"/>
          <w:lang w:eastAsia="zh-CN"/>
        </w:rPr>
        <w:t xml:space="preserve">第二章</w:t>
      </w:r>
      <w:bookmarkEnd w:id="26"/>
      <w:r/>
      <w:bookmarkStart w:id="27" w:name="_Toc513029202"/>
      <w:r/>
      <w:bookmarkStart w:id="28" w:name="_Toc20823274"/>
      <w:r/>
      <w:bookmarkStart w:id="29" w:name="_Toc120614213"/>
      <w:r/>
      <w:bookmarkStart w:id="30" w:name="_Toc16938518"/>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lang w:eastAsia="zh-CN"/>
        </w:rPr>
        <w:t xml:space="preserve">投标人须知</w:t>
      </w:r>
      <w:bookmarkEnd w:id="27"/>
      <w:r/>
      <w:bookmarkEnd w:id="28"/>
      <w:r/>
      <w:bookmarkEnd w:id="29"/>
      <w:r/>
      <w:bookmarkEnd w:id="30"/>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eastAsia="zh-CN"/>
        </w:rPr>
      </w:pPr>
      <w:r/>
      <w:bookmarkStart w:id="31" w:name="_Toc120614214"/>
      <w:r/>
      <w:bookmarkStart w:id="32" w:name="_Toc513029203"/>
      <w:r/>
      <w:bookmarkStart w:id="33" w:name="_Toc16938519"/>
      <w:r/>
      <w:bookmarkStart w:id="34" w:name="_Toc20823275"/>
      <w:r>
        <w:rPr>
          <w:rFonts w:hint="eastAsia" w:ascii="宋体" w:hAnsi="宋体" w:eastAsia="宋体" w:cs="宋体"/>
          <w:b/>
          <w:bCs/>
          <w:color w:val="auto"/>
          <w:sz w:val="24"/>
          <w:szCs w:val="24"/>
          <w:highlight w:val="none"/>
          <w:lang w:eastAsia="zh-CN"/>
        </w:rPr>
        <w:t xml:space="preserve">一、总则</w:t>
      </w:r>
      <w:bookmarkEnd w:id="31"/>
      <w:r/>
      <w:bookmarkEnd w:id="32"/>
      <w:r/>
      <w:bookmarkEnd w:id="33"/>
      <w:r/>
      <w:bookmarkEnd w:id="34"/>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35" w:name="_Toc20823276"/>
      <w:r/>
      <w:bookmarkStart w:id="36" w:name="_Toc16938520"/>
      <w:r/>
      <w:bookmarkStart w:id="37" w:name="_Toc458694821"/>
      <w:r/>
      <w:bookmarkStart w:id="38" w:name="_Toc513029204"/>
      <w:r/>
      <w:bookmarkStart w:id="39" w:name="_Hlt16619475"/>
      <w:r>
        <w:rPr>
          <w:rFonts w:hint="eastAsia" w:ascii="宋体" w:hAnsi="宋体" w:eastAsia="宋体" w:cs="宋体"/>
          <w:color w:val="auto"/>
          <w:sz w:val="24"/>
          <w:szCs w:val="24"/>
          <w:highlight w:val="none"/>
          <w:lang w:eastAsia="zh-CN"/>
        </w:rPr>
        <w:t xml:space="preserve">1.</w:t>
      </w:r>
      <w:bookmarkEnd w:id="35"/>
      <w:r>
        <w:rPr>
          <w:rFonts w:hint="eastAsia" w:ascii="宋体" w:hAnsi="宋体" w:eastAsia="宋体" w:cs="宋体"/>
          <w:color w:val="auto"/>
          <w:sz w:val="24"/>
          <w:szCs w:val="24"/>
          <w:highlight w:val="none"/>
          <w:lang w:eastAsia="zh-CN"/>
        </w:rPr>
        <w:t xml:space="preserve">招标方式</w:t>
      </w:r>
      <w:bookmarkEnd w:id="36"/>
      <w:r/>
      <w:bookmarkEnd w:id="37"/>
      <w:r/>
      <w:bookmarkEnd w:id="38"/>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1.1本次招标采取公开招标方式，本招标文件仅适用于招标公告中所述项目。</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40" w:name="_Toc513029205"/>
      <w:r/>
      <w:bookmarkStart w:id="41" w:name="_Toc20823277"/>
      <w:r/>
      <w:bookmarkStart w:id="42" w:name="_Toc16938521"/>
      <w:r>
        <w:rPr>
          <w:rFonts w:hint="eastAsia" w:ascii="宋体" w:hAnsi="宋体" w:eastAsia="宋体" w:cs="宋体"/>
          <w:color w:val="auto"/>
          <w:sz w:val="24"/>
          <w:szCs w:val="24"/>
          <w:highlight w:val="none"/>
          <w:lang w:eastAsia="zh-CN"/>
        </w:rPr>
        <w:t xml:space="preserve">2.合格的投标人</w:t>
      </w:r>
      <w:bookmarkEnd w:id="40"/>
      <w:r/>
      <w:bookmarkEnd w:id="41"/>
      <w:r/>
      <w:bookmarkEnd w:id="42"/>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2.1满足招标公告中供应商的资格要求的规定。</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2.2满足本文件实质性要求和条件的规定。</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bookmarkStart w:id="43" w:name="_Toc20823278"/>
      <w:r/>
      <w:bookmarkStart w:id="44" w:name="_Toc16938522"/>
      <w:r/>
      <w:bookmarkStart w:id="45" w:name="_Toc513029206"/>
      <w:r>
        <w:rPr>
          <w:rFonts w:hint="eastAsia" w:ascii="宋体" w:hAnsi="宋体" w:eastAsia="宋体" w:cs="宋体"/>
          <w:color w:val="auto"/>
          <w:sz w:val="24"/>
          <w:szCs w:val="24"/>
          <w:highlight w:val="none"/>
          <w:lang w:val="en-US" w:eastAsia="zh-CN"/>
        </w:rPr>
        <w:t xml:space="preserve">3.适用法律</w:t>
      </w:r>
      <w:bookmarkEnd w:id="43"/>
      <w:r/>
      <w:bookmarkEnd w:id="44"/>
      <w:r/>
      <w:bookmarkEnd w:id="45"/>
      <w:r>
        <w:rPr>
          <w:rFonts w:hint="eastAsia" w:ascii="宋体" w:hAnsi="宋体" w:eastAsia="宋体" w:cs="宋体"/>
          <w:color w:val="auto"/>
          <w:sz w:val="24"/>
          <w:szCs w:val="24"/>
          <w:highlight w:val="none"/>
          <w:lang w:val="en-US" w:eastAsia="zh-CN"/>
        </w:rPr>
        <w:t xml:space="preserve">和标准</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3.1本次招标及由此产生的合同受中华人民共和国有关的法律法规制约和保护。</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3.2在本项目政府采购活动过程中，如果所执行的标准有更新的，按照最新标准执行。</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46" w:name="_Toc462564067"/>
      <w:r/>
      <w:bookmarkStart w:id="47" w:name="_Toc16938523"/>
      <w:r/>
      <w:bookmarkStart w:id="48" w:name="_Toc513029207"/>
      <w:r/>
      <w:bookmarkStart w:id="49" w:name="_Toc20823279"/>
      <w:r>
        <w:rPr>
          <w:rFonts w:hint="eastAsia" w:ascii="宋体" w:hAnsi="宋体" w:eastAsia="宋体" w:cs="宋体"/>
          <w:color w:val="auto"/>
          <w:sz w:val="24"/>
          <w:szCs w:val="24"/>
          <w:highlight w:val="none"/>
          <w:lang w:eastAsia="zh-CN"/>
        </w:rPr>
        <w:t xml:space="preserve">4.投标费用</w:t>
      </w:r>
      <w:bookmarkEnd w:id="46"/>
      <w:r/>
      <w:bookmarkEnd w:id="47"/>
      <w:r/>
      <w:bookmarkEnd w:id="48"/>
      <w:r/>
      <w:bookmarkEnd w:id="49"/>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4.1投标人应自行承担所有与参加投标有关的费用，无论投标过程中的做法和结果如何，盐城市政府采购中心（以下简称采购中心）在任何情况下均无义务和责任承担这些费用。</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4.2本次招标采购中心和采购人不收取标书工本费与中标服务费。</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5.招标文件的约束力</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5.1投标人一旦参加本项目采购活动，即被认为接受了本招标文件的规定和约束。</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eastAsia="zh-CN"/>
        </w:rPr>
      </w:pPr>
      <w:r/>
      <w:bookmarkStart w:id="50" w:name="_Toc120614215"/>
      <w:r/>
      <w:bookmarkStart w:id="51" w:name="_Toc513029209"/>
      <w:r/>
      <w:bookmarkStart w:id="52" w:name="_Toc16938525"/>
      <w:r/>
      <w:bookmarkStart w:id="53" w:name="_Toc20823281"/>
      <w:r>
        <w:rPr>
          <w:rFonts w:hint="eastAsia" w:ascii="宋体" w:hAnsi="宋体" w:eastAsia="宋体" w:cs="宋体"/>
          <w:b/>
          <w:bCs/>
          <w:color w:val="auto"/>
          <w:sz w:val="24"/>
          <w:szCs w:val="24"/>
          <w:highlight w:val="none"/>
          <w:lang w:eastAsia="zh-CN"/>
        </w:rPr>
        <w:t xml:space="preserve">二、招标文件</w:t>
      </w:r>
      <w:bookmarkEnd w:id="50"/>
      <w:r/>
      <w:bookmarkEnd w:id="51"/>
      <w:r/>
      <w:bookmarkEnd w:id="52"/>
      <w:r/>
      <w:bookmarkEnd w:id="53"/>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54" w:name="_Toc513029210"/>
      <w:r/>
      <w:bookmarkStart w:id="55" w:name="_Toc20823282"/>
      <w:r/>
      <w:bookmarkStart w:id="56" w:name="_Toc16938526"/>
      <w:r>
        <w:rPr>
          <w:rFonts w:hint="eastAsia" w:ascii="宋体" w:hAnsi="宋体" w:eastAsia="宋体" w:cs="宋体"/>
          <w:color w:val="auto"/>
          <w:sz w:val="24"/>
          <w:szCs w:val="24"/>
          <w:highlight w:val="none"/>
          <w:lang w:eastAsia="zh-CN"/>
        </w:rPr>
        <w:t xml:space="preserve">6.招标文件构成</w:t>
      </w:r>
      <w:bookmarkEnd w:id="54"/>
      <w:r/>
      <w:bookmarkEnd w:id="55"/>
      <w:r/>
      <w:bookmarkEnd w:id="56"/>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6.1招标文件由以下部分组成：</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招标公告</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（2）投标人须知</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（3）合同文本</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（4）采购需求</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（5）评标方法与评标标准</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（6）投标文件格式</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请仔细检查招标文件是否齐全，如有缺漏请立即与采购中心联系解决。</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57" w:name="_Toc16938527"/>
      <w:r/>
      <w:bookmarkStart w:id="58" w:name="_Toc513029211"/>
      <w:r/>
      <w:bookmarkStart w:id="59" w:name="_Toc20823283"/>
      <w:r/>
      <w:bookmarkStart w:id="60" w:name="_Toc462564070"/>
      <w:r>
        <w:rPr>
          <w:rFonts w:hint="eastAsia" w:ascii="宋体" w:hAnsi="宋体" w:eastAsia="宋体" w:cs="宋体"/>
          <w:color w:val="auto"/>
          <w:sz w:val="24"/>
          <w:szCs w:val="24"/>
          <w:highlight w:val="none"/>
          <w:lang w:eastAsia="zh-CN"/>
        </w:rPr>
        <w:t xml:space="preserve">7.招标文件的澄清</w:t>
      </w:r>
      <w:bookmarkEnd w:id="57"/>
      <w:r/>
      <w:bookmarkEnd w:id="58"/>
      <w:r/>
      <w:bookmarkEnd w:id="59"/>
      <w:r/>
      <w:bookmarkEnd w:id="60"/>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7.1任何要求对招标文件进行澄清的投标人，应在投标截止期</w:t>
      </w:r>
      <w:r>
        <w:rPr>
          <w:rFonts w:hint="eastAsia" w:ascii="宋体" w:hAnsi="宋体" w:eastAsia="宋体" w:cs="宋体"/>
          <w:b/>
          <w:bCs/>
          <w:color w:val="auto"/>
          <w:sz w:val="24"/>
          <w:szCs w:val="24"/>
          <w:highlight w:val="none"/>
          <w:lang w:eastAsia="zh-CN"/>
        </w:rPr>
        <w:t xml:space="preserve">十日</w:t>
      </w:r>
      <w:r>
        <w:rPr>
          <w:rFonts w:hint="eastAsia" w:ascii="宋体" w:hAnsi="宋体" w:eastAsia="宋体" w:cs="宋体"/>
          <w:color w:val="auto"/>
          <w:sz w:val="24"/>
          <w:szCs w:val="24"/>
          <w:highlight w:val="none"/>
          <w:lang w:eastAsia="zh-CN"/>
        </w:rPr>
        <w:t xml:space="preserve">前按招标公告中的通讯地址，以书面形式通知采购中心。</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61" w:name="_Toc462564071"/>
      <w:r/>
      <w:bookmarkStart w:id="62" w:name="_Toc16938528"/>
      <w:r/>
      <w:bookmarkStart w:id="63" w:name="_Toc20823284"/>
      <w:r/>
      <w:bookmarkStart w:id="64" w:name="_Toc513029212"/>
      <w:r>
        <w:rPr>
          <w:rFonts w:hint="eastAsia" w:ascii="宋体" w:hAnsi="宋体" w:eastAsia="宋体" w:cs="宋体"/>
          <w:color w:val="auto"/>
          <w:sz w:val="24"/>
          <w:szCs w:val="24"/>
          <w:highlight w:val="none"/>
          <w:lang w:eastAsia="zh-CN"/>
        </w:rPr>
        <w:t xml:space="preserve">8.招标文件的修改</w:t>
      </w:r>
      <w:bookmarkEnd w:id="61"/>
      <w:r/>
      <w:bookmarkEnd w:id="62"/>
      <w:r/>
      <w:bookmarkEnd w:id="63"/>
      <w:r/>
      <w:bookmarkEnd w:id="64"/>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8.1在投标截止时间之前，采购中心可以对招标文件进行修改。</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8.2采购中心有权按照法定的要求推迟投标截止日期和开标日期。</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8.3招标文件的修改将在</w:t>
      </w:r>
      <w:r>
        <w:rPr>
          <w:rFonts w:hint="eastAsia" w:ascii="宋体" w:hAnsi="宋体" w:eastAsia="宋体" w:cs="宋体"/>
          <w:color w:val="auto"/>
          <w:sz w:val="24"/>
          <w:szCs w:val="24"/>
          <w:highlight w:val="none"/>
          <w:lang w:val="en-US" w:eastAsia="zh-CN" w:bidi="ar-SA"/>
        </w:rPr>
        <w:t xml:space="preserve">“中国政府采购网”、“江苏政府采购网”、“盐城市政府采购网”</w:t>
      </w:r>
      <w:r>
        <w:rPr>
          <w:rFonts w:hint="eastAsia" w:ascii="宋体" w:hAnsi="宋体" w:eastAsia="宋体" w:cs="宋体"/>
          <w:color w:val="auto"/>
          <w:sz w:val="24"/>
          <w:szCs w:val="24"/>
          <w:highlight w:val="none"/>
          <w:lang w:eastAsia="zh-CN"/>
        </w:rPr>
        <w:t xml:space="preserve">公布，补充文件将作为招标文件的组成部分，并对投标人具有约束力。</w:t>
      </w:r>
      <w:r/>
    </w:p>
    <w:p>
      <w:pPr>
        <w:pStyle w:val="730"/>
        <w:ind w:firstLine="482"/>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65" w:name="_Toc20823285"/>
      <w:r/>
      <w:bookmarkStart w:id="66" w:name="_Toc120614216"/>
      <w:r/>
      <w:bookmarkStart w:id="67" w:name="_Toc462564072"/>
      <w:r/>
      <w:bookmarkStart w:id="68" w:name="_Toc513029213"/>
      <w:r/>
      <w:bookmarkStart w:id="69" w:name="_Toc16938529"/>
      <w:r>
        <w:rPr>
          <w:rFonts w:hint="eastAsia" w:ascii="宋体" w:hAnsi="宋体" w:eastAsia="宋体" w:cs="宋体"/>
          <w:b/>
          <w:color w:val="auto"/>
          <w:sz w:val="24"/>
          <w:szCs w:val="24"/>
          <w:highlight w:val="none"/>
        </w:rPr>
        <w:t xml:space="preserve">三、投标文件的编制</w:t>
      </w:r>
      <w:bookmarkEnd w:id="65"/>
      <w:r/>
      <w:bookmarkEnd w:id="66"/>
      <w:r/>
      <w:bookmarkEnd w:id="67"/>
      <w:r/>
      <w:bookmarkEnd w:id="68"/>
      <w:r/>
      <w:bookmarkEnd w:id="69"/>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0" w:name="_Toc513029214"/>
      <w:r/>
      <w:bookmarkStart w:id="71" w:name="_Toc462564073"/>
      <w:r/>
      <w:bookmarkStart w:id="72" w:name="_Toc16938530"/>
      <w:r/>
      <w:bookmarkStart w:id="73" w:name="_Toc20823286"/>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投标文件的语言及度量衡单位</w:t>
      </w:r>
      <w:bookmarkEnd w:id="70"/>
      <w:r/>
      <w:bookmarkEnd w:id="71"/>
      <w:r/>
      <w:bookmarkEnd w:id="72"/>
      <w:r/>
      <w:bookmarkEnd w:id="73"/>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9.1投标人提交的投标文件以及投标人与采购中心就有关投标的所有来往通知、函件和文件均应使用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9.2除技术性能另有规定外，投标文件所使用的度量衡单位，均须采用国家法定计量单位。</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74" w:name="_Toc20823287"/>
      <w:r/>
      <w:bookmarkStart w:id="75" w:name="_Toc462564074"/>
      <w:r/>
      <w:bookmarkStart w:id="76" w:name="_Toc513029215"/>
      <w:r/>
      <w:bookmarkStart w:id="77" w:name="_Toc16938531"/>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投标文件构成</w:t>
      </w:r>
      <w:bookmarkEnd w:id="74"/>
      <w:r/>
      <w:bookmarkEnd w:id="75"/>
      <w:r/>
      <w:bookmarkEnd w:id="76"/>
      <w:r/>
      <w:bookmarkEnd w:id="77"/>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10.2如标书制作工具中格式和内容与</w:t>
      </w:r>
      <w:r>
        <w:rPr>
          <w:rFonts w:hint="eastAsia" w:ascii="宋体" w:hAnsi="宋体" w:eastAsia="宋体" w:cs="宋体"/>
          <w:color w:val="auto"/>
          <w:sz w:val="24"/>
          <w:szCs w:val="24"/>
          <w:highlight w:val="none"/>
          <w:lang w:val="en-US" w:eastAsia="zh-CN"/>
        </w:rPr>
        <w:t xml:space="preserve">“中国政府采购网”、“江苏政府采购网”、“盐城市政府采购网”</w:t>
      </w:r>
      <w:r>
        <w:rPr>
          <w:rFonts w:hint="eastAsia" w:ascii="宋体" w:hAnsi="宋体" w:eastAsia="宋体" w:cs="宋体"/>
          <w:color w:val="auto"/>
          <w:sz w:val="24"/>
          <w:szCs w:val="24"/>
          <w:highlight w:val="none"/>
          <w:lang w:eastAsia="zh-CN"/>
        </w:rPr>
        <w:t xml:space="preserve">发布的招标文件不一致，请以</w:t>
      </w:r>
      <w:r>
        <w:rPr>
          <w:rFonts w:hint="eastAsia" w:ascii="宋体" w:hAnsi="宋体" w:eastAsia="宋体" w:cs="宋体"/>
          <w:color w:val="auto"/>
          <w:sz w:val="24"/>
          <w:szCs w:val="24"/>
          <w:highlight w:val="none"/>
          <w:lang w:val="en-US" w:eastAsia="zh-CN"/>
        </w:rPr>
        <w:t xml:space="preserve">“中国政府采购网”、“江苏政府采购网”、“盐城市政府采购网”</w:t>
      </w:r>
      <w:r>
        <w:rPr>
          <w:rFonts w:hint="eastAsia" w:ascii="宋体" w:hAnsi="宋体" w:eastAsia="宋体" w:cs="宋体"/>
          <w:color w:val="auto"/>
          <w:sz w:val="24"/>
          <w:szCs w:val="24"/>
          <w:highlight w:val="none"/>
          <w:lang w:eastAsia="zh-CN"/>
        </w:rPr>
        <w:t xml:space="preserve">发布的招标文件为准。</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78" w:name="_Toc513029216"/>
      <w:r/>
      <w:bookmarkStart w:id="79" w:name="_Toc49090508"/>
      <w:r/>
      <w:bookmarkStart w:id="80" w:name="_Toc14577354"/>
      <w:r/>
      <w:bookmarkStart w:id="81" w:name="_Toc49090507"/>
      <w:r/>
      <w:bookmarkStart w:id="82" w:name="_Toc49090509"/>
      <w:r/>
      <w:bookmarkStart w:id="83" w:name="_Toc14577355"/>
      <w:r/>
      <w:bookmarkStart w:id="84" w:name="_Toc14577357"/>
      <w:r/>
      <w:bookmarkStart w:id="85" w:name="_Toc513029219"/>
      <w:r/>
      <w:bookmarkStart w:id="86" w:name="_Hlt26954838"/>
      <w:r/>
      <w:bookmarkStart w:id="87" w:name="_Hlt26670360"/>
      <w:r/>
      <w:bookmarkStart w:id="88" w:name="_Hlt26668975"/>
      <w:r>
        <w:rPr>
          <w:rFonts w:hint="eastAsia" w:ascii="宋体" w:hAnsi="宋体" w:eastAsia="宋体" w:cs="宋体"/>
          <w:color w:val="auto"/>
          <w:sz w:val="24"/>
          <w:szCs w:val="24"/>
          <w:highlight w:val="none"/>
          <w:lang w:eastAsia="zh-CN"/>
        </w:rPr>
        <w:t xml:space="preserve">11.证明投标人及投标标的符合招标文件规定的文件</w:t>
      </w:r>
      <w:bookmarkEnd w:id="78"/>
      <w:r/>
      <w:bookmarkEnd w:id="79"/>
      <w:r/>
      <w:bookmarkEnd w:id="80"/>
      <w:r/>
      <w:bookmarkEnd w:id="81"/>
      <w:r/>
      <w:bookmarkEnd w:id="82"/>
      <w:r/>
      <w:bookmarkEnd w:id="83"/>
      <w:r/>
      <w:bookmarkEnd w:id="84"/>
      <w:r/>
      <w:bookmarkEnd w:id="85"/>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11.1投标人应按照招标文件要求提交证明文件，证明其及投标标的符合招标文件规定。</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11.2招标文件对证明文件无明确形式要求的，证明文件可以以文字资料、图纸和数据等形式提交。</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12.投标分项报价表</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12.1投标人应按照招标文件规定格式填报投标分项报价表。</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12.2投标货币。投标文件中的单价和总价无特殊规定的采用人民币报价，以元为单位标注。招标文件中另有规定的按规定执行。</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89" w:name="_Hlt26954848"/>
      <w:r/>
      <w:bookmarkStart w:id="90" w:name="_Hlt26670482"/>
      <w:r/>
      <w:bookmarkStart w:id="91" w:name="_Hlt26954731"/>
      <w:r/>
      <w:bookmarkStart w:id="92" w:name="_Hlt26670486"/>
      <w:r/>
      <w:bookmarkStart w:id="93" w:name="_Hlt26954846"/>
      <w:r>
        <w:rPr>
          <w:rFonts w:hint="eastAsia" w:ascii="宋体" w:hAnsi="宋体" w:eastAsia="宋体" w:cs="宋体"/>
          <w:color w:val="auto"/>
          <w:sz w:val="24"/>
          <w:szCs w:val="24"/>
          <w:highlight w:val="none"/>
          <w:lang w:eastAsia="zh-CN"/>
        </w:rPr>
        <w:t xml:space="preserve">13.技术要求响应及偏离表、商务要求响应及偏离表</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13.1投标人需对招标文件中的技术要求与商务要求逐项作出响应或偏离，并说明原因。</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13.2投标人可在投标文件中提供认为需要的其他技术文件或说明。</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14.服务承诺、培训计划、人员安排及其他</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14.1投标人需根据招标文件要求提供有关售后服务的管理制度，售后服务机构的分布情况，售后服务人员的数量、素质、技术水平及售后服务的反应能力等。</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14.2投标人需根据招标文件要求提供培训计划。</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14.3投标人需根据招标文件要求提供所投标的的主要组成部分、功能设计、实现思路及关键技术等。</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94" w:name="_Toc49090510"/>
      <w:r/>
      <w:bookmarkStart w:id="95" w:name="_Toc14577359"/>
      <w:r>
        <w:rPr>
          <w:rFonts w:hint="eastAsia" w:ascii="宋体" w:hAnsi="宋体" w:eastAsia="宋体" w:cs="宋体"/>
          <w:color w:val="auto"/>
          <w:sz w:val="24"/>
          <w:szCs w:val="24"/>
          <w:highlight w:val="none"/>
          <w:lang w:eastAsia="zh-CN"/>
        </w:rPr>
        <w:t xml:space="preserve">15.投标函和开标一览表</w:t>
      </w:r>
      <w:bookmarkEnd w:id="94"/>
      <w:r/>
      <w:bookmarkEnd w:id="95"/>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15.1投标人应按照招标文件中提供的格式完整、正确填写投标函、开标一览表。</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15.2对于采用货币报价的项目，开标一览表中的投标总报价应与投标分项报价表中的投标总报价一致，如不一致，不作为无效投标处理，但评标时按开标一览表中价格为准。</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96" w:name="_Toc14577360"/>
      <w:r/>
      <w:bookmarkStart w:id="97" w:name="_Toc49090511"/>
      <w:r>
        <w:rPr>
          <w:rFonts w:hint="eastAsia" w:ascii="宋体" w:hAnsi="宋体" w:eastAsia="宋体" w:cs="宋体"/>
          <w:color w:val="auto"/>
          <w:sz w:val="24"/>
          <w:szCs w:val="24"/>
          <w:highlight w:val="none"/>
          <w:lang w:eastAsia="zh-CN"/>
        </w:rPr>
        <w:t xml:space="preserve">16.投标有效期</w:t>
      </w:r>
      <w:bookmarkEnd w:id="96"/>
      <w:r/>
      <w:bookmarkEnd w:id="97"/>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17.投标有效期的延长</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eastAsia="zh-CN"/>
        </w:rPr>
      </w:pPr>
      <w:r/>
      <w:bookmarkStart w:id="98" w:name="_Toc120614217"/>
      <w:r/>
      <w:bookmarkStart w:id="99" w:name="_Toc16938540"/>
      <w:r/>
      <w:bookmarkStart w:id="100" w:name="_Toc513029224"/>
      <w:r/>
      <w:bookmarkStart w:id="101" w:name="_Toc20823296"/>
      <w:r/>
      <w:bookmarkStart w:id="102" w:name="_Hlt26954739"/>
      <w:r/>
      <w:bookmarkStart w:id="103" w:name="_Hlt26954852"/>
      <w:r>
        <w:rPr>
          <w:rFonts w:hint="eastAsia" w:ascii="宋体" w:hAnsi="宋体" w:eastAsia="宋体" w:cs="宋体"/>
          <w:b/>
          <w:bCs/>
          <w:color w:val="auto"/>
          <w:sz w:val="24"/>
          <w:szCs w:val="24"/>
          <w:highlight w:val="none"/>
          <w:lang w:eastAsia="zh-CN"/>
        </w:rPr>
        <w:t xml:space="preserve">四、投标文件的递交</w:t>
      </w:r>
      <w:bookmarkEnd w:id="98"/>
      <w:r/>
      <w:bookmarkEnd w:id="99"/>
      <w:r/>
      <w:bookmarkEnd w:id="100"/>
      <w:r/>
      <w:bookmarkEnd w:id="101"/>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04" w:name="_Toc16938541"/>
      <w:r/>
      <w:bookmarkStart w:id="105" w:name="_Toc513029225"/>
      <w:r/>
      <w:bookmarkStart w:id="106" w:name="_Toc20823297"/>
      <w:r/>
      <w:bookmarkStart w:id="107" w:name="_Toc462564084"/>
      <w:r>
        <w:rPr>
          <w:rFonts w:hint="eastAsia" w:ascii="宋体" w:hAnsi="宋体" w:eastAsia="宋体" w:cs="宋体"/>
          <w:color w:val="auto"/>
          <w:sz w:val="24"/>
          <w:szCs w:val="24"/>
          <w:highlight w:val="none"/>
          <w:lang w:eastAsia="zh-CN"/>
        </w:rPr>
        <w:t xml:space="preserve">18.电子投标文件</w:t>
      </w:r>
      <w:bookmarkEnd w:id="104"/>
      <w:r/>
      <w:bookmarkEnd w:id="105"/>
      <w:r/>
      <w:bookmarkEnd w:id="106"/>
      <w:r/>
      <w:bookmarkEnd w:id="107"/>
      <w:r>
        <w:rPr>
          <w:rFonts w:hint="eastAsia" w:ascii="宋体" w:hAnsi="宋体" w:eastAsia="宋体" w:cs="宋体"/>
          <w:color w:val="auto"/>
          <w:sz w:val="24"/>
          <w:szCs w:val="24"/>
          <w:highlight w:val="none"/>
          <w:lang w:eastAsia="zh-CN"/>
        </w:rPr>
        <w:t xml:space="preserve">的递交</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18.1投标人应当按照《操作手册》规定，在投标截止时间前制作并上传电子投标文件。</w:t>
      </w:r>
      <w:bookmarkStart w:id="108" w:name="_Toc20823298"/>
      <w:r/>
      <w:bookmarkEnd w:id="108"/>
      <w:r/>
      <w:bookmarkStart w:id="109" w:name="_Toc16938542"/>
      <w:r/>
      <w:bookmarkEnd w:id="109"/>
      <w:r/>
      <w:bookmarkStart w:id="110" w:name="_Toc513029226"/>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19.投标截止日期</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19.1投标人上传电子投标文件的时间不得迟于招标公告中规定的投标截止时间。</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投标人应充分考虑到网络环境、网络带宽等风险因素，如因投标人自身原因造成的电子投标文件上传不成功的按照本招标文件第二章第27.1.2条规定作无效投标处理。</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19.2采购中心可以按照规定，通过修改招标文件酌情延长投标截止日期，在此情况下，投标人的所有权利和义务以及投标人受制的截止日期均应以延长后新的截止日期为准。</w:t>
      </w:r>
      <w:bookmarkStart w:id="111" w:name="_Toc513029227"/>
      <w:r/>
      <w:bookmarkStart w:id="112" w:name="_Toc16938543"/>
      <w:r/>
      <w:bookmarkStart w:id="113" w:name="_Toc20823299"/>
      <w:r/>
      <w:r/>
    </w:p>
    <w:p>
      <w:pPr>
        <w:pStyle w:val="730"/>
        <w:numPr>
          <w:ilvl w:val="0"/>
          <w:numId w:val="0"/>
        </w:numPr>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投标文件</w:t>
      </w:r>
      <w:bookmarkEnd w:id="111"/>
      <w:r/>
      <w:bookmarkEnd w:id="112"/>
      <w:r/>
      <w:bookmarkEnd w:id="113"/>
      <w:r>
        <w:rPr>
          <w:rFonts w:hint="eastAsia" w:ascii="宋体" w:hAnsi="宋体" w:eastAsia="宋体" w:cs="宋体"/>
          <w:color w:val="auto"/>
          <w:sz w:val="24"/>
          <w:szCs w:val="24"/>
          <w:highlight w:val="none"/>
          <w:lang w:eastAsia="zh-CN"/>
        </w:rPr>
        <w:t xml:space="preserve">的拒收</w:t>
      </w:r>
      <w:r/>
    </w:p>
    <w:p>
      <w:pPr>
        <w:pStyle w:val="730"/>
        <w:numPr>
          <w:ilvl w:val="0"/>
          <w:numId w:val="0"/>
        </w:numPr>
        <w:ind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20.1采购中心拒绝接收在其规定的投标截止时间后上传的任何投标文件。</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14" w:name="_Toc20823300"/>
      <w:r/>
      <w:bookmarkStart w:id="115" w:name="_Toc513029228"/>
      <w:r/>
      <w:bookmarkStart w:id="116" w:name="_Toc16938544"/>
      <w:r>
        <w:rPr>
          <w:rFonts w:hint="eastAsia" w:ascii="宋体" w:hAnsi="宋体" w:eastAsia="宋体" w:cs="宋体"/>
          <w:color w:val="auto"/>
          <w:sz w:val="24"/>
          <w:szCs w:val="24"/>
          <w:highlight w:val="none"/>
          <w:lang w:eastAsia="zh-CN"/>
        </w:rPr>
        <w:t xml:space="preserve">21.投标文件的撤回和修改</w:t>
      </w:r>
      <w:bookmarkEnd w:id="114"/>
      <w:r/>
      <w:bookmarkEnd w:id="115"/>
      <w:r/>
      <w:bookmarkEnd w:id="116"/>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21.1投标文件的撤回</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21.1.1电子投标文件的撤回</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投标人可在投标截止时间前，撤回其电子投标文件，具体操作方法见《操作手册》。</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21.1.2投标人撤回电子投标文件，则认为其不再参与本项目投标活动。</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21.2投标文件的修改</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21.2.1投标人可在投标截止时间前，对其电子投标文件进行修改，具体操作方法见《操作手册》。</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21.2.2在投标截止时间之后，投标人不得对其电子投标文件作任何修改。</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21.3在投标截止时间至招标文件中规定的投标有效期满之间的这段时间内，投标人不得撤回其投标。</w:t>
      </w:r>
      <w:r/>
    </w:p>
    <w:p>
      <w:pPr>
        <w:pStyle w:val="730"/>
        <w:ind w:firstLine="482"/>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bookmarkStart w:id="117" w:name="_Toc20823301"/>
      <w:r/>
      <w:bookmarkStart w:id="118" w:name="_Toc513029229"/>
      <w:r/>
      <w:bookmarkStart w:id="119" w:name="_Toc120614218"/>
      <w:r/>
      <w:bookmarkStart w:id="120" w:name="_Toc16938545"/>
      <w:r>
        <w:rPr>
          <w:rFonts w:hint="eastAsia" w:ascii="宋体" w:hAnsi="宋体" w:eastAsia="宋体" w:cs="宋体"/>
          <w:b/>
          <w:color w:val="auto"/>
          <w:sz w:val="24"/>
          <w:szCs w:val="24"/>
          <w:highlight w:val="none"/>
        </w:rPr>
        <w:t xml:space="preserve">五、开标与评标</w:t>
      </w:r>
      <w:bookmarkEnd w:id="117"/>
      <w:r/>
      <w:bookmarkEnd w:id="118"/>
      <w:r/>
      <w:bookmarkEnd w:id="119"/>
      <w:r/>
      <w:bookmarkEnd w:id="120"/>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21" w:name="_Toc20823302"/>
      <w:r/>
      <w:bookmarkStart w:id="122" w:name="_Toc513029230"/>
      <w:r/>
      <w:bookmarkStart w:id="123" w:name="_Toc16938546"/>
      <w:r>
        <w:rPr>
          <w:rFonts w:hint="eastAsia" w:ascii="宋体" w:hAnsi="宋体" w:eastAsia="宋体" w:cs="宋体"/>
          <w:color w:val="auto"/>
          <w:sz w:val="24"/>
          <w:szCs w:val="24"/>
          <w:highlight w:val="none"/>
          <w:lang w:eastAsia="zh-CN"/>
        </w:rPr>
        <w:t xml:space="preserve">22.开标</w:t>
      </w:r>
      <w:bookmarkEnd w:id="121"/>
      <w:r/>
      <w:bookmarkEnd w:id="122"/>
      <w:r/>
      <w:bookmarkEnd w:id="123"/>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22.1采购中心将在招标公告中规定的时间和地点组织公开开标。投标人应当按照《操作手册》规定，参加开标活动和在苏采云系统规定的时间内对投标文件进行解密。</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22.2开标仪式由采购中心组织。苏采云系统将自动对项目进行开标，并宣布各投标人名称和投标价格。</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22.3投标人在开标过程中涉及的投标文件解密、开标结果确认等工作，应按照《操作手册》规定执行。</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22.4投标人如果对开标过程和开标记录有疑义，应当根据《操作手册》规定提出，如苏采云系统中《开标记录表》宣布后5分钟内未提出的，视同认可开标结果。</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24" w:name="_Toc513029231"/>
      <w:r/>
      <w:bookmarkStart w:id="125" w:name="_Toc20823303"/>
      <w:r/>
      <w:bookmarkStart w:id="126" w:name="_Toc16938547"/>
      <w:r>
        <w:rPr>
          <w:rFonts w:hint="eastAsia" w:ascii="宋体" w:hAnsi="宋体" w:eastAsia="宋体" w:cs="宋体"/>
          <w:color w:val="auto"/>
          <w:sz w:val="24"/>
          <w:szCs w:val="24"/>
          <w:highlight w:val="none"/>
          <w:lang w:eastAsia="zh-CN"/>
        </w:rPr>
        <w:t xml:space="preserve">23.评标委员会</w:t>
      </w:r>
      <w:bookmarkEnd w:id="124"/>
      <w:r/>
      <w:bookmarkEnd w:id="125"/>
      <w:r/>
      <w:bookmarkEnd w:id="126"/>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开标后，采购中心将立即组织评标委员会（以下简称评委会）进行评标。</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23.2评委会由采购人代表和有关技术、经济等方面的专家组成，且人员构成符合政府采购有关规定。</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评委会独立工作，负责评审所有投标文件并确定中标候选人。</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24.评标过程的保密与公正</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24.1凡是与审查、澄清、评价和比较投标的有关资料以及授标建议等，采购人、评委、采购中心均不得向投标人或与评标无关的其他人员透露。</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24.2在评标过程中，投标人不得以任何行为影响评标过程，否则其投标文件将被作为无效投标文件。</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24.3采购中心和评标委员会不向未中标的投标人解释未中标原因，也不公布评标过程中的相关细节。</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24.4采用综合评分法的项目，未中标的投标人可于中标结果公告期限届满之日起通过苏采云系统查看自己的评审得分及排序情况。</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27" w:name="_Toc513029232"/>
      <w:r/>
      <w:bookmarkStart w:id="128" w:name="_Toc16938548"/>
      <w:r/>
      <w:bookmarkStart w:id="129" w:name="_Toc20823304"/>
      <w:r>
        <w:rPr>
          <w:rFonts w:hint="eastAsia" w:ascii="宋体" w:hAnsi="宋体" w:eastAsia="宋体" w:cs="宋体"/>
          <w:color w:val="auto"/>
          <w:sz w:val="24"/>
          <w:szCs w:val="24"/>
          <w:highlight w:val="none"/>
          <w:lang w:eastAsia="zh-CN"/>
        </w:rPr>
        <w:t xml:space="preserve">25.投标文件的澄清</w:t>
      </w:r>
      <w:bookmarkEnd w:id="127"/>
      <w:r/>
      <w:bookmarkEnd w:id="128"/>
      <w:r/>
      <w:bookmarkEnd w:id="129"/>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30" w:name="_Toc16938549"/>
      <w:r/>
      <w:bookmarkStart w:id="131" w:name="_Toc20823305"/>
      <w:r/>
      <w:bookmarkStart w:id="132" w:name="_Toc513029233"/>
      <w:r>
        <w:rPr>
          <w:rFonts w:hint="eastAsia" w:ascii="宋体" w:hAnsi="宋体" w:eastAsia="宋体" w:cs="宋体"/>
          <w:color w:val="auto"/>
          <w:sz w:val="24"/>
          <w:szCs w:val="24"/>
          <w:highlight w:val="none"/>
          <w:lang w:eastAsia="zh-CN"/>
        </w:rPr>
        <w:t xml:space="preserve">25.1评标期间，评委会对投标文件中含义不明确、同类问题表述不一致或者有明显文字和计算错误的内容，有权要求投标人作出必要的澄清、说明或者补正。</w:t>
      </w:r>
      <w:bookmarkEnd w:id="130"/>
      <w:r/>
      <w:bookmarkEnd w:id="131"/>
      <w:r/>
      <w:bookmarkEnd w:id="132"/>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投标人的澄清、说明或者补正不得超出投标文件的范围或者改变投标文件的实质性内容。</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评标委员会并非对每个投标人都做澄清要求。</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25.2需要供应商进行澄清、说明和补正的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25.3接到评委会澄清、说明和补正要求的投标人如未按规定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lang w:eastAsia="zh-CN"/>
        </w:rPr>
        <w:t xml:space="preserve">出澄清、说明和补正，其风险由投标人自行承担。</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26.对投标文件的初审</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投标文件初审分为资格审查和符合性审查。</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26.1.1资格审查：依据法律法规和招标文件的规定，由采购人对投标文件中的资格证明文件进行审查。资格审查的结论，采购人以书面形式向评委会进行反馈。</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采购人在进行资格性审查的同时，将在“信用中国”网站（www.creditchina.gov.cn）查询投标人的信用记录，以确定投标人是否具备投标资格，查询结果留存并归档。</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26.1.2符合性审查：依据招标文件的规定，由评委会从投标文件的有效性、完整性和对招标文件的响应程度进行审查，以确定是否对招标文件的实质性要求作出响应。</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26.1.3未通过资格审查或符合性审查的投标人，采购中心将在苏采云系统中告知未通过资格审查或符合性审查的原因，评审结束后，采购中心将不再告知未通过资格审查或符合性审查的原因。</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lang w:eastAsia="zh-CN"/>
        </w:rPr>
        <w:t xml:space="preserve">合要求的偏离或保留而使其投标成为实质性响应的投标。</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26.4评委会将对确定为实质性响应的投标进行进一步审核，看其是否有计算上或累加上的算术错误，修正错误的原则如下：</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（1）投标文件中开标一览表内容与投标文件中相应内容不一致的，以开标一览表为准。</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（2）大写金额和小写金额不一致的，以大写金额为准。</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（3）单价金额小数点或者百分比有明显错位的，以开标一览表的总价为准，并修改单价。</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同时出现两种以上错误的，按照前款规定的顺序修正。</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33" w:name="_Toc513029234"/>
      <w:r/>
      <w:bookmarkStart w:id="134" w:name="_Toc16938550"/>
      <w:r/>
      <w:bookmarkStart w:id="135" w:name="_Toc20823306"/>
      <w:r>
        <w:rPr>
          <w:rFonts w:hint="eastAsia" w:ascii="宋体" w:hAnsi="宋体" w:eastAsia="宋体" w:cs="宋体"/>
          <w:color w:val="auto"/>
          <w:sz w:val="24"/>
          <w:szCs w:val="24"/>
          <w:highlight w:val="none"/>
          <w:lang w:eastAsia="zh-CN"/>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3"/>
      <w:r/>
      <w:bookmarkEnd w:id="134"/>
      <w:r/>
      <w:bookmarkEnd w:id="135"/>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非单一产品采购项目，招标文件中将载明其中的核心产品。多家投标人提供的核心产品品牌相同的，按前两款规定处理。</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26.7投标人在开、评标全过程中应保持通信畅通，及时登录苏采云系统查阅、答复相关信息，并安排专人与采购中心及评标委员会联系。</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27.无效投标条款和废标条款</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36" w:name="_Toc16938551"/>
      <w:r/>
      <w:bookmarkStart w:id="137" w:name="_Toc20823307"/>
      <w:r/>
      <w:bookmarkStart w:id="138" w:name="_Toc513029235"/>
      <w:r>
        <w:rPr>
          <w:rFonts w:hint="eastAsia" w:ascii="宋体" w:hAnsi="宋体" w:eastAsia="宋体" w:cs="宋体"/>
          <w:color w:val="auto"/>
          <w:sz w:val="24"/>
          <w:szCs w:val="24"/>
          <w:highlight w:val="none"/>
          <w:lang w:eastAsia="zh-CN"/>
        </w:rPr>
        <w:t xml:space="preserve">27.1无效投标条款</w:t>
      </w:r>
      <w:bookmarkEnd w:id="136"/>
      <w:r/>
      <w:bookmarkEnd w:id="137"/>
      <w:r/>
      <w:bookmarkEnd w:id="138"/>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27.1.1投标人在苏采云系统规定的时间内未成功解密电子投标文件的。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27.1.2投标人未按照招标文件要求上传电子投标文件的。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27.1.3同一投标人提交两个（含两个）以上不同的投标报价的。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27.1.4投标人不具备招标文件中规定资格要求的。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27.1.5投标人的报价超过了采购预算或最高限价的。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27.1.6未通过符合性审查的。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27.1.7不符合招标文件中规定的实质性要求和条件的</w:t>
      </w:r>
      <w:r>
        <w:rPr>
          <w:rFonts w:hint="eastAsia" w:ascii="宋体" w:hAnsi="宋体" w:eastAsia="宋体" w:cs="宋体"/>
          <w:color w:val="auto"/>
          <w:sz w:val="24"/>
          <w:szCs w:val="24"/>
          <w:highlight w:val="none"/>
        </w:rPr>
        <w:t xml:space="preserve">（</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27.1.9投标文件含有采购人不能接受的附加条件的。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lang w:eastAsia="zh-CN"/>
        </w:rPr>
        <w:t xml:space="preserve">委员会应当将其作为无效投标处理。</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（一）评审过程中出现下列情形之一的，评标委员会应当启动异常低价投标审查程序：</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1.投标（响应）报价低于全部通过符合性审查供应商投标（响应）报价平均值50%的，即投标（响应）报价〈全部通过符合性审查供应商投标（响应）报价平均值×50%；</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2.投标（响应）报价低于通过符合性审查的次低报价供应商投标（响应）报价50%的，即投标（响应）报价〈通过符合性审查的次低报价供应商投标（响应）报价×50%；</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3.投标（响应）报价低于采购项目最高限价45%的，即投标（响应）报价〈采购项目最高限价×45%；</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4.评审委员会基于专业判断，认为供应商报价过低，有可能影响产品质量或者不能诚信履约的其他情形。</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相关法律法规对供应商报价有规定的，从其规定。</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27.1.12投标文件未按照招标文件要求加盖CA电子公章的。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27.1.13其他法律法规及本招标文件规定的属于无效投标的情形。</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27.2废标条款</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27.2.1符合专业条件的供应商或者对招标文件作实质响应的供应商不足三家的。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27.2.2出现影响采购公正的违法、违规行为的。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27.2.3因重大变故，采购任务取消的。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27.2.4评标委员会认定招标文件存在歧义、重大缺陷导致评审工作无法进行。</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27.2.5因苏采云系统故障原因造成开标不成功的。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27.3投标截止时间结束后参加投标的供应商不足三家的处理：</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27.3.1如出现投标截止时间结束后参加投标的供应商或者在评标期间对招标文件做出实质响应的供应商不足三家情况，按政府采购相关规定执行。</w:t>
      </w:r>
      <w:r/>
    </w:p>
    <w:p>
      <w:pPr>
        <w:pStyle w:val="730"/>
        <w:ind w:left="0" w:firstLine="482"/>
        <w:jc w:val="both"/>
        <w:keepLines w:val="0"/>
        <w:keepNext w:val="0"/>
        <w:pageBreakBefore w:val="0"/>
        <w:spacing w:beforeAutospacing="0" w:afterAutospacing="0" w:line="520" w:lineRule="exact"/>
        <w:widowControl w:val="off"/>
        <w:rPr>
          <w:rFonts w:hint="eastAsia" w:ascii="宋体" w:hAnsi="宋体" w:eastAsia="宋体" w:cs="宋体"/>
          <w:b/>
          <w:bCs/>
          <w:color w:val="auto"/>
          <w:sz w:val="24"/>
          <w:szCs w:val="24"/>
          <w:highlight w:val="none"/>
          <w:lang w:eastAsia="zh-CN"/>
        </w:rPr>
      </w:pPr>
      <w:r/>
      <w:bookmarkStart w:id="139" w:name="_Toc120614219"/>
      <w:r>
        <w:rPr>
          <w:rFonts w:hint="eastAsia" w:ascii="宋体" w:hAnsi="宋体" w:eastAsia="宋体" w:cs="宋体"/>
          <w:b/>
          <w:bCs/>
          <w:color w:val="auto"/>
          <w:sz w:val="24"/>
          <w:szCs w:val="24"/>
          <w:highlight w:val="none"/>
          <w:lang w:eastAsia="zh-CN"/>
        </w:rPr>
        <w:t xml:space="preserve">六、定标</w:t>
      </w:r>
      <w:bookmarkEnd w:id="139"/>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40" w:name="_Toc20823310"/>
      <w:r/>
      <w:bookmarkStart w:id="141" w:name="_Toc513029238"/>
      <w:r/>
      <w:bookmarkStart w:id="142" w:name="_Toc16938554"/>
      <w:r>
        <w:rPr>
          <w:rFonts w:hint="eastAsia" w:ascii="宋体" w:hAnsi="宋体" w:eastAsia="宋体" w:cs="宋体"/>
          <w:color w:val="auto"/>
          <w:sz w:val="24"/>
          <w:szCs w:val="24"/>
          <w:highlight w:val="none"/>
          <w:lang w:eastAsia="zh-CN"/>
        </w:rPr>
        <w:t xml:space="preserve">28.</w:t>
      </w:r>
      <w:bookmarkEnd w:id="140"/>
      <w:r>
        <w:rPr>
          <w:rFonts w:hint="eastAsia" w:ascii="宋体" w:hAnsi="宋体" w:eastAsia="宋体" w:cs="宋体"/>
          <w:color w:val="auto"/>
          <w:sz w:val="24"/>
          <w:szCs w:val="24"/>
          <w:highlight w:val="none"/>
          <w:lang w:eastAsia="zh-CN"/>
        </w:rPr>
        <w:t xml:space="preserve">确定</w:t>
      </w:r>
      <w:bookmarkEnd w:id="141"/>
      <w:r/>
      <w:bookmarkEnd w:id="142"/>
      <w:r>
        <w:rPr>
          <w:rFonts w:hint="eastAsia" w:ascii="宋体" w:hAnsi="宋体" w:eastAsia="宋体" w:cs="宋体"/>
          <w:color w:val="auto"/>
          <w:sz w:val="24"/>
          <w:szCs w:val="24"/>
          <w:highlight w:val="none"/>
          <w:lang w:eastAsia="zh-CN"/>
        </w:rPr>
        <w:t xml:space="preserve">中标单位</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28.1中标候选人的选取原则和数量见招标文件第五章规定。</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28.2采购人应根据评委会推荐的中标候选人确定中标人。</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28.3采购中心将在</w:t>
      </w:r>
      <w:r>
        <w:rPr>
          <w:rFonts w:hint="eastAsia" w:ascii="宋体" w:hAnsi="宋体" w:eastAsia="宋体" w:cs="宋体"/>
          <w:color w:val="auto"/>
          <w:sz w:val="24"/>
          <w:szCs w:val="24"/>
          <w:highlight w:val="none"/>
          <w:lang w:val="en-US" w:eastAsia="zh-CN"/>
        </w:rPr>
        <w:t xml:space="preserve">“中国政府采购网”、“江苏政府采购网”、“盐城市政府采购网”</w:t>
      </w:r>
      <w:r>
        <w:rPr>
          <w:rFonts w:hint="eastAsia" w:ascii="宋体" w:hAnsi="宋体" w:eastAsia="宋体" w:cs="宋体"/>
          <w:color w:val="auto"/>
          <w:sz w:val="24"/>
          <w:szCs w:val="24"/>
          <w:highlight w:val="none"/>
          <w:lang w:eastAsia="zh-CN"/>
        </w:rPr>
        <w:t xml:space="preserve">发布中标公告，公告期限为1个工作日。</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28.4若有充分证据证明，中标人出现下列情况之一的，一经查实，将被取消中标资格：</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28.4.1提供虚假材料谋取中标的。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28.4.2向采购人、采购中心行贿或者提供其他不正当利益的。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28.4.3属于本文件规定的无效条件，但在评标过程中又未被评委会发现的。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28.4.4与采购人或者其他供应商恶意串通的。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28.4.5采取不正当手段诋毁、排挤其他供应商的。</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bookmarkStart w:id="143" w:name="_Toc200451960"/>
      <w:r>
        <w:rPr>
          <w:rFonts w:hint="eastAsia" w:ascii="宋体" w:hAnsi="宋体" w:eastAsia="宋体" w:cs="宋体"/>
          <w:color w:val="auto"/>
          <w:sz w:val="24"/>
          <w:szCs w:val="24"/>
          <w:highlight w:val="none"/>
          <w:lang w:eastAsia="zh-CN"/>
        </w:rPr>
        <w:t xml:space="preserve">28.5有下列情形之一的，视为投标人串通投标，投标无效：</w:t>
      </w:r>
      <w:bookmarkEnd w:id="143"/>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28.5.1不同投标人的投标文件由同一单位或者个人编制；</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28.5.2不同投标人委托同一单位或者个人办理投标事宜；</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28.5.3不同投标人的投标文件载明的项目管理成员或者联系人员为同一人；</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28.5.4不同投标人的投标文件异常一致或者投标报价呈规律性差异；</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质疑处理</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left="0" w:firstLine="480"/>
        <w:jc w:val="left"/>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lang w:val="en-US" w:eastAsia="zh-CN" w:bidi="ar-SA"/>
        </w:rPr>
        <w:t xml:space="preserve">29.2.2对采购过程提出质疑的，为各采购程序环节结束之日；</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29.2.3对中标或者成交结果提出质疑的，为中标或者成交结果公告期限届满之日。</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29.4供应商（含潜在供应商）对采购方式、招标文件中采购需求、供应商资格条件、评标方法和评标标准、合同文本、资格审查结果及其他事项的询问、质疑请向采购人提出，由采购人负责答复。</w:t>
      </w:r>
      <w:r/>
    </w:p>
    <w:p>
      <w:pPr>
        <w:ind w:left="0" w:firstLine="482"/>
        <w:keepLines w:val="0"/>
        <w:keepNext w:val="0"/>
        <w:pageBreakBefore w:val="0"/>
        <w:spacing w:line="520" w:lineRule="exact"/>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采购人只接收以纸质原件形式送达的质疑，采购人不接受未填写快递运单的快件。质疑接受联系人、联系电话及地址参照《招标公告》中的采购人信息。</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29.5以下情形的质疑不予受理</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29.5.1内容不符合《政府采购质疑和投诉办法》第十二条规定的质疑。</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29.5.2超出政府采购法定期限的质疑。</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29.5.3以传真、电子邮件等方式递交的非原件形式的质疑。</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29.5.4未参加投标活动的供应商或在投标活动中自身权益未受到损害的供应商所提出的质疑。</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29.5.5供应商组成联合体参加投标，联合体中任何一方或多方未按要求签字、盖章、加盖公章的质疑。</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30.中标通知书</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中标结果确定后，采购中心将向中标人发出中标通知书。请中标人在中标结果公告届满之日起30日内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因未及时下载而造成的不利后果由中标人自行承担。</w:t>
      </w:r>
      <w:r/>
    </w:p>
    <w:p>
      <w:pPr>
        <w:pStyle w:val="730"/>
        <w:ind w:left="0" w:firstLine="480"/>
        <w:jc w:val="both"/>
        <w:keepLines w:val="0"/>
        <w:keepNext w:val="0"/>
        <w:pageBreakBefore w:val="0"/>
        <w:spacing w:beforeAutospacing="0" w:afterAutospacing="0"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bookmarkStart w:id="144" w:name="_Toc20823308"/>
      <w:r/>
      <w:bookmarkStart w:id="145" w:name="_Toc513029236"/>
      <w:r/>
      <w:bookmarkStart w:id="146" w:name="_Toc120614220"/>
      <w:r/>
      <w:bookmarkStart w:id="147" w:name="_Toc16938552"/>
      <w:r>
        <w:rPr>
          <w:rFonts w:hint="eastAsia" w:ascii="宋体" w:hAnsi="宋体" w:eastAsia="宋体" w:cs="宋体"/>
          <w:b/>
          <w:bCs/>
          <w:color w:val="auto"/>
          <w:sz w:val="24"/>
          <w:szCs w:val="24"/>
          <w:highlight w:val="none"/>
          <w:lang w:val="en-US" w:eastAsia="zh-CN" w:bidi="ar-SA"/>
        </w:rPr>
        <w:t xml:space="preserve">七、授予合同</w:t>
      </w:r>
      <w:bookmarkEnd w:id="144"/>
      <w:r/>
      <w:bookmarkEnd w:id="145"/>
      <w:r/>
      <w:bookmarkEnd w:id="146"/>
      <w:r/>
      <w:bookmarkEnd w:id="147"/>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bookmarkStart w:id="148" w:name="_Toc513029237"/>
      <w:r/>
      <w:bookmarkStart w:id="149" w:name="_Toc20823309"/>
      <w:r/>
      <w:bookmarkStart w:id="150" w:name="_Toc16938553"/>
      <w:r>
        <w:rPr>
          <w:rFonts w:hint="eastAsia" w:ascii="宋体" w:hAnsi="宋体" w:eastAsia="宋体" w:cs="宋体"/>
          <w:color w:val="auto"/>
          <w:sz w:val="24"/>
          <w:szCs w:val="24"/>
          <w:highlight w:val="none"/>
          <w:lang w:val="en-US" w:eastAsia="zh-CN" w:bidi="ar-SA"/>
        </w:rPr>
        <w:t xml:space="preserve">31.签订合同</w:t>
      </w:r>
      <w:bookmarkEnd w:id="148"/>
      <w:r/>
      <w:bookmarkEnd w:id="149"/>
      <w:r/>
      <w:bookmarkEnd w:id="150"/>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31.1中标人应当在中标通知书发出之日起三十日内，按照招标文件确定的事项与采购人签订政府采购合同。</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31.2招标文件、中标人的投标文件及招标过程中有关澄清、承诺文件均应作为合同附件。</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31.3签订合同后，</w:t>
      </w:r>
      <w:r>
        <w:rPr>
          <w:rFonts w:hint="eastAsia" w:ascii="宋体" w:hAnsi="宋体" w:eastAsia="宋体" w:cs="宋体"/>
          <w:i/>
          <w:iCs/>
          <w:color w:val="auto"/>
          <w:sz w:val="24"/>
          <w:szCs w:val="24"/>
          <w:highlight w:val="none"/>
          <w:u w:val="single"/>
          <w:lang w:val="en-US" w:eastAsia="zh-CN" w:bidi="ar-SA"/>
        </w:rPr>
        <w:t xml:space="preserve">中标人不得将合同标的进行转包</w:t>
      </w:r>
      <w:r>
        <w:rPr>
          <w:rFonts w:hint="eastAsia" w:ascii="宋体" w:hAnsi="宋体" w:eastAsia="宋体" w:cs="宋体"/>
          <w:color w:val="auto"/>
          <w:sz w:val="24"/>
          <w:szCs w:val="24"/>
          <w:highlight w:val="none"/>
          <w:lang w:val="en-US" w:eastAsia="zh-CN" w:bidi="ar-SA"/>
        </w:rPr>
        <w:t xml:space="preserve">。未经采购人同意，中标人也不得采用分包的形式履行合同，否则采购人有权终止合同。转包或分包造成采购人损失的，中标人应承担相应赔偿责任。</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32.货物（包含与货物相关的服务）的追加</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33.政府采购政策功能落实</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33.1政府采购线上合同信用融资政策</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33.3.1中小企业定义：</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w:t>
      </w:r>
      <w:r>
        <w:rPr>
          <w:rFonts w:hint="eastAsia" w:ascii="宋体" w:hAnsi="宋体" w:eastAsia="宋体" w:cs="宋体"/>
          <w:color w:val="auto"/>
          <w:sz w:val="24"/>
          <w:szCs w:val="24"/>
          <w:highlight w:val="none"/>
          <w:lang w:val="en-US" w:eastAsia="zh-CN" w:bidi="ar-SA"/>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33.3.2供应商提供的货物、工程或者服务符合下列情形的，享受中小企业扶持政策：</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33.3.2.1在货物采购项目中，货物由中小企业制造，即货物由中小企业生产且使用该中小企业商号或者注册商标；</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33.3.2.2在工程采购项目中，工程由中小企业承建，即工程施工单位为中小企业；</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33.3.2.3在服务采购项目中，服务由中小企业承接，即提供服务的人员为中小企业依照《中华人民共和国劳动合同法》订立劳动合同的从业人员。</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33.3.3在货物采购项目中，供应商提供的货物既有中小企业制造货物，也有大型企业制造货物的，不享受中小企业扶持政策。</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33.3.4以联合体形式参加政府采购活动，联合体各方均为中小企业的，联合体视同中小企业。其中，联合体各方均为小微企业的，联合体视同小微企业。</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33.3.6残疾人福利单位定义：享受政府采购支持政策的残疾人福利性单位应当同时满足以下条件：</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33.3.6.1安置的残疾人占本单位在职职工人数的比例不低于25%（含25%），并且安置的残疾人人数不少于10人（含10人）；</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33.3.6.2依法与安置的每位残疾人签订了一年以上（含一年）的劳动合同或服务协议；</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33.3.6.3为安置的每位残疾人按月足额缴纳了基本养老保险、基本医疗保险、失业保险、工伤保险和生育保险等社会保险费；</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33.3.6.4通过银行等金融机构向安置的每位残疾人，按月支付了不低于单位所在区县适用的经省级人民政府批准的月最低工资标准的工资；</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33.3.6.5提供本单位制造的货物、承担的工程或者服务（以下简称产品），或者提供其他残疾人福利性单位制造的货物（不包括使用非残疾人福利性单位注册商标的货物）；</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33.3.7本项目是否专门面向中小企业预留采购份额见第一章《招标公告》。</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33.3.8采购标的对应的中小企业划分标准所属行业见第四章《采购需求》。</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33.3.9小微企业价格评审优惠的政策：见第五章《评标方法和评标标准》。</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其他条件相同情况下，应当优先采购节能产品、环境标志产品。</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33.8实施本国产品标准及相关政策</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1.本项目对采购本国产品给予政策支持，具体内容见招标文件“第五章评标方法与评标标准”。</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2"/>
        <w:keepLines w:val="0"/>
        <w:keepNext w:val="0"/>
        <w:pageBreakBefore w:val="0"/>
        <w:spacing w:line="52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left="0"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color w:val="auto"/>
          <w:sz w:val="24"/>
          <w:szCs w:val="24"/>
          <w:highlight w:val="none"/>
          <w:lang w:val="en-US" w:eastAsia="zh-CN" w:bidi="ar-SA"/>
        </w:rPr>
        <w:t xml:space="preserve">降低履约保证金缴纳比例至合同价的5%</w:t>
      </w:r>
      <w:r>
        <w:rPr>
          <w:rFonts w:hint="eastAsia" w:ascii="宋体" w:hAnsi="宋体" w:eastAsia="宋体" w:cs="宋体"/>
          <w:color w:val="auto"/>
          <w:sz w:val="24"/>
          <w:szCs w:val="24"/>
          <w:highlight w:val="none"/>
          <w:lang w:val="en-US" w:eastAsia="zh-CN" w:bidi="ar-SA"/>
        </w:rPr>
        <w:t xml:space="preserve">。</w:t>
      </w:r>
      <w:r/>
    </w:p>
    <w:p>
      <w:pPr>
        <w:ind w:firstLine="482"/>
        <w:jc w:val="left"/>
        <w:keepLines w:val="0"/>
        <w:keepNext w:val="0"/>
        <w:pageBreakBefore w:val="0"/>
        <w:spacing w:line="560" w:lineRule="exact"/>
        <w:widowControl w:val="off"/>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34.预付款制度</w:t>
      </w:r>
      <w:r/>
    </w:p>
    <w:p>
      <w:pPr>
        <w:ind w:firstLine="482"/>
        <w:jc w:val="left"/>
        <w:keepLines w:val="0"/>
        <w:keepNext w:val="0"/>
        <w:pageBreakBefore w:val="0"/>
        <w:spacing w:line="560" w:lineRule="exact"/>
        <w:widowControl w:val="off"/>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本项目落实预付款制度，预付款比例为</w:t>
      </w:r>
      <w:r>
        <w:rPr>
          <w:rFonts w:hint="eastAsia" w:ascii="宋体" w:hAnsi="宋体" w:eastAsia="宋体" w:cs="宋体"/>
          <w:color w:val="auto"/>
          <w:sz w:val="24"/>
          <w:szCs w:val="20"/>
          <w:highlight w:val="none"/>
          <w:u w:val="single"/>
        </w:rPr>
        <w:t xml:space="preserve">30%</w:t>
      </w:r>
      <w:r>
        <w:rPr>
          <w:rFonts w:hint="eastAsia" w:ascii="宋体" w:hAnsi="宋体" w:eastAsia="宋体" w:cs="宋体"/>
          <w:color w:val="auto"/>
          <w:sz w:val="24"/>
          <w:szCs w:val="20"/>
          <w:highlight w:val="none"/>
        </w:rPr>
        <w:t xml:space="preserve">。在签订合同时，中标、成交供应商明确书面表示无需预付款或者主动要求降低预付款比例的，采购人可就预付款比例作相应调整。</w:t>
      </w:r>
      <w:r/>
    </w:p>
    <w:p>
      <w:pPr>
        <w:ind w:firstLine="482"/>
        <w:jc w:val="left"/>
        <w:keepLines w:val="0"/>
        <w:keepNext w:val="0"/>
        <w:pageBreakBefore w:val="0"/>
        <w:spacing w:line="560" w:lineRule="exact"/>
        <w:widowControl w:val="off"/>
        <w:rPr>
          <w:rFonts w:ascii="宋体" w:hAnsi="宋体" w:eastAsia="宋体" w:cs="宋体"/>
          <w:color w:val="auto"/>
          <w:sz w:val="24"/>
          <w:highlight w:val="none"/>
        </w:rPr>
      </w:pPr>
      <w:r>
        <w:rPr>
          <w:rFonts w:hint="eastAsia" w:ascii="宋体" w:hAnsi="宋体" w:eastAsia="宋体" w:cs="宋体"/>
          <w:color w:val="auto"/>
          <w:sz w:val="44"/>
          <w:szCs w:val="44"/>
          <w:highlight w:val="none"/>
        </w:rPr>
        <w:br w:type="page" w:clear="all"/>
      </w:r>
      <w:r/>
    </w:p>
    <w:p>
      <w:pPr>
        <w:jc w:val="center"/>
        <w:keepLines w:val="0"/>
        <w:keepNext w:val="0"/>
        <w:pageBreakBefore w:val="0"/>
        <w:spacing w:line="360" w:lineRule="auto"/>
        <w:widowControl w:val="off"/>
        <w:rPr>
          <w:rFonts w:hint="eastAsia" w:ascii="黑体" w:hAnsi="黑体" w:eastAsia="黑体" w:cs="黑体"/>
          <w:b w:val="0"/>
          <w:bCs/>
          <w:color w:val="auto"/>
          <w:sz w:val="44"/>
          <w:szCs w:val="40"/>
          <w:highlight w:val="none"/>
        </w:rPr>
      </w:pPr>
      <w:r/>
      <w:bookmarkStart w:id="151" w:name="_Toc479757211"/>
      <w:r/>
      <w:bookmarkStart w:id="152" w:name="_Toc120614244"/>
      <w:r/>
      <w:bookmarkStart w:id="153" w:name="_Toc462564139"/>
      <w:r/>
      <w:bookmarkStart w:id="154" w:name="_Toc16938590"/>
      <w:r/>
      <w:bookmarkStart w:id="155" w:name="_Toc20823346"/>
      <w:r/>
      <w:bookmarkStart w:id="156" w:name="_Hlt16619350"/>
      <w:r/>
      <w:bookmarkStart w:id="157" w:name="_Hlt16619369"/>
      <w:r/>
      <w:r/>
    </w:p>
    <w:p>
      <w:pPr>
        <w:jc w:val="center"/>
        <w:keepLines w:val="0"/>
        <w:keepNext w:val="0"/>
        <w:pageBreakBefore w:val="0"/>
        <w:spacing w:line="360" w:lineRule="auto"/>
        <w:widowControl w:val="off"/>
        <w:rPr>
          <w:rFonts w:hint="eastAsia" w:ascii="黑体" w:hAnsi="黑体" w:eastAsia="黑体" w:cs="黑体"/>
          <w:b w:val="0"/>
          <w:bCs/>
          <w:color w:val="auto"/>
          <w:sz w:val="44"/>
          <w:szCs w:val="40"/>
          <w:highlight w:val="none"/>
        </w:rPr>
      </w:pPr>
      <w:r>
        <w:rPr>
          <w:rFonts w:hint="eastAsia" w:ascii="黑体" w:hAnsi="黑体" w:eastAsia="黑体" w:cs="黑体"/>
          <w:b w:val="0"/>
          <w:bCs/>
          <w:color w:val="auto"/>
          <w:sz w:val="44"/>
          <w:szCs w:val="40"/>
          <w:highlight w:val="none"/>
        </w:rPr>
        <w:t xml:space="preserve">第三</w:t>
      </w:r>
      <w:r>
        <w:rPr>
          <w:rFonts w:hint="eastAsia" w:ascii="黑体" w:hAnsi="黑体" w:eastAsia="黑体" w:cs="黑体"/>
          <w:b w:val="0"/>
          <w:bCs/>
          <w:color w:val="auto"/>
          <w:sz w:val="44"/>
          <w:szCs w:val="40"/>
          <w:highlight w:val="none"/>
          <w:lang w:eastAsia="zh-CN"/>
        </w:rPr>
        <w:t xml:space="preserve">章</w:t>
      </w:r>
      <w:r>
        <w:rPr>
          <w:rFonts w:hint="eastAsia" w:ascii="黑体" w:hAnsi="黑体" w:eastAsia="黑体" w:cs="黑体"/>
          <w:b w:val="0"/>
          <w:bCs/>
          <w:color w:val="auto"/>
          <w:sz w:val="44"/>
          <w:szCs w:val="40"/>
          <w:highlight w:val="none"/>
          <w:lang w:val="en-US" w:eastAsia="zh-CN"/>
        </w:rPr>
        <w:t xml:space="preserve"> </w:t>
      </w:r>
      <w:r>
        <w:rPr>
          <w:rFonts w:hint="eastAsia" w:ascii="黑体" w:hAnsi="黑体" w:eastAsia="黑体" w:cs="黑体"/>
          <w:b w:val="0"/>
          <w:bCs/>
          <w:color w:val="auto"/>
          <w:sz w:val="44"/>
          <w:szCs w:val="40"/>
          <w:highlight w:val="none"/>
        </w:rPr>
        <w:t xml:space="preserve">合同条款</w:t>
      </w:r>
      <w:r/>
    </w:p>
    <w:p>
      <w:pPr>
        <w:keepLines w:val="0"/>
        <w:keepNext w:val="0"/>
        <w:pageBreakBefore w:val="0"/>
        <w:widowControl w:val="off"/>
        <w:rPr>
          <w:rFonts w:ascii="宋体" w:hAnsi="宋体" w:cs="宋体"/>
          <w:color w:val="auto"/>
          <w:highlight w:val="none"/>
        </w:rPr>
      </w:pPr>
      <w:r/>
      <w:bookmarkStart w:id="158" w:name="EB6d2006462e294de090c16e672cecc3bd"/>
      <w:r/>
      <w:bookmarkEnd w:id="158"/>
      <w:r/>
      <w:r/>
    </w:p>
    <w:p>
      <w:pPr>
        <w:jc w:val="center"/>
        <w:keepLines w:val="0"/>
        <w:keepNext w:val="0"/>
        <w:pageBreakBefore w:val="0"/>
        <w:widowControl w:val="off"/>
        <w:rPr>
          <w:rFonts w:ascii="宋体" w:hAnsi="宋体" w:cs="宋体"/>
          <w:b/>
          <w:bCs/>
          <w:color w:val="auto"/>
          <w:spacing w:val="-20"/>
          <w:sz w:val="48"/>
          <w:szCs w:val="48"/>
          <w:highlight w:val="none"/>
        </w:rPr>
      </w:pPr>
      <w:r/>
      <w:bookmarkStart w:id="159" w:name="_Toc3995"/>
      <w:r/>
      <w:r/>
    </w:p>
    <w:p>
      <w:pPr>
        <w:jc w:val="center"/>
        <w:keepLines w:val="0"/>
        <w:keepNext w:val="0"/>
        <w:pageBreakBefore w:val="0"/>
        <w:widowControl w:val="off"/>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keepLines w:val="0"/>
        <w:keepNext w:val="0"/>
        <w:pageBreakBefore w:val="0"/>
        <w:widowControl w:val="off"/>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keepLines w:val="0"/>
        <w:keepNext w:val="0"/>
        <w:pageBreakBefore w:val="0"/>
        <w:widowControl w:val="off"/>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keepLines w:val="0"/>
        <w:keepNext w:val="0"/>
        <w:pageBreakBefore w:val="0"/>
        <w:widowControl w:val="off"/>
        <w:rPr>
          <w:rFonts w:ascii="宋体" w:hAnsi="宋体" w:cs="宋体"/>
          <w:color w:val="auto"/>
          <w:sz w:val="30"/>
          <w:highlight w:val="none"/>
        </w:rPr>
      </w:pPr>
      <w:r>
        <w:rPr>
          <w:rFonts w:ascii="宋体" w:hAnsi="宋体" w:cs="宋体"/>
          <w:color w:val="auto"/>
          <w:sz w:val="30"/>
          <w:highlight w:val="none"/>
        </w:rPr>
      </w:r>
      <w:r/>
    </w:p>
    <w:p>
      <w:pPr>
        <w:jc w:val="center"/>
        <w:keepLines w:val="0"/>
        <w:keepNext w:val="0"/>
        <w:pageBreakBefore w:val="0"/>
        <w:widowControl w:val="off"/>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keepLines w:val="0"/>
        <w:keepNext w:val="0"/>
        <w:pageBreakBefore w:val="0"/>
        <w:widowControl w:val="off"/>
        <w:rPr>
          <w:rFonts w:ascii="宋体" w:hAnsi="宋体" w:cs="宋体"/>
          <w:color w:val="auto"/>
          <w:sz w:val="30"/>
          <w:highlight w:val="none"/>
        </w:rPr>
      </w:pPr>
      <w:r>
        <w:rPr>
          <w:rFonts w:ascii="宋体" w:hAnsi="宋体" w:cs="宋体"/>
          <w:color w:val="auto"/>
          <w:sz w:val="30"/>
          <w:highlight w:val="none"/>
        </w:rPr>
      </w:r>
      <w:r/>
    </w:p>
    <w:p>
      <w:pPr>
        <w:keepLines w:val="0"/>
        <w:keepNext w:val="0"/>
        <w:pageBreakBefore w:val="0"/>
        <w:widowControl w:val="off"/>
        <w:rPr>
          <w:rFonts w:ascii="宋体" w:hAnsi="宋体" w:cs="宋体"/>
          <w:color w:val="auto"/>
          <w:sz w:val="30"/>
          <w:highlight w:val="none"/>
        </w:rPr>
      </w:pPr>
      <w:r>
        <w:rPr>
          <w:rFonts w:ascii="宋体" w:hAnsi="宋体" w:cs="宋体"/>
          <w:color w:val="auto"/>
          <w:sz w:val="30"/>
          <w:highlight w:val="none"/>
        </w:rPr>
      </w:r>
      <w:r/>
    </w:p>
    <w:p>
      <w:pPr>
        <w:keepLines w:val="0"/>
        <w:keepNext w:val="0"/>
        <w:pageBreakBefore w:val="0"/>
        <w:widowControl w:val="off"/>
        <w:rPr>
          <w:rFonts w:ascii="宋体" w:hAnsi="宋体" w:cs="宋体"/>
          <w:color w:val="auto"/>
          <w:sz w:val="30"/>
          <w:highlight w:val="none"/>
        </w:rPr>
      </w:pPr>
      <w:r>
        <w:rPr>
          <w:rFonts w:ascii="宋体" w:hAnsi="宋体" w:cs="宋体"/>
          <w:color w:val="auto"/>
          <w:sz w:val="30"/>
          <w:highlight w:val="none"/>
        </w:rPr>
      </w:r>
      <w:r/>
    </w:p>
    <w:p>
      <w:pPr>
        <w:keepLines w:val="0"/>
        <w:keepNext w:val="0"/>
        <w:pageBreakBefore w:val="0"/>
        <w:widowControl w:val="off"/>
        <w:rPr>
          <w:rFonts w:ascii="宋体" w:hAnsi="宋体" w:cs="宋体"/>
          <w:color w:val="auto"/>
          <w:sz w:val="30"/>
          <w:highlight w:val="none"/>
        </w:rPr>
      </w:pPr>
      <w:r>
        <w:rPr>
          <w:rFonts w:ascii="宋体" w:hAnsi="宋体" w:cs="宋体"/>
          <w:color w:val="auto"/>
          <w:sz w:val="30"/>
          <w:highlight w:val="none"/>
        </w:rPr>
      </w:r>
      <w:r/>
    </w:p>
    <w:p>
      <w:pPr>
        <w:ind w:left="420"/>
        <w:keepLines w:val="0"/>
        <w:keepNext w:val="0"/>
        <w:pageBreakBefore w:val="0"/>
        <w:spacing w:line="360" w:lineRule="auto"/>
        <w:widowControl w:val="off"/>
        <w:rPr>
          <w:rFonts w:hint="eastAsia" w:ascii="宋体" w:hAnsi="宋体" w:eastAsia="宋体" w:cs="宋体"/>
          <w:color w:val="auto"/>
          <w:sz w:val="30"/>
          <w:highlight w:val="none"/>
          <w:lang w:eastAsia="zh-CN"/>
        </w:rPr>
      </w:pPr>
      <w:r>
        <w:rPr>
          <w:rFonts w:hint="eastAsia" w:ascii="宋体" w:hAnsi="宋体" w:cs="宋体"/>
          <w:color w:val="auto"/>
          <w:sz w:val="30"/>
          <w:highlight w:val="none"/>
        </w:rPr>
        <w:t xml:space="preserve">项目名称：</w:t>
      </w:r>
      <w:r>
        <w:rPr>
          <w:rFonts w:hint="eastAsia" w:ascii="宋体" w:hAnsi="宋体" w:eastAsia="宋体" w:cs="宋体"/>
          <w:color w:val="auto"/>
          <w:sz w:val="30"/>
          <w:highlight w:val="none"/>
          <w:lang w:eastAsia="zh-CN"/>
        </w:rPr>
        <w:t xml:space="preserve">江苏省消防救援总队盐城支队2026年度目录外器材装备采购项目（第二批）</w:t>
      </w:r>
      <w:r/>
    </w:p>
    <w:p>
      <w:pPr>
        <w:ind w:left="420"/>
        <w:keepLines w:val="0"/>
        <w:keepNext w:val="0"/>
        <w:pageBreakBefore w:val="0"/>
        <w:spacing w:line="360" w:lineRule="auto"/>
        <w:widowControl w:val="off"/>
        <w:rPr>
          <w:rFonts w:ascii="宋体" w:hAnsi="宋体" w:cs="宋体"/>
          <w:color w:val="auto"/>
          <w:sz w:val="30"/>
          <w:highlight w:val="none"/>
        </w:rPr>
      </w:pPr>
      <w:r>
        <w:rPr>
          <w:rFonts w:hint="eastAsia" w:ascii="宋体" w:hAnsi="宋体" w:cs="宋体"/>
          <w:color w:val="auto"/>
          <w:sz w:val="30"/>
          <w:highlight w:val="none"/>
        </w:rPr>
        <w:t xml:space="preserve">合同编号：</w:t>
      </w:r>
      <w:r/>
    </w:p>
    <w:p>
      <w:pPr>
        <w:ind w:left="420"/>
        <w:keepLines w:val="0"/>
        <w:keepNext w:val="0"/>
        <w:pageBreakBefore w:val="0"/>
        <w:spacing w:line="360" w:lineRule="auto"/>
        <w:widowControl w:val="off"/>
        <w:rPr>
          <w:rFonts w:ascii="宋体" w:hAnsi="宋体" w:cs="宋体"/>
          <w:color w:val="auto"/>
          <w:sz w:val="30"/>
          <w:highlight w:val="none"/>
        </w:rPr>
      </w:pPr>
      <w:r>
        <w:rPr>
          <w:rFonts w:hint="eastAsia" w:ascii="宋体" w:hAnsi="宋体" w:cs="宋体"/>
          <w:color w:val="auto"/>
          <w:sz w:val="30"/>
          <w:highlight w:val="none"/>
        </w:rPr>
        <w:t xml:space="preserve">甲方：</w:t>
      </w:r>
      <w:r/>
    </w:p>
    <w:p>
      <w:pPr>
        <w:ind w:left="420"/>
        <w:keepLines w:val="0"/>
        <w:keepNext w:val="0"/>
        <w:pageBreakBefore w:val="0"/>
        <w:spacing w:line="360" w:lineRule="auto"/>
        <w:widowControl w:val="off"/>
        <w:rPr>
          <w:rFonts w:ascii="宋体" w:hAnsi="宋体" w:cs="宋体"/>
          <w:color w:val="auto"/>
          <w:sz w:val="30"/>
          <w:highlight w:val="none"/>
        </w:rPr>
      </w:pPr>
      <w:r>
        <w:rPr>
          <w:rFonts w:hint="eastAsia" w:ascii="宋体" w:hAnsi="宋体" w:cs="宋体"/>
          <w:color w:val="auto"/>
          <w:sz w:val="30"/>
          <w:highlight w:val="none"/>
        </w:rPr>
        <w:t xml:space="preserve">乙方：</w:t>
      </w:r>
      <w:r/>
    </w:p>
    <w:p>
      <w:pPr>
        <w:ind w:left="420"/>
        <w:keepLines w:val="0"/>
        <w:keepNext w:val="0"/>
        <w:pageBreakBefore w:val="0"/>
        <w:spacing w:line="360" w:lineRule="auto"/>
        <w:widowControl w:val="off"/>
        <w:rPr>
          <w:rFonts w:ascii="宋体" w:hAnsi="宋体" w:cs="宋体"/>
          <w:color w:val="auto"/>
          <w:sz w:val="30"/>
          <w:highlight w:val="none"/>
        </w:rPr>
      </w:pPr>
      <w:r>
        <w:rPr>
          <w:rFonts w:hint="eastAsia" w:ascii="宋体" w:hAnsi="宋体" w:cs="宋体"/>
          <w:color w:val="auto"/>
          <w:sz w:val="30"/>
          <w:highlight w:val="none"/>
        </w:rPr>
        <w:t xml:space="preserve">签订时间：</w:t>
      </w:r>
      <w:r/>
    </w:p>
    <w:p>
      <w:pPr>
        <w:keepLines w:val="0"/>
        <w:keepNext w:val="0"/>
        <w:pageBreakBefore w:val="0"/>
        <w:widowControl w:val="off"/>
        <w:rPr>
          <w:color w:val="auto"/>
          <w:highlight w:val="none"/>
        </w:rPr>
      </w:pPr>
      <w:r>
        <w:rPr>
          <w:color w:val="auto"/>
          <w:highlight w:val="none"/>
        </w:rPr>
      </w:r>
      <w:r/>
    </w:p>
    <w:p>
      <w:pPr>
        <w:jc w:val="center"/>
        <w:keepLines w:val="0"/>
        <w:keepNext w:val="0"/>
        <w:pageBreakBefore w:val="0"/>
        <w:widowControl w:val="off"/>
        <w:rPr>
          <w:rFonts w:hint="eastAsia" w:ascii="宋体" w:hAnsi="宋体" w:eastAsia="宋体" w:cs="宋体"/>
          <w:b/>
          <w:bCs/>
          <w:color w:val="auto"/>
          <w:sz w:val="32"/>
          <w:szCs w:val="22"/>
          <w:highlight w:val="none"/>
        </w:rPr>
      </w:pPr>
      <w:r>
        <w:rPr>
          <w:rFonts w:eastAsia="黑体"/>
          <w:color w:val="auto"/>
          <w:sz w:val="44"/>
          <w:szCs w:val="44"/>
          <w:highlight w:val="none"/>
        </w:rPr>
        <w:br w:type="page" w:clear="all"/>
      </w:r>
      <w:r>
        <w:rPr>
          <w:rFonts w:hint="eastAsia" w:ascii="宋体" w:hAnsi="宋体" w:eastAsia="宋体" w:cs="宋体"/>
          <w:b/>
          <w:bCs/>
          <w:color w:val="auto"/>
          <w:sz w:val="32"/>
          <w:szCs w:val="22"/>
          <w:highlight w:val="none"/>
        </w:rPr>
        <w:t xml:space="preserve">使用说明</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1.本合同标准文本适用于购买现成货物的采购项目，不包括需要供应商定制开发、创新研发的货物采购项目。</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2.本合同标准文本为政府采购货物买卖合同编制提供参考，可以结合采购项目具体情况，对文本作必要的调整修订后使用。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3.本合同标准文本各条款中，如涉及填写多家供应商、制造商，多种采购标的、分包主要内容等信息的，可根据采购项目具体情况添加信息项。</w:t>
      </w:r>
      <w:bookmarkEnd w:id="159"/>
      <w:r/>
      <w:r/>
    </w:p>
    <w:p>
      <w:pPr>
        <w:ind w:firstLine="482"/>
        <w:jc w:val="left"/>
        <w:keepLines w:val="0"/>
        <w:keepNext w:val="0"/>
        <w:pageBreakBefore w:val="0"/>
        <w:spacing w:line="560" w:lineRule="exact"/>
        <w:widowControl w:val="off"/>
        <w:rPr>
          <w:rFonts w:eastAsia="黑体"/>
          <w:color w:val="auto"/>
          <w:sz w:val="44"/>
          <w:szCs w:val="44"/>
          <w:highlight w:val="none"/>
        </w:rPr>
        <w:sectPr>
          <w:headerReference w:type="default" r:id="rId9"/>
          <w:footerReference w:type="default" r:id="rId10"/>
          <w:footnotePr/>
          <w:endnotePr/>
          <w:type w:val="nextPage"/>
          <w:pgSz w:w="11906" w:h="16838" w:orient="portrait"/>
          <w:pgMar w:top="1417" w:right="1633" w:bottom="1417" w:left="1633" w:header="851" w:footer="992" w:gutter="0"/>
          <w:cols w:num="1" w:sep="0" w:space="425" w:equalWidth="1"/>
          <w:docGrid w:linePitch="360"/>
        </w:sectPr>
      </w:pPr>
      <w:r>
        <w:rPr>
          <w:rFonts w:eastAsia="黑体"/>
          <w:color w:val="auto"/>
          <w:sz w:val="44"/>
          <w:szCs w:val="44"/>
          <w:highlight w:val="none"/>
        </w:rPr>
      </w:r>
      <w:r/>
    </w:p>
    <w:p>
      <w:pPr>
        <w:ind w:left="0" w:firstLine="0"/>
        <w:jc w:val="center"/>
        <w:keepLines w:val="0"/>
        <w:keepNext w:val="0"/>
        <w:pageBreakBefore w:val="0"/>
        <w:spacing w:line="520" w:lineRule="exact"/>
        <w:widowControl w:val="off"/>
        <w:rPr>
          <w:rFonts w:ascii="黑体" w:hAnsi="华文中宋" w:eastAsia="黑体"/>
          <w:color w:val="auto"/>
          <w:sz w:val="28"/>
          <w:szCs w:val="28"/>
          <w:highlight w:val="none"/>
        </w:rPr>
        <w:outlineLvl w:val="9"/>
      </w:pPr>
      <w:r/>
      <w:bookmarkStart w:id="160" w:name="_Toc22209"/>
      <w:r>
        <w:rPr>
          <w:rFonts w:hint="eastAsia" w:ascii="黑体" w:hAnsi="黑体" w:eastAsia="黑体"/>
          <w:color w:val="auto"/>
          <w:sz w:val="28"/>
          <w:szCs w:val="28"/>
          <w:highlight w:val="none"/>
        </w:rPr>
        <w:t xml:space="preserve">第一节</w:t>
      </w:r>
      <w:r>
        <w:rPr>
          <w:rFonts w:hint="eastAsia" w:ascii="黑体" w:hAnsi="黑体" w:eastAsia="黑体"/>
          <w:color w:val="auto"/>
          <w:sz w:val="28"/>
          <w:szCs w:val="28"/>
          <w:highlight w:val="none"/>
          <w:lang w:val="en-US" w:eastAsia="zh-CN"/>
        </w:rPr>
        <w:t xml:space="preserve"> </w:t>
      </w:r>
      <w:r>
        <w:rPr>
          <w:rFonts w:hint="eastAsia" w:ascii="黑体" w:hAnsi="华文中宋" w:eastAsia="黑体"/>
          <w:color w:val="auto"/>
          <w:sz w:val="28"/>
          <w:szCs w:val="28"/>
          <w:highlight w:val="none"/>
        </w:rPr>
        <w:t xml:space="preserve">政府采购合同协议书</w:t>
      </w:r>
      <w:bookmarkEnd w:id="160"/>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甲方（全称）：</w:t>
      </w:r>
      <w:r>
        <w:rPr>
          <w:rFonts w:hint="eastAsia" w:ascii="宋体" w:hAnsi="宋体" w:eastAsia="宋体" w:cs="宋体"/>
          <w:color w:val="auto"/>
          <w:sz w:val="24"/>
          <w:szCs w:val="20"/>
          <w:highlight w:val="none"/>
          <w:lang w:val="en-US" w:eastAsia="zh-CN"/>
        </w:rPr>
        <w:t xml:space="preserve">盐城市消防救援支队</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乙方（全称）：</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中华人民共和国政府采购法》等有关的法律法规，以及本采购项目的招标文件、乙方的《投标（响应）文件》及《中标（成交）通知书》，甲乙双方同意签订本合同。具体情况及要求如下：</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项目信息</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采购项目名称：</w:t>
      </w:r>
      <w:r>
        <w:rPr>
          <w:rFonts w:hint="eastAsia" w:ascii="宋体" w:hAnsi="宋体" w:eastAsia="宋体" w:cs="宋体"/>
          <w:color w:val="auto"/>
          <w:sz w:val="24"/>
          <w:szCs w:val="24"/>
          <w:highlight w:val="none"/>
          <w:u w:val="single"/>
          <w:lang w:eastAsia="zh-CN"/>
        </w:rPr>
        <w:t xml:space="preserve">江苏省消防救援总队盐城支队2026年度目录外器材装备采购项目（第二批）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采购项目编号：</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）采购计划编号：</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）项目内容：</w:t>
      </w:r>
      <w:r/>
    </w:p>
    <w:p>
      <w:pPr>
        <w:ind w:firstLine="1024"/>
        <w:keepLines w:val="0"/>
        <w:keepNext w:val="0"/>
        <w:pageBreakBefore w:val="0"/>
        <w:spacing w:line="520" w:lineRule="exact"/>
        <w:widowControl w:val="off"/>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采购标的及数量（台/套/个/架/组等）：</w:t>
      </w:r>
      <w:r>
        <w:rPr>
          <w:rFonts w:hint="eastAsia" w:ascii="宋体" w:hAnsi="宋体" w:cs="宋体"/>
          <w:color w:val="auto"/>
          <w:sz w:val="24"/>
          <w:szCs w:val="20"/>
          <w:highlight w:val="none"/>
          <w:u w:val="single"/>
        </w:rPr>
        <w:t xml:space="preserve">                  </w:t>
      </w:r>
      <w:r/>
    </w:p>
    <w:p>
      <w:pPr>
        <w:ind w:firstLine="1024"/>
        <w:keepLines w:val="0"/>
        <w:keepNext w:val="0"/>
        <w:pageBreakBefore w:val="0"/>
        <w:spacing w:line="520" w:lineRule="exact"/>
        <w:widowControl w:val="off"/>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品牌：</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w:t>
      </w:r>
      <w:r>
        <w:rPr>
          <w:rFonts w:hint="eastAsia" w:ascii="宋体" w:hAnsi="宋体" w:cs="宋体"/>
          <w:color w:val="auto"/>
          <w:sz w:val="24"/>
          <w:szCs w:val="20"/>
          <w:highlight w:val="none"/>
          <w:lang w:val="zh-CN"/>
        </w:rPr>
        <w:t xml:space="preserve">规格型号：</w:t>
      </w:r>
      <w:r>
        <w:rPr>
          <w:rFonts w:hint="eastAsia" w:ascii="宋体" w:hAnsi="宋体" w:cs="宋体"/>
          <w:color w:val="auto"/>
          <w:sz w:val="24"/>
          <w:szCs w:val="20"/>
          <w:highlight w:val="none"/>
          <w:u w:val="single"/>
        </w:rPr>
        <w:t xml:space="preserve">                  </w:t>
      </w:r>
      <w:r/>
    </w:p>
    <w:p>
      <w:pPr>
        <w:ind w:firstLine="1024"/>
        <w:keepLines w:val="0"/>
        <w:keepNext w:val="0"/>
        <w:pageBreakBefore w:val="0"/>
        <w:spacing w:line="520" w:lineRule="exact"/>
        <w:widowControl w:val="off"/>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采购标的的技术要求、商务要求具体见附件。</w:t>
      </w:r>
      <w:r/>
    </w:p>
    <w:p>
      <w:pPr>
        <w:numPr>
          <w:ilvl w:val="255"/>
          <w:numId w:val="0"/>
        </w:numPr>
        <w:ind w:left="0" w:firstLine="480"/>
        <w:jc w:val="both"/>
        <w:keepLines w:val="0"/>
        <w:keepNext w:val="0"/>
        <w:pageBreakBefore w:val="0"/>
        <w:spacing w:line="560" w:lineRule="exact"/>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）政府采购组织形式</w:t>
      </w:r>
      <w:r>
        <w:rPr>
          <w:rFonts w:hint="eastAsia" w:ascii="宋体" w:hAnsi="宋体" w:cs="宋体"/>
          <w:color w:val="auto"/>
          <w:sz w:val="24"/>
          <w:szCs w:val="24"/>
          <w:highlight w:val="none"/>
          <w:lang w:eastAsia="zh-CN"/>
        </w:rPr>
        <w:t xml:space="preserve">：</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政府集中采购</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部门集中采购</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宋体" w:hAnsi="宋体" w:cs="宋体"/>
          <w:color w:val="auto"/>
          <w:sz w:val="24"/>
          <w:szCs w:val="24"/>
          <w:highlight w:val="none"/>
        </w:rPr>
        <w:t xml:space="preserve">分散采购</w:t>
      </w:r>
      <w:r/>
    </w:p>
    <w:p>
      <w:pPr>
        <w:numPr>
          <w:ilvl w:val="255"/>
          <w:numId w:val="0"/>
        </w:numPr>
        <w:ind w:left="0" w:firstLine="480"/>
        <w:jc w:val="both"/>
        <w:keepLines w:val="0"/>
        <w:keepNext w:val="0"/>
        <w:pageBreakBefore w:val="0"/>
        <w:spacing w:line="560" w:lineRule="exact"/>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）政府采购方式：</w:t>
      </w:r>
      <w:r/>
    </w:p>
    <w:p>
      <w:pPr>
        <w:numPr>
          <w:ilvl w:val="255"/>
          <w:numId w:val="0"/>
        </w:numPr>
        <w:ind w:left="0" w:firstLine="480"/>
        <w:jc w:val="both"/>
        <w:keepLines w:val="0"/>
        <w:keepNext w:val="0"/>
        <w:pageBreakBefore w:val="0"/>
        <w:spacing w:line="560" w:lineRule="exact"/>
        <w:widowControl w:val="off"/>
        <w:rPr>
          <w:rFonts w:ascii="宋体" w:hAnsi="宋体" w:cs="宋体"/>
          <w:color w:val="auto"/>
          <w:sz w:val="24"/>
          <w:szCs w:val="24"/>
          <w:highlight w:val="none"/>
        </w:rPr>
        <w:outlineLvl w:val="9"/>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4"/>
          <w:highlight w:val="none"/>
        </w:rPr>
        <w:t xml:space="preserve">公开招标</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邀请招标</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竞争性谈判</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竞争性磋商</w:t>
      </w:r>
      <w:r/>
    </w:p>
    <w:p>
      <w:pPr>
        <w:numPr>
          <w:ilvl w:val="255"/>
          <w:numId w:val="0"/>
        </w:numPr>
        <w:ind w:left="0" w:firstLine="480"/>
        <w:jc w:val="both"/>
        <w:keepLines w:val="0"/>
        <w:keepNext w:val="0"/>
        <w:pageBreakBefore w:val="0"/>
        <w:spacing w:line="560" w:lineRule="exact"/>
        <w:widowControl w:val="off"/>
        <w:rPr>
          <w:rFonts w:ascii="宋体" w:hAnsi="宋体" w:cs="宋体"/>
          <w:color w:val="auto"/>
          <w:sz w:val="24"/>
          <w:szCs w:val="24"/>
          <w:highlight w:val="none"/>
          <w:u w:val="single"/>
        </w:rPr>
        <w:outlineLvl w:val="9"/>
      </w:pP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询价</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单一来源</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框架协议</w:t>
      </w:r>
      <w:r>
        <w:rPr>
          <w:rFonts w:hint="eastAsia" w:ascii="宋体" w:hAnsi="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其他：</w:t>
      </w:r>
      <w:r/>
    </w:p>
    <w:p>
      <w:pPr>
        <w:numPr>
          <w:ilvl w:val="255"/>
          <w:numId w:val="0"/>
        </w:num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eastAsia="华文楷体" w:cs="华文楷体"/>
          <w:color w:val="auto"/>
          <w:sz w:val="24"/>
          <w:szCs w:val="24"/>
          <w:highlight w:val="none"/>
        </w:rPr>
        <w:t xml:space="preserve">（</w:t>
      </w:r>
      <w:r>
        <w:rPr>
          <w:rFonts w:hint="eastAsia" w:ascii="宋体" w:hAnsi="宋体" w:eastAsia="华文楷体" w:cs="华文楷体"/>
          <w:color w:val="auto"/>
          <w:sz w:val="24"/>
          <w:szCs w:val="24"/>
          <w:highlight w:val="none"/>
          <w:lang w:val="en-US" w:eastAsia="zh-CN"/>
        </w:rPr>
        <w:t xml:space="preserve">7</w:t>
      </w:r>
      <w:r>
        <w:rPr>
          <w:rFonts w:hint="eastAsia" w:ascii="宋体" w:hAnsi="宋体" w:eastAsia="华文楷体" w:cs="华文楷体"/>
          <w:color w:val="auto"/>
          <w:sz w:val="24"/>
          <w:szCs w:val="24"/>
          <w:highlight w:val="none"/>
        </w:rPr>
        <w:t xml:space="preserve">）</w:t>
      </w:r>
      <w:r>
        <w:rPr>
          <w:rFonts w:hint="eastAsia" w:ascii="宋体" w:hAnsi="宋体"/>
          <w:color w:val="auto"/>
          <w:sz w:val="24"/>
          <w:szCs w:val="24"/>
          <w:highlight w:val="none"/>
        </w:rPr>
        <w:t xml:space="preserve">中标（成交）采购标的制造商是否为中小企业：</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p>
    <w:p>
      <w:pPr>
        <w:numPr>
          <w:ilvl w:val="255"/>
          <w:numId w:val="0"/>
        </w:numPr>
        <w:ind w:left="0" w:firstLine="480"/>
        <w:jc w:val="both"/>
        <w:keepLines w:val="0"/>
        <w:keepNext w:val="0"/>
        <w:pageBreakBefore w:val="0"/>
        <w:spacing w:line="560" w:lineRule="exact"/>
        <w:widowControl w:val="off"/>
        <w:rPr>
          <w:rFonts w:ascii="宋体" w:hAnsi="宋体"/>
          <w:iCs/>
          <w:color w:val="auto"/>
          <w:sz w:val="24"/>
          <w:szCs w:val="24"/>
          <w:highlight w:val="none"/>
        </w:rPr>
        <w:outlineLvl w:val="9"/>
      </w:pPr>
      <w:r>
        <w:rPr>
          <w:rFonts w:hint="eastAsia" w:ascii="宋体" w:hAnsi="宋体"/>
          <w:color w:val="auto"/>
          <w:sz w:val="24"/>
          <w:szCs w:val="24"/>
          <w:highlight w:val="none"/>
        </w:rPr>
        <w:t xml:space="preserve">本合同是否为专门面向中小企业的采购合同（中小企业预留合同）：</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否</w:t>
      </w:r>
      <w:r/>
    </w:p>
    <w:p>
      <w:pPr>
        <w:numPr>
          <w:ilvl w:val="255"/>
          <w:numId w:val="0"/>
        </w:numPr>
        <w:ind w:left="0" w:firstLine="480"/>
        <w:jc w:val="both"/>
        <w:keepLines w:val="0"/>
        <w:keepNext w:val="0"/>
        <w:pageBreakBefore w:val="0"/>
        <w:spacing w:line="560" w:lineRule="exact"/>
        <w:widowControl w:val="off"/>
        <w:rPr>
          <w:rFonts w:ascii="宋体" w:hAnsi="宋体"/>
          <w:iCs/>
          <w:color w:val="auto"/>
          <w:sz w:val="24"/>
          <w:szCs w:val="24"/>
          <w:highlight w:val="none"/>
        </w:rPr>
        <w:outlineLvl w:val="9"/>
      </w:pPr>
      <w:r>
        <w:rPr>
          <w:rFonts w:hint="eastAsia"/>
          <w:color w:val="auto"/>
          <w:sz w:val="24"/>
          <w:szCs w:val="24"/>
          <w:highlight w:val="none"/>
        </w:rPr>
        <w:t xml:space="preserve">若本项目不专门面向中小企业采购，是否给予小微企业评审优惠：</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否</w:t>
      </w:r>
      <w:r/>
    </w:p>
    <w:p>
      <w:pPr>
        <w:numPr>
          <w:ilvl w:val="255"/>
          <w:numId w:val="0"/>
        </w:numPr>
        <w:ind w:firstLine="480"/>
        <w:jc w:val="both"/>
        <w:keepLines w:val="0"/>
        <w:keepNext w:val="0"/>
        <w:pageBreakBefore w:val="0"/>
        <w:spacing w:line="560" w:lineRule="exact"/>
        <w:widowControl w:val="off"/>
        <w:rPr>
          <w:rFonts w:ascii="宋体" w:hAnsi="宋体"/>
          <w:iCs/>
          <w:color w:val="auto"/>
          <w:sz w:val="24"/>
          <w:szCs w:val="24"/>
          <w:highlight w:val="none"/>
        </w:rPr>
        <w:outlineLvl w:val="9"/>
      </w:pPr>
      <w:r>
        <w:rPr>
          <w:rFonts w:hint="eastAsia"/>
          <w:color w:val="auto"/>
          <w:sz w:val="24"/>
          <w:szCs w:val="24"/>
          <w:highlight w:val="none"/>
        </w:rPr>
        <w:t xml:space="preserve">中标（成交）采购标的制造商是否为残疾人福利性单位：</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否</w:t>
      </w:r>
      <w:r/>
    </w:p>
    <w:p>
      <w:pPr>
        <w:ind w:left="0" w:firstLine="480"/>
        <w:jc w:val="both"/>
        <w:keepLines w:val="0"/>
        <w:keepNext w:val="0"/>
        <w:pageBreakBefore w:val="0"/>
        <w:spacing w:line="560" w:lineRule="exact"/>
        <w:widowControl w:val="off"/>
        <w:rPr>
          <w:color w:val="auto"/>
          <w:sz w:val="24"/>
          <w:szCs w:val="24"/>
          <w:highlight w:val="none"/>
        </w:rPr>
        <w:outlineLvl w:val="9"/>
      </w:pPr>
      <w:r>
        <w:rPr>
          <w:rFonts w:hint="eastAsia"/>
          <w:color w:val="auto"/>
          <w:sz w:val="24"/>
          <w:szCs w:val="24"/>
          <w:highlight w:val="none"/>
        </w:rPr>
        <w:t xml:space="preserve">中标（成交）采购标的制造商是否为监狱企业：</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）合同是否分包：</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是</w:t>
      </w:r>
      <w:r>
        <w:rPr>
          <w:rFonts w:hint="eastAsia" w:ascii="宋体" w:hAnsi="宋体"/>
          <w:i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宋体" w:hAnsi="宋体"/>
          <w:i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color w:val="auto"/>
          <w:sz w:val="24"/>
          <w:szCs w:val="24"/>
          <w:highlight w:val="none"/>
          <w:u w:val="single"/>
        </w:rPr>
        <w:outlineLvl w:val="9"/>
      </w:pPr>
      <w:r>
        <w:rPr>
          <w:rFonts w:hint="eastAsia" w:ascii="宋体" w:hAnsi="宋体"/>
          <w:color w:val="auto"/>
          <w:sz w:val="24"/>
          <w:szCs w:val="24"/>
          <w:highlight w:val="none"/>
        </w:rPr>
        <w:t xml:space="preserve">分包主要内容：</w:t>
      </w:r>
      <w:r/>
    </w:p>
    <w:p>
      <w:p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分包供应商/制造商名称（如供应商和制造商不同，请分别填写）：</w:t>
      </w:r>
      <w:r/>
    </w:p>
    <w:p>
      <w:p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分包供应商/制造商类型（如果供应商和制造商不同，只填写制造商类型）：</w:t>
      </w:r>
      <w:r/>
    </w:p>
    <w:p>
      <w:pPr>
        <w:ind w:left="0" w:firstLine="480"/>
        <w:jc w:val="both"/>
        <w:keepLines w:val="0"/>
        <w:keepNext w:val="0"/>
        <w:pageBreakBefore w:val="0"/>
        <w:spacing w:line="560" w:lineRule="exact"/>
        <w:widowControl w:val="off"/>
        <w:rPr>
          <w:rFonts w:ascii="宋体" w:hAnsi="宋体"/>
          <w:iCs/>
          <w:color w:val="auto"/>
          <w:sz w:val="24"/>
          <w:szCs w:val="24"/>
          <w:highlight w:val="none"/>
        </w:rPr>
        <w:outlineLvl w:val="9"/>
      </w:pP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大型企业</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中型企业</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小微型企业</w:t>
      </w:r>
      <w:r/>
    </w:p>
    <w:p>
      <w:pPr>
        <w:ind w:left="0" w:firstLine="480"/>
        <w:jc w:val="both"/>
        <w:keepLines w:val="0"/>
        <w:keepNext w:val="0"/>
        <w:pageBreakBefore w:val="0"/>
        <w:spacing w:line="560" w:lineRule="exact"/>
        <w:widowControl w:val="off"/>
        <w:rPr>
          <w:rFonts w:eastAsia="华文楷体"/>
          <w:color w:val="auto"/>
          <w:sz w:val="24"/>
          <w:szCs w:val="24"/>
          <w:highlight w:val="none"/>
        </w:rPr>
        <w:outlineLvl w:val="9"/>
      </w:pP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残疾人福利性单位</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监狱企业</w:t>
      </w:r>
      <w:r>
        <w:rPr>
          <w:rFonts w:hint="eastAsia" w:ascii="宋体" w:hAnsi="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iCs/>
          <w:color w:val="auto"/>
          <w:sz w:val="24"/>
          <w:szCs w:val="24"/>
          <w:highlight w:val="none"/>
        </w:rPr>
        <w:t xml:space="preserve">其他</w:t>
      </w:r>
      <w:r/>
    </w:p>
    <w:p>
      <w:pPr>
        <w:numPr>
          <w:ilvl w:val="255"/>
          <w:numId w:val="0"/>
        </w:numPr>
        <w:ind w:left="0" w:firstLine="480"/>
        <w:jc w:val="both"/>
        <w:keepLines w:val="0"/>
        <w:keepNext w:val="0"/>
        <w:pageBreakBefore w:val="0"/>
        <w:spacing w:line="560" w:lineRule="exact"/>
        <w:widowControl w:val="off"/>
        <w:rPr>
          <w:rFonts w:ascii="宋体" w:hAnsi="宋体" w:cs="宋体"/>
          <w:iCs/>
          <w:color w:val="auto"/>
          <w:sz w:val="24"/>
          <w:szCs w:val="24"/>
          <w:highlight w:val="none"/>
        </w:rPr>
        <w:outlineLvl w:val="9"/>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）中标（成交）供应商是否为外商投资企业：</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是</w:t>
      </w:r>
      <w:r>
        <w:rPr>
          <w:rFonts w:hint="eastAsia" w:ascii="宋体" w:hAnsi="宋体" w:cs="宋体"/>
          <w:iCs/>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否</w:t>
      </w:r>
      <w:r/>
    </w:p>
    <w:p>
      <w:pPr>
        <w:ind w:left="0" w:firstLine="480"/>
        <w:jc w:val="both"/>
        <w:keepLines w:val="0"/>
        <w:keepNext w:val="0"/>
        <w:pageBreakBefore w:val="0"/>
        <w:spacing w:line="560" w:lineRule="exact"/>
        <w:widowControl w:val="off"/>
        <w:tabs>
          <w:tab w:val="left" w:pos="1340" w:leader="none"/>
        </w:tabs>
        <w:rPr>
          <w:rFonts w:ascii="宋体" w:hAnsi="宋体" w:cs="宋体"/>
          <w:color w:val="auto"/>
          <w:sz w:val="24"/>
          <w:szCs w:val="24"/>
          <w:highlight w:val="none"/>
          <w:u w:val="single"/>
        </w:rPr>
        <w:outlineLvl w:val="9"/>
      </w:pPr>
      <w:r>
        <w:rPr>
          <w:rFonts w:hint="eastAsia" w:ascii="宋体" w:hAnsi="宋体" w:cs="宋体"/>
          <w:color w:val="auto"/>
          <w:sz w:val="24"/>
          <w:szCs w:val="24"/>
          <w:highlight w:val="none"/>
        </w:rPr>
        <w:t xml:space="preserve">外商投资企业类型：</w:t>
      </w:r>
      <w:r>
        <w:rPr>
          <w:rFonts w:ascii="Wingdings" w:hAnsi="Wingdings" w:eastAsia="Wingdings" w:cs="Wingdings"/>
          <w:iCs/>
          <w:color w:val="auto"/>
          <w:sz w:val="24"/>
          <w:szCs w:val="24"/>
          <w:highlight w:val="none"/>
        </w:rPr>
        <w:t xml:space="preserve"></w:t>
      </w:r>
      <w:r>
        <w:rPr>
          <w:rFonts w:hint="eastAsia" w:ascii="宋体" w:hAnsi="宋体" w:cs="宋体"/>
          <w:color w:val="auto"/>
          <w:sz w:val="24"/>
          <w:szCs w:val="24"/>
          <w:highlight w:val="none"/>
        </w:rPr>
        <w:t xml:space="preserve">全部由外国投资者投资</w:t>
      </w:r>
      <w:r>
        <w:rPr>
          <w:rFonts w:hint="eastAsia" w:ascii="宋体" w:hAnsi="宋体" w:cs="宋体"/>
          <w:color w:val="auto"/>
          <w:sz w:val="24"/>
          <w:szCs w:val="24"/>
          <w:highlight w:val="none"/>
          <w:lang w:val="en-US" w:eastAsia="zh-CN"/>
        </w:rPr>
        <w:t xml:space="preserve"> </w:t>
      </w:r>
      <w:r>
        <w:rPr>
          <w:rFonts w:ascii="Wingdings" w:hAnsi="Wingdings" w:eastAsia="Wingdings" w:cs="Wingdings"/>
          <w:iCs/>
          <w:color w:val="auto"/>
          <w:sz w:val="24"/>
          <w:szCs w:val="24"/>
          <w:highlight w:val="none"/>
        </w:rPr>
        <w:t xml:space="preserve"></w:t>
      </w:r>
      <w:r>
        <w:rPr>
          <w:rFonts w:hint="eastAsia" w:ascii="宋体" w:hAnsi="宋体" w:cs="宋体"/>
          <w:iCs/>
          <w:color w:val="auto"/>
          <w:sz w:val="24"/>
          <w:szCs w:val="24"/>
          <w:highlight w:val="none"/>
        </w:rPr>
        <w:t xml:space="preserve">部分由外国投资者投资</w:t>
      </w:r>
      <w:r/>
    </w:p>
    <w:p>
      <w:pPr>
        <w:numPr>
          <w:ilvl w:val="255"/>
          <w:numId w:val="0"/>
        </w:numPr>
        <w:ind w:left="0" w:firstLine="480"/>
        <w:jc w:val="both"/>
        <w:keepLines w:val="0"/>
        <w:keepNext w:val="0"/>
        <w:pageBreakBefore w:val="0"/>
        <w:spacing w:line="560" w:lineRule="exact"/>
        <w:widowControl w:val="off"/>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）是否涉及进口产品：</w:t>
      </w:r>
      <w:r/>
    </w:p>
    <w:p>
      <w:pPr>
        <w:numPr>
          <w:ilvl w:val="255"/>
          <w:numId w:val="0"/>
        </w:numPr>
        <w:ind w:left="0" w:firstLine="480"/>
        <w:jc w:val="both"/>
        <w:keepLines w:val="0"/>
        <w:keepNext w:val="0"/>
        <w:pageBreakBefore w:val="0"/>
        <w:spacing w:line="560" w:lineRule="exact"/>
        <w:widowControl w:val="off"/>
        <w:rPr>
          <w:rFonts w:ascii="宋体" w:hAnsi="宋体" w:cs="宋体"/>
          <w:color w:val="auto"/>
          <w:sz w:val="24"/>
          <w:szCs w:val="24"/>
          <w:highlight w:val="none"/>
          <w:u w:val="single"/>
        </w:rPr>
        <w:outlineLvl w:val="9"/>
      </w:pP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是，《政府采购品目分类目录》底级品目名称：金额：</w:t>
      </w:r>
      <w:r/>
    </w:p>
    <w:p>
      <w:pPr>
        <w:numPr>
          <w:ilvl w:val="255"/>
          <w:numId w:val="0"/>
        </w:num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cs="宋体"/>
          <w:color w:val="auto"/>
          <w:sz w:val="24"/>
          <w:szCs w:val="24"/>
          <w:highlight w:val="none"/>
        </w:rPr>
        <w:t xml:space="preserve">国别：品牌：规格型号：</w:t>
      </w:r>
      <w:r/>
    </w:p>
    <w:p>
      <w:p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）是否涉及节能产品：</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iCs/>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是，《节能产品政府采购品目清单》的底级品目名称：</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强制采购</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优先采购</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否</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hint="eastAsia" w:ascii="宋体" w:hAnsi="宋体"/>
          <w:color w:val="auto"/>
          <w:sz w:val="24"/>
          <w:szCs w:val="24"/>
          <w:highlight w:val="none"/>
        </w:rPr>
        <w:t xml:space="preserve">是否涉及环境标志产品：</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是，《环境标志产品政府采购品目清单》的底级品目名称：</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强制采购</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优先采购</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否</w:t>
      </w:r>
      <w:r/>
    </w:p>
    <w:p>
      <w:pPr>
        <w:numPr>
          <w:ilvl w:val="255"/>
          <w:numId w:val="0"/>
        </w:num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是否涉及绿色产品：</w:t>
      </w:r>
      <w:r/>
    </w:p>
    <w:p>
      <w:p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是，绿色产品政府采购相关政策确定的底级品目名称：</w:t>
      </w:r>
      <w:r/>
    </w:p>
    <w:p>
      <w:pPr>
        <w:numPr>
          <w:ilvl w:val="255"/>
          <w:numId w:val="0"/>
        </w:numPr>
        <w:ind w:left="0" w:firstLine="480"/>
        <w:jc w:val="both"/>
        <w:keepLines w:val="0"/>
        <w:keepNext w:val="0"/>
        <w:pageBreakBefore w:val="0"/>
        <w:spacing w:line="560" w:lineRule="exact"/>
        <w:widowControl w:val="off"/>
        <w:tabs>
          <w:tab w:val="left" w:pos="740" w:leader="none"/>
        </w:tabs>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强制采购</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优先采购</w:t>
      </w:r>
      <w:r/>
    </w:p>
    <w:p>
      <w:pPr>
        <w:ind w:left="0" w:firstLine="480"/>
        <w:jc w:val="both"/>
        <w:keepLines w:val="0"/>
        <w:keepNext w:val="0"/>
        <w:pageBreakBefore w:val="0"/>
        <w:spacing w:line="560" w:lineRule="exact"/>
        <w:widowControl w:val="off"/>
        <w:rPr>
          <w:rFonts w:hint="eastAsia" w:ascii="宋体" w:hAnsi="宋体"/>
          <w:color w:val="auto"/>
          <w:sz w:val="24"/>
          <w:szCs w:val="24"/>
          <w:highlight w:val="none"/>
        </w:rPr>
        <w:outlineLvl w:val="9"/>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）涉及商品包装和快递包装的，是否参考《商品包装政府采购需求标准（试行）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快递包装政府采购需求标准（试行）》明确产品及相关快递服务的具体包装要求：</w:t>
      </w:r>
      <w:r/>
    </w:p>
    <w:p>
      <w:pPr>
        <w:numPr>
          <w:ilvl w:val="255"/>
          <w:numId w:val="0"/>
        </w:numPr>
        <w:ind w:firstLine="480"/>
        <w:jc w:val="both"/>
        <w:keepLines w:val="0"/>
        <w:keepNext w:val="0"/>
        <w:pageBreakBefore w:val="0"/>
        <w:spacing w:line="560" w:lineRule="exact"/>
        <w:widowControl w:val="off"/>
        <w:rPr>
          <w:rFonts w:ascii="宋体" w:hAnsi="宋体"/>
          <w:color w:val="auto"/>
          <w:sz w:val="24"/>
          <w:szCs w:val="24"/>
          <w:highlight w:val="none"/>
        </w:rPr>
        <w:outlineLvl w:val="9"/>
      </w:pPr>
      <w:r>
        <w:rPr>
          <w:rFonts w:ascii="Wingdings" w:hAnsi="Wingdings" w:eastAsia="Wingdings" w:cs="Wingdings"/>
          <w:color w:val="auto"/>
          <w:sz w:val="24"/>
          <w:szCs w:val="24"/>
          <w:highlight w:val="none"/>
        </w:rPr>
        <w:t xml:space="preserve">þ</w:t>
      </w:r>
      <w:r>
        <w:rPr>
          <w:rFonts w:hint="eastAsia" w:ascii="宋体" w:hAnsi="宋体"/>
          <w:color w:val="auto"/>
          <w:sz w:val="24"/>
          <w:szCs w:val="24"/>
          <w:highlight w:val="none"/>
        </w:rPr>
        <w:t xml:space="preserve">是</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否</w:t>
      </w:r>
      <w:r>
        <w:rPr>
          <w:rFonts w:hint="eastAsia" w:ascii="宋体" w:hAnsi="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不涉及</w:t>
      </w:r>
      <w:r/>
    </w:p>
    <w:p>
      <w:pPr>
        <w:numPr>
          <w:ilvl w:val="0"/>
          <w:numId w:val="0"/>
        </w:numPr>
        <w:ind w:firstLine="241"/>
        <w:jc w:val="both"/>
        <w:keepLines w:val="0"/>
        <w:keepNext w:val="0"/>
        <w:pageBreakBefore w:val="0"/>
        <w:spacing w:line="560" w:lineRule="exact"/>
        <w:widowControl w:val="off"/>
        <w:rPr>
          <w:rFonts w:ascii="宋体" w:hAnsi="宋体"/>
          <w:b/>
          <w:color w:val="auto"/>
          <w:sz w:val="24"/>
          <w:szCs w:val="24"/>
          <w:highlight w:val="none"/>
        </w:rPr>
        <w:outlineLvl w:val="9"/>
      </w:pP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合同金额</w:t>
      </w:r>
      <w:r/>
    </w:p>
    <w:p>
      <w:pPr>
        <w:ind w:firstLine="480"/>
        <w:keepLines w:val="0"/>
        <w:keepNext w:val="0"/>
        <w:pageBreakBefore w:val="0"/>
        <w:spacing w:line="520" w:lineRule="exact"/>
        <w:widowControl w:val="off"/>
        <w:rPr>
          <w:rFonts w:ascii="宋体" w:hAnsi="宋体" w:cs="宋体"/>
          <w:color w:val="auto"/>
          <w:sz w:val="24"/>
          <w:szCs w:val="20"/>
          <w:highlight w:val="none"/>
        </w:rPr>
      </w:pPr>
      <w:r>
        <w:rPr>
          <w:rFonts w:hint="eastAsia" w:ascii="宋体" w:hAnsi="宋体"/>
          <w:color w:val="auto"/>
          <w:sz w:val="24"/>
          <w:szCs w:val="24"/>
          <w:highlight w:val="none"/>
        </w:rPr>
        <w:t xml:space="preserve">（1）合同金额小写：</w:t>
      </w:r>
      <w:r>
        <w:rPr>
          <w:rFonts w:hint="eastAsia" w:ascii="宋体" w:hAnsi="宋体" w:cs="宋体"/>
          <w:color w:val="auto"/>
          <w:sz w:val="24"/>
          <w:szCs w:val="20"/>
          <w:highlight w:val="none"/>
          <w:u w:val="single"/>
        </w:rPr>
        <w:t xml:space="preserve">                 </w:t>
      </w:r>
      <w:r/>
    </w:p>
    <w:p>
      <w:pPr>
        <w:ind w:firstLine="1982"/>
        <w:keepLines w:val="0"/>
        <w:keepNext w:val="0"/>
        <w:pageBreakBefore w:val="0"/>
        <w:spacing w:line="520" w:lineRule="exact"/>
        <w:widowControl w:val="off"/>
        <w:rPr>
          <w:rFonts w:ascii="宋体" w:hAnsi="宋体" w:cs="宋体"/>
          <w:color w:val="auto"/>
          <w:sz w:val="24"/>
          <w:szCs w:val="20"/>
          <w:highlight w:val="none"/>
        </w:rPr>
      </w:pPr>
      <w:r>
        <w:rPr>
          <w:rFonts w:hint="eastAsia" w:ascii="宋体" w:hAnsi="宋体"/>
          <w:color w:val="auto"/>
          <w:sz w:val="24"/>
          <w:szCs w:val="24"/>
          <w:highlight w:val="none"/>
        </w:rPr>
        <w:t xml:space="preserve">大写：</w:t>
      </w:r>
      <w:r>
        <w:rPr>
          <w:rFonts w:hint="eastAsia" w:ascii="宋体" w:hAnsi="宋体" w:cs="宋体"/>
          <w:color w:val="auto"/>
          <w:sz w:val="24"/>
          <w:szCs w:val="20"/>
          <w:highlight w:val="none"/>
          <w:u w:val="single"/>
        </w:rPr>
        <w:t xml:space="preserve">                 </w:t>
      </w:r>
      <w:r/>
    </w:p>
    <w:p>
      <w:pPr>
        <w:ind w:firstLine="480"/>
        <w:keepLines w:val="0"/>
        <w:keepNext w:val="0"/>
        <w:pageBreakBefore w:val="0"/>
        <w:spacing w:line="520" w:lineRule="exact"/>
        <w:widowControl w:val="off"/>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分包金额（如有）小写：</w:t>
      </w:r>
      <w:r>
        <w:rPr>
          <w:rFonts w:hint="eastAsia" w:ascii="宋体" w:hAnsi="宋体" w:cs="宋体"/>
          <w:color w:val="auto"/>
          <w:sz w:val="24"/>
          <w:szCs w:val="20"/>
          <w:highlight w:val="none"/>
          <w:u w:val="single"/>
        </w:rPr>
        <w:t xml:space="preserve">                 </w:t>
      </w:r>
      <w:r/>
    </w:p>
    <w:p>
      <w:pPr>
        <w:ind w:firstLine="2400"/>
        <w:keepLines w:val="0"/>
        <w:keepNext w:val="0"/>
        <w:pageBreakBefore w:val="0"/>
        <w:spacing w:line="520" w:lineRule="exact"/>
        <w:widowControl w:val="off"/>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大写：</w:t>
      </w:r>
      <w:r>
        <w:rPr>
          <w:rFonts w:hint="eastAsia" w:ascii="宋体" w:hAnsi="宋体" w:cs="宋体"/>
          <w:color w:val="auto"/>
          <w:sz w:val="24"/>
          <w:szCs w:val="20"/>
          <w:highlight w:val="none"/>
          <w:u w:val="single"/>
        </w:rPr>
        <w:t xml:space="preserve">                 </w:t>
      </w:r>
      <w:r/>
    </w:p>
    <w:p>
      <w:pPr>
        <w:ind w:left="0" w:firstLine="0"/>
        <w:jc w:val="both"/>
        <w:keepLines w:val="0"/>
        <w:keepNext w:val="0"/>
        <w:pageBreakBefore w:val="0"/>
        <w:spacing w:line="560" w:lineRule="exact"/>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（2）付款方式（按项目实际勾选填写，具体详见专用条款第二节第12.2款）：</w:t>
      </w:r>
      <w:r/>
    </w:p>
    <w:p>
      <w:pPr>
        <w:ind w:left="0" w:firstLine="480"/>
        <w:jc w:val="both"/>
        <w:keepLines w:val="0"/>
        <w:keepNext w:val="0"/>
        <w:pageBreakBefore w:val="0"/>
        <w:spacing w:line="560" w:lineRule="exact"/>
        <w:widowControl w:val="off"/>
        <w:rPr>
          <w:rFonts w:ascii="宋体" w:hAnsi="宋体"/>
          <w:color w:val="auto"/>
          <w:sz w:val="24"/>
          <w:szCs w:val="24"/>
          <w:highlight w:val="none"/>
          <w:u w:val="singl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全额付款：</w:t>
      </w:r>
      <w:r>
        <w:rPr>
          <w:rFonts w:hint="eastAsia" w:ascii="宋体" w:hAnsi="宋体"/>
          <w:color w:val="auto"/>
          <w:sz w:val="24"/>
          <w:szCs w:val="24"/>
          <w:highlight w:val="none"/>
          <w:u w:val="single"/>
        </w:rPr>
        <w:t xml:space="preserve">（应明确一次性支付合同款项的条件）</w:t>
      </w:r>
      <w:r/>
    </w:p>
    <w:p>
      <w:pPr>
        <w:ind w:firstLine="482"/>
        <w:jc w:val="left"/>
        <w:spacing w:line="560" w:lineRule="exact"/>
        <w:widowControl/>
        <w:rPr>
          <w:rFonts w:ascii="宋体" w:hAnsi="宋体" w:eastAsia="宋体" w:cs="宋体"/>
          <w:color w:val="auto"/>
          <w:sz w:val="24"/>
          <w:szCs w:val="20"/>
          <w:highlight w:val="none"/>
          <w:u w:val="single"/>
        </w:rPr>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分期付款：</w:t>
      </w:r>
      <w:bookmarkStart w:id="161" w:name="OLE_LINK21"/>
      <w:r/>
      <w:bookmarkStart w:id="162" w:name="OLE_LINK6"/>
      <w:r/>
      <w:bookmarkStart w:id="163" w:name="OLE_LINK54"/>
      <w:r/>
      <w:bookmarkStart w:id="164" w:name="OLE_LINK7"/>
      <w:r>
        <w:rPr>
          <w:rFonts w:hint="eastAsia" w:ascii="宋体" w:hAnsi="宋体" w:eastAsia="宋体" w:cs="宋体"/>
          <w:color w:val="auto"/>
          <w:sz w:val="24"/>
          <w:szCs w:val="20"/>
          <w:highlight w:val="none"/>
          <w:u w:val="single"/>
        </w:rPr>
        <w:t xml:space="preserve">①自合同签订生效之日起，甲方收到预付款发票后10个工作日内，甲方向</w:t>
      </w:r>
      <w:bookmarkStart w:id="165" w:name="OLE_LINK66"/>
      <w:r>
        <w:rPr>
          <w:rFonts w:hint="eastAsia" w:ascii="宋体" w:hAnsi="宋体" w:eastAsia="宋体" w:cs="宋体"/>
          <w:color w:val="auto"/>
          <w:sz w:val="24"/>
          <w:szCs w:val="20"/>
          <w:highlight w:val="none"/>
          <w:u w:val="single"/>
        </w:rPr>
        <w:t xml:space="preserve">乙方</w:t>
      </w:r>
      <w:bookmarkEnd w:id="165"/>
      <w:r>
        <w:rPr>
          <w:rFonts w:hint="eastAsia" w:ascii="宋体" w:hAnsi="宋体" w:eastAsia="宋体" w:cs="宋体"/>
          <w:color w:val="auto"/>
          <w:sz w:val="24"/>
          <w:szCs w:val="20"/>
          <w:highlight w:val="none"/>
          <w:u w:val="single"/>
        </w:rPr>
        <w:t xml:space="preserve">支付合同总价的30%款项作为预付款；</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u w:val="single"/>
        </w:rPr>
        <w:t xml:space="preserve">②完成全部供货并通过验收合格后支付至合同价的</w:t>
      </w:r>
      <w:r>
        <w:rPr>
          <w:rFonts w:hint="eastAsia" w:ascii="宋体" w:hAnsi="宋体" w:eastAsia="宋体" w:cs="宋体"/>
          <w:color w:val="auto"/>
          <w:sz w:val="24"/>
          <w:szCs w:val="20"/>
          <w:highlight w:val="none"/>
          <w:u w:val="single"/>
          <w:lang w:val="en-US" w:eastAsia="zh-CN"/>
        </w:rPr>
        <w:t xml:space="preserve">10</w:t>
      </w:r>
      <w:r>
        <w:rPr>
          <w:rFonts w:hint="eastAsia" w:ascii="宋体" w:hAnsi="宋体" w:eastAsia="宋体" w:cs="宋体"/>
          <w:color w:val="auto"/>
          <w:sz w:val="24"/>
          <w:szCs w:val="20"/>
          <w:highlight w:val="none"/>
          <w:u w:val="single"/>
        </w:rPr>
        <w:t xml:space="preserve">0%</w:t>
      </w:r>
      <w:bookmarkEnd w:id="161"/>
      <w:r>
        <w:rPr>
          <w:rFonts w:hint="eastAsia" w:ascii="宋体" w:hAnsi="宋体" w:eastAsia="宋体" w:cs="宋体"/>
          <w:color w:val="auto"/>
          <w:sz w:val="24"/>
          <w:szCs w:val="20"/>
          <w:highlight w:val="none"/>
          <w:u w:val="single"/>
        </w:rPr>
        <w:t xml:space="preserve">。（甲方收到乙方发票后10个工作日内支付对应款项）</w:t>
      </w:r>
      <w:bookmarkEnd w:id="162"/>
      <w:r/>
      <w:bookmarkEnd w:id="163"/>
      <w:r/>
      <w:bookmarkEnd w:id="164"/>
      <w:r/>
      <w:r/>
    </w:p>
    <w:p>
      <w:pPr>
        <w:ind w:left="0" w:firstLine="482"/>
        <w:jc w:val="both"/>
        <w:keepLines w:val="0"/>
        <w:keepNext w:val="0"/>
        <w:pageBreakBefore w:val="0"/>
        <w:spacing w:line="560" w:lineRule="exact"/>
        <w:widowControl w:val="off"/>
        <w:rPr>
          <w:rFonts w:hint="eastAsia" w:ascii="宋体" w:hAnsi="宋体"/>
          <w:b/>
          <w:bCs/>
          <w:color w:val="auto"/>
          <w:sz w:val="24"/>
          <w:szCs w:val="24"/>
          <w:highlight w:val="none"/>
        </w:rPr>
        <w:outlineLvl w:val="9"/>
      </w:pPr>
      <w:r>
        <w:rPr>
          <w:rFonts w:hint="default" w:ascii="宋体" w:hAnsi="宋体"/>
          <w:b/>
          <w:bCs/>
          <w:color w:val="auto"/>
          <w:sz w:val="24"/>
          <w:szCs w:val="24"/>
          <w:highlight w:val="none"/>
          <w:lang w:val="en-US" w:eastAsia="zh-CN"/>
        </w:rPr>
        <w:t xml:space="preserve">注：付款前提供符合甲方要求的正规发票，否则，甲方有权拒付。</w:t>
      </w:r>
      <w:r/>
    </w:p>
    <w:p>
      <w:pPr>
        <w:ind w:left="0" w:firstLine="480"/>
        <w:jc w:val="both"/>
        <w:keepLines w:val="0"/>
        <w:keepNext w:val="0"/>
        <w:pageBreakBefore w:val="0"/>
        <w:spacing w:line="560" w:lineRule="exact"/>
        <w:widowControl w:val="off"/>
        <w:rPr>
          <w:rFonts w:ascii="宋体" w:hAnsi="宋体"/>
          <w:color w:val="auto"/>
          <w:sz w:val="24"/>
          <w:szCs w:val="24"/>
          <w:highlight w:val="none"/>
          <w:u w:val="singl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成本补偿：</w:t>
      </w:r>
      <w:r>
        <w:rPr>
          <w:rFonts w:hint="eastAsia" w:ascii="宋体" w:hAnsi="宋体"/>
          <w:color w:val="auto"/>
          <w:sz w:val="24"/>
          <w:szCs w:val="24"/>
          <w:highlight w:val="none"/>
          <w:u w:val="single"/>
        </w:rPr>
        <w:t xml:space="preserve">（应明确按照成本补偿方式的支付方式和支付条件）</w:t>
      </w:r>
      <w:r/>
    </w:p>
    <w:p>
      <w:pPr>
        <w:ind w:left="0" w:firstLine="480"/>
        <w:jc w:val="both"/>
        <w:keepLines w:val="0"/>
        <w:keepNext w:val="0"/>
        <w:pageBreakBefore w:val="0"/>
        <w:spacing w:line="560" w:lineRule="exact"/>
        <w:widowControl w:val="off"/>
        <w:rPr>
          <w:rFonts w:hint="eastAsia" w:ascii="宋体" w:hAnsi="宋体"/>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绩效激励：</w:t>
      </w:r>
      <w:r>
        <w:rPr>
          <w:rFonts w:hint="eastAsia" w:ascii="宋体" w:hAnsi="宋体"/>
          <w:color w:val="auto"/>
          <w:sz w:val="24"/>
          <w:szCs w:val="24"/>
          <w:highlight w:val="none"/>
          <w:u w:val="single"/>
        </w:rPr>
        <w:t xml:space="preserve">（应明确按照绩效激励方式的支付方式和支付条件）</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3.</w:t>
      </w:r>
      <w:r>
        <w:rPr>
          <w:rFonts w:hint="eastAsia" w:ascii="宋体" w:hAnsi="宋体" w:eastAsia="宋体" w:cs="宋体"/>
          <w:b/>
          <w:bCs/>
          <w:color w:val="auto"/>
          <w:sz w:val="24"/>
          <w:szCs w:val="20"/>
          <w:highlight w:val="none"/>
        </w:rPr>
        <w:t xml:space="preserve">合同履行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（1）起始日期：年</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日，完成日期：</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年</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日。</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（2）履约地点：</w:t>
      </w:r>
      <w:r>
        <w:rPr>
          <w:rFonts w:hint="eastAsia" w:ascii="宋体" w:hAnsi="宋体" w:eastAsia="宋体" w:cs="宋体"/>
          <w:color w:val="auto"/>
          <w:sz w:val="24"/>
          <w:szCs w:val="20"/>
          <w:highlight w:val="none"/>
          <w:lang w:val="en-US" w:eastAsia="zh-CN"/>
        </w:rPr>
        <w:t xml:space="preserve">甲方指定地点。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（3）履约担保：是否收取履约保证金：</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0"/>
          <w:highlight w:val="none"/>
        </w:rPr>
        <w:t xml:space="preserve">是</w:t>
      </w:r>
      <w:r>
        <w:rPr>
          <w:rFonts w:hint="eastAsia" w:ascii="宋体" w:hAnsi="宋体" w:eastAsia="宋体" w:cs="宋体"/>
          <w:color w:val="auto"/>
          <w:sz w:val="24"/>
          <w:szCs w:val="20"/>
          <w:highlight w:val="none"/>
          <w:lang w:val="en-US" w:eastAsia="zh-CN"/>
        </w:rPr>
        <w:t xml:space="preserve">  </w:t>
      </w:r>
      <w:r>
        <w:rPr>
          <w:rFonts w:ascii="Wingdings" w:hAnsi="Wingdings" w:eastAsia="Wingdings" w:cs="Wingdings"/>
          <w:color w:val="auto"/>
          <w:sz w:val="24"/>
          <w:szCs w:val="20"/>
          <w:highlight w:val="none"/>
        </w:rPr>
        <w:t xml:space="preserve">¨</w:t>
      </w:r>
      <w:r>
        <w:rPr>
          <w:rFonts w:hint="eastAsia" w:ascii="宋体" w:hAnsi="宋体" w:eastAsia="宋体" w:cs="宋体"/>
          <w:color w:val="auto"/>
          <w:sz w:val="24"/>
          <w:szCs w:val="20"/>
          <w:highlight w:val="none"/>
        </w:rPr>
        <w:t xml:space="preserve">否</w:t>
      </w:r>
      <w:r/>
    </w:p>
    <w:p>
      <w:pPr>
        <w:ind w:firstLine="482"/>
        <w:jc w:val="left"/>
        <w:spacing w:line="560" w:lineRule="exact"/>
        <w:widowControl/>
        <w:rPr>
          <w:rFonts w:ascii="宋体" w:hAnsi="宋体" w:eastAsia="Arial" w:cs="宋体"/>
          <w:color w:val="auto"/>
          <w:sz w:val="24"/>
          <w:szCs w:val="20"/>
          <w:highlight w:val="none"/>
          <w:u w:val="none"/>
        </w:rPr>
      </w:pPr>
      <w:r>
        <w:rPr>
          <w:rFonts w:hint="eastAsia" w:ascii="宋体" w:hAnsi="宋体" w:eastAsia="Arial" w:cs="宋体"/>
          <w:color w:val="auto"/>
          <w:sz w:val="24"/>
          <w:szCs w:val="20"/>
          <w:highlight w:val="none"/>
          <w:u w:val="none"/>
        </w:rPr>
        <w:t xml:space="preserve">收取履约保证金形式：</w:t>
      </w:r>
      <w:r>
        <w:rPr>
          <w:rFonts w:hint="eastAsia" w:ascii="宋体" w:hAnsi="宋体" w:cs="宋体"/>
          <w:bCs/>
          <w:color w:val="auto"/>
          <w:sz w:val="24"/>
          <w:highlight w:val="none"/>
          <w:u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60" w:lineRule="exact"/>
        <w:widowControl/>
        <w:rPr>
          <w:rFonts w:ascii="宋体" w:hAnsi="宋体" w:eastAsia="Arial" w:cs="宋体"/>
          <w:color w:val="auto"/>
          <w:sz w:val="24"/>
          <w:szCs w:val="20"/>
          <w:highlight w:val="none"/>
          <w:u w:val="none"/>
        </w:rPr>
      </w:pPr>
      <w:r>
        <w:rPr>
          <w:rFonts w:hint="eastAsia" w:ascii="宋体" w:hAnsi="宋体" w:eastAsia="Arial" w:cs="宋体"/>
          <w:color w:val="auto"/>
          <w:sz w:val="24"/>
          <w:szCs w:val="20"/>
          <w:highlight w:val="none"/>
          <w:u w:val="none"/>
        </w:rPr>
        <w:t xml:space="preserve">收取履约保证金金额：合同金额的10%，采购人对AA评级及以上政府采购供应商（需提供信用管理部门备案的第三方信用报告）</w:t>
      </w:r>
      <w:r>
        <w:rPr>
          <w:rFonts w:hint="eastAsia" w:ascii="宋体" w:hAnsi="宋体" w:eastAsia="Arial" w:cs="宋体"/>
          <w:b/>
          <w:bCs/>
          <w:color w:val="auto"/>
          <w:sz w:val="24"/>
          <w:szCs w:val="20"/>
          <w:highlight w:val="none"/>
          <w:u w:val="none"/>
        </w:rPr>
        <w:t xml:space="preserve">降低履约保证金缴纳比例至5%。</w:t>
      </w:r>
      <w:r>
        <w:rPr>
          <w:rFonts w:hint="eastAsia" w:ascii="宋体" w:hAnsi="宋体" w:eastAsia="Arial" w:cs="宋体"/>
          <w:color w:val="auto"/>
          <w:sz w:val="24"/>
          <w:szCs w:val="20"/>
          <w:highlight w:val="none"/>
          <w:u w:val="none"/>
        </w:rPr>
        <w:t xml:space="preserve"> </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履约担保期限：合同履行结束后，甲方应及时退还交纳的履约保证金。</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履约保证金的退还：</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1）方式：退还至投标人缴纳履约保证金的账户。如为保函，在到期时自行失效。</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2）时间：验收合格且采购人收到发票后30日内。</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3）条件：按合同要求全部履约完成并经采购人验收合格，且采购人收到中标人出具的发票。</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4）不予退还情形：</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除不可抗力情况外，投标人出现下列情形之一的，其履约保证金，招标人将视情节决定不予退还或部分不予退还。</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①中标人无正当理由拒绝签订合同的，或者在签订合同时向采购人提出附加条件或者更改合同实质性内容要求的；</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②中标人不履行与采购人订立的合同的；</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③中标人所供货物或服务不符合招标文件规定要求的；</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④中标人采取欺骗、弄虚作假方式投标的或与其它投标人串通投标的；</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⑤中标人将合同内容转包、违法分包的；</w:t>
      </w:r>
      <w:r/>
    </w:p>
    <w:p>
      <w:pPr>
        <w:ind w:firstLine="482"/>
        <w:jc w:val="left"/>
        <w:keepLines w:val="0"/>
        <w:keepNext w:val="0"/>
        <w:pageBreakBefore w:val="0"/>
        <w:spacing w:line="560" w:lineRule="exact"/>
        <w:widowControl w:val="off"/>
        <w:rPr>
          <w:rFonts w:hint="eastAsia"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⑥中标人故意捏造事实或伪造证明材料，进行虚假恶意投诉或反映的。</w:t>
      </w:r>
      <w:r/>
    </w:p>
    <w:p>
      <w:pPr>
        <w:ind w:firstLine="482"/>
        <w:jc w:val="left"/>
        <w:keepLines w:val="0"/>
        <w:keepNext w:val="0"/>
        <w:pageBreakBefore w:val="0"/>
        <w:spacing w:line="560" w:lineRule="exact"/>
        <w:widowControl w:val="off"/>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w:t>
      </w:r>
      <w:r>
        <w:rPr>
          <w:rFonts w:hint="eastAsia" w:ascii="宋体" w:hAnsi="宋体" w:eastAsia="Arial" w:cs="宋体"/>
          <w:color w:val="auto"/>
          <w:sz w:val="24"/>
          <w:szCs w:val="20"/>
          <w:highlight w:val="none"/>
          <w:u w:val="none"/>
        </w:rPr>
        <w:t xml:space="preserve">4</w:t>
      </w:r>
      <w:r>
        <w:rPr>
          <w:rFonts w:hint="eastAsia" w:ascii="宋体" w:hAnsi="宋体" w:eastAsia="Arial" w:cs="宋体"/>
          <w:color w:val="auto"/>
          <w:sz w:val="24"/>
          <w:szCs w:val="20"/>
          <w:highlight w:val="none"/>
          <w:u w:val="none"/>
          <w:lang w:val="zh-CN"/>
        </w:rPr>
        <w:t xml:space="preserve">）确需收取履约保证金的，履约保证金的缴纳形式：</w:t>
      </w:r>
      <w:r/>
    </w:p>
    <w:p>
      <w:pPr>
        <w:ind w:firstLine="482"/>
        <w:jc w:val="left"/>
        <w:spacing w:line="560" w:lineRule="exact"/>
        <w:widowControl/>
        <w:rPr>
          <w:rFonts w:ascii="宋体" w:hAnsi="宋体" w:eastAsia="Arial" w:cs="宋体"/>
          <w:color w:val="auto"/>
          <w:sz w:val="24"/>
          <w:szCs w:val="20"/>
          <w:highlight w:val="none"/>
          <w:u w:val="none"/>
          <w:lang w:val="zh-CN"/>
        </w:rPr>
      </w:pPr>
      <w:r>
        <w:rPr>
          <w:rFonts w:hint="eastAsia" w:ascii="宋体" w:hAnsi="宋体" w:eastAsia="Arial" w:cs="宋体"/>
          <w:color w:val="auto"/>
          <w:sz w:val="24"/>
          <w:szCs w:val="20"/>
          <w:highlight w:val="none"/>
          <w:u w:val="non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cs="宋体"/>
          <w:b/>
          <w:bCs/>
          <w:color w:val="auto"/>
          <w:sz w:val="24"/>
          <w:szCs w:val="20"/>
          <w:highlight w:val="none"/>
          <w:lang w:val="zh-CN"/>
        </w:rPr>
      </w:pPr>
      <w:r>
        <w:rPr>
          <w:rFonts w:hint="eastAsia" w:ascii="宋体" w:hAnsi="宋体" w:eastAsia="Arial" w:cs="宋体"/>
          <w:color w:val="auto"/>
          <w:sz w:val="24"/>
          <w:szCs w:val="20"/>
          <w:highlight w:val="none"/>
          <w:u w:val="none"/>
          <w:lang w:val="zh-CN"/>
        </w:rPr>
        <w:t xml:space="preserve"> 如以履约保函（保险）形式缴纳履约保证金，供应商可通过政府采购电子履约保函（保险）平台（www.jsdzbh.com）在线申请履约保函（保险）。</w:t>
      </w:r>
      <w:r>
        <w:rPr>
          <w:rFonts w:hint="eastAsia" w:ascii="宋体" w:hAnsi="宋体" w:cs="宋体"/>
          <w:b/>
          <w:bCs/>
          <w:color w:val="auto"/>
          <w:sz w:val="24"/>
          <w:szCs w:val="20"/>
          <w:highlight w:val="none"/>
          <w:lang w:val="zh-CN"/>
        </w:rPr>
        <w:t xml:space="preserve">                              </w:t>
      </w:r>
      <w:r/>
    </w:p>
    <w:p>
      <w:pPr>
        <w:numPr>
          <w:ilvl w:val="0"/>
          <w:numId w:val="2"/>
        </w:num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分期履行要求：</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（6）风险处置措施和替代方案：</w:t>
      </w:r>
      <w:r>
        <w:rPr>
          <w:rFonts w:hint="eastAsia" w:ascii="宋体" w:hAnsi="宋体" w:cs="宋体"/>
          <w:color w:val="auto"/>
          <w:sz w:val="24"/>
          <w:szCs w:val="20"/>
          <w:highlight w:val="none"/>
          <w:u w:val="single"/>
        </w:rPr>
        <w:t xml:space="preserve">                 </w:t>
      </w:r>
      <w:r/>
    </w:p>
    <w:p>
      <w:pPr>
        <w:numPr>
          <w:ilvl w:val="0"/>
          <w:numId w:val="0"/>
        </w:numPr>
        <w:ind w:firstLine="482"/>
        <w:jc w:val="both"/>
        <w:keepLines w:val="0"/>
        <w:keepNext w:val="0"/>
        <w:pageBreakBefore w:val="0"/>
        <w:spacing w:line="560" w:lineRule="exact"/>
        <w:widowControl w:val="off"/>
        <w:rPr>
          <w:rFonts w:ascii="宋体" w:hAnsi="宋体"/>
          <w:b/>
          <w:color w:val="auto"/>
          <w:sz w:val="24"/>
          <w:szCs w:val="24"/>
          <w:highlight w:val="none"/>
        </w:rPr>
        <w:outlineLvl w:val="9"/>
      </w:pP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合同验收</w:t>
      </w:r>
      <w:r/>
    </w:p>
    <w:p>
      <w:pPr>
        <w:numPr>
          <w:ilvl w:val="0"/>
          <w:numId w:val="0"/>
        </w:numPr>
        <w:ind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验收组织方式：</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自行组织</w:t>
      </w:r>
      <w:r>
        <w:rPr>
          <w:rFonts w:hint="eastAsia" w:ascii="宋体" w:hAnsi="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委托第三方组织</w:t>
      </w:r>
      <w:r/>
    </w:p>
    <w:p>
      <w:pPr>
        <w:ind w:left="0" w:firstLine="480"/>
        <w:jc w:val="both"/>
        <w:keepLines w:val="0"/>
        <w:keepNext w:val="0"/>
        <w:pageBreakBefore w:val="0"/>
        <w:spacing w:line="560" w:lineRule="exact"/>
        <w:widowControl w:val="off"/>
        <w:rPr>
          <w:rFonts w:ascii="宋体" w:hAnsi="宋体" w:cs="宋体"/>
          <w:color w:val="auto"/>
          <w:sz w:val="24"/>
          <w:szCs w:val="24"/>
          <w:highlight w:val="none"/>
        </w:rPr>
        <w:outlineLvl w:val="9"/>
      </w:pPr>
      <w:r>
        <w:rPr>
          <w:rFonts w:hint="eastAsia" w:ascii="宋体" w:hAnsi="宋体"/>
          <w:bCs/>
          <w:color w:val="auto"/>
          <w:sz w:val="24"/>
          <w:szCs w:val="24"/>
          <w:highlight w:val="none"/>
        </w:rPr>
        <w:t xml:space="preserve">验收主体：</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是否邀请本项目的其他供应商参加验收：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w:t>
      </w:r>
      <w:r>
        <w:rPr>
          <w:rFonts w:hint="eastAsia" w:ascii="宋体" w:hAnsi="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w:t>
      </w:r>
      <w:r>
        <w:rPr>
          <w:rFonts w:hint="eastAsia" w:ascii="宋体" w:hAnsi="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w:t>
      </w:r>
      <w:r>
        <w:rPr>
          <w:rFonts w:hint="eastAsia" w:ascii="宋体" w:hAnsi="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w:t>
      </w:r>
      <w:r>
        <w:rPr>
          <w:rFonts w:hint="eastAsia" w:ascii="宋体" w:hAnsi="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是，抽查比例：</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是，</w:t>
      </w:r>
      <w:r>
        <w:rPr>
          <w:rFonts w:hint="eastAsia" w:ascii="宋体" w:hAnsi="宋体"/>
          <w:bCs/>
          <w:color w:val="auto"/>
          <w:sz w:val="24"/>
          <w:szCs w:val="24"/>
          <w:highlight w:val="none"/>
          <w:u w:val="single"/>
        </w:rPr>
        <w:t xml:space="preserve">（应明确对被破坏的检测产品的处理方式）</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验收组织的其他事项：</w:t>
      </w:r>
      <w:r/>
    </w:p>
    <w:p>
      <w:pPr>
        <w:ind w:left="0" w:firstLine="480"/>
        <w:jc w:val="both"/>
        <w:keepLines w:val="0"/>
        <w:keepNext w:val="0"/>
        <w:pageBreakBefore w:val="0"/>
        <w:spacing w:line="56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（2）履约验收时间：</w:t>
      </w:r>
      <w:r>
        <w:rPr>
          <w:rFonts w:hint="eastAsia" w:ascii="宋体" w:hAnsi="宋体"/>
          <w:bCs/>
          <w:color w:val="auto"/>
          <w:sz w:val="24"/>
          <w:szCs w:val="24"/>
          <w:highlight w:val="none"/>
          <w:u w:val="single"/>
        </w:rPr>
        <w:t xml:space="preserve">（计划于何时验收/供应商提出验收申请之日起日内组织验收）</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（3）履约验收方式：</w:t>
      </w: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一次性验收</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ascii="Wingdings" w:hAnsi="Wingdings" w:eastAsia="Wingdings" w:cs="Wingdings"/>
          <w:color w:val="auto"/>
          <w:sz w:val="24"/>
          <w:szCs w:val="24"/>
          <w:highlight w:val="none"/>
        </w:rPr>
        <w:t xml:space="preserve"></w:t>
      </w:r>
      <w:r>
        <w:rPr>
          <w:rFonts w:hint="eastAsia" w:ascii="宋体" w:hAnsi="宋体"/>
          <w:bCs/>
          <w:color w:val="auto"/>
          <w:sz w:val="24"/>
          <w:szCs w:val="24"/>
          <w:highlight w:val="none"/>
        </w:rPr>
        <w:t xml:space="preserve">分期/分项验收：</w:t>
      </w:r>
      <w:r>
        <w:rPr>
          <w:rFonts w:hint="eastAsia" w:ascii="宋体" w:hAnsi="宋体"/>
          <w:bCs/>
          <w:color w:val="auto"/>
          <w:sz w:val="24"/>
          <w:szCs w:val="24"/>
          <w:highlight w:val="none"/>
          <w:u w:val="single"/>
        </w:rPr>
        <w:t xml:space="preserve">（应明确分期</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分项验收的工作安排）</w:t>
      </w:r>
      <w:r/>
    </w:p>
    <w:p>
      <w:pPr>
        <w:ind w:left="0" w:firstLine="480"/>
        <w:jc w:val="both"/>
        <w:keepLines w:val="0"/>
        <w:keepNext w:val="0"/>
        <w:pageBreakBefore w:val="0"/>
        <w:spacing w:line="560" w:lineRule="exact"/>
        <w:widowControl w:val="off"/>
        <w:rPr>
          <w:rFonts w:ascii="宋体" w:hAnsi="宋体"/>
          <w:bCs/>
          <w:color w:val="auto"/>
          <w:sz w:val="24"/>
          <w:szCs w:val="24"/>
          <w:highlight w:val="none"/>
        </w:rPr>
        <w:outlineLvl w:val="9"/>
      </w:pPr>
      <w:r>
        <w:rPr>
          <w:rFonts w:hint="eastAsia" w:ascii="宋体" w:hAnsi="宋体"/>
          <w:bCs/>
          <w:color w:val="auto"/>
          <w:sz w:val="24"/>
          <w:szCs w:val="24"/>
          <w:highlight w:val="none"/>
        </w:rPr>
        <w:t xml:space="preserve">（4）履约验收程序：</w:t>
      </w:r>
      <w:r/>
    </w:p>
    <w:p>
      <w:pPr>
        <w:ind w:left="0" w:firstLine="480"/>
        <w:jc w:val="both"/>
        <w:keepLines w:val="0"/>
        <w:keepNext w:val="0"/>
        <w:pageBreakBefore w:val="0"/>
        <w:spacing w:line="56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（5）履约验收的内容：</w:t>
      </w:r>
      <w:r>
        <w:rPr>
          <w:rFonts w:hint="eastAsia" w:ascii="宋体" w:hAnsi="宋体"/>
          <w:bCs/>
          <w:color w:val="auto"/>
          <w:sz w:val="24"/>
          <w:szCs w:val="24"/>
          <w:highlight w:val="none"/>
          <w:u w:val="single"/>
        </w:rPr>
        <w:t xml:space="preserve">乙方应按照招标文件及甲方验收相关规定，配合甲方验收。乙方将产品运至甲方指定地点后，由甲方于产品到货后30日内组织验收。甲方有权委托国家消防装备质量检验检测中心或其他权威第三方检测机构进行检测，如果检验合格，检验费由甲方负担;如果检验不合格，则检验费由乙方负担。如送检产品在检测期间进行破坏性试验，由乙方在接到甲方通知后一个月内免费向甲方补充提供同等数量、规格型号的送</w:t>
      </w:r>
      <w:r>
        <w:rPr>
          <w:rFonts w:hint="eastAsia" w:ascii="宋体" w:hAnsi="宋体"/>
          <w:bCs/>
          <w:color w:val="auto"/>
          <w:sz w:val="24"/>
          <w:szCs w:val="24"/>
          <w:highlight w:val="none"/>
          <w:u w:val="single"/>
        </w:rPr>
        <w:t xml:space="preserve">检产品，补充产品未在一个月内提供的，甲方有权按照本合同第九条第2款要求乙方承担合同约定的逾期违约责任。验收通过的，由甲方提供书面验收单。若产品不符合合同约定，甲方有权拒绝签收产品，并可以要求乙方进行整改（整改期计入交货期），整改累积次数不超过2次。因整改超过交货期限的，甲方有权要求乙方承担合同约定的逾期违约责任。整改后仍未通过验收的，甲方将拒收或退货，乙方应承担违约责任并按本合同赔偿甲方所有损失。验收时乙方须提供投标文件内检测报告原件供验收使用。验收通过并不免除乙方因产品质量瑕疵而应承担的维修、赔偿等责任。</w:t>
      </w:r>
      <w:r/>
    </w:p>
    <w:p>
      <w:pPr>
        <w:ind w:left="0" w:firstLine="480"/>
        <w:jc w:val="both"/>
        <w:keepLines w:val="0"/>
        <w:keepNext w:val="0"/>
        <w:pageBreakBefore w:val="0"/>
        <w:spacing w:line="560" w:lineRule="exact"/>
        <w:widowControl w:val="off"/>
        <w:rPr>
          <w:rFonts w:ascii="宋体" w:hAnsi="宋体"/>
          <w:bCs/>
          <w:color w:val="auto"/>
          <w:sz w:val="24"/>
          <w:szCs w:val="24"/>
          <w:highlight w:val="none"/>
          <w:u w:val="single"/>
        </w:rPr>
        <w:outlineLvl w:val="9"/>
      </w:pPr>
      <w:r>
        <w:rPr>
          <w:rFonts w:hint="eastAsia" w:ascii="宋体" w:hAnsi="宋体"/>
          <w:bCs/>
          <w:color w:val="auto"/>
          <w:sz w:val="24"/>
          <w:szCs w:val="24"/>
          <w:highlight w:val="none"/>
        </w:rPr>
        <w:t xml:space="preserve">（6）履约验收标准：产品为原制造厂商生产的全新产品，整体无污染，无侵权行为。表面无划损，无任何缺陷隐患，在中国境内可依常规安全合法使用。验收标准（依次对照如下）：①符合中华人民共和国国家安全质量标准、环保标准或行业标准；②产品（配件）来源有关官方机构发布的相关生产制造标准；③招标文件验收标准要求及投标文件相应承诺；④本合同约定的相关要求</w:t>
      </w:r>
      <w:r>
        <w:rPr>
          <w:rFonts w:hint="eastAsia" w:ascii="宋体" w:hAnsi="宋体" w:eastAsia="宋体"/>
          <w:bCs/>
          <w:color w:val="auto"/>
          <w:sz w:val="24"/>
          <w:szCs w:val="24"/>
          <w:highlight w:val="none"/>
          <w:lang w:eastAsia="zh-CN"/>
        </w:rPr>
        <w:t xml:space="preserve">。</w:t>
      </w:r>
      <w:r>
        <w:rPr>
          <w:rFonts w:hint="eastAsia" w:ascii="宋体" w:hAnsi="宋体"/>
          <w:bCs/>
          <w:color w:val="auto"/>
          <w:sz w:val="24"/>
          <w:szCs w:val="24"/>
          <w:highlight w:val="none"/>
        </w:rPr>
        <w:t xml:space="preserve">产品用户手册、保修手册、有关单证资料及配备件、随机工具等均应列明清单并按清单交付给采购人。使用操作及安全须知等重要资料应附有中文说明。产品上均应标有铭牌，内容包括：制造商、产品名称、型号规格、出厂日期等。产品使用进口配件的，必须提供原产地证明和商检局的检验证明及合法进货渠道证明。</w:t>
      </w:r>
      <w:r/>
    </w:p>
    <w:p>
      <w:pPr>
        <w:ind w:left="0" w:firstLine="480"/>
        <w:jc w:val="both"/>
        <w:keepLines w:val="0"/>
        <w:keepNext w:val="0"/>
        <w:pageBreakBefore w:val="0"/>
        <w:spacing w:line="560" w:lineRule="exact"/>
        <w:widowControl w:val="off"/>
        <w:rPr>
          <w:rFonts w:ascii="宋体" w:hAnsi="宋体" w:cs="宋体"/>
          <w:color w:val="auto"/>
          <w:sz w:val="24"/>
          <w:szCs w:val="24"/>
          <w:highlight w:val="none"/>
        </w:rPr>
        <w:outlineLvl w:val="9"/>
      </w:pPr>
      <w:r>
        <w:rPr>
          <w:rFonts w:hint="eastAsia" w:ascii="宋体" w:hAnsi="宋体" w:cs="宋体"/>
          <w:bCs/>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是</w:t>
      </w:r>
      <w:r>
        <w:rPr>
          <w:rFonts w:hint="eastAsia" w:ascii="宋体" w:hAnsi="宋体" w:cs="宋体"/>
          <w:bCs/>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w:t>
      </w:r>
      <w:r>
        <w:rPr>
          <w:rFonts w:hint="eastAsia" w:ascii="宋体" w:hAnsi="宋体" w:cs="宋体"/>
          <w:bCs/>
          <w:color w:val="auto"/>
          <w:sz w:val="24"/>
          <w:szCs w:val="24"/>
          <w:highlight w:val="none"/>
        </w:rPr>
        <w:t xml:space="preserve">否</w:t>
      </w:r>
      <w:r/>
    </w:p>
    <w:p>
      <w:pPr>
        <w:ind w:left="0" w:firstLine="480"/>
        <w:jc w:val="both"/>
        <w:keepLines w:val="0"/>
        <w:keepNext w:val="0"/>
        <w:pageBreakBefore w:val="0"/>
        <w:spacing w:line="560" w:lineRule="exact"/>
        <w:widowControl w:val="off"/>
        <w:rPr>
          <w:rFonts w:ascii="宋体" w:hAnsi="宋体" w:cs="宋体"/>
          <w:bCs/>
          <w:color w:val="auto"/>
          <w:sz w:val="24"/>
          <w:szCs w:val="24"/>
          <w:highlight w:val="none"/>
          <w:u w:val="single"/>
        </w:rPr>
        <w:outlineLvl w:val="9"/>
      </w:pPr>
      <w:r>
        <w:rPr>
          <w:rFonts w:hint="eastAsia" w:ascii="宋体" w:hAnsi="宋体" w:cs="宋体"/>
          <w:bCs/>
          <w:color w:val="auto"/>
          <w:sz w:val="24"/>
          <w:szCs w:val="24"/>
          <w:highlight w:val="none"/>
        </w:rPr>
        <w:t xml:space="preserve">（8）履约验收其他事项：</w:t>
      </w:r>
      <w:r>
        <w:rPr>
          <w:rFonts w:hint="eastAsia" w:ascii="宋体" w:hAnsi="宋体" w:cs="宋体"/>
          <w:bCs/>
          <w:color w:val="auto"/>
          <w:sz w:val="24"/>
          <w:szCs w:val="24"/>
          <w:highlight w:val="none"/>
          <w:u w:val="single"/>
        </w:rPr>
        <w:t xml:space="preserve">乙方应遵守招标文件附件灭火救援装备验收工作办法相关条款，本合同约定与招标文件附件灭火救援装备验收工作办法相关条款不一致的，以本合同约定为准。甲方对乙方产品到货验收合格并不代表甲方对乙方产品的隐蔽瑕疵予以接受。</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en-US" w:eastAsia="zh-CN"/>
        </w:rPr>
        <w:t xml:space="preserve">5.</w:t>
      </w:r>
      <w:r>
        <w:rPr>
          <w:rFonts w:hint="eastAsia" w:ascii="宋体" w:hAnsi="宋体" w:eastAsia="宋体" w:cs="宋体"/>
          <w:b/>
          <w:bCs/>
          <w:color w:val="auto"/>
          <w:sz w:val="24"/>
          <w:szCs w:val="20"/>
          <w:highlight w:val="none"/>
        </w:rPr>
        <w:t xml:space="preserve">组成合同的文件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本协议书与下列文件一起构成合同文件，如下述文件之间有任何抵触、矛盾或歧义，应按以下顺序解释：</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（1）政府采购合同协议书及其变更、补充协议</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（2）政府采购合同专用条款</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（3）政府采购合同通用条款</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（4）中标（成交）通知书</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（5）投标（响应）文件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（6）采购文件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（7）有关技术文件，图纸</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（8）国家法律、行政法规和规章制度规定或合同约定的作为合同组成部分的其他文件</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6.合同生效</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本合同自年月日生效。</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7.合同份数</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本合同一式份，甲方执份，乙方执份，均具有同等法律效力。</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合同订立时间：年</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月</w:t>
      </w:r>
      <w:r>
        <w:rPr>
          <w:rFonts w:hint="eastAsia" w:ascii="宋体" w:hAnsi="宋体" w:eastAsia="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rPr>
        <w:t xml:space="preserve">日</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合同订立地点：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附件：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1、投标文件分项报价格</w:t>
      </w:r>
      <w:r>
        <w:rPr>
          <w:rFonts w:hint="eastAsia" w:ascii="宋体" w:hAnsi="宋体" w:eastAsia="宋体" w:cs="宋体"/>
          <w:color w:val="auto"/>
          <w:sz w:val="24"/>
          <w:szCs w:val="20"/>
          <w:highlight w:val="none"/>
          <w:lang w:eastAsia="zh-CN"/>
        </w:rPr>
        <w:t xml:space="preserve">，招标控制价价格，中标下浮率。</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2、投标文件中服务承诺；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3、投标明细清单及产品图片（图片展示标签黏贴标记处）；</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4、投标文件技术偏离表</w:t>
      </w:r>
      <w:r>
        <w:rPr>
          <w:rFonts w:hint="eastAsia" w:ascii="宋体" w:hAnsi="宋体" w:eastAsia="宋体" w:cs="宋体"/>
          <w:color w:val="auto"/>
          <w:sz w:val="24"/>
          <w:szCs w:val="20"/>
          <w:highlight w:val="none"/>
          <w:lang w:eastAsia="zh-CN"/>
        </w:rPr>
        <w:t xml:space="preserve">。</w:t>
      </w:r>
      <w:r/>
    </w:p>
    <w:p>
      <w:pPr>
        <w:ind w:firstLine="480"/>
        <w:jc w:val="left"/>
        <w:keepLines w:val="0"/>
        <w:keepNext w:val="0"/>
        <w:pageBreakBefore w:val="0"/>
        <w:spacing w:line="360" w:lineRule="auto"/>
        <w:widowControl w:val="off"/>
        <w:rPr>
          <w:color w:val="auto"/>
          <w:szCs w:val="21"/>
          <w:highlight w:val="none"/>
        </w:rPr>
      </w:pPr>
      <w:r>
        <w:rPr>
          <w:rFonts w:hint="eastAsia"/>
          <w:color w:val="auto"/>
          <w:sz w:val="24"/>
          <w:highlight w:val="none"/>
        </w:rPr>
        <w:br w:type="page" w:clear="all"/>
      </w:r>
      <w:r/>
    </w:p>
    <w:tbl>
      <w:tblPr>
        <w:tblStyle w:val="708"/>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jc w:val="center"/>
          <w:trHeight w:val="490"/>
        </w:trPr>
        <w:tc>
          <w:tcPr>
            <w:gridSpan w:val="2"/>
            <w:tcBorders>
              <w:bottom w:val="single" w:color="000000" w:sz="2" w:space="0"/>
              <w:right w:val="single" w:color="000000" w:sz="2" w:space="0"/>
            </w:tcBorders>
            <w:tcW w:w="503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甲方（采购人</w:t>
            </w:r>
            <w:r>
              <w:rPr>
                <w:rFonts w:hint="eastAsia" w:ascii="宋体" w:hAnsi="宋体"/>
                <w:color w:val="auto"/>
                <w:sz w:val="24"/>
                <w:highlight w:val="none"/>
              </w:rPr>
              <w:t xml:space="preserve">、受采购人委托签订合同的单位或</w:t>
            </w:r>
            <w:r>
              <w:rPr>
                <w:rFonts w:hint="eastAsia"/>
                <w:color w:val="auto"/>
                <w:sz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乙方（供应商）</w:t>
            </w:r>
            <w:r/>
          </w:p>
        </w:tc>
      </w:tr>
      <w:tr>
        <w:trPr>
          <w:jc w:val="cente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单位名称（公章或合同章）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cantSplit/>
          <w:jc w:val="center"/>
          <w:trHeight w:val="1171"/>
        </w:trPr>
        <w:tc>
          <w:tcPr>
            <w:tcBorders>
              <w:top w:val="single" w:color="000000" w:sz="2" w:space="0"/>
              <w:right w:val="single" w:color="000000" w:sz="2" w:space="0"/>
            </w:tcBorders>
            <w:tcW w:w="2211" w:type="dxa"/>
            <w:vAlign w:val="center"/>
            <w:vMerge w:val="restart"/>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法定代表人</w:t>
            </w:r>
            <w:r/>
          </w:p>
          <w:p>
            <w:pPr>
              <w:ind w:firstLine="115"/>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或其委托代理人（签章）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法定代表人</w:t>
            </w:r>
            <w:r/>
          </w:p>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或其委托代理人（签章）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r>
      <w:tr>
        <w:trPr>
          <w:cantSplit/>
          <w:jc w:val="center"/>
          <w:trHeight w:val="483"/>
        </w:trPr>
        <w:tc>
          <w:tcPr>
            <w:tcBorders>
              <w:bottom w:val="single" w:color="000000" w:sz="2" w:space="0"/>
              <w:right w:val="single" w:color="000000" w:sz="2" w:space="0"/>
            </w:tcBorders>
            <w:tcW w:w="2211" w:type="dxa"/>
            <w:vAlign w:val="center"/>
            <w:vMerge w:val="continue"/>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联系人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联系人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keepLines w:val="0"/>
              <w:keepNext w:val="0"/>
              <w:pageBreakBefore w:val="0"/>
              <w:spacing w:line="360" w:lineRule="auto"/>
              <w:widowControl w:val="off"/>
              <w:rPr>
                <w:color w:val="auto"/>
                <w:sz w:val="24"/>
                <w:highlight w:val="none"/>
              </w:rPr>
            </w:pPr>
            <w:r>
              <w:rPr>
                <w:rFonts w:hint="eastAsia"/>
                <w:color w:val="auto"/>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keepLines w:val="0"/>
              <w:keepNext w:val="0"/>
              <w:pageBreakBefore w:val="0"/>
              <w:spacing w:line="360" w:lineRule="auto"/>
              <w:widowControl w:val="off"/>
              <w:rPr>
                <w:color w:val="auto"/>
                <w:spacing w:val="20"/>
                <w:sz w:val="24"/>
                <w:highlight w:val="none"/>
              </w:rPr>
            </w:pPr>
            <w:r>
              <w:rPr>
                <w:color w:val="auto"/>
                <w:spacing w:val="20"/>
                <w:sz w:val="24"/>
                <w:highlight w:val="none"/>
              </w:rPr>
            </w:r>
            <w:r/>
          </w:p>
        </w:tc>
      </w:tr>
      <w:tr>
        <w:trPr>
          <w:jc w:val="center"/>
          <w:trHeight w:val="586"/>
        </w:trPr>
        <w:tc>
          <w:tcPr>
            <w:gridSpan w:val="4"/>
            <w:tcBorders>
              <w:top w:val="single" w:color="000000" w:sz="2" w:space="0"/>
            </w:tcBorders>
            <w:tcW w:w="9820" w:type="dxa"/>
            <w:vAlign w:val="center"/>
            <w:textDirection w:val="lrTb"/>
            <w:noWrap w:val="false"/>
          </w:tcPr>
          <w:p>
            <w:pPr>
              <w:jc w:val="left"/>
              <w:keepLines w:val="0"/>
              <w:keepNext w:val="0"/>
              <w:pageBreakBefore w:val="0"/>
              <w:spacing w:line="360" w:lineRule="auto"/>
              <w:widowControl w:val="off"/>
              <w:rPr>
                <w:color w:val="auto"/>
                <w:spacing w:val="20"/>
                <w:sz w:val="24"/>
                <w:highlight w:val="none"/>
              </w:rPr>
            </w:pPr>
            <w:r>
              <w:rPr>
                <w:rFonts w:hint="eastAsia" w:ascii="宋体" w:hAnsi="宋体"/>
                <w:color w:val="auto"/>
                <w:sz w:val="24"/>
                <w:highlight w:val="none"/>
              </w:rPr>
              <w:t xml:space="preserve">注：涉及联合体或其他合同主体的信息应按上表格式加列。</w:t>
            </w:r>
            <w:r/>
          </w:p>
        </w:tc>
      </w:tr>
    </w:tbl>
    <w:p>
      <w:pPr>
        <w:keepLines w:val="0"/>
        <w:keepNext w:val="0"/>
        <w:pageBreakBefore w:val="0"/>
        <w:widowControl w:val="off"/>
        <w:rPr>
          <w:rFonts w:hint="eastAsia" w:ascii="黑体" w:hAnsi="黑体" w:eastAsia="黑体"/>
          <w:b w:val="0"/>
          <w:bCs w:val="0"/>
          <w:color w:val="auto"/>
          <w:sz w:val="28"/>
          <w:szCs w:val="28"/>
          <w:highlight w:val="none"/>
        </w:rPr>
      </w:pPr>
      <w:r/>
      <w:bookmarkStart w:id="166" w:name="_Toc27624"/>
      <w:r/>
      <w:bookmarkStart w:id="167" w:name="_Toc20313"/>
      <w:r>
        <w:rPr>
          <w:rFonts w:hint="eastAsia" w:ascii="黑体" w:hAnsi="黑体" w:eastAsia="黑体"/>
          <w:b w:val="0"/>
          <w:bCs w:val="0"/>
          <w:color w:val="auto"/>
          <w:sz w:val="28"/>
          <w:szCs w:val="28"/>
          <w:highlight w:val="none"/>
        </w:rPr>
        <w:br w:type="page" w:clear="all"/>
      </w:r>
      <w:r/>
    </w:p>
    <w:p>
      <w:pPr>
        <w:pStyle w:val="699"/>
        <w:jc w:val="center"/>
        <w:keepLines w:val="0"/>
        <w:keepNext w:val="0"/>
        <w:pageBreakBefore w:val="0"/>
        <w:spacing w:before="156"/>
        <w:widowControl w:val="off"/>
        <w:rPr>
          <w:rFonts w:ascii="黑体" w:hAnsi="黑体" w:eastAsia="黑体"/>
          <w:color w:val="auto"/>
          <w:sz w:val="28"/>
          <w:szCs w:val="28"/>
          <w:highlight w:val="none"/>
        </w:rPr>
      </w:pPr>
      <w:r>
        <w:rPr>
          <w:rFonts w:hint="eastAsia" w:ascii="黑体" w:hAnsi="黑体" w:eastAsia="黑体"/>
          <w:b w:val="0"/>
          <w:bCs w:val="0"/>
          <w:color w:val="auto"/>
          <w:sz w:val="28"/>
          <w:szCs w:val="28"/>
          <w:highlight w:val="none"/>
        </w:rPr>
        <w:t xml:space="preserve">第二节</w:t>
      </w:r>
      <w:r>
        <w:rPr>
          <w:rFonts w:hint="eastAsia" w:ascii="黑体" w:hAnsi="黑体" w:eastAsia="黑体"/>
          <w:b w:val="0"/>
          <w:bCs w:val="0"/>
          <w:color w:val="auto"/>
          <w:sz w:val="28"/>
          <w:szCs w:val="28"/>
          <w:highlight w:val="none"/>
          <w:lang w:val="en-US" w:eastAsia="zh-CN"/>
        </w:rPr>
        <w:t xml:space="preserve"> </w:t>
      </w:r>
      <w:r>
        <w:rPr>
          <w:rFonts w:hint="eastAsia" w:ascii="黑体" w:hAnsi="黑体" w:eastAsia="黑体"/>
          <w:b w:val="0"/>
          <w:bCs w:val="0"/>
          <w:color w:val="auto"/>
          <w:sz w:val="28"/>
          <w:szCs w:val="28"/>
          <w:highlight w:val="none"/>
        </w:rPr>
        <w:t xml:space="preserve">政府采购合同通用条款</w:t>
      </w:r>
      <w:bookmarkEnd w:id="166"/>
      <w:r/>
      <w:r/>
    </w:p>
    <w:p>
      <w:pPr>
        <w:ind w:firstLine="482"/>
        <w:jc w:val="both"/>
        <w:keepLines w:val="0"/>
        <w:keepNext w:val="0"/>
        <w:pageBreakBefore w:val="0"/>
        <w:spacing w:beforeAutospacing="0" w:afterAutospacing="0" w:line="480" w:lineRule="exact"/>
        <w:widowControl w:val="off"/>
        <w:tabs>
          <w:tab w:val="left" w:pos="8820" w:leader="none"/>
          <w:tab w:val="left" w:pos="9345" w:leader="none"/>
          <w:tab w:val="left" w:pos="9765" w:leader="none"/>
        </w:tabs>
        <w:rPr>
          <w:rFonts w:hint="eastAsia" w:ascii="宋体" w:hAnsi="宋体"/>
          <w:b/>
          <w:bCs/>
          <w:color w:val="auto"/>
          <w:sz w:val="24"/>
          <w:highlight w:val="none"/>
        </w:rPr>
        <w:outlineLvl w:val="9"/>
      </w:pPr>
      <w:r>
        <w:rPr>
          <w:rFonts w:hint="eastAsia" w:ascii="宋体" w:hAnsi="宋体"/>
          <w:b/>
          <w:color w:val="auto"/>
          <w:sz w:val="24"/>
          <w:highlight w:val="none"/>
        </w:rPr>
        <w:t xml:space="preserve">1.</w:t>
      </w:r>
      <w:r>
        <w:rPr>
          <w:rFonts w:hint="eastAsia" w:ascii="宋体" w:hAnsi="宋体"/>
          <w:b/>
          <w:bCs/>
          <w:color w:val="auto"/>
          <w:sz w:val="24"/>
          <w:highlight w:val="none"/>
        </w:rPr>
        <w:t xml:space="preserve">定义</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1.1合同当事人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（1）采购人（以</w:t>
      </w:r>
      <w:r>
        <w:rPr>
          <w:rFonts w:hint="eastAsia" w:ascii="宋体" w:hAnsi="宋体" w:eastAsia="宋体" w:cs="宋体"/>
          <w:color w:val="auto"/>
          <w:sz w:val="24"/>
          <w:szCs w:val="20"/>
          <w:highlight w:val="none"/>
          <w:lang w:eastAsia="zh-CN"/>
        </w:rPr>
        <w:t xml:space="preserve">下简</w:t>
      </w:r>
      <w:r>
        <w:rPr>
          <w:rFonts w:hint="eastAsia" w:ascii="宋体" w:hAnsi="宋体" w:eastAsia="宋体" w:cs="宋体"/>
          <w:color w:val="auto"/>
          <w:sz w:val="24"/>
          <w:szCs w:val="20"/>
          <w:highlight w:val="none"/>
        </w:rPr>
        <w:t xml:space="preserve">称甲方）是指使用财政性资金，通过政府采购方式向供应商购买货物及其相关服务的国家机关、事业单位、团体组织。</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（2）供应商（以</w:t>
      </w:r>
      <w:r>
        <w:rPr>
          <w:rFonts w:hint="eastAsia" w:ascii="宋体" w:hAnsi="宋体" w:eastAsia="宋体" w:cs="宋体"/>
          <w:color w:val="auto"/>
          <w:sz w:val="24"/>
          <w:szCs w:val="20"/>
          <w:highlight w:val="none"/>
          <w:lang w:eastAsia="zh-CN"/>
        </w:rPr>
        <w:t xml:space="preserve">下简</w:t>
      </w:r>
      <w:r>
        <w:rPr>
          <w:rFonts w:hint="eastAsia" w:ascii="宋体" w:hAnsi="宋体" w:eastAsia="宋体" w:cs="宋体"/>
          <w:color w:val="auto"/>
          <w:sz w:val="24"/>
          <w:szCs w:val="20"/>
          <w:highlight w:val="none"/>
        </w:rPr>
        <w:t xml:space="preserve">称乙方）是指参加政府采购活动并且中标（成交），向采购人提供合同约定的货物及其相关服务的法人、非法人组织或者自然人。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（3）其他合同主体是指除采购人和供应商以外，依法参与合同缔结或履行，享有权利、承担义务的合同当事人。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1.2本合同下列术语应解释为：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（2）“合同价款”系指根据本合同规定乙方在全面履行合同义务后甲方应支付给乙方的价款。</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（3）“货物”系指乙方根据本合同规定须向甲方提供的各种形态和种类的物品，包括原材料、设备、产品（包括软件）及相关</w:t>
      </w:r>
      <w:r>
        <w:rPr>
          <w:rFonts w:hint="eastAsia" w:ascii="宋体" w:hAnsi="宋体" w:eastAsia="宋体" w:cs="宋体"/>
          <w:color w:val="auto"/>
          <w:sz w:val="24"/>
          <w:szCs w:val="20"/>
          <w:highlight w:val="none"/>
          <w:lang w:eastAsia="zh-CN"/>
        </w:rPr>
        <w:t xml:space="preserve">的</w:t>
      </w:r>
      <w:r>
        <w:rPr>
          <w:rFonts w:hint="eastAsia" w:ascii="宋体" w:hAnsi="宋体" w:eastAsia="宋体" w:cs="宋体"/>
          <w:color w:val="auto"/>
          <w:sz w:val="24"/>
          <w:szCs w:val="20"/>
          <w:highlight w:val="none"/>
        </w:rPr>
        <w:t xml:space="preserve">备品备件、工具、手册及</w:t>
      </w:r>
      <w:r>
        <w:rPr>
          <w:rFonts w:hint="eastAsia" w:ascii="宋体" w:hAnsi="宋体" w:eastAsia="宋体" w:cs="宋体"/>
          <w:color w:val="auto"/>
          <w:sz w:val="24"/>
          <w:szCs w:val="20"/>
          <w:highlight w:val="none"/>
          <w:lang w:val="en"/>
        </w:rPr>
        <w:t xml:space="preserve">其他</w:t>
      </w:r>
      <w:r>
        <w:rPr>
          <w:rFonts w:hint="eastAsia" w:ascii="宋体" w:hAnsi="宋体" w:eastAsia="宋体" w:cs="宋体"/>
          <w:color w:val="auto"/>
          <w:sz w:val="24"/>
          <w:szCs w:val="20"/>
          <w:highlight w:val="none"/>
        </w:rPr>
        <w:t xml:space="preserve">技术资料和材料等。</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（4）“相关服务”系指根据合同规定，乙方应提供的与货物有关的技术、管理和</w:t>
      </w:r>
      <w:r>
        <w:rPr>
          <w:rFonts w:hint="eastAsia" w:ascii="宋体" w:hAnsi="宋体" w:eastAsia="宋体" w:cs="宋体"/>
          <w:color w:val="auto"/>
          <w:sz w:val="24"/>
          <w:szCs w:val="20"/>
          <w:highlight w:val="none"/>
          <w:lang w:val="en"/>
        </w:rPr>
        <w:t xml:space="preserve">其他</w:t>
      </w:r>
      <w:r>
        <w:rPr>
          <w:rFonts w:hint="eastAsia" w:ascii="宋体" w:hAnsi="宋体" w:eastAsia="宋体" w:cs="宋体"/>
          <w:color w:val="auto"/>
          <w:sz w:val="24"/>
          <w:szCs w:val="20"/>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0"/>
          <w:highlight w:val="none"/>
          <w:lang w:val="en"/>
        </w:rPr>
        <w:t xml:space="preserve">其他</w:t>
      </w:r>
      <w:r>
        <w:rPr>
          <w:rFonts w:hint="eastAsia" w:ascii="宋体" w:hAnsi="宋体" w:eastAsia="宋体" w:cs="宋体"/>
          <w:color w:val="auto"/>
          <w:sz w:val="24"/>
          <w:szCs w:val="20"/>
          <w:highlight w:val="none"/>
        </w:rPr>
        <w:t xml:space="preserve">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2"/>
        <w:jc w:val="left"/>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w:t>
      </w:r>
      <w:r/>
    </w:p>
    <w:p>
      <w:pPr>
        <w:ind w:firstLine="480"/>
        <w:jc w:val="both"/>
        <w:keepLines w:val="0"/>
        <w:keepNext w:val="0"/>
        <w:pageBreakBefore w:val="0"/>
        <w:spacing w:beforeAutospacing="0" w:afterAutospacing="0" w:line="480" w:lineRule="exact"/>
        <w:widowControl w:val="off"/>
        <w:tabs>
          <w:tab w:val="left" w:pos="570" w:leader="none"/>
          <w:tab w:val="left" w:pos="9240" w:leader="none"/>
          <w:tab w:val="left" w:pos="9555" w:leader="none"/>
        </w:tabs>
        <w:rPr>
          <w:rFonts w:hint="eastAsia" w:ascii="宋体" w:hAnsi="宋体"/>
          <w:color w:val="auto"/>
          <w:sz w:val="24"/>
          <w:szCs w:val="24"/>
          <w:highlight w:val="none"/>
        </w:rPr>
        <w:outlineLvl w:val="9"/>
      </w:pPr>
      <w:r>
        <w:rPr>
          <w:rFonts w:hint="eastAsia" w:ascii="宋体" w:hAnsi="宋体" w:eastAsia="宋体" w:cs="宋体"/>
          <w:color w:val="auto"/>
          <w:sz w:val="24"/>
          <w:szCs w:val="24"/>
          <w:highlight w:val="none"/>
        </w:rPr>
        <w:t xml:space="preserve">（7）其他术语解释，见</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政府采购合同专用条款</w:t>
      </w:r>
      <w:r>
        <w:rPr>
          <w:rFonts w:hint="eastAsia" w:ascii="宋体" w:hAnsi="宋体"/>
          <w:color w:val="auto"/>
          <w:sz w:val="24"/>
          <w:szCs w:val="24"/>
          <w:highlight w:val="none"/>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合同标的及金额</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2.1合同标的及金额应与中标（成交）结果一致。乙方为履行本合同而发生的所有费用均应包含在合同价款中，甲方不再另行支付</w:t>
      </w:r>
      <w:r>
        <w:rPr>
          <w:rFonts w:hint="eastAsia" w:ascii="宋体" w:hAnsi="宋体" w:eastAsia="宋体" w:cs="宋体"/>
          <w:color w:val="auto"/>
          <w:sz w:val="24"/>
          <w:szCs w:val="24"/>
          <w:highlight w:val="none"/>
          <w:lang w:val="en"/>
        </w:rPr>
        <w:t xml:space="preserve">其他</w:t>
      </w:r>
      <w:r>
        <w:rPr>
          <w:rFonts w:hint="eastAsia" w:ascii="宋体" w:hAnsi="宋体" w:eastAsia="宋体" w:cs="宋体"/>
          <w:color w:val="auto"/>
          <w:sz w:val="24"/>
          <w:szCs w:val="24"/>
          <w:highlight w:val="none"/>
        </w:rPr>
        <w:t xml:space="preserve">任何费用。</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3.履行合同的时间、地点和方式</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3.1乙方应当在约定的时间、地点，按照约定方式履行合同。</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4.甲方的权利和义务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4.2甲方有权要求乙方按时提交各阶段有关安排计划，并有权定期核对乙方提供货物数量、规格、质量等内容。甲方有权督促乙方工作并要求乙方更换不符合要求的货物。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4.3甲方有权要求乙方对缺陷部分予以修复，并按合同约定享有货物保修及其他合同约定的权利。</w:t>
      </w:r>
      <w:r/>
    </w:p>
    <w:p>
      <w:pPr>
        <w:ind w:firstLine="482"/>
        <w:jc w:val="left"/>
        <w:keepLines w:val="0"/>
        <w:keepNext w:val="0"/>
        <w:pageBreakBefore w:val="0"/>
        <w:spacing w:line="560" w:lineRule="exact"/>
        <w:widowControl w:val="off"/>
        <w:rPr>
          <w:rFonts w:hint="eastAsia" w:eastAsia="华文楷体"/>
          <w:color w:val="auto"/>
          <w:sz w:val="24"/>
          <w:szCs w:val="24"/>
          <w:highlight w:val="none"/>
        </w:rPr>
      </w:pPr>
      <w:r>
        <w:rPr>
          <w:rFonts w:hint="eastAsia" w:ascii="宋体" w:hAnsi="宋体" w:eastAsia="宋体" w:cs="宋体"/>
          <w:color w:val="auto"/>
          <w:sz w:val="24"/>
          <w:szCs w:val="24"/>
          <w:highlight w:val="none"/>
        </w:rPr>
        <w:t xml:space="preserve">4.4甲方应当按照合同约定及时对交付的货物进行验收，未在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约定的期限内对乙方履约提出任何异议或者向乙方作出任何说明的，</w:t>
      </w:r>
      <w:r>
        <w:rPr>
          <w:rFonts w:hint="eastAsia" w:ascii="宋体" w:hAnsi="宋体"/>
          <w:color w:val="auto"/>
          <w:sz w:val="24"/>
          <w:szCs w:val="24"/>
          <w:highlight w:val="none"/>
        </w:rPr>
        <w:t xml:space="preserve">视为验收通过。</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4.5甲方应当根据合同约定及时向乙方支付合同价款，不得以内部人员变更、履行内部付款流程等为由，拒绝或迟延支付。</w:t>
      </w:r>
      <w:r/>
    </w:p>
    <w:p>
      <w:pPr>
        <w:ind w:firstLine="482"/>
        <w:jc w:val="left"/>
        <w:keepLines w:val="0"/>
        <w:keepNext w:val="0"/>
        <w:pageBreakBefore w:val="0"/>
        <w:spacing w:line="560" w:lineRule="exact"/>
        <w:widowControl w:val="off"/>
        <w:rPr>
          <w:rFonts w:hint="eastAsia" w:ascii="宋体" w:hAnsi="宋体"/>
          <w:color w:val="auto"/>
          <w:sz w:val="24"/>
          <w:szCs w:val="24"/>
          <w:highlight w:val="none"/>
        </w:rPr>
      </w:pPr>
      <w:r>
        <w:rPr>
          <w:rFonts w:hint="eastAsia" w:ascii="宋体" w:hAnsi="宋体" w:eastAsia="宋体" w:cs="宋体"/>
          <w:color w:val="auto"/>
          <w:sz w:val="24"/>
          <w:szCs w:val="24"/>
          <w:highlight w:val="none"/>
        </w:rPr>
        <w:t xml:space="preserve">4.6国家法律法规规定及</w:t>
      </w:r>
      <w:r>
        <w:rPr>
          <w:rFonts w:hint="eastAsia" w:ascii="宋体" w:hAnsi="宋体" w:cs="宋体"/>
          <w:b/>
          <w:bCs/>
          <w:color w:val="auto"/>
          <w:sz w:val="24"/>
          <w:szCs w:val="24"/>
          <w:highlight w:val="none"/>
        </w:rPr>
        <w:t xml:space="preserve">【政府采购合同专用条款】</w:t>
      </w:r>
      <w:r>
        <w:rPr>
          <w:rFonts w:hint="eastAsia" w:ascii="宋体" w:hAnsi="宋体"/>
          <w:color w:val="auto"/>
          <w:sz w:val="24"/>
          <w:szCs w:val="24"/>
          <w:highlight w:val="none"/>
        </w:rPr>
        <w:t xml:space="preserve">约定应由甲方承担的其他义务和责任。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5.乙方的权利和义务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5.1签署合同后，乙方应确定项目负责人（或项目联系人），负责与本合同有关的事务。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5.3乙方有权根据合同约定向甲方收取合同价款。</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5.4国家法律法规规定及</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约定应由乙方承担的其他义务和责任。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合同履行</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6.1甲乙双方应当按照【</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】约定顺序履行合同义务；如果没有先后顺序的，应当同时履行。</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7.货物包装、运输、保险和交付要求</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7.1本合同涉及商品包装、快递包装的，除【</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】另有约定外，包装应适应远距离运输、防潮、防震、防锈和防野蛮装卸等要求，确保货物安全无损地运抵【</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】约定的指定现场。</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7.2除【</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】另有约定外，乙方负责办理将货物运抵本合同规定的交货地点，并装卸、交付至甲方的一切运输事项，相关费用应包含在合同价款中。</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7.3货物保险要求按【</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规定执行。</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7.4除采购活动对商品包装、快递包装达成具体约定外，乙方提供产品及相关快递服务</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7.5乙方在运输到达之前应提前通知甲方，并提示货物运输装卸的注意事项，甲方配合乙方做好货物的接收工作。</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7.6如因包装、运输问题导致货物损毁、丢失或者品质下降，甲方有权要求降价、换货、拒收部分或整批货物，由此产生的费用和损失，均由乙方承担。</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8.质量标准和保证</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8.1质量标准</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（2）采用中华人民共和国法定计量单位。</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（3）乙方所提供的货物应符合国家有关安全、环保、卫生的规定。</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8.2保证</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】规定或乙方书面承诺（两者以较长的为准）的质量保证期内，本保证保持有效。</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（2）在质量保证期内所发现的缺陷，甲方应尽快以书面形式通知乙方。</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（3）乙方收到通知后，应在【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】规定的响应时间内以合理的速度免费维修或更换有缺陷的货物或部件。</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9.权利瑕疵担保</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9.1乙方保证对其出售的货物享有合法的权利。</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9.2乙方保证在交付的货物上不存在抵押权等担保物权。</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9.3如甲方使用上述货物构成对第三人侵权的，则由乙方承担全部责任。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10.知识产权保护</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10.1乙方对其所销售的货物应当享有知识产权或经权利人合法授权，保证没有侵犯任何第三人的知识产权等权利。</w:t>
      </w:r>
      <w:bookmarkStart w:id="168" w:name="_Hlk163047038"/>
      <w:r>
        <w:rPr>
          <w:rFonts w:hint="eastAsia" w:ascii="宋体" w:hAnsi="宋体" w:cs="宋体"/>
          <w:color w:val="auto"/>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68"/>
      <w:r>
        <w:rPr>
          <w:rFonts w:hint="eastAsia" w:ascii="宋体" w:hAnsi="宋体" w:cs="宋体"/>
          <w:color w:val="auto"/>
          <w:sz w:val="24"/>
          <w:szCs w:val="24"/>
          <w:highlight w:val="none"/>
        </w:rPr>
        <w:t xml:space="preserve">。</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11.保密义务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】中约定。</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12.合同价款支付</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12.1合同价款支付按照国库集中支付制度及财政管理相关规定执行。</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】中约定。</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13.履约保证金</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13.1乙方应当以支票、汇票、本票或者金融机构、担保机构出具的保函等非现金形式提交。</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13.2如果乙方出现【</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13.3甲方在项目通过验收后按照【</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】规定的时间内将履约保证金退还乙方；逾期退还的，乙方可要求甲方支付违约金，违约金按照【政府采购合同专用条款】规定支付。</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14.售后服务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14.1除项目不涉及或采购活动中明确约定无须承担外，乙方还应提供下列服务：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（1）货物的现场移动、安装、调试、启动监督及技术支持；</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（2）提供货物组装和维修所需的专用工具和辅助材料；</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】约定的期限内对所有的货物实施运行监督、维修，但前提条件是该服务并不能免除乙方在质量保证期内所承担的义务；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（4）在制造商所在地或指定现场就货物的安装、启动、运营、维护、废弃处置等对甲方操作人员进行培训；</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（5）依照法律、行政法规的规定或者按照【</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】约定，货物在有效使用年限届满后应予回收的，乙方负有自行或者委托第三人对货物予以回收的义务；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】规定由乙方提供的其他服务。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14.2乙方提供的售后服务的费用已包含在合同价款中，甲方不再另行支付。</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15.违约责任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15.1质量瑕疵的违约责任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乙方提供的产品不符合合同约定的质量标准或存在产品质量缺陷，甲方有权要求乙方根据【</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】要求及时修理、重作、更换，并承担由此给甲方造成的损失。</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15.2迟延交货的违约责任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】规定执行。如果涉及公共利益，且赔偿金额无法弥补公共利益损失，甲方可要求继续履行或者采取其他补救措施。</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15.3迟延支付的违约责任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甲方存在迟延支付乙方合同款项的，应当承担【</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】规定的逾期付款利息。</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15.4其他违约责任根据项目实际需要按【</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】规定执行。</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16.</w:t>
      </w:r>
      <w:r>
        <w:rPr>
          <w:rFonts w:hint="eastAsia" w:ascii="宋体" w:hAnsi="宋体" w:cs="宋体"/>
          <w:b/>
          <w:bCs/>
          <w:color w:val="auto"/>
          <w:sz w:val="24"/>
          <w:szCs w:val="24"/>
          <w:highlight w:val="none"/>
        </w:rPr>
        <w:t xml:space="preserve">合同变更、中止与终止</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16.1合同的变更</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16.2合同的中止</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（1）合同履行过程中因供应商就采购文件、采购过程或结果提起投诉的，甲方认为有必要的，可以中止合同的履行。</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（4）甲方不得以行政区划调整、政府换届、机构或者职能调整以及相关责任人更替为由中止合同。</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16.3合同的终止</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（1）合同因有效期限届满而终止；</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（2）乙方未按合同约定履行，构成根本性违约的，甲方有权终止合同，并追究乙方的违约责任。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16.4涉及国家利益、社会公共利益的情形</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17.合同分包</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17.1乙方不得将合同转包给其他供应商。涉及合同分包的，乙方应根据采购文件和投标（响应）文件规定进行合同分包。</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17.2乙方执行政府采购政策向中小企业依法分包的，乙方应当按采购文件和投标（响应）文件签订分包意向协议，分包意向协议属于本合同组成部分。</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18.不可抗力</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18.1不可抗力是指合同双方不能预见、不能避免且不能克服的客观情况。</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18.2任何一方对由于不可抗力造成的部分或全部不能履行合同不承担违约责任。但迟延履行后发生不可抗力的，不能免除责任。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19.解决争议的方法</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19.2选择仲裁的，应在【</w:t>
      </w:r>
      <w:r>
        <w:rPr>
          <w:rFonts w:hint="eastAsia" w:ascii="宋体" w:hAnsi="宋体" w:cs="宋体"/>
          <w:b/>
          <w:bCs/>
          <w:color w:val="auto"/>
          <w:sz w:val="24"/>
          <w:szCs w:val="24"/>
          <w:highlight w:val="none"/>
          <w:lang w:val="en-US" w:eastAsia="zh-CN"/>
        </w:rPr>
        <w:t xml:space="preserve">政府采购合同专用条款</w:t>
      </w:r>
      <w:r>
        <w:rPr>
          <w:rFonts w:hint="eastAsia" w:ascii="宋体" w:hAnsi="宋体" w:cs="宋体"/>
          <w:color w:val="auto"/>
          <w:sz w:val="24"/>
          <w:szCs w:val="24"/>
          <w:highlight w:val="none"/>
        </w:rPr>
        <w:t xml:space="preserve">】中明确仲裁机构及仲裁地；通过诉讼方式解决的，可以在【</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中进一步约定选择与争议有实际联系的地点的人民法院管辖，但管辖法院的约定不得违反级别管辖和专属管辖的规定。</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19.3如甲乙双方有争议的事项不影响合同其他部分的履行，在争议解决期间，合同其他部分应当继续履行。</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20.政府采购政策</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w:t>
      </w:r>
      <w:r>
        <w:rPr>
          <w:rFonts w:hint="eastAsia" w:ascii="宋体" w:hAnsi="宋体" w:cs="宋体"/>
          <w:color w:val="auto"/>
          <w:sz w:val="24"/>
          <w:szCs w:val="24"/>
          <w:highlight w:val="none"/>
          <w:lang w:val="en-GB"/>
        </w:rPr>
        <w:t xml:space="preserve">本合同应当按照规定执行政府采购政策。</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20.2本合同依法执行政府采购政策的方式和内容，属于合同履约验收的范围。甲乙双方</w:t>
      </w:r>
      <w:r>
        <w:rPr>
          <w:rFonts w:hint="eastAsia" w:ascii="宋体" w:hAnsi="宋体" w:cs="宋体"/>
          <w:color w:val="auto"/>
          <w:sz w:val="24"/>
          <w:szCs w:val="24"/>
          <w:highlight w:val="none"/>
          <w:lang w:val="en-GB"/>
        </w:rPr>
        <w:t xml:space="preserve">未按规定要求执行政府采购政策造成损失的</w:t>
      </w:r>
      <w:r>
        <w:rPr>
          <w:rFonts w:hint="eastAsia" w:ascii="宋体" w:hAnsi="宋体" w:cs="宋体"/>
          <w:color w:val="auto"/>
          <w:sz w:val="24"/>
          <w:szCs w:val="24"/>
          <w:highlight w:val="none"/>
        </w:rPr>
        <w:t xml:space="preserve">，有过错的一方应当承担赔偿责任，双方都有过错的，各自承担相应的责任。</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21.法律适用</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21.1本合同的订立、生效、解释、履行及与本合同有关的争议解决，均适用法律、行政法规。</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21.2本合同条款与法律、行政法规的强制性规定不一致的，双方当事人</w:t>
      </w:r>
      <w:r>
        <w:rPr>
          <w:rFonts w:hint="eastAsia" w:ascii="宋体" w:hAnsi="宋体" w:cs="宋体"/>
          <w:color w:val="auto"/>
          <w:sz w:val="24"/>
          <w:szCs w:val="24"/>
          <w:highlight w:val="none"/>
          <w:lang w:eastAsia="zh-CN"/>
        </w:rPr>
        <w:t xml:space="preserve">应当</w:t>
      </w:r>
      <w:r>
        <w:rPr>
          <w:rFonts w:hint="eastAsia" w:ascii="宋体" w:hAnsi="宋体" w:cs="宋体"/>
          <w:color w:val="auto"/>
          <w:sz w:val="24"/>
          <w:szCs w:val="24"/>
          <w:highlight w:val="none"/>
        </w:rPr>
        <w:t xml:space="preserve">按照法律、行政法规的强制性规定修改本合同的相关条款。</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22.通知</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22.1本合同任何一方向对方发出的通知、信件、数据电文等，应当发送至本合同第一部分《政府采购合同协议书》所约定的通讯地址、联系人、联系电话或电子邮箱。</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22.2一方当事人变更名称、住所、联系人、联系电话或电子邮箱等信息的，应当在变更后3日内及时书面通知对方，对方实际收到变更通知前的送达仍为有效送达。</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22.3本合同一方给另一方的通知均应采用书面形式，传真或快递送到本合同中规定的对方的地址和办理签收手续。</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22.4通知以送达之日或通知书中规定的生效之日起生效，两者中以较迟之日为准。</w:t>
      </w:r>
      <w:r/>
    </w:p>
    <w:p>
      <w:pPr>
        <w:ind w:firstLine="482"/>
        <w:jc w:val="left"/>
        <w:keepLines w:val="0"/>
        <w:keepNext w:val="0"/>
        <w:pageBreakBefore w:val="0"/>
        <w:spacing w:line="5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23.</w:t>
      </w:r>
      <w:r>
        <w:rPr>
          <w:rFonts w:hint="eastAsia" w:ascii="宋体" w:hAnsi="宋体" w:cs="宋体"/>
          <w:b/>
          <w:bCs/>
          <w:color w:val="auto"/>
          <w:sz w:val="24"/>
          <w:szCs w:val="24"/>
          <w:highlight w:val="none"/>
        </w:rPr>
        <w:t xml:space="preserve">合同未尽事项</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23.1合同未尽事项见【</w:t>
      </w:r>
      <w:r>
        <w:rPr>
          <w:rFonts w:hint="eastAsia" w:ascii="宋体" w:hAnsi="宋体" w:cs="宋体"/>
          <w:b/>
          <w:bCs/>
          <w:color w:val="auto"/>
          <w:sz w:val="24"/>
          <w:szCs w:val="24"/>
          <w:highlight w:val="none"/>
        </w:rPr>
        <w:t xml:space="preserve">政府采购合同专用条款</w:t>
      </w:r>
      <w:r>
        <w:rPr>
          <w:rFonts w:hint="eastAsia" w:ascii="宋体" w:hAnsi="宋体" w:cs="宋体"/>
          <w:color w:val="auto"/>
          <w:sz w:val="24"/>
          <w:szCs w:val="24"/>
          <w:highlight w:val="none"/>
        </w:rPr>
        <w:t xml:space="preserve">】。</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23.2合同附件与合同正文具有同等的法律效力。</w:t>
      </w:r>
      <w:r/>
    </w:p>
    <w:p>
      <w:pPr>
        <w:ind w:firstLine="482"/>
        <w:jc w:val="left"/>
        <w:keepLines w:val="0"/>
        <w:keepNext w:val="0"/>
        <w:pageBreakBefore w:val="0"/>
        <w:spacing w:line="5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jc w:val="center"/>
        <w:keepLines w:val="0"/>
        <w:keepNext w:val="0"/>
        <w:pageBreakBefore w:val="0"/>
        <w:spacing w:line="360" w:lineRule="auto"/>
        <w:widowControl w:val="off"/>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w:t>
      </w:r>
      <w:r>
        <w:rPr>
          <w:rFonts w:hint="eastAsia" w:ascii="黑体" w:hAnsi="华文中宋" w:eastAsia="黑体"/>
          <w:color w:val="auto"/>
          <w:sz w:val="24"/>
          <w:highlight w:val="none"/>
          <w:lang w:val="en-US" w:eastAsia="zh-CN"/>
        </w:rPr>
        <w:t xml:space="preserve"> </w:t>
      </w:r>
      <w:r>
        <w:rPr>
          <w:rFonts w:hint="eastAsia" w:ascii="黑体" w:hAnsi="华文中宋" w:eastAsia="黑体"/>
          <w:color w:val="auto"/>
          <w:sz w:val="24"/>
          <w:highlight w:val="none"/>
        </w:rPr>
        <w:t xml:space="preserve">政府采购合同专用条款</w:t>
      </w:r>
      <w:bookmarkEnd w:id="167"/>
      <w:r/>
      <w:r/>
    </w:p>
    <w:tbl>
      <w:tblPr>
        <w:tblStyle w:val="708"/>
        <w:tblW w:w="8332"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14"/>
        <w:gridCol w:w="1490"/>
        <w:gridCol w:w="5528"/>
      </w:tblGrid>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第1.2（6）项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联合体具体要求</w:t>
            </w:r>
            <w:r/>
          </w:p>
        </w:tc>
        <w:tc>
          <w:tcPr>
            <w:tcW w:w="552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04"/>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第1.2（7）项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其他术语解释</w:t>
            </w:r>
            <w:r/>
          </w:p>
        </w:tc>
        <w:tc>
          <w:tcPr>
            <w:tcW w:w="552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第4.4款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履约验收中甲方提出异议或作出说明的期限</w:t>
            </w:r>
            <w:r/>
          </w:p>
        </w:tc>
        <w:tc>
          <w:tcPr>
            <w:tcW w:w="552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第4.6款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约定甲方承担的其他义务和责任</w:t>
            </w:r>
            <w:r/>
          </w:p>
        </w:tc>
        <w:tc>
          <w:tcPr>
            <w:tcW w:w="552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第5.4款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约定乙方承担的其他义务和责任</w:t>
            </w:r>
            <w:r/>
          </w:p>
        </w:tc>
        <w:tc>
          <w:tcPr>
            <w:tcW w:w="552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85"/>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第6.1款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履行合同义务的顺序</w:t>
            </w:r>
            <w:r/>
          </w:p>
        </w:tc>
        <w:tc>
          <w:tcPr>
            <w:tcW w:w="5528"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476"/>
        </w:trPr>
        <w:tc>
          <w:tcPr>
            <w:tcW w:w="1314"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第7.1款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包装特殊</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w:t>
            </w:r>
            <w:r/>
          </w:p>
        </w:tc>
        <w:tc>
          <w:tcPr>
            <w:tcW w:w="5528" w:type="dxa"/>
            <w:vAlign w:val="center"/>
            <w:textDirection w:val="lrTb"/>
            <w:noWrap w:val="false"/>
          </w:tcPr>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本项目中涉及商品包装和快递包装的，金属件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使用泡泡纸覆盖包装防止碰撞；板式件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不同板件用捆扎带分类打包，边角处用瓦楞纸覆盖，防止损坏；塑料件和五金件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使用瓦楞纸箱包装。使用包装材料</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参考《财政部办公厅关于印发《商品包装政府采购需求标准（试行）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快递包装政府采购需求标准（试行）》的通知》（财办库〔2020〕123号）规定的包装需求标准，现场包装物</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供应商负责清理，做到：</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1.商品包装层数不得超过3层，空隙率不大于40%；</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2.商品包装尽可能使用单一材质的包装材料，如因功能需求</w:t>
            </w:r>
            <w:r>
              <w:rPr>
                <w:rFonts w:hint="eastAsia" w:ascii="宋体" w:hAnsi="宋体" w:eastAsia="宋体" w:cs="宋体"/>
                <w:color w:val="auto"/>
                <w:sz w:val="24"/>
                <w:szCs w:val="24"/>
                <w:highlight w:val="none"/>
                <w:lang w:eastAsia="zh-CN"/>
              </w:rPr>
              <w:t xml:space="preserve">必须</w:t>
            </w:r>
            <w:r>
              <w:rPr>
                <w:rFonts w:hint="eastAsia" w:ascii="宋体" w:hAnsi="宋体" w:eastAsia="宋体" w:cs="宋体"/>
                <w:color w:val="auto"/>
                <w:sz w:val="24"/>
                <w:szCs w:val="24"/>
                <w:highlight w:val="none"/>
              </w:rPr>
              <w:t xml:space="preserve">使用不同材质，不同材质间应便于分离；</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3.商品包装中铅、汞、镉、六价铬的总含量应不大于100mg/kg；</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4.商品包装印刷使用的油墨中挥发性有机化合物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VOCs</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含量应不大于5%（以重量计）；</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5.塑料材质商品包装上呈现的印刷颜色不得超过6色；</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6.纸质商品包装应使用75%以上的可再生纤维原料生产；</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7.木质商品包装的原料应来源于可持续性森林。</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每件包装箱内应附一份详细装箱单和质量合格凭证。</w:t>
            </w:r>
            <w:r/>
          </w:p>
        </w:tc>
      </w:tr>
      <w:tr>
        <w:trPr>
          <w:cantSplit/>
          <w:trHeight w:val="667"/>
        </w:trPr>
        <w:tc>
          <w:tcPr>
            <w:tcW w:w="1314"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指定现场</w:t>
            </w:r>
            <w:r/>
          </w:p>
        </w:tc>
        <w:tc>
          <w:tcPr>
            <w:tcW w:w="5528"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72"/>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第7.2款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运输特殊要求</w:t>
            </w:r>
            <w:r/>
          </w:p>
        </w:tc>
        <w:tc>
          <w:tcPr>
            <w:tcW w:w="5528" w:type="dxa"/>
            <w:vAlign w:val="center"/>
            <w:textDirection w:val="lrTb"/>
            <w:noWrap w:val="false"/>
          </w:tcPr>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1.货物验收合格、交付使用并提供所需单据的日期视为交货日期。</w:t>
            </w:r>
            <w:r/>
          </w:p>
          <w:p>
            <w:pPr>
              <w:pStyle w:val="891"/>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2.乙方在货物发运手续办理完毕后24小时内或货到48小时前通知甲方，以准备接货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具体时间根据双方实际需求调整）</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3.乙方装运的货物不应超过合同规定的数量或重量。乙方应对超交数量或超重而产生的一切后果负责。</w:t>
            </w:r>
            <w:r/>
          </w:p>
          <w:p>
            <w:pPr>
              <w:pStyle w:val="891"/>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4.货物在交付甲方前发生的风险均由乙方负责。</w:t>
            </w:r>
            <w:r/>
          </w:p>
        </w:tc>
      </w:tr>
      <w:tr>
        <w:trPr>
          <w:trHeight w:val="577"/>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第7.3款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w:t>
            </w:r>
            <w:r/>
          </w:p>
        </w:tc>
        <w:tc>
          <w:tcPr>
            <w:tcW w:w="5528" w:type="dxa"/>
            <w:vAlign w:val="center"/>
            <w:textDirection w:val="lrTb"/>
            <w:noWrap w:val="false"/>
          </w:tcPr>
          <w:p>
            <w:pPr>
              <w:ind w:firstLine="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货物交货前由乙方承担保险义务</w:t>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第8.2（1）项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5528" w:type="dxa"/>
            <w:vAlign w:val="center"/>
            <w:textDirection w:val="lrTb"/>
            <w:noWrap w:val="false"/>
          </w:tcPr>
          <w:p>
            <w:pPr>
              <w:ind w:firstLine="482"/>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1.货物免费质保期具体以投标文件为准且不得低</w:t>
            </w:r>
            <w:r>
              <w:rPr>
                <w:rFonts w:hint="eastAsia" w:ascii="宋体" w:hAnsi="宋体" w:eastAsia="宋体" w:cs="宋体"/>
                <w:b/>
                <w:bCs/>
                <w:color w:val="auto"/>
                <w:sz w:val="24"/>
                <w:szCs w:val="24"/>
                <w:highlight w:val="none"/>
                <w:lang w:eastAsia="zh-CN"/>
              </w:rPr>
              <w:t xml:space="preserve">于</w:t>
            </w:r>
            <w:r>
              <w:rPr>
                <w:rFonts w:hint="eastAsia" w:ascii="宋体" w:hAnsi="宋体" w:eastAsia="宋体" w:cs="宋体"/>
                <w:b/>
                <w:bCs/>
                <w:color w:val="auto"/>
                <w:sz w:val="24"/>
                <w:szCs w:val="24"/>
                <w:highlight w:val="none"/>
              </w:rPr>
              <w:t xml:space="preserve">三年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（自交货验收合格之日起计）</w:t>
            </w:r>
            <w:r>
              <w:rPr>
                <w:rFonts w:hint="eastAsia" w:ascii="宋体" w:hAnsi="宋体" w:eastAsia="宋体" w:cs="宋体"/>
                <w:color w:val="auto"/>
                <w:sz w:val="24"/>
                <w:szCs w:val="24"/>
                <w:highlight w:val="none"/>
              </w:rPr>
              <w:t xml:space="preserve">，乙方提供的货物在质保期内因货物本身的质量问题发生</w:t>
            </w:r>
            <w:r>
              <w:rPr>
                <w:rFonts w:hint="eastAsia" w:ascii="宋体" w:hAnsi="宋体" w:eastAsia="宋体" w:cs="宋体"/>
                <w:color w:val="auto"/>
                <w:sz w:val="24"/>
                <w:szCs w:val="24"/>
                <w:highlight w:val="none"/>
                <w:lang w:eastAsia="zh-CN"/>
              </w:rPr>
              <w:t xml:space="preserve">故</w:t>
            </w:r>
            <w:r>
              <w:rPr>
                <w:rFonts w:hint="eastAsia" w:ascii="宋体" w:hAnsi="宋体" w:eastAsia="宋体" w:cs="宋体"/>
                <w:color w:val="auto"/>
                <w:sz w:val="24"/>
                <w:szCs w:val="24"/>
                <w:highlight w:val="none"/>
              </w:rPr>
              <w:t xml:space="preserve">障，乙方应负责免费更换。对超过质保期发生故障的货物，乙方应当负责维修并按照成本价收取零配件费用。对达不到技术要求者，根据实际情况，经双方协商，可按以下办法处理：</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⑴更换：由乙方承担所发生的全部费用。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⑵退货处理：乙方应退还甲方支付的合同款，同时应承担该货物的直接费用（运输、保险、检验）。</w:t>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第8.2（3）项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货物质量缺陷</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w:t>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如在使用过程中发生质量问题，乙方在接到甲方通知后在</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rPr>
              <w:t xml:space="preserve">小时内到达甲方现场。</w:t>
            </w:r>
            <w:r/>
          </w:p>
        </w:tc>
      </w:tr>
      <w:tr>
        <w:trPr>
          <w:trHeight w:val="90"/>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第8款补充</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要求</w:t>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1.在质保期内，乙方应对货物出现的质量及安全问题负责处理解决并承担一切费用（因甲方不当使用的除外）。</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2.乙方应按照国家有关法律法规规章和“三包”规定以及招标文件售后服务要求及投标文件售后服务承诺提供售后服务。</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3.所有货物保修服务方式均为乙</w:t>
            </w:r>
            <w:r>
              <w:rPr>
                <w:rFonts w:hint="eastAsia" w:ascii="宋体" w:hAnsi="宋体" w:eastAsia="宋体" w:cs="宋体"/>
                <w:color w:val="auto"/>
                <w:sz w:val="24"/>
                <w:szCs w:val="24"/>
                <w:highlight w:val="none"/>
                <w:lang w:eastAsia="zh-CN"/>
              </w:rPr>
              <w:t xml:space="preserve">方</w:t>
            </w:r>
            <w:r>
              <w:rPr>
                <w:rFonts w:hint="eastAsia" w:ascii="宋体" w:hAnsi="宋体" w:eastAsia="宋体" w:cs="宋体"/>
                <w:color w:val="auto"/>
                <w:sz w:val="24"/>
                <w:szCs w:val="24"/>
                <w:highlight w:val="none"/>
              </w:rPr>
              <w:t xml:space="preserve">上门保修，由乙方派员到货物使用现场维修，所产生的一切费用由乙方承担（双方视项目情况调整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5.甲方有权对乙方进行飞行检查，如果发现任何问题乙方必须无条件返工，甚至可以终止合同，乙方需赔偿甲方因此而造成的所有损失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飞行检查过程中发生的食宿、交通等费用由甲方自行承担。</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7.对货物的品牌、型号、数量、产地等进行检查和清点，同类型的所有货物和材料应</w:t>
            </w:r>
            <w:r>
              <w:rPr>
                <w:rFonts w:hint="eastAsia" w:ascii="宋体" w:hAnsi="宋体" w:eastAsia="宋体" w:cs="宋体"/>
                <w:color w:val="auto"/>
                <w:sz w:val="24"/>
                <w:szCs w:val="24"/>
                <w:highlight w:val="none"/>
                <w:lang w:eastAsia="zh-CN"/>
              </w:rPr>
              <w:t xml:space="preserve">属于</w:t>
            </w:r>
            <w:r>
              <w:rPr>
                <w:rFonts w:hint="eastAsia" w:ascii="宋体" w:hAnsi="宋体" w:eastAsia="宋体" w:cs="宋体"/>
                <w:color w:val="auto"/>
                <w:sz w:val="24"/>
                <w:szCs w:val="24"/>
                <w:highlight w:val="none"/>
              </w:rPr>
              <w:t xml:space="preserve">同一制造商的同一地产品。如检验中发现短缺、损坏或假冒伪劣商品，乙方应立即采取补救措施，不得因此影响供货，否则一切损失由乙方负责。</w:t>
            </w:r>
            <w:r/>
          </w:p>
          <w:p>
            <w:pPr>
              <w:pStyle w:val="730"/>
              <w:ind w:left="0" w:firstLine="480"/>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1194"/>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第11.1款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其他应当保密的信息</w:t>
            </w:r>
            <w:r/>
          </w:p>
        </w:tc>
        <w:tc>
          <w:tcPr>
            <w:tcW w:w="5528"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97"/>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第12.2款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合同价款支付时间及</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w:t>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1.合同款项的支付方式及进度安排：</w:t>
            </w:r>
            <w:r/>
          </w:p>
          <w:p>
            <w:pPr>
              <w:ind w:firstLine="482"/>
              <w:jc w:val="left"/>
              <w:spacing w:line="560" w:lineRule="exact"/>
              <w:widowControl/>
              <w:rPr>
                <w:rFonts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u w:val="single"/>
              </w:rPr>
              <w:t xml:space="preserve">①自合同签订生效之日起，甲方收到预付款发票后10个工作日内，甲方向乙方支付合同总价的30%款项作为预付款；</w:t>
            </w:r>
            <w:r/>
          </w:p>
          <w:p>
            <w:pPr>
              <w:ind w:firstLine="482"/>
              <w:jc w:val="left"/>
              <w:spacing w:line="560" w:lineRule="exact"/>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u w:val="single"/>
              </w:rPr>
              <w:t xml:space="preserve">②完成全部供货并通过验收合格后支付至合同价的</w:t>
            </w:r>
            <w:r>
              <w:rPr>
                <w:rFonts w:hint="eastAsia" w:ascii="宋体" w:hAnsi="宋体" w:eastAsia="宋体" w:cs="宋体"/>
                <w:color w:val="auto"/>
                <w:sz w:val="24"/>
                <w:szCs w:val="20"/>
                <w:highlight w:val="none"/>
                <w:u w:val="single"/>
                <w:lang w:val="en-US" w:eastAsia="zh-CN"/>
              </w:rPr>
              <w:t xml:space="preserve">10</w:t>
            </w:r>
            <w:r>
              <w:rPr>
                <w:rFonts w:hint="eastAsia" w:ascii="宋体" w:hAnsi="宋体" w:eastAsia="宋体" w:cs="宋体"/>
                <w:color w:val="auto"/>
                <w:sz w:val="24"/>
                <w:szCs w:val="20"/>
                <w:highlight w:val="none"/>
                <w:u w:val="single"/>
              </w:rPr>
              <w:t xml:space="preserve">0%。（甲方收到乙方发票后10个工作日内支付对应款项）</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注：付款前提供符合甲方要求的正规发票，否则，甲方有权拒付。</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24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发票；</w:t>
            </w:r>
            <w:r/>
          </w:p>
          <w:p>
            <w:pPr>
              <w:ind w:firstLine="24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制造厂家出具的质量检验证书等；</w:t>
            </w:r>
            <w:r/>
          </w:p>
          <w:p>
            <w:pPr>
              <w:ind w:firstLine="24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装箱单；</w:t>
            </w:r>
            <w:r/>
          </w:p>
          <w:p>
            <w:pPr>
              <w:ind w:firstLine="24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甲方加盖公章证明交付使用合格的验收单。</w:t>
            </w:r>
            <w:r/>
          </w:p>
        </w:tc>
      </w:tr>
      <w:tr>
        <w:trPr>
          <w:trHeight w:val="697"/>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第13.2款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履约保证金不予退还的情形</w:t>
            </w:r>
            <w:r/>
          </w:p>
        </w:tc>
        <w:tc>
          <w:tcPr>
            <w:tcW w:w="5528" w:type="dxa"/>
            <w:vAlign w:val="center"/>
            <w:textDirection w:val="lrTb"/>
            <w:noWrap w:val="false"/>
          </w:tcPr>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第13.3款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履约保证金退还时间及逾期退还的违约金</w:t>
            </w:r>
            <w:r/>
          </w:p>
        </w:tc>
        <w:tc>
          <w:tcPr>
            <w:tcW w:w="5528" w:type="dxa"/>
            <w:vAlign w:val="center"/>
            <w:textDirection w:val="lrTb"/>
            <w:noWrap w:val="false"/>
          </w:tcPr>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退还方式：退还至投标人缴纳履约保证金的账户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如为保函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在到期时自行失效。</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退还时间：验收合格且甲方收到发票后30日内。</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退还条件：按合同要求全部履约完成并经采购人验收合格，且采购人收到中标人出具的发票。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逾期退还的违约责任：采购人逾期无故未退还履约保证金的，按中国人民银行同期贷款基准利率上浮20%后的利率支付超期资金占用费，但因供应商自身原因导致无法及时退还的除外。</w:t>
            </w:r>
            <w:r/>
          </w:p>
        </w:tc>
      </w:tr>
      <w:tr>
        <w:trPr>
          <w:trHeight w:val="869"/>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第14.1（3）项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运行监督、维修期限</w:t>
            </w:r>
            <w:r/>
          </w:p>
        </w:tc>
        <w:tc>
          <w:tcPr>
            <w:tcW w:w="5528"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7"/>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第14.1（5）项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货物回收的约定</w:t>
            </w:r>
            <w:r/>
          </w:p>
        </w:tc>
        <w:tc>
          <w:tcPr>
            <w:tcW w:w="5528"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4"/>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第14.1（6）项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5528"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第15.1款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修理、重</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、更换相关具体规定</w:t>
            </w:r>
            <w:r/>
          </w:p>
        </w:tc>
        <w:tc>
          <w:tcPr>
            <w:tcW w:w="5528" w:type="dxa"/>
            <w:vAlign w:val="center"/>
            <w:textDirection w:val="lrTb"/>
            <w:noWrap w:val="false"/>
          </w:tcPr>
          <w:p>
            <w:pPr>
              <w:numPr>
                <w:ilvl w:val="0"/>
                <w:numId w:val="0"/>
              </w:num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详见合同通用条款8.2条款、合同专用条款第二节第8款补充条款及合同专用条款中索赔条款。</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第15.2（2）项</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1.乙方应按照“开标（报价）一览表”中规定的交货期或承诺交货和提供服务，并交付甲方验收使用。</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2.如果乙方无正当理由拖延交货，将受到以下制裁：加收误期赔偿或终止合同。</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3.乙方逾期交付货物的，乙方应按逾期交货总额每日</w:t>
            </w:r>
            <w:r>
              <w:rPr>
                <w:rFonts w:hint="eastAsia" w:ascii="宋体" w:hAnsi="宋体" w:eastAsia="宋体" w:cs="宋体"/>
                <w:color w:val="auto"/>
                <w:sz w:val="24"/>
                <w:szCs w:val="24"/>
                <w:highlight w:val="none"/>
                <w:u w:val="single"/>
                <w:lang w:val="en-US" w:eastAsia="zh-CN"/>
              </w:rPr>
              <w:t xml:space="preserve">千分之一</w:t>
            </w:r>
            <w:r>
              <w:rPr>
                <w:rFonts w:hint="eastAsia" w:ascii="宋体" w:hAnsi="宋体" w:eastAsia="宋体" w:cs="宋体"/>
                <w:color w:val="auto"/>
                <w:sz w:val="24"/>
                <w:szCs w:val="24"/>
                <w:highlight w:val="none"/>
              </w:rPr>
              <w:t xml:space="preserve">向甲方支付违约金，由甲方从待付货款中扣除。逾期超过约定日期</w:t>
            </w:r>
            <w:r>
              <w:rPr>
                <w:rFonts w:hint="eastAsia" w:ascii="宋体" w:hAnsi="宋体" w:eastAsia="宋体" w:cs="宋体"/>
                <w:color w:val="auto"/>
                <w:sz w:val="24"/>
                <w:szCs w:val="24"/>
                <w:highlight w:val="none"/>
                <w:u w:val="single"/>
                <w:lang w:val="en-US" w:eastAsia="zh-CN"/>
              </w:rPr>
              <w:t xml:space="preserve">7</w:t>
            </w:r>
            <w:r>
              <w:rPr>
                <w:rFonts w:hint="eastAsia" w:ascii="宋体" w:hAnsi="宋体" w:eastAsia="宋体" w:cs="宋体"/>
                <w:color w:val="auto"/>
                <w:sz w:val="24"/>
                <w:szCs w:val="24"/>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4"/>
                <w:highlight w:val="none"/>
                <w:u w:val="single"/>
                <w:lang w:val="en-US" w:eastAsia="zh-CN"/>
              </w:rPr>
              <w:t xml:space="preserve">千分之一</w:t>
            </w:r>
            <w:r>
              <w:rPr>
                <w:rFonts w:hint="eastAsia" w:ascii="宋体" w:hAnsi="宋体" w:eastAsia="宋体" w:cs="宋体"/>
                <w:color w:val="auto"/>
                <w:sz w:val="24"/>
                <w:szCs w:val="24"/>
                <w:highlight w:val="none"/>
              </w:rPr>
              <w:t xml:space="preserve">的违约金，如造成甲方损失超过违约金的，超出部分由乙方继续承担赔偿责任。</w:t>
            </w:r>
            <w:r/>
          </w:p>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4.如乙方不能交付货物，或者有违法转包他人情形，乙方应向甲方支付合同总价</w:t>
            </w:r>
            <w:r>
              <w:rPr>
                <w:rFonts w:hint="eastAsia" w:ascii="宋体" w:hAnsi="宋体" w:eastAsia="宋体" w:cs="宋体"/>
                <w:color w:val="auto"/>
                <w:sz w:val="24"/>
                <w:szCs w:val="24"/>
                <w:highlight w:val="none"/>
                <w:u w:val="single"/>
                <w:lang w:val="en-US" w:eastAsia="zh-CN"/>
              </w:rPr>
              <w:t xml:space="preserve">百分之十</w:t>
            </w:r>
            <w:r>
              <w:rPr>
                <w:rFonts w:hint="eastAsia" w:ascii="宋体" w:hAnsi="宋体" w:eastAsia="宋体" w:cs="宋体"/>
                <w:color w:val="auto"/>
                <w:sz w:val="24"/>
                <w:szCs w:val="24"/>
                <w:highlight w:val="none"/>
              </w:rPr>
              <w:t xml:space="preserve">的滞纳金。</w:t>
            </w:r>
            <w:r/>
          </w:p>
        </w:tc>
      </w:tr>
      <w:tr>
        <w:trPr>
          <w:trHeight w:val="736"/>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第15.3款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5528" w:type="dxa"/>
            <w:vAlign w:val="center"/>
            <w:textDirection w:val="lrTb"/>
            <w:noWrap w:val="false"/>
          </w:tcPr>
          <w:p>
            <w:pPr>
              <w:pStyle w:val="730"/>
              <w:ind w:left="0" w:firstLine="480"/>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1.甲方无正当理由拒收货物的，甲方向乙方偿付拒收货款总值的违约金。</w:t>
            </w:r>
            <w:r/>
          </w:p>
          <w:p>
            <w:pPr>
              <w:pStyle w:val="730"/>
              <w:ind w:left="0" w:firstLine="480"/>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2.甲方无故逾期验收和办理货款支付手续的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甲方应按逾期付款总额每日向乙方支付违约金。</w:t>
            </w:r>
            <w:r/>
          </w:p>
        </w:tc>
      </w:tr>
      <w:tr>
        <w:trPr>
          <w:trHeight w:val="1003"/>
        </w:trPr>
        <w:tc>
          <w:tcPr>
            <w:tcBorders>
              <w:bottom w:val="single" w:color="000000" w:sz="2" w:space="0"/>
              <w:right w:val="single" w:color="000000" w:sz="2" w:space="0"/>
            </w:tcBorders>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第15.4款</w:t>
            </w:r>
            <w:r/>
          </w:p>
        </w:tc>
        <w:tc>
          <w:tcPr>
            <w:tcBorders>
              <w:left w:val="single" w:color="000000" w:sz="2" w:space="0"/>
              <w:bottom w:val="single" w:color="000000" w:sz="2" w:space="0"/>
              <w:right w:val="single" w:color="000000" w:sz="2" w:space="0"/>
            </w:tcBorders>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责任</w:t>
            </w:r>
            <w:r/>
          </w:p>
        </w:tc>
        <w:tc>
          <w:tcPr>
            <w:tcBorders>
              <w:left w:val="single" w:color="000000" w:sz="2" w:space="0"/>
              <w:bottom w:val="single" w:color="000000" w:sz="2" w:space="0"/>
            </w:tcBorders>
            <w:tcW w:w="5528" w:type="dxa"/>
            <w:vAlign w:val="center"/>
            <w:textDirection w:val="lrTb"/>
            <w:noWrap w:val="false"/>
          </w:tcPr>
          <w:p>
            <w:pPr>
              <w:ind w:firstLine="0"/>
              <w:jc w:val="left"/>
              <w:keepLines w:val="0"/>
              <w:keepNext w:val="0"/>
              <w:pageBreakBefore w:val="0"/>
              <w:spacing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r>
        <w:trPr>
          <w:trHeight w:val="90"/>
        </w:trPr>
        <w:tc>
          <w:tcPr>
            <w:tcBorders>
              <w:top w:val="single" w:color="000000" w:sz="2" w:space="0"/>
              <w:right w:val="single" w:color="000000" w:sz="2" w:space="0"/>
            </w:tcBorders>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第19.2款</w:t>
            </w:r>
            <w:r/>
          </w:p>
        </w:tc>
        <w:tc>
          <w:tcPr>
            <w:tcBorders>
              <w:top w:val="single" w:color="000000" w:sz="2" w:space="0"/>
              <w:left w:val="single" w:color="000000" w:sz="2" w:space="0"/>
              <w:right w:val="single" w:color="000000" w:sz="2" w:space="0"/>
            </w:tcBorders>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解决争议的方法</w:t>
            </w:r>
            <w:r/>
          </w:p>
        </w:tc>
        <w:tc>
          <w:tcPr>
            <w:tcBorders>
              <w:top w:val="single" w:color="000000" w:sz="2" w:space="0"/>
              <w:left w:val="single" w:color="000000" w:sz="2" w:space="0"/>
            </w:tcBorders>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1.因本合同及合同有关事项发生的争议，由双方协商解决，协商不成时，按下列第</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rPr>
              <w:t xml:space="preserve">种方式解决：</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（1）向仲裁委员会申请仲裁，仲裁地点为；</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（2）向甲方所在地人民法院起诉。</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2.纠纷解决办法</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第23.1款</w:t>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其他专用条款</w:t>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3.验收不合格的货物，乙方应在</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rPr>
              <w:t xml:space="preserve">%的违约金。在乙方承诺的或国家规定的质量保证期内，若经乙方维修或更换，货物仍不能达到合同约定的质量标准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甲方有权退货，乙方应退回全部货款，同时，乙方还须赔偿甲方因此遭受的损失。</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4.货物验收要求</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）依照招</w:t>
            </w:r>
            <w:r>
              <w:rPr>
                <w:rFonts w:hint="eastAsia" w:ascii="宋体" w:hAnsi="宋体" w:eastAsia="宋体" w:cs="宋体"/>
                <w:color w:val="auto"/>
                <w:sz w:val="24"/>
                <w:szCs w:val="24"/>
                <w:highlight w:val="none"/>
              </w:rPr>
              <w:t xml:space="preserve">标文件要求对全部货物、型号、规格、数量、</w:t>
            </w:r>
            <w:r>
              <w:rPr>
                <w:rFonts w:hint="eastAsia" w:ascii="宋体" w:hAnsi="宋体" w:eastAsia="宋体" w:cs="宋体"/>
                <w:color w:val="auto"/>
                <w:sz w:val="24"/>
                <w:szCs w:val="24"/>
                <w:highlight w:val="none"/>
                <w:lang w:eastAsia="zh-CN"/>
              </w:rPr>
              <w:t xml:space="preserve">外形</w:t>
            </w:r>
            <w:r>
              <w:rPr>
                <w:rFonts w:hint="eastAsia" w:ascii="宋体" w:hAnsi="宋体" w:eastAsia="宋体" w:cs="宋体"/>
                <w:color w:val="auto"/>
                <w:sz w:val="24"/>
                <w:szCs w:val="24"/>
                <w:highlight w:val="none"/>
              </w:rPr>
              <w:t xml:space="preserve">、外观、包装及资料、文件（如装箱单、保修单、随箱介质等）进行验收。</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甲方与乙方</w:t>
            </w:r>
            <w:r>
              <w:rPr>
                <w:rFonts w:hint="eastAsia" w:ascii="宋体" w:hAnsi="宋体" w:eastAsia="宋体" w:cs="宋体"/>
                <w:color w:val="auto"/>
                <w:sz w:val="24"/>
                <w:szCs w:val="24"/>
                <w:highlight w:val="none"/>
              </w:rPr>
              <w:t xml:space="preserve">对货物到货后共同进行开箱检查，出现损坏、数量不全或产品不对等问题时，由乙方负责解决。</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甲方有权从乙方所送货物中任意抽出不同型号的产品送采购人所在地的质检部门检验，如果检验合格，检验费由甲方负担；如果检验不合格，则检验费由乙方负担。</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（4）乙方应按照本合同规定的时间、地点和方式向</w:t>
            </w:r>
            <w:r>
              <w:rPr>
                <w:rFonts w:hint="eastAsia" w:ascii="宋体" w:hAnsi="宋体" w:eastAsia="宋体" w:cs="宋体"/>
                <w:color w:val="auto"/>
                <w:sz w:val="24"/>
                <w:szCs w:val="24"/>
                <w:highlight w:val="none"/>
                <w:lang w:val="en-US" w:eastAsia="zh-CN"/>
              </w:rPr>
              <w:t xml:space="preserve">甲</w:t>
            </w:r>
            <w:r>
              <w:rPr>
                <w:rFonts w:hint="eastAsia" w:ascii="宋体" w:hAnsi="宋体" w:eastAsia="宋体" w:cs="宋体"/>
                <w:color w:val="auto"/>
                <w:sz w:val="24"/>
                <w:szCs w:val="24"/>
                <w:highlight w:val="none"/>
              </w:rPr>
              <w:t xml:space="preserve">方交付货物。</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交货时间：</w:t>
            </w:r>
            <w:r>
              <w:rPr>
                <w:rFonts w:hint="eastAsia" w:ascii="宋体" w:hAnsi="宋体" w:eastAsia="宋体" w:cs="宋体"/>
                <w:color w:val="auto"/>
                <w:sz w:val="24"/>
                <w:szCs w:val="24"/>
                <w:highlight w:val="none"/>
                <w:u w:val="single"/>
              </w:rPr>
              <w:t xml:space="preserve">签订合同后60</w:t>
            </w:r>
            <w:r>
              <w:rPr>
                <w:rFonts w:hint="eastAsia" w:ascii="宋体" w:hAnsi="宋体" w:eastAsia="宋体" w:cs="宋体"/>
                <w:color w:val="auto"/>
                <w:sz w:val="24"/>
                <w:szCs w:val="24"/>
                <w:highlight w:val="none"/>
                <w:lang w:val="en-US" w:eastAsia="zh-CN"/>
              </w:rPr>
              <w:t xml:space="preserve">日历天内</w:t>
            </w:r>
            <w:r>
              <w:rPr>
                <w:rFonts w:hint="eastAsia" w:ascii="宋体" w:hAnsi="宋体" w:eastAsia="宋体" w:cs="宋体"/>
                <w:color w:val="auto"/>
                <w:sz w:val="24"/>
                <w:szCs w:val="24"/>
                <w:highlight w:val="none"/>
              </w:rPr>
              <w:t xml:space="preserve">完成供货并交付使用。</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交货地点：甲方指定地点。</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（5）甲方应在全部货物到货安装完毕后的</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rPr>
              <w:t xml:space="preserve">日内进行验收，验收包括：型号、规格、数量、外观是否完好，安装调试是否合格等。验收合格后甲方应在验收报告上签字盖章。</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税费</w:t>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1.中国政府根据现行税法规定对甲方征收的与本合同有关的一切税费均由甲方负担（免税部分除外），招标文件另有规定的除外。</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2.中国政府根据现行税法规定对乙方征收的与本合同有关的一切税费均由乙方负担（免税部分除外）。</w:t>
            </w:r>
            <w:r/>
          </w:p>
        </w:tc>
      </w:tr>
      <w:tr>
        <w:trPr>
          <w:trHeight w:val="4210"/>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伴随服务</w:t>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1.乙方应按照国家</w:t>
            </w:r>
            <w:r>
              <w:rPr>
                <w:rFonts w:hint="eastAsia" w:ascii="宋体" w:hAnsi="宋体" w:eastAsia="宋体" w:cs="宋体"/>
                <w:b/>
                <w:color w:val="auto"/>
                <w:sz w:val="24"/>
                <w:szCs w:val="24"/>
                <w:highlight w:val="none"/>
              </w:rPr>
              <w:t xml:space="preserve">“新三包”</w:t>
            </w:r>
            <w:r>
              <w:rPr>
                <w:rFonts w:hint="eastAsia" w:ascii="宋体" w:hAnsi="宋体" w:eastAsia="宋体" w:cs="宋体"/>
                <w:color w:val="auto"/>
                <w:sz w:val="24"/>
                <w:szCs w:val="24"/>
                <w:highlight w:val="none"/>
                <w:lang w:eastAsia="zh-CN"/>
              </w:rPr>
              <w:t xml:space="preserve">规定和合同中所附的服务承诺提供服务。</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2.除第1条规定外，乙方还应提供下列服务：</w:t>
            </w:r>
            <w:r/>
          </w:p>
          <w:p>
            <w:pPr>
              <w:ind w:firstLine="241"/>
              <w:jc w:val="both"/>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color w:val="auto"/>
                <w:sz w:val="24"/>
                <w:szCs w:val="24"/>
                <w:highlight w:val="none"/>
              </w:rPr>
              <w:t xml:space="preserve">招标文件中的“服务要求”所规定的服务内容以及投标文件承诺提供的其他服务内容；</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负责货物的开孔，货物的现场安装；</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提供货物组装和维修所需的工具；</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在合同中乙方承诺的质保期限内对所提供货物正常使用实施监督、维修，但前提条件是该服务并不能免除乙方在质量保证期内应承担的义务；</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在货物交货现场就货物的安装、启用、维护等对甲方人员进行培训。</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3.伴随服务的费用应含在合同价中，不单独进行支付。</w:t>
            </w:r>
            <w:r/>
          </w:p>
        </w:tc>
      </w:tr>
      <w:tr>
        <w:trPr>
          <w:trHeight w:val="770"/>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索赔</w:t>
            </w:r>
            <w:r/>
          </w:p>
          <w:p>
            <w:pPr>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1.甲方有权根据当地质检部门出具的检验报告，向乙方提出索赔。</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2.根据合同规定的检验期和质量保证期内，如果乙方对甲方提出的索赔和差异负有责任，乙方应按照甲方同意的下列一种或多种方式解决索赔事宜：</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必要费用。</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根据货物的低劣程度、损坏程度以及甲方所遭受损失的数额，乙方必须降低货物的价格。</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314"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90"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w:t>
            </w:r>
            <w:r>
              <w:rPr>
                <w:rFonts w:hint="eastAsia" w:ascii="宋体" w:hAnsi="宋体" w:eastAsia="宋体" w:cs="宋体"/>
                <w:color w:val="auto"/>
                <w:sz w:val="24"/>
                <w:szCs w:val="24"/>
                <w:highlight w:val="none"/>
                <w:lang w:eastAsia="zh-CN"/>
              </w:rPr>
              <w:t xml:space="preserve">及其他</w:t>
            </w:r>
            <w:r/>
          </w:p>
          <w:p>
            <w:pPr>
              <w:jc w:val="left"/>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5528"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1.合同经甲方、乙方盖章后生效。</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2.货物交付使用后所发生的合同纠纷，由甲方与乙方协商处理。</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0"/>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4.本合同应按照中华人民共和国的现行法律进行解释。本合同未尽事宜，遵照《</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中华人民共和国</w:t>
            </w:r>
            <w:r>
              <w:rPr>
                <w:rFonts w:hint="eastAsia" w:ascii="宋体" w:hAnsi="宋体" w:eastAsia="宋体" w:cs="宋体"/>
                <w:color w:val="auto"/>
                <w:sz w:val="24"/>
                <w:szCs w:val="24"/>
                <w:highlight w:val="none"/>
              </w:rPr>
              <w:t xml:space="preserve">政府采购法》等有关条文执行。</w:t>
            </w:r>
            <w:r/>
          </w:p>
        </w:tc>
      </w:tr>
    </w:tbl>
    <w:p>
      <w:pPr>
        <w:pStyle w:val="730"/>
        <w:jc w:val="center"/>
        <w:keepLines w:val="0"/>
        <w:keepNext w:val="0"/>
        <w:pageBreakBefore w:val="0"/>
        <w:spacing w:before="120" w:beforeAutospacing="0" w:after="120" w:afterAutospacing="0" w:line="0" w:lineRule="atLeast"/>
        <w:widowControl w:val="off"/>
        <w:rPr>
          <w:rFonts w:hint="eastAsia" w:ascii="黑体" w:hAnsi="宋体" w:eastAsia="黑体" w:cs="黑体"/>
          <w:color w:val="auto"/>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auto"/>
          <w:sz w:val="44"/>
          <w:szCs w:val="44"/>
          <w:highlight w:val="none"/>
        </w:rPr>
      </w:r>
      <w:r/>
    </w:p>
    <w:p>
      <w:pPr>
        <w:jc w:val="center"/>
        <w:keepLines w:val="0"/>
        <w:keepNext w:val="0"/>
        <w:pageBreakBefore w:val="0"/>
        <w:widowControl w:val="off"/>
        <w:rPr>
          <w:rFonts w:hint="eastAsia"/>
          <w:b/>
          <w:color w:val="auto"/>
          <w:sz w:val="21"/>
          <w:szCs w:val="21"/>
          <w:highlight w:val="none"/>
        </w:rPr>
        <w:outlineLvl w:val="9"/>
      </w:pPr>
      <w:r>
        <w:rPr>
          <w:rFonts w:hint="eastAsia"/>
          <w:b/>
          <w:color w:val="auto"/>
          <w:sz w:val="21"/>
          <w:szCs w:val="21"/>
          <w:highlight w:val="none"/>
        </w:rPr>
        <w:t xml:space="preserve">消防装备物资信息采集系统（企业）</w:t>
      </w:r>
      <w:r/>
    </w:p>
    <w:p>
      <w:pPr>
        <w:numPr>
          <w:ilvl w:val="0"/>
          <w:numId w:val="3"/>
        </w:numPr>
        <w:ind w:left="0"/>
        <w:keepLines w:val="0"/>
        <w:keepNext w:val="0"/>
        <w:pageBreakBefore w:val="0"/>
        <w:widowControl w:val="off"/>
        <w:rPr>
          <w:rFonts w:hint="eastAsia"/>
          <w:color w:val="auto"/>
          <w:sz w:val="21"/>
          <w:szCs w:val="21"/>
          <w:highlight w:val="none"/>
        </w:rPr>
        <w:outlineLvl w:val="1"/>
      </w:pPr>
      <w:r>
        <w:rPr>
          <w:rFonts w:hint="eastAsia"/>
          <w:color w:val="auto"/>
          <w:sz w:val="21"/>
          <w:szCs w:val="21"/>
          <w:highlight w:val="none"/>
        </w:rPr>
        <w:t xml:space="preserve">系统使用地址</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http://xfzb.119.gov.cn</w:t>
      </w:r>
      <w:r/>
    </w:p>
    <w:p>
      <w:pPr>
        <w:numPr>
          <w:ilvl w:val="0"/>
          <w:numId w:val="3"/>
        </w:numPr>
        <w:ind w:left="0"/>
        <w:keepLines w:val="0"/>
        <w:keepNext w:val="0"/>
        <w:pageBreakBefore w:val="0"/>
        <w:widowControl w:val="off"/>
        <w:rPr>
          <w:rFonts w:hint="eastAsia"/>
          <w:color w:val="auto"/>
          <w:sz w:val="21"/>
          <w:szCs w:val="21"/>
          <w:highlight w:val="none"/>
        </w:rPr>
        <w:outlineLvl w:val="1"/>
      </w:pPr>
      <w:r>
        <w:rPr>
          <w:rFonts w:hint="eastAsia"/>
          <w:color w:val="auto"/>
          <w:sz w:val="21"/>
          <w:szCs w:val="21"/>
          <w:highlight w:val="none"/>
        </w:rPr>
        <w:t xml:space="preserve">使用流程</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mc:AlternateContent>
          <mc:Choice Requires="wpg">
            <w:drawing>
              <wp:inline xmlns:wp="http://schemas.openxmlformats.org/drawingml/2006/wordprocessingDrawing" distT="0" distB="0" distL="0" distR="0">
                <wp:extent cx="5276850" cy="102870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2"/>
                        <a:stretch/>
                      </pic:blipFill>
                      <pic:spPr bwMode="auto">
                        <a:xfrm>
                          <a:off x="0" y="0"/>
                          <a:ext cx="52768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5pt;height:81.0pt;mso-wrap-distance-left:0.0pt;mso-wrap-distance-top:0.0pt;mso-wrap-distance-right:0.0pt;mso-wrap-distance-bottom:0.0pt;" stroked="f">
                <v:path textboxrect="0,0,0,0"/>
                <v:imagedata r:id="rId12" o:title=""/>
              </v:shape>
            </w:pict>
          </mc:Fallback>
        </mc:AlternateContent>
      </w:r>
      <w:r/>
    </w:p>
    <w:p>
      <w:pPr>
        <w:jc w:val="cente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图1 企业装备信息采集使用流程图</w:t>
      </w:r>
      <w:r/>
    </w:p>
    <w:p>
      <w:pPr>
        <w:numPr>
          <w:ilvl w:val="0"/>
          <w:numId w:val="4"/>
        </w:numPr>
        <w:keepLines w:val="0"/>
        <w:keepNext w:val="0"/>
        <w:pageBreakBefore w:val="0"/>
        <w:widowControl w:val="off"/>
        <w:rPr>
          <w:rFonts w:hint="eastAsia"/>
          <w:color w:val="auto"/>
          <w:sz w:val="21"/>
          <w:szCs w:val="21"/>
          <w:highlight w:val="none"/>
        </w:rPr>
        <w:outlineLvl w:val="2"/>
      </w:pPr>
      <w:r>
        <w:rPr>
          <w:rFonts w:hint="eastAsia"/>
          <w:color w:val="auto"/>
          <w:sz w:val="21"/>
          <w:szCs w:val="21"/>
          <w:highlight w:val="none"/>
        </w:rPr>
        <w:t xml:space="preserve">企业注册</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企业在系统中注册申请系统使用账号，须提供工商营业注册凭证扫描件等基础信息；</w:t>
      </w:r>
      <w:r/>
    </w:p>
    <w:p>
      <w:pPr>
        <w:numPr>
          <w:ilvl w:val="0"/>
          <w:numId w:val="4"/>
        </w:numPr>
        <w:keepLines w:val="0"/>
        <w:keepNext w:val="0"/>
        <w:pageBreakBefore w:val="0"/>
        <w:widowControl w:val="off"/>
        <w:rPr>
          <w:rFonts w:hint="eastAsia"/>
          <w:color w:val="auto"/>
          <w:sz w:val="21"/>
          <w:szCs w:val="21"/>
          <w:highlight w:val="none"/>
        </w:rPr>
        <w:outlineLvl w:val="2"/>
      </w:pPr>
      <w:r>
        <w:rPr>
          <w:rFonts w:hint="eastAsia"/>
          <w:color w:val="auto"/>
          <w:sz w:val="21"/>
          <w:szCs w:val="21"/>
          <w:highlight w:val="none"/>
        </w:rPr>
        <w:t xml:space="preserve">企业信息完善</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企业注册审核通过后，登录系统并完善其GIS位置信息，售后机构，生产能力等信息。</w:t>
      </w:r>
      <w:r/>
    </w:p>
    <w:p>
      <w:pPr>
        <w:numPr>
          <w:ilvl w:val="0"/>
          <w:numId w:val="4"/>
        </w:numPr>
        <w:keepLines w:val="0"/>
        <w:keepNext w:val="0"/>
        <w:pageBreakBefore w:val="0"/>
        <w:widowControl w:val="off"/>
        <w:rPr>
          <w:rFonts w:hint="eastAsia"/>
          <w:color w:val="auto"/>
          <w:sz w:val="21"/>
          <w:szCs w:val="21"/>
          <w:highlight w:val="none"/>
        </w:rPr>
        <w:outlineLvl w:val="2"/>
      </w:pPr>
      <w:r>
        <w:rPr>
          <w:rFonts w:hint="eastAsia"/>
          <w:color w:val="auto"/>
          <w:sz w:val="21"/>
          <w:szCs w:val="21"/>
          <w:highlight w:val="none"/>
        </w:rPr>
        <w:t xml:space="preserve">产品信息录入</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各装备企业严格按照装备物资分类及核心参数标准，在系统上填写产品信息。</w:t>
      </w:r>
      <w:r/>
    </w:p>
    <w:p>
      <w:pPr>
        <w:numPr>
          <w:ilvl w:val="0"/>
          <w:numId w:val="4"/>
        </w:numPr>
        <w:keepLines w:val="0"/>
        <w:keepNext w:val="0"/>
        <w:pageBreakBefore w:val="0"/>
        <w:widowControl w:val="off"/>
        <w:rPr>
          <w:rFonts w:hint="eastAsia"/>
          <w:color w:val="auto"/>
          <w:sz w:val="21"/>
          <w:szCs w:val="21"/>
          <w:highlight w:val="none"/>
        </w:rPr>
        <w:outlineLvl w:val="2"/>
      </w:pPr>
      <w:r>
        <w:rPr>
          <w:rFonts w:hint="eastAsia"/>
          <w:color w:val="auto"/>
          <w:sz w:val="21"/>
          <w:szCs w:val="21"/>
          <w:highlight w:val="none"/>
        </w:rPr>
        <w:t xml:space="preserve">装备赋码申请</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各装备企业按照实际交付需要，申请装备编码，申请通过后，系统自动配发装备编码以及参考二维码。</w:t>
      </w:r>
      <w:r/>
    </w:p>
    <w:p>
      <w:pPr>
        <w:numPr>
          <w:ilvl w:val="0"/>
          <w:numId w:val="4"/>
        </w:numPr>
        <w:keepLines w:val="0"/>
        <w:keepNext w:val="0"/>
        <w:pageBreakBefore w:val="0"/>
        <w:widowControl w:val="off"/>
        <w:rPr>
          <w:rFonts w:hint="eastAsia"/>
          <w:color w:val="auto"/>
          <w:sz w:val="21"/>
          <w:szCs w:val="21"/>
          <w:highlight w:val="none"/>
        </w:rPr>
        <w:outlineLvl w:val="2"/>
      </w:pPr>
      <w:r>
        <w:rPr>
          <w:rFonts w:hint="eastAsia"/>
          <w:color w:val="auto"/>
          <w:sz w:val="21"/>
          <w:szCs w:val="21"/>
          <w:highlight w:val="none"/>
        </w:rPr>
        <w:t xml:space="preserve">企业装备赋码</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企业申请编码通过后，按照物联网标签赋码规范安装标签，统一交付队伍。</w:t>
      </w:r>
      <w:r/>
    </w:p>
    <w:p>
      <w:pPr>
        <w:numPr>
          <w:ilvl w:val="0"/>
          <w:numId w:val="4"/>
        </w:numPr>
        <w:keepLines w:val="0"/>
        <w:keepNext w:val="0"/>
        <w:pageBreakBefore w:val="0"/>
        <w:widowControl w:val="off"/>
        <w:rPr>
          <w:rFonts w:hint="eastAsia"/>
          <w:color w:val="auto"/>
          <w:sz w:val="21"/>
          <w:szCs w:val="21"/>
          <w:highlight w:val="none"/>
        </w:rPr>
        <w:outlineLvl w:val="2"/>
      </w:pPr>
      <w:r>
        <w:rPr>
          <w:rFonts w:hint="eastAsia"/>
          <w:color w:val="auto"/>
          <w:sz w:val="21"/>
          <w:szCs w:val="21"/>
          <w:highlight w:val="none"/>
        </w:rPr>
        <w:t xml:space="preserve">队伍验收</w:t>
      </w:r>
      <w:r/>
    </w:p>
    <w:p>
      <w:pP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队伍接收带编码的装备，统一交付验收。</w:t>
      </w:r>
      <w:r/>
    </w:p>
    <w:p>
      <w:pPr>
        <w:keepLines w:val="0"/>
        <w:keepNext w:val="0"/>
        <w:pageBreakBefore w:val="0"/>
        <w:widowControl w:val="off"/>
        <w:rPr>
          <w:rFonts w:hint="eastAsia"/>
          <w:color w:val="auto"/>
          <w:sz w:val="21"/>
          <w:szCs w:val="21"/>
          <w:highlight w:val="none"/>
        </w:rPr>
        <w:outlineLvl w:val="1"/>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三</w:t>
      </w:r>
      <w:r>
        <w:rPr>
          <w:rFonts w:hint="eastAsia"/>
          <w:color w:val="auto"/>
          <w:sz w:val="21"/>
          <w:szCs w:val="21"/>
          <w:highlight w:val="none"/>
          <w:lang w:eastAsia="zh-CN"/>
        </w:rPr>
        <w:t xml:space="preserve">）</w:t>
      </w:r>
      <w:r>
        <w:rPr>
          <w:rFonts w:hint="eastAsia"/>
          <w:color w:val="auto"/>
          <w:sz w:val="21"/>
          <w:szCs w:val="21"/>
          <w:highlight w:val="none"/>
        </w:rPr>
        <w:t xml:space="preserve">技术支持联系方式</w:t>
      </w:r>
      <w:r/>
    </w:p>
    <w:p>
      <w:pPr>
        <w:keepLines w:val="0"/>
        <w:keepNext w:val="0"/>
        <w:pageBreakBefore w:val="0"/>
        <w:widowControl w:val="off"/>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马英虎</w:t>
      </w:r>
      <w:r>
        <w:rPr>
          <w:rFonts w:hint="eastAsia"/>
          <w:color w:val="auto"/>
          <w:sz w:val="21"/>
          <w:szCs w:val="21"/>
          <w:highlight w:val="none"/>
        </w:rPr>
        <w:t xml:space="preserve">  1</w:t>
      </w:r>
      <w:r>
        <w:rPr>
          <w:rFonts w:hint="eastAsia"/>
          <w:color w:val="auto"/>
          <w:sz w:val="21"/>
          <w:szCs w:val="21"/>
          <w:highlight w:val="none"/>
          <w:lang w:val="en-US" w:eastAsia="zh-CN"/>
        </w:rPr>
        <w:t xml:space="preserve">5380884762；</w:t>
      </w:r>
      <w:r>
        <w:rPr>
          <w:rFonts w:hint="eastAsia"/>
          <w:color w:val="auto"/>
          <w:sz w:val="21"/>
          <w:szCs w:val="21"/>
          <w:highlight w:val="none"/>
        </w:rPr>
        <w:t xml:space="preserve"> </w:t>
      </w:r>
      <w:r>
        <w:rPr>
          <w:rFonts w:hint="eastAsia"/>
          <w:color w:val="auto"/>
          <w:sz w:val="21"/>
          <w:szCs w:val="21"/>
          <w:highlight w:val="none"/>
          <w:lang w:val="en-US" w:eastAsia="zh-CN"/>
        </w:rPr>
        <w:t xml:space="preserve">林凯同 15032108289</w:t>
      </w:r>
      <w:r/>
    </w:p>
    <w:p>
      <w:pPr>
        <w:pStyle w:val="760"/>
        <w:keepLines w:val="0"/>
        <w:keepNext w:val="0"/>
        <w:pageBreakBefore w:val="0"/>
        <w:spacing w:after="0"/>
        <w:widowControl w:val="off"/>
        <w:rPr>
          <w:rFonts w:hint="eastAsia" w:ascii="宋体"/>
          <w:color w:val="auto"/>
          <w:highlight w:val="none"/>
          <w:lang w:val="zh-CN"/>
        </w:rPr>
      </w:pPr>
      <w:r>
        <w:rPr>
          <w:rFonts w:hint="eastAsia" w:ascii="宋体"/>
          <w:color w:val="auto"/>
          <w:highlight w:val="none"/>
          <w:lang w:val="zh-CN"/>
        </w:rPr>
      </w:r>
      <w:r/>
    </w:p>
    <w:p>
      <w:pPr>
        <w:keepLines w:val="0"/>
        <w:keepNext w:val="0"/>
        <w:pageBreakBefore w:val="0"/>
        <w:widowControl w:val="off"/>
        <w:rPr>
          <w:rFonts w:hint="eastAsia"/>
          <w:color w:val="auto"/>
          <w:sz w:val="21"/>
          <w:szCs w:val="21"/>
          <w:highlight w:val="none"/>
          <w:lang w:val="zh-CN"/>
        </w:rPr>
      </w:pPr>
      <w:r>
        <w:rPr>
          <w:rFonts w:hint="eastAsia"/>
          <w:bCs/>
          <w:color w:val="auto"/>
          <w:sz w:val="21"/>
          <w:szCs w:val="21"/>
          <w:highlight w:val="none"/>
        </w:rPr>
        <w:t xml:space="preserve">二维码符号及RFID标签粘贴位置标准及要求</w:t>
      </w:r>
      <w:r/>
    </w:p>
    <w:p>
      <w:pPr>
        <w:pStyle w:val="760"/>
        <w:keepLines w:val="0"/>
        <w:keepNext w:val="0"/>
        <w:pageBreakBefore w:val="0"/>
        <w:spacing w:after="0"/>
        <w:widowControl w:val="off"/>
        <w:rPr>
          <w:rFonts w:hint="eastAsia" w:ascii="宋体"/>
          <w:color w:val="auto"/>
          <w:sz w:val="21"/>
          <w:szCs w:val="21"/>
          <w:highlight w:val="none"/>
        </w:rPr>
      </w:pPr>
      <w:r>
        <w:rPr>
          <w:rFonts w:hint="eastAsia" w:ascii="宋体"/>
          <w:color w:val="auto"/>
          <w:sz w:val="21"/>
          <w:szCs w:val="21"/>
          <w:highlight w:val="none"/>
        </w:rPr>
      </w:r>
      <w:r/>
    </w:p>
    <w:p>
      <w:pPr>
        <w:keepLines w:val="0"/>
        <w:keepNext w:val="0"/>
        <w:pageBreakBefore w:val="0"/>
        <w:widowControl w:val="off"/>
        <w:rPr>
          <w:rFonts w:hint="eastAsia" w:ascii="宋体" w:hAnsi="宋体" w:cs="宋体"/>
          <w:color w:val="auto"/>
          <w:sz w:val="24"/>
          <w:szCs w:val="24"/>
          <w:highlight w:val="none"/>
        </w:rPr>
        <w:outlineLvl w:val="9"/>
      </w:pPr>
      <w:r/>
      <w:bookmarkStart w:id="169" w:name="_Toc53648731"/>
      <w:r>
        <w:rPr>
          <w:rFonts w:hint="eastAsia" w:ascii="宋体" w:hAnsi="宋体" w:cs="宋体"/>
          <w:color w:val="auto"/>
          <w:sz w:val="21"/>
          <w:szCs w:val="21"/>
          <w:highlight w:val="none"/>
        </w:rPr>
        <w:t xml:space="preserve">二维码符号及RFID标签粘贴位置标准及要求待合同签订后再</w:t>
      </w:r>
      <w:r>
        <w:rPr>
          <w:rFonts w:hint="eastAsia" w:ascii="宋体" w:hAnsi="宋体" w:cs="宋体"/>
          <w:color w:val="auto"/>
          <w:sz w:val="21"/>
          <w:szCs w:val="21"/>
          <w:highlight w:val="none"/>
          <w:lang w:eastAsia="zh-CN"/>
        </w:rPr>
        <w:t xml:space="preserve">由</w:t>
      </w:r>
      <w:r>
        <w:rPr>
          <w:rFonts w:hint="eastAsia" w:ascii="宋体" w:hAnsi="宋体" w:cs="宋体"/>
          <w:color w:val="auto"/>
          <w:sz w:val="21"/>
          <w:szCs w:val="21"/>
          <w:highlight w:val="none"/>
        </w:rPr>
        <w:t xml:space="preserve">乙方参照甲方的“二维码符号及RFID标签粘贴位置标准”中的标准要求进行实施。</w:t>
      </w:r>
      <w:bookmarkEnd w:id="169"/>
      <w:r/>
      <w:r/>
    </w:p>
    <w:p>
      <w:pPr>
        <w:pStyle w:val="730"/>
        <w:jc w:val="center"/>
        <w:keepLines w:val="0"/>
        <w:keepNext w:val="0"/>
        <w:pageBreakBefore w:val="0"/>
        <w:spacing w:before="120" w:beforeAutospacing="0" w:after="120" w:afterAutospacing="0" w:line="0" w:lineRule="atLeast"/>
        <w:widowControl w:val="off"/>
        <w:rPr>
          <w:rFonts w:hint="eastAsia" w:ascii="黑体" w:hAnsi="宋体" w:eastAsia="黑体" w:cs="黑体"/>
          <w:color w:val="auto"/>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auto"/>
          <w:sz w:val="44"/>
          <w:szCs w:val="44"/>
          <w:highlight w:val="none"/>
        </w:rPr>
      </w:r>
      <w:r/>
    </w:p>
    <w:p>
      <w:pPr>
        <w:pStyle w:val="730"/>
        <w:jc w:val="center"/>
        <w:keepLines w:val="0"/>
        <w:keepNext w:val="0"/>
        <w:pageBreakBefore w:val="0"/>
        <w:spacing w:before="120" w:beforeAutospacing="0" w:after="120" w:afterAutospacing="0" w:line="0" w:lineRule="atLeast"/>
        <w:widowControl w:val="off"/>
        <w:rPr>
          <w:color w:val="auto"/>
          <w:sz w:val="40"/>
          <w:szCs w:val="40"/>
          <w:highlight w:val="none"/>
        </w:rPr>
      </w:pPr>
      <w:r>
        <w:rPr>
          <w:rFonts w:hint="eastAsia" w:ascii="黑体" w:hAnsi="宋体" w:eastAsia="黑体" w:cs="黑体"/>
          <w:color w:val="auto"/>
          <w:sz w:val="40"/>
          <w:szCs w:val="40"/>
          <w:highlight w:val="none"/>
        </w:rPr>
        <w:t xml:space="preserve">第</w:t>
      </w:r>
      <w:bookmarkEnd w:id="151"/>
      <w:r>
        <w:rPr>
          <w:rFonts w:hint="eastAsia" w:ascii="黑体" w:hAnsi="宋体" w:eastAsia="黑体" w:cs="黑体"/>
          <w:color w:val="auto"/>
          <w:sz w:val="40"/>
          <w:szCs w:val="40"/>
          <w:highlight w:val="none"/>
        </w:rPr>
        <w:t xml:space="preserve">四章</w:t>
      </w:r>
      <w:r>
        <w:rPr>
          <w:rFonts w:hint="eastAsia" w:ascii="黑体" w:hAnsi="宋体" w:eastAsia="黑体" w:cs="黑体"/>
          <w:color w:val="auto"/>
          <w:sz w:val="40"/>
          <w:szCs w:val="40"/>
          <w:highlight w:val="none"/>
          <w:lang w:val="en-US" w:eastAsia="zh-CN"/>
        </w:rPr>
        <w:t xml:space="preserve"> </w:t>
      </w:r>
      <w:r>
        <w:rPr>
          <w:rFonts w:hint="eastAsia" w:ascii="黑体" w:hAnsi="宋体" w:eastAsia="黑体" w:cs="黑体"/>
          <w:color w:val="auto"/>
          <w:sz w:val="40"/>
          <w:szCs w:val="40"/>
          <w:highlight w:val="none"/>
        </w:rPr>
        <w:t xml:space="preserve">采购需求</w:t>
      </w:r>
      <w:bookmarkEnd w:id="152"/>
      <w:r/>
      <w:bookmarkEnd w:id="153"/>
      <w:r/>
      <w:bookmarkEnd w:id="154"/>
      <w:r/>
      <w:bookmarkEnd w:id="155"/>
      <w:r/>
      <w:bookmarkEnd w:id="156"/>
      <w:r/>
      <w:r/>
    </w:p>
    <w:p>
      <w:pPr>
        <w:ind w:firstLine="482"/>
        <w:jc w:val="left"/>
        <w:keepLines w:val="0"/>
        <w:keepNext w:val="0"/>
        <w:pageBreakBefore w:val="0"/>
        <w:spacing w:line="560" w:lineRule="exact"/>
        <w:widowControl w:val="off"/>
        <w:rPr>
          <w:rFonts w:hint="eastAsia" w:ascii="宋体" w:hAnsi="宋体" w:eastAsia="宋体" w:cs="宋体"/>
          <w:b/>
          <w:bCs/>
          <w:color w:val="auto"/>
          <w:sz w:val="24"/>
          <w:highlight w:val="none"/>
          <w:lang w:val="en-US" w:eastAsia="zh-CN"/>
        </w:rPr>
      </w:pPr>
      <w:r/>
      <w:bookmarkStart w:id="170" w:name="_Toc49090575"/>
      <w:r/>
      <w:bookmarkStart w:id="171" w:name="_Toc26554093"/>
      <w:r>
        <w:rPr>
          <w:rFonts w:hint="eastAsia" w:ascii="宋体" w:hAnsi="宋体" w:eastAsia="宋体" w:cs="宋体"/>
          <w:b/>
          <w:bCs/>
          <w:color w:val="auto"/>
          <w:sz w:val="24"/>
          <w:highlight w:val="none"/>
          <w:lang w:val="en-US" w:eastAsia="zh-CN"/>
        </w:rPr>
        <w:t xml:space="preserve">项目属性：货物类项目</w:t>
      </w:r>
      <w:bookmarkEnd w:id="170"/>
      <w:r/>
      <w:bookmarkEnd w:id="171"/>
      <w:r/>
      <w:r/>
    </w:p>
    <w:p>
      <w:pPr>
        <w:ind w:firstLine="482"/>
        <w:jc w:val="left"/>
        <w:keepLines w:val="0"/>
        <w:keepNext w:val="0"/>
        <w:pageBreakBefore w:val="0"/>
        <w:spacing w:line="560" w:lineRule="exact"/>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lang w:eastAsia="zh-CN"/>
        </w:rPr>
        <w:t xml:space="preserve">需求清单（</w:t>
      </w:r>
      <w:r>
        <w:rPr>
          <w:rFonts w:hint="eastAsia" w:ascii="宋体" w:hAnsi="宋体" w:eastAsia="宋体" w:cs="宋体"/>
          <w:b/>
          <w:bCs/>
          <w:color w:val="auto"/>
          <w:sz w:val="24"/>
          <w:highlight w:val="none"/>
          <w:lang w:val="en-US" w:eastAsia="zh-CN"/>
        </w:rPr>
        <w:t xml:space="preserve">及技术参数</w:t>
      </w:r>
      <w:r>
        <w:rPr>
          <w:rFonts w:hint="eastAsia" w:ascii="宋体" w:hAnsi="宋体" w:eastAsia="宋体" w:cs="宋体"/>
          <w:b/>
          <w:bCs/>
          <w:color w:val="auto"/>
          <w:sz w:val="24"/>
          <w:highlight w:val="none"/>
          <w:lang w:eastAsia="zh-CN"/>
        </w:rPr>
        <w:t xml:space="preserve">）</w:t>
      </w:r>
      <w:r/>
    </w:p>
    <w:tbl>
      <w:tblPr>
        <w:tblStyle w:val="708"/>
        <w:tblW w:w="14449" w:type="dxa"/>
        <w:tblInd w:w="-2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5"/>
        <w:gridCol w:w="1027"/>
        <w:gridCol w:w="11359"/>
        <w:gridCol w:w="695"/>
        <w:gridCol w:w="723"/>
      </w:tblGrid>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645" w:type="dxa"/>
            <w:vAlign w:val="center"/>
            <w:vMerge w:val="restart"/>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标的物品名称</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vMerge w:val="restart"/>
            <w:textDirection w:val="lrTb"/>
            <w:noWrap w:val="false"/>
          </w:tcPr>
          <w:p>
            <w:pPr>
              <w:jc w:val="center"/>
              <w:keepLines w:val="0"/>
              <w:keepNext w:val="0"/>
              <w:pageBreakBefore w:val="0"/>
              <w:spacing w:line="50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vMerge w:val="restart"/>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vMerge w:val="restart"/>
            <w:textDirection w:val="lrTb"/>
            <w:noWrap/>
          </w:tcPr>
          <w:p>
            <w:pPr>
              <w:jc w:val="center"/>
              <w:keepLines w:val="0"/>
              <w:keepNext w:val="0"/>
              <w:pageBreakBefore w:val="0"/>
              <w:spacing w:line="50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trHeight w:val="90"/>
        </w:trPr>
        <w:tc>
          <w:tcPr>
            <w:shd w:val="clear" w:color="auto" w:fill="auto"/>
            <w:tcBorders>
              <w:top w:val="single" w:color="000000" w:sz="4" w:space="0"/>
              <w:left w:val="single" w:color="000000" w:sz="4" w:space="0"/>
              <w:right w:val="single" w:color="000000" w:sz="4" w:space="0"/>
            </w:tcBorders>
            <w:tcW w:w="645" w:type="dxa"/>
            <w:vAlign w:val="center"/>
            <w:vMerge w:val="restart"/>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包1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消防拉梯</w:t>
            </w:r>
            <w:r/>
          </w:p>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（6米竹制消防拉梯）</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★1、提供所投消防拉梯完整有效的检验报告，检验结果和结论都应符合XF137-2007《消防梯》标准要求。（提供有检验检测资质的第三方出具的检测报告复印件并加盖投标人公章）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▲2、工作长度：6±0.2m；最小梯宽：300±3mm；梯蹬间距：280±2mm；质量：≤30kg。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3、水平弯曲残余变形比值：≤ 0.15%；</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4、单撑脚载荷要求：拉梯进行单撑脚载荷试验后，撑脚及联接件不应出现松动 、损伤及变形；</w:t>
            </w:r>
            <w:r/>
          </w:p>
          <w:p>
            <w:pPr>
              <w:ind w:firstLine="482"/>
              <w:jc w:val="left"/>
              <w:keepLines w:val="0"/>
              <w:keepNext w:val="0"/>
              <w:pageBreakBefore w:val="0"/>
              <w:spacing w:line="500" w:lineRule="exact"/>
              <w:widowControl w:val="off"/>
              <w:rPr>
                <w:rFonts w:hint="eastAsia"/>
                <w:i w:val="0"/>
                <w:iCs w:val="0"/>
                <w:color w:val="auto"/>
                <w:sz w:val="24"/>
                <w:szCs w:val="24"/>
                <w:highlight w:val="none"/>
                <w:u w:val="none"/>
                <w:lang w:val="en-US" w:eastAsia="zh-CN"/>
              </w:rPr>
            </w:pPr>
            <w:r>
              <w:rPr>
                <w:rFonts w:hint="eastAsia" w:ascii="宋体" w:hAnsi="宋体" w:cs="宋体"/>
                <w:color w:val="auto"/>
                <w:sz w:val="24"/>
                <w:szCs w:val="24"/>
                <w:highlight w:val="none"/>
                <w:lang w:val="en-US" w:eastAsia="zh-CN"/>
              </w:rPr>
              <w:t xml:space="preserve">抗冲击性能：试验时撑脚支撑功能应始终正常，试验后撑脚及梯蹬应无明显变形或损坏。</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62</w:t>
            </w:r>
            <w:r/>
          </w:p>
        </w:tc>
      </w:tr>
      <w:tr>
        <w:trPr>
          <w:trHeight w:val="90"/>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消防拉梯</w:t>
            </w:r>
            <w:r/>
          </w:p>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（9米竹制消防拉梯）</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★1、提供所投消防拉梯完整有效的检验报告，检验结果和结论都应符合XF137-2007《消防梯》标准要求。（提供有检验检测资质的第三方出具的检测报告复印件并加盖投标人公章）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▲2、工作长度：9±0.2m；最小梯宽：300±3mm；梯蹬间距：340±2mm；质量：≤45kg。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3、水平弯曲残余变形比值：≤ 0.15%；梯蹬弯曲残余变形比值：≤0.15%。</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4、整梯外观与结构要</w:t>
            </w:r>
            <w:r>
              <w:rPr>
                <w:rFonts w:hint="eastAsia" w:ascii="宋体" w:hAnsi="宋体" w:cs="宋体"/>
                <w:color w:val="auto"/>
                <w:sz w:val="24"/>
                <w:szCs w:val="24"/>
                <w:highlight w:val="none"/>
                <w:lang w:val="en-US" w:eastAsia="zh-CN"/>
              </w:rPr>
              <w:t xml:space="preserve">求：梯蹬与侧板应紧密吻合，不得松动 、加楔。金属梯蹬应有防滑措施；金属零件和竹、木零件应紧密贴合，不应补塞；紧固件应垂直旋紧，不应有突出的钉头锋口和毛刺等缺陷。铆钉应紧固并呈平整半圆头；消防梯外表面应光滑无毛刺，表面应涂不导电的涂料保护，竹、木表面呈桔黄色， 金属零件镀锌（或镀铬）或涂黑色磁漆。涂料表面光滑，色泽均匀，无漏涂 、流痕和影响外表面质量的缺陷；消防梯的侧板应设有角度仪，能可靠指示梯身与地平面的夹角；拉梯的撑脚应使用金属制造，工作时应能可靠支撑在梯蹬上；拉梯在展开和缩合的过程中，其限位装置应可靠。</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5、梯蹬剪切强度：梯蹬与侧板的连接处和梯蹬本身不应有任何断裂迹象；</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抗翘曲性能：试验时，任一梯脚均不得离地；梯节抗扭转性能：≤15°；抗滑移性能：试验时，各梯脚在整个试验表面不应出现位移；侧板悬臂弯曲最大变形值：≤1.5mm；侧摇摆要求：≤0.3%；单撑脚载荷要求：拉梯进行单撑脚载荷试验后，撑脚及联接件不应出现松动损伤及变形；抗冲击性能：试验时撑脚支撑功能应始终正常，试验后撑脚及梯蹬应无明显变形或损坏。</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36</w:t>
            </w:r>
            <w:r/>
          </w:p>
        </w:tc>
      </w:tr>
      <w:tr>
        <w:trPr>
          <w:trHeight w:val="90"/>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消防拉梯</w:t>
            </w:r>
            <w:r/>
          </w:p>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（15米金属消防拉梯）</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★1、提供所投消防拉梯完整有效的检验报告，检验结果和结论都应符合XF137-2007《消防梯》标准要求。（提供有检验检测资质的第三方出具的检测报告复印件并加盖投标人公章）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▲2、工作长度：15±0.3m；最小梯宽：350±4mm；梯蹬间距：340±2mm；整梯质量：≤60kg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3、水平弯曲残余变形比值：≤0.2%；梯蹬弯曲残余变形比值：≤0.2%；侧摇摆曲残余变形比值: ≤0.1%。</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4、梯蹬剪切强度：梯蹬与侧板的连接处和梯蹬本身无任何断裂迹象；梯尾具备移动滚轮。</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11</w:t>
            </w:r>
            <w:r/>
          </w:p>
        </w:tc>
      </w:tr>
      <w:tr>
        <w:trPr>
          <w:trHeight w:val="184"/>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消防拉梯</w:t>
            </w:r>
            <w:r/>
          </w:p>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（挂钩梯）</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★1、提供所投消防拉梯完整有效的检验报告，检验结果和结论都应符合XF137-2007《消防梯》标准要求。（提供有检验检测资质的第三方出具的检测报告复印件并加盖投标人公章）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▲2、工作高度：4±0.1m；最小梯宽：250±2mm；梯蹬间距：340±2mm；整梯质量：≤12kg。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3、材质：竹制；水平弯曲残余变形比值：≤0.20％；梯蹬弯曲残余变形比值：≤0.25％；侧摇摆曲残余变形比值：≤0.20％</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梯蹬剪切强度：梯蹬与侧板的连接处和梯蹬本身不应有任何断裂迹象；梯节扭转角：α顺：≤15°、α逆：≤15°；挂钩强度：挂钩在进行强度试验后，不应出现任何损伤、变形和裂纹；粘合牢度试验：浸泡试验应无脱胶现象；恒温试验应无脱胶现象;低温试验应无脱胶现象。</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25</w:t>
            </w:r>
            <w:r/>
          </w:p>
        </w:tc>
      </w:tr>
      <w:tr>
        <w:trPr>
          <w:trHeight w:val="898"/>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消防拉梯</w:t>
            </w:r>
            <w:r/>
          </w:p>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（单杠梯）</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★1、提供所投消防拉梯完整有效的检验报告，检验结果和结论都应符合XF137-2007《消防梯》标准要求。（提供有检验检测资质的第三方出具的检测报告复印件并加盖投标人公章）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▲2、工作长度：3000±100mm；最小梯宽：250±2mm；梯蹬间距：340±2mm；整梯质量：≤9kg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水平弯曲残余变形比值：≤0.15%；梯蹬弯曲残余变形比值：≤0.25%；梯蹬剪切强度：梯蹬与侧板的连接处和梯蹬本身不应有任何断裂迹象；梯节扭转角：α顺：≤10°、α逆：≤10°；侧板悬臂弯曲最大变形值：内弯曲≤1.5mm、外弯曲≤1.5mm；侧摇摆曲残余变形比值：≤0.2%。</w:t>
            </w:r>
            <w:r/>
          </w:p>
          <w:p>
            <w:pPr>
              <w:ind w:firstLine="482"/>
              <w:jc w:val="left"/>
              <w:keepLines w:val="0"/>
              <w:keepNext w:val="0"/>
              <w:pageBreakBefore w:val="0"/>
              <w:spacing w:line="500" w:lineRule="exact"/>
              <w:widowControl w:val="off"/>
              <w:rPr>
                <w:rFonts w:hint="eastAsia"/>
                <w:i w:val="0"/>
                <w:iCs w:val="0"/>
                <w:color w:val="auto"/>
                <w:sz w:val="24"/>
                <w:szCs w:val="24"/>
                <w:highlight w:val="none"/>
                <w:u w:val="none"/>
                <w:lang w:val="en-US" w:eastAsia="zh-CN"/>
              </w:rPr>
            </w:pPr>
            <w:r>
              <w:rPr>
                <w:rFonts w:hint="eastAsia" w:ascii="宋体" w:hAnsi="宋体" w:cs="宋体"/>
                <w:color w:val="auto"/>
                <w:sz w:val="24"/>
                <w:szCs w:val="24"/>
                <w:highlight w:val="none"/>
                <w:lang w:val="en-US" w:eastAsia="zh-CN"/>
              </w:rPr>
              <w:t xml:space="preserve">4、翘曲试验：消防梯在进行翘曲试验时，任一梯脚均不得离地；滑移试验：滑移试验时，各梯脚在整个试验表面上不应出现位移；粘合牢度试验：浸泡试验应无脱胶现象；恒温试验应无脱胶现象；低温试验应无脱胶现象。</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14</w:t>
            </w:r>
            <w:r/>
          </w:p>
        </w:tc>
      </w:tr>
      <w:tr>
        <w:trPr>
          <w:trHeight w:val="90"/>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救生软梯</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★1、提供所投救生软梯完整有效的检验报告，检验结果和结论都应符合GB21976.3—2012《建筑火灾逃生避难器材 第3部分：逃生梯》标准要求。（提供有检验检测资质的第三方出具的检测报告复印件并加盖投标人公章）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梯宽：≥300mm；梯长:≥15m；梯蹬间距：（300±5）mm；梯档截面尺寸：直径不小于20mm的圆管或边长不小于20mm的方管；撑脚长度：≥100mm；最大承载人数：10人；单节梯档最大负荷：（981±5）N；整梯最大负荷：不小于981N*10</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展开性能：悬挂梯的上端应能可靠固定在建筑物上。梯身展开时应灵活可靠，不应出现缠绕、打结或卡阻现象，撑脚应能全部张开并支撑在墙面上；梯档强度：梯档应能承受3倍于单节梯档最大负荷的载荷经强度试验后，梯档不应出现断裂或明显变形现象;抗剪切性能：梯档和边索应能承受3倍于单节梯档最大负荷的剪切载荷，经梯档对边索的剪切试验后，梯档与边索的连接处及梯档和边索本身不应出现断裂或明显变形现象。</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4、整体强度：悬挂梯应能承受3倍于整梯最大负荷的载荷，经整体强度试验</w:t>
            </w:r>
            <w:r>
              <w:rPr>
                <w:rFonts w:hint="eastAsia" w:ascii="宋体" w:hAnsi="宋体" w:cs="宋体"/>
                <w:color w:val="auto"/>
                <w:sz w:val="24"/>
                <w:szCs w:val="24"/>
                <w:highlight w:val="none"/>
                <w:lang w:val="en-US" w:eastAsia="zh-CN"/>
              </w:rPr>
              <w:t xml:space="preserve">后，挂钩不得发生明显滑移或脱落，所有零部件均不应出现断裂或明显变形现象；耐腐蚀性能：悬挂梯经耐腐蚀性能试验后，其金属部件应无起层、剥落或肉眼可见的点蚀凹坑。然后进行整体强度试验，挂钩不得发生明显滑移或脱落，所有零部件均不应出现断裂或明显变形现象；连接可靠性：梯档与边索的连接采用摩擦力紧固(例如利用螺栓顶部与钢丝绳外表的摩擦力方式的悬挂梯，应进行梯档与边索连接可靠性试验。试验后，梯档和边索的连接处不应有松脱和滑移现象。然后进行梯档对边索的剪切试验，梯档与边索的连接处及梯档和边索本身不应出现断裂或明显变形现象；</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5、逃生梯展开时间：≤23s。</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24</w:t>
            </w:r>
            <w:r/>
          </w:p>
        </w:tc>
      </w:tr>
      <w:tr>
        <w:trPr>
          <w:trHeight w:val="1824"/>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缓降器</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★1、提供所投缓降器完整有效的检验报告，检验结果和结论都应符合GB 21976.2-2012《建筑火灾逃生避难器材 第2部分：逃生缓降器》标准要求。（提供有检验检测资质的第三方出具的检测报告复印件并加盖投标人公章）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外观质量：缓降器各部件应无变形、损伤等异常现象。金属件的外表面应光滑、无锈蚀、斑点、毛刺并进行防腐蚀处理。绳索端头应采用保护物包扎；下降绳索：钢丝绳索应采用航空用钢丝绳，直径应不小于3mm,材质应符合YB/T5197的要求。有芯绳索的绳芯应采用航空用钢丝绳，材质应符合YB/T5197的要求，外层材质应为棉纱或合成纤维。全绳应结构一致，编织紧密，粗细均匀并无扭曲现象。</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安全带：安全带材质为棉纱或合成纤维材料。带宽40mm～80mm，带厚1mm～3mm，带长1000mm～1800mm，并具有按使用者胸围大小调整长度的扣环；安全钩：应由金属制成并设有防止误开启的保险装置，保险装置应锁止可靠；绳索卷盘：应由塑料、橡胶等非金属材料制成，且无尖锐的棱角和凸起；整机强度：在缓降器使用状态对其施加拉伸负荷。在试验中绳索调速器等受力部件应无明显的变形、破损、脱卸等异常现象；安全钩强度：在安全钩使用状态对其施加拉伸负荷。在试验中安全钩钩件及保险装置不得发生明显变形、断裂、脱落等异常现象。</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安全带及金属连接件强度：安全带及金属连接件经强度试验后，安全带的织带、扣环及金属连接件均不得发生破断现象；绳索强度：在绳索使用状态对其施加拉伸负荷。在试验中不得发生明显变形、断裂现象。有芯绳索且不得发生外层与绳芯脱离现象；不同负荷的下降速度：最小负荷（343±5N）、标准负荷（687±5N）、最大负荷（981±5N）：0.16-1.50（m/s）。</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5、重复下降速度：对缓降器施加标准负荷连续进行20次下降试验，其每次下降速度相对于20</w:t>
            </w:r>
            <w:r>
              <w:rPr>
                <w:rFonts w:hint="eastAsia" w:ascii="宋体" w:hAnsi="宋体" w:cs="宋体"/>
                <w:color w:val="auto"/>
                <w:sz w:val="24"/>
                <w:szCs w:val="24"/>
                <w:highlight w:val="none"/>
                <w:lang w:val="en-US" w:eastAsia="zh-CN"/>
              </w:rPr>
              <w:t xml:space="preserve">次平均下降速度的偏差≤±20%；清水浸湿绳索后的下降速度：经清水浸泡后进行标准负荷下降速度试验，其下降速度均应在0.16m/s-1.50m/s之间；经低温处理后的下降速度：对缓降器施加标准负荷，进行两次下降试验，其下降速度均应在0.16m/s-1.50m/s之间；经高温处理后的下降速度：对缓降器施加标准负荷，进行两次下降试验，其下降速度均应在0.16m/s-1.50m/s之间；耐腐性能：缓降器经盐雾试验后，其金属部件应无明显的腐蚀现象。进行标准负荷下降速度试验，其下降速度应为0.16m/s-1.50m/s。</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▲6、抗跌落性能：缓降器经坠落实验后，调速器、安全钩、安全带、绳索及绳</w:t>
            </w:r>
            <w:r>
              <w:rPr>
                <w:rFonts w:hint="eastAsia" w:ascii="宋体" w:hAnsi="宋体" w:cs="宋体"/>
                <w:color w:val="auto"/>
                <w:sz w:val="24"/>
                <w:szCs w:val="24"/>
                <w:highlight w:val="none"/>
                <w:lang w:val="en-US" w:eastAsia="zh-CN"/>
              </w:rPr>
              <w:t xml:space="preserve">索卷盘等部件应无断裂、破损等异常现象。进行标准负荷下降速度试验，其下降速度应为0.16m/s-1.50m/s；抗冲击性能：缓降器经冲击试验后，调速器、安全钩、安全带、绳索等部件应无明显变形、破损等异常现象。进行标准负荷下降速度试验，其下降速度应为0.16m/s-1.50m/s；可靠性连续200次下降试验：在试验中调速器、安全钩、紧固件、绳索应无变形、破损等异常现象。连续200次下降试验后不同负荷下降：最小负荷（340±5N）、标准负荷（687±5N）、最大负荷（980±5N）：0.16-1.50（m/s）。</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31</w:t>
            </w:r>
            <w:r/>
          </w:p>
        </w:tc>
      </w:tr>
      <w:tr>
        <w:trPr>
          <w:trHeight w:val="90"/>
        </w:trPr>
        <w:tc>
          <w:tcPr>
            <w:shd w:val="clear" w:color="auto" w:fill="auto"/>
            <w:tcBorders>
              <w:left w:val="single" w:color="000000" w:sz="4" w:space="0"/>
              <w:bottom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消防救生气垫</w:t>
            </w:r>
            <w:r>
              <w:rPr>
                <w:rFonts w:hint="eastAsia" w:ascii="宋体" w:hAnsi="宋体" w:eastAsia="宋体" w:cs="宋体"/>
                <w:b/>
                <w:bCs/>
                <w:i w:val="0"/>
                <w:iCs w:val="0"/>
                <w:color w:val="auto"/>
                <w:sz w:val="24"/>
                <w:szCs w:val="24"/>
                <w:highlight w:val="none"/>
                <w:u w:val="none"/>
                <w:lang w:val="en-US" w:eastAsia="zh-CN" w:bidi="ar"/>
              </w:rPr>
              <w:t xml:space="preserve">核心产品（提供样品演示视频）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★1、提供所投消防救生气垫完整有效的检验报告，检验结果和结论都应符合XF 631-2006《消防救生气垫》标准要求。（提供有检验检测资质的第三方出具的检测报告复印件并加盖投标人公章）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展开后外形尺寸：≥4.5m*4.5m*2.5m；限定最大救援高度：≤16m；气垫质量：≤100kg；气垫面料厚度：≤0.5mm；充气时间：≤60s；补气时间：≤30s；减速度值：头部≤80g；胸部≤60g；骨盆≤60g；承接面阻燃性能：消防救生气垫承接面面料的氧指数不小于26；</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3、充气方式：气瓶式，充气口2个；</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4、承接面标识：消防救生气垫承接面的中央点应用反差色明确标出，安全工作范围应用反光标志带明显圈定。</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5、底部触地面耐磨损性能：消防救生气垫底部触地面面料经耐磨损性能试验后，其损坏程度应不超过 GB/T 19089规定的2级。</w:t>
            </w:r>
            <w:r/>
          </w:p>
          <w:p>
            <w:pPr>
              <w:ind w:firstLine="482"/>
              <w:jc w:val="left"/>
              <w:keepLines w:val="0"/>
              <w:keepNext w:val="0"/>
              <w:pageBreakBefore w:val="0"/>
              <w:spacing w:line="5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default" w:ascii="宋体" w:hAnsi="宋体" w:cs="宋体"/>
                <w:color w:val="auto"/>
                <w:sz w:val="24"/>
                <w:szCs w:val="24"/>
                <w:highlight w:val="none"/>
                <w:lang w:val="en-US" w:eastAsia="zh-CN"/>
              </w:rPr>
              <w:t xml:space="preserve">底部触地面耐油性能</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消防救生气垫底部触地面面料经耐油性能试验后，质量的增加在</w:t>
            </w:r>
            <w:r>
              <w:rPr>
                <w:rFonts w:hint="eastAsia" w:ascii="宋体" w:hAnsi="宋体" w:cs="宋体"/>
                <w:color w:val="auto"/>
                <w:sz w:val="24"/>
                <w:szCs w:val="24"/>
                <w:highlight w:val="none"/>
                <w:lang w:val="en-US" w:eastAsia="zh-CN"/>
              </w:rPr>
              <w:t xml:space="preserve">1#</w:t>
            </w:r>
            <w:r>
              <w:rPr>
                <w:rFonts w:hint="default" w:ascii="宋体" w:hAnsi="宋体" w:cs="宋体"/>
                <w:color w:val="auto"/>
                <w:sz w:val="24"/>
                <w:szCs w:val="24"/>
                <w:highlight w:val="none"/>
                <w:lang w:val="en-US" w:eastAsia="zh-CN"/>
              </w:rPr>
              <w:t xml:space="preserve">标准油作用下应不大于15%。在无铅</w:t>
            </w:r>
            <w:r>
              <w:rPr>
                <w:rFonts w:hint="eastAsia" w:ascii="宋体" w:hAnsi="宋体" w:cs="宋体"/>
                <w:color w:val="auto"/>
                <w:sz w:val="24"/>
                <w:szCs w:val="24"/>
                <w:highlight w:val="none"/>
                <w:lang w:val="en-US" w:eastAsia="zh-CN"/>
              </w:rPr>
              <w:t xml:space="preserve">汽油</w:t>
            </w:r>
            <w:r>
              <w:rPr>
                <w:rFonts w:hint="default" w:ascii="宋体" w:hAnsi="宋体" w:cs="宋体"/>
                <w:color w:val="auto"/>
                <w:sz w:val="24"/>
                <w:szCs w:val="24"/>
                <w:highlight w:val="none"/>
                <w:lang w:val="en-US" w:eastAsia="zh-CN"/>
              </w:rPr>
              <w:t xml:space="preserve">作用下，应在-4%~15%之间，在干燥后表面不得留有任何可目测到的痕迹</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7、强度性能：消防救生气垫在进行强度性能试验时应无破坏等异常现象。</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8、稳定性：消防救生气垫在进行稳定性试验时应无倾倒、侧翻或损坏等异常现象，负载不应弹出消防救生气垫承接面或直接撞击地面。</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9、可靠性：消防救生气垫在进行可靠性试验后应完整、无损坏或其它异常现象。</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10、耐高低温性能：消防救生气垫在进行高低温性能试验后立即进行救援性能试验应无倾倒、侧翻或损坏等异常现象，负载不应弹出消防救生气垫承接面或直接撞击地面。</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11、气柱型消防救生气垫气柱气密性：气柱型消防救生气垫气柱经气密性试验后，其气压下降值应不大于0.3kPa。</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16</w:t>
            </w:r>
            <w:r/>
          </w:p>
        </w:tc>
      </w:tr>
      <w:tr>
        <w:trPr>
          <w:trHeight w:val="90"/>
        </w:trPr>
        <w:tc>
          <w:tcPr>
            <w:shd w:val="clear" w:color="auto" w:fill="auto"/>
            <w:tcBorders>
              <w:top w:val="single" w:color="000000" w:sz="4" w:space="0"/>
              <w:left w:val="single" w:color="000000" w:sz="4" w:space="0"/>
              <w:right w:val="single" w:color="000000" w:sz="4" w:space="0"/>
            </w:tcBorders>
            <w:tcW w:w="64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包2</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新能源模块装置</w:t>
            </w:r>
            <w:r/>
          </w:p>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核心产品（提供样品演示视频）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val="false"/>
          </w:tcPr>
          <w:p>
            <w:pPr>
              <w:ind w:firstLine="482"/>
              <w:jc w:val="left"/>
              <w:keepLines w:val="0"/>
              <w:keepNext w:val="0"/>
              <w:pageBreakBefore w:val="0"/>
              <w:spacing w:line="500" w:lineRule="exact"/>
              <w:widowControl w:val="off"/>
              <w:rPr>
                <w:rFonts w:hint="eastAsia" w:ascii="宋体" w:hAnsi="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★1、提供所投新能源模块装置完整有效的国家或国家认可的第三方检测检验机构出具的技术鉴定合格证书复印件并加盖投标人公章。</w:t>
            </w:r>
            <w:r/>
          </w:p>
          <w:p>
            <w:pPr>
              <w:ind w:firstLine="482"/>
              <w:jc w:val="left"/>
              <w:keepLines w:val="0"/>
              <w:keepNext w:val="0"/>
              <w:pageBreakBefore w:val="0"/>
              <w:spacing w:line="500" w:lineRule="exact"/>
              <w:widowControl w:val="off"/>
              <w:rPr>
                <w:rFonts w:hint="eastAsia" w:ascii="宋体" w:hAnsi="宋体" w:cs="宋体"/>
                <w:i w:val="0"/>
                <w:iCs w:val="0"/>
                <w:color w:val="auto"/>
                <w:sz w:val="24"/>
                <w:szCs w:val="24"/>
                <w:highlight w:val="none"/>
                <w:u w:val="single"/>
                <w:lang w:val="en-US" w:eastAsia="zh-CN"/>
              </w:rPr>
            </w:pPr>
            <w:r>
              <w:rPr>
                <w:rFonts w:hint="eastAsia" w:ascii="宋体" w:hAnsi="宋体" w:cs="宋体"/>
                <w:i w:val="0"/>
                <w:iCs w:val="0"/>
                <w:color w:val="auto"/>
                <w:sz w:val="24"/>
                <w:szCs w:val="24"/>
                <w:highlight w:val="none"/>
                <w:lang w:val="en-US" w:eastAsia="zh-CN"/>
              </w:rPr>
              <w:t xml:space="preserve">▲</w:t>
            </w:r>
            <w:r>
              <w:rPr>
                <w:rFonts w:hint="eastAsia" w:ascii="宋体" w:hAnsi="宋体" w:cs="宋体"/>
                <w:i w:val="0"/>
                <w:iCs w:val="0"/>
                <w:color w:val="auto"/>
                <w:sz w:val="24"/>
                <w:szCs w:val="24"/>
                <w:highlight w:val="none"/>
                <w:u w:val="single"/>
                <w:lang w:val="en-US" w:eastAsia="zh-CN"/>
              </w:rPr>
              <w:t xml:space="preserve">2、装置为可移动式或车载式设计</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▲3、可以扑救三元锂电、磷酸铁锂等储能类电池组、车用锂离子电池包（箱）火灾</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▲4、喷射系统整体采用机械式结构</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5、整机重量≤950公斤；整机容量≥200升</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6、喷射距离≥15m；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7、连续喷射时间≥3分钟</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▲8、灭火等级、种类：适用于多种类火灾(A类火、B类火、E类火)，灭火等级≥10A  233B</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9、装置可以以泡沫、直流等形态进行喷射作业</w:t>
            </w:r>
            <w:r/>
          </w:p>
          <w:p>
            <w:pPr>
              <w:ind w:firstLine="482"/>
              <w:jc w:val="left"/>
              <w:keepLines w:val="0"/>
              <w:keepNext w:val="0"/>
              <w:pageBreakBefore w:val="0"/>
              <w:spacing w:line="500" w:lineRule="exact"/>
              <w:widowControl w:val="off"/>
              <w:rPr>
                <w:rFonts w:hint="eastAsia" w:ascii="宋体" w:hAnsi="宋体" w:cs="宋体"/>
                <w:i w:val="0"/>
                <w:iCs w:val="0"/>
                <w:color w:val="auto"/>
                <w:sz w:val="24"/>
                <w:szCs w:val="24"/>
                <w:highlight w:val="none"/>
                <w:u w:val="singl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cs="宋体"/>
                <w:i w:val="0"/>
                <w:iCs w:val="0"/>
                <w:color w:val="auto"/>
                <w:sz w:val="24"/>
                <w:szCs w:val="24"/>
                <w:highlight w:val="none"/>
                <w:u w:val="single"/>
                <w:lang w:val="en-US" w:eastAsia="zh-CN"/>
              </w:rPr>
              <w:t xml:space="preserve">10、承装灭火剂容器采用非承压式设计</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▲11、可以实现现场实时填充药剂</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12、低中倍数发泡倍数≥5倍</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▲13、装置具备洗消功能</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14、装置具备外部供气功能</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▲15、装置填充毒物洗消清除药剂后具备在新能源火灾处置过程中产生的主要化学毒物（甲烷、二氧化硫、硫化氢、氯磷酸二苯酯）的洗消能力</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16、毒物洗消清除药剂对沾染目标毒物的清除率作用一小时内清除率不低于70%。毒物洗消清除药剂可直接作用于人体皮肤无刺激无损害且经口无毒</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▲17、多种型态泡沫联动喷射。装置喷射结构采用纯气动驱动布局设计并具备供气能力。</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90"/>
        </w:trPr>
        <w:tc>
          <w:tcPr>
            <w:shd w:val="clear" w:color="auto" w:fill="auto"/>
            <w:tcBorders>
              <w:top w:val="single" w:color="000000" w:sz="4" w:space="0"/>
              <w:left w:val="single" w:color="000000" w:sz="4" w:space="0"/>
              <w:right w:val="single" w:color="000000" w:sz="4" w:space="0"/>
            </w:tcBorders>
            <w:tcW w:w="645" w:type="dxa"/>
            <w:vAlign w:val="center"/>
            <w:vMerge w:val="restart"/>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包3</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液压破拆工具组</w:t>
            </w:r>
            <w:r/>
          </w:p>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核心产品（提供样品演示视频）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val="false"/>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★1、提供所投液压破拆工具组完整有效的检验报告，检验结果和结论都应符合GB/T17906-2021《消防应急救援装备 液压破拆工具通用技术条件》标准要求。（提供有检验检测资质的第三方出具的检测报告复印件并加盖投标人公章）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液压机动泵、手动液压泵、液压扩张器、液压剪切器、液压剪扩器、液压撑顶器、液压软管；主要应用场景：适用于大型抢险救援破拆救援工作，如地震、建筑垮塌、复杂交通事故等；外观要求：设备外表面应涂防锈漆，漆层应均匀，无龟裂现象；铸造件表面应光滑，无砂眼、气孔等缺陷</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液压机动泵：质量：≤23kg；低压工作压力：≥5MPa，低压流量：≥2.9L/min；双输出动力源，可同时接驳使用2件工具，液压管接口可旋转，可带压操作，驱动装置为四冲程汽油发动机，可根据工作强度手动或自动调整发动机转速，各部位操作标识采用直观的图标，泵上设有油量观察窗口。</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▲4、液压机动泵：额定工作压力：≥72MPa，额定流量：≥0.5L/min</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5、手动液压泵：液压油缸有效容量：≥1.8L、质量：≤8kg。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▲6、手动液压泵：额定工作压力≥72MPa</w:t>
            </w:r>
            <w:r/>
          </w:p>
          <w:p>
            <w:pPr>
              <w:numPr>
                <w:ilvl w:val="0"/>
                <w:numId w:val="0"/>
              </w:numPr>
              <w:ind w:firstLine="480"/>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7、液压扩张器：质量：≤17kg；</w:t>
            </w:r>
            <w:r/>
          </w:p>
          <w:p>
            <w:pPr>
              <w:numPr>
                <w:ilvl w:val="0"/>
                <w:numId w:val="0"/>
              </w:numPr>
              <w:ind w:firstLine="480"/>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8、扩张距离：≥720mm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▲9、液压扩张器：扩张力（测力点距扩张臂顶端垂直距离为25mm）：最小扩张力≥40KN，最大扩张力≥360KN；</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10、液压剪切器：质量：≤16kg；开口距离：≥170mm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▲11、液压剪切器：剪切能力：直径≥36mm、钢板厚度≥10mm的Q235A圆钢。</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12、液压剪扩器：重量≤18kg；最小扩张力≥30KN；最大扩张力≥1350KN；最大牵拉力≥100KN；最大牵拉距离≥250mm。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▲13、液压剪扩器：剪切圆钢直径（Q235材料）≥22mm，剪切钢板厚度（Q235材料）≥18mm。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▲14、液压剪扩器：扩张距离≥360mm。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15、液压撑顶器：质量：≤15kg；撑顶长度：≥760mm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▲16、液压撑顶器：撑顶力：≥100KN</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▲17、液压撑顶器：高低温性能：破拆工具经高温55°C±2°C和低温-30°C±2°C的试验后，应能正常工作，无泄漏和异常现象。</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液压软管：最大工作压力：≥72MPa；液压管长度≥10m；重量≤5.5Kg；数量≥2根；接口为单管单接头，接头为平面密封式，快速连接时可自转上锁；接头可360度自由旋转，防止扭曲打结;接头防尘帽具有泄压功能；液压管安全系数4:1，具有永久性额定工作压力标识。</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90"/>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手动破拆工具组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val="false"/>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手动破拆工具组完整有效的国家级或国家认可第三方检测机构出示的检验报告符合GB32459-2015《消防应急救援装备手动破拆工具通用技术条件》标准要求。（提供有检验检测资质的第三方出具的检测报告复印件并加盖投标人公章）。</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2、结构组成：该手动破拆工具组由1个多功能手柄和 5 个工具头组成；主要应用场景：抢险救援所用的破拆工具，适用于破拆、破门、破锁、破窗、破玻等多范围破拆场景；</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3、伸缩冲击杆：应能调整长度，与其它构件组合，作为杠杆手柄、冲击拷打；伸缩长度600-860 mm；冲击行程≥260mm；撬锁拔钉器：应能撬掉挂锁，拔起钢钉等；长度≥300mm；金属切割器：应能撕开铁皮(汽车、飞机)；长度≥300mm；长尖凿：应能冲凿混凝土及砖石墙体；长度≥380mm；长平凿：应能冲击凿开坚硬物体；长度≥400mm；总重量：≤30k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4、可完成撬、拧、凿、切割、劈砍等操作，能穿透砖石水泥建筑、金属片及众多复合材料；</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5、防滑设计的手柄可伸缩，工具头可拆卸更换实现多种用途。</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435"/>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液压混凝土破拆工具组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val="false"/>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★1、提供所投液压混凝土破拆工具组完整有效的检验报告，检验结果和结论都应符合GB/T 17906-2021《消防应急救援装备液压破拆工具通用技术条件》标准要求。（提供有检验检测资质的第三方出具的检测报告复印件并加盖投标人公章）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2、主要应用场景：在抢险救援中使用；结构组成：液压动力站、液压破碎镐、液压金刚石链锯、液压圆盘锯、打孔钻。</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3、液压动力站：功率：≥13hp；重量：70kg～95kg；输出压力：≥155bar；输出流量：20-30lpm；汽油油箱容量≥6L；</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4、液压破碎镐:流量范围：26～34lpm；重量：≤20kg；工作压力：70-90bar；最大背压：≥10bar；冲击频率：≥2000次/分。</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▲5、液压破碎镐:冲击能量：达到25J。</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▲6、液压金刚石链锯:切割深度≥380mm。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7、液压圆盘锯:流量范围：26—34升/分；重量：≤10kg；锯片直径：≥350mm；最大压力：≥170bar；最大转速：≥4000rpm。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▲8、液压圆盘锯:切割深度：≥130mm。</w:t>
            </w:r>
            <w:r/>
          </w:p>
          <w:p>
            <w:pPr>
              <w:ind w:firstLine="482"/>
              <w:jc w:val="left"/>
              <w:keepLines w:val="0"/>
              <w:keepNext w:val="0"/>
              <w:pageBreakBefore w:val="0"/>
              <w:spacing w:line="500" w:lineRule="exact"/>
              <w:widowControl w:val="off"/>
              <w:rPr>
                <w:rFonts w:hint="eastAsia"/>
                <w:i w:val="0"/>
                <w:iCs w:val="0"/>
                <w:color w:val="auto"/>
                <w:sz w:val="24"/>
                <w:szCs w:val="24"/>
                <w:highlight w:val="none"/>
                <w:u w:val="none"/>
                <w:lang w:val="en-US" w:eastAsia="zh-CN"/>
              </w:rPr>
            </w:pPr>
            <w:r>
              <w:rPr>
                <w:rFonts w:hint="eastAsia" w:ascii="宋体" w:hAnsi="宋体" w:cs="宋体"/>
                <w:color w:val="auto"/>
                <w:sz w:val="24"/>
                <w:szCs w:val="24"/>
                <w:highlight w:val="none"/>
                <w:lang w:val="en-US" w:eastAsia="zh-CN"/>
              </w:rPr>
              <w:t xml:space="preserve">▲9、打孔钻：可实现混凝土打孔，配备不少于3种以上型号打孔头。</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1258"/>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水下破拆工具组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val="false"/>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★1、提供所投水下破拆工具组完整有效的检验报告，检验结果和结论都应符合GB/T 17906-2021《消防应急救援装备液压破拆工具通用技术条件》标准要求。（提供有检验检测资质的第三方出具的检测报告复印件并加盖投标人公章）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2、结构组成：由电动液压剪切器、电动液压扩张器、电动液压撑顶器、锂电池、充电器，铝合金箱子等组成；主要应用场景：消防队伍在实施水下救援作业时使用。</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3、电动液压剪切器：质量：≤20.5kg；性能参数：开口距离：≥150mm;剪切能力：≥33mm（Q235A圆钢），≥φ26mmHRB400热轧带肋钢筋；额定工作压力：72MPa；</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4、电动液压扩张器：质量：≤20.5kg；性能参数：最大扩张距离：≥500mm；最小扩张力：≥50kN；最大牵拉力≥55kN，最大牵拉距离≥380mm；额定工作压力：72MPa；</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5、电动液压撑顶器：质量：≤20.5kg；性能参数：（第一级）撑顶力≥130kN；（第一级）撑顶长度≥700 mm；额定工作压力：72MPa；水下工作深度≥5米。</w:t>
            </w:r>
            <w:r/>
          </w:p>
          <w:p>
            <w:pPr>
              <w:ind w:firstLine="482"/>
              <w:jc w:val="left"/>
              <w:keepLines w:val="0"/>
              <w:keepNext w:val="0"/>
              <w:pageBreakBefore w:val="0"/>
              <w:spacing w:line="500" w:lineRule="exact"/>
              <w:widowControl w:val="off"/>
              <w:rPr>
                <w:rFonts w:hint="eastAsia"/>
                <w:i w:val="0"/>
                <w:iCs w:val="0"/>
                <w:color w:val="auto"/>
                <w:sz w:val="24"/>
                <w:szCs w:val="24"/>
                <w:highlight w:val="none"/>
                <w:u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具备LED灯、电量显示等功能。具备防水功能，支持水下更换电池，电池工作时间≥30分钟；电池外壳防护等级≥IP68。</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637"/>
        </w:trPr>
        <w:tc>
          <w:tcPr>
            <w:shd w:val="clear" w:color="auto" w:fill="auto"/>
            <w:tcBorders>
              <w:top w:val="single" w:color="000000" w:sz="4" w:space="0"/>
              <w:left w:val="single" w:color="000000" w:sz="4" w:space="0"/>
              <w:right w:val="single" w:color="000000" w:sz="4" w:space="0"/>
            </w:tcBorders>
            <w:tcW w:w="645" w:type="dxa"/>
            <w:vAlign w:val="center"/>
            <w:vMerge w:val="restart"/>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包4</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消防腰斧</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val="false"/>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★1、提供所投消防腰斧完整有效的检验报告，检验结果和结论都应符合XF630-2023《消防腰斧》标准要求。（提供有检验检测资质的第三方出具的检测报告复印件并加盖投标人公章）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基本尺寸（mm）：≤325*175；外观要求：腰斧各刃部应抛光，其表面粗糙度Ra值≤6.3μm；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3、质量≤1.0kg（不包含腰斧套）；</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4、消防腰斧的斧柄抓握区域的绝缘电阻应不小于10MΩ；抗冲击性能：腰斧各刃部经5kg的重锤1m的高度自由落体冲击后，不应有裂纹、变形等损伤。</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其硬度均应达到48HRC-56HRC；平刃砍断性能：腰斧平刃应能砍断直径5mm的Q235A圆钢，应无明显缺刃、卷边和裂纹等影响使用功能的损伤；</w:t>
            </w:r>
            <w:r/>
          </w:p>
          <w:p>
            <w:pPr>
              <w:ind w:firstLine="482"/>
              <w:jc w:val="left"/>
              <w:keepLines w:val="0"/>
              <w:keepNext w:val="0"/>
              <w:pageBreakBefore w:val="0"/>
              <w:spacing w:line="500" w:lineRule="exact"/>
              <w:widowControl w:val="off"/>
              <w:rPr>
                <w:rFonts w:hint="eastAsia"/>
                <w:i w:val="0"/>
                <w:iCs w:val="0"/>
                <w:color w:val="auto"/>
                <w:sz w:val="24"/>
                <w:szCs w:val="24"/>
                <w:highlight w:val="none"/>
                <w:u w:val="none"/>
                <w:lang w:val="en-US" w:eastAsia="zh-CN"/>
              </w:rPr>
            </w:pPr>
            <w:r>
              <w:rPr>
                <w:rFonts w:hint="eastAsia" w:ascii="宋体" w:hAnsi="宋体" w:cs="宋体"/>
                <w:color w:val="auto"/>
                <w:sz w:val="24"/>
                <w:szCs w:val="24"/>
                <w:highlight w:val="none"/>
                <w:lang w:val="en-US" w:eastAsia="zh-CN"/>
              </w:rPr>
              <w:t xml:space="preserve">6、尖刃和柄刃凿击性能：腰斧尖刃和柄刃应能凿击1.5mm的Q235A钢平板，应无明显缺刃、卷边和裂纹等影响使用功能的损伤；耐腐蚀性能：腰斧的金属部分经GB/T10125-1997规定的48h中性盐雾试验后，外观应符合GB6461-2002外观等级评定轻微级的要求。</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95</w:t>
            </w:r>
            <w:r/>
          </w:p>
        </w:tc>
      </w:tr>
      <w:tr>
        <w:trPr>
          <w:trHeight w:val="118"/>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消防护目镜</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val="false"/>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★1、提供所投消防护目镜完整有效的检验报告，检验结果和结论都应符合XF1273-2015《消防员防护辅助装备消防员护目镜》标准要求。（提供有检验检测资质的第三方出具的检测报告复印件并加盖投标人公章）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外观：不存在让佩戴者感到不适或对使用者造成伤害的突出部分、尖锐边缘或其他缺陷；除镜片边缘5mm宽的区域以外，镜片不应存在气泡、水泡、划痕、凹痕、固体杂质、气体杂质、暗点、斑点、蚀损斑、霉斑、修补斑、蚀孔、碎片、裂纹、抛光缺陷或波纹等表面缺陷；质量≤150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头带：护目镜用于固定作用的头带应可调节；护目镜头带的宽度不小于10mm；防护区：当护目镜为单镜片时，其长方形镜片（包括眼罩）的长和宽分别≥130mm和50mm，厚度≤3.8mm。当护目镜为双镜片时，若镜片为圆形，其镜片直径≥60mm。若镜片为不规则形，其单个镜片的水平基准长和宽分别应≥45mm和40m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4、球镜度和柱镜度：球镜度：±0.06D；柱镜度：≤0.06D。</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5、棱镜度和棱镜度互差：左、右镜片的棱镜度≤0.12△；水平方向棱镜度互差：基底向外≤0.75△；基底向内≤0.25△；垂直方向棱镜度互差≤0.25△；光透射比：≥85%。</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抗高速粒子冲击性能：护目镜应能承受直径为6mm，质量为0.86g，速度≥120m/s的钢珠在正面两个冲击点、侧面两个冲击点的冲击试验，试验后不应出现下列缺陷：镜片破损：镜片出现碎裂，或表面出现大于5mg的碎片脱落，或钢球穿透了镜片。镜片变形：镜片另一面的白纸出现斑痕；镜片外框或镜架损坏：镜片外框或镜架出现裂块，或无法再安装镜片，或镜片脱离镜架，外框或镜架被钢球穿透；侧面防护损坏：侧面防护片出现碎裂，或从镜片表面的撞击点处脱离，或被钢球完全穿透，或防护镜出现部分或完全的脱落，或部分零件裂开。</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抗重物锥击性能：分别在温度为(55±2)℃和(-20±2)℃环境下持续1h后，护目镜应能承受高度为1270mm、质量不小于500g的锥击重物的冲击，试验后不应出现下列缺陷：镜片破损：镜片出现碎裂，或有材料从撞击后的镜片上脱落；镜片穿透：弹头尖部穿过镜片；镜片牢固性受影响：镜片从防护架或外框中弹出；镜片变形：镜片接触头模。</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耐热性能：经耐热实验后，护目镜应无异常现象，镜片的光学性能应符合XF1273-2015《消防员防护辅助装备消防员护目镜》5.6的规定；镜片防雾性能：在防雾试验期间，护目镜镜片应在8s内不起雾，但最初起雾的0.5s不作为起雾的时间。</w:t>
            </w:r>
            <w:r/>
          </w:p>
          <w:p>
            <w:pPr>
              <w:ind w:firstLine="482"/>
              <w:jc w:val="left"/>
              <w:keepLines w:val="0"/>
              <w:keepNext w:val="0"/>
              <w:pageBreakBefore w:val="0"/>
              <w:spacing w:line="500" w:lineRule="exact"/>
              <w:widowControl w:val="off"/>
              <w:rPr>
                <w:rFonts w:hint="eastAsia"/>
                <w:i w:val="0"/>
                <w:iCs w:val="0"/>
                <w:color w:val="auto"/>
                <w:sz w:val="24"/>
                <w:szCs w:val="24"/>
                <w:highlight w:val="none"/>
                <w:u w:val="none"/>
                <w:lang w:val="en-US" w:eastAsia="zh-CN"/>
              </w:rPr>
            </w:pPr>
            <w:r>
              <w:rPr>
                <w:rFonts w:hint="eastAsia" w:ascii="宋体" w:hAnsi="宋体" w:cs="宋体"/>
                <w:color w:val="auto"/>
                <w:sz w:val="24"/>
                <w:szCs w:val="24"/>
                <w:highlight w:val="none"/>
                <w:lang w:val="en-US" w:eastAsia="zh-CN"/>
              </w:rPr>
              <w:t xml:space="preserve">9、需配备护目镜收纳盒；护目镜应有完整可见、清晰耐久的标志。</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r>
      <w:tr>
        <w:trPr>
          <w:trHeight w:val="346"/>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防静电内衣</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val="false"/>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★1、提供所投防静电内衣完整有效的检验报告，检验结果和结论都应符合GB12014-2019《防静电服》标准要求。（提供有检验检测资质的第三方出具的检测报告复印件并加盖投标人公章）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上下分体式结构，采用防静电防尘面料(俗称导电绸)，采用专用涤纶长丝与高性能永久性导电纤维经特殊工艺编造而成。可分解致癌芳香胺染料（mg/kg）：禁用（＜20）；松弛尺寸变化率：长度方向：≥ -10.0 %；宽度方向：-8.0%~+5.0 %；面料甲醛含量：直接接触皮肤≤75mg/kg；非直接接触皮肤≤300mg/kg；透气率：＞30 mm/s；耐光色牢度：≥ 3级；面料耐汗渍色牢度：变色：≥ 3级；沾色：≥3-4级；起球：≥ 3级；导电材料间距：≤ 10mm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面料pH值：4.0~8.5</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4、上衣带电电荷量：≤ 0.60 μC/件</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r>
      <w:tr>
        <w:trPr>
          <w:trHeight w:val="90"/>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消防安全腰带</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val="false"/>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★1、提供所投消防安全腰带完整有效的检验报告，检验结果和结论都应符合XF494-2023《消防用防坠落装备》标准要求。（提供有检验检测资质的第三方出具的检测报告复印件并加盖投标人公章）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采用热锻铝合金材质，采取固定与移动相结合的D型环设计；带扣、热锻铝7075合金材质，规格为长96mm(±2mm)×宽90mm(±2mm)×厚6mm(±1mm)；扦针：双扦针，扦针的长度≥35mm；D型环：热锻铝7075合金材质，配置两个D型环；D型环：其中一个D型环采用缝合固定，距带扣100mm处；扦针孔：直径12±1mm，距带尾部200mm±4处成双排六列型式向前等距排列；移动板：尼龙66材质，规格为65mm(±2mm)×95mm(±2mm)×3mm(±0.5mm)；收带扣：尼龙材质；缝线：尼龙66材质。</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织带为整根，尼龙66材质，不应有接缝，规格为宽70mm(±2mm)×厚3mm(±0.5mm)；腰带质量≤0.8kg。</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160</w:t>
            </w:r>
            <w:r/>
          </w:p>
        </w:tc>
      </w:tr>
      <w:tr>
        <w:trPr>
          <w:trHeight w:val="2921"/>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消防员呼救器</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★1、提供所投消防员呼救器完整有效的检验报告，检验结果和结论都应符合GB27900-2011《消防员呼救器》标准要求。（提供有检验检测资质的第三方出具的检测报告复印件并加盖投标人公章）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2、报警功能：具备预报警功能：呼救器处于自动工作状态时，具有预报警功能。当静止时间超过允许静止时间时，应发出快速的断续预报警声响信号。在预报警期间，呼救器工作</w:t>
            </w:r>
            <w:r>
              <w:rPr>
                <w:rFonts w:hint="eastAsia" w:ascii="宋体" w:hAnsi="宋体" w:cs="宋体"/>
                <w:color w:val="auto"/>
                <w:sz w:val="24"/>
                <w:szCs w:val="24"/>
                <w:highlight w:val="none"/>
                <w:lang w:val="en-US" w:eastAsia="zh-CN"/>
              </w:rPr>
              <w:t xml:space="preserve">方位发生变化或呼救器作速率不小于5m/s的平面匀速运动时，预报警声响信号应立即解除；自动报警功能：呼救器处于自动工作状态时，当静止时间超过允许静止时间和预报警时间之和时，应发出连续报警声响信号和方位指示频闪光信号。在报警期间，报警声响信号方位指示频闪光信号不受呼救器工作方位变化或运动速率变化的影响，并应只能手动消除；手动报警功能：呼救器处于手动工作状态时，应发出与自动报警功能相同的报警声响信号和方位指示频闪光信号。在手动报警期间，报警声响信号和方位指示频闪光信号应不受呼救器工作方位变化或运动速率变化的影响。</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3、低电压告警功能：当呼救器供电电池的电压低于额定电压的80%时，应发出区别于预报警声响信号的慢速断续告警声响信号或光信号。</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4、通信功能：呼救器处于报警状态时，发出报警声响信号和方位指示频闪光信号。同时，呼救器应能发射信号至接收终端予以识别，并能接收并识别来自接收终端发射的信号。</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5、转换开关：应设置“关-手动-自动”转换开关。转换开关应灵活可靠、坚固耐用，并有防误动作结构。</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▲6、允许静止时间：30±2s。</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预报警时间：15±2s；报警声级强度：≥100dB；低电压告警声级强度：≥65dB；连续工作时间：连续开机时间：≥24h；连续报警时间：≥900min；质量：≤230g；绝缘性能MΩ：正常情况≥50，湿热试验后≥10；通信距离≥2000m；发光亮度≥300cd/㎡；防护等级：≥IP68；显示屏：≥1.54寸LCM液晶显示屏，实时显示工作等信息。</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▲8、预报警声级强度：≥80dB。</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9、耐气候环境性能：高温试验：允许静止时间（s）30±2；预报警时间（s）15±2；预报警声级强度（dB）≥80，报警声级强度（dB）≥1</w:t>
            </w:r>
            <w:r>
              <w:rPr>
                <w:rFonts w:hint="eastAsia" w:ascii="宋体" w:hAnsi="宋体" w:cs="宋体"/>
                <w:color w:val="auto"/>
                <w:sz w:val="24"/>
                <w:szCs w:val="24"/>
                <w:highlight w:val="none"/>
                <w:lang w:val="en-US" w:eastAsia="zh-CN"/>
              </w:rPr>
              <w:t xml:space="preserve">00。低温试验：允许静止时间（s）30±2；预报警时间（s）15±2；预报警声级强度（dB）≥80；报警声级强度（dB）≥100。交变湿热试验：允许静止时间（s）30±2；预报警时间（s）15±2；预报警声级强度（dB）≥80；报警声级强度（dB）≥100。高温贮存试验：允许静止时间（s）30±2；预报警时间（s）15±2；预报警声级强度（dB）≥80；报警声级强度（dB）≥100。低温贮存试验允许静止时间（s）30±2；预报警时间（s）15±2；预报警声级强度（dB）≥80；报警声级强度（dB）≥100。</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10、耐机械环境性能：振动(正弦)试验：呼救器不应有机械损伤和紧固部位松动现象。允许静止时间（s）30±2；预报警时间（s）15±2；预报警声级强度（dB）≥80；报警声级强度（</w:t>
            </w:r>
            <w:r>
              <w:rPr>
                <w:rFonts w:hint="eastAsia" w:ascii="宋体" w:hAnsi="宋体" w:cs="宋体"/>
                <w:color w:val="auto"/>
                <w:sz w:val="24"/>
                <w:szCs w:val="24"/>
                <w:highlight w:val="none"/>
                <w:lang w:val="en-US" w:eastAsia="zh-CN"/>
              </w:rPr>
              <w:t xml:space="preserve">dB）≥100。冲击试验：呼救器不应有机械损伤和紧固部位松动现象。允许静止时间（s）30±2；预报警时间（s）15±2；预报警声级强度（dB）≥80；报警声级强度（dB）≥100。自由跌落试验：呼救器不应有机械损伤和紧固部位松动现象。允许静止时间（s）30±2；预报警时间（s）15±2；预报警声级强度（dB）≥80；报警声级强度（dB）≥100；模拟烟雾环境方位指示性能在浓烟环境中，应可指示呼救器方位；产品标志上应标有如下内容：1）产品名称、型号；2）生产厂名；3）生产日期；4）防爆标志；5）执行标准代号。</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▲11、防爆等级：≥ExibⅡCT4Gb。（提供防爆合格证）</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p>
        </w:tc>
      </w:tr>
      <w:tr>
        <w:trPr>
          <w:trHeight w:val="732"/>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应急逃生自救安全绳</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★1、提供所投应急逃生自救安全绳完整有效的检验报告，检验结果和结论都应符合XF494-2023《消防用防坠落装备》标准要求。（提供有检验检测资质的第三方出具的检测报告复印件并加盖投标人公章）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直径（安全绳）：8mm±0.5mm；破断强度（安全绳）：≥28kN；破断强度（扁带）：＞35kN；破断强度（安全钩）：闭口长轴破断强度≥22KN；开口长轴破断强度≥7KN；闭口短轴破断强度≥7KN；耐腐蚀性能（安全钩）：试样经GB/T6461规定的48h中性盐雾试验后，外观符合GB/T6461外观等级评定的轻微级的要求，并保持原有性能。</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延伸率（安全绳）：当承重达到最小破断强度的10%时，安全绳的延伸率应介于1%~10%；耐高温性能（安全绳）：经204℃±5℃的耐高温性能试验后,安全绳不应出现熔融焦化现象；高温环境承载性能（安全绳）：在600℃±5℃、1.33kN负荷环境下承载45s；在400℃±5℃、1.33kN负荷环境下承载300s，均不应出现断裂现象；抗滑移性能：经抗滑移性能试验后,绳皮(护套)沿绳芯正反两方向的纵向滑移量应不大于20m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4、组成：套装应由应急逃生自救安全绳、绳包、2个轻型安全钩、轻型下降器、扁带、排绳器组件构成；绳包整体质量：≤1.8kg；耐高温性能（扁带）：经 204（±5）℃的耐高温性能试验后，扁带不应出现融熔、焦化现象；耐腐蚀性能（下降器）：试样经GB/T6461规定的48h中性盐雾试验后，外观符合GB/T6461外观等级评定的轻微级的要求，并保持原有性能；扁带长度：＞2m；绳索长度：≥16m；安全绳的永久性标志应设置在绳索的明显部位；下降器设计负荷≥1.33kN。</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工作负荷（下降器）：应能承受不小于5kN的试验负荷，试验后不应出现装置的永久性损伤、明显变形或绳体的损坏；破断强度（下降器）：＞15kN；耐高温性能（绳包）：经260℃，5min的耐高温性能试验后,绳包未出现熔融，焦化现象。</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6、安全绳的绳芯内应编入一根宽度不小于2mm、贯穿全绳的信息条，其上至少应包括生产者和/或生产企业名称，采用以下两种方式之一表示:中文全称、英文或拼音全称。</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130</w:t>
            </w:r>
            <w:r/>
          </w:p>
        </w:tc>
      </w:tr>
      <w:tr>
        <w:trPr>
          <w:trHeight w:val="818"/>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消防员灭火</w:t>
            </w:r>
            <w:r/>
          </w:p>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防护头套</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jc w:val="left"/>
              <w:keepLines w:val="0"/>
              <w:keepNext w:val="0"/>
              <w:pageBreakBefore w:val="0"/>
              <w:spacing w:line="500" w:lineRule="exact"/>
              <w:widowControl/>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none"/>
                <w:lang w:val="en-US" w:eastAsia="zh-CN"/>
              </w:rPr>
              <w:t xml:space="preserve">    </w:t>
            </w:r>
            <w:r>
              <w:rPr>
                <w:rFonts w:hint="eastAsia" w:ascii="宋体" w:hAnsi="宋体" w:cs="宋体"/>
                <w:i/>
                <w:iCs/>
                <w:color w:val="auto"/>
                <w:sz w:val="24"/>
                <w:szCs w:val="24"/>
                <w:highlight w:val="none"/>
                <w:u w:val="single"/>
                <w:lang w:val="en-US" w:eastAsia="zh-CN"/>
              </w:rPr>
              <w:t xml:space="preserve">★1、提供所投消防员灭火防护头套完整有效的检验报告，检验结果和结论都应符合XF869-2010《消防员灭火防护头套》标准要求。（提供有检验检测资质的第三方出具的检测报告复印件并加盖投标人公章）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保护区域：头套前部与防护服领口内重叠的长度≥200mm,头套后部与防护服领口内重叠的长度≥200mm，头套侧部与防护服领口内重叠的长度≥130mm；面部开口：边缘与呼吸防护装具面罩重叠的长度≥10mm（佩戴时与面罩顺利重叠）；阻燃性能：经向续燃时间≤2s，损毁长度≤30mm，无熔融、滴落现象；纬向续燃时间≤2s，纬向损毁长度≤30mm，无熔融、滴落现象。</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热稳定性能：经、纬方向尺寸变化率为≤2%，无变色、熔融和滴落现象；抗起球性能：≥4级；水洗尺寸变化率：直向≤3.5%，横向≤3%；甲醛含量：未检出；pH值：4.0～7.5；异味：不应有霉味、高沸程石油味（如汽油、煤油味）、鱼腥味、芳香烃气味等异味；单位面积质量：单层≥400g/m²;两层或两层以上≥200g/m²；缝纫线耐高温性能：无熔融、炭化的现象；针距密度：缝制明暗线每3cm≥12针。</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接缝强力≥600N；质量≤180g。</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390</w:t>
            </w:r>
            <w:r/>
          </w:p>
        </w:tc>
      </w:tr>
      <w:tr>
        <w:trPr>
          <w:trHeight w:val="1480"/>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消防员护膝、护肘</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1、质量：一对护膝加一对护肘≤500g。其中一对护肘：≤200g；一对护膝：≤300g。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2、抗冲击：护肘：将5kg的重锤从100mm高度、自由落体冲击测试样品、冲击力值≥400N；护膝：将5kg的重锤从100mm高度、自由落体冲击测试样品、冲击力值≥600N；</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3、耐摩擦性/周期：2级：≥500</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4、耐刺穿性：护肘≥250N、护膝≥240N</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r>
      <w:tr>
        <w:trPr>
          <w:trHeight w:val="90"/>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消防员隔热防护服</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★1、提供所投消防员隔热防护服完整有效的检验报告，检验结果和结论都应符合XF634—2015《消防员隔热防护服》标准要求。（提供有检验检测资质的第三方出具的检测报告复印件并加盖投标人公章）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外层性能：阻燃性能：隔热层续燃时间(≤2s)：损毁长度(mm)：径向≤50，纬向≤50；无熔融、滴落。</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外层性能：断裂强力（N）：径向≥1300，纬向≥1300；撕破强力（N）：径向：≥250，纬向≥190；热稳定性能：尺寸变化率(%):经向:≤3，纬向:≤3，且无变色、脱层、炭化、熔融和滴落现象；耐静水压性能（kPa）：≥17kpa；热稳定性能：隔热层洗后尺寸变化率(%)：经向:≤10，纬向:≤10。</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隔热头罩性能：视野：左、右水平视野≥105°，上视野≥7°，下视野≥45°；视窗透光率：无色：≥85%；浅色:≥18%；隔热手套性能：隔热手套灵巧性能试验条件下拾起最小测试棒的直径为不小于8.0mm；性能等级为:≥3级；整体性能：质量(g）：≤6000。</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5、整体性能：▲火焰和辐射热防护性能TPP≥28；</w:t>
            </w:r>
            <w:r/>
          </w:p>
          <w:p>
            <w:pPr>
              <w:ind w:firstLine="482"/>
              <w:jc w:val="left"/>
              <w:keepLines w:val="0"/>
              <w:keepNext w:val="0"/>
              <w:pageBreakBefore w:val="0"/>
              <w:spacing w:line="5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6、整体性能：接缝断裂强力（N）：≥650；针距密度（3cm）：明暗线≥9，包缝线≥7；</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7、隔热上衣和隔热裤面料之间的重叠部分不小于200mm；背部设有背囊，背囊至少能够容纳6.8L空气呼吸器气瓶；门襟的结构包含外层、隔热层和舒适层，或由外层折边代替舒适层。</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r>
      <w:tr>
        <w:trPr>
          <w:trHeight w:val="90"/>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二级化学防护服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★1、提供所投二级化学防护服完整有效的检验报告，检验结果和结论都应符合XF770-2008《消防员化学防护服装》标准要求。（提供有检验检测资质的第三方出具的检测报告复印件并加盖投标人公章）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2、结构组成：由化学防护头罩、化学防护服、化学防护手套等组成；主要应用场景：消防员在处置挥发性固态、液态化学品事件中，穿着的化学防护服装；整体要求：整体抗水渗漏性：20min 后无渗漏现象，贴条的粘附强度 ≥0.78kN/m；重量≤4.5kg；外观质量：面料表面应平整，不应有破洞、气泡、脱层、表面露布、死褶现象。化学防护靴不应有脱齿弹边、脱空、开胶、喷霜、过硫、欠硫现象。化学防护服的外贴条应整齐，不应有部件欠缺。</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3、面料性能：阻燃性能：经向有焰燃烧时间≤5s，经向无焰燃烧时间≤0s， 经向损毁长度≤8cm；纬向有焰燃烧时间≤7s，纬向无焰燃烧时间≤0s， 纬向损毁长度≤9cm。拉伸强度：经向拉伸强度≥20</w:t>
            </w:r>
            <w:r>
              <w:rPr>
                <w:rFonts w:hint="eastAsia" w:ascii="宋体" w:hAnsi="宋体" w:cs="宋体"/>
                <w:color w:val="auto"/>
                <w:sz w:val="24"/>
                <w:szCs w:val="24"/>
                <w:highlight w:val="none"/>
                <w:lang w:val="en-US" w:eastAsia="zh-CN"/>
              </w:rPr>
              <w:t xml:space="preserve">kN/m；纬向拉伸强度≥18kN/m。撕裂强力：经向撕裂强力≥110N；纬向撕裂强力≥100N。耐热老化性能（125℃x24h）：不粘、不脆。接缝强力：经纬向接缝强力≥700N。耐寒性能：无裂纹。面料抗化学品渗透性能：二甲基硫酸盐≥60min，氨气≥60min，氯气≥60min，氰氯化物 ≥60min，羰基氯化物≥60min，氢氰化物≥60min。面料接缝部位抗化学品渗透性能：二甲基硫酸盐≥60min，氨气≥60min，氯气≥60min，氰氯化物 ≥60min，羰基氯化物≥60min，氢氰化物≥60min。</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4、化学防护手套：耐热老化性能（125℃x24h）：不粘、不脆。耐寒性能：无裂纹。耐刺穿力≥25N。灵巧性能≥4级。抗化学品渗透性能：二甲基硫酸盐 ≥60min ，氨气 ≥60min，氯气≥60min，氰氯化物≥60min，羰基氯化物≥60min，氢氰化物≥60min。</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化学防护靴：耐热老化性能（125℃x24h）：不粘、不脆。耐寒性能：无裂纹。抗化学品渗透性能：二甲基硫酸盐≥60min，氨气≥60min，氯气≥60min，氰氯化物≥60min，羰基氯化物≥60min，氢氰化物≥60min。靴底抗刺穿力≥1800N。抗切割性能：不应被割穿。电绝缘性能：击穿电压≥5000V，泄漏电流＜1mA。防滑性能：始滑角不得小于 15°。防砸性能：静压力试验和冲击试验后间隙高度≥15mm。</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r>
      <w:tr>
        <w:trPr>
          <w:trHeight w:val="90"/>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一级化学防护服</w:t>
            </w:r>
            <w:r/>
          </w:p>
          <w:p>
            <w:pPr>
              <w:pStyle w:val="712"/>
              <w:jc w:val="center"/>
              <w:keepLines w:val="0"/>
              <w:keepNext w:val="0"/>
              <w:pageBreakBefore w:val="0"/>
              <w:spacing w:line="500" w:lineRule="exact"/>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核心产品（提供样品演示视频）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★1、提供所投一级化学防护服完整有效的检验报告，检验结果和结论都应符合XF770-2008《消防员化学防护服装》标准要求。（提供有检验检测资质的第三方出具的检测报告复印件并加盖投标人公章）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2、结构组成：由大视窗的连体头罩、化学防护服、呼吸器背囊、防护靴、防护手套、排气阀等部分组成；主要应用场景：专业用于危</w:t>
            </w:r>
            <w:r>
              <w:rPr>
                <w:rFonts w:hint="eastAsia" w:ascii="宋体" w:hAnsi="宋体" w:cs="宋体"/>
                <w:color w:val="auto"/>
                <w:sz w:val="24"/>
                <w:szCs w:val="24"/>
                <w:highlight w:val="none"/>
                <w:lang w:val="en-US" w:eastAsia="zh-CN"/>
              </w:rPr>
              <w:t xml:space="preserve">化事故处理的气密性化学防护服；材料和结构：防化面料采用内外对称结构、高阻隔多元共混橡胶材料的防化阻燃胶布制作而成；化学防护手套和化学防护靴采用橡胶材质制成；全密封连体式结构；质量≤8kg；防化服接缝处必须采用与面料相同防化材料的贴条，超声波焊接接缝设计，贴条界面无缝贴附融为一体，有效提高防护性能；每防护靴采用钢包头结构，具有抗砸、防穿刺性能；大视窗采用高强耐冲击透明工程材料制作，三层结构防雾保明设计，同时采用改性纳米技术和内置通风除湿系统对镜片进行除湿，实现永久性防雾保明，方便救援工作；每套衣服配两双手套。</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3、整体要求：整体气密性≤250Pa。贴条的粘附强度≥0.78kN/m。超压排气阀：气密性≥20s, 通气阻力为 78-118pa。通风系统分配阀：定量供气量为 5±1L/min，手供最大供气量≥30L/min。</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4、面料性能与要求：阻燃性能：经向有焰燃烧时间</w:t>
            </w:r>
            <w:r>
              <w:rPr>
                <w:rFonts w:hint="eastAsia" w:ascii="宋体" w:hAnsi="宋体" w:cs="宋体"/>
                <w:color w:val="auto"/>
                <w:sz w:val="24"/>
                <w:szCs w:val="24"/>
                <w:highlight w:val="none"/>
                <w:lang w:val="en-US" w:eastAsia="zh-CN"/>
              </w:rPr>
              <w:t xml:space="preserve">≤3s，纬向有焰燃烧时间≤3s；经向无焰燃烧时间≤1s，纬向无焰燃烧时间≤1s；经向损毁长度≤8cm；纬向损毁长度≤7cm。拉伸强度：经向拉伸强度≥25kN/m，纬向拉伸强度≥25kN/m；撕裂强力：经向撕裂强力≥120N，纬向撕裂强力≥85N；耐热老化性能（125℃×24h）：不粘、不脆；接缝强力：经纬向接缝强力≥450N；耐寒性能：无裂纹；面料及面料接缝部位抗化学品渗透性能：二甲基硫酸盐≥70min，氨气≥70min，氯气≥70min，氰氯化物≥70min，羰基氯化物≥70min，氢氰化物≥70min。</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化学防护手套的要求：耐热老化性能（125℃×24h）：不粘、不脆。耐寒性能：无裂纹。耐刺穿力≥25N。手套灵巧性能≥4级。抗化学品渗透性能：二甲基硫酸盐≥70min，氨气≥70min，氯气≥70min，氰氯化物≥70min，羰基氯化物≥70min，氢氰化物≥70min。</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化学防护靴的要求：耐热老化性能（125℃×24h）：不粘、不脆。耐寒性能：无裂纹。抗化学品渗透性能：二甲基硫酸盐≥70min，氨气≥70min，氯气≥70min，氰氯化物≥70min，羰基氯化物≥70min，氢氰化物≥70min。靴底抗刺穿力≥1100N。抗切割性能：靴面经抗切割试验后不被割穿。电绝缘性能：击穿电压≥5000V，泄漏电流≤0.8mA。防滑性能：始滑角≥15°。防砸性能：静压力试验和冲击试验后间隙高度≥18m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大视窗的连体头罩要求：防（除）雾措施：应有防（除）雾措施。视窗及周边接缝部位的抗化学品渗透性能：二甲基硫酸盐≥70min，氨气≥70min，氯气≥70min，氰氯化物≥70min，羰基氯化物≥70min，氢氰化物≥70min。</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防化面料采用内外对称结构、高阻隔多元共混橡胶制作而成，具有广谱高效的化学防化性能和耐热老化、低温柔软等性能。阻燃性能好，遇火只产生炭化，不熔滴。可用于高危化学污染环境下的应急救援，保障人员的生命安全。</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1253"/>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消防员防蜂服</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★1、提供所投消防员防蜂服完整有效的检验报告，检验结果和结论都应符合XF 3008-2020《消防员防蜂服》标准要求。（提供有检验检测资质的第三方出具的检测报告复印件并加盖投标人公章）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头罩、服装、手套、靴子；主要应用场景：主要防止蜂蜇及蜂类毒液侵袭，还可防硬物刮擦、切割、撕破等危险危害因素对消防员造成的损伤；接缝线断裂强力：经、纬向≥800N；缝纫线阻燃性能：经试验后无熔融、烧焦现象；头罩性</w:t>
            </w:r>
            <w:r>
              <w:rPr>
                <w:rFonts w:hint="eastAsia" w:ascii="宋体" w:hAnsi="宋体" w:cs="宋体"/>
                <w:color w:val="auto"/>
                <w:sz w:val="24"/>
                <w:szCs w:val="24"/>
                <w:highlight w:val="none"/>
                <w:lang w:val="en-US" w:eastAsia="zh-CN"/>
              </w:rPr>
              <w:t xml:space="preserve">能：面部孔径：头罩面部如有孔洞设计，则孔洞的孔径不应大于1mm。面部视野：总视野保留率不应小于70%，双目视野保留率不应小于55%；手套性能：抗蛰刺性能：≥0.6N。耐切割性能：干燥处理及湿态处理：掌心面、掌背面割破力＞2N。撕破强力：掌心面经、纬向≥500N；掌背面经、纬向≥100N。灵巧性能：≥5级；靴子性能：电绝缘性能：试验电压5000V，持续时间1min，未击穿，泄漏电流≤1mA。防滑性能：后跟向前滑动的摩擦系数≥0.28、水平向前滑动的摩擦系数≥0.32。抗穿刺性能：≥100N；质量：≤4.0k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面料性能：抗蛰刺性能：≥0.4N。阻燃性能：损毁长度：≤100mm；续燃时间：≤2s。耐磨性能：经2000次循环摩擦后，试样不应被磨穿。断裂强力：经向≥1000N；纬向≥800N。撕破强力：经向≥90N；纬向≥60N。pH值：4.0-8.5。甲醛含量：≤25mg/kg。表面抗湿性能：≥4级。拒油性能：≥4级</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r>
      <w:tr>
        <w:trPr>
          <w:trHeight w:val="7265"/>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消防全身式安全吊带</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★1、提供所投消防全身式安全吊带完整有效的检验报告，检验结果和结论都应符合XF494-2023《消防用防坠落装备》标准要求。（提供有检验检测资质的第三方出具的检测报告复印件并加盖投标人公章）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采用高强度尼龙复合材料制成，固定腰部及腿部，固定点不少于2个，腰腿部固定带松紧可以调节，适合不同尺寸人群，腰部两侧各带一装备挂环，左右腿带颜色区分便于快速穿戴，前面承重挂环配有图示提醒使用者正确使用，配有布包装袋；主要应用场景：用于消防救援作业，适用单人高空作业保护使用及简单高空救援使用。</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耐腐蚀性能：盐雾试验后，外观应符合GB/T6461-2002外观等级评定轻微级的要求；织带的宽度和厚度：织带宽度:(45±2)mm；织带厚度:(1.5±0.2)mm；设计负荷：≥2.67kN；静负荷性能：所有承载连接部件须经正立和水平方向静拉力试验，试验后安全吊带不应从人体模型上松脱，安全吊带上的带扣和调节装置滑移距离不应超过25mm ，而且安全吊带不应出现影响其安全性能的明显损伤。</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抗冲击性能：安全吊带上所有承载连接部件须经冲击试验。 试验时，安全吊带不应从人体模型上松脱，而且安全吊带不应出现影响其安全性能的明显损伤。</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耐高温性能：经204℃±5℃的耐高温性能试验后，安全带的织带和缝线不应出现融熔、焦化现象。</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r>
      <w:tr>
        <w:trPr>
          <w:trHeight w:val="90"/>
        </w:trPr>
        <w:tc>
          <w:tcPr>
            <w:shd w:val="clear" w:color="auto" w:fill="auto"/>
            <w:tcBorders>
              <w:left w:val="single" w:color="000000" w:sz="4" w:space="0"/>
              <w:bottom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手提式强光照明灯</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1、提供所投手提式强光照明灯完整有效的国家级或国家认可的第三方检测检验机构出具的检测检验报告应符合GB30734-2014《消防员照明灯具》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2、结构组成：灯头壳、灯身筒、提手、隔爆材料、灯头盖、尾盖为铝合金材质，尾部开关按钮帽为橡胶材质</w:t>
            </w:r>
            <w:r>
              <w:rPr>
                <w:rFonts w:hint="eastAsia" w:ascii="宋体" w:hAnsi="宋体" w:cs="宋体"/>
                <w:color w:val="auto"/>
                <w:sz w:val="24"/>
                <w:szCs w:val="24"/>
                <w:highlight w:val="none"/>
                <w:lang w:val="en-US" w:eastAsia="zh-CN"/>
              </w:rPr>
              <w:t xml:space="preserve">，透明件采用≥12mm厚钢化玻璃；主要应用场景：适用于消防行业各种火灾现场灭火救援及户外、野外等场所的抢险救援等单兵作业照明；一般要求：灯具的供电电源采用可充电池；灯具的充电器应用插头与交直流转换器分离式结构，灯具或充电器应设置充、放电保护电路；提供防爆合格证：防爆标志 Ex db ia IIC T6 Gb  符合GB3836.1-2021、GB3836.2-2021、GB3836.4-2021的要求；外壳防护等级：IP66/IP68（2m，30min）；探照灯质量（不含电池和附件）应小于或等于1390g。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▲3、灯头采用八菱攻击头设计，在应急救援中可以用作砸窗救生工具使用；灯具尾部有高可视性红色方位灯。</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4、光源LED灯的功率≥12W,且为聚光封装，探照灯在完全充电状态下进入强光模式，初始光通量应大于或等于800 lm。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照度：距光源5m处光斑中心，强光初始照度≥4500Lx 弱光初始照度≥1500Lx；爆闪频率为8Hz-10Hz</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额定电压：≥22.2V，额定容量：≥2.5Ah；电池平均使用寿命1000次循环，充电时间具有快充功能，外形尺寸≤320*120*85mm；具备低电量警示功能的同时，尾部设计有5段式LED电量指示装置，使灯具的剩余电量能够更加清晰的呈现；提供CCC认证证书</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r>
      <w:tr>
        <w:trPr>
          <w:trHeight w:val="97"/>
        </w:trPr>
        <w:tc>
          <w:tcPr>
            <w:shd w:val="clear" w:color="auto" w:fill="auto"/>
            <w:tcBorders>
              <w:top w:val="single" w:color="000000" w:sz="4" w:space="0"/>
              <w:left w:val="single" w:color="000000" w:sz="4" w:space="0"/>
              <w:right w:val="single" w:color="000000" w:sz="4" w:space="0"/>
            </w:tcBorders>
            <w:tcW w:w="645" w:type="dxa"/>
            <w:vAlign w:val="center"/>
            <w:vMerge w:val="restart"/>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包5</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激流救生衣</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★1、提供所投激流救生衣完整有效的有检验检测资质的第三方出具的检测报告复印件并加盖投标人公章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2、整体结构：采用背心式设计，胸襟采用塑钢开口拉链，并使用塑料拉头浮力片固定于布料夹层内，后领口手提式松紧提拉带设计。面料采用方形针织压力点和1680D材质的尼龙面料；</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3、主要应用场景：水域救援；</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浮力损失率：救生衣在淡水中浸泡24h后，其浮力损失为≤1.5%；强度：救生衣能承受3200N的作用力30min而不损坏；救生衣肩部能承受900N的作用力30min而不损坏；耐磨擦色牢度（红色面料）：干摩：≥4级；湿摩：≥4级；反光带面积：救生衣上逆向反光带的总面积不小于300cm；浮力：≥120N</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5、快脱带性能：人员穿着救生衣以任一方式下水，能在10s解开快脱带，且快脱带开启力不大于110N，快脱带在系紧状态下能承受不大于2500N的拉力而不发生误开启。</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裆带强度：裆带与救生衣之间能承受1000N的作用力而不发生脱离或损坏；产品属具：每件救生衣配有细索系牢的哨笛1只。使用时，穿着者任何一只手能将哨笛移除或放入。每件救生衣配有细索系牢的示位灯1只。牛尾绳一根；环绕胸部设置一条多功能腰带，前胸设置PFD自救装置，后背部设有牵引绳连接拉环，拉环拉绳破断力≥1200k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浸水性能：水中姿态：人员穿着救生衣以任意方式下水，在自由状态下漂浮，且人嘴高出水面120mm以上。落水和跳水；穿着救生衣人员落水及跳水后：救生衣不发生明显移位或对穿着人员造成伤害；没有影响其水中姿态及浮力的破损；不对其属具及附件造成破坏。</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泡沫材质：NBR；腰部两侧设计≥2组梯型扣，尼龙织带调整松紧≥2公分，底部尼龙带≥4公分加固。面料采用方形针织压力点和1680D材质的尼龙面料。采用背心式设计，胸襟采用塑钢开口拉链，并使用塑料拉头浮力片固定于布料夹层内，后领口增加手提式松紧提拉带设计。</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9、活饵快卸系统：环绕胸部腰带一条，宽5cm的尼龙织带，使用一组不锈钢日型环及塑钢固定，拉环上配置一根快速牵引绳，可以固定于肩部，不影响救援动作。</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10、正面配置2个大容量排水网布构成的置物袋（可拆卸式设计），肩部配置一个对讲机口袋（可拆卸式设计）。后背同时也增加一个大容量置物袋（可拆卸式设计）。</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11、前后面缝制≥1m的反光条，下摆部带有连接点，用于连接腿带固定带，以防水流水浪将救生衣冲脱。救生衣装有能防止穿着人员入水后救生衣上浮窜动的裆带。</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109</w:t>
            </w:r>
            <w:r/>
          </w:p>
        </w:tc>
      </w:tr>
      <w:tr>
        <w:trPr>
          <w:trHeight w:val="90"/>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防水头灯</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1、结构组成：由上盖、壳体、后盖、背夹等组成，内装电池、LED灯珠、印制板组件等；</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2、主要应用场景：用于水域救援环境现场照明使用；</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光源：采用大功率LED光源2个以上，光效高、显色性高、能耗低、超长使用寿命；充电接口：具有Type-C充电接口；警示灯设计：在作业中遇到紧急情况时，可按压开关转换到频闪光发出求救信号；携带方式：可手持、头盔佩戴等；工作模式：具有聚泛光工作模式，灯头照射角度可调节，可根据现场工作需要实现光线定位；聚光有强光、工作光、频闪，泛光具有强光、工作光、红色警示光等。</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防爆标志：不低于 Ex ibIIC T4 Gb；电池组：由锂电池组成（额定电压DC≥3.7V，额定容量≥1100mAh）供电；额定电压：≥3.7V；额定功率：≥3W；额定容量：≥1100mAh；连续工作时间：≥4h（强光）、≥8h（工作光）；防护等级：IP68。</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续航时间：≥150h；灯具节能模式续航时间：≥200h。</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65</w:t>
            </w:r>
            <w:r/>
          </w:p>
        </w:tc>
      </w:tr>
      <w:tr>
        <w:trPr>
          <w:trHeight w:val="90"/>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潜水装具</w:t>
            </w:r>
            <w:r/>
          </w:p>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核心产品（提供样品演示视频）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组件包含干式潜水服、湿式潜水服、浮力调节背心、潜水气瓶、被救者呼吸系统、潜水调节器、备用二级呼吸器、多功能仪表、潜水手电、多功能潜水刀、潜水手套、潜水靴、潜水脚蹼、潜水配重系统、潜水装备箱、绳索、潜水手表、潜水面镜等。</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2、干式潜水服：连体式，大腿两侧有口袋，设排水孔，内置背带，可拆卸领、袖封，具有反光条和魔术贴标识；材质：三层压尼龙复合材料；</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▲3、面料：经向断裂强力≥1800N，纬向断裂强力≥1100N；</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4、湿式潜水服：一体式设计，前开式拉链，膝部、肘部、臀部使用耐磨防滑材料加厚设计；设有反光带，厚度≥3mm；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5、浮力调节背心：整合式快卸配重，后侧可安装配重，独立背负系统，塑钢背架；可调节胸带和肩带，不锈钢 D 型环≥7个，安全阀≥3个；</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6、潜水气瓶：容量≥10L；工作压力≥200bar，重量≤15kg；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7、被救者呼吸系统：系统由铝合金气瓶、一级装备、二级装备、潜水仪表、充气适配器等部件组成；工作压力≥200bar；转动式供气，机身设有外部气源充气接口；</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8、调节器：一级调节器活塞式，旋转塔台设计；高压端口≥2个，低压端口≥5个；海洋级铜材料制造，表面镀铬层；</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9、备用二级呼吸器：可手动快速拆分二级装备；低压管长度≥75cm；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val="en-US" w:eastAsia="zh-CN"/>
              </w:rPr>
              <w:t xml:space="preserve">多功能仪表：由指北针、深度表、压力表及温度计等组成；</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11、潜水手电：光通量≥1200lm，续航时间≥3 小时；水深≥100m 可正常工作；</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12、多功能潜水刀：平头刀，具有切、砍、割、锯、锤、撬、一字螺丝刀等功能；不锈钢材料或更优质材料制造，弧形刀片，设有 U 形倒钩，能够快速割断缠绕的网具、绳索；</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13、潜水手套：具有防护、保暖、防滑的功能，手腕部分采用魔术贴收紧手腕位；</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14、潜水靴：厚度5mm，脚跟部鳍带缺口设计，固定蛙鞋带，后跟加固；脚跟处凸起，方便与脚蹼搭配使用；</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潜水脚蹼：可调节式脚蹼；聚丙烯材料及合成橡胶材料注塑成型，倾角聚丙烯蹼片，左右对称设计；热塑性橡胶材质足套设于蹼片下方，底部设有排水孔、防滑凸块；脚蹼肋条根部与足套接合，蹼片设有稳定翼。蹼片设有导流槽；蹼掌前端 M 形，热塑性橡胶护边与脚蹼肋条一体式；塑钢快插扣蛙鞋带扣，橡胶材料蛙鞋带；</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16、潜水配重系统：高耐磨性配重带长度：≥1.5m；表面环保涂层制配重≥2KG/块，每组不低于6块；</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lang w:val="en-US" w:eastAsia="zh-CN"/>
              </w:rPr>
              <w:t xml:space="preserve">不锈钢制配重带扣；</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18、潜水装备箱：拉杆箱设计，隐藏式双肩背带，（可附加腰带），底部大滑轮；战术双肩箱包，袋≥1 个，副袋≥4 个，容量≥150L；肩带、腰带设有泡棉内衬；纺织品采用环保染料，不含可分解致癌芳香胺染料；</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19、绳索：棉麻安全绳：用于在潜水员发生危险时发出紧急信号，长度≥100 米，拉力≥405kg；潜伴安全绳：长度≥6米，采用不少于1.5厘米宽度加强织带，接口处经过加固处理，双头锁扣均采用 316 不锈钢材质扣具；</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潜水手表：支持中文界面显示；LCD半反半透显示屏，显示清晰；支持包含空气、高氧、CCR、仪表等工作模式；最大工作深度≥100米；支持潜水日志记录和潜水深度曲线；内置可充电锂电池，支持无线充电，最大工作续航≥20小时；整体重量≤330克；标配氟胶表带和皮筋表带</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21、潜水面镜：双眼式、硅胶材质圆角裙边设计，增加配戴舒适性；镜片材质为强化安全镜片；低容积设计；使用按压双扣式抗滑面镜带固定扣,可在水中随意调整松紧度。</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826"/>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救生照明线</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★1、提供所投救生照明线完整有效的检验报告，检验结果和结论都应符合GB 26783-2011《消防救生照明线》标准要求。（提供有检验检测资质的第三方出具的检测报告复印件并加盖投标人公章）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2、结构组成：由照明线、电池、线盘等组成；</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3、主要应用场景：用于浓烟、无照明场所作业；也可在有毒及易燃易爆气体环境中使用；</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常亮状态连续工作时长≥8h；闪烁状态连续工作时长≥16h；线体拉力：线体应能承受不小于300N拉力；表面最高温度：≤60℃；绝缘电阻：≥50MΩ；闪烁频率：具有快闪和慢闪功能，闪烁频率范围1Hz-2Hz；电源和绕线盘一体化结构设计，无需额外电源箱供电。</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线长≥100米，质量≤10Kg；照明线具有导向功能，线体每间隔（2±0.1m）应有一个清晰可见的方向标志。</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发光亮度≥10cd/㎡；整套设备具有防爆性能：≥Ex ib IIB T3 Gb</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具有线缆限位防缠绕功能，快速收纳或快速放开不会缠绕。</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14</w:t>
            </w:r>
            <w:r/>
          </w:p>
        </w:tc>
      </w:tr>
      <w:tr>
        <w:trPr>
          <w:trHeight w:val="1777"/>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中压分水器</w:t>
            </w:r>
            <w:r/>
          </w:p>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（三分水）1</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★1、提供所投中压分水器完整有效的检验报告，检验结果和结论都应符合XF868-2010《分水器和集水器》标准要求。（提供有检验检测资质的第三方出具的检测报告复印件并加盖投标人公章）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2、结构组成：由接口、阀体、手柄、球体、把手、密封圈组成；主要应用：适用于铺设消防水带用的分水器，作为开关使用。</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▲3、阀门开启力（N）≤150N；材料：为铸造铝合金ZL104，进水口为KYKA80Z，出水口为KYK65Z*3；重量：≤4.5kg。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4、外观：铸件表面应无结疤、裂纹、砂眼。加工表面应无明显的伤痕。本体上应清晰铸出阀门的 “开”、“关”字样或标志；密封性能：分水器的各连接部位及阀门不应有渗漏现象；水压强度性能：不得出现影响使用的变形。</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5、耐腐蚀性能：分水器应使用耐腐蚀材料制造或对材料进行防腐蚀处理，经耐腐蚀试验后，应无起层，剥落或肉眼可见的点蚀凹坑，并且阀门应能正常操作。</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6、阀门和通径：分水器出水口上应安装阀门，阀门公称通径不得小于分水器出水口的公称通径；接口性能：消防接口的公称压力应不低于分水器本体的公称压力，其接口性能应符合GB12514.1 的规定。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20</w:t>
            </w:r>
            <w:r/>
          </w:p>
        </w:tc>
      </w:tr>
      <w:tr>
        <w:trPr>
          <w:trHeight w:val="269"/>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中压分水器</w:t>
            </w:r>
            <w:r/>
          </w:p>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（三分水）2</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★1、提供所投中压分水器完整有效的检验报告，检验结果和结论都应符合XF868-2010《分水器和集水器》标准要求。（提供有检验检测资质的第三方出具的检测报告复印件并加盖投标人公章）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2、结构组成：由接口、阀体、手柄、球体、把手、密封圈组成；主要应用：适用于铺设消防水带用的分水器，作为开关使用。</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▲3、阀门开启力（N）≤150N；材料：为铸造铝合金ZL104，进水口为KYKA80Z，出水口为KYK50Z*3；重量：≤6.5kg。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4、外观：铸件表面应无结疤、裂纹、砂眼。加工表面应无明显的伤痕。本体上应清晰铸出阀门的 “开”、“关”字样或标志；密封性能：分水器的各连接部位及阀门不应有渗漏现象；水压强度性能：不得出现影响使用的变形。</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5、耐腐蚀性能：分水器应使用耐腐蚀材料制造或对材料进行防腐蚀处理，经耐腐蚀试验后，应无起层，剥落或肉眼可见的点蚀凹坑，并且阀门应能正常操作。</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6、阀门和通径：分水器出水口上应安装阀门，阀门公称通径不得小于分水器出水口的公称通径。</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7、接口性能：消防接口的公称压力应不低于分水器本体的公称压力，其接口性能应符合GB12514.1 的规定。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ind w:left="0" w:right="0"/>
              <w:jc w:val="left"/>
              <w:keepLines w:val="0"/>
              <w:keepNext w:val="0"/>
              <w:pageBreakBefore w:val="0"/>
              <w:spacing w:before="1" w:after="0" w:line="500" w:lineRule="exac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37</w:t>
            </w:r>
            <w:r/>
          </w:p>
        </w:tc>
      </w:tr>
      <w:tr>
        <w:trPr>
          <w:trHeight w:val="1168"/>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中压分水器</w:t>
            </w:r>
            <w:r/>
          </w:p>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（二分水）1</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★1、提供所投中压分水器完整有效的检验报告，检验结果和结论都应符合XF868-2010《分水器和集水器》标准要求。（提供有检验检测资质的第三方出具的检测报告复印件并加盖投标人公章）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2、结构组成：由接口、阀体、手柄、球体、把手、密封圈组成；主要应用：适用于铺设消防水带用的分水器，作为开关使用。</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▲3、阀门开启力（N）≤150N；材料：为铸造铝合金ZL104，进水口为KYKA80Z，出水口为KYK65Z*2；重量：≤6.5kg。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4、外观：铸件表面应无结疤、裂纹、砂眼。加工表面应无明显的伤痕。本体上应清晰铸出阀门的 “开”、“关”字样或标志；密封性能：分水器的各连接部位及阀门不应有渗漏现象；水压强度性能：不得出现影响使用的变形。</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耐腐蚀性能：分水器应使用耐腐蚀材料制造或对材料进行防腐蚀处理，经耐腐蚀试验后，应无起层，剥落或肉眼可见的点蚀凹坑，并且阀门应能正常操作；阀门和通径：分水器出水口上应安装阀门，阀门公称通径不得小于分水器出水口的公称通径；接口性能：消防接口的公称压力应不低于分水器本体的公称压力，其接口性能应符合GB12514.1 的规定。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1240"/>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中压分水器</w:t>
            </w:r>
            <w:r/>
          </w:p>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（二分水）2</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★1、提供所投中压分水器完整有效的检验报告，检验结果和结论都应符合XF868-2010《分水器和集水器》标准要求。（提供有检验检测资质的第三方出具的检测报告复印件并加盖投标人公章）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2、结构组成：由接口、阀体、手柄、球体、把手、密封圈组成；主要应用：适用于铺设消防水带用的分水器，作为开关使用。</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▲3、阀门开启力（N）≤150N；材料：为铸造铝合金ZL104，进水口为KYKA65Z，出水口为KYK50Z*2；重量：≤6.5kg。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4、外观：铸件表面应无结疤、裂纹、砂眼。加工表面应无明显的伤痕。本体上应清晰铸出阀门的 “开”、“关”字样或标志；密封性能：分水器的各连接部位及阀门不应有渗漏现象；水压强度性能：不得出现影响使用的变形。</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耐腐蚀性能：分水器应使用耐腐蚀材料制造或对材料进行防腐蚀处理，经耐腐蚀试验后，应无起层，剥落或肉眼可见的点蚀凹坑，并且阀门应能正常操作；阀门和通径：分水器出水口上应安装阀门，阀门公称通径不得小于分水器出水口的公称通径；接口性能：消防接口的公称压力应不低于分水器本体的公称压力，其接口性能应符合GB12514.1 的规定。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24</w:t>
            </w:r>
            <w:r/>
          </w:p>
        </w:tc>
      </w:tr>
      <w:tr>
        <w:trPr>
          <w:trHeight w:val="536"/>
        </w:trPr>
        <w:tc>
          <w:tcPr>
            <w:shd w:val="clear" w:color="auto" w:fill="auto"/>
            <w:tcBorders>
              <w:left w:val="single" w:color="000000" w:sz="4" w:space="0"/>
              <w:bottom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三分水器</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★1、提供所投三分水器完整有效的检验报告，检验结果和结论都应符合XF868-2010《分水器和集水器》标准要求。（提供有检验检测资质的第三方出具的检测报告复印件并加盖投标人公章）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2、结构组成：由接口、阀体、手柄、球体、把手、密封圈组成；主要应用：适用于铺设消防水带用的分水器，作为开关使用。</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▲3、阀门开启力（N）≤150N；材料：为铸造铝合金ZL104，进水口为KYKA80Z，出水口为KYK50Z*3；重量：≤5kg。</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4、外观：铸件表面应无结疤、裂纹、砂眼。加工表面应无明显的伤痕。本体上应清晰铸出阀门的 “开”、“关”字样或标志；密封性能：分水器的各连接部位及阀门不应有渗漏现象；水压强度性能：不得出现影响使用的变形。</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耐腐蚀性能：分水器应使用耐腐蚀材料制造或对材料进行防腐蚀处理，经耐腐蚀试验后，应无起层，剥落或肉眼可见的点蚀凹坑，并且阀门应能正常操作；阀门和通径：分水器出水口上应安装阀门，阀门公称通径不得小于分水器出水口的公称通径；接口性能：消防接口的公称压力应不低于分水器本体的公称压力，其接口性能应符合GB12514.1 的规定。</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w:t>
            </w:r>
            <w:r/>
          </w:p>
        </w:tc>
      </w:tr>
      <w:tr>
        <w:trPr>
          <w:trHeight w:val="2830"/>
        </w:trPr>
        <w:tc>
          <w:tcPr>
            <w:shd w:val="clear" w:color="auto" w:fill="auto"/>
            <w:tcBorders>
              <w:top w:val="single" w:color="000000" w:sz="4" w:space="0"/>
              <w:left w:val="single" w:color="000000" w:sz="4" w:space="0"/>
              <w:right w:val="single" w:color="000000" w:sz="4" w:space="0"/>
            </w:tcBorders>
            <w:tcW w:w="645" w:type="dxa"/>
            <w:vAlign w:val="center"/>
            <w:vMerge w:val="restart"/>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包6</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有毒气体探测仪</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1、结构组成：由外壳、电池、电路板组成，外壳材质为硅胶；主要应用场景：有毒气体检测仪是气体泄露场合人员作业的必备报警设备，能够实现有毒有害气体超标报警等功能。</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▲2、整机质量:≤500g；连续报警时间:≥450min。</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▲3、防爆等级:≥Ex ib IIC T4 Gb，提供国家级或国家认可的第三方检测检验机构出具的检测检验报告或证书。</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4、报警声级强度:&gt;75dB；低电压告警声级强度:≥75dB；连续开机时间:≥12h；检测范围：CH4（0～5%VOL或0-100%LEL）、CO（0～1000ppm）、H2S（0～100PPM）、O2（0～30%VOL），其他量程可订制；工作温度：-20℃～+55℃。</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可检测气体：复合气体（甲烷CH4，一氧化碳CO，硫化氢 H2S，氧气O2）。</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w:t>
            </w:r>
            <w:r/>
          </w:p>
        </w:tc>
      </w:tr>
      <w:tr>
        <w:trPr>
          <w:trHeight w:val="649"/>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可燃气体检测仪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1、结构组成：由主机、防护箱组成；主要应用场景：主要用于救援现场的可燃气体检测。</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2、可燃气：量程：3~100%LEL。示值误差：&lt;±5%，响应时间 ≤20s；采样方式：扩散；重量：≤280g(含电池）；显示屏：≥2寸LCD显示屏；工作温度：-20℃ ~ 40℃；工作湿度： 10%-90%相对湿度；报警方式：声报警≥90dB，灯光报警，振动报警；数据记录：≥20次报警记录；单电池使用时间：≥12小时；标定方式：手动或自动标定平台。</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▲3、防护等级：≥IP66，提供国家级或国家认可的第三方检测检验机构出具的检测检验报告或证书。</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▲4、防爆设计，提供国家级或国家认可的第三方检测检验机构出具的检测检验报告或证书。</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5、存储功能:≥10万条(更大容量可定制);支持本机查看、删除或数据导出，存储时间间隔任意设置;外壳材质:高强度耐腐蚀防火聚碳酸酯与橡胶保护套，防摔耐磨防静电，有效抗跌落。</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92"/>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消防用红外热像仪1</w:t>
            </w:r>
            <w:r/>
          </w:p>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i w:val="0"/>
                <w:iCs w:val="0"/>
                <w:color w:val="auto"/>
                <w:sz w:val="24"/>
                <w:szCs w:val="24"/>
                <w:highlight w:val="none"/>
                <w:u w:val="none"/>
                <w:lang w:val="en-US" w:eastAsia="zh-CN" w:bidi="ar"/>
              </w:rPr>
              <w:t xml:space="preserve">核心产品（提供样品演示视频）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★1、提供所投消防用红外热像仪完整有效的检验报告，检验结果和结论都应符合XF/T 635-2023《消防用红外热像仪》标准要求。（提供有检验检测资质的第三方出具的检测报告复印件并加盖投标人公章）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2、结构组成：整套装备由热像仪主机、充电电池、充电器等组成；主要应用场景：主要用于黑暗、浓烟环境等可视性差、复杂环境中人员搜救或火源寻找。</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3、探测器：像素：≥384*288，工作波段：8〜14um，热灵敏度：≤50mK，帧频：≥60Hz；热成像探测器像元尺寸：17μm/12μm；视场角≥45°× 30°；显示器：彩色≥3.2英寸，分辨率≥640*480；显示模式：具有黑热、白热、铁红、彩虹、热点区域标红、融合、画中画、冰热等不少于8种模式。</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4、图像性能：空间分辨率：≤3.5mrad；数字变焦：1x、2x、4x；图像存储：内置≥16G 存储卡，可存储≥8000张照片和≥10小时视频；测量范围：-40℃〜+1200℃或-40℃〜+2000℃可选；电源系统：可充电锂电池，电池工作时间≥5h 以上；整机重量：≤1500g （含电池）；其他功能：具有拍照、录像功能；防护等级：≥IP67。</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w:t>
            </w:r>
            <w:r/>
          </w:p>
        </w:tc>
      </w:tr>
      <w:tr>
        <w:trPr>
          <w:trHeight w:val="946"/>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消防用红外热像仪2</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★1、提供所投消防用红外热像仪完整有效的检验报告，检验结果和结论都应符合XF/T 635-2023《消防用红外热像仪》标准要求。（提供有检验检测资质的第三方出具的检测报告复印件并加盖投标人公章）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2、波长范围满足:7.8~14um;温度灵敏度:≤35mK;角度≥40.5°;帧频≥25HZ;有效检测距离≥80米；测温范围:-20°C~+550°C;精度≤士10°C;拆卸式可充电防爆锂电池，一体式电池，单块电池使用时间≥6小时；</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具有NFPA功能：在火场救援可以看到高温的火焰，同时可看到人体，便于火场救援。仪器录像可直接录制成MP4格式，不需要通过转换，可导出直接观看视频，具有回放和删除功能。具有拍照、录像和存储功能；配有4GB高速闪存卡，可存储≥125张照片和≥1小时视频；图片存储有全温度数据；</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具有基础模式、高级模式、搜索模式3种;屏幕为阳光可视显示屏，尺寸≥2.8英寸，屏幕亮度具有高、中、低三档可调功能，分辨率≥320*240；探测器分辨率≥320×240；防护等级≥IP67；抗跌落性能≥2m；重量（含电池）：≤660g；特定环境工作时长：85℃可使用≥25分钟、150℃可使用≥5分钟、260℃可使用≥1分钟；数字变焦：2倍或4倍；</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内部结构件采用氧化铝制成，外部附着PPSU硅橡胶；整机按键≤4个；具有自动追踪搜寻火场中最高温及最低温功能并显示最高温及最低温数值；</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具有消防专用图像模式，可清晰、直观发现着火点；具有摄录功能，可以拍照、录像（可直接录制成MP4格式）、存储（jpg格式，含全温度数据，可存储照片≥100张和存储视频≥1小时）</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w:t>
            </w:r>
            <w:r/>
          </w:p>
        </w:tc>
      </w:tr>
      <w:tr>
        <w:trPr>
          <w:trHeight w:val="119"/>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漏电探测仪</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★1、提供所投漏电探测仪完整有效的有检验检测资质的第三方出具的检测报告复印件并加盖投标人公章。</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2、水陆两用漏电探测仪，用于火灾现场、地震、台风、洪涝等自然灾害或建筑物倒塌后确定是否漏电及泄漏电源具体位置,可声光报警,避免触电事故的发生。</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3、屏幕尺寸≥1.3英寸液晶显示屏，可显示电量、漏电强弱信息、经纬度信息等。</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4、探测电压频率范围：50/60Hz；具备声光报警功能，越靠近漏电源头,声光报警装置光闪烁及发声频次越高。</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内置长条形LED照明灯，可通过仪器正面的物理按键实现照明灯的开启或关闭；持续使用：≥8h，内置充电电池，具备低电量提示功能；主机防护等级≥IP67，抗跌落高度：≥1m；使用温度范围：-40℃至60℃；主机重量（含电池）：≤250克；尺寸（不含天线）≤150*80*50mm；产品配置：主机、天线、充电器、携行包。</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6、具备运动静止状态检测功能，能够检测所处状态为运动状态或静止状态，并在显示屏上显示。</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7、具备SOS一键紧急呼叫求救功能，可通过仪器正面的SOS物理按钮实现紧急呼叫。</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4225"/>
        </w:trPr>
        <w:tc>
          <w:tcPr>
            <w:shd w:val="clear" w:color="auto" w:fill="auto"/>
            <w:tcBorders>
              <w:left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i/>
                <w:iCs/>
                <w:color w:val="auto"/>
                <w:sz w:val="24"/>
                <w:szCs w:val="24"/>
                <w:highlight w:val="none"/>
                <w:u w:val="single"/>
                <w:lang w:val="en-US" w:eastAsia="zh-CN"/>
              </w:rPr>
              <w:t xml:space="preserve">★1、提供所投激光测距仪完整有效的检验报告，检验结果和结论都应符合GB/T 14267-2009《光电测距仪》标准要求。（提供有检验检测资质的第三方出具的检测报告复印件并加盖投标人公章）</w:t>
            </w:r>
            <w:r>
              <w:rPr>
                <w:rFonts w:hint="eastAsia" w:ascii="宋体" w:hAnsi="宋体" w:cs="宋体"/>
                <w:color w:val="auto"/>
                <w:sz w:val="24"/>
                <w:szCs w:val="24"/>
                <w:highlight w:val="none"/>
                <w:lang w:val="en-US" w:eastAsia="zh-CN"/>
              </w:rPr>
              <w:t xml:space="preserve">。</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2、结构组成：由红外芯片、机身等组成；主要应用场景：用于测试距离。</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测量模式及功能：高尔夫弹道扫描模式、高尔夫弹道旗杆模式、两点测高、自动测高、自动测水平距离、测速、面积测量、体积测量、连续测距、测角；测角范围：-90°～90°；最小测高高度：≤0.5m；视场角：≥7°；测角功能：±1°；工作温度：-20℃～60℃；防水防尘：≥IP65；质量:≤250g；物镜直径：≥25mm</w:t>
            </w:r>
            <w:r/>
          </w:p>
          <w:p>
            <w:pPr>
              <w:ind w:firstLine="482"/>
              <w:jc w:val="left"/>
              <w:keepLines w:val="0"/>
              <w:keepNext w:val="0"/>
              <w:pageBreakBefore w:val="0"/>
              <w:spacing w:line="5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▲4、测距量程：3～1000m；测距精度：±0.3m(400m以内)；放大倍率:≥8倍</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w:t>
            </w:r>
            <w:r/>
          </w:p>
        </w:tc>
      </w:tr>
      <w:tr>
        <w:trPr>
          <w:trHeight w:val="678"/>
        </w:trPr>
        <w:tc>
          <w:tcPr>
            <w:shd w:val="clear" w:color="auto" w:fill="auto"/>
            <w:tcBorders>
              <w:left w:val="single" w:color="000000" w:sz="4" w:space="0"/>
              <w:bottom w:val="single" w:color="000000" w:sz="4" w:space="0"/>
              <w:right w:val="single" w:color="000000" w:sz="4" w:space="0"/>
            </w:tcBorders>
            <w:tcW w:w="645" w:type="dxa"/>
            <w:vAlign w:val="center"/>
            <w:vMerge w:val="continue"/>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水下音视频热成像生命探测仪</w:t>
            </w:r>
            <w:r/>
          </w:p>
        </w:tc>
        <w:tc>
          <w:tcPr>
            <w:shd w:val="clear" w:color="auto" w:fill="auto"/>
            <w:tcBorders>
              <w:top w:val="single" w:color="000000" w:sz="4" w:space="0"/>
              <w:left w:val="single" w:color="000000" w:sz="4" w:space="0"/>
              <w:bottom w:val="single" w:color="000000" w:sz="4" w:space="0"/>
              <w:right w:val="single" w:color="000000" w:sz="4" w:space="0"/>
            </w:tcBorders>
            <w:tcW w:w="11359" w:type="dxa"/>
            <w:vAlign w:val="center"/>
            <w:textDirection w:val="lrTb"/>
            <w:noWrap/>
          </w:tcPr>
          <w:p>
            <w:pPr>
              <w:ind w:firstLine="482"/>
              <w:jc w:val="left"/>
              <w:keepLines w:val="0"/>
              <w:keepNext w:val="0"/>
              <w:pageBreakBefore w:val="0"/>
              <w:spacing w:line="500" w:lineRule="exact"/>
              <w:widowControl w:val="off"/>
              <w:rPr>
                <w:rFonts w:hint="default" w:ascii="宋体" w:hAnsi="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★1、提供所投水下音视频热成像生命探测仪完整有效的有检验检测资质的第三方出具的检测报告复印件并加盖投标人公章。</w:t>
            </w:r>
            <w:r/>
          </w:p>
          <w:p>
            <w:pPr>
              <w:ind w:firstLine="482"/>
              <w:jc w:val="left"/>
              <w:keepLines w:val="0"/>
              <w:keepNext w:val="0"/>
              <w:pageBreakBefore w:val="0"/>
              <w:spacing w:line="5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2、红外热成像探头，具备红外热成像功能，指挥终端与主机之间的无线通信距离≥100m，工作时长≥6h；</w:t>
            </w:r>
            <w:r/>
          </w:p>
          <w:p>
            <w:pPr>
              <w:ind w:firstLine="482"/>
              <w:jc w:val="left"/>
              <w:keepLines w:val="0"/>
              <w:keepNext w:val="0"/>
              <w:pageBreakBefore w:val="0"/>
              <w:spacing w:line="5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3、主机能进行视频实时无线传输，能进行无线访问查看主机照片、视频，能控制拍照、录像、旋转、放大缩小画面、灯光开启调节；</w:t>
            </w:r>
            <w:r/>
          </w:p>
          <w:p>
            <w:pPr>
              <w:ind w:firstLine="482"/>
              <w:jc w:val="left"/>
              <w:keepLines w:val="0"/>
              <w:keepNext w:val="0"/>
              <w:pageBreakBefore w:val="0"/>
              <w:spacing w:line="5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4、文件标记:能将视频或者图片标注为重要文件且不能删除，删除先取消重要文件标注；</w:t>
            </w:r>
            <w:r/>
          </w:p>
          <w:p>
            <w:pPr>
              <w:ind w:firstLine="482"/>
              <w:jc w:val="left"/>
              <w:keepLines w:val="0"/>
              <w:keepNext w:val="0"/>
              <w:pageBreakBefore w:val="0"/>
              <w:spacing w:line="5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5、主机可以支持开机密码安全防护功能；主机高清液晶显示屏≥8英寸，具备直接存储，一键录像，一键拍照，8倍放大等功能；机带内存支持≥128GB；</w:t>
            </w:r>
            <w:r/>
          </w:p>
          <w:p>
            <w:pPr>
              <w:ind w:firstLine="482"/>
              <w:jc w:val="left"/>
              <w:keepLines w:val="0"/>
              <w:keepNext w:val="0"/>
              <w:pageBreakBefore w:val="0"/>
              <w:spacing w:line="5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6、红外热成像探头具备语音对讲功能，11种色彩成像模式；红外热成像对讲探头：探头直径≤40mm，可根据人体温度显示热成像画面。支持热点追踪功能；热成像探头支持≥330°水平方向旋转。</w:t>
            </w:r>
            <w:r/>
          </w:p>
          <w:p>
            <w:pPr>
              <w:ind w:firstLine="482"/>
              <w:jc w:val="left"/>
              <w:keepLines w:val="0"/>
              <w:keepNext w:val="0"/>
              <w:pageBreakBefore w:val="0"/>
              <w:spacing w:line="5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7、高清水下摄像头直径≥23mm；水下摄像头内置12个白光灯，灯光可调；</w:t>
            </w:r>
            <w:r/>
          </w:p>
          <w:p>
            <w:pPr>
              <w:ind w:firstLine="482"/>
              <w:jc w:val="left"/>
              <w:keepLines w:val="0"/>
              <w:keepNext w:val="0"/>
              <w:pageBreakBefore w:val="0"/>
              <w:spacing w:line="5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8、主机录像像素4K高清，拍照1200万；</w:t>
            </w:r>
            <w:r/>
          </w:p>
        </w:tc>
        <w:tc>
          <w:tcPr>
            <w:shd w:val="clear" w:color="auto" w:fill="auto"/>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r>
    </w:tbl>
    <w:p>
      <w:pPr>
        <w:numPr>
          <w:ilvl w:val="0"/>
          <w:numId w:val="0"/>
        </w:numPr>
        <w:ind w:firstLine="482"/>
        <w:keepLines w:val="0"/>
        <w:keepNext w:val="0"/>
        <w:pageBreakBefore w:val="0"/>
        <w:spacing w:line="500" w:lineRule="exact"/>
        <w:widowControl w:val="off"/>
        <w:rPr>
          <w:rFonts w:hint="eastAsia" w:ascii="宋体" w:hAnsi="宋体" w:eastAsia="宋体" w:cs="宋体"/>
          <w:b/>
          <w:bCs/>
          <w:smallCaps/>
          <w:color w:val="auto"/>
          <w:sz w:val="24"/>
          <w:szCs w:val="32"/>
          <w:highlight w:val="none"/>
          <w:lang w:val="en-US" w:eastAsia="zh-CN" w:bidi="ar-SA"/>
        </w:rPr>
      </w:pPr>
      <w:r>
        <w:rPr>
          <w:rFonts w:hint="eastAsia" w:ascii="宋体" w:hAnsi="宋体" w:eastAsia="宋体" w:cs="宋体"/>
          <w:b/>
          <w:bCs/>
          <w:smallCaps/>
          <w:color w:val="auto"/>
          <w:sz w:val="24"/>
          <w:szCs w:val="32"/>
          <w:highlight w:val="none"/>
          <w:lang w:val="en-US" w:eastAsia="zh-CN" w:bidi="ar-SA"/>
        </w:rPr>
        <w:t xml:space="preserve">1、采购需求中</w:t>
      </w:r>
      <w:bookmarkStart w:id="172" w:name="OLE_LINK94"/>
      <w:r/>
      <w:bookmarkStart w:id="173" w:name="OLE_LINK82"/>
      <w:r>
        <w:rPr>
          <w:rFonts w:hint="eastAsia" w:ascii="宋体" w:hAnsi="宋体" w:eastAsia="宋体" w:cs="宋体"/>
          <w:b/>
          <w:bCs/>
          <w:smallCaps/>
          <w:color w:val="auto"/>
          <w:sz w:val="24"/>
          <w:szCs w:val="32"/>
          <w:highlight w:val="none"/>
          <w:lang w:val="en-US" w:eastAsia="zh-CN" w:bidi="ar-SA"/>
        </w:rPr>
        <w:t xml:space="preserve">标注★ </w:t>
      </w:r>
      <w:bookmarkEnd w:id="172"/>
      <w:r/>
      <w:bookmarkEnd w:id="173"/>
      <w:r>
        <w:rPr>
          <w:rFonts w:hint="eastAsia" w:ascii="宋体" w:hAnsi="宋体" w:eastAsia="宋体" w:cs="宋体"/>
          <w:b/>
          <w:bCs/>
          <w:smallCaps/>
          <w:color w:val="auto"/>
          <w:sz w:val="24"/>
          <w:szCs w:val="32"/>
          <w:highlight w:val="none"/>
          <w:lang w:val="en-US" w:eastAsia="zh-CN" w:bidi="ar-SA"/>
        </w:rPr>
        <w:t xml:space="preserve">斜体且有下划线部分为实质性要求和条件，投标人须在投标文件中提供证明材料，否则其投标无效。</w:t>
      </w:r>
      <w:r/>
    </w:p>
    <w:p>
      <w:pPr>
        <w:numPr>
          <w:ilvl w:val="0"/>
          <w:numId w:val="0"/>
        </w:numPr>
        <w:ind w:firstLine="482"/>
        <w:keepLines w:val="0"/>
        <w:keepNext w:val="0"/>
        <w:pageBreakBefore w:val="0"/>
        <w:spacing w:line="500" w:lineRule="exact"/>
        <w:widowControl w:val="off"/>
        <w:rPr>
          <w:rFonts w:hint="eastAsia" w:ascii="宋体" w:hAnsi="宋体" w:eastAsia="宋体" w:cs="宋体"/>
          <w:b/>
          <w:bCs/>
          <w:smallCaps/>
          <w:color w:val="auto"/>
          <w:sz w:val="24"/>
          <w:szCs w:val="32"/>
          <w:highlight w:val="none"/>
          <w:lang w:val="en-US" w:eastAsia="zh-CN" w:bidi="ar-SA"/>
        </w:rPr>
      </w:pPr>
      <w:r>
        <w:rPr>
          <w:rFonts w:hint="eastAsia" w:ascii="宋体" w:hAnsi="宋体" w:eastAsia="宋体" w:cs="宋体"/>
          <w:b/>
          <w:bCs/>
          <w:smallCaps/>
          <w:color w:val="auto"/>
          <w:sz w:val="24"/>
          <w:szCs w:val="32"/>
          <w:highlight w:val="none"/>
          <w:lang w:val="en-US" w:eastAsia="zh-CN" w:bidi="ar-SA"/>
        </w:rPr>
        <w:t xml:space="preserve">2、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p>
    <w:p>
      <w:pPr>
        <w:keepLines w:val="0"/>
        <w:keepNext w:val="0"/>
        <w:pageBreakBefore w:val="0"/>
        <w:widowControl w:val="off"/>
        <w:rPr>
          <w:rFonts w:hint="eastAsia" w:ascii="宋体" w:hAnsi="宋体" w:eastAsia="宋体" w:cs="宋体"/>
          <w:b/>
          <w:bCs/>
          <w:smallCaps/>
          <w:color w:val="auto"/>
          <w:sz w:val="24"/>
          <w:szCs w:val="32"/>
          <w:highlight w:val="none"/>
          <w:lang w:val="en-US" w:eastAsia="zh-CN" w:bidi="ar-SA"/>
        </w:rPr>
      </w:pPr>
      <w:r>
        <w:rPr>
          <w:rFonts w:hint="eastAsia" w:ascii="宋体" w:hAnsi="宋体" w:eastAsia="宋体" w:cs="宋体"/>
          <w:b/>
          <w:bCs/>
          <w:smallCaps/>
          <w:color w:val="auto"/>
          <w:sz w:val="24"/>
          <w:szCs w:val="32"/>
          <w:highlight w:val="none"/>
          <w:lang w:val="en-US" w:eastAsia="zh-CN" w:bidi="ar-SA"/>
        </w:rPr>
        <w:br w:type="page" w:clear="all"/>
      </w:r>
      <w:r/>
    </w:p>
    <w:p>
      <w:pPr>
        <w:numPr>
          <w:ilvl w:val="0"/>
          <w:numId w:val="0"/>
        </w:numPr>
        <w:ind w:firstLine="482"/>
        <w:keepLines w:val="0"/>
        <w:keepNext w:val="0"/>
        <w:pageBreakBefore w:val="0"/>
        <w:spacing w:line="500" w:lineRule="exact"/>
        <w:widowControl w:val="off"/>
        <w:rPr>
          <w:rFonts w:hint="eastAsia" w:ascii="宋体" w:hAnsi="宋体" w:eastAsia="宋体" w:cs="宋体"/>
          <w:b/>
          <w:bCs/>
          <w:smallCaps/>
          <w:color w:val="auto"/>
          <w:sz w:val="24"/>
          <w:szCs w:val="32"/>
          <w:highlight w:val="none"/>
          <w:lang w:val="en-US" w:eastAsia="zh-CN" w:bidi="ar-SA"/>
        </w:rPr>
        <w:sectPr>
          <w:footnotePr/>
          <w:endnotePr/>
          <w:type w:val="nextPage"/>
          <w:pgSz w:w="16838" w:h="11906" w:orient="landscape"/>
          <w:pgMar w:top="1463" w:right="1440" w:bottom="1463" w:left="1440" w:header="851" w:footer="992" w:gutter="0"/>
          <w:cols w:num="1" w:sep="0" w:space="425" w:equalWidth="1"/>
          <w:docGrid w:linePitch="360"/>
        </w:sectPr>
      </w:pPr>
      <w:r>
        <w:rPr>
          <w:rFonts w:hint="eastAsia" w:ascii="宋体" w:hAnsi="宋体" w:eastAsia="宋体" w:cs="宋体"/>
          <w:b/>
          <w:bCs/>
          <w:smallCaps/>
          <w:color w:val="auto"/>
          <w:sz w:val="24"/>
          <w:szCs w:val="32"/>
          <w:highlight w:val="none"/>
          <w:lang w:val="en-US" w:eastAsia="zh-CN" w:bidi="ar-SA"/>
        </w:rPr>
      </w:r>
      <w:r/>
    </w:p>
    <w:p>
      <w:pPr>
        <w:ind w:firstLine="482"/>
        <w:jc w:val="left"/>
        <w:keepLines w:val="0"/>
        <w:keepNext w:val="0"/>
        <w:pageBreakBefore w:val="0"/>
        <w:spacing w:line="560" w:lineRule="exact"/>
        <w:widowControl w:val="off"/>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二、部分合同实质性条款要求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2、交付使用时间、交货方式及交货地点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2.1交付使用时间：签订合同后60日历天内将货物送达指定地点。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2.2交货地点：盐城市消防救援支队（盐城市经济技术开发区岷江路60号）。</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2.3交货方式：送至招标人指定地点，交货时甲乙双方均要有人在场负责清点移交。</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3、货款支付</w:t>
      </w:r>
      <w:r/>
    </w:p>
    <w:p>
      <w:pPr>
        <w:ind w:firstLine="482"/>
        <w:jc w:val="left"/>
        <w:spacing w:line="560" w:lineRule="exact"/>
        <w:widowControl/>
        <w:rPr>
          <w:rFonts w:ascii="宋体" w:hAnsi="宋体" w:eastAsia="宋体" w:cs="宋体"/>
          <w:color w:val="auto"/>
          <w:sz w:val="24"/>
          <w:szCs w:val="20"/>
          <w:highlight w:val="none"/>
          <w:u w:val="none"/>
        </w:rPr>
      </w:pPr>
      <w:r>
        <w:rPr>
          <w:rFonts w:hint="eastAsia" w:ascii="宋体" w:hAnsi="宋体" w:eastAsia="宋体" w:cs="宋体"/>
          <w:color w:val="auto"/>
          <w:sz w:val="24"/>
          <w:szCs w:val="20"/>
          <w:highlight w:val="none"/>
          <w:lang w:val="en-US" w:eastAsia="zh-CN"/>
        </w:rPr>
        <w:t xml:space="preserve">3.1付款方式：</w:t>
      </w:r>
      <w:r>
        <w:rPr>
          <w:rFonts w:hint="eastAsia" w:ascii="宋体" w:hAnsi="宋体" w:eastAsia="宋体" w:cs="宋体"/>
          <w:color w:val="auto"/>
          <w:sz w:val="24"/>
          <w:szCs w:val="20"/>
          <w:highlight w:val="none"/>
          <w:u w:val="none"/>
        </w:rPr>
        <w:t xml:space="preserve">①自合同签订生效之日起，甲方收到预付款发票后10个工作日内，甲方向乙方支付合同总价的30%款项作为预付款；</w:t>
      </w:r>
      <w:r/>
    </w:p>
    <w:p>
      <w:pPr>
        <w:ind w:firstLine="482"/>
        <w:jc w:val="left"/>
        <w:spacing w:line="560" w:lineRule="exact"/>
        <w:widowControl/>
        <w:rPr>
          <w:rFonts w:ascii="宋体" w:hAnsi="宋体" w:eastAsia="宋体" w:cs="宋体"/>
          <w:color w:val="auto"/>
          <w:sz w:val="24"/>
          <w:szCs w:val="20"/>
          <w:highlight w:val="none"/>
          <w:u w:val="none"/>
        </w:rPr>
      </w:pPr>
      <w:r>
        <w:rPr>
          <w:rFonts w:hint="eastAsia" w:ascii="宋体" w:hAnsi="宋体" w:eastAsia="宋体" w:cs="宋体"/>
          <w:color w:val="auto"/>
          <w:sz w:val="24"/>
          <w:szCs w:val="20"/>
          <w:highlight w:val="none"/>
          <w:u w:val="none"/>
        </w:rPr>
        <w:t xml:space="preserve">②完成全部供货并通过验收合格后支付至合同价的</w:t>
      </w:r>
      <w:r>
        <w:rPr>
          <w:rFonts w:hint="eastAsia" w:ascii="宋体" w:hAnsi="宋体" w:eastAsia="宋体" w:cs="宋体"/>
          <w:color w:val="auto"/>
          <w:sz w:val="24"/>
          <w:szCs w:val="20"/>
          <w:highlight w:val="none"/>
          <w:u w:val="none"/>
          <w:lang w:val="en-US" w:eastAsia="zh-CN"/>
        </w:rPr>
        <w:t xml:space="preserve">10</w:t>
      </w:r>
      <w:r>
        <w:rPr>
          <w:rFonts w:hint="eastAsia" w:ascii="宋体" w:hAnsi="宋体" w:eastAsia="宋体" w:cs="宋体"/>
          <w:color w:val="auto"/>
          <w:sz w:val="24"/>
          <w:szCs w:val="20"/>
          <w:highlight w:val="none"/>
          <w:u w:val="none"/>
        </w:rPr>
        <w:t xml:space="preserve">0%。（甲方收到乙方发票后10个工作日内支付对应款项）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default" w:ascii="宋体" w:hAnsi="宋体" w:eastAsia="宋体" w:cs="宋体"/>
          <w:color w:val="auto"/>
          <w:sz w:val="24"/>
          <w:szCs w:val="20"/>
          <w:highlight w:val="none"/>
          <w:lang w:val="en-US" w:eastAsia="zh-CN"/>
        </w:rPr>
        <w:t xml:space="preserve">注：付款前提供符合甲方要求的正规发票，否则，甲方有权拒付。</w:t>
      </w:r>
      <w:r/>
    </w:p>
    <w:p>
      <w:pPr>
        <w:ind w:firstLine="482"/>
        <w:jc w:val="left"/>
        <w:keepLines w:val="0"/>
        <w:keepNext w:val="0"/>
        <w:pageBreakBefore w:val="0"/>
        <w:spacing w:line="560" w:lineRule="exact"/>
        <w:widowControl w:val="off"/>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3.2在招标文件未列明，而乙方认为履行本合同必需的费用也包含在合同总金额中。本项目采用“固定全费用综合单价”合同。项目结算时，实际采购数量按实结算；除甲方调整项目内容或合同约定调整外，一律不调整中标综合单价。项目结算总价=∑中标综合单价×实际合格采购数量±甲方调整项目内容或合同约定调整价款；其中中标综合单价结算时一律不予调整（除甲方调整项目内容或合同约定调整外），采购数量按实结算。（增加或减少不得超过合同金额的10%）。</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4、质量保证及售后服务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4.1乙方应按采购文件规定的货物性能、技术要求、质量标准向甲方提供未经使用的全新产品。</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4.2乙方提供的货物质保期具体以投标文件为准且不得低于三年，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（1）更换：由乙方承担所发生的全部费用。</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（2）退货处理：乙方应退还甲方支付的合同款，同时应承担该货物的直接费用（运输、保险、检验）。</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4.3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三、其他：</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w:t>
      </w:r>
      <w:r/>
    </w:p>
    <w:p>
      <w:pPr>
        <w:ind w:firstLine="482"/>
        <w:jc w:val="both"/>
        <w:keepLines w:val="0"/>
        <w:keepNext w:val="0"/>
        <w:pageBreakBefore w:val="0"/>
        <w:spacing w:line="520" w:lineRule="exact"/>
        <w:widowControl w:val="off"/>
        <w:rPr>
          <w:rFonts w:hint="eastAsia" w:ascii="宋体" w:hAnsi="宋体" w:cs="Courier New"/>
          <w:b/>
          <w:bCs/>
          <w:i/>
          <w:iCs/>
          <w:color w:val="auto"/>
          <w:sz w:val="24"/>
          <w:szCs w:val="24"/>
          <w:highlight w:val="none"/>
          <w:u w:val="single"/>
        </w:rPr>
      </w:pPr>
      <w:r>
        <w:rPr>
          <w:rFonts w:hint="eastAsia" w:ascii="宋体" w:hAnsi="宋体" w:cs="Courier New"/>
          <w:b/>
          <w:bCs/>
          <w:color w:val="auto"/>
          <w:sz w:val="24"/>
          <w:szCs w:val="24"/>
          <w:highlight w:val="none"/>
        </w:rPr>
        <w:t xml:space="preserve">★</w:t>
      </w:r>
      <w:r>
        <w:rPr>
          <w:rFonts w:hint="eastAsia" w:ascii="宋体" w:hAnsi="宋体" w:cs="Courier New"/>
          <w:b/>
          <w:bCs/>
          <w:i/>
          <w:iCs/>
          <w:color w:val="auto"/>
          <w:sz w:val="24"/>
          <w:szCs w:val="24"/>
          <w:highlight w:val="none"/>
          <w:u w:val="single"/>
        </w:rPr>
        <w:t xml:space="preserve">2、投标人须承诺决不提供虚假材料谋取中标、决不采取不正当手段诋毁、排挤其他投标人、决不与采购人、其他投标人或者代理机构恶意串通、决不向采购人、代理机构工作人员和评委进行商业贿赂、决不拒绝有关部门监督检查或提供虚假情况，如有违反，无条件接受采购人及相关管理部门的处罚且若中标的取消中标资格。（提供承诺书加盖公章，每个分包需单独承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3、消防器材应携带永久性标签或标识，标签或标识内容包含厂家名称、规格型号、执行标准、生产日期等装备主要参数。</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4.本项目的核心产品为：</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分包一：消防救生气垫</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分包二：新能源模块装置</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分包三：液压破拆工具组</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分包四：一级化学防护服</w:t>
      </w:r>
      <w:r/>
    </w:p>
    <w:p>
      <w:pPr>
        <w:ind w:firstLine="482"/>
        <w:jc w:val="left"/>
        <w:keepLines w:val="0"/>
        <w:keepNext w:val="0"/>
        <w:pageBreakBefore w:val="0"/>
        <w:spacing w:line="56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分包五：潜水装具</w:t>
      </w:r>
      <w:r/>
    </w:p>
    <w:p>
      <w:pPr>
        <w:ind w:firstLine="482"/>
        <w:jc w:val="left"/>
        <w:keepLines w:val="0"/>
        <w:keepNext w:val="0"/>
        <w:pageBreakBefore w:val="0"/>
        <w:spacing w:line="560" w:lineRule="exact"/>
        <w:widowControl w:val="off"/>
        <w:rPr>
          <w:rFonts w:hint="default" w:ascii="宋体" w:hAnsi="宋体" w:eastAsia="宋体" w:cs="宋体"/>
          <w:b/>
          <w:bCs/>
          <w:i w:val="0"/>
          <w:iCs w:val="0"/>
          <w:color w:val="auto"/>
          <w:sz w:val="24"/>
          <w:szCs w:val="20"/>
          <w:highlight w:val="none"/>
          <w:u w:val="none"/>
          <w:lang w:val="en-US" w:eastAsia="zh-CN"/>
        </w:rPr>
      </w:pPr>
      <w:r>
        <w:rPr>
          <w:rFonts w:hint="eastAsia" w:ascii="宋体" w:hAnsi="宋体" w:eastAsia="宋体" w:cs="宋体"/>
          <w:b/>
          <w:bCs/>
          <w:i w:val="0"/>
          <w:iCs w:val="0"/>
          <w:color w:val="auto"/>
          <w:sz w:val="24"/>
          <w:szCs w:val="20"/>
          <w:highlight w:val="none"/>
          <w:u w:val="none"/>
          <w:lang w:val="en-US" w:eastAsia="zh-CN"/>
        </w:rPr>
        <w:t xml:space="preserve">分包六：消防用红外热像仪 1</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三、项目管理服务方案</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（一）业绩</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投标人或其投标产品制造商（自2023年1月1日以来）承接过类似业绩的</w:t>
      </w:r>
      <w:r>
        <w:rPr>
          <w:rFonts w:hint="eastAsia" w:ascii="宋体" w:hAnsi="宋体" w:eastAsia="宋体" w:cs="宋体"/>
          <w:b/>
          <w:bCs/>
          <w:color w:val="auto"/>
          <w:sz w:val="24"/>
          <w:szCs w:val="20"/>
          <w:highlight w:val="none"/>
          <w:lang w:val="en-US" w:eastAsia="zh-CN"/>
        </w:rPr>
        <w:t xml:space="preserve">优先</w:t>
      </w:r>
      <w:r>
        <w:rPr>
          <w:rFonts w:hint="eastAsia" w:ascii="宋体" w:hAnsi="宋体" w:eastAsia="宋体" w:cs="宋体"/>
          <w:color w:val="auto"/>
          <w:sz w:val="24"/>
          <w:szCs w:val="20"/>
          <w:highlight w:val="none"/>
          <w:lang w:val="en-US" w:eastAsia="zh-CN"/>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（二）项目实施方案</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投标人应根据采购需求和本项目实际，制订相应的供货实施方案应至少包含以下内容：</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bookmarkStart w:id="174" w:name="OLE_LINK83"/>
      <w:r/>
      <w:bookmarkStart w:id="175" w:name="OLE_LINK84"/>
      <w:r>
        <w:rPr>
          <w:rFonts w:hint="eastAsia" w:ascii="宋体" w:hAnsi="宋体" w:eastAsia="宋体" w:cs="宋体"/>
          <w:b/>
          <w:bCs/>
          <w:color w:val="auto"/>
          <w:sz w:val="24"/>
          <w:szCs w:val="20"/>
          <w:highlight w:val="none"/>
          <w:lang w:val="en-US" w:eastAsia="zh-CN"/>
        </w:rPr>
        <w:t xml:space="preserve">1.</w:t>
      </w:r>
      <w:r>
        <w:rPr>
          <w:rFonts w:hint="eastAsia" w:ascii="宋体" w:hAnsi="宋体" w:eastAsia="宋体" w:cs="宋体"/>
          <w:b/>
          <w:bCs/>
          <w:color w:val="auto"/>
          <w:sz w:val="24"/>
          <w:szCs w:val="20"/>
          <w:highlight w:val="none"/>
        </w:rPr>
        <w:t xml:space="preserve">项目实施方案</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项目实施方案至少包含以下内容：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w:t>
      </w:r>
      <w:bookmarkEnd w:id="174"/>
      <w:r/>
      <w:bookmarkEnd w:id="175"/>
      <w:r>
        <w:rPr>
          <w:rFonts w:hint="eastAsia" w:ascii="宋体" w:hAnsi="宋体" w:eastAsia="宋体" w:cs="宋体"/>
          <w:color w:val="auto"/>
          <w:sz w:val="24"/>
          <w:szCs w:val="20"/>
          <w:highlight w:val="none"/>
          <w:lang w:val="en-US" w:eastAsia="zh-CN"/>
        </w:rPr>
        <w:t xml:space="preserve">项目总体概述</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针对江苏省消防救援总队盐城支队2026年度目录外器材装备采购项目（第二批）的理解，明确供货目标为提供符合技术要求的设备，确保60天内完成供货。供货范围：明确本方案覆盖的所有采购标的名称、数量、核心参数匹配情况，符合采购文件的技术要求。</w:t>
      </w:r>
      <w:bookmarkStart w:id="176" w:name="OLE_LINK86"/>
      <w:r/>
      <w:bookmarkStart w:id="177" w:name="OLE_LINK85"/>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w:t>
      </w:r>
      <w:bookmarkEnd w:id="176"/>
      <w:r/>
      <w:bookmarkEnd w:id="177"/>
      <w:r>
        <w:rPr>
          <w:rFonts w:hint="eastAsia" w:ascii="宋体" w:hAnsi="宋体" w:eastAsia="宋体" w:cs="宋体"/>
          <w:color w:val="auto"/>
          <w:sz w:val="24"/>
          <w:szCs w:val="20"/>
          <w:highlight w:val="none"/>
          <w:lang w:val="en-US" w:eastAsia="zh-CN"/>
        </w:rPr>
        <w:t xml:space="preserve">供货组织架构与人员配置项目团队架构：设置项目总负责人、技术负责人、生产协调岗、质量检验岗、物流运输岗、现场安装岗，明确各岗位的职责及人员资质（如相关技术人员的计量行业从业经验、设备安装调试经验证明）。人员职责划分：明确总负责人统筹项目全流程，技术负责人负责参数核验和技术支持，各岗位各司其职保障供货全环节顺畅。</w:t>
      </w:r>
      <w:bookmarkStart w:id="178" w:name="OLE_LINK88"/>
      <w:r/>
      <w:bookmarkStart w:id="179" w:name="OLE_LINK87"/>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③</w:t>
      </w:r>
      <w:bookmarkEnd w:id="178"/>
      <w:r/>
      <w:bookmarkEnd w:id="179"/>
      <w:r>
        <w:rPr>
          <w:rFonts w:hint="eastAsia" w:ascii="宋体" w:hAnsi="宋体" w:eastAsia="宋体" w:cs="宋体"/>
          <w:color w:val="auto"/>
          <w:sz w:val="24"/>
          <w:szCs w:val="20"/>
          <w:highlight w:val="none"/>
          <w:lang w:val="en-US" w:eastAsia="zh-CN"/>
        </w:rPr>
        <w:t xml:space="preserve">包装与运输方案包装标准：严格按照招标文件要求执行，金属件使用泡泡纸包裹、板式件边角用瓦楞纸防护、塑料及五金件用瓦楞纸箱包装，满足包装层数≤3层、空隙率≤40%、环保材质等要求，每件包装箱附装箱单和质量合格凭证。运输安排：选择具备大型精密仪器运输经验的物流服务商，明确运输路线、运输时长，运输过程中采取防碰撞、防潮、防震措施，购买全额运输保险。发货通知机制：货物发运后24小时内通知采购人，告知预计到货时间、运输联系人，提醒做好收货准备，运输全程可跟踪查询。</w:t>
      </w:r>
      <w:bookmarkStart w:id="180" w:name="OLE_LINK89"/>
      <w:r/>
      <w:bookmarkStart w:id="181" w:name="OLE_LINK90"/>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④</w:t>
      </w:r>
      <w:bookmarkEnd w:id="180"/>
      <w:r/>
      <w:bookmarkEnd w:id="181"/>
      <w:r>
        <w:rPr>
          <w:rFonts w:hint="eastAsia" w:ascii="宋体" w:hAnsi="宋体" w:eastAsia="宋体" w:cs="宋体"/>
          <w:color w:val="auto"/>
          <w:sz w:val="24"/>
          <w:szCs w:val="20"/>
          <w:highlight w:val="none"/>
          <w:lang w:val="en-US" w:eastAsia="zh-CN"/>
        </w:rPr>
        <w:t xml:space="preserve">到货验收方案到货初验：货物运抵现场后，配合采购人共同开箱核验，检查设备型号、数量、外观完好性、随箱资料（说明书、合格证、鉴定证书等）是否齐全，如有损坏或缺货当场登记，3个工作日内完成更换补货。安装调试：安排专业技术人员现场完成设备安装、接线、调试，确保各项技术参数达到采购文件要求，调试完成后出具调试报告。最终验收：配合采购人按照技术要求逐项验收，如需第三方检测，配合完成送检工作，验收不合格的免费更换设备直至合格，承担所有检测不合格产生的费用。验收通过后双方共同签署验收合格证明。</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bookmarkStart w:id="182" w:name="OLE_LINK93"/>
      <w:r>
        <w:rPr>
          <w:rFonts w:hint="eastAsia" w:ascii="宋体" w:hAnsi="宋体" w:eastAsia="宋体" w:cs="宋体"/>
          <w:b/>
          <w:bCs/>
          <w:color w:val="auto"/>
          <w:sz w:val="24"/>
          <w:szCs w:val="20"/>
          <w:highlight w:val="none"/>
          <w:lang w:val="en-US" w:eastAsia="zh-CN"/>
        </w:rPr>
        <w:t xml:space="preserve">2.</w:t>
      </w:r>
      <w:bookmarkEnd w:id="182"/>
      <w:r>
        <w:rPr>
          <w:rFonts w:hint="eastAsia" w:ascii="宋体" w:hAnsi="宋体" w:eastAsia="宋体" w:cs="宋体"/>
          <w:b/>
          <w:bCs/>
          <w:color w:val="auto"/>
          <w:sz w:val="24"/>
          <w:szCs w:val="20"/>
          <w:highlight w:val="none"/>
          <w:lang w:val="en-US" w:eastAsia="zh-CN"/>
        </w:rPr>
        <w:t xml:space="preserve">售后服务方案</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投标人针对项目需求内容制定明确、详细、规范、全面、可操作性强的售后服务方案，至少包含以下内容：</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①质保期服务承诺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质保期限：明确提供免费质保（</w:t>
      </w:r>
      <w:bookmarkStart w:id="183" w:name="OLE_LINK20"/>
      <w:r/>
      <w:bookmarkStart w:id="184" w:name="OLE_LINK19"/>
      <w:r>
        <w:rPr>
          <w:rFonts w:hint="eastAsia" w:ascii="宋体" w:hAnsi="宋体" w:eastAsia="宋体" w:cs="宋体"/>
          <w:color w:val="auto"/>
          <w:sz w:val="24"/>
          <w:szCs w:val="20"/>
          <w:highlight w:val="none"/>
          <w:lang w:val="en-US" w:eastAsia="zh-CN"/>
        </w:rPr>
        <w:t xml:space="preserve">自验收合格之日起</w:t>
      </w:r>
      <w:bookmarkStart w:id="185" w:name="OLE_LINK34"/>
      <w:r/>
      <w:bookmarkStart w:id="186" w:name="OLE_LINK35"/>
      <w:r>
        <w:rPr>
          <w:rFonts w:hint="eastAsia" w:ascii="宋体" w:hAnsi="宋体" w:eastAsia="宋体" w:cs="宋体"/>
          <w:color w:val="auto"/>
          <w:sz w:val="24"/>
          <w:szCs w:val="20"/>
          <w:highlight w:val="none"/>
          <w:lang w:val="en-US" w:eastAsia="zh-CN"/>
        </w:rPr>
        <w:t xml:space="preserve">不少于3年</w:t>
      </w:r>
      <w:bookmarkEnd w:id="185"/>
      <w:r/>
      <w:bookmarkEnd w:id="186"/>
      <w:r>
        <w:rPr>
          <w:rFonts w:hint="eastAsia" w:ascii="宋体" w:hAnsi="宋体" w:eastAsia="宋体" w:cs="宋体"/>
          <w:color w:val="auto"/>
          <w:sz w:val="24"/>
          <w:szCs w:val="20"/>
          <w:highlight w:val="none"/>
          <w:lang w:val="en-US" w:eastAsia="zh-CN"/>
        </w:rPr>
        <w:t xml:space="preserve">）</w:t>
      </w:r>
      <w:bookmarkEnd w:id="183"/>
      <w:r/>
      <w:bookmarkEnd w:id="184"/>
      <w:r>
        <w:rPr>
          <w:rFonts w:hint="eastAsia" w:ascii="宋体" w:hAnsi="宋体" w:eastAsia="宋体" w:cs="宋体"/>
          <w:color w:val="auto"/>
          <w:sz w:val="24"/>
          <w:szCs w:val="20"/>
          <w:highlight w:val="none"/>
          <w:lang w:val="en-US" w:eastAsia="zh-CN"/>
        </w:rPr>
        <w:t xml:space="preserve">，质保期内非人为因素导致的设备故障，免费维修、更换零配件及整机。响应机制：提供7×24小时技术咨询热线，接到故障报修后4小时内响应，2个工作日内安排原厂技术人员到达现场，12小时内排查处理完毕。若故障无法现场修复，提供同型号备用设备保障采购人正常使用。定期巡检：质保期内每季度安排技术人员上门巡检，对设备进行校准、清洁、性能检测，出具巡检报告，及时排查潜在问题。</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②培训服务方案</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现场操作培训：设备验收合格后，在采购人现场对使用人员开展免费培训，内容包括设备基本原理、操作流程、常规参数设置、日常维护方法、简单故障排查等，确保操作人员能够独立使用设备开展检定工作。进阶培训：根据采购人需求，可提供计量检定规程解读、软件高级功能使用等专项培训，培训资料免费提供。</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③超质保期服务</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终身维修服务：质保期届满后提供终身维修服务，仅收取零配件成本费，免收人工服务费。技术升级支持：设备配套软件有新版本时免费提供升级服务，设备相关计量规程更新时，协助完成设备参数调整、校准适配。续保选项：可提供优惠的延保服务方案，采购人可根据需求选择续保。</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④备品备件供应</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备品备件库：建立本项目设备常用零配件的专属备件库，明确零配件的供应价格、供货周期，确保零配件供应及时。易耗品供应：以优惠价格提供设备使用过程中需要的易耗品，明确配送时效。</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⑤服务质量保障</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服务监督机制：设立项目专属服务联系人，采购人有任何售后问题可直接对接，对服务响应不及时、问题处理不到位的情况，可拨打我司监督电话投诉，24小时内给出处理方案。客户回访：每月对项目运行情况进行回访，收集使用意见，持续优化售后服务质量。</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（三）节能环保标志</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提供投标产品属于财政部、国家发展改革委公布的“节能产品品目清单”范围内的，处于有效期内的认证证书优先，投标人提供投标产品属于财政部、生态环境部公布的“环境标志产品品目清单”范围内的，处于有效期内的认证证书</w:t>
      </w:r>
      <w:r>
        <w:rPr>
          <w:rFonts w:hint="eastAsia" w:ascii="宋体" w:hAnsi="宋体" w:eastAsia="宋体" w:cs="宋体"/>
          <w:b/>
          <w:bCs/>
          <w:color w:val="auto"/>
          <w:sz w:val="24"/>
          <w:szCs w:val="20"/>
          <w:highlight w:val="none"/>
          <w:lang w:val="en-US" w:eastAsia="zh-CN"/>
        </w:rPr>
        <w:t xml:space="preserve">优先</w:t>
      </w:r>
      <w:r>
        <w:rPr>
          <w:rFonts w:hint="eastAsia" w:ascii="宋体" w:hAnsi="宋体" w:eastAsia="宋体" w:cs="宋体"/>
          <w:color w:val="auto"/>
          <w:sz w:val="24"/>
          <w:szCs w:val="20"/>
          <w:highlight w:val="none"/>
          <w:lang w:val="en-US" w:eastAsia="zh-CN"/>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（四）质保期承诺</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乙方提供的货物质保期不得低于三年，增加免费质保期限承诺的</w:t>
      </w:r>
      <w:r>
        <w:rPr>
          <w:rFonts w:hint="eastAsia" w:ascii="宋体" w:hAnsi="宋体" w:eastAsia="宋体" w:cs="宋体"/>
          <w:b/>
          <w:bCs/>
          <w:color w:val="auto"/>
          <w:sz w:val="24"/>
          <w:szCs w:val="20"/>
          <w:highlight w:val="none"/>
          <w:lang w:val="en-US" w:eastAsia="zh-CN"/>
        </w:rPr>
        <w:t xml:space="preserve">优先</w:t>
      </w:r>
      <w:r>
        <w:rPr>
          <w:rFonts w:hint="eastAsia" w:ascii="宋体" w:hAnsi="宋体" w:eastAsia="宋体" w:cs="宋体"/>
          <w:color w:val="auto"/>
          <w:sz w:val="24"/>
          <w:szCs w:val="20"/>
          <w:highlight w:val="none"/>
          <w:lang w:val="en-US" w:eastAsia="zh-CN"/>
        </w:rPr>
        <w:t xml:space="preserve">。</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（五）视频演示</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1演示要求</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演示视频采用分项一镜到底方式制作：不对样品提供覆盖全部演示内容的完整总视频，投标人须按照各分包评分表所列评分项，逐项分别拍摄、单独提供演示视频，即每个评分项对应一段独立的演示视频。每段视频须一镜到底、连续不间断拍摄，不得剪辑、拼接、删减、加速慢放，不得添加滤镜或后期配音修饰（同期声除外）。</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（2）投标人需按照招标文件规定的演示内容制作演示视频文件，对核心产品提供相应的演示视频，演示视频中的演示形式须是目前正在运行的真实环境或模拟环境。视频文件的格式为*.mp4 或*.avi，投标人须将视频文件分段压缩为*.zip 文件上传（单个文件不得大于 50M，所有文件总共不得大于300M）。文件上传方式见《操作手册》规定，上传的演示视频将作为投标文件的组成部分，视频时长总计不超过10分钟（每个分包）。</w:t>
      </w:r>
      <w:r/>
    </w:p>
    <w:p>
      <w:pPr>
        <w:pStyle w:val="730"/>
        <w:numPr>
          <w:ilvl w:val="0"/>
          <w:numId w:val="0"/>
        </w:numPr>
        <w:ind w:firstLine="480"/>
        <w:jc w:val="both"/>
        <w:keepLines w:val="0"/>
        <w:keepNext w:val="0"/>
        <w:pageBreakBefore w:val="0"/>
        <w:spacing w:beforeAutospacing="0" w:afterAutospacing="0" w:line="520" w:lineRule="exact"/>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2.演示内容如下：</w:t>
      </w:r>
      <w:r/>
    </w:p>
    <w:p>
      <w:pPr>
        <w:pStyle w:val="730"/>
        <w:numPr>
          <w:ilvl w:val="0"/>
          <w:numId w:val="0"/>
        </w:numPr>
        <w:ind w:firstLine="480"/>
        <w:jc w:val="both"/>
        <w:keepLines w:val="0"/>
        <w:keepNext w:val="0"/>
        <w:pageBreakBefore w:val="0"/>
        <w:spacing w:beforeAutospacing="0" w:afterAutospacing="0" w:line="520" w:lineRule="exact"/>
        <w:widowControl w:val="off"/>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 xml:space="preserve">请供应商提供所投货物（设备）的样品演示视频如下，包括：</w:t>
      </w:r>
      <w:r/>
    </w:p>
    <w:p>
      <w:pPr>
        <w:pStyle w:val="730"/>
        <w:numPr>
          <w:ilvl w:val="0"/>
          <w:numId w:val="0"/>
        </w:numPr>
        <w:ind w:firstLine="482"/>
        <w:jc w:val="both"/>
        <w:keepLines w:val="0"/>
        <w:keepNext w:val="0"/>
        <w:pageBreakBefore w:val="0"/>
        <w:spacing w:beforeAutospacing="0" w:afterAutospacing="0" w:line="520" w:lineRule="exact"/>
        <w:widowControl w:val="off"/>
        <w:rPr>
          <w:rFonts w:hint="default"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分包一的投标供应商需提供供样品演示视频①</w:t>
      </w:r>
      <w:r>
        <w:rPr>
          <w:rFonts w:hint="eastAsia" w:ascii="宋体" w:hAnsi="宋体" w:eastAsia="宋体" w:cs="宋体"/>
          <w:b/>
          <w:bCs/>
          <w:i w:val="0"/>
          <w:iCs w:val="0"/>
          <w:color w:val="auto"/>
          <w:sz w:val="24"/>
          <w:szCs w:val="20"/>
          <w:highlight w:val="none"/>
          <w:u w:val="none"/>
          <w:lang w:val="en-US" w:eastAsia="zh-CN"/>
        </w:rPr>
        <w:t xml:space="preserve">消防救生气垫</w:t>
      </w:r>
      <w:r/>
    </w:p>
    <w:p>
      <w:pPr>
        <w:pStyle w:val="730"/>
        <w:numPr>
          <w:ilvl w:val="0"/>
          <w:numId w:val="0"/>
        </w:numPr>
        <w:ind w:firstLine="482"/>
        <w:jc w:val="both"/>
        <w:keepLines w:val="0"/>
        <w:keepNext w:val="0"/>
        <w:pageBreakBefore w:val="0"/>
        <w:spacing w:beforeAutospacing="0" w:afterAutospacing="0" w:line="520" w:lineRule="exact"/>
        <w:widowControl w:val="off"/>
        <w:rPr>
          <w:rFonts w:hint="eastAsia"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分包二的投标供应商需提供样品演示视频②</w:t>
      </w:r>
      <w:r>
        <w:rPr>
          <w:rFonts w:hint="eastAsia" w:ascii="宋体" w:hAnsi="宋体" w:eastAsia="宋体" w:cs="宋体"/>
          <w:b/>
          <w:bCs/>
          <w:i w:val="0"/>
          <w:iCs w:val="0"/>
          <w:color w:val="auto"/>
          <w:sz w:val="24"/>
          <w:szCs w:val="20"/>
          <w:highlight w:val="none"/>
          <w:u w:val="none"/>
          <w:lang w:val="en-US" w:eastAsia="zh-CN"/>
        </w:rPr>
        <w:t xml:space="preserve">新能源模块装置</w:t>
      </w:r>
      <w:r/>
    </w:p>
    <w:p>
      <w:pPr>
        <w:pStyle w:val="730"/>
        <w:numPr>
          <w:ilvl w:val="0"/>
          <w:numId w:val="0"/>
        </w:numPr>
        <w:ind w:firstLine="482"/>
        <w:jc w:val="both"/>
        <w:keepLines w:val="0"/>
        <w:keepNext w:val="0"/>
        <w:pageBreakBefore w:val="0"/>
        <w:spacing w:beforeAutospacing="0" w:afterAutospacing="0" w:line="520" w:lineRule="exact"/>
        <w:widowControl w:val="off"/>
        <w:rPr>
          <w:rFonts w:hint="eastAsia"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分包三的投标供应商需提供样品演示视频③</w:t>
      </w:r>
      <w:r>
        <w:rPr>
          <w:rFonts w:hint="eastAsia" w:ascii="宋体" w:hAnsi="宋体" w:eastAsia="宋体" w:cs="宋体"/>
          <w:b/>
          <w:bCs/>
          <w:i w:val="0"/>
          <w:iCs w:val="0"/>
          <w:color w:val="auto"/>
          <w:sz w:val="24"/>
          <w:szCs w:val="20"/>
          <w:highlight w:val="none"/>
          <w:u w:val="none"/>
          <w:lang w:val="en-US" w:eastAsia="zh-CN"/>
        </w:rPr>
        <w:t xml:space="preserve">液压破拆工具组</w:t>
      </w:r>
      <w:r/>
    </w:p>
    <w:p>
      <w:pPr>
        <w:pStyle w:val="730"/>
        <w:numPr>
          <w:ilvl w:val="0"/>
          <w:numId w:val="0"/>
        </w:numPr>
        <w:ind w:firstLine="482"/>
        <w:jc w:val="both"/>
        <w:keepLines w:val="0"/>
        <w:keepNext w:val="0"/>
        <w:pageBreakBefore w:val="0"/>
        <w:spacing w:beforeAutospacing="0" w:afterAutospacing="0" w:line="520" w:lineRule="exact"/>
        <w:widowControl w:val="off"/>
        <w:rPr>
          <w:rFonts w:hint="eastAsia" w:ascii="宋体" w:hAnsi="宋体" w:eastAsia="宋体" w:cs="宋体"/>
          <w:b/>
          <w:bCs/>
          <w:i w:val="0"/>
          <w:iCs w:val="0"/>
          <w:color w:val="auto"/>
          <w:sz w:val="24"/>
          <w:szCs w:val="20"/>
          <w:highlight w:val="none"/>
          <w:u w:val="none"/>
          <w:lang w:val="en-US" w:eastAsia="zh-CN"/>
        </w:rPr>
      </w:pPr>
      <w:r>
        <w:rPr>
          <w:rFonts w:hint="eastAsia" w:ascii="宋体" w:hAnsi="宋体" w:eastAsia="宋体" w:cs="Courier New"/>
          <w:b/>
          <w:bCs/>
          <w:color w:val="auto"/>
          <w:sz w:val="24"/>
          <w:szCs w:val="24"/>
          <w:highlight w:val="none"/>
          <w:lang w:val="en-US" w:eastAsia="zh-CN" w:bidi="ar-SA"/>
        </w:rPr>
        <w:t xml:space="preserve">分包四的投标供应商需提供样品演示视频④</w:t>
      </w:r>
      <w:r>
        <w:rPr>
          <w:rFonts w:hint="eastAsia" w:ascii="宋体" w:hAnsi="宋体" w:eastAsia="宋体" w:cs="宋体"/>
          <w:b/>
          <w:bCs/>
          <w:i w:val="0"/>
          <w:iCs w:val="0"/>
          <w:color w:val="auto"/>
          <w:sz w:val="24"/>
          <w:szCs w:val="20"/>
          <w:highlight w:val="none"/>
          <w:u w:val="none"/>
          <w:lang w:val="en-US" w:eastAsia="zh-CN"/>
        </w:rPr>
        <w:t xml:space="preserve">一级化学防护服</w:t>
      </w:r>
      <w:r/>
    </w:p>
    <w:p>
      <w:pPr>
        <w:ind w:firstLine="482"/>
        <w:jc w:val="left"/>
        <w:keepLines w:val="0"/>
        <w:keepNext w:val="0"/>
        <w:pageBreakBefore w:val="0"/>
        <w:spacing w:line="560" w:lineRule="exact"/>
        <w:widowControl w:val="off"/>
        <w:rPr>
          <w:rFonts w:hint="eastAsia"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分包五的投标供应商需提供样品演示视频⑤</w:t>
      </w:r>
      <w:r>
        <w:rPr>
          <w:rFonts w:hint="eastAsia" w:ascii="宋体" w:hAnsi="宋体" w:eastAsia="宋体" w:cs="宋体"/>
          <w:b/>
          <w:bCs/>
          <w:i w:val="0"/>
          <w:iCs w:val="0"/>
          <w:color w:val="auto"/>
          <w:sz w:val="24"/>
          <w:szCs w:val="20"/>
          <w:highlight w:val="none"/>
          <w:u w:val="none"/>
          <w:lang w:val="en-US" w:eastAsia="zh-CN"/>
        </w:rPr>
        <w:t xml:space="preserve">潜水装具</w:t>
      </w:r>
      <w:r/>
    </w:p>
    <w:p>
      <w:pPr>
        <w:pStyle w:val="730"/>
        <w:numPr>
          <w:ilvl w:val="0"/>
          <w:numId w:val="0"/>
        </w:numPr>
        <w:ind w:firstLine="482"/>
        <w:jc w:val="both"/>
        <w:keepLines w:val="0"/>
        <w:keepNext w:val="0"/>
        <w:pageBreakBefore w:val="0"/>
        <w:spacing w:beforeAutospacing="0" w:afterAutospacing="0" w:line="520" w:lineRule="exact"/>
        <w:widowControl w:val="off"/>
        <w:rPr>
          <w:rFonts w:hint="eastAsia"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分包六的投标供应商需提供样品演示视频⑥</w:t>
      </w:r>
      <w:r>
        <w:rPr>
          <w:rFonts w:hint="eastAsia" w:ascii="宋体" w:hAnsi="宋体" w:eastAsia="宋体" w:cs="宋体"/>
          <w:b/>
          <w:bCs/>
          <w:i w:val="0"/>
          <w:iCs w:val="0"/>
          <w:color w:val="auto"/>
          <w:sz w:val="24"/>
          <w:szCs w:val="20"/>
          <w:highlight w:val="none"/>
          <w:u w:val="none"/>
          <w:lang w:val="en-US" w:eastAsia="zh-CN"/>
        </w:rPr>
        <w:t xml:space="preserve">消防用红外热像仪 1</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投标人应根据采购需求和本项目实际，提供相应的演示视频，至少包括以下内容：</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分包一：</w:t>
      </w:r>
      <w:r/>
    </w:p>
    <w:p>
      <w:pPr>
        <w:pStyle w:val="730"/>
        <w:numPr>
          <w:ilvl w:val="0"/>
          <w:numId w:val="0"/>
        </w:numPr>
        <w:ind w:firstLine="480"/>
        <w:jc w:val="both"/>
        <w:keepLines w:val="0"/>
        <w:keepNext w:val="0"/>
        <w:pageBreakBefore w:val="0"/>
        <w:spacing w:beforeAutospacing="0" w:afterAutospacing="0" w:line="520" w:lineRule="exact"/>
        <w:widowControl w:val="off"/>
        <w:rPr>
          <w:rFonts w:hint="default" w:ascii="宋体" w:hAnsi="宋体" w:eastAsia="宋体" w:cs="Courier New"/>
          <w:b w:val="0"/>
          <w:bCs w:val="0"/>
          <w:color w:val="auto"/>
          <w:sz w:val="24"/>
          <w:szCs w:val="24"/>
          <w:highlight w:val="none"/>
          <w:lang w:val="en-US" w:eastAsia="zh-CN" w:bidi="ar-SA"/>
        </w:rPr>
      </w:pPr>
      <w:r>
        <w:rPr>
          <w:rFonts w:hint="default" w:ascii="宋体" w:hAnsi="宋体" w:eastAsia="宋体" w:cs="Courier New"/>
          <w:b w:val="0"/>
          <w:bCs w:val="0"/>
          <w:color w:val="auto"/>
          <w:sz w:val="24"/>
          <w:szCs w:val="24"/>
          <w:highlight w:val="none"/>
          <w:lang w:val="en-US" w:eastAsia="zh-CN" w:bidi="ar-SA"/>
        </w:rPr>
        <w:t xml:space="preserve">投标人须提供消防救生气垫的演示视频，按评分项分段提供，每个评分项单独提供一段一镜到底演示视频（段内连续不间断拍摄，不得剪辑拼接），并按以下流程完整演示各评分项对应内容：气垫称重→设备开箱检查→气瓶充气系统连接→启动充气→气垫展开成型→观察充气时间→稳定性测试演示（加载模拟重物）→泄压排气，折叠收纳归位。要求流畅直观、无缺项失误。需重点展示：①称重展示；②充气性能及时间；③展示整体成型外观状态；④重物跌落时气垫状态；⑤一分钟气压稳定展示；⑥展示创新功能（如有）一并展示；⑦收纳便携性能。</w:t>
      </w:r>
      <w:r/>
    </w:p>
    <w:p>
      <w:pPr>
        <w:pStyle w:val="730"/>
        <w:numPr>
          <w:ilvl w:val="0"/>
          <w:numId w:val="0"/>
        </w:numPr>
        <w:ind w:firstLine="482"/>
        <w:jc w:val="both"/>
        <w:keepLines w:val="0"/>
        <w:keepNext w:val="0"/>
        <w:pageBreakBefore w:val="0"/>
        <w:spacing w:beforeAutospacing="0" w:afterAutospacing="0" w:line="520" w:lineRule="exact"/>
        <w:widowControl w:val="off"/>
        <w:rPr>
          <w:rFonts w:hint="eastAsia"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分包二：</w:t>
      </w:r>
      <w:r/>
    </w:p>
    <w:p>
      <w:pPr>
        <w:pStyle w:val="730"/>
        <w:numPr>
          <w:ilvl w:val="0"/>
          <w:numId w:val="0"/>
        </w:numPr>
        <w:ind w:firstLine="480"/>
        <w:jc w:val="both"/>
        <w:keepLines w:val="0"/>
        <w:keepNext w:val="0"/>
        <w:pageBreakBefore w:val="0"/>
        <w:spacing w:beforeAutospacing="0" w:afterAutospacing="0" w:line="520" w:lineRule="exact"/>
        <w:widowControl w:val="off"/>
        <w:rPr>
          <w:rFonts w:hint="eastAsia" w:ascii="宋体" w:hAnsi="宋体" w:eastAsia="宋体" w:cs="Courier New"/>
          <w:b w:val="0"/>
          <w:bCs w:val="0"/>
          <w:color w:val="auto"/>
          <w:sz w:val="24"/>
          <w:szCs w:val="24"/>
          <w:highlight w:val="none"/>
          <w:lang w:val="en-US" w:eastAsia="zh-CN" w:bidi="ar-SA"/>
        </w:rPr>
      </w:pPr>
      <w:r>
        <w:rPr>
          <w:rFonts w:hint="eastAsia" w:ascii="宋体" w:hAnsi="宋体" w:eastAsia="宋体" w:cs="Courier New"/>
          <w:b w:val="0"/>
          <w:bCs w:val="0"/>
          <w:color w:val="auto"/>
          <w:sz w:val="24"/>
          <w:szCs w:val="24"/>
          <w:highlight w:val="none"/>
          <w:lang w:val="en-US" w:eastAsia="zh-CN" w:bidi="ar-SA"/>
        </w:rPr>
        <w:t xml:space="preserve">投标人须提供新能源模块装置的演示视频，按评分项分段提供，每个评分项单独提供一段一镜到底演示视频（段内连续不间断拍摄，不得剪辑拼接），并按以下流程完整演示各评分项对应内容：开机前整机外观及部件检查→药剂加注操作→供气系统检查→低倍/中倍泡沫模式切换→喷射作业演示（展示喷射距离、发泡效果）→毒物洗消功能实操演示→外部供气功能演示→停机泄压、设备归位，创新功能（如有）一并展示，要求流畅直观、无缺项失误。需重点展示：①机械式喷射系统；②泡沫、直流喷射形态；③喷射距离；④洗消功能；⑤外部供气功能。</w:t>
      </w:r>
      <w:r/>
    </w:p>
    <w:p>
      <w:pPr>
        <w:pStyle w:val="730"/>
        <w:numPr>
          <w:ilvl w:val="0"/>
          <w:numId w:val="0"/>
        </w:numPr>
        <w:ind w:firstLine="482"/>
        <w:jc w:val="both"/>
        <w:keepLines w:val="0"/>
        <w:keepNext w:val="0"/>
        <w:pageBreakBefore w:val="0"/>
        <w:spacing w:beforeAutospacing="0" w:afterAutospacing="0" w:line="520" w:lineRule="exact"/>
        <w:widowControl w:val="off"/>
        <w:rPr>
          <w:rFonts w:hint="eastAsia"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分包三：</w:t>
      </w:r>
      <w:r/>
    </w:p>
    <w:p>
      <w:pPr>
        <w:pStyle w:val="730"/>
        <w:numPr>
          <w:ilvl w:val="0"/>
          <w:numId w:val="0"/>
        </w:numPr>
        <w:ind w:firstLine="480"/>
        <w:jc w:val="both"/>
        <w:keepLines w:val="0"/>
        <w:keepNext w:val="0"/>
        <w:pageBreakBefore w:val="0"/>
        <w:spacing w:beforeAutospacing="0" w:afterAutospacing="0" w:line="520" w:lineRule="exact"/>
        <w:widowControl w:val="off"/>
        <w:rPr>
          <w:rFonts w:hint="eastAsia" w:ascii="宋体" w:hAnsi="宋体" w:eastAsia="宋体" w:cs="Courier New"/>
          <w:b w:val="0"/>
          <w:bCs w:val="0"/>
          <w:color w:val="auto"/>
          <w:sz w:val="24"/>
          <w:szCs w:val="24"/>
          <w:highlight w:val="none"/>
          <w:lang w:val="en-US" w:eastAsia="zh-CN" w:bidi="ar-SA"/>
        </w:rPr>
      </w:pPr>
      <w:r>
        <w:rPr>
          <w:rFonts w:hint="eastAsia" w:ascii="宋体" w:hAnsi="宋体" w:eastAsia="宋体" w:cs="Courier New"/>
          <w:b w:val="0"/>
          <w:bCs w:val="0"/>
          <w:color w:val="auto"/>
          <w:sz w:val="24"/>
          <w:szCs w:val="24"/>
          <w:highlight w:val="none"/>
          <w:lang w:val="en-US" w:eastAsia="zh-CN" w:bidi="ar-SA"/>
        </w:rPr>
        <w:t xml:space="preserve">投标人须提</w:t>
      </w:r>
      <w:r>
        <w:rPr>
          <w:rFonts w:hint="eastAsia" w:ascii="宋体" w:hAnsi="宋体" w:eastAsia="宋体" w:cs="Courier New"/>
          <w:b w:val="0"/>
          <w:bCs w:val="0"/>
          <w:color w:val="auto"/>
          <w:sz w:val="24"/>
          <w:szCs w:val="24"/>
          <w:highlight w:val="none"/>
          <w:lang w:val="en-US" w:eastAsia="zh-CN" w:bidi="ar-SA"/>
        </w:rPr>
        <w:t xml:space="preserve">供液压破拆工具组的演示视频，按评分项分段提供，每个评分项单独提供一段一镜到底演示视频（段内连续不间断拍摄，不得剪辑拼接），并按以下流程完整演示各评分项对应内容：设备开箱检查→机动泵机油燃油检查→管路快速接头连接（可自转上锁、防扭结）→分别操作扩张器、剪切器、剪扩器、撑顶器实操作业→高低温工况简要说明；停机泄压、管路拆卸、设备收纳归位，创新功能（如有）一并展示，要求流畅直观、无缺项失误。需重点展示：①机动泵双输出、带压操作；②各工具扩张、剪切、撑顶作业性能；③软管接头360°旋转防扭结；④整套工具操作可靠性。</w:t>
      </w:r>
      <w:r/>
    </w:p>
    <w:p>
      <w:pPr>
        <w:pStyle w:val="730"/>
        <w:numPr>
          <w:ilvl w:val="0"/>
          <w:numId w:val="0"/>
        </w:numPr>
        <w:ind w:firstLine="482"/>
        <w:jc w:val="both"/>
        <w:keepLines w:val="0"/>
        <w:keepNext w:val="0"/>
        <w:pageBreakBefore w:val="0"/>
        <w:spacing w:beforeAutospacing="0" w:afterAutospacing="0" w:line="520" w:lineRule="exact"/>
        <w:widowControl w:val="off"/>
        <w:rPr>
          <w:rFonts w:hint="eastAsia"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分包四：</w:t>
      </w:r>
      <w:r/>
    </w:p>
    <w:p>
      <w:pPr>
        <w:pStyle w:val="730"/>
        <w:numPr>
          <w:ilvl w:val="0"/>
          <w:numId w:val="0"/>
        </w:numPr>
        <w:ind w:firstLine="480"/>
        <w:jc w:val="both"/>
        <w:keepLines w:val="0"/>
        <w:keepNext w:val="0"/>
        <w:pageBreakBefore w:val="0"/>
        <w:spacing w:beforeAutospacing="0" w:afterAutospacing="0"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投标人须提供一级化学防护服的演示视频，</w:t>
      </w:r>
      <w:r>
        <w:rPr>
          <w:rFonts w:hint="eastAsia" w:ascii="宋体" w:hAnsi="宋体" w:eastAsia="宋体" w:cs="宋体"/>
          <w:sz w:val="24"/>
          <w:szCs w:val="24"/>
          <w:lang w:eastAsia="zh-CN"/>
        </w:rPr>
        <w:t xml:space="preserve">按评分项分段提供，每个评分项单独提供一段一镜到底演示视频</w:t>
      </w:r>
      <w:r>
        <w:rPr>
          <w:rFonts w:hint="eastAsia" w:ascii="宋体" w:hAnsi="宋体" w:eastAsia="宋体" w:cs="Courier New"/>
          <w:b w:val="0"/>
          <w:bCs w:val="0"/>
          <w:color w:val="auto"/>
          <w:sz w:val="24"/>
          <w:szCs w:val="24"/>
          <w:highlight w:val="none"/>
          <w:lang w:val="en-US" w:eastAsia="zh-CN" w:bidi="ar-SA"/>
        </w:rPr>
        <w:t xml:space="preserve">（段内连续不间断拍摄，不得剪辑拼接），并按以下流程完整演示各评分项对应内容</w:t>
      </w:r>
      <w:r>
        <w:rPr>
          <w:rFonts w:hint="eastAsia" w:ascii="宋体" w:hAnsi="宋体" w:eastAsia="宋体" w:cs="宋体"/>
          <w:sz w:val="24"/>
          <w:szCs w:val="24"/>
        </w:rPr>
        <w:t xml:space="preserve">：防护服开箱外观检查→全套组件清点（连体头罩、大视窗、排气阀、手套、防护靴等）→穿戴全过程演示→阀门、排气阀、视窗防雾功能检查→整体气密性简易演示→脱卸全过程演示，创新功能（如有）一并展示，要求流畅直观、无缺项失误。需重点展示：①大视窗防雾结构；②超压排气阀功能；③全套配件完整性；④接缝贴条、超声波焊接工艺。</w:t>
      </w:r>
      <w:r/>
    </w:p>
    <w:p>
      <w:pPr>
        <w:pStyle w:val="730"/>
        <w:numPr>
          <w:ilvl w:val="0"/>
          <w:numId w:val="0"/>
        </w:numPr>
        <w:ind w:firstLine="480"/>
        <w:jc w:val="both"/>
        <w:keepLines w:val="0"/>
        <w:keepNext w:val="0"/>
        <w:pageBreakBefore w:val="0"/>
        <w:spacing w:beforeAutospacing="0" w:afterAutospacing="0" w:line="520" w:lineRule="exact"/>
        <w:widowControl w:val="off"/>
        <w:rPr>
          <w:rFonts w:hint="eastAsia"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分包五：</w:t>
      </w:r>
      <w:r/>
    </w:p>
    <w:p>
      <w:pPr>
        <w:pStyle w:val="730"/>
        <w:numPr>
          <w:ilvl w:val="0"/>
          <w:numId w:val="0"/>
        </w:numPr>
        <w:ind w:firstLine="480"/>
        <w:jc w:val="both"/>
        <w:keepLines w:val="0"/>
        <w:keepNext w:val="0"/>
        <w:pageBreakBefore w:val="0"/>
        <w:spacing w:beforeAutospacing="0" w:afterAutospacing="0" w:line="5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投标人须提供潜水装具的演示视频，按评分项分段提供，每个评分项单独提供一段一镜到底演示视频（段内连续不间断拍摄，不得剪辑拼接），并按以下流程完整演示各评分项对应内容</w:t>
      </w:r>
      <w:r>
        <w:rPr>
          <w:rFonts w:hint="eastAsia" w:ascii="宋体" w:hAnsi="宋体" w:eastAsia="宋体" w:cs="宋体"/>
          <w:sz w:val="24"/>
          <w:szCs w:val="24"/>
        </w:rPr>
        <w:t xml:space="preserve">：全套装备清点（干式/湿式潜水服、浮力背心、气瓶、调节器、多功能仪表、潜水刀、脚蹼配重系统等）→干式潜水服穿戴、浮力调节背心装配→一级/二级调节器装配、压力表检查；潜水手表、北斗定位功能演示；装备拆解收纳装箱，创新功能（如有）一并展示，要求流畅直观、无缺项失误。需重点展示：①整套装备组件完整性；②调节器供气性能；③多功能仪表、潜水手表功能；④配重、脚蹼等配件。</w:t>
      </w:r>
      <w:r/>
    </w:p>
    <w:p>
      <w:pPr>
        <w:pStyle w:val="730"/>
        <w:numPr>
          <w:ilvl w:val="0"/>
          <w:numId w:val="0"/>
        </w:numPr>
        <w:ind w:firstLine="482"/>
        <w:jc w:val="both"/>
        <w:keepLines w:val="0"/>
        <w:keepNext w:val="0"/>
        <w:pageBreakBefore w:val="0"/>
        <w:spacing w:beforeAutospacing="0" w:afterAutospacing="0" w:line="520" w:lineRule="exact"/>
        <w:widowControl w:val="off"/>
        <w:rPr>
          <w:rFonts w:hint="eastAsia" w:ascii="宋体" w:hAnsi="宋体" w:eastAsia="宋体" w:cs="Courier New"/>
          <w:b/>
          <w:bCs/>
          <w:color w:val="auto"/>
          <w:sz w:val="24"/>
          <w:szCs w:val="24"/>
          <w:highlight w:val="none"/>
          <w:lang w:val="en-US" w:eastAsia="zh-CN" w:bidi="ar-SA"/>
        </w:rPr>
      </w:pPr>
      <w:r>
        <w:rPr>
          <w:rFonts w:hint="eastAsia" w:ascii="宋体" w:hAnsi="宋体" w:eastAsia="宋体" w:cs="Courier New"/>
          <w:b/>
          <w:bCs/>
          <w:color w:val="auto"/>
          <w:sz w:val="24"/>
          <w:szCs w:val="24"/>
          <w:highlight w:val="none"/>
          <w:lang w:val="en-US" w:eastAsia="zh-CN" w:bidi="ar-SA"/>
        </w:rPr>
        <w:t xml:space="preserve">分包六：</w:t>
      </w:r>
      <w:r/>
    </w:p>
    <w:p>
      <w:pPr>
        <w:pStyle w:val="730"/>
        <w:numPr>
          <w:ilvl w:val="0"/>
          <w:numId w:val="0"/>
        </w:numPr>
        <w:ind w:firstLine="480"/>
        <w:jc w:val="both"/>
        <w:keepLines w:val="0"/>
        <w:keepNext w:val="0"/>
        <w:pageBreakBefore w:val="0"/>
        <w:spacing w:beforeAutospacing="0" w:afterAutospacing="0"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投标人须提供消防用红外热像仪1的演示视频，按评分项分段提供，每个评分项单独提供一段一镜到底演示视频（段内连续不间断拍摄，不得剪辑拼接），并按以下流程完整演示各评分项对应内容</w:t>
      </w:r>
      <w:r>
        <w:rPr>
          <w:rFonts w:hint="eastAsia" w:ascii="宋体" w:hAnsi="宋体" w:eastAsia="宋体" w:cs="宋体"/>
          <w:sz w:val="24"/>
          <w:szCs w:val="24"/>
        </w:rPr>
        <w:t xml:space="preserve">：设备开机自检→多种成像模式切换（黑热、白热、铁红、彩虹、画中画等不少于8种模式）→测温功能演示、高温点自动追踪；拍照、录像存储回放演示；电池拆装更换；镜头、整机外观防护展示，创新功能（如有）一并展示，要求流畅直观、无缺项失误。需重点展示：①≥384*288探测器成像效果；②多种成像模式切换；③测温、热点追踪；④拍照录像存储；⑤整机防护性能。</w:t>
      </w:r>
      <w:r/>
    </w:p>
    <w:p>
      <w:pPr>
        <w:pStyle w:val="730"/>
        <w:numPr>
          <w:ilvl w:val="0"/>
          <w:numId w:val="0"/>
        </w:numPr>
        <w:ind w:firstLine="723"/>
        <w:jc w:val="both"/>
        <w:keepLines w:val="0"/>
        <w:keepNext w:val="0"/>
        <w:pageBreakBefore w:val="0"/>
        <w:spacing w:beforeAutospacing="0" w:afterAutospacing="0" w:line="500" w:lineRule="exact"/>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四、本项目不接受进口产品投标。</w:t>
      </w:r>
      <w:r/>
    </w:p>
    <w:p>
      <w:pPr>
        <w:pStyle w:val="730"/>
        <w:numPr>
          <w:ilvl w:val="0"/>
          <w:numId w:val="0"/>
        </w:numPr>
        <w:ind w:firstLine="723"/>
        <w:jc w:val="both"/>
        <w:keepLines w:val="0"/>
        <w:keepNext w:val="0"/>
        <w:pageBreakBefore w:val="0"/>
        <w:spacing w:beforeAutospacing="0" w:afterAutospacing="0" w:line="500" w:lineRule="exact"/>
        <w:widowControl w:val="off"/>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五、采购标的对应的中小企业划分标准所属行业一览表</w:t>
      </w:r>
      <w:r/>
    </w:p>
    <w:tbl>
      <w:tblPr>
        <w:tblStyle w:val="708"/>
        <w:tblW w:w="829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16"/>
        <w:gridCol w:w="4062"/>
        <w:gridCol w:w="3312"/>
      </w:tblGrid>
      <w:tr>
        <w:trPr>
          <w:jc w:val="center"/>
          <w:tblCellSpacing w:w="0" w:type="dxa"/>
          <w:trHeight w:val="1181"/>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73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62" w:type="dxa"/>
            <w:vAlign w:val="center"/>
            <w:textDirection w:val="lrTb"/>
            <w:noWrap w:val="false"/>
          </w:tcPr>
          <w:p>
            <w:pPr>
              <w:pStyle w:val="73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pStyle w:val="73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jc w:val="center"/>
          <w:tblCellSpacing w:w="0" w:type="dxa"/>
          <w:trHeight w:val="1181"/>
        </w:trPr>
        <w:tc>
          <w:tcPr>
            <w:shd w:val="clear" w:color="auto" w:fill="auto"/>
            <w:tcBorders>
              <w:top w:val="single" w:color="000000" w:sz="4" w:space="0"/>
              <w:left w:val="single" w:color="000000" w:sz="4" w:space="0"/>
              <w:bottom w:val="single" w:color="000000" w:sz="4" w:space="0"/>
              <w:right w:val="single" w:color="000000" w:sz="4" w:space="0"/>
            </w:tcBorders>
            <w:tcW w:w="916" w:type="dxa"/>
            <w:vAlign w:val="center"/>
            <w:textDirection w:val="lrTb"/>
            <w:noWrap w:val="false"/>
          </w:tcPr>
          <w:p>
            <w:pPr>
              <w:pStyle w:val="73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62" w:type="dxa"/>
            <w:vAlign w:val="center"/>
            <w:textDirection w:val="lrTb"/>
            <w:noWrap w:val="false"/>
          </w:tcPr>
          <w:p>
            <w:pPr>
              <w:pStyle w:val="73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t xml:space="preserve">江苏省消防救援总队盐城支队2026年度目录外器材装备采购项目（第二批）</w:t>
            </w:r>
            <w:r/>
          </w:p>
        </w:tc>
        <w:tc>
          <w:tcPr>
            <w:shd w:val="clear" w:color="auto" w:fill="auto"/>
            <w:tcBorders>
              <w:top w:val="single" w:color="000000" w:sz="4" w:space="0"/>
              <w:left w:val="single" w:color="000000" w:sz="4" w:space="0"/>
              <w:bottom w:val="single" w:color="000000" w:sz="4" w:space="0"/>
              <w:right w:val="single" w:color="000000" w:sz="4" w:space="0"/>
            </w:tcBorders>
            <w:tcW w:w="3312" w:type="dxa"/>
            <w:vAlign w:val="center"/>
            <w:textDirection w:val="lrTb"/>
            <w:noWrap w:val="false"/>
          </w:tcPr>
          <w:p>
            <w:pPr>
              <w:pStyle w:val="73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工业</w:t>
            </w:r>
            <w:r/>
          </w:p>
        </w:tc>
      </w:tr>
    </w:tbl>
    <w:p>
      <w:pPr>
        <w:pStyle w:val="730"/>
        <w:jc w:val="center"/>
        <w:keepLines w:val="0"/>
        <w:keepNext w:val="0"/>
        <w:pageBreakBefore w:val="0"/>
        <w:spacing w:beforeAutospacing="0" w:afterAutospacing="0" w:line="500" w:lineRule="exact"/>
        <w:widowControl w:val="off"/>
        <w:rPr>
          <w:rFonts w:hint="eastAsia" w:ascii="黑体" w:hAnsi="宋体" w:eastAsia="黑体" w:cs="黑体"/>
          <w:color w:val="auto"/>
          <w:sz w:val="44"/>
          <w:szCs w:val="44"/>
          <w:highlight w:val="none"/>
        </w:rPr>
        <w:sectPr>
          <w:footnotePr/>
          <w:endnotePr/>
          <w:type w:val="nextPage"/>
          <w:pgSz w:w="11906" w:h="16838" w:orient="portrait"/>
          <w:pgMar w:top="1440" w:right="1633" w:bottom="1440" w:left="1633" w:header="851" w:footer="992" w:gutter="0"/>
          <w:cols w:num="1" w:sep="0" w:space="425" w:equalWidth="1"/>
          <w:docGrid w:linePitch="360"/>
        </w:sectPr>
      </w:pPr>
      <w:r/>
      <w:bookmarkStart w:id="187" w:name="_Toc120614281"/>
      <w:r/>
      <w:r/>
    </w:p>
    <w:p>
      <w:pPr>
        <w:pStyle w:val="730"/>
        <w:jc w:val="center"/>
        <w:keepLines w:val="0"/>
        <w:keepNext w:val="0"/>
        <w:pageBreakBefore w:val="0"/>
        <w:spacing w:beforeAutospacing="0" w:afterAutospacing="0" w:line="0" w:lineRule="atLeast"/>
        <w:widowControl w:val="off"/>
        <w:rPr>
          <w:b w:val="0"/>
          <w:bCs w:val="0"/>
          <w:color w:val="auto"/>
          <w:highlight w:val="none"/>
        </w:rPr>
      </w:pPr>
      <w:r>
        <w:rPr>
          <w:rFonts w:hint="eastAsia" w:ascii="黑体" w:hAnsi="宋体" w:eastAsia="黑体" w:cs="黑体"/>
          <w:b w:val="0"/>
          <w:bCs w:val="0"/>
          <w:color w:val="auto"/>
          <w:sz w:val="44"/>
          <w:szCs w:val="44"/>
          <w:highlight w:val="none"/>
        </w:rPr>
        <w:t xml:space="preserve">第五章</w:t>
      </w:r>
      <w:r>
        <w:rPr>
          <w:rFonts w:hint="eastAsia" w:ascii="黑体" w:hAnsi="宋体" w:eastAsia="黑体" w:cs="黑体"/>
          <w:b w:val="0"/>
          <w:bCs w:val="0"/>
          <w:color w:val="auto"/>
          <w:sz w:val="44"/>
          <w:szCs w:val="44"/>
          <w:highlight w:val="none"/>
          <w:lang w:val="en-US" w:eastAsia="zh-CN"/>
        </w:rPr>
        <w:t xml:space="preserve"> </w:t>
      </w:r>
      <w:r>
        <w:rPr>
          <w:rFonts w:hint="eastAsia" w:ascii="黑体" w:hAnsi="宋体" w:eastAsia="黑体" w:cs="黑体"/>
          <w:b w:val="0"/>
          <w:bCs w:val="0"/>
          <w:color w:val="auto"/>
          <w:sz w:val="44"/>
          <w:szCs w:val="44"/>
          <w:highlight w:val="none"/>
        </w:rPr>
        <w:t xml:space="preserve">评标方法与评标标准</w:t>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一、定标原则</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本项目采用</w:t>
      </w:r>
      <w:r>
        <w:rPr>
          <w:rFonts w:hint="eastAsia" w:ascii="宋体" w:hAnsi="宋体" w:eastAsia="宋体" w:cs="宋体"/>
          <w:color w:val="auto"/>
          <w:sz w:val="24"/>
          <w:szCs w:val="20"/>
          <w:highlight w:val="none"/>
          <w:u w:val="single"/>
        </w:rPr>
        <w:t xml:space="preserve">综合评分</w:t>
      </w:r>
      <w:r>
        <w:rPr>
          <w:rFonts w:hint="eastAsia" w:ascii="宋体" w:hAnsi="宋体" w:eastAsia="宋体" w:cs="宋体"/>
          <w:color w:val="auto"/>
          <w:sz w:val="24"/>
          <w:szCs w:val="20"/>
          <w:highlight w:val="none"/>
        </w:rPr>
        <w:t xml:space="preserve">法。评标结果按评审后得分由高到低顺序排列。得分相同的，按投标报价由低到高顺序排列。得分且投标报价相同的</w:t>
      </w:r>
      <w:r>
        <w:rPr>
          <w:rFonts w:hint="eastAsia" w:ascii="宋体" w:hAnsi="宋体" w:eastAsia="宋体" w:cs="宋体"/>
          <w:color w:val="auto"/>
          <w:sz w:val="24"/>
          <w:szCs w:val="20"/>
          <w:highlight w:val="none"/>
          <w:lang w:val="en-US" w:eastAsia="zh-CN"/>
        </w:rPr>
        <w:t xml:space="preserve">并列</w:t>
      </w:r>
      <w:r>
        <w:rPr>
          <w:rFonts w:hint="eastAsia" w:ascii="宋体" w:hAnsi="宋体" w:eastAsia="宋体" w:cs="宋体"/>
          <w:color w:val="auto"/>
          <w:sz w:val="24"/>
          <w:szCs w:val="20"/>
          <w:highlight w:val="none"/>
        </w:rPr>
        <w:t xml:space="preserve">。投标文件满足招标文件全部实质性要求，且按照评审因素的量化指标评审得分最高的投标人为排名第一的中标候选人，本项目</w:t>
      </w:r>
      <w:r>
        <w:rPr>
          <w:rFonts w:hint="eastAsia" w:ascii="宋体" w:hAnsi="宋体" w:eastAsia="宋体" w:cs="宋体"/>
          <w:color w:val="auto"/>
          <w:sz w:val="24"/>
          <w:szCs w:val="20"/>
          <w:highlight w:val="none"/>
          <w:lang w:val="en-US" w:eastAsia="zh-CN"/>
        </w:rPr>
        <w:t xml:space="preserve">每个分包</w:t>
      </w:r>
      <w:r>
        <w:rPr>
          <w:rFonts w:hint="eastAsia" w:ascii="宋体" w:hAnsi="宋体" w:eastAsia="宋体" w:cs="宋体"/>
          <w:color w:val="auto"/>
          <w:sz w:val="24"/>
          <w:szCs w:val="20"/>
          <w:highlight w:val="none"/>
        </w:rPr>
        <w:t xml:space="preserve">选取1名中标候选人。</w:t>
      </w:r>
      <w:r>
        <w:rPr>
          <w:rFonts w:hint="eastAsia" w:ascii="宋体" w:hAnsi="宋体" w:eastAsia="宋体" w:cs="宋体"/>
          <w:color w:val="auto"/>
          <w:sz w:val="24"/>
          <w:szCs w:val="20"/>
          <w:highlight w:val="none"/>
          <w:lang w:val="en-US" w:eastAsia="zh-CN"/>
        </w:rPr>
        <w:t xml:space="preserve">本项目为6个分包兼投兼中，但是不允许转包或者分包，开评标顺序为：分包一、分包二、分包三、分包四、分包五、分包六。</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政府采购政策功能落实</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eastAsia="zh-CN"/>
        </w:rPr>
        <w:t xml:space="preserve">1.</w:t>
      </w:r>
      <w:r>
        <w:rPr>
          <w:rFonts w:hint="eastAsia" w:ascii="宋体" w:hAnsi="宋体" w:eastAsia="宋体" w:cs="宋体"/>
          <w:b/>
          <w:bCs/>
          <w:color w:val="auto"/>
          <w:sz w:val="24"/>
          <w:szCs w:val="20"/>
          <w:highlight w:val="none"/>
        </w:rPr>
        <w:t xml:space="preserve">小微型企业价格扣除</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w:t>
      </w:r>
      <w:r>
        <w:rPr>
          <w:rFonts w:hint="eastAsia" w:ascii="宋体" w:hAnsi="宋体" w:eastAsia="宋体" w:cs="宋体"/>
          <w:color w:val="auto"/>
          <w:sz w:val="24"/>
          <w:szCs w:val="20"/>
          <w:highlight w:val="none"/>
          <w:lang w:val="en-US" w:eastAsia="zh-CN"/>
        </w:rPr>
        <w:t xml:space="preserve">本项目</w:t>
      </w:r>
      <w:r>
        <w:rPr>
          <w:rFonts w:hint="eastAsia" w:ascii="宋体" w:hAnsi="宋体" w:eastAsia="宋体" w:cs="宋体"/>
          <w:color w:val="auto"/>
          <w:sz w:val="24"/>
          <w:szCs w:val="20"/>
          <w:highlight w:val="none"/>
        </w:rPr>
        <w:t xml:space="preserve">专门面向中小企业采购，不再对小型和微型企业</w:t>
      </w:r>
      <w:r>
        <w:rPr>
          <w:rFonts w:hint="eastAsia" w:ascii="宋体" w:hAnsi="宋体" w:eastAsia="宋体" w:cs="宋体"/>
          <w:color w:val="auto"/>
          <w:sz w:val="24"/>
          <w:szCs w:val="20"/>
          <w:highlight w:val="none"/>
          <w:lang w:val="en-US" w:eastAsia="zh-CN"/>
        </w:rPr>
        <w:t xml:space="preserve">报价</w:t>
      </w:r>
      <w:r>
        <w:rPr>
          <w:rFonts w:hint="eastAsia" w:ascii="宋体" w:hAnsi="宋体" w:eastAsia="宋体" w:cs="宋体"/>
          <w:color w:val="auto"/>
          <w:sz w:val="24"/>
          <w:szCs w:val="20"/>
          <w:highlight w:val="none"/>
        </w:rPr>
        <w:t xml:space="preserve">给予价格扣除。</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（2）供应商需按照采购文件的要求提供相应的《</w:t>
      </w:r>
      <w:r>
        <w:rPr>
          <w:rFonts w:hint="eastAsia" w:ascii="宋体" w:hAnsi="宋体" w:eastAsia="宋体" w:cs="宋体"/>
          <w:color w:val="auto"/>
          <w:sz w:val="24"/>
          <w:szCs w:val="20"/>
          <w:highlight w:val="none"/>
          <w:lang w:val="en-US" w:eastAsia="zh-CN"/>
        </w:rPr>
        <w:t xml:space="preserve">中小</w:t>
      </w:r>
      <w:r>
        <w:rPr>
          <w:rFonts w:hint="eastAsia" w:ascii="宋体" w:hAnsi="宋体" w:eastAsia="宋体" w:cs="宋体"/>
          <w:color w:val="auto"/>
          <w:sz w:val="24"/>
          <w:szCs w:val="20"/>
          <w:highlight w:val="none"/>
        </w:rPr>
        <w:t xml:space="preserve">企业声明函》。</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（3）企业标准请参照《关于印发中小企业划型标准规定的通知》（工信部联企业</w:t>
      </w:r>
      <w:r>
        <w:rPr>
          <w:rFonts w:hint="eastAsia" w:ascii="宋体" w:hAnsi="宋体" w:eastAsia="宋体" w:cs="宋体"/>
          <w:color w:val="auto"/>
          <w:sz w:val="24"/>
          <w:szCs w:val="20"/>
          <w:highlight w:val="none"/>
          <w:lang w:eastAsia="zh-CN"/>
        </w:rPr>
        <w:t xml:space="preserve">〔2011〕300号</w:t>
      </w:r>
      <w:r>
        <w:rPr>
          <w:rFonts w:hint="eastAsia" w:ascii="宋体" w:hAnsi="宋体" w:eastAsia="宋体" w:cs="宋体"/>
          <w:color w:val="auto"/>
          <w:sz w:val="24"/>
          <w:szCs w:val="20"/>
          <w:highlight w:val="none"/>
        </w:rPr>
        <w:t xml:space="preserve">）文件规定自行填写。</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rPr>
        <w:t xml:space="preserve">残疾人福利单位价格扣除</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（1）本项目对残疾人福利性单位视同小型、微型企业</w:t>
      </w:r>
      <w:r>
        <w:rPr>
          <w:rFonts w:hint="eastAsia" w:ascii="宋体" w:hAnsi="宋体" w:eastAsia="宋体" w:cs="宋体"/>
          <w:color w:val="auto"/>
          <w:sz w:val="24"/>
          <w:szCs w:val="20"/>
          <w:highlight w:val="none"/>
          <w:lang w:eastAsia="zh-CN"/>
        </w:rPr>
        <w:t xml:space="preserve">。</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（2）残疾人福利单位需按照采购文件的要求提供《残疾人福利性单位声明函》。</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（3）残疾人福利单位标准请参照《关于促进残疾人就业政府采购政策的通知》（财库〔2017〕141号）。</w:t>
      </w:r>
      <w:r/>
    </w:p>
    <w:p>
      <w:pPr>
        <w:ind w:firstLine="482"/>
        <w:jc w:val="left"/>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监狱和戒毒企业价格扣除</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（1）本项目对监狱和戒毒企业（简称监狱企业）视同小型、微型企业</w:t>
      </w:r>
      <w:r>
        <w:rPr>
          <w:rFonts w:hint="eastAsia" w:ascii="宋体" w:hAnsi="宋体" w:eastAsia="宋体" w:cs="宋体"/>
          <w:color w:val="auto"/>
          <w:sz w:val="24"/>
          <w:szCs w:val="20"/>
          <w:highlight w:val="none"/>
          <w:lang w:eastAsia="zh-CN"/>
        </w:rPr>
        <w:t xml:space="preserve">。</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（2）监狱企业参加政府采购活动时，需提供由省级以上监狱管理局、戒毒管理局</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含新疆生产建设兵团</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出具的属于监狱企业的证明文件。供应商如不提供上述证明文件，价格将不做相应扣除。</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（3）监狱企业标准请参照《关于政府采购支持监狱企业发展有关问题的通知》（财库</w:t>
      </w:r>
      <w:r>
        <w:rPr>
          <w:rFonts w:hint="eastAsia" w:ascii="宋体" w:hAnsi="宋体" w:eastAsia="宋体" w:cs="宋体"/>
          <w:color w:val="auto"/>
          <w:sz w:val="24"/>
          <w:szCs w:val="20"/>
          <w:highlight w:val="none"/>
          <w:lang w:eastAsia="zh-CN"/>
        </w:rPr>
        <w:t xml:space="preserve">〔2014〕68号</w:t>
      </w:r>
      <w:r>
        <w:rPr>
          <w:rFonts w:hint="eastAsia" w:ascii="宋体" w:hAnsi="宋体" w:eastAsia="宋体" w:cs="宋体"/>
          <w:color w:val="auto"/>
          <w:sz w:val="24"/>
          <w:szCs w:val="20"/>
          <w:highlight w:val="none"/>
        </w:rPr>
        <w:t xml:space="preserve">）。</w:t>
      </w:r>
      <w:r/>
    </w:p>
    <w:p>
      <w:pPr>
        <w:ind w:firstLine="482"/>
        <w:jc w:val="left"/>
        <w:keepLines w:val="0"/>
        <w:keepNext w:val="0"/>
        <w:pageBreakBefore w:val="0"/>
        <w:spacing w:line="560" w:lineRule="exact"/>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 xml:space="preserve">4.</w:t>
      </w:r>
      <w:r>
        <w:rPr>
          <w:rFonts w:hint="eastAsia" w:ascii="宋体" w:hAnsi="宋体" w:eastAsia="宋体" w:cs="宋体"/>
          <w:color w:val="auto"/>
          <w:sz w:val="24"/>
          <w:szCs w:val="20"/>
          <w:highlight w:val="none"/>
        </w:rPr>
        <w:t xml:space="preserve">残疾人福利单位、监狱企业属于小型、微型企业的，不重复享受政策。</w:t>
      </w:r>
      <w:r/>
    </w:p>
    <w:p>
      <w:pPr>
        <w:ind w:firstLine="482"/>
        <w:jc w:val="left"/>
        <w:keepLines w:val="0"/>
        <w:keepNext w:val="0"/>
        <w:pageBreakBefore w:val="0"/>
        <w:spacing w:line="56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采购本国产品的支持政策</w:t>
      </w:r>
      <w:r/>
    </w:p>
    <w:p>
      <w:pPr>
        <w:ind w:left="0" w:firstLine="482"/>
        <w:jc w:val="left"/>
        <w:keepLines w:val="0"/>
        <w:keepNext w:val="0"/>
        <w:pageBreakBefore w:val="0"/>
        <w:spacing w:line="5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.1本项目政府采购活动中既有本国产品又有非本国产品参与竞争的，依法对本国产品给予价格评审优惠，对本国产品的报价给予</w:t>
      </w:r>
      <w:r>
        <w:rPr>
          <w:rFonts w:hint="eastAsia" w:asciiTheme="minorEastAsia" w:hAnsiTheme="minorEastAsia" w:cstheme="minorEastAsia"/>
          <w:b/>
          <w:bCs/>
          <w:color w:val="auto"/>
          <w:sz w:val="24"/>
          <w:szCs w:val="24"/>
          <w:highlight w:val="none"/>
          <w:u w:val="single"/>
          <w:lang w:val="en-US" w:eastAsia="zh-CN"/>
        </w:rPr>
        <w:t xml:space="preserve">20</w:t>
      </w:r>
      <w:r>
        <w:rPr>
          <w:rFonts w:hint="eastAsia" w:asciiTheme="minorEastAsia" w:hAnsiTheme="minorEastAsia" w:eastAsiaTheme="minorEastAsia" w:cstheme="minorEastAsia"/>
          <w:b/>
          <w:bCs/>
          <w:color w:val="auto"/>
          <w:sz w:val="24"/>
          <w:szCs w:val="24"/>
          <w:highlight w:val="none"/>
          <w:u w:val="single"/>
        </w:rPr>
        <w:t xml:space="preserve">%</w:t>
      </w:r>
      <w:r>
        <w:rPr>
          <w:rFonts w:hint="eastAsia" w:asciiTheme="minorEastAsia" w:hAnsiTheme="minorEastAsia" w:eastAsiaTheme="minorEastAsia" w:cstheme="minorEastAsia"/>
          <w:b/>
          <w:bCs/>
          <w:color w:val="auto"/>
          <w:sz w:val="24"/>
          <w:szCs w:val="24"/>
          <w:highlight w:val="none"/>
        </w:rPr>
        <w:t xml:space="preserve">的价格扣除，用扣除后的价格参与评审。</w:t>
      </w:r>
      <w:r/>
    </w:p>
    <w:p>
      <w:pPr>
        <w:ind w:left="0" w:firstLine="482"/>
        <w:jc w:val="left"/>
        <w:keepLines w:val="0"/>
        <w:keepNext w:val="0"/>
        <w:pageBreakBefore w:val="0"/>
        <w:spacing w:line="5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highlight w:val="none"/>
          <w:u w:val="single"/>
        </w:rPr>
        <w:t xml:space="preserve">80%</w:t>
      </w:r>
      <w:r>
        <w:rPr>
          <w:rFonts w:hint="eastAsia" w:asciiTheme="minorEastAsia" w:hAnsiTheme="minorEastAsia" w:eastAsiaTheme="minorEastAsia" w:cstheme="minorEastAsia"/>
          <w:b/>
          <w:bCs/>
          <w:color w:val="auto"/>
          <w:sz w:val="24"/>
          <w:szCs w:val="24"/>
          <w:highlight w:val="none"/>
        </w:rPr>
        <w:t xml:space="preserve">以上时（供应商需在“第六章投标文件格式”的“投标分项报价表”中填写比例数值），依法对该供应商提供的全部产品给予价格评审优惠，即对该供应商提供的全部产品的总报价给予</w:t>
      </w:r>
      <w:r>
        <w:rPr>
          <w:rFonts w:hint="eastAsia" w:asciiTheme="minorEastAsia" w:hAnsiTheme="minorEastAsia" w:cstheme="minorEastAsia"/>
          <w:b/>
          <w:bCs/>
          <w:color w:val="auto"/>
          <w:sz w:val="24"/>
          <w:szCs w:val="24"/>
          <w:highlight w:val="none"/>
          <w:lang w:val="en-US" w:eastAsia="zh-CN"/>
        </w:rPr>
        <w:t xml:space="preserve">20</w:t>
      </w:r>
      <w:r>
        <w:rPr>
          <w:rFonts w:hint="eastAsia" w:asciiTheme="minorEastAsia" w:hAnsiTheme="minorEastAsia" w:eastAsiaTheme="minorEastAsia" w:cstheme="minorEastAsia"/>
          <w:b/>
          <w:bCs/>
          <w:color w:val="auto"/>
          <w:sz w:val="24"/>
          <w:szCs w:val="24"/>
          <w:highlight w:val="none"/>
          <w:u w:val="single"/>
        </w:rPr>
        <w:t xml:space="preserve">%</w:t>
      </w:r>
      <w:r>
        <w:rPr>
          <w:rFonts w:hint="eastAsia" w:asciiTheme="minorEastAsia" w:hAnsiTheme="minorEastAsia" w:eastAsiaTheme="minorEastAsia" w:cstheme="minorEastAsia"/>
          <w:b/>
          <w:bCs/>
          <w:color w:val="auto"/>
          <w:sz w:val="24"/>
          <w:szCs w:val="24"/>
          <w:highlight w:val="none"/>
        </w:rPr>
        <w:t xml:space="preserve">的价格扣除，用扣除后的价格参与评审。供应商未填写比例数值，或比例数值未达到80%的，将不享受本国产品价格评审优惠。</w:t>
      </w:r>
      <w:r/>
    </w:p>
    <w:p>
      <w:pPr>
        <w:ind w:left="0" w:firstLine="482"/>
        <w:jc w:val="left"/>
        <w:keepLines w:val="0"/>
        <w:keepNext w:val="0"/>
        <w:pageBreakBefore w:val="0"/>
        <w:spacing w:line="5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.3供应商需按照招标文件的要求提供《关于符合本国产品标准的声明函》（以下简称《声明函》），如不提供将不享受本国产品价格评审优惠。</w:t>
      </w:r>
      <w:r/>
    </w:p>
    <w:p>
      <w:pPr>
        <w:ind w:left="0" w:firstLine="482"/>
        <w:jc w:val="left"/>
        <w:keepLines w:val="0"/>
        <w:keepNext w:val="0"/>
        <w:pageBreakBefore w:val="0"/>
        <w:spacing w:line="52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.4供应商需在《声明函》中逐一、准确填写产品名称、厂名、生产厂址三项信息（《声明函》中用</w:t>
      </w:r>
      <w:r>
        <w:rPr>
          <w:rFonts w:hint="eastAsia" w:asciiTheme="minorEastAsia" w:hAnsiTheme="minorEastAsia" w:cstheme="minorEastAsia"/>
          <w:b/>
          <w:bCs/>
          <w:color w:val="auto"/>
          <w:sz w:val="24"/>
          <w:szCs w:val="24"/>
          <w:highlight w:val="none"/>
          <w:lang w:val="en-US" w:eastAsia="zh-CN"/>
        </w:rPr>
        <w:t xml:space="preserve">横</w:t>
      </w:r>
      <w:r>
        <w:rPr>
          <w:rFonts w:hint="eastAsia" w:asciiTheme="minorEastAsia" w:hAnsiTheme="minorEastAsia" w:eastAsiaTheme="minorEastAsia" w:cstheme="minorEastAsia"/>
          <w:b/>
          <w:bCs/>
          <w:color w:val="auto"/>
          <w:sz w:val="24"/>
          <w:szCs w:val="24"/>
          <w:highlight w:val="none"/>
        </w:rPr>
        <w:t xml:space="preserve">线划除的地方无需填写），三项信息中任意一项未填写的视为该项产品不符合本国产品标准，不享受本国产品价格评审优惠。</w:t>
      </w:r>
      <w:r/>
    </w:p>
    <w:p>
      <w:pPr>
        <w:ind w:left="0" w:firstLine="482"/>
        <w:jc w:val="left"/>
        <w:keepLines w:val="0"/>
        <w:keepNext w:val="0"/>
        <w:pageBreakBefore w:val="0"/>
        <w:spacing w:line="520" w:lineRule="exact"/>
        <w:widowControl w:val="off"/>
        <w:rPr>
          <w:rFonts w:hint="default" w:ascii="宋体" w:hAnsi="宋体" w:eastAsia="宋体" w:cs="宋体"/>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5</w:t>
      </w:r>
      <w:r>
        <w:rPr>
          <w:rFonts w:hint="eastAsia" w:asciiTheme="minorEastAsia" w:hAnsiTheme="minorEastAsia" w:eastAsiaTheme="minorEastAsia" w:cstheme="minorEastAsia"/>
          <w:b/>
          <w:bCs/>
          <w:color w:val="auto"/>
          <w:sz w:val="24"/>
          <w:szCs w:val="24"/>
          <w:highlight w:val="none"/>
        </w:rPr>
        <w:t xml:space="preserve">.5评标过程中，如发现供应商在《声明函》内容含义不明确、同类事项与投标（响应）文件表述不一致或者有明显文字错误等情况的，评标委员会应当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w:t>
      </w:r>
      <w:r>
        <w:rPr>
          <w:rFonts w:hint="eastAsia" w:asciiTheme="minorEastAsia" w:hAnsiTheme="minorEastAsia" w:eastAsiaTheme="minorEastAsia" w:cstheme="minorEastAsia"/>
          <w:b/>
          <w:bCs/>
          <w:color w:val="auto"/>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0"/>
        <w:jc w:val="lef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numPr>
          <w:ilvl w:val="0"/>
          <w:numId w:val="0"/>
        </w:numPr>
        <w:ind w:firstLine="482"/>
        <w:jc w:val="left"/>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评标方法与评标标准</w:t>
      </w:r>
      <w:r/>
    </w:p>
    <w:p>
      <w:pPr>
        <w:ind w:firstLine="482"/>
        <w:jc w:val="both"/>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分包一：</w:t>
      </w:r>
      <w:r/>
    </w:p>
    <w:tbl>
      <w:tblPr>
        <w:tblStyle w:val="708"/>
        <w:tblW w:w="84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9"/>
        <w:gridCol w:w="1044"/>
        <w:gridCol w:w="818"/>
        <w:gridCol w:w="5843"/>
      </w:tblGrid>
      <w:tr>
        <w:trPr>
          <w:jc w:val="center"/>
          <w:trHeight w:val="667"/>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bookmarkStart w:id="188" w:name="_Hlt26671244"/>
            <w:r/>
            <w:bookmarkStart w:id="189" w:name="_Toc26554094"/>
            <w:r/>
            <w:bookmarkStart w:id="190" w:name="_Hlt26955039"/>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584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评分标准</w:t>
            </w:r>
            <w:r/>
          </w:p>
        </w:tc>
      </w:tr>
      <w:tr>
        <w:trPr>
          <w:jc w:val="center"/>
          <w:trHeight w:val="1125"/>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w:t>
            </w:r>
            <w:r/>
          </w:p>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报价</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 分</w:t>
            </w:r>
            <w:r/>
          </w:p>
        </w:tc>
        <w:tc>
          <w:tcPr>
            <w:shd w:val="clear" w:color="auto" w:fill="auto"/>
            <w:tcBorders>
              <w:top w:val="single" w:color="000000" w:sz="4" w:space="0"/>
              <w:left w:val="single" w:color="000000" w:sz="4" w:space="0"/>
              <w:bottom w:val="single" w:color="000000" w:sz="4" w:space="0"/>
              <w:right w:val="single" w:color="000000" w:sz="4" w:space="0"/>
            </w:tcBorders>
            <w:tcW w:w="584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价格分采用低价优先法计算，即满足招标文件要求且投标价格最低的投标报价为评标基准价，其价格分为满分。其他投标人的价格分统一按照下列公式计算：投标报价得分 =（评标基准价／投标报价）×30。（得分保留两位小数）</w:t>
            </w:r>
            <w:r/>
          </w:p>
        </w:tc>
      </w:tr>
      <w:tr>
        <w:trPr>
          <w:jc w:val="center"/>
          <w:trHeight w:val="1962"/>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类似</w:t>
            </w:r>
            <w:r/>
          </w:p>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 分</w:t>
            </w:r>
            <w:r/>
          </w:p>
        </w:tc>
        <w:tc>
          <w:tcPr>
            <w:shd w:val="clear" w:color="auto" w:fill="auto"/>
            <w:tcBorders>
              <w:top w:val="single" w:color="000000" w:sz="4" w:space="0"/>
              <w:left w:val="single" w:color="000000" w:sz="4" w:space="0"/>
              <w:bottom w:val="single" w:color="000000" w:sz="4" w:space="0"/>
              <w:right w:val="single" w:color="000000" w:sz="4" w:space="0"/>
            </w:tcBorders>
            <w:tcW w:w="584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投标人或其投标产品制造商自 2023 年 1 月 1 日（含）以来（以合同签订日期为准）完成的类似项目业绩（合同内容需体现采购的内容，类似业绩指的是产品包的核心产品），每提供一个业绩得 1 分，本项最高得 4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注：投标时必须提供合同原件扫描件和项目验收证明材料。合同应体现合同签订时间、合同主体名称、供货内容、合同主体双方盖章页，否则该项不得分。</w:t>
            </w:r>
            <w:r/>
          </w:p>
        </w:tc>
      </w:tr>
      <w:tr>
        <w:trPr>
          <w:jc w:val="center"/>
          <w:trHeight w:val="4192"/>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产品技术参数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 分</w:t>
            </w:r>
            <w:r/>
          </w:p>
        </w:tc>
        <w:tc>
          <w:tcPr>
            <w:shd w:val="clear" w:color="auto" w:fill="auto"/>
            <w:tcBorders>
              <w:top w:val="single" w:color="000000" w:sz="4" w:space="0"/>
              <w:left w:val="single" w:color="000000" w:sz="4" w:space="0"/>
              <w:bottom w:val="single" w:color="000000" w:sz="4" w:space="0"/>
              <w:right w:val="single" w:color="000000" w:sz="4" w:space="0"/>
            </w:tcBorders>
            <w:tcW w:w="584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招标文件第四章 “采购需求” 中的非实质性技术要求：所投产品所有技术条款完全响应招标文件要求的得 26分；本项最低分 0 分，最高分 26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标记 “▲” 为重要技术条款，重要技术条款响应的，每响应一条加1.5分，最多得12分。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无标记为一般技术条款，一般技术条款响应的，每响应一条加0.5分，最多得14分。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注：1. 以上 “技术要求” 响应情况均须在投标文件《技术要求响应及偏离表》中表述清楚，如表述不清，则按负偏离处理。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2. 技术要求中 “▲” 指标均需提供技术证明材料，证明材料（包括检测检验报告、白皮书、设备生产厂家证明扫描件、彩页、手册等，若上述材料同一参数有不一致的以检测报告为准），如 “技术要求” 中有明确要求的，以明确要求为准，未按要求提供的，视为负偏离。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3. 投标人如虚假响应或提供虚假证明材料，一经发现将取消中标资格，并上报财政主管部门。</w:t>
            </w:r>
            <w:r/>
          </w:p>
        </w:tc>
      </w:tr>
      <w:tr>
        <w:trPr>
          <w:jc w:val="center"/>
          <w:trHeight w:val="553"/>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 分</w:t>
            </w:r>
            <w:r/>
          </w:p>
        </w:tc>
        <w:tc>
          <w:tcPr>
            <w:shd w:val="clear" w:color="auto" w:fill="auto"/>
            <w:tcBorders>
              <w:top w:val="single" w:color="000000" w:sz="4" w:space="0"/>
              <w:left w:val="single" w:color="000000" w:sz="4" w:space="0"/>
              <w:bottom w:val="single" w:color="000000" w:sz="4" w:space="0"/>
              <w:right w:val="single" w:color="000000" w:sz="4" w:space="0"/>
            </w:tcBorders>
            <w:tcW w:w="584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供应商根据本项目第四章 “项目实施方案”，方案内容至少包含：①项目总体概述；②供货组织架构与人员配置；③包装与运输方案；④到货验收方案。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上述 4 项内容完整得 12 分，每有一项内容缺失的扣 3 分；每有一处存在缺陷（缺陷是指不适用于本项目，表述前后不一致或内容矛盾，语句有歧义，仅有框架或标题，涉及的规范及标准错误，套用其他项目内容等任意一种情形）的扣 0.5 分，直至扣完 12 分为止，不提供不得分。具体由评审委员会评审。</w:t>
            </w:r>
            <w:r/>
          </w:p>
        </w:tc>
      </w:tr>
      <w:tr>
        <w:trPr>
          <w:jc w:val="center"/>
          <w:trHeight w:val="2240"/>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 分</w:t>
            </w:r>
            <w:r/>
          </w:p>
        </w:tc>
        <w:tc>
          <w:tcPr>
            <w:shd w:val="clear" w:color="auto" w:fill="auto"/>
            <w:tcBorders>
              <w:top w:val="single" w:color="000000" w:sz="4" w:space="0"/>
              <w:left w:val="single" w:color="000000" w:sz="4" w:space="0"/>
              <w:bottom w:val="single" w:color="000000" w:sz="4" w:space="0"/>
              <w:right w:val="single" w:color="000000" w:sz="4" w:space="0"/>
            </w:tcBorders>
            <w:tcW w:w="584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供应商根据本项目第四章 “售后服务方案”，方案内容至少包含：①质保期服务承诺；②培训服务方案；③超质保期服务；④备品备件供应；⑤服务质量保障。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上述 5 项内容完整得 10 分，每有一项内容缺失的扣 2 分；每有一处存在缺陷（缺陷是指不适用于本项目，表述前后不一致或内容矛盾，语句有歧义，仅有框架或标题，涉及的规范及标准错误，套用其他项目内容等任意一种情形）的扣 0.5 分，直至扣完 10 分为止，不提供不得分。具体由评审委员会评审。</w:t>
            </w:r>
            <w:r/>
          </w:p>
        </w:tc>
      </w:tr>
      <w:tr>
        <w:trPr>
          <w:jc w:val="center"/>
          <w:trHeight w:val="90"/>
        </w:trPr>
        <w:tc>
          <w:tcPr>
            <w:shd w:val="clear" w:color="auto" w:fill="auto"/>
            <w:tcBorders>
              <w:top w:val="single" w:color="000000" w:sz="4" w:space="0"/>
              <w:left w:val="single" w:color="000000" w:sz="4" w:space="0"/>
              <w:right w:val="single" w:color="000000" w:sz="4" w:space="0"/>
            </w:tcBorders>
            <w:tcW w:w="749" w:type="dxa"/>
            <w:vAlign w:val="center"/>
            <w:vMerge w:val="restart"/>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044"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环保</w:t>
            </w:r>
            <w:r/>
          </w:p>
        </w:tc>
        <w:tc>
          <w:tcPr>
            <w:shd w:val="clear" w:color="auto" w:fill="auto"/>
            <w:tcBorders>
              <w:top w:val="single" w:color="000000" w:sz="4" w:space="0"/>
              <w:left w:val="single" w:color="000000" w:sz="4" w:space="0"/>
              <w:right w:val="single" w:color="000000" w:sz="4" w:space="0"/>
            </w:tcBorders>
            <w:tcW w:w="818" w:type="dxa"/>
            <w:vAlign w:val="center"/>
            <w:vMerge w:val="restart"/>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分</w:t>
            </w:r>
            <w:r/>
          </w:p>
        </w:tc>
        <w:tc>
          <w:tcPr>
            <w:shd w:val="clear" w:color="auto" w:fill="auto"/>
            <w:tcBorders>
              <w:top w:val="single" w:color="000000" w:sz="4" w:space="0"/>
              <w:left w:val="single" w:color="000000" w:sz="4" w:space="0"/>
              <w:bottom w:val="single" w:color="000000" w:sz="4" w:space="0"/>
              <w:right w:val="single" w:color="000000" w:sz="4" w:space="0"/>
            </w:tcBorders>
            <w:tcW w:w="584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投标产品属于财政部、国家发展改革委公布的 “节能产品品目清单” 范围内的，投标人提供国家确定的认证机构出具的、处于有效期之内的该节能产品认证证书的，有 1 个得 0.5 分，最多得 1 分。如投标产品均属于政府强制采购节能产品品目清单范围内，本项不得分。（提供证书扫描件，并加盖投标单位公章。）</w:t>
            </w:r>
            <w:r/>
          </w:p>
        </w:tc>
      </w:tr>
      <w:tr>
        <w:trPr>
          <w:jc w:val="center"/>
          <w:trHeight w:val="1125"/>
        </w:trPr>
        <w:tc>
          <w:tcPr>
            <w:shd w:val="clear" w:color="auto" w:fill="auto"/>
            <w:tcBorders>
              <w:left w:val="single" w:color="000000" w:sz="4" w:space="0"/>
              <w:bottom w:val="single" w:color="000000" w:sz="4" w:space="0"/>
              <w:right w:val="single" w:color="000000" w:sz="4" w:space="0"/>
            </w:tcBorders>
            <w:tcW w:w="749" w:type="dxa"/>
            <w:vAlign w:val="center"/>
            <w:vMerge w:val="continue"/>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1044" w:type="dxa"/>
            <w:vAlign w:val="center"/>
            <w:vMerge w:val="continue"/>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818" w:type="dxa"/>
            <w:vAlign w:val="center"/>
            <w:vMerge w:val="continue"/>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投标产品属于财政部、生态环境部公布的 “环境标志产品品目清单” 范围内的，投标人提供国家确定的认证机构出具的、处于有效期内的该环保产品认证证书的，有 1 个得 0.5 分，最多得 1 分。（提供证书扫描件，并加盖投标单位公章。）</w:t>
            </w:r>
            <w:r/>
          </w:p>
        </w:tc>
      </w:tr>
      <w:tr>
        <w:trPr>
          <w:jc w:val="center"/>
          <w:trHeight w:val="1962"/>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质保期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承诺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 分</w:t>
            </w:r>
            <w:r/>
          </w:p>
        </w:tc>
        <w:tc>
          <w:tcPr>
            <w:shd w:val="clear" w:color="auto" w:fill="auto"/>
            <w:tcBorders>
              <w:top w:val="single" w:color="000000" w:sz="4" w:space="0"/>
              <w:left w:val="single" w:color="000000" w:sz="4" w:space="0"/>
              <w:bottom w:val="single" w:color="000000" w:sz="4" w:space="0"/>
              <w:right w:val="single" w:color="000000" w:sz="4" w:space="0"/>
            </w:tcBorders>
            <w:tcW w:w="584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免费质保期（3 年）基础上，每增加一年免费上门质保服务承诺得 2 分，最高得 4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（免费质保期是指覆盖本项目所投设备及相关配套服务的免费质保期限。质保期内，上门调试、故障维修、核心部件更换等费用均由投标人承担，采购人不再另行支付费用。）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注：提供质保服务承诺书，承诺书格式自拟，未提供或未按要求提供的不得分。</w:t>
            </w:r>
            <w:r/>
          </w:p>
        </w:tc>
      </w:tr>
      <w:tr>
        <w:trPr>
          <w:jc w:val="center"/>
          <w:trHeight w:val="327"/>
        </w:trPr>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 分</w:t>
            </w:r>
            <w:r/>
          </w:p>
        </w:tc>
        <w:tc>
          <w:tcPr>
            <w:shd w:val="clear" w:color="auto" w:fill="auto"/>
            <w:tcBorders>
              <w:top w:val="single" w:color="000000" w:sz="4" w:space="0"/>
              <w:left w:val="single" w:color="000000" w:sz="4" w:space="0"/>
              <w:bottom w:val="single" w:color="000000" w:sz="4" w:space="0"/>
              <w:right w:val="single" w:color="000000" w:sz="4" w:space="0"/>
            </w:tcBorders>
            <w:tcW w:w="584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演示采用分项一镜到底视频演示评审方式：不提供覆盖全部评分项的完整总视频，投标人须针对本表所列每一评分项，分别提供一段独立的一镜到底演示视频，一个评分项对应一段视频，每段视频连续不间断拍摄，不得剪辑、拼接、删减、加速慢放，各段视频片头以字幕标明对应评分项名称，与本评分表逐项对应。视频演示评审总分 12 分，无视频、视频无法播放、视频违规、未按要求演示均按规则扣分或计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评标委员会根据投标人演示视频内容，进行综合评审。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（一）充气及补气性能（3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完整演示充气成型、补气功能，充气≤60s、补气≤30s，成型饱满稳定得 3 分；基本可以充气成型、存在少量瑕疵得 1.5 分；无法正常充气成型得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（二）整体成型与尺寸外观（3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展开后外形尺寸≥4.5m*4.5m*2.5m，标识、反光安全圈标识完整清晰得 3 分；尺寸基本达标、标识少量瑕疵得 1.5 分；尺寸明显不达标、标识缺失得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（三）气密性性能（2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完成充气后气密性演示，气柱气压下降符合标准，无明显漏气得 2 分；轻微漏气不影响使用得 1 分；严重漏气无法保压得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（四）稳定性演示（2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加载模拟重物，气垫无倾倒、侧翻得 2 分；存在轻微晃动但不侧翻得 1 分；出现倾倒侧翻得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（五）收纳便携性能（2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完成泄压、完整折叠收纳，重量≤100kg，收纳规整便携得 2 分；收纳操作存在少量不便得 1 分；无法完成规范收纳得 0 分。</w:t>
            </w:r>
            <w:r/>
          </w:p>
        </w:tc>
      </w:tr>
    </w:tbl>
    <w:p>
      <w:pPr>
        <w:keepLines w:val="0"/>
        <w:keepNext w:val="0"/>
        <w:pageBreakBefore w:val="0"/>
        <w:spacing w:line="500" w:lineRule="exact"/>
        <w:widowControl w:val="off"/>
        <w:rPr>
          <w:rFonts w:hint="eastAsia"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分包二：</w:t>
      </w:r>
      <w:r/>
    </w:p>
    <w:tbl>
      <w:tblPr>
        <w:tblStyle w:val="708"/>
        <w:tblW w:w="8386" w:type="dxa"/>
        <w:tblInd w:w="1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0"/>
        <w:gridCol w:w="1050"/>
        <w:gridCol w:w="873"/>
        <w:gridCol w:w="5713"/>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评分标准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w:t>
            </w:r>
            <w:r/>
          </w:p>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报价</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 分</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价格分采用低价优先法计算，即满足招标文件要求且投标价格最低的投标报价为评标基准价，其价格分为满分。其他投标人的价格分统一按照下列公式计算：投标报价得分 =（评标基准价／投标报价）×30。（得分保留两位小数）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类似</w:t>
            </w:r>
            <w:r/>
          </w:p>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 分</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投标人或其投标产品制造商自 2023 年 1 月 1 日（含）以来（合同内容需体现采购的内容，类似业绩指的是产品包的核心产品）完成的类似项目业绩（产品包为核心产品），每提供一个业绩得 1 分，本项最高得 4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注：投标时必须提供合同原件扫描件和项目验收证明材料。合同应体现合同签订时间、合同主体名称、供货内容、合同主体双方盖章页，否则该项不得分。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产品技术参数</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 分</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招标文件第四章 “采购需求” 中的非实质性技术要求：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 所投产品所有技术条款完全响应招标文件要求的得 25 分；本项最低分 0 分，最高分 25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标记 “▲” 为重要技术条款，重要技术条款响应的，每响应一条加 2 分，最多得 18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无标记为一般技术条款，一般技术条款响应的，每响应一条加 1 分，最多得 7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注：1. 以上 “技术要求” 响应情况均须在投标文件《技术要求响应及偏离表》中表述清楚，如表述不清，则按负偏离处理。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2.“技术要求” 中▲指标均需提供技术证明材料，证明材料（包括检测检验报告、白皮书、设备生产厂家证明扫描件、彩页、手册等，若上述材料同一参数有不一致的以检测报告为准），如 “技术要求” 中有明确要求的，以明确要求为准，未按要求提供的，视为负偏离。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 投标人如虚假响应或提供虚假证明材料，一经发现将取消中标资格，并上报财政主管部门。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 分</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供应商根据本项目第四章 “项目实施方案”，方案内容至少包含：①项目总体概述；②供货组织架构与人员配置；③包装与运输方案；④到货验收方案。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上述 4 项内容完整的得 12 分，每有一项内容缺失的扣 3 分；每有一处存在缺陷（缺陷是指不适用于本项目，表述前后不一致或内容矛盾，语句有歧义，仅有框架或标题，涉及的规范及标准错误，套用其他项目内容等任意一种情形）的扣 1 分，直至该项分值扣完为止；不提供不得分。具体由评审委员会评审。</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 分</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供应商根据本项目第四章 “售后服务方案”，方案内容至少包含：①质保期服务承诺；②培训服务方案；③超质保期服务；④备品备件供应；⑤服务质量保障。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上述 5 项内容完整的得 10 分，每有一项内容缺失的扣 2 分；每有一处存在缺陷（缺陷是指不适用于本项目，表述前后不一致或内容矛盾，语句有歧义，仅有框架或标题，涉及的规范及标准错误，套用其他项目内容等任意一种情形）的扣 1 分，直至该项分值扣完为止；不提供不得分。具体由评审委员会评审。</w:t>
            </w:r>
            <w:r/>
          </w:p>
        </w:tc>
      </w:tr>
      <w:tr>
        <w:trPr>
          <w:trHeight w:val="1485"/>
        </w:trPr>
        <w:tc>
          <w:tcPr>
            <w:shd w:val="clear" w:color="auto" w:fill="auto"/>
            <w:tcBorders>
              <w:top w:val="single" w:color="000000" w:sz="4" w:space="0"/>
              <w:left w:val="single" w:color="000000" w:sz="4" w:space="0"/>
              <w:right w:val="single" w:color="000000" w:sz="4" w:space="0"/>
            </w:tcBorders>
            <w:tcW w:w="750" w:type="dxa"/>
            <w:vAlign w:val="center"/>
            <w:vMerge w:val="restart"/>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050" w:type="dxa"/>
            <w:vAlign w:val="center"/>
            <w:vMerge w:val="restart"/>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节能环保</w:t>
            </w:r>
            <w:r/>
          </w:p>
        </w:tc>
        <w:tc>
          <w:tcPr>
            <w:shd w:val="clear" w:color="auto" w:fill="auto"/>
            <w:tcBorders>
              <w:top w:val="single" w:color="000000" w:sz="4" w:space="0"/>
              <w:left w:val="single" w:color="000000" w:sz="4" w:space="0"/>
              <w:right w:val="single" w:color="000000" w:sz="4" w:space="0"/>
            </w:tcBorders>
            <w:tcW w:w="873" w:type="dxa"/>
            <w:vAlign w:val="center"/>
            <w:vMerge w:val="restart"/>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分</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投标产品属于财政部、国家发展改革委公布的 “节能产品品目清单” 范围内的，投标人提供国家确定的认证机构出具的、处于有效期之内的该节能产品认证证书的，有 1 个得 0.5 分，最多得 1 分。如投标产品均属于政府强制采购节能产品品目清单范围内，本项不得分。（提供证书扫描件，并加盖投标单位公章。）</w:t>
            </w:r>
            <w:r/>
          </w:p>
        </w:tc>
      </w:tr>
      <w:tr>
        <w:trPr>
          <w:trHeight w:val="90"/>
        </w:trPr>
        <w:tc>
          <w:tcPr>
            <w:shd w:val="clear" w:color="auto" w:fill="auto"/>
            <w:tcBorders>
              <w:left w:val="single" w:color="000000" w:sz="4" w:space="0"/>
              <w:bottom w:val="single" w:color="000000" w:sz="4" w:space="0"/>
              <w:right w:val="single" w:color="000000" w:sz="4" w:space="0"/>
            </w:tcBorders>
            <w:tcW w:w="750" w:type="dxa"/>
            <w:vAlign w:val="center"/>
            <w:vMerge w:val="continue"/>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1050" w:type="dxa"/>
            <w:vAlign w:val="center"/>
            <w:vMerge w:val="continue"/>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873" w:type="dxa"/>
            <w:vAlign w:val="center"/>
            <w:vMerge w:val="continue"/>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投标产品属于财政部、生态环境部公布的 “环境标志产品品目清单” 范围内的，投标人提供国家确定的认证机构出具的、处于有效期内的该环保产品认证证书的，有 1 个得 0.5 分，最多得 1 分。（提供证书扫描件，并加盖投标单位公章。）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质保期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承诺</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2分</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免费质保期（至少 3 年）基础上，每增加一年免费上门质保服务承诺得 1 分，最高得 2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（免费质保期是指覆盖本项目所投设备及相关配套服务的免费质保期限。质保期内，上门调试、故障维修、核心部件更换等费用均由投标人承担，采购人不再另行支付费用。）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注：提供质保服务承诺书，承诺书格式自拟，未提供或未按要求提供的不得分。</w:t>
            </w:r>
            <w:r/>
          </w:p>
        </w:tc>
      </w:tr>
      <w:tr>
        <w:trPr>
          <w:trHeight w:val="3645"/>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5713"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演示采用分项一镜到底视频演示评审方式：不提供覆盖全部评分项的完整总视频，投标人须针对本表所列每一评分项，分别提供一段独立的一镜到底演示视频，一个评分项对应一段视频，每段视频连续不间断拍摄，不得剪辑、拼接、删减、加速慢放，各段视频片头以字幕标明对应评分项名称，与本评分表逐项对应。视频演示评审总分 15 分，无视频、视频无法播放、视频违规、未按要求演示均按规则扣分或计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评标委员会根据投标人演示视频内容，进行综合评审。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（一）喷射系统整机与机械式结构（3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整机重量≤950kg，机械式喷射结构展示完整，非承压药剂容器结构展示清晰得 3 分；结构展示基本完整得 1.5 分；无法展示关键结构得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  （二）喷射距离与喷射形态功能（3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演示直流、泡沫形态喷射，喷射距离≥15m，喷射流畅稳定得 3 分；喷射距离、形态存在少量不足得 1.5 分；喷射异常无法正常喷射得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（三）灭火及洗消功能（3分）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演示毒物洗消功能，洗消药剂加注、洗消作业操作完整规范得 3分；洗消演示不全得 1.5 分；未演示洗消功能得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（四）外部供气功能（3分）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外部供气功能实操演示，供气工作正常得 3 分；功能演示存在瑕疵得 1.5 分；无法实现外部供气得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（五）整机操作、药剂实时填充（3分）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现场药剂实时填充操作，整机操作流程完整顺畅得 3 分；操作流程存在少量瑕疵得 1.5 分；无法完成药剂填充得 0 分。</w:t>
            </w:r>
            <w:r/>
          </w:p>
        </w:tc>
      </w:tr>
    </w:tbl>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分包三：</w:t>
      </w:r>
      <w:r/>
    </w:p>
    <w:tbl>
      <w:tblPr>
        <w:tblStyle w:val="708"/>
        <w:tblW w:w="8516" w:type="dxa"/>
        <w:tblInd w:w="1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3"/>
        <w:gridCol w:w="1077"/>
        <w:gridCol w:w="900"/>
        <w:gridCol w:w="5816"/>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评分标准</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w:t>
            </w:r>
            <w:r/>
          </w:p>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报价</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 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价格分采用低价优先法计算，即满足招标文件要求且投标价格最低的投标报价为评标基准价，其价格分为满分。其他投标人的价格分统一按照下列公式计算：投标报价得分 =（评标基准价／投标报价）×30。（得分保留两位小数）</w:t>
            </w:r>
            <w:r/>
          </w:p>
        </w:tc>
      </w:tr>
      <w:tr>
        <w:trPr>
          <w:trHeight w:val="125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类似</w:t>
            </w:r>
            <w:r/>
          </w:p>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 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投标人或其投标产品制造商自 2023 年 1 月 1 日（含）以来（合同内容需体现采购的内容，类似业绩指的是产品包的核心产品）完成的类似项目业绩（产品包为核心产品），每提供一个业绩得 1 分，本项最高得 4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注：投标时必须提供合同原件扫描件和项目验收证明材料。合同应体现合同签订时间、合同主体名称、供货内容、合同主体双方盖章页，否则该项不得分。</w:t>
            </w:r>
            <w:r/>
          </w:p>
        </w:tc>
      </w:tr>
      <w:tr>
        <w:trPr>
          <w:trHeight w:val="312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产品技术参数</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 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招标文件第四章 “采购需求” 中的非实质性技术要求：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 所投产品所有技术条款完全响应招标文件要求的得29分；本项最低分 0 分，最高分 29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标记 “▲” 为重要技术条款，重要技术条款响应的，每响应一条加 1.5 分，最多得 18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无标记为一般技术条款，一般技术条款响应的，每响应一条加 0.5 分，最多得 11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注：1. 以上 “技术要求” 响应情况均须在投标文件《技术要求响应及偏离表》中表述清楚，如表述不清，则按负偏离处理。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2.“技术要求” 中▲指标均需提供技术证明材料，证明材料（包括检测检验报告、白皮书、设备生产厂家证明扫描件、彩页、手册等，若上述材料同一参数有不一致的以检测报告为准），如 “技术要求” 中有明确要求的，以明确要求为准，未按要求提供的，视为负偏离。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 投标人如虚假响应或提供虚假证明材料，一经发现将取消中标资格，并上报财政主管部门。</w:t>
            </w:r>
            <w:r/>
          </w:p>
        </w:tc>
      </w:tr>
      <w:tr>
        <w:trPr>
          <w:trHeight w:val="22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 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供应商根据本项目第四章 “项目实施方案”，方案内容至少包含：①项目总体概述；②供货组织架构与人员配置；③包装与运输方案；④到货验收方案。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上述 4 项内容完整的得 8 分，每有一项内容缺失的扣 2 分；每有一处存在缺陷（缺陷是指不适用于本项目，表述前后不一致或内容矛盾，语句有歧义，仅有框架或标题，涉及的规范及标准错误，套用其他项目内容等任意一种情形）的扣 1 分，直至该项分值扣完为止；不提供不得分。具体由评审委员会评审。</w:t>
            </w:r>
            <w:r/>
          </w:p>
        </w:tc>
      </w:tr>
      <w:tr>
        <w:trPr>
          <w:trHeight w:val="155"/>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 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供应商根据本项目第四章 “售后服务方案”，方案内容至少包含：①质保期服务承诺；②培训服务方案；③超质保期服务；④备品备件供应；⑤服务质量保障。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上述 5 项内容完整的得 10 分，每有一项内容缺失的扣 2 分；每有一处存在缺陷（缺陷是指不适用于本项目，表述前后不一致或内容矛盾，语句有歧义，仅有框架或标题，涉及的规范及标准错误，套用其他项目内容等任意一种情形）的扣 1 分，直至该项分值扣完为止；不提供不得分。具体由评审委员会评审。</w:t>
            </w:r>
            <w:r/>
          </w:p>
        </w:tc>
      </w:tr>
      <w:tr>
        <w:trPr>
          <w:trHeight w:val="90"/>
        </w:trPr>
        <w:tc>
          <w:tcPr>
            <w:shd w:val="clear" w:color="auto" w:fill="auto"/>
            <w:tcBorders>
              <w:top w:val="single" w:color="000000" w:sz="4" w:space="0"/>
              <w:left w:val="single" w:color="000000" w:sz="4" w:space="0"/>
              <w:right w:val="single" w:color="000000" w:sz="4" w:space="0"/>
            </w:tcBorders>
            <w:tcW w:w="723" w:type="dxa"/>
            <w:vAlign w:val="center"/>
            <w:vMerge w:val="restart"/>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节能</w:t>
            </w:r>
            <w:r/>
          </w:p>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环保</w:t>
            </w:r>
            <w:r/>
          </w:p>
        </w:tc>
        <w:tc>
          <w:tcPr>
            <w:shd w:val="clear" w:color="auto" w:fill="auto"/>
            <w:tcBorders>
              <w:top w:val="single" w:color="000000" w:sz="4" w:space="0"/>
              <w:left w:val="single" w:color="000000" w:sz="4" w:space="0"/>
              <w:right w:val="single" w:color="000000" w:sz="4" w:space="0"/>
            </w:tcBorders>
            <w:tcW w:w="900" w:type="dxa"/>
            <w:vAlign w:val="center"/>
            <w:vMerge w:val="restart"/>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投标产品属于财政部、国家发展改革委公布的 “节能产品品目清单” 范围内的，投标人提供国家确定的认证机构出具的、处于有效期之内的该节能产品认证证书的，有 1 个得 0.5 分，最多得 1 分。如投标产品均属于政府强制采购节能产品品目清单范围内，本项不得分。（提供证书扫描件，并加盖投标单位公章。）</w:t>
            </w:r>
            <w:r/>
          </w:p>
        </w:tc>
      </w:tr>
      <w:tr>
        <w:trPr>
          <w:trHeight w:val="90"/>
        </w:trPr>
        <w:tc>
          <w:tcPr>
            <w:shd w:val="clear" w:color="auto" w:fill="auto"/>
            <w:tcBorders>
              <w:left w:val="single" w:color="000000" w:sz="4" w:space="0"/>
              <w:bottom w:val="single" w:color="000000" w:sz="4" w:space="0"/>
              <w:right w:val="single" w:color="000000" w:sz="4" w:space="0"/>
            </w:tcBorders>
            <w:tcW w:w="723" w:type="dxa"/>
            <w:vAlign w:val="center"/>
            <w:vMerge w:val="continue"/>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1077" w:type="dxa"/>
            <w:vAlign w:val="center"/>
            <w:vMerge w:val="continue"/>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900" w:type="dxa"/>
            <w:vAlign w:val="center"/>
            <w:vMerge w:val="continue"/>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投标产品属于财政部、生态环境部公布的 “环境标志产品品目清单” 范围内的，投标人提供国家确定的认证机构出具的、处于有效期内的该环保产品认证证书的，有 1 个得 0.5 分，最多得 1 分。（提供证书扫描件，并加盖投标单位公章。）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质保期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承诺</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免费质保期（至少 3 年）基础上，每增加一年免费上门质保服务承诺得 2分，最高得 2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（免费质保期是指覆盖本项目所投设备及相关配套服务的免费质保期限。质保期内，上门调试、故障维修、核心部件更换等费用均由投标人承担，采购人不再另行支付费用。）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注：提供质保服务承诺书，承诺书格式自拟，未提供或未按要求提供的不得分。</w:t>
            </w:r>
            <w:r/>
          </w:p>
        </w:tc>
      </w:tr>
      <w:tr>
        <w:trPr>
          <w:trHeight w:val="7099"/>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样品演示采用分项一镜到底视频演示评审方式：不提供覆盖全部评分项的完整总视频，投标人须针对本表所列每一评分项，分别提供一段独立的一镜到底演示视频，一个评分项对应一段视频，每段视频连续不间断拍摄，不得剪辑、拼接、删减、加速慢放，各段视频片头以字幕标明对应评分项名称，与本评分表逐项对应。视频演示评审总分 15 分，无视频、视频无法播放、视频违规、未按要求演示均按规则扣分或计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评标委员会根据投标人演示视频内容，从产品整体功能介绍、产品操作展示、产品布局设计三个维度进行综合评审。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w:t>
            </w:r>
            <w:r>
              <w:rPr>
                <w:rFonts w:hint="eastAsia" w:ascii="宋体" w:hAnsi="宋体" w:eastAsia="宋体" w:cs="宋体"/>
                <w:i w:val="0"/>
                <w:iCs w:val="0"/>
                <w:color w:val="000000"/>
                <w:sz w:val="24"/>
                <w:szCs w:val="24"/>
                <w:u w:val="none"/>
                <w:lang w:val="en-US" w:eastAsia="zh-CN" w:bidi="ar"/>
              </w:rPr>
              <w:t xml:space="preserve">（一）机动泵动力输出与双输出功能（3 分）</w:t>
            </w:r>
            <w:r/>
          </w:p>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机动泵启动，双输出可同时接两套工具，额定压力≥72MPa，运行平稳得 3 分；运行存在少量瑕疵得 1.5 分；泵无法正常启动输出压力不足得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（二）各工具实操作业（扩张、剪切、剪扩、撑顶）（3 分）</w:t>
            </w:r>
            <w:r/>
          </w:p>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扩张器、剪切器、剪扩器、撑顶器分别实操，各项作业力量、行程满足指标得 3 分；部分工具演示存在不足得 1.5 分；核心工具无法正常作业得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（三）液压软管接头性能（3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软管接头可 360° 旋转、平面密封、可带压操作上锁，防扭结演示得 3 分；接头功能部分达标得 1.5分；接头无法旋转上锁得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（四）高低温性能说明、整套工具可靠性（3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对高低温</w:t>
            </w:r>
            <w:r>
              <w:rPr>
                <w:rFonts w:hint="eastAsia" w:ascii="宋体" w:hAnsi="宋体" w:eastAsia="宋体" w:cs="宋体"/>
                <w:i w:val="0"/>
                <w:iCs w:val="0"/>
                <w:color w:val="000000"/>
                <w:sz w:val="24"/>
                <w:szCs w:val="24"/>
                <w:u w:val="none"/>
                <w:lang w:val="en-US" w:eastAsia="zh-CN" w:bidi="ar"/>
              </w:rPr>
              <w:noBreakHyphen/>
            </w:r>
            <w:r>
              <w:rPr>
                <w:rFonts w:hint="eastAsia" w:ascii="宋体" w:hAnsi="宋体" w:eastAsia="宋体" w:cs="宋体"/>
                <w:i w:val="0"/>
                <w:iCs w:val="0"/>
                <w:color w:val="000000"/>
                <w:sz w:val="24"/>
                <w:szCs w:val="24"/>
                <w:u w:val="none"/>
                <w:lang w:val="en-US" w:eastAsia="zh-CN" w:bidi="ar"/>
              </w:rPr>
              <w:t xml:space="preserve">30℃~+55℃工作条件进行说明，整套工具无渗漏，操作顺畅得 3 分；说明不全得 1.5 分；出现渗漏异常得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（五）整套设备收纳、管路拆装（3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管路拆装便捷，整套工具收纳规整，搬运方便得3分；拆装收纳存在少量不便得1.5分；拆装困难得0分。</w:t>
            </w:r>
            <w:r/>
          </w:p>
        </w:tc>
      </w:tr>
    </w:tbl>
    <w:p>
      <w:pPr>
        <w:keepLines w:val="0"/>
        <w:keepNext w:val="0"/>
        <w:pageBreakBefore w:val="0"/>
        <w:spacing w:line="500" w:lineRule="exact"/>
        <w:widowControl w:val="off"/>
        <w:rPr>
          <w:rFonts w:hint="eastAsia"/>
          <w:sz w:val="24"/>
          <w:szCs w:val="24"/>
          <w:lang w:val="en-US" w:eastAsia="zh-CN"/>
        </w:rPr>
      </w:pPr>
      <w:r>
        <w:rPr>
          <w:rFonts w:hint="eastAsia" w:ascii="宋体" w:hAnsi="宋体" w:eastAsia="宋体" w:cs="宋体"/>
          <w:color w:val="auto"/>
          <w:sz w:val="24"/>
          <w:szCs w:val="24"/>
          <w:highlight w:val="none"/>
          <w:lang w:val="en-US" w:eastAsia="zh-CN"/>
        </w:rPr>
        <w:t xml:space="preserve">分包四</w:t>
      </w:r>
      <w:r/>
    </w:p>
    <w:tbl>
      <w:tblPr>
        <w:tblStyle w:val="708"/>
        <w:tblW w:w="8454" w:type="dxa"/>
        <w:tblInd w:w="-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50"/>
        <w:gridCol w:w="1063"/>
        <w:gridCol w:w="887"/>
        <w:gridCol w:w="5754"/>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评分标准</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报价</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 分</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价格分采用低价优先法计算，即满足招标文件要求且投标价格最低的投标报价为评标基准价，其价格分为满分。其他投标人的价格分统一按照下列公式计算：投标报价得分 =（评标基准价／投标报价）×30。（得分保留两位小数）</w:t>
            </w:r>
            <w:r/>
          </w:p>
        </w:tc>
      </w:tr>
      <w:tr>
        <w:trPr>
          <w:trHeight w:val="1353"/>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 分</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投标人或其投标产品制造商自 2023 年 1 月 1 日（含）以来（合同内容需体现采购的内容，类似业绩指的是产品包的核心产品）完成的类似项目业绩（产品包为核心产品），每提供一个业绩得 1 分，本项最高得 4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注：投标时必须提供合同原件扫描件和项目验收证明材料。合同应体现合同签订时间、合同主体名称、供货内容、合同主体双方盖章页，否则该项不得分。</w:t>
            </w:r>
            <w:r/>
          </w:p>
        </w:tc>
      </w:tr>
      <w:tr>
        <w:trPr>
          <w:trHeight w:val="621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产品技术参数</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21分</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招标文件第四章 “采购需求” 中的非实质性技术要求：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 所投产品所有技术条款完全响应招标文件要求的得 21分；本项最低分 0 分，最高分 21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标记 “▲” 为重要技术条款，重要技术条款响应的，每响应一条加1.05分，最多得5.25分。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无标记为一般技术条款，一般技术条款响应的，每响应一条加0.25分，最多得15.75分。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注：1. 以上 “技术要求” 响应情况均须在投标文件《技术要求响应及偏离表》中表述清楚，如表述不清，则按负偏离处理。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2.“技术要求” 中▲指标均需提供技术证明材料，证明材料（包括检测检验报告、白皮书、设备生产厂家证明扫描件、彩页、手册等，若上述材料同一参数有不一致的以检测报告为准），如 “技术要求” 中有明确要求的，以明确要求为准，未按要求提供的，视为负偏离。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 投标人如虚假响应或提供虚假证明材料，一经发现将取消中标资格，并上报财政主管部门。</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 分</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供应商根据本项目第四章 “项目实施方案”，方案内容至少包含：①项目总体概述；②供货组织架构与人员配置；③包装与运输方案；④到货验收方案。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上述 4 项内容完整得 16 分，每有一项内容缺失的扣 4 分；每有一处存在缺陷（缺陷是指不适用于本项目，表述前后不一致或内容矛盾，语句有歧义，仅有框架或标题，涉及的规范及标准错误，套用其他项目内容等任意一种情形）的扣 1 分，直至扣完 16 分为止，不提供不得分。具体由评审委员会评审。</w:t>
            </w:r>
            <w:r/>
          </w:p>
        </w:tc>
      </w:tr>
      <w:tr>
        <w:trPr>
          <w:trHeight w:val="324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 分</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供应商根据本项目第四章 “售后服务方案”，方案内容至少包含：①质保期服务承诺；②培训服务方案；③超质保期服务；④备品备件供应；⑤服务质量保障。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上述 5 项内容完整得 10 分，每有一项内容缺失的扣 2 分；每有一处存在缺陷（缺陷是指不适用于本项目，表述前后不一致或内容矛盾，语句有歧义，仅有框架或标题，涉及的规范及标准错误，套用其他项目内容等任意一种情形）的扣 1 分，直至扣完 10 分为止，不提供不得分。具体由评审委员会评审。</w:t>
            </w:r>
            <w:r/>
          </w:p>
        </w:tc>
      </w:tr>
      <w:tr>
        <w:trPr>
          <w:trHeight w:val="2160"/>
        </w:trPr>
        <w:tc>
          <w:tcPr>
            <w:shd w:val="clear" w:color="auto" w:fill="auto"/>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063"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节能环保</w:t>
            </w:r>
            <w:r/>
          </w:p>
        </w:tc>
        <w:tc>
          <w:tcPr>
            <w:shd w:val="clear" w:color="auto" w:fill="auto"/>
            <w:tcBorders>
              <w:top w:val="single" w:color="000000" w:sz="4" w:space="0"/>
              <w:left w:val="single" w:color="000000" w:sz="4" w:space="0"/>
              <w:right w:val="single" w:color="000000" w:sz="4" w:space="0"/>
            </w:tcBorders>
            <w:tcW w:w="887"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分</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投标产品属于财政部、国家发展改革委公布的 “节能产品品目清单” 范围内的，投标人提供国家确定的认证机构出具的、处于有效期之内的该节能产品认证证书的，有 1 个得 0.5 分，最多得 1 分。如投标产品均属于政府强制采购节能产品品目清单范围内，本项不得分。（提供证书扫描件，并加盖投标单位公章。）</w:t>
            </w:r>
            <w:r/>
          </w:p>
        </w:tc>
      </w:tr>
      <w:tr>
        <w:trPr>
          <w:trHeight w:val="1620"/>
        </w:trPr>
        <w:tc>
          <w:tcPr>
            <w:shd w:val="clear" w:color="auto" w:fill="auto"/>
            <w:tcBorders>
              <w:left w:val="single" w:color="000000" w:sz="4" w:space="0"/>
              <w:bottom w:val="single" w:color="000000" w:sz="4" w:space="0"/>
              <w:right w:val="single" w:color="000000" w:sz="4" w:space="0"/>
            </w:tcBorders>
            <w:tcW w:w="750"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1063"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887"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投标产品属于财政部、生态环境部公布的 “环境标志产品品目清单” 范围内的，投标人提供国家确定的认证机构出具的、处于有效期内的该环保产品认证证书的，有 1 个得 0.5 分，最多得 1 分。（提供证书扫描件，并加盖投标单位公章。）</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质保期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承诺</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分</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免费质保期（至少 3 年）基础上，软件、硬件每同时增加一年免费上门质保服务承诺得 1 分，最高得 2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（免费质保期是指覆盖本项目所投设备及相关配套服务的免费质保期限。质保期内，上门调试、故障维修、核心部件更换、软件升级等费用均由投标人承担，采购人不再另行支付费用。）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注：提供质保服务承诺书，承诺书格式自拟，未提供或未按要求提供的不得分。</w:t>
            </w:r>
            <w:r/>
          </w:p>
        </w:tc>
      </w:tr>
      <w:tr>
        <w:trPr>
          <w:trHeight w:val="2072"/>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3"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 分</w:t>
            </w:r>
            <w:r/>
          </w:p>
        </w:tc>
        <w:tc>
          <w:tcPr>
            <w:shd w:val="clear" w:color="auto" w:fill="auto"/>
            <w:tcBorders>
              <w:top w:val="single" w:color="000000" w:sz="4" w:space="0"/>
              <w:left w:val="single" w:color="000000" w:sz="4" w:space="0"/>
              <w:bottom w:val="single" w:color="000000" w:sz="4" w:space="0"/>
              <w:right w:val="single" w:color="000000" w:sz="4" w:space="0"/>
            </w:tcBorders>
            <w:tcW w:w="5754"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演示采用分项一镜到底视频演示评审方式：不提供覆盖全部评分项的完整总视频，投标人须针对本表所列每一评分项，分别提供一段独立的一镜到底演示视频，一个评分项对应一段视频，每段视频连续不间断拍摄，不得剪辑、拼接、删减、加速慢放，各段视频片头以字幕标明对应评分项名称，与本评分表逐项对应。视频演示评审总分 15 分，无视频、视频无法播放、视频违规、未按要求演示均按规则扣分或计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评标委员会根据投标人演示视频内容，进行综合评审。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（一）全套装备组件完整性（3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完整展示连体头罩、大视窗、超压排气阀、呼吸器背囊、防护手套、防护靴全套组件，配件齐全得 3 分；少量配件缺失得 1.5 分；关键组件缺失得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（二）大视窗及防雾功能（3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大视窗展示，内置防雾除湿系统演示，视窗清晰得 3 分；视窗存在少量瑕疵得 1.5 分；无防雾结构得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（三）超压排气阀、通风分配阀功能演示（3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超压排气阀、通风分配阀操作演示，工作正常得 3 分；功能演示不全得 1.5 分；阀门失效得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（四）接缝工艺贴条、超声波焊接展示（3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接缝超声波焊接、贴条密封工艺展示完整，无明显缺陷得 3 分；工艺展示不全得 1.5 分；密封工艺缺陷明显得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（五）穿戴与脱卸全过程（3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完整演示防护服穿戴、脱卸流程，操作便捷顺畅得 3 分；穿戴脱卸存在不便得 1.5 分；无法完整演示穿戴流程得 0 分。</w:t>
            </w:r>
            <w:r/>
          </w:p>
        </w:tc>
      </w:tr>
    </w:tbl>
    <w:p>
      <w:pPr>
        <w:pStyle w:val="712"/>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分包五：</w:t>
      </w:r>
      <w:r/>
    </w:p>
    <w:tbl>
      <w:tblPr>
        <w:tblStyle w:val="708"/>
        <w:tblW w:w="8543" w:type="dxa"/>
        <w:tblInd w:w="-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6"/>
        <w:gridCol w:w="1091"/>
        <w:gridCol w:w="900"/>
        <w:gridCol w:w="5816"/>
      </w:tblGrid>
      <w:tr>
        <w:trPr>
          <w:trHeight w:val="540"/>
        </w:trPr>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评分标准</w:t>
            </w:r>
            <w:r/>
          </w:p>
        </w:tc>
      </w:tr>
      <w:tr>
        <w:trPr>
          <w:trHeight w:val="1890"/>
        </w:trPr>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报价</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 分</w:t>
            </w:r>
            <w:r/>
          </w:p>
        </w:tc>
        <w:tc>
          <w:tcPr>
            <w:shd w:val="clear" w:color="auto" w:fill="auto"/>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价格分采用低价优先法计算，即满足招标文件要求且投标价格最低的投标报价为评标基准价，其价格分为满分。其他投标人的价格分统一按照下列公式计算：投标报价得分 =（评标基准价／投标报价）×30。（得分保留两位小数）</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 分</w:t>
            </w:r>
            <w:r/>
          </w:p>
        </w:tc>
        <w:tc>
          <w:tcPr>
            <w:shd w:val="clear" w:color="auto" w:fill="auto"/>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投标人或其投标产品制造商自 2023 年 1 月 1 日（含）以来（合同内容需体现采购的内容，类似业绩指的是产品包的核心产品）完成的类似项目业绩（产品包为核心产品），每提供一个业绩得 1 分，本项最高得 4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注：投标时必须提供合同原件扫描件和项目验收证明材料。合同应体现合同签订时间、合同主体名称、供货内容、合同主体双方盖章页，否则该项不得分。</w:t>
            </w:r>
            <w:r/>
          </w:p>
        </w:tc>
      </w:tr>
      <w:tr>
        <w:trPr>
          <w:trHeight w:val="1835"/>
        </w:trPr>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产品技术参数  </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 分</w:t>
            </w:r>
            <w:r/>
          </w:p>
        </w:tc>
        <w:tc>
          <w:tcPr>
            <w:shd w:val="clear" w:color="auto" w:fill="auto"/>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招标文件第四章 “采购需求” 中的非实质性技术要求：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 所投产品所有技术条款完全响应招标文件要求的得 25 分；本项最低分 0 分，最高分 25分。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标记 “▲” 为重要技术条款，重要技术条款响应的，每响应一条加1.75分，最多得10.5分。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无标记为一般技术条款，一般技术条款响应的，每响应一条加 0.25 分，最多得14.5分。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注：1. 以上 “技术要求” 响应情况均须在投标文件《技术要求响应及偏离表》中表述清楚，如表述不清，则按负偏离处理。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2.“技术要求” 中▲指标均需提供技术证明材料，证明材料（包括检测检验报告、白皮书、设备生产厂家证明扫描件、彩页、手册等，若上述材料同一参数有不一致的以检测报告为准），如 “技术要求” 中有明确要求的，以明确要求为准，未按要求提供的，视为负偏离。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 投标人如虚假响应或提供虚假证明材料，一经发现将取消中标资格，并上报财政主管部门。</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项目实施方案</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 分</w:t>
            </w:r>
            <w:r/>
          </w:p>
        </w:tc>
        <w:tc>
          <w:tcPr>
            <w:shd w:val="clear" w:color="auto" w:fill="auto"/>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供应商根据本项目第四章 “项目实施方案”，方案内容至少包含：①项目总体概述；②供货组织架构与人员配置；③包装与运输方案；④到货验收方案。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上述 4 项内容完整得 12 分，每有一项内容缺失的扣 3 分；每有一处存在缺陷（缺陷是指不适用于本项目，表述前后不一致或内容矛盾，语句有歧义，仅有框架或标题，涉及的规范及标准错误，套用其他项目内容等任意一种情形）的扣 1 分，直至扣完 12 分为止，不提供不得分。具体由评审委员会评审。</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售后服务方案</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 分</w:t>
            </w:r>
            <w:r/>
          </w:p>
        </w:tc>
        <w:tc>
          <w:tcPr>
            <w:shd w:val="clear" w:color="auto" w:fill="auto"/>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供应商根据本项目第四章 “售后服务方案”，方案内容至少包含：①质保期服务承诺；②培训服务方案；③超质保期服务；④备品备件供应；⑤服务质量保障。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上述 5 项内容完整得 10 分，每有一项内容缺失的扣 2 分；每有一处存在缺陷（缺陷是指不适用于本项目，表述前后不一致或内容矛盾，语句有歧义，仅有框架或标题，涉及的规范及标准错误，套用其他项目内容等任意一种情形）的扣 1 分，直至扣完 10 分为止，不提供不得分。具体由评审委员会评审。</w:t>
            </w:r>
            <w:r/>
          </w:p>
        </w:tc>
      </w:tr>
      <w:tr>
        <w:trPr>
          <w:trHeight w:val="995"/>
        </w:trPr>
        <w:tc>
          <w:tcPr>
            <w:shd w:val="clear" w:color="auto" w:fill="auto"/>
            <w:tcBorders>
              <w:top w:val="single" w:color="auto" w:sz="4" w:space="0"/>
              <w:left w:val="single" w:color="auto" w:sz="4" w:space="0"/>
              <w:right w:val="single" w:color="auto" w:sz="4" w:space="0"/>
            </w:tcBorders>
            <w:tcW w:w="736"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auto" w:sz="4" w:space="0"/>
              <w:left w:val="single" w:color="auto" w:sz="4" w:space="0"/>
              <w:right w:val="single" w:color="auto" w:sz="4" w:space="0"/>
            </w:tcBorders>
            <w:tcW w:w="1091"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节能环保</w:t>
            </w:r>
            <w:r/>
          </w:p>
        </w:tc>
        <w:tc>
          <w:tcPr>
            <w:shd w:val="clear" w:color="auto" w:fill="auto"/>
            <w:tcBorders>
              <w:top w:val="single" w:color="auto" w:sz="4" w:space="0"/>
              <w:left w:val="single" w:color="auto" w:sz="4" w:space="0"/>
              <w:right w:val="single" w:color="auto" w:sz="4" w:space="0"/>
            </w:tcBorders>
            <w:tcW w:w="900"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分</w:t>
            </w:r>
            <w:r/>
          </w:p>
        </w:tc>
        <w:tc>
          <w:tcPr>
            <w:shd w:val="clear" w:color="auto" w:fill="auto"/>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投标产品属于财政部、国家发展改革委公布的 “节能产品品目清单” 范围内的，投标人提供国家确定的认证机构出具的、处于有效期之内的该节能产品认证证书的，有 1 个得 0.5 分，最多得 1 分。如投标产品均属于政府强制采购节能产品品目清单范围内，本项不得分。（提供证书扫描件，并加盖投标单位公章。）</w:t>
            </w:r>
            <w:r/>
          </w:p>
        </w:tc>
      </w:tr>
      <w:tr>
        <w:trPr>
          <w:trHeight w:val="90"/>
        </w:trPr>
        <w:tc>
          <w:tcPr>
            <w:shd w:val="clear" w:color="auto" w:fill="auto"/>
            <w:tcBorders>
              <w:left w:val="single" w:color="auto" w:sz="4" w:space="0"/>
              <w:bottom w:val="single" w:color="auto" w:sz="4" w:space="0"/>
              <w:right w:val="single" w:color="auto" w:sz="4" w:space="0"/>
            </w:tcBorders>
            <w:tcW w:w="736"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auto" w:sz="4" w:space="0"/>
              <w:bottom w:val="single" w:color="auto" w:sz="4" w:space="0"/>
              <w:right w:val="single" w:color="auto" w:sz="4" w:space="0"/>
            </w:tcBorders>
            <w:tcW w:w="1091"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auto" w:sz="4" w:space="0"/>
              <w:bottom w:val="single" w:color="auto" w:sz="4" w:space="0"/>
              <w:right w:val="single" w:color="auto" w:sz="4" w:space="0"/>
            </w:tcBorders>
            <w:tcW w:w="900"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投标产品属于财政部、生态环境部公布的 “环境标志产品品目清单” 范围内的，投标人提供国家确定的认证机构出具的、处于有效期内的该环保产品认证证书的，有 1 个得 0.5 分，最多得 1 分。（提供证书扫描件，并加盖投标单位公章。）</w:t>
            </w:r>
            <w:r/>
          </w:p>
        </w:tc>
      </w:tr>
      <w:tr>
        <w:trPr>
          <w:trHeight w:val="1220"/>
        </w:trPr>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质保期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承诺</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分</w:t>
            </w:r>
            <w:r/>
          </w:p>
        </w:tc>
        <w:tc>
          <w:tcPr>
            <w:shd w:val="clear" w:color="auto" w:fill="auto"/>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免费质保期（至少 3 年）基础上，每增加一年免费上门质保服务承诺得 1 分，最高得 2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（免费质保期是指覆盖本项目所投设备及相关配套服务的免费质保期限。质保期内，上门调试、故障维修、核心部件更换等费用均由投标人承担，采购人不再另行支付费用。）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注：提供质保服务承诺书，承诺书格式自拟，未提供或未按要求提供的不得分。</w:t>
            </w:r>
            <w:r/>
          </w:p>
        </w:tc>
      </w:tr>
      <w:tr>
        <w:trPr>
          <w:trHeight w:val="2995"/>
        </w:trPr>
        <w:tc>
          <w:tcPr>
            <w:shd w:val="clear" w:color="auto" w:fill="auto"/>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91"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样品演示视频</w:t>
            </w:r>
            <w:r/>
          </w:p>
        </w:tc>
        <w:tc>
          <w:tcPr>
            <w:shd w:val="clear" w:color="auto" w:fill="auto"/>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 分</w:t>
            </w:r>
            <w:r/>
          </w:p>
        </w:tc>
        <w:tc>
          <w:tcPr>
            <w:shd w:val="clear" w:color="auto" w:fill="auto"/>
            <w:tcBorders>
              <w:top w:val="single" w:color="auto" w:sz="4" w:space="0"/>
              <w:left w:val="single" w:color="auto" w:sz="4" w:space="0"/>
              <w:bottom w:val="single" w:color="auto" w:sz="4" w:space="0"/>
              <w:right w:val="single" w:color="auto"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演示采用分项一镜到底视频演示评审方式：不提供覆盖全部评分项的完整总视频，投标人须针对本表所列每一评分项，分别提供一段独立的一镜到底演示视频，一个评分项对应一段视频，每段视频连续不间断拍摄，不得剪辑、拼接、删减、加速慢放，各段视频片头以字幕标明对应评分项名称，与本评分表逐项对应。视频演示评审总分 15 分，无视频、视频无法播放、视频违规、未按要求演示均按规则扣分或计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评标委员会根据投标人演示视频内容，进行综合评审。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（一）整套潜水装备组件完整性（3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干式 / 湿式潜水服、浮力调节背心、气瓶、调节器、多功能仪表、潜水刀、脚蹼、配重全套组件完整展示得 3 分；少量配件缺失得 1.5 分；关键组件缺失得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（二）一级、二级调节器供气性能演示（3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调节器装配，供气开关操作演示，供气工作稳定得 3 分；供气存在少量瑕疵得 1.5 分；调节器供气异常得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（三）多功能仪表、潜水手表功能（3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潜水手表中文界面、深度计时、日志记录，多功能仪表（指北针、深度、压力表）功能展示完整得 3 分；部分功能未演示得 1.5 分；关键功能缺失得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（四）浮力背心、配重系统操作演示（3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浮力背心充放气，配重带、配重块装配操作完整得 3 分；操作演示不全得 1.5 分；配重系统装配异常得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（五）装备收纳装箱（3分）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全部装备收纳进入拉杆战术装备箱，收纳规整，携带方便得 3 分；收纳操作少量不便得 1.5 分；无法完成规范收纳装箱得 0 分。</w:t>
            </w:r>
            <w:r/>
          </w:p>
        </w:tc>
      </w:tr>
    </w:tbl>
    <w:p>
      <w:pPr>
        <w:pStyle w:val="712"/>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分包六：</w:t>
      </w:r>
      <w:r/>
    </w:p>
    <w:tbl>
      <w:tblPr>
        <w:tblStyle w:val="708"/>
        <w:tblW w:w="8543" w:type="dxa"/>
        <w:tblInd w:w="-1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6"/>
        <w:gridCol w:w="1077"/>
        <w:gridCol w:w="914"/>
        <w:gridCol w:w="5816"/>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评分标准</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报价</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 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价格分采用低价优先法计算，即满足招标文件要求且投标价格最低的投标报价为评标基准价，其价格分为满分。其他投标人的价格分统一按照下列公式计算：投标报价得分 =（评标基准价／投标报价）×30。（得分保留两位小数）</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类似</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 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投标人或其投标产品制造商自 2023 年 1 月 1 日（含）以来（合同内容需体现采购的内容，类似业绩指的是产品包的核心产品）完成的类似项目业绩（产品包为核心产品），每提供一个业绩得 1 分，本项最高得 4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注：投标时必须提供合同原件扫描件和项目验收证明材料。合同应体现合同签订时间、合同主体名称、供货内容、合同主体双方盖章页，否则该项不得分。</w:t>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pageBreakBefore w:val="0"/>
              <w:spacing w:line="500" w:lineRule="exact"/>
              <w:widowControl w:val="off"/>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产品技术参数 </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 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招标文件第四章 “采购需求” 中的非实质性技术要求：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 所投产品所有技术条款完全响应招标文件要求的得 22分；本项最低分 0 分，最高分 22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标记 “▲” 为重要技术条款，重要技术条款响应的，每响应一条加 1 分，最多得6分。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无标记为一般技术条款，一般技术条款响应的，每响应一条加 0.57 分，最多得 16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注：1. 以上 “技术要求” 响应情况均须在投标文件《技术要求响应及偏离表》中表述清楚，如表述不清，则按负偏离处理。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2.“技术要求” 中▲指标均需提供技术证明材料，证明材料（包括检测检验报告、白皮书、设备生产厂家证明扫描件、彩页、手册等，若上述材料同一参数有不一致的以检测报告为准），如 “技术要求” 中有明确要求的，以明确要求为准，未按要求提供的，视为负偏离。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 投标人如虚假响应或提供虚假证明材料，一经发现将取消中标资格，并上报财政主管部门。</w:t>
            </w:r>
            <w:r/>
          </w:p>
        </w:tc>
      </w:tr>
      <w:tr>
        <w:trPr>
          <w:trHeight w:val="3278"/>
        </w:trPr>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 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供应商根据本项目第四章 “项目实施方案”，方案内容至少包含：①项目总体概述；②供货组织架构与人员配置；③包装与运输方案；④到货验收方案。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上述 4 项内容完整得 16 分，每有一项内容缺失的扣 4 分；每有一处存在缺陷（缺陷是指不适用于本项目，表述前后不一致或内容矛盾，语句有歧义，仅有框架或标题，涉及的规范及标准错误，套用其他项目内容等任意一种情形）的扣 1 分，直至扣完 16 分为止，不提供不得分。具体由评审委员会评审。</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 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供应商根据本项目第四章 “售后服务方案”，方案内容至少包含：①质保期服务承诺；②培训服务方案；③超质保期服务；④备品备件供应；⑤服务质量保障。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上述 5 项内容完整得 10 分，每有一项内容缺失的扣 2 分；每有一处存在缺陷（缺陷是指不适用于本项目，表述前后不一致或内容矛盾，语句有歧义，仅有框架或标题，涉及的规范及标准错误，套用其他项目内容等任意一种情形）的扣 1 分，直至扣完 10 分为止，不提供不得分。具体由评审委员会评审。</w:t>
            </w:r>
            <w:r/>
          </w:p>
        </w:tc>
      </w:tr>
      <w:tr>
        <w:trPr>
          <w:trHeight w:val="90"/>
        </w:trPr>
        <w:tc>
          <w:tcPr>
            <w:shd w:val="clear" w:color="auto" w:fill="auto"/>
            <w:tcBorders>
              <w:top w:val="single" w:color="000000" w:sz="4" w:space="0"/>
              <w:left w:val="single" w:color="000000" w:sz="4" w:space="0"/>
              <w:right w:val="single" w:color="000000" w:sz="4" w:space="0"/>
            </w:tcBorders>
            <w:tcW w:w="736"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right w:val="single" w:color="000000" w:sz="4" w:space="0"/>
            </w:tcBorders>
            <w:tcW w:w="1077"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节能  环保</w:t>
            </w:r>
            <w:r/>
          </w:p>
        </w:tc>
        <w:tc>
          <w:tcPr>
            <w:shd w:val="clear" w:color="auto" w:fill="auto"/>
            <w:tcBorders>
              <w:top w:val="single" w:color="000000" w:sz="4" w:space="0"/>
              <w:left w:val="single" w:color="000000" w:sz="4" w:space="0"/>
              <w:right w:val="single" w:color="000000" w:sz="4" w:space="0"/>
            </w:tcBorders>
            <w:tcW w:w="914" w:type="dxa"/>
            <w:vAlign w:val="center"/>
            <w:vMerge w:val="restart"/>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投标产品属于财政部、国家发展改革委公布的 “节能产品品目清单” 范围内的，投标人提供国家确定的认证机构出具的、处于有效期之内的该节能产品认证证书的，有 1 个得 0.5 分，最多得 1 分。如投标产品均属于政府强制采购节能产品品目清单范围内，本项不得分。（提供证书扫描件，并加盖投标单位公章。）</w:t>
            </w:r>
            <w:r/>
          </w:p>
        </w:tc>
      </w:tr>
      <w:tr>
        <w:trPr>
          <w:trHeight w:val="90"/>
        </w:trPr>
        <w:tc>
          <w:tcPr>
            <w:shd w:val="clear" w:color="auto" w:fill="auto"/>
            <w:tcBorders>
              <w:left w:val="single" w:color="000000" w:sz="4" w:space="0"/>
              <w:bottom w:val="single" w:color="000000" w:sz="4" w:space="0"/>
              <w:right w:val="single" w:color="000000" w:sz="4" w:space="0"/>
            </w:tcBorders>
            <w:tcW w:w="736"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1077"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914" w:type="dxa"/>
            <w:vAlign w:val="center"/>
            <w:vMerge w:val="continue"/>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投标产品属于财政部、生态环境部公布的 “环境标志产品品目清单” 范围内的，投标人提供国家确定的认证机构出具的、处于有效期内的该环保产品认证证书的，有 1 个得 0.5 分，最多得 1 分。（提供证书扫描件，并加盖投标单位公章。）</w:t>
            </w:r>
            <w:r/>
          </w:p>
        </w:tc>
      </w:tr>
      <w:tr>
        <w:trPr>
          <w:trHeight w:val="2970"/>
        </w:trPr>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质保期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承诺</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 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免费质保期（至少 3 年）基础上，每增加一年免费上门质保服务承诺得 2 分，最高得4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（免费质保期是指覆盖本项目所投设备及相关配套服务的免费质保期限。质保期内，上门调试、故障维修、核心部件更换等费用均由投标人承担，采购人不再另行支付费用。）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注：提供质保服务承诺书，承诺书格式自拟，未提供或未按要求提供的不得分。</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7"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样品演示视频</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 分</w:t>
            </w:r>
            <w:r/>
          </w:p>
        </w:tc>
        <w:tc>
          <w:tcPr>
            <w:shd w:val="clear" w:color="auto" w:fill="auto"/>
            <w:tcBorders>
              <w:top w:val="single" w:color="000000" w:sz="4" w:space="0"/>
              <w:left w:val="single" w:color="000000" w:sz="4" w:space="0"/>
              <w:bottom w:val="single" w:color="000000" w:sz="4" w:space="0"/>
              <w:right w:val="single" w:color="000000" w:sz="4" w:space="0"/>
            </w:tcBorders>
            <w:tcW w:w="5816" w:type="dxa"/>
            <w:vAlign w:val="center"/>
            <w:textDirection w:val="lrTb"/>
            <w:noWrap w:val="false"/>
          </w:tcPr>
          <w:p>
            <w:pPr>
              <w:ind w:firstLine="480"/>
              <w:jc w:val="left"/>
              <w:keepLines w:val="0"/>
              <w:keepNext w:val="0"/>
              <w:pageBreakBefore w:val="0"/>
              <w:spacing w:line="500" w:lineRule="exact"/>
              <w:widowControl w:val="off"/>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样品演示采用分项一镜到底视频演示评审方式：不提供覆盖全部评分项的完整总视频，投标人须针对本表所列每一评分项，分别提供一段独立的一镜到底演示视频，一个评分项对应一段视频，每段视频连续不间断拍摄，不得剪辑、拼接、删减、加速慢放，各段视频片头以字幕标明对应评分项名称，与本评分表逐项对应。视频演示评审总分 12 分，无视频、视频无法播放、视频违规、未按要求演示均按规则扣分或计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评标委员会根据投标人演示视频内容，进行综合评审。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（一）探测器成像与多模式切换（3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开机，探测器≥384*288 像素，不少于 8 种图像模式（黑热、白热、铁红、彩虹、画中画等）切换流畅得 3 分；成像或模式切换少量瑕疵得 1.5 分；成像异常模式缺失得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（二）测温与热点自动追踪功能（3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测温范围</w:t>
            </w:r>
            <w:r>
              <w:rPr>
                <w:rFonts w:hint="eastAsia" w:ascii="宋体" w:hAnsi="宋体" w:eastAsia="宋体" w:cs="宋体"/>
                <w:i w:val="0"/>
                <w:iCs w:val="0"/>
                <w:color w:val="000000"/>
                <w:sz w:val="24"/>
                <w:szCs w:val="24"/>
                <w:u w:val="none"/>
                <w:lang w:val="en-US" w:eastAsia="zh-CN" w:bidi="ar"/>
              </w:rPr>
              <w:noBreakHyphen/>
            </w:r>
            <w:r>
              <w:rPr>
                <w:rFonts w:hint="eastAsia" w:ascii="宋体" w:hAnsi="宋体" w:eastAsia="宋体" w:cs="宋体"/>
                <w:i w:val="0"/>
                <w:iCs w:val="0"/>
                <w:color w:val="000000"/>
                <w:sz w:val="24"/>
                <w:szCs w:val="24"/>
                <w:u w:val="none"/>
                <w:lang w:val="en-US" w:eastAsia="zh-CN" w:bidi="ar"/>
              </w:rPr>
              <w:t xml:space="preserve">40℃~+1200℃，高温热点自动追踪演示正常得 3 分；测温 / 追踪存在少量瑕疵得 1.5 分；测温追踪功能失效得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（三）拍照录像、存储回放（2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内置存储卡，拍照、录像、本地回放导出操作完整正常得 2 分；存储回放存在瑕疵得 1 分；无法拍照录像存储得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（四）电池拆装更换、续航说明（2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可充电锂电池拆装更换演示，电池工作≥5h 说明得 2 分；演示不全得 1 分；无法更换电池得 0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（五）整机防护、重量尺寸外观（2 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     防护等级 IP67 展示，整机重量≤1500g，外观结构完整得 2 分；防护 / 重量少量瑕疵得 1 分；防护等级明显不达标得 0 分。</w:t>
            </w:r>
            <w:r/>
          </w:p>
        </w:tc>
      </w:tr>
    </w:tbl>
    <w:p>
      <w:pPr>
        <w:jc w:val="both"/>
        <w:keepLines w:val="0"/>
        <w:keepNext w:val="0"/>
        <w:pageBreakBefore w:val="0"/>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keepLines w:val="0"/>
        <w:keepNext w:val="0"/>
        <w:pageBreakBefore w:val="0"/>
        <w:widowControl w:val="off"/>
        <w:rPr>
          <w:rFonts w:hint="eastAsia" w:ascii="黑体" w:hAnsi="黑体" w:eastAsia="黑体" w:cs="黑体"/>
          <w:color w:val="auto"/>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黑体" w:hAnsi="黑体" w:eastAsia="黑体" w:cs="黑体"/>
          <w:color w:val="auto"/>
          <w:sz w:val="44"/>
          <w:szCs w:val="44"/>
          <w:highlight w:val="none"/>
        </w:rPr>
      </w:r>
      <w:r/>
    </w:p>
    <w:p>
      <w:pPr>
        <w:jc w:val="center"/>
        <w:keepLines w:val="0"/>
        <w:keepNext w:val="0"/>
        <w:pageBreakBefore w:val="0"/>
        <w:widowControl w:val="off"/>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keepLines w:val="0"/>
        <w:keepNext w:val="0"/>
        <w:pageBreakBefore w:val="0"/>
        <w:widowControl w:val="off"/>
        <w:rPr>
          <w:rFonts w:ascii="微软雅黑" w:eastAsia="微软雅黑" w:cs="宋体" w:hAnsiTheme="minorEastAsia"/>
          <w:color w:val="auto"/>
          <w:sz w:val="44"/>
          <w:szCs w:val="44"/>
          <w:highlight w:val="none"/>
        </w:rPr>
        <w:outlineLvl w:val="0"/>
      </w:pPr>
      <w:r>
        <w:rPr>
          <w:rFonts w:hint="eastAsia" w:ascii="黑体" w:hAnsi="黑体" w:eastAsia="黑体" w:cs="黑体"/>
          <w:color w:val="auto"/>
          <w:sz w:val="44"/>
          <w:szCs w:val="44"/>
          <w:highlight w:val="none"/>
        </w:rPr>
        <w:t xml:space="preserve">第六章 投标文件格式</w:t>
      </w:r>
      <w:r/>
    </w:p>
    <w:p>
      <w:pPr>
        <w:keepLines w:val="0"/>
        <w:keepNext w:val="0"/>
        <w:pageBreakBefore w:val="0"/>
        <w:widowControl w:val="off"/>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keepLines w:val="0"/>
        <w:keepNext w:val="0"/>
        <w:pageBreakBefore w:val="0"/>
        <w:widowControl w:val="off"/>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pStyle w:val="712"/>
        <w:keepLines w:val="0"/>
        <w:keepNext w:val="0"/>
        <w:pageBreakBefore w:val="0"/>
        <w:widowControl w:val="off"/>
        <w:rPr>
          <w:color w:val="auto"/>
          <w:highlight w:val="none"/>
        </w:rPr>
      </w:pPr>
      <w:r>
        <w:rPr>
          <w:color w:val="auto"/>
          <w:highlight w:val="none"/>
        </w:rPr>
      </w:r>
      <w:r/>
    </w:p>
    <w:p>
      <w:pPr>
        <w:jc w:val="center"/>
        <w:keepLines w:val="0"/>
        <w:keepNext w:val="0"/>
        <w:pageBreakBefore w:val="0"/>
        <w:widowControl w:val="off"/>
        <w:rPr>
          <w:rFonts w:asciiTheme="minorEastAsia" w:hAnsiTheme="minorEastAsia" w:cstheme="minorEastAsia"/>
          <w:b/>
          <w:color w:val="auto"/>
          <w:sz w:val="84"/>
          <w:szCs w:val="84"/>
          <w:highlight w:val="none"/>
        </w:rPr>
      </w:pPr>
      <w:r>
        <w:rPr>
          <w:rFonts w:hint="eastAsia" w:asciiTheme="minorEastAsia" w:hAnsiTheme="minorEastAsia" w:cstheme="minorEastAsia"/>
          <w:b/>
          <w:color w:val="auto"/>
          <w:sz w:val="84"/>
          <w:szCs w:val="84"/>
          <w:highlight w:val="none"/>
        </w:rPr>
        <w:t xml:space="preserve">投 标 文 件</w:t>
      </w:r>
      <w:r/>
    </w:p>
    <w:p>
      <w:pPr>
        <w:keepLines w:val="0"/>
        <w:keepNext w:val="0"/>
        <w:pageBreakBefore w:val="0"/>
        <w:widowControl w:val="off"/>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keepLines w:val="0"/>
        <w:keepNext w:val="0"/>
        <w:pageBreakBefore w:val="0"/>
        <w:widowControl w:val="off"/>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keepLines w:val="0"/>
        <w:keepNext w:val="0"/>
        <w:pageBreakBefore w:val="0"/>
        <w:widowControl w:val="off"/>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keepLines w:val="0"/>
        <w:keepNext w:val="0"/>
        <w:pageBreakBefore w:val="0"/>
        <w:widowControl w:val="off"/>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pStyle w:val="712"/>
        <w:keepLines w:val="0"/>
        <w:keepNext w:val="0"/>
        <w:pageBreakBefore w:val="0"/>
        <w:widowControl w:val="off"/>
        <w:rPr>
          <w:rFonts w:asciiTheme="minorEastAsia" w:hAnsiTheme="minorEastAsia"/>
          <w:color w:val="auto"/>
          <w:sz w:val="24"/>
          <w:highlight w:val="none"/>
        </w:rPr>
      </w:pPr>
      <w:r>
        <w:rPr>
          <w:rFonts w:asciiTheme="minorEastAsia" w:hAnsiTheme="minorEastAsia"/>
          <w:color w:val="auto"/>
          <w:sz w:val="24"/>
          <w:highlight w:val="none"/>
        </w:rPr>
      </w:r>
      <w:r/>
    </w:p>
    <w:p>
      <w:pPr>
        <w:keepLines w:val="0"/>
        <w:keepNext w:val="0"/>
        <w:pageBreakBefore w:val="0"/>
        <w:widowControl w:val="off"/>
        <w:rPr>
          <w:color w:val="auto"/>
          <w:highlight w:val="none"/>
        </w:rPr>
      </w:pPr>
      <w:r>
        <w:rPr>
          <w:color w:val="auto"/>
          <w:highlight w:val="none"/>
        </w:rPr>
      </w:r>
      <w:r/>
    </w:p>
    <w:p>
      <w:pPr>
        <w:pStyle w:val="712"/>
        <w:keepLines w:val="0"/>
        <w:keepNext w:val="0"/>
        <w:pageBreakBefore w:val="0"/>
        <w:widowControl w:val="off"/>
        <w:rPr>
          <w:rFonts w:asciiTheme="minorEastAsia" w:hAnsiTheme="minorEastAsia"/>
          <w:color w:val="auto"/>
          <w:sz w:val="24"/>
          <w:highlight w:val="none"/>
        </w:rPr>
      </w:pPr>
      <w:r>
        <w:rPr>
          <w:rFonts w:asciiTheme="minorEastAsia" w:hAnsiTheme="minorEastAsia"/>
          <w:color w:val="auto"/>
          <w:sz w:val="24"/>
          <w:highlight w:val="none"/>
        </w:rPr>
      </w:r>
      <w:r/>
    </w:p>
    <w:p>
      <w:pPr>
        <w:pStyle w:val="712"/>
        <w:keepLines w:val="0"/>
        <w:keepNext w:val="0"/>
        <w:pageBreakBefore w:val="0"/>
        <w:widowControl w:val="off"/>
        <w:rPr>
          <w:color w:val="auto"/>
          <w:highlight w:val="none"/>
        </w:rPr>
      </w:pPr>
      <w:r>
        <w:rPr>
          <w:color w:val="auto"/>
          <w:highlight w:val="none"/>
        </w:rPr>
      </w:r>
      <w:r/>
    </w:p>
    <w:p>
      <w:pPr>
        <w:keepLines w:val="0"/>
        <w:keepNext w:val="0"/>
        <w:pageBreakBefore w:val="0"/>
        <w:widowControl w:val="off"/>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1134"/>
        <w:keepLines w:val="0"/>
        <w:keepNext w:val="0"/>
        <w:pageBreakBefore w:val="0"/>
        <w:spacing w:line="360" w:lineRule="auto"/>
        <w:widowControl w:val="off"/>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项目名称：</w:t>
      </w:r>
      <w:r>
        <w:rPr>
          <w:rFonts w:hint="eastAsia" w:asciiTheme="minorEastAsia" w:hAnsiTheme="minorEastAsia" w:cstheme="minorEastAsia"/>
          <w:b/>
          <w:color w:val="auto"/>
          <w:spacing w:val="46"/>
          <w:sz w:val="36"/>
          <w:szCs w:val="36"/>
          <w:highlight w:val="none"/>
          <w:u w:val="single"/>
        </w:rPr>
        <w:t xml:space="preserve">               </w:t>
      </w:r>
      <w:r/>
    </w:p>
    <w:p>
      <w:pPr>
        <w:ind w:firstLine="1134"/>
        <w:keepLines w:val="0"/>
        <w:keepNext w:val="0"/>
        <w:pageBreakBefore w:val="0"/>
        <w:spacing w:line="360" w:lineRule="auto"/>
        <w:widowControl w:val="off"/>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项目编号：</w:t>
      </w:r>
      <w:r>
        <w:rPr>
          <w:rFonts w:hint="eastAsia" w:asciiTheme="minorEastAsia" w:hAnsiTheme="minorEastAsia" w:cstheme="minorEastAsia"/>
          <w:b/>
          <w:color w:val="auto"/>
          <w:spacing w:val="46"/>
          <w:sz w:val="36"/>
          <w:szCs w:val="36"/>
          <w:highlight w:val="none"/>
          <w:u w:val="single"/>
        </w:rPr>
        <w:t xml:space="preserve">               </w:t>
      </w:r>
      <w:r/>
    </w:p>
    <w:p>
      <w:pPr>
        <w:ind w:firstLine="1134"/>
        <w:keepLines w:val="0"/>
        <w:keepNext w:val="0"/>
        <w:pageBreakBefore w:val="0"/>
        <w:spacing w:line="360" w:lineRule="auto"/>
        <w:widowControl w:val="off"/>
        <w:rPr>
          <w:rFonts w:asciiTheme="minorEastAsia" w:hAnsiTheme="minorEastAsia" w:cstheme="minorEastAsia"/>
          <w:b/>
          <w:color w:val="auto"/>
          <w:sz w:val="24"/>
          <w:highlight w:val="none"/>
        </w:rPr>
        <w:outlineLvl w:val="1"/>
      </w:pPr>
      <w:r>
        <w:rPr>
          <w:rFonts w:hint="eastAsia" w:asciiTheme="minorEastAsia" w:hAnsiTheme="minorEastAsia" w:cstheme="minorEastAsia"/>
          <w:b/>
          <w:color w:val="auto"/>
          <w:sz w:val="36"/>
          <w:szCs w:val="36"/>
          <w:highlight w:val="none"/>
        </w:rPr>
        <w:t xml:space="preserve">投标人名称：</w:t>
      </w:r>
      <w:r>
        <w:rPr>
          <w:rFonts w:hint="eastAsia" w:asciiTheme="minorEastAsia" w:hAnsiTheme="minorEastAsia" w:cstheme="minorEastAsia"/>
          <w:b/>
          <w:color w:val="auto"/>
          <w:sz w:val="36"/>
          <w:szCs w:val="36"/>
          <w:highlight w:val="none"/>
          <w:u w:val="single"/>
        </w:rPr>
        <w:t xml:space="preserve"> （加盖CA电子公章）   </w:t>
      </w:r>
      <w:r/>
    </w:p>
    <w:p>
      <w:pPr>
        <w:ind w:firstLine="1134"/>
        <w:keepLines w:val="0"/>
        <w:keepNext w:val="0"/>
        <w:pageBreakBefore w:val="0"/>
        <w:spacing w:line="360" w:lineRule="auto"/>
        <w:widowControl w:val="off"/>
        <w:rPr>
          <w:rFonts w:ascii="黑体" w:hAnsi="黑体" w:cs="Times New Roman"/>
          <w:bCs/>
          <w:color w:val="auto"/>
          <w:sz w:val="24"/>
          <w:highlight w:val="none"/>
          <w:u w:val="single"/>
        </w:rPr>
      </w:pPr>
      <w:r>
        <w:rPr>
          <w:rFonts w:hint="eastAsia" w:asciiTheme="minorEastAsia" w:hAnsiTheme="minorEastAsia" w:cstheme="minorEastAsia"/>
          <w:b/>
          <w:color w:val="auto"/>
          <w:sz w:val="36"/>
          <w:szCs w:val="36"/>
          <w:highlight w:val="none"/>
        </w:rPr>
        <w:t xml:space="preserve">日       期：</w:t>
      </w:r>
      <w:r>
        <w:rPr>
          <w:rFonts w:hint="eastAsia" w:asciiTheme="minorEastAsia" w:hAnsiTheme="minorEastAsia" w:cstheme="minorEastAsia"/>
          <w:b/>
          <w:color w:val="auto"/>
          <w:sz w:val="36"/>
          <w:szCs w:val="36"/>
          <w:highlight w:val="none"/>
          <w:u w:val="single"/>
        </w:rPr>
        <w:t xml:space="preserve">                       </w:t>
      </w:r>
      <w:r/>
    </w:p>
    <w:p>
      <w:pPr>
        <w:jc w:val="left"/>
        <w:keepLines w:val="0"/>
        <w:keepNext w:val="0"/>
        <w:pageBreakBefore w:val="0"/>
        <w:widowControl w:val="off"/>
        <w:rPr>
          <w:color w:val="auto"/>
          <w:highlight w:val="none"/>
        </w:rPr>
      </w:pPr>
      <w:r>
        <w:rPr>
          <w:rFonts w:hint="eastAsia" w:cs="Times New Roman" w:asciiTheme="minorEastAsia" w:hAnsiTheme="minorEastAsia"/>
          <w:b/>
          <w:bCs/>
          <w:color w:val="auto"/>
          <w:sz w:val="36"/>
          <w:szCs w:val="36"/>
          <w:highlight w:val="none"/>
        </w:rPr>
        <w:br w:type="page" w:clear="all"/>
      </w:r>
      <w:r/>
    </w:p>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b/>
          <w:color w:val="auto"/>
          <w:sz w:val="32"/>
          <w:szCs w:val="32"/>
          <w:highlight w:val="none"/>
        </w:rPr>
        <w:t xml:space="preserve">投标文件目录</w:t>
      </w:r>
      <w:r/>
    </w:p>
    <w:p>
      <w:pPr>
        <w:pStyle w:val="730"/>
        <w:ind w:left="0" w:firstLine="480"/>
        <w:jc w:val="both"/>
        <w:keepLines w:val="0"/>
        <w:keepNext w:val="0"/>
        <w:pageBreakBefore w:val="0"/>
        <w:spacing w:beforeAutospacing="0" w:afterAutospacing="0" w:line="500" w:lineRule="exact"/>
        <w:widowControl w:val="off"/>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left="0" w:firstLine="480"/>
        <w:jc w:val="left"/>
        <w:keepLines w:val="0"/>
        <w:keepNext w:val="0"/>
        <w:pageBreakBefore w:val="0"/>
        <w:spacing w:line="500" w:lineRule="exact"/>
        <w:widowControl w:val="off"/>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二、上一年度的财务状况报告（至少提供资产负债表、利润表、现金流量表，投标人成立不满一年无需提供）</w:t>
      </w:r>
      <w:r/>
    </w:p>
    <w:p>
      <w:pPr>
        <w:pStyle w:val="730"/>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730"/>
        <w:ind w:left="0" w:firstLine="480"/>
        <w:jc w:val="both"/>
        <w:keepLines w:val="0"/>
        <w:keepNext w:val="0"/>
        <w:pageBreakBefore w:val="0"/>
        <w:spacing w:beforeAutospacing="0" w:afterAutospacing="0" w:line="500" w:lineRule="exact"/>
        <w:widowControl w:val="off"/>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0"/>
        <w:ind w:left="0" w:firstLine="480"/>
        <w:jc w:val="both"/>
        <w:keepLines w:val="0"/>
        <w:keepNext w:val="0"/>
        <w:pageBreakBefore w:val="0"/>
        <w:spacing w:beforeAutospacing="0" w:afterAutospacing="0" w:line="500" w:lineRule="exact"/>
        <w:widowControl w:val="off"/>
        <w:rPr>
          <w:i w:val="0"/>
          <w:iCs/>
          <w:color w:val="auto"/>
          <w:highlight w:val="none"/>
          <w:u w:val="none"/>
        </w:rPr>
      </w:pPr>
      <w:r>
        <w:rPr>
          <w:rFonts w:hint="eastAsia" w:ascii="宋体" w:hAnsi="宋体" w:eastAsia="宋体" w:cs="宋体"/>
          <w:i w:val="0"/>
          <w:iCs/>
          <w:color w:val="auto"/>
          <w:highlight w:val="none"/>
          <w:u w:val="none"/>
        </w:rPr>
        <w:t xml:space="preserve">五、参加政府采购活动前3年内在经营活动中没有重大违法记录的书面声明</w:t>
      </w:r>
      <w:r/>
    </w:p>
    <w:p>
      <w:pPr>
        <w:pStyle w:val="730"/>
        <w:ind w:left="0" w:firstLine="480"/>
        <w:jc w:val="both"/>
        <w:keepLines w:val="0"/>
        <w:keepNext w:val="0"/>
        <w:pageBreakBefore w:val="0"/>
        <w:spacing w:beforeAutospacing="0" w:afterAutospacing="0" w:line="500" w:lineRule="exact"/>
        <w:widowControl w:val="off"/>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730"/>
        <w:ind w:left="0" w:firstLine="480"/>
        <w:jc w:val="both"/>
        <w:keepLines w:val="0"/>
        <w:keepNext w:val="0"/>
        <w:pageBreakBefore w:val="0"/>
        <w:spacing w:beforeAutospacing="0" w:afterAutospacing="0" w:line="500" w:lineRule="exact"/>
        <w:widowControl w:val="off"/>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八、投标函</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九、中小企业声明函</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十、残疾人福利性单位声明函</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十一、关于符合本国产品标准的声明函</w:t>
      </w:r>
      <w:r/>
    </w:p>
    <w:p>
      <w:pPr>
        <w:ind w:left="0" w:firstLine="480"/>
        <w:jc w:val="left"/>
        <w:keepLines w:val="0"/>
        <w:keepNext w:val="0"/>
        <w:pageBreakBefore w:val="0"/>
        <w:spacing w:line="500" w:lineRule="exact"/>
        <w:widowControl w:val="off"/>
        <w:tabs>
          <w:tab w:val="left" w:pos="1331" w:leader="none"/>
        </w:tabs>
        <w:rPr>
          <w:rFonts w:hint="default"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十二、投标分项报价表</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十三、技术要求响应及偏离表</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十四、商务要求响应及偏离表</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十五、开标一览表</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十六、技术方案、服务承诺、培训承诺等</w:t>
      </w:r>
      <w:r/>
    </w:p>
    <w:p>
      <w:pPr>
        <w:ind w:left="0" w:firstLine="480"/>
        <w:jc w:val="left"/>
        <w:keepLines w:val="0"/>
        <w:keepNext w:val="0"/>
        <w:pageBreakBefore w:val="0"/>
        <w:spacing w:line="500" w:lineRule="exact"/>
        <w:widowControl w:val="off"/>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十七、盐城市政府采购事前信用承诺书</w:t>
      </w:r>
      <w:r/>
    </w:p>
    <w:p>
      <w:pPr>
        <w:pStyle w:val="730"/>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730"/>
        <w:ind w:firstLine="48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keepLines w:val="0"/>
        <w:keepNext w:val="0"/>
        <w:pageBreakBefore w:val="0"/>
        <w:widowControl w:val="off"/>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30"/>
        <w:jc w:val="center"/>
        <w:keepLines w:val="0"/>
        <w:keepNext w:val="0"/>
        <w:pageBreakBefore w:val="0"/>
        <w:spacing w:beforeAutospacing="0" w:afterAutospacing="0"/>
        <w:widowControl w:val="off"/>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jc w:val="left"/>
        <w:keepLines w:val="0"/>
        <w:keepNext w:val="0"/>
        <w:pageBreakBefore w:val="0"/>
        <w:widowControl w:val="off"/>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sz w:val="24"/>
          <w:szCs w:val="24"/>
          <w:highlight w:val="none"/>
          <w:u w:val="none"/>
        </w:rPr>
        <w:t xml:space="preserve">投标人成立不满一年无需提供）</w:t>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keepLines w:val="0"/>
        <w:keepNext w:val="0"/>
        <w:pageBreakBefore w:val="0"/>
        <w:widowControl w:val="off"/>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30"/>
        <w:jc w:val="both"/>
        <w:keepLines w:val="0"/>
        <w:keepNext w:val="0"/>
        <w:pageBreakBefore w:val="0"/>
        <w:spacing w:beforeAutospacing="0" w:afterAutospacing="0" w:line="500" w:lineRule="exact"/>
        <w:widowControl w:val="off"/>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730"/>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30"/>
        <w:ind w:firstLine="492"/>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主要设备有：。</w:t>
      </w:r>
      <w:r/>
    </w:p>
    <w:p>
      <w:pPr>
        <w:pStyle w:val="730"/>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p>
    <w:p>
      <w:pPr>
        <w:keepLines w:val="0"/>
        <w:keepNext w:val="0"/>
        <w:pageBreakBefore w:val="0"/>
        <w:widowControl w:val="off"/>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730"/>
        <w:jc w:val="center"/>
        <w:keepLines w:val="0"/>
        <w:keepNext w:val="0"/>
        <w:pageBreakBefore w:val="0"/>
        <w:spacing w:beforeAutospacing="0" w:afterAutospacing="0" w:line="500" w:lineRule="exact"/>
        <w:widowControl w:val="off"/>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730"/>
        <w:ind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keepLines w:val="0"/>
        <w:keepNext w:val="0"/>
        <w:pageBreakBefore w:val="0"/>
        <w:widowControl w:val="off"/>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30"/>
        <w:jc w:val="center"/>
        <w:keepLines w:val="0"/>
        <w:keepNext w:val="0"/>
        <w:pageBreakBefore w:val="0"/>
        <w:spacing w:beforeAutospacing="0" w:afterAutospacing="0"/>
        <w:widowControl w:val="off"/>
        <w:rPr>
          <w:color w:val="auto"/>
          <w:highlight w:val="none"/>
        </w:rPr>
      </w:pPr>
      <w:r>
        <w:rPr>
          <w:rFonts w:hint="eastAsia" w:ascii="黑体" w:hAnsi="宋体" w:eastAsia="黑体" w:cs="黑体"/>
          <w:i/>
          <w:color w:val="auto"/>
          <w:sz w:val="32"/>
          <w:szCs w:val="32"/>
          <w:highlight w:val="none"/>
          <w:u w:val="single"/>
        </w:rPr>
        <w:t xml:space="preserve">五、参加政府采购活动前3年内在经营活动中没有重大违法记录的书面声明</w:t>
      </w:r>
      <w:r/>
    </w:p>
    <w:p>
      <w:pPr>
        <w:pStyle w:val="730"/>
        <w:ind w:firstLine="3534"/>
        <w:jc w:val="both"/>
        <w:keepLines w:val="0"/>
        <w:keepNext w:val="0"/>
        <w:pageBreakBefore w:val="0"/>
        <w:spacing w:beforeAutospacing="0" w:afterAutospacing="0" w:line="0" w:lineRule="atLeast"/>
        <w:widowControl w:val="off"/>
        <w:rPr>
          <w:color w:val="auto"/>
          <w:highlight w:val="none"/>
        </w:rPr>
      </w:pPr>
      <w:r>
        <w:rPr>
          <w:rFonts w:hint="eastAsia" w:ascii="宋体" w:hAnsi="宋体" w:eastAsia="宋体" w:cs="宋体"/>
          <w:b/>
          <w:color w:val="auto"/>
          <w:sz w:val="44"/>
          <w:szCs w:val="44"/>
          <w:highlight w:val="none"/>
        </w:rPr>
        <w:t xml:space="preserve">声明</w:t>
      </w:r>
      <w:r/>
    </w:p>
    <w:p>
      <w:pPr>
        <w:pStyle w:val="73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keepLines w:val="0"/>
        <w:keepNext w:val="0"/>
        <w:pageBreakBefore w:val="0"/>
        <w:widowControl w:val="off"/>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30"/>
        <w:jc w:val="center"/>
        <w:keepLines w:val="0"/>
        <w:keepNext w:val="0"/>
        <w:pageBreakBefore w:val="0"/>
        <w:spacing w:beforeAutospacing="0" w:afterAutospacing="0"/>
        <w:widowControl w:val="off"/>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730"/>
        <w:jc w:val="center"/>
        <w:keepLines w:val="0"/>
        <w:keepNext w:val="0"/>
        <w:pageBreakBefore w:val="0"/>
        <w:spacing w:beforeAutospacing="0" w:afterAutospacing="0" w:line="0" w:lineRule="atLeast"/>
        <w:widowControl w:val="off"/>
        <w:rPr>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730"/>
        <w:jc w:val="center"/>
        <w:keepLines w:val="0"/>
        <w:keepNext w:val="0"/>
        <w:pageBreakBefore w:val="0"/>
        <w:spacing w:beforeAutospacing="0" w:afterAutospacing="0"/>
        <w:widowControl w:val="off"/>
        <w:rPr>
          <w:rFonts w:ascii="黑体" w:hAnsi="宋体" w:eastAsia="黑体" w:cs="黑体"/>
          <w:i/>
          <w:color w:val="auto"/>
          <w:sz w:val="32"/>
          <w:szCs w:val="32"/>
          <w:highlight w:val="none"/>
          <w:u w:val="single"/>
        </w:rPr>
      </w:pPr>
      <w:r/>
      <w:bookmarkStart w:id="191" w:name="_Toc120614284"/>
      <w:r/>
      <w:r/>
    </w:p>
    <w:p>
      <w:pPr>
        <w:pStyle w:val="730"/>
        <w:jc w:val="center"/>
        <w:keepLines w:val="0"/>
        <w:keepNext w:val="0"/>
        <w:pageBreakBefore w:val="0"/>
        <w:spacing w:beforeAutospacing="0" w:afterAutospacing="0"/>
        <w:widowControl w:val="off"/>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730"/>
        <w:jc w:val="center"/>
        <w:keepLines w:val="0"/>
        <w:keepNext w:val="0"/>
        <w:pageBreakBefore w:val="0"/>
        <w:spacing w:beforeAutospacing="0" w:afterAutospacing="0"/>
        <w:widowControl w:val="off"/>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keepLines w:val="0"/>
        <w:keepNext w:val="0"/>
        <w:pageBreakBefore w:val="0"/>
        <w:widowControl w:val="off"/>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730"/>
        <w:ind w:firstLine="640"/>
        <w:jc w:val="center"/>
        <w:keepLines w:val="0"/>
        <w:keepNext w:val="0"/>
        <w:pageBreakBefore w:val="0"/>
        <w:spacing w:beforeAutospacing="0" w:afterAutospacing="0" w:line="500" w:lineRule="exact"/>
        <w:widowControl w:val="off"/>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730"/>
        <w:ind w:firstLine="480"/>
        <w:jc w:val="both"/>
        <w:keepLines w:val="0"/>
        <w:keepNext w:val="0"/>
        <w:pageBreakBefore w:val="0"/>
        <w:spacing w:beforeAutospacing="0" w:afterAutospacing="0" w:line="500" w:lineRule="exact"/>
        <w:widowControl w:val="off"/>
        <w:tabs>
          <w:tab w:val="left" w:pos="360" w:leader="none"/>
        </w:tabs>
        <w:rPr>
          <w:color w:val="auto"/>
          <w:highlight w:val="none"/>
        </w:rPr>
      </w:pPr>
      <w:r>
        <w:rPr>
          <w:rFonts w:hint="eastAsia" w:ascii="Times New Roman" w:hAnsi="Times New Roman"/>
          <w:color w:val="auto"/>
          <w:highlight w:val="none"/>
        </w:rPr>
        <w:t xml:space="preserve">本授权书声明：____________（投标人名称）授权________________（被授权人的姓名）为我方就</w:t>
      </w:r>
      <w:r>
        <w:rPr>
          <w:rFonts w:hint="eastAsia" w:ascii="宋体" w:hAnsi="宋体" w:eastAsia="宋体" w:cs="宋体"/>
          <w:color w:val="auto"/>
          <w:highlight w:val="none"/>
          <w:u w:val="single"/>
          <w:lang w:eastAsia="zh-CN"/>
        </w:rPr>
        <w:t xml:space="preserve">JSZC-320900-JZCG-G2026-0084</w:t>
      </w:r>
      <w:r>
        <w:rPr>
          <w:rFonts w:hint="eastAsia" w:ascii="Times New Roman" w:hAnsi="Times New Roman"/>
          <w:color w:val="auto"/>
          <w:highlight w:val="none"/>
        </w:rPr>
        <w:t xml:space="preserve">号项目采购活动的合法代理人，以本单位名义全权处理一切与该项目采购有关的事务。</w:t>
      </w:r>
      <w:r/>
    </w:p>
    <w:p>
      <w:pPr>
        <w:pStyle w:val="730"/>
        <w:ind w:firstLine="480"/>
        <w:jc w:val="both"/>
        <w:keepLines w:val="0"/>
        <w:keepNext w:val="0"/>
        <w:pageBreakBefore w:val="0"/>
        <w:spacing w:beforeAutospacing="0" w:afterAutospacing="0" w:line="560" w:lineRule="exact"/>
        <w:widowControl w:val="off"/>
        <w:tabs>
          <w:tab w:val="left" w:pos="360" w:leader="none"/>
        </w:tabs>
        <w:rPr>
          <w:color w:val="auto"/>
          <w:highlight w:val="none"/>
        </w:rPr>
      </w:pPr>
      <w:r>
        <w:rPr>
          <w:rFonts w:hint="eastAsia" w:ascii="Times New Roman" w:hAnsi="Times New Roman"/>
          <w:color w:val="auto"/>
          <w:highlight w:val="none"/>
        </w:rPr>
        <w:t xml:space="preserve">本授权书于______年____月____日起生效，特此声明。</w:t>
      </w:r>
      <w:r/>
    </w:p>
    <w:p>
      <w:pPr>
        <w:pStyle w:val="730"/>
        <w:ind w:firstLine="480"/>
        <w:jc w:val="both"/>
        <w:keepLines w:val="0"/>
        <w:keepNext w:val="0"/>
        <w:pageBreakBefore w:val="0"/>
        <w:spacing w:beforeAutospacing="0" w:afterAutospacing="0" w:line="560" w:lineRule="exact"/>
        <w:widowControl w:val="off"/>
        <w:tabs>
          <w:tab w:val="left" w:pos="360" w:leader="none"/>
        </w:tabs>
        <w:rPr>
          <w:rFonts w:hint="default" w:eastAsiaTheme="minorEastAsia"/>
          <w:color w:val="auto"/>
          <w:highlight w:val="none"/>
          <w:u w:val="single"/>
          <w:lang w:val="en-US" w:eastAsia="zh-CN"/>
        </w:rPr>
      </w:pPr>
      <w:r>
        <w:rPr>
          <w:rFonts w:hint="eastAsia" w:ascii="Times New Roman" w:hAnsi="Times New Roman"/>
          <w:color w:val="auto"/>
          <w:highlight w:val="none"/>
        </w:rPr>
        <w:t xml:space="preserve">被授权人身份证号码：</w:t>
      </w:r>
      <w:r>
        <w:rPr>
          <w:rFonts w:hint="eastAsia" w:ascii="Times New Roman" w:hAnsi="Times New Roman"/>
          <w:color w:val="auto"/>
          <w:highlight w:val="none"/>
          <w:u w:val="single"/>
          <w:lang w:val="en-US" w:eastAsia="zh-CN"/>
        </w:rPr>
        <w:t xml:space="preserve">                  </w:t>
      </w:r>
      <w:r/>
    </w:p>
    <w:p>
      <w:pPr>
        <w:pStyle w:val="730"/>
        <w:ind w:firstLine="480"/>
        <w:jc w:val="both"/>
        <w:keepLines w:val="0"/>
        <w:keepNext w:val="0"/>
        <w:pageBreakBefore w:val="0"/>
        <w:spacing w:beforeAutospacing="0" w:afterAutospacing="0" w:line="560" w:lineRule="exact"/>
        <w:widowControl w:val="off"/>
        <w:tabs>
          <w:tab w:val="left" w:pos="360" w:leader="none"/>
        </w:tabs>
        <w:rPr>
          <w:rFonts w:hint="default" w:eastAsiaTheme="minorEastAsia"/>
          <w:color w:val="auto"/>
          <w:highlight w:val="none"/>
          <w:u w:val="single"/>
          <w:lang w:val="en-US" w:eastAsia="zh-CN"/>
        </w:rPr>
      </w:pPr>
      <w:r>
        <w:rPr>
          <w:rFonts w:hint="eastAsia" w:ascii="Times New Roman" w:hAnsi="Times New Roman"/>
          <w:color w:val="auto"/>
          <w:highlight w:val="none"/>
        </w:rPr>
        <w:t xml:space="preserve">被授权人联系电话：</w:t>
      </w:r>
      <w:r>
        <w:rPr>
          <w:rFonts w:hint="eastAsia" w:ascii="Times New Roman" w:hAnsi="Times New Roman"/>
          <w:color w:val="auto"/>
          <w:highlight w:val="none"/>
          <w:u w:val="single"/>
        </w:rPr>
        <w:t xml:space="preserve">（手机）</w:t>
      </w:r>
      <w:r>
        <w:rPr>
          <w:rFonts w:hint="eastAsia" w:ascii="Times New Roman" w:hAnsi="Times New Roman"/>
          <w:color w:val="auto"/>
          <w:highlight w:val="none"/>
          <w:u w:val="single"/>
          <w:lang w:val="en-US" w:eastAsia="zh-CN"/>
        </w:rPr>
        <w:t xml:space="preserve">             </w:t>
      </w:r>
      <w:r/>
    </w:p>
    <w:p>
      <w:pPr>
        <w:pStyle w:val="730"/>
        <w:ind w:firstLine="480"/>
        <w:jc w:val="both"/>
        <w:keepLines w:val="0"/>
        <w:keepNext w:val="0"/>
        <w:pageBreakBefore w:val="0"/>
        <w:spacing w:beforeAutospacing="0" w:afterAutospacing="0" w:line="560" w:lineRule="exact"/>
        <w:widowControl w:val="off"/>
        <w:tabs>
          <w:tab w:val="left" w:pos="360" w:leader="none"/>
        </w:tabs>
        <w:rPr>
          <w:rFonts w:hint="default" w:eastAsiaTheme="minorEastAsia"/>
          <w:color w:val="auto"/>
          <w:highlight w:val="none"/>
          <w:lang w:val="en-US" w:eastAsia="zh-CN"/>
        </w:rPr>
      </w:pPr>
      <w:r>
        <w:rPr>
          <w:rFonts w:hint="eastAsia" w:ascii="Times New Roman" w:hAnsi="Times New Roman"/>
          <w:color w:val="auto"/>
          <w:highlight w:val="none"/>
        </w:rPr>
        <w:t xml:space="preserve">授权单位名称：</w:t>
      </w:r>
      <w:r>
        <w:rPr>
          <w:rFonts w:hint="eastAsia" w:ascii="Times New Roman" w:hAnsi="Times New Roman"/>
          <w:color w:val="auto"/>
          <w:highlight w:val="none"/>
          <w:u w:val="single"/>
        </w:rPr>
        <w:t xml:space="preserve">（加盖CA电子公章）</w:t>
      </w:r>
      <w:r>
        <w:rPr>
          <w:rFonts w:hint="eastAsia" w:ascii="Times New Roman" w:hAnsi="Times New Roman"/>
          <w:color w:val="auto"/>
          <w:highlight w:val="none"/>
          <w:u w:val="single"/>
          <w:lang w:val="en-US" w:eastAsia="zh-CN"/>
        </w:rPr>
        <w:t xml:space="preserve">     </w:t>
      </w:r>
      <w:r/>
    </w:p>
    <w:p>
      <w:pPr>
        <w:pStyle w:val="730"/>
        <w:ind w:firstLine="480"/>
        <w:jc w:val="both"/>
        <w:keepLines w:val="0"/>
        <w:keepNext w:val="0"/>
        <w:pageBreakBefore w:val="0"/>
        <w:spacing w:beforeAutospacing="0" w:afterAutospacing="0" w:line="560" w:lineRule="exact"/>
        <w:widowControl w:val="off"/>
        <w:tabs>
          <w:tab w:val="left" w:pos="360" w:leader="none"/>
        </w:tabs>
        <w:rPr>
          <w:rFonts w:hint="default" w:eastAsiaTheme="minorEastAsia"/>
          <w:color w:val="auto"/>
          <w:highlight w:val="none"/>
          <w:u w:val="single"/>
          <w:lang w:val="en-US" w:eastAsia="zh-CN"/>
        </w:rPr>
      </w:pPr>
      <w:r>
        <w:rPr>
          <w:rFonts w:hint="eastAsia" w:ascii="Times New Roman" w:hAnsi="Times New Roman"/>
          <w:color w:val="auto"/>
          <w:highlight w:val="none"/>
        </w:rPr>
        <w:t xml:space="preserve">单位地址：</w:t>
      </w:r>
      <w:r>
        <w:rPr>
          <w:rFonts w:hint="eastAsia" w:ascii="Times New Roman" w:hAnsi="Times New Roman"/>
          <w:color w:val="auto"/>
          <w:highlight w:val="none"/>
          <w:u w:val="single"/>
          <w:lang w:val="en-US" w:eastAsia="zh-CN"/>
        </w:rPr>
        <w:t xml:space="preserve">                             </w:t>
      </w:r>
      <w:r/>
    </w:p>
    <w:p>
      <w:pPr>
        <w:pStyle w:val="730"/>
        <w:ind w:firstLine="480"/>
        <w:jc w:val="both"/>
        <w:keepLines w:val="0"/>
        <w:keepNext w:val="0"/>
        <w:pageBreakBefore w:val="0"/>
        <w:spacing w:beforeAutospacing="0" w:afterAutospacing="0" w:line="560" w:lineRule="exact"/>
        <w:widowControl w:val="off"/>
        <w:tabs>
          <w:tab w:val="left" w:pos="360" w:leader="none"/>
        </w:tabs>
        <w:rPr>
          <w:rFonts w:hint="default" w:eastAsiaTheme="minorEastAsia"/>
          <w:color w:val="auto"/>
          <w:highlight w:val="none"/>
          <w:lang w:val="en-US" w:eastAsia="zh-CN"/>
        </w:rPr>
      </w:pPr>
      <w:r>
        <w:rPr>
          <w:rFonts w:hint="eastAsia" w:ascii="Times New Roman" w:hAnsi="Times New Roman"/>
          <w:color w:val="auto"/>
          <w:highlight w:val="none"/>
        </w:rPr>
        <w:t xml:space="preserve">日期：</w:t>
      </w:r>
      <w:bookmarkStart w:id="192" w:name="_Hlt26955070"/>
      <w:r/>
      <w:bookmarkStart w:id="193" w:name="_Hlt26671380"/>
      <w:r/>
      <w:bookmarkStart w:id="194" w:name="_格式3__银行出具的资信证明"/>
      <w:r>
        <w:rPr>
          <w:rFonts w:hint="eastAsia" w:ascii="Times New Roman" w:hAnsi="Times New Roman"/>
          <w:color w:val="auto"/>
          <w:highlight w:val="none"/>
          <w:u w:val="single"/>
          <w:lang w:val="en-US" w:eastAsia="zh-CN"/>
        </w:rPr>
        <w:t xml:space="preserve">                                 </w:t>
      </w:r>
      <w:r>
        <w:rPr>
          <w:rFonts w:hint="eastAsia" w:ascii="Times New Roman" w:hAnsi="Times New Roman"/>
          <w:color w:val="auto"/>
          <w:highlight w:val="none"/>
          <w:lang w:val="en-US" w:eastAsia="zh-CN"/>
        </w:rPr>
        <w:t xml:space="preserve">         </w:t>
      </w:r>
      <w:r/>
    </w:p>
    <w:p>
      <w:pPr>
        <w:pStyle w:val="730"/>
        <w:ind w:firstLine="0"/>
        <w:jc w:val="both"/>
        <w:keepLines w:val="0"/>
        <w:keepNext w:val="0"/>
        <w:pageBreakBefore w:val="0"/>
        <w:spacing w:beforeAutospacing="0" w:afterAutospacing="0" w:line="500" w:lineRule="exact"/>
        <w:widowControl w:val="off"/>
        <w:rPr>
          <w:color w:val="auto"/>
          <w:highlight w:val="none"/>
        </w:rPr>
      </w:pPr>
      <w:r>
        <w:rPr>
          <w:color w:val="auto"/>
          <w:highlight w:val="none"/>
        </w:rPr>
      </w:r>
      <w:r/>
    </w:p>
    <w:p>
      <w:pPr>
        <w:pStyle w:val="730"/>
        <w:ind w:firstLine="0"/>
        <w:jc w:val="both"/>
        <w:keepLines w:val="0"/>
        <w:keepNext w:val="0"/>
        <w:pageBreakBefore w:val="0"/>
        <w:spacing w:beforeAutospacing="0" w:afterAutospacing="0" w:line="520" w:lineRule="exact"/>
        <w:widowControl w:val="off"/>
        <w:rPr>
          <w:color w:val="auto"/>
          <w:highlight w:val="none"/>
        </w:rPr>
      </w:pPr>
      <w:r>
        <w:rPr>
          <w:color w:val="auto"/>
          <w:highlight w:val="none"/>
        </w:rPr>
      </w:r>
      <w:r/>
    </w:p>
    <w:p>
      <w:pPr>
        <w:pStyle w:val="730"/>
        <w:ind w:firstLine="0"/>
        <w:jc w:val="both"/>
        <w:keepLines w:val="0"/>
        <w:keepNext w:val="0"/>
        <w:pageBreakBefore w:val="0"/>
        <w:spacing w:beforeAutospacing="0" w:afterAutospacing="0" w:line="520" w:lineRule="exact"/>
        <w:widowControl w:val="off"/>
        <w:rPr>
          <w:color w:val="auto"/>
          <w:highlight w:val="none"/>
          <w:shd w:val="clear" w:color="auto" w:fill="auto"/>
        </w:rPr>
      </w:pPr>
      <w:r>
        <w:rPr>
          <w:color w:val="auto"/>
          <w:highlight w:val="none"/>
          <w:shd w:val="clear" w:color="auto" w:fill="auto"/>
        </w:rPr>
      </w:r>
      <w:r/>
    </w:p>
    <w:p>
      <w:pPr>
        <w:keepLines w:val="0"/>
        <w:keepNext w:val="0"/>
        <w:pageBreakBefore w:val="0"/>
        <w:widowControl w:val="off"/>
        <w:rPr>
          <w:rFonts w:hint="eastAsia" w:ascii="黑体" w:hAnsi="宋体" w:eastAsia="黑体" w:cs="黑体"/>
          <w:b w:val="0"/>
          <w:bCs/>
          <w:i/>
          <w:color w:val="auto"/>
          <w:sz w:val="32"/>
          <w:szCs w:val="32"/>
          <w:highlight w:val="none"/>
          <w:u w:val="single"/>
        </w:rPr>
      </w:pPr>
      <w:r>
        <w:rPr>
          <w:rFonts w:hint="eastAsia" w:ascii="黑体" w:hAnsi="宋体" w:eastAsia="黑体" w:cs="黑体"/>
          <w:b w:val="0"/>
          <w:bCs/>
          <w:i/>
          <w:color w:val="auto"/>
          <w:sz w:val="32"/>
          <w:szCs w:val="32"/>
          <w:highlight w:val="none"/>
          <w:u w:val="single"/>
        </w:rPr>
        <w:br w:type="page" w:clear="all"/>
      </w:r>
      <w:r/>
    </w:p>
    <w:p>
      <w:pPr>
        <w:pStyle w:val="730"/>
        <w:jc w:val="center"/>
        <w:keepLines w:val="0"/>
        <w:keepNext w:val="0"/>
        <w:pageBreakBefore w:val="0"/>
        <w:spacing w:before="260" w:beforeAutospacing="0" w:after="260" w:afterAutospacing="0" w:line="415" w:lineRule="auto"/>
        <w:widowControl w:val="off"/>
        <w:rPr>
          <w:b w:val="0"/>
          <w:bCs/>
          <w:color w:val="auto"/>
          <w:highlight w:val="none"/>
        </w:rPr>
      </w:pPr>
      <w:r>
        <w:rPr>
          <w:rFonts w:hint="eastAsia" w:ascii="黑体" w:hAnsi="宋体" w:eastAsia="黑体" w:cs="黑体"/>
          <w:b w:val="0"/>
          <w:bCs/>
          <w:i/>
          <w:color w:val="auto"/>
          <w:sz w:val="32"/>
          <w:szCs w:val="32"/>
          <w:highlight w:val="none"/>
          <w:u w:val="single"/>
        </w:rPr>
        <w:t xml:space="preserve">八、投标函</w:t>
      </w:r>
      <w:r/>
    </w:p>
    <w:p>
      <w:pPr>
        <w:pStyle w:val="730"/>
        <w:ind w:left="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致：盐城市政府采购中心</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lang w:eastAsia="zh-CN"/>
        </w:rPr>
        <w:t xml:space="preserve">JSZC-320900-JZCG-G2026-0084</w:t>
      </w:r>
      <w:r>
        <w:rPr>
          <w:rFonts w:hint="eastAsia" w:ascii="宋体" w:hAnsi="宋体" w:eastAsia="宋体" w:cs="宋体"/>
          <w:color w:val="auto"/>
          <w:highlight w:val="none"/>
        </w:rPr>
        <w:t xml:space="preserve">号招标文件，正式授权下述签字人_________________</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姓名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代表我方______________（投标人的名称），全权处理本次项目投标的有关事宜。</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据此函，__________签字人兹宣布同意如下：</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6.一旦我方中标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我方将根据招标文件的规定，严格履行合同的责任和义务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并保证在招标文件规定的时</w:t>
      </w:r>
      <w:r>
        <w:rPr>
          <w:rFonts w:hint="eastAsia" w:ascii="宋体" w:hAnsi="宋体" w:eastAsia="宋体" w:cs="宋体"/>
          <w:color w:val="auto"/>
          <w:highlight w:val="none"/>
          <w:lang w:eastAsia="zh-CN"/>
        </w:rPr>
        <w:t xml:space="preserve">间内</w:t>
      </w:r>
      <w:r>
        <w:rPr>
          <w:rFonts w:hint="eastAsia" w:ascii="宋体" w:hAnsi="宋体" w:eastAsia="宋体" w:cs="宋体"/>
          <w:color w:val="auto"/>
          <w:highlight w:val="none"/>
        </w:rPr>
        <w:t xml:space="preserve">完成项目，交付买方验收、使用。</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7.与本投标有关的正式通讯地址为：</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地</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址：</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邮</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编：</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电</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话：</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真：</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投标人开户行：</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账</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号：</w:t>
      </w:r>
      <w:r/>
    </w:p>
    <w:p>
      <w:pPr>
        <w:pStyle w:val="730"/>
        <w:ind w:left="0" w:firstLine="480"/>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期：________年____月____日</w:t>
      </w:r>
      <w:r/>
    </w:p>
    <w:p>
      <w:pPr>
        <w:pStyle w:val="730"/>
        <w:ind w:firstLine="240"/>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jc w:val="both"/>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ind w:firstLine="240"/>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jc w:val="center"/>
        <w:keepLines w:val="0"/>
        <w:keepNext w:val="0"/>
        <w:pageBreakBefore w:val="0"/>
        <w:spacing w:before="260" w:beforeAutospacing="0" w:after="260" w:afterAutospacing="0" w:line="500" w:lineRule="exact"/>
        <w:widowControl w:val="off"/>
        <w:rPr>
          <w:rFonts w:hint="eastAsia" w:ascii="黑体" w:hAnsi="宋体" w:eastAsia="黑体" w:cs="黑体"/>
          <w:b w:val="0"/>
          <w:bCs/>
          <w:i/>
          <w:color w:val="auto"/>
          <w:sz w:val="32"/>
          <w:szCs w:val="32"/>
          <w:highlight w:val="none"/>
          <w:u w:val="single"/>
        </w:rPr>
      </w:pPr>
      <w:r>
        <w:rPr>
          <w:rFonts w:hint="eastAsia" w:ascii="黑体" w:hAnsi="宋体" w:eastAsia="黑体" w:cs="黑体"/>
          <w:b w:val="0"/>
          <w:bCs/>
          <w:i/>
          <w:color w:val="auto"/>
          <w:sz w:val="32"/>
          <w:szCs w:val="32"/>
          <w:highlight w:val="none"/>
          <w:u w:val="single"/>
        </w:rPr>
        <w:t xml:space="preserve">九、</w:t>
      </w:r>
      <w:r>
        <w:rPr>
          <w:rFonts w:hint="eastAsia" w:ascii="黑体" w:hAnsi="宋体" w:eastAsia="黑体" w:cs="黑体"/>
          <w:b w:val="0"/>
          <w:bCs/>
          <w:i/>
          <w:color w:val="auto"/>
          <w:sz w:val="32"/>
          <w:szCs w:val="32"/>
          <w:highlight w:val="none"/>
          <w:u w:val="single"/>
          <w:lang w:val="en-US" w:eastAsia="zh-CN"/>
        </w:rPr>
        <w:t xml:space="preserve">中小</w:t>
      </w:r>
      <w:r>
        <w:rPr>
          <w:rFonts w:hint="eastAsia" w:ascii="黑体" w:hAnsi="宋体" w:eastAsia="黑体" w:cs="黑体"/>
          <w:b w:val="0"/>
          <w:bCs/>
          <w:i/>
          <w:color w:val="auto"/>
          <w:sz w:val="32"/>
          <w:szCs w:val="32"/>
          <w:highlight w:val="none"/>
          <w:u w:val="single"/>
        </w:rPr>
        <w:t xml:space="preserve">企业声明函（</w:t>
      </w:r>
      <w:r>
        <w:rPr>
          <w:rFonts w:hint="eastAsia" w:ascii="黑体" w:hAnsi="宋体" w:eastAsia="黑体" w:cs="黑体"/>
          <w:b w:val="0"/>
          <w:bCs/>
          <w:i/>
          <w:color w:val="auto"/>
          <w:sz w:val="32"/>
          <w:szCs w:val="32"/>
          <w:highlight w:val="none"/>
          <w:u w:val="single"/>
          <w:lang w:val="en-US" w:eastAsia="zh-CN"/>
        </w:rPr>
        <w:t xml:space="preserve">货物</w:t>
      </w:r>
      <w:r>
        <w:rPr>
          <w:rFonts w:hint="eastAsia" w:ascii="黑体" w:hAnsi="宋体" w:eastAsia="黑体" w:cs="黑体"/>
          <w:b w:val="0"/>
          <w:bCs/>
          <w:i/>
          <w:color w:val="auto"/>
          <w:sz w:val="32"/>
          <w:szCs w:val="32"/>
          <w:highlight w:val="none"/>
          <w:u w:val="single"/>
        </w:rPr>
        <w:t xml:space="preserve">）（分包号：**）</w:t>
      </w:r>
      <w:r/>
    </w:p>
    <w:p>
      <w:pPr>
        <w:ind w:firstLine="480"/>
        <w:jc w:val="both"/>
        <w:keepLines w:val="0"/>
        <w:keepNext w:val="0"/>
        <w:pageBreakBefore w:val="0"/>
        <w:spacing w:line="5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财库</w:t>
      </w:r>
      <w:r>
        <w:rPr>
          <w:rFonts w:hint="eastAsia" w:ascii="宋体" w:hAnsi="宋体" w:eastAsia="宋体" w:cs="宋体"/>
          <w:color w:val="auto"/>
          <w:sz w:val="24"/>
          <w:highlight w:val="none"/>
          <w:lang w:eastAsia="zh-CN"/>
        </w:rPr>
        <w:t xml:space="preserve">〔2020〕46号）</w:t>
      </w:r>
      <w:r>
        <w:rPr>
          <w:rFonts w:hint="eastAsia" w:ascii="宋体" w:hAnsi="宋体" w:eastAsia="宋体" w:cs="宋体"/>
          <w:color w:val="auto"/>
          <w:sz w:val="24"/>
          <w:highlight w:val="none"/>
        </w:rPr>
        <w:t xml:space="preserve">的规定，本公司（联合体）参加盐城市政府采购中心组织的</w:t>
      </w:r>
      <w:r>
        <w:rPr>
          <w:rFonts w:hint="eastAsia" w:ascii="宋体" w:hAnsi="宋体" w:eastAsia="宋体" w:cs="宋体"/>
          <w:color w:val="auto"/>
          <w:sz w:val="24"/>
          <w:szCs w:val="24"/>
          <w:highlight w:val="none"/>
          <w:u w:val="single"/>
          <w:lang w:val="zh-CN"/>
        </w:rPr>
        <w:t xml:space="preserve">盐城市消防救援支队</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lang w:eastAsia="zh-CN"/>
        </w:rPr>
        <w:t xml:space="preserve">JSZC-320900-JZCG-G2026-0084</w:t>
      </w:r>
      <w:r>
        <w:rPr>
          <w:rFonts w:hint="eastAsia" w:ascii="宋体" w:hAnsi="宋体" w:eastAsia="宋体" w:cs="宋体"/>
          <w:color w:val="auto"/>
          <w:sz w:val="24"/>
          <w:highlight w:val="none"/>
        </w:rPr>
        <w:t xml:space="preserve">的</w:t>
      </w:r>
      <w:r>
        <w:rPr>
          <w:rFonts w:hint="eastAsia" w:ascii="宋体" w:hAnsi="宋体" w:eastAsia="宋体" w:cs="宋体"/>
          <w:color w:val="auto"/>
          <w:sz w:val="24"/>
          <w:szCs w:val="24"/>
          <w:highlight w:val="none"/>
          <w:u w:val="single"/>
          <w:lang w:val="zh-CN"/>
        </w:rPr>
        <w:t xml:space="preserve">江苏省消防救援总队盐城支队2026年度目录外器材装备采购项目（第二批）</w:t>
      </w:r>
      <w:r>
        <w:rPr>
          <w:rFonts w:hint="eastAsia" w:ascii="宋体" w:hAnsi="宋体" w:eastAsia="宋体" w:cs="宋体"/>
          <w:color w:val="auto"/>
          <w:sz w:val="24"/>
          <w:szCs w:val="32"/>
          <w:highlight w:val="none"/>
          <w:u w:val="single"/>
        </w:rPr>
        <w:t xml:space="preserve">（分包号：**）</w:t>
      </w:r>
      <w:r>
        <w:rPr>
          <w:rFonts w:hint="eastAsia" w:ascii="宋体" w:hAnsi="宋体" w:eastAsia="宋体" w:cs="宋体"/>
          <w:color w:val="auto"/>
          <w:sz w:val="24"/>
          <w:highlight w:val="none"/>
        </w:rPr>
        <w:t xml:space="preserve">的采购活动，提供的货物全部由符合政策要求的</w:t>
      </w:r>
      <w:r>
        <w:rPr>
          <w:rFonts w:hint="eastAsia" w:ascii="宋体" w:hAnsi="宋体" w:eastAsia="宋体" w:cs="宋体"/>
          <w:color w:val="auto"/>
          <w:sz w:val="24"/>
          <w:highlight w:val="none"/>
          <w:lang w:val="en-US" w:eastAsia="zh-CN"/>
        </w:rPr>
        <w:t xml:space="preserve">中小</w:t>
      </w:r>
      <w:r>
        <w:rPr>
          <w:rFonts w:hint="eastAsia" w:ascii="宋体" w:hAnsi="宋体" w:eastAsia="宋体" w:cs="宋体"/>
          <w:color w:val="auto"/>
          <w:sz w:val="24"/>
          <w:highlight w:val="none"/>
        </w:rPr>
        <w:t xml:space="preserve">企业制造。相关企业（含联合体中</w:t>
      </w:r>
      <w:r>
        <w:rPr>
          <w:rFonts w:hint="eastAsia" w:ascii="宋体" w:hAnsi="宋体" w:eastAsia="宋体" w:cs="宋体"/>
          <w:color w:val="auto"/>
          <w:sz w:val="24"/>
          <w:highlight w:val="none"/>
          <w:lang w:val="en-US" w:eastAsia="zh-CN"/>
        </w:rPr>
        <w:t xml:space="preserve">的中小</w:t>
      </w:r>
      <w:r>
        <w:rPr>
          <w:rFonts w:hint="eastAsia" w:ascii="宋体" w:hAnsi="宋体" w:eastAsia="宋体" w:cs="宋体"/>
          <w:color w:val="auto"/>
          <w:sz w:val="24"/>
          <w:highlight w:val="none"/>
        </w:rPr>
        <w:t xml:space="preserve">企业、签订分包意向协议的</w:t>
      </w:r>
      <w:r>
        <w:rPr>
          <w:rFonts w:hint="eastAsia" w:ascii="宋体" w:hAnsi="宋体" w:eastAsia="宋体" w:cs="宋体"/>
          <w:color w:val="auto"/>
          <w:sz w:val="24"/>
          <w:highlight w:val="none"/>
          <w:lang w:val="en-US" w:eastAsia="zh-CN"/>
        </w:rPr>
        <w:t xml:space="preserve">中</w:t>
      </w:r>
      <w:r>
        <w:rPr>
          <w:rFonts w:hint="eastAsia" w:ascii="宋体" w:hAnsi="宋体" w:eastAsia="宋体" w:cs="宋体"/>
          <w:color w:val="auto"/>
          <w:sz w:val="24"/>
          <w:highlight w:val="none"/>
        </w:rPr>
        <w:t xml:space="preserve">小企业）的具体情况如下：</w:t>
      </w:r>
      <w:r/>
    </w:p>
    <w:p>
      <w:pPr>
        <w:pStyle w:val="730"/>
        <w:ind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w:t>
      </w:r>
      <w:r>
        <w:rPr>
          <w:rFonts w:hint="eastAsia" w:ascii="宋体" w:hAnsi="宋体" w:eastAsia="宋体" w:cs="宋体"/>
          <w:i/>
          <w:iCs/>
          <w:color w:val="auto"/>
          <w:highlight w:val="none"/>
          <w:u w:val="single"/>
        </w:rPr>
        <w:t xml:space="preserve">标的名称</w:t>
      </w:r>
      <w:r>
        <w:rPr>
          <w:rFonts w:hint="eastAsia" w:ascii="宋体" w:hAnsi="宋体" w:eastAsia="宋体" w:cs="宋体"/>
          <w:color w:val="auto"/>
          <w:highlight w:val="none"/>
          <w:u w:val="single"/>
        </w:rPr>
        <w:t xml:space="preserve">）</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lang w:eastAsia="zh-CN"/>
        </w:rPr>
        <w:t xml:space="preserve">（</w:t>
      </w:r>
      <w:r>
        <w:rPr>
          <w:rFonts w:hint="eastAsia" w:ascii="宋体" w:hAnsi="宋体" w:eastAsia="宋体" w:cs="宋体"/>
          <w:i/>
          <w:iCs/>
          <w:color w:val="auto"/>
          <w:highlight w:val="none"/>
          <w:u w:val="single"/>
          <w:lang w:val="en-US" w:eastAsia="zh-CN"/>
        </w:rPr>
        <w:t xml:space="preserve">采购文件中明确的所属行业</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w:t>
      </w:r>
      <w:r>
        <w:rPr>
          <w:rFonts w:hint="eastAsia" w:ascii="宋体" w:hAnsi="宋体" w:eastAsia="宋体" w:cs="宋体"/>
          <w:i/>
          <w:iCs/>
          <w:color w:val="auto"/>
          <w:highlight w:val="none"/>
          <w:u w:val="single"/>
          <w:lang w:val="en-US" w:eastAsia="zh-CN"/>
        </w:rPr>
        <w:t xml:space="preserve">企业名称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，从业人员人，营业收入为万元，资产总额为万元，属于</w:t>
      </w:r>
      <w:r>
        <w:rPr>
          <w:rFonts w:hint="eastAsia" w:ascii="宋体" w:hAnsi="宋体" w:eastAsia="宋体" w:cs="宋体"/>
          <w:color w:val="auto"/>
          <w:highlight w:val="none"/>
          <w:u w:val="single"/>
        </w:rPr>
        <w:t xml:space="preserve">（</w:t>
      </w:r>
      <w:r>
        <w:rPr>
          <w:rFonts w:hint="eastAsia" w:ascii="宋体" w:hAnsi="宋体" w:eastAsia="宋体" w:cs="宋体"/>
          <w:i/>
          <w:iCs/>
          <w:color w:val="auto"/>
          <w:highlight w:val="none"/>
          <w:u w:val="single"/>
          <w:lang w:val="en-US" w:eastAsia="zh-CN"/>
        </w:rPr>
        <w:t xml:space="preserve">中型企业、小型企业、微型企业</w:t>
      </w:r>
      <w:r>
        <w:rPr>
          <w:rFonts w:hint="eastAsia" w:ascii="宋体" w:hAnsi="宋体" w:eastAsia="宋体" w:cs="宋体"/>
          <w:color w:val="auto"/>
          <w:highlight w:val="none"/>
          <w:u w:val="single"/>
        </w:rPr>
        <w:t xml:space="preserve">）；</w:t>
      </w:r>
      <w:r/>
    </w:p>
    <w:p>
      <w:pPr>
        <w:pStyle w:val="730"/>
        <w:ind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w:t>
      </w:r>
      <w:r>
        <w:rPr>
          <w:rFonts w:hint="eastAsia" w:ascii="宋体" w:hAnsi="宋体" w:eastAsia="宋体" w:cs="宋体"/>
          <w:i/>
          <w:iCs/>
          <w:color w:val="auto"/>
          <w:highlight w:val="none"/>
          <w:u w:val="single"/>
          <w:lang w:val="en-US" w:eastAsia="zh-CN"/>
        </w:rPr>
        <w:t xml:space="preserve">标的名称</w:t>
      </w:r>
      <w:r>
        <w:rPr>
          <w:rFonts w:hint="eastAsia" w:ascii="宋体" w:hAnsi="宋体" w:eastAsia="宋体" w:cs="宋体"/>
          <w:color w:val="auto"/>
          <w:highlight w:val="none"/>
          <w:u w:val="single"/>
        </w:rPr>
        <w:t xml:space="preserve">）</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lang w:eastAsia="zh-CN"/>
        </w:rPr>
        <w:t xml:space="preserve">（</w:t>
      </w:r>
      <w:r>
        <w:rPr>
          <w:rFonts w:hint="eastAsia" w:ascii="宋体" w:hAnsi="宋体" w:eastAsia="宋体" w:cs="宋体"/>
          <w:i/>
          <w:iCs/>
          <w:color w:val="auto"/>
          <w:highlight w:val="none"/>
          <w:u w:val="single"/>
          <w:lang w:val="en-US" w:eastAsia="zh-CN"/>
        </w:rPr>
        <w:t xml:space="preserve">采购文件中明确的所属行业</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w:t>
      </w:r>
      <w:r>
        <w:rPr>
          <w:rFonts w:hint="eastAsia" w:ascii="宋体" w:hAnsi="宋体" w:eastAsia="宋体" w:cs="宋体"/>
          <w:i/>
          <w:iCs/>
          <w:color w:val="auto"/>
          <w:highlight w:val="none"/>
          <w:u w:val="single"/>
          <w:lang w:val="en-US" w:eastAsia="zh-CN"/>
        </w:rPr>
        <w:t xml:space="preserve">企业名称</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，从业人员人，营业收入为万元，资产总额为万元，属于</w:t>
      </w:r>
      <w:r>
        <w:rPr>
          <w:rFonts w:hint="eastAsia" w:ascii="宋体" w:hAnsi="宋体" w:eastAsia="宋体" w:cs="宋体"/>
          <w:color w:val="auto"/>
          <w:highlight w:val="none"/>
          <w:u w:val="single"/>
        </w:rPr>
        <w:t xml:space="preserve">（</w:t>
      </w:r>
      <w:r>
        <w:rPr>
          <w:rFonts w:hint="eastAsia" w:ascii="宋体" w:hAnsi="宋体" w:eastAsia="宋体" w:cs="宋体"/>
          <w:i/>
          <w:iCs/>
          <w:color w:val="auto"/>
          <w:highlight w:val="none"/>
          <w:u w:val="single"/>
          <w:lang w:val="en-US" w:eastAsia="zh-CN"/>
        </w:rPr>
        <w:t xml:space="preserve">中型企业、小型企业、微型企业）</w:t>
      </w:r>
      <w:r>
        <w:rPr>
          <w:rFonts w:hint="eastAsia" w:ascii="宋体" w:hAnsi="宋体" w:eastAsia="宋体" w:cs="宋体"/>
          <w:color w:val="auto"/>
          <w:highlight w:val="none"/>
          <w:u w:val="single"/>
        </w:rPr>
        <w:t xml:space="preserve">；</w:t>
      </w:r>
      <w:r/>
    </w:p>
    <w:p>
      <w:pPr>
        <w:pStyle w:val="730"/>
        <w:ind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30"/>
        <w:ind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730"/>
        <w:ind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730"/>
        <w:ind w:right="72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0"/>
        <w:ind w:right="180" w:firstLine="360"/>
        <w:jc w:val="righ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730"/>
        <w:ind w:right="480" w:firstLine="540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pStyle w:val="730"/>
        <w:ind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0"/>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730"/>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备注2：供应商如不提供此声明函，价格将不做相应扣除（如项目全面面向中小企业，则资格审查不通过）。</w:t>
      </w:r>
      <w:r/>
    </w:p>
    <w:p>
      <w:pPr>
        <w:pStyle w:val="730"/>
        <w:jc w:val="center"/>
        <w:keepLines w:val="0"/>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30"/>
        <w:jc w:val="center"/>
        <w:keepLines w:val="0"/>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30"/>
        <w:jc w:val="center"/>
        <w:keepLines w:val="0"/>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30"/>
        <w:jc w:val="both"/>
        <w:keepLines w:val="0"/>
        <w:keepNext w:val="0"/>
        <w:pageBreakBefore w:val="0"/>
        <w:spacing w:beforeAutospacing="0" w:afterAutospacing="0" w:line="0" w:lineRule="atLeast"/>
        <w:widowControl w:val="off"/>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730"/>
        <w:ind w:right="0"/>
        <w:jc w:val="center"/>
        <w:keepLines w:val="0"/>
        <w:keepNext w:val="0"/>
        <w:pageBreakBefore w:val="0"/>
        <w:spacing w:beforeAutospacing="0" w:afterAutospacing="0" w:line="500" w:lineRule="exact"/>
        <w:widowControl w:val="off"/>
        <w:rPr>
          <w:b w:val="0"/>
          <w:bCs/>
          <w:i/>
          <w:iCs/>
          <w:color w:val="auto"/>
          <w:highlight w:val="none"/>
          <w:u w:val="single"/>
        </w:rPr>
      </w:pPr>
      <w:r>
        <w:rPr>
          <w:rFonts w:hint="eastAsia" w:ascii="黑体" w:hAnsi="宋体" w:eastAsia="黑体" w:cs="黑体"/>
          <w:b w:val="0"/>
          <w:bCs/>
          <w:i/>
          <w:iCs/>
          <w:color w:val="auto"/>
          <w:sz w:val="32"/>
          <w:szCs w:val="32"/>
          <w:highlight w:val="none"/>
          <w:u w:val="single"/>
        </w:rPr>
        <w:t xml:space="preserve">十、残疾人福利性单位声明函（分包号：**）</w:t>
      </w:r>
      <w:r/>
    </w:p>
    <w:p>
      <w:pPr>
        <w:pStyle w:val="730"/>
        <w:ind w:righ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本单位郑重声明，根据《财政部民政部中国残疾人联合会关于促进残疾人就业政府采购政策的通知》（财库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w:t>
      </w:r>
      <w:r>
        <w:rPr>
          <w:rFonts w:hint="eastAsia" w:ascii="宋体" w:hAnsi="宋体" w:eastAsia="宋体" w:cs="宋体"/>
          <w:color w:val="auto"/>
          <w:sz w:val="24"/>
          <w:szCs w:val="24"/>
          <w:highlight w:val="none"/>
          <w:u w:val="single"/>
          <w:lang w:val="zh-CN"/>
        </w:rPr>
        <w:t xml:space="preserve">盐城市消防救援支队</w:t>
      </w:r>
      <w:r>
        <w:rPr>
          <w:rFonts w:hint="eastAsia" w:ascii="宋体" w:hAnsi="宋体" w:eastAsia="宋体" w:cs="宋体"/>
          <w:color w:val="auto"/>
          <w:highlight w:val="none"/>
        </w:rPr>
        <w:t xml:space="preserve">单位的采购文件编号为</w:t>
      </w:r>
      <w:r>
        <w:rPr>
          <w:rFonts w:hint="eastAsia" w:ascii="宋体" w:hAnsi="宋体" w:eastAsia="宋体" w:cs="宋体"/>
          <w:color w:val="auto"/>
          <w:sz w:val="24"/>
          <w:szCs w:val="32"/>
          <w:highlight w:val="none"/>
          <w:u w:val="single"/>
          <w:lang w:eastAsia="zh-CN"/>
        </w:rPr>
        <w:t xml:space="preserve">JSZC-320900-JZCG-G2026-0084</w:t>
      </w:r>
      <w:r>
        <w:rPr>
          <w:rFonts w:hint="eastAsia" w:ascii="宋体" w:hAnsi="宋体" w:eastAsia="宋体" w:cs="宋体"/>
          <w:color w:val="auto"/>
          <w:highlight w:val="none"/>
        </w:rPr>
        <w:t xml:space="preserve">的</w:t>
      </w:r>
      <w:r>
        <w:rPr>
          <w:rFonts w:hint="eastAsia" w:ascii="宋体" w:hAnsi="宋体" w:eastAsia="宋体" w:cs="宋体"/>
          <w:color w:val="auto"/>
          <w:sz w:val="24"/>
          <w:szCs w:val="24"/>
          <w:highlight w:val="none"/>
          <w:u w:val="single"/>
          <w:lang w:val="zh-CN"/>
        </w:rPr>
        <w:t xml:space="preserve">江苏省消防救援总队盐城支队2026年度目录外器材装备采购项目（第二批）</w:t>
      </w:r>
      <w:r>
        <w:rPr>
          <w:rFonts w:hint="eastAsia" w:ascii="宋体" w:hAnsi="宋体" w:eastAsia="宋体" w:cs="宋体"/>
          <w:color w:val="auto"/>
          <w:highlight w:val="none"/>
          <w:u w:val="single"/>
        </w:rPr>
        <w:t xml:space="preserve">（分包号：**）</w:t>
      </w:r>
      <w:r>
        <w:rPr>
          <w:rFonts w:hint="eastAsia" w:ascii="宋体" w:hAnsi="宋体" w:eastAsia="宋体" w:cs="宋体"/>
          <w:color w:val="auto"/>
          <w:highlight w:val="none"/>
        </w:rPr>
        <w:t xml:space="preserve">采购活动提供本单位制造的货物，或者提供其他残疾人福利性单位制造的货物（不包括使用非残疾人福利性单位注册商标的货物）。</w:t>
      </w:r>
      <w:r/>
    </w:p>
    <w:p>
      <w:pPr>
        <w:pStyle w:val="730"/>
        <w:ind w:righ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730"/>
        <w:ind w:right="0" w:firstLine="480"/>
        <w:jc w:val="both"/>
        <w:keepLines w:val="0"/>
        <w:keepNext w:val="0"/>
        <w:pageBreakBefore w:val="0"/>
        <w:spacing w:beforeAutospacing="0" w:afterAutospacing="0" w:line="500" w:lineRule="exact"/>
        <w:widowControl w:val="off"/>
        <w:rPr>
          <w:color w:val="auto"/>
          <w:highlight w:val="none"/>
        </w:rPr>
      </w:pPr>
      <w:r>
        <w:rPr>
          <w:color w:val="auto"/>
          <w:highlight w:val="none"/>
        </w:rPr>
      </w:r>
      <w:r/>
    </w:p>
    <w:p>
      <w:pPr>
        <w:pStyle w:val="730"/>
        <w:ind w:right="0" w:firstLine="48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730"/>
        <w:ind w:right="0" w:firstLine="624"/>
        <w:jc w:val="both"/>
        <w:keepLines w:val="0"/>
        <w:keepNext w:val="0"/>
        <w:pageBreakBefore w:val="0"/>
        <w:spacing w:beforeAutospacing="0" w:afterAutospacing="0" w:line="500" w:lineRule="exact"/>
        <w:widowControl w:val="off"/>
        <w:rPr>
          <w:color w:val="auto"/>
          <w:highlight w:val="none"/>
        </w:rPr>
      </w:pPr>
      <w:r>
        <w:rPr>
          <w:color w:val="auto"/>
          <w:highlight w:val="none"/>
        </w:rPr>
      </w:r>
      <w:r/>
    </w:p>
    <w:p>
      <w:pPr>
        <w:pStyle w:val="730"/>
        <w:ind w:right="0" w:firstLine="624"/>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供应商全称（加盖CA电子公章）：</w:t>
      </w:r>
      <w:r/>
    </w:p>
    <w:p>
      <w:pPr>
        <w:pStyle w:val="730"/>
        <w:ind w:right="0" w:firstLine="480"/>
        <w:jc w:val="center"/>
        <w:keepLines w:val="0"/>
        <w:keepNext w:val="0"/>
        <w:pageBreakBefore w:val="0"/>
        <w:spacing w:beforeAutospacing="0" w:afterAutospacing="0" w:line="500" w:lineRule="exact"/>
        <w:widowControl w:val="off"/>
        <w:tabs>
          <w:tab w:val="left" w:pos="4864" w:leader="none"/>
        </w:tabs>
        <w:rPr>
          <w:color w:val="auto"/>
          <w:highlight w:val="none"/>
        </w:rPr>
      </w:pPr>
      <w:r>
        <w:rPr>
          <w:rFonts w:hint="eastAsia" w:ascii="宋体" w:hAnsi="宋体" w:eastAsia="宋体" w:cs="宋体"/>
          <w:color w:val="auto"/>
          <w:highlight w:val="none"/>
        </w:rPr>
        <w:t xml:space="preserve">日期：</w:t>
      </w:r>
      <w:r/>
    </w:p>
    <w:p>
      <w:pPr>
        <w:pStyle w:val="730"/>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pStyle w:val="730"/>
        <w:jc w:val="center"/>
        <w:keepLines w:val="0"/>
        <w:keepNext w:val="0"/>
        <w:pageBreakBefore w:val="0"/>
        <w:spacing w:beforeAutospacing="0" w:afterAutospacing="0" w:line="0" w:lineRule="atLeast"/>
        <w:widowControl w:val="off"/>
        <w:rPr>
          <w:color w:val="auto"/>
          <w:highlight w:val="none"/>
        </w:rPr>
      </w:pPr>
      <w:r>
        <w:rPr>
          <w:color w:val="auto"/>
          <w:highlight w:val="none"/>
        </w:rPr>
      </w:r>
      <w:r/>
    </w:p>
    <w:p>
      <w:pPr>
        <w:keepLines w:val="0"/>
        <w:keepNext w:val="0"/>
        <w:pageBreakBefore w:val="0"/>
        <w:widowControl w:val="off"/>
        <w:rPr>
          <w:color w:val="auto"/>
          <w:spacing w:val="27"/>
          <w:sz w:val="39"/>
          <w:szCs w:val="39"/>
          <w:highlight w:val="none"/>
        </w:rPr>
      </w:pPr>
      <w:r>
        <w:rPr>
          <w:color w:val="auto"/>
          <w:spacing w:val="27"/>
          <w:sz w:val="39"/>
          <w:szCs w:val="39"/>
          <w:highlight w:val="none"/>
        </w:rPr>
        <w:br w:type="page" w:clear="all"/>
      </w:r>
      <w:r/>
    </w:p>
    <w:p>
      <w:pPr>
        <w:pStyle w:val="730"/>
        <w:ind w:left="0" w:right="0"/>
        <w:jc w:val="center"/>
        <w:keepLines w:val="0"/>
        <w:keepNext w:val="0"/>
        <w:pageBreakBefore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b w:val="0"/>
          <w:bCs w:val="0"/>
          <w:i/>
          <w:iCs/>
          <w:color w:val="auto"/>
          <w:sz w:val="32"/>
          <w:szCs w:val="32"/>
          <w:highlight w:val="none"/>
          <w:u w:val="single"/>
        </w:rPr>
        <w:t xml:space="preserve">十一、关于符合本国产品标准的声明函（</w:t>
      </w:r>
      <w:r>
        <w:rPr>
          <w:rFonts w:hint="eastAsia" w:ascii="黑体" w:hAnsi="宋体" w:eastAsia="黑体" w:cs="黑体"/>
          <w:b w:val="0"/>
          <w:bCs w:val="0"/>
          <w:i/>
          <w:iCs/>
          <w:color w:val="auto"/>
          <w:sz w:val="32"/>
          <w:szCs w:val="32"/>
          <w:highlight w:val="none"/>
          <w:u w:val="single"/>
          <w:lang w:val="en-US" w:eastAsia="zh-CN"/>
        </w:rPr>
        <w:t xml:space="preserve">分</w:t>
      </w:r>
      <w:r>
        <w:rPr>
          <w:rFonts w:hint="eastAsia" w:ascii="黑体" w:hAnsi="宋体" w:eastAsia="黑体" w:cs="黑体"/>
          <w:b w:val="0"/>
          <w:bCs w:val="0"/>
          <w:i/>
          <w:iCs/>
          <w:color w:val="auto"/>
          <w:sz w:val="32"/>
          <w:szCs w:val="32"/>
          <w:highlight w:val="none"/>
          <w:u w:val="single"/>
        </w:rPr>
        <w:t xml:space="preserve">包号：**）</w:t>
      </w:r>
      <w:r/>
    </w:p>
    <w:p>
      <w:pPr>
        <w:pStyle w:val="730"/>
        <w:ind w:left="0" w:firstLine="420"/>
        <w:jc w:val="both"/>
        <w:keepLines w:val="0"/>
        <w:keepNext w:val="0"/>
        <w:pageBreakBefore w:val="0"/>
        <w:spacing w:before="0" w:beforeAutospacing="0" w:after="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0"/>
        <w:ind w:left="0" w:firstLine="420"/>
        <w:jc w:val="both"/>
        <w:keepLines w:val="0"/>
        <w:keepNext w:val="0"/>
        <w:pageBreakBefore w:val="0"/>
        <w:spacing w:before="30" w:beforeAutospacing="0" w:after="3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hint="eastAsia"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hint="eastAsia" w:ascii="宋体" w:hAnsi="宋体" w:eastAsia="宋体" w:cs="宋体"/>
          <w:b/>
          <w:bCs/>
          <w:color w:val="auto"/>
          <w:sz w:val="24"/>
          <w:szCs w:val="24"/>
          <w:highlight w:val="none"/>
          <w:shd w:val="clear" w:color="auto" w:fill="ffffff"/>
        </w:rPr>
        <w:t xml:space="preserve">，生产厂为</w:t>
      </w:r>
      <w:r>
        <w:rPr>
          <w:rFonts w:hint="eastAsia"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hint="eastAsia" w:ascii="宋体" w:hAnsi="宋体" w:eastAsia="宋体" w:cs="宋体"/>
          <w:b/>
          <w:bCs/>
          <w:color w:val="auto"/>
          <w:sz w:val="24"/>
          <w:szCs w:val="24"/>
          <w:highlight w:val="none"/>
          <w:shd w:val="clear" w:color="auto" w:fill="ffffff"/>
        </w:rPr>
        <w:t xml:space="preserve">，厂址为</w:t>
      </w:r>
      <w:r>
        <w:rPr>
          <w:rFonts w:hint="eastAsia" w:ascii="宋体" w:hAnsi="宋体" w:eastAsia="宋体" w:cs="宋体"/>
          <w:b/>
          <w:bCs/>
          <w:color w:val="auto"/>
          <w:sz w:val="24"/>
          <w:szCs w:val="24"/>
          <w:highlight w:val="none"/>
          <w:u w:val="single"/>
          <w:shd w:val="clear" w:color="auto" w:fill="ffffff"/>
        </w:rPr>
        <w:t xml:space="preserve">（生产厂址）</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的中国境内生产的组件成本占比≥</w:t>
      </w:r>
      <w:r>
        <w:rPr>
          <w:rFonts w:hint="eastAsia"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hint="eastAsia" w:ascii="宋体" w:hAnsi="宋体" w:eastAsia="宋体" w:cs="宋体"/>
          <w:b/>
          <w:bCs/>
          <w:color w:val="auto"/>
          <w:sz w:val="24"/>
          <w:szCs w:val="24"/>
          <w:highlight w:val="none"/>
          <w:shd w:val="clear" w:color="auto" w:fill="ffffff"/>
        </w:rPr>
        <w:t xml:space="preserve">在中国境内生产。</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hint="eastAsia" w:ascii="宋体" w:hAnsi="宋体" w:eastAsia="宋体" w:cs="宋体"/>
          <w:b/>
          <w:bCs/>
          <w:color w:val="auto"/>
          <w:sz w:val="24"/>
          <w:szCs w:val="24"/>
          <w:highlight w:val="none"/>
          <w:shd w:val="clear" w:color="auto" w:fill="ffffff"/>
        </w:rPr>
        <w:t xml:space="preserve">在中国境内完成。</w:t>
      </w:r>
      <w:r/>
    </w:p>
    <w:p>
      <w:pPr>
        <w:pStyle w:val="730"/>
        <w:ind w:left="0" w:firstLine="420"/>
        <w:jc w:val="both"/>
        <w:keepLines w:val="0"/>
        <w:keepNext w:val="0"/>
        <w:pageBreakBefore w:val="0"/>
        <w:spacing w:before="30" w:beforeAutospacing="0" w:after="3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hint="eastAsia" w:ascii="宋体" w:hAnsi="宋体" w:eastAsia="宋体" w:cs="宋体"/>
          <w:b/>
          <w:bCs/>
          <w:color w:val="auto"/>
          <w:sz w:val="24"/>
          <w:szCs w:val="24"/>
          <w:highlight w:val="none"/>
          <w:u w:val="single"/>
          <w:shd w:val="clear" w:color="auto" w:fill="ffffff"/>
        </w:rPr>
        <w:t xml:space="preserve">（产品名称2）</w:t>
      </w:r>
      <w:r>
        <w:rPr>
          <w:rFonts w:hint="eastAsia" w:ascii="宋体" w:hAnsi="宋体" w:eastAsia="宋体" w:cs="宋体"/>
          <w:b/>
          <w:bCs/>
          <w:color w:val="auto"/>
          <w:sz w:val="24"/>
          <w:szCs w:val="24"/>
          <w:highlight w:val="none"/>
          <w:shd w:val="clear" w:color="auto" w:fill="ffffff"/>
        </w:rPr>
        <w:t xml:space="preserve">，生产厂为</w:t>
      </w:r>
      <w:r>
        <w:rPr>
          <w:rFonts w:hint="eastAsia" w:ascii="宋体" w:hAnsi="宋体" w:eastAsia="宋体" w:cs="宋体"/>
          <w:b/>
          <w:bCs/>
          <w:color w:val="auto"/>
          <w:sz w:val="24"/>
          <w:szCs w:val="24"/>
          <w:highlight w:val="none"/>
          <w:u w:val="single"/>
          <w:shd w:val="clear" w:color="auto" w:fill="ffffff"/>
        </w:rPr>
        <w:t xml:space="preserve">（厂名）</w:t>
      </w:r>
      <w:r>
        <w:rPr>
          <w:rFonts w:hint="eastAsia" w:ascii="宋体" w:hAnsi="宋体" w:eastAsia="宋体" w:cs="宋体"/>
          <w:b/>
          <w:bCs/>
          <w:color w:val="auto"/>
          <w:sz w:val="24"/>
          <w:szCs w:val="24"/>
          <w:highlight w:val="none"/>
          <w:shd w:val="clear" w:color="auto" w:fill="ffffff"/>
        </w:rPr>
        <w:t xml:space="preserve">，厂址为</w:t>
      </w:r>
      <w:r>
        <w:rPr>
          <w:rFonts w:hint="eastAsia" w:ascii="宋体" w:hAnsi="宋体" w:eastAsia="宋体" w:cs="宋体"/>
          <w:b/>
          <w:bCs/>
          <w:color w:val="auto"/>
          <w:sz w:val="24"/>
          <w:szCs w:val="24"/>
          <w:highlight w:val="none"/>
          <w:u w:val="single"/>
          <w:shd w:val="clear" w:color="auto" w:fill="ffffff"/>
        </w:rPr>
        <w:t xml:space="preserve">（生产厂址）</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（产品名称2）</w:t>
      </w:r>
      <w:r>
        <w:rPr>
          <w:rFonts w:hint="eastAsia" w:ascii="宋体" w:hAnsi="宋体" w:eastAsia="宋体" w:cs="宋体"/>
          <w:b/>
          <w:bCs/>
          <w:color w:val="auto"/>
          <w:sz w:val="24"/>
          <w:szCs w:val="24"/>
          <w:highlight w:val="none"/>
          <w:shd w:val="clear" w:color="auto" w:fill="ffffff"/>
        </w:rPr>
        <w:t xml:space="preserve">的中国境内生产的组件成本占比≥</w:t>
      </w:r>
      <w:r>
        <w:rPr>
          <w:rFonts w:hint="eastAsia" w:ascii="宋体" w:hAnsi="宋体" w:eastAsia="宋体" w:cs="宋体"/>
          <w:b/>
          <w:bCs/>
          <w:strike/>
          <w:color w:val="auto"/>
          <w:sz w:val="24"/>
          <w:szCs w:val="24"/>
          <w:highlight w:val="none"/>
          <w:u w:val="single"/>
          <w:shd w:val="clear" w:color="auto" w:fill="ffffff"/>
        </w:rPr>
        <w:t xml:space="preserve">（规定比例）</w:t>
      </w:r>
      <w:r>
        <w:rPr>
          <w:rFonts w:hint="eastAsia" w:ascii="宋体" w:hAnsi="宋体" w:eastAsia="宋体" w:cs="宋体"/>
          <w:b/>
          <w:bCs/>
          <w:color w:val="auto"/>
          <w:sz w:val="24"/>
          <w:szCs w:val="24"/>
          <w:highlight w:val="none"/>
          <w:shd w:val="clear" w:color="auto" w:fill="ffffff"/>
        </w:rPr>
        <w:t xml:space="preserve">。</w:t>
      </w:r>
      <w:r>
        <w:rPr>
          <w:rFonts w:hint="eastAsia" w:ascii="宋体" w:hAnsi="宋体" w:eastAsia="宋体" w:cs="宋体"/>
          <w:b/>
          <w:bCs/>
          <w:strike/>
          <w:color w:val="auto"/>
          <w:sz w:val="24"/>
          <w:szCs w:val="24"/>
          <w:highlight w:val="none"/>
          <w:u w:val="single"/>
          <w:shd w:val="clear" w:color="auto" w:fill="ffffff"/>
        </w:rPr>
        <w:t xml:space="preserve">（产品名称2）</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（关键组件）</w:t>
      </w:r>
      <w:r>
        <w:rPr>
          <w:rFonts w:hint="eastAsia" w:ascii="宋体" w:hAnsi="宋体" w:eastAsia="宋体" w:cs="宋体"/>
          <w:b/>
          <w:bCs/>
          <w:color w:val="auto"/>
          <w:sz w:val="24"/>
          <w:szCs w:val="24"/>
          <w:highlight w:val="none"/>
          <w:shd w:val="clear" w:color="auto" w:fill="ffffff"/>
        </w:rPr>
        <w:t xml:space="preserve">在中国境内生产。</w:t>
      </w:r>
      <w:r>
        <w:rPr>
          <w:rFonts w:hint="eastAsia" w:ascii="宋体" w:hAnsi="宋体" w:eastAsia="宋体" w:cs="宋体"/>
          <w:b/>
          <w:bCs/>
          <w:strike/>
          <w:color w:val="auto"/>
          <w:sz w:val="24"/>
          <w:szCs w:val="24"/>
          <w:highlight w:val="none"/>
          <w:u w:val="single"/>
          <w:shd w:val="clear" w:color="auto" w:fill="ffffff"/>
        </w:rPr>
        <w:t xml:space="preserve">（产品名称1）</w:t>
      </w:r>
      <w:r>
        <w:rPr>
          <w:rFonts w:hint="eastAsia" w:ascii="宋体" w:hAnsi="宋体" w:eastAsia="宋体" w:cs="宋体"/>
          <w:b/>
          <w:bCs/>
          <w:color w:val="auto"/>
          <w:sz w:val="24"/>
          <w:szCs w:val="24"/>
          <w:highlight w:val="none"/>
          <w:shd w:val="clear" w:color="auto" w:fill="ffffff"/>
        </w:rPr>
        <w:t xml:space="preserve">的</w:t>
      </w:r>
      <w:r>
        <w:rPr>
          <w:rFonts w:hint="eastAsia" w:ascii="宋体" w:hAnsi="宋体" w:eastAsia="宋体" w:cs="宋体"/>
          <w:b/>
          <w:bCs/>
          <w:strike/>
          <w:color w:val="auto"/>
          <w:sz w:val="24"/>
          <w:szCs w:val="24"/>
          <w:highlight w:val="none"/>
          <w:u w:val="single"/>
          <w:shd w:val="clear" w:color="auto" w:fill="ffffff"/>
        </w:rPr>
        <w:t xml:space="preserve">（关键工序）</w:t>
      </w:r>
      <w:r>
        <w:rPr>
          <w:rFonts w:hint="eastAsia" w:ascii="宋体" w:hAnsi="宋体" w:eastAsia="宋体" w:cs="宋体"/>
          <w:b/>
          <w:bCs/>
          <w:color w:val="auto"/>
          <w:sz w:val="24"/>
          <w:szCs w:val="24"/>
          <w:highlight w:val="none"/>
          <w:shd w:val="clear" w:color="auto" w:fill="ffffff"/>
        </w:rPr>
        <w:t xml:space="preserve">在中国境内完成。</w:t>
      </w:r>
      <w:r/>
    </w:p>
    <w:p>
      <w:pPr>
        <w:pStyle w:val="730"/>
        <w:ind w:left="0" w:firstLine="420"/>
        <w:jc w:val="both"/>
        <w:keepLines w:val="0"/>
        <w:keepNext w:val="0"/>
        <w:pageBreakBefore w:val="0"/>
        <w:spacing w:before="30" w:beforeAutospacing="0" w:after="3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730"/>
        <w:ind w:left="0" w:firstLine="420"/>
        <w:jc w:val="both"/>
        <w:keepLines w:val="0"/>
        <w:keepNext w:val="0"/>
        <w:pageBreakBefore w:val="0"/>
        <w:spacing w:before="30" w:beforeAutospacing="0" w:after="30" w:afterAutospacing="0" w:line="46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730"/>
        <w:ind w:left="0" w:right="480" w:firstLine="3720"/>
        <w:jc w:val="both"/>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公司（单位）名称（盖章）：</w:t>
      </w:r>
      <w:r/>
    </w:p>
    <w:p>
      <w:pPr>
        <w:pStyle w:val="730"/>
        <w:jc w:val="center"/>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lang w:val="en-US" w:eastAsia="zh-CN"/>
        </w:rPr>
        <w:t xml:space="preserve">                       </w:t>
      </w:r>
      <w:r>
        <w:rPr>
          <w:rFonts w:hint="eastAsia" w:ascii="宋体" w:hAnsi="宋体" w:eastAsia="宋体" w:cs="宋体"/>
          <w:b/>
          <w:bCs/>
          <w:color w:val="auto"/>
          <w:sz w:val="24"/>
          <w:szCs w:val="24"/>
          <w:highlight w:val="none"/>
          <w:shd w:val="clear" w:color="auto" w:fill="ffffff"/>
        </w:rPr>
        <w:t xml:space="preserve">日期：   年  月  日         </w:t>
      </w:r>
      <w:r/>
    </w:p>
    <w:p>
      <w:pPr>
        <w:pStyle w:val="730"/>
        <w:jc w:val="both"/>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730"/>
        <w:jc w:val="both"/>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1.产品如有型号，请在“产品名称”栏一并填写。</w:t>
      </w:r>
      <w:r/>
    </w:p>
    <w:p>
      <w:pPr>
        <w:pStyle w:val="730"/>
        <w:jc w:val="both"/>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730"/>
        <w:jc w:val="both"/>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730"/>
        <w:jc w:val="both"/>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730"/>
        <w:jc w:val="both"/>
        <w:keepLines w:val="0"/>
        <w:keepNext w:val="0"/>
        <w:pageBreakBefore w:val="0"/>
        <w:spacing w:before="30" w:beforeAutospacing="0" w:after="30" w:afterAutospacing="0" w:line="400" w:lineRule="exact"/>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730"/>
        <w:jc w:val="both"/>
        <w:keepLines w:val="0"/>
        <w:keepNext w:val="0"/>
        <w:pageBreakBefore w:val="0"/>
        <w:spacing w:before="30" w:beforeAutospacing="0" w:after="30" w:afterAutospacing="0" w:line="400" w:lineRule="exact"/>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hint="eastAsia" w:ascii="宋体" w:hAnsi="宋体" w:eastAsia="宋体" w:cs="宋体"/>
          <w:b/>
          <w:bCs/>
          <w:color w:val="auto"/>
          <w:sz w:val="24"/>
          <w:szCs w:val="24"/>
          <w:highlight w:val="none"/>
          <w:shd w:val="clear" w:color="auto" w:fill="ffffff"/>
        </w:rPr>
        <w:t xml:space="preserve">线划除的地方无需填写。</w:t>
      </w:r>
      <w:r/>
    </w:p>
    <w:p>
      <w:pPr>
        <w:numPr>
          <w:ilvl w:val="0"/>
          <w:numId w:val="0"/>
        </w:numPr>
        <w:keepLines w:val="0"/>
        <w:keepNext w:val="0"/>
        <w:pageBreakBefore w:val="0"/>
        <w:spacing w:line="400" w:lineRule="exact"/>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keepLines w:val="0"/>
        <w:keepNext w:val="0"/>
        <w:pageBreakBefore w:val="0"/>
        <w:spacing w:line="241" w:lineRule="auto"/>
        <w:widowControl w:val="off"/>
        <w:rPr>
          <w:rFonts w:ascii="Arial"/>
          <w:color w:val="auto"/>
          <w:sz w:val="21"/>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Arial"/>
          <w:color w:val="auto"/>
          <w:sz w:val="21"/>
          <w:highlight w:val="none"/>
        </w:rPr>
      </w:r>
      <w:r/>
    </w:p>
    <w:p>
      <w:pPr>
        <w:pStyle w:val="730"/>
        <w:jc w:val="center"/>
        <w:keepLines w:val="0"/>
        <w:keepNext w:val="0"/>
        <w:pageBreakBefore w:val="0"/>
        <w:spacing w:beforeAutospacing="0" w:afterAutospacing="0"/>
        <w:widowControl w:val="off"/>
        <w:rPr>
          <w:b w:val="0"/>
          <w:bCs/>
          <w:i/>
          <w:iCs/>
          <w:color w:val="auto"/>
          <w:highlight w:val="none"/>
          <w:u w:val="single"/>
        </w:rPr>
      </w:pPr>
      <w:r>
        <w:rPr>
          <w:rFonts w:hint="eastAsia" w:ascii="黑体" w:hAnsi="宋体" w:eastAsia="黑体" w:cs="黑体"/>
          <w:b w:val="0"/>
          <w:bCs/>
          <w:i/>
          <w:iCs/>
          <w:color w:val="auto"/>
          <w:sz w:val="32"/>
          <w:szCs w:val="32"/>
          <w:highlight w:val="none"/>
          <w:u w:val="single"/>
        </w:rPr>
        <w:t xml:space="preserve">十</w:t>
      </w:r>
      <w:r>
        <w:rPr>
          <w:rFonts w:hint="eastAsia" w:ascii="黑体" w:hAnsi="宋体" w:eastAsia="黑体" w:cs="黑体"/>
          <w:b w:val="0"/>
          <w:bCs/>
          <w:i/>
          <w:iCs/>
          <w:color w:val="auto"/>
          <w:sz w:val="32"/>
          <w:szCs w:val="32"/>
          <w:highlight w:val="none"/>
          <w:u w:val="single"/>
          <w:lang w:val="en-US" w:eastAsia="zh-CN"/>
        </w:rPr>
        <w:t xml:space="preserve">二</w:t>
      </w:r>
      <w:r>
        <w:rPr>
          <w:rFonts w:hint="eastAsia" w:ascii="黑体" w:hAnsi="宋体" w:eastAsia="黑体" w:cs="黑体"/>
          <w:b w:val="0"/>
          <w:bCs/>
          <w:i/>
          <w:iCs/>
          <w:color w:val="auto"/>
          <w:sz w:val="32"/>
          <w:szCs w:val="32"/>
          <w:highlight w:val="none"/>
          <w:u w:val="single"/>
        </w:rPr>
        <w:t xml:space="preserve">、投标分项报价表（分包号：***）</w:t>
      </w:r>
      <w:r/>
    </w:p>
    <w:tbl>
      <w:tblPr>
        <w:tblStyle w:val="70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19"/>
        <w:gridCol w:w="923"/>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产品</w:t>
            </w:r>
            <w:r/>
          </w:p>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730"/>
              <w:jc w:val="center"/>
              <w:keepLines w:val="0"/>
              <w:keepNext w:val="0"/>
              <w:pageBreakBefore w:val="0"/>
              <w:spacing w:beforeAutospacing="0" w:afterAutospacing="0" w:line="500" w:lineRule="exact"/>
              <w:widowControl w:val="off"/>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color w:val="auto"/>
                <w:highlight w:val="none"/>
              </w:rPr>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730"/>
              <w:jc w:val="both"/>
              <w:keepLines w:val="0"/>
              <w:keepNext w:val="0"/>
              <w:pageBreakBefore w:val="0"/>
              <w:spacing w:beforeAutospacing="0" w:afterAutospacing="0" w:line="500" w:lineRule="exact"/>
              <w:widowControl w:val="off"/>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73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730"/>
        <w:numPr>
          <w:ilvl w:val="0"/>
          <w:numId w:val="0"/>
        </w:numPr>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30"/>
        <w:numPr>
          <w:ilvl w:val="0"/>
          <w:numId w:val="0"/>
        </w:numPr>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ind w:firstLine="480"/>
        <w:keepLines w:val="0"/>
        <w:keepNext w:val="0"/>
        <w:pageBreakBefore w:val="0"/>
        <w:spacing w:line="500" w:lineRule="exact"/>
        <w:widowControl w:val="off"/>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730"/>
        <w:jc w:val="both"/>
        <w:keepLines w:val="0"/>
        <w:keepNext w:val="0"/>
        <w:pageBreakBefore w:val="0"/>
        <w:spacing w:beforeAutospacing="0" w:afterAutospacing="0"/>
        <w:widowControl w:val="off"/>
        <w:rPr>
          <w:color w:val="auto"/>
          <w:highlight w:val="none"/>
          <w:shd w:val="clear" w:color="auto" w:fill="auto"/>
        </w:rPr>
      </w:pPr>
      <w:r>
        <w:rPr>
          <w:color w:val="auto"/>
          <w:highlight w:val="none"/>
          <w:shd w:val="clear" w:color="auto" w:fill="auto"/>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b w:val="0"/>
          <w:bCs/>
          <w:i/>
          <w:color w:val="auto"/>
          <w:highlight w:val="none"/>
          <w:u w:val="single"/>
        </w:rPr>
      </w:pPr>
      <w:r>
        <w:rPr>
          <w:b w:val="0"/>
          <w:bCs/>
          <w:i/>
          <w:color w:val="auto"/>
          <w:highlight w:val="none"/>
          <w:u w:val="single"/>
        </w:rPr>
      </w:r>
      <w:r/>
    </w:p>
    <w:p>
      <w:pPr>
        <w:pStyle w:val="730"/>
        <w:jc w:val="center"/>
        <w:keepLines w:val="0"/>
        <w:keepNext w:val="0"/>
        <w:pageBreakBefore w:val="0"/>
        <w:spacing w:beforeAutospacing="0" w:afterAutospacing="0"/>
        <w:widowControl w:val="off"/>
        <w:rPr>
          <w:rFonts w:hint="eastAsia" w:ascii="黑体" w:hAnsi="宋体" w:eastAsia="黑体" w:cs="黑体"/>
          <w:b w:val="0"/>
          <w:bCs w:val="0"/>
          <w:i/>
          <w:iCs/>
          <w:color w:val="auto"/>
          <w:sz w:val="32"/>
          <w:szCs w:val="32"/>
          <w:highlight w:val="none"/>
          <w:u w:val="single"/>
        </w:rPr>
      </w:pPr>
      <w:r>
        <w:rPr>
          <w:rFonts w:hint="eastAsia" w:ascii="黑体" w:hAnsi="宋体" w:eastAsia="黑体" w:cs="黑体"/>
          <w:b w:val="0"/>
          <w:bCs/>
          <w:i/>
          <w:iCs/>
          <w:color w:val="auto"/>
          <w:sz w:val="32"/>
          <w:szCs w:val="32"/>
          <w:highlight w:val="none"/>
          <w:u w:val="single"/>
        </w:rPr>
        <w:t xml:space="preserve">十</w:t>
      </w:r>
      <w:r>
        <w:rPr>
          <w:rFonts w:hint="eastAsia" w:ascii="黑体" w:hAnsi="宋体" w:eastAsia="黑体" w:cs="黑体"/>
          <w:b w:val="0"/>
          <w:bCs/>
          <w:i/>
          <w:iCs/>
          <w:color w:val="auto"/>
          <w:sz w:val="32"/>
          <w:szCs w:val="32"/>
          <w:highlight w:val="none"/>
          <w:u w:val="single"/>
          <w:lang w:val="en-US" w:eastAsia="zh-CN"/>
        </w:rPr>
        <w:t xml:space="preserve">三</w:t>
      </w:r>
      <w:r>
        <w:rPr>
          <w:rFonts w:hint="eastAsia" w:ascii="黑体" w:hAnsi="宋体" w:eastAsia="黑体" w:cs="黑体"/>
          <w:b w:val="0"/>
          <w:bCs/>
          <w:i/>
          <w:iCs/>
          <w:color w:val="auto"/>
          <w:sz w:val="32"/>
          <w:szCs w:val="32"/>
          <w:highlight w:val="none"/>
          <w:u w:val="single"/>
        </w:rPr>
        <w:t xml:space="preserve">、技术要求响应及偏离表（分包号：**）</w:t>
      </w:r>
      <w:r/>
    </w:p>
    <w:tbl>
      <w:tblPr>
        <w:tblStyle w:val="70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证明</w:t>
            </w:r>
            <w:r/>
          </w:p>
          <w:p>
            <w:pPr>
              <w:pStyle w:val="730"/>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bl>
    <w:p>
      <w:pPr>
        <w:pStyle w:val="730"/>
        <w:jc w:val="both"/>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注：行数不够，可自行添加。</w:t>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b w:val="0"/>
          <w:bCs/>
          <w:i/>
          <w:color w:val="auto"/>
          <w:highlight w:val="none"/>
          <w:u w:val="single"/>
        </w:rPr>
      </w:pPr>
      <w:r>
        <w:rPr>
          <w:b w:val="0"/>
          <w:bCs/>
          <w:i/>
          <w:color w:val="auto"/>
          <w:highlight w:val="none"/>
          <w:u w:val="single"/>
        </w:rPr>
      </w:r>
      <w:r/>
    </w:p>
    <w:p>
      <w:pPr>
        <w:pStyle w:val="730"/>
        <w:jc w:val="center"/>
        <w:keepLines w:val="0"/>
        <w:keepNext w:val="0"/>
        <w:pageBreakBefore w:val="0"/>
        <w:spacing w:beforeAutospacing="0" w:afterAutospacing="0"/>
        <w:widowControl w:val="off"/>
        <w:rPr>
          <w:rFonts w:hint="eastAsia" w:ascii="黑体" w:hAnsi="宋体" w:eastAsia="黑体" w:cs="黑体"/>
          <w:b w:val="0"/>
          <w:bCs/>
          <w:i/>
          <w:color w:val="auto"/>
          <w:sz w:val="32"/>
          <w:szCs w:val="32"/>
          <w:highlight w:val="none"/>
          <w:u w:val="single"/>
        </w:rPr>
      </w:pPr>
      <w:r>
        <w:rPr>
          <w:rFonts w:hint="eastAsia" w:ascii="黑体" w:hAnsi="宋体" w:eastAsia="黑体" w:cs="黑体"/>
          <w:b w:val="0"/>
          <w:bCs/>
          <w:i/>
          <w:color w:val="auto"/>
          <w:sz w:val="32"/>
          <w:szCs w:val="32"/>
          <w:highlight w:val="none"/>
          <w:u w:val="single"/>
        </w:rPr>
      </w:r>
      <w:r/>
    </w:p>
    <w:p>
      <w:pPr>
        <w:pStyle w:val="730"/>
        <w:jc w:val="center"/>
        <w:keepLines w:val="0"/>
        <w:keepNext w:val="0"/>
        <w:pageBreakBefore w:val="0"/>
        <w:spacing w:beforeAutospacing="0" w:afterAutospacing="0"/>
        <w:widowControl w:val="off"/>
        <w:rPr>
          <w:rFonts w:hint="eastAsia" w:ascii="黑体" w:hAnsi="宋体" w:eastAsia="黑体" w:cs="黑体"/>
          <w:b w:val="0"/>
          <w:bCs w:val="0"/>
          <w:i/>
          <w:iCs/>
          <w:color w:val="auto"/>
          <w:sz w:val="32"/>
          <w:szCs w:val="32"/>
          <w:highlight w:val="none"/>
          <w:u w:val="single"/>
        </w:rPr>
      </w:pPr>
      <w:r/>
      <w:bookmarkStart w:id="195" w:name="_Hlt26955054"/>
      <w:r>
        <w:rPr>
          <w:rFonts w:hint="eastAsia" w:ascii="黑体" w:hAnsi="宋体" w:eastAsia="黑体" w:cs="黑体"/>
          <w:b w:val="0"/>
          <w:bCs/>
          <w:i/>
          <w:iCs/>
          <w:color w:val="auto"/>
          <w:sz w:val="32"/>
          <w:szCs w:val="32"/>
          <w:highlight w:val="none"/>
          <w:u w:val="single"/>
        </w:rPr>
        <w:t xml:space="preserve">十</w:t>
      </w:r>
      <w:r>
        <w:rPr>
          <w:rFonts w:hint="eastAsia" w:ascii="黑体" w:hAnsi="宋体" w:eastAsia="黑体" w:cs="黑体"/>
          <w:b w:val="0"/>
          <w:bCs/>
          <w:i/>
          <w:iCs/>
          <w:color w:val="auto"/>
          <w:sz w:val="32"/>
          <w:szCs w:val="32"/>
          <w:highlight w:val="none"/>
          <w:u w:val="single"/>
          <w:lang w:val="en-US" w:eastAsia="zh-CN"/>
        </w:rPr>
        <w:t xml:space="preserve">四</w:t>
      </w:r>
      <w:r>
        <w:rPr>
          <w:rFonts w:hint="eastAsia" w:ascii="黑体" w:hAnsi="宋体" w:eastAsia="黑体" w:cs="黑体"/>
          <w:b w:val="0"/>
          <w:bCs/>
          <w:i/>
          <w:iCs/>
          <w:color w:val="auto"/>
          <w:sz w:val="32"/>
          <w:szCs w:val="32"/>
          <w:highlight w:val="none"/>
          <w:u w:val="single"/>
        </w:rPr>
        <w:t xml:space="preserve">、商务要求响应及偏离表（分包号：**）</w:t>
      </w:r>
      <w:r/>
    </w:p>
    <w:tbl>
      <w:tblPr>
        <w:tblStyle w:val="70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bookmarkStart w:id="196" w:name="_Hlt26609391"/>
            <w:r/>
            <w:bookmarkStart w:id="197" w:name="_Hlt26580838"/>
            <w:r/>
            <w:bookmarkStart w:id="198" w:name="_Hlt26782999"/>
            <w:r/>
            <w:bookmarkStart w:id="199" w:name="_Hlt26955064"/>
            <w:r/>
            <w:bookmarkStart w:id="200" w:name="_Hlt26671372"/>
            <w:r/>
            <w:bookmarkStart w:id="201" w:name="_Hlt26671343"/>
            <w:r/>
            <w:bookmarkStart w:id="202" w:name="_Hlt24879081"/>
            <w:r/>
            <w:bookmarkStart w:id="203" w:name="_Hlt26955056"/>
            <w:r>
              <w:rPr>
                <w:rFonts w:hint="eastAsia" w:ascii="宋体" w:hAnsi="宋体" w:eastAsia="宋体" w:cs="宋体"/>
                <w:color w:val="auto"/>
                <w:highlight w:val="none"/>
              </w:rPr>
              <w:t xml:space="preserve">序号</w:t>
            </w:r>
            <w:bookmarkEnd w:id="196"/>
            <w:r/>
            <w:bookmarkEnd w:id="197"/>
            <w:r/>
            <w:bookmarkEnd w:id="198"/>
            <w:r/>
            <w:bookmarkEnd w:id="199"/>
            <w:r/>
            <w:bookmarkEnd w:id="200"/>
            <w:r/>
            <w:bookmarkEnd w:id="201"/>
            <w:r/>
            <w:bookmarkEnd w:id="202"/>
            <w:r/>
            <w:bookmarkEnd w:id="20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证明</w:t>
            </w:r>
            <w:r/>
          </w:p>
          <w:p>
            <w:pPr>
              <w:pStyle w:val="730"/>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30"/>
              <w:jc w:val="center"/>
              <w:keepLines w:val="0"/>
              <w:keepNext w:val="0"/>
              <w:pageBreakBefore w:val="0"/>
              <w:spacing w:beforeAutospacing="0" w:afterAutospacing="0"/>
              <w:widowControl w:val="off"/>
              <w:rPr>
                <w:color w:val="auto"/>
                <w:highlight w:val="none"/>
              </w:rPr>
            </w:pPr>
            <w:r>
              <w:rPr>
                <w:color w:val="auto"/>
                <w:highlight w:val="none"/>
              </w:rPr>
            </w:r>
            <w:r/>
          </w:p>
        </w:tc>
      </w:tr>
    </w:tbl>
    <w:p>
      <w:pPr>
        <w:pStyle w:val="730"/>
        <w:jc w:val="both"/>
        <w:keepLines w:val="0"/>
        <w:keepNext w:val="0"/>
        <w:pageBreakBefore w:val="0"/>
        <w:spacing w:beforeAutospacing="0" w:afterAutospacing="0"/>
        <w:widowControl w:val="off"/>
        <w:rPr>
          <w:color w:val="auto"/>
          <w:highlight w:val="none"/>
        </w:rPr>
      </w:pPr>
      <w:r>
        <w:rPr>
          <w:rFonts w:hint="eastAsia" w:ascii="宋体" w:hAnsi="宋体" w:eastAsia="宋体" w:cs="宋体"/>
          <w:color w:val="auto"/>
          <w:highlight w:val="none"/>
        </w:rPr>
        <w:t xml:space="preserve">注：行数不够，可自行添加。</w:t>
      </w:r>
      <w:r/>
    </w:p>
    <w:p>
      <w:pPr>
        <w:pStyle w:val="730"/>
        <w:jc w:val="both"/>
        <w:keepLines w:val="0"/>
        <w:keepNext w:val="0"/>
        <w:pageBreakBefore w:val="0"/>
        <w:spacing w:beforeAutospacing="0" w:afterAutospacing="0" w:line="480" w:lineRule="auto"/>
        <w:widowControl w:val="off"/>
        <w:rPr>
          <w:color w:val="auto"/>
          <w:highlight w:val="none"/>
        </w:rPr>
      </w:pPr>
      <w:r>
        <w:rPr>
          <w:color w:val="auto"/>
          <w:highlight w:val="none"/>
        </w:rPr>
      </w:r>
      <w:r/>
    </w:p>
    <w:p>
      <w:pPr>
        <w:pStyle w:val="730"/>
        <w:jc w:val="both"/>
        <w:keepLines w:val="0"/>
        <w:keepNext w:val="0"/>
        <w:pageBreakBefore w:val="0"/>
        <w:spacing w:beforeAutospacing="0" w:afterAutospacing="0" w:line="480" w:lineRule="auto"/>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bookmarkStart w:id="204" w:name="_Hlt26955066"/>
      <w:r/>
      <w:bookmarkStart w:id="205" w:name="_Toc462564146"/>
      <w:r/>
      <w:bookmarkStart w:id="206" w:name="_Hlt26609389"/>
      <w:r/>
      <w:bookmarkStart w:id="207" w:name="_Hlt26671374"/>
      <w:r/>
      <w:bookmarkStart w:id="208" w:name="_格式2__法定代表人授权书"/>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p>
    <w:p>
      <w:pPr>
        <w:pStyle w:val="730"/>
        <w:jc w:val="both"/>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jc w:val="center"/>
        <w:keepLines w:val="0"/>
        <w:keepNext w:val="0"/>
        <w:pageBreakBefore w:val="0"/>
        <w:spacing w:beforeAutospacing="0" w:afterAutospacing="0"/>
        <w:widowControl w:val="off"/>
        <w:rPr>
          <w:b w:val="0"/>
          <w:bCs/>
          <w:color w:val="auto"/>
          <w:highlight w:val="none"/>
          <w:shd w:val="clear" w:color="auto" w:fill="auto"/>
        </w:rPr>
      </w:pPr>
      <w:r>
        <w:rPr>
          <w:rFonts w:hint="eastAsia" w:ascii="黑体" w:hAnsi="宋体" w:eastAsia="黑体" w:cs="黑体"/>
          <w:b w:val="0"/>
          <w:bCs/>
          <w:i/>
          <w:color w:val="auto"/>
          <w:sz w:val="32"/>
          <w:szCs w:val="32"/>
          <w:highlight w:val="none"/>
          <w:u w:val="single"/>
        </w:rPr>
        <w:t xml:space="preserve">十</w:t>
      </w:r>
      <w:r>
        <w:rPr>
          <w:rFonts w:hint="eastAsia" w:ascii="黑体" w:hAnsi="宋体" w:eastAsia="黑体" w:cs="黑体"/>
          <w:b w:val="0"/>
          <w:bCs/>
          <w:i/>
          <w:color w:val="auto"/>
          <w:sz w:val="32"/>
          <w:szCs w:val="32"/>
          <w:highlight w:val="none"/>
          <w:u w:val="single"/>
          <w:lang w:val="en-US" w:eastAsia="zh-CN"/>
        </w:rPr>
        <w:t xml:space="preserve">五</w:t>
      </w:r>
      <w:r>
        <w:rPr>
          <w:rFonts w:hint="eastAsia" w:ascii="黑体" w:hAnsi="宋体" w:eastAsia="黑体" w:cs="黑体"/>
          <w:b w:val="0"/>
          <w:bCs/>
          <w:i/>
          <w:color w:val="auto"/>
          <w:sz w:val="32"/>
          <w:szCs w:val="32"/>
          <w:highlight w:val="none"/>
          <w:u w:val="single"/>
        </w:rPr>
        <w:t xml:space="preserve">、开标一览表</w:t>
      </w:r>
      <w:r/>
    </w:p>
    <w:p>
      <w:pPr>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投标人全称（CA公章）：供应商名称</w:t>
      </w:r>
      <w:r/>
    </w:p>
    <w:p>
      <w:pPr>
        <w:jc w:val="left"/>
        <w:keepLines w:val="0"/>
        <w:keepNext w:val="0"/>
        <w:pageBreakBefore w:val="0"/>
        <w:spacing w:line="5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江苏省消防救援总队盐城支队2026年度目录外器材装备采购项目（第二批）</w:t>
      </w:r>
      <w:r/>
    </w:p>
    <w:p>
      <w:pPr>
        <w:jc w:val="left"/>
        <w:keepLines w:val="0"/>
        <w:keepNext w:val="0"/>
        <w:pageBreakBefore w:val="0"/>
        <w:spacing w:line="56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JSZC-320900-JZCG-G2026-0084</w:t>
      </w:r>
      <w:r/>
    </w:p>
    <w:p>
      <w:pPr>
        <w:jc w:val="left"/>
        <w:keepLines w:val="0"/>
        <w:keepNext w:val="0"/>
        <w:pageBreakBefore w:val="0"/>
        <w:spacing w:line="5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分包号：/</w:t>
      </w:r>
      <w:r/>
    </w:p>
    <w:tbl>
      <w:tblPr>
        <w:tblStyle w:val="732"/>
        <w:tblW w:w="87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527"/>
        <w:gridCol w:w="4173"/>
      </w:tblGrid>
      <w:tr>
        <w:trPr>
          <w:jc w:val="center"/>
          <w:trHeight w:val="93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jc w:val="center"/>
              <w:keepLines w:val="0"/>
              <w:keepNext w:val="0"/>
              <w:pageBreakBefore w:val="0"/>
              <w:spacing w:before="100" w:after="100"/>
              <w:widowControl w:val="off"/>
              <w:rPr>
                <w:rFonts w:ascii="宋体" w:hAnsi="宋体" w:eastAsia="宋体" w:cs="宋体"/>
                <w:color w:val="auto"/>
                <w:highlight w:val="none"/>
              </w:rPr>
            </w:pPr>
            <w:r>
              <w:rPr>
                <w:rFonts w:hint="eastAsia" w:ascii="宋体" w:hAnsi="宋体" w:eastAsia="宋体" w:cs="宋体"/>
                <w:color w:val="auto"/>
                <w:sz w:val="24"/>
                <w:highlight w:val="none"/>
              </w:rPr>
              <w:t xml:space="preserve">投标货物名称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jc w:val="center"/>
              <w:keepLines w:val="0"/>
              <w:keepNext w:val="0"/>
              <w:pageBreakBefore w:val="0"/>
              <w:spacing w:before="100" w:after="100"/>
              <w:widowControl w:val="off"/>
              <w:rPr>
                <w:rFonts w:ascii="宋体" w:hAnsi="宋体" w:eastAsia="宋体" w:cs="宋体"/>
                <w:color w:val="auto"/>
                <w:highlight w:val="none"/>
              </w:rPr>
            </w:pPr>
            <w:r>
              <w:rPr>
                <w:rFonts w:hint="eastAsia" w:ascii="宋体" w:hAnsi="宋体" w:eastAsia="宋体" w:cs="宋体"/>
                <w:color w:val="auto"/>
                <w:sz w:val="24"/>
                <w:highlight w:val="none"/>
              </w:rPr>
              <w:t xml:space="preserve">总价（小写）</w:t>
            </w:r>
            <w:r/>
          </w:p>
        </w:tc>
      </w:tr>
      <w:tr>
        <w:trPr>
          <w:jc w:val="center"/>
          <w:trHeight w:val="94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jc w:val="center"/>
              <w:keepLines w:val="0"/>
              <w:keepNext w:val="0"/>
              <w:pageBreakBefore w:val="0"/>
              <w:spacing w:before="100" w:after="100"/>
              <w:widowControl w:val="off"/>
              <w:rPr>
                <w:rFonts w:ascii="宋体" w:hAnsi="宋体" w:eastAsia="宋体" w:cs="宋体"/>
                <w:color w:val="auto"/>
                <w:highlight w:val="none"/>
              </w:rPr>
            </w:pPr>
            <w:r>
              <w:rPr>
                <w:rFonts w:hint="eastAsia" w:ascii="宋体" w:hAnsi="宋体" w:eastAsia="宋体" w:cs="宋体"/>
                <w:color w:val="auto"/>
                <w:sz w:val="24"/>
                <w:highlight w:val="none"/>
              </w:rPr>
              <w:t xml:space="preserve">投标产品名称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jc w:val="center"/>
              <w:keepLines w:val="0"/>
              <w:keepNext w:val="0"/>
              <w:pageBreakBefore w:val="0"/>
              <w:spacing w:before="100" w:after="100"/>
              <w:widowControl w:val="off"/>
              <w:rPr>
                <w:rFonts w:ascii="宋体" w:hAnsi="宋体" w:eastAsia="宋体" w:cs="宋体"/>
                <w:color w:val="auto"/>
                <w:highlight w:val="none"/>
              </w:rPr>
            </w:pPr>
            <w:r>
              <w:rPr>
                <w:rFonts w:hint="eastAsia" w:ascii="宋体" w:hAnsi="宋体" w:eastAsia="宋体" w:cs="宋体"/>
                <w:color w:val="auto"/>
                <w:sz w:val="24"/>
                <w:highlight w:val="none"/>
              </w:rPr>
              <w:t xml:space="preserve"> 元</w:t>
            </w:r>
            <w:r/>
          </w:p>
        </w:tc>
      </w:tr>
      <w:tr>
        <w:trPr>
          <w:jc w:val="center"/>
          <w:trHeight w:val="110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527" w:type="dxa"/>
            <w:vAlign w:val="center"/>
            <w:textDirection w:val="lrTb"/>
            <w:noWrap w:val="false"/>
          </w:tcPr>
          <w:p>
            <w:pPr>
              <w:jc w:val="center"/>
              <w:keepLines w:val="0"/>
              <w:keepNext w:val="0"/>
              <w:pageBreakBefore w:val="0"/>
              <w:spacing w:before="100" w:after="100"/>
              <w:widowControl w:val="off"/>
              <w:rPr>
                <w:rFonts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核心</w:t>
            </w:r>
            <w:r>
              <w:rPr>
                <w:rFonts w:hint="eastAsia" w:ascii="宋体" w:hAnsi="宋体" w:eastAsia="宋体" w:cs="宋体"/>
                <w:color w:val="auto"/>
                <w:sz w:val="24"/>
                <w:highlight w:val="none"/>
              </w:rPr>
              <w:t xml:space="preserve">产品品牌：</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173" w:type="dxa"/>
            <w:vAlign w:val="center"/>
            <w:textDirection w:val="lrTb"/>
            <w:noWrap w:val="false"/>
          </w:tcPr>
          <w:p>
            <w:pPr>
              <w:keepLines w:val="0"/>
              <w:keepNext w:val="0"/>
              <w:pageBreakBefore w:val="0"/>
              <w:spacing w:before="100" w:after="100"/>
              <w:widowControl w:val="off"/>
              <w:rPr>
                <w:rFonts w:ascii="宋体" w:hAnsi="宋体" w:eastAsia="宋体" w:cs="宋体"/>
                <w:color w:val="auto"/>
                <w:highlight w:val="none"/>
              </w:rPr>
            </w:pPr>
            <w:r>
              <w:rPr>
                <w:rFonts w:ascii="宋体" w:hAnsi="宋体" w:eastAsia="宋体" w:cs="宋体"/>
                <w:color w:val="auto"/>
                <w:highlight w:val="none"/>
              </w:rPr>
            </w:r>
            <w:r/>
          </w:p>
        </w:tc>
      </w:tr>
    </w:tbl>
    <w:p>
      <w:pPr>
        <w:keepLines w:val="0"/>
        <w:keepNext w:val="0"/>
        <w:pageBreakBefore w:val="0"/>
        <w:spacing w:before="100" w:after="100"/>
        <w:widowControl w:val="off"/>
        <w:rPr>
          <w:color w:val="auto"/>
          <w:highlight w:val="none"/>
        </w:rPr>
      </w:pPr>
      <w:r>
        <w:rPr>
          <w:color w:val="auto"/>
          <w:highlight w:val="none"/>
        </w:rPr>
      </w:r>
      <w:r/>
    </w:p>
    <w:p>
      <w:pPr>
        <w:jc w:val="right"/>
        <w:keepLines w:val="0"/>
        <w:keepNext w:val="0"/>
        <w:pageBreakBefore w:val="0"/>
        <w:spacing w:before="100" w:after="100"/>
        <w:widowControl w:val="off"/>
        <w:rPr>
          <w:rFonts w:ascii="宋体" w:hAnsi="宋体" w:eastAsia="宋体" w:cs="宋体"/>
          <w:color w:val="auto"/>
          <w:sz w:val="24"/>
          <w:szCs w:val="21"/>
          <w:highlight w:val="none"/>
        </w:rPr>
      </w:pPr>
      <w:r>
        <w:rPr>
          <w:rFonts w:hint="eastAsia" w:ascii="宋体" w:hAnsi="宋体" w:eastAsia="宋体" w:cs="宋体"/>
          <w:color w:val="auto"/>
          <w:sz w:val="24"/>
          <w:highlight w:val="none"/>
        </w:rPr>
        <w:t xml:space="preserve">日期：</w:t>
      </w:r>
      <w:r>
        <w:rPr>
          <w:rFonts w:ascii="Calibri" w:hAnsi="Calibri" w:eastAsia="Calibri" w:cs="Calibri"/>
          <w:color w:val="auto"/>
          <w:sz w:val="24"/>
          <w:highlight w:val="none"/>
        </w:rPr>
        <w:t xml:space="preserve">   </w:t>
      </w:r>
      <w:r>
        <w:rPr>
          <w:rFonts w:ascii="Calibri" w:hAnsi="Calibri" w:eastAsia="宋体" w:cs="Calibri"/>
          <w:color w:val="auto"/>
          <w:sz w:val="24"/>
          <w:highlight w:val="none"/>
        </w:rPr>
        <w:t xml:space="preserve">  </w:t>
      </w:r>
      <w:r>
        <w:rPr>
          <w:rFonts w:hint="eastAsia" w:ascii="宋体" w:hAnsi="宋体" w:eastAsia="宋体" w:cs="宋体"/>
          <w:color w:val="auto"/>
          <w:sz w:val="24"/>
          <w:highlight w:val="none"/>
        </w:rPr>
        <w:t xml:space="preserve">年   月   日</w:t>
      </w:r>
      <w:r/>
    </w:p>
    <w:p>
      <w:pPr>
        <w:pStyle w:val="730"/>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0"/>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keepLines w:val="0"/>
        <w:keepNext w:val="0"/>
        <w:pageBreakBefore w:val="0"/>
        <w:spacing w:before="50" w:after="50"/>
        <w:widowControl w:val="off"/>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tab/>
      </w:r>
      <w:r/>
    </w:p>
    <w:p>
      <w:pPr>
        <w:jc w:val="center"/>
        <w:keepLines w:val="0"/>
        <w:keepNext w:val="0"/>
        <w:pageBreakBefore w:val="0"/>
        <w:spacing w:before="50" w:after="50"/>
        <w:widowControl w:val="off"/>
        <w:rPr>
          <w:rFonts w:hint="eastAsia" w:ascii="黑体" w:hAnsi="宋体" w:eastAsia="黑体" w:cs="黑体"/>
          <w:b w:val="0"/>
          <w:bCs/>
          <w:i/>
          <w:color w:val="auto"/>
          <w:sz w:val="32"/>
          <w:szCs w:val="32"/>
          <w:highlight w:val="none"/>
          <w:u w:val="single"/>
          <w:lang w:val="en-US" w:eastAsia="zh-CN" w:bidi="ar-SA"/>
        </w:rPr>
      </w:pPr>
      <w:r>
        <w:rPr>
          <w:rFonts w:hint="eastAsia" w:ascii="黑体" w:hAnsi="宋体" w:eastAsia="黑体" w:cs="黑体"/>
          <w:b w:val="0"/>
          <w:bCs/>
          <w:i/>
          <w:color w:val="auto"/>
          <w:sz w:val="32"/>
          <w:szCs w:val="32"/>
          <w:highlight w:val="none"/>
          <w:u w:val="single"/>
          <w:lang w:val="en-US" w:eastAsia="zh-CN" w:bidi="ar-SA"/>
        </w:rPr>
        <w:t xml:space="preserve">十六、技术方案、服务承诺、培训承诺等</w:t>
      </w:r>
      <w:r/>
    </w:p>
    <w:p>
      <w:pPr>
        <w:pStyle w:val="730"/>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0"/>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0"/>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0"/>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0"/>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0"/>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0"/>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30"/>
        <w:jc w:val="center"/>
        <w:keepLines w:val="0"/>
        <w:keepNext w:val="0"/>
        <w:pageBreakBefore w:val="0"/>
        <w:spacing w:beforeAutospacing="0" w:afterAutospacing="0"/>
        <w:widowControl w:val="off"/>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1600"/>
        <w:keepLines w:val="0"/>
        <w:keepNext w:val="0"/>
        <w:pageBreakBefore w:val="0"/>
        <w:spacing w:line="499" w:lineRule="atLeast"/>
        <w:widowControl w:val="off"/>
        <w:rPr>
          <w:rFonts w:hint="eastAsia" w:ascii="宋体" w:hAnsi="宋体" w:eastAsia="宋体" w:cs="宋体"/>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32"/>
          <w:szCs w:val="32"/>
          <w:highlight w:val="none"/>
        </w:rPr>
      </w:r>
      <w:r/>
    </w:p>
    <w:p>
      <w:pPr>
        <w:jc w:val="center"/>
        <w:keepLines w:val="0"/>
        <w:keepNext w:val="0"/>
        <w:pageBreakBefore w:val="0"/>
        <w:spacing w:before="50" w:after="50"/>
        <w:widowControl w:val="off"/>
        <w:rPr>
          <w:rFonts w:hint="eastAsia" w:ascii="黑体" w:hAnsi="宋体" w:eastAsia="黑体" w:cs="黑体"/>
          <w:b w:val="0"/>
          <w:bCs/>
          <w:i/>
          <w:color w:val="auto"/>
          <w:sz w:val="32"/>
          <w:szCs w:val="32"/>
          <w:highlight w:val="none"/>
          <w:u w:val="single"/>
          <w:lang w:val="en-US" w:eastAsia="zh-CN" w:bidi="ar-SA"/>
        </w:rPr>
      </w:pPr>
      <w:r>
        <w:rPr>
          <w:rFonts w:hint="eastAsia" w:ascii="黑体" w:hAnsi="宋体" w:eastAsia="黑体" w:cs="黑体"/>
          <w:b w:val="0"/>
          <w:bCs/>
          <w:i/>
          <w:color w:val="auto"/>
          <w:sz w:val="32"/>
          <w:szCs w:val="32"/>
          <w:highlight w:val="none"/>
          <w:u w:val="single"/>
          <w:lang w:val="en-US" w:eastAsia="zh-CN" w:bidi="ar-SA"/>
        </w:rPr>
        <w:t xml:space="preserve">十七、盐城市政府采购事前信用承诺书</w:t>
      </w:r>
      <w:r/>
    </w:p>
    <w:p>
      <w:pPr>
        <w:ind w:firstLine="480"/>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w:t>
      </w:r>
      <w:r>
        <w:rPr>
          <w:rFonts w:hint="eastAsia" w:ascii="宋体" w:hAnsi="宋体" w:eastAsia="宋体" w:cs="宋体"/>
          <w:color w:val="auto"/>
          <w:sz w:val="24"/>
          <w:highlight w:val="none"/>
          <w:lang w:eastAsia="zh-CN"/>
        </w:rPr>
        <w:t xml:space="preserve">发生</w:t>
      </w:r>
      <w:r>
        <w:rPr>
          <w:rFonts w:hint="eastAsia" w:ascii="宋体" w:hAnsi="宋体" w:eastAsia="宋体" w:cs="宋体"/>
          <w:color w:val="auto"/>
          <w:sz w:val="24"/>
          <w:highlight w:val="none"/>
        </w:rPr>
        <w:t xml:space="preserve">重大社会影响生产安全事故或其他严重违法违规行为而被列入失信联合惩戒的不良记录；</w:t>
      </w:r>
      <w:r/>
    </w:p>
    <w:p>
      <w:pPr>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w:t>
      </w:r>
      <w:r>
        <w:rPr>
          <w:rFonts w:hint="eastAsia" w:ascii="宋体" w:hAnsi="宋体" w:eastAsia="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、规章、规范性文件，参加政府采购投标活动；积极履行社会责任，促进廉政建设；</w:t>
      </w:r>
      <w:r/>
    </w:p>
    <w:p>
      <w:pPr>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（八）本人已认真阅读了上述承诺，并向本单位员工</w:t>
      </w:r>
      <w:r>
        <w:rPr>
          <w:rFonts w:hint="eastAsia" w:ascii="宋体" w:hAnsi="宋体" w:eastAsia="宋体" w:cs="宋体"/>
          <w:color w:val="auto"/>
          <w:sz w:val="24"/>
          <w:highlight w:val="none"/>
          <w:lang w:eastAsia="zh-CN"/>
        </w:rPr>
        <w:t xml:space="preserve">做</w:t>
      </w:r>
      <w:r>
        <w:rPr>
          <w:rFonts w:hint="eastAsia" w:ascii="宋体" w:hAnsi="宋体" w:eastAsia="宋体" w:cs="宋体"/>
          <w:color w:val="auto"/>
          <w:sz w:val="24"/>
          <w:highlight w:val="none"/>
        </w:rPr>
        <w:t xml:space="preserve">了宣传教育。</w:t>
      </w:r>
      <w:r/>
    </w:p>
    <w:p>
      <w:pPr>
        <w:jc w:val="righ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jc w:val="righ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jc w:val="right"/>
        <w:keepLines w:val="0"/>
        <w:keepNext w:val="0"/>
        <w:pageBreakBefore w:val="0"/>
        <w:spacing w:line="499" w:lineRule="atLeas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年月日</w:t>
      </w:r>
      <w:bookmarkEnd w:id="0"/>
      <w:r/>
      <w:bookmarkEnd w:id="39"/>
      <w:r/>
      <w:bookmarkEnd w:id="86"/>
      <w:r/>
      <w:bookmarkEnd w:id="87"/>
      <w:r/>
      <w:bookmarkEnd w:id="88"/>
      <w:r/>
      <w:bookmarkEnd w:id="89"/>
      <w:r/>
      <w:bookmarkEnd w:id="90"/>
      <w:r/>
      <w:bookmarkEnd w:id="91"/>
      <w:r/>
      <w:bookmarkEnd w:id="92"/>
      <w:r/>
      <w:bookmarkEnd w:id="93"/>
      <w:r/>
      <w:bookmarkEnd w:id="102"/>
      <w:r/>
      <w:bookmarkEnd w:id="103"/>
      <w:r/>
      <w:bookmarkEnd w:id="110"/>
      <w:r/>
      <w:bookmarkEnd w:id="157"/>
      <w:r/>
      <w:bookmarkEnd w:id="187"/>
      <w:r/>
      <w:bookmarkEnd w:id="188"/>
      <w:r/>
      <w:bookmarkEnd w:id="189"/>
      <w:r/>
      <w:bookmarkEnd w:id="190"/>
      <w:r/>
      <w:bookmarkEnd w:id="191"/>
      <w:r/>
      <w:bookmarkEnd w:id="192"/>
      <w:r/>
      <w:bookmarkEnd w:id="193"/>
      <w:r/>
      <w:bookmarkEnd w:id="194"/>
      <w:r/>
      <w:bookmarkEnd w:id="195"/>
      <w:r/>
      <w:bookmarkEnd w:id="204"/>
      <w:r/>
      <w:bookmarkEnd w:id="205"/>
      <w:r/>
      <w:bookmarkEnd w:id="206"/>
      <w:r/>
      <w:bookmarkEnd w:id="207"/>
      <w:r/>
      <w:bookmarkEnd w:id="208"/>
      <w:r/>
      <w:r/>
    </w:p>
    <w:p>
      <w:pPr>
        <w:pStyle w:val="730"/>
        <w:jc w:val="center"/>
        <w:keepLines w:val="0"/>
        <w:keepNext w:val="0"/>
        <w:pageBreakBefore w:val="0"/>
        <w:spacing w:beforeAutospacing="0" w:afterAutospacing="0"/>
        <w:widowControl w:val="off"/>
        <w:rPr>
          <w:color w:val="auto"/>
          <w:highlight w:val="none"/>
        </w:rPr>
      </w:pPr>
      <w:r>
        <w:rPr>
          <w:color w:val="auto"/>
          <w:highlight w:val="none"/>
        </w:rPr>
      </w:r>
      <w:r/>
    </w:p>
    <w:p>
      <w:pPr>
        <w:pStyle w:val="730"/>
        <w:ind w:firstLine="0"/>
        <w:jc w:val="center"/>
        <w:keepLines w:val="0"/>
        <w:keepNext w:val="0"/>
        <w:pageBreakBefore w:val="0"/>
        <w:spacing w:beforeAutospacing="0" w:afterAutospacing="0" w:line="3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30"/>
        <w:ind w:firstLine="0"/>
        <w:jc w:val="center"/>
        <w:keepLines w:val="0"/>
        <w:keepNext w:val="0"/>
        <w:pageBreakBefore w:val="0"/>
        <w:spacing w:beforeAutospacing="0" w:afterAutospacing="0" w:line="36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before="120" w:line="400" w:lineRule="exact"/>
        <w:widowControl w:val="off"/>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730"/>
        <w:ind w:firstLine="482"/>
        <w:jc w:val="left"/>
        <w:keepLines w:val="0"/>
        <w:keepNext w:val="0"/>
        <w:pageBreakBefore w:val="0"/>
        <w:widowControl w:val="off"/>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一、质疑供应商基本信息</w:t>
      </w:r>
      <w:r/>
    </w:p>
    <w:p>
      <w:pPr>
        <w:pStyle w:val="730"/>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质疑供应商：</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地址：</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color w:val="auto"/>
          <w:highlight w:val="none"/>
        </w:rPr>
      </w:pPr>
      <w:r>
        <w:rPr>
          <w:rFonts w:hint="eastAsia" w:asciiTheme="minorEastAsia" w:hAnsiTheme="minorEastAsia" w:cstheme="minorEastAsia"/>
          <w:bCs/>
          <w:color w:val="auto"/>
          <w:highlight w:val="none"/>
        </w:rPr>
        <w:t xml:space="preserve">邮编：</w:t>
      </w:r>
      <w:r>
        <w:rPr>
          <w:rFonts w:hint="eastAsia" w:asciiTheme="minorEastAsia" w:hAnsiTheme="minorEastAsia" w:cstheme="minorEastAsia"/>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联系人：</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联系电话：</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授权代表：</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联系电话：</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地址：</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邮编：</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二、质疑项目基本情况</w:t>
      </w:r>
      <w:r/>
    </w:p>
    <w:p>
      <w:pPr>
        <w:pStyle w:val="730"/>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质疑项目的名称：</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质疑项目的编号：</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包号：</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采购人名称：</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采购文件获取日期：</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三、质疑事项具体内容</w:t>
      </w:r>
      <w:r/>
    </w:p>
    <w:p>
      <w:pPr>
        <w:pStyle w:val="730"/>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质疑事项1：</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事实依据：</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法律依据：</w:t>
      </w:r>
      <w:r>
        <w:rPr>
          <w:rFonts w:hint="eastAsia" w:asciiTheme="minorEastAsia" w:hAnsiTheme="minorEastAsia" w:cstheme="minorEastAsia"/>
          <w:bCs/>
          <w:color w:val="auto"/>
          <w:highlight w:val="none"/>
          <w:u w:val="single"/>
        </w:rPr>
        <w:t xml:space="preserve">                                            </w:t>
      </w:r>
      <w:r/>
    </w:p>
    <w:p>
      <w:pPr>
        <w:pStyle w:val="730"/>
        <w:ind w:firstLine="482"/>
        <w:jc w:val="left"/>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质疑事项2</w:t>
      </w:r>
      <w:r/>
    </w:p>
    <w:p>
      <w:pPr>
        <w:pStyle w:val="730"/>
        <w:ind w:firstLine="482"/>
        <w:jc w:val="both"/>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w:t>
      </w:r>
      <w:r/>
    </w:p>
    <w:p>
      <w:pPr>
        <w:pStyle w:val="730"/>
        <w:ind w:firstLine="482"/>
        <w:jc w:val="both"/>
        <w:keepLines w:val="0"/>
        <w:keepNext w:val="0"/>
        <w:pageBreakBefore w:val="0"/>
        <w:widowControl w:val="off"/>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四、与质疑事项相关的质疑请求</w:t>
      </w:r>
      <w:r/>
    </w:p>
    <w:p>
      <w:pPr>
        <w:pStyle w:val="730"/>
        <w:ind w:firstLine="482"/>
        <w:jc w:val="both"/>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请求：</w:t>
      </w:r>
      <w:r>
        <w:rPr>
          <w:rFonts w:hint="eastAsia" w:asciiTheme="minorEastAsia" w:hAnsiTheme="minorEastAsia" w:cstheme="minorEastAsia"/>
          <w:bCs/>
          <w:color w:val="auto"/>
          <w:highlight w:val="none"/>
          <w:u w:val="single"/>
        </w:rPr>
        <w:t xml:space="preserve">                                                              </w:t>
      </w:r>
      <w:r/>
    </w:p>
    <w:p>
      <w:pPr>
        <w:pStyle w:val="730"/>
        <w:ind w:firstLine="482"/>
        <w:jc w:val="both"/>
        <w:keepLines w:val="0"/>
        <w:keepNext w:val="0"/>
        <w:pageBreakBefore w:val="0"/>
        <w:widowControl w:val="off"/>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签字（签章）：        公章：             日期：   </w:t>
      </w:r>
      <w:r/>
    </w:p>
    <w:p>
      <w:pPr>
        <w:ind w:firstLine="440"/>
        <w:keepLines w:val="0"/>
        <w:keepNext w:val="0"/>
        <w:pageBreakBefore w:val="0"/>
        <w:spacing w:line="520" w:lineRule="exact"/>
        <w:widowControl w:val="off"/>
        <w:rPr>
          <w:color w:val="auto"/>
          <w:sz w:val="24"/>
          <w:highlight w:val="none"/>
        </w:rPr>
      </w:pPr>
      <w:r>
        <w:rPr>
          <w:rFonts w:hint="eastAsia"/>
          <w:color w:val="auto"/>
          <w:sz w:val="24"/>
          <w:highlight w:val="none"/>
        </w:rPr>
        <w:t xml:space="preserve">质疑函制作说明：</w:t>
      </w:r>
      <w:r/>
    </w:p>
    <w:p>
      <w:pPr>
        <w:ind w:firstLine="440"/>
        <w:keepLines w:val="0"/>
        <w:keepNext w:val="0"/>
        <w:pageBreakBefore w:val="0"/>
        <w:spacing w:line="520" w:lineRule="exact"/>
        <w:widowControl w:val="off"/>
        <w:rPr>
          <w:rFonts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1.供应商提出质疑时，应提交质疑函和必要的证明材料。</w:t>
      </w:r>
      <w:r/>
    </w:p>
    <w:p>
      <w:pPr>
        <w:ind w:firstLine="440"/>
        <w:keepLines w:val="0"/>
        <w:keepNext w:val="0"/>
        <w:pageBreakBefore w:val="0"/>
        <w:spacing w:line="52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40"/>
        <w:keepLines w:val="0"/>
        <w:keepNext w:val="0"/>
        <w:pageBreakBefore w:val="0"/>
        <w:spacing w:line="52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40"/>
        <w:keepLines w:val="0"/>
        <w:keepNext w:val="0"/>
        <w:pageBreakBefore w:val="0"/>
        <w:spacing w:line="52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40"/>
        <w:keepLines w:val="0"/>
        <w:keepNext w:val="0"/>
        <w:pageBreakBefore w:val="0"/>
        <w:spacing w:line="520" w:lineRule="exact"/>
        <w:widowControl w:val="off"/>
        <w:rPr>
          <w:rFonts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5.质疑函的质疑请求应与质疑事项相关。</w:t>
      </w:r>
      <w:r/>
    </w:p>
    <w:p>
      <w:pPr>
        <w:ind w:firstLine="440"/>
        <w:keepLines w:val="0"/>
        <w:keepNext w:val="0"/>
        <w:pageBreakBefore w:val="0"/>
        <w:spacing w:line="520" w:lineRule="exact"/>
        <w:widowControl w:val="off"/>
        <w:rPr>
          <w:color w:val="auto"/>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40"/>
        <w:keepLines w:val="0"/>
        <w:keepNext w:val="0"/>
        <w:pageBreakBefore w:val="0"/>
        <w:spacing w:line="520" w:lineRule="exact"/>
        <w:widowControl w:val="off"/>
        <w:rPr>
          <w:color w:val="auto"/>
          <w:highlight w:val="none"/>
        </w:rPr>
      </w:pPr>
      <w:r>
        <w:rPr>
          <w:color w:val="auto"/>
          <w:highlight w:val="none"/>
        </w:rPr>
      </w:r>
      <w:r/>
    </w:p>
    <w:p>
      <w:pPr>
        <w:pStyle w:val="730"/>
        <w:keepLines w:val="0"/>
        <w:keepNext w:val="0"/>
        <w:pageBreakBefore w:val="0"/>
        <w:spacing w:beforeAutospacing="0" w:afterAutospacing="0"/>
        <w:widowControl w:val="off"/>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等线">
    <w:panose1 w:val="02010600030101010101"/>
  </w:font>
  <w:font w:name="华文中宋">
    <w:panose1 w:val="02010600040101010101"/>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2791460</wp:posOffset>
              </wp:positionH>
              <wp:positionV relativeFrom="paragraph">
                <wp:posOffset>-5080</wp:posOffset>
              </wp:positionV>
              <wp:extent cx="398780" cy="19748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398904" cy="1976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jc w:val="both"/>
                          </w:pPr>
                          <w:r>
                            <w:rPr>
                              <w:lang w:val="zh-CN"/>
                            </w:rPr>
                            <w:t xml:space="preserve"> </w:t>
                          </w:r>
                          <w:r>
                            <w:rPr>
                              <w:rFonts w:hint="eastAsia" w:ascii="宋体" w:hAnsi="宋体" w:eastAsia="宋体" w:cs="宋体"/>
                              <w:b w:val="0"/>
                              <w:bCs/>
                              <w:sz w:val="24"/>
                              <w:szCs w:val="24"/>
                            </w:rPr>
                            <w:fldChar w:fldCharType="begin"/>
                          </w:r>
                          <w:r>
                            <w:rPr>
                              <w:rFonts w:hint="eastAsia" w:ascii="宋体" w:hAnsi="宋体" w:eastAsia="宋体" w:cs="宋体"/>
                              <w:b w:val="0"/>
                              <w:bCs/>
                            </w:rPr>
                            <w:instrText xml:space="preserve">PAGE</w:instrText>
                          </w:r>
                          <w:r>
                            <w:rPr>
                              <w:rFonts w:hint="eastAsia" w:ascii="宋体" w:hAnsi="宋体" w:eastAsia="宋体" w:cs="宋体"/>
                              <w:b w:val="0"/>
                              <w:bCs/>
                              <w:sz w:val="24"/>
                              <w:szCs w:val="24"/>
                            </w:rPr>
                            <w:fldChar w:fldCharType="separate"/>
                          </w:r>
                          <w:r>
                            <w:rPr>
                              <w:rFonts w:hint="eastAsia" w:ascii="宋体" w:hAnsi="宋体" w:eastAsia="宋体" w:cs="宋体"/>
                              <w:b w:val="0"/>
                              <w:bCs/>
                            </w:rPr>
                            <w:t xml:space="preserve">7</w:t>
                          </w:r>
                          <w:r>
                            <w:rPr>
                              <w:rFonts w:hint="eastAsia" w:ascii="宋体" w:hAnsi="宋体" w:eastAsia="宋体" w:cs="宋体"/>
                              <w:b w:val="0"/>
                              <w:bCs/>
                              <w:sz w:val="24"/>
                              <w:szCs w:val="24"/>
                            </w:rPr>
                            <w:fldChar w:fldCharType="end"/>
                          </w:r>
                          <w:r>
                            <w:rPr>
                              <w:lang w:val="zh-CN"/>
                            </w:rPr>
                            <w:t xml:space="preserve"> </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9.8pt;mso-position-horizontal:absolute;mso-position-vertical-relative:text;margin-top:-0.4pt;mso-position-vertical:absolute;width:31.4pt;height:15.5pt;mso-wrap-distance-left:9.0pt;mso-wrap-distance-top:0.0pt;mso-wrap-distance-right:9.0pt;mso-wrap-distance-bottom:0.0pt;v-text-anchor:top;visibility:visible;" filled="f" stroked="f" strokeweight="0.50pt">
              <v:textbox inset="0,0,0,0">
                <w:txbxContent>
                  <w:p>
                    <w:pPr>
                      <w:pStyle w:val="869"/>
                      <w:jc w:val="both"/>
                    </w:pPr>
                    <w:r>
                      <w:rPr>
                        <w:lang w:val="zh-CN"/>
                      </w:rPr>
                      <w:t xml:space="preserve"> </w:t>
                    </w:r>
                    <w:r>
                      <w:rPr>
                        <w:rFonts w:hint="eastAsia" w:ascii="宋体" w:hAnsi="宋体" w:eastAsia="宋体" w:cs="宋体"/>
                        <w:b w:val="0"/>
                        <w:bCs/>
                        <w:sz w:val="24"/>
                        <w:szCs w:val="24"/>
                      </w:rPr>
                      <w:fldChar w:fldCharType="begin"/>
                    </w:r>
                    <w:r>
                      <w:rPr>
                        <w:rFonts w:hint="eastAsia" w:ascii="宋体" w:hAnsi="宋体" w:eastAsia="宋体" w:cs="宋体"/>
                        <w:b w:val="0"/>
                        <w:bCs/>
                      </w:rPr>
                      <w:instrText xml:space="preserve">PAGE</w:instrText>
                    </w:r>
                    <w:r>
                      <w:rPr>
                        <w:rFonts w:hint="eastAsia" w:ascii="宋体" w:hAnsi="宋体" w:eastAsia="宋体" w:cs="宋体"/>
                        <w:b w:val="0"/>
                        <w:bCs/>
                        <w:sz w:val="24"/>
                        <w:szCs w:val="24"/>
                      </w:rPr>
                      <w:fldChar w:fldCharType="separate"/>
                    </w:r>
                    <w:r>
                      <w:rPr>
                        <w:rFonts w:hint="eastAsia" w:ascii="宋体" w:hAnsi="宋体" w:eastAsia="宋体" w:cs="宋体"/>
                        <w:b w:val="0"/>
                        <w:bCs/>
                      </w:rPr>
                      <w:t xml:space="preserve">7</w:t>
                    </w:r>
                    <w:r>
                      <w:rPr>
                        <w:rFonts w:hint="eastAsia" w:ascii="宋体" w:hAnsi="宋体" w:eastAsia="宋体" w:cs="宋体"/>
                        <w:b w:val="0"/>
                        <w:bCs/>
                        <w:sz w:val="24"/>
                        <w:szCs w:val="24"/>
                      </w:rPr>
                      <w:fldChar w:fldCharType="end"/>
                    </w:r>
                    <w:r>
                      <w:rPr>
                        <w:lang w:val="zh-CN"/>
                      </w:rPr>
                      <w:t xml:space="preserve"> </w:t>
                    </w:r>
                    <w:r/>
                  </w:p>
                </w:txbxContent>
              </v:textbox>
            </v:shape>
          </w:pict>
        </mc:Fallback>
      </mc:AlternateContent>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600"/>
      <w:spacing w:line="400" w:lineRule="exact"/>
    </w:pPr>
    <w:r>
      <w:rPr>
        <w:rFonts w:hint="eastAsia"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JSZC-320900-JZCG-G2026-0084</w:t>
    </w:r>
    <w:r>
      <w:rPr>
        <w:rFonts w:hint="eastAsia"/>
        <w:sz w:val="22"/>
        <w:szCs w:val="22"/>
      </w:rPr>
      <w:t xml:space="preserve">）</w:t>
    </w:r>
    <w:r>
      <w:rPr>
        <w:rFonts w:hint="eastAsia"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ind w:left="0" w:firstLine="0"/>
        <w:tabs>
          <w:tab w:val="left" w:pos="0" w:leader="none"/>
        </w:tabs>
      </w:pPr>
      <w:rPr>
        <w:rFonts w:hint="eastAsia"/>
      </w:rPr>
    </w:lvl>
    <w:lvl w:ilvl="1">
      <w:start w:val="1"/>
      <w:numFmt w:val="bullet"/>
      <w:isLgl w:val="false"/>
      <w:suff w:val="tab"/>
      <w:lvlText w:val="o"/>
      <w:lvlJc w:val="left"/>
      <w:pPr>
        <w:ind w:left="1440" w:hanging="360"/>
        <w:tabs>
          <w:tab w:val="left" w:pos="0" w:leader="none"/>
        </w:tabs>
      </w:pPr>
      <w:rPr>
        <w:rFonts w:ascii="Courier New" w:hAnsi="Courier New" w:eastAsia="Courier New" w:cs="Courier New"/>
      </w:rPr>
    </w:lvl>
    <w:lvl w:ilvl="2">
      <w:start w:val="1"/>
      <w:numFmt w:val="bullet"/>
      <w:isLgl w:val="false"/>
      <w:suff w:val="tab"/>
      <w:lvlText w:val="§"/>
      <w:lvlJc w:val="left"/>
      <w:pPr>
        <w:ind w:left="2160" w:hanging="360"/>
        <w:tabs>
          <w:tab w:val="left" w:pos="0" w:leader="none"/>
        </w:tabs>
      </w:pPr>
      <w:rPr>
        <w:rFonts w:ascii="Wingdings" w:hAnsi="Wingdings" w:eastAsia="Wingdings" w:cs="Wingdings"/>
      </w:rPr>
    </w:lvl>
    <w:lvl w:ilvl="3">
      <w:start w:val="1"/>
      <w:numFmt w:val="bullet"/>
      <w:isLgl w:val="false"/>
      <w:suff w:val="tab"/>
      <w:lvlText w:val="·"/>
      <w:lvlJc w:val="left"/>
      <w:pPr>
        <w:ind w:left="2880" w:hanging="360"/>
        <w:tabs>
          <w:tab w:val="left" w:pos="0" w:leader="none"/>
        </w:tabs>
      </w:pPr>
      <w:rPr>
        <w:rFonts w:ascii="Symbol" w:hAnsi="Symbol" w:eastAsia="Symbol" w:cs="Symbol"/>
      </w:rPr>
    </w:lvl>
    <w:lvl w:ilvl="4">
      <w:start w:val="1"/>
      <w:numFmt w:val="bullet"/>
      <w:isLgl w:val="false"/>
      <w:suff w:val="tab"/>
      <w:lvlText w:val="o"/>
      <w:lvlJc w:val="left"/>
      <w:pPr>
        <w:ind w:left="3600" w:hanging="360"/>
        <w:tabs>
          <w:tab w:val="left" w:pos="0" w:leader="none"/>
        </w:tabs>
      </w:pPr>
      <w:rPr>
        <w:rFonts w:ascii="Courier New" w:hAnsi="Courier New" w:eastAsia="Courier New" w:cs="Courier New"/>
      </w:rPr>
    </w:lvl>
    <w:lvl w:ilvl="5">
      <w:start w:val="1"/>
      <w:numFmt w:val="bullet"/>
      <w:isLgl w:val="false"/>
      <w:suff w:val="tab"/>
      <w:lvlText w:val="§"/>
      <w:lvlJc w:val="left"/>
      <w:pPr>
        <w:ind w:left="4320" w:hanging="360"/>
        <w:tabs>
          <w:tab w:val="left" w:pos="0" w:leader="none"/>
        </w:tabs>
      </w:pPr>
      <w:rPr>
        <w:rFonts w:ascii="Wingdings" w:hAnsi="Wingdings" w:eastAsia="Wingdings" w:cs="Wingdings"/>
      </w:rPr>
    </w:lvl>
    <w:lvl w:ilvl="6">
      <w:start w:val="1"/>
      <w:numFmt w:val="bullet"/>
      <w:isLgl w:val="false"/>
      <w:suff w:val="tab"/>
      <w:lvlText w:val="·"/>
      <w:lvlJc w:val="left"/>
      <w:pPr>
        <w:ind w:left="5040" w:hanging="360"/>
        <w:tabs>
          <w:tab w:val="left" w:pos="0" w:leader="none"/>
        </w:tabs>
      </w:pPr>
      <w:rPr>
        <w:rFonts w:ascii="Symbol" w:hAnsi="Symbol" w:eastAsia="Symbol" w:cs="Symbol"/>
      </w:rPr>
    </w:lvl>
    <w:lvl w:ilvl="7">
      <w:start w:val="1"/>
      <w:numFmt w:val="bullet"/>
      <w:isLgl w:val="false"/>
      <w:suff w:val="tab"/>
      <w:lvlText w:val="o"/>
      <w:lvlJc w:val="left"/>
      <w:pPr>
        <w:ind w:left="5760" w:hanging="360"/>
        <w:tabs>
          <w:tab w:val="left" w:pos="0" w:leader="none"/>
        </w:tabs>
      </w:pPr>
      <w:rPr>
        <w:rFonts w:ascii="Courier New" w:hAnsi="Courier New" w:eastAsia="Courier New" w:cs="Courier New"/>
      </w:rPr>
    </w:lvl>
    <w:lvl w:ilvl="8">
      <w:start w:val="1"/>
      <w:numFmt w:val="bullet"/>
      <w:isLgl w:val="false"/>
      <w:suff w:val="tab"/>
      <w:lvlText w:val="§"/>
      <w:lvlJc w:val="left"/>
      <w:pPr>
        <w:ind w:left="6480" w:hanging="360"/>
        <w:tabs>
          <w:tab w:val="left" w:pos="0" w:leader="none"/>
        </w:tabs>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1）"/>
      <w:lvlJc w:val="left"/>
      <w:pPr>
        <w:ind w:left="567"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98">
    <w:name w:val="Heading 1"/>
    <w:basedOn w:val="697"/>
    <w:next w:val="697"/>
    <w:link w:val="810"/>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700">
    <w:name w:val="Heading 3"/>
    <w:basedOn w:val="697"/>
    <w:next w:val="697"/>
    <w:link w:val="762"/>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2"/>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861"/>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819"/>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5"/>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54"/>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right="0" w:firstLine="0"/>
      <w:spacing w:after="57"/>
    </w:pPr>
  </w:style>
  <w:style w:type="paragraph" w:styleId="710">
    <w:name w:val="Caption"/>
    <w:basedOn w:val="697"/>
    <w:next w:val="697"/>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11">
    <w:name w:val="annotation text"/>
    <w:basedOn w:val="697"/>
    <w:uiPriority w:val="0"/>
    <w:qFormat/>
    <w:pPr>
      <w:jc w:val="left"/>
    </w:pPr>
  </w:style>
  <w:style w:type="paragraph" w:styleId="712">
    <w:name w:val="Body Text"/>
    <w:basedOn w:val="697"/>
    <w:uiPriority w:val="0"/>
    <w:unhideWhenUsed/>
    <w:qFormat/>
    <w:pPr>
      <w:spacing w:after="120"/>
    </w:pPr>
    <w:rPr>
      <w:rFonts w:ascii="Calibri" w:hAnsi="Calibri"/>
      <w:szCs w:val="22"/>
    </w:rPr>
  </w:style>
  <w:style w:type="paragraph" w:styleId="713">
    <w:name w:val="index 4"/>
    <w:basedOn w:val="697"/>
    <w:next w:val="697"/>
    <w:uiPriority w:val="0"/>
    <w:qFormat/>
    <w:pPr>
      <w:ind w:left="600"/>
      <w:jc w:val="both"/>
    </w:pPr>
    <w:rPr>
      <w:rFonts w:ascii="Calibri" w:hAnsi="Calibri" w:cs="Times New Roman"/>
      <w:sz w:val="21"/>
    </w:rPr>
  </w:style>
  <w:style w:type="paragraph" w:styleId="714">
    <w:name w:val="toc 5"/>
    <w:basedOn w:val="697"/>
    <w:next w:val="697"/>
    <w:uiPriority w:val="39"/>
    <w:unhideWhenUsed/>
    <w:qFormat/>
    <w:pPr>
      <w:ind w:left="1134" w:right="0" w:firstLine="0"/>
      <w:spacing w:after="57"/>
    </w:pPr>
  </w:style>
  <w:style w:type="paragraph" w:styleId="715">
    <w:name w:val="toc 3"/>
    <w:basedOn w:val="697"/>
    <w:next w:val="697"/>
    <w:uiPriority w:val="39"/>
    <w:unhideWhenUsed/>
    <w:qFormat/>
    <w:pPr>
      <w:ind w:left="567" w:right="0" w:firstLine="0"/>
      <w:spacing w:after="57"/>
    </w:pPr>
  </w:style>
  <w:style w:type="paragraph" w:styleId="716">
    <w:name w:val="Plain Text"/>
    <w:basedOn w:val="697"/>
    <w:uiPriority w:val="0"/>
    <w:unhideWhenUsed/>
    <w:qFormat/>
    <w:rPr>
      <w:rFonts w:ascii="宋体" w:hAnsi="Courier New" w:cs="Courier New"/>
      <w:szCs w:val="21"/>
    </w:rPr>
  </w:style>
  <w:style w:type="paragraph" w:styleId="717">
    <w:name w:val="toc 8"/>
    <w:basedOn w:val="697"/>
    <w:next w:val="697"/>
    <w:uiPriority w:val="39"/>
    <w:unhideWhenUsed/>
    <w:qFormat/>
    <w:pPr>
      <w:ind w:left="1984" w:right="0" w:firstLine="0"/>
      <w:spacing w:after="57"/>
    </w:pPr>
  </w:style>
  <w:style w:type="paragraph" w:styleId="718">
    <w:name w:val="endnote text"/>
    <w:basedOn w:val="697"/>
    <w:link w:val="824"/>
    <w:uiPriority w:val="99"/>
    <w:semiHidden/>
    <w:unhideWhenUsed/>
    <w:qFormat/>
    <w:pPr>
      <w:spacing w:after="0" w:line="240" w:lineRule="auto"/>
    </w:pPr>
    <w:rPr>
      <w:sz w:val="20"/>
    </w:rPr>
  </w:style>
  <w:style w:type="paragraph" w:styleId="719">
    <w:name w:val="Footer"/>
    <w:basedOn w:val="697"/>
    <w:link w:val="814"/>
    <w:uiPriority w:val="0"/>
    <w:qFormat/>
    <w:pPr>
      <w:jc w:val="left"/>
      <w:tabs>
        <w:tab w:val="center" w:pos="4153" w:leader="none"/>
        <w:tab w:val="right" w:pos="8306" w:leader="none"/>
      </w:tabs>
    </w:pPr>
    <w:rPr>
      <w:sz w:val="18"/>
      <w:szCs w:val="18"/>
    </w:rPr>
  </w:style>
  <w:style w:type="paragraph" w:styleId="720">
    <w:name w:val="Header"/>
    <w:basedOn w:val="697"/>
    <w:link w:val="791"/>
    <w:uiPriority w:val="0"/>
    <w:qFormat/>
    <w:pPr>
      <w:jc w:val="center"/>
      <w:tabs>
        <w:tab w:val="center" w:pos="4153" w:leader="none"/>
        <w:tab w:val="right" w:pos="8306" w:leader="none"/>
      </w:tabs>
      <w:pBdr>
        <w:bottom w:val="single" w:color="auto" w:sz="6" w:space="1"/>
      </w:pBdr>
    </w:pPr>
    <w:rPr>
      <w:sz w:val="18"/>
      <w:szCs w:val="18"/>
    </w:rPr>
  </w:style>
  <w:style w:type="paragraph" w:styleId="721">
    <w:name w:val="toc 1"/>
    <w:basedOn w:val="697"/>
    <w:next w:val="697"/>
    <w:uiPriority w:val="39"/>
    <w:unhideWhenUsed/>
    <w:qFormat/>
    <w:pPr>
      <w:ind w:left="0" w:right="0" w:firstLine="0"/>
      <w:spacing w:after="57"/>
    </w:pPr>
  </w:style>
  <w:style w:type="paragraph" w:styleId="722">
    <w:name w:val="toc 4"/>
    <w:basedOn w:val="697"/>
    <w:next w:val="697"/>
    <w:uiPriority w:val="39"/>
    <w:unhideWhenUsed/>
    <w:qFormat/>
    <w:pPr>
      <w:ind w:left="850" w:right="0" w:firstLine="0"/>
      <w:spacing w:after="57"/>
    </w:pPr>
  </w:style>
  <w:style w:type="paragraph" w:styleId="723">
    <w:name w:val="Subtitle"/>
    <w:basedOn w:val="697"/>
    <w:next w:val="697"/>
    <w:link w:val="890"/>
    <w:uiPriority w:val="11"/>
    <w:qFormat/>
    <w:pPr>
      <w:spacing w:before="200" w:after="200"/>
    </w:pPr>
    <w:rPr>
      <w:sz w:val="24"/>
      <w:szCs w:val="24"/>
    </w:rPr>
  </w:style>
  <w:style w:type="paragraph" w:styleId="724">
    <w:name w:val="footnote text"/>
    <w:basedOn w:val="697"/>
    <w:link w:val="870"/>
    <w:uiPriority w:val="99"/>
    <w:semiHidden/>
    <w:unhideWhenUsed/>
    <w:qFormat/>
    <w:pPr>
      <w:spacing w:after="40" w:line="240" w:lineRule="auto"/>
    </w:pPr>
    <w:rPr>
      <w:sz w:val="18"/>
    </w:rPr>
  </w:style>
  <w:style w:type="paragraph" w:styleId="725">
    <w:name w:val="toc 6"/>
    <w:basedOn w:val="697"/>
    <w:next w:val="697"/>
    <w:uiPriority w:val="39"/>
    <w:unhideWhenUsed/>
    <w:qFormat/>
    <w:pPr>
      <w:ind w:left="1417" w:right="0" w:firstLine="0"/>
      <w:spacing w:after="57"/>
    </w:pPr>
  </w:style>
  <w:style w:type="paragraph" w:styleId="726">
    <w:name w:val="Body Text Indent 3"/>
    <w:basedOn w:val="697"/>
    <w:uiPriority w:val="0"/>
    <w:qFormat/>
    <w:pPr>
      <w:ind w:left="645" w:firstLine="645"/>
    </w:pPr>
    <w:rPr>
      <w:rFonts w:ascii="Arial" w:hAnsi="Arial" w:eastAsia="仿宋_GB2312" w:cs="Arial"/>
      <w:color w:val="ffff00"/>
      <w:sz w:val="32"/>
      <w:szCs w:val="32"/>
    </w:rPr>
  </w:style>
  <w:style w:type="paragraph" w:styleId="727">
    <w:name w:val="table of figures"/>
    <w:basedOn w:val="697"/>
    <w:next w:val="697"/>
    <w:uiPriority w:val="99"/>
    <w:unhideWhenUsed/>
    <w:qFormat/>
    <w:pPr>
      <w:spacing w:after="0" w:afterAutospacing="0"/>
    </w:pPr>
  </w:style>
  <w:style w:type="paragraph" w:styleId="728">
    <w:name w:val="toc 2"/>
    <w:basedOn w:val="697"/>
    <w:next w:val="697"/>
    <w:uiPriority w:val="39"/>
    <w:unhideWhenUsed/>
    <w:qFormat/>
    <w:pPr>
      <w:ind w:left="283" w:right="0" w:firstLine="0"/>
      <w:spacing w:after="57"/>
    </w:pPr>
  </w:style>
  <w:style w:type="paragraph" w:styleId="729">
    <w:name w:val="toc 9"/>
    <w:basedOn w:val="697"/>
    <w:next w:val="697"/>
    <w:uiPriority w:val="39"/>
    <w:unhideWhenUsed/>
    <w:qFormat/>
    <w:pPr>
      <w:ind w:left="2268" w:right="0" w:firstLine="0"/>
      <w:spacing w:after="57"/>
    </w:pPr>
  </w:style>
  <w:style w:type="paragraph" w:styleId="730">
    <w:name w:val="Normal (Web)"/>
    <w:basedOn w:val="697"/>
    <w:uiPriority w:val="0"/>
    <w:qFormat/>
    <w:pPr>
      <w:jc w:val="left"/>
      <w:spacing w:beforeAutospacing="1" w:afterAutospacing="1"/>
    </w:pPr>
    <w:rPr>
      <w:rFonts w:cs="Times New Roman"/>
      <w:sz w:val="24"/>
    </w:rPr>
  </w:style>
  <w:style w:type="paragraph" w:styleId="731">
    <w:name w:val="Title"/>
    <w:basedOn w:val="697"/>
    <w:next w:val="697"/>
    <w:link w:val="834"/>
    <w:uiPriority w:val="10"/>
    <w:qFormat/>
    <w:pPr>
      <w:contextualSpacing/>
      <w:spacing w:before="300" w:after="200"/>
    </w:pPr>
    <w:rPr>
      <w:sz w:val="48"/>
      <w:szCs w:val="48"/>
    </w:rPr>
  </w:style>
  <w:style w:type="table" w:styleId="732">
    <w:name w:val="Table Grid"/>
    <w:basedOn w:val="70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3">
    <w:name w:val="Strong"/>
    <w:basedOn w:val="707"/>
    <w:uiPriority w:val="0"/>
    <w:qFormat/>
    <w:rPr>
      <w:b/>
    </w:rPr>
  </w:style>
  <w:style w:type="character" w:styleId="734">
    <w:name w:val="endnote reference"/>
    <w:basedOn w:val="707"/>
    <w:uiPriority w:val="99"/>
    <w:semiHidden/>
    <w:unhideWhenUsed/>
    <w:qFormat/>
    <w:rPr>
      <w:vertAlign w:val="superscript"/>
    </w:rPr>
  </w:style>
  <w:style w:type="character" w:styleId="735">
    <w:name w:val="Emphasis"/>
    <w:uiPriority w:val="0"/>
    <w:qFormat/>
    <w:rPr>
      <w:i/>
    </w:rPr>
  </w:style>
  <w:style w:type="character" w:styleId="736">
    <w:name w:val="Hyperlink"/>
    <w:uiPriority w:val="99"/>
    <w:unhideWhenUsed/>
    <w:qFormat/>
    <w:rPr>
      <w:color w:val="0563c1" w:themeColor="hyperlink"/>
      <w:u w:val="single"/>
      <w14:textFill>
        <w14:solidFill>
          <w14:schemeClr w14:val="hlink"/>
        </w14:solidFill>
      </w14:textFill>
    </w:rPr>
  </w:style>
  <w:style w:type="character" w:styleId="737">
    <w:name w:val="footnote reference"/>
    <w:basedOn w:val="707"/>
    <w:uiPriority w:val="99"/>
    <w:unhideWhenUsed/>
    <w:qFormat/>
    <w:rPr>
      <w:vertAlign w:val="superscript"/>
    </w:rPr>
  </w:style>
  <w:style w:type="table" w:styleId="738"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9" w:customStyle="1">
    <w:name w:val="Table Grid Light"/>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0" w:customStyle="1">
    <w:name w:val="Grid Table 1 Light - Accent 6"/>
    <w:basedOn w:val="70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character" w:styleId="741" w:customStyle="1">
    <w:name w:val="Caption Char"/>
    <w:uiPriority w:val="99"/>
    <w:qFormat/>
  </w:style>
  <w:style w:type="character" w:styleId="742" w:customStyle="1">
    <w:name w:val="Heading 4 Char"/>
    <w:basedOn w:val="707"/>
    <w:link w:val="701"/>
    <w:uiPriority w:val="9"/>
    <w:qFormat/>
    <w:rPr>
      <w:rFonts w:ascii="Arial" w:hAnsi="Arial" w:eastAsia="Arial" w:cs="Arial"/>
      <w:b/>
      <w:bCs/>
      <w:sz w:val="26"/>
      <w:szCs w:val="26"/>
    </w:rPr>
  </w:style>
  <w:style w:type="table" w:styleId="743" w:customStyle="1">
    <w:name w:val="List Table 2 - Accent 5"/>
    <w:basedOn w:val="708"/>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44" w:customStyle="1">
    <w:name w:val="Grid Table 6 Colorful - Accent 4"/>
    <w:basedOn w:val="70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character" w:styleId="745" w:customStyle="1">
    <w:name w:val="Heading 8 Char"/>
    <w:basedOn w:val="707"/>
    <w:link w:val="705"/>
    <w:uiPriority w:val="9"/>
    <w:qFormat/>
    <w:rPr>
      <w:rFonts w:ascii="Arial" w:hAnsi="Arial" w:eastAsia="Arial" w:cs="Arial"/>
      <w:i/>
      <w:iCs/>
      <w:sz w:val="22"/>
      <w:szCs w:val="22"/>
    </w:rPr>
  </w:style>
  <w:style w:type="table" w:styleId="746" w:customStyle="1">
    <w:name w:val="Grid Table 6 Colorful - Accent 5"/>
    <w:basedOn w:val="708"/>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7" w:customStyle="1">
    <w:name w:val="List Table 6 Colorful - Accent 3"/>
    <w:basedOn w:val="70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paragraph" w:styleId="748" w:customStyle="1">
    <w:name w:val="Default"/>
    <w:basedOn w:val="697"/>
    <w:uiPriority w:val="0"/>
    <w:semiHidden/>
    <w:qFormat/>
    <w:pPr>
      <w:jc w:val="left"/>
    </w:pPr>
    <w:rPr>
      <w:rFonts w:ascii="宋体" w:hAnsi="Calibri" w:cs="宋体"/>
      <w:color w:val="000000"/>
      <w:sz w:val="24"/>
    </w:rPr>
  </w:style>
  <w:style w:type="table" w:styleId="749" w:customStyle="1">
    <w:name w:val="List Table 4 - Accent 5"/>
    <w:basedOn w:val="708"/>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50" w:customStyle="1">
    <w:name w:val="List Table 4 - Accent 2"/>
    <w:basedOn w:val="70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paragraph" w:styleId="751">
    <w:name w:val="List Paragraph"/>
    <w:basedOn w:val="697"/>
    <w:uiPriority w:val="0"/>
    <w:qFormat/>
    <w:pPr>
      <w:contextualSpacing/>
      <w:ind w:left="720"/>
      <w:jc w:val="left"/>
      <w:widowControl/>
    </w:pPr>
    <w:rPr>
      <w:rFonts w:ascii="Calibri" w:hAnsi="Calibri" w:eastAsia="宋体" w:cs="Times New Roman"/>
      <w:sz w:val="24"/>
      <w:szCs w:val="24"/>
      <w:lang w:eastAsia="en-US" w:bidi="en-US"/>
    </w:rPr>
  </w:style>
  <w:style w:type="table" w:styleId="752" w:customStyle="1">
    <w:name w:val="List Table 1 Light - Accent 5"/>
    <w:basedOn w:val="708"/>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3" w:customStyle="1">
    <w:name w:val="List Table 1 Light - Accent 4"/>
    <w:basedOn w:val="70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character" w:styleId="754" w:customStyle="1">
    <w:name w:val="Heading 9 Char"/>
    <w:basedOn w:val="707"/>
    <w:link w:val="706"/>
    <w:uiPriority w:val="9"/>
    <w:qFormat/>
    <w:rPr>
      <w:rFonts w:ascii="Arial" w:hAnsi="Arial" w:eastAsia="Arial" w:cs="Arial"/>
      <w:i/>
      <w:iCs/>
      <w:sz w:val="21"/>
      <w:szCs w:val="21"/>
    </w:rPr>
  </w:style>
  <w:style w:type="table" w:styleId="755" w:customStyle="1">
    <w:name w:val="List Table 7 Colorful - Accent 5"/>
    <w:basedOn w:val="708"/>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756" w:customStyle="1">
    <w:name w:val="Bordered &amp; Lined - Accent 1"/>
    <w:basedOn w:val="708"/>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757" w:customStyle="1">
    <w:name w:val="List Table 4 - Accent 4"/>
    <w:basedOn w:val="70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58" w:customStyle="1">
    <w:name w:val="Grid Table 6 Colorful - Accent 3"/>
    <w:basedOn w:val="70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59" w:customStyle="1">
    <w:name w:val="List Table 5 Dark - Accent 4"/>
    <w:basedOn w:val="70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760" w:customStyle="1">
    <w:name w:val="BodyText"/>
    <w:basedOn w:val="697"/>
    <w:uiPriority w:val="0"/>
    <w:qFormat/>
    <w:pPr>
      <w:spacing w:after="120"/>
    </w:pPr>
    <w:rPr>
      <w:rFonts w:ascii="Calibri"/>
      <w:sz w:val="20"/>
    </w:rPr>
  </w:style>
  <w:style w:type="table" w:styleId="761" w:customStyle="1">
    <w:name w:val="List Table 3 - Accent 3"/>
    <w:basedOn w:val="70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character" w:styleId="762" w:customStyle="1">
    <w:name w:val="Heading 3 Char"/>
    <w:basedOn w:val="707"/>
    <w:link w:val="700"/>
    <w:uiPriority w:val="9"/>
    <w:qFormat/>
    <w:rPr>
      <w:rFonts w:ascii="Arial" w:hAnsi="Arial" w:eastAsia="Arial" w:cs="Arial"/>
      <w:sz w:val="30"/>
      <w:szCs w:val="30"/>
    </w:rPr>
  </w:style>
  <w:style w:type="table" w:styleId="763" w:customStyle="1">
    <w:name w:val="List Table 5 Dark - Accent 5"/>
    <w:basedOn w:val="708"/>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3 - Accent 2"/>
    <w:basedOn w:val="70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65" w:customStyle="1">
    <w:name w:val="List Table 6 Colorful - Accent 6"/>
    <w:basedOn w:val="70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66" w:customStyle="1">
    <w:name w:val="Lined - Accent 6"/>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767" w:customStyle="1">
    <w:name w:val="List Table 1 Light - Accent 6"/>
    <w:basedOn w:val="70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8" w:customStyle="1">
    <w:name w:val="Bordered &amp; Lined - Accent 4"/>
    <w:basedOn w:val="70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paragraph" w:styleId="769" w:customStyle="1">
    <w:name w:val="正文文本缩进1"/>
    <w:basedOn w:val="697"/>
    <w:uiPriority w:val="0"/>
    <w:qFormat/>
    <w:pPr>
      <w:ind w:left="420"/>
      <w:spacing w:after="120"/>
    </w:pPr>
  </w:style>
  <w:style w:type="table" w:styleId="770" w:customStyle="1">
    <w:name w:val="Grid Table 4 - Accent 4"/>
    <w:basedOn w:val="70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1" w:customStyle="1">
    <w:name w:val="Lined - Accent 5"/>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772" w:customStyle="1">
    <w:name w:val="Grid Table 7 Colorful - Accent 5"/>
    <w:basedOn w:val="708"/>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3"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basedOn w:val="708"/>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5" w:customStyle="1">
    <w:name w:val="Grid Table 1 Light - Accent 1"/>
    <w:basedOn w:val="70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6" w:customStyle="1">
    <w:name w:val="Bordered - Accent 3"/>
    <w:basedOn w:val="70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777" w:customStyle="1">
    <w:name w:val="List Table 3 - Accent 4"/>
    <w:basedOn w:val="70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8" w:customStyle="1">
    <w:name w:val="Grid Table 1 Light - Accent 2"/>
    <w:basedOn w:val="70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9" w:customStyle="1">
    <w:name w:val="Bordered - Accent 4"/>
    <w:basedOn w:val="70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paragraph" w:styleId="780">
    <w:name w:val="No Spacing"/>
    <w:uiPriority w:val="1"/>
    <w:qFormat/>
    <w:pPr>
      <w:spacing w:before="0" w:after="0" w:line="240" w:lineRule="auto"/>
    </w:pPr>
    <w:rPr>
      <w:rFonts w:hint="default" w:ascii="Times New Roman" w:hAnsi="Times New Roman" w:eastAsia="宋体" w:cs="Times New Roman"/>
    </w:rPr>
  </w:style>
  <w:style w:type="table" w:styleId="781"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Grid Table 3 - Accent 5"/>
    <w:basedOn w:val="70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783" w:customStyle="1">
    <w:name w:val="Heading 2 Char"/>
    <w:basedOn w:val="707"/>
    <w:uiPriority w:val="9"/>
    <w:qFormat/>
    <w:rPr>
      <w:rFonts w:ascii="Arial" w:hAnsi="Arial" w:eastAsia="Arial" w:cs="Arial"/>
      <w:sz w:val="34"/>
    </w:rPr>
  </w:style>
  <w:style w:type="table" w:styleId="784" w:customStyle="1">
    <w:name w:val="List Table 5 Dark - Accent 2"/>
    <w:basedOn w:val="70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Grid Table 4 - Accent 5"/>
    <w:basedOn w:val="708"/>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6" w:customStyle="1">
    <w:name w:val="Grid Table 7 Colorful - Accent 4"/>
    <w:basedOn w:val="70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7" w:customStyle="1">
    <w:name w:val="Grid Table 1 Light - Accent 4"/>
    <w:basedOn w:val="70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8" w:customStyle="1">
    <w:name w:val="Bordered - Accent 2"/>
    <w:basedOn w:val="70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789" w:customStyle="1">
    <w:name w:val="List Table 2 - Accent 3"/>
    <w:basedOn w:val="70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0" w:customStyle="1">
    <w:name w:val="List Table 7 Colorful - Accent 1"/>
    <w:basedOn w:val="708"/>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character" w:styleId="791" w:customStyle="1">
    <w:name w:val="页眉 Char"/>
    <w:basedOn w:val="707"/>
    <w:link w:val="720"/>
    <w:uiPriority w:val="0"/>
    <w:qFormat/>
    <w:rPr>
      <w:rFonts w:asciiTheme="minorHAnsi" w:hAnsiTheme="minorHAnsi" w:eastAsiaTheme="minorEastAsia" w:cstheme="minorBidi"/>
      <w:sz w:val="18"/>
      <w:szCs w:val="18"/>
    </w:rPr>
  </w:style>
  <w:style w:type="table" w:styleId="792"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5 Dark - Accent 2"/>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4" w:customStyle="1">
    <w:name w:val="Grid Table 5 Dark - Accent 6"/>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5" w:customStyle="1">
    <w:name w:val="Bordered &amp; Lined - Accent 2"/>
    <w:basedOn w:val="70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796" w:customStyle="1">
    <w:name w:val="Grid Table 7 Colorful - Accent 2"/>
    <w:basedOn w:val="70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7" w:customStyle="1">
    <w:name w:val="List Table 5 Dark - Accent 3"/>
    <w:basedOn w:val="70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2 - Accent 6"/>
    <w:basedOn w:val="70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9" w:customStyle="1">
    <w:name w:val="Grid Table 2 - Accent 5"/>
    <w:basedOn w:val="708"/>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0"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Grid Table 7 Colorful - Accent 3"/>
    <w:basedOn w:val="70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2" w:customStyle="1">
    <w:name w:val="List Table 1 Light - Accent 2"/>
    <w:basedOn w:val="70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3" w:customStyle="1">
    <w:name w:val="Bordered - Accent 1"/>
    <w:basedOn w:val="708"/>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04"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Grid Table 3 - Accent 3"/>
    <w:basedOn w:val="70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1 Light - Accent 5"/>
    <w:basedOn w:val="70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7" w:customStyle="1">
    <w:name w:val="List Table 4 - Accent 1"/>
    <w:basedOn w:val="708"/>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8" w:customStyle="1">
    <w:name w:val="Grid Table 2 - Accent 2"/>
    <w:basedOn w:val="70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9" w:customStyle="1">
    <w:name w:val="Grid Table 5 Dark - Accent 5"/>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character" w:styleId="810" w:customStyle="1">
    <w:name w:val="Heading 1 Char"/>
    <w:basedOn w:val="707"/>
    <w:link w:val="698"/>
    <w:uiPriority w:val="9"/>
    <w:qFormat/>
    <w:rPr>
      <w:rFonts w:ascii="Arial" w:hAnsi="Arial" w:eastAsia="Arial" w:cs="Arial"/>
      <w:sz w:val="40"/>
      <w:szCs w:val="40"/>
    </w:rPr>
  </w:style>
  <w:style w:type="paragraph" w:styleId="811" w:customStyle="1">
    <w:name w:val="列出段落1"/>
    <w:basedOn w:val="697"/>
    <w:uiPriority w:val="0"/>
    <w:qFormat/>
    <w:pPr>
      <w:contextualSpacing/>
      <w:ind w:left="720"/>
      <w:jc w:val="left"/>
      <w:widowControl/>
    </w:pPr>
    <w:rPr>
      <w:rFonts w:ascii="Calibri" w:hAnsi="Calibri" w:eastAsia="宋体" w:cs="Times New Roman"/>
      <w:sz w:val="24"/>
      <w:szCs w:val="24"/>
      <w:lang w:eastAsia="en-US" w:bidi="en-US"/>
    </w:rPr>
  </w:style>
  <w:style w:type="table" w:styleId="812" w:customStyle="1">
    <w:name w:val="Grid Table 5 Dark - Accent 3"/>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3" w:customStyle="1">
    <w:name w:val="Bordered"/>
    <w:basedOn w:val="70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character" w:styleId="814" w:customStyle="1">
    <w:name w:val="页脚 Char"/>
    <w:basedOn w:val="707"/>
    <w:link w:val="719"/>
    <w:uiPriority w:val="0"/>
    <w:qFormat/>
    <w:rPr>
      <w:rFonts w:asciiTheme="minorHAnsi" w:hAnsiTheme="minorHAnsi" w:eastAsiaTheme="minorEastAsia" w:cstheme="minorBidi"/>
      <w:sz w:val="18"/>
      <w:szCs w:val="18"/>
    </w:rPr>
  </w:style>
  <w:style w:type="table" w:styleId="815" w:customStyle="1">
    <w:name w:val="Grid Table 2 - Accent 3"/>
    <w:basedOn w:val="70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6" w:customStyle="1">
    <w:name w:val="List Table 1 Light - Accent 3"/>
    <w:basedOn w:val="70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7" w:customStyle="1">
    <w:name w:val="Bordered &amp; Lined - Accent"/>
    <w:basedOn w:val="70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Bordered &amp; Lined - Accent 5"/>
    <w:basedOn w:val="708"/>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character" w:styleId="819" w:customStyle="1">
    <w:name w:val="Heading 6 Char"/>
    <w:basedOn w:val="707"/>
    <w:link w:val="703"/>
    <w:uiPriority w:val="9"/>
    <w:qFormat/>
    <w:rPr>
      <w:rFonts w:ascii="Arial" w:hAnsi="Arial" w:eastAsia="Arial" w:cs="Arial"/>
      <w:b/>
      <w:bCs/>
      <w:sz w:val="22"/>
      <w:szCs w:val="22"/>
    </w:rPr>
  </w:style>
  <w:style w:type="paragraph" w:styleId="820" w:customStyle="1">
    <w:name w:val="正文首行缩进 21"/>
    <w:basedOn w:val="769"/>
    <w:uiPriority w:val="0"/>
    <w:qFormat/>
    <w:pPr>
      <w:ind w:firstLine="420"/>
    </w:pPr>
  </w:style>
  <w:style w:type="table" w:styleId="821" w:customStyle="1">
    <w:name w:val="Grid Table 3 - Accent 4"/>
    <w:basedOn w:val="70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2 - Accent 1"/>
    <w:basedOn w:val="70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3" w:customStyle="1">
    <w:name w:val="Bordered - Accent 6"/>
    <w:basedOn w:val="70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4" w:customStyle="1">
    <w:name w:val="Endnote Text Char"/>
    <w:link w:val="718"/>
    <w:uiPriority w:val="99"/>
    <w:qFormat/>
    <w:rPr>
      <w:sz w:val="20"/>
    </w:rPr>
  </w:style>
  <w:style w:type="table" w:styleId="825"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826" w:customStyle="1">
    <w:name w:val="Footer1"/>
    <w:basedOn w:val="697"/>
    <w:uiPriority w:val="99"/>
    <w:qFormat/>
    <w:pPr>
      <w:jc w:val="left"/>
      <w:tabs>
        <w:tab w:val="center" w:pos="4153" w:leader="none"/>
        <w:tab w:val="right" w:pos="8306" w:leader="none"/>
      </w:tabs>
    </w:pPr>
    <w:rPr>
      <w:sz w:val="18"/>
      <w:szCs w:val="18"/>
    </w:rPr>
  </w:style>
  <w:style w:type="character" w:styleId="827" w:customStyle="1">
    <w:name w:val="Header Char"/>
    <w:basedOn w:val="707"/>
    <w:uiPriority w:val="99"/>
    <w:qFormat/>
  </w:style>
  <w:style w:type="table" w:styleId="828" w:customStyle="1">
    <w:name w:val="List Table 6 Colorful - Accent 5"/>
    <w:basedOn w:val="708"/>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character" w:styleId="829" w:customStyle="1">
    <w:name w:val="Heading 7 Char"/>
    <w:basedOn w:val="707"/>
    <w:link w:val="704"/>
    <w:uiPriority w:val="9"/>
    <w:qFormat/>
    <w:rPr>
      <w:rFonts w:ascii="Arial" w:hAnsi="Arial" w:eastAsia="Arial" w:cs="Arial"/>
      <w:b/>
      <w:bCs/>
      <w:i/>
      <w:iCs/>
      <w:sz w:val="22"/>
      <w:szCs w:val="22"/>
    </w:rPr>
  </w:style>
  <w:style w:type="table" w:styleId="830" w:customStyle="1">
    <w:name w:val="List Table 4 - Accent 6"/>
    <w:basedOn w:val="70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1" w:customStyle="1">
    <w:name w:val="List Table 6 Colorful - Accent 1"/>
    <w:basedOn w:val="708"/>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2" w:customStyle="1">
    <w:name w:val="Bordered &amp; Lined - Accent 6"/>
    <w:basedOn w:val="70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3" w:customStyle="1">
    <w:name w:val="List Table 6 Colorful - Accent 2"/>
    <w:basedOn w:val="70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character" w:styleId="834" w:customStyle="1">
    <w:name w:val="Title Char"/>
    <w:basedOn w:val="707"/>
    <w:link w:val="731"/>
    <w:uiPriority w:val="10"/>
    <w:qFormat/>
    <w:rPr>
      <w:sz w:val="48"/>
      <w:szCs w:val="48"/>
    </w:rPr>
  </w:style>
  <w:style w:type="table" w:styleId="835"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Bordered - Accent 5"/>
    <w:basedOn w:val="708"/>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37" w:customStyle="1">
    <w:name w:val="Lined - Accent 2"/>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paragraph" w:styleId="838" w:customStyle="1">
    <w:name w:val="页眉12"/>
    <w:uiPriority w:val="0"/>
    <w:qFormat/>
    <w:pPr>
      <w:ind w:firstLine="420"/>
      <w:jc w:val="center"/>
      <w:spacing w:line="360" w:lineRule="auto"/>
      <w:widowControl w:val="off"/>
      <w:tabs>
        <w:tab w:val="center" w:pos="4153" w:leader="none"/>
        <w:tab w:val="right" w:pos="8306" w:leader="none"/>
      </w:tabs>
      <w:pBdr>
        <w:bottom w:val="single" w:color="000000" w:sz="6" w:space="1"/>
      </w:pBdr>
    </w:pPr>
    <w:rPr>
      <w:rFonts w:hint="default" w:ascii="宋体" w:hAnsi="Times New Roman" w:eastAsia="宋体" w:cs="宋体"/>
      <w:color w:val="000000"/>
      <w:sz w:val="18"/>
      <w:szCs w:val="18"/>
      <w:lang w:val="en-US" w:eastAsia="zh-CN" w:bidi="ar-SA"/>
    </w:rPr>
  </w:style>
  <w:style w:type="table" w:styleId="839" w:customStyle="1">
    <w:name w:val="List Table 7 Colorful - Accent 3"/>
    <w:basedOn w:val="70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character" w:styleId="840" w:customStyle="1">
    <w:name w:val="font11"/>
    <w:basedOn w:val="707"/>
    <w:uiPriority w:val="0"/>
    <w:qFormat/>
    <w:rPr>
      <w:rFonts w:hint="eastAsia" w:ascii="宋体" w:hAnsi="宋体" w:eastAsia="宋体" w:cs="宋体"/>
      <w:color w:val="000000"/>
      <w:sz w:val="21"/>
      <w:szCs w:val="21"/>
      <w:u w:val="none"/>
    </w:rPr>
  </w:style>
  <w:style w:type="table" w:styleId="841"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4"/>
    <w:basedOn w:val="70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Lined - Accent 1"/>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4" w:customStyle="1">
    <w:name w:val="Grid Table 6 Colorful - Accent 2"/>
    <w:basedOn w:val="70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5" w:customStyle="1">
    <w:name w:val="Grid Table 4 - Accent 6"/>
    <w:basedOn w:val="70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6" w:customStyle="1">
    <w:name w:val="Grid Table 2 - Accent 4"/>
    <w:basedOn w:val="70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7"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 Accent 4"/>
    <w:basedOn w:val="70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9" w:customStyle="1">
    <w:name w:val="List Table 7 Colorful - Accent 6"/>
    <w:basedOn w:val="70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0" w:customStyle="1">
    <w:name w:val="Grid Table 4 - Accent 3"/>
    <w:basedOn w:val="70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1"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character" w:styleId="852" w:customStyle="1">
    <w:name w:val="font51"/>
    <w:basedOn w:val="707"/>
    <w:uiPriority w:val="0"/>
    <w:qFormat/>
    <w:rPr>
      <w:rFonts w:hint="eastAsia" w:ascii="宋体" w:hAnsi="宋体" w:eastAsia="宋体" w:cs="宋体"/>
      <w:color w:val="000000"/>
      <w:sz w:val="20"/>
      <w:szCs w:val="20"/>
      <w:u w:val="none"/>
    </w:rPr>
  </w:style>
  <w:style w:type="table" w:styleId="853" w:customStyle="1">
    <w:name w:val="Grid Table 4 - Accent 2"/>
    <w:basedOn w:val="70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4" w:customStyle="1">
    <w:name w:val="Grid Table 6 Colorful - Accent 1"/>
    <w:basedOn w:val="708"/>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5" w:customStyle="1">
    <w:name w:val="Grid Table 2 - Accent 6"/>
    <w:basedOn w:val="70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6" w:customStyle="1">
    <w:name w:val="Grid Table 6 Colorful - Accent 6"/>
    <w:basedOn w:val="70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7" w:customStyle="1">
    <w:name w:val="List Table 3 - Accent 5"/>
    <w:basedOn w:val="708"/>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8" w:customStyle="1">
    <w:name w:val="List Table 1 Light - Accent 1"/>
    <w:basedOn w:val="708"/>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paragraph" w:styleId="859">
    <w:name w:val="Quote"/>
    <w:basedOn w:val="697"/>
    <w:next w:val="697"/>
    <w:link w:val="875"/>
    <w:uiPriority w:val="29"/>
    <w:qFormat/>
    <w:pPr>
      <w:ind w:left="720" w:right="720"/>
    </w:pPr>
    <w:rPr>
      <w:i/>
    </w:rPr>
  </w:style>
  <w:style w:type="table" w:styleId="860"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character" w:styleId="861" w:customStyle="1">
    <w:name w:val="Heading 5 Char"/>
    <w:basedOn w:val="707"/>
    <w:link w:val="702"/>
    <w:uiPriority w:val="9"/>
    <w:qFormat/>
    <w:rPr>
      <w:rFonts w:ascii="Arial" w:hAnsi="Arial" w:eastAsia="Arial" w:cs="Arial"/>
      <w:b/>
      <w:bCs/>
      <w:sz w:val="24"/>
      <w:szCs w:val="24"/>
    </w:rPr>
  </w:style>
  <w:style w:type="table" w:styleId="862" w:customStyle="1">
    <w:name w:val="List Table 2 - Accent 2"/>
    <w:basedOn w:val="70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3"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Grid Table 3 - Accent 6"/>
    <w:basedOn w:val="70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List Table 2 - Accent 1"/>
    <w:basedOn w:val="708"/>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6"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Lined - Accent"/>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Grid Table 7 Colorful - Accent 6"/>
    <w:basedOn w:val="70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paragraph" w:styleId="869" w:customStyle="1">
    <w:name w:val="页脚1"/>
    <w:basedOn w:val="697"/>
    <w:uiPriority w:val="99"/>
    <w:unhideWhenUsed/>
    <w:qFormat/>
    <w:pPr>
      <w:jc w:val="left"/>
      <w:tabs>
        <w:tab w:val="center" w:pos="4153" w:leader="none"/>
        <w:tab w:val="right" w:pos="8306" w:leader="none"/>
      </w:tabs>
    </w:pPr>
    <w:rPr>
      <w:sz w:val="18"/>
      <w:szCs w:val="18"/>
    </w:rPr>
  </w:style>
  <w:style w:type="character" w:styleId="870" w:customStyle="1">
    <w:name w:val="Footnote Text Char"/>
    <w:link w:val="724"/>
    <w:uiPriority w:val="99"/>
    <w:qFormat/>
    <w:rPr>
      <w:sz w:val="18"/>
    </w:rPr>
  </w:style>
  <w:style w:type="paragraph" w:styleId="871" w:customStyle="1">
    <w:name w:val="文本块1"/>
    <w:basedOn w:val="697"/>
    <w:uiPriority w:val="0"/>
    <w:qFormat/>
    <w:pPr>
      <w:ind w:left="1440" w:right="1440"/>
      <w:spacing w:after="120"/>
    </w:pPr>
    <w:rPr>
      <w:rFonts w:ascii="Times New Roman" w:hAnsi="Times New Roman" w:eastAsia="宋体" w:cs="Times New Roman"/>
    </w:rPr>
  </w:style>
  <w:style w:type="table" w:styleId="872" w:customStyle="1">
    <w:name w:val="List Table 3 - Accent 1"/>
    <w:basedOn w:val="708"/>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3" w:customStyle="1">
    <w:name w:val="List Table 4 - Accent 3"/>
    <w:basedOn w:val="70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4"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75" w:customStyle="1">
    <w:name w:val="Quote Char"/>
    <w:link w:val="859"/>
    <w:uiPriority w:val="29"/>
    <w:qFormat/>
    <w:rPr>
      <w:i/>
    </w:rPr>
  </w:style>
  <w:style w:type="table" w:styleId="876" w:customStyle="1">
    <w:name w:val="Grid Table 3 - Accent 1"/>
    <w:basedOn w:val="708"/>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paragraph" w:styleId="878" w:customStyle="1">
    <w:name w:val="TOC Heading"/>
    <w:uiPriority w:val="39"/>
    <w:unhideWhenUsed/>
    <w:qFormat/>
    <w:rPr>
      <w:rFonts w:hint="default" w:ascii="Times New Roman" w:hAnsi="Times New Roman" w:eastAsia="宋体" w:cs="Times New Roman"/>
    </w:rPr>
  </w:style>
  <w:style w:type="table" w:styleId="879" w:customStyle="1">
    <w:name w:val="Grid Table 4 - Accent 1"/>
    <w:basedOn w:val="708"/>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paragraph" w:styleId="880" w:customStyle="1">
    <w:name w:val="普通正文"/>
    <w:basedOn w:val="697"/>
    <w:uiPriority w:val="0"/>
    <w:qFormat/>
    <w:pPr>
      <w:ind w:firstLine="480"/>
      <w:jc w:val="left"/>
      <w:spacing w:before="120" w:after="120" w:line="360" w:lineRule="auto"/>
    </w:pPr>
    <w:rPr>
      <w:rFonts w:ascii="Arial" w:hAnsi="Arial" w:eastAsia="等线" w:cs="Arial"/>
      <w:sz w:val="24"/>
      <w:szCs w:val="24"/>
    </w:rPr>
  </w:style>
  <w:style w:type="table" w:styleId="881" w:customStyle="1">
    <w:name w:val="Bordered &amp; Lined - Accent 3"/>
    <w:basedOn w:val="70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paragraph" w:styleId="882" w:customStyle="1">
    <w:name w:val="索引 41"/>
    <w:basedOn w:val="697"/>
    <w:next w:val="697"/>
    <w:uiPriority w:val="0"/>
    <w:qFormat/>
    <w:pPr>
      <w:ind w:left="600"/>
      <w:jc w:val="both"/>
    </w:pPr>
    <w:rPr>
      <w:rFonts w:ascii="Calibri" w:hAnsi="Calibri" w:cs="Times New Roman"/>
      <w:sz w:val="21"/>
    </w:rPr>
  </w:style>
  <w:style w:type="character" w:styleId="883" w:customStyle="1">
    <w:name w:val="Intense Quote Char"/>
    <w:link w:val="884"/>
    <w:uiPriority w:val="30"/>
    <w:qFormat/>
    <w:rPr>
      <w:i/>
    </w:rPr>
  </w:style>
  <w:style w:type="paragraph" w:styleId="884">
    <w:name w:val="Intense Quote"/>
    <w:basedOn w:val="697"/>
    <w:next w:val="697"/>
    <w:link w:val="8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85" w:customStyle="1">
    <w:name w:val="Lined - Accent 3"/>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6"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List Table 7 Colorful - Accent 2"/>
    <w:basedOn w:val="70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Grid Table 5 Dark- Accent 1"/>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9" w:customStyle="1">
    <w:name w:val="List Table 5 Dark - Accent 6"/>
    <w:basedOn w:val="70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890" w:customStyle="1">
    <w:name w:val="Subtitle Char"/>
    <w:basedOn w:val="707"/>
    <w:link w:val="723"/>
    <w:uiPriority w:val="11"/>
    <w:qFormat/>
    <w:rPr>
      <w:sz w:val="24"/>
      <w:szCs w:val="24"/>
    </w:rPr>
  </w:style>
  <w:style w:type="paragraph" w:styleId="89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table" w:styleId="892" w:customStyle="1">
    <w:name w:val="Grid Table 5 Dark- Accent 4"/>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3" w:customStyle="1">
    <w:name w:val="List Table 5 Dark - Accent 1"/>
    <w:basedOn w:val="708"/>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ned - Accent 4"/>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5"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Grid Table 3 - Accent 2"/>
    <w:basedOn w:val="70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Grid Table 1 Light - Accent 3"/>
    <w:basedOn w:val="70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character" w:styleId="899" w:customStyle="1">
    <w:name w:val="Footer Char"/>
    <w:basedOn w:val="707"/>
    <w:uiPriority w:val="99"/>
    <w:qFormat/>
  </w:style>
  <w:style w:type="table" w:styleId="900" w:customStyle="1">
    <w:name w:val="List Table 3 - Accent 6"/>
    <w:basedOn w:val="70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1" w:customStyle="1">
    <w:name w:val="List Table 2 - Accent 4"/>
    <w:basedOn w:val="70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numbering" w:styleId="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顾伟伟</cp:lastModifiedBy>
  <cp:revision>2</cp:revision>
  <dcterms:created xsi:type="dcterms:W3CDTF">2026-10-27T00:51:00Z</dcterms:created>
  <dcterms:modified xsi:type="dcterms:W3CDTF">2026-11-06T02:57:23Z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7B253847EA9C12B95E44E96A62347444_43</vt:lpwstr>
  </property>
  <property fmtid="{D5CDD505-2E9C-101B-9397-08002B2CF9AE}" pid="4" name="KSOTemplateDocerSaveRecord">
    <vt:lpwstr>eyJoZGlkIjoiODZkZDhiMGRhNjI0MjMyZGNiZjBmZTUwZmY4Yjk1MjEiLCJ1c2VySWQiOiIxNjcxNDc2OTEwIn0=</vt:lpwstr>
  </property>
</Properties>
</file>