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ind w:left="0" w:firstLine="0"/>
        <w:jc w:val="center"/>
        <w:keepLines w:val="0"/>
        <w:keepNext w:val="0"/>
        <w:pageBreakBefore w:val="0"/>
        <w:spacing w:line="1100" w:lineRule="exact"/>
        <w:widowControl w:val="off"/>
        <w:rPr>
          <w:rFonts w:hint="eastAsia" w:ascii="宋体"/>
          <w:bCs/>
          <w:color w:val="auto"/>
          <w:spacing w:val="20"/>
          <w:sz w:val="96"/>
          <w:szCs w:val="84"/>
        </w:rPr>
        <w:outlineLvl w:val="9"/>
      </w:pPr>
      <w:r/>
      <w:bookmarkStart w:id="0" w:name="_Toc2249"/>
      <w:r/>
      <w:bookmarkStart w:id="1" w:name="_Toc20523"/>
      <w:r/>
      <w:bookmarkStart w:id="2" w:name="_Toc32591"/>
      <w:r/>
      <w:bookmarkStart w:id="3" w:name="_Toc26020"/>
      <w:r>
        <w:rPr>
          <w:rFonts w:hint="eastAsia" w:ascii="宋体" w:hAnsi="宋体" w:eastAsia="宋体" w:cs="宋体"/>
          <w:b/>
          <w:spacing w:val="76"/>
          <w:sz w:val="96"/>
          <w:szCs w:val="96"/>
        </w:rPr>
        <w:t xml:space="preserve">竞争性</w:t>
      </w:r>
      <w:r>
        <w:rPr>
          <w:rFonts w:hint="eastAsia" w:ascii="宋体" w:hAnsi="宋体" w:eastAsia="宋体" w:cs="宋体"/>
          <w:b/>
          <w:spacing w:val="76"/>
          <w:sz w:val="96"/>
          <w:szCs w:val="96"/>
          <w:lang w:val="en-US" w:eastAsia="zh-CN"/>
        </w:rPr>
        <w:t xml:space="preserve">磋商</w:t>
      </w:r>
      <w:r>
        <w:rPr>
          <w:rFonts w:hint="eastAsia" w:ascii="宋体" w:hAnsi="宋体" w:eastAsia="宋体" w:cs="宋体"/>
          <w:b/>
          <w:spacing w:val="76"/>
          <w:sz w:val="96"/>
          <w:szCs w:val="96"/>
        </w:rPr>
        <w:t xml:space="preserve">文件</w:t>
      </w:r>
      <w:bookmarkEnd w:id="0"/>
      <w:r/>
      <w:bookmarkEnd w:id="1"/>
      <w:r/>
      <w:bookmarkEnd w:id="2"/>
      <w:r/>
      <w:bookmarkEnd w:id="3"/>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1365885</wp:posOffset>
                </wp:positionH>
                <wp:positionV relativeFrom="paragraph">
                  <wp:posOffset>16510</wp:posOffset>
                </wp:positionV>
                <wp:extent cx="2616200" cy="1950085"/>
                <wp:effectExtent l="0" t="0" r="0" b="0"/>
                <wp:wrapSquare wrapText="bothSides"/>
                <wp:docPr id="5"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736486785789"/>
                        <pic:cNvPicPr>
                          <a:picLocks noChangeAspect="1"/>
                        </pic:cNvPicPr>
                        <pic:nvPr/>
                      </pic:nvPicPr>
                      <pic:blipFill>
                        <a:blip r:embed="rId15"/>
                        <a:stretch/>
                      </pic:blipFill>
                      <pic:spPr bwMode="auto">
                        <a:xfrm>
                          <a:off x="0" y="0"/>
                          <a:ext cx="2616451" cy="195028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7.5pt;mso-position-horizontal:absolute;mso-position-vertical-relative:text;margin-top:1.3pt;mso-position-vertical:absolute;width:206.0pt;height:153.5pt;mso-wrap-distance-left:9.0pt;mso-wrap-distance-top:0.0pt;mso-wrap-distance-right:9.0pt;mso-wrap-distance-bottom:0.0pt;" stroked="false">
                <v:path textboxrect="0,0,0,0"/>
                <w10:wrap type="square"/>
                <v:imagedata r:id="rId15" o:title=""/>
              </v:shape>
            </w:pict>
          </mc:Fallback>
        </mc:AlternateContent>
      </w:r>
      <w:r/>
    </w:p>
    <w:p>
      <w:r/>
      <w:r/>
    </w:p>
    <w:p>
      <w:pPr>
        <w:ind w:left="0" w:right="0" w:firstLine="560"/>
        <w:keepLines w:val="0"/>
        <w:keepNext w:val="0"/>
        <w:pageBreakBefore w:val="0"/>
        <w:spacing w:line="700" w:lineRule="exact"/>
        <w:widowControl w:val="off"/>
        <w:rPr>
          <w:rFonts w:hint="eastAsia" w:ascii="楷体" w:hAnsi="楷体" w:eastAsia="楷体"/>
          <w:b/>
          <w:bCs/>
          <w:sz w:val="36"/>
          <w:lang w:eastAsia="zh-CN"/>
        </w:rPr>
      </w:pPr>
      <w:r>
        <w:rPr>
          <w:rFonts w:hint="eastAsia" w:ascii="楷体" w:hAnsi="楷体" w:eastAsia="楷体"/>
          <w:b/>
          <w:bCs/>
          <w:sz w:val="36"/>
          <w:lang w:eastAsia="zh-CN"/>
        </w:rPr>
      </w:r>
      <w:r/>
    </w:p>
    <w:p>
      <w:pPr>
        <w:ind w:left="0" w:right="0" w:firstLine="1124"/>
        <w:keepLines w:val="0"/>
        <w:keepNext w:val="0"/>
        <w:pageBreakBefore w:val="0"/>
        <w:spacing w:line="700" w:lineRule="exact"/>
        <w:widowControl w:val="off"/>
        <w:rPr>
          <w:rFonts w:hint="default" w:ascii="楷体" w:hAnsi="楷体" w:eastAsia="楷体"/>
          <w:b/>
          <w:bCs/>
          <w:sz w:val="36"/>
          <w:szCs w:val="36"/>
          <w:lang w:val="en-US" w:eastAsia="zh-CN"/>
        </w:rPr>
      </w:pPr>
      <w:r>
        <w:rPr>
          <w:rFonts w:hint="default" w:ascii="楷体" w:hAnsi="楷体" w:eastAsia="楷体"/>
          <w:b/>
          <w:bCs/>
          <w:sz w:val="36"/>
          <w:szCs w:val="36"/>
          <w:lang w:val="en-US"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lang w:eastAsia="zh-CN"/>
        </w:rPr>
        <w:t xml:space="preserve">项目名称：兴化市2026年度中央财政高素质农民培育项目</w:t>
      </w:r>
      <w:r/>
    </w:p>
    <w:p>
      <w:pPr>
        <w:ind w:left="0" w:firstLine="1124"/>
        <w:keepLines w:val="0"/>
        <w:keepNext w:val="0"/>
        <w:pageBreakBefore w:val="0"/>
        <w:spacing w:line="700" w:lineRule="exact"/>
        <w:widowControl w:val="off"/>
        <w:rPr>
          <w:rFonts w:hint="eastAsia" w:ascii="楷体" w:hAnsi="楷体" w:eastAsia="楷体"/>
          <w:b/>
          <w:bCs/>
          <w:sz w:val="36"/>
          <w:lang w:eastAsia="zh-CN"/>
        </w:rPr>
        <w:outlineLvl w:val="9"/>
      </w:pPr>
      <w:r/>
      <w:bookmarkStart w:id="4" w:name="_Toc16746"/>
      <w:r/>
      <w:bookmarkStart w:id="5" w:name="_Toc4524"/>
      <w:r/>
      <w:bookmarkStart w:id="6" w:name="_Toc2369"/>
      <w:r/>
      <w:bookmarkStart w:id="7" w:name="_Toc30835"/>
      <w:r>
        <w:rPr>
          <w:rFonts w:hint="eastAsia" w:ascii="楷体" w:hAnsi="楷体" w:eastAsia="楷体"/>
          <w:b/>
          <w:bCs/>
          <w:sz w:val="36"/>
          <w:lang w:eastAsia="zh-CN"/>
        </w:rPr>
        <w:t xml:space="preserve">项目编号：JSZC-321281-TZZZ-C2026-0011号</w:t>
      </w:r>
      <w:bookmarkEnd w:id="4"/>
      <w:r/>
      <w:bookmarkEnd w:id="5"/>
      <w:r/>
      <w:bookmarkEnd w:id="6"/>
      <w:r/>
      <w:bookmarkEnd w:id="7"/>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8" w:name="_Toc11712"/>
      <w:r/>
      <w:bookmarkStart w:id="9" w:name="_Toc10023"/>
      <w:r/>
      <w:bookmarkStart w:id="10" w:name="_Toc4889"/>
      <w:r/>
      <w:bookmarkStart w:id="11" w:name="_Toc9423"/>
      <w:r/>
      <w:bookmarkStart w:id="12" w:name="_Toc15464"/>
      <w:r>
        <w:rPr>
          <w:rFonts w:hint="eastAsia" w:ascii="楷体" w:hAnsi="楷体" w:eastAsia="楷体"/>
          <w:b/>
          <w:bCs/>
          <w:sz w:val="36"/>
          <w:lang w:eastAsia="zh-CN"/>
        </w:rPr>
        <w:t xml:space="preserve">采 购 人：</w:t>
      </w:r>
      <w:bookmarkEnd w:id="8"/>
      <w:r/>
      <w:bookmarkEnd w:id="9"/>
      <w:r/>
      <w:bookmarkEnd w:id="10"/>
      <w:r/>
      <w:bookmarkEnd w:id="11"/>
      <w:r/>
      <w:bookmarkEnd w:id="12"/>
      <w:r>
        <w:rPr>
          <w:rFonts w:hint="eastAsia" w:ascii="楷体" w:hAnsi="楷体" w:eastAsia="楷体"/>
          <w:b/>
          <w:bCs/>
          <w:sz w:val="36"/>
          <w:lang w:val="en-US" w:eastAsia="zh-CN"/>
        </w:rPr>
        <w:t xml:space="preserve">兴化市现代农业发展服务中心</w:t>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13" w:name="_Toc13297"/>
      <w:r/>
      <w:bookmarkStart w:id="14" w:name="_Toc25052"/>
      <w:r/>
      <w:bookmarkStart w:id="15" w:name="_Toc28664"/>
      <w:r/>
      <w:bookmarkStart w:id="16" w:name="_Toc26483"/>
      <w:r>
        <w:rPr>
          <w:rFonts w:hint="eastAsia" w:ascii="楷体" w:hAnsi="楷体" w:eastAsia="楷体"/>
          <w:b/>
          <w:bCs/>
          <w:sz w:val="36"/>
          <w:lang w:val="en-US" w:eastAsia="zh-CN"/>
        </w:rPr>
        <w:t xml:space="preserve">采购代理：泰州中政招投标代理有限公司</w:t>
      </w:r>
      <w:bookmarkEnd w:id="13"/>
      <w:r/>
      <w:bookmarkEnd w:id="14"/>
      <w:r/>
      <w:bookmarkEnd w:id="15"/>
      <w:r/>
      <w:bookmarkEnd w:id="16"/>
      <w:r/>
      <w:r/>
    </w:p>
    <w:p>
      <w:pPr>
        <w:ind w:left="2244" w:hanging="1684"/>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t xml:space="preserve">二〇二六年十月</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hint="eastAsia" w:ascii="楷体" w:hAnsi="楷体" w:eastAsia="楷体"/>
          <w:b/>
          <w:bCs/>
          <w:sz w:val="36"/>
          <w:lang w:val="en-US" w:eastAsia="zh-CN"/>
        </w:rPr>
      </w:r>
      <w:r/>
    </w:p>
    <w:p>
      <w:pPr>
        <w:ind w:firstLine="0"/>
        <w:jc w:val="center"/>
        <w:keepLines w:val="0"/>
        <w:keepNext w:val="0"/>
        <w:pageBreakBefore w:val="0"/>
        <w:spacing w:after="0"/>
        <w:widowControl w:val="off"/>
        <w:rPr>
          <w:rFonts w:hint="eastAsia" w:ascii="方正小标宋简体" w:hAnsi="方正小标宋_GBK" w:eastAsia="方正小标宋简体" w:cs="Times New Roman"/>
          <w:sz w:val="36"/>
          <w:szCs w:val="36"/>
          <w:lang w:eastAsia="zh-CN"/>
        </w:rPr>
        <w:outlineLvl w:val="9"/>
      </w:pPr>
      <w:r/>
      <w:bookmarkStart w:id="17" w:name="_Toc31738"/>
      <w:r/>
      <w:bookmarkStart w:id="18" w:name="_Toc28211"/>
      <w:r/>
      <w:bookmarkStart w:id="19" w:name="_Toc21972"/>
      <w:r/>
      <w:bookmarkStart w:id="20" w:name="_Toc30485"/>
      <w:r>
        <w:rPr>
          <w:rFonts w:hint="eastAsia" w:ascii="方正小标宋简体" w:hAnsi="方正小标宋_GBK" w:eastAsia="方正小标宋简体" w:cs="Times New Roman"/>
          <w:sz w:val="36"/>
          <w:szCs w:val="36"/>
        </w:rPr>
        <w:t xml:space="preserve">兴化市政府采购不见面交易相关提醒</w:t>
      </w:r>
      <w:bookmarkEnd w:id="17"/>
      <w:r/>
      <w:bookmarkEnd w:id="18"/>
      <w:r/>
      <w:bookmarkEnd w:id="19"/>
      <w:r/>
      <w:bookmarkEnd w:id="20"/>
      <w:r/>
      <w:r/>
    </w:p>
    <w:p>
      <w:pPr>
        <w:ind w:firstLine="0"/>
        <w:keepLines w:val="0"/>
        <w:keepNext w:val="0"/>
        <w:pageBreakBefore w:val="0"/>
        <w:spacing w:line="400" w:lineRule="exact"/>
        <w:widowControl w:val="off"/>
        <w:rPr>
          <w:rFonts w:hint="eastAsia" w:ascii="仿宋" w:hAnsi="仿宋" w:eastAsia="仿宋" w:cs="仿宋"/>
          <w:sz w:val="24"/>
          <w:szCs w:val="24"/>
          <w:lang w:eastAsia="zh-CN"/>
        </w:rPr>
        <w:outlineLvl w:val="0"/>
      </w:pPr>
      <w:r/>
      <w:bookmarkStart w:id="21" w:name="_Toc29089"/>
      <w:r/>
      <w:bookmarkStart w:id="22" w:name="_Toc24776"/>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关于</w:t>
      </w:r>
      <w:r>
        <w:rPr>
          <w:rFonts w:hint="eastAsia" w:ascii="仿宋" w:hAnsi="仿宋" w:eastAsia="仿宋" w:cs="仿宋"/>
          <w:sz w:val="24"/>
          <w:szCs w:val="24"/>
        </w:rPr>
        <w:t xml:space="preserve">政府采购线上合同信用融资功能</w:t>
      </w:r>
      <w:r>
        <w:rPr>
          <w:rFonts w:hint="eastAsia" w:ascii="仿宋" w:hAnsi="仿宋" w:eastAsia="仿宋" w:cs="仿宋"/>
          <w:sz w:val="24"/>
          <w:szCs w:val="24"/>
          <w:lang w:eastAsia="zh-CN"/>
        </w:rPr>
        <w:t xml:space="preserve">告知提醒</w:t>
      </w:r>
      <w:bookmarkEnd w:id="21"/>
      <w:r/>
      <w:bookmarkEnd w:id="22"/>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各政府采购供应商：</w:t>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今年我市已正式启用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苏采云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目前</w:t>
      </w:r>
      <w:r>
        <w:rPr>
          <w:rFonts w:hint="eastAsia" w:ascii="仿宋" w:hAnsi="仿宋" w:eastAsia="仿宋" w:cs="仿宋"/>
          <w:sz w:val="24"/>
          <w:szCs w:val="24"/>
        </w:rPr>
        <w:t xml:space="preserve">已全面开通政府采购线上合同信用融资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。成交供应商可凭政府采购合同在中征平台发起贷款申请贷款。</w:t>
      </w:r>
      <w:r/>
    </w:p>
    <w:p>
      <w:pPr>
        <w:ind w:firstLine="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“政采贷”业务流程</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4928235" cy="1301115"/>
                <wp:effectExtent l="0" t="0" r="5715" b="13335"/>
                <wp:wrapSquare wrapText="bothSides"/>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6"/>
                        <a:stretch/>
                      </pic:blipFill>
                      <pic:spPr bwMode="auto">
                        <a:xfrm>
                          <a:off x="0" y="0"/>
                          <a:ext cx="4928235" cy="1301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1pt;mso-position-horizontal:absolute;mso-position-vertical-relative:text;margin-top:6.7pt;mso-position-vertical:absolute;width:388.0pt;height:102.4pt;mso-wrap-distance-left:9.0pt;mso-wrap-distance-top:0.0pt;mso-wrap-distance-right:9.0pt;mso-wrap-distance-bottom:0.0pt;" stroked="false">
                <v:path textboxrect="0,0,0,0"/>
                <w10:wrap type="square"/>
                <v:imagedata r:id="rId16" o:title=""/>
              </v:shape>
            </w:pict>
          </mc:Fallback>
        </mc:AlternateContent>
      </w:r>
      <w:r>
        <w:rPr>
          <w:rFonts w:hint="eastAsia" w:ascii="仿宋" w:hAnsi="仿宋" w:eastAsia="仿宋" w:cs="仿宋"/>
          <w:sz w:val="24"/>
          <w:szCs w:val="24"/>
        </w:rPr>
        <w:t xml:space="preserve">常见问题</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哪些企业能申请“政采贷”？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答：江苏省内采用国库集中支付的政府采购项目的中标供应商，可凭政府采购合同申请"政采贷"。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供应商在哪里申请“政采贷”？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答：中标供应商在“中征应收账款融资服务平台”（简称“中征平台”）上向意向银行发起融资申请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中标供应商要注意什么？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答：中标供应商要加强和采购单位的沟通协调，尽早确定融资需求。需要“政采贷”融资的，政府采购合同付款账号应当空置。</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采购单位要做什么？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“政采贷”融资失败怎么办？</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政采贷：</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"http://www.ccgp-jiangsu.gov.cn/jiangsu/paying.html"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http://www.ccgp-jiangsu.gov.cn/jiangsu/paying.html</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中征平台：</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"https://www.crcrfsp.com/"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https://www.crcrfsp.com/</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联系人：张女士</w:t>
      </w:r>
      <w:r>
        <w:rPr>
          <w:rFonts w:hint="eastAsia" w:ascii="仿宋" w:hAnsi="仿宋" w:eastAsia="仿宋" w:cs="仿宋"/>
          <w:sz w:val="24"/>
          <w:szCs w:val="24"/>
          <w:lang w:val="en-US" w:eastAsia="zh-CN"/>
        </w:rPr>
        <w:t xml:space="preserve">           联系电话：0523-82020605</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3" w:name="_Toc24939"/>
      <w:r/>
      <w:bookmarkStart w:id="24" w:name="_Toc26251"/>
      <w:r>
        <w:rPr>
          <w:rFonts w:hint="eastAsia" w:ascii="仿宋" w:hAnsi="仿宋" w:eastAsia="仿宋" w:cs="仿宋"/>
          <w:b/>
          <w:bCs/>
          <w:sz w:val="24"/>
          <w:szCs w:val="24"/>
          <w:lang w:val="en-US" w:eastAsia="zh-CN"/>
        </w:rPr>
        <w:t xml:space="preserve">2、招标（采购）不见面交易注意事项</w:t>
      </w:r>
      <w:bookmarkEnd w:id="23"/>
      <w:r/>
      <w:bookmarkEnd w:id="24"/>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安装调试音视频设备。各供应商在投标前按照要求装好耳麦、摄像头等通讯工具。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确保音视频畅通。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、招标项目需要进行谈判、招标程序，请各供应商在投标前按照要求对耳麦、摄像头等通讯工具进行最终调试，可以利用微信或qq等相关软件进行测试，确保在谈判、招标过程可以正常进行。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及时完成最终报价。</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、招标项目需要供应商进行最终报价，请各供应商在项目评标结束之前不要擅自离开“苏采云”交易系统开标大厅，待评审专家开启最终报价程序后，及时准确完成最终报价。</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5" w:name="_Toc5906"/>
      <w:r/>
      <w:bookmarkStart w:id="26" w:name="_Toc22686"/>
      <w:r>
        <w:rPr>
          <w:rFonts w:hint="eastAsia" w:ascii="仿宋" w:hAnsi="仿宋" w:eastAsia="仿宋" w:cs="仿宋"/>
          <w:b/>
          <w:bCs/>
          <w:sz w:val="24"/>
          <w:szCs w:val="24"/>
          <w:lang w:val="en-US" w:eastAsia="zh-CN"/>
        </w:rPr>
        <w:t xml:space="preserve">3、供应商相关法律责任提醒</w:t>
      </w:r>
      <w:bookmarkEnd w:id="25"/>
      <w:r/>
      <w:bookmarkEnd w:id="26"/>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相关法律法规：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（一）向评标委员会、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小组或者询价小组成员行贿或者提供其他不正当利益；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7" w:name="_Toc20734"/>
      <w:r/>
      <w:bookmarkStart w:id="28" w:name="_Toc1667"/>
      <w:r>
        <w:rPr>
          <w:rFonts w:hint="eastAsia" w:ascii="仿宋" w:hAnsi="仿宋" w:eastAsia="仿宋" w:cs="仿宋"/>
          <w:b/>
          <w:bCs/>
          <w:sz w:val="24"/>
          <w:szCs w:val="24"/>
          <w:lang w:val="en-US" w:eastAsia="zh-CN"/>
        </w:rPr>
        <w:t xml:space="preserve">4.政府采购政策（包括但不限于下列具体政策要求）</w:t>
      </w:r>
      <w:bookmarkEnd w:id="27"/>
      <w:r/>
      <w:bookmarkEnd w:id="28"/>
      <w:r/>
      <w:r/>
    </w:p>
    <w:p>
      <w:pPr>
        <w:ind w:firstLine="560"/>
        <w:jc w:val="left"/>
        <w:keepLines w:val="0"/>
        <w:keepNext w:val="0"/>
        <w:pageBreakBefore w:val="0"/>
        <w:spacing w:line="400" w:lineRule="exact"/>
        <w:widowControl w:val="off"/>
        <w:rPr>
          <w:rFonts w:hint="eastAsia" w:ascii="仿宋" w:hAnsi="仿宋" w:eastAsia="仿宋" w:cs="仿宋"/>
          <w:sz w:val="24"/>
          <w:szCs w:val="24"/>
          <w:lang w:val="en-US" w:eastAsia="zh-CN"/>
        </w:rPr>
        <w:outlineLvl w:val="0"/>
      </w:pPr>
      <w:r/>
      <w:bookmarkStart w:id="29" w:name="_Toc19654"/>
      <w:r/>
      <w:bookmarkStart w:id="30" w:name="_Toc19940"/>
      <w:r>
        <w:rPr>
          <w:rFonts w:hint="eastAsia" w:ascii="仿宋" w:hAnsi="仿宋" w:eastAsia="仿宋" w:cs="仿宋"/>
          <w:sz w:val="24"/>
          <w:szCs w:val="24"/>
          <w:lang w:val="en-US" w:eastAsia="zh-CN"/>
        </w:rPr>
        <w:t xml:space="preserve">4、政府采购政策</w:t>
      </w:r>
      <w:bookmarkEnd w:id="29"/>
      <w:r/>
      <w:bookmarkEnd w:id="30"/>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4.1中小企业、监狱企业及残疾人福利性单位</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4.1.1中小企业定义：</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4.1.1.1中小企业是</w:t>
      </w:r>
      <w:r>
        <w:rPr>
          <w:rFonts w:hint="eastAsia" w:ascii="仿宋" w:hAnsi="仿宋" w:eastAsia="仿宋" w:cs="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4.1.1.2投标人提供的货物、工程或者服务符合下列情形的，享受中小企业扶持政策：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（2）在工程采购项目中，工程由中小企业承建，即工程施工单位为中小企业；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4.1.1.3在货物采购项目中，投标人提供的货物既有中小企业制造货物，也有大型企业制造货物的，不享受中小企业扶持政策。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4.1.1.4以联合体形式参加政府采购活动，联合体各方均为中小企业的，联合体视同中小企业。其中，联合体各方均为小微企业的，联合体视同小微企业。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4.1.3残疾人福利单位定义：享受政府采购支持政策的残疾人福利性单位应当同时满足以下条件：</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（1）安置的残疾人占本单位在职职工人数的比例不低于25%（含25%），并且安置的残疾人人数不少于10 人（含10 人）；</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（2）依法与安置的每位残疾人签订了一年以上（含一年）的劳动合同或服务协议；</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4.1.4小微企业价格评审优惠的政策调整：见《评标方法与评标标准》（如涉及）。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4.2政府采购节能产品、环境标志产品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4.2.4非政府强制采购的节能产品或环境标志产品，依据品目清单和认证证书实施政府优先采购。优先采购的具体规定见第五章《评标方法与评标标准》（如涉及）。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4.3商品包装、快递包装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4.4绿色数据中心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 生态环境部 工业和信息化部关于印发《绿色数据中心政府采购需求标准（试行）》的通知（ </w:t>
      </w:r>
      <w:bookmarkStart w:id="31" w:name="sendNo"/>
      <w:r>
        <w:rPr>
          <w:rFonts w:hint="eastAsia" w:ascii="仿宋" w:hAnsi="仿宋" w:eastAsia="仿宋" w:cs="仿宋"/>
          <w:sz w:val="24"/>
          <w:szCs w:val="24"/>
        </w:rPr>
        <w:t xml:space="preserve">财库〔2023〕7号</w:t>
      </w:r>
      <w:bookmarkEnd w:id="31"/>
      <w:r>
        <w:rPr>
          <w:rFonts w:hint="eastAsia" w:ascii="仿宋" w:hAnsi="仿宋" w:eastAsia="仿宋" w:cs="仿宋"/>
          <w:sz w:val="24"/>
          <w:szCs w:val="24"/>
        </w:rPr>
        <w:t xml:space="preserve">）要求，</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4.4.1采购人采购数据中心相关设备、运维服务，应当有利于节约能源、环境保护和资源循环利用，按照《需求标准》实施相关采购活动。</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4.4.5对于供应商未按合同约定提供设备或服务的，采购人应当依法追究其违约责任。对于供应商提供虚假材料谋取中标、成交的，依法予以处理。</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4.5信息安全产品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4.5.2未按要求提供相关材料的，不享受相关政策。</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4.6 电子履约保函(保险)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jc w:val="left"/>
        <w:keepLines w:val="0"/>
        <w:keepNext w:val="0"/>
        <w:pageBreakBefore w:val="0"/>
        <w:spacing w:line="40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供应商可登录江苏政府采购网“资料下载”栏目（网址：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 \o "www.ccgp-jiangsu.gov.cn/jiangsu/zlxz）下载"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www.ccgp-jiangsu.gov.cn/jiangsu/zlxz）下载“政府采购电子履约</w:t>
      </w:r>
      <w:r>
        <w:rPr>
          <w:rFonts w:hint="eastAsia" w:ascii="仿宋" w:hAnsi="仿宋" w:eastAsia="仿宋" w:cs="仿宋"/>
          <w:sz w:val="24"/>
          <w:szCs w:val="24"/>
        </w:rPr>
        <w:fldChar w:fldCharType="end"/>
      </w:r>
      <w:r>
        <w:rPr>
          <w:rFonts w:hint="eastAsia" w:ascii="仿宋" w:hAnsi="仿宋" w:eastAsia="仿宋" w:cs="仿宋"/>
          <w:sz w:val="24"/>
          <w:szCs w:val="24"/>
        </w:rPr>
        <w:t xml:space="preserve">保函（保险）操作手册”。</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pageBreakBefore/>
        <w:spacing w:before="600" w:line="360" w:lineRule="auto"/>
        <w:widowControl w:val="off"/>
        <w:rPr>
          <w:rFonts w:hint="eastAsia" w:ascii="仿宋" w:hAnsi="仿宋" w:eastAsia="仿宋" w:cs="仿宋"/>
          <w:b/>
          <w:sz w:val="44"/>
          <w:szCs w:val="44"/>
        </w:rPr>
      </w:pPr>
      <w:r>
        <w:rPr>
          <w:rFonts w:hint="eastAsia" w:ascii="宋体" w:hAnsi="宋体"/>
          <w:b/>
          <w:bCs/>
          <w:color w:val="auto"/>
          <w:sz w:val="44"/>
          <w:szCs w:val="44"/>
          <w:highlight w:val="none"/>
          <w:lang w:val="en-US" w:eastAsia="zh-CN"/>
        </w:rPr>
        <w:t xml:space="preserve">目录</w:t>
      </w:r>
      <w:r/>
    </w:p>
    <w:sdt>
      <w:sdtPr>
        <w15:appearance w15:val="boundingBox"/>
        <w15:color w:val="dbdbdb"/>
        <w:id w:val="147473825"/>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both"/>
            <w:spacing w:before="0" w:after="0" w:line="240" w:lineRule="auto"/>
          </w:pPr>
          <w:r>
            <w:fldChar w:fldCharType="begin"/>
          </w:r>
          <w:r>
            <w:instrText xml:space="preserve">TOC \o "1-1" \h \u </w:instrText>
          </w:r>
          <w:r>
            <w:fldChar w:fldCharType="separate"/>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_Toc28577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第一章 磋商邀请</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_Toc28577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_Toc2184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第二章 供应商须知</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_Toc2184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12</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_Toc18251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第三章 合同文本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_Toc18251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24</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_Toc3104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第四章 采购需求</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_Toc3104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_Toc32391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第五章 评审方法与评审标准</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_Toc32391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31</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_Toc20233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第六章 响应文件相关格式</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_Toc20233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33</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_Toc25562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第七章 质疑函范本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_Toc25562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48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fldChar w:fldCharType="end"/>
          </w:r>
          <w:r/>
        </w:p>
      </w:sdtContent>
    </w:sdt>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rPr>
          <w:rFonts w:hint="default" w:ascii="Times New Roman" w:hAnsi="Times New Roman" w:eastAsia="仿宋" w:cs="Times New Roman"/>
          <w:sz w:val="28"/>
          <w:szCs w:val="24"/>
          <w:lang w:val="en-US" w:eastAsia="zh-CN" w:bidi="ar-SA"/>
        </w:rPr>
      </w:r>
      <w:r/>
    </w:p>
    <w:p>
      <w:pPr>
        <w:numPr>
          <w:ilvl w:val="0"/>
          <w:numId w:val="1"/>
        </w:numPr>
        <w:ind w:firstLine="403"/>
        <w:jc w:val="center"/>
        <w:keepLines w:val="0"/>
        <w:keepNext/>
        <w:pageBreakBefore/>
        <w:spacing w:before="200" w:after="200"/>
        <w:widowControl w:val="off"/>
        <w:rPr>
          <w:rFonts w:hint="eastAsia" w:ascii="宋体" w:hAnsi="宋体" w:eastAsia="宋体" w:cs="宋体"/>
          <w:b/>
          <w:bCs/>
          <w:sz w:val="44"/>
          <w:szCs w:val="44"/>
        </w:rPr>
      </w:pPr>
      <w:r/>
      <w:bookmarkStart w:id="32" w:name="_Toc28577"/>
      <w:r>
        <w:rPr>
          <w:rFonts w:hint="eastAsia" w:ascii="宋体" w:hAnsi="宋体" w:eastAsia="宋体" w:cs="宋体"/>
          <w:b/>
          <w:bCs/>
          <w:sz w:val="44"/>
          <w:szCs w:val="44"/>
        </w:rPr>
        <w:t xml:space="preserve">磋商邀请</w:t>
      </w:r>
      <w:bookmarkEnd w:id="32"/>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受</w:t>
      </w:r>
      <w:r>
        <w:rPr>
          <w:rFonts w:hint="eastAsia" w:ascii="宋体" w:hAnsi="宋体" w:eastAsia="宋体" w:cs="宋体"/>
          <w:sz w:val="24"/>
          <w:szCs w:val="24"/>
          <w:u w:val="single"/>
          <w:lang w:val="en-US" w:eastAsia="zh-CN"/>
        </w:rPr>
        <w:t xml:space="preserve">兴化市现代农业发展服务中心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泰州中政招投标代理有限公司为采购代理单位，</w:t>
      </w:r>
      <w:r>
        <w:rPr>
          <w:rFonts w:hint="eastAsia" w:ascii="宋体" w:hAnsi="宋体" w:eastAsia="宋体" w:cs="宋体"/>
          <w:sz w:val="24"/>
          <w:szCs w:val="24"/>
        </w:rPr>
        <w:t xml:space="preserve">对</w:t>
      </w:r>
      <w:r>
        <w:rPr>
          <w:rFonts w:hint="eastAsia" w:ascii="宋体" w:hAnsi="宋体" w:eastAsia="宋体" w:cs="宋体"/>
          <w:sz w:val="24"/>
          <w:szCs w:val="24"/>
          <w:u w:val="single"/>
          <w:lang w:val="en-US" w:eastAsia="zh-CN"/>
        </w:rPr>
        <w:t xml:space="preserve">兴化市2026年度中央财政高素质农民培育服务</w:t>
      </w:r>
      <w:r>
        <w:rPr>
          <w:rFonts w:hint="eastAsia" w:ascii="宋体" w:hAnsi="宋体" w:eastAsia="宋体" w:cs="宋体"/>
          <w:sz w:val="24"/>
          <w:szCs w:val="24"/>
        </w:rPr>
        <w:t xml:space="preserve">项目进行竞争性</w:t>
      </w:r>
      <w:r>
        <w:rPr>
          <w:rFonts w:hint="eastAsia" w:ascii="宋体" w:hAnsi="宋体" w:eastAsia="宋体" w:cs="宋体"/>
          <w:sz w:val="24"/>
          <w:szCs w:val="24"/>
          <w:lang w:eastAsia="zh-CN"/>
        </w:rPr>
        <w:t xml:space="preserve">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，欢迎符合条件的供应商参加磋商。</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val="en-US" w:eastAsia="zh-CN"/>
        </w:rPr>
        <w:t xml:space="preserve">兴化市2026年度中央财政高素质农民培育服务项目</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eastAsia="zh-CN"/>
        </w:rPr>
        <w:t xml:space="preserve">2026年11月02日14:30</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left="0" w:firstLine="0"/>
        <w:keepLines/>
        <w:keepNext/>
        <w:spacing w:line="440" w:lineRule="exact"/>
        <w:rPr>
          <w:rFonts w:hint="eastAsia" w:ascii="宋体" w:hAnsi="宋体" w:eastAsia="宋体" w:cs="宋体"/>
          <w:b/>
          <w:bCs/>
          <w:sz w:val="28"/>
          <w:szCs w:val="28"/>
        </w:rPr>
        <w:outlineLvl w:val="9"/>
      </w:pPr>
      <w:r/>
      <w:bookmarkStart w:id="33" w:name="_Toc35393790"/>
      <w:r/>
      <w:bookmarkStart w:id="34" w:name="_Toc28359002"/>
      <w:r/>
      <w:bookmarkStart w:id="35" w:name="_Toc28359079"/>
      <w:r/>
      <w:bookmarkStart w:id="36" w:name="_Toc38985263"/>
      <w:r/>
      <w:bookmarkStart w:id="37" w:name="_Toc35393621"/>
      <w:r/>
      <w:bookmarkStart w:id="38" w:name="_Hlk24379207"/>
      <w:r/>
      <w:r/>
    </w:p>
    <w:p>
      <w:pPr>
        <w:ind w:left="0" w:firstLine="0"/>
        <w:keepLines/>
        <w:keepNext/>
        <w:spacing w:line="440" w:lineRule="exact"/>
        <w:rPr>
          <w:rFonts w:hint="eastAsia" w:ascii="宋体" w:hAnsi="宋体" w:eastAsia="宋体" w:cs="宋体"/>
          <w:b/>
          <w:bCs/>
          <w:sz w:val="28"/>
          <w:szCs w:val="28"/>
        </w:rPr>
        <w:outlineLvl w:val="0"/>
      </w:pPr>
      <w:r/>
      <w:bookmarkStart w:id="39" w:name="_Toc14287"/>
      <w:r/>
      <w:bookmarkStart w:id="40" w:name="_Toc23533"/>
      <w:r>
        <w:rPr>
          <w:rFonts w:hint="eastAsia" w:ascii="宋体" w:hAnsi="宋体" w:eastAsia="宋体" w:cs="宋体"/>
          <w:b/>
          <w:bCs/>
          <w:sz w:val="28"/>
          <w:szCs w:val="28"/>
        </w:rPr>
        <w:t xml:space="preserve">一、项目基本情况</w:t>
      </w:r>
      <w:bookmarkEnd w:id="33"/>
      <w:r/>
      <w:bookmarkEnd w:id="34"/>
      <w:r/>
      <w:bookmarkEnd w:id="35"/>
      <w:r/>
      <w:bookmarkEnd w:id="36"/>
      <w:r/>
      <w:bookmarkEnd w:id="37"/>
      <w:r/>
      <w:bookmarkEnd w:id="39"/>
      <w:r/>
      <w:bookmarkEnd w:id="40"/>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JSZC-321281-TZZZ-C2026-0011</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bookmarkEnd w:id="38"/>
      <w:r>
        <w:rPr>
          <w:rFonts w:hint="eastAsia" w:ascii="宋体" w:hAnsi="宋体" w:eastAsia="宋体" w:cs="宋体"/>
          <w:sz w:val="24"/>
          <w:szCs w:val="24"/>
          <w:lang w:val="en-US" w:eastAsia="zh-CN"/>
        </w:rPr>
        <w:t xml:space="preserve">兴化市2026年度中央财政高素质农民培育服务项目采购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65"/>
        <w:tblW w:w="7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8"/>
        <w:gridCol w:w="3749"/>
      </w:tblGrid>
      <w:tr>
        <w:trPr>
          <w:jc w:val="center"/>
          <w:trHeight w:val="0"/>
          <w:tblHeader/>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采购包号</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预算金额</w:t>
            </w:r>
            <w:r/>
          </w:p>
        </w:tc>
      </w:tr>
      <w:tr>
        <w:trPr>
          <w:jc w:val="center"/>
          <w:trHeight w:val="0"/>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w:t>
      </w:r>
      <w:r/>
    </w:p>
    <w:tbl>
      <w:tblPr>
        <w:tblStyle w:val="765"/>
        <w:tblW w:w="7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3225"/>
        <w:gridCol w:w="2460"/>
      </w:tblGrid>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采购包号</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是否设定最高限价（是/否）</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最高限价</w:t>
            </w:r>
            <w:r/>
          </w:p>
        </w:tc>
      </w:tr>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Style w:val="796"/>
                <w:rFonts w:hint="eastAsia" w:ascii="宋体" w:hAnsi="宋体" w:eastAsia="宋体" w:cs="宋体"/>
                <w:b w:val="0"/>
                <w:i w:val="0"/>
                <w:iCs w:val="0"/>
                <w:caps w:val="0"/>
                <w:strike w:val="0"/>
                <w:color w:val="auto"/>
                <w:spacing w:val="0"/>
                <w:sz w:val="24"/>
                <w:szCs w:val="24"/>
                <w:u w:val="none"/>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sz w:val="24"/>
          <w:szCs w:val="24"/>
          <w:lang w:val="en-US" w:eastAsia="zh-CN"/>
        </w:rPr>
        <w:t xml:space="preserve">兴化市2026年度中央财政高素质农民培育项目</w:t>
      </w:r>
      <w:r>
        <w:rPr>
          <w:rFonts w:hint="eastAsia" w:ascii="宋体" w:hAnsi="宋体" w:eastAsia="宋体" w:cs="宋体"/>
          <w:color w:val="auto"/>
          <w:sz w:val="24"/>
          <w:szCs w:val="24"/>
          <w:lang w:val="en-US" w:eastAsia="zh-CN" w:bidi="ar-SA"/>
        </w:rPr>
        <w:t xml:space="preserve">。详细内容见本磋商文件第四章。</w:t>
      </w:r>
      <w:r/>
    </w:p>
    <w:p>
      <w:pPr>
        <w:ind w:firstLine="480"/>
        <w:keepLines w:val="0"/>
        <w:keepNext w:val="0"/>
        <w:pageBreakBefore w:val="0"/>
        <w:spacing w:line="46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.合同履行期限：合同签订后30天内完成（工作时间安排可根据项目进展的实际情况而调整）</w:t>
      </w:r>
      <w:r>
        <w:rPr>
          <w:rFonts w:hint="eastAsia" w:ascii="宋体" w:hAnsi="宋体" w:eastAsia="宋体" w:cs="宋体"/>
          <w:sz w:val="24"/>
          <w:szCs w:val="24"/>
          <w:lang w:val="en-US" w:eastAsia="zh-CN"/>
        </w:rPr>
        <w:t xml:space="preserve">。</w:t>
      </w:r>
      <w:r/>
    </w:p>
    <w:p>
      <w:pPr>
        <w:ind w:left="0" w:firstLine="0"/>
        <w:keepLines/>
        <w:keepNext/>
        <w:spacing w:line="440" w:lineRule="exact"/>
        <w:rPr>
          <w:rFonts w:hint="eastAsia" w:ascii="宋体" w:hAnsi="宋体" w:eastAsia="宋体" w:cs="宋体"/>
          <w:b/>
          <w:bCs/>
          <w:sz w:val="28"/>
          <w:szCs w:val="28"/>
        </w:rPr>
        <w:outlineLvl w:val="0"/>
      </w:pPr>
      <w:r/>
      <w:bookmarkStart w:id="41" w:name="_Toc28359080"/>
      <w:r/>
      <w:bookmarkStart w:id="42" w:name="_Toc28359003"/>
      <w:r/>
      <w:bookmarkStart w:id="43" w:name="_Toc13058"/>
      <w:r/>
      <w:bookmarkStart w:id="44" w:name="_Toc3311"/>
      <w:r/>
      <w:bookmarkStart w:id="45" w:name="_Toc35393791"/>
      <w:r/>
      <w:bookmarkStart w:id="46" w:name="_Toc35393622"/>
      <w:r/>
      <w:bookmarkStart w:id="47" w:name="_Toc38985264"/>
      <w:r>
        <w:rPr>
          <w:rFonts w:hint="eastAsia" w:ascii="宋体" w:hAnsi="宋体" w:eastAsia="宋体" w:cs="宋体"/>
          <w:b/>
          <w:bCs/>
          <w:sz w:val="28"/>
          <w:szCs w:val="28"/>
        </w:rPr>
        <w:t xml:space="preserve">二、申请人的资格要求</w:t>
      </w:r>
      <w:bookmarkEnd w:id="41"/>
      <w:r/>
      <w:bookmarkEnd w:id="42"/>
      <w:r/>
      <w:bookmarkEnd w:id="43"/>
      <w:r/>
      <w:bookmarkEnd w:id="44"/>
      <w:r/>
      <w:bookmarkEnd w:id="45"/>
      <w:r/>
      <w:bookmarkEnd w:id="46"/>
      <w:r/>
      <w:bookmarkEnd w:id="47"/>
      <w:r/>
      <w:r/>
    </w:p>
    <w:p>
      <w:pPr>
        <w:ind w:firstLine="480"/>
        <w:spacing w:line="440" w:lineRule="exact"/>
        <w:rPr>
          <w:rFonts w:hint="eastAsia" w:ascii="宋体" w:hAnsi="宋体" w:eastAsia="宋体" w:cs="宋体"/>
          <w:sz w:val="24"/>
          <w:szCs w:val="24"/>
        </w:rPr>
        <w:outlineLvl w:val="1"/>
      </w:pPr>
      <w:r/>
      <w:bookmarkStart w:id="48" w:name="_Toc35393623"/>
      <w:r/>
      <w:bookmarkStart w:id="49" w:name="_Toc28359004"/>
      <w:r/>
      <w:bookmarkStart w:id="50" w:name="_Toc28359081"/>
      <w:r/>
      <w:bookmarkStart w:id="51" w:name="_Toc35393792"/>
      <w:r/>
      <w:bookmarkStart w:id="52" w:name="_Toc38985265"/>
      <w:r>
        <w:rPr>
          <w:rFonts w:hint="eastAsia" w:ascii="宋体" w:hAnsi="宋体" w:eastAsia="宋体" w:cs="宋体"/>
          <w:sz w:val="24"/>
          <w:szCs w:val="24"/>
        </w:rPr>
        <w:t xml:space="preserve">（一）通用资格要求</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落实政府采购政策需满足的资格要求：</w:t>
      </w:r>
      <w:r>
        <w:rPr>
          <w:rFonts w:hint="eastAsia" w:ascii="宋体" w:hAnsi="宋体" w:eastAsia="宋体" w:cs="宋体"/>
          <w:sz w:val="24"/>
          <w:szCs w:val="24"/>
          <w:u w:val="single"/>
          <w:lang w:val="en-US" w:eastAsia="zh-CN"/>
        </w:rPr>
        <w:t xml:space="preserve">无</w:t>
      </w:r>
      <w:r>
        <w:rPr>
          <w:rFonts w:hint="eastAsia" w:ascii="宋体" w:hAnsi="宋体" w:eastAsia="宋体" w:cs="宋体"/>
          <w:sz w:val="24"/>
          <w:szCs w:val="24"/>
          <w:u w:val="single"/>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4.联合体参与磋商</w:t>
      </w:r>
      <w:r/>
    </w:p>
    <w:tbl>
      <w:tblPr>
        <w:tblStyle w:val="765"/>
        <w:tblW w:w="8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3352"/>
        <w:gridCol w:w="3304"/>
      </w:tblGrid>
      <w:tr>
        <w:trPr>
          <w:jc w:val="center"/>
          <w:trHeight w:val="0"/>
          <w:tblHeader/>
        </w:trPr>
        <w:tc>
          <w:tcPr>
            <w:tcW w:w="1488"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是否接受联合体参与磋商</w:t>
            </w:r>
            <w:r/>
          </w:p>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该采购包中联合体成员数量上限</w:t>
            </w:r>
            <w:r/>
          </w:p>
        </w:tc>
      </w:tr>
      <w:tr>
        <w:trPr>
          <w:jc w:val="center"/>
          <w:trHeight w:val="0"/>
        </w:trPr>
        <w:tc>
          <w:tcPr>
            <w:tcW w:w="1488"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spacing w:line="44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（二）本项目的特定资格要求</w:t>
      </w:r>
      <w:r/>
    </w:p>
    <w:tbl>
      <w:tblPr>
        <w:tblStyle w:val="765"/>
        <w:tblW w:w="8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6559"/>
      </w:tblGrid>
      <w:tr>
        <w:trPr>
          <w:jc w:val="center"/>
          <w:trHeight w:val="0"/>
          <w:tblHeader/>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特定资格要求</w:t>
            </w:r>
            <w:r/>
          </w:p>
        </w:tc>
      </w:tr>
      <w:tr>
        <w:trPr>
          <w:jc w:val="center"/>
          <w:trHeight w:val="0"/>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bCs/>
                <w:sz w:val="24"/>
                <w:szCs w:val="24"/>
                <w:highlight w:val="none"/>
                <w:lang w:val="en-US" w:eastAsia="zh-CN"/>
              </w:rPr>
              <w:t xml:space="preserve">无</w:t>
            </w:r>
            <w:r/>
          </w:p>
        </w:tc>
      </w:tr>
    </w:tbl>
    <w:p>
      <w:pPr>
        <w:ind w:left="0" w:firstLine="0"/>
        <w:keepLines/>
        <w:keepNext/>
        <w:spacing w:line="440" w:lineRule="exact"/>
        <w:rPr>
          <w:rFonts w:hint="eastAsia" w:ascii="宋体" w:hAnsi="宋体" w:eastAsia="宋体" w:cs="宋体"/>
          <w:b/>
          <w:bCs/>
          <w:sz w:val="28"/>
          <w:szCs w:val="28"/>
        </w:rPr>
        <w:outlineLvl w:val="0"/>
      </w:pPr>
      <w:r/>
      <w:bookmarkStart w:id="53" w:name="_Toc31419"/>
      <w:r/>
      <w:bookmarkStart w:id="54" w:name="_Toc29283"/>
      <w:r>
        <w:rPr>
          <w:rFonts w:hint="eastAsia" w:ascii="宋体" w:hAnsi="宋体" w:eastAsia="宋体" w:cs="宋体"/>
          <w:b/>
          <w:bCs/>
          <w:sz w:val="28"/>
          <w:szCs w:val="28"/>
        </w:rPr>
        <w:t xml:space="preserve">三、获取磋商文件</w:t>
      </w:r>
      <w:bookmarkEnd w:id="53"/>
      <w:r/>
      <w:bookmarkEnd w:id="54"/>
      <w:r/>
      <w:r/>
    </w:p>
    <w:p>
      <w:pPr>
        <w:ind w:left="0" w:firstLine="480"/>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1.时间：自磋商文件公告发布之日起5个工作日。</w:t>
      </w:r>
      <w:r/>
    </w:p>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2.方式：本项目采用网上注册登记方式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在江苏政府采购网“苏采云”系统自行免费下载磋商文件。</w:t>
      </w:r>
      <w:bookmarkEnd w:id="48"/>
      <w:r/>
      <w:bookmarkEnd w:id="49"/>
      <w:r/>
      <w:bookmarkEnd w:id="50"/>
      <w:r/>
      <w:bookmarkEnd w:id="51"/>
      <w:r/>
      <w:bookmarkEnd w:id="52"/>
      <w:r/>
      <w:r/>
    </w:p>
    <w:p>
      <w:pPr>
        <w:ind w:left="0" w:firstLine="0"/>
        <w:keepLines/>
        <w:keepNext/>
        <w:spacing w:line="440" w:lineRule="exact"/>
        <w:rPr>
          <w:rFonts w:hint="eastAsia" w:ascii="宋体" w:hAnsi="宋体" w:eastAsia="宋体" w:cs="宋体"/>
          <w:b/>
          <w:bCs/>
          <w:sz w:val="28"/>
          <w:szCs w:val="28"/>
        </w:rPr>
        <w:outlineLvl w:val="0"/>
      </w:pPr>
      <w:r/>
      <w:bookmarkStart w:id="55" w:name="_Toc28359082"/>
      <w:r/>
      <w:bookmarkStart w:id="56" w:name="_Toc28359005"/>
      <w:r/>
      <w:bookmarkStart w:id="57" w:name="_Toc35393624"/>
      <w:r/>
      <w:bookmarkStart w:id="58" w:name="_Toc35393793"/>
      <w:r/>
      <w:bookmarkStart w:id="59" w:name="_Toc38985266"/>
      <w:r/>
      <w:bookmarkStart w:id="60" w:name="_Toc23751"/>
      <w:r/>
      <w:bookmarkStart w:id="61" w:name="_Toc1679"/>
      <w:r>
        <w:rPr>
          <w:rFonts w:hint="eastAsia" w:ascii="宋体" w:hAnsi="宋体" w:eastAsia="宋体" w:cs="宋体"/>
          <w:b/>
          <w:bCs/>
          <w:sz w:val="28"/>
          <w:szCs w:val="28"/>
        </w:rPr>
        <w:t xml:space="preserve">四、提交</w:t>
      </w:r>
      <w:bookmarkEnd w:id="55"/>
      <w:r/>
      <w:bookmarkEnd w:id="56"/>
      <w:r>
        <w:rPr>
          <w:rFonts w:hint="eastAsia" w:ascii="宋体" w:hAnsi="宋体" w:eastAsia="宋体" w:cs="宋体"/>
          <w:b/>
          <w:bCs/>
          <w:sz w:val="28"/>
          <w:szCs w:val="28"/>
        </w:rPr>
        <w:t xml:space="preserve">响应文件截止时间</w:t>
      </w:r>
      <w:bookmarkEnd w:id="57"/>
      <w:r/>
      <w:bookmarkEnd w:id="58"/>
      <w:r/>
      <w:bookmarkEnd w:id="59"/>
      <w:r>
        <w:rPr>
          <w:rFonts w:hint="eastAsia" w:ascii="宋体" w:hAnsi="宋体" w:eastAsia="宋体" w:cs="宋体"/>
          <w:b/>
          <w:bCs/>
          <w:sz w:val="28"/>
          <w:szCs w:val="28"/>
        </w:rPr>
        <w:t xml:space="preserve">、开启时间及地点</w:t>
      </w:r>
      <w:bookmarkEnd w:id="60"/>
      <w:r/>
      <w:bookmarkEnd w:id="6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none"/>
          <w:lang w:val="en-US" w:eastAsia="zh-CN"/>
        </w:rPr>
        <w:t xml:space="preserve">时间：</w:t>
      </w:r>
      <w:r>
        <w:rPr>
          <w:rFonts w:hint="eastAsia" w:ascii="宋体" w:hAnsi="宋体" w:eastAsia="宋体" w:cs="宋体"/>
          <w:bCs/>
          <w:sz w:val="24"/>
          <w:szCs w:val="24"/>
          <w:u w:val="none"/>
          <w:lang w:eastAsia="zh-CN"/>
        </w:rPr>
        <w:t xml:space="preserve">2026年11月02日14:30</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left="0" w:firstLine="0"/>
        <w:keepLines/>
        <w:keepNext/>
        <w:spacing w:line="440" w:lineRule="exact"/>
        <w:rPr>
          <w:rFonts w:hint="eastAsia" w:ascii="宋体" w:hAnsi="宋体" w:eastAsia="宋体" w:cs="宋体"/>
          <w:b/>
          <w:bCs/>
          <w:sz w:val="28"/>
          <w:szCs w:val="28"/>
        </w:rPr>
        <w:outlineLvl w:val="0"/>
      </w:pPr>
      <w:r/>
      <w:bookmarkStart w:id="62" w:name="_Toc35393794"/>
      <w:r/>
      <w:bookmarkStart w:id="63" w:name="_Toc7256"/>
      <w:r/>
      <w:bookmarkStart w:id="64" w:name="_Toc38985267"/>
      <w:r/>
      <w:bookmarkStart w:id="65" w:name="_Toc35393625"/>
      <w:r/>
      <w:bookmarkStart w:id="66" w:name="_Toc12724"/>
      <w:r/>
      <w:bookmarkStart w:id="67" w:name="_Toc28359007"/>
      <w:r/>
      <w:bookmarkStart w:id="68" w:name="_Toc28359084"/>
      <w:r>
        <w:rPr>
          <w:rFonts w:hint="eastAsia" w:ascii="宋体" w:hAnsi="宋体" w:eastAsia="宋体" w:cs="宋体"/>
          <w:b/>
          <w:bCs/>
          <w:sz w:val="28"/>
          <w:szCs w:val="28"/>
        </w:rPr>
        <w:t xml:space="preserve">五、公告期限</w:t>
      </w:r>
      <w:bookmarkEnd w:id="62"/>
      <w:r/>
      <w:bookmarkEnd w:id="63"/>
      <w:r/>
      <w:bookmarkEnd w:id="64"/>
      <w:r/>
      <w:bookmarkEnd w:id="65"/>
      <w:r/>
      <w:bookmarkEnd w:id="66"/>
      <w:r/>
      <w:bookmarkEnd w:id="67"/>
      <w:r/>
      <w:bookmarkEnd w:id="68"/>
      <w:r/>
      <w:r/>
    </w:p>
    <w:p>
      <w:pPr>
        <w:ind w:firstLine="480"/>
        <w:spacing w:line="440" w:lineRule="exact"/>
        <w:rPr>
          <w:rFonts w:hint="eastAsia" w:ascii="宋体" w:hAnsi="宋体" w:eastAsia="宋体" w:cs="宋体"/>
          <w:bCs/>
          <w:color w:val="ff0000"/>
          <w:sz w:val="24"/>
          <w:szCs w:val="24"/>
          <w:u w:val="single"/>
        </w:rPr>
      </w:pPr>
      <w:r>
        <w:rPr>
          <w:rFonts w:hint="eastAsia" w:ascii="宋体" w:hAnsi="宋体" w:eastAsia="宋体" w:cs="宋体"/>
          <w:sz w:val="24"/>
          <w:szCs w:val="24"/>
        </w:rPr>
        <w:t xml:space="preserve">自本公告发布之日起3个工作日。</w:t>
      </w:r>
      <w:r/>
    </w:p>
    <w:p>
      <w:pPr>
        <w:ind w:left="0" w:firstLine="0"/>
        <w:keepLines/>
        <w:keepNext/>
        <w:spacing w:line="440" w:lineRule="exact"/>
        <w:rPr>
          <w:rFonts w:hint="eastAsia" w:ascii="宋体" w:hAnsi="宋体" w:eastAsia="宋体" w:cs="宋体"/>
          <w:b/>
          <w:bCs/>
          <w:sz w:val="28"/>
          <w:szCs w:val="28"/>
        </w:rPr>
        <w:outlineLvl w:val="0"/>
      </w:pPr>
      <w:r/>
      <w:bookmarkStart w:id="69" w:name="_Toc38985268"/>
      <w:r/>
      <w:bookmarkStart w:id="70" w:name="_Toc35393626"/>
      <w:r/>
      <w:bookmarkStart w:id="71" w:name="_Toc35393795"/>
      <w:r/>
      <w:bookmarkStart w:id="72" w:name="_Toc3473"/>
      <w:r/>
      <w:bookmarkStart w:id="73" w:name="_Toc17506"/>
      <w:r>
        <w:rPr>
          <w:rFonts w:hint="eastAsia" w:ascii="宋体" w:hAnsi="宋体" w:eastAsia="宋体" w:cs="宋体"/>
          <w:b/>
          <w:bCs/>
          <w:sz w:val="28"/>
          <w:szCs w:val="28"/>
        </w:rPr>
        <w:t xml:space="preserve">六、其他补充事宜</w:t>
      </w:r>
      <w:bookmarkEnd w:id="69"/>
      <w:r/>
      <w:bookmarkEnd w:id="70"/>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left="0" w:firstLine="0"/>
        <w:keepLines/>
        <w:keepNext/>
        <w:spacing w:line="440" w:lineRule="exact"/>
        <w:rPr>
          <w:rFonts w:hint="eastAsia" w:ascii="宋体" w:hAnsi="宋体" w:eastAsia="宋体" w:cs="宋体"/>
          <w:b/>
          <w:bCs/>
          <w:sz w:val="28"/>
          <w:szCs w:val="28"/>
        </w:rPr>
        <w:outlineLvl w:val="0"/>
      </w:pPr>
      <w:r/>
      <w:bookmarkStart w:id="74" w:name="_Toc35393796"/>
      <w:r/>
      <w:bookmarkStart w:id="75" w:name="_Toc38985269"/>
      <w:r/>
      <w:bookmarkStart w:id="76" w:name="_Toc28359008"/>
      <w:r/>
      <w:bookmarkStart w:id="77" w:name="_Toc35393627"/>
      <w:r/>
      <w:bookmarkStart w:id="78" w:name="_Toc28359085"/>
      <w:r/>
      <w:bookmarkStart w:id="79" w:name="_Toc25916"/>
      <w:r/>
      <w:bookmarkStart w:id="80" w:name="_Toc4227"/>
      <w:r>
        <w:rPr>
          <w:rFonts w:hint="eastAsia" w:ascii="宋体" w:hAnsi="宋体" w:eastAsia="宋体" w:cs="宋体"/>
          <w:b/>
          <w:bCs/>
          <w:sz w:val="28"/>
          <w:szCs w:val="28"/>
        </w:rPr>
        <w:t xml:space="preserve">七、本次磋商联系方式</w:t>
      </w:r>
      <w:bookmarkEnd w:id="74"/>
      <w:r/>
      <w:bookmarkEnd w:id="75"/>
      <w:r/>
      <w:bookmarkEnd w:id="76"/>
      <w:r/>
      <w:bookmarkEnd w:id="77"/>
      <w:r/>
      <w:bookmarkEnd w:id="78"/>
      <w:r/>
      <w:bookmarkEnd w:id="79"/>
      <w:r/>
      <w:bookmarkEnd w:id="80"/>
      <w:r/>
      <w:r/>
    </w:p>
    <w:p>
      <w:pPr>
        <w:ind w:firstLine="482"/>
        <w:keepLines w:val="0"/>
        <w:keepNext w:val="0"/>
        <w:pageBreakBefore w:val="0"/>
        <w:spacing w:line="460" w:lineRule="exact"/>
        <w:widowControl/>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val="en-US" w:eastAsia="zh-CN"/>
        </w:rPr>
        <w:t xml:space="preserve">兴化市现代农业发展服务中心</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兴化市红星中路28号</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钱先生</w:t>
      </w:r>
      <w:r/>
    </w:p>
    <w:p>
      <w:pPr>
        <w:ind w:firstLine="482"/>
        <w:keepLines w:val="0"/>
        <w:keepNext w:val="0"/>
        <w:pageBreakBefore w:val="0"/>
        <w:spacing w:line="4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联系方式：</w:t>
      </w:r>
      <w:bookmarkStart w:id="81" w:name="_Toc28359086"/>
      <w:r/>
      <w:bookmarkStart w:id="82" w:name="_Toc28359009"/>
      <w:r>
        <w:rPr>
          <w:rFonts w:hint="eastAsia" w:ascii="宋体" w:hAnsi="宋体" w:eastAsia="宋体" w:cs="宋体"/>
          <w:sz w:val="24"/>
          <w:szCs w:val="24"/>
          <w:u w:val="single"/>
          <w:lang w:eastAsia="zh-CN"/>
        </w:rPr>
        <w:t xml:space="preserve">15852984457</w:t>
      </w:r>
      <w:r/>
    </w:p>
    <w:p>
      <w:pPr>
        <w:ind w:firstLine="482"/>
        <w:keepLines w:val="0"/>
        <w:keepNext w:val="0"/>
        <w:pageBreakBefore w:val="0"/>
        <w:spacing w:line="46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bookmarkEnd w:id="81"/>
      <w:r/>
      <w:bookmarkEnd w:id="82"/>
      <w:r>
        <w:rPr>
          <w:rFonts w:hint="eastAsia" w:ascii="宋体" w:hAnsi="宋体" w:eastAsia="宋体" w:cs="宋体"/>
          <w:sz w:val="24"/>
          <w:szCs w:val="24"/>
        </w:rPr>
        <w:t xml:space="preserve">采购代理机构信息</w:t>
      </w:r>
      <w:r/>
    </w:p>
    <w:p>
      <w:pPr>
        <w:ind w:firstLine="482"/>
        <w:keepLines w:val="0"/>
        <w:keepNext w:val="0"/>
        <w:pageBreakBefore w:val="0"/>
        <w:spacing w:line="460" w:lineRule="exact"/>
        <w:rPr>
          <w:rFonts w:hint="eastAsia" w:ascii="宋体" w:hAnsi="宋体" w:eastAsia="宋体" w:cs="宋体"/>
          <w:sz w:val="24"/>
          <w:szCs w:val="21"/>
          <w:u w:val="single"/>
        </w:rPr>
      </w:pPr>
      <w:r/>
      <w:bookmarkStart w:id="83" w:name="_Toc28359010"/>
      <w:r/>
      <w:bookmarkStart w:id="84" w:name="_Toc28359087"/>
      <w:r>
        <w:rPr>
          <w:rFonts w:hint="eastAsia" w:ascii="宋体" w:hAnsi="宋体" w:eastAsia="宋体" w:cs="宋体"/>
          <w:sz w:val="24"/>
          <w:szCs w:val="21"/>
          <w:u w:val="none"/>
        </w:rPr>
        <w:t xml:space="preserve">名 称：</w:t>
      </w:r>
      <w:r>
        <w:rPr>
          <w:rFonts w:hint="eastAsia" w:ascii="宋体" w:hAnsi="宋体" w:eastAsia="宋体" w:cs="宋体"/>
          <w:sz w:val="24"/>
          <w:szCs w:val="21"/>
          <w:u w:val="single"/>
          <w:lang w:eastAsia="zh-CN"/>
        </w:rPr>
        <w:t xml:space="preserve">泰州中政招投标代理有限公司</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rPr>
        <w:t xml:space="preserve">地 址：</w:t>
      </w:r>
      <w:r>
        <w:rPr>
          <w:rFonts w:hint="eastAsia" w:ascii="宋体" w:hAnsi="宋体" w:eastAsia="宋体" w:cs="宋体"/>
          <w:sz w:val="24"/>
          <w:szCs w:val="21"/>
          <w:u w:val="single"/>
        </w:rPr>
        <w:t xml:space="preserve">兴化市</w:t>
      </w:r>
      <w:r>
        <w:rPr>
          <w:rFonts w:hint="eastAsia" w:ascii="宋体" w:hAnsi="宋体" w:eastAsia="宋体" w:cs="宋体"/>
          <w:sz w:val="24"/>
          <w:szCs w:val="21"/>
          <w:u w:val="single"/>
          <w:lang w:val="en-US" w:eastAsia="zh-CN"/>
        </w:rPr>
        <w:t xml:space="preserve">长九领寓518</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lang w:val="en-US" w:eastAsia="zh-CN"/>
        </w:rPr>
        <w:t xml:space="preserve">联系人：</w:t>
      </w:r>
      <w:r>
        <w:rPr>
          <w:rFonts w:hint="eastAsia" w:ascii="宋体" w:hAnsi="宋体" w:eastAsia="宋体" w:cs="宋体"/>
          <w:sz w:val="24"/>
          <w:szCs w:val="21"/>
          <w:u w:val="single"/>
          <w:lang w:val="en-US" w:eastAsia="zh-CN"/>
        </w:rPr>
        <w:t xml:space="preserve">孙先生</w:t>
      </w:r>
      <w:r/>
    </w:p>
    <w:p>
      <w:pPr>
        <w:ind w:firstLine="482"/>
        <w:keepLines w:val="0"/>
        <w:keepNext w:val="0"/>
        <w:pageBreakBefore w:val="0"/>
        <w:spacing w:line="460" w:lineRule="exact"/>
        <w:rPr>
          <w:rFonts w:hint="eastAsia" w:ascii="宋体" w:hAnsi="宋体" w:eastAsia="宋体" w:cs="宋体"/>
          <w:sz w:val="24"/>
          <w:szCs w:val="21"/>
          <w:u w:val="single"/>
        </w:rPr>
      </w:pPr>
      <w:r>
        <w:rPr>
          <w:rFonts w:hint="eastAsia" w:ascii="宋体" w:hAnsi="宋体" w:eastAsia="宋体" w:cs="宋体"/>
          <w:sz w:val="24"/>
          <w:szCs w:val="21"/>
          <w:u w:val="none"/>
        </w:rPr>
        <w:t xml:space="preserve">联系方式：</w:t>
      </w:r>
      <w:r>
        <w:rPr>
          <w:rFonts w:hint="eastAsia" w:ascii="宋体" w:hAnsi="宋体" w:eastAsia="宋体" w:cs="宋体"/>
          <w:sz w:val="24"/>
          <w:szCs w:val="21"/>
          <w:u w:val="single"/>
        </w:rPr>
        <w:t xml:space="preserve">0523-</w:t>
      </w:r>
      <w:r>
        <w:rPr>
          <w:rFonts w:hint="eastAsia" w:ascii="宋体" w:hAnsi="宋体" w:eastAsia="宋体" w:cs="宋体"/>
          <w:sz w:val="24"/>
          <w:szCs w:val="21"/>
          <w:u w:val="single"/>
          <w:lang w:val="en-US" w:eastAsia="zh-CN"/>
        </w:rPr>
        <w:t xml:space="preserve">83285808</w:t>
      </w:r>
      <w:bookmarkEnd w:id="83"/>
      <w:r/>
      <w:bookmarkEnd w:id="84"/>
      <w:r/>
      <w:r/>
    </w:p>
    <w:p>
      <w:pPr>
        <w:ind w:left="0" w:firstLine="0"/>
        <w:keepLines/>
        <w:keepNext/>
        <w:spacing w:line="440" w:lineRule="exact"/>
        <w:rPr>
          <w:b/>
          <w:bCs/>
          <w:sz w:val="28"/>
          <w:szCs w:val="28"/>
        </w:rPr>
        <w:outlineLvl w:val="0"/>
      </w:pPr>
      <w:r/>
      <w:bookmarkStart w:id="85" w:name="_Toc7697"/>
      <w:r/>
      <w:bookmarkStart w:id="86" w:name="_Toc27369"/>
      <w:r>
        <w:rPr>
          <w:rFonts w:hint="eastAsia"/>
          <w:b/>
          <w:bCs/>
          <w:sz w:val="28"/>
          <w:szCs w:val="28"/>
        </w:rPr>
        <w:t xml:space="preserve">八、其他</w:t>
      </w:r>
      <w:bookmarkEnd w:id="85"/>
      <w:r/>
      <w:bookmarkEnd w:id="86"/>
      <w:r/>
      <w:r/>
    </w:p>
    <w:p>
      <w:pPr>
        <w:ind w:firstLine="454"/>
        <w:keepLines w:val="0"/>
        <w:keepNext w:val="0"/>
        <w:pageBreakBefore w:val="0"/>
        <w:spacing w:line="440" w:lineRule="exact"/>
        <w:widowControl w:val="off"/>
        <w:tabs>
          <w:tab w:val="left" w:pos="900" w:leader="none"/>
        </w:tabs>
        <w:rPr>
          <w:rFonts w:hint="eastAsia" w:ascii="宋体" w:hAnsi="宋体" w:eastAsia="宋体" w:cs="宋体"/>
          <w:bCs/>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bCs/>
          <w:spacing w:val="-6"/>
          <w:sz w:val="24"/>
          <w:szCs w:val="24"/>
        </w:rPr>
        <w:t xml:space="preserve">根据省财政厅《关于更换全省政府采购交易系统CA数字证书和电子签章的通知》（苏财购〔2023〕101号），</w:t>
      </w:r>
      <w:r>
        <w:rPr>
          <w:rFonts w:hint="eastAsia" w:ascii="宋体" w:hAnsi="宋体" w:eastAsia="宋体" w:cs="宋体"/>
          <w:spacing w:val="-6"/>
          <w:sz w:val="24"/>
          <w:szCs w:val="24"/>
        </w:rPr>
        <w:t xml:space="preserve">“苏采云”政府采购交易系统（以下简称苏采云系统）</w:t>
      </w:r>
      <w:r>
        <w:rPr>
          <w:rFonts w:hint="eastAsia" w:ascii="宋体" w:hAnsi="宋体" w:eastAsia="宋体" w:cs="宋体"/>
          <w:bCs/>
          <w:spacing w:val="-6"/>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pacing w:val="-6"/>
          <w:sz w:val="24"/>
          <w:szCs w:val="24"/>
        </w:rPr>
        <w:t xml:space="preserve">苏采云系统</w:t>
      </w:r>
      <w:r>
        <w:rPr>
          <w:rFonts w:hint="eastAsia" w:ascii="宋体" w:hAnsi="宋体" w:eastAsia="宋体" w:cs="宋体"/>
          <w:bCs/>
          <w:spacing w:val="-6"/>
          <w:sz w:val="24"/>
          <w:szCs w:val="24"/>
        </w:rPr>
        <w:t xml:space="preserve">参与政府采购项目，需要更换CA数字证书和电子签章。具体办理指南和操作手册见链接：</w:t>
      </w:r>
      <w:r>
        <w:rPr>
          <w:rFonts w:hint="eastAsia" w:ascii="宋体" w:hAnsi="宋体" w:eastAsia="宋体" w:cs="宋体"/>
          <w:bCs/>
          <w:spacing w:val="-6"/>
          <w:sz w:val="24"/>
          <w:szCs w:val="24"/>
          <w:lang w:eastAsia="zh-CN"/>
        </w:rPr>
        <w:t xml:space="preserve">http://www.ccgp-jiangsu.gov.cn/jiangsu/zlxz/24/241a256f61f0436db9afef4c1eb5c78f.html</w:t>
      </w:r>
      <w:r>
        <w:rPr>
          <w:rFonts w:hint="eastAsia" w:ascii="宋体" w:hAnsi="宋体" w:eastAsia="宋体" w:cs="宋体"/>
          <w:bCs/>
          <w:spacing w:val="-6"/>
          <w:sz w:val="24"/>
          <w:szCs w:val="24"/>
        </w:rPr>
        <w:t xml:space="preserve">。</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w:t>
      </w:r>
      <w:r>
        <w:rPr>
          <w:rFonts w:hint="eastAsia" w:ascii="宋体" w:hAnsi="宋体" w:eastAsia="宋体" w:cs="宋体"/>
          <w:bCs/>
          <w:sz w:val="24"/>
          <w:szCs w:val="24"/>
          <w:lang w:val="en-US" w:eastAsia="zh-CN"/>
        </w:rPr>
        <w:t xml:space="preserve">泰州</w:t>
      </w:r>
      <w:r>
        <w:rPr>
          <w:rFonts w:hint="eastAsia" w:ascii="宋体" w:hAnsi="宋体" w:eastAsia="宋体" w:cs="宋体"/>
          <w:bCs/>
          <w:sz w:val="24"/>
          <w:szCs w:val="24"/>
          <w:lang w:eastAsia="zh-CN"/>
        </w:rPr>
        <w:t xml:space="preserve">公共资源交易中心一楼</w:t>
      </w:r>
      <w:r>
        <w:rPr>
          <w:rFonts w:hint="eastAsia" w:ascii="宋体" w:hAnsi="宋体" w:eastAsia="宋体" w:cs="宋体"/>
          <w:bCs/>
          <w:sz w:val="24"/>
          <w:szCs w:val="24"/>
        </w:rPr>
        <w:t xml:space="preserve">大厅CA办理窗口办理，具体联系方式见《苏采云系统供应商操作手册》（以下简称《操作手册》））、进行注册并按《操作手册》要求制作、上传电子响应文件。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2.有关本次磋商的事项若存在变动或修改，敬请及时关注</w:t>
      </w:r>
      <w:r>
        <w:rPr>
          <w:rFonts w:hint="eastAsia" w:ascii="宋体" w:hAnsi="宋体" w:eastAsia="宋体" w:cs="宋体"/>
          <w:bCs/>
          <w:sz w:val="24"/>
          <w:szCs w:val="24"/>
          <w:lang w:eastAsia="zh-CN"/>
        </w:rPr>
        <w:t xml:space="preserve">泰州中政招投标代理有限公司</w:t>
      </w:r>
      <w:r>
        <w:rPr>
          <w:rFonts w:hint="eastAsia" w:ascii="宋体" w:hAnsi="宋体" w:eastAsia="宋体" w:cs="宋体"/>
          <w:bCs/>
          <w:sz w:val="24"/>
          <w:szCs w:val="24"/>
        </w:rPr>
        <w:t xml:space="preserve">在“江苏政府采购网”发布的更正公告。</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单位负责人为同一人或者存在直接控股、管理关系的不同供应商，不得参加同一合同项下的政府采购活动。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4.为本采购项目提供整体设计、规范编制或者项目管理、审查等服务的供应商，不得再参加本采购项目的采购活动。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5.查询及使用供应商信用记录：</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⑴由采购人查询信用信息。</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⑵查询渠道包括：“信用中国”网（www.creditchina.gov.cn）；</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⑶截止时点（查询环节）：评审结束前。</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⑷信用信息查询记录和证据留存的具体方式：网页截屏打印，与其他采购文件一并保存。</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⑸信用信息的使用规则：</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70"/>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87" w:name="_Toc2184"/>
      <w:r>
        <w:rPr>
          <w:rFonts w:hint="eastAsia" w:ascii="宋体" w:hAnsi="宋体" w:eastAsia="宋体" w:cs="宋体"/>
          <w:b/>
          <w:bCs/>
          <w:sz w:val="44"/>
          <w:szCs w:val="44"/>
          <w:lang w:val="en-US" w:eastAsia="zh-CN"/>
        </w:rPr>
        <w:t xml:space="preserve">供应商须知</w:t>
      </w:r>
      <w:bookmarkEnd w:id="87"/>
      <w:r/>
      <w:r/>
    </w:p>
    <w:p>
      <w:pPr>
        <w:ind w:left="0" w:firstLine="0"/>
        <w:jc w:val="center"/>
        <w:keepLines/>
        <w:keepNext/>
        <w:pageBreakBefore w:val="0"/>
        <w:spacing w:before="320" w:line="440" w:lineRule="exact"/>
        <w:widowControl w:val="off"/>
        <w:rPr>
          <w:rFonts w:hint="eastAsia" w:ascii="宋体" w:hAnsi="宋体" w:eastAsia="宋体" w:cs="宋体"/>
          <w:b/>
          <w:bCs/>
          <w:sz w:val="32"/>
          <w:szCs w:val="32"/>
        </w:rPr>
        <w:outlineLvl w:val="0"/>
      </w:pPr>
      <w:r/>
      <w:bookmarkStart w:id="88" w:name="_Toc120614214"/>
      <w:r/>
      <w:bookmarkStart w:id="89" w:name="_Toc15605"/>
      <w:r/>
      <w:bookmarkStart w:id="90" w:name="_Toc26021"/>
      <w:r/>
      <w:bookmarkStart w:id="91" w:name="_Toc16938519"/>
      <w:r/>
      <w:bookmarkStart w:id="92" w:name="_Toc513029203"/>
      <w:r/>
      <w:bookmarkStart w:id="93" w:name="_Toc20823275"/>
      <w:r>
        <w:rPr>
          <w:rFonts w:hint="eastAsia" w:ascii="宋体" w:hAnsi="宋体" w:eastAsia="宋体" w:cs="宋体"/>
          <w:b/>
          <w:bCs/>
          <w:sz w:val="32"/>
          <w:szCs w:val="32"/>
        </w:rPr>
        <w:t xml:space="preserve">一、总则</w:t>
      </w:r>
      <w:bookmarkEnd w:id="88"/>
      <w:r/>
      <w:bookmarkEnd w:id="89"/>
      <w:r/>
      <w:bookmarkEnd w:id="90"/>
      <w:r/>
      <w:bookmarkEnd w:id="91"/>
      <w:r/>
      <w:bookmarkEnd w:id="92"/>
      <w:r/>
      <w:bookmarkEnd w:id="9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4" w:name="_Hlt16619475"/>
      <w:r/>
      <w:bookmarkEnd w:id="94"/>
      <w:r/>
      <w:bookmarkStart w:id="95" w:name="_Toc458694821"/>
      <w:r/>
      <w:bookmarkStart w:id="96" w:name="_Toc20823276"/>
      <w:r/>
      <w:bookmarkStart w:id="97" w:name="_Toc16938520"/>
      <w:r/>
      <w:bookmarkStart w:id="98" w:name="_Toc513029204"/>
      <w:r>
        <w:rPr>
          <w:rFonts w:hint="eastAsia" w:ascii="宋体" w:hAnsi="宋体" w:eastAsia="宋体" w:cs="宋体"/>
          <w:b/>
          <w:bCs/>
          <w:sz w:val="28"/>
          <w:szCs w:val="28"/>
        </w:rPr>
        <w:t xml:space="preserve">1</w:t>
      </w:r>
      <w:bookmarkEnd w:id="95"/>
      <w:r>
        <w:rPr>
          <w:rFonts w:hint="eastAsia" w:ascii="宋体" w:hAnsi="宋体" w:eastAsia="宋体" w:cs="宋体"/>
          <w:b/>
          <w:bCs/>
          <w:sz w:val="28"/>
          <w:szCs w:val="28"/>
        </w:rPr>
        <w:t xml:space="preserve">、采购方式</w:t>
      </w:r>
      <w:bookmarkEnd w:id="96"/>
      <w:r/>
      <w:bookmarkEnd w:id="97"/>
      <w:r/>
      <w:bookmarkEnd w:id="9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9" w:name="_Toc513029205"/>
      <w:r/>
      <w:bookmarkStart w:id="100" w:name="_Toc16938521"/>
      <w:r/>
      <w:bookmarkStart w:id="101" w:name="_Toc20823277"/>
      <w:r>
        <w:rPr>
          <w:rFonts w:hint="eastAsia" w:ascii="宋体" w:hAnsi="宋体" w:eastAsia="宋体" w:cs="宋体"/>
          <w:b/>
          <w:bCs/>
          <w:sz w:val="28"/>
          <w:szCs w:val="28"/>
        </w:rPr>
        <w:t xml:space="preserve">2、合格的</w:t>
      </w:r>
      <w:bookmarkEnd w:id="99"/>
      <w:r/>
      <w:bookmarkEnd w:id="100"/>
      <w:r/>
      <w:bookmarkEnd w:id="101"/>
      <w:r>
        <w:rPr>
          <w:rFonts w:hint="eastAsia" w:ascii="宋体" w:hAnsi="宋体" w:eastAsia="宋体" w:cs="宋体"/>
          <w:b/>
          <w:bCs/>
          <w:sz w:val="28"/>
          <w:szCs w:val="28"/>
        </w:rPr>
        <w:t xml:space="preserve">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满足本磋商文件实质性要求的规定。</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2" w:name="_Toc513029206"/>
      <w:r/>
      <w:bookmarkStart w:id="103" w:name="_Toc16938522"/>
      <w:r/>
      <w:bookmarkStart w:id="104" w:name="_Toc20823278"/>
      <w:r>
        <w:rPr>
          <w:rFonts w:hint="eastAsia" w:ascii="宋体" w:hAnsi="宋体" w:eastAsia="宋体" w:cs="宋体"/>
          <w:b/>
          <w:bCs/>
          <w:sz w:val="28"/>
          <w:szCs w:val="28"/>
        </w:rPr>
        <w:t xml:space="preserve">3、适用法律</w:t>
      </w:r>
      <w:bookmarkEnd w:id="102"/>
      <w:r/>
      <w:bookmarkEnd w:id="103"/>
      <w:r/>
      <w:bookmarkEnd w:id="104"/>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80"/>
        <w:jc w:val="left"/>
        <w:pageBreakBefore w:val="0"/>
        <w:spacing w:line="440" w:lineRule="exact"/>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3.2 在本项目政府采购活动过程中，如果所执行的标准有更新的，按照最新标准执行。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5" w:name="_Toc20823279"/>
      <w:r/>
      <w:bookmarkStart w:id="106" w:name="_Toc462564067"/>
      <w:r/>
      <w:bookmarkStart w:id="107" w:name="_Toc513029207"/>
      <w:r/>
      <w:bookmarkStart w:id="108" w:name="_Toc16938523"/>
      <w:r>
        <w:rPr>
          <w:rFonts w:hint="eastAsia" w:ascii="宋体" w:hAnsi="宋体" w:eastAsia="宋体" w:cs="宋体"/>
          <w:b/>
          <w:bCs/>
          <w:sz w:val="28"/>
          <w:szCs w:val="28"/>
        </w:rPr>
        <w:t xml:space="preserve">4、磋商费用</w:t>
      </w:r>
      <w:bookmarkEnd w:id="105"/>
      <w:r/>
      <w:bookmarkEnd w:id="106"/>
      <w:r/>
      <w:bookmarkEnd w:id="107"/>
      <w:r/>
      <w:bookmarkEnd w:id="10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eastAsia="zh-CN"/>
        </w:rPr>
        <w:t xml:space="preserve">泰州中政招投标代理有限公司</w:t>
      </w:r>
      <w:r>
        <w:rPr>
          <w:rFonts w:hint="eastAsia" w:ascii="宋体" w:hAnsi="宋体" w:eastAsia="宋体" w:cs="宋体"/>
          <w:sz w:val="24"/>
          <w:szCs w:val="21"/>
        </w:rPr>
        <w:t xml:space="preserve">（以下简称</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4.2本次磋商</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和采购人不收取标书工本费。</w:t>
      </w:r>
      <w:r/>
    </w:p>
    <w:p>
      <w:pPr>
        <w:ind w:firstLine="480"/>
        <w:jc w:val="left"/>
        <w:pageBreakBefore w:val="0"/>
        <w:spacing w:line="440" w:lineRule="exact"/>
        <w:widowControl w:val="off"/>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4.3该项目的报价应包括完成该项目服务所需的一切相关费用、磋商文件制作费、磋商代理服务费及其它应付的费用等。</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4.4采购代理机构代理费用的收取标准和方式：本招标代理服务费由采购人支付。</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5、磋商文件的约束力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09" w:name="_Toc16938525"/>
      <w:r/>
      <w:bookmarkStart w:id="110" w:name="_Toc120614215"/>
      <w:r/>
      <w:bookmarkStart w:id="111" w:name="_Toc513029209"/>
      <w:r/>
      <w:bookmarkStart w:id="112" w:name="_Toc20823281"/>
      <w:r/>
      <w:bookmarkStart w:id="113" w:name="_Toc9876"/>
      <w:r/>
      <w:bookmarkStart w:id="114" w:name="_Toc5797"/>
      <w:r>
        <w:rPr>
          <w:rFonts w:hint="eastAsia" w:ascii="宋体" w:hAnsi="宋体" w:eastAsia="宋体" w:cs="宋体"/>
          <w:b/>
          <w:bCs/>
          <w:sz w:val="32"/>
          <w:szCs w:val="32"/>
        </w:rPr>
        <w:t xml:space="preserve">二、</w:t>
      </w:r>
      <w:bookmarkEnd w:id="109"/>
      <w:r/>
      <w:bookmarkEnd w:id="110"/>
      <w:r/>
      <w:bookmarkEnd w:id="111"/>
      <w:r/>
      <w:bookmarkEnd w:id="112"/>
      <w:r>
        <w:rPr>
          <w:rFonts w:hint="eastAsia" w:ascii="宋体" w:hAnsi="宋体" w:eastAsia="宋体" w:cs="宋体"/>
          <w:b/>
          <w:bCs/>
          <w:sz w:val="32"/>
          <w:szCs w:val="32"/>
        </w:rPr>
        <w:t xml:space="preserve">磋商文件</w:t>
      </w:r>
      <w:bookmarkEnd w:id="113"/>
      <w:r/>
      <w:bookmarkEnd w:id="11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5" w:name="_Toc20823282"/>
      <w:r/>
      <w:bookmarkStart w:id="116" w:name="_Toc16938526"/>
      <w:r/>
      <w:bookmarkStart w:id="117" w:name="_Toc513029210"/>
      <w:r>
        <w:rPr>
          <w:rFonts w:hint="eastAsia" w:ascii="宋体" w:hAnsi="宋体" w:eastAsia="宋体" w:cs="宋体"/>
          <w:b/>
          <w:bCs/>
          <w:sz w:val="28"/>
          <w:szCs w:val="28"/>
        </w:rPr>
        <w:t xml:space="preserve">6、磋商文件构成</w:t>
      </w:r>
      <w:bookmarkEnd w:id="115"/>
      <w:r/>
      <w:bookmarkEnd w:id="116"/>
      <w:r/>
      <w:bookmarkEnd w:id="11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联系解决。</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8" w:name="_Toc20823284"/>
      <w:r/>
      <w:bookmarkStart w:id="119" w:name="_Toc462564071"/>
      <w:r/>
      <w:bookmarkStart w:id="120" w:name="_Toc16938528"/>
      <w:r/>
      <w:bookmarkStart w:id="121" w:name="_Toc513029212"/>
      <w:r>
        <w:rPr>
          <w:rFonts w:hint="eastAsia" w:ascii="宋体" w:hAnsi="宋体" w:eastAsia="宋体" w:cs="宋体"/>
          <w:b/>
          <w:bCs/>
          <w:sz w:val="28"/>
          <w:szCs w:val="28"/>
        </w:rPr>
        <w:t xml:space="preserve">7、磋商文件的澄清和修改</w:t>
      </w:r>
      <w:bookmarkEnd w:id="118"/>
      <w:r/>
      <w:bookmarkEnd w:id="119"/>
      <w:r/>
      <w:bookmarkEnd w:id="120"/>
      <w:r/>
      <w:bookmarkEnd w:id="121"/>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将顺延提交首次响应文件截止时间。</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7.2</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可以视采购项目的具体情况，组织供应商进行现场考察或召开磋商前答疑会，但不单独或分别组织只有一个供应商参加的现场考察和答疑会。</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7.3任何要求对磋商文件进行澄清的供应商，应在磋商截止期5日前按磋商公告中的通讯地址，以书面形式通知泰州中政。</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22" w:name="_Toc462564072"/>
      <w:r/>
      <w:bookmarkStart w:id="123" w:name="_Toc11365"/>
      <w:r/>
      <w:bookmarkStart w:id="124" w:name="_Toc16938529"/>
      <w:r/>
      <w:bookmarkStart w:id="125" w:name="_Toc20823285"/>
      <w:r/>
      <w:bookmarkStart w:id="126" w:name="_Toc27993"/>
      <w:r/>
      <w:bookmarkStart w:id="127" w:name="_Toc513029213"/>
      <w:r/>
      <w:bookmarkStart w:id="128" w:name="_Toc120614216"/>
      <w:r>
        <w:rPr>
          <w:rFonts w:hint="eastAsia" w:ascii="宋体" w:hAnsi="宋体" w:eastAsia="宋体" w:cs="宋体"/>
          <w:b/>
          <w:bCs/>
          <w:sz w:val="32"/>
          <w:szCs w:val="32"/>
        </w:rPr>
        <w:t xml:space="preserve">三、响应文件的编制</w:t>
      </w:r>
      <w:bookmarkEnd w:id="122"/>
      <w:r/>
      <w:bookmarkEnd w:id="123"/>
      <w:r/>
      <w:bookmarkEnd w:id="124"/>
      <w:r/>
      <w:bookmarkEnd w:id="125"/>
      <w:r/>
      <w:bookmarkEnd w:id="126"/>
      <w:r/>
      <w:bookmarkEnd w:id="127"/>
      <w:r/>
      <w:bookmarkEnd w:id="128"/>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29" w:name="_Toc462564073"/>
      <w:r/>
      <w:bookmarkStart w:id="130" w:name="_Toc20823286"/>
      <w:r/>
      <w:bookmarkStart w:id="131" w:name="_Toc513029214"/>
      <w:r/>
      <w:bookmarkStart w:id="132" w:name="_Toc16938530"/>
      <w:r>
        <w:rPr>
          <w:rFonts w:hint="eastAsia" w:ascii="宋体" w:hAnsi="宋体" w:eastAsia="宋体" w:cs="宋体"/>
          <w:b/>
          <w:bCs/>
          <w:sz w:val="28"/>
          <w:szCs w:val="28"/>
        </w:rPr>
        <w:t xml:space="preserve">8、响应文件的语言及度量衡单位</w:t>
      </w:r>
      <w:bookmarkEnd w:id="129"/>
      <w:r/>
      <w:bookmarkEnd w:id="130"/>
      <w:r/>
      <w:bookmarkEnd w:id="131"/>
      <w:r/>
      <w:bookmarkEnd w:id="132"/>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3" w:name="_Toc462564074"/>
      <w:r/>
      <w:bookmarkStart w:id="134" w:name="_Toc16938531"/>
      <w:r/>
      <w:bookmarkStart w:id="135" w:name="_Toc20823287"/>
      <w:r/>
      <w:bookmarkStart w:id="136" w:name="_Toc513029215"/>
      <w:r>
        <w:rPr>
          <w:rFonts w:hint="eastAsia" w:ascii="宋体" w:hAnsi="宋体" w:eastAsia="宋体" w:cs="宋体"/>
          <w:b/>
          <w:bCs/>
          <w:sz w:val="28"/>
          <w:szCs w:val="28"/>
        </w:rPr>
        <w:t xml:space="preserve">9、响应文件构成</w:t>
      </w:r>
      <w:bookmarkEnd w:id="133"/>
      <w:r/>
      <w:bookmarkEnd w:id="134"/>
      <w:r/>
      <w:bookmarkEnd w:id="135"/>
      <w:r/>
      <w:bookmarkEnd w:id="136"/>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、分项报价表、技术要求响应及偏离表、商务要求响应及偏离表、其他证明文件、磋商响应函等部分。</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9.2 如标书制作工具中格式和内容与“江苏政府采购网”发布的磋商文件不一致，请以“江苏政府采购网”发布的磋商文件为准。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7" w:name="_Hlt26670360"/>
      <w:r/>
      <w:bookmarkEnd w:id="137"/>
      <w:r/>
      <w:bookmarkStart w:id="138" w:name="_Hlt26668975"/>
      <w:r/>
      <w:bookmarkEnd w:id="138"/>
      <w:r/>
      <w:bookmarkStart w:id="139" w:name="_Hlt26954838"/>
      <w:r/>
      <w:bookmarkEnd w:id="139"/>
      <w:r/>
      <w:bookmarkStart w:id="140" w:name="_Toc14577357"/>
      <w:r/>
      <w:bookmarkStart w:id="141" w:name="_Toc49090509"/>
      <w:r/>
      <w:bookmarkStart w:id="142" w:name="_Toc49090507"/>
      <w:r/>
      <w:bookmarkStart w:id="143" w:name="_Toc14577354"/>
      <w:r/>
      <w:bookmarkStart w:id="144" w:name="_Toc513029216"/>
      <w:r/>
      <w:bookmarkStart w:id="145" w:name="_Toc513029219"/>
      <w:r/>
      <w:bookmarkStart w:id="146" w:name="_Toc14577355"/>
      <w:r/>
      <w:bookmarkStart w:id="147" w:name="_Toc49090508"/>
      <w:r>
        <w:rPr>
          <w:rFonts w:hint="eastAsia" w:ascii="宋体" w:hAnsi="宋体" w:eastAsia="宋体" w:cs="宋体"/>
          <w:b/>
          <w:bCs/>
          <w:sz w:val="28"/>
          <w:szCs w:val="28"/>
        </w:rPr>
        <w:t xml:space="preserve">10、证明磋商响应标的符合磋商文件规定的文件</w:t>
      </w:r>
      <w:bookmarkEnd w:id="140"/>
      <w:r/>
      <w:bookmarkEnd w:id="141"/>
      <w:r/>
      <w:bookmarkEnd w:id="142"/>
      <w:r/>
      <w:bookmarkEnd w:id="143"/>
      <w:r/>
      <w:bookmarkEnd w:id="144"/>
      <w:r/>
      <w:bookmarkEnd w:id="145"/>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10.1供应商应按照磋商文件要求提交证明文件，证明其及磋商响应标的符合磋商文件规定。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10.2磋商文件对证明文件无明确形式要求的，证明文件可以以文字资料、图纸和数据等形式提交。</w:t>
      </w:r>
      <w:bookmarkEnd w:id="146"/>
      <w:r/>
      <w:bookmarkEnd w:id="147"/>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11、分项报价表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11.1</w:t>
      </w:r>
      <w:r>
        <w:rPr>
          <w:rFonts w:hint="eastAsia" w:ascii="宋体" w:hAnsi="宋体" w:eastAsia="宋体" w:cs="宋体"/>
          <w:sz w:val="24"/>
          <w:szCs w:val="21"/>
        </w:rPr>
        <w:t xml:space="preserve">供应商应按照磋商文件规定格式填报分项报价表。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11.2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48" w:name="_Hlt26954848"/>
      <w:r/>
      <w:bookmarkEnd w:id="148"/>
      <w:r/>
      <w:bookmarkStart w:id="149" w:name="_Hlt26954731"/>
      <w:r/>
      <w:bookmarkEnd w:id="149"/>
      <w:r/>
      <w:bookmarkStart w:id="150" w:name="_Hlt26954846"/>
      <w:r/>
      <w:bookmarkEnd w:id="150"/>
      <w:r/>
      <w:bookmarkStart w:id="151" w:name="_Hlt26670482"/>
      <w:r/>
      <w:bookmarkEnd w:id="151"/>
      <w:r/>
      <w:bookmarkStart w:id="152" w:name="_Hlt26670486"/>
      <w:r/>
      <w:bookmarkEnd w:id="152"/>
      <w:r>
        <w:rPr>
          <w:rFonts w:hint="eastAsia" w:ascii="宋体" w:hAnsi="宋体" w:eastAsia="宋体" w:cs="宋体"/>
          <w:b/>
          <w:bCs/>
          <w:sz w:val="28"/>
          <w:szCs w:val="28"/>
        </w:rPr>
        <w:t xml:space="preserve">12、技术要求响应及偏离表、商务要求响应及偏离表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12.1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sz w:val="24"/>
          <w:szCs w:val="21"/>
          <w:lang w:val="zh-CN"/>
        </w:rPr>
        <w:t xml:space="preserve">12.2供应商需按照磋商文件要求，在响应文件中提供与技术要求和商务要求相关的证明材料。</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13、服务承诺、培训计划、人员安排及其他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3" w:name="_Toc49090510"/>
      <w:r/>
      <w:bookmarkStart w:id="154" w:name="_Toc14577359"/>
      <w:r>
        <w:rPr>
          <w:rFonts w:hint="eastAsia" w:ascii="宋体" w:hAnsi="宋体" w:eastAsia="宋体" w:cs="宋体"/>
          <w:b/>
          <w:bCs/>
          <w:sz w:val="28"/>
          <w:szCs w:val="28"/>
        </w:rPr>
        <w:t xml:space="preserve">14、磋商响应函</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14.1</w:t>
      </w:r>
      <w:r>
        <w:rPr>
          <w:rFonts w:hint="eastAsia" w:ascii="宋体" w:hAnsi="宋体" w:eastAsia="宋体" w:cs="宋体"/>
          <w:sz w:val="24"/>
          <w:szCs w:val="21"/>
        </w:rPr>
        <w:t xml:space="preserve">供应商应按照磋商文件中提供的格式完整、正确填写磋商响应函。</w:t>
      </w:r>
      <w:bookmarkEnd w:id="153"/>
      <w:r/>
      <w:bookmarkEnd w:id="15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5" w:name="_Toc14577360"/>
      <w:r/>
      <w:bookmarkStart w:id="156" w:name="_Toc49090511"/>
      <w:r>
        <w:rPr>
          <w:rFonts w:hint="eastAsia" w:ascii="宋体" w:hAnsi="宋体" w:eastAsia="宋体" w:cs="宋体"/>
          <w:b/>
          <w:bCs/>
          <w:sz w:val="28"/>
          <w:szCs w:val="28"/>
        </w:rPr>
        <w:t xml:space="preserve">15、磋商有效期</w:t>
      </w:r>
      <w:bookmarkEnd w:id="155"/>
      <w:r/>
      <w:bookmarkEnd w:id="156"/>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15.1磋商有效期为</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16、磋商有效期的延长</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16.1在特殊情况下，</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57" w:name="_Hlt26954739"/>
      <w:r/>
      <w:bookmarkEnd w:id="157"/>
      <w:r/>
      <w:bookmarkStart w:id="158" w:name="_Hlt26954852"/>
      <w:r/>
      <w:bookmarkEnd w:id="158"/>
      <w:r/>
      <w:bookmarkStart w:id="159" w:name="_Toc16938540"/>
      <w:r/>
      <w:bookmarkStart w:id="160" w:name="_Toc31973"/>
      <w:r/>
      <w:bookmarkStart w:id="161" w:name="_Toc120614217"/>
      <w:r/>
      <w:bookmarkStart w:id="162" w:name="_Toc20823296"/>
      <w:r/>
      <w:bookmarkStart w:id="163" w:name="_Toc3269"/>
      <w:r/>
      <w:bookmarkStart w:id="164" w:name="_Toc513029224"/>
      <w:r>
        <w:rPr>
          <w:rFonts w:hint="eastAsia" w:ascii="宋体" w:hAnsi="宋体" w:eastAsia="宋体" w:cs="宋体"/>
          <w:b/>
          <w:bCs/>
          <w:sz w:val="32"/>
          <w:szCs w:val="32"/>
        </w:rPr>
        <w:t xml:space="preserve">四、响应文件的递交</w:t>
      </w:r>
      <w:bookmarkEnd w:id="159"/>
      <w:r/>
      <w:bookmarkEnd w:id="160"/>
      <w:r/>
      <w:bookmarkEnd w:id="161"/>
      <w:r/>
      <w:bookmarkEnd w:id="162"/>
      <w:r/>
      <w:bookmarkEnd w:id="163"/>
      <w:r/>
      <w:bookmarkEnd w:id="16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65" w:name="_Toc20823297"/>
      <w:r/>
      <w:bookmarkStart w:id="166" w:name="_Toc513029225"/>
      <w:r/>
      <w:bookmarkStart w:id="167" w:name="_Toc16938541"/>
      <w:r/>
      <w:bookmarkStart w:id="168" w:name="_Toc462564084"/>
      <w:r>
        <w:rPr>
          <w:rFonts w:hint="eastAsia" w:ascii="宋体" w:hAnsi="宋体" w:eastAsia="宋体" w:cs="宋体"/>
          <w:b/>
          <w:bCs/>
          <w:sz w:val="28"/>
          <w:szCs w:val="28"/>
        </w:rPr>
        <w:t xml:space="preserve">17、电子磋商</w:t>
      </w:r>
      <w:bookmarkEnd w:id="165"/>
      <w:r/>
      <w:bookmarkEnd w:id="166"/>
      <w:r/>
      <w:bookmarkEnd w:id="167"/>
      <w:r/>
      <w:bookmarkEnd w:id="168"/>
      <w:r>
        <w:rPr>
          <w:rFonts w:hint="eastAsia" w:ascii="宋体" w:hAnsi="宋体" w:eastAsia="宋体" w:cs="宋体"/>
          <w:b/>
          <w:bCs/>
          <w:sz w:val="28"/>
          <w:szCs w:val="28"/>
        </w:rPr>
        <w:t xml:space="preserve">响应文件的递交</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17.1供应商应当按照《操作手册》规定，在提交响应文件截止时间前制作并上传电子响应文件。</w:t>
      </w:r>
      <w:bookmarkStart w:id="169" w:name="_Toc20823298"/>
      <w:r/>
      <w:bookmarkStart w:id="170" w:name="_Toc16938542"/>
      <w:r/>
      <w:bookmarkStart w:id="171" w:name="_Toc513029226"/>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18、提交响应文件截止时间</w:t>
      </w:r>
      <w:bookmarkEnd w:id="169"/>
      <w:r/>
      <w:bookmarkEnd w:id="170"/>
      <w:r/>
      <w:bookmarkEnd w:id="171"/>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18.1</w:t>
      </w:r>
      <w:r>
        <w:rPr>
          <w:rFonts w:hint="eastAsia" w:ascii="宋体" w:hAnsi="宋体" w:eastAsia="宋体" w:cs="宋体"/>
          <w:bCs/>
          <w:sz w:val="24"/>
          <w:szCs w:val="21"/>
        </w:rPr>
        <w:t xml:space="preserve">供应商上传电子响应文件的时间不得迟于磋商公告中规定的提交响应文件截止时间。</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2" w:name="_Toc20823299"/>
      <w:r/>
      <w:bookmarkStart w:id="173" w:name="_Toc513029227"/>
      <w:r/>
      <w:bookmarkStart w:id="174" w:name="_Toc16938543"/>
      <w:r>
        <w:rPr>
          <w:rFonts w:hint="eastAsia" w:ascii="宋体" w:hAnsi="宋体" w:eastAsia="宋体" w:cs="宋体"/>
          <w:b/>
          <w:bCs/>
          <w:sz w:val="28"/>
          <w:szCs w:val="28"/>
        </w:rPr>
        <w:t xml:space="preserve">19、响应文件</w:t>
      </w:r>
      <w:bookmarkEnd w:id="172"/>
      <w:r/>
      <w:bookmarkEnd w:id="173"/>
      <w:r/>
      <w:bookmarkEnd w:id="174"/>
      <w:r>
        <w:rPr>
          <w:rFonts w:hint="eastAsia" w:ascii="宋体" w:hAnsi="宋体" w:eastAsia="宋体" w:cs="宋体"/>
          <w:b/>
          <w:bCs/>
          <w:sz w:val="28"/>
          <w:szCs w:val="28"/>
        </w:rPr>
        <w:t xml:space="preserve">的拒收</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19.1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拒绝接收在其规定的提交响应文件截止时间后上传的任何电子响应文件。</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5" w:name="_Toc513029228"/>
      <w:r/>
      <w:bookmarkStart w:id="176" w:name="_Toc16938544"/>
      <w:r/>
      <w:bookmarkStart w:id="177" w:name="_Toc20823300"/>
      <w:r>
        <w:rPr>
          <w:rFonts w:hint="eastAsia" w:ascii="宋体" w:hAnsi="宋体" w:eastAsia="宋体" w:cs="宋体"/>
          <w:b/>
          <w:bCs/>
          <w:sz w:val="28"/>
          <w:szCs w:val="28"/>
        </w:rPr>
        <w:t xml:space="preserve">20、响应文件的撤回和修改</w:t>
      </w:r>
      <w:bookmarkEnd w:id="175"/>
      <w:r/>
      <w:bookmarkEnd w:id="176"/>
      <w:r/>
      <w:bookmarkEnd w:id="17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20.1.1 电子响应文件的撤回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20.1.2供应商撤回电子响应文件，则认为其不再参与本项目磋商活动。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20.2响应文件的修改</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20.3</w:t>
      </w:r>
      <w:r>
        <w:rPr>
          <w:rFonts w:hint="eastAsia" w:ascii="宋体" w:hAnsi="宋体" w:eastAsia="宋体" w:cs="宋体"/>
          <w:bCs/>
          <w:sz w:val="24"/>
          <w:szCs w:val="21"/>
        </w:rPr>
        <w:t xml:space="preserve"> 在提交响应文件截止时间之后，供应商不得对其电子响应文件作任何修改。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78" w:name="_Toc120614218"/>
      <w:r/>
      <w:bookmarkStart w:id="179" w:name="_Toc20823301"/>
      <w:r/>
      <w:bookmarkStart w:id="180" w:name="_Toc29470"/>
      <w:r/>
      <w:bookmarkStart w:id="181" w:name="_Toc5756"/>
      <w:r/>
      <w:bookmarkStart w:id="182" w:name="_Toc513029229"/>
      <w:r/>
      <w:bookmarkStart w:id="183" w:name="_Toc16938545"/>
      <w:r>
        <w:rPr>
          <w:rFonts w:hint="eastAsia" w:ascii="宋体" w:hAnsi="宋体" w:eastAsia="宋体" w:cs="宋体"/>
          <w:b/>
          <w:bCs/>
          <w:sz w:val="32"/>
          <w:szCs w:val="32"/>
        </w:rPr>
        <w:t xml:space="preserve">五、响应文件的解密与评审</w:t>
      </w:r>
      <w:bookmarkEnd w:id="178"/>
      <w:r/>
      <w:bookmarkEnd w:id="179"/>
      <w:r/>
      <w:bookmarkEnd w:id="180"/>
      <w:r/>
      <w:bookmarkEnd w:id="181"/>
      <w:r/>
      <w:bookmarkEnd w:id="182"/>
      <w:r/>
      <w:bookmarkEnd w:id="18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4" w:name="_Toc513029230"/>
      <w:r/>
      <w:bookmarkStart w:id="185" w:name="_Toc20823302"/>
      <w:r/>
      <w:bookmarkStart w:id="186" w:name="_Toc16938546"/>
      <w:r>
        <w:rPr>
          <w:rFonts w:hint="eastAsia" w:ascii="宋体" w:hAnsi="宋体" w:eastAsia="宋体" w:cs="宋体"/>
          <w:b/>
          <w:bCs/>
          <w:sz w:val="28"/>
          <w:szCs w:val="28"/>
        </w:rPr>
        <w:t xml:space="preserve">21、</w:t>
      </w:r>
      <w:bookmarkEnd w:id="184"/>
      <w:r/>
      <w:bookmarkEnd w:id="185"/>
      <w:r/>
      <w:bookmarkEnd w:id="186"/>
      <w:r>
        <w:rPr>
          <w:rFonts w:hint="eastAsia" w:ascii="宋体" w:hAnsi="宋体" w:eastAsia="宋体" w:cs="宋体"/>
          <w:b/>
          <w:bCs/>
          <w:sz w:val="28"/>
          <w:szCs w:val="28"/>
        </w:rPr>
        <w:t xml:space="preserve">响应文件解密</w:t>
      </w:r>
      <w:r/>
    </w:p>
    <w:p>
      <w:pPr>
        <w:ind w:firstLine="480"/>
        <w:jc w:val="left"/>
        <w:pageBreakBefore w:val="0"/>
        <w:spacing w:line="440" w:lineRule="exact"/>
        <w:widowControl w:val="off"/>
        <w:rPr>
          <w:rFonts w:hint="eastAsia" w:ascii="宋体" w:hAnsi="宋体" w:eastAsia="宋体" w:cs="宋体"/>
          <w:szCs w:val="21"/>
        </w:rPr>
      </w:pPr>
      <w:r>
        <w:rPr>
          <w:rFonts w:hint="eastAsia" w:ascii="宋体" w:hAnsi="宋体" w:eastAsia="宋体" w:cs="宋体"/>
          <w:sz w:val="24"/>
          <w:szCs w:val="21"/>
        </w:rPr>
        <w:t xml:space="preserve">21.1</w:t>
      </w:r>
      <w:r>
        <w:rPr>
          <w:rFonts w:hint="eastAsia" w:ascii="宋体" w:hAnsi="宋体" w:eastAsia="宋体" w:cs="宋体"/>
          <w:sz w:val="24"/>
          <w:szCs w:val="24"/>
        </w:rPr>
        <w:t xml:space="preserve">供应商应当按照《操作手册》规定，在苏采云系统规定的时间内对磋商响应文件进行解密。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7" w:name="_Toc513029231"/>
      <w:r/>
      <w:bookmarkStart w:id="188" w:name="_Toc20823303"/>
      <w:r/>
      <w:bookmarkStart w:id="189" w:name="_Toc16938547"/>
      <w:r>
        <w:rPr>
          <w:rFonts w:hint="eastAsia" w:ascii="宋体" w:hAnsi="宋体" w:eastAsia="宋体" w:cs="宋体"/>
          <w:b/>
          <w:bCs/>
          <w:sz w:val="28"/>
          <w:szCs w:val="28"/>
        </w:rPr>
        <w:t xml:space="preserve">22、磋商小组</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22.2磋商小组独立工作，负责评审所有响应文件并确定成交侯选人。</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23、评审过程的保密与公正</w:t>
      </w:r>
      <w:bookmarkEnd w:id="187"/>
      <w:r/>
      <w:bookmarkEnd w:id="188"/>
      <w:r/>
      <w:bookmarkEnd w:id="189"/>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23.1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23.2</w:t>
      </w:r>
      <w:r>
        <w:rPr>
          <w:rFonts w:hint="eastAsia" w:ascii="宋体" w:hAnsi="宋体" w:eastAsia="宋体" w:cs="宋体"/>
          <w:sz w:val="24"/>
          <w:szCs w:val="24"/>
        </w:rPr>
        <w:t xml:space="preserve">在评审过程中，供应商不得以任何行为影响磋商评审过程，否则其响应文件将被作为无效响应文件。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将设专门人员与供应商联系。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和磋商小组不向未成交的供应商解释未成交原因，也不公布评审过程中的相关细节。</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0" w:name="_Toc20823304"/>
      <w:r/>
      <w:bookmarkStart w:id="191" w:name="_Toc513029232"/>
      <w:r/>
      <w:bookmarkStart w:id="192" w:name="_Toc16938548"/>
      <w:r>
        <w:rPr>
          <w:rFonts w:hint="eastAsia" w:ascii="宋体" w:hAnsi="宋体" w:eastAsia="宋体" w:cs="宋体"/>
          <w:b/>
          <w:bCs/>
          <w:sz w:val="28"/>
          <w:szCs w:val="28"/>
        </w:rPr>
        <w:t xml:space="preserve">24、评审过程中的澄清</w:t>
      </w:r>
      <w:bookmarkEnd w:id="190"/>
      <w:r/>
      <w:bookmarkEnd w:id="191"/>
      <w:r/>
      <w:bookmarkEnd w:id="192"/>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接到磋商小组澄清、说明和更正要求的供应商如未按规定做出澄清、说明和 更正，其风险由供应商自行承担。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3" w:name="_Toc20823305"/>
      <w:r/>
      <w:bookmarkStart w:id="194" w:name="_Toc513029233"/>
      <w:r/>
      <w:bookmarkStart w:id="195" w:name="_Toc16938549"/>
      <w:r>
        <w:rPr>
          <w:rFonts w:hint="eastAsia" w:ascii="宋体" w:hAnsi="宋体" w:eastAsia="宋体" w:cs="宋体"/>
          <w:b/>
          <w:bCs/>
          <w:sz w:val="28"/>
          <w:szCs w:val="28"/>
        </w:rPr>
        <w:t xml:space="preserve">25、对响应文件的审</w:t>
      </w:r>
      <w:bookmarkEnd w:id="193"/>
      <w:r/>
      <w:bookmarkEnd w:id="194"/>
      <w:r/>
      <w:bookmarkEnd w:id="195"/>
      <w:r>
        <w:rPr>
          <w:rFonts w:hint="eastAsia" w:ascii="宋体" w:hAnsi="宋体" w:eastAsia="宋体" w:cs="宋体"/>
          <w:b/>
          <w:bCs/>
          <w:sz w:val="28"/>
          <w:szCs w:val="28"/>
        </w:rPr>
        <w:t xml:space="preserve">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25.1</w:t>
      </w:r>
      <w:r>
        <w:rPr>
          <w:rFonts w:hint="eastAsia" w:ascii="宋体" w:hAnsi="宋体" w:eastAsia="宋体" w:cs="宋体"/>
          <w:bCs/>
          <w:sz w:val="24"/>
          <w:szCs w:val="21"/>
        </w:rPr>
        <w:t xml:space="preserve">响应文件审查分为资格审查和符合性审查。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25.1.1 资格审查：由磋商小组依据法律法规和磋商文件的规定，对响应文件中的资格证明文件进行审查，以确定供应商是否具备参加磋商的资格。</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25.2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25.3未实质性响应磋商文件的情形</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25.3.2供应商未按照磋商文件要求上传电子响应文件的。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25.3.3供应商同一采购包提交两个（含两个）以上不同的响应文件或者最后报价的。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25.3.4供应商不具备磋商文件中规定资格要求的。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25.3.5供应商的最后报价超过了采购预算。</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25.3.6不符合磋商文件中规定的实质性要求的</w:t>
      </w:r>
      <w:r>
        <w:rPr>
          <w:rFonts w:hint="eastAsia" w:ascii="宋体" w:hAnsi="宋体" w:eastAsia="宋体" w:cs="宋体"/>
          <w:b w:val="0"/>
          <w:bCs w:val="0"/>
          <w:sz w:val="24"/>
          <w:szCs w:val="21"/>
        </w:rPr>
        <w:t xml:space="preserve">。</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25.3.8 响应文件含有采购人不能接受的附加条件的。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25.3.9响应文件未按照磋商文件要求加盖CA电子公章的。</w:t>
      </w:r>
      <w:r/>
    </w:p>
    <w:p>
      <w:pPr>
        <w:ind w:firstLine="480"/>
        <w:jc w:val="left"/>
        <w:pageBreakBefore w:val="0"/>
        <w:spacing w:line="440" w:lineRule="exact"/>
        <w:widowControl w:val="off"/>
        <w:rPr>
          <w:rFonts w:hint="default" w:ascii="宋体" w:hAnsi="宋体" w:eastAsia="宋体" w:cs="宋体"/>
          <w:bCs/>
          <w:sz w:val="24"/>
          <w:szCs w:val="21"/>
          <w:lang w:val="en-US" w:eastAsia="zh-CN"/>
        </w:rPr>
      </w:pPr>
      <w:r>
        <w:rPr>
          <w:rFonts w:hint="eastAsia" w:ascii="宋体" w:hAnsi="宋体" w:eastAsia="宋体" w:cs="宋体"/>
          <w:bCs/>
          <w:sz w:val="24"/>
          <w:szCs w:val="21"/>
          <w:lang w:val="en-US" w:eastAsia="zh-CN"/>
        </w:rPr>
        <w:t xml:space="preserve">25.3.10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25.4未实质性响应磋商文件的响应文件按无效响应处理。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440" w:lineRule="exact"/>
        <w:widowControl w:val="off"/>
        <w:rPr>
          <w:rFonts w:hint="eastAsia" w:ascii="宋体" w:hAnsi="宋体" w:eastAsia="宋体" w:cs="宋体"/>
          <w:sz w:val="24"/>
          <w:szCs w:val="21"/>
        </w:rPr>
      </w:pPr>
      <w:r/>
      <w:bookmarkStart w:id="196" w:name="_Toc513029234"/>
      <w:r/>
      <w:bookmarkStart w:id="197" w:name="_Toc20823306"/>
      <w:r/>
      <w:bookmarkStart w:id="198" w:name="_Toc16938550"/>
      <w:r>
        <w:rPr>
          <w:rFonts w:hint="eastAsia" w:ascii="宋体" w:hAnsi="宋体" w:eastAsia="宋体" w:cs="宋体"/>
          <w:sz w:val="24"/>
          <w:szCs w:val="21"/>
        </w:rPr>
        <w:t xml:space="preserve">25.6供应商在项目评审全过程中应保持通讯畅通，并安排专人与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及磋商小组联系。</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26、</w:t>
      </w:r>
      <w:bookmarkEnd w:id="196"/>
      <w:r/>
      <w:bookmarkEnd w:id="197"/>
      <w:r/>
      <w:bookmarkEnd w:id="198"/>
      <w:r>
        <w:rPr>
          <w:rFonts w:hint="eastAsia" w:ascii="宋体" w:hAnsi="宋体" w:eastAsia="宋体" w:cs="宋体"/>
          <w:b/>
          <w:bCs/>
          <w:sz w:val="28"/>
          <w:szCs w:val="28"/>
        </w:rPr>
        <w:t xml:space="preserve">磋商程序及评审方法和评审标准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26.1磋商程序</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26.1.1对于通过资格审查和符合性审查的供应商，磋商小组将集中与单一供应商分别进行磋商。磋商小组通过苏采云系统向供应商发</w:t>
      </w:r>
      <w:r>
        <w:rPr>
          <w:rFonts w:hint="eastAsia" w:ascii="宋体" w:hAnsi="宋体" w:eastAsia="宋体" w:cs="宋体"/>
          <w:sz w:val="24"/>
          <w:szCs w:val="24"/>
          <w:lang w:val="en-US" w:eastAsia="zh-CN"/>
        </w:rPr>
        <w:t xml:space="preserve">起</w:t>
      </w:r>
      <w:r>
        <w:rPr>
          <w:rFonts w:hint="eastAsia" w:ascii="宋体" w:hAnsi="宋体" w:eastAsia="宋体" w:cs="宋体"/>
          <w:sz w:val="24"/>
          <w:szCs w:val="24"/>
        </w:rPr>
        <w:t xml:space="preserve">“磋商函”，供应商应当按照要求在苏采云系统提交“磋商响应函”并加盖CA电子公章。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w:t>
      </w:r>
      <w:r>
        <w:rPr>
          <w:rFonts w:hint="eastAsia" w:ascii="宋体" w:hAnsi="宋体" w:eastAsia="宋体" w:cs="宋体"/>
          <w:b/>
          <w:bCs/>
          <w:sz w:val="24"/>
          <w:szCs w:val="24"/>
        </w:rPr>
        <w:t xml:space="preserve">要求其在</w:t>
      </w: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rPr>
        <w:t xml:space="preserve">分钟内提交最后报价</w:t>
      </w:r>
      <w:r>
        <w:rPr>
          <w:rFonts w:hint="eastAsia" w:ascii="宋体" w:hAnsi="宋体" w:eastAsia="宋体" w:cs="宋体"/>
          <w:sz w:val="24"/>
          <w:szCs w:val="24"/>
        </w:rPr>
        <w:t xml:space="preserve">。</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 异常低价响应审查</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26.1.4.1 供应商最后报价出现下列情形之一的，磋商小组应当启动异常低价响应审查程序：</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zh-CN" w:eastAsia="zh-CN"/>
        </w:rPr>
        <w:t xml:space="preserve">（1）</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（2）</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报价50%的，即</w:t>
      </w:r>
      <w:r>
        <w:rPr>
          <w:rFonts w:hint="eastAsia" w:ascii="宋体" w:hAnsi="宋体" w:eastAsia="宋体" w:cs="宋体"/>
          <w:color w:val="ff0000"/>
          <w:sz w:val="24"/>
          <w:szCs w:val="24"/>
          <w:lang w:val="en-US" w:eastAsia="zh-CN"/>
        </w:rPr>
        <w:t xml:space="preserve">最终响应报价</w:t>
      </w:r>
      <w:r>
        <w:rPr>
          <w:rFonts w:hint="eastAsia" w:ascii="宋体" w:hAnsi="宋体" w:eastAsia="宋体" w:cs="宋体"/>
          <w:color w:val="ff0000"/>
          <w:sz w:val="24"/>
          <w:szCs w:val="24"/>
          <w:lang w:val="zh-CN" w:eastAsia="zh-CN"/>
        </w:rPr>
        <w:t xml:space="preserve">&lt;通过符合性审查的次低报价供应商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（3）</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报价低于采购项目最高限价45%的，即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报价&lt;采购项目最高限价×45%；</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（4）</w:t>
      </w:r>
      <w:r>
        <w:rPr>
          <w:rFonts w:hint="eastAsia" w:ascii="宋体" w:hAnsi="宋体" w:eastAsia="宋体" w:cs="宋体"/>
          <w:color w:val="ff0000"/>
          <w:sz w:val="24"/>
          <w:szCs w:val="24"/>
          <w:lang w:val="en-US" w:eastAsia="zh-CN"/>
        </w:rPr>
        <w:t xml:space="preserve">磋商小组</w:t>
      </w:r>
      <w:r>
        <w:rPr>
          <w:rFonts w:hint="eastAsia" w:ascii="宋体" w:hAnsi="宋体" w:eastAsia="宋体" w:cs="宋体"/>
          <w:color w:val="ff0000"/>
          <w:sz w:val="24"/>
          <w:szCs w:val="24"/>
          <w:lang w:val="zh-CN" w:eastAsia="zh-CN"/>
        </w:rPr>
        <w:t xml:space="preserve">基于专业判断，认为供应商报价过低，有可能影响产品质量或者不能诚信履约的其他情形。</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26.2 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26.2.2评审标准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26.3采购活动终止的情况</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26.3.1因情况变化，不再符合规定的竞争性磋商采购方式适用情形的。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26.3.2出现影响采购公正的违法、违规行为的。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26.3.3除本磋商文件第二章第26.1.2条第三款规定的情形外，在采购过程中符合要求的供应商或者最后报价未超过采购预算的供应商不足3家的。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26.3.4在苏采云系统规定时间内成功解密电子响应文件的供应商不足3家的。</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99" w:name="_Toc513029235"/>
      <w:r/>
      <w:bookmarkStart w:id="200" w:name="_Toc16938551"/>
      <w:r/>
      <w:bookmarkStart w:id="201" w:name="_Toc20823307"/>
      <w:r/>
      <w:bookmarkStart w:id="202" w:name="_Toc120614219"/>
      <w:r/>
      <w:bookmarkStart w:id="203" w:name="_Toc10101"/>
      <w:r/>
      <w:bookmarkStart w:id="204" w:name="_Toc21207"/>
      <w:r>
        <w:rPr>
          <w:rFonts w:hint="eastAsia" w:ascii="宋体" w:hAnsi="宋体" w:eastAsia="宋体" w:cs="宋体"/>
          <w:b/>
          <w:bCs/>
          <w:sz w:val="32"/>
          <w:szCs w:val="32"/>
        </w:rPr>
        <w:t xml:space="preserve">六、</w:t>
      </w:r>
      <w:bookmarkEnd w:id="199"/>
      <w:r/>
      <w:bookmarkEnd w:id="200"/>
      <w:r/>
      <w:bookmarkEnd w:id="201"/>
      <w:r/>
      <w:bookmarkEnd w:id="202"/>
      <w:r>
        <w:rPr>
          <w:rFonts w:hint="eastAsia" w:ascii="宋体" w:hAnsi="宋体" w:eastAsia="宋体" w:cs="宋体"/>
          <w:b/>
          <w:bCs/>
          <w:sz w:val="32"/>
          <w:szCs w:val="32"/>
        </w:rPr>
        <w:t xml:space="preserve">成交</w:t>
      </w:r>
      <w:bookmarkEnd w:id="203"/>
      <w:r/>
      <w:bookmarkEnd w:id="20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5" w:name="_Toc513029238"/>
      <w:r/>
      <w:bookmarkStart w:id="206" w:name="_Toc16938554"/>
      <w:r/>
      <w:bookmarkStart w:id="207" w:name="_Toc20823310"/>
      <w:r>
        <w:rPr>
          <w:rFonts w:hint="eastAsia" w:ascii="宋体" w:hAnsi="宋体" w:eastAsia="宋体" w:cs="宋体"/>
          <w:b/>
          <w:bCs w:val="0"/>
          <w:sz w:val="28"/>
          <w:szCs w:val="28"/>
        </w:rPr>
        <w:t xml:space="preserve">27、</w:t>
      </w:r>
      <w:bookmarkEnd w:id="205"/>
      <w:r>
        <w:rPr>
          <w:rFonts w:hint="eastAsia" w:ascii="宋体" w:hAnsi="宋体" w:eastAsia="宋体" w:cs="宋体"/>
          <w:b/>
          <w:bCs w:val="0"/>
          <w:sz w:val="28"/>
          <w:szCs w:val="28"/>
        </w:rPr>
        <w:t xml:space="preserve">确定</w:t>
      </w:r>
      <w:bookmarkEnd w:id="206"/>
      <w:r/>
      <w:bookmarkEnd w:id="207"/>
      <w:r>
        <w:rPr>
          <w:rFonts w:hint="eastAsia" w:ascii="宋体" w:hAnsi="宋体" w:eastAsia="宋体" w:cs="宋体"/>
          <w:b/>
          <w:bCs w:val="0"/>
          <w:sz w:val="28"/>
          <w:szCs w:val="28"/>
        </w:rPr>
        <w:t xml:space="preserve">成交单位</w:t>
      </w:r>
      <w:r/>
    </w:p>
    <w:p>
      <w:pPr>
        <w:ind w:firstLine="480"/>
        <w:jc w:val="left"/>
        <w:keepLines w:val="0"/>
        <w:keepNext w:val="0"/>
        <w:pageBreakBefore w:val="0"/>
        <w:spacing w:line="420" w:lineRule="exact"/>
        <w:widowControl w:val="off"/>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27.1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w:t>
      </w:r>
      <w:r>
        <w:rPr>
          <w:rFonts w:hint="eastAsia" w:ascii="宋体" w:hAnsi="宋体" w:eastAsia="宋体" w:cs="宋体"/>
          <w:sz w:val="24"/>
          <w:szCs w:val="21"/>
          <w:lang w:val="en-US" w:eastAsia="zh-CN"/>
        </w:rPr>
        <w:t xml:space="preserve">由采购人在磋商小组监督下</w:t>
      </w:r>
      <w:r>
        <w:rPr>
          <w:rFonts w:hint="eastAsia" w:ascii="宋体" w:hAnsi="宋体" w:eastAsia="宋体" w:cs="宋体"/>
          <w:sz w:val="24"/>
          <w:szCs w:val="21"/>
        </w:rPr>
        <w:t xml:space="preserve">现场抽签</w:t>
      </w:r>
      <w:r>
        <w:rPr>
          <w:rFonts w:hint="eastAsia" w:ascii="宋体" w:hAnsi="宋体" w:eastAsia="宋体" w:cs="宋体"/>
          <w:sz w:val="24"/>
          <w:szCs w:val="21"/>
          <w:lang w:val="en-US" w:eastAsia="zh-CN"/>
        </w:rPr>
        <w:t xml:space="preserve">确定第一成交候选人</w:t>
      </w:r>
      <w:r>
        <w:rPr>
          <w:rFonts w:hint="eastAsia" w:ascii="宋体" w:hAnsi="宋体" w:eastAsia="宋体" w:cs="宋体"/>
          <w:sz w:val="24"/>
          <w:szCs w:val="21"/>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27.2采购人从评审报告提出的成交候选供应商中，按照</w:t>
      </w:r>
      <w:r>
        <w:rPr>
          <w:rFonts w:hint="eastAsia" w:ascii="宋体" w:hAnsi="宋体" w:eastAsia="宋体" w:cs="宋体"/>
          <w:bCs/>
          <w:sz w:val="24"/>
          <w:szCs w:val="21"/>
          <w:lang w:val="en-US" w:eastAsia="zh-CN"/>
        </w:rPr>
        <w:t xml:space="preserve">得分</w:t>
      </w:r>
      <w:r>
        <w:rPr>
          <w:rFonts w:hint="eastAsia" w:ascii="宋体" w:hAnsi="宋体" w:eastAsia="宋体" w:cs="宋体"/>
          <w:bCs/>
          <w:sz w:val="24"/>
          <w:szCs w:val="21"/>
        </w:rPr>
        <w:t xml:space="preserve">排序由高到低的原则确定成交供应商。采购人确定成交供应商后，</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将在“江苏政府采购网”发布成交结果公告，公告期限为1个工作日。</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27.3若有充分证据证明，成交供应商出现下列情况之一的，一经查实，将被取消成交资格：</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27.3.1提供虚假材料谋取成交的。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27.3.2与评审专家、采购人、其他供应商或者</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工作人员恶意串通的。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27.3.3向评审专家、采购人或</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工作人员行贿或者提供其他不正当利益的。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27.3.4恶意竞争，最后报价明显低于其自身合理成本且又无法提供证明的。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27.3.5不满足本磋商文件规定的实质性要求，但在评审过程中又未被磋商小组发现的。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27.3.6成交后无正当理由拒不与采购人签订政府采购合同或者未按照磋商文件确定的事项签订政府采购合同的。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27.3.7将政府采购合同转包的。</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8" w:name="_Toc200451960"/>
      <w:r>
        <w:rPr>
          <w:rFonts w:hint="eastAsia" w:ascii="宋体" w:hAnsi="宋体" w:eastAsia="宋体" w:cs="宋体"/>
          <w:b/>
          <w:bCs w:val="0"/>
          <w:sz w:val="28"/>
          <w:szCs w:val="28"/>
        </w:rPr>
        <w:t xml:space="preserve">28、质疑处理</w:t>
      </w:r>
      <w:bookmarkEnd w:id="208"/>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28.2.3对成交结果提出质疑的，为成交结果公告期限届满之日。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、采购人将只对供应商第一次质疑作出答复。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负责答复。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不接受无快递运单号的快递）。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泰州中政</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采购人质疑接收人及联系方式见本磋商文件第一章。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未参加磋商活动的供应商或在磋商活动中自身权益未受到损害的供应商所提出的质疑。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28.5.5供应商组成联合体参加磋商，联合体中任何一方或多方未按要求签字、盖章、加盖公章的质疑。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29、成交通知书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29.1成交结果确定后，</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将向成交供应商发出成交通知书。请成交供应商在成交结果公告届满之日起30日内,</w:t>
      </w:r>
      <w:r>
        <w:rPr>
          <w:rFonts w:hint="eastAsia" w:ascii="宋体" w:hAnsi="宋体" w:eastAsia="宋体" w:cs="宋体"/>
          <w:sz w:val="24"/>
          <w:szCs w:val="24"/>
          <w:lang w:val="en-US" w:eastAsia="zh-CN"/>
        </w:rPr>
        <w:t xml:space="preserve">至泰州中政领取成交通知书</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209" w:name="_Toc16330"/>
      <w:r/>
      <w:bookmarkStart w:id="210" w:name="_Toc120614220"/>
      <w:r/>
      <w:bookmarkStart w:id="211" w:name="_Toc16938552"/>
      <w:r/>
      <w:bookmarkStart w:id="212" w:name="_Toc513029236"/>
      <w:r/>
      <w:bookmarkStart w:id="213" w:name="_Toc30717"/>
      <w:r/>
      <w:bookmarkStart w:id="214" w:name="_Toc20823308"/>
      <w:r>
        <w:rPr>
          <w:rFonts w:hint="eastAsia" w:ascii="宋体" w:hAnsi="宋体" w:eastAsia="宋体" w:cs="宋体"/>
          <w:b/>
          <w:bCs/>
          <w:sz w:val="32"/>
          <w:szCs w:val="32"/>
        </w:rPr>
        <w:t xml:space="preserve">七、授予合同</w:t>
      </w:r>
      <w:bookmarkEnd w:id="209"/>
      <w:r/>
      <w:bookmarkEnd w:id="210"/>
      <w:r/>
      <w:bookmarkEnd w:id="211"/>
      <w:r/>
      <w:bookmarkEnd w:id="212"/>
      <w:r/>
      <w:bookmarkEnd w:id="213"/>
      <w:r/>
      <w:bookmarkEnd w:id="21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15" w:name="_Toc16938553"/>
      <w:r/>
      <w:bookmarkStart w:id="216" w:name="_Toc513029237"/>
      <w:r/>
      <w:bookmarkStart w:id="217" w:name="_Toc20823309"/>
      <w:r>
        <w:rPr>
          <w:rFonts w:hint="eastAsia" w:ascii="宋体" w:hAnsi="宋体" w:eastAsia="宋体" w:cs="宋体"/>
          <w:b/>
          <w:bCs w:val="0"/>
          <w:sz w:val="28"/>
          <w:szCs w:val="28"/>
        </w:rPr>
        <w:t xml:space="preserve">30. 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30.2磋商文件、成交供应商的响应文件及磋商过程中有关澄清、承诺文件均应作为合同附件。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31、标的物的追加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5"/>
      <w:r/>
      <w:bookmarkEnd w:id="216"/>
      <w:r/>
      <w:bookmarkEnd w:id="217"/>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32、政府采购履约资金扶持政策</w:t>
      </w:r>
      <w:r/>
    </w:p>
    <w:p>
      <w:pPr>
        <w:ind w:firstLine="480"/>
        <w:jc w:val="left"/>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18" w:name="_Toc18251"/>
      <w:r>
        <w:rPr>
          <w:rFonts w:hint="eastAsia" w:ascii="宋体" w:hAnsi="宋体" w:eastAsia="宋体" w:cs="宋体"/>
          <w:b/>
          <w:bCs/>
          <w:sz w:val="44"/>
          <w:szCs w:val="44"/>
          <w:lang w:val="en-US" w:eastAsia="zh-CN"/>
        </w:rPr>
        <w:t xml:space="preserve">合同文本</w:t>
      </w:r>
      <w:bookmarkEnd w:id="218"/>
      <w:r/>
      <w:r/>
    </w:p>
    <w:p>
      <w:pPr>
        <w:ind w:left="0" w:firstLine="560"/>
        <w:jc w:val="center"/>
        <w:spacing w:before="156" w:after="156"/>
        <w:rPr>
          <w:rFonts w:ascii="宋体" w:hAnsi="宋体"/>
          <w:b/>
          <w:sz w:val="30"/>
          <w:szCs w:val="21"/>
        </w:rPr>
        <w:outlineLvl w:val="0"/>
      </w:pPr>
      <w:r/>
      <w:bookmarkStart w:id="219" w:name="_Toc84"/>
      <w:r/>
      <w:bookmarkStart w:id="220" w:name="_Toc32603"/>
      <w:r/>
      <w:bookmarkStart w:id="221" w:name="_Toc11693"/>
      <w:r>
        <w:rPr>
          <w:rFonts w:hint="eastAsia" w:ascii="宋体" w:hAnsi="宋体"/>
          <w:b/>
          <w:sz w:val="30"/>
          <w:szCs w:val="21"/>
        </w:rPr>
        <w:t xml:space="preserve">江苏省政府采购合同（合同编号）</w:t>
      </w:r>
      <w:bookmarkEnd w:id="219"/>
      <w:r/>
      <w:bookmarkEnd w:id="220"/>
      <w:r/>
      <w:bookmarkEnd w:id="221"/>
      <w:r/>
      <w:r/>
    </w:p>
    <w:p>
      <w:pPr>
        <w:ind w:left="0" w:firstLine="560"/>
        <w:jc w:val="center"/>
        <w:spacing w:before="156" w:after="156"/>
        <w:rPr>
          <w:rFonts w:hint="eastAsia" w:ascii="宋体" w:hAnsi="宋体"/>
          <w:b/>
          <w:bCs/>
          <w:sz w:val="30"/>
          <w:szCs w:val="20"/>
        </w:rPr>
        <w:outlineLvl w:val="9"/>
      </w:pPr>
      <w:r/>
      <w:bookmarkStart w:id="222" w:name="_Toc9959"/>
      <w:r>
        <w:rPr>
          <w:rFonts w:hint="eastAsia" w:ascii="宋体" w:hAnsi="宋体"/>
          <w:b/>
          <w:sz w:val="30"/>
          <w:szCs w:val="21"/>
        </w:rPr>
        <w:t xml:space="preserve">（适用于服务类项目）</w:t>
      </w:r>
      <w:bookmarkEnd w:id="222"/>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项目名称： ****                                    </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ind w:left="0" w:firstLine="446"/>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ind w:left="0" w:firstLine="446"/>
        <w:keepLines w:val="0"/>
        <w:keepNext w:val="0"/>
        <w:pageBreakBefore w:val="0"/>
        <w:spacing w:line="460" w:lineRule="exact"/>
        <w:widowControl w:val="off"/>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3" w:name="_Toc3080"/>
      <w:r/>
      <w:bookmarkStart w:id="224" w:name="_Toc17044"/>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bookmarkEnd w:id="223"/>
      <w:r/>
      <w:bookmarkEnd w:id="22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 标的数量（规模）：</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1.4 履行时间（期限）：</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1.5 履行地点：</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5" w:name="_Toc24230"/>
      <w:r/>
      <w:bookmarkStart w:id="226" w:name="_Toc25567"/>
      <w:r>
        <w:rPr>
          <w:rFonts w:ascii="宋体" w:hAnsi="宋体" w:cs="Courier New"/>
          <w:b/>
          <w:sz w:val="24"/>
          <w:szCs w:val="24"/>
        </w:rPr>
        <w:t xml:space="preserve">二、合同金额</w:t>
      </w:r>
      <w:bookmarkEnd w:id="225"/>
      <w:r/>
      <w:bookmarkEnd w:id="22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7" w:name="_Toc24107"/>
      <w:r/>
      <w:bookmarkStart w:id="228" w:name="_Toc19796"/>
      <w:r>
        <w:rPr>
          <w:rFonts w:ascii="宋体" w:hAnsi="宋体" w:cs="Courier New"/>
          <w:b/>
          <w:sz w:val="24"/>
          <w:szCs w:val="24"/>
        </w:rPr>
        <w:t xml:space="preserve">三、技术资料</w:t>
      </w:r>
      <w:bookmarkEnd w:id="227"/>
      <w:r/>
      <w:bookmarkEnd w:id="228"/>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9" w:name="_Toc5532"/>
      <w:r/>
      <w:bookmarkStart w:id="230" w:name="_Toc8434"/>
      <w:r>
        <w:rPr>
          <w:rFonts w:ascii="宋体" w:hAnsi="宋体" w:cs="Courier New"/>
          <w:b/>
          <w:sz w:val="24"/>
          <w:szCs w:val="24"/>
        </w:rPr>
        <w:t xml:space="preserve">四、知识产权</w:t>
      </w:r>
      <w:bookmarkEnd w:id="229"/>
      <w:r/>
      <w:bookmarkEnd w:id="230"/>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460" w:lineRule="exact"/>
        <w:widowControl w:val="off"/>
        <w:rPr>
          <w:rFonts w:ascii="宋体" w:hAnsi="宋体" w:cs="Courier New"/>
          <w:sz w:val="24"/>
          <w:szCs w:val="24"/>
          <w:u w:val="single"/>
        </w:rPr>
        <w:outlineLvl w:val="0"/>
      </w:pPr>
      <w:r/>
      <w:bookmarkStart w:id="231" w:name="_Toc3413"/>
      <w:r/>
      <w:bookmarkStart w:id="232" w:name="_Toc31162"/>
      <w:r>
        <w:rPr>
          <w:rFonts w:ascii="宋体" w:hAnsi="宋体" w:cs="Courier New"/>
          <w:b/>
          <w:sz w:val="24"/>
          <w:szCs w:val="24"/>
        </w:rPr>
        <w:t xml:space="preserve">五、产权担保</w:t>
      </w:r>
      <w:bookmarkEnd w:id="231"/>
      <w:r/>
      <w:bookmarkEnd w:id="232"/>
      <w:r/>
      <w:r/>
    </w:p>
    <w:p>
      <w:pPr>
        <w:ind w:left="0" w:firstLine="480"/>
        <w:keepLines w:val="0"/>
        <w:keepNext w:val="0"/>
        <w:pageBreakBefore w:val="0"/>
        <w:spacing w:line="460" w:lineRule="exact"/>
        <w:widowControl w:val="off"/>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3" w:name="_Toc26818"/>
      <w:r/>
      <w:bookmarkStart w:id="234" w:name="_Toc3304"/>
      <w:r>
        <w:rPr>
          <w:rFonts w:ascii="宋体" w:hAnsi="宋体" w:cs="Courier New"/>
          <w:b/>
          <w:sz w:val="24"/>
          <w:szCs w:val="24"/>
        </w:rPr>
        <w:t xml:space="preserve">六、履约保证金</w:t>
      </w:r>
      <w:bookmarkEnd w:id="233"/>
      <w:r/>
      <w:bookmarkEnd w:id="234"/>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w:t>
      </w:r>
      <w:r>
        <w:rPr>
          <w:rFonts w:hint="eastAsia" w:ascii="宋体" w:hAnsi="宋体" w:cs="Courier New"/>
          <w:sz w:val="24"/>
          <w:szCs w:val="24"/>
          <w:lang w:val="en-US" w:eastAsia="zh-CN"/>
        </w:rPr>
        <w:t xml:space="preserve">30</w:t>
      </w:r>
      <w:r>
        <w:rPr>
          <w:rFonts w:hint="eastAsia" w:ascii="宋体" w:hAnsi="宋体" w:cs="Courier New"/>
          <w:sz w:val="24"/>
          <w:szCs w:val="24"/>
        </w:rPr>
        <w:t xml:space="preserve">%</w:t>
      </w:r>
      <w:r>
        <w:rPr>
          <w:rFonts w:hint="eastAsia" w:ascii="宋体" w:hAnsi="宋体" w:cs="Courier New"/>
          <w:sz w:val="24"/>
          <w:szCs w:val="24"/>
          <w:lang w:eastAsia="zh-CN"/>
        </w:rPr>
        <w:t xml:space="preserve">，金额：履约保证金=预算金额×成交费率×</w:t>
      </w:r>
      <w:r>
        <w:rPr>
          <w:rFonts w:hint="eastAsia" w:ascii="宋体" w:hAnsi="宋体" w:cs="Courier New"/>
          <w:sz w:val="24"/>
          <w:szCs w:val="24"/>
          <w:lang w:val="en-US" w:eastAsia="zh-CN"/>
        </w:rPr>
        <w:t xml:space="preserve">30</w:t>
      </w:r>
      <w:r>
        <w:rPr>
          <w:rFonts w:hint="eastAsia" w:ascii="宋体" w:hAnsi="宋体" w:cs="Courier New"/>
          <w:sz w:val="24"/>
          <w:szCs w:val="24"/>
          <w:lang w:eastAsia="zh-CN"/>
        </w:rPr>
        <w:t xml:space="preserve">%</w:t>
      </w:r>
      <w:r>
        <w:rPr>
          <w:rFonts w:hint="eastAsia"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5" w:name="_Toc22898"/>
      <w:r/>
      <w:bookmarkStart w:id="236" w:name="_Toc4267"/>
      <w:r>
        <w:rPr>
          <w:rFonts w:hint="eastAsia" w:ascii="宋体" w:hAnsi="宋体"/>
          <w:b/>
          <w:sz w:val="24"/>
          <w:szCs w:val="24"/>
        </w:rPr>
        <w:t xml:space="preserve">七、合同转包或分包</w:t>
      </w:r>
      <w:bookmarkEnd w:id="235"/>
      <w:r/>
      <w:bookmarkEnd w:id="236"/>
      <w:r/>
      <w:r/>
    </w:p>
    <w:p>
      <w:pPr>
        <w:ind w:left="0"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p>
    <w:p>
      <w:pPr>
        <w:ind w:left="0"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left="0" w:firstLine="480"/>
        <w:keepLines w:val="0"/>
        <w:keepNext w:val="0"/>
        <w:pageBreakBefore w:val="0"/>
        <w:spacing w:line="46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7" w:name="_Toc19425"/>
      <w:r/>
      <w:bookmarkStart w:id="238" w:name="_Toc24126"/>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bookmarkEnd w:id="237"/>
      <w:r/>
      <w:bookmarkEnd w:id="238"/>
      <w:r/>
      <w:r/>
    </w:p>
    <w:p>
      <w:pPr>
        <w:ind w:left="0" w:firstLine="480"/>
        <w:keepLines w:val="0"/>
        <w:keepNext w:val="0"/>
        <w:pageBreakBefore w:val="0"/>
        <w:spacing w:line="460" w:lineRule="exact"/>
        <w:widowControl w:val="off"/>
        <w:rPr>
          <w:rFonts w:hint="eastAsia" w:ascii="宋体" w:hAnsi="宋体" w:eastAsia="仿宋"/>
          <w:sz w:val="24"/>
          <w:szCs w:val="24"/>
          <w:lang w:eastAsia="zh-CN"/>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lang w:eastAsia="zh-CN"/>
        </w:rPr>
        <w:t xml:space="preserve">：每月结算一次，乙方每月向甲方提供上个月的配送清单及对应的费用发票、</w:t>
      </w:r>
      <w:r>
        <w:rPr>
          <w:rFonts w:hint="eastAsia" w:ascii="宋体" w:hAnsi="宋体"/>
          <w:sz w:val="24"/>
          <w:szCs w:val="24"/>
          <w:lang w:val="en-US" w:eastAsia="zh-CN"/>
        </w:rPr>
        <w:t xml:space="preserve">兴化市</w:t>
      </w:r>
      <w:r>
        <w:rPr>
          <w:rFonts w:hint="eastAsia" w:ascii="宋体" w:hAnsi="宋体"/>
          <w:sz w:val="24"/>
          <w:szCs w:val="24"/>
          <w:lang w:eastAsia="zh-CN"/>
        </w:rPr>
        <w:t xml:space="preserve">发改委网站公布表，甲方在收到资料并审核通过后按实付款（按合同扣减相关费用）。</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9" w:name="_Toc7407"/>
      <w:r/>
      <w:bookmarkStart w:id="240" w:name="_Toc23219"/>
      <w:r>
        <w:rPr>
          <w:rFonts w:hint="eastAsia" w:ascii="宋体" w:hAnsi="宋体"/>
          <w:b/>
          <w:sz w:val="24"/>
          <w:szCs w:val="24"/>
        </w:rPr>
        <w:t xml:space="preserve">九、税费</w:t>
      </w:r>
      <w:bookmarkEnd w:id="239"/>
      <w:r/>
      <w:bookmarkEnd w:id="240"/>
      <w:r/>
      <w:r/>
    </w:p>
    <w:p>
      <w:pPr>
        <w:ind w:left="0" w:firstLine="480"/>
        <w:keepLines w:val="0"/>
        <w:keepNext w:val="0"/>
        <w:pageBreakBefore w:val="0"/>
        <w:spacing w:line="46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1" w:name="_Toc22136"/>
      <w:r/>
      <w:bookmarkStart w:id="242" w:name="_Toc24356"/>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bookmarkEnd w:id="241"/>
      <w:r/>
      <w:bookmarkEnd w:id="242"/>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3" w:name="_Toc25"/>
      <w:r/>
      <w:bookmarkStart w:id="244" w:name="_Toc6824"/>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bookmarkEnd w:id="243"/>
      <w:r/>
      <w:bookmarkEnd w:id="24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5" w:name="_Toc18127"/>
      <w:r/>
      <w:bookmarkStart w:id="246" w:name="_Toc3946"/>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bookmarkEnd w:id="245"/>
      <w:r/>
      <w:bookmarkEnd w:id="24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7" w:name="_Toc15016"/>
      <w:r/>
      <w:bookmarkStart w:id="248" w:name="_Toc20504"/>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bookmarkEnd w:id="247"/>
      <w:r/>
      <w:bookmarkEnd w:id="248"/>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9" w:name="_Toc12954"/>
      <w:r/>
      <w:bookmarkStart w:id="250" w:name="_Toc3809"/>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bookmarkEnd w:id="249"/>
      <w:r/>
      <w:bookmarkEnd w:id="250"/>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甲方：                        乙方： </w:t>
      </w:r>
      <w:r/>
    </w:p>
    <w:p>
      <w:pPr>
        <w:ind w:left="0" w:firstLine="24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地址：                       </w:t>
      </w:r>
      <w:r>
        <w:rPr>
          <w:rFonts w:hint="eastAsia" w:ascii="宋体" w:hAnsi="宋体" w:cs="Courier New"/>
          <w:sz w:val="24"/>
          <w:szCs w:val="24"/>
        </w:rPr>
        <w:t xml:space="preserve"> </w:t>
      </w:r>
      <w:r>
        <w:rPr>
          <w:rFonts w:ascii="宋体" w:hAnsi="宋体" w:cs="Courier New"/>
          <w:sz w:val="24"/>
          <w:szCs w:val="24"/>
        </w:rPr>
        <w:t xml:space="preserve">地址： </w:t>
      </w:r>
      <w:r/>
    </w:p>
    <w:p>
      <w:pPr>
        <w:ind w:left="0" w:firstLine="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keepLines w:val="0"/>
        <w:keepNext w:val="0"/>
        <w:pageBreakBefore w:val="0"/>
        <w:spacing w:before="120" w:after="120" w:line="420" w:lineRule="exact"/>
        <w:widowControl w:val="off"/>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keepLines w:val="0"/>
        <w:keepNext w:val="0"/>
        <w:pageBreakBefore w:val="0"/>
        <w:spacing w:line="420" w:lineRule="exact"/>
        <w:widowControl w:val="off"/>
        <w:rPr>
          <w:szCs w:val="21"/>
        </w:rPr>
      </w:pPr>
      <w:r>
        <w:rPr>
          <w:rFonts w:hint="eastAsia"/>
          <w:szCs w:val="21"/>
        </w:rPr>
        <w:t xml:space="preserve">                                          </w:t>
      </w:r>
      <w:r/>
    </w:p>
    <w:p>
      <w:pPr>
        <w:ind w:firstLine="480"/>
        <w:jc w:val="right"/>
        <w:keepLines w:val="0"/>
        <w:keepNext w:val="0"/>
        <w:pageBreakBefore w:val="0"/>
        <w:spacing w:line="420" w:lineRule="exact"/>
        <w:widowControl w:val="off"/>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12"/>
        <w:ind w:right="0"/>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05"/>
        <w:ind w:left="0" w:righ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51" w:name="_Toc3104"/>
      <w:r>
        <w:rPr>
          <w:rFonts w:hint="eastAsia" w:ascii="宋体" w:hAnsi="宋体" w:eastAsia="宋体" w:cs="宋体"/>
          <w:b/>
          <w:bCs/>
          <w:sz w:val="44"/>
          <w:szCs w:val="44"/>
          <w:lang w:val="en-US" w:eastAsia="zh-CN"/>
        </w:rPr>
        <w:t xml:space="preserve">采购需求</w:t>
      </w:r>
      <w:bookmarkEnd w:id="251"/>
      <w:r/>
      <w:r/>
    </w:p>
    <w:p>
      <w:pPr>
        <w:ind w:firstLine="482"/>
        <w:keepLines w:val="0"/>
        <w:keepNext w:val="0"/>
        <w:pageBreakBefore w:val="0"/>
        <w:spacing w:before="100" w:after="100" w:line="460" w:lineRule="exact"/>
        <w:widowControl w:val="off"/>
        <w:rPr>
          <w:rFonts w:hint="eastAsia" w:ascii="宋体" w:hAnsi="宋体" w:eastAsia="宋体" w:cs="宋体"/>
          <w:b/>
          <w:bCs/>
          <w:sz w:val="24"/>
        </w:rPr>
        <w:outlineLvl w:val="0"/>
      </w:pPr>
      <w:r/>
      <w:bookmarkStart w:id="252" w:name="_Toc28761"/>
      <w:r/>
      <w:bookmarkStart w:id="253" w:name="_Toc25917"/>
      <w:r/>
      <w:bookmarkStart w:id="254" w:name="_Toc22538"/>
      <w:r/>
      <w:bookmarkStart w:id="255" w:name="_Toc16046"/>
      <w:r>
        <w:rPr>
          <w:rFonts w:hint="eastAsia" w:ascii="宋体" w:hAnsi="宋体" w:eastAsia="宋体" w:cs="宋体"/>
          <w:b/>
          <w:bCs/>
          <w:sz w:val="24"/>
        </w:rPr>
        <w:t xml:space="preserve">一、采购标的清单</w:t>
      </w:r>
      <w:bookmarkEnd w:id="252"/>
      <w:r/>
      <w:bookmarkEnd w:id="253"/>
      <w:r/>
      <w:r/>
    </w:p>
    <w:tbl>
      <w:tblPr>
        <w:tblStyle w:val="795"/>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44"/>
        <w:gridCol w:w="1281"/>
        <w:gridCol w:w="1877"/>
        <w:gridCol w:w="2198"/>
      </w:tblGrid>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采购包号</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采购标的</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项目属性</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对应中小企业划分标准所属行业</w:t>
            </w:r>
            <w:r/>
          </w:p>
        </w:tc>
      </w:tr>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兴化市2026年度中央财政高素质农民培育服务项目采购</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152万元</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培训服务</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其他未列明行业</w:t>
            </w:r>
            <w:r/>
          </w:p>
        </w:tc>
      </w:tr>
    </w:tbl>
    <w:p>
      <w:pPr>
        <w:ind w:firstLine="482"/>
        <w:jc w:val="left"/>
        <w:keepLines w:val="0"/>
        <w:keepNext w:val="0"/>
        <w:pageBreakBefore w:val="0"/>
        <w:spacing w:before="100" w:after="100" w:line="460" w:lineRule="exact"/>
        <w:widowControl w:val="off"/>
        <w:rPr>
          <w:rFonts w:hint="default" w:ascii="宋体" w:hAnsi="宋体" w:eastAsia="宋体" w:cs="宋体"/>
          <w:b/>
          <w:bCs/>
          <w:sz w:val="24"/>
          <w:lang w:val="en-US" w:eastAsia="zh-CN"/>
        </w:rPr>
        <w:outlineLvl w:val="0"/>
      </w:pPr>
      <w:r/>
      <w:bookmarkStart w:id="256" w:name="_Toc11031"/>
      <w:r/>
      <w:bookmarkStart w:id="257" w:name="_Toc23006"/>
      <w:r/>
      <w:bookmarkStart w:id="258" w:name="_Toc21886"/>
      <w:r/>
      <w:bookmarkStart w:id="259" w:name="_Toc18080"/>
      <w:r>
        <w:rPr>
          <w:rFonts w:hint="eastAsia" w:ascii="宋体" w:hAnsi="宋体" w:eastAsia="宋体" w:cs="宋体"/>
          <w:b/>
          <w:bCs/>
          <w:sz w:val="24"/>
          <w:lang w:val="en-US" w:eastAsia="zh-CN"/>
        </w:rPr>
        <w:t xml:space="preserve">二、项目</w:t>
      </w:r>
      <w:bookmarkEnd w:id="256"/>
      <w:r/>
      <w:bookmarkEnd w:id="257"/>
      <w:r>
        <w:rPr>
          <w:rFonts w:hint="eastAsia" w:ascii="宋体" w:hAnsi="宋体" w:eastAsia="宋体" w:cs="宋体"/>
          <w:b/>
          <w:bCs/>
          <w:sz w:val="24"/>
          <w:lang w:val="en-US" w:eastAsia="zh-CN"/>
        </w:rPr>
        <w:t xml:space="preserve">概况</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bookmarkStart w:id="260" w:name="_Toc12090"/>
      <w:r/>
      <w:bookmarkStart w:id="261" w:name="_Toc12674"/>
      <w:r>
        <w:rPr>
          <w:rFonts w:hint="eastAsia" w:ascii="宋体" w:hAnsi="宋体" w:eastAsia="宋体" w:cs="宋体"/>
          <w:sz w:val="24"/>
          <w:szCs w:val="24"/>
          <w:lang w:val="en-US" w:eastAsia="zh-CN"/>
        </w:rPr>
        <w:t xml:space="preserve">紧扣提升农业综合生产能力和质量效益、统筹发展“四个农业”、加快建设</w:t>
      </w:r>
      <w:r>
        <w:rPr>
          <w:rFonts w:hint="eastAsia" w:ascii="宋体" w:hAnsi="宋体" w:eastAsia="宋体" w:cs="宋体"/>
          <w:sz w:val="24"/>
          <w:szCs w:val="24"/>
          <w:lang w:val="en-US" w:eastAsia="zh-CN"/>
        </w:rPr>
        <w:t xml:space="preserve">宜居宜业和美乡村等人才需求，结合《江苏省“新农人”培育三年行动计划（2025-2027年）》部署要求，按照需求导向、质量优先、突出实效原则，以工程化、项目化、闭环化方式组织实施，着力提升农民技术技能水平、产业发展能力与综合素质素养，为推进农业现代化上走在前、高水平建设农业强省提供坚实人才保障。根据文件要求，计划培训400人，其中粮油和重要农产品生产经营主体提升工程（“新农匠”100人）、新产业新业态带头人培育工程（“新农创”100人、“新农商”100人）、文明乡风建设素质素养提升工程（“新农服”100人）。</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二、</w:t>
      </w:r>
      <w:bookmarkEnd w:id="260"/>
      <w:r/>
      <w:bookmarkEnd w:id="261"/>
      <w:r>
        <w:rPr>
          <w:rFonts w:hint="eastAsia" w:ascii="宋体" w:hAnsi="宋体" w:eastAsia="宋体" w:cs="宋体"/>
          <w:b/>
          <w:bCs/>
          <w:sz w:val="24"/>
          <w:lang w:val="en-US" w:eastAsia="zh-CN"/>
        </w:rPr>
        <w:t xml:space="preserve">采购内容</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兴化市2026年度中央财政高素质农民培育项目具体安排如下：</w:t>
      </w:r>
      <w:r/>
    </w:p>
    <w:tbl>
      <w:tblPr>
        <w:tblStyle w:val="765"/>
        <w:tblW w:w="7770" w:type="dxa"/>
        <w:jc w:val="center"/>
        <w:tblLayout w:type="fixed"/>
        <w:tblCellMar>
          <w:left w:w="108" w:type="dxa"/>
          <w:top w:w="0" w:type="dxa"/>
          <w:right w:w="108" w:type="dxa"/>
          <w:bottom w:w="0" w:type="dxa"/>
        </w:tblCellMar>
        <w:tblLook w:val="04A0" w:firstRow="1" w:lastRow="0" w:firstColumn="1" w:lastColumn="0" w:noHBand="0" w:noVBand="1"/>
      </w:tblPr>
      <w:tblGrid>
        <w:gridCol w:w="707"/>
        <w:gridCol w:w="2442"/>
        <w:gridCol w:w="1145"/>
        <w:gridCol w:w="1132"/>
        <w:gridCol w:w="1173"/>
        <w:gridCol w:w="117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default" w:ascii="宋体" w:hAnsi="宋体" w:eastAsia="宋体" w:cs="宋体"/>
                <w:b/>
                <w:sz w:val="21"/>
                <w:szCs w:val="21"/>
                <w:lang w:val="en-US" w:eastAsia="zh-CN"/>
              </w:rPr>
              <w:outlineLvl w:val="0"/>
            </w:pPr>
            <w:r/>
            <w:bookmarkStart w:id="262" w:name="_Hlk203573030"/>
            <w:r>
              <w:rPr>
                <w:rFonts w:hint="eastAsia" w:ascii="宋体" w:hAnsi="宋体" w:eastAsia="宋体" w:cs="宋体"/>
                <w:b/>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培训名称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color w:val="auto"/>
                <w:sz w:val="21"/>
                <w:szCs w:val="21"/>
                <w:lang w:val="en-US" w:eastAsia="zh-CN"/>
              </w:rPr>
              <w:outlineLvl w:val="0"/>
            </w:pPr>
            <w:r>
              <w:rPr>
                <w:rFonts w:hint="eastAsia" w:ascii="宋体" w:hAnsi="宋体" w:eastAsia="宋体" w:cs="宋体"/>
                <w:b/>
                <w:color w:val="auto"/>
                <w:sz w:val="21"/>
                <w:szCs w:val="21"/>
                <w:lang w:val="en-US" w:eastAsia="zh-CN"/>
              </w:rPr>
              <w:t xml:space="preserve">培训时间</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培训天数</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参训人数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工作人员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粮油和重要农产品生产经营主体提升工程培训班“新农匠”</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bookmarkStart w:id="263" w:name="OLE_LINK11"/>
            <w:r/>
            <w:bookmarkStart w:id="264" w:name="OLE_LINK10"/>
            <w:r>
              <w:rPr>
                <w:rFonts w:hint="eastAsia" w:ascii="宋体" w:hAnsi="宋体" w:eastAsia="宋体" w:cs="宋体"/>
                <w:color w:val="auto"/>
                <w:sz w:val="21"/>
                <w:szCs w:val="21"/>
                <w:lang w:val="en-US" w:eastAsia="zh-CN"/>
              </w:rPr>
              <w:t xml:space="preserve">11－12月</w:t>
            </w:r>
            <w:bookmarkEnd w:id="263"/>
            <w:r/>
            <w:bookmarkEnd w:id="264"/>
            <w:r/>
            <w:r/>
          </w:p>
        </w:tc>
        <w:tc>
          <w:tcPr>
            <w:tcBorders>
              <w:top w:val="single" w:color="000000" w:sz="4" w:space="0"/>
              <w:left w:val="single" w:color="000000" w:sz="4" w:space="0"/>
              <w:bottom w:val="none" w:color="000000" w:sz="4" w:space="0"/>
              <w:right w:val="single" w:color="000000" w:sz="4" w:space="0"/>
            </w:tcBorders>
            <w:tcW w:w="1132" w:type="dxa"/>
            <w:vAlign w:val="center"/>
            <w:vMerge w:val="restart"/>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6天；跟踪服务人数不少于培训班总人数30%；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新产业新业态带头人培育工程培训班“新农创”</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11－12月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新产业新业态带头人培育工程培训班“新农商”</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11－12月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新产业新业态带头人培育工程培训班“新农服”</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11</w:t>
            </w:r>
            <w:bookmarkStart w:id="313" w:name="_GoBack"/>
            <w:r/>
            <w:bookmarkEnd w:id="313"/>
            <w:r>
              <w:rPr>
                <w:rFonts w:hint="eastAsia" w:ascii="宋体" w:hAnsi="宋体" w:eastAsia="宋体" w:cs="宋体"/>
                <w:color w:val="auto"/>
                <w:sz w:val="21"/>
                <w:szCs w:val="21"/>
                <w:lang w:val="en-US" w:eastAsia="zh-CN"/>
              </w:rPr>
              <w:t xml:space="preserve">－12月</w:t>
            </w:r>
            <w:r/>
          </w:p>
        </w:tc>
        <w:tc>
          <w:tcPr>
            <w:tcBorders>
              <w:top w:val="none" w:color="000000" w:sz="4" w:space="0"/>
              <w:left w:val="single" w:color="000000" w:sz="4" w:space="0"/>
              <w:bottom w:val="singl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bookmarkEnd w:id="262"/>
            <w:r/>
            <w:r/>
          </w:p>
        </w:tc>
      </w:tr>
    </w:tbl>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bookmarkStart w:id="265" w:name="_Toc17985"/>
      <w:r/>
      <w:bookmarkStart w:id="266" w:name="_Toc12439"/>
      <w:r>
        <w:rPr>
          <w:rFonts w:hint="eastAsia" w:ascii="宋体" w:hAnsi="宋体" w:eastAsia="宋体" w:cs="宋体"/>
          <w:b/>
          <w:bCs/>
          <w:sz w:val="24"/>
          <w:lang w:val="en-US" w:eastAsia="zh-CN"/>
        </w:rPr>
        <w:t xml:space="preserve">三、资</w:t>
      </w:r>
      <w:bookmarkEnd w:id="265"/>
      <w:r/>
      <w:bookmarkEnd w:id="266"/>
      <w:r>
        <w:rPr>
          <w:rFonts w:hint="eastAsia" w:ascii="宋体" w:hAnsi="宋体" w:eastAsia="宋体" w:cs="宋体"/>
          <w:b/>
          <w:bCs/>
          <w:sz w:val="24"/>
          <w:lang w:val="en-US" w:eastAsia="zh-CN"/>
        </w:rPr>
        <w:t xml:space="preserve">服务要求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1、成交培训机构须与采购人签订合同，明确双方的权利义务。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2、采购人将于前7个工作日提供完整的人员名单，成交培训机构在开展培训前应按照要求制定的相应教学计划、食宿计划、用车计划、学员花名册、师资材料等报采购人备案，备案通过后方可开班。</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成交培训机构要严格按照制定的教学计划开展培训，不得擅自更改、缩短课时，保证实际课时和学习内容保保质保量完成；要严明学习纪律，坚持做好培训期间的考勤登记工作；注重培训质量、培训效果，课后反馈，采购人负责对培训过程进行监督、指导、服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4、培训期满后，由成交培训机构按照规定颁发相应的培训合格证书。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5、培训过程中所涉及的费用标准应按采购人及相关部门规定执行，不得超标。</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6、培训所需的教材、设备、设施由培训机构提供。室内外培训场地、食宿交通应由培训机构沟通、对接到位。</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7、培训结束后3个工作日内向采购人提供培训成果评估报告。包括但不限于：学员满意度、知识、技能、态度等方面的收获等。</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8、未尽事项详见《江苏省2026年中央财政高素质农民培育工作实施方案》要求，最终实施方案以采购人批准方案为准。</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四、服务期</w:t>
      </w:r>
      <w:r/>
    </w:p>
    <w:p>
      <w:pPr>
        <w:ind w:firstLine="482"/>
        <w:jc w:val="left"/>
        <w:keepLines w:val="0"/>
        <w:keepNext w:val="0"/>
        <w:pageBreakBefore w:val="0"/>
        <w:spacing w:before="100" w:after="100" w:line="420" w:lineRule="exact"/>
        <w:widowControl w:val="off"/>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合同签订后30天内完成（工作时间安排可根据项目进展的实际情况而调整）</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五、服务需求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1.实施方案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围绕粮油和重要农产品生产经营主体提升工程（新农匠）、新产业新业态带头人培育工程（新农创、新</w:t>
      </w:r>
      <w:r>
        <w:rPr>
          <w:rFonts w:hint="eastAsia" w:ascii="宋体" w:hAnsi="宋体" w:eastAsia="宋体" w:cs="宋体"/>
          <w:sz w:val="24"/>
          <w:szCs w:val="24"/>
          <w:lang w:val="en-US" w:eastAsia="zh-CN"/>
        </w:rPr>
        <w:t xml:space="preserve">农商）、文明乡风建设素质素养提升工程（新农服）四个培育类型制定实施方案，培育人数不少于400人（“新农匠”100人、“新农创”100人、“新农商”100人、“新农服”100人）；结合《江苏省2026年中央财政高素质农民培育工作实施方案》要求和兴化市农业生产实际确定培育主题，培育目标明确；采取观摩实践为主的线上线下融合培育方式，组织小班化教学，班级人数原则上不超50人；方案需包含“培育前调研-培育中实施-培育后跟踪”全流程设计，学时设计紧凑，经费预算合理，进度安排科学，须于2026年12月底实施完成培训任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2.课程设计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严格按照《农业农村部高素质农民培育规范（修订）》要求设置综合素养、专业技能、能力拓展三类课程。其中综合素养课按照不低于总学时数10%，综合素养课程包含思想政治、政策法规、职业素养和文化素养等内容，认真落实开班第一课制度。专业技能课按照不低于总学时数70%的要求，其中实践教学的比例不低于专业技能课学时数50%，能力拓展课按照不高于总学时数20%。总学时不少于40学时，课程设计与培育主题适配度高，跟踪指导服务人数不少于总人数的30%，且现场指导不少于2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3.师资要求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组建高水平结构化师资团队，师资应主要来自政府职能部门、高校教师、行业专家、优秀农民典型等。高校师资、行业专家应具备相关专业的中、高级资格证书，优秀农民典型应为示范、带动能力强的“头雁”型农民。主讲教师需有农业技术培训或产业服务相关经历。</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4.培训管理制度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班级、学员、安全、财务等培训管理制度齐全。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5.后勤保障措施</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提供专门化项目实施和服务团队，项目实施和培训服务团队人数不少于10人；培训场地、住宿，餐饮条件良好，后勤保障方案齐全。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6安全措施与应急预案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需制定针对性强、行之有效的安全隐患及安全措施和应急处置预案。</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六、付款方式</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培训班顺利完成，且无重大质量问题的，项目结束后30天内由甲方支付总价100%。（无息）</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七、报价说明</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供应商报价不得超出预算金额，否则投标文件作无效标处理。报价应包括但不限于完成本项目完必要的培训成本、需求调研费用、学员培训资料费、教学耗材费、食宿费、场租费、交通费、讲课费（劳务费）、人身意外保险、跟踪服务费、在线学习费用、工作典型与案例宣介税费、税金、政策性文件规定及合同包含的所有风险、责任等各项应有费用。</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2.中国政府(江苏省)根据现行税法和有关部门现行规定就本合同项下向承包人征收的所有税金及其他应交纳的所有费用均包含在供应商投标总价中。</w:t>
      </w:r>
      <w:bookmarkEnd w:id="254"/>
      <w:r/>
      <w:bookmarkEnd w:id="255"/>
      <w:r/>
      <w:bookmarkEnd w:id="258"/>
      <w:r/>
      <w:bookmarkEnd w:id="259"/>
      <w:r/>
      <w:r/>
    </w:p>
    <w:p>
      <w:pPr>
        <w:ind w:left="0" w:firstLine="560"/>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keepLines w:val="0"/>
        <w:keepNext w:val="0"/>
        <w:pageBreakBefore w:val="0"/>
        <w:spacing w:line="46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267" w:name="_Toc27644"/>
      <w:r/>
      <w:bookmarkStart w:id="268" w:name="_Toc32391"/>
      <w:r/>
      <w:bookmarkStart w:id="269" w:name="_Toc27152"/>
      <w:r>
        <w:rPr>
          <w:rFonts w:hint="eastAsia" w:ascii="宋体" w:hAnsi="宋体" w:eastAsia="宋体" w:cs="宋体"/>
          <w:b/>
          <w:bCs/>
          <w:sz w:val="44"/>
          <w:szCs w:val="44"/>
          <w:lang w:val="en-US" w:eastAsia="zh-CN"/>
        </w:rPr>
        <w:t xml:space="preserve">评审方法与评审标准</w:t>
      </w:r>
      <w:bookmarkEnd w:id="267"/>
      <w:r/>
      <w:bookmarkEnd w:id="268"/>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0" w:name="_Toc770"/>
      <w:r/>
      <w:bookmarkStart w:id="271" w:name="_Toc15482"/>
      <w:r>
        <w:rPr>
          <w:rFonts w:hint="eastAsia" w:ascii="宋体" w:hAnsi="宋体" w:eastAsia="宋体" w:cs="宋体"/>
          <w:b/>
          <w:bCs/>
          <w:sz w:val="24"/>
          <w:lang w:val="en-US" w:eastAsia="zh-CN"/>
        </w:rPr>
        <w:t xml:space="preserve">一、评审方法</w:t>
      </w:r>
      <w:bookmarkEnd w:id="270"/>
      <w:r/>
      <w:bookmarkEnd w:id="271"/>
      <w:r/>
      <w:r/>
    </w:p>
    <w:p>
      <w:pPr>
        <w:ind w:firstLine="480"/>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本次采购采用综合评分法。磋商小组根据综合评分情况，按照评审得分由高到低顺序推荐3名成交候选供应商，并编写评审报告。符合本磋商文件第二章第26.1.2条情形的，可以推荐2名成交候选供应商。评审得分相同的，按照</w:t>
      </w:r>
      <w:r>
        <w:rPr>
          <w:rFonts w:hint="eastAsia" w:ascii="宋体" w:hAnsi="宋体" w:eastAsia="宋体" w:cs="宋体"/>
          <w:sz w:val="24"/>
          <w:lang w:val="en-US" w:eastAsia="zh-CN"/>
        </w:rPr>
        <w:t xml:space="preserve">最终</w:t>
      </w:r>
      <w:r>
        <w:rPr>
          <w:rFonts w:hint="eastAsia" w:ascii="宋体" w:hAnsi="宋体" w:eastAsia="宋体" w:cs="宋体"/>
          <w:sz w:val="24"/>
        </w:rPr>
        <w:t xml:space="preserve">报价由低到高的顺序推荐。评审得分且最后报价相同的，</w:t>
      </w:r>
      <w:r>
        <w:rPr>
          <w:rFonts w:hint="eastAsia" w:ascii="宋体" w:hAnsi="宋体" w:eastAsia="宋体" w:cs="宋体"/>
          <w:sz w:val="24"/>
          <w:lang w:val="en-US" w:eastAsia="zh-CN"/>
        </w:rPr>
        <w:t xml:space="preserve">由采购人在磋商小组监督下</w:t>
      </w:r>
      <w:r>
        <w:rPr>
          <w:rFonts w:hint="eastAsia" w:ascii="宋体" w:hAnsi="宋体" w:eastAsia="宋体" w:cs="宋体"/>
          <w:sz w:val="24"/>
        </w:rPr>
        <w:t xml:space="preserve">现场抽签</w:t>
      </w:r>
      <w:r>
        <w:rPr>
          <w:rFonts w:hint="eastAsia" w:ascii="宋体" w:hAnsi="宋体" w:eastAsia="宋体" w:cs="宋体"/>
          <w:sz w:val="24"/>
          <w:lang w:val="en-US" w:eastAsia="zh-CN"/>
        </w:rPr>
        <w:t xml:space="preserve">确定第一成交候选人</w:t>
      </w:r>
      <w:r>
        <w:rPr>
          <w:rFonts w:hint="eastAsia" w:ascii="宋体" w:hAnsi="宋体" w:eastAsia="宋体" w:cs="宋体"/>
          <w:sz w:val="24"/>
        </w:rPr>
        <w:t xml:space="preserve">。</w:t>
      </w:r>
      <w:r/>
    </w:p>
    <w:p>
      <w:pPr>
        <w:ind w:left="0" w:firstLine="0"/>
        <w:keepLines w:val="0"/>
        <w:keepNext w:val="0"/>
        <w:pageBreakBefore w:val="0"/>
        <w:spacing w:line="420" w:lineRule="exact"/>
        <w:widowControl w:val="off"/>
        <w:tabs>
          <w:tab w:val="left" w:pos="2700" w:leader="none"/>
        </w:tabs>
        <w:rPr>
          <w:rFonts w:hint="eastAsia" w:ascii="宋体" w:hAnsi="宋体" w:eastAsia="宋体" w:cs="宋体"/>
          <w:b/>
          <w:bCs/>
          <w:sz w:val="24"/>
          <w:lang w:val="zh-CN" w:eastAsia="zh-CN"/>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CN" w:eastAsia="zh-CN"/>
        </w:rPr>
        <w:t xml:space="preserve">政府采购政策功能落实</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2" w:name="_Toc30189"/>
      <w:r/>
      <w:bookmarkStart w:id="273" w:name="_Toc23149"/>
      <w:r>
        <w:rPr>
          <w:rFonts w:hint="eastAsia" w:ascii="宋体" w:hAnsi="宋体" w:eastAsia="宋体" w:cs="宋体"/>
          <w:b/>
          <w:bCs/>
          <w:sz w:val="24"/>
          <w:lang w:val="en-US" w:eastAsia="zh-CN"/>
        </w:rPr>
        <w:t xml:space="preserve">二、评审标准</w:t>
      </w:r>
      <w:bookmarkEnd w:id="272"/>
      <w:r/>
      <w:bookmarkEnd w:id="273"/>
      <w:r/>
      <w:r/>
    </w:p>
    <w:p>
      <w:pPr>
        <w:pStyle w:val="813"/>
        <w:rPr>
          <w:rFonts w:hint="eastAsia"/>
        </w:rPr>
      </w:pPr>
      <w:r>
        <w:rPr>
          <w:rFonts w:hint="eastAsia"/>
        </w:rPr>
      </w:r>
      <w:r/>
    </w:p>
    <w:tbl>
      <w:tblPr>
        <w:tblStyle w:val="765"/>
        <w:tblW w:w="852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975"/>
        <w:gridCol w:w="1697"/>
        <w:gridCol w:w="5850"/>
      </w:tblGrid>
      <w:tr>
        <w:trPr>
          <w:jc w:val="center"/>
          <w:trHeight w:val="0"/>
          <w:tblHeader/>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5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0"/>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报价</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both"/>
              <w:spacing w:before="0" w:after="0" w:line="24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价格分采用低价优先法计算，在所有通过资格性审查、符合性审查的有效响应文件中，以报价最低价作为评标基准价，该供应商的价格得分为满分15分。其它供应商的价格分统一按照以下公式计算：价格得分=（评标基准价÷供应商响应报价）×15。计算结果保留2位小数，若遇小数位数争议，按四舍五入规则处理。</w:t>
            </w:r>
            <w:r/>
          </w:p>
        </w:tc>
      </w:tr>
      <w:tr>
        <w:trPr>
          <w:jc w:val="center"/>
          <w:trHeight w:val="0"/>
        </w:trPr>
        <w:tc>
          <w:tcPr>
            <w:tcW w:w="97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2、商务部分（40分）</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年1月1日至今</w:t>
            </w:r>
            <w:r>
              <w:rPr>
                <w:rFonts w:hint="eastAsia" w:ascii="宋体" w:hAnsi="宋体" w:eastAsia="宋体" w:cs="宋体"/>
                <w:color w:val="auto"/>
                <w:sz w:val="24"/>
                <w:szCs w:val="24"/>
                <w:lang w:eastAsia="zh-CN"/>
              </w:rPr>
              <w:t xml:space="preserve">供应商已完成的中央财政高素质农民培育项目且通过验收评价</w:t>
            </w:r>
            <w:r>
              <w:rPr>
                <w:rFonts w:hint="eastAsia" w:ascii="宋体" w:hAnsi="宋体" w:eastAsia="宋体" w:cs="宋体"/>
                <w:color w:val="auto"/>
                <w:sz w:val="24"/>
                <w:szCs w:val="24"/>
              </w:rPr>
              <w:t xml:space="preserve">。每个项目得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最高得20</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提供服务合同</w:t>
            </w:r>
            <w:r>
              <w:rPr>
                <w:rFonts w:hint="eastAsia" w:ascii="宋体" w:hAnsi="宋体" w:eastAsia="宋体" w:cs="宋体"/>
                <w:color w:val="auto"/>
                <w:sz w:val="24"/>
                <w:szCs w:val="24"/>
                <w:lang w:val="en-US" w:eastAsia="zh-CN"/>
              </w:rPr>
              <w:t xml:space="preserve">及验收文件原件扫描件。</w:t>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企业实力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rPr>
              <w:t xml:space="preserve">拥有国家级乡村振兴人才培养培训基地，每提供一个得2分；省级乡村振兴才培养培训基地，每提供一个得1分；农民教育培训先进集体，每提供一个得1分；承担过培育任务并高质高效完成的培育机构得2分。本项最高得10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注：提供相关证明文件原件扫描件。</w:t>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人员（10分）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拟投入的师资（讲师）中具有相关专业的正高级资格证书，每提供1人得3分；副高级格证书，每提供1人得2分；中级职称每有1人得1分（须提供相关人员的职称证书扫描件及近3月任一个月的社保证明原件扫描件，否则不得分），最高得10分。</w:t>
            </w:r>
            <w:r/>
          </w:p>
        </w:tc>
      </w:tr>
      <w:tr>
        <w:trPr>
          <w:jc w:val="center"/>
          <w:trHeight w:val="0"/>
        </w:trPr>
        <w:tc>
          <w:tcPr>
            <w:tcW w:w="975"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3、技术部分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分）</w:t>
            </w:r>
            <w:r/>
          </w:p>
        </w:tc>
        <w:tc>
          <w:tcPr>
            <w:tcW w:w="1697" w:type="dxa"/>
            <w:vAlign w:val="center"/>
            <w:textDirection w:val="lrTb"/>
            <w:noWrap/>
          </w:tcPr>
          <w:p>
            <w:pPr>
              <w:pStyle w:val="991"/>
              <w:jc w:val="center"/>
              <w:spacing w:before="0" w:beforeAutospacing="0" w:after="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整体培训方案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供应商根据采购需求，提供本项目的整体培训方案进行综合评审：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课程设计方案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根据各供应商针对本项目的培训课程安排进行综合评分：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bookmarkStart w:id="274" w:name="_Toc30312"/>
            <w:r/>
            <w:bookmarkStart w:id="275" w:name="_Toc20233"/>
            <w:r/>
            <w:bookmarkStart w:id="276" w:name="_Toc14151"/>
            <w:r/>
            <w:bookmarkStart w:id="277" w:name="_Toc20875"/>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培训管理制度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根据供应商提供的培训管理制度,包括班级、学员、安全、财务等管理制度，每提供1个得1分，最高得5分</w:t>
            </w:r>
            <w:r>
              <w:rPr>
                <w:rFonts w:hint="eastAsia" w:ascii="宋体" w:hAnsi="宋体" w:eastAsia="宋体" w:cs="宋体"/>
                <w:color w:val="auto"/>
                <w:sz w:val="24"/>
                <w:szCs w:val="24"/>
                <w:lang w:val="zh-CN" w:eastAsia="zh-CN" w:bidi="ar-SA"/>
              </w:rPr>
              <w:t xml:space="preserve">；</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未提供本项不得分。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后勤保障措施</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根据供应商提供的后勤保障措施，包括：服务团队、住宿条件、培训餐饮、场地、交通停车等后勤保障方案，进行综合评分；；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安全措施、应急预案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根据供应商提供的可能存在的安全隐患及安全措施、应急预案等进行评审；</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bookmarkEnd w:id="269"/>
            <w:r/>
            <w:r/>
          </w:p>
        </w:tc>
      </w:tr>
    </w:tbl>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 xml:space="preserve">响应文件相关格式</w:t>
      </w:r>
      <w:bookmarkEnd w:id="274"/>
      <w:r/>
      <w:bookmarkEnd w:id="275"/>
      <w:r/>
      <w:bookmarkEnd w:id="276"/>
      <w:r/>
      <w:bookmarkEnd w:id="277"/>
      <w:r/>
      <w:r/>
    </w:p>
    <w:p>
      <w:pPr>
        <w:pStyle w:val="813"/>
        <w:ind w:left="0" w:firstLine="0"/>
        <w:rPr>
          <w:rFonts w:hint="eastAsia" w:ascii="仿宋" w:hAnsi="仿宋" w:eastAsia="仿宋" w:cs="仿宋"/>
        </w:rPr>
      </w:pPr>
      <w:r>
        <w:rPr>
          <w:rFonts w:hint="eastAsia" w:ascii="仿宋" w:hAnsi="仿宋" w:eastAsia="仿宋" w:cs="仿宋"/>
        </w:rPr>
      </w:r>
      <w:r/>
    </w:p>
    <w:p>
      <w:pPr>
        <w:pStyle w:val="813"/>
        <w:ind w:left="0" w:firstLine="0"/>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ind w:left="0" w:firstLine="0"/>
        <w:jc w:val="center"/>
        <w:keepLines w:val="0"/>
        <w:keepNext w:val="0"/>
        <w:pageBreakBefore w:val="0"/>
        <w:spacing w:before="0" w:after="0" w:line="360" w:lineRule="auto"/>
        <w:widowControl w:val="off"/>
        <w:rPr>
          <w:rFonts w:hint="eastAsia" w:ascii="宋体" w:hAnsi="宋体" w:eastAsia="宋体" w:cs="宋体"/>
          <w:b/>
          <w:sz w:val="72"/>
          <w:szCs w:val="72"/>
          <w:lang w:val="en-US" w:eastAsia="zh-CN" w:bidi="ar-SA"/>
        </w:rPr>
        <w:outlineLvl w:val="0"/>
      </w:pPr>
      <w:r/>
      <w:bookmarkStart w:id="278" w:name="_Toc4881"/>
      <w:r/>
      <w:bookmarkStart w:id="279" w:name="_Toc17484"/>
      <w:r/>
      <w:bookmarkStart w:id="280" w:name="_Toc30454"/>
      <w:r>
        <w:rPr>
          <w:rFonts w:hint="eastAsia" w:ascii="宋体" w:hAnsi="宋体" w:eastAsia="宋体" w:cs="宋体"/>
          <w:b/>
          <w:sz w:val="72"/>
          <w:szCs w:val="72"/>
          <w:lang w:val="en-US" w:eastAsia="zh-CN" w:bidi="ar-SA"/>
        </w:rPr>
        <w:t xml:space="preserve">响  应  文  件</w:t>
      </w:r>
      <w:bookmarkEnd w:id="278"/>
      <w:r/>
      <w:bookmarkEnd w:id="279"/>
      <w:r/>
      <w:bookmarkEnd w:id="280"/>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名 称：</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编 号：</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供应商名称 ：</w:t>
      </w:r>
      <w:r>
        <w:rPr>
          <w:rFonts w:hint="eastAsia" w:ascii="宋体" w:hAnsi="宋体" w:eastAsia="宋体" w:cs="宋体"/>
          <w:b/>
          <w:bCs/>
          <w:sz w:val="36"/>
          <w:szCs w:val="36"/>
          <w:u w:val="single"/>
          <w:lang w:val="en-US" w:eastAsia="zh-CN" w:bidi="ar-SA"/>
        </w:rPr>
        <w:t xml:space="preserve">（加盖CA电子公章）</w:t>
      </w:r>
      <w:r/>
    </w:p>
    <w:p>
      <w:pPr>
        <w:ind w:left="0" w:firstLine="840"/>
        <w:jc w:val="left"/>
        <w:keepLines w:val="0"/>
        <w:keepNext w:val="0"/>
        <w:pageBreakBefore w:val="0"/>
        <w:spacing w:line="700" w:lineRule="exact"/>
        <w:widowControl w:val="off"/>
        <w:rPr>
          <w:rFonts w:hint="eastAsia" w:ascii="宋体" w:hAnsi="宋体" w:eastAsia="仿宋" w:cs="Courier New"/>
          <w:sz w:val="24"/>
          <w:szCs w:val="24"/>
          <w:u w:val="single"/>
          <w:lang w:val="en-US" w:eastAsia="zh-CN" w:bidi="ar-SA"/>
        </w:rPr>
      </w:pPr>
      <w:r>
        <w:rPr>
          <w:rFonts w:hint="eastAsia" w:ascii="宋体" w:hAnsi="宋体" w:eastAsia="宋体" w:cs="宋体"/>
          <w:b/>
          <w:bCs/>
          <w:sz w:val="36"/>
          <w:szCs w:val="36"/>
          <w:lang w:val="en-US" w:eastAsia="zh-CN" w:bidi="ar-SA"/>
        </w:rPr>
        <w:t xml:space="preserve">日      期 ：</w:t>
      </w:r>
      <w:r>
        <w:rPr>
          <w:rFonts w:hint="eastAsia" w:ascii="宋体" w:hAnsi="宋体" w:eastAsia="宋体" w:cs="宋体"/>
          <w:b/>
          <w:bCs/>
          <w:sz w:val="36"/>
          <w:szCs w:val="36"/>
          <w:u w:val="single"/>
          <w:lang w:val="en-US" w:eastAsia="zh-CN" w:bidi="ar-SA"/>
        </w:rPr>
        <w:t xml:space="preserve">  </w:t>
      </w:r>
      <w:r>
        <w:rPr>
          <w:rFonts w:hint="eastAsia" w:ascii="宋体" w:hAnsi="宋体" w:eastAsia="仿宋" w:cs="Courier New"/>
          <w:sz w:val="24"/>
          <w:szCs w:val="24"/>
          <w:u w:val="single"/>
          <w:lang w:val="en-US" w:eastAsia="zh-CN" w:bidi="ar-SA"/>
        </w:rPr>
        <w:t xml:space="preserve">                       </w:t>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spacing w:before="80" w:after="100" w:line="360" w:lineRule="auto"/>
        <w:widowControl/>
        <w:rPr>
          <w:rFonts w:hint="eastAsia" w:ascii="仿宋" w:hAnsi="仿宋" w:eastAsia="仿宋" w:cs="仿宋"/>
          <w:b/>
          <w:bCs/>
          <w:color w:val="auto"/>
          <w:sz w:val="28"/>
          <w:szCs w:val="44"/>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响应文件的组成</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1.分项报价表（格式见附件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2.上一年度的财务状况报告（</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提交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9.磋商响应函（格式见附件7）</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10.中小微企业声明函（如果本项目专门面向中小微型企业采购，则必须提供。格式见附件8）</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11.残疾人福利性单位声明函（如果本项目专门面向中小微型企业采购，供应商为残疾人福利性单位并提供本单位制造的货物，或者提供其他残疾人福利性单位制造的货物，则必须提供。格式见附件9）</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必须在</w:t>
      </w:r>
      <w:r>
        <w:rPr>
          <w:rFonts w:hint="eastAsia" w:ascii="宋体" w:hAnsi="宋体" w:eastAsia="宋体" w:cs="宋体"/>
          <w:color w:val="000000" w:themeColor="text1"/>
          <w:sz w:val="24"/>
          <w:szCs w:val="24"/>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14:textFill>
            <w14:solidFill>
              <w14:schemeClr w14:val="tx1"/>
            </w14:solidFill>
          </w14:textFill>
        </w:rPr>
        <w:t xml:space="preserve">文件中提供相关材料，否则作无效投标处理；6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10、11</w:t>
      </w:r>
      <w:r>
        <w:rPr>
          <w:rFonts w:hint="eastAsia" w:ascii="宋体" w:hAnsi="宋体" w:eastAsia="宋体" w:cs="宋体"/>
          <w:color w:val="000000" w:themeColor="text1"/>
          <w:sz w:val="24"/>
          <w:szCs w:val="24"/>
          <w14:textFill>
            <w14:solidFill>
              <w14:schemeClr w14:val="tx1"/>
            </w14:solidFill>
          </w14:textFill>
        </w:rPr>
        <w:t xml:space="preserve">条如</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文件要求必须提供相关材料而未提供的，作无效投标处理。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left="0"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必须对</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文件（含技术要求和商务要求）中的要求逐条做出响应，并按照</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文件要求提供证明材料，否则做无效投标处理。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四、价格扣除证明文件</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1.中小微企业声明函（格式见附件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2.残疾人福利性单位声明函（格式见附件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71"/>
        <w:ind w:left="0" w:firstLine="0"/>
        <w:jc w:val="left"/>
        <w:keepLines w:val="0"/>
        <w:keepNext w:val="0"/>
        <w:pageBreakBefore w:val="0"/>
        <w:spacing w:before="0" w:after="0" w:line="360" w:lineRule="auto"/>
        <w:widowControl w:val="off"/>
        <w:rPr>
          <w:rFonts w:hint="eastAsia" w:ascii="仿宋" w:hAnsi="仿宋" w:eastAsia="仿宋" w:cs="仿宋"/>
          <w:color w:val="auto"/>
          <w:sz w:val="28"/>
          <w:highlight w:val="none"/>
        </w:rPr>
        <w:outlineLvl w:val="9"/>
      </w:pPr>
      <w:r/>
      <w:bookmarkStart w:id="281" w:name="_Toc15944"/>
      <w:r/>
      <w:bookmarkStart w:id="282" w:name="_Toc30076"/>
      <w:r/>
      <w:bookmarkStart w:id="283" w:name="_Toc31409"/>
      <w:r>
        <w:rPr>
          <w:rFonts w:hint="eastAsia" w:ascii="仿宋" w:hAnsi="仿宋" w:eastAsia="仿宋" w:cs="仿宋"/>
          <w:color w:val="auto"/>
          <w:sz w:val="28"/>
          <w:highlight w:val="none"/>
          <w:lang w:val="en-US" w:eastAsia="zh-CN"/>
        </w:rPr>
        <w:t xml:space="preserve">注：</w:t>
      </w:r>
      <w:r>
        <w:rPr>
          <w:rFonts w:hint="eastAsia" w:ascii="仿宋" w:hAnsi="仿宋" w:eastAsia="仿宋" w:cs="仿宋"/>
          <w:color w:val="auto"/>
          <w:sz w:val="28"/>
          <w:highlight w:val="none"/>
        </w:rPr>
        <w:t xml:space="preserve">本章仅提供响应文件中的部分文件格式，不应被理解为包含了响应文件所需的全部资料</w:t>
      </w:r>
      <w:bookmarkEnd w:id="281"/>
      <w:r/>
      <w:bookmarkEnd w:id="282"/>
      <w:r/>
      <w:bookmarkEnd w:id="283"/>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bookmarkStart w:id="284" w:name="_Toc16295"/>
      <w:r/>
      <w:bookmarkStart w:id="285" w:name="_Toc22528"/>
      <w:r/>
      <w:bookmarkStart w:id="286" w:name="_Toc11380"/>
      <w:r/>
      <w:bookmarkStart w:id="287" w:name="_Toc31676"/>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spacing w:line="1000" w:lineRule="exact"/>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竞争性磋商首次报价书</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765"/>
        <w:tblW w:w="7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7"/>
      </w:tblGrid>
      <w:tr>
        <w:trPr>
          <w:cantSplit/>
          <w:jc w:val="center"/>
          <w:trHeight w:val="725"/>
        </w:trPr>
        <w:tc>
          <w:tcPr>
            <w:tcW w:w="7647" w:type="dxa"/>
            <w:vAlign w:val="center"/>
            <w:textDirection w:val="lrTb"/>
            <w:noWrap w:val="false"/>
          </w:tcPr>
          <w:p>
            <w:pPr>
              <w:ind w:left="0" w:firstLine="0"/>
              <w:jc w:val="center"/>
              <w:keepLines w:val="0"/>
              <w:keepNext w:val="0"/>
              <w:pageBreakBefore w:val="0"/>
              <w:spacing w:after="0"/>
              <w:widowControl/>
              <w:rPr>
                <w:rFonts w:hint="eastAsia" w:ascii="宋体" w:hAnsi="宋体" w:eastAsia="宋体" w:cs="宋体"/>
                <w:color w:val="ff0000"/>
                <w:sz w:val="24"/>
                <w:szCs w:val="24"/>
                <w:lang w:val="en-US" w:eastAsia="zh-CN"/>
              </w:rPr>
            </w:pPr>
            <w:r>
              <w:rPr>
                <w:rFonts w:hint="eastAsia" w:ascii="宋体" w:hAnsi="宋体" w:eastAsia="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报价</w:t>
            </w:r>
            <w:r/>
          </w:p>
        </w:tc>
      </w:tr>
      <w:tr>
        <w:trPr>
          <w:cantSplit/>
          <w:jc w:val="center"/>
          <w:trHeight w:val="612"/>
        </w:trPr>
        <w:tc>
          <w:tcPr>
            <w:tcW w:w="7647" w:type="dxa"/>
            <w:vAlign w:val="center"/>
            <w:textDirection w:val="lrTb"/>
            <w:noWrap w:val="false"/>
          </w:tcPr>
          <w:p>
            <w:pPr>
              <w:ind w:left="0" w:firstLine="0"/>
              <w:jc w:val="both"/>
              <w:keepLines w:val="0"/>
              <w:keepNext w:val="0"/>
              <w:pageBreakBefore w:val="0"/>
              <w:spacing w:after="0" w:line="500" w:lineRule="exact"/>
              <w:widowControl/>
              <w:rPr>
                <w:rFonts w:hint="eastAsia" w:ascii="宋体" w:hAnsi="宋体" w:eastAsia="宋体" w:cs="宋体"/>
                <w:color w:val="ff0000"/>
                <w:sz w:val="24"/>
                <w:szCs w:val="21"/>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pStyle w:val="812"/>
        <w:ind w:left="0" w:firstLine="0"/>
        <w:jc w:val="left"/>
        <w:keepLines w:val="0"/>
        <w:keepNext/>
        <w:pageBreakBefore/>
        <w:spacing w:line="400" w:lineRule="exact"/>
        <w:widowControl/>
        <w:rPr>
          <w:rFonts w:hint="eastAsia" w:ascii="宋体" w:hAnsi="宋体" w:eastAsia="宋体" w:cs="宋体"/>
          <w:b/>
          <w:color w:val="000000" w:themeColor="text1"/>
          <w:sz w:val="32"/>
          <w:szCs w:val="32"/>
          <w:lang w:val="en-US" w:eastAsia="zh-CN" w:bidi="ar-SA"/>
          <w14:textFill>
            <w14:solidFill>
              <w14:schemeClr w14:val="tx1"/>
            </w14:solidFill>
          </w14:textFill>
        </w:rPr>
        <w:outlineLvl w:val="0"/>
      </w:pPr>
      <w:r/>
      <w:bookmarkStart w:id="288" w:name="_Toc24618"/>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附件1</w:t>
      </w:r>
      <w:bookmarkEnd w:id="284"/>
      <w:r/>
      <w:bookmarkEnd w:id="285"/>
      <w:r/>
      <w:bookmarkEnd w:id="286"/>
      <w:r/>
      <w:bookmarkEnd w:id="287"/>
      <w:r/>
      <w:bookmarkEnd w:id="288"/>
      <w:r/>
      <w:r/>
    </w:p>
    <w:p>
      <w:pPr>
        <w:pStyle w:val="812"/>
        <w:ind w:left="0" w:firstLine="0"/>
        <w:jc w:val="center"/>
        <w:keepLines w:val="0"/>
        <w:keepNext/>
        <w:pageBreakBefore w:val="0"/>
        <w:spacing w:line="400" w:lineRule="exact"/>
        <w:widowControl/>
        <w:rPr>
          <w:rFonts w:hint="default" w:ascii="仿宋" w:hAnsi="仿宋" w:eastAsia="仿宋" w:cs="仿宋"/>
          <w:b/>
          <w:bCs/>
          <w:sz w:val="30"/>
          <w:szCs w:val="30"/>
          <w:lang w:val="en-US"/>
        </w:rPr>
        <w:outlineLvl w:val="0"/>
      </w:pPr>
      <w:r/>
      <w:bookmarkStart w:id="289" w:name="_Toc31436"/>
      <w:r>
        <w:rPr>
          <w:rFonts w:hint="eastAsia" w:ascii="仿宋" w:hAnsi="仿宋" w:eastAsia="仿宋" w:cs="仿宋"/>
          <w:b/>
          <w:bCs/>
          <w:sz w:val="30"/>
          <w:szCs w:val="30"/>
          <w:lang w:val="en-US" w:eastAsia="zh-CN"/>
        </w:rPr>
        <w:t xml:space="preserve">分项报价表</w:t>
      </w:r>
      <w:bookmarkEnd w:id="289"/>
      <w:r/>
      <w:r/>
    </w:p>
    <w:p>
      <w:pPr>
        <w:pStyle w:val="812"/>
        <w:ind w:left="0" w:firstLine="0"/>
        <w:jc w:val="center"/>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single"/>
          <w:lang w:val="en-US" w:eastAsia="zh-CN"/>
        </w:rPr>
        <w:t xml:space="preserve">       次</w:t>
      </w:r>
      <w:r/>
    </w:p>
    <w:p>
      <w:pPr>
        <w:pStyle w:val="812"/>
        <w:ind w:left="0" w:firstLine="0"/>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项目编号：</w:t>
      </w:r>
      <w:r>
        <w:rPr>
          <w:rFonts w:hint="eastAsia" w:ascii="仿宋" w:hAnsi="仿宋" w:eastAsia="仿宋" w:cs="仿宋"/>
          <w:bCs/>
          <w:sz w:val="24"/>
          <w:szCs w:val="24"/>
          <w:u w:val="single"/>
          <w:lang w:val="en-US" w:eastAsia="zh-CN"/>
        </w:rPr>
        <w:t xml:space="preserve">               </w:t>
      </w:r>
      <w:r/>
    </w:p>
    <w:p>
      <w:pPr>
        <w:pStyle w:val="813"/>
        <w:numPr>
          <w:ilvl w:val="0"/>
          <w:numId w:val="0"/>
        </w:numPr>
        <w:rPr>
          <w:rFonts w:hint="eastAsia"/>
          <w:lang w:val="en-US" w:eastAsia="zh-CN"/>
        </w:rPr>
      </w:pPr>
      <w:r>
        <w:rPr>
          <w:rFonts w:hint="eastAsia"/>
          <w:lang w:val="en-US" w:eastAsia="zh-CN"/>
        </w:rPr>
      </w:r>
      <w:r/>
    </w:p>
    <w:p>
      <w:pPr>
        <w:pStyle w:val="812"/>
        <w:ind w:left="0" w:firstLine="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05"/>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格式自拟。</w:t>
      </w:r>
      <w:r/>
    </w:p>
    <w:p>
      <w:pPr>
        <w:pStyle w:val="812"/>
        <w:ind w:left="0" w:firstLine="0"/>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804"/>
        <w:ind w:left="0" w:firstLine="0"/>
        <w:jc w:val="left"/>
        <w:spacing w:line="400" w:lineRule="exact"/>
        <w:widowControl w:val="off"/>
        <w:rPr>
          <w:rStyle w:val="972"/>
          <w:rFonts w:hint="eastAsia" w:ascii="仿宋" w:hAnsi="仿宋" w:eastAsia="仿宋" w:cs="仿宋"/>
          <w:color w:val="auto"/>
          <w:sz w:val="24"/>
          <w:highlight w:val="none"/>
        </w:rPr>
      </w:pPr>
      <w:r/>
      <w:bookmarkStart w:id="290" w:name="_Toc15808"/>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rPr>
          <w:rStyle w:val="972"/>
          <w:rFonts w:hint="eastAsia" w:ascii="仿宋" w:hAnsi="仿宋" w:eastAsia="仿宋" w:cs="仿宋"/>
          <w:color w:val="auto"/>
          <w:sz w:val="24"/>
          <w:highlight w:val="none"/>
        </w:rPr>
        <w:t xml:space="preserve"> </w:t>
      </w:r>
      <w:r/>
    </w:p>
    <w:p>
      <w:pPr>
        <w:pStyle w:val="804"/>
        <w:ind w:left="0" w:firstLine="0"/>
        <w:jc w:val="left"/>
        <w:spacing w:line="4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日期：</w:t>
      </w:r>
      <w:r/>
    </w:p>
    <w:p>
      <w:pPr>
        <w:pStyle w:val="983"/>
        <w:ind w:left="0" w:firstLine="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04"/>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805"/>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lang w:val="en-US" w:eastAsia="zh-CN"/>
          <w14:textFill>
            <w14:solidFill>
              <w14:schemeClr w14:val="tx1"/>
            </w14:solidFill>
          </w14:textFill>
        </w:rPr>
        <w:t xml:space="preserve">采购人</w:t>
      </w:r>
      <w:r>
        <w:rPr>
          <w:rFonts w:hint="eastAsia" w:ascii="仿宋" w:hAnsi="仿宋" w:eastAsia="仿宋" w:cs="宋体"/>
          <w:b/>
          <w:i/>
          <w:color w:val="000000" w:themeColor="text1"/>
          <w:szCs w:val="28"/>
          <w:u w:val="single"/>
          <w14:textFill>
            <w14:solidFill>
              <w14:schemeClr w14:val="tx1"/>
            </w14:solidFill>
          </w14:textFill>
        </w:rPr>
        <w:t xml:space="preserve">有权将以上内容进行公示。</w:t>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765"/>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3213"/>
      </w:tblGrid>
      <w:tr>
        <w:trPr>
          <w:jc w:val="center"/>
          <w:trHeight w:val="438"/>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技术要求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363"/>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文件技术要求逐条做出明确响应。</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3</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765"/>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2916"/>
      </w:tblGrid>
      <w:tr>
        <w:trPr>
          <w:jc w:val="center"/>
          <w:trHeight w:val="0"/>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商务要求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文件商务要求逐条做出明确响应。</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08"/>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val="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具备履行合同所必需的设备和专业技术能力的书面声明</w:t>
      </w:r>
      <w:r/>
    </w:p>
    <w:p>
      <w:pPr>
        <w:ind w:left="0" w:firstLine="0"/>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ind w:left="0" w:firstLine="560"/>
        <w:keepLines w:val="0"/>
        <w:keepNext w:val="0"/>
        <w:pageBreakBefore w:val="0"/>
        <w:spacing w:line="540" w:lineRule="exact"/>
        <w:widowControl/>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主要设备有：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主要专业技术能力有：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ind w:left="0" w:firstLine="0"/>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5</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left="0" w:firstLine="560"/>
        <w:keepLines w:val="0"/>
        <w:keepNext w:val="0"/>
        <w:pageBreakBefore w:val="0"/>
        <w:spacing w:line="46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6</w:t>
      </w: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24"/>
          <w:szCs w:val="21"/>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名称）授权_____________（被授权人的姓名）为我方就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291" w:name="_Hlt26671380"/>
      <w:r/>
      <w:bookmarkEnd w:id="291"/>
      <w:r/>
      <w:bookmarkStart w:id="292" w:name="_格式3__银行出具的资信证明"/>
      <w:r/>
      <w:bookmarkEnd w:id="292"/>
      <w:r/>
      <w:bookmarkStart w:id="293" w:name="_Hlt26955070"/>
      <w:r/>
      <w:bookmarkEnd w:id="293"/>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36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pStyle w:val="808"/>
        <w:ind w:left="0" w:firstLine="0"/>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4" w:name="_Toc31906"/>
      <w:r/>
      <w:bookmarkStart w:id="295" w:name="_Toc23969"/>
      <w:r/>
      <w:bookmarkStart w:id="296" w:name="_Toc5505"/>
      <w:r/>
      <w:bookmarkStart w:id="297" w:name="_Toc8821"/>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7</w:t>
      </w:r>
      <w:bookmarkEnd w:id="294"/>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磋商响应函</w:t>
      </w:r>
      <w:r/>
    </w:p>
    <w:p>
      <w:pPr>
        <w:ind w:left="0" w:firstLine="0"/>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left="0" w:firstLine="480"/>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磋商文件，正式授权下述签字人_______(姓名)代表我方_____________（</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的名称），全权处理本次项目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1.按磋商文件规定的各项要求，向买方提供所需货物</w:t>
      </w: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服务</w:t>
      </w:r>
      <w:r>
        <w:rPr>
          <w:rFonts w:hint="eastAsia" w:ascii="宋体" w:hAnsi="宋体" w:eastAsia="宋体" w:cs="宋体"/>
          <w:color w:val="000000" w:themeColor="text1"/>
          <w:sz w:val="24"/>
          <w:szCs w:val="21"/>
          <w14:textFill>
            <w14:solidFill>
              <w14:schemeClr w14:val="tx1"/>
            </w14:solidFill>
          </w14:textFill>
        </w:rPr>
        <w:t xml:space="preserve">（包含与货物相关的服务）。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w:t>
      </w:r>
      <w:r>
        <w:rPr>
          <w:rFonts w:hint="eastAsia" w:ascii="宋体" w:hAnsi="宋体" w:eastAsia="宋体" w:cs="宋体"/>
          <w:color w:val="000000" w:themeColor="text1"/>
          <w:sz w:val="24"/>
          <w:szCs w:val="21"/>
          <w:lang w:val="en-US" w:eastAsia="zh-CN"/>
          <w14:textFill>
            <w14:solidFill>
              <w14:schemeClr w14:val="tx1"/>
            </w14:solidFill>
          </w14:textFill>
        </w:rPr>
        <w:t xml:space="preserve">成交</w:t>
      </w:r>
      <w:r>
        <w:rPr>
          <w:rFonts w:hint="eastAsia" w:ascii="宋体" w:hAnsi="宋体" w:eastAsia="宋体" w:cs="宋体"/>
          <w:color w:val="000000" w:themeColor="text1"/>
          <w:sz w:val="24"/>
          <w:szCs w:val="21"/>
          <w14:textFill>
            <w14:solidFill>
              <w14:schemeClr w14:val="tx1"/>
            </w14:solidFill>
          </w14:textFill>
        </w:rPr>
        <w:t xml:space="preserve">,我方将根据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文件规定的时间完成项目，交付买方验收、使用。</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979"/>
        <w:ind w:right="565"/>
        <w:jc w:val="both"/>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79"/>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w:t>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8" w:name="_Toc27806"/>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bookmarkEnd w:id="298"/>
      <w:r/>
      <w:r/>
    </w:p>
    <w:p>
      <w:pPr>
        <w:pStyle w:val="800"/>
        <w:ind w:left="0" w:firstLine="0"/>
        <w:jc w:val="center"/>
        <w:rPr>
          <w:rFonts w:hint="eastAsia" w:ascii="宋体" w:hAnsi="宋体" w:eastAsia="宋体" w:cs="宋体"/>
          <w:b/>
          <w:sz w:val="32"/>
          <w:szCs w:val="32"/>
        </w:rPr>
      </w:pPr>
      <w:r>
        <w:rPr>
          <w:rFonts w:hint="eastAsia" w:ascii="宋体" w:hAnsi="宋体" w:eastAsia="宋体" w:cs="宋体"/>
          <w:b/>
          <w:sz w:val="32"/>
          <w:szCs w:val="32"/>
        </w:rPr>
        <w:t xml:space="preserve">中小微企业声明函（服务类项目）</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6"/>
          <w:sz w:val="24"/>
          <w:szCs w:val="24"/>
        </w:rPr>
        <w:t xml:space="preserve">项目</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jc w:val="left"/>
        <w:keepLines w:val="0"/>
        <w:keepNext w:val="0"/>
        <w:pageBreakBefore w:val="0"/>
        <w:spacing w:before="100" w:beforeAutospacing="0" w:after="100" w:afterAutospacing="0"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软件和信息技术服务</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sz w:val="24"/>
          <w:szCs w:val="24"/>
          <w:u w:val="single"/>
          <w:lang w:eastAsia="zh-CN"/>
        </w:rPr>
        <w:t xml:space="preserve">□</w:t>
      </w:r>
      <w:r>
        <w:rPr>
          <w:rFonts w:hint="eastAsia" w:ascii="宋体" w:hAnsi="宋体" w:eastAsia="宋体" w:cs="宋体"/>
          <w:b/>
          <w:sz w:val="24"/>
          <w:szCs w:val="24"/>
          <w:u w:val="single"/>
        </w:rPr>
        <w:t xml:space="preserve">中型企业、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以上企业，不属于大企业的分值机构，不存在控股股东为大企业的情况，也不存在与大企业的负责人为同一人的情况。</w:t>
      </w:r>
      <w:r/>
    </w:p>
    <w:p>
      <w:pPr>
        <w:ind w:left="0" w:firstLine="480"/>
        <w:jc w:val="left"/>
        <w:keepLines w:val="0"/>
        <w:keepNext w:val="0"/>
        <w:pageBreakBefore w:val="0"/>
        <w:spacing w:before="100" w:beforeAutospacing="0" w:after="100" w:afterAutospacing="0" w:line="460" w:lineRule="exact"/>
        <w:rPr>
          <w:rFonts w:hint="eastAsia" w:ascii="仿宋" w:hAnsi="仿宋" w:eastAsia="仿宋" w:cs="仿宋"/>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firstLine="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p>
    <w:p>
      <w:pPr>
        <w:ind w:left="0" w:firstLine="0"/>
        <w:jc w:val="center"/>
        <w:spacing w:line="360" w:lineRule="auto"/>
        <w:rPr>
          <w:rFonts w:hint="eastAsia" w:ascii="宋体" w:hAnsi="宋体" w:eastAsia="宋体" w:cs="宋体"/>
          <w:bCs/>
          <w:sz w:val="24"/>
          <w:szCs w:val="24"/>
          <w:u w:val="single"/>
          <w:lang w:val="en-US" w:eastAsia="zh-CN"/>
        </w:rPr>
      </w:pPr>
      <w:r>
        <w:rPr>
          <w:rFonts w:hint="eastAsia" w:ascii="仿宋" w:hAnsi="仿宋" w:cs="仿宋"/>
          <w:bCs/>
          <w:sz w:val="24"/>
          <w:szCs w:val="24"/>
          <w:lang w:val="en-US" w:eastAsia="zh-CN"/>
        </w:rPr>
        <w:t xml:space="preserve">         </w:t>
      </w:r>
      <w:r>
        <w:rPr>
          <w:rFonts w:hint="eastAsia" w:ascii="宋体" w:hAnsi="宋体" w:eastAsia="宋体" w:cs="宋体"/>
          <w:bCs/>
          <w:sz w:val="24"/>
          <w:szCs w:val="24"/>
          <w:lang w:val="en-US" w:eastAsia="zh-CN"/>
        </w:rPr>
        <w:t xml:space="preserve"> 企业名称（加盖CA电子公章）</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p>
    <w:p>
      <w:pPr>
        <w:ind w:left="0"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pStyle w:val="772"/>
        <w:ind w:left="0" w:firstLine="0"/>
        <w:keepLines w:val="0"/>
        <w:keepNext w:val="0"/>
        <w:pageBreakBefore w:val="0"/>
        <w:spacing w:line="500" w:lineRule="exact"/>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772"/>
        <w:ind w:left="0" w:firstLine="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本项目采购属于</w:t>
      </w:r>
      <w:r>
        <w:rPr>
          <w:rFonts w:hint="eastAsia" w:ascii="宋体" w:hAnsi="宋体" w:eastAsia="宋体" w:cs="宋体"/>
          <w:color w:val="ff0000"/>
          <w:sz w:val="24"/>
          <w:szCs w:val="24"/>
          <w:u w:val="none"/>
          <w:lang w:val="en-US" w:eastAsia="zh-CN"/>
        </w:rPr>
        <w:t xml:space="preserve">：软件和信息技术服务</w:t>
      </w:r>
      <w:r>
        <w:rPr>
          <w:rFonts w:hint="eastAsia" w:ascii="宋体" w:hAnsi="宋体" w:eastAsia="宋体" w:cs="宋体"/>
          <w:b/>
          <w:bCs/>
          <w:color w:val="ff0000"/>
          <w:sz w:val="24"/>
          <w:szCs w:val="24"/>
        </w:rPr>
        <w:t xml:space="preserve">。</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备注：1.从业人员、营业收入、资产总额填报上一年度数据，无上一年度数据的新成立企业可不填报。</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3.供应商应对照《工业和信息化部、国家统计局、国家发展和改革委员会、</w:t>
      </w:r>
      <w:r/>
    </w:p>
    <w:p>
      <w:pPr>
        <w:pStyle w:val="800"/>
        <w:ind w:left="0" w:firstLine="0"/>
        <w:jc w:val="both"/>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val="0"/>
          <w:bCs w:val="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9" w:name="_Toc1538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bookmarkEnd w:id="299"/>
      <w:r/>
      <w:r/>
    </w:p>
    <w:p>
      <w:pPr>
        <w:pStyle w:val="812"/>
        <w:ind w:left="0" w:right="266" w:firstLine="0"/>
        <w:jc w:val="center"/>
        <w:spacing w:line="588" w:lineRule="exact"/>
        <w:rPr>
          <w:rFonts w:hint="eastAsia" w:ascii="宋体" w:hAnsi="宋体" w:eastAsia="宋体" w:cs="宋体"/>
          <w:b/>
          <w:bCs/>
          <w:spacing w:val="6"/>
          <w:sz w:val="36"/>
          <w:szCs w:val="36"/>
        </w:rPr>
      </w:pPr>
      <w:r>
        <w:rPr>
          <w:rFonts w:hint="eastAsia" w:ascii="宋体" w:hAnsi="宋体" w:eastAsia="宋体" w:cs="宋体"/>
          <w:b/>
          <w:bCs/>
          <w:spacing w:val="6"/>
          <w:sz w:val="36"/>
          <w:szCs w:val="36"/>
          <w:lang w:eastAsia="zh-CN"/>
        </w:rPr>
        <w:t xml:space="preserve">残疾人福利性单位声明函</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left="0" w:right="-92" w:firstLine="481"/>
        <w:jc w:val="center"/>
        <w:keepLines w:val="0"/>
        <w:pageBreakBefore w:val="0"/>
        <w:spacing w:line="400" w:lineRule="exact"/>
        <w:widowControl w:val="off"/>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p>
    <w:p>
      <w:pPr>
        <w:ind w:left="0" w:right="-92" w:firstLine="534"/>
        <w:jc w:val="both"/>
        <w:keepLines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供应商全称（加盖CA电子公章）：</w:t>
      </w:r>
      <w:r/>
    </w:p>
    <w:p>
      <w:pPr>
        <w:ind w:left="0" w:right="-92" w:firstLine="534"/>
        <w:jc w:val="both"/>
        <w:keepLines w:val="0"/>
        <w:keepNext/>
        <w:pageBreakBefore w:val="0"/>
        <w:spacing w:line="400" w:lineRule="exact"/>
        <w:widowControl w:val="off"/>
        <w:rPr>
          <w:rFonts w:hint="eastAsia" w:ascii="宋体" w:hAnsi="宋体" w:eastAsia="宋体" w:cs="宋体"/>
          <w:b/>
          <w:color w:val="000000" w:themeColor="text1"/>
          <w:sz w:val="28"/>
          <w:szCs w:val="28"/>
          <w:lang w:val="en-US" w:eastAsia="zh-CN"/>
          <w14:textFill>
            <w14:solidFill>
              <w14:schemeClr w14:val="tx1"/>
            </w14:solidFill>
          </w14:textFill>
        </w:rPr>
        <w:outlineLvl w:val="0"/>
      </w:pPr>
      <w:r/>
      <w:bookmarkStart w:id="300" w:name="_Toc12153"/>
      <w:r>
        <w:rPr>
          <w:rFonts w:hint="eastAsia" w:ascii="宋体" w:hAnsi="宋体" w:eastAsia="宋体" w:cs="宋体"/>
          <w:sz w:val="28"/>
          <w:szCs w:val="28"/>
        </w:rPr>
        <w:t xml:space="preserve">日  期：</w:t>
      </w:r>
      <w:bookmarkEnd w:id="290"/>
      <w:r/>
      <w:bookmarkEnd w:id="295"/>
      <w:r/>
      <w:bookmarkEnd w:id="296"/>
      <w:r/>
      <w:bookmarkEnd w:id="297"/>
      <w:r/>
      <w:bookmarkEnd w:id="300"/>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both"/>
        <w:keepLines w:val="0"/>
        <w:keepNext/>
        <w:pageBreakBefore/>
        <w:spacing w:line="400" w:lineRule="exact"/>
        <w:widowControl w:val="off"/>
        <w:rPr>
          <w:rFonts w:hint="default" w:ascii="宋体" w:hAnsi="宋体" w:eastAsia="宋体" w:cs="宋体"/>
          <w:b/>
          <w:color w:val="000000" w:themeColor="text1"/>
          <w:sz w:val="32"/>
          <w:szCs w:val="32"/>
          <w:lang w:val="en-US" w:eastAsia="zh-CN"/>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770"/>
        <w:rPr>
          <w:rFonts w:hint="eastAsia" w:ascii="宋体" w:hAnsi="宋体" w:eastAsia="宋体" w:cs="宋体"/>
        </w:rPr>
      </w:pPr>
      <w:r>
        <w:rPr>
          <w:rFonts w:hint="eastAsia" w:ascii="宋体" w:hAnsi="宋体" w:eastAsia="宋体" w:cs="宋体"/>
        </w:rPr>
      </w:r>
      <w:r/>
    </w:p>
    <w:tbl>
      <w:tblPr>
        <w:tblStyle w:val="795"/>
        <w:tblW w:w="6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71"/>
        <w:gridCol w:w="1329"/>
        <w:gridCol w:w="1870"/>
        <w:gridCol w:w="113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870" w:type="dxa"/>
            <w:vAlign w:val="center"/>
            <w:textDirection w:val="lrTb"/>
            <w:noWrap w:val="false"/>
          </w:tcPr>
          <w:p>
            <w:pPr>
              <w:ind w:left="0" w:right="0" w:firstLine="0"/>
              <w:jc w:val="cente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服务内容</w:t>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78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871"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29"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79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可参照上述格式自制表格，但应至少包含上述表格内条目。</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79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94"/>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ind w:left="0" w:firstLine="0"/>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widowControl/>
        <w:rPr>
          <w:rFonts w:hint="eastAsia" w:ascii="仿宋" w:hAnsi="仿宋" w:eastAsia="仿宋" w:cs="仿宋"/>
          <w:b/>
          <w:bCs/>
          <w:sz w:val="32"/>
          <w:szCs w:val="32"/>
          <w:lang w:val="en-US" w:eastAsia="zh-CN"/>
        </w:rPr>
        <w:outlineLvl w:val="0"/>
      </w:pPr>
      <w:r/>
      <w:bookmarkStart w:id="301" w:name="_Toc25562"/>
      <w:r/>
      <w:bookmarkStart w:id="302" w:name="_Toc12488"/>
      <w:r/>
      <w:bookmarkStart w:id="303" w:name="_Toc24869"/>
      <w:r/>
      <w:bookmarkStart w:id="304" w:name="_Toc1056"/>
      <w:r>
        <w:rPr>
          <w:rFonts w:hint="eastAsia" w:ascii="仿宋" w:hAnsi="仿宋" w:eastAsia="仿宋" w:cs="仿宋"/>
          <w:b/>
          <w:bCs/>
          <w:sz w:val="32"/>
          <w:szCs w:val="32"/>
          <w:lang w:val="en-US" w:eastAsia="zh-CN"/>
        </w:rPr>
        <w:t xml:space="preserve">第七章 质疑函范本</w:t>
      </w:r>
      <w:bookmarkEnd w:id="301"/>
      <w:r/>
      <w:bookmarkEnd w:id="302"/>
      <w:r/>
      <w:bookmarkEnd w:id="303"/>
      <w:r/>
      <w:bookmarkEnd w:id="304"/>
      <w:r/>
      <w:r/>
    </w:p>
    <w:p>
      <w:pPr>
        <w:ind w:left="0" w:firstLine="0"/>
        <w:keepLines w:val="0"/>
        <w:keepNext w:val="0"/>
        <w:pageBreakBefore w:val="0"/>
        <w:spacing w:before="287" w:line="500" w:lineRule="exact"/>
        <w:widowControl w:val="off"/>
        <w:rPr>
          <w:rFonts w:hint="eastAsia" w:ascii="仿宋" w:hAnsi="仿宋" w:eastAsia="仿宋" w:cs="仿宋"/>
          <w:bCs/>
          <w:sz w:val="24"/>
          <w:szCs w:val="24"/>
        </w:rPr>
        <w:outlineLvl w:val="0"/>
      </w:pPr>
      <w:r/>
      <w:bookmarkStart w:id="305" w:name="_Toc7846"/>
      <w:r/>
      <w:bookmarkStart w:id="306" w:name="_Toc9492"/>
      <w:r>
        <w:rPr>
          <w:rFonts w:hint="eastAsia" w:ascii="仿宋" w:hAnsi="仿宋" w:eastAsia="仿宋" w:cs="仿宋"/>
          <w:bCs/>
          <w:sz w:val="24"/>
          <w:szCs w:val="24"/>
        </w:rPr>
        <w:t xml:space="preserve">一、质疑供应商基本信息</w:t>
      </w:r>
      <w:bookmarkEnd w:id="305"/>
      <w:r/>
      <w:bookmarkEnd w:id="306"/>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7" w:name="_Toc5078"/>
      <w:r/>
      <w:bookmarkStart w:id="308" w:name="_Toc12382"/>
      <w:r>
        <w:rPr>
          <w:rFonts w:hint="eastAsia" w:ascii="仿宋" w:hAnsi="仿宋" w:eastAsia="仿宋" w:cs="仿宋"/>
          <w:bCs/>
          <w:sz w:val="24"/>
          <w:szCs w:val="24"/>
        </w:rPr>
        <w:t xml:space="preserve">二、质疑项目基本情况</w:t>
      </w:r>
      <w:bookmarkEnd w:id="307"/>
      <w:r/>
      <w:bookmarkEnd w:id="308"/>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9" w:name="_Toc684"/>
      <w:r/>
      <w:bookmarkStart w:id="310" w:name="_Toc1721"/>
      <w:r>
        <w:rPr>
          <w:rFonts w:hint="eastAsia" w:ascii="仿宋" w:hAnsi="仿宋" w:eastAsia="仿宋" w:cs="仿宋"/>
          <w:bCs/>
          <w:sz w:val="24"/>
          <w:szCs w:val="24"/>
        </w:rPr>
        <w:t xml:space="preserve">三、质疑事项具体内容</w:t>
      </w:r>
      <w:bookmarkEnd w:id="309"/>
      <w:r/>
      <w:bookmarkEnd w:id="310"/>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11" w:name="_Toc21583"/>
      <w:r/>
      <w:bookmarkStart w:id="312" w:name="_Toc19849"/>
      <w:r>
        <w:rPr>
          <w:rFonts w:hint="eastAsia" w:ascii="仿宋" w:hAnsi="仿宋" w:eastAsia="仿宋" w:cs="仿宋"/>
          <w:bCs/>
          <w:sz w:val="24"/>
          <w:szCs w:val="24"/>
        </w:rPr>
        <w:t xml:space="preserve">四、与质疑事项相关的质疑请求</w:t>
      </w:r>
      <w:bookmarkEnd w:id="311"/>
      <w:r/>
      <w:bookmarkEnd w:id="312"/>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r>
      <w:r/>
    </w:p>
    <w:p>
      <w:pPr>
        <w:ind w:left="0" w:firstLine="0"/>
        <w:rPr>
          <w:rFonts w:hint="eastAsia" w:ascii="仿宋" w:hAnsi="仿宋" w:eastAsia="仿宋" w:cs="仿宋"/>
          <w:b/>
          <w:sz w:val="24"/>
          <w:szCs w:val="24"/>
        </w:rPr>
      </w:pPr>
      <w:r>
        <w:rPr>
          <w:rFonts w:hint="eastAsia" w:ascii="仿宋" w:hAnsi="仿宋" w:eastAsia="仿宋" w:cs="仿宋"/>
          <w:b/>
          <w:sz w:val="24"/>
          <w:szCs w:val="24"/>
        </w:rPr>
      </w:r>
      <w:r/>
    </w:p>
    <w:p>
      <w:pPr>
        <w:pStyle w:val="772"/>
        <w:ind w:left="0" w:firstLine="0"/>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left="0" w:firstLine="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jc w:val="both"/>
        <w:keepLines w:val="0"/>
        <w:keepNext w:val="0"/>
        <w:pageBreakBefore w:val="0"/>
        <w:spacing w:after="287"/>
        <w:widowControl w:val="off"/>
        <w:rPr>
          <w:rFonts w:hint="default" w:ascii="楷体" w:hAnsi="楷体" w:eastAsia="楷体"/>
          <w:b/>
          <w:bCs/>
          <w:sz w:val="36"/>
          <w:lang w:val="en-US" w:eastAsia="zh-CN"/>
        </w:rPr>
      </w:pPr>
      <w:r>
        <w:rPr>
          <w:rFonts w:hint="default" w:ascii="楷体" w:hAnsi="楷体" w:eastAsia="楷体"/>
          <w:b/>
          <w:bCs/>
          <w:sz w:val="36"/>
          <w:lang w:val="en-US" w:eastAsia="zh-CN"/>
        </w:rPr>
      </w:r>
      <w:r/>
    </w:p>
    <w:sectPr>
      <w:headerReference w:type="first" r:id="rId11"/>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righ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89"/>
    <w:uiPriority w:val="0"/>
    <w:qFormat/>
    <w:pPr>
      <w:ind w:firstLine="2232"/>
      <w:jc w:val="left"/>
      <w:spacing w:line="500" w:lineRule="exact"/>
      <w:widowControl w:val="off"/>
    </w:pPr>
    <w:rPr>
      <w:rFonts w:hint="default" w:ascii="Times New Roman" w:hAnsi="Times New Roman" w:eastAsia="仿宋" w:cs="Times New Roman"/>
      <w:sz w:val="28"/>
      <w:szCs w:val="24"/>
      <w:lang w:val="en-US" w:eastAsia="zh-CN" w:bidi="ar-SA"/>
    </w:rPr>
  </w:style>
  <w:style w:type="paragraph" w:styleId="755">
    <w:name w:val="Heading 1"/>
    <w:basedOn w:val="754"/>
    <w:next w:val="754"/>
    <w:link w:val="985"/>
    <w:uiPriority w:val="9"/>
    <w:qFormat/>
    <w:pPr>
      <w:jc w:val="center"/>
      <w:keepLines/>
      <w:keepNext/>
      <w:spacing w:before="480" w:after="200"/>
      <w:outlineLvl w:val="0"/>
    </w:pPr>
    <w:rPr>
      <w:rFonts w:ascii="Arial" w:hAnsi="Arial" w:cs="Arial"/>
      <w:b/>
      <w:sz w:val="32"/>
      <w:szCs w:val="40"/>
    </w:rPr>
  </w:style>
  <w:style w:type="paragraph" w:styleId="756">
    <w:name w:val="Heading 2"/>
    <w:basedOn w:val="754"/>
    <w:next w:val="754"/>
    <w:uiPriority w:val="99"/>
    <w:qFormat/>
    <w:pPr>
      <w:ind w:firstLine="2234"/>
      <w:jc w:val="center"/>
      <w:keepLines/>
      <w:keepNext/>
      <w:spacing w:before="200" w:after="160" w:line="300" w:lineRule="exact"/>
      <w:outlineLvl w:val="1"/>
    </w:pPr>
    <w:rPr>
      <w:rFonts w:ascii="Arial" w:hAnsi="Arial" w:eastAsiaTheme="majorEastAsia"/>
      <w:b/>
      <w:sz w:val="44"/>
      <w:szCs w:val="20"/>
    </w:rPr>
  </w:style>
  <w:style w:type="paragraph" w:styleId="757">
    <w:name w:val="Heading 3"/>
    <w:basedOn w:val="754"/>
    <w:next w:val="766"/>
    <w:link w:val="82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9">
    <w:name w:val="Heading 5"/>
    <w:basedOn w:val="754"/>
    <w:next w:val="754"/>
    <w:link w:val="82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6"/>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7"/>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name w:val="Normal Indent"/>
    <w:basedOn w:val="754"/>
    <w:uiPriority w:val="0"/>
    <w:qFormat/>
    <w:pPr>
      <w:ind w:firstLine="420"/>
    </w:pPr>
    <w:rPr>
      <w:szCs w:val="20"/>
    </w:rPr>
  </w:style>
  <w:style w:type="paragraph" w:styleId="767">
    <w:name w:val="toc 7"/>
    <w:basedOn w:val="754"/>
    <w:next w:val="754"/>
    <w:uiPriority w:val="39"/>
    <w:unhideWhenUsed/>
    <w:qFormat/>
    <w:pPr>
      <w:ind w:left="1701" w:right="0" w:firstLine="0"/>
      <w:spacing w:after="57"/>
    </w:pPr>
  </w:style>
  <w:style w:type="paragraph" w:styleId="768">
    <w:name w:val="table of authorities"/>
    <w:basedOn w:val="754"/>
    <w:next w:val="754"/>
    <w:uiPriority w:val="99"/>
    <w:qFormat/>
    <w:pPr>
      <w:ind w:left="420"/>
    </w:pPr>
  </w:style>
  <w:style w:type="paragraph" w:styleId="769">
    <w:name w:val="Caption"/>
    <w:basedOn w:val="754"/>
    <w:next w:val="7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0">
    <w:name w:val="Body Text"/>
    <w:basedOn w:val="754"/>
    <w:uiPriority w:val="0"/>
    <w:qFormat/>
    <w:pPr>
      <w:spacing w:after="120"/>
    </w:pPr>
  </w:style>
  <w:style w:type="paragraph" w:styleId="771">
    <w:name w:val="Body Text Indent"/>
    <w:basedOn w:val="754"/>
    <w:uiPriority w:val="0"/>
    <w:qFormat/>
    <w:pPr>
      <w:ind w:firstLine="600"/>
    </w:pPr>
    <w:rPr>
      <w:rFonts w:eastAsia="仿宋_GB2312"/>
      <w:sz w:val="28"/>
    </w:rPr>
  </w:style>
  <w:style w:type="paragraph" w:styleId="772">
    <w:name w:val="Block Text"/>
    <w:basedOn w:val="754"/>
    <w:next w:val="754"/>
    <w:uiPriority w:val="99"/>
    <w:qFormat/>
    <w:pPr>
      <w:ind w:left="256" w:right="6" w:firstLine="624"/>
    </w:pPr>
    <w:rPr>
      <w:rFonts w:eastAsia="仿宋_GB2312"/>
      <w:sz w:val="28"/>
      <w:szCs w:val="20"/>
    </w:r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Plain Text"/>
    <w:basedOn w:val="754"/>
    <w:next w:val="766"/>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76">
    <w:name w:val="toc 8"/>
    <w:basedOn w:val="754"/>
    <w:next w:val="754"/>
    <w:uiPriority w:val="39"/>
    <w:unhideWhenUsed/>
    <w:qFormat/>
    <w:pPr>
      <w:ind w:left="1984" w:right="0" w:firstLine="0"/>
      <w:spacing w:after="57"/>
    </w:pPr>
  </w:style>
  <w:style w:type="paragraph" w:styleId="777">
    <w:name w:val="Body Text Indent 2"/>
    <w:basedOn w:val="754"/>
    <w:uiPriority w:val="0"/>
    <w:qFormat/>
    <w:pPr>
      <w:ind w:firstLine="412"/>
      <w:spacing w:line="400" w:lineRule="exact"/>
    </w:pPr>
    <w:rPr>
      <w:rFonts w:ascii="仿宋_GB2312" w:eastAsia="仿宋_GB2312"/>
      <w:sz w:val="24"/>
    </w:rPr>
  </w:style>
  <w:style w:type="paragraph" w:styleId="778">
    <w:name w:val="endnote text"/>
    <w:basedOn w:val="754"/>
    <w:link w:val="965"/>
    <w:uiPriority w:val="99"/>
    <w:semiHidden/>
    <w:unhideWhenUsed/>
    <w:qFormat/>
    <w:pPr>
      <w:spacing w:after="0" w:line="240" w:lineRule="auto"/>
    </w:pPr>
    <w:rPr>
      <w:sz w:val="20"/>
    </w:rPr>
  </w:style>
  <w:style w:type="paragraph" w:styleId="779">
    <w:name w:val="Footer"/>
    <w:basedOn w:val="754"/>
    <w:uiPriority w:val="0"/>
    <w:qFormat/>
    <w:pPr>
      <w:jc w:val="left"/>
      <w:tabs>
        <w:tab w:val="center" w:pos="4153" w:leader="none"/>
        <w:tab w:val="right" w:pos="8306" w:leader="none"/>
      </w:tabs>
    </w:pPr>
    <w:rPr>
      <w:sz w:val="18"/>
    </w:rPr>
  </w:style>
  <w:style w:type="paragraph" w:styleId="780">
    <w:name w:val="envelope return"/>
    <w:basedOn w:val="754"/>
    <w:uiPriority w:val="0"/>
    <w:qFormat/>
    <w:rPr>
      <w:rFonts w:ascii="Arial" w:hAnsi="Arial"/>
    </w:rPr>
  </w:style>
  <w:style w:type="paragraph" w:styleId="781">
    <w:name w:val="Header"/>
    <w:basedOn w:val="75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2">
    <w:name w:val="toc 1"/>
    <w:basedOn w:val="754"/>
    <w:next w:val="754"/>
    <w:uiPriority w:val="0"/>
    <w:qFormat/>
  </w:style>
  <w:style w:type="paragraph" w:styleId="783">
    <w:name w:val="toc 4"/>
    <w:basedOn w:val="754"/>
    <w:next w:val="754"/>
    <w:uiPriority w:val="39"/>
    <w:unhideWhenUsed/>
    <w:qFormat/>
    <w:pPr>
      <w:ind w:left="850" w:right="0" w:firstLine="0"/>
      <w:spacing w:after="57"/>
    </w:pPr>
  </w:style>
  <w:style w:type="paragraph" w:styleId="784">
    <w:name w:val="Subtitle"/>
    <w:basedOn w:val="754"/>
    <w:next w:val="754"/>
    <w:link w:val="831"/>
    <w:uiPriority w:val="11"/>
    <w:qFormat/>
    <w:pPr>
      <w:spacing w:before="200" w:after="200"/>
    </w:pPr>
    <w:rPr>
      <w:sz w:val="24"/>
      <w:szCs w:val="24"/>
    </w:rPr>
  </w:style>
  <w:style w:type="paragraph" w:styleId="785">
    <w:name w:val="footnote text"/>
    <w:basedOn w:val="754"/>
    <w:link w:val="964"/>
    <w:uiPriority w:val="99"/>
    <w:semiHidden/>
    <w:unhideWhenUsed/>
    <w:qFormat/>
    <w:pPr>
      <w:spacing w:after="40" w:line="240" w:lineRule="auto"/>
    </w:pPr>
    <w:rPr>
      <w:sz w:val="18"/>
    </w:rPr>
  </w:style>
  <w:style w:type="paragraph" w:styleId="786">
    <w:name w:val="toc 6"/>
    <w:basedOn w:val="754"/>
    <w:next w:val="754"/>
    <w:uiPriority w:val="39"/>
    <w:unhideWhenUsed/>
    <w:qFormat/>
    <w:pPr>
      <w:ind w:left="1417" w:right="0" w:firstLine="0"/>
      <w:spacing w:after="57"/>
    </w:pPr>
  </w:style>
  <w:style w:type="paragraph" w:styleId="787">
    <w:name w:val="table of figures"/>
    <w:basedOn w:val="754"/>
    <w:next w:val="754"/>
    <w:uiPriority w:val="99"/>
    <w:unhideWhenUsed/>
    <w:qFormat/>
    <w:pPr>
      <w:spacing w:after="0" w:afterAutospacing="0"/>
    </w:pPr>
  </w:style>
  <w:style w:type="paragraph" w:styleId="788">
    <w:name w:val="toc 2"/>
    <w:basedOn w:val="754"/>
    <w:next w:val="754"/>
    <w:uiPriority w:val="39"/>
    <w:unhideWhenUsed/>
    <w:qFormat/>
    <w:pPr>
      <w:ind w:left="283" w:right="0" w:firstLine="0"/>
      <w:spacing w:after="57"/>
    </w:pPr>
  </w:style>
  <w:style w:type="paragraph" w:styleId="789">
    <w:name w:val="toc 9"/>
    <w:basedOn w:val="754"/>
    <w:next w:val="754"/>
    <w:uiPriority w:val="39"/>
    <w:unhideWhenUsed/>
    <w:qFormat/>
    <w:pPr>
      <w:ind w:left="2268" w:right="0" w:firstLine="0"/>
      <w:spacing w:after="57"/>
    </w:pPr>
  </w:style>
  <w:style w:type="paragraph" w:styleId="790">
    <w:name w:val="Body Text 2"/>
    <w:basedOn w:val="754"/>
    <w:uiPriority w:val="0"/>
    <w:qFormat/>
    <w:pPr>
      <w:jc w:val="center"/>
      <w:widowControl/>
    </w:pPr>
    <w:rPr>
      <w:rFonts w:ascii="楷体_GB2312" w:eastAsia="楷体_GB2312"/>
      <w:sz w:val="28"/>
      <w:szCs w:val="28"/>
    </w:rPr>
  </w:style>
  <w:style w:type="paragraph" w:styleId="791">
    <w:name w:val="Normal (Web)"/>
    <w:basedOn w:val="754"/>
    <w:uiPriority w:val="99"/>
    <w:qFormat/>
    <w:pPr>
      <w:jc w:val="left"/>
      <w:spacing w:before="100" w:beforeAutospacing="1" w:after="100" w:afterAutospacing="1"/>
      <w:widowControl/>
    </w:pPr>
    <w:rPr>
      <w:rFonts w:ascii="宋体" w:hAnsi="宋体"/>
      <w:sz w:val="24"/>
    </w:rPr>
  </w:style>
  <w:style w:type="paragraph" w:styleId="792">
    <w:name w:val="Title"/>
    <w:basedOn w:val="754"/>
    <w:next w:val="754"/>
    <w:link w:val="830"/>
    <w:uiPriority w:val="10"/>
    <w:qFormat/>
    <w:pPr>
      <w:contextualSpacing/>
      <w:spacing w:before="300" w:after="200"/>
    </w:pPr>
    <w:rPr>
      <w:sz w:val="48"/>
      <w:szCs w:val="48"/>
    </w:rPr>
  </w:style>
  <w:style w:type="paragraph" w:styleId="793">
    <w:name w:val="Body Text First Indent"/>
    <w:basedOn w:val="770"/>
    <w:next w:val="794"/>
    <w:uiPriority w:val="0"/>
    <w:qFormat/>
    <w:pPr>
      <w:ind w:firstLine="200"/>
      <w:spacing w:line="360" w:lineRule="auto"/>
    </w:pPr>
    <w:rPr>
      <w:rFonts w:ascii="仿宋_GB2312" w:eastAsia="仿宋_GB2312"/>
      <w:sz w:val="30"/>
      <w:szCs w:val="30"/>
    </w:rPr>
  </w:style>
  <w:style w:type="paragraph" w:styleId="794">
    <w:name w:val="Body Text First Indent 2"/>
    <w:basedOn w:val="771"/>
    <w:uiPriority w:val="0"/>
    <w:qFormat/>
    <w:pPr>
      <w:ind w:left="0" w:firstLine="420"/>
      <w:spacing w:after="0" w:line="360" w:lineRule="auto"/>
    </w:pPr>
    <w:rPr>
      <w:rFonts w:ascii="宋体" w:hAnsi="宋体"/>
      <w:sz w:val="20"/>
      <w:szCs w:val="20"/>
    </w:rPr>
  </w:style>
  <w:style w:type="table" w:styleId="795">
    <w:name w:val="Table Grid"/>
    <w:basedOn w:val="76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4"/>
    <w:uiPriority w:val="0"/>
    <w:qFormat/>
    <w:rPr>
      <w:b/>
    </w:rPr>
  </w:style>
  <w:style w:type="character" w:styleId="797">
    <w:name w:val="endnote reference"/>
    <w:basedOn w:val="764"/>
    <w:uiPriority w:val="99"/>
    <w:semiHidden/>
    <w:unhideWhenUsed/>
    <w:qFormat/>
    <w:rPr>
      <w:vertAlign w:val="superscript"/>
    </w:rPr>
  </w:style>
  <w:style w:type="character" w:styleId="798">
    <w:name w:val="Hyperlink"/>
    <w:basedOn w:val="764"/>
    <w:uiPriority w:val="99"/>
    <w:qFormat/>
    <w:rPr>
      <w:color w:val="333333"/>
      <w:u w:val="none"/>
    </w:rPr>
  </w:style>
  <w:style w:type="character" w:styleId="799">
    <w:name w:val="footnote reference"/>
    <w:basedOn w:val="764"/>
    <w:uiPriority w:val="99"/>
    <w:unhideWhenUsed/>
    <w:qFormat/>
    <w:rPr>
      <w:vertAlign w:val="superscript"/>
    </w:rPr>
  </w:style>
  <w:style w:type="paragraph" w:styleId="800" w:customStyle="1">
    <w:name w:val="_Style 3"/>
    <w:basedOn w:val="754"/>
    <w:uiPriority w:val="0"/>
    <w:qFormat/>
    <w:rPr>
      <w:rFonts w:ascii="Times New Roman" w:hAnsi="Times New Roman"/>
      <w:szCs w:val="22"/>
    </w:rPr>
  </w:style>
  <w:style w:type="paragraph" w:styleId="801" w:customStyle="1">
    <w:name w:val="一级条标题"/>
    <w:basedOn w:val="802"/>
    <w:next w:val="80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3" w:customStyle="1">
    <w:name w:val="段"/>
    <w:basedOn w:val="804"/>
    <w:next w:val="754"/>
    <w:uiPriority w:val="99"/>
    <w:qFormat/>
    <w:pPr>
      <w:ind w:firstLine="200"/>
      <w:widowControl/>
    </w:pPr>
    <w:rPr>
      <w:rFonts w:ascii="宋体"/>
      <w:sz w:val="20"/>
      <w:szCs w:val="20"/>
    </w:rPr>
  </w:style>
  <w:style w:type="paragraph" w:styleId="804" w:customStyle="1">
    <w:name w:val="正文11"/>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1"/>
    <w:basedOn w:val="806"/>
    <w:link w:val="97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06" w:customStyle="1">
    <w:name w:val="正文1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1"/>
    <w:basedOn w:val="806"/>
    <w:next w:val="801"/>
    <w:uiPriority w:val="0"/>
    <w:qFormat/>
    <w:pPr>
      <w:spacing w:after="120"/>
    </w:pPr>
    <w:rPr>
      <w:rFonts w:ascii="Calibri" w:hAnsi="Calibri"/>
    </w:rPr>
  </w:style>
  <w:style w:type="paragraph" w:styleId="808" w:customStyle="1">
    <w:name w:val="文本块1"/>
    <w:basedOn w:val="809"/>
    <w:uiPriority w:val="0"/>
    <w:qFormat/>
    <w:pPr>
      <w:ind w:left="256" w:right="6" w:firstLine="624"/>
    </w:pPr>
    <w:rPr>
      <w:rFonts w:eastAsia="仿宋"/>
      <w:sz w:val="28"/>
      <w:szCs w:val="20"/>
    </w:rPr>
  </w:style>
  <w:style w:type="paragraph" w:styleId="809" w:customStyle="1">
    <w:name w:val="正文1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标题 41"/>
    <w:basedOn w:val="811"/>
    <w:next w:val="804"/>
    <w:uiPriority w:val="0"/>
    <w:qFormat/>
    <w:pPr>
      <w:keepLines/>
      <w:keepNext/>
      <w:spacing w:before="280" w:after="290" w:line="376" w:lineRule="auto"/>
      <w:outlineLvl w:val="3"/>
    </w:pPr>
    <w:rPr>
      <w:sz w:val="28"/>
      <w:szCs w:val="28"/>
    </w:rPr>
  </w:style>
  <w:style w:type="paragraph" w:styleId="811" w:customStyle="1">
    <w:name w:val="标题1"/>
    <w:basedOn w:val="806"/>
    <w:next w:val="812"/>
    <w:uiPriority w:val="0"/>
    <w:qFormat/>
    <w:pPr>
      <w:jc w:val="center"/>
      <w:spacing w:before="300" w:after="300"/>
      <w:outlineLvl w:val="0"/>
    </w:pPr>
    <w:rPr>
      <w:rFonts w:ascii="Cambria" w:hAnsi="Cambria" w:eastAsia="仿宋_GB2312"/>
      <w:b/>
      <w:bCs/>
      <w:sz w:val="36"/>
      <w:szCs w:val="32"/>
    </w:rPr>
  </w:style>
  <w:style w:type="paragraph" w:styleId="812" w:customStyle="1">
    <w:name w:val="正文112"/>
    <w:next w:val="813"/>
    <w:uiPriority w:val="0"/>
    <w:qFormat/>
    <w:rPr>
      <w:rFonts w:hint="default" w:ascii="宋体" w:hAnsi="宋体" w:eastAsia="宋体" w:cs="Times New Roman"/>
      <w:sz w:val="24"/>
      <w:szCs w:val="24"/>
      <w:lang w:val="en-US" w:eastAsia="zh-CN" w:bidi="ar-SA"/>
    </w:rPr>
  </w:style>
  <w:style w:type="paragraph" w:styleId="813" w:customStyle="1">
    <w:name w:val="无间隔1"/>
    <w:uiPriority w:val="0"/>
    <w:qFormat/>
    <w:rPr>
      <w:rFonts w:hint="default" w:ascii="Times New Roman" w:hAnsi="Times New Roman" w:eastAsia="宋体" w:cs="Times New Roman"/>
      <w:sz w:val="22"/>
      <w:szCs w:val="22"/>
      <w:lang w:val="en-US" w:eastAsia="en-US" w:bidi="ar-SA"/>
    </w:rPr>
  </w:style>
  <w:style w:type="paragraph" w:styleId="814" w:customStyle="1">
    <w:name w:val="目录 111"/>
    <w:basedOn w:val="806"/>
    <w:next w:val="806"/>
    <w:uiPriority w:val="0"/>
    <w:qFormat/>
    <w:pPr>
      <w:spacing w:after="57"/>
    </w:pPr>
  </w:style>
  <w:style w:type="paragraph" w:styleId="815" w:customStyle="1">
    <w:name w:val="正文首行缩进1"/>
    <w:basedOn w:val="770"/>
    <w:next w:val="816"/>
    <w:uiPriority w:val="0"/>
    <w:qFormat/>
    <w:pPr>
      <w:ind w:firstLine="420"/>
    </w:pPr>
    <w:rPr>
      <w:rFonts w:ascii="仿宋_GB2312" w:hAnsi="Times New Roman" w:eastAsia="仿宋_GB2312"/>
      <w:sz w:val="30"/>
      <w:szCs w:val="30"/>
    </w:rPr>
  </w:style>
  <w:style w:type="paragraph" w:styleId="816" w:customStyle="1">
    <w:name w:val="正文首行缩进 211"/>
    <w:basedOn w:val="817"/>
    <w:next w:val="812"/>
    <w:uiPriority w:val="0"/>
    <w:qFormat/>
    <w:pPr>
      <w:ind w:firstLine="420"/>
    </w:pPr>
    <w:rPr>
      <w:sz w:val="24"/>
    </w:rPr>
  </w:style>
  <w:style w:type="paragraph" w:styleId="817" w:customStyle="1">
    <w:name w:val="正文文本缩进11"/>
    <w:basedOn w:val="812"/>
    <w:next w:val="818"/>
    <w:uiPriority w:val="0"/>
    <w:qFormat/>
    <w:pPr>
      <w:ind w:left="420"/>
      <w:spacing w:after="120"/>
    </w:pPr>
  </w:style>
  <w:style w:type="paragraph" w:styleId="818" w:customStyle="1">
    <w:name w:val="寄信人地址11"/>
    <w:basedOn w:val="812"/>
    <w:uiPriority w:val="0"/>
    <w:qFormat/>
    <w:rPr>
      <w:rFonts w:ascii="Arial" w:hAnsi="Arial"/>
    </w:rPr>
  </w:style>
  <w:style w:type="character" w:styleId="819" w:customStyle="1">
    <w:name w:val="Heading 1 Char"/>
    <w:basedOn w:val="764"/>
    <w:uiPriority w:val="9"/>
    <w:qFormat/>
    <w:rPr>
      <w:rFonts w:ascii="Arial" w:hAnsi="Arial" w:eastAsia="Arial" w:cs="Arial"/>
      <w:sz w:val="40"/>
      <w:szCs w:val="40"/>
    </w:rPr>
  </w:style>
  <w:style w:type="character" w:styleId="820" w:customStyle="1">
    <w:name w:val="Heading 2 Char"/>
    <w:basedOn w:val="764"/>
    <w:uiPriority w:val="9"/>
    <w:qFormat/>
    <w:rPr>
      <w:rFonts w:ascii="Arial" w:hAnsi="Arial" w:eastAsia="Arial" w:cs="Arial"/>
      <w:sz w:val="34"/>
    </w:rPr>
  </w:style>
  <w:style w:type="character" w:styleId="821" w:customStyle="1">
    <w:name w:val="Heading 3 Char"/>
    <w:basedOn w:val="764"/>
    <w:link w:val="757"/>
    <w:uiPriority w:val="9"/>
    <w:qFormat/>
    <w:rPr>
      <w:rFonts w:ascii="Arial" w:hAnsi="Arial" w:eastAsia="Arial" w:cs="Arial"/>
      <w:sz w:val="30"/>
      <w:szCs w:val="30"/>
    </w:rPr>
  </w:style>
  <w:style w:type="character" w:styleId="822" w:customStyle="1">
    <w:name w:val="Heading 4 Char"/>
    <w:basedOn w:val="764"/>
    <w:uiPriority w:val="9"/>
    <w:qFormat/>
    <w:rPr>
      <w:rFonts w:ascii="Arial" w:hAnsi="Arial" w:eastAsia="Arial" w:cs="Arial"/>
      <w:b/>
      <w:bCs/>
      <w:sz w:val="26"/>
      <w:szCs w:val="26"/>
    </w:rPr>
  </w:style>
  <w:style w:type="character" w:styleId="823" w:customStyle="1">
    <w:name w:val="Heading 5 Char"/>
    <w:basedOn w:val="764"/>
    <w:link w:val="759"/>
    <w:uiPriority w:val="9"/>
    <w:qFormat/>
    <w:rPr>
      <w:rFonts w:ascii="Arial" w:hAnsi="Arial" w:eastAsia="Arial" w:cs="Arial"/>
      <w:b/>
      <w:bCs/>
      <w:sz w:val="24"/>
      <w:szCs w:val="24"/>
    </w:rPr>
  </w:style>
  <w:style w:type="character" w:styleId="824" w:customStyle="1">
    <w:name w:val="Heading 6 Char"/>
    <w:basedOn w:val="764"/>
    <w:link w:val="760"/>
    <w:uiPriority w:val="9"/>
    <w:qFormat/>
    <w:rPr>
      <w:rFonts w:ascii="Arial" w:hAnsi="Arial" w:eastAsia="Arial" w:cs="Arial"/>
      <w:b/>
      <w:bCs/>
      <w:sz w:val="22"/>
      <w:szCs w:val="22"/>
    </w:rPr>
  </w:style>
  <w:style w:type="character" w:styleId="825" w:customStyle="1">
    <w:name w:val="Heading 7 Char"/>
    <w:basedOn w:val="764"/>
    <w:link w:val="761"/>
    <w:uiPriority w:val="9"/>
    <w:qFormat/>
    <w:rPr>
      <w:rFonts w:ascii="Arial" w:hAnsi="Arial" w:eastAsia="Arial" w:cs="Arial"/>
      <w:b/>
      <w:bCs/>
      <w:i/>
      <w:iCs/>
      <w:sz w:val="22"/>
      <w:szCs w:val="22"/>
    </w:rPr>
  </w:style>
  <w:style w:type="character" w:styleId="826" w:customStyle="1">
    <w:name w:val="Heading 8 Char"/>
    <w:basedOn w:val="764"/>
    <w:link w:val="762"/>
    <w:uiPriority w:val="9"/>
    <w:qFormat/>
    <w:rPr>
      <w:rFonts w:ascii="Arial" w:hAnsi="Arial" w:eastAsia="Arial" w:cs="Arial"/>
      <w:i/>
      <w:iCs/>
      <w:sz w:val="22"/>
      <w:szCs w:val="22"/>
    </w:rPr>
  </w:style>
  <w:style w:type="character" w:styleId="827" w:customStyle="1">
    <w:name w:val="Heading 9 Char"/>
    <w:basedOn w:val="764"/>
    <w:link w:val="763"/>
    <w:uiPriority w:val="9"/>
    <w:qFormat/>
    <w:rPr>
      <w:rFonts w:ascii="Arial" w:hAnsi="Arial" w:eastAsia="Arial" w:cs="Arial"/>
      <w:i/>
      <w:iCs/>
      <w:sz w:val="21"/>
      <w:szCs w:val="21"/>
    </w:rPr>
  </w:style>
  <w:style w:type="paragraph" w:styleId="828">
    <w:name w:val="List Paragraph"/>
    <w:basedOn w:val="754"/>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64"/>
    <w:link w:val="792"/>
    <w:uiPriority w:val="10"/>
    <w:qFormat/>
    <w:rPr>
      <w:sz w:val="48"/>
      <w:szCs w:val="48"/>
    </w:rPr>
  </w:style>
  <w:style w:type="character" w:styleId="831" w:customStyle="1">
    <w:name w:val="Subtitle Char"/>
    <w:basedOn w:val="764"/>
    <w:link w:val="784"/>
    <w:uiPriority w:val="11"/>
    <w:qFormat/>
    <w:rPr>
      <w:sz w:val="24"/>
      <w:szCs w:val="24"/>
    </w:rPr>
  </w:style>
  <w:style w:type="paragraph" w:styleId="832">
    <w:name w:val="Quote"/>
    <w:basedOn w:val="754"/>
    <w:next w:val="754"/>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54"/>
    <w:next w:val="754"/>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64"/>
    <w:uiPriority w:val="99"/>
    <w:qFormat/>
  </w:style>
  <w:style w:type="character" w:styleId="837" w:customStyle="1">
    <w:name w:val="Footer Char"/>
    <w:basedOn w:val="764"/>
    <w:uiPriority w:val="99"/>
    <w:qFormat/>
  </w:style>
  <w:style w:type="character" w:styleId="838" w:customStyle="1">
    <w:name w:val="Caption Char"/>
    <w:uiPriority w:val="99"/>
    <w:qFormat/>
  </w:style>
  <w:style w:type="table" w:styleId="839"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6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6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6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6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6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6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6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6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6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6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6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6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6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6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6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6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6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6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6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6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6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6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6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6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6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6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6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6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6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6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6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6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6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6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6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6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6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6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6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6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6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6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6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6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6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6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6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6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6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6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6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6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6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6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6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6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6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6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6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6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6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6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785"/>
    <w:uiPriority w:val="99"/>
    <w:qFormat/>
    <w:rPr>
      <w:sz w:val="18"/>
    </w:rPr>
  </w:style>
  <w:style w:type="character" w:styleId="965" w:customStyle="1">
    <w:name w:val="Endnote Text Char"/>
    <w:link w:val="778"/>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文本块11"/>
    <w:basedOn w:val="812"/>
    <w:uiPriority w:val="0"/>
    <w:qFormat/>
    <w:pPr>
      <w:ind w:left="420" w:right="33"/>
      <w:jc w:val="left"/>
    </w:pPr>
    <w:rPr>
      <w:rFonts w:ascii="Times New Roman" w:hAnsi="Times New Roman" w:eastAsia="宋体"/>
      <w:sz w:val="24"/>
      <w:szCs w:val="20"/>
    </w:rPr>
  </w:style>
  <w:style w:type="paragraph" w:styleId="968" w:customStyle="1">
    <w:name w:val="脚注文本1"/>
    <w:basedOn w:val="812"/>
    <w:next w:val="969"/>
    <w:uiPriority w:val="0"/>
    <w:qFormat/>
    <w:pPr>
      <w:spacing w:after="40"/>
    </w:pPr>
    <w:rPr>
      <w:sz w:val="18"/>
    </w:rPr>
  </w:style>
  <w:style w:type="paragraph" w:styleId="969" w:customStyle="1">
    <w:name w:val="索引 51"/>
    <w:basedOn w:val="812"/>
    <w:next w:val="805"/>
    <w:uiPriority w:val="0"/>
    <w:qFormat/>
    <w:pPr>
      <w:ind w:left="798"/>
    </w:pPr>
    <w:rPr>
      <w:rFonts w:ascii="Calibri" w:hAnsi="Calibri"/>
    </w:rPr>
  </w:style>
  <w:style w:type="paragraph" w:styleId="970" w:customStyle="1">
    <w:name w:val="black1"/>
    <w:basedOn w:val="754"/>
    <w:uiPriority w:val="0"/>
    <w:qFormat/>
    <w:pPr>
      <w:jc w:val="left"/>
      <w:spacing w:before="100" w:beforeAutospacing="1" w:after="100" w:afterAutospacing="1"/>
      <w:widowControl/>
    </w:pPr>
    <w:rPr>
      <w:rFonts w:ascii="宋体" w:hAnsi="宋体"/>
      <w:sz w:val="24"/>
    </w:rPr>
  </w:style>
  <w:style w:type="paragraph" w:styleId="971" w:customStyle="1">
    <w:name w:val="标题 11"/>
    <w:basedOn w:val="804"/>
    <w:next w:val="804"/>
    <w:uiPriority w:val="0"/>
    <w:qFormat/>
    <w:pPr>
      <w:keepLines/>
      <w:keepNext/>
      <w:spacing w:before="340" w:after="330" w:line="578" w:lineRule="auto"/>
      <w:outlineLvl w:val="0"/>
    </w:pPr>
    <w:rPr>
      <w:b/>
      <w:bCs/>
      <w:sz w:val="44"/>
      <w:szCs w:val="44"/>
    </w:rPr>
  </w:style>
  <w:style w:type="character" w:styleId="972" w:customStyle="1">
    <w:name w:val="NormalCharacter"/>
    <w:link w:val="805"/>
    <w:uiPriority w:val="0"/>
    <w:semiHidden/>
    <w:qFormat/>
    <w:rPr>
      <w:rFonts w:ascii="Times New Roman" w:hAnsi="Times New Roman" w:eastAsia="宋体" w:cs="Times New Roman"/>
      <w:sz w:val="28"/>
      <w:lang w:val="en-US" w:eastAsia="zh-CN" w:bidi="ar-SA"/>
    </w:rPr>
  </w:style>
  <w:style w:type="paragraph" w:styleId="973" w:customStyle="1">
    <w:name w:val="页脚1"/>
    <w:basedOn w:val="805"/>
    <w:uiPriority w:val="0"/>
    <w:qFormat/>
    <w:pPr>
      <w:spacing w:line="240" w:lineRule="auto"/>
      <w:tabs>
        <w:tab w:val="center" w:pos="4153" w:leader="none"/>
        <w:tab w:val="right" w:pos="8306" w:leader="none"/>
      </w:tabs>
    </w:pPr>
    <w:rPr>
      <w:sz w:val="18"/>
      <w:szCs w:val="18"/>
    </w:rPr>
  </w:style>
  <w:style w:type="paragraph" w:styleId="974"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9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977" w:customStyle="1">
    <w:name w:val="列出段落1"/>
    <w:basedOn w:val="805"/>
    <w:uiPriority w:val="0"/>
    <w:qFormat/>
    <w:pPr>
      <w:ind w:firstLine="420"/>
    </w:pPr>
  </w:style>
  <w:style w:type="paragraph" w:styleId="978" w:customStyle="1">
    <w:name w:val="正文仿宋"/>
    <w:basedOn w:val="754"/>
    <w:uiPriority w:val="0"/>
    <w:qFormat/>
    <w:pPr>
      <w:ind w:firstLine="520"/>
      <w:spacing w:line="350" w:lineRule="exact"/>
    </w:pPr>
    <w:rPr>
      <w:rFonts w:ascii="Times New Roman" w:hAnsi="Times New Roman" w:eastAsia="方正仿宋_GB2312" w:cs="Times New Roman"/>
      <w:sz w:val="24"/>
      <w:lang w:val="zh-CN"/>
    </w:rPr>
  </w:style>
  <w:style w:type="paragraph" w:styleId="979" w:customStyle="1">
    <w:name w:val="正文文本缩进1"/>
    <w:basedOn w:val="805"/>
    <w:next w:val="980"/>
    <w:uiPriority w:val="0"/>
    <w:qFormat/>
    <w:pPr>
      <w:ind w:left="420"/>
      <w:spacing w:after="120"/>
    </w:pPr>
  </w:style>
  <w:style w:type="paragraph" w:styleId="980" w:customStyle="1">
    <w:name w:val="寄信人地址1"/>
    <w:basedOn w:val="804"/>
    <w:uiPriority w:val="0"/>
    <w:qFormat/>
    <w:rPr>
      <w:rFonts w:ascii="Arial" w:hAnsi="Arial"/>
      <w:sz w:val="22"/>
      <w:szCs w:val="22"/>
    </w:rPr>
  </w:style>
  <w:style w:type="paragraph" w:styleId="981" w:customStyle="1">
    <w:name w:val="WPSOffice手动目录 1"/>
    <w:uiPriority w:val="0"/>
    <w:qFormat/>
    <w:rPr>
      <w:rFonts w:hint="default" w:asciiTheme="minorHAnsi" w:hAnsiTheme="minorHAnsi" w:eastAsiaTheme="minorEastAsia" w:cstheme="minorBidi"/>
      <w:sz w:val="20"/>
      <w:szCs w:val="20"/>
    </w:rPr>
  </w:style>
  <w:style w:type="paragraph" w:styleId="982" w:customStyle="1">
    <w:name w:val="目录 11"/>
    <w:basedOn w:val="804"/>
    <w:next w:val="804"/>
    <w:uiPriority w:val="0"/>
    <w:qFormat/>
  </w:style>
  <w:style w:type="paragraph" w:styleId="983" w:customStyle="1">
    <w:name w:val="正文文本11"/>
    <w:basedOn w:val="804"/>
    <w:next w:val="804"/>
    <w:uiPriority w:val="0"/>
    <w:qFormat/>
    <w:pPr>
      <w:spacing w:after="120"/>
    </w:pPr>
  </w:style>
  <w:style w:type="paragraph" w:styleId="98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85" w:customStyle="1">
    <w:name w:val="标题 1 Char"/>
    <w:link w:val="755"/>
    <w:uiPriority w:val="0"/>
    <w:qFormat/>
    <w:rPr>
      <w:rFonts w:ascii="Arial" w:hAnsi="Arial" w:cs="Arial"/>
      <w:b/>
      <w:sz w:val="32"/>
      <w:szCs w:val="40"/>
    </w:rPr>
  </w:style>
  <w:style w:type="paragraph" w:styleId="986" w:customStyle="1">
    <w:name w:val="Table Paragraph"/>
    <w:basedOn w:val="754"/>
    <w:uiPriority w:val="1"/>
    <w:qFormat/>
    <w:rPr>
      <w:rFonts w:ascii="宋体" w:hAnsi="宋体" w:cs="宋体"/>
      <w:lang w:val="zh-CN" w:bidi="zh-CN"/>
    </w:rPr>
  </w:style>
  <w:style w:type="paragraph" w:styleId="987" w:customStyle="1">
    <w:name w:val="纯文本1"/>
    <w:basedOn w:val="754"/>
    <w:uiPriority w:val="0"/>
    <w:qFormat/>
    <w:rPr>
      <w:rFonts w:ascii="宋体" w:hAnsi="Courier New" w:cs="Courier New"/>
      <w:szCs w:val="21"/>
    </w:rPr>
  </w:style>
  <w:style w:type="paragraph" w:styleId="988" w:customStyle="1">
    <w:name w:val="正文空2格  1."/>
    <w:basedOn w:val="754"/>
    <w:uiPriority w:val="0"/>
    <w:qFormat/>
    <w:pPr>
      <w:ind w:firstLine="480"/>
      <w:spacing w:line="360" w:lineRule="auto"/>
    </w:pPr>
    <w:rPr>
      <w:rFonts w:hint="eastAsia" w:ascii="宋体" w:hAnsi="Times New Roman" w:eastAsia="仿宋"/>
      <w:sz w:val="28"/>
      <w:szCs w:val="20"/>
    </w:rPr>
  </w:style>
  <w:style w:type="character" w:styleId="989" w:customStyle="1">
    <w:name w:val="NormalCharacter1"/>
    <w:link w:val="754"/>
    <w:uiPriority w:val="0"/>
    <w:qFormat/>
    <w:rPr>
      <w:rFonts w:hint="default" w:ascii="Times New Roman" w:hAnsi="Times New Roman" w:eastAsia="仿宋" w:cs="Times New Roman"/>
      <w:sz w:val="28"/>
      <w:szCs w:val="24"/>
      <w:lang w:val="en-US" w:eastAsia="zh-CN" w:bidi="ar-SA"/>
    </w:rPr>
  </w:style>
  <w:style w:type="paragraph" w:styleId="990" w:customStyle="1">
    <w:name w:val="Normal_2"/>
    <w:uiPriority w:val="0"/>
    <w:qFormat/>
    <w:rPr>
      <w:rFonts w:hint="default" w:ascii="Times New Roman" w:hAnsi="Times New Roman" w:eastAsia="Times New Roman" w:cs="Times New Roman"/>
      <w:sz w:val="24"/>
      <w:szCs w:val="24"/>
      <w:lang w:bidi="ar-SA"/>
    </w:rPr>
  </w:style>
  <w:style w:type="paragraph" w:styleId="991" w:customStyle="1">
    <w:name w:val="普通(网站)11"/>
    <w:basedOn w:val="754"/>
    <w:uiPriority w:val="99"/>
    <w:qFormat/>
    <w:pPr>
      <w:jc w:val="left"/>
      <w:spacing w:before="100" w:beforeAutospacing="1" w:after="100" w:afterAutospacing="1"/>
      <w:widowControl/>
    </w:pPr>
    <w:rPr>
      <w:rFonts w:ascii="宋体" w:hAnsi="宋体" w:cs="宋体"/>
      <w:sz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14</cp:revision>
  <dcterms:created xsi:type="dcterms:W3CDTF">2025-01-14T00:01:00Z</dcterms:created>
  <dcterms:modified xsi:type="dcterms:W3CDTF">2026-10-21T06:56:35Z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763EF538CE3B40388DE12DC191E10044_13</vt:lpwstr>
  </property>
  <property fmtid="{D5CDD505-2E9C-101B-9397-08002B2CF9AE}" pid="4" name="KSOTemplateDocerSaveRecord">
    <vt:lpwstr>eyJoZGlkIjoiYmQ0MjA2YzA5ZTU0NjMxNDFjOWU4OTI4ODkxODk0YTUiLCJ1c2VySWQiOiIyMjYxODI1MTYifQ==</vt:lpwstr>
  </property>
</Properties>
</file>