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JSZC-320000-SZWK-G2026-0368</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口腔双波长激光治疗系统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十一</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口腔双波长激光治疗系统</w:t>
      </w:r>
      <w:r>
        <w:rPr>
          <w:rFonts w:hint="eastAsia" w:ascii="宋体" w:hAnsi="宋体" w:cs="宋体"/>
          <w:b/>
          <w:color w:val="auto"/>
          <w:sz w:val="36"/>
          <w:szCs w:val="36"/>
          <w:highlight w:val="none"/>
          <w:lang w:val="en-US" w:eastAsia="zh-CN"/>
        </w:rPr>
        <w:t xml:space="preserve">项目</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口腔双波长激光治疗系统</w:t>
      </w:r>
      <w:r>
        <w:rPr>
          <w:rFonts w:hint="eastAsia" w:ascii="宋体" w:hAnsi="宋体"/>
          <w:bCs/>
          <w:color w:val="auto"/>
          <w:highlight w:val="none"/>
          <w:u w:val="single"/>
          <w:lang w:val="en-US" w:eastAsia="zh-CN"/>
        </w:rPr>
        <w:t xml:space="preserve">项目</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11月25</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JSZC-320000-SZWK-G2026-0368</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口腔双波长激光治疗系统</w:t>
      </w:r>
      <w:r>
        <w:rPr>
          <w:rFonts w:hint="eastAsia" w:ascii="宋体" w:hAnsi="宋体"/>
          <w:color w:val="auto"/>
          <w:highlight w:val="none"/>
          <w:lang w:val="en-US" w:eastAsia="zh-CN"/>
        </w:rPr>
        <w:t xml:space="preserve">项目</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180万元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173万元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口腔双波长激光治疗系统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用于口腔软、硬组织疾病的治疗。包括：口腔粘膜病，血管瘤病变，牙周疾病，牙龈成形术，牙龈切除术，开放刮治术，闭合刮治术，系带切断，血管瘤去除，种植体周围炎，种植二期开窗手术，种植窝洞处理，窝洞预备，根管消毒，根管荡洗，骨切除术，阿佛它溃疡，单纯性疱疹和无痛无创鼾症治疗等。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五</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05"/>
      <w:r/>
      <w:bookmarkStart w:id="1" w:name="_Toc28359082"/>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84"/>
      <w:r/>
      <w:bookmarkStart w:id="5" w:name="_Toc35393794"/>
      <w:r/>
      <w:bookmarkStart w:id="6" w:name="_Toc35393625"/>
      <w:r/>
      <w:bookmarkStart w:id="7" w:name="_Toc28359007"/>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25</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25</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地点：苏采云系统</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1.供应商须</w:t>
      </w:r>
      <w:r>
        <w:rPr>
          <w:rFonts w:hint="default" w:ascii="宋体" w:hAnsi="宋体"/>
          <w:color w:val="auto"/>
          <w:highlight w:val="none"/>
        </w:rPr>
        <w:t xml:space="preserve">未被列入失信被执行人、重大税收违法案件当事人名单、政府采购严重失信行为记录名单</w:t>
      </w:r>
      <w:r>
        <w:rPr>
          <w:rFonts w:hint="default" w:ascii="宋体" w:hAnsi="宋体"/>
          <w:color w:val="auto"/>
          <w:highlight w:val="none"/>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黄剑平</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JSZC-320000-SZWK-G2026-0368</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default" w:eastAsia="宋体"/>
                <w:color w:val="auto"/>
                <w:sz w:val="21"/>
                <w:highlight w:val="none"/>
                <w:lang w:val="en-US" w:eastAsia="zh-CN"/>
              </w:rPr>
            </w:pPr>
            <w:r>
              <w:rPr>
                <w:rFonts w:hint="eastAsia"/>
                <w:color w:val="auto"/>
                <w:sz w:val="21"/>
                <w:highlight w:val="none"/>
                <w:lang w:eastAsia="zh-CN"/>
              </w:rPr>
              <w:t xml:space="preserve">口腔双波长激光治疗系统</w:t>
            </w:r>
            <w:r>
              <w:rPr>
                <w:rFonts w:hint="eastAsia"/>
                <w:color w:val="auto"/>
                <w:sz w:val="21"/>
                <w:highlight w:val="none"/>
                <w:lang w:val="en-US" w:eastAsia="zh-CN"/>
              </w:rPr>
              <w:t xml:space="preserve">项目</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25</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25</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w:t>
            </w:r>
            <w:r>
              <w:rPr>
                <w:rFonts w:hint="eastAsia" w:ascii="Times New Roman" w:hAnsi="Times New Roman" w:cs="Times New Roman"/>
                <w:color w:val="auto"/>
                <w:sz w:val="21"/>
                <w:szCs w:val="21"/>
                <w:highlight w:val="none"/>
                <w:lang w:val="en-US" w:eastAsia="zh-CN"/>
              </w:rPr>
              <w:t xml:space="preserve">按预算总金额的如下比例差额定率累进法计算</w:t>
            </w:r>
            <w:r>
              <w:rPr>
                <w:rFonts w:hint="eastAsia" w:cs="Times New Roman"/>
                <w:color w:val="auto"/>
                <w:sz w:val="21"/>
                <w:szCs w:val="21"/>
                <w:highlight w:val="none"/>
                <w:lang w:val="en-US" w:eastAsia="zh-CN"/>
              </w:rPr>
              <w:t xml:space="preserve">再减去贰仟伍佰元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w:t>
            </w:r>
            <w:bookmarkStart w:id="15" w:name="_GoBack"/>
            <w:r/>
            <w:bookmarkEnd w:id="15"/>
            <w:r>
              <w:rPr>
                <w:rFonts w:hint="eastAsia" w:ascii="Times New Roman" w:hAnsi="Times New Roman" w:cs="Times New Roman"/>
                <w:color w:val="auto"/>
                <w:sz w:val="21"/>
                <w:szCs w:val="21"/>
                <w:highlight w:val="none"/>
                <w:lang w:val="en-US" w:eastAsia="zh-CN"/>
              </w:rPr>
              <w:t xml:space="preserve">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口腔双波长激光治疗系统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JSZC-320000-SZWK-G2026-0368</w:t>
      </w:r>
      <w:r>
        <w:rPr>
          <w:rFonts w:hint="eastAsia" w:ascii="宋体" w:hAnsi="宋体"/>
          <w:color w:val="auto"/>
          <w:sz w:val="21"/>
          <w:szCs w:val="21"/>
          <w:highlight w:val="none"/>
        </w:rPr>
        <w:t xml:space="preserve">号</w:t>
      </w:r>
      <w:r/>
    </w:p>
    <w:p>
      <w:pPr>
        <w:ind w:right="-159"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口腔双波长激光治疗系统</w:t>
      </w:r>
      <w:r>
        <w:rPr>
          <w:rFonts w:hint="eastAsia" w:ascii="宋体" w:hAnsi="宋体"/>
          <w:color w:val="auto"/>
          <w:sz w:val="21"/>
          <w:szCs w:val="21"/>
          <w:highlight w:val="none"/>
          <w:lang w:val="en-US" w:eastAsia="zh-CN"/>
        </w:rPr>
        <w:t xml:space="preserve">项目</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25</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7、开</w:t>
      </w:r>
      <w:r>
        <w:rPr>
          <w:rFonts w:hint="eastAsia" w:ascii="宋体" w:hAnsi="宋体" w:cs="Times New Roman"/>
          <w:color w:val="auto"/>
          <w:sz w:val="21"/>
          <w:szCs w:val="21"/>
          <w:highlight w:val="none"/>
          <w:lang w:val="en-US" w:eastAsia="zh-CN"/>
        </w:rPr>
        <w:t xml:space="preserve">标时间：2026年11月25日13：30（北京时间）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s="Times New Roman"/>
          <w:color w:val="auto"/>
          <w:sz w:val="21"/>
          <w:szCs w:val="21"/>
          <w:highlight w:val="none"/>
          <w:lang w:val="en-US" w:eastAsia="zh-CN"/>
        </w:rPr>
        <w:t xml:space="preserve">投标人远程解密地点：苏采云系统开标大厅（网上不见面开标）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s="Times New Roman"/>
          <w:color w:val="auto"/>
          <w:sz w:val="21"/>
          <w:szCs w:val="21"/>
          <w:highlight w:val="none"/>
          <w:lang w:val="en-US" w:eastAsia="zh-CN"/>
        </w:rPr>
        <w:t xml:space="preserve">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rFonts w:eastAsia="宋体"/>
          <w:color w:val="auto"/>
          <w:sz w:val="21"/>
          <w:szCs w:val="21"/>
          <w:highlight w:val="none"/>
        </w:rPr>
      </w:pPr>
      <w:r>
        <w:rPr>
          <w:rFonts w:hint="eastAsia" w:eastAsia="宋体"/>
          <w:color w:val="auto"/>
          <w:sz w:val="21"/>
          <w:szCs w:val="21"/>
          <w:highlight w:val="none"/>
        </w:rPr>
        <w:t xml:space="preserve">3.2供应商具备的特定条件：</w:t>
      </w:r>
      <w:r/>
    </w:p>
    <w:p>
      <w:pPr>
        <w:ind w:firstLine="411"/>
        <w:spacing w:line="360" w:lineRule="auto"/>
        <w:rPr>
          <w:rFonts w:hint="eastAsia" w:eastAsia="宋体"/>
          <w:color w:val="auto"/>
          <w:sz w:val="21"/>
          <w:szCs w:val="21"/>
          <w:highlight w:val="none"/>
          <w:lang w:eastAsia="zh-CN"/>
        </w:rPr>
      </w:pPr>
      <w:r>
        <w:rPr>
          <w:rFonts w:hint="eastAsia" w:eastAsia="宋体"/>
          <w:color w:val="auto"/>
          <w:sz w:val="21"/>
          <w:szCs w:val="21"/>
          <w:highlight w:val="none"/>
        </w:rPr>
        <w:t xml:space="preserve">具有医疗器械经营资格</w:t>
      </w:r>
      <w:r>
        <w:rPr>
          <w:rFonts w:hint="default" w:eastAsia="宋体"/>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口腔双波长激光治疗系统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JSZC-320000-SZWK-G2026-0368</w:t>
      </w:r>
      <w:r>
        <w:rPr>
          <w:rFonts w:hint="eastAsia" w:ascii="宋体" w:hAnsi="宋体"/>
          <w:color w:val="auto"/>
          <w:sz w:val="21"/>
          <w:szCs w:val="21"/>
          <w:highlight w:val="none"/>
        </w:rPr>
        <w:t xml:space="preserve">号</w:t>
      </w:r>
      <w:r/>
    </w:p>
    <w:p>
      <w:pPr>
        <w:ind w:firstLine="420"/>
        <w:spacing w:line="42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口腔双波长激光治疗系统</w:t>
      </w:r>
      <w:r>
        <w:rPr>
          <w:rFonts w:hint="eastAsia" w:ascii="宋体" w:hAnsi="宋体"/>
          <w:color w:val="auto"/>
          <w:sz w:val="21"/>
          <w:szCs w:val="21"/>
          <w:highlight w:val="none"/>
          <w:lang w:val="en-US" w:eastAsia="zh-CN"/>
        </w:rPr>
        <w:t xml:space="preserve">项目</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180万元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高限价：173万元</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口腔双波长激光治疗系统1套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用途：用于口腔软、硬组织疾病的治疗。包括：口腔粘膜病，血管瘤病变，牙周疾病，牙龈成形术，牙龈切除术，开放刮治术，闭合刮治术，系带切断，血管瘤去除，种植体周围炎，种植二期开窗手术，种植窝洞处理，窝洞预备，根管消毒，根管荡洗，骨切除术，阿佛它溃疡，单纯性疱疹和无痛无创鼾症治疗等。</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（二）普通参数：</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rPr>
          <w:rFonts w:hint="default" w:ascii="宋体" w:hAnsi="宋体"/>
          <w:color w:val="auto"/>
          <w:sz w:val="21"/>
          <w:szCs w:val="21"/>
          <w:highlight w:val="none"/>
          <w:lang w:val="en-US" w:eastAsia="zh-CN"/>
        </w:rPr>
        <w:t xml:space="preserve">激光波长：具有两种激光波长，兼做口腔软硬组织。</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default" w:ascii="宋体" w:hAnsi="宋体"/>
          <w:color w:val="auto"/>
          <w:sz w:val="21"/>
          <w:szCs w:val="21"/>
          <w:highlight w:val="none"/>
          <w:lang w:val="en-US" w:eastAsia="zh-CN"/>
        </w:rPr>
        <w:t xml:space="preserve">铒激光脉宽范围：铒激光脉宽50us-1000us。</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铒激光脉宽种类≥2种。</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rPr>
          <w:rFonts w:hint="default" w:ascii="宋体" w:hAnsi="宋体"/>
          <w:color w:val="auto"/>
          <w:sz w:val="21"/>
          <w:szCs w:val="21"/>
          <w:highlight w:val="none"/>
          <w:lang w:val="en-US" w:eastAsia="zh-CN"/>
        </w:rPr>
        <w:t xml:space="preserve">铒激光最大平均输出功率≥6W。</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rPr>
          <w:rFonts w:hint="default" w:ascii="宋体" w:hAnsi="宋体"/>
          <w:color w:val="auto"/>
          <w:sz w:val="21"/>
          <w:szCs w:val="21"/>
          <w:highlight w:val="none"/>
          <w:lang w:val="en-US" w:eastAsia="zh-CN"/>
        </w:rPr>
        <w:t xml:space="preserve">铒激光光束传输系统：铒激光通过专业光学导光系统传输，可以耐受高功率激光，传输效率高，减少后期维护成本</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w:t>
      </w:r>
      <w:r>
        <w:rPr>
          <w:rFonts w:hint="default" w:ascii="宋体" w:hAnsi="宋体"/>
          <w:color w:val="auto"/>
          <w:sz w:val="21"/>
          <w:szCs w:val="21"/>
          <w:highlight w:val="none"/>
          <w:lang w:val="en-US" w:eastAsia="zh-CN"/>
        </w:rPr>
        <w:t xml:space="preserve">控制系统分类：含硬组织、软组织、外科等预设程序≥30种操作模式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rPr>
          <w:rFonts w:hint="default" w:ascii="宋体" w:hAnsi="宋体"/>
          <w:color w:val="auto"/>
          <w:sz w:val="21"/>
          <w:szCs w:val="21"/>
          <w:highlight w:val="none"/>
          <w:lang w:val="en-US" w:eastAsia="zh-CN"/>
        </w:rPr>
        <w:t xml:space="preserve">供气系统：根据各椅位的治疗需求可提供稳定的气源，可随时移动操作地点。</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8、</w:t>
      </w:r>
      <w:r>
        <w:rPr>
          <w:rFonts w:hint="default" w:ascii="宋体" w:hAnsi="宋体"/>
          <w:color w:val="auto"/>
          <w:sz w:val="21"/>
          <w:szCs w:val="21"/>
          <w:highlight w:val="none"/>
          <w:lang w:val="en-US" w:eastAsia="zh-CN"/>
        </w:rPr>
        <w:t xml:space="preserve">指引光：须具备与治疗用激光同源同向的半导体指引光。</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9、具备</w:t>
      </w:r>
      <w:r>
        <w:rPr>
          <w:rFonts w:hint="default" w:ascii="宋体" w:hAnsi="宋体"/>
          <w:color w:val="auto"/>
          <w:sz w:val="21"/>
          <w:szCs w:val="21"/>
          <w:highlight w:val="none"/>
          <w:lang w:val="en-US" w:eastAsia="zh-CN"/>
        </w:rPr>
        <w:t xml:space="preserve">激光开机流程。</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10、</w:t>
      </w:r>
      <w:r>
        <w:rPr>
          <w:rFonts w:hint="default" w:ascii="宋体" w:hAnsi="宋体"/>
          <w:color w:val="auto"/>
          <w:sz w:val="21"/>
          <w:szCs w:val="21"/>
          <w:highlight w:val="none"/>
          <w:lang w:val="en-US" w:eastAsia="zh-CN"/>
        </w:rPr>
        <w:t xml:space="preserve">具有报警系统：提示治疗水位不足。</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11、</w:t>
      </w:r>
      <w:r>
        <w:rPr>
          <w:rFonts w:hint="default" w:ascii="宋体" w:hAnsi="宋体"/>
          <w:color w:val="auto"/>
          <w:sz w:val="21"/>
          <w:szCs w:val="21"/>
          <w:highlight w:val="none"/>
          <w:lang w:val="en-US" w:eastAsia="zh-CN"/>
        </w:rPr>
        <w:t xml:space="preserve">激光转换系统：自动感应转换无需手动调节。</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12、配备铒激光接触式手机2个。</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（三）核心参数表述：</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rPr>
          <w:rFonts w:hint="default" w:ascii="宋体" w:hAnsi="宋体"/>
          <w:color w:val="auto"/>
          <w:sz w:val="21"/>
          <w:szCs w:val="21"/>
          <w:highlight w:val="none"/>
          <w:lang w:val="en-US" w:eastAsia="zh-CN"/>
        </w:rPr>
        <w:t xml:space="preserve">铒激光单脉冲输出能量≥300mJ。</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default" w:ascii="宋体" w:hAnsi="宋体"/>
          <w:color w:val="auto"/>
          <w:sz w:val="21"/>
          <w:szCs w:val="21"/>
          <w:highlight w:val="none"/>
          <w:lang w:val="en-US" w:eastAsia="zh-CN"/>
        </w:rPr>
        <w:t xml:space="preserve">铒激光脉冲频率≥20HZ。</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激光有不少于5种型号的光纤尖可供选择</w:t>
      </w:r>
      <w:r>
        <w:rPr>
          <w:rFonts w:hint="eastAsia" w:ascii="宋体" w:hAnsi="宋体"/>
          <w:color w:val="auto"/>
          <w:sz w:val="21"/>
          <w:szCs w:val="21"/>
          <w:highlight w:val="none"/>
          <w:lang w:val="en-US" w:eastAsia="zh-CN"/>
        </w:rPr>
        <w:t xml:space="preserve">。</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highlight w:val="none"/>
          <w:lang w:val="en-US" w:eastAsia="zh-CN"/>
        </w:rPr>
        <w:t xml:space="preserve">五</w:t>
      </w:r>
      <w:r>
        <w:rPr>
          <w:rFonts w:hint="eastAsia" w:ascii="宋体" w:hAnsi="宋体"/>
          <w:color w:val="auto"/>
          <w:sz w:val="21"/>
          <w:szCs w:val="21"/>
          <w:highlight w:val="none"/>
        </w:rPr>
        <w:t xml:space="preserve">年的原厂免费质保服务。接到维修通知后有专职的技术服务人员上门服务，保证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六</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hint="eastAsia"/>
          <w:color w:val="auto"/>
          <w:sz w:val="21"/>
          <w:szCs w:val="21"/>
          <w:highlight w:val="none"/>
          <w:lang w:val="zh-CN"/>
        </w:rPr>
      </w:pPr>
      <w:r>
        <w:rPr>
          <w:rFonts w:hint="eastAsia"/>
          <w:color w:val="auto"/>
          <w:sz w:val="21"/>
          <w:szCs w:val="21"/>
          <w:highlight w:val="none"/>
          <w:lang w:val="zh-CN"/>
        </w:rPr>
        <w:t xml:space="preserve">乙方应在本合同订立当日，主动向甲方告知自身的企业规模类型。甲方将根据乙方告知的规模类型，对应执行以下两类付款方式中的一种:</w:t>
      </w:r>
      <w:r/>
    </w:p>
    <w:p>
      <w:pPr>
        <w:spacing w:line="400" w:lineRule="exact"/>
        <w:widowControl w:val="off"/>
        <w:rPr>
          <w:rFonts w:hint="eastAsia"/>
          <w:b/>
          <w:bCs/>
          <w:color w:val="auto"/>
          <w:sz w:val="21"/>
          <w:szCs w:val="21"/>
          <w:highlight w:val="none"/>
          <w:lang w:val="zh-CN"/>
        </w:rPr>
      </w:pPr>
      <w:r>
        <w:rPr>
          <w:rFonts w:hint="eastAsia"/>
          <w:b/>
          <w:bCs/>
          <w:color w:val="auto"/>
          <w:sz w:val="21"/>
          <w:szCs w:val="21"/>
          <w:highlight w:val="none"/>
          <w:lang w:val="zh-CN"/>
        </w:rPr>
        <w:t xml:space="preserve">口乙方为中小企业，本合同付款方式适用以下约定:</w:t>
      </w:r>
      <w:r/>
    </w:p>
    <w:p>
      <w:pPr>
        <w:spacing w:line="400" w:lineRule="exact"/>
        <w:widowControl w:val="off"/>
        <w:rPr>
          <w:rFonts w:hint="eastAsia"/>
          <w:color w:val="auto"/>
          <w:sz w:val="21"/>
          <w:szCs w:val="21"/>
          <w:highlight w:val="none"/>
          <w:lang w:val="zh-CN"/>
        </w:rPr>
      </w:pPr>
      <w:r>
        <w:rPr>
          <w:rFonts w:hint="eastAsia"/>
          <w:color w:val="auto"/>
          <w:sz w:val="21"/>
          <w:szCs w:val="21"/>
          <w:highlight w:val="none"/>
          <w:lang w:val="zh-CN"/>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60 日内，甲方向乙方支付本合同约定的全部款项。</w:t>
      </w:r>
      <w:r/>
    </w:p>
    <w:p>
      <w:pPr>
        <w:spacing w:line="400" w:lineRule="exact"/>
        <w:widowControl w:val="off"/>
        <w:rPr>
          <w:rFonts w:hint="eastAsia"/>
          <w:b/>
          <w:bCs/>
          <w:color w:val="auto"/>
          <w:sz w:val="21"/>
          <w:szCs w:val="21"/>
          <w:highlight w:val="none"/>
          <w:lang w:val="zh-CN"/>
        </w:rPr>
      </w:pPr>
      <w:r>
        <w:rPr>
          <w:rFonts w:hint="eastAsia"/>
          <w:b/>
          <w:bCs/>
          <w:color w:val="auto"/>
          <w:sz w:val="21"/>
          <w:szCs w:val="21"/>
          <w:highlight w:val="none"/>
          <w:lang w:val="zh-CN"/>
        </w:rPr>
        <w:t xml:space="preserve">口乙方非中小企业，本合同付款方式适用以下约定：</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30 个工作日内，由甲方向乙方按合同总价支付 90%的货款，余款 10%在验收合格满一年，无质量问题，由甲方在 30 个工作日内向乙方一次性付清。</w:t>
      </w:r>
      <w:r/>
    </w:p>
    <w:p>
      <w:pPr>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numPr>
          <w:ilvl w:val="0"/>
          <w:numId w:val="3"/>
        </w:num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b/>
          <w:bCs/>
          <w:color w:val="auto"/>
          <w:sz w:val="21"/>
          <w:highlight w:val="none"/>
        </w:rPr>
        <w:t xml:space="preserve">技术参数符合性</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技术参数中普通参数(共</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条)，若出现负偏离每项扣</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w:t>
      </w:r>
      <w:r/>
    </w:p>
    <w:p>
      <w:pPr>
        <w:ind w:firstLine="420"/>
        <w:spacing w:line="42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投标单位所投产品的各项技术指标需符合采购文件要求，其中核心参数共3条，每条最高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分。</w:t>
      </w:r>
      <w:r/>
    </w:p>
    <w:p>
      <w:pPr>
        <w:ind w:firstLine="420"/>
        <w:spacing w:line="420" w:lineRule="exact"/>
        <w:tabs>
          <w:tab w:val="left" w:pos="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rPr>
          <w:rFonts w:hint="default" w:ascii="宋体" w:hAnsi="宋体" w:cs="宋体"/>
          <w:color w:val="auto"/>
          <w:sz w:val="21"/>
          <w:szCs w:val="21"/>
          <w:highlight w:val="none"/>
          <w:lang w:val="en-US" w:eastAsia="zh-CN"/>
        </w:rPr>
        <w:t xml:space="preserve">铒激光单脉冲</w:t>
      </w: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输出能量</w:t>
      </w:r>
      <w:r>
        <w:rPr>
          <w:rFonts w:hint="eastAsia" w:ascii="宋体" w:hAnsi="宋体" w:cs="宋体"/>
          <w:color w:val="auto"/>
          <w:sz w:val="21"/>
          <w:szCs w:val="21"/>
          <w:highlight w:val="none"/>
          <w:lang w:val="en-US" w:eastAsia="zh-CN"/>
        </w:rPr>
        <w:t xml:space="preserve">（4分）</w:t>
      </w:r>
      <w:r/>
    </w:p>
    <w:p>
      <w:pPr>
        <w:ind w:firstLine="420"/>
        <w:spacing w:line="420" w:lineRule="exact"/>
        <w:tabs>
          <w:tab w:val="left" w:pos="0" w:leader="none"/>
        </w:tabs>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300mJ</w:t>
      </w: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输出能量</w:t>
      </w:r>
      <w:r>
        <w:rPr>
          <w:rFonts w:hint="eastAsia" w:ascii="宋体" w:hAnsi="宋体" w:cs="宋体"/>
          <w:color w:val="auto"/>
          <w:sz w:val="21"/>
          <w:szCs w:val="21"/>
          <w:highlight w:val="none"/>
          <w:lang w:val="en-US" w:eastAsia="zh-CN"/>
        </w:rPr>
        <w:t xml:space="preserve">＜600</w:t>
      </w:r>
      <w:r>
        <w:rPr>
          <w:rFonts w:hint="default" w:ascii="宋体" w:hAnsi="宋体" w:cs="宋体"/>
          <w:color w:val="auto"/>
          <w:sz w:val="21"/>
          <w:szCs w:val="21"/>
          <w:highlight w:val="none"/>
          <w:lang w:val="en-US" w:eastAsia="zh-CN"/>
        </w:rPr>
        <w:t xml:space="preserve">mJ</w:t>
      </w:r>
      <w:r>
        <w:rPr>
          <w:rFonts w:hint="eastAsia" w:ascii="宋体" w:hAnsi="宋体" w:cs="宋体"/>
          <w:color w:val="auto"/>
          <w:sz w:val="21"/>
          <w:szCs w:val="21"/>
          <w:highlight w:val="none"/>
          <w:lang w:val="en-US" w:eastAsia="zh-CN"/>
        </w:rPr>
        <w:t xml:space="preserve">得1分；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default" w:ascii="宋体" w:hAnsi="宋体" w:cs="宋体"/>
          <w:color w:val="auto"/>
          <w:sz w:val="21"/>
          <w:szCs w:val="21"/>
          <w:highlight w:val="none"/>
          <w:lang w:val="en-US" w:eastAsia="zh-CN"/>
        </w:rPr>
        <w:t xml:space="preserve">00mJ</w:t>
      </w: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输出能量</w:t>
      </w:r>
      <w:r>
        <w:rPr>
          <w:rFonts w:hint="eastAsia" w:ascii="宋体" w:hAnsi="宋体" w:cs="宋体"/>
          <w:color w:val="auto"/>
          <w:sz w:val="21"/>
          <w:szCs w:val="21"/>
          <w:highlight w:val="none"/>
          <w:lang w:val="en-US" w:eastAsia="zh-CN"/>
        </w:rPr>
        <w:t xml:space="preserve">＜800</w:t>
      </w:r>
      <w:r>
        <w:rPr>
          <w:rFonts w:hint="default" w:ascii="宋体" w:hAnsi="宋体" w:cs="宋体"/>
          <w:color w:val="auto"/>
          <w:sz w:val="21"/>
          <w:szCs w:val="21"/>
          <w:highlight w:val="none"/>
          <w:lang w:val="en-US" w:eastAsia="zh-CN"/>
        </w:rPr>
        <w:t xml:space="preserve">mJ</w:t>
      </w:r>
      <w:r>
        <w:rPr>
          <w:rFonts w:hint="eastAsia" w:ascii="宋体" w:hAnsi="宋体" w:cs="宋体"/>
          <w:color w:val="auto"/>
          <w:sz w:val="21"/>
          <w:szCs w:val="21"/>
          <w:highlight w:val="none"/>
          <w:lang w:val="en-US" w:eastAsia="zh-CN"/>
        </w:rPr>
        <w:t xml:space="preserve">得2分；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default" w:ascii="宋体" w:hAnsi="宋体" w:cs="宋体"/>
          <w:color w:val="auto"/>
          <w:sz w:val="21"/>
          <w:szCs w:val="21"/>
          <w:highlight w:val="none"/>
          <w:lang w:val="en-US" w:eastAsia="zh-CN"/>
        </w:rPr>
        <w:t xml:space="preserve">00mJ</w:t>
      </w: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输出能量</w:t>
      </w:r>
      <w:r>
        <w:rPr>
          <w:rFonts w:hint="eastAsia" w:ascii="宋体" w:hAnsi="宋体" w:cs="宋体"/>
          <w:color w:val="auto"/>
          <w:sz w:val="21"/>
          <w:szCs w:val="21"/>
          <w:highlight w:val="none"/>
          <w:lang w:val="en-US" w:eastAsia="zh-CN"/>
        </w:rPr>
        <w:t xml:space="preserve">＜1000</w:t>
      </w:r>
      <w:r>
        <w:rPr>
          <w:rFonts w:hint="default" w:ascii="宋体" w:hAnsi="宋体" w:cs="宋体"/>
          <w:color w:val="auto"/>
          <w:sz w:val="21"/>
          <w:szCs w:val="21"/>
          <w:highlight w:val="none"/>
          <w:lang w:val="en-US" w:eastAsia="zh-CN"/>
        </w:rPr>
        <w:t xml:space="preserve">mJ</w:t>
      </w:r>
      <w:r>
        <w:rPr>
          <w:rFonts w:hint="eastAsia" w:ascii="宋体" w:hAnsi="宋体" w:cs="宋体"/>
          <w:color w:val="auto"/>
          <w:sz w:val="21"/>
          <w:szCs w:val="21"/>
          <w:highlight w:val="none"/>
          <w:lang w:val="en-US" w:eastAsia="zh-CN"/>
        </w:rPr>
        <w:t xml:space="preserve">得3分；</w:t>
      </w:r>
      <w:r/>
    </w:p>
    <w:p>
      <w:pPr>
        <w:ind w:firstLine="420"/>
        <w:spacing w:line="420" w:lineRule="exact"/>
        <w:tabs>
          <w:tab w:val="left" w:pos="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输出能量</w:t>
      </w:r>
      <w:r>
        <w:rPr>
          <w:rFonts w:hint="eastAsia" w:ascii="宋体" w:hAnsi="宋体" w:cs="宋体"/>
          <w:color w:val="auto"/>
          <w:sz w:val="21"/>
          <w:szCs w:val="21"/>
          <w:highlight w:val="none"/>
          <w:lang w:val="en-US" w:eastAsia="zh-CN"/>
        </w:rPr>
        <w:t xml:space="preserve">≥1000mj得4分。</w:t>
      </w:r>
      <w:r/>
    </w:p>
    <w:p>
      <w:pPr>
        <w:ind w:firstLine="420"/>
        <w:spacing w:line="420" w:lineRule="exact"/>
        <w:tabs>
          <w:tab w:val="left" w:pos="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rPr>
          <w:rFonts w:hint="default" w:ascii="宋体" w:hAnsi="宋体" w:cs="宋体"/>
          <w:color w:val="auto"/>
          <w:sz w:val="21"/>
          <w:szCs w:val="21"/>
          <w:highlight w:val="none"/>
          <w:lang w:val="en-US" w:eastAsia="zh-CN"/>
        </w:rPr>
        <w:t xml:space="preserve">铒激光</w:t>
      </w: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脉冲频率</w:t>
      </w:r>
      <w:r>
        <w:rPr>
          <w:rFonts w:hint="eastAsia" w:ascii="宋体" w:hAnsi="宋体" w:cs="宋体"/>
          <w:color w:val="auto"/>
          <w:sz w:val="21"/>
          <w:szCs w:val="21"/>
          <w:highlight w:val="none"/>
          <w:lang w:val="en-US" w:eastAsia="zh-CN"/>
        </w:rPr>
        <w:t xml:space="preserve">（4分）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20HZ≤最大</w:t>
      </w:r>
      <w:r>
        <w:rPr>
          <w:rFonts w:hint="default" w:ascii="宋体" w:hAnsi="宋体" w:cs="宋体"/>
          <w:color w:val="auto"/>
          <w:sz w:val="21"/>
          <w:szCs w:val="21"/>
          <w:highlight w:val="none"/>
          <w:lang w:val="en-US" w:eastAsia="zh-CN"/>
        </w:rPr>
        <w:t xml:space="preserve">脉冲频率</w:t>
      </w:r>
      <w:r>
        <w:rPr>
          <w:rFonts w:hint="eastAsia" w:ascii="宋体" w:hAnsi="宋体" w:cs="宋体"/>
          <w:color w:val="auto"/>
          <w:sz w:val="21"/>
          <w:szCs w:val="21"/>
          <w:highlight w:val="none"/>
          <w:lang w:val="en-US" w:eastAsia="zh-CN"/>
        </w:rPr>
        <w:t xml:space="preserve">＜30HZ得1分；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30HZ≤最大</w:t>
      </w:r>
      <w:r>
        <w:rPr>
          <w:rFonts w:hint="default" w:ascii="宋体" w:hAnsi="宋体" w:cs="宋体"/>
          <w:color w:val="auto"/>
          <w:sz w:val="21"/>
          <w:szCs w:val="21"/>
          <w:highlight w:val="none"/>
          <w:lang w:val="en-US" w:eastAsia="zh-CN"/>
        </w:rPr>
        <w:t xml:space="preserve">脉冲频率</w:t>
      </w:r>
      <w:r>
        <w:rPr>
          <w:rFonts w:hint="eastAsia" w:ascii="宋体" w:hAnsi="宋体" w:cs="宋体"/>
          <w:color w:val="auto"/>
          <w:sz w:val="21"/>
          <w:szCs w:val="21"/>
          <w:highlight w:val="none"/>
          <w:lang w:val="en-US" w:eastAsia="zh-CN"/>
        </w:rPr>
        <w:t xml:space="preserve">＜40HZ得2分；</w:t>
      </w:r>
      <w:r/>
    </w:p>
    <w:p>
      <w:pPr>
        <w:ind w:firstLine="420"/>
        <w:spacing w:line="420" w:lineRule="exact"/>
        <w:tabs>
          <w:tab w:val="left" w:pos="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40HZ≤最大</w:t>
      </w:r>
      <w:r>
        <w:rPr>
          <w:rFonts w:hint="default" w:ascii="宋体" w:hAnsi="宋体" w:cs="宋体"/>
          <w:color w:val="auto"/>
          <w:sz w:val="21"/>
          <w:szCs w:val="21"/>
          <w:highlight w:val="none"/>
          <w:lang w:val="en-US" w:eastAsia="zh-CN"/>
        </w:rPr>
        <w:t xml:space="preserve">脉冲频率</w:t>
      </w:r>
      <w:r>
        <w:rPr>
          <w:rFonts w:hint="eastAsia" w:ascii="宋体" w:hAnsi="宋体" w:cs="宋体"/>
          <w:color w:val="auto"/>
          <w:sz w:val="21"/>
          <w:szCs w:val="21"/>
          <w:highlight w:val="none"/>
          <w:lang w:val="en-US" w:eastAsia="zh-CN"/>
        </w:rPr>
        <w:t xml:space="preserve">＜50HZ得3分；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最大</w:t>
      </w:r>
      <w:r>
        <w:rPr>
          <w:rFonts w:hint="default" w:ascii="宋体" w:hAnsi="宋体" w:cs="宋体"/>
          <w:color w:val="auto"/>
          <w:sz w:val="21"/>
          <w:szCs w:val="21"/>
          <w:highlight w:val="none"/>
          <w:lang w:val="en-US" w:eastAsia="zh-CN"/>
        </w:rPr>
        <w:t xml:space="preserve">脉冲频率</w:t>
      </w:r>
      <w:r>
        <w:rPr>
          <w:rFonts w:hint="eastAsia" w:ascii="宋体" w:hAnsi="宋体" w:cs="宋体"/>
          <w:color w:val="auto"/>
          <w:sz w:val="21"/>
          <w:szCs w:val="21"/>
          <w:highlight w:val="none"/>
          <w:lang w:val="en-US" w:eastAsia="zh-CN"/>
        </w:rPr>
        <w:t xml:space="preserve">≥50HZ得4分。</w:t>
      </w:r>
      <w:r/>
    </w:p>
    <w:p>
      <w:pPr>
        <w:ind w:firstLine="420"/>
        <w:spacing w:line="42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2.3适配的</w:t>
      </w:r>
      <w:r>
        <w:rPr>
          <w:rFonts w:hint="default" w:ascii="宋体" w:hAnsi="宋体" w:cs="宋体"/>
          <w:color w:val="auto"/>
          <w:sz w:val="21"/>
          <w:szCs w:val="21"/>
          <w:highlight w:val="none"/>
          <w:lang w:val="en-US" w:eastAsia="zh-CN"/>
        </w:rPr>
        <w:t xml:space="preserve">光纤尖</w:t>
      </w:r>
      <w:r>
        <w:rPr>
          <w:rFonts w:hint="eastAsia" w:ascii="宋体" w:hAnsi="宋体" w:cs="宋体"/>
          <w:color w:val="auto"/>
          <w:sz w:val="21"/>
          <w:szCs w:val="21"/>
          <w:highlight w:val="none"/>
          <w:lang w:val="en-US" w:eastAsia="zh-CN"/>
        </w:rPr>
        <w:t xml:space="preserve">的型号数量（4分）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5≤光纤尖型号数量＜10得1分；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10≤光纤尖型号数量＜15得2分；</w:t>
      </w:r>
      <w:r/>
    </w:p>
    <w:p>
      <w:pPr>
        <w:ind w:firstLine="420"/>
        <w:spacing w:line="420" w:lineRule="exact"/>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15≤光纤尖型号数量＜20得3分；</w:t>
      </w:r>
      <w:r/>
    </w:p>
    <w:p>
      <w:pPr>
        <w:ind w:firstLine="420"/>
        <w:spacing w:line="420" w:lineRule="exact"/>
        <w:tabs>
          <w:tab w:val="left" w:pos="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光纤尖型号数量≥20得4分。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0"/>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15</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5年至今本次采购同品牌同型号设备销售经验评价，每提供1份销售合同复印件及对应发票的得1分，最高得15分。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06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0006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8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2026-11-03T08:54:42Z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C13B6B4C37914A8180C81A0FD2BD3079_13</vt:lpwstr>
  </property>
  <property fmtid="{D5CDD505-2E9C-101B-9397-08002B2CF9AE}" pid="4" name="KSOTemplateDocerSaveRecord">
    <vt:lpwstr>eyJoZGlkIjoiN2Y5YmMzNTFmMGEzMzI3OTZjMzlmZTg5M2ZjMDhjNTYiLCJ1c2VySWQiOiIxMjE3NzU0MzE5In0=</vt:lpwstr>
  </property>
</Properties>
</file>